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06EC" w14:textId="122D1DEA" w:rsidR="00D47BC2" w:rsidRPr="007E77AF" w:rsidRDefault="00324E66" w:rsidP="00F174F0">
      <w:pPr>
        <w:pStyle w:val="TtulodaResoluo"/>
        <w:ind w:firstLine="708"/>
      </w:pPr>
      <w:bookmarkStart w:id="0" w:name="_Ref461888116"/>
      <w:bookmarkStart w:id="1" w:name="_Ref467239274"/>
      <w:bookmarkStart w:id="2" w:name="_Ref467239707"/>
      <w:bookmarkStart w:id="3" w:name="_Ref467240594"/>
      <w:bookmarkStart w:id="4" w:name="_Ref467240640"/>
      <w:bookmarkStart w:id="5" w:name="_Ref467240948"/>
      <w:bookmarkStart w:id="6" w:name="_Ref467254956"/>
      <w:bookmarkStart w:id="7" w:name="_Ref467255961"/>
      <w:bookmarkStart w:id="8" w:name="_Ref469905988"/>
      <w:bookmarkStart w:id="9" w:name="_Toc476216304"/>
      <w:bookmarkStart w:id="10" w:name="_Toc108516025"/>
      <w:bookmarkStart w:id="11" w:name="_Toc108203056"/>
      <w:bookmarkStart w:id="12" w:name="_Toc136502796"/>
      <w:bookmarkEnd w:id="0"/>
      <w:bookmarkEnd w:id="1"/>
      <w:bookmarkEnd w:id="2"/>
      <w:bookmarkEnd w:id="3"/>
      <w:bookmarkEnd w:id="4"/>
      <w:bookmarkEnd w:id="5"/>
      <w:bookmarkEnd w:id="6"/>
      <w:bookmarkEnd w:id="7"/>
      <w:bookmarkEnd w:id="8"/>
      <w:r w:rsidRPr="007E77AF">
        <w:t>R</w:t>
      </w:r>
      <w:r w:rsidR="002109AE" w:rsidRPr="007E77AF">
        <w:t xml:space="preserve">ESOLUÇÃO </w:t>
      </w:r>
      <w:r w:rsidR="00872104" w:rsidRPr="007E77AF">
        <w:t xml:space="preserve">CVM Nº </w:t>
      </w:r>
      <w:r w:rsidR="0048511A">
        <w:t>160</w:t>
      </w:r>
      <w:r w:rsidR="00872104" w:rsidRPr="007E77AF">
        <w:t xml:space="preserve">, DE </w:t>
      </w:r>
      <w:r w:rsidR="0048511A" w:rsidRPr="0048511A">
        <w:t>13 DE JULHO DE 2022</w:t>
      </w:r>
      <w:bookmarkEnd w:id="9"/>
      <w:bookmarkEnd w:id="10"/>
      <w:bookmarkEnd w:id="11"/>
      <w:r w:rsidR="0007065D">
        <w:t xml:space="preserve"> </w:t>
      </w:r>
      <w:r w:rsidR="004D1EB0">
        <w:rPr>
          <w:caps w:val="0"/>
        </w:rPr>
        <w:t xml:space="preserve">COM ALTERAÇÕES INTRODUZIDAS PELAS RESOLUÇÕES CVM </w:t>
      </w:r>
      <w:proofErr w:type="spellStart"/>
      <w:r w:rsidR="004D1EB0">
        <w:rPr>
          <w:caps w:val="0"/>
        </w:rPr>
        <w:t>NºS</w:t>
      </w:r>
      <w:proofErr w:type="spellEnd"/>
      <w:r w:rsidR="004D1EB0">
        <w:rPr>
          <w:caps w:val="0"/>
        </w:rPr>
        <w:t xml:space="preserve"> 173/22, 180/23 E 183/23.</w:t>
      </w:r>
      <w:bookmarkEnd w:id="12"/>
    </w:p>
    <w:p w14:paraId="1DFE9FDC" w14:textId="5B40CD6B" w:rsidR="00D47BC2" w:rsidRPr="007E77AF" w:rsidRDefault="00D47BC2" w:rsidP="491E246D">
      <w:pPr>
        <w:pStyle w:val="Ementa"/>
      </w:pPr>
      <w:r w:rsidRPr="007E77AF">
        <w:t xml:space="preserve">Dispõe sobre as ofertas públicas de distribuição </w:t>
      </w:r>
      <w:r w:rsidR="002306B7" w:rsidRPr="007E77AF">
        <w:t>p</w:t>
      </w:r>
      <w:r w:rsidR="6CF50AA5" w:rsidRPr="007E77AF">
        <w:t>rimária ou</w:t>
      </w:r>
      <w:r w:rsidR="002306B7" w:rsidRPr="007E77AF">
        <w:t xml:space="preserve"> </w:t>
      </w:r>
      <w:r w:rsidR="6CF50AA5" w:rsidRPr="007E77AF">
        <w:t xml:space="preserve">secundária </w:t>
      </w:r>
      <w:r w:rsidRPr="007E77AF">
        <w:t>de valores mobiliários</w:t>
      </w:r>
      <w:r w:rsidR="00B02D24" w:rsidRPr="007E77AF">
        <w:t xml:space="preserve"> e</w:t>
      </w:r>
      <w:r w:rsidRPr="007E77AF">
        <w:t xml:space="preserve"> </w:t>
      </w:r>
      <w:r w:rsidR="003C682A" w:rsidRPr="007E77AF">
        <w:t xml:space="preserve">a negociação </w:t>
      </w:r>
      <w:r w:rsidR="009953E4" w:rsidRPr="007E77AF">
        <w:t xml:space="preserve">dos </w:t>
      </w:r>
      <w:r w:rsidR="003C682A" w:rsidRPr="007E77AF">
        <w:t>valores mobiliários</w:t>
      </w:r>
      <w:r w:rsidR="009953E4" w:rsidRPr="007E77AF">
        <w:t xml:space="preserve"> ofertados </w:t>
      </w:r>
      <w:r w:rsidR="003C682A" w:rsidRPr="007E77AF">
        <w:t>nos mercados regulamentados</w:t>
      </w:r>
      <w:r w:rsidR="006C77EC" w:rsidRPr="007E77AF">
        <w:t>,</w:t>
      </w:r>
      <w:r w:rsidR="003C682A" w:rsidRPr="007E77AF">
        <w:t xml:space="preserve"> </w:t>
      </w:r>
      <w:r w:rsidRPr="007E77AF">
        <w:t>e revoga a</w:t>
      </w:r>
      <w:r w:rsidR="009F22BF" w:rsidRPr="007E77AF">
        <w:t>s</w:t>
      </w:r>
      <w:r w:rsidRPr="007E77AF">
        <w:t xml:space="preserve"> </w:t>
      </w:r>
      <w:r w:rsidR="009F22BF" w:rsidRPr="007E77AF">
        <w:t xml:space="preserve">Instruções </w:t>
      </w:r>
      <w:r w:rsidRPr="007E77AF">
        <w:t xml:space="preserve">CVM nº </w:t>
      </w:r>
      <w:r w:rsidR="002328DB" w:rsidRPr="007E77AF">
        <w:t>400</w:t>
      </w:r>
      <w:r w:rsidRPr="007E77AF">
        <w:t xml:space="preserve">, de </w:t>
      </w:r>
      <w:r w:rsidR="007D7E57" w:rsidRPr="007E77AF">
        <w:t>29</w:t>
      </w:r>
      <w:r w:rsidRPr="007E77AF">
        <w:t xml:space="preserve"> de </w:t>
      </w:r>
      <w:r w:rsidR="007D7E57" w:rsidRPr="007E77AF">
        <w:t>dez</w:t>
      </w:r>
      <w:r w:rsidRPr="007E77AF">
        <w:t xml:space="preserve">embro de </w:t>
      </w:r>
      <w:r w:rsidR="007D7E57" w:rsidRPr="007E77AF">
        <w:t>2003</w:t>
      </w:r>
      <w:r w:rsidRPr="007E77AF">
        <w:t xml:space="preserve">, </w:t>
      </w:r>
      <w:r w:rsidR="009F22BF" w:rsidRPr="007E77AF">
        <w:t xml:space="preserve">CVM nº 471, de 8 de agosto de 2008, </w:t>
      </w:r>
      <w:r w:rsidRPr="007E77AF">
        <w:t xml:space="preserve">CVM nº </w:t>
      </w:r>
      <w:r w:rsidR="007D7E57" w:rsidRPr="007E77AF">
        <w:t>476</w:t>
      </w:r>
      <w:r w:rsidRPr="007E77AF">
        <w:t xml:space="preserve">, de </w:t>
      </w:r>
      <w:r w:rsidR="007D7E57" w:rsidRPr="007E77AF">
        <w:t>16</w:t>
      </w:r>
      <w:r w:rsidRPr="007E77AF">
        <w:t xml:space="preserve"> de </w:t>
      </w:r>
      <w:r w:rsidR="007D7E57" w:rsidRPr="007E77AF">
        <w:t>janeir</w:t>
      </w:r>
      <w:r w:rsidRPr="007E77AF">
        <w:t xml:space="preserve">o de </w:t>
      </w:r>
      <w:r w:rsidR="007D7E57" w:rsidRPr="007E77AF">
        <w:t>2009</w:t>
      </w:r>
      <w:r w:rsidR="0008462A" w:rsidRPr="007E77AF">
        <w:t xml:space="preserve">, </w:t>
      </w:r>
      <w:r w:rsidR="008047A6" w:rsidRPr="007E77AF">
        <w:t xml:space="preserve">CVM nº </w:t>
      </w:r>
      <w:r w:rsidR="00737D79" w:rsidRPr="007E77AF">
        <w:t xml:space="preserve">530, de 22 de novembro de </w:t>
      </w:r>
      <w:r w:rsidR="00273753" w:rsidRPr="007E77AF">
        <w:t>2012</w:t>
      </w:r>
      <w:r w:rsidR="00425F10" w:rsidRPr="007E77AF">
        <w:t xml:space="preserve">, </w:t>
      </w:r>
      <w:r w:rsidR="0008462A" w:rsidRPr="007E77AF">
        <w:t>e a</w:t>
      </w:r>
      <w:r w:rsidR="4E53B466" w:rsidRPr="007E77AF">
        <w:t>s</w:t>
      </w:r>
      <w:r w:rsidR="0008462A" w:rsidRPr="007E77AF">
        <w:t xml:space="preserve"> Deliberaç</w:t>
      </w:r>
      <w:r w:rsidR="2CCFCF18" w:rsidRPr="007E77AF">
        <w:t>ões</w:t>
      </w:r>
      <w:r w:rsidR="137834A4" w:rsidRPr="007E77AF">
        <w:t xml:space="preserve"> CVM</w:t>
      </w:r>
      <w:r w:rsidR="0008462A" w:rsidRPr="007E77AF">
        <w:t xml:space="preserve"> nº 476, de 25 de janeiro de 2005</w:t>
      </w:r>
      <w:r w:rsidR="738489C4" w:rsidRPr="007E77AF">
        <w:t xml:space="preserve">, </w:t>
      </w:r>
      <w:r w:rsidR="00210264" w:rsidRPr="007E77AF">
        <w:t xml:space="preserve">CVM nº 533, de 29 de janeiro de 2008, </w:t>
      </w:r>
      <w:r w:rsidR="2E7F0FE4" w:rsidRPr="007E77AF">
        <w:t xml:space="preserve">CVM </w:t>
      </w:r>
      <w:r w:rsidR="738489C4" w:rsidRPr="007E77AF">
        <w:t xml:space="preserve">nº 809, </w:t>
      </w:r>
      <w:r w:rsidR="76AE9F3D" w:rsidRPr="007E77AF">
        <w:t xml:space="preserve">de </w:t>
      </w:r>
      <w:r w:rsidR="00E26E81" w:rsidRPr="007E77AF">
        <w:t>19 de fevereiro de 2019</w:t>
      </w:r>
      <w:r w:rsidR="3B66E74D" w:rsidRPr="007E77AF">
        <w:t>, CVM nº 818, de 30 de abril de 2019</w:t>
      </w:r>
      <w:r w:rsidR="00AB2E09" w:rsidRPr="007E77AF">
        <w:t xml:space="preserve"> e CVM nº 850, de 7 de abril de 2020</w:t>
      </w:r>
      <w:r w:rsidRPr="007E77AF">
        <w:t>.</w:t>
      </w:r>
      <w:bookmarkStart w:id="13" w:name="_DV_M2"/>
      <w:bookmarkEnd w:id="13"/>
    </w:p>
    <w:p w14:paraId="57B53C06" w14:textId="7D9BE9A7" w:rsidR="00AB0F03" w:rsidRDefault="00294E22">
      <w:pPr>
        <w:pStyle w:val="Sumrio1"/>
        <w:rPr>
          <w:rFonts w:eastAsiaTheme="minorEastAsia" w:cstheme="minorBidi"/>
          <w:noProof/>
          <w:kern w:val="2"/>
          <w:sz w:val="22"/>
          <w:szCs w:val="22"/>
          <w14:ligatures w14:val="standardContextual"/>
        </w:rPr>
      </w:pPr>
      <w:r w:rsidRPr="007E77AF">
        <w:fldChar w:fldCharType="begin"/>
      </w:r>
      <w:r w:rsidRPr="007E77AF">
        <w:instrText xml:space="preserve"> TOC \o "1-3" </w:instrText>
      </w:r>
      <w:r w:rsidRPr="007E77AF">
        <w:fldChar w:fldCharType="separate"/>
      </w:r>
      <w:r w:rsidR="00AB0F03">
        <w:rPr>
          <w:noProof/>
        </w:rPr>
        <w:t xml:space="preserve">RESOLUÇÃO CVM Nº 160, DE 13 DE JULHO DE 2022 </w:t>
      </w:r>
      <w:r w:rsidR="00AB0F03" w:rsidRPr="00DE1A41">
        <w:rPr>
          <w:noProof/>
        </w:rPr>
        <w:t>COM ALTERAÇÕES INTRODUZIDAS PELAS RESOLUÇÕES CVM NºS 173/22, 180/23 E 183/23.</w:t>
      </w:r>
      <w:r w:rsidR="00AB0F03">
        <w:rPr>
          <w:noProof/>
        </w:rPr>
        <w:tab/>
      </w:r>
      <w:r w:rsidR="00AB0F03">
        <w:rPr>
          <w:noProof/>
        </w:rPr>
        <w:fldChar w:fldCharType="begin"/>
      </w:r>
      <w:r w:rsidR="00AB0F03">
        <w:rPr>
          <w:noProof/>
        </w:rPr>
        <w:instrText xml:space="preserve"> PAGEREF _Toc136502796 \h </w:instrText>
      </w:r>
      <w:r w:rsidR="00AB0F03">
        <w:rPr>
          <w:noProof/>
        </w:rPr>
      </w:r>
      <w:r w:rsidR="00AB0F03">
        <w:rPr>
          <w:noProof/>
        </w:rPr>
        <w:fldChar w:fldCharType="separate"/>
      </w:r>
      <w:r w:rsidR="00AB0F03">
        <w:rPr>
          <w:noProof/>
        </w:rPr>
        <w:t>1</w:t>
      </w:r>
      <w:r w:rsidR="00AB0F03">
        <w:rPr>
          <w:noProof/>
        </w:rPr>
        <w:fldChar w:fldCharType="end"/>
      </w:r>
    </w:p>
    <w:p w14:paraId="5ECC8739" w14:textId="3B91E39D"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I – ÂMBITO, DEFINIÇÕES E FINALIDADE</w:t>
      </w:r>
      <w:r>
        <w:rPr>
          <w:noProof/>
        </w:rPr>
        <w:tab/>
      </w:r>
      <w:r>
        <w:rPr>
          <w:noProof/>
        </w:rPr>
        <w:fldChar w:fldCharType="begin"/>
      </w:r>
      <w:r>
        <w:rPr>
          <w:noProof/>
        </w:rPr>
        <w:instrText xml:space="preserve"> PAGEREF _Toc136502797 \h </w:instrText>
      </w:r>
      <w:r>
        <w:rPr>
          <w:noProof/>
        </w:rPr>
      </w:r>
      <w:r>
        <w:rPr>
          <w:noProof/>
        </w:rPr>
        <w:fldChar w:fldCharType="separate"/>
      </w:r>
      <w:r>
        <w:rPr>
          <w:noProof/>
        </w:rPr>
        <w:t>4</w:t>
      </w:r>
      <w:r>
        <w:rPr>
          <w:noProof/>
        </w:rPr>
        <w:fldChar w:fldCharType="end"/>
      </w:r>
    </w:p>
    <w:p w14:paraId="676C75C3" w14:textId="1A03BF9D"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II – OFERTAS PÚBLICAS DE DISTRIBUIÇÃO DE VALORES MOBILIÁRIOS</w:t>
      </w:r>
      <w:r>
        <w:rPr>
          <w:noProof/>
        </w:rPr>
        <w:tab/>
      </w:r>
      <w:r>
        <w:rPr>
          <w:noProof/>
        </w:rPr>
        <w:fldChar w:fldCharType="begin"/>
      </w:r>
      <w:r>
        <w:rPr>
          <w:noProof/>
        </w:rPr>
        <w:instrText xml:space="preserve"> PAGEREF _Toc136502798 \h </w:instrText>
      </w:r>
      <w:r>
        <w:rPr>
          <w:noProof/>
        </w:rPr>
      </w:r>
      <w:r>
        <w:rPr>
          <w:noProof/>
        </w:rPr>
        <w:fldChar w:fldCharType="separate"/>
      </w:r>
      <w:r>
        <w:rPr>
          <w:noProof/>
        </w:rPr>
        <w:t>7</w:t>
      </w:r>
      <w:r>
        <w:rPr>
          <w:noProof/>
        </w:rPr>
        <w:fldChar w:fldCharType="end"/>
      </w:r>
    </w:p>
    <w:p w14:paraId="46EEB4CC" w14:textId="73179610" w:rsidR="00AB0F03" w:rsidRDefault="00AB0F03">
      <w:pPr>
        <w:pStyle w:val="Sumrio3"/>
        <w:rPr>
          <w:rFonts w:eastAsiaTheme="minorEastAsia" w:cstheme="minorBidi"/>
          <w:noProof/>
          <w:kern w:val="2"/>
          <w:sz w:val="22"/>
          <w:szCs w:val="22"/>
          <w14:ligatures w14:val="standardContextual"/>
        </w:rPr>
      </w:pPr>
      <w:r>
        <w:rPr>
          <w:noProof/>
        </w:rPr>
        <w:t>Seção I – Ofertas Públicas</w:t>
      </w:r>
      <w:r>
        <w:rPr>
          <w:noProof/>
        </w:rPr>
        <w:tab/>
      </w:r>
      <w:r>
        <w:rPr>
          <w:noProof/>
        </w:rPr>
        <w:fldChar w:fldCharType="begin"/>
      </w:r>
      <w:r>
        <w:rPr>
          <w:noProof/>
        </w:rPr>
        <w:instrText xml:space="preserve"> PAGEREF _Toc136502799 \h </w:instrText>
      </w:r>
      <w:r>
        <w:rPr>
          <w:noProof/>
        </w:rPr>
      </w:r>
      <w:r>
        <w:rPr>
          <w:noProof/>
        </w:rPr>
        <w:fldChar w:fldCharType="separate"/>
      </w:r>
      <w:r>
        <w:rPr>
          <w:noProof/>
        </w:rPr>
        <w:t>7</w:t>
      </w:r>
      <w:r>
        <w:rPr>
          <w:noProof/>
        </w:rPr>
        <w:fldChar w:fldCharType="end"/>
      </w:r>
    </w:p>
    <w:p w14:paraId="4E9AD2B8" w14:textId="7E88FA8E" w:rsidR="00AB0F03" w:rsidRDefault="00AB0F03">
      <w:pPr>
        <w:pStyle w:val="Sumrio3"/>
        <w:rPr>
          <w:rFonts w:eastAsiaTheme="minorEastAsia" w:cstheme="minorBidi"/>
          <w:noProof/>
          <w:kern w:val="2"/>
          <w:sz w:val="22"/>
          <w:szCs w:val="22"/>
          <w14:ligatures w14:val="standardContextual"/>
        </w:rPr>
      </w:pPr>
      <w:r>
        <w:rPr>
          <w:noProof/>
        </w:rPr>
        <w:t>Seção II – Ofertas não Sujeitas a esta Regulamentação</w:t>
      </w:r>
      <w:r>
        <w:rPr>
          <w:noProof/>
        </w:rPr>
        <w:tab/>
      </w:r>
      <w:r>
        <w:rPr>
          <w:noProof/>
        </w:rPr>
        <w:fldChar w:fldCharType="begin"/>
      </w:r>
      <w:r>
        <w:rPr>
          <w:noProof/>
        </w:rPr>
        <w:instrText xml:space="preserve"> PAGEREF _Toc136502800 \h </w:instrText>
      </w:r>
      <w:r>
        <w:rPr>
          <w:noProof/>
        </w:rPr>
      </w:r>
      <w:r>
        <w:rPr>
          <w:noProof/>
        </w:rPr>
        <w:fldChar w:fldCharType="separate"/>
      </w:r>
      <w:r>
        <w:rPr>
          <w:noProof/>
        </w:rPr>
        <w:t>9</w:t>
      </w:r>
      <w:r>
        <w:rPr>
          <w:noProof/>
        </w:rPr>
        <w:fldChar w:fldCharType="end"/>
      </w:r>
    </w:p>
    <w:p w14:paraId="2492CA2B" w14:textId="33FEE7FF"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III – PUBLICIDADE E DOCUMENTOS DA OFERTA</w:t>
      </w:r>
      <w:r>
        <w:rPr>
          <w:noProof/>
        </w:rPr>
        <w:tab/>
      </w:r>
      <w:r>
        <w:rPr>
          <w:noProof/>
        </w:rPr>
        <w:fldChar w:fldCharType="begin"/>
      </w:r>
      <w:r>
        <w:rPr>
          <w:noProof/>
        </w:rPr>
        <w:instrText xml:space="preserve"> PAGEREF _Toc136502801 \h </w:instrText>
      </w:r>
      <w:r>
        <w:rPr>
          <w:noProof/>
        </w:rPr>
      </w:r>
      <w:r>
        <w:rPr>
          <w:noProof/>
        </w:rPr>
        <w:fldChar w:fldCharType="separate"/>
      </w:r>
      <w:r>
        <w:rPr>
          <w:noProof/>
        </w:rPr>
        <w:t>11</w:t>
      </w:r>
      <w:r>
        <w:rPr>
          <w:noProof/>
        </w:rPr>
        <w:fldChar w:fldCharType="end"/>
      </w:r>
    </w:p>
    <w:p w14:paraId="2E62879F" w14:textId="4E2644E8" w:rsidR="00AB0F03" w:rsidRDefault="00AB0F03">
      <w:pPr>
        <w:pStyle w:val="Sumrio3"/>
        <w:rPr>
          <w:rFonts w:eastAsiaTheme="minorEastAsia" w:cstheme="minorBidi"/>
          <w:noProof/>
          <w:kern w:val="2"/>
          <w:sz w:val="22"/>
          <w:szCs w:val="22"/>
          <w14:ligatures w14:val="standardContextual"/>
        </w:rPr>
      </w:pPr>
      <w:r>
        <w:rPr>
          <w:noProof/>
        </w:rPr>
        <w:t>Seção I – Exigência de Prospecto e de Documento de Aceitação</w:t>
      </w:r>
      <w:r>
        <w:rPr>
          <w:noProof/>
        </w:rPr>
        <w:tab/>
      </w:r>
      <w:r>
        <w:rPr>
          <w:noProof/>
        </w:rPr>
        <w:fldChar w:fldCharType="begin"/>
      </w:r>
      <w:r>
        <w:rPr>
          <w:noProof/>
        </w:rPr>
        <w:instrText xml:space="preserve"> PAGEREF _Toc136502802 \h </w:instrText>
      </w:r>
      <w:r>
        <w:rPr>
          <w:noProof/>
        </w:rPr>
      </w:r>
      <w:r>
        <w:rPr>
          <w:noProof/>
        </w:rPr>
        <w:fldChar w:fldCharType="separate"/>
      </w:r>
      <w:r>
        <w:rPr>
          <w:noProof/>
        </w:rPr>
        <w:t>11</w:t>
      </w:r>
      <w:r>
        <w:rPr>
          <w:noProof/>
        </w:rPr>
        <w:fldChar w:fldCharType="end"/>
      </w:r>
    </w:p>
    <w:p w14:paraId="14F9BADA" w14:textId="1334C74F" w:rsidR="00AB0F03" w:rsidRDefault="00AB0F03">
      <w:pPr>
        <w:pStyle w:val="Sumrio3"/>
        <w:rPr>
          <w:rFonts w:eastAsiaTheme="minorEastAsia" w:cstheme="minorBidi"/>
          <w:noProof/>
          <w:kern w:val="2"/>
          <w:sz w:val="22"/>
          <w:szCs w:val="22"/>
          <w14:ligatures w14:val="standardContextual"/>
        </w:rPr>
      </w:pPr>
      <w:r>
        <w:rPr>
          <w:noProof/>
        </w:rPr>
        <w:t>Seção II – Publicidade</w:t>
      </w:r>
      <w:r>
        <w:rPr>
          <w:noProof/>
        </w:rPr>
        <w:tab/>
      </w:r>
      <w:r>
        <w:rPr>
          <w:noProof/>
        </w:rPr>
        <w:fldChar w:fldCharType="begin"/>
      </w:r>
      <w:r>
        <w:rPr>
          <w:noProof/>
        </w:rPr>
        <w:instrText xml:space="preserve"> PAGEREF _Toc136502803 \h </w:instrText>
      </w:r>
      <w:r>
        <w:rPr>
          <w:noProof/>
        </w:rPr>
      </w:r>
      <w:r>
        <w:rPr>
          <w:noProof/>
        </w:rPr>
        <w:fldChar w:fldCharType="separate"/>
      </w:r>
      <w:r>
        <w:rPr>
          <w:noProof/>
        </w:rPr>
        <w:t>12</w:t>
      </w:r>
      <w:r>
        <w:rPr>
          <w:noProof/>
        </w:rPr>
        <w:fldChar w:fldCharType="end"/>
      </w:r>
    </w:p>
    <w:p w14:paraId="4B81F9BD" w14:textId="11A022B8" w:rsidR="00AB0F03" w:rsidRDefault="00AB0F03">
      <w:pPr>
        <w:pStyle w:val="Sumrio3"/>
        <w:rPr>
          <w:rFonts w:eastAsiaTheme="minorEastAsia" w:cstheme="minorBidi"/>
          <w:noProof/>
          <w:kern w:val="2"/>
          <w:sz w:val="22"/>
          <w:szCs w:val="22"/>
          <w14:ligatures w14:val="standardContextual"/>
        </w:rPr>
      </w:pPr>
      <w:r>
        <w:rPr>
          <w:noProof/>
        </w:rPr>
        <w:t>Seção III – Prospecto</w:t>
      </w:r>
      <w:r>
        <w:rPr>
          <w:noProof/>
        </w:rPr>
        <w:tab/>
      </w:r>
      <w:r>
        <w:rPr>
          <w:noProof/>
        </w:rPr>
        <w:fldChar w:fldCharType="begin"/>
      </w:r>
      <w:r>
        <w:rPr>
          <w:noProof/>
        </w:rPr>
        <w:instrText xml:space="preserve"> PAGEREF _Toc136502804 \h </w:instrText>
      </w:r>
      <w:r>
        <w:rPr>
          <w:noProof/>
        </w:rPr>
      </w:r>
      <w:r>
        <w:rPr>
          <w:noProof/>
        </w:rPr>
        <w:fldChar w:fldCharType="separate"/>
      </w:r>
      <w:r>
        <w:rPr>
          <w:noProof/>
        </w:rPr>
        <w:t>17</w:t>
      </w:r>
      <w:r>
        <w:rPr>
          <w:noProof/>
        </w:rPr>
        <w:fldChar w:fldCharType="end"/>
      </w:r>
    </w:p>
    <w:p w14:paraId="54569882" w14:textId="4AE8E825" w:rsidR="00AB0F03" w:rsidRDefault="00AB0F03">
      <w:pPr>
        <w:pStyle w:val="Sumrio3"/>
        <w:rPr>
          <w:rFonts w:eastAsiaTheme="minorEastAsia" w:cstheme="minorBidi"/>
          <w:noProof/>
          <w:kern w:val="2"/>
          <w:sz w:val="22"/>
          <w:szCs w:val="22"/>
          <w14:ligatures w14:val="standardContextual"/>
        </w:rPr>
      </w:pPr>
      <w:r>
        <w:rPr>
          <w:noProof/>
        </w:rPr>
        <w:t>Subseção I – Disposições Gerais e Conteúdo</w:t>
      </w:r>
      <w:r>
        <w:rPr>
          <w:noProof/>
        </w:rPr>
        <w:tab/>
      </w:r>
      <w:r>
        <w:rPr>
          <w:noProof/>
        </w:rPr>
        <w:fldChar w:fldCharType="begin"/>
      </w:r>
      <w:r>
        <w:rPr>
          <w:noProof/>
        </w:rPr>
        <w:instrText xml:space="preserve"> PAGEREF _Toc136502805 \h </w:instrText>
      </w:r>
      <w:r>
        <w:rPr>
          <w:noProof/>
        </w:rPr>
      </w:r>
      <w:r>
        <w:rPr>
          <w:noProof/>
        </w:rPr>
        <w:fldChar w:fldCharType="separate"/>
      </w:r>
      <w:r>
        <w:rPr>
          <w:noProof/>
        </w:rPr>
        <w:t>17</w:t>
      </w:r>
      <w:r>
        <w:rPr>
          <w:noProof/>
        </w:rPr>
        <w:fldChar w:fldCharType="end"/>
      </w:r>
    </w:p>
    <w:p w14:paraId="19258CB2" w14:textId="601E21D0" w:rsidR="00AB0F03" w:rsidRDefault="00AB0F03">
      <w:pPr>
        <w:pStyle w:val="Sumrio3"/>
        <w:rPr>
          <w:rFonts w:eastAsiaTheme="minorEastAsia" w:cstheme="minorBidi"/>
          <w:noProof/>
          <w:kern w:val="2"/>
          <w:sz w:val="22"/>
          <w:szCs w:val="22"/>
          <w14:ligatures w14:val="standardContextual"/>
        </w:rPr>
      </w:pPr>
      <w:r>
        <w:rPr>
          <w:noProof/>
        </w:rPr>
        <w:t>Subseção II – Fatores de Risco</w:t>
      </w:r>
      <w:r>
        <w:rPr>
          <w:noProof/>
        </w:rPr>
        <w:tab/>
      </w:r>
      <w:r>
        <w:rPr>
          <w:noProof/>
        </w:rPr>
        <w:fldChar w:fldCharType="begin"/>
      </w:r>
      <w:r>
        <w:rPr>
          <w:noProof/>
        </w:rPr>
        <w:instrText xml:space="preserve"> PAGEREF _Toc136502806 \h </w:instrText>
      </w:r>
      <w:r>
        <w:rPr>
          <w:noProof/>
        </w:rPr>
      </w:r>
      <w:r>
        <w:rPr>
          <w:noProof/>
        </w:rPr>
        <w:fldChar w:fldCharType="separate"/>
      </w:r>
      <w:r>
        <w:rPr>
          <w:noProof/>
        </w:rPr>
        <w:t>19</w:t>
      </w:r>
      <w:r>
        <w:rPr>
          <w:noProof/>
        </w:rPr>
        <w:fldChar w:fldCharType="end"/>
      </w:r>
    </w:p>
    <w:p w14:paraId="5093377E" w14:textId="04BA3ACF" w:rsidR="00AB0F03" w:rsidRDefault="00AB0F03">
      <w:pPr>
        <w:pStyle w:val="Sumrio3"/>
        <w:rPr>
          <w:rFonts w:eastAsiaTheme="minorEastAsia" w:cstheme="minorBidi"/>
          <w:noProof/>
          <w:kern w:val="2"/>
          <w:sz w:val="22"/>
          <w:szCs w:val="22"/>
          <w14:ligatures w14:val="standardContextual"/>
        </w:rPr>
      </w:pPr>
      <w:r>
        <w:rPr>
          <w:noProof/>
        </w:rPr>
        <w:t>Subseção III – Prospecto Preliminar</w:t>
      </w:r>
      <w:r>
        <w:rPr>
          <w:noProof/>
        </w:rPr>
        <w:tab/>
      </w:r>
      <w:r>
        <w:rPr>
          <w:noProof/>
        </w:rPr>
        <w:fldChar w:fldCharType="begin"/>
      </w:r>
      <w:r>
        <w:rPr>
          <w:noProof/>
        </w:rPr>
        <w:instrText xml:space="preserve"> PAGEREF _Toc136502807 \h </w:instrText>
      </w:r>
      <w:r>
        <w:rPr>
          <w:noProof/>
        </w:rPr>
      </w:r>
      <w:r>
        <w:rPr>
          <w:noProof/>
        </w:rPr>
        <w:fldChar w:fldCharType="separate"/>
      </w:r>
      <w:r>
        <w:rPr>
          <w:noProof/>
        </w:rPr>
        <w:t>20</w:t>
      </w:r>
      <w:r>
        <w:rPr>
          <w:noProof/>
        </w:rPr>
        <w:fldChar w:fldCharType="end"/>
      </w:r>
    </w:p>
    <w:p w14:paraId="3AC4CAC5" w14:textId="401C827E" w:rsidR="00AB0F03" w:rsidRDefault="00AB0F03">
      <w:pPr>
        <w:pStyle w:val="Sumrio3"/>
        <w:rPr>
          <w:rFonts w:eastAsiaTheme="minorEastAsia" w:cstheme="minorBidi"/>
          <w:noProof/>
          <w:kern w:val="2"/>
          <w:sz w:val="22"/>
          <w:szCs w:val="22"/>
          <w14:ligatures w14:val="standardContextual"/>
        </w:rPr>
      </w:pPr>
      <w:r>
        <w:rPr>
          <w:noProof/>
        </w:rPr>
        <w:t>Subseção IV – Tratamento dos Casos de Informações não Contidas no Prospecto</w:t>
      </w:r>
      <w:r>
        <w:rPr>
          <w:noProof/>
        </w:rPr>
        <w:tab/>
      </w:r>
      <w:r>
        <w:rPr>
          <w:noProof/>
        </w:rPr>
        <w:fldChar w:fldCharType="begin"/>
      </w:r>
      <w:r>
        <w:rPr>
          <w:noProof/>
        </w:rPr>
        <w:instrText xml:space="preserve"> PAGEREF _Toc136502808 \h </w:instrText>
      </w:r>
      <w:r>
        <w:rPr>
          <w:noProof/>
        </w:rPr>
      </w:r>
      <w:r>
        <w:rPr>
          <w:noProof/>
        </w:rPr>
        <w:fldChar w:fldCharType="separate"/>
      </w:r>
      <w:r>
        <w:rPr>
          <w:noProof/>
        </w:rPr>
        <w:t>21</w:t>
      </w:r>
      <w:r>
        <w:rPr>
          <w:noProof/>
        </w:rPr>
        <w:fldChar w:fldCharType="end"/>
      </w:r>
    </w:p>
    <w:p w14:paraId="2AA3B3EC" w14:textId="29030855" w:rsidR="00AB0F03" w:rsidRDefault="00AB0F03">
      <w:pPr>
        <w:pStyle w:val="Sumrio3"/>
        <w:rPr>
          <w:rFonts w:eastAsiaTheme="minorEastAsia" w:cstheme="minorBidi"/>
          <w:noProof/>
          <w:kern w:val="2"/>
          <w:sz w:val="22"/>
          <w:szCs w:val="22"/>
          <w14:ligatures w14:val="standardContextual"/>
        </w:rPr>
      </w:pPr>
      <w:r>
        <w:rPr>
          <w:noProof/>
        </w:rPr>
        <w:t>Seção IV – Lâmina da Oferta</w:t>
      </w:r>
      <w:r>
        <w:rPr>
          <w:noProof/>
        </w:rPr>
        <w:tab/>
      </w:r>
      <w:r>
        <w:rPr>
          <w:noProof/>
        </w:rPr>
        <w:fldChar w:fldCharType="begin"/>
      </w:r>
      <w:r>
        <w:rPr>
          <w:noProof/>
        </w:rPr>
        <w:instrText xml:space="preserve"> PAGEREF _Toc136502809 \h </w:instrText>
      </w:r>
      <w:r>
        <w:rPr>
          <w:noProof/>
        </w:rPr>
      </w:r>
      <w:r>
        <w:rPr>
          <w:noProof/>
        </w:rPr>
        <w:fldChar w:fldCharType="separate"/>
      </w:r>
      <w:r>
        <w:rPr>
          <w:noProof/>
        </w:rPr>
        <w:t>22</w:t>
      </w:r>
      <w:r>
        <w:rPr>
          <w:noProof/>
        </w:rPr>
        <w:fldChar w:fldCharType="end"/>
      </w:r>
    </w:p>
    <w:p w14:paraId="653A1BBB" w14:textId="77A5694C" w:rsidR="00AB0F03" w:rsidRDefault="00AB0F03">
      <w:pPr>
        <w:pStyle w:val="Sumrio3"/>
        <w:rPr>
          <w:rFonts w:eastAsiaTheme="minorEastAsia" w:cstheme="minorBidi"/>
          <w:noProof/>
          <w:kern w:val="2"/>
          <w:sz w:val="22"/>
          <w:szCs w:val="22"/>
          <w14:ligatures w14:val="standardContextual"/>
        </w:rPr>
      </w:pPr>
      <w:r>
        <w:rPr>
          <w:noProof/>
        </w:rPr>
        <w:t>Seção V – Responsabilidade sobre as Informações</w:t>
      </w:r>
      <w:r>
        <w:rPr>
          <w:noProof/>
        </w:rPr>
        <w:tab/>
      </w:r>
      <w:r>
        <w:rPr>
          <w:noProof/>
        </w:rPr>
        <w:fldChar w:fldCharType="begin"/>
      </w:r>
      <w:r>
        <w:rPr>
          <w:noProof/>
        </w:rPr>
        <w:instrText xml:space="preserve"> PAGEREF _Toc136502810 \h </w:instrText>
      </w:r>
      <w:r>
        <w:rPr>
          <w:noProof/>
        </w:rPr>
      </w:r>
      <w:r>
        <w:rPr>
          <w:noProof/>
        </w:rPr>
        <w:fldChar w:fldCharType="separate"/>
      </w:r>
      <w:r>
        <w:rPr>
          <w:noProof/>
        </w:rPr>
        <w:t>23</w:t>
      </w:r>
      <w:r>
        <w:rPr>
          <w:noProof/>
        </w:rPr>
        <w:fldChar w:fldCharType="end"/>
      </w:r>
    </w:p>
    <w:p w14:paraId="0146BB37" w14:textId="6D0CD026"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IV – RITOS, PROCEDIMENTO E PRAZOS PARA OBTENÇÃO DO REGISTRO DA OFERTA</w:t>
      </w:r>
      <w:r>
        <w:rPr>
          <w:noProof/>
        </w:rPr>
        <w:tab/>
      </w:r>
      <w:r>
        <w:rPr>
          <w:noProof/>
        </w:rPr>
        <w:fldChar w:fldCharType="begin"/>
      </w:r>
      <w:r>
        <w:rPr>
          <w:noProof/>
        </w:rPr>
        <w:instrText xml:space="preserve"> PAGEREF _Toc136502811 \h </w:instrText>
      </w:r>
      <w:r>
        <w:rPr>
          <w:noProof/>
        </w:rPr>
      </w:r>
      <w:r>
        <w:rPr>
          <w:noProof/>
        </w:rPr>
        <w:fldChar w:fldCharType="separate"/>
      </w:r>
      <w:r>
        <w:rPr>
          <w:noProof/>
        </w:rPr>
        <w:t>23</w:t>
      </w:r>
      <w:r>
        <w:rPr>
          <w:noProof/>
        </w:rPr>
        <w:fldChar w:fldCharType="end"/>
      </w:r>
    </w:p>
    <w:p w14:paraId="1188DE23" w14:textId="09DDF23F" w:rsidR="00AB0F03" w:rsidRDefault="00AB0F03">
      <w:pPr>
        <w:pStyle w:val="Sumrio3"/>
        <w:rPr>
          <w:rFonts w:eastAsiaTheme="minorEastAsia" w:cstheme="minorBidi"/>
          <w:noProof/>
          <w:kern w:val="2"/>
          <w:sz w:val="22"/>
          <w:szCs w:val="22"/>
          <w14:ligatures w14:val="standardContextual"/>
        </w:rPr>
      </w:pPr>
      <w:r>
        <w:rPr>
          <w:noProof/>
        </w:rPr>
        <w:t>Seção I – Requerente, Documentos Exigidos e Condições</w:t>
      </w:r>
      <w:r>
        <w:rPr>
          <w:noProof/>
        </w:rPr>
        <w:tab/>
      </w:r>
      <w:r>
        <w:rPr>
          <w:noProof/>
        </w:rPr>
        <w:fldChar w:fldCharType="begin"/>
      </w:r>
      <w:r>
        <w:rPr>
          <w:noProof/>
        </w:rPr>
        <w:instrText xml:space="preserve"> PAGEREF _Toc136502812 \h </w:instrText>
      </w:r>
      <w:r>
        <w:rPr>
          <w:noProof/>
        </w:rPr>
      </w:r>
      <w:r>
        <w:rPr>
          <w:noProof/>
        </w:rPr>
        <w:fldChar w:fldCharType="separate"/>
      </w:r>
      <w:r>
        <w:rPr>
          <w:noProof/>
        </w:rPr>
        <w:t>23</w:t>
      </w:r>
      <w:r>
        <w:rPr>
          <w:noProof/>
        </w:rPr>
        <w:fldChar w:fldCharType="end"/>
      </w:r>
    </w:p>
    <w:p w14:paraId="4ABE9E30" w14:textId="1589E354" w:rsidR="00AB0F03" w:rsidRDefault="00AB0F03">
      <w:pPr>
        <w:pStyle w:val="Sumrio3"/>
        <w:rPr>
          <w:rFonts w:eastAsiaTheme="minorEastAsia" w:cstheme="minorBidi"/>
          <w:noProof/>
          <w:kern w:val="2"/>
          <w:sz w:val="22"/>
          <w:szCs w:val="22"/>
          <w14:ligatures w14:val="standardContextual"/>
        </w:rPr>
      </w:pPr>
      <w:r>
        <w:rPr>
          <w:noProof/>
        </w:rPr>
        <w:t>Seção II – Rito de Registro Automático de Distribuição</w:t>
      </w:r>
      <w:r>
        <w:rPr>
          <w:noProof/>
        </w:rPr>
        <w:tab/>
      </w:r>
      <w:r>
        <w:rPr>
          <w:noProof/>
        </w:rPr>
        <w:fldChar w:fldCharType="begin"/>
      </w:r>
      <w:r>
        <w:rPr>
          <w:noProof/>
        </w:rPr>
        <w:instrText xml:space="preserve"> PAGEREF _Toc136502813 \h </w:instrText>
      </w:r>
      <w:r>
        <w:rPr>
          <w:noProof/>
        </w:rPr>
      </w:r>
      <w:r>
        <w:rPr>
          <w:noProof/>
        </w:rPr>
        <w:fldChar w:fldCharType="separate"/>
      </w:r>
      <w:r>
        <w:rPr>
          <w:noProof/>
        </w:rPr>
        <w:t>24</w:t>
      </w:r>
      <w:r>
        <w:rPr>
          <w:noProof/>
        </w:rPr>
        <w:fldChar w:fldCharType="end"/>
      </w:r>
    </w:p>
    <w:p w14:paraId="0DC762A2" w14:textId="38580D74" w:rsidR="00AB0F03" w:rsidRDefault="00AB0F03">
      <w:pPr>
        <w:pStyle w:val="Sumrio3"/>
        <w:rPr>
          <w:rFonts w:eastAsiaTheme="minorEastAsia" w:cstheme="minorBidi"/>
          <w:noProof/>
          <w:kern w:val="2"/>
          <w:sz w:val="22"/>
          <w:szCs w:val="22"/>
          <w14:ligatures w14:val="standardContextual"/>
        </w:rPr>
      </w:pPr>
      <w:r>
        <w:rPr>
          <w:noProof/>
        </w:rPr>
        <w:lastRenderedPageBreak/>
        <w:t>Subseção I – Emissores e Valores Mobiliários Elegíveis</w:t>
      </w:r>
      <w:r>
        <w:rPr>
          <w:noProof/>
        </w:rPr>
        <w:tab/>
      </w:r>
      <w:r>
        <w:rPr>
          <w:noProof/>
        </w:rPr>
        <w:fldChar w:fldCharType="begin"/>
      </w:r>
      <w:r>
        <w:rPr>
          <w:noProof/>
        </w:rPr>
        <w:instrText xml:space="preserve"> PAGEREF _Toc136502814 \h </w:instrText>
      </w:r>
      <w:r>
        <w:rPr>
          <w:noProof/>
        </w:rPr>
      </w:r>
      <w:r>
        <w:rPr>
          <w:noProof/>
        </w:rPr>
        <w:fldChar w:fldCharType="separate"/>
      </w:r>
      <w:r>
        <w:rPr>
          <w:noProof/>
        </w:rPr>
        <w:t>24</w:t>
      </w:r>
      <w:r>
        <w:rPr>
          <w:noProof/>
        </w:rPr>
        <w:fldChar w:fldCharType="end"/>
      </w:r>
    </w:p>
    <w:p w14:paraId="351F8BB6" w14:textId="7C23C799" w:rsidR="00AB0F03" w:rsidRDefault="00AB0F03">
      <w:pPr>
        <w:pStyle w:val="Sumrio3"/>
        <w:rPr>
          <w:rFonts w:eastAsiaTheme="minorEastAsia" w:cstheme="minorBidi"/>
          <w:noProof/>
          <w:kern w:val="2"/>
          <w:sz w:val="22"/>
          <w:szCs w:val="22"/>
          <w14:ligatures w14:val="standardContextual"/>
        </w:rPr>
      </w:pPr>
      <w:r>
        <w:rPr>
          <w:noProof/>
        </w:rPr>
        <w:t>Subseção II – Requerimento de Registro Automático</w:t>
      </w:r>
      <w:r>
        <w:rPr>
          <w:noProof/>
        </w:rPr>
        <w:tab/>
      </w:r>
      <w:r>
        <w:rPr>
          <w:noProof/>
        </w:rPr>
        <w:fldChar w:fldCharType="begin"/>
      </w:r>
      <w:r>
        <w:rPr>
          <w:noProof/>
        </w:rPr>
        <w:instrText xml:space="preserve"> PAGEREF _Toc136502815 \h </w:instrText>
      </w:r>
      <w:r>
        <w:rPr>
          <w:noProof/>
        </w:rPr>
      </w:r>
      <w:r>
        <w:rPr>
          <w:noProof/>
        </w:rPr>
        <w:fldChar w:fldCharType="separate"/>
      </w:r>
      <w:r>
        <w:rPr>
          <w:noProof/>
        </w:rPr>
        <w:t>29</w:t>
      </w:r>
      <w:r>
        <w:rPr>
          <w:noProof/>
        </w:rPr>
        <w:fldChar w:fldCharType="end"/>
      </w:r>
    </w:p>
    <w:p w14:paraId="163F9B10" w14:textId="12A7CFA8" w:rsidR="00AB0F03" w:rsidRDefault="00AB0F03">
      <w:pPr>
        <w:pStyle w:val="Sumrio3"/>
        <w:rPr>
          <w:rFonts w:eastAsiaTheme="minorEastAsia" w:cstheme="minorBidi"/>
          <w:noProof/>
          <w:kern w:val="2"/>
          <w:sz w:val="22"/>
          <w:szCs w:val="22"/>
          <w14:ligatures w14:val="standardContextual"/>
        </w:rPr>
      </w:pPr>
      <w:r>
        <w:rPr>
          <w:noProof/>
        </w:rPr>
        <w:t>Seção III – Rito de Registro Ordinário de Distribuição</w:t>
      </w:r>
      <w:r>
        <w:rPr>
          <w:noProof/>
        </w:rPr>
        <w:tab/>
      </w:r>
      <w:r>
        <w:rPr>
          <w:noProof/>
        </w:rPr>
        <w:fldChar w:fldCharType="begin"/>
      </w:r>
      <w:r>
        <w:rPr>
          <w:noProof/>
        </w:rPr>
        <w:instrText xml:space="preserve"> PAGEREF _Toc136502816 \h </w:instrText>
      </w:r>
      <w:r>
        <w:rPr>
          <w:noProof/>
        </w:rPr>
      </w:r>
      <w:r>
        <w:rPr>
          <w:noProof/>
        </w:rPr>
        <w:fldChar w:fldCharType="separate"/>
      </w:r>
      <w:r>
        <w:rPr>
          <w:noProof/>
        </w:rPr>
        <w:t>32</w:t>
      </w:r>
      <w:r>
        <w:rPr>
          <w:noProof/>
        </w:rPr>
        <w:fldChar w:fldCharType="end"/>
      </w:r>
    </w:p>
    <w:p w14:paraId="212C7567" w14:textId="2445041C" w:rsidR="00AB0F03" w:rsidRDefault="00AB0F03">
      <w:pPr>
        <w:pStyle w:val="Sumrio3"/>
        <w:rPr>
          <w:rFonts w:eastAsiaTheme="minorEastAsia" w:cstheme="minorBidi"/>
          <w:noProof/>
          <w:kern w:val="2"/>
          <w:sz w:val="22"/>
          <w:szCs w:val="22"/>
          <w14:ligatures w14:val="standardContextual"/>
        </w:rPr>
      </w:pPr>
      <w:r>
        <w:rPr>
          <w:noProof/>
        </w:rPr>
        <w:t>Subseção I – Emissores e Valores Mobiliários</w:t>
      </w:r>
      <w:r>
        <w:rPr>
          <w:noProof/>
        </w:rPr>
        <w:tab/>
      </w:r>
      <w:r>
        <w:rPr>
          <w:noProof/>
        </w:rPr>
        <w:fldChar w:fldCharType="begin"/>
      </w:r>
      <w:r>
        <w:rPr>
          <w:noProof/>
        </w:rPr>
        <w:instrText xml:space="preserve"> PAGEREF _Toc136502817 \h </w:instrText>
      </w:r>
      <w:r>
        <w:rPr>
          <w:noProof/>
        </w:rPr>
      </w:r>
      <w:r>
        <w:rPr>
          <w:noProof/>
        </w:rPr>
        <w:fldChar w:fldCharType="separate"/>
      </w:r>
      <w:r>
        <w:rPr>
          <w:noProof/>
        </w:rPr>
        <w:t>32</w:t>
      </w:r>
      <w:r>
        <w:rPr>
          <w:noProof/>
        </w:rPr>
        <w:fldChar w:fldCharType="end"/>
      </w:r>
    </w:p>
    <w:p w14:paraId="41A0B9EC" w14:textId="475075F6" w:rsidR="00AB0F03" w:rsidRDefault="00AB0F03">
      <w:pPr>
        <w:pStyle w:val="Sumrio3"/>
        <w:rPr>
          <w:rFonts w:eastAsiaTheme="minorEastAsia" w:cstheme="minorBidi"/>
          <w:noProof/>
          <w:kern w:val="2"/>
          <w:sz w:val="22"/>
          <w:szCs w:val="22"/>
          <w14:ligatures w14:val="standardContextual"/>
        </w:rPr>
      </w:pPr>
      <w:r>
        <w:rPr>
          <w:noProof/>
        </w:rPr>
        <w:t>Subseção II – Requerimento de Registro no Rito de Registro Ordinário</w:t>
      </w:r>
      <w:r>
        <w:rPr>
          <w:noProof/>
        </w:rPr>
        <w:tab/>
      </w:r>
      <w:r>
        <w:rPr>
          <w:noProof/>
        </w:rPr>
        <w:fldChar w:fldCharType="begin"/>
      </w:r>
      <w:r>
        <w:rPr>
          <w:noProof/>
        </w:rPr>
        <w:instrText xml:space="preserve"> PAGEREF _Toc136502818 \h </w:instrText>
      </w:r>
      <w:r>
        <w:rPr>
          <w:noProof/>
        </w:rPr>
      </w:r>
      <w:r>
        <w:rPr>
          <w:noProof/>
        </w:rPr>
        <w:fldChar w:fldCharType="separate"/>
      </w:r>
      <w:r>
        <w:rPr>
          <w:noProof/>
        </w:rPr>
        <w:t>34</w:t>
      </w:r>
      <w:r>
        <w:rPr>
          <w:noProof/>
        </w:rPr>
        <w:fldChar w:fldCharType="end"/>
      </w:r>
    </w:p>
    <w:p w14:paraId="4E0973D7" w14:textId="64706942" w:rsidR="00AB0F03" w:rsidRDefault="00AB0F03">
      <w:pPr>
        <w:pStyle w:val="Sumrio3"/>
        <w:rPr>
          <w:rFonts w:eastAsiaTheme="minorEastAsia" w:cstheme="minorBidi"/>
          <w:noProof/>
          <w:kern w:val="2"/>
          <w:sz w:val="22"/>
          <w:szCs w:val="22"/>
          <w14:ligatures w14:val="standardContextual"/>
        </w:rPr>
      </w:pPr>
      <w:r>
        <w:rPr>
          <w:noProof/>
        </w:rPr>
        <w:t>Subseção III – Análise Reservada de Requerimentos de Registro</w:t>
      </w:r>
      <w:r>
        <w:rPr>
          <w:noProof/>
        </w:rPr>
        <w:tab/>
      </w:r>
      <w:r>
        <w:rPr>
          <w:noProof/>
        </w:rPr>
        <w:fldChar w:fldCharType="begin"/>
      </w:r>
      <w:r>
        <w:rPr>
          <w:noProof/>
        </w:rPr>
        <w:instrText xml:space="preserve"> PAGEREF _Toc136502819 \h </w:instrText>
      </w:r>
      <w:r>
        <w:rPr>
          <w:noProof/>
        </w:rPr>
      </w:r>
      <w:r>
        <w:rPr>
          <w:noProof/>
        </w:rPr>
        <w:fldChar w:fldCharType="separate"/>
      </w:r>
      <w:r>
        <w:rPr>
          <w:noProof/>
        </w:rPr>
        <w:t>36</w:t>
      </w:r>
      <w:r>
        <w:rPr>
          <w:noProof/>
        </w:rPr>
        <w:fldChar w:fldCharType="end"/>
      </w:r>
    </w:p>
    <w:p w14:paraId="5BADE887" w14:textId="4A508AB6" w:rsidR="00AB0F03" w:rsidRDefault="00AB0F03">
      <w:pPr>
        <w:pStyle w:val="Sumrio3"/>
        <w:rPr>
          <w:rFonts w:eastAsiaTheme="minorEastAsia" w:cstheme="minorBidi"/>
          <w:noProof/>
          <w:kern w:val="2"/>
          <w:sz w:val="22"/>
          <w:szCs w:val="22"/>
          <w14:ligatures w14:val="standardContextual"/>
        </w:rPr>
      </w:pPr>
      <w:r>
        <w:rPr>
          <w:noProof/>
        </w:rPr>
        <w:t>Subseção IV – Prazos de Análise – Rito de Registro Ordinário de Distribuição</w:t>
      </w:r>
      <w:r>
        <w:rPr>
          <w:noProof/>
        </w:rPr>
        <w:tab/>
      </w:r>
      <w:r>
        <w:rPr>
          <w:noProof/>
        </w:rPr>
        <w:fldChar w:fldCharType="begin"/>
      </w:r>
      <w:r>
        <w:rPr>
          <w:noProof/>
        </w:rPr>
        <w:instrText xml:space="preserve"> PAGEREF _Toc136502820 \h </w:instrText>
      </w:r>
      <w:r>
        <w:rPr>
          <w:noProof/>
        </w:rPr>
      </w:r>
      <w:r>
        <w:rPr>
          <w:noProof/>
        </w:rPr>
        <w:fldChar w:fldCharType="separate"/>
      </w:r>
      <w:r>
        <w:rPr>
          <w:noProof/>
        </w:rPr>
        <w:t>37</w:t>
      </w:r>
      <w:r>
        <w:rPr>
          <w:noProof/>
        </w:rPr>
        <w:fldChar w:fldCharType="end"/>
      </w:r>
    </w:p>
    <w:p w14:paraId="39BE72B0" w14:textId="0C4C57DC" w:rsidR="00AB0F03" w:rsidRDefault="00AB0F03">
      <w:pPr>
        <w:pStyle w:val="Sumrio3"/>
        <w:rPr>
          <w:rFonts w:eastAsiaTheme="minorEastAsia" w:cstheme="minorBidi"/>
          <w:noProof/>
          <w:kern w:val="2"/>
          <w:sz w:val="22"/>
          <w:szCs w:val="22"/>
          <w14:ligatures w14:val="standardContextual"/>
        </w:rPr>
      </w:pPr>
      <w:r>
        <w:rPr>
          <w:noProof/>
        </w:rPr>
        <w:t>Subseção V – Análise e Aprovação do Prospecto</w:t>
      </w:r>
      <w:r>
        <w:rPr>
          <w:noProof/>
        </w:rPr>
        <w:tab/>
      </w:r>
      <w:r>
        <w:rPr>
          <w:noProof/>
        </w:rPr>
        <w:fldChar w:fldCharType="begin"/>
      </w:r>
      <w:r>
        <w:rPr>
          <w:noProof/>
        </w:rPr>
        <w:instrText xml:space="preserve"> PAGEREF _Toc136502821 \h </w:instrText>
      </w:r>
      <w:r>
        <w:rPr>
          <w:noProof/>
        </w:rPr>
      </w:r>
      <w:r>
        <w:rPr>
          <w:noProof/>
        </w:rPr>
        <w:fldChar w:fldCharType="separate"/>
      </w:r>
      <w:r>
        <w:rPr>
          <w:noProof/>
        </w:rPr>
        <w:t>40</w:t>
      </w:r>
      <w:r>
        <w:rPr>
          <w:noProof/>
        </w:rPr>
        <w:fldChar w:fldCharType="end"/>
      </w:r>
    </w:p>
    <w:p w14:paraId="5A429623" w14:textId="4DC5370B" w:rsidR="00AB0F03" w:rsidRDefault="00AB0F03">
      <w:pPr>
        <w:pStyle w:val="Sumrio3"/>
        <w:rPr>
          <w:rFonts w:eastAsiaTheme="minorEastAsia" w:cstheme="minorBidi"/>
          <w:noProof/>
          <w:kern w:val="2"/>
          <w:sz w:val="22"/>
          <w:szCs w:val="22"/>
          <w14:ligatures w14:val="standardContextual"/>
        </w:rPr>
      </w:pPr>
      <w:r>
        <w:rPr>
          <w:noProof/>
        </w:rPr>
        <w:t>Seção IV – Dispensa de Registro e de Requisitos</w:t>
      </w:r>
      <w:r>
        <w:rPr>
          <w:noProof/>
        </w:rPr>
        <w:tab/>
      </w:r>
      <w:r>
        <w:rPr>
          <w:noProof/>
        </w:rPr>
        <w:fldChar w:fldCharType="begin"/>
      </w:r>
      <w:r>
        <w:rPr>
          <w:noProof/>
        </w:rPr>
        <w:instrText xml:space="preserve"> PAGEREF _Toc136502822 \h </w:instrText>
      </w:r>
      <w:r>
        <w:rPr>
          <w:noProof/>
        </w:rPr>
      </w:r>
      <w:r>
        <w:rPr>
          <w:noProof/>
        </w:rPr>
        <w:fldChar w:fldCharType="separate"/>
      </w:r>
      <w:r>
        <w:rPr>
          <w:noProof/>
        </w:rPr>
        <w:t>40</w:t>
      </w:r>
      <w:r>
        <w:rPr>
          <w:noProof/>
        </w:rPr>
        <w:fldChar w:fldCharType="end"/>
      </w:r>
    </w:p>
    <w:p w14:paraId="4786B281" w14:textId="3685863D" w:rsidR="00AB0F03" w:rsidRDefault="00AB0F03">
      <w:pPr>
        <w:pStyle w:val="Sumrio3"/>
        <w:rPr>
          <w:rFonts w:eastAsiaTheme="minorEastAsia" w:cstheme="minorBidi"/>
          <w:noProof/>
          <w:kern w:val="2"/>
          <w:sz w:val="22"/>
          <w:szCs w:val="22"/>
          <w14:ligatures w14:val="standardContextual"/>
        </w:rPr>
      </w:pPr>
      <w:r>
        <w:rPr>
          <w:noProof/>
        </w:rPr>
        <w:t>Seção V – Validade do Registro e Prazo de Distribuição</w:t>
      </w:r>
      <w:r>
        <w:rPr>
          <w:noProof/>
        </w:rPr>
        <w:tab/>
      </w:r>
      <w:r>
        <w:rPr>
          <w:noProof/>
        </w:rPr>
        <w:fldChar w:fldCharType="begin"/>
      </w:r>
      <w:r>
        <w:rPr>
          <w:noProof/>
        </w:rPr>
        <w:instrText xml:space="preserve"> PAGEREF _Toc136502823 \h </w:instrText>
      </w:r>
      <w:r>
        <w:rPr>
          <w:noProof/>
        </w:rPr>
      </w:r>
      <w:r>
        <w:rPr>
          <w:noProof/>
        </w:rPr>
        <w:fldChar w:fldCharType="separate"/>
      </w:r>
      <w:r>
        <w:rPr>
          <w:noProof/>
        </w:rPr>
        <w:t>42</w:t>
      </w:r>
      <w:r>
        <w:rPr>
          <w:noProof/>
        </w:rPr>
        <w:fldChar w:fldCharType="end"/>
      </w:r>
    </w:p>
    <w:p w14:paraId="157AC706" w14:textId="3053F28A"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V – CONDUÇÃO DA OFERTA</w:t>
      </w:r>
      <w:r>
        <w:rPr>
          <w:noProof/>
        </w:rPr>
        <w:tab/>
      </w:r>
      <w:r>
        <w:rPr>
          <w:noProof/>
        </w:rPr>
        <w:fldChar w:fldCharType="begin"/>
      </w:r>
      <w:r>
        <w:rPr>
          <w:noProof/>
        </w:rPr>
        <w:instrText xml:space="preserve"> PAGEREF _Toc136502824 \h </w:instrText>
      </w:r>
      <w:r>
        <w:rPr>
          <w:noProof/>
        </w:rPr>
      </w:r>
      <w:r>
        <w:rPr>
          <w:noProof/>
        </w:rPr>
        <w:fldChar w:fldCharType="separate"/>
      </w:r>
      <w:r>
        <w:rPr>
          <w:noProof/>
        </w:rPr>
        <w:t>42</w:t>
      </w:r>
      <w:r>
        <w:rPr>
          <w:noProof/>
        </w:rPr>
        <w:fldChar w:fldCharType="end"/>
      </w:r>
    </w:p>
    <w:p w14:paraId="2231E196" w14:textId="1C1A11AD" w:rsidR="00AB0F03" w:rsidRDefault="00AB0F03">
      <w:pPr>
        <w:pStyle w:val="Sumrio3"/>
        <w:rPr>
          <w:rFonts w:eastAsiaTheme="minorEastAsia" w:cstheme="minorBidi"/>
          <w:noProof/>
          <w:kern w:val="2"/>
          <w:sz w:val="22"/>
          <w:szCs w:val="22"/>
          <w14:ligatures w14:val="standardContextual"/>
        </w:rPr>
      </w:pPr>
      <w:r>
        <w:rPr>
          <w:noProof/>
        </w:rPr>
        <w:t>Seção I – Plano de Distribuição</w:t>
      </w:r>
      <w:r>
        <w:rPr>
          <w:noProof/>
        </w:rPr>
        <w:tab/>
      </w:r>
      <w:r>
        <w:rPr>
          <w:noProof/>
        </w:rPr>
        <w:fldChar w:fldCharType="begin"/>
      </w:r>
      <w:r>
        <w:rPr>
          <w:noProof/>
        </w:rPr>
        <w:instrText xml:space="preserve"> PAGEREF _Toc136502825 \h </w:instrText>
      </w:r>
      <w:r>
        <w:rPr>
          <w:noProof/>
        </w:rPr>
      </w:r>
      <w:r>
        <w:rPr>
          <w:noProof/>
        </w:rPr>
        <w:fldChar w:fldCharType="separate"/>
      </w:r>
      <w:r>
        <w:rPr>
          <w:noProof/>
        </w:rPr>
        <w:t>42</w:t>
      </w:r>
      <w:r>
        <w:rPr>
          <w:noProof/>
        </w:rPr>
        <w:fldChar w:fldCharType="end"/>
      </w:r>
    </w:p>
    <w:p w14:paraId="6EA7F801" w14:textId="6822D592" w:rsidR="00AB0F03" w:rsidRDefault="00AB0F03">
      <w:pPr>
        <w:pStyle w:val="Sumrio3"/>
        <w:rPr>
          <w:rFonts w:eastAsiaTheme="minorEastAsia" w:cstheme="minorBidi"/>
          <w:noProof/>
          <w:kern w:val="2"/>
          <w:sz w:val="22"/>
          <w:szCs w:val="22"/>
          <w14:ligatures w14:val="standardContextual"/>
        </w:rPr>
      </w:pPr>
      <w:r>
        <w:rPr>
          <w:noProof/>
        </w:rPr>
        <w:t>Seção II – Lote Adicional e Lote Suplementar</w:t>
      </w:r>
      <w:r>
        <w:rPr>
          <w:noProof/>
        </w:rPr>
        <w:tab/>
      </w:r>
      <w:r>
        <w:rPr>
          <w:noProof/>
        </w:rPr>
        <w:fldChar w:fldCharType="begin"/>
      </w:r>
      <w:r>
        <w:rPr>
          <w:noProof/>
        </w:rPr>
        <w:instrText xml:space="preserve"> PAGEREF _Toc136502826 \h </w:instrText>
      </w:r>
      <w:r>
        <w:rPr>
          <w:noProof/>
        </w:rPr>
      </w:r>
      <w:r>
        <w:rPr>
          <w:noProof/>
        </w:rPr>
        <w:fldChar w:fldCharType="separate"/>
      </w:r>
      <w:r>
        <w:rPr>
          <w:noProof/>
        </w:rPr>
        <w:t>43</w:t>
      </w:r>
      <w:r>
        <w:rPr>
          <w:noProof/>
        </w:rPr>
        <w:fldChar w:fldCharType="end"/>
      </w:r>
    </w:p>
    <w:p w14:paraId="3CE22743" w14:textId="5C661215" w:rsidR="00AB0F03" w:rsidRDefault="00AB0F03">
      <w:pPr>
        <w:pStyle w:val="Sumrio3"/>
        <w:rPr>
          <w:rFonts w:eastAsiaTheme="minorEastAsia" w:cstheme="minorBidi"/>
          <w:noProof/>
          <w:kern w:val="2"/>
          <w:sz w:val="22"/>
          <w:szCs w:val="22"/>
          <w14:ligatures w14:val="standardContextual"/>
        </w:rPr>
      </w:pPr>
      <w:r>
        <w:rPr>
          <w:noProof/>
        </w:rPr>
        <w:t>Seção III – Tratamento do Risco de Diluição</w:t>
      </w:r>
      <w:r>
        <w:rPr>
          <w:noProof/>
        </w:rPr>
        <w:tab/>
      </w:r>
      <w:r>
        <w:rPr>
          <w:noProof/>
        </w:rPr>
        <w:fldChar w:fldCharType="begin"/>
      </w:r>
      <w:r>
        <w:rPr>
          <w:noProof/>
        </w:rPr>
        <w:instrText xml:space="preserve"> PAGEREF _Toc136502827 \h </w:instrText>
      </w:r>
      <w:r>
        <w:rPr>
          <w:noProof/>
        </w:rPr>
      </w:r>
      <w:r>
        <w:rPr>
          <w:noProof/>
        </w:rPr>
        <w:fldChar w:fldCharType="separate"/>
      </w:r>
      <w:r>
        <w:rPr>
          <w:noProof/>
        </w:rPr>
        <w:t>43</w:t>
      </w:r>
      <w:r>
        <w:rPr>
          <w:noProof/>
        </w:rPr>
        <w:fldChar w:fldCharType="end"/>
      </w:r>
    </w:p>
    <w:p w14:paraId="4B091A91" w14:textId="02826DB4" w:rsidR="00AB0F03" w:rsidRDefault="00AB0F03">
      <w:pPr>
        <w:pStyle w:val="Sumrio3"/>
        <w:rPr>
          <w:rFonts w:eastAsiaTheme="minorEastAsia" w:cstheme="minorBidi"/>
          <w:noProof/>
          <w:kern w:val="2"/>
          <w:sz w:val="22"/>
          <w:szCs w:val="22"/>
          <w14:ligatures w14:val="standardContextual"/>
        </w:rPr>
      </w:pPr>
      <w:r>
        <w:rPr>
          <w:noProof/>
        </w:rPr>
        <w:t>Seção IV – Tratamento de Conflitos de Interesse</w:t>
      </w:r>
      <w:r>
        <w:rPr>
          <w:noProof/>
        </w:rPr>
        <w:tab/>
      </w:r>
      <w:r>
        <w:rPr>
          <w:noProof/>
        </w:rPr>
        <w:fldChar w:fldCharType="begin"/>
      </w:r>
      <w:r>
        <w:rPr>
          <w:noProof/>
        </w:rPr>
        <w:instrText xml:space="preserve"> PAGEREF _Toc136502828 \h </w:instrText>
      </w:r>
      <w:r>
        <w:rPr>
          <w:noProof/>
        </w:rPr>
      </w:r>
      <w:r>
        <w:rPr>
          <w:noProof/>
        </w:rPr>
        <w:fldChar w:fldCharType="separate"/>
      </w:r>
      <w:r>
        <w:rPr>
          <w:noProof/>
        </w:rPr>
        <w:t>44</w:t>
      </w:r>
      <w:r>
        <w:rPr>
          <w:noProof/>
        </w:rPr>
        <w:fldChar w:fldCharType="end"/>
      </w:r>
    </w:p>
    <w:p w14:paraId="374D15BA" w14:textId="3FC0D030" w:rsidR="00AB0F03" w:rsidRDefault="00AB0F03">
      <w:pPr>
        <w:pStyle w:val="Sumrio3"/>
        <w:rPr>
          <w:rFonts w:eastAsiaTheme="minorEastAsia" w:cstheme="minorBidi"/>
          <w:noProof/>
          <w:kern w:val="2"/>
          <w:sz w:val="22"/>
          <w:szCs w:val="22"/>
          <w14:ligatures w14:val="standardContextual"/>
        </w:rPr>
      </w:pPr>
      <w:r>
        <w:rPr>
          <w:noProof/>
        </w:rPr>
        <w:t>Seção V – Oferta a Mercado e Período de Distribuição</w:t>
      </w:r>
      <w:r>
        <w:rPr>
          <w:noProof/>
        </w:rPr>
        <w:tab/>
      </w:r>
      <w:r>
        <w:rPr>
          <w:noProof/>
        </w:rPr>
        <w:fldChar w:fldCharType="begin"/>
      </w:r>
      <w:r>
        <w:rPr>
          <w:noProof/>
        </w:rPr>
        <w:instrText xml:space="preserve"> PAGEREF _Toc136502829 \h </w:instrText>
      </w:r>
      <w:r>
        <w:rPr>
          <w:noProof/>
        </w:rPr>
      </w:r>
      <w:r>
        <w:rPr>
          <w:noProof/>
        </w:rPr>
        <w:fldChar w:fldCharType="separate"/>
      </w:r>
      <w:r>
        <w:rPr>
          <w:noProof/>
        </w:rPr>
        <w:t>47</w:t>
      </w:r>
      <w:r>
        <w:rPr>
          <w:noProof/>
        </w:rPr>
        <w:fldChar w:fldCharType="end"/>
      </w:r>
    </w:p>
    <w:p w14:paraId="23474D60" w14:textId="1A7107D1" w:rsidR="00AB0F03" w:rsidRDefault="00AB0F03">
      <w:pPr>
        <w:pStyle w:val="Sumrio3"/>
        <w:rPr>
          <w:rFonts w:eastAsiaTheme="minorEastAsia" w:cstheme="minorBidi"/>
          <w:noProof/>
          <w:kern w:val="2"/>
          <w:sz w:val="22"/>
          <w:szCs w:val="22"/>
          <w14:ligatures w14:val="standardContextual"/>
        </w:rPr>
      </w:pPr>
      <w:r>
        <w:rPr>
          <w:noProof/>
        </w:rPr>
        <w:t>Seção VI – Apresentações para Investidores</w:t>
      </w:r>
      <w:r>
        <w:rPr>
          <w:noProof/>
        </w:rPr>
        <w:tab/>
      </w:r>
      <w:r>
        <w:rPr>
          <w:noProof/>
        </w:rPr>
        <w:fldChar w:fldCharType="begin"/>
      </w:r>
      <w:r>
        <w:rPr>
          <w:noProof/>
        </w:rPr>
        <w:instrText xml:space="preserve"> PAGEREF _Toc136502830 \h </w:instrText>
      </w:r>
      <w:r>
        <w:rPr>
          <w:noProof/>
        </w:rPr>
      </w:r>
      <w:r>
        <w:rPr>
          <w:noProof/>
        </w:rPr>
        <w:fldChar w:fldCharType="separate"/>
      </w:r>
      <w:r>
        <w:rPr>
          <w:noProof/>
        </w:rPr>
        <w:t>50</w:t>
      </w:r>
      <w:r>
        <w:rPr>
          <w:noProof/>
        </w:rPr>
        <w:fldChar w:fldCharType="end"/>
      </w:r>
    </w:p>
    <w:p w14:paraId="01701653" w14:textId="6FFDCDB7" w:rsidR="00AB0F03" w:rsidRDefault="00AB0F03">
      <w:pPr>
        <w:pStyle w:val="Sumrio3"/>
        <w:rPr>
          <w:rFonts w:eastAsiaTheme="minorEastAsia" w:cstheme="minorBidi"/>
          <w:noProof/>
          <w:kern w:val="2"/>
          <w:sz w:val="22"/>
          <w:szCs w:val="22"/>
          <w14:ligatures w14:val="standardContextual"/>
        </w:rPr>
      </w:pPr>
      <w:r>
        <w:rPr>
          <w:noProof/>
        </w:rPr>
        <w:t>Seção VII – Formação de Preço</w:t>
      </w:r>
      <w:r>
        <w:rPr>
          <w:noProof/>
        </w:rPr>
        <w:tab/>
      </w:r>
      <w:r>
        <w:rPr>
          <w:noProof/>
        </w:rPr>
        <w:fldChar w:fldCharType="begin"/>
      </w:r>
      <w:r>
        <w:rPr>
          <w:noProof/>
        </w:rPr>
        <w:instrText xml:space="preserve"> PAGEREF _Toc136502831 \h </w:instrText>
      </w:r>
      <w:r>
        <w:rPr>
          <w:noProof/>
        </w:rPr>
      </w:r>
      <w:r>
        <w:rPr>
          <w:noProof/>
        </w:rPr>
        <w:fldChar w:fldCharType="separate"/>
      </w:r>
      <w:r>
        <w:rPr>
          <w:noProof/>
        </w:rPr>
        <w:t>50</w:t>
      </w:r>
      <w:r>
        <w:rPr>
          <w:noProof/>
        </w:rPr>
        <w:fldChar w:fldCharType="end"/>
      </w:r>
    </w:p>
    <w:p w14:paraId="44151557" w14:textId="407E5358" w:rsidR="00AB0F03" w:rsidRDefault="00AB0F03">
      <w:pPr>
        <w:pStyle w:val="Sumrio3"/>
        <w:rPr>
          <w:rFonts w:eastAsiaTheme="minorEastAsia" w:cstheme="minorBidi"/>
          <w:noProof/>
          <w:kern w:val="2"/>
          <w:sz w:val="22"/>
          <w:szCs w:val="22"/>
          <w14:ligatures w14:val="standardContextual"/>
        </w:rPr>
      </w:pPr>
      <w:r>
        <w:rPr>
          <w:noProof/>
        </w:rPr>
        <w:t>Seção VIII – Adequação do Perfil do Investidor e Restrições ao Investimento</w:t>
      </w:r>
      <w:r>
        <w:rPr>
          <w:noProof/>
        </w:rPr>
        <w:tab/>
      </w:r>
      <w:r>
        <w:rPr>
          <w:noProof/>
        </w:rPr>
        <w:fldChar w:fldCharType="begin"/>
      </w:r>
      <w:r>
        <w:rPr>
          <w:noProof/>
        </w:rPr>
        <w:instrText xml:space="preserve"> PAGEREF _Toc136502832 \h </w:instrText>
      </w:r>
      <w:r>
        <w:rPr>
          <w:noProof/>
        </w:rPr>
      </w:r>
      <w:r>
        <w:rPr>
          <w:noProof/>
        </w:rPr>
        <w:fldChar w:fldCharType="separate"/>
      </w:r>
      <w:r>
        <w:rPr>
          <w:noProof/>
        </w:rPr>
        <w:t>51</w:t>
      </w:r>
      <w:r>
        <w:rPr>
          <w:noProof/>
        </w:rPr>
        <w:fldChar w:fldCharType="end"/>
      </w:r>
    </w:p>
    <w:p w14:paraId="77E0845E" w14:textId="40E1E6D1" w:rsidR="00AB0F03" w:rsidRDefault="00AB0F03">
      <w:pPr>
        <w:pStyle w:val="Sumrio3"/>
        <w:rPr>
          <w:rFonts w:eastAsiaTheme="minorEastAsia" w:cstheme="minorBidi"/>
          <w:noProof/>
          <w:kern w:val="2"/>
          <w:sz w:val="22"/>
          <w:szCs w:val="22"/>
          <w14:ligatures w14:val="standardContextual"/>
        </w:rPr>
      </w:pPr>
      <w:r>
        <w:rPr>
          <w:noProof/>
        </w:rPr>
        <w:t>Seção IX – Recebimento de Reservas</w:t>
      </w:r>
      <w:r>
        <w:rPr>
          <w:noProof/>
        </w:rPr>
        <w:tab/>
      </w:r>
      <w:r>
        <w:rPr>
          <w:noProof/>
        </w:rPr>
        <w:fldChar w:fldCharType="begin"/>
      </w:r>
      <w:r>
        <w:rPr>
          <w:noProof/>
        </w:rPr>
        <w:instrText xml:space="preserve"> PAGEREF _Toc136502833 \h </w:instrText>
      </w:r>
      <w:r>
        <w:rPr>
          <w:noProof/>
        </w:rPr>
      </w:r>
      <w:r>
        <w:rPr>
          <w:noProof/>
        </w:rPr>
        <w:fldChar w:fldCharType="separate"/>
      </w:r>
      <w:r>
        <w:rPr>
          <w:noProof/>
        </w:rPr>
        <w:t>52</w:t>
      </w:r>
      <w:r>
        <w:rPr>
          <w:noProof/>
        </w:rPr>
        <w:fldChar w:fldCharType="end"/>
      </w:r>
    </w:p>
    <w:p w14:paraId="7B4306AD" w14:textId="623F94D2" w:rsidR="00AB0F03" w:rsidRDefault="00AB0F03">
      <w:pPr>
        <w:pStyle w:val="Sumrio3"/>
        <w:rPr>
          <w:rFonts w:eastAsiaTheme="minorEastAsia" w:cstheme="minorBidi"/>
          <w:noProof/>
          <w:kern w:val="2"/>
          <w:sz w:val="22"/>
          <w:szCs w:val="22"/>
          <w14:ligatures w14:val="standardContextual"/>
        </w:rPr>
      </w:pPr>
      <w:r>
        <w:rPr>
          <w:noProof/>
        </w:rPr>
        <w:t>Seção X – Alteração das Circunstâncias, Modificação ou Revogação</w:t>
      </w:r>
      <w:r>
        <w:rPr>
          <w:noProof/>
        </w:rPr>
        <w:tab/>
      </w:r>
      <w:r>
        <w:rPr>
          <w:noProof/>
        </w:rPr>
        <w:fldChar w:fldCharType="begin"/>
      </w:r>
      <w:r>
        <w:rPr>
          <w:noProof/>
        </w:rPr>
        <w:instrText xml:space="preserve"> PAGEREF _Toc136502834 \h </w:instrText>
      </w:r>
      <w:r>
        <w:rPr>
          <w:noProof/>
        </w:rPr>
      </w:r>
      <w:r>
        <w:rPr>
          <w:noProof/>
        </w:rPr>
        <w:fldChar w:fldCharType="separate"/>
      </w:r>
      <w:r>
        <w:rPr>
          <w:noProof/>
        </w:rPr>
        <w:t>53</w:t>
      </w:r>
      <w:r>
        <w:rPr>
          <w:noProof/>
        </w:rPr>
        <w:fldChar w:fldCharType="end"/>
      </w:r>
    </w:p>
    <w:p w14:paraId="556416DA" w14:textId="393B1A0E" w:rsidR="00AB0F03" w:rsidRDefault="00AB0F03">
      <w:pPr>
        <w:pStyle w:val="Sumrio3"/>
        <w:rPr>
          <w:rFonts w:eastAsiaTheme="minorEastAsia" w:cstheme="minorBidi"/>
          <w:noProof/>
          <w:kern w:val="2"/>
          <w:sz w:val="22"/>
          <w:szCs w:val="22"/>
          <w14:ligatures w14:val="standardContextual"/>
        </w:rPr>
      </w:pPr>
      <w:r>
        <w:rPr>
          <w:noProof/>
        </w:rPr>
        <w:t>Seção XI – Efeitos da Revogação e da Modificação da Oferta</w:t>
      </w:r>
      <w:r>
        <w:rPr>
          <w:noProof/>
        </w:rPr>
        <w:tab/>
      </w:r>
      <w:r>
        <w:rPr>
          <w:noProof/>
        </w:rPr>
        <w:fldChar w:fldCharType="begin"/>
      </w:r>
      <w:r>
        <w:rPr>
          <w:noProof/>
        </w:rPr>
        <w:instrText xml:space="preserve"> PAGEREF _Toc136502835 \h </w:instrText>
      </w:r>
      <w:r>
        <w:rPr>
          <w:noProof/>
        </w:rPr>
      </w:r>
      <w:r>
        <w:rPr>
          <w:noProof/>
        </w:rPr>
        <w:fldChar w:fldCharType="separate"/>
      </w:r>
      <w:r>
        <w:rPr>
          <w:noProof/>
        </w:rPr>
        <w:t>54</w:t>
      </w:r>
      <w:r>
        <w:rPr>
          <w:noProof/>
        </w:rPr>
        <w:fldChar w:fldCharType="end"/>
      </w:r>
    </w:p>
    <w:p w14:paraId="7BCD9AB5" w14:textId="1524F03B" w:rsidR="00AB0F03" w:rsidRDefault="00AB0F03">
      <w:pPr>
        <w:pStyle w:val="Sumrio3"/>
        <w:rPr>
          <w:rFonts w:eastAsiaTheme="minorEastAsia" w:cstheme="minorBidi"/>
          <w:noProof/>
          <w:kern w:val="2"/>
          <w:sz w:val="22"/>
          <w:szCs w:val="22"/>
          <w14:ligatures w14:val="standardContextual"/>
        </w:rPr>
      </w:pPr>
      <w:r>
        <w:rPr>
          <w:noProof/>
        </w:rPr>
        <w:t>Seção XII - Suspensão e Cancelamento da Oferta de Distribuição</w:t>
      </w:r>
      <w:r>
        <w:rPr>
          <w:noProof/>
        </w:rPr>
        <w:tab/>
      </w:r>
      <w:r>
        <w:rPr>
          <w:noProof/>
        </w:rPr>
        <w:fldChar w:fldCharType="begin"/>
      </w:r>
      <w:r>
        <w:rPr>
          <w:noProof/>
        </w:rPr>
        <w:instrText xml:space="preserve"> PAGEREF _Toc136502836 \h </w:instrText>
      </w:r>
      <w:r>
        <w:rPr>
          <w:noProof/>
        </w:rPr>
      </w:r>
      <w:r>
        <w:rPr>
          <w:noProof/>
        </w:rPr>
        <w:fldChar w:fldCharType="separate"/>
      </w:r>
      <w:r>
        <w:rPr>
          <w:noProof/>
        </w:rPr>
        <w:t>55</w:t>
      </w:r>
      <w:r>
        <w:rPr>
          <w:noProof/>
        </w:rPr>
        <w:fldChar w:fldCharType="end"/>
      </w:r>
    </w:p>
    <w:p w14:paraId="19B51914" w14:textId="03E66B30" w:rsidR="00AB0F03" w:rsidRDefault="00AB0F03">
      <w:pPr>
        <w:pStyle w:val="Sumrio3"/>
        <w:rPr>
          <w:rFonts w:eastAsiaTheme="minorEastAsia" w:cstheme="minorBidi"/>
          <w:noProof/>
          <w:kern w:val="2"/>
          <w:sz w:val="22"/>
          <w:szCs w:val="22"/>
          <w14:ligatures w14:val="standardContextual"/>
        </w:rPr>
      </w:pPr>
      <w:r>
        <w:rPr>
          <w:noProof/>
        </w:rPr>
        <w:t>Seção XIII – Revogação da Aceitação</w:t>
      </w:r>
      <w:r>
        <w:rPr>
          <w:noProof/>
        </w:rPr>
        <w:tab/>
      </w:r>
      <w:r>
        <w:rPr>
          <w:noProof/>
        </w:rPr>
        <w:fldChar w:fldCharType="begin"/>
      </w:r>
      <w:r>
        <w:rPr>
          <w:noProof/>
        </w:rPr>
        <w:instrText xml:space="preserve"> PAGEREF _Toc136502837 \h </w:instrText>
      </w:r>
      <w:r>
        <w:rPr>
          <w:noProof/>
        </w:rPr>
      </w:r>
      <w:r>
        <w:rPr>
          <w:noProof/>
        </w:rPr>
        <w:fldChar w:fldCharType="separate"/>
      </w:r>
      <w:r>
        <w:rPr>
          <w:noProof/>
        </w:rPr>
        <w:t>56</w:t>
      </w:r>
      <w:r>
        <w:rPr>
          <w:noProof/>
        </w:rPr>
        <w:fldChar w:fldCharType="end"/>
      </w:r>
    </w:p>
    <w:p w14:paraId="538FC98A" w14:textId="3D8AEE5C" w:rsidR="00AB0F03" w:rsidRDefault="00AB0F03">
      <w:pPr>
        <w:pStyle w:val="Sumrio3"/>
        <w:rPr>
          <w:rFonts w:eastAsiaTheme="minorEastAsia" w:cstheme="minorBidi"/>
          <w:noProof/>
          <w:kern w:val="2"/>
          <w:sz w:val="22"/>
          <w:szCs w:val="22"/>
          <w14:ligatures w14:val="standardContextual"/>
        </w:rPr>
      </w:pPr>
      <w:r>
        <w:rPr>
          <w:noProof/>
        </w:rPr>
        <w:t>Seção XIV – Distribuição Parcial</w:t>
      </w:r>
      <w:r>
        <w:rPr>
          <w:noProof/>
        </w:rPr>
        <w:tab/>
      </w:r>
      <w:r>
        <w:rPr>
          <w:noProof/>
        </w:rPr>
        <w:fldChar w:fldCharType="begin"/>
      </w:r>
      <w:r>
        <w:rPr>
          <w:noProof/>
        </w:rPr>
        <w:instrText xml:space="preserve"> PAGEREF _Toc136502838 \h </w:instrText>
      </w:r>
      <w:r>
        <w:rPr>
          <w:noProof/>
        </w:rPr>
      </w:r>
      <w:r>
        <w:rPr>
          <w:noProof/>
        </w:rPr>
        <w:fldChar w:fldCharType="separate"/>
      </w:r>
      <w:r>
        <w:rPr>
          <w:noProof/>
        </w:rPr>
        <w:t>56</w:t>
      </w:r>
      <w:r>
        <w:rPr>
          <w:noProof/>
        </w:rPr>
        <w:fldChar w:fldCharType="end"/>
      </w:r>
    </w:p>
    <w:p w14:paraId="4E339297" w14:textId="01AD2C2D" w:rsidR="00AB0F03" w:rsidRDefault="00AB0F03">
      <w:pPr>
        <w:pStyle w:val="Sumrio3"/>
        <w:rPr>
          <w:rFonts w:eastAsiaTheme="minorEastAsia" w:cstheme="minorBidi"/>
          <w:noProof/>
          <w:kern w:val="2"/>
          <w:sz w:val="22"/>
          <w:szCs w:val="22"/>
          <w14:ligatures w14:val="standardContextual"/>
        </w:rPr>
      </w:pPr>
      <w:r>
        <w:rPr>
          <w:noProof/>
        </w:rPr>
        <w:t>Seção XV – Encerramento e Resultado da Oferta</w:t>
      </w:r>
      <w:r>
        <w:rPr>
          <w:noProof/>
        </w:rPr>
        <w:tab/>
      </w:r>
      <w:r>
        <w:rPr>
          <w:noProof/>
        </w:rPr>
        <w:fldChar w:fldCharType="begin"/>
      </w:r>
      <w:r>
        <w:rPr>
          <w:noProof/>
        </w:rPr>
        <w:instrText xml:space="preserve"> PAGEREF _Toc136502839 \h </w:instrText>
      </w:r>
      <w:r>
        <w:rPr>
          <w:noProof/>
        </w:rPr>
      </w:r>
      <w:r>
        <w:rPr>
          <w:noProof/>
        </w:rPr>
        <w:fldChar w:fldCharType="separate"/>
      </w:r>
      <w:r>
        <w:rPr>
          <w:noProof/>
        </w:rPr>
        <w:t>58</w:t>
      </w:r>
      <w:r>
        <w:rPr>
          <w:noProof/>
        </w:rPr>
        <w:fldChar w:fldCharType="end"/>
      </w:r>
    </w:p>
    <w:p w14:paraId="2B8B946E" w14:textId="79F57E15"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VI – INSTITUIÇÕES INTERMEDIÁRIAS</w:t>
      </w:r>
      <w:r>
        <w:rPr>
          <w:noProof/>
        </w:rPr>
        <w:tab/>
      </w:r>
      <w:r>
        <w:rPr>
          <w:noProof/>
        </w:rPr>
        <w:fldChar w:fldCharType="begin"/>
      </w:r>
      <w:r>
        <w:rPr>
          <w:noProof/>
        </w:rPr>
        <w:instrText xml:space="preserve"> PAGEREF _Toc136502840 \h </w:instrText>
      </w:r>
      <w:r>
        <w:rPr>
          <w:noProof/>
        </w:rPr>
      </w:r>
      <w:r>
        <w:rPr>
          <w:noProof/>
        </w:rPr>
        <w:fldChar w:fldCharType="separate"/>
      </w:r>
      <w:r>
        <w:rPr>
          <w:noProof/>
        </w:rPr>
        <w:t>58</w:t>
      </w:r>
      <w:r>
        <w:rPr>
          <w:noProof/>
        </w:rPr>
        <w:fldChar w:fldCharType="end"/>
      </w:r>
    </w:p>
    <w:p w14:paraId="24CA172E" w14:textId="1A530835"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VII – RESTRIÇÕES À NEGOCIAÇÃO DOS VALORES MOBILIÁRIOS EM MERCADO REGULAMENTADO</w:t>
      </w:r>
      <w:r>
        <w:rPr>
          <w:noProof/>
        </w:rPr>
        <w:tab/>
      </w:r>
      <w:r>
        <w:rPr>
          <w:noProof/>
        </w:rPr>
        <w:fldChar w:fldCharType="begin"/>
      </w:r>
      <w:r>
        <w:rPr>
          <w:noProof/>
        </w:rPr>
        <w:instrText xml:space="preserve"> PAGEREF _Toc136502841 \h </w:instrText>
      </w:r>
      <w:r>
        <w:rPr>
          <w:noProof/>
        </w:rPr>
      </w:r>
      <w:r>
        <w:rPr>
          <w:noProof/>
        </w:rPr>
        <w:fldChar w:fldCharType="separate"/>
      </w:r>
      <w:r>
        <w:rPr>
          <w:noProof/>
        </w:rPr>
        <w:t>61</w:t>
      </w:r>
      <w:r>
        <w:rPr>
          <w:noProof/>
        </w:rPr>
        <w:fldChar w:fldCharType="end"/>
      </w:r>
    </w:p>
    <w:p w14:paraId="77E803AB" w14:textId="4D33677B"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VIII – RESPONSABILIDADE DOS ADMINISTRADORES</w:t>
      </w:r>
      <w:r>
        <w:rPr>
          <w:noProof/>
        </w:rPr>
        <w:tab/>
      </w:r>
      <w:r>
        <w:rPr>
          <w:noProof/>
        </w:rPr>
        <w:fldChar w:fldCharType="begin"/>
      </w:r>
      <w:r>
        <w:rPr>
          <w:noProof/>
        </w:rPr>
        <w:instrText xml:space="preserve"> PAGEREF _Toc136502842 \h </w:instrText>
      </w:r>
      <w:r>
        <w:rPr>
          <w:noProof/>
        </w:rPr>
      </w:r>
      <w:r>
        <w:rPr>
          <w:noProof/>
        </w:rPr>
        <w:fldChar w:fldCharType="separate"/>
      </w:r>
      <w:r>
        <w:rPr>
          <w:noProof/>
        </w:rPr>
        <w:t>66</w:t>
      </w:r>
      <w:r>
        <w:rPr>
          <w:noProof/>
        </w:rPr>
        <w:fldChar w:fldCharType="end"/>
      </w:r>
    </w:p>
    <w:p w14:paraId="1AE1ADA9" w14:textId="53CB3BD7"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IX – ANÁLISE PRÉVIA POR ENTIDADE AUTORREGULADORA</w:t>
      </w:r>
      <w:r>
        <w:rPr>
          <w:noProof/>
        </w:rPr>
        <w:tab/>
      </w:r>
      <w:r>
        <w:rPr>
          <w:noProof/>
        </w:rPr>
        <w:fldChar w:fldCharType="begin"/>
      </w:r>
      <w:r>
        <w:rPr>
          <w:noProof/>
        </w:rPr>
        <w:instrText xml:space="preserve"> PAGEREF _Toc136502843 \h </w:instrText>
      </w:r>
      <w:r>
        <w:rPr>
          <w:noProof/>
        </w:rPr>
      </w:r>
      <w:r>
        <w:rPr>
          <w:noProof/>
        </w:rPr>
        <w:fldChar w:fldCharType="separate"/>
      </w:r>
      <w:r>
        <w:rPr>
          <w:noProof/>
        </w:rPr>
        <w:t>67</w:t>
      </w:r>
      <w:r>
        <w:rPr>
          <w:noProof/>
        </w:rPr>
        <w:fldChar w:fldCharType="end"/>
      </w:r>
    </w:p>
    <w:p w14:paraId="5ECFEDA8" w14:textId="5AAB8F97"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t>CAPÍTULO X – INFRAÇÃO GRAVE</w:t>
      </w:r>
      <w:r>
        <w:rPr>
          <w:noProof/>
        </w:rPr>
        <w:tab/>
      </w:r>
      <w:r>
        <w:rPr>
          <w:noProof/>
        </w:rPr>
        <w:fldChar w:fldCharType="begin"/>
      </w:r>
      <w:r>
        <w:rPr>
          <w:noProof/>
        </w:rPr>
        <w:instrText xml:space="preserve"> PAGEREF _Toc136502844 \h </w:instrText>
      </w:r>
      <w:r>
        <w:rPr>
          <w:noProof/>
        </w:rPr>
      </w:r>
      <w:r>
        <w:rPr>
          <w:noProof/>
        </w:rPr>
        <w:fldChar w:fldCharType="separate"/>
      </w:r>
      <w:r>
        <w:rPr>
          <w:noProof/>
        </w:rPr>
        <w:t>68</w:t>
      </w:r>
      <w:r>
        <w:rPr>
          <w:noProof/>
        </w:rPr>
        <w:fldChar w:fldCharType="end"/>
      </w:r>
    </w:p>
    <w:p w14:paraId="69DD27E3" w14:textId="769DB81D" w:rsidR="00AB0F03" w:rsidRDefault="00AB0F03">
      <w:pPr>
        <w:pStyle w:val="Sumrio2"/>
        <w:tabs>
          <w:tab w:val="right" w:leader="dot" w:pos="10196"/>
        </w:tabs>
        <w:rPr>
          <w:rFonts w:eastAsiaTheme="minorEastAsia" w:cstheme="minorBidi"/>
          <w:noProof/>
          <w:kern w:val="2"/>
          <w:sz w:val="22"/>
          <w:szCs w:val="22"/>
          <w14:ligatures w14:val="standardContextual"/>
        </w:rPr>
      </w:pPr>
      <w:r>
        <w:rPr>
          <w:noProof/>
        </w:rPr>
        <w:lastRenderedPageBreak/>
        <w:t>CAPÍTULO XI - DISPOSIÇÕES FINAIS e transitórias</w:t>
      </w:r>
      <w:r>
        <w:rPr>
          <w:noProof/>
        </w:rPr>
        <w:tab/>
      </w:r>
      <w:r>
        <w:rPr>
          <w:noProof/>
        </w:rPr>
        <w:fldChar w:fldCharType="begin"/>
      </w:r>
      <w:r>
        <w:rPr>
          <w:noProof/>
        </w:rPr>
        <w:instrText xml:space="preserve"> PAGEREF _Toc136502845 \h </w:instrText>
      </w:r>
      <w:r>
        <w:rPr>
          <w:noProof/>
        </w:rPr>
      </w:r>
      <w:r>
        <w:rPr>
          <w:noProof/>
        </w:rPr>
        <w:fldChar w:fldCharType="separate"/>
      </w:r>
      <w:r>
        <w:rPr>
          <w:noProof/>
        </w:rPr>
        <w:t>68</w:t>
      </w:r>
      <w:r>
        <w:rPr>
          <w:noProof/>
        </w:rPr>
        <w:fldChar w:fldCharType="end"/>
      </w:r>
    </w:p>
    <w:p w14:paraId="645011D8" w14:textId="79AC1BDC" w:rsidR="00AB0F03" w:rsidRDefault="00AB0F03">
      <w:pPr>
        <w:pStyle w:val="Sumrio1"/>
        <w:rPr>
          <w:rFonts w:eastAsiaTheme="minorEastAsia" w:cstheme="minorBidi"/>
          <w:noProof/>
          <w:kern w:val="2"/>
          <w:sz w:val="22"/>
          <w:szCs w:val="22"/>
          <w14:ligatures w14:val="standardContextual"/>
        </w:rPr>
      </w:pPr>
      <w:r>
        <w:rPr>
          <w:noProof/>
        </w:rPr>
        <w:t>ANEXO A – PROSPECTO DE AÇÕES</w:t>
      </w:r>
      <w:r>
        <w:rPr>
          <w:noProof/>
        </w:rPr>
        <w:tab/>
      </w:r>
      <w:r>
        <w:rPr>
          <w:noProof/>
        </w:rPr>
        <w:fldChar w:fldCharType="begin"/>
      </w:r>
      <w:r>
        <w:rPr>
          <w:noProof/>
        </w:rPr>
        <w:instrText xml:space="preserve"> PAGEREF _Toc136502846 \h </w:instrText>
      </w:r>
      <w:r>
        <w:rPr>
          <w:noProof/>
        </w:rPr>
      </w:r>
      <w:r>
        <w:rPr>
          <w:noProof/>
        </w:rPr>
        <w:fldChar w:fldCharType="separate"/>
      </w:r>
      <w:r>
        <w:rPr>
          <w:noProof/>
        </w:rPr>
        <w:t>70</w:t>
      </w:r>
      <w:r>
        <w:rPr>
          <w:noProof/>
        </w:rPr>
        <w:fldChar w:fldCharType="end"/>
      </w:r>
    </w:p>
    <w:p w14:paraId="6EC97843" w14:textId="6623286C" w:rsidR="00AB0F03" w:rsidRDefault="00AB0F03">
      <w:pPr>
        <w:pStyle w:val="Sumrio1"/>
        <w:rPr>
          <w:rFonts w:eastAsiaTheme="minorEastAsia" w:cstheme="minorBidi"/>
          <w:noProof/>
          <w:kern w:val="2"/>
          <w:sz w:val="22"/>
          <w:szCs w:val="22"/>
          <w14:ligatures w14:val="standardContextual"/>
        </w:rPr>
      </w:pPr>
      <w:r>
        <w:rPr>
          <w:noProof/>
        </w:rPr>
        <w:t>ANEXO B – PROSPECTO DE DÍVIDA</w:t>
      </w:r>
      <w:r>
        <w:rPr>
          <w:noProof/>
        </w:rPr>
        <w:tab/>
      </w:r>
      <w:r>
        <w:rPr>
          <w:noProof/>
        </w:rPr>
        <w:fldChar w:fldCharType="begin"/>
      </w:r>
      <w:r>
        <w:rPr>
          <w:noProof/>
        </w:rPr>
        <w:instrText xml:space="preserve"> PAGEREF _Toc136502847 \h </w:instrText>
      </w:r>
      <w:r>
        <w:rPr>
          <w:noProof/>
        </w:rPr>
      </w:r>
      <w:r>
        <w:rPr>
          <w:noProof/>
        </w:rPr>
        <w:fldChar w:fldCharType="separate"/>
      </w:r>
      <w:r>
        <w:rPr>
          <w:noProof/>
        </w:rPr>
        <w:t>79</w:t>
      </w:r>
      <w:r>
        <w:rPr>
          <w:noProof/>
        </w:rPr>
        <w:fldChar w:fldCharType="end"/>
      </w:r>
    </w:p>
    <w:p w14:paraId="421798A7" w14:textId="0F97C894" w:rsidR="00AB0F03" w:rsidRDefault="00AB0F03">
      <w:pPr>
        <w:pStyle w:val="Sumrio1"/>
        <w:rPr>
          <w:rFonts w:eastAsiaTheme="minorEastAsia" w:cstheme="minorBidi"/>
          <w:noProof/>
          <w:kern w:val="2"/>
          <w:sz w:val="22"/>
          <w:szCs w:val="22"/>
          <w14:ligatures w14:val="standardContextual"/>
        </w:rPr>
      </w:pPr>
      <w:r>
        <w:rPr>
          <w:noProof/>
        </w:rPr>
        <w:t>ANEXO C – PROSPECTO DE FUNDOS FECHADOS</w:t>
      </w:r>
      <w:r>
        <w:rPr>
          <w:noProof/>
        </w:rPr>
        <w:tab/>
      </w:r>
      <w:r>
        <w:rPr>
          <w:noProof/>
        </w:rPr>
        <w:fldChar w:fldCharType="begin"/>
      </w:r>
      <w:r>
        <w:rPr>
          <w:noProof/>
        </w:rPr>
        <w:instrText xml:space="preserve"> PAGEREF _Toc136502848 \h </w:instrText>
      </w:r>
      <w:r>
        <w:rPr>
          <w:noProof/>
        </w:rPr>
      </w:r>
      <w:r>
        <w:rPr>
          <w:noProof/>
        </w:rPr>
        <w:fldChar w:fldCharType="separate"/>
      </w:r>
      <w:r>
        <w:rPr>
          <w:noProof/>
        </w:rPr>
        <w:t>88</w:t>
      </w:r>
      <w:r>
        <w:rPr>
          <w:noProof/>
        </w:rPr>
        <w:fldChar w:fldCharType="end"/>
      </w:r>
    </w:p>
    <w:p w14:paraId="1E481151" w14:textId="441D776B" w:rsidR="00AB0F03" w:rsidRDefault="00AB0F03">
      <w:pPr>
        <w:pStyle w:val="Sumrio1"/>
        <w:rPr>
          <w:rFonts w:eastAsiaTheme="minorEastAsia" w:cstheme="minorBidi"/>
          <w:noProof/>
          <w:kern w:val="2"/>
          <w:sz w:val="22"/>
          <w:szCs w:val="22"/>
          <w14:ligatures w14:val="standardContextual"/>
        </w:rPr>
      </w:pPr>
      <w:r>
        <w:rPr>
          <w:noProof/>
        </w:rPr>
        <w:t>ANEXO D – PROSPECTO DE FUNDOS DE INVESTIMENTO EM DIREITOS CREDITÓRIOS – FIDC</w:t>
      </w:r>
      <w:r>
        <w:rPr>
          <w:noProof/>
        </w:rPr>
        <w:tab/>
      </w:r>
      <w:r>
        <w:rPr>
          <w:noProof/>
        </w:rPr>
        <w:fldChar w:fldCharType="begin"/>
      </w:r>
      <w:r>
        <w:rPr>
          <w:noProof/>
        </w:rPr>
        <w:instrText xml:space="preserve"> PAGEREF _Toc136502849 \h </w:instrText>
      </w:r>
      <w:r>
        <w:rPr>
          <w:noProof/>
        </w:rPr>
      </w:r>
      <w:r>
        <w:rPr>
          <w:noProof/>
        </w:rPr>
        <w:fldChar w:fldCharType="separate"/>
      </w:r>
      <w:r>
        <w:rPr>
          <w:noProof/>
        </w:rPr>
        <w:t>95</w:t>
      </w:r>
      <w:r>
        <w:rPr>
          <w:noProof/>
        </w:rPr>
        <w:fldChar w:fldCharType="end"/>
      </w:r>
    </w:p>
    <w:p w14:paraId="4DCD1150" w14:textId="2E6E4808" w:rsidR="00AB0F03" w:rsidRDefault="00AB0F03">
      <w:pPr>
        <w:pStyle w:val="Sumrio1"/>
        <w:rPr>
          <w:rFonts w:eastAsiaTheme="minorEastAsia" w:cstheme="minorBidi"/>
          <w:noProof/>
          <w:kern w:val="2"/>
          <w:sz w:val="22"/>
          <w:szCs w:val="22"/>
          <w14:ligatures w14:val="standardContextual"/>
        </w:rPr>
      </w:pPr>
      <w:r>
        <w:rPr>
          <w:noProof/>
        </w:rPr>
        <w:t>ANEXO E – PROSPECTO DE SECURITIZAÇÃO – SECURITIZADORAS</w:t>
      </w:r>
      <w:r>
        <w:rPr>
          <w:noProof/>
        </w:rPr>
        <w:tab/>
      </w:r>
      <w:r>
        <w:rPr>
          <w:noProof/>
        </w:rPr>
        <w:fldChar w:fldCharType="begin"/>
      </w:r>
      <w:r>
        <w:rPr>
          <w:noProof/>
        </w:rPr>
        <w:instrText xml:space="preserve"> PAGEREF _Toc136502850 \h </w:instrText>
      </w:r>
      <w:r>
        <w:rPr>
          <w:noProof/>
        </w:rPr>
      </w:r>
      <w:r>
        <w:rPr>
          <w:noProof/>
        </w:rPr>
        <w:fldChar w:fldCharType="separate"/>
      </w:r>
      <w:r>
        <w:rPr>
          <w:noProof/>
        </w:rPr>
        <w:t>106</w:t>
      </w:r>
      <w:r>
        <w:rPr>
          <w:noProof/>
        </w:rPr>
        <w:fldChar w:fldCharType="end"/>
      </w:r>
    </w:p>
    <w:p w14:paraId="4F1E0F71" w14:textId="38F27B0A" w:rsidR="00AB0F03" w:rsidRDefault="00AB0F03">
      <w:pPr>
        <w:pStyle w:val="Sumrio1"/>
        <w:rPr>
          <w:rFonts w:eastAsiaTheme="minorEastAsia" w:cstheme="minorBidi"/>
          <w:noProof/>
          <w:kern w:val="2"/>
          <w:sz w:val="22"/>
          <w:szCs w:val="22"/>
          <w14:ligatures w14:val="standardContextual"/>
        </w:rPr>
      </w:pPr>
      <w:r>
        <w:rPr>
          <w:noProof/>
        </w:rPr>
        <w:t>ANEXO F – LÂMINA DA OFERTA DE AÇÕES</w:t>
      </w:r>
      <w:r>
        <w:rPr>
          <w:noProof/>
        </w:rPr>
        <w:tab/>
      </w:r>
      <w:r>
        <w:rPr>
          <w:noProof/>
        </w:rPr>
        <w:fldChar w:fldCharType="begin"/>
      </w:r>
      <w:r>
        <w:rPr>
          <w:noProof/>
        </w:rPr>
        <w:instrText xml:space="preserve"> PAGEREF _Toc136502851 \h </w:instrText>
      </w:r>
      <w:r>
        <w:rPr>
          <w:noProof/>
        </w:rPr>
      </w:r>
      <w:r>
        <w:rPr>
          <w:noProof/>
        </w:rPr>
        <w:fldChar w:fldCharType="separate"/>
      </w:r>
      <w:r>
        <w:rPr>
          <w:noProof/>
        </w:rPr>
        <w:t>118</w:t>
      </w:r>
      <w:r>
        <w:rPr>
          <w:noProof/>
        </w:rPr>
        <w:fldChar w:fldCharType="end"/>
      </w:r>
    </w:p>
    <w:p w14:paraId="4F4332AC" w14:textId="1F4AB9D6" w:rsidR="00AB0F03" w:rsidRDefault="00AB0F03">
      <w:pPr>
        <w:pStyle w:val="Sumrio1"/>
        <w:rPr>
          <w:rFonts w:eastAsiaTheme="minorEastAsia" w:cstheme="minorBidi"/>
          <w:noProof/>
          <w:kern w:val="2"/>
          <w:sz w:val="22"/>
          <w:szCs w:val="22"/>
          <w14:ligatures w14:val="standardContextual"/>
        </w:rPr>
      </w:pPr>
      <w:r>
        <w:rPr>
          <w:noProof/>
        </w:rPr>
        <w:t>ANEXO G – LÂMINA DA OFERTA DE DÍVIDA</w:t>
      </w:r>
      <w:r>
        <w:rPr>
          <w:noProof/>
        </w:rPr>
        <w:tab/>
      </w:r>
      <w:r>
        <w:rPr>
          <w:noProof/>
        </w:rPr>
        <w:fldChar w:fldCharType="begin"/>
      </w:r>
      <w:r>
        <w:rPr>
          <w:noProof/>
        </w:rPr>
        <w:instrText xml:space="preserve"> PAGEREF _Toc136502852 \h </w:instrText>
      </w:r>
      <w:r>
        <w:rPr>
          <w:noProof/>
        </w:rPr>
      </w:r>
      <w:r>
        <w:rPr>
          <w:noProof/>
        </w:rPr>
        <w:fldChar w:fldCharType="separate"/>
      </w:r>
      <w:r>
        <w:rPr>
          <w:noProof/>
        </w:rPr>
        <w:t>121</w:t>
      </w:r>
      <w:r>
        <w:rPr>
          <w:noProof/>
        </w:rPr>
        <w:fldChar w:fldCharType="end"/>
      </w:r>
    </w:p>
    <w:p w14:paraId="5FFBDB68" w14:textId="603152A5" w:rsidR="00AB0F03" w:rsidRDefault="00AB0F03">
      <w:pPr>
        <w:pStyle w:val="Sumrio1"/>
        <w:rPr>
          <w:rFonts w:eastAsiaTheme="minorEastAsia" w:cstheme="minorBidi"/>
          <w:noProof/>
          <w:kern w:val="2"/>
          <w:sz w:val="22"/>
          <w:szCs w:val="22"/>
          <w14:ligatures w14:val="standardContextual"/>
        </w:rPr>
      </w:pPr>
      <w:r>
        <w:rPr>
          <w:noProof/>
        </w:rPr>
        <w:t>ANEXO H – LÂMINA DA OFERTA DE FUNDOS FECHADOS</w:t>
      </w:r>
      <w:r>
        <w:rPr>
          <w:noProof/>
        </w:rPr>
        <w:tab/>
      </w:r>
      <w:r>
        <w:rPr>
          <w:noProof/>
        </w:rPr>
        <w:fldChar w:fldCharType="begin"/>
      </w:r>
      <w:r>
        <w:rPr>
          <w:noProof/>
        </w:rPr>
        <w:instrText xml:space="preserve"> PAGEREF _Toc136502853 \h </w:instrText>
      </w:r>
      <w:r>
        <w:rPr>
          <w:noProof/>
        </w:rPr>
      </w:r>
      <w:r>
        <w:rPr>
          <w:noProof/>
        </w:rPr>
        <w:fldChar w:fldCharType="separate"/>
      </w:r>
      <w:r>
        <w:rPr>
          <w:noProof/>
        </w:rPr>
        <w:t>125</w:t>
      </w:r>
      <w:r>
        <w:rPr>
          <w:noProof/>
        </w:rPr>
        <w:fldChar w:fldCharType="end"/>
      </w:r>
    </w:p>
    <w:p w14:paraId="5C1D0656" w14:textId="7566C8DA" w:rsidR="00AB0F03" w:rsidRDefault="00AB0F03">
      <w:pPr>
        <w:pStyle w:val="Sumrio1"/>
        <w:rPr>
          <w:rFonts w:eastAsiaTheme="minorEastAsia" w:cstheme="minorBidi"/>
          <w:noProof/>
          <w:kern w:val="2"/>
          <w:sz w:val="22"/>
          <w:szCs w:val="22"/>
          <w14:ligatures w14:val="standardContextual"/>
        </w:rPr>
      </w:pPr>
      <w:r>
        <w:rPr>
          <w:noProof/>
        </w:rPr>
        <w:t>ANEXO I – LÂMINA DA OFERTA DE FUNDO DE INVESTIMENTOS EM DIREITOS CREDITÓRIOS- FIDC</w:t>
      </w:r>
      <w:r>
        <w:rPr>
          <w:noProof/>
        </w:rPr>
        <w:tab/>
      </w:r>
      <w:r>
        <w:rPr>
          <w:noProof/>
        </w:rPr>
        <w:fldChar w:fldCharType="begin"/>
      </w:r>
      <w:r>
        <w:rPr>
          <w:noProof/>
        </w:rPr>
        <w:instrText xml:space="preserve"> PAGEREF _Toc136502854 \h </w:instrText>
      </w:r>
      <w:r>
        <w:rPr>
          <w:noProof/>
        </w:rPr>
      </w:r>
      <w:r>
        <w:rPr>
          <w:noProof/>
        </w:rPr>
        <w:fldChar w:fldCharType="separate"/>
      </w:r>
      <w:r>
        <w:rPr>
          <w:noProof/>
        </w:rPr>
        <w:t>128</w:t>
      </w:r>
      <w:r>
        <w:rPr>
          <w:noProof/>
        </w:rPr>
        <w:fldChar w:fldCharType="end"/>
      </w:r>
    </w:p>
    <w:p w14:paraId="6088FE1D" w14:textId="4E109A9B" w:rsidR="00AB0F03" w:rsidRDefault="00AB0F03">
      <w:pPr>
        <w:pStyle w:val="Sumrio1"/>
        <w:rPr>
          <w:rFonts w:eastAsiaTheme="minorEastAsia" w:cstheme="minorBidi"/>
          <w:noProof/>
          <w:kern w:val="2"/>
          <w:sz w:val="22"/>
          <w:szCs w:val="22"/>
          <w14:ligatures w14:val="standardContextual"/>
        </w:rPr>
      </w:pPr>
      <w:r>
        <w:rPr>
          <w:noProof/>
        </w:rPr>
        <w:t>ANEXO J – LÂMINA DA OFERTA DE SECURITIZAÇÃO - SECURITIZADORA</w:t>
      </w:r>
      <w:r>
        <w:rPr>
          <w:noProof/>
        </w:rPr>
        <w:tab/>
      </w:r>
      <w:r>
        <w:rPr>
          <w:noProof/>
        </w:rPr>
        <w:fldChar w:fldCharType="begin"/>
      </w:r>
      <w:r>
        <w:rPr>
          <w:noProof/>
        </w:rPr>
        <w:instrText xml:space="preserve"> PAGEREF _Toc136502855 \h </w:instrText>
      </w:r>
      <w:r>
        <w:rPr>
          <w:noProof/>
        </w:rPr>
      </w:r>
      <w:r>
        <w:rPr>
          <w:noProof/>
        </w:rPr>
        <w:fldChar w:fldCharType="separate"/>
      </w:r>
      <w:r>
        <w:rPr>
          <w:noProof/>
        </w:rPr>
        <w:t>132</w:t>
      </w:r>
      <w:r>
        <w:rPr>
          <w:noProof/>
        </w:rPr>
        <w:fldChar w:fldCharType="end"/>
      </w:r>
    </w:p>
    <w:p w14:paraId="02897575" w14:textId="6399FC2B" w:rsidR="00AB0F03" w:rsidRDefault="00AB0F03">
      <w:pPr>
        <w:pStyle w:val="Sumrio1"/>
        <w:rPr>
          <w:rFonts w:eastAsiaTheme="minorEastAsia" w:cstheme="minorBidi"/>
          <w:noProof/>
          <w:kern w:val="2"/>
          <w:sz w:val="22"/>
          <w:szCs w:val="22"/>
          <w14:ligatures w14:val="standardContextual"/>
        </w:rPr>
      </w:pPr>
      <w:r>
        <w:rPr>
          <w:noProof/>
        </w:rPr>
        <w:t>ANEXO K – CONTRATO DE DISTRIBUIÇÃO</w:t>
      </w:r>
      <w:r>
        <w:rPr>
          <w:noProof/>
        </w:rPr>
        <w:tab/>
      </w:r>
      <w:r>
        <w:rPr>
          <w:noProof/>
        </w:rPr>
        <w:fldChar w:fldCharType="begin"/>
      </w:r>
      <w:r>
        <w:rPr>
          <w:noProof/>
        </w:rPr>
        <w:instrText xml:space="preserve"> PAGEREF _Toc136502856 \h </w:instrText>
      </w:r>
      <w:r>
        <w:rPr>
          <w:noProof/>
        </w:rPr>
      </w:r>
      <w:r>
        <w:rPr>
          <w:noProof/>
        </w:rPr>
        <w:fldChar w:fldCharType="separate"/>
      </w:r>
      <w:r>
        <w:rPr>
          <w:noProof/>
        </w:rPr>
        <w:t>136</w:t>
      </w:r>
      <w:r>
        <w:rPr>
          <w:noProof/>
        </w:rPr>
        <w:fldChar w:fldCharType="end"/>
      </w:r>
    </w:p>
    <w:p w14:paraId="6E6BB197" w14:textId="24F4B706" w:rsidR="00AB0F03" w:rsidRDefault="00AB0F03">
      <w:pPr>
        <w:pStyle w:val="Sumrio1"/>
        <w:rPr>
          <w:rFonts w:eastAsiaTheme="minorEastAsia" w:cstheme="minorBidi"/>
          <w:noProof/>
          <w:kern w:val="2"/>
          <w:sz w:val="22"/>
          <w:szCs w:val="22"/>
          <w14:ligatures w14:val="standardContextual"/>
        </w:rPr>
      </w:pPr>
      <w:r>
        <w:rPr>
          <w:noProof/>
        </w:rPr>
        <w:t>ANEXO L – REQUERIMENTO DE DISPENSA DE REQUISITOS DA OFERTA</w:t>
      </w:r>
      <w:r>
        <w:rPr>
          <w:noProof/>
        </w:rPr>
        <w:tab/>
      </w:r>
      <w:r>
        <w:rPr>
          <w:noProof/>
        </w:rPr>
        <w:fldChar w:fldCharType="begin"/>
      </w:r>
      <w:r>
        <w:rPr>
          <w:noProof/>
        </w:rPr>
        <w:instrText xml:space="preserve"> PAGEREF _Toc136502857 \h </w:instrText>
      </w:r>
      <w:r>
        <w:rPr>
          <w:noProof/>
        </w:rPr>
      </w:r>
      <w:r>
        <w:rPr>
          <w:noProof/>
        </w:rPr>
        <w:fldChar w:fldCharType="separate"/>
      </w:r>
      <w:r>
        <w:rPr>
          <w:noProof/>
        </w:rPr>
        <w:t>137</w:t>
      </w:r>
      <w:r>
        <w:rPr>
          <w:noProof/>
        </w:rPr>
        <w:fldChar w:fldCharType="end"/>
      </w:r>
    </w:p>
    <w:p w14:paraId="3488CE84" w14:textId="1DA4BA29" w:rsidR="00AB0F03" w:rsidRDefault="00AB0F03">
      <w:pPr>
        <w:pStyle w:val="Sumrio1"/>
        <w:rPr>
          <w:rFonts w:eastAsiaTheme="minorEastAsia" w:cstheme="minorBidi"/>
          <w:noProof/>
          <w:kern w:val="2"/>
          <w:sz w:val="22"/>
          <w:szCs w:val="22"/>
          <w14:ligatures w14:val="standardContextual"/>
        </w:rPr>
      </w:pPr>
      <w:r>
        <w:rPr>
          <w:noProof/>
        </w:rPr>
        <w:t>ANEXO M – ANÚNCIO DE ENCERRAMENTO</w:t>
      </w:r>
      <w:r>
        <w:rPr>
          <w:noProof/>
        </w:rPr>
        <w:tab/>
      </w:r>
      <w:r>
        <w:rPr>
          <w:noProof/>
        </w:rPr>
        <w:fldChar w:fldCharType="begin"/>
      </w:r>
      <w:r>
        <w:rPr>
          <w:noProof/>
        </w:rPr>
        <w:instrText xml:space="preserve"> PAGEREF _Toc136502858 \h </w:instrText>
      </w:r>
      <w:r>
        <w:rPr>
          <w:noProof/>
        </w:rPr>
      </w:r>
      <w:r>
        <w:rPr>
          <w:noProof/>
        </w:rPr>
        <w:fldChar w:fldCharType="separate"/>
      </w:r>
      <w:r>
        <w:rPr>
          <w:noProof/>
        </w:rPr>
        <w:t>138</w:t>
      </w:r>
      <w:r>
        <w:rPr>
          <w:noProof/>
        </w:rPr>
        <w:fldChar w:fldCharType="end"/>
      </w:r>
    </w:p>
    <w:p w14:paraId="7F6774A4" w14:textId="4B26BA4A" w:rsidR="00AB0F03" w:rsidRDefault="00AB0F03">
      <w:pPr>
        <w:pStyle w:val="Sumrio1"/>
        <w:rPr>
          <w:rFonts w:eastAsiaTheme="minorEastAsia" w:cstheme="minorBidi"/>
          <w:noProof/>
          <w:kern w:val="2"/>
          <w:sz w:val="22"/>
          <w:szCs w:val="22"/>
          <w14:ligatures w14:val="standardContextual"/>
        </w:rPr>
      </w:pPr>
      <w:r>
        <w:rPr>
          <w:noProof/>
        </w:rPr>
        <w:t>ANEXO N – RESUMO MENSAL DE DISTRIBUIÇÃO</w:t>
      </w:r>
      <w:r>
        <w:rPr>
          <w:noProof/>
        </w:rPr>
        <w:tab/>
      </w:r>
      <w:r>
        <w:rPr>
          <w:noProof/>
        </w:rPr>
        <w:fldChar w:fldCharType="begin"/>
      </w:r>
      <w:r>
        <w:rPr>
          <w:noProof/>
        </w:rPr>
        <w:instrText xml:space="preserve"> PAGEREF _Toc136502859 \h </w:instrText>
      </w:r>
      <w:r>
        <w:rPr>
          <w:noProof/>
        </w:rPr>
      </w:r>
      <w:r>
        <w:rPr>
          <w:noProof/>
        </w:rPr>
        <w:fldChar w:fldCharType="separate"/>
      </w:r>
      <w:r>
        <w:rPr>
          <w:noProof/>
        </w:rPr>
        <w:t>139</w:t>
      </w:r>
      <w:r>
        <w:rPr>
          <w:noProof/>
        </w:rPr>
        <w:fldChar w:fldCharType="end"/>
      </w:r>
    </w:p>
    <w:p w14:paraId="347BC332" w14:textId="3EF2BDDA" w:rsidR="00294E22" w:rsidRPr="007E77AF" w:rsidRDefault="00294E22" w:rsidP="00294E22">
      <w:r w:rsidRPr="007E77AF">
        <w:fldChar w:fldCharType="end"/>
      </w:r>
    </w:p>
    <w:p w14:paraId="2EE53443" w14:textId="77777777" w:rsidR="00294E22" w:rsidRPr="007E77AF" w:rsidRDefault="00294E22" w:rsidP="00294E22"/>
    <w:p w14:paraId="0003817D" w14:textId="73DEC1F8" w:rsidR="001933EB" w:rsidRPr="007E77AF" w:rsidRDefault="001933EB" w:rsidP="00CA525C">
      <w:pPr>
        <w:spacing w:line="312" w:lineRule="auto"/>
        <w:ind w:firstLine="567"/>
        <w:jc w:val="both"/>
      </w:pPr>
      <w:r w:rsidRPr="007E77AF">
        <w:br w:type="page"/>
      </w:r>
    </w:p>
    <w:p w14:paraId="16E4C22D" w14:textId="7891BA69" w:rsidR="16623E1E" w:rsidRPr="007E77AF" w:rsidRDefault="30A1C387" w:rsidP="00D74986">
      <w:pPr>
        <w:spacing w:before="120" w:after="120" w:line="312" w:lineRule="auto"/>
        <w:ind w:firstLine="567"/>
        <w:jc w:val="both"/>
      </w:pPr>
      <w:r w:rsidRPr="007E77AF">
        <w:rPr>
          <w:rFonts w:eastAsia="Calibri" w:cstheme="minorBidi"/>
          <w:lang w:eastAsia="en-US"/>
        </w:rPr>
        <w:lastRenderedPageBreak/>
        <w:t xml:space="preserve">O </w:t>
      </w:r>
      <w:r w:rsidRPr="007E77AF">
        <w:rPr>
          <w:rFonts w:eastAsia="Calibri" w:cstheme="minorBidi"/>
          <w:b/>
          <w:bCs/>
          <w:lang w:eastAsia="en-US"/>
        </w:rPr>
        <w:t>PRESIDENTE DA COMISSÃO DE VALORES MOBILIÁRIOS - CVM</w:t>
      </w:r>
      <w:r w:rsidRPr="007E77AF">
        <w:rPr>
          <w:rFonts w:eastAsia="Calibri" w:cstheme="minorBidi"/>
          <w:lang w:eastAsia="en-US"/>
        </w:rPr>
        <w:t xml:space="preserve"> torna público que o Colegiado, em reunião realizada em </w:t>
      </w:r>
      <w:r w:rsidR="00AA317E">
        <w:rPr>
          <w:rFonts w:eastAsia="Calibri" w:cstheme="minorBidi"/>
          <w:lang w:eastAsia="en-US"/>
        </w:rPr>
        <w:t>7</w:t>
      </w:r>
      <w:r w:rsidR="009C601C" w:rsidRPr="007E77AF">
        <w:rPr>
          <w:rFonts w:eastAsia="Calibri" w:cstheme="minorBidi"/>
          <w:lang w:eastAsia="en-US"/>
        </w:rPr>
        <w:t xml:space="preserve"> de ju</w:t>
      </w:r>
      <w:r w:rsidR="00AA317E">
        <w:rPr>
          <w:rFonts w:eastAsia="Calibri" w:cstheme="minorBidi"/>
          <w:lang w:eastAsia="en-US"/>
        </w:rPr>
        <w:t>l</w:t>
      </w:r>
      <w:r w:rsidR="009C601C" w:rsidRPr="007E77AF">
        <w:rPr>
          <w:rFonts w:eastAsia="Calibri" w:cstheme="minorBidi"/>
          <w:lang w:eastAsia="en-US"/>
        </w:rPr>
        <w:t>ho de 2022</w:t>
      </w:r>
      <w:r w:rsidRPr="007E77AF">
        <w:rPr>
          <w:rFonts w:eastAsia="Calibri" w:cstheme="minorBidi"/>
          <w:lang w:eastAsia="en-US"/>
        </w:rPr>
        <w:t xml:space="preserve">, com fundamento no disposto nos </w:t>
      </w:r>
      <w:proofErr w:type="spellStart"/>
      <w:r w:rsidRPr="007E77AF">
        <w:rPr>
          <w:rFonts w:eastAsia="Calibri" w:cstheme="minorBidi"/>
          <w:lang w:eastAsia="en-US"/>
        </w:rPr>
        <w:t>arts</w:t>
      </w:r>
      <w:proofErr w:type="spellEnd"/>
      <w:r w:rsidRPr="007E77AF">
        <w:rPr>
          <w:rFonts w:eastAsia="Calibri" w:cstheme="minorBidi"/>
          <w:lang w:eastAsia="en-US"/>
        </w:rPr>
        <w:t>. 4º, inciso I, II, IV, alínea</w:t>
      </w:r>
      <w:r w:rsidR="00505B27" w:rsidRPr="007E77AF">
        <w:rPr>
          <w:rFonts w:eastAsia="Calibri" w:cstheme="minorBidi"/>
          <w:lang w:eastAsia="en-US"/>
        </w:rPr>
        <w:t>s</w:t>
      </w:r>
      <w:r w:rsidRPr="007E77AF">
        <w:rPr>
          <w:rFonts w:eastAsia="Calibri" w:cstheme="minorBidi"/>
          <w:lang w:eastAsia="en-US"/>
        </w:rPr>
        <w:t xml:space="preserve"> “a”</w:t>
      </w:r>
      <w:r w:rsidR="00505B27" w:rsidRPr="007E77AF">
        <w:rPr>
          <w:rFonts w:eastAsia="Calibri" w:cstheme="minorBidi"/>
          <w:lang w:eastAsia="en-US"/>
        </w:rPr>
        <w:t xml:space="preserve"> e “b</w:t>
      </w:r>
      <w:r w:rsidRPr="007E77AF">
        <w:rPr>
          <w:rFonts w:eastAsia="Calibri" w:cstheme="minorBidi"/>
          <w:lang w:eastAsia="en-US"/>
        </w:rPr>
        <w:t>”, VI e VII; 8º, incisos I a III; 15, inciso</w:t>
      </w:r>
      <w:r w:rsidR="00C20119" w:rsidRPr="007E77AF">
        <w:rPr>
          <w:rFonts w:eastAsia="Calibri" w:cstheme="minorBidi"/>
          <w:lang w:eastAsia="en-US"/>
        </w:rPr>
        <w:t>s</w:t>
      </w:r>
      <w:r w:rsidRPr="007E77AF">
        <w:rPr>
          <w:rFonts w:eastAsia="Calibri" w:cstheme="minorBidi"/>
          <w:lang w:eastAsia="en-US"/>
        </w:rPr>
        <w:t xml:space="preserve"> I</w:t>
      </w:r>
      <w:r w:rsidR="00C20119" w:rsidRPr="007E77AF">
        <w:rPr>
          <w:rFonts w:eastAsia="Calibri" w:cstheme="minorBidi"/>
          <w:lang w:eastAsia="en-US"/>
        </w:rPr>
        <w:t xml:space="preserve"> e II</w:t>
      </w:r>
      <w:r w:rsidRPr="007E77AF">
        <w:rPr>
          <w:rFonts w:eastAsia="Calibri" w:cstheme="minorBidi"/>
          <w:lang w:eastAsia="en-US"/>
        </w:rPr>
        <w:t xml:space="preserve">; 16, incisos I e II; 19; 20; </w:t>
      </w:r>
      <w:r w:rsidR="003559F4" w:rsidRPr="007E77AF">
        <w:rPr>
          <w:rFonts w:eastAsia="Calibri" w:cstheme="minorBidi"/>
          <w:lang w:eastAsia="en-US"/>
        </w:rPr>
        <w:t xml:space="preserve">e </w:t>
      </w:r>
      <w:r w:rsidRPr="007E77AF">
        <w:rPr>
          <w:rFonts w:eastAsia="Calibri" w:cstheme="minorBidi"/>
          <w:lang w:eastAsia="en-US"/>
        </w:rPr>
        <w:t xml:space="preserve">21 da Lei nº 6.385, de 7 de dezembro de 1976, </w:t>
      </w:r>
      <w:r w:rsidRPr="007E77AF">
        <w:rPr>
          <w:rFonts w:eastAsia="Calibri" w:cstheme="minorBidi"/>
          <w:b/>
          <w:bCs/>
          <w:lang w:eastAsia="en-US"/>
        </w:rPr>
        <w:t>APROVOU</w:t>
      </w:r>
      <w:r w:rsidRPr="007E77AF">
        <w:rPr>
          <w:rFonts w:eastAsia="Calibri" w:cstheme="minorBidi"/>
          <w:lang w:eastAsia="en-US"/>
        </w:rPr>
        <w:t xml:space="preserve"> a seguinte Resolução:</w:t>
      </w:r>
    </w:p>
    <w:p w14:paraId="2BDAA4E1" w14:textId="77777777" w:rsidR="00D74986" w:rsidRPr="007E77AF" w:rsidRDefault="003C55F7" w:rsidP="006B018B">
      <w:pPr>
        <w:pStyle w:val="Captulo"/>
      </w:pPr>
      <w:bookmarkStart w:id="14" w:name="_Toc58111886"/>
      <w:bookmarkStart w:id="15" w:name="_Toc467256263"/>
      <w:bookmarkStart w:id="16" w:name="_Toc476216305"/>
      <w:bookmarkStart w:id="17" w:name="_Toc108516026"/>
      <w:bookmarkStart w:id="18" w:name="_Toc108203057"/>
      <w:bookmarkStart w:id="19" w:name="_Toc136502797"/>
      <w:r w:rsidRPr="007E77AF">
        <w:t xml:space="preserve">CAPÍTULO I – </w:t>
      </w:r>
      <w:r w:rsidR="00D47BC2" w:rsidRPr="007E77AF">
        <w:t>ÂMBITO</w:t>
      </w:r>
      <w:r w:rsidR="00E00A37" w:rsidRPr="007E77AF">
        <w:t>, DEFINIÇÕES</w:t>
      </w:r>
      <w:r w:rsidR="00D47BC2" w:rsidRPr="007E77AF">
        <w:t xml:space="preserve"> E FINALIDADE</w:t>
      </w:r>
      <w:bookmarkEnd w:id="14"/>
      <w:bookmarkEnd w:id="15"/>
      <w:bookmarkEnd w:id="16"/>
      <w:bookmarkEnd w:id="17"/>
      <w:bookmarkEnd w:id="18"/>
      <w:bookmarkEnd w:id="19"/>
    </w:p>
    <w:p w14:paraId="4AC3FCB7" w14:textId="7EE85FBE" w:rsidR="00445BCC" w:rsidRPr="007E77AF" w:rsidRDefault="009069A1" w:rsidP="001353DC">
      <w:pPr>
        <w:spacing w:before="120" w:after="120" w:line="312" w:lineRule="auto"/>
        <w:ind w:firstLine="567"/>
        <w:jc w:val="both"/>
        <w:rPr>
          <w:bCs/>
        </w:rPr>
      </w:pPr>
      <w:r w:rsidRPr="007E77AF">
        <w:rPr>
          <w:bCs/>
        </w:rPr>
        <w:t>Art. 1</w:t>
      </w:r>
      <w:proofErr w:type="gramStart"/>
      <w:r w:rsidR="290E06E5" w:rsidRPr="007E77AF">
        <w:rPr>
          <w:rFonts w:eastAsia="Calibri" w:cstheme="minorHAnsi"/>
          <w:lang w:eastAsia="en-US"/>
        </w:rPr>
        <w:t>º  Esta</w:t>
      </w:r>
      <w:proofErr w:type="gramEnd"/>
      <w:r w:rsidR="290E06E5" w:rsidRPr="007E77AF">
        <w:rPr>
          <w:rFonts w:eastAsia="Calibri" w:cstheme="minorHAnsi"/>
          <w:lang w:eastAsia="en-US"/>
        </w:rPr>
        <w:t xml:space="preserve"> </w:t>
      </w:r>
      <w:r w:rsidR="0EC0FFCD" w:rsidRPr="007E77AF">
        <w:rPr>
          <w:rFonts w:eastAsia="Calibri" w:cstheme="minorHAnsi"/>
          <w:lang w:eastAsia="en-US"/>
        </w:rPr>
        <w:t>Resolução</w:t>
      </w:r>
      <w:r w:rsidR="290E06E5" w:rsidRPr="007E77AF">
        <w:rPr>
          <w:rFonts w:eastAsia="Calibri" w:cstheme="minorHAnsi"/>
          <w:lang w:eastAsia="en-US"/>
        </w:rPr>
        <w:t xml:space="preserve"> regula as ofertas públicas de distribuição</w:t>
      </w:r>
      <w:r w:rsidR="15015968" w:rsidRPr="007E77AF">
        <w:rPr>
          <w:rFonts w:eastAsia="Calibri" w:cstheme="minorHAnsi"/>
          <w:lang w:eastAsia="en-US"/>
        </w:rPr>
        <w:t xml:space="preserve"> </w:t>
      </w:r>
      <w:r w:rsidR="290E06E5" w:rsidRPr="007E77AF">
        <w:rPr>
          <w:rFonts w:eastAsia="Calibri" w:cstheme="minorHAnsi"/>
          <w:lang w:eastAsia="en-US"/>
        </w:rPr>
        <w:t>de valores mobiliários</w:t>
      </w:r>
      <w:r w:rsidR="53C97C75" w:rsidRPr="007E77AF">
        <w:rPr>
          <w:rFonts w:eastAsia="Calibri" w:cstheme="minorHAnsi"/>
          <w:lang w:eastAsia="en-US"/>
        </w:rPr>
        <w:t>,</w:t>
      </w:r>
      <w:r w:rsidR="290E06E5" w:rsidRPr="007E77AF">
        <w:rPr>
          <w:rFonts w:eastAsia="Calibri" w:cstheme="minorHAnsi"/>
          <w:lang w:eastAsia="en-US"/>
        </w:rPr>
        <w:t xml:space="preserve"> </w:t>
      </w:r>
      <w:r w:rsidR="413B4AFF" w:rsidRPr="007E77AF">
        <w:rPr>
          <w:rFonts w:eastAsia="Calibri" w:cstheme="minorHAnsi"/>
          <w:lang w:eastAsia="en-US"/>
        </w:rPr>
        <w:t xml:space="preserve">a negociação </w:t>
      </w:r>
      <w:r w:rsidR="3F8A49D4" w:rsidRPr="007E77AF">
        <w:rPr>
          <w:rFonts w:eastAsia="Calibri" w:cstheme="minorHAnsi"/>
          <w:lang w:eastAsia="en-US"/>
        </w:rPr>
        <w:t xml:space="preserve">dos </w:t>
      </w:r>
      <w:r w:rsidR="413B4AFF" w:rsidRPr="007E77AF">
        <w:rPr>
          <w:rFonts w:eastAsia="Calibri" w:cstheme="minorHAnsi"/>
          <w:lang w:eastAsia="en-US"/>
        </w:rPr>
        <w:t xml:space="preserve">valores mobiliários </w:t>
      </w:r>
      <w:r w:rsidR="3F8A49D4" w:rsidRPr="007E77AF">
        <w:rPr>
          <w:rFonts w:eastAsia="Calibri" w:cstheme="minorHAnsi"/>
          <w:lang w:eastAsia="en-US"/>
        </w:rPr>
        <w:t xml:space="preserve">ofertados </w:t>
      </w:r>
      <w:r w:rsidR="413B4AFF" w:rsidRPr="007E77AF">
        <w:rPr>
          <w:rFonts w:eastAsia="Calibri" w:cstheme="minorHAnsi"/>
          <w:lang w:eastAsia="en-US"/>
        </w:rPr>
        <w:t xml:space="preserve">nos mercados regulamentados </w:t>
      </w:r>
      <w:r w:rsidR="290E06E5" w:rsidRPr="007E77AF">
        <w:rPr>
          <w:rFonts w:eastAsia="Calibri" w:cstheme="minorHAnsi"/>
          <w:lang w:eastAsia="en-US"/>
        </w:rPr>
        <w:t xml:space="preserve">e tem por fim assegurar a proteção dos interesses do público investidor </w:t>
      </w:r>
      <w:r w:rsidR="7129E1CC" w:rsidRPr="007E77AF">
        <w:rPr>
          <w:rFonts w:eastAsia="Calibri" w:cstheme="minorHAnsi"/>
          <w:lang w:eastAsia="en-US"/>
        </w:rPr>
        <w:t xml:space="preserve">em geral </w:t>
      </w:r>
      <w:r w:rsidR="290E06E5" w:rsidRPr="007E77AF">
        <w:rPr>
          <w:rFonts w:eastAsia="Calibri" w:cstheme="minorHAnsi"/>
          <w:lang w:eastAsia="en-US"/>
        </w:rPr>
        <w:t xml:space="preserve">e </w:t>
      </w:r>
      <w:r w:rsidR="1C0EC374" w:rsidRPr="007E77AF">
        <w:rPr>
          <w:rFonts w:eastAsia="Calibri" w:cstheme="minorHAnsi"/>
          <w:lang w:eastAsia="en-US"/>
        </w:rPr>
        <w:t xml:space="preserve">promover </w:t>
      </w:r>
      <w:r w:rsidR="3EBB11F1" w:rsidRPr="007E77AF">
        <w:rPr>
          <w:rFonts w:eastAsia="Calibri" w:cstheme="minorHAnsi"/>
          <w:lang w:eastAsia="en-US"/>
        </w:rPr>
        <w:t>a eficiência</w:t>
      </w:r>
      <w:r w:rsidR="1C0EC374" w:rsidRPr="007E77AF">
        <w:rPr>
          <w:rFonts w:eastAsia="Calibri" w:cstheme="minorHAnsi"/>
          <w:lang w:eastAsia="en-US"/>
        </w:rPr>
        <w:t xml:space="preserve"> </w:t>
      </w:r>
      <w:r w:rsidR="7CB150DC" w:rsidRPr="007E77AF">
        <w:rPr>
          <w:rFonts w:eastAsia="Calibri" w:cstheme="minorHAnsi"/>
          <w:lang w:eastAsia="en-US"/>
        </w:rPr>
        <w:t xml:space="preserve">e </w:t>
      </w:r>
      <w:r w:rsidR="1E98D0F6" w:rsidRPr="007E77AF">
        <w:rPr>
          <w:rFonts w:eastAsia="Calibri" w:cstheme="minorHAnsi"/>
          <w:lang w:eastAsia="en-US"/>
        </w:rPr>
        <w:t xml:space="preserve">o </w:t>
      </w:r>
      <w:r w:rsidR="7CB150DC" w:rsidRPr="007E77AF">
        <w:rPr>
          <w:rFonts w:eastAsia="Calibri" w:cstheme="minorHAnsi"/>
          <w:lang w:eastAsia="en-US"/>
        </w:rPr>
        <w:t xml:space="preserve">desenvolvimento </w:t>
      </w:r>
      <w:r w:rsidR="290E06E5" w:rsidRPr="007E77AF">
        <w:rPr>
          <w:rFonts w:eastAsia="Calibri" w:cstheme="minorHAnsi"/>
          <w:lang w:eastAsia="en-US"/>
        </w:rPr>
        <w:t xml:space="preserve">do mercado </w:t>
      </w:r>
      <w:r w:rsidR="3EBB11F1" w:rsidRPr="007E77AF">
        <w:rPr>
          <w:rFonts w:eastAsia="Calibri" w:cstheme="minorHAnsi"/>
          <w:lang w:eastAsia="en-US"/>
        </w:rPr>
        <w:t xml:space="preserve">de </w:t>
      </w:r>
      <w:r w:rsidR="6A5D465C" w:rsidRPr="007E77AF">
        <w:rPr>
          <w:rFonts w:eastAsia="Calibri" w:cstheme="minorHAnsi"/>
          <w:lang w:eastAsia="en-US"/>
        </w:rPr>
        <w:t>valores mobiliários</w:t>
      </w:r>
      <w:r w:rsidR="00D47BC2" w:rsidRPr="007E77AF">
        <w:rPr>
          <w:rFonts w:eastAsia="Calibri" w:cstheme="minorHAnsi"/>
          <w:lang w:eastAsia="en-US"/>
        </w:rPr>
        <w:t>.</w:t>
      </w:r>
    </w:p>
    <w:p w14:paraId="6307712F" w14:textId="29BAB4C2" w:rsidR="00D74986" w:rsidRPr="007E77AF" w:rsidRDefault="5445B245" w:rsidP="00D74986">
      <w:pPr>
        <w:spacing w:before="120" w:after="120" w:line="312" w:lineRule="auto"/>
        <w:ind w:firstLine="567"/>
        <w:jc w:val="both"/>
      </w:pPr>
      <w:r w:rsidRPr="007E77AF">
        <w:t xml:space="preserve">Parágrafo único.  </w:t>
      </w:r>
      <w:r w:rsidR="00814BC8" w:rsidRPr="007E77AF">
        <w:t>O d</w:t>
      </w:r>
      <w:r w:rsidR="00790C7E" w:rsidRPr="007E77AF">
        <w:t>isposto nesta</w:t>
      </w:r>
      <w:r w:rsidRPr="007E77AF">
        <w:t xml:space="preserve"> </w:t>
      </w:r>
      <w:r w:rsidR="002109AE" w:rsidRPr="007E77AF">
        <w:t>Resolução</w:t>
      </w:r>
      <w:r w:rsidR="001D1A49" w:rsidRPr="007E77AF">
        <w:t xml:space="preserve"> </w:t>
      </w:r>
      <w:r w:rsidR="00B06AEB" w:rsidRPr="007E77AF">
        <w:t xml:space="preserve">se </w:t>
      </w:r>
      <w:r w:rsidRPr="007E77AF">
        <w:t>aplica a</w:t>
      </w:r>
      <w:r w:rsidR="001F78A2" w:rsidRPr="007E77AF">
        <w:t xml:space="preserve"> toda e qualquer </w:t>
      </w:r>
      <w:r w:rsidR="00771356" w:rsidRPr="007E77AF">
        <w:t xml:space="preserve">oferta </w:t>
      </w:r>
      <w:r w:rsidR="001F78A2" w:rsidRPr="007E77AF">
        <w:t>pública</w:t>
      </w:r>
      <w:r w:rsidR="00771356" w:rsidRPr="007E77AF">
        <w:t xml:space="preserve"> de distribuição</w:t>
      </w:r>
      <w:r w:rsidR="00E10E70" w:rsidRPr="007E77AF">
        <w:t xml:space="preserve"> </w:t>
      </w:r>
      <w:r w:rsidRPr="007E77AF">
        <w:t>de valores mobiliários</w:t>
      </w:r>
      <w:r w:rsidR="00134A3C" w:rsidRPr="007E77AF">
        <w:t xml:space="preserve"> e</w:t>
      </w:r>
      <w:r w:rsidR="006C202D" w:rsidRPr="007E77AF">
        <w:t xml:space="preserve"> </w:t>
      </w:r>
      <w:r w:rsidR="00100AC9" w:rsidRPr="007E77AF">
        <w:t>de</w:t>
      </w:r>
      <w:r w:rsidR="00134A3C" w:rsidRPr="007E77AF">
        <w:t xml:space="preserve"> títulos e instrumentos financeiros cuja</w:t>
      </w:r>
      <w:r w:rsidR="00AB1E08" w:rsidRPr="007E77AF">
        <w:t xml:space="preserve"> regulamentação da</w:t>
      </w:r>
      <w:r w:rsidR="00134A3C" w:rsidRPr="007E77AF">
        <w:t xml:space="preserve"> distribuição pública seja atribuída por</w:t>
      </w:r>
      <w:r w:rsidR="008D627F">
        <w:t xml:space="preserve"> </w:t>
      </w:r>
      <w:r w:rsidR="00134A3C" w:rsidRPr="007E77AF">
        <w:t>lei à CVM</w:t>
      </w:r>
      <w:r w:rsidR="004B254D" w:rsidRPr="007E77AF">
        <w:t>, exceto:</w:t>
      </w:r>
    </w:p>
    <w:p w14:paraId="5F4848CF" w14:textId="38B8F03A" w:rsidR="0018481C" w:rsidRPr="007E77AF" w:rsidRDefault="27692B69" w:rsidP="00D74986">
      <w:pPr>
        <w:spacing w:before="120" w:after="120" w:line="312" w:lineRule="auto"/>
        <w:ind w:firstLine="567"/>
        <w:jc w:val="both"/>
      </w:pPr>
      <w:r>
        <w:t>I</w:t>
      </w:r>
      <w:r w:rsidR="45677977">
        <w:t xml:space="preserve"> </w:t>
      </w:r>
      <w:r>
        <w:t xml:space="preserve">– </w:t>
      </w:r>
      <w:proofErr w:type="gramStart"/>
      <w:r w:rsidR="263D761B">
        <w:t>quando</w:t>
      </w:r>
      <w:proofErr w:type="gramEnd"/>
      <w:r w:rsidR="263D761B">
        <w:t xml:space="preserve"> </w:t>
      </w:r>
      <w:r w:rsidR="45677977">
        <w:t>a oferta d</w:t>
      </w:r>
      <w:r w:rsidR="79FFC72A">
        <w:t>os valores mobiliários e dos referidos t</w:t>
      </w:r>
      <w:r w:rsidR="263D761B">
        <w:t xml:space="preserve">ítulos e instrumentos financeiros forem expressamente tratados em </w:t>
      </w:r>
      <w:r w:rsidR="392073C7">
        <w:t>regulamentação específica diversa</w:t>
      </w:r>
      <w:r w:rsidR="5DC55040">
        <w:t>;</w:t>
      </w:r>
      <w:r w:rsidR="25AEA587">
        <w:t xml:space="preserve"> e</w:t>
      </w:r>
    </w:p>
    <w:p w14:paraId="5999AB42" w14:textId="09A93A92" w:rsidR="009F4E4A" w:rsidRPr="007E77AF" w:rsidRDefault="004B254D" w:rsidP="00D74986">
      <w:pPr>
        <w:spacing w:before="120" w:after="120" w:line="312" w:lineRule="auto"/>
        <w:ind w:firstLine="567"/>
        <w:jc w:val="both"/>
      </w:pPr>
      <w:r w:rsidRPr="007E77AF">
        <w:t xml:space="preserve">II </w:t>
      </w:r>
      <w:r w:rsidR="00CC6BC3" w:rsidRPr="007E77AF">
        <w:t>–</w:t>
      </w:r>
      <w:r w:rsidRPr="007E77AF">
        <w:t xml:space="preserve"> </w:t>
      </w:r>
      <w:proofErr w:type="gramStart"/>
      <w:r w:rsidR="007104B9" w:rsidRPr="007E77AF">
        <w:t>nas</w:t>
      </w:r>
      <w:proofErr w:type="gramEnd"/>
      <w:r w:rsidR="00CC6BC3" w:rsidRPr="007E77AF">
        <w:t xml:space="preserve"> </w:t>
      </w:r>
      <w:r w:rsidR="007104B9" w:rsidRPr="007E77AF">
        <w:t xml:space="preserve">hipóteses previstas no art. </w:t>
      </w:r>
      <w:r w:rsidR="0086760A" w:rsidRPr="007E77AF">
        <w:t>8</w:t>
      </w:r>
      <w:r w:rsidR="007104B9" w:rsidRPr="007E77AF">
        <w:t>º.</w:t>
      </w:r>
    </w:p>
    <w:p w14:paraId="0F4BEB75" w14:textId="4916632F" w:rsidR="00D74986" w:rsidRPr="007E77AF" w:rsidRDefault="009069A1" w:rsidP="001353DC">
      <w:pPr>
        <w:spacing w:before="120" w:after="120" w:line="312" w:lineRule="auto"/>
        <w:ind w:firstLine="567"/>
        <w:jc w:val="both"/>
        <w:rPr>
          <w:lang w:eastAsia="en-US"/>
        </w:rPr>
      </w:pPr>
      <w:bookmarkStart w:id="20" w:name="_Ref460491428"/>
      <w:r w:rsidRPr="007E77AF">
        <w:rPr>
          <w:lang w:eastAsia="en-US"/>
        </w:rPr>
        <w:t>Art. 2</w:t>
      </w:r>
      <w:proofErr w:type="gramStart"/>
      <w:r w:rsidR="009A119D" w:rsidRPr="007E77AF">
        <w:t xml:space="preserve">º  </w:t>
      </w:r>
      <w:r w:rsidR="009A119D" w:rsidRPr="007E77AF">
        <w:rPr>
          <w:rFonts w:eastAsia="Calibri" w:cstheme="minorHAnsi"/>
          <w:lang w:eastAsia="en-US"/>
        </w:rPr>
        <w:t>Para</w:t>
      </w:r>
      <w:proofErr w:type="gramEnd"/>
      <w:r w:rsidR="009A119D" w:rsidRPr="007E77AF">
        <w:rPr>
          <w:lang w:eastAsia="en-US"/>
        </w:rPr>
        <w:t xml:space="preserve"> </w:t>
      </w:r>
      <w:r w:rsidR="0035504B" w:rsidRPr="007E77AF">
        <w:rPr>
          <w:lang w:eastAsia="en-US"/>
        </w:rPr>
        <w:t xml:space="preserve">os </w:t>
      </w:r>
      <w:r w:rsidR="009A119D" w:rsidRPr="007E77AF">
        <w:rPr>
          <w:lang w:eastAsia="en-US"/>
        </w:rPr>
        <w:t>efeito</w:t>
      </w:r>
      <w:r w:rsidR="0035504B" w:rsidRPr="007E77AF">
        <w:rPr>
          <w:lang w:eastAsia="en-US"/>
        </w:rPr>
        <w:t>s</w:t>
      </w:r>
      <w:r w:rsidR="009A119D" w:rsidRPr="007E77AF">
        <w:rPr>
          <w:lang w:eastAsia="en-US"/>
        </w:rPr>
        <w:t xml:space="preserve"> desta </w:t>
      </w:r>
      <w:r w:rsidR="002109AE" w:rsidRPr="007E77AF">
        <w:rPr>
          <w:lang w:eastAsia="en-US"/>
        </w:rPr>
        <w:t>Resolução</w:t>
      </w:r>
      <w:r w:rsidR="009A119D" w:rsidRPr="007E77AF">
        <w:rPr>
          <w:lang w:eastAsia="en-US"/>
        </w:rPr>
        <w:t xml:space="preserve">, </w:t>
      </w:r>
      <w:r w:rsidR="0035504B" w:rsidRPr="007E77AF">
        <w:rPr>
          <w:lang w:eastAsia="en-US"/>
        </w:rPr>
        <w:t>entende-se por:</w:t>
      </w:r>
      <w:bookmarkEnd w:id="20"/>
    </w:p>
    <w:p w14:paraId="25DA833B" w14:textId="23527A6C" w:rsidR="274CBE53"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w:t>
      </w:r>
      <w:r w:rsidR="00C804E6" w:rsidRPr="007E77AF">
        <w:t xml:space="preserve"> </w:t>
      </w:r>
      <w:r w:rsidR="274CBE53" w:rsidRPr="007E77AF">
        <w:t xml:space="preserve">– </w:t>
      </w:r>
      <w:proofErr w:type="gramStart"/>
      <w:r w:rsidR="274CBE53" w:rsidRPr="007E77AF">
        <w:t>convênio</w:t>
      </w:r>
      <w:proofErr w:type="gramEnd"/>
      <w:r w:rsidR="274CBE53" w:rsidRPr="007E77AF">
        <w:t xml:space="preserve">: convênio </w:t>
      </w:r>
      <w:r w:rsidR="00392777">
        <w:t>ou acordo</w:t>
      </w:r>
      <w:r w:rsidR="00EB4D78">
        <w:t xml:space="preserve"> de cooperação técnica </w:t>
      </w:r>
      <w:r w:rsidR="274CBE53" w:rsidRPr="007E77AF">
        <w:t>firmado entre a CVM e entidade autorreguladora para fins de análise de requerimento de registro de oferta púb</w:t>
      </w:r>
      <w:r w:rsidR="328EBE47" w:rsidRPr="007E77AF">
        <w:t xml:space="preserve">lica de distribuição, </w:t>
      </w:r>
      <w:r w:rsidR="3EBA1495" w:rsidRPr="007E77AF">
        <w:t>nos termos d</w:t>
      </w:r>
      <w:r w:rsidR="328EBE47" w:rsidRPr="007E77AF">
        <w:t>o Capítulo IX desta Resolução;</w:t>
      </w:r>
    </w:p>
    <w:p w14:paraId="6D8DDF46" w14:textId="1F214B26" w:rsidR="00492E6B" w:rsidRPr="007E77AF" w:rsidRDefault="00492E6B" w:rsidP="00492E6B">
      <w:pPr>
        <w:spacing w:before="120" w:after="120" w:line="312" w:lineRule="auto"/>
        <w:ind w:firstLine="567"/>
        <w:jc w:val="both"/>
      </w:pPr>
      <w:r>
        <w:t xml:space="preserve">II – </w:t>
      </w:r>
      <w:proofErr w:type="gramStart"/>
      <w:r>
        <w:t>coordenador</w:t>
      </w:r>
      <w:proofErr w:type="gramEnd"/>
      <w:r>
        <w:t xml:space="preserve"> líder: </w:t>
      </w:r>
      <w:r w:rsidR="00AE7425">
        <w:t>instituição intermediária</w:t>
      </w:r>
      <w:r w:rsidR="0094580F">
        <w:t>,</w:t>
      </w:r>
      <w:r w:rsidR="00F7616A">
        <w:t xml:space="preserve"> </w:t>
      </w:r>
      <w:r>
        <w:t xml:space="preserve">atuando </w:t>
      </w:r>
      <w:r w:rsidR="0094580F">
        <w:t xml:space="preserve">em nome do ofertante na qualidade de líder na condução da oferta pública, </w:t>
      </w:r>
      <w:r>
        <w:t>e para quem a CVM deve direcionar</w:t>
      </w:r>
      <w:r w:rsidR="0094580F">
        <w:t xml:space="preserve"> </w:t>
      </w:r>
      <w:r>
        <w:t xml:space="preserve">comunicações </w:t>
      </w:r>
      <w:r w:rsidR="00767459">
        <w:t>referentes à</w:t>
      </w:r>
      <w:r>
        <w:t xml:space="preserve"> oferta;</w:t>
      </w:r>
    </w:p>
    <w:p w14:paraId="23377F10" w14:textId="6332EB31" w:rsidR="00D74986" w:rsidRPr="007E77AF" w:rsidRDefault="3F9A7EAD" w:rsidP="001353DC">
      <w:pPr>
        <w:spacing w:before="120" w:after="120" w:line="312" w:lineRule="auto"/>
        <w:ind w:firstLine="567"/>
        <w:jc w:val="both"/>
      </w:pPr>
      <w:r>
        <w:t>II</w:t>
      </w:r>
      <w:r w:rsidR="00492E6B">
        <w:t>I</w:t>
      </w:r>
      <w:r w:rsidR="2F7AF627">
        <w:t xml:space="preserve"> </w:t>
      </w:r>
      <w:r w:rsidR="151981AD">
        <w:t>– c</w:t>
      </w:r>
      <w:r w:rsidR="62226E0E">
        <w:t>oordenador</w:t>
      </w:r>
      <w:r w:rsidR="05BA0C50">
        <w:t>es</w:t>
      </w:r>
      <w:r w:rsidR="62226E0E">
        <w:t xml:space="preserve"> </w:t>
      </w:r>
      <w:r w:rsidR="151981AD">
        <w:t>da oferta:</w:t>
      </w:r>
      <w:r w:rsidR="35B3ADC1">
        <w:t xml:space="preserve"> </w:t>
      </w:r>
      <w:r w:rsidR="72C3A1C7">
        <w:t>instituições intermediárias</w:t>
      </w:r>
      <w:r w:rsidR="3F9468A5">
        <w:t xml:space="preserve"> signatárias </w:t>
      </w:r>
      <w:r w:rsidR="35B3ADC1">
        <w:t xml:space="preserve">do contrato de </w:t>
      </w:r>
      <w:r w:rsidR="39E45993">
        <w:t>distribuição na qualidade de coordenadores</w:t>
      </w:r>
      <w:r w:rsidR="4AEE85D7">
        <w:t xml:space="preserve"> e registradas na CVM</w:t>
      </w:r>
      <w:r w:rsidR="4ECB4567">
        <w:t xml:space="preserve"> nos termos </w:t>
      </w:r>
      <w:r w:rsidR="1C8EB449">
        <w:t>de regulamentação específica</w:t>
      </w:r>
      <w:r w:rsidR="39E45993">
        <w:t>;</w:t>
      </w:r>
    </w:p>
    <w:p w14:paraId="083874D3" w14:textId="754DA5E7" w:rsidR="00D74986" w:rsidRPr="007E77AF" w:rsidRDefault="3F9A7EAD" w:rsidP="001353DC">
      <w:pPr>
        <w:spacing w:before="120" w:after="120" w:line="312" w:lineRule="auto"/>
        <w:ind w:firstLine="567"/>
        <w:jc w:val="both"/>
      </w:pPr>
      <w:r>
        <w:t>I</w:t>
      </w:r>
      <w:r w:rsidR="00492E6B">
        <w:t>V</w:t>
      </w:r>
      <w:r w:rsidR="0421C821">
        <w:t xml:space="preserve"> – </w:t>
      </w:r>
      <w:proofErr w:type="gramStart"/>
      <w:r w:rsidR="5F1A72D6">
        <w:t>documento</w:t>
      </w:r>
      <w:proofErr w:type="gramEnd"/>
      <w:r w:rsidR="5F1A72D6">
        <w:t xml:space="preserve"> de aceitação</w:t>
      </w:r>
      <w:r w:rsidR="74FA164D">
        <w:t xml:space="preserve"> da oferta</w:t>
      </w:r>
      <w:r w:rsidR="5F1A72D6">
        <w:t>:</w:t>
      </w:r>
      <w:r w:rsidR="3542A31C">
        <w:t xml:space="preserve"> formalização d</w:t>
      </w:r>
      <w:r w:rsidR="03DDBD54">
        <w:t>o ato de</w:t>
      </w:r>
      <w:r w:rsidR="3542A31C">
        <w:t xml:space="preserve"> aceitação dos termos </w:t>
      </w:r>
      <w:r w:rsidR="03DDBD54">
        <w:t xml:space="preserve">e condições </w:t>
      </w:r>
      <w:r w:rsidR="3542A31C">
        <w:t>da oferta</w:t>
      </w:r>
      <w:r w:rsidR="74FA164D">
        <w:t xml:space="preserve"> por parte do investi</w:t>
      </w:r>
      <w:r w:rsidR="5F80AB69">
        <w:t>d</w:t>
      </w:r>
      <w:r w:rsidR="74FA164D">
        <w:t>or, incluindo</w:t>
      </w:r>
      <w:r w:rsidR="03DDBD54">
        <w:t xml:space="preserve"> a </w:t>
      </w:r>
      <w:r w:rsidR="342AF313">
        <w:t>reserva</w:t>
      </w:r>
      <w:r w:rsidR="22CA6C8D">
        <w:t xml:space="preserve"> e a</w:t>
      </w:r>
      <w:r w:rsidR="5F80AB69">
        <w:t xml:space="preserve"> </w:t>
      </w:r>
      <w:r w:rsidR="342AF313">
        <w:t>ordem</w:t>
      </w:r>
      <w:r w:rsidR="3542A31C">
        <w:t xml:space="preserve"> de subscrição ou </w:t>
      </w:r>
      <w:r w:rsidR="7D5D9228">
        <w:t xml:space="preserve">de </w:t>
      </w:r>
      <w:r w:rsidR="3542A31C">
        <w:t>aquisição dos valores mobili</w:t>
      </w:r>
      <w:r w:rsidR="342AF313">
        <w:t>ários, em caráter irrevogável, exceto nas hipóteses de suspensão, modificação e cancelamento da oferta previs</w:t>
      </w:r>
      <w:r w:rsidR="3767D86E">
        <w:t>t</w:t>
      </w:r>
      <w:r w:rsidR="342AF313">
        <w:t xml:space="preserve">as nesta </w:t>
      </w:r>
      <w:r w:rsidR="71880D18">
        <w:t>Resolução</w:t>
      </w:r>
      <w:r w:rsidR="49AF30AE">
        <w:t>;</w:t>
      </w:r>
    </w:p>
    <w:p w14:paraId="21C6D5D4" w14:textId="5D73A60B" w:rsidR="00D74986" w:rsidRPr="007E77AF" w:rsidRDefault="009069A1" w:rsidP="001353DC">
      <w:pPr>
        <w:spacing w:before="120" w:after="120" w:line="312" w:lineRule="auto"/>
        <w:ind w:firstLine="567"/>
        <w:jc w:val="both"/>
      </w:pPr>
      <w:r w:rsidRPr="007E77AF">
        <w:lastRenderedPageBreak/>
        <w:t>V</w:t>
      </w:r>
      <w:r w:rsidR="00A5599A" w:rsidRPr="007E77AF">
        <w:t xml:space="preserve"> – </w:t>
      </w:r>
      <w:r w:rsidR="79E2B4F1" w:rsidRPr="007E77AF">
        <w:t>d</w:t>
      </w:r>
      <w:r w:rsidR="00D366DC" w:rsidRPr="007E77AF">
        <w:t xml:space="preserve">ocumentos da oferta: documentos elaborados pelo ofertante ou </w:t>
      </w:r>
      <w:r w:rsidR="00BB4859">
        <w:t>pel</w:t>
      </w:r>
      <w:r w:rsidR="0072530A">
        <w:t>o</w:t>
      </w:r>
      <w:r w:rsidR="00BB4859">
        <w:t xml:space="preserve">s </w:t>
      </w:r>
      <w:r w:rsidR="0072530A">
        <w:t>coordenadore</w:t>
      </w:r>
      <w:r w:rsidR="00BB4859">
        <w:t>s</w:t>
      </w:r>
      <w:r w:rsidR="00D366DC" w:rsidRPr="007E77AF">
        <w:t>, destinados ao fornecimento de informações relativas ao emissor ou à oferta a potenciais investidores</w:t>
      </w:r>
      <w:r w:rsidR="0072530A">
        <w:t>,</w:t>
      </w:r>
      <w:r w:rsidR="00D366DC" w:rsidRPr="007E77AF">
        <w:t xml:space="preserve"> como, por exemplo, o </w:t>
      </w:r>
      <w:r w:rsidR="755C9ECE" w:rsidRPr="007E77AF">
        <w:t>p</w:t>
      </w:r>
      <w:r w:rsidR="00A5599A" w:rsidRPr="007E77AF">
        <w:t>rospecto</w:t>
      </w:r>
      <w:r w:rsidR="00D366DC" w:rsidRPr="007E77AF">
        <w:t xml:space="preserve">, a </w:t>
      </w:r>
      <w:r w:rsidR="00611701" w:rsidRPr="007E77AF">
        <w:t>lâmina da oferta</w:t>
      </w:r>
      <w:r w:rsidR="00683AAE">
        <w:t>,</w:t>
      </w:r>
      <w:r w:rsidR="006121EB" w:rsidRPr="007E77AF">
        <w:t xml:space="preserve"> </w:t>
      </w:r>
      <w:r w:rsidR="0072530A">
        <w:t>os</w:t>
      </w:r>
      <w:r w:rsidR="006121EB" w:rsidRPr="007E77AF">
        <w:t xml:space="preserve"> demais documentos </w:t>
      </w:r>
      <w:r w:rsidR="00667183" w:rsidRPr="007E77AF">
        <w:t xml:space="preserve">submetidos com o </w:t>
      </w:r>
      <w:r w:rsidR="00D366DC" w:rsidRPr="007E77AF">
        <w:t xml:space="preserve">requerimento de registro, o </w:t>
      </w:r>
      <w:r w:rsidR="0C4841E6" w:rsidRPr="007E77AF">
        <w:t>a</w:t>
      </w:r>
      <w:r w:rsidR="00A5599A" w:rsidRPr="007E77AF">
        <w:t xml:space="preserve">viso </w:t>
      </w:r>
      <w:r w:rsidR="00D366DC" w:rsidRPr="007E77AF">
        <w:t xml:space="preserve">ao </w:t>
      </w:r>
      <w:r w:rsidR="110A2DC9" w:rsidRPr="007E77AF">
        <w:t>m</w:t>
      </w:r>
      <w:r w:rsidR="00A5599A" w:rsidRPr="007E77AF">
        <w:t>ercado</w:t>
      </w:r>
      <w:r w:rsidR="00D366DC" w:rsidRPr="007E77AF">
        <w:t xml:space="preserve">, </w:t>
      </w:r>
      <w:r w:rsidR="00234EEB" w:rsidRPr="007E77AF">
        <w:t xml:space="preserve">o </w:t>
      </w:r>
      <w:r w:rsidR="56E84540" w:rsidRPr="007E77AF">
        <w:t>a</w:t>
      </w:r>
      <w:r w:rsidR="00234EEB" w:rsidRPr="007E77AF">
        <w:t xml:space="preserve">núncio de </w:t>
      </w:r>
      <w:r w:rsidR="0858E51F" w:rsidRPr="007E77AF">
        <w:t>i</w:t>
      </w:r>
      <w:r w:rsidR="00234EEB" w:rsidRPr="007E77AF">
        <w:t xml:space="preserve">nício de </w:t>
      </w:r>
      <w:r w:rsidR="474E5AF3" w:rsidRPr="007E77AF">
        <w:t>d</w:t>
      </w:r>
      <w:r w:rsidR="00234EEB" w:rsidRPr="007E77AF">
        <w:t xml:space="preserve">istribuição, </w:t>
      </w:r>
      <w:r w:rsidR="00D366DC" w:rsidRPr="007E77AF">
        <w:t>o material publicitári</w:t>
      </w:r>
      <w:r w:rsidR="005575A0" w:rsidRPr="007E77AF">
        <w:t>o</w:t>
      </w:r>
      <w:r w:rsidR="00D366DC" w:rsidRPr="007E77AF">
        <w:t>, os documentos de suporte a apresentações para investidores e quaisquer outros documentos contendo informações que possam influenciar na tomada de decisão relativa ao investimento;</w:t>
      </w:r>
    </w:p>
    <w:p w14:paraId="74019032" w14:textId="7AB52DEC" w:rsidR="00D74986" w:rsidRPr="007E77AF" w:rsidRDefault="009069A1" w:rsidP="001353DC">
      <w:pPr>
        <w:spacing w:before="120" w:after="120" w:line="312" w:lineRule="auto"/>
        <w:ind w:firstLine="567"/>
        <w:jc w:val="both"/>
      </w:pPr>
      <w:r w:rsidRPr="007E77AF">
        <w:t>V</w:t>
      </w:r>
      <w:r w:rsidR="00492E6B">
        <w:t>I</w:t>
      </w:r>
      <w:r w:rsidR="001C78FC" w:rsidRPr="007E77AF">
        <w:t xml:space="preserve"> </w:t>
      </w:r>
      <w:r w:rsidR="0035504B" w:rsidRPr="007E77AF">
        <w:t xml:space="preserve">– </w:t>
      </w:r>
      <w:proofErr w:type="gramStart"/>
      <w:r w:rsidR="34CE328D" w:rsidRPr="007E77AF">
        <w:t>e</w:t>
      </w:r>
      <w:r w:rsidR="00235346" w:rsidRPr="007E77AF">
        <w:t>missor</w:t>
      </w:r>
      <w:proofErr w:type="gramEnd"/>
      <w:r w:rsidR="00235346" w:rsidRPr="007E77AF">
        <w:t xml:space="preserve"> com grande exposição ao mercado</w:t>
      </w:r>
      <w:r w:rsidR="004517F3" w:rsidRPr="007E77AF">
        <w:t xml:space="preserve"> </w:t>
      </w:r>
      <w:r w:rsidR="008D627F" w:rsidRPr="007E77AF">
        <w:t>–</w:t>
      </w:r>
      <w:r w:rsidR="004517F3" w:rsidRPr="007E77AF">
        <w:t xml:space="preserve"> EGEM</w:t>
      </w:r>
      <w:r w:rsidR="00235346" w:rsidRPr="007E77AF">
        <w:t xml:space="preserve">: emissor de ações </w:t>
      </w:r>
      <w:r w:rsidR="001C78FC" w:rsidRPr="007E77AF">
        <w:t xml:space="preserve">e demais valores mobiliários de participação no capital </w:t>
      </w:r>
      <w:r w:rsidR="00235346" w:rsidRPr="007E77AF">
        <w:t xml:space="preserve">que atenda aos requisitos </w:t>
      </w:r>
      <w:r w:rsidR="09733B24" w:rsidRPr="007E77AF">
        <w:t xml:space="preserve">previstos </w:t>
      </w:r>
      <w:r w:rsidR="00887CB9" w:rsidRPr="007E77AF">
        <w:t xml:space="preserve">para tais emissores </w:t>
      </w:r>
      <w:r w:rsidR="09733B24" w:rsidRPr="007E77AF">
        <w:t>n</w:t>
      </w:r>
      <w:r w:rsidR="001D6A49" w:rsidRPr="007E77AF">
        <w:t>a regulamentação da CVM que dispõe sobre o registro de emissores de valores mobiliários admitidos à negociação em mercados regulamentados de valores mobiliários</w:t>
      </w:r>
      <w:r w:rsidR="00235346" w:rsidRPr="007E77AF">
        <w:t>;</w:t>
      </w:r>
    </w:p>
    <w:p w14:paraId="0D212048" w14:textId="13AFA076" w:rsidR="00D74986" w:rsidRPr="007E77AF" w:rsidRDefault="009069A1" w:rsidP="00B64FDE">
      <w:pPr>
        <w:spacing w:before="120" w:after="120" w:line="312" w:lineRule="auto"/>
        <w:ind w:firstLine="567"/>
        <w:jc w:val="both"/>
      </w:pPr>
      <w:r w:rsidRPr="007E77AF">
        <w:t>VI</w:t>
      </w:r>
      <w:r w:rsidR="00492E6B">
        <w:t>I</w:t>
      </w:r>
      <w:r w:rsidR="009B03C3" w:rsidRPr="007E77AF">
        <w:t xml:space="preserve"> – </w:t>
      </w:r>
      <w:r w:rsidR="005C083C" w:rsidRPr="007E77AF">
        <w:t>emissor em fase pré-operacional: emissor</w:t>
      </w:r>
      <w:r w:rsidR="00F01E26" w:rsidRPr="00AE7425">
        <w:rPr>
          <w:rFonts w:cstheme="minorBidi"/>
        </w:rPr>
        <w:t xml:space="preserve"> </w:t>
      </w:r>
      <w:r w:rsidR="00D607AF">
        <w:rPr>
          <w:rFonts w:cstheme="minorBidi"/>
        </w:rPr>
        <w:t xml:space="preserve">sujeito </w:t>
      </w:r>
      <w:r w:rsidR="00862BB1">
        <w:rPr>
          <w:rFonts w:cstheme="minorBidi"/>
        </w:rPr>
        <w:t xml:space="preserve">à regulamentação da CVM que </w:t>
      </w:r>
      <w:r w:rsidR="00A55D28">
        <w:rPr>
          <w:rFonts w:cstheme="minorBidi"/>
        </w:rPr>
        <w:t xml:space="preserve">dispõe sobre </w:t>
      </w:r>
      <w:r w:rsidR="00414CD7" w:rsidRPr="007E77AF">
        <w:t>o registro de emissores de valores mobiliários admitidos à negociação em mercados regulamentados de valores mobiliários</w:t>
      </w:r>
      <w:r w:rsidR="00414CD7">
        <w:t xml:space="preserve"> e que </w:t>
      </w:r>
      <w:r w:rsidR="0040557E">
        <w:t xml:space="preserve">seja classificado, nos termos da </w:t>
      </w:r>
      <w:r w:rsidR="004A7C57">
        <w:t>referida regulamentação</w:t>
      </w:r>
      <w:r w:rsidR="0040557E">
        <w:t xml:space="preserve">, como </w:t>
      </w:r>
      <w:r w:rsidR="00B64FDE">
        <w:t>pré-operacional</w:t>
      </w:r>
      <w:r w:rsidR="005C083C" w:rsidRPr="007E77AF">
        <w:t>;</w:t>
      </w:r>
    </w:p>
    <w:p w14:paraId="20A963A2" w14:textId="776927FB" w:rsidR="00D74986" w:rsidRPr="007E77AF" w:rsidRDefault="009069A1" w:rsidP="001353DC">
      <w:pPr>
        <w:spacing w:before="120" w:after="120" w:line="312" w:lineRule="auto"/>
        <w:ind w:firstLine="567"/>
        <w:jc w:val="both"/>
      </w:pPr>
      <w:r w:rsidRPr="007E77AF">
        <w:t>VII</w:t>
      </w:r>
      <w:r w:rsidR="00492E6B">
        <w:t>I</w:t>
      </w:r>
      <w:r w:rsidR="005C083C" w:rsidRPr="007E77AF">
        <w:t xml:space="preserve"> – </w:t>
      </w:r>
      <w:r w:rsidR="009B03C3" w:rsidRPr="007E77AF">
        <w:t xml:space="preserve">emissor frequente de valores mobiliários de renda fixa </w:t>
      </w:r>
      <w:r w:rsidR="008D627F" w:rsidRPr="007E77AF">
        <w:t>–</w:t>
      </w:r>
      <w:r w:rsidR="009B03C3" w:rsidRPr="007E77AF">
        <w:t xml:space="preserve"> EFRF: </w:t>
      </w:r>
      <w:r w:rsidR="002425AA" w:rsidRPr="007E77AF">
        <w:t>emissor de valores mobiliários</w:t>
      </w:r>
      <w:r w:rsidR="00A64094" w:rsidRPr="007E77AF">
        <w:t xml:space="preserve"> de renda fixa</w:t>
      </w:r>
      <w:r w:rsidR="00B231D6" w:rsidRPr="007E77AF">
        <w:t xml:space="preserve"> que </w:t>
      </w:r>
      <w:r w:rsidR="001D05CF" w:rsidRPr="007E77AF">
        <w:t>atenda aos requisitos para tais emissores na regulamentação da CVM que dispõe sobre o registro de emissores de valores mobiliários admitidos à negociação em mercados regulamentados de valores mobiliários</w:t>
      </w:r>
      <w:r w:rsidR="7ADB2452" w:rsidRPr="007E77AF">
        <w:t>;</w:t>
      </w:r>
    </w:p>
    <w:p w14:paraId="26C48EA1" w14:textId="5465B5F6" w:rsidR="009B03C3" w:rsidRDefault="009069A1" w:rsidP="001353DC">
      <w:pPr>
        <w:spacing w:before="120" w:after="120" w:line="312" w:lineRule="auto"/>
        <w:ind w:firstLine="567"/>
        <w:jc w:val="both"/>
      </w:pPr>
      <w:r w:rsidRPr="007E77AF">
        <w:t>I</w:t>
      </w:r>
      <w:r w:rsidR="00492E6B">
        <w:t>X</w:t>
      </w:r>
      <w:r w:rsidR="009B03C3" w:rsidRPr="007E77AF">
        <w:t xml:space="preserve"> </w:t>
      </w:r>
      <w:bookmarkStart w:id="21" w:name="_Ref469905066"/>
      <w:r w:rsidR="009B03C3" w:rsidRPr="007E77AF">
        <w:t xml:space="preserve">– </w:t>
      </w:r>
      <w:proofErr w:type="gramStart"/>
      <w:r w:rsidR="00BA0C0D" w:rsidRPr="007E77AF">
        <w:t>encerramento</w:t>
      </w:r>
      <w:proofErr w:type="gramEnd"/>
      <w:r w:rsidR="009B03C3" w:rsidRPr="007E77AF">
        <w:t xml:space="preserve"> da</w:t>
      </w:r>
      <w:r w:rsidR="00BA0C0D" w:rsidRPr="007E77AF">
        <w:t xml:space="preserve"> </w:t>
      </w:r>
      <w:r w:rsidR="002222AB" w:rsidRPr="007E77AF">
        <w:t>oferta</w:t>
      </w:r>
      <w:r w:rsidR="00BA0C0D" w:rsidRPr="007E77AF">
        <w:t xml:space="preserve">: considera-se </w:t>
      </w:r>
      <w:r w:rsidR="002222AB" w:rsidRPr="007E77AF">
        <w:t xml:space="preserve">encerrada a oferta </w:t>
      </w:r>
      <w:r w:rsidR="00D84C20" w:rsidRPr="007E77AF">
        <w:t xml:space="preserve">pública </w:t>
      </w:r>
      <w:r w:rsidR="00BA0C0D" w:rsidRPr="007E77AF">
        <w:t xml:space="preserve">após a </w:t>
      </w:r>
      <w:r w:rsidR="006000C9" w:rsidRPr="007E77AF">
        <w:t xml:space="preserve">distribuição </w:t>
      </w:r>
      <w:r w:rsidR="00BA0C0D" w:rsidRPr="007E77AF">
        <w:t xml:space="preserve">de </w:t>
      </w:r>
      <w:r w:rsidR="005F7A6D" w:rsidRPr="007E77AF">
        <w:t xml:space="preserve">todos </w:t>
      </w:r>
      <w:r w:rsidR="00BA0C0D" w:rsidRPr="007E77AF">
        <w:t xml:space="preserve">os valores mobiliários objeto da oferta, inclusive </w:t>
      </w:r>
      <w:r w:rsidR="009B03C3" w:rsidRPr="007E77AF">
        <w:t xml:space="preserve">daqueles constantes </w:t>
      </w:r>
      <w:r w:rsidR="00BA0C0D" w:rsidRPr="007E77AF">
        <w:t>do lote adicional</w:t>
      </w:r>
      <w:r w:rsidR="75E0F1DE" w:rsidRPr="007E77AF">
        <w:t>,</w:t>
      </w:r>
      <w:r w:rsidR="441573A2" w:rsidRPr="007E77AF">
        <w:t xml:space="preserve"> </w:t>
      </w:r>
      <w:r w:rsidR="00C10299" w:rsidRPr="007E77AF">
        <w:t xml:space="preserve">assim como </w:t>
      </w:r>
      <w:r w:rsidR="00BA0C0D" w:rsidRPr="007E77AF">
        <w:t xml:space="preserve">o eventual exercício da opção de </w:t>
      </w:r>
      <w:r w:rsidR="0285420D" w:rsidRPr="007E77AF">
        <w:t>distribuição</w:t>
      </w:r>
      <w:r w:rsidR="00BA0C0D" w:rsidRPr="007E77AF">
        <w:t xml:space="preserve"> </w:t>
      </w:r>
      <w:r w:rsidR="3F716BE1" w:rsidRPr="007E77AF">
        <w:t>do lote suplementar</w:t>
      </w:r>
      <w:r w:rsidR="00A26AC8" w:rsidRPr="007E77AF">
        <w:t>,</w:t>
      </w:r>
      <w:r w:rsidR="002D3540" w:rsidRPr="00E768E4">
        <w:rPr>
          <w:rFonts w:cstheme="minorHAnsi"/>
        </w:rPr>
        <w:t xml:space="preserve"> ou</w:t>
      </w:r>
      <w:r w:rsidR="00A26AC8" w:rsidRPr="00E768E4">
        <w:rPr>
          <w:rFonts w:cstheme="minorHAnsi"/>
        </w:rPr>
        <w:t xml:space="preserve"> após</w:t>
      </w:r>
      <w:r w:rsidR="002D3540" w:rsidRPr="00E768E4">
        <w:rPr>
          <w:rFonts w:cstheme="minorHAnsi"/>
        </w:rPr>
        <w:t xml:space="preserve"> o cancelamento do saldo de valores mobiliários não colocado, no caso de distribuição parcial</w:t>
      </w:r>
      <w:r w:rsidR="002D3540" w:rsidRPr="007E77AF">
        <w:rPr>
          <w:rFonts w:cstheme="minorHAnsi"/>
          <w:iCs/>
        </w:rPr>
        <w:t>,</w:t>
      </w:r>
      <w:r w:rsidR="72EA7DF1" w:rsidRPr="007E77AF">
        <w:t xml:space="preserve"> e </w:t>
      </w:r>
      <w:r w:rsidR="5EF0BC44" w:rsidRPr="007E77AF">
        <w:t xml:space="preserve">a </w:t>
      </w:r>
      <w:r w:rsidR="3854E27D" w:rsidRPr="007E77AF">
        <w:t>publicaç</w:t>
      </w:r>
      <w:r w:rsidR="21A7E7D5" w:rsidRPr="007E77AF">
        <w:t>ã</w:t>
      </w:r>
      <w:r w:rsidR="3854E27D" w:rsidRPr="007E77AF">
        <w:t>o do an</w:t>
      </w:r>
      <w:r w:rsidR="6EF1A15D" w:rsidRPr="007E77AF">
        <w:t>ú</w:t>
      </w:r>
      <w:r w:rsidR="3854E27D" w:rsidRPr="007E77AF">
        <w:t>nci</w:t>
      </w:r>
      <w:r w:rsidR="60D94B49" w:rsidRPr="007E77AF">
        <w:t>o de encerramento</w:t>
      </w:r>
      <w:r w:rsidR="791BF2EC" w:rsidRPr="007E77AF">
        <w:t xml:space="preserve"> da distribuição</w:t>
      </w:r>
      <w:r w:rsidR="009B03C3" w:rsidRPr="007E77AF">
        <w:t>;</w:t>
      </w:r>
      <w:bookmarkEnd w:id="21"/>
    </w:p>
    <w:p w14:paraId="2A205E5F" w14:textId="1872B395" w:rsidR="00D74986" w:rsidRPr="007E77AF" w:rsidRDefault="009069A1" w:rsidP="002E7F94">
      <w:pPr>
        <w:autoSpaceDE w:val="0"/>
        <w:autoSpaceDN w:val="0"/>
        <w:adjustRightInd w:val="0"/>
        <w:spacing w:before="120" w:after="120" w:line="312" w:lineRule="auto"/>
        <w:ind w:firstLine="567"/>
        <w:jc w:val="both"/>
      </w:pPr>
      <w:bookmarkStart w:id="22" w:name="_Ref463101616"/>
      <w:bookmarkEnd w:id="22"/>
      <w:r w:rsidRPr="007E77AF">
        <w:t>X</w:t>
      </w:r>
      <w:r w:rsidR="00C779D2" w:rsidRPr="007E77AF">
        <w:t xml:space="preserve"> </w:t>
      </w:r>
      <w:r w:rsidR="00737317" w:rsidRPr="007E77AF">
        <w:t xml:space="preserve">– </w:t>
      </w:r>
      <w:proofErr w:type="gramStart"/>
      <w:r w:rsidR="63A7A412" w:rsidRPr="007E77AF">
        <w:t>i</w:t>
      </w:r>
      <w:r w:rsidR="00737317" w:rsidRPr="007E77AF">
        <w:t>nvestidor</w:t>
      </w:r>
      <w:proofErr w:type="gramEnd"/>
      <w:r w:rsidR="00737317" w:rsidRPr="007E77AF">
        <w:t xml:space="preserve"> </w:t>
      </w:r>
      <w:r w:rsidR="00684425" w:rsidRPr="007E77AF">
        <w:t>profissional</w:t>
      </w:r>
      <w:r w:rsidR="00737317" w:rsidRPr="007E77AF">
        <w:t xml:space="preserve">: </w:t>
      </w:r>
      <w:r w:rsidR="003C4040" w:rsidRPr="007E77AF">
        <w:t>investidor que</w:t>
      </w:r>
      <w:r w:rsidR="005129C6" w:rsidRPr="007E77AF">
        <w:t xml:space="preserve"> atenda aos requisitos de enquadramento</w:t>
      </w:r>
      <w:r w:rsidR="00462758" w:rsidRPr="007E77AF">
        <w:t xml:space="preserve"> nessa classificação definidos</w:t>
      </w:r>
      <w:r w:rsidR="001C78FC" w:rsidRPr="007E77AF">
        <w:t xml:space="preserve"> na </w:t>
      </w:r>
      <w:r w:rsidR="001D6A49" w:rsidRPr="007E77AF">
        <w:t>regulamentação da CVM</w:t>
      </w:r>
      <w:r w:rsidR="001C78FC" w:rsidRPr="007E77AF">
        <w:t xml:space="preserve"> que dispõe sobre o dever de verificação da adequação dos produtos, serviços e operações ao perfil do cliente;</w:t>
      </w:r>
    </w:p>
    <w:p w14:paraId="3183A745" w14:textId="03601EDE" w:rsidR="00D74986" w:rsidRPr="007E77AF" w:rsidRDefault="009069A1" w:rsidP="001353DC">
      <w:pPr>
        <w:spacing w:before="120" w:after="120" w:line="312" w:lineRule="auto"/>
        <w:ind w:firstLine="567"/>
        <w:jc w:val="both"/>
      </w:pPr>
      <w:r w:rsidRPr="007E77AF">
        <w:t>XI</w:t>
      </w:r>
      <w:r w:rsidR="00B378C4" w:rsidRPr="007E77AF">
        <w:t xml:space="preserve"> </w:t>
      </w:r>
      <w:r w:rsidR="00737317" w:rsidRPr="007E77AF">
        <w:t xml:space="preserve">– </w:t>
      </w:r>
      <w:r w:rsidR="211F6ACB" w:rsidRPr="007E77AF">
        <w:t>i</w:t>
      </w:r>
      <w:r w:rsidR="00737317" w:rsidRPr="007E77AF">
        <w:t xml:space="preserve">nvestidor </w:t>
      </w:r>
      <w:r w:rsidR="00684425" w:rsidRPr="007E77AF">
        <w:t>qualificado</w:t>
      </w:r>
      <w:r w:rsidR="00737317" w:rsidRPr="007E77AF">
        <w:t>:</w:t>
      </w:r>
      <w:r w:rsidR="001C78FC" w:rsidRPr="007E77AF">
        <w:t xml:space="preserve"> </w:t>
      </w:r>
      <w:r w:rsidR="004E7176" w:rsidRPr="007E77AF">
        <w:t>investidor que atenda aos requisitos de enquadramento nessa classificação definidos</w:t>
      </w:r>
      <w:r w:rsidR="004E7176" w:rsidRPr="007E77AF" w:rsidDel="004E7176">
        <w:t xml:space="preserve"> </w:t>
      </w:r>
      <w:r w:rsidR="001C78FC" w:rsidRPr="007E77AF">
        <w:t xml:space="preserve">na </w:t>
      </w:r>
      <w:r w:rsidR="001D6A49" w:rsidRPr="007E77AF">
        <w:t>regulamentação da CVM</w:t>
      </w:r>
      <w:r w:rsidR="001C78FC" w:rsidRPr="007E77AF">
        <w:t xml:space="preserve"> que dispõe sobre o dever de verificação da adequação dos produtos, serviços e operações ao perfil do cliente;</w:t>
      </w:r>
    </w:p>
    <w:p w14:paraId="38C3DEBA" w14:textId="182FBB5A" w:rsidR="00D74986" w:rsidRPr="007E77AF" w:rsidRDefault="3F9A7EAD" w:rsidP="001353DC">
      <w:pPr>
        <w:spacing w:before="120" w:after="120" w:line="312" w:lineRule="auto"/>
        <w:ind w:firstLine="567"/>
        <w:jc w:val="both"/>
      </w:pPr>
      <w:r>
        <w:t>XII</w:t>
      </w:r>
      <w:r w:rsidR="7D681B1D">
        <w:t xml:space="preserve"> </w:t>
      </w:r>
      <w:bookmarkStart w:id="23" w:name="_Ref58965309"/>
      <w:r w:rsidR="08DACA99">
        <w:t>–</w:t>
      </w:r>
      <w:r w:rsidR="02C776C0">
        <w:t xml:space="preserve"> </w:t>
      </w:r>
      <w:r w:rsidR="426497F4">
        <w:t>m</w:t>
      </w:r>
      <w:r w:rsidR="402BE7B6">
        <w:t xml:space="preserve">aterial publicitário: cartas, anúncios, avisos, mensagens e similares, especialmente por meio de comunicação de massa impresso, </w:t>
      </w:r>
      <w:r w:rsidR="4C3965AB">
        <w:t>audiovisual</w:t>
      </w:r>
      <w:r w:rsidR="402BE7B6">
        <w:t xml:space="preserve">, ou eletrônico, assim como qualquer outra forma de </w:t>
      </w:r>
      <w:r w:rsidR="402BE7B6">
        <w:lastRenderedPageBreak/>
        <w:t xml:space="preserve">comunicação </w:t>
      </w:r>
      <w:r w:rsidR="4311807C">
        <w:t xml:space="preserve">de ampla disseminação, </w:t>
      </w:r>
      <w:r w:rsidR="6527A735">
        <w:t xml:space="preserve">com estratégia mercadológica e comercial </w:t>
      </w:r>
      <w:r w:rsidR="402BE7B6">
        <w:t xml:space="preserve">dirigida ao público </w:t>
      </w:r>
      <w:r w:rsidR="0C0EC2E7">
        <w:t xml:space="preserve">investidor </w:t>
      </w:r>
      <w:r w:rsidR="402BE7B6">
        <w:t>em geral com o fim de promover</w:t>
      </w:r>
      <w:r w:rsidR="6D476D59">
        <w:t xml:space="preserve"> a subscrição ou </w:t>
      </w:r>
      <w:r w:rsidR="0AB87B3C">
        <w:t xml:space="preserve">aquisição </w:t>
      </w:r>
      <w:r w:rsidR="6D476D59">
        <w:t>de valores mobiliários;</w:t>
      </w:r>
      <w:bookmarkEnd w:id="23"/>
    </w:p>
    <w:p w14:paraId="0D4ADF67" w14:textId="5881DD3F" w:rsidR="00D74986" w:rsidRPr="007E77AF" w:rsidRDefault="009069A1" w:rsidP="001353DC">
      <w:pPr>
        <w:spacing w:before="120" w:after="120" w:line="312" w:lineRule="auto"/>
        <w:ind w:firstLine="567"/>
        <w:jc w:val="both"/>
      </w:pPr>
      <w:r w:rsidRPr="007E77AF">
        <w:t>XI</w:t>
      </w:r>
      <w:r w:rsidR="00492E6B">
        <w:t>II</w:t>
      </w:r>
      <w:r w:rsidR="194FEA95" w:rsidRPr="007E77AF">
        <w:t xml:space="preserve"> </w:t>
      </w:r>
      <w:r w:rsidR="22A432C7" w:rsidRPr="007E77AF">
        <w:t>–</w:t>
      </w:r>
      <w:r w:rsidR="1BEA39BA" w:rsidRPr="007E77AF">
        <w:t xml:space="preserve"> </w:t>
      </w:r>
      <w:r w:rsidR="7A87A89A" w:rsidRPr="007E77AF">
        <w:t xml:space="preserve">oferta a mercado: </w:t>
      </w:r>
      <w:r w:rsidR="00E02F6A" w:rsidRPr="007E77AF">
        <w:t xml:space="preserve">período </w:t>
      </w:r>
      <w:r w:rsidR="002115C7" w:rsidRPr="007E77AF">
        <w:t>da oferta em que podem ser realizados esforços de venda, inclusive sendo admitidas reservas</w:t>
      </w:r>
      <w:r w:rsidR="00B04415" w:rsidRPr="007E77AF">
        <w:t>,</w:t>
      </w:r>
      <w:r w:rsidR="002115C7" w:rsidRPr="007E77AF">
        <w:t xml:space="preserve"> e que se inicia com a divulgação do aviso ao mercado, nos termos do art. </w:t>
      </w:r>
      <w:r w:rsidR="0086760A" w:rsidRPr="007E77AF">
        <w:t>5</w:t>
      </w:r>
      <w:r w:rsidR="00C029D3">
        <w:t>7</w:t>
      </w:r>
      <w:r w:rsidR="006110D5">
        <w:t xml:space="preserve">, </w:t>
      </w:r>
      <w:r w:rsidR="00897FF5">
        <w:t xml:space="preserve">se </w:t>
      </w:r>
      <w:r w:rsidR="006110D5">
        <w:t>houver, abrangendo também o período de distribuição</w:t>
      </w:r>
      <w:r w:rsidR="66F6AFD3" w:rsidRPr="007E77AF">
        <w:t>;</w:t>
      </w:r>
    </w:p>
    <w:p w14:paraId="6AC1B5E4" w14:textId="1968861C" w:rsidR="00D74986" w:rsidRPr="007E77AF" w:rsidRDefault="009069A1" w:rsidP="001353DC">
      <w:pPr>
        <w:spacing w:before="120" w:after="120" w:line="312" w:lineRule="auto"/>
        <w:ind w:firstLine="567"/>
        <w:jc w:val="both"/>
      </w:pPr>
      <w:r w:rsidRPr="007E77AF">
        <w:t>X</w:t>
      </w:r>
      <w:r w:rsidR="00492E6B">
        <w:t>I</w:t>
      </w:r>
      <w:r w:rsidRPr="007E77AF">
        <w:t>V</w:t>
      </w:r>
      <w:r w:rsidR="2511E316" w:rsidRPr="007E77AF">
        <w:t xml:space="preserve"> </w:t>
      </w:r>
      <w:r w:rsidR="613B733B" w:rsidRPr="007E77AF">
        <w:t>–</w:t>
      </w:r>
      <w:r w:rsidR="66F6AFD3" w:rsidRPr="007E77AF">
        <w:t xml:space="preserve"> </w:t>
      </w:r>
      <w:r w:rsidR="7AE2279E" w:rsidRPr="007E77AF">
        <w:t>ofertante</w:t>
      </w:r>
      <w:r w:rsidR="3EB285F5" w:rsidRPr="007E77AF">
        <w:t>s</w:t>
      </w:r>
      <w:r w:rsidR="7AE2279E" w:rsidRPr="007E77AF">
        <w:t>:</w:t>
      </w:r>
    </w:p>
    <w:p w14:paraId="136DF669" w14:textId="0911A723" w:rsidR="00D74986" w:rsidRPr="007E77AF" w:rsidRDefault="009C451C" w:rsidP="00D74986">
      <w:pPr>
        <w:pStyle w:val="PargrafodaLista"/>
        <w:spacing w:before="120" w:after="120" w:line="312" w:lineRule="auto"/>
        <w:ind w:left="567"/>
        <w:jc w:val="both"/>
      </w:pPr>
      <w:r w:rsidRPr="007E77AF">
        <w:t>a)</w:t>
      </w:r>
      <w:r w:rsidR="00106872" w:rsidRPr="007E77AF">
        <w:t xml:space="preserve"> </w:t>
      </w:r>
      <w:r w:rsidR="00876FC9" w:rsidRPr="007E77AF">
        <w:t>o emissor</w:t>
      </w:r>
      <w:r w:rsidR="008C67F4" w:rsidRPr="007E77AF">
        <w:t>, no caso</w:t>
      </w:r>
      <w:r w:rsidR="00876FC9" w:rsidRPr="007E77AF">
        <w:t xml:space="preserve"> </w:t>
      </w:r>
      <w:r w:rsidR="00FF13BF" w:rsidRPr="007E77AF">
        <w:t xml:space="preserve">de </w:t>
      </w:r>
      <w:r w:rsidR="0041054C" w:rsidRPr="007E77AF">
        <w:t xml:space="preserve">distribuição </w:t>
      </w:r>
      <w:r w:rsidR="008C67F4" w:rsidRPr="007E77AF">
        <w:t>primária</w:t>
      </w:r>
      <w:r w:rsidR="00566053" w:rsidRPr="007E77AF">
        <w:t>;</w:t>
      </w:r>
    </w:p>
    <w:p w14:paraId="4B008668" w14:textId="77777777" w:rsidR="00D74986" w:rsidRPr="007E77AF" w:rsidRDefault="00566053" w:rsidP="00D74986">
      <w:pPr>
        <w:pStyle w:val="PargrafodaLista"/>
        <w:spacing w:before="120" w:after="120" w:line="312" w:lineRule="auto"/>
        <w:ind w:left="567"/>
        <w:jc w:val="both"/>
      </w:pPr>
      <w:r w:rsidRPr="007E77AF">
        <w:t>b)</w:t>
      </w:r>
      <w:r w:rsidR="7A37E303" w:rsidRPr="007E77AF">
        <w:t xml:space="preserve"> </w:t>
      </w:r>
      <w:r w:rsidR="00876FC9" w:rsidRPr="007E77AF">
        <w:t>o</w:t>
      </w:r>
      <w:r w:rsidR="008C67F4" w:rsidRPr="007E77AF">
        <w:t>s</w:t>
      </w:r>
      <w:r w:rsidR="00876FC9" w:rsidRPr="007E77AF">
        <w:t xml:space="preserve"> vendedor</w:t>
      </w:r>
      <w:r w:rsidR="008C67F4" w:rsidRPr="007E77AF">
        <w:t>es</w:t>
      </w:r>
      <w:r w:rsidR="00876FC9" w:rsidRPr="007E77AF">
        <w:t xml:space="preserve"> por sua própria conta</w:t>
      </w:r>
      <w:r w:rsidR="00622E9E" w:rsidRPr="007E77AF">
        <w:t>,</w:t>
      </w:r>
      <w:r w:rsidR="008C67F4" w:rsidRPr="007E77AF">
        <w:t xml:space="preserve"> </w:t>
      </w:r>
      <w:r w:rsidR="00622E9E" w:rsidRPr="007E77AF">
        <w:t>no caso</w:t>
      </w:r>
      <w:r w:rsidR="00BC212A" w:rsidRPr="007E77AF">
        <w:t xml:space="preserve"> de </w:t>
      </w:r>
      <w:r w:rsidR="0041054C" w:rsidRPr="007E77AF">
        <w:t xml:space="preserve">distribuição </w:t>
      </w:r>
      <w:r w:rsidR="008C67F4" w:rsidRPr="007E77AF">
        <w:t>secundária</w:t>
      </w:r>
      <w:r w:rsidRPr="007E77AF">
        <w:t xml:space="preserve">; </w:t>
      </w:r>
      <w:r w:rsidR="00106872" w:rsidRPr="007E77AF">
        <w:t>e</w:t>
      </w:r>
    </w:p>
    <w:p w14:paraId="3EE7B235" w14:textId="6455CE82" w:rsidR="00D74986" w:rsidRPr="007E77AF" w:rsidRDefault="004E166D" w:rsidP="00D74986">
      <w:pPr>
        <w:pStyle w:val="PargrafodaLista"/>
        <w:tabs>
          <w:tab w:val="left" w:pos="1134"/>
        </w:tabs>
        <w:spacing w:before="120" w:after="120" w:line="312" w:lineRule="auto"/>
        <w:ind w:left="0" w:firstLine="567"/>
        <w:jc w:val="both"/>
      </w:pPr>
      <w:r w:rsidRPr="007E77AF">
        <w:t xml:space="preserve">c) </w:t>
      </w:r>
      <w:r w:rsidR="00566053" w:rsidRPr="007E77AF">
        <w:t xml:space="preserve">o administrador </w:t>
      </w:r>
      <w:r w:rsidR="00D316FC" w:rsidRPr="007E77AF">
        <w:t xml:space="preserve">e o gestor </w:t>
      </w:r>
      <w:r w:rsidR="00566053" w:rsidRPr="007E77AF">
        <w:t>do fundo</w:t>
      </w:r>
      <w:r w:rsidR="00106872" w:rsidRPr="007E77AF">
        <w:t xml:space="preserve">, </w:t>
      </w:r>
      <w:r w:rsidR="00BD7C76" w:rsidRPr="007E77AF">
        <w:t>no caso de oferta primária de distribuição de cotas de fundo de investimento</w:t>
      </w:r>
      <w:r w:rsidR="00081C58" w:rsidRPr="007E77AF">
        <w:t>;</w:t>
      </w:r>
    </w:p>
    <w:p w14:paraId="692BADEC" w14:textId="416B3ECE" w:rsidR="00D74986" w:rsidRPr="002C67D2"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XV</w:t>
      </w:r>
      <w:r w:rsidR="0060208D" w:rsidRPr="007E77AF">
        <w:rPr>
          <w:rFonts w:eastAsiaTheme="minorEastAsia"/>
        </w:rPr>
        <w:t xml:space="preserve"> </w:t>
      </w:r>
      <w:r w:rsidR="001F78A2" w:rsidRPr="007E77AF">
        <w:t>–</w:t>
      </w:r>
      <w:r w:rsidR="0060208D" w:rsidRPr="007E77AF">
        <w:rPr>
          <w:rFonts w:eastAsiaTheme="minorEastAsia"/>
        </w:rPr>
        <w:t xml:space="preserve"> </w:t>
      </w:r>
      <w:proofErr w:type="gramStart"/>
      <w:r w:rsidR="0060208D" w:rsidRPr="007E77AF">
        <w:t>período</w:t>
      </w:r>
      <w:proofErr w:type="gramEnd"/>
      <w:r w:rsidR="0060208D" w:rsidRPr="007E77AF">
        <w:t xml:space="preserve"> de distribuição: </w:t>
      </w:r>
      <w:r w:rsidR="00E02F6A" w:rsidRPr="007E77AF">
        <w:rPr>
          <w:rFonts w:ascii="Calibri" w:eastAsia="Calibri" w:hAnsi="Calibri" w:cs="Calibri"/>
        </w:rPr>
        <w:t xml:space="preserve">período </w:t>
      </w:r>
      <w:r w:rsidR="00E235A9" w:rsidRPr="007E77AF">
        <w:rPr>
          <w:rFonts w:ascii="Calibri" w:eastAsia="Calibri" w:hAnsi="Calibri" w:cs="Calibri"/>
        </w:rPr>
        <w:t>da oferta no qual ocorre a subscrição ou aquisição dos valores mobiliários objeto da oferta</w:t>
      </w:r>
      <w:r w:rsidR="00A03B75" w:rsidRPr="007E77AF">
        <w:rPr>
          <w:rFonts w:ascii="Calibri" w:eastAsia="Calibri" w:hAnsi="Calibri" w:cs="Calibri"/>
        </w:rPr>
        <w:t xml:space="preserve">, </w:t>
      </w:r>
      <w:r w:rsidR="00E235A9" w:rsidRPr="007E77AF">
        <w:rPr>
          <w:rFonts w:ascii="Calibri" w:eastAsia="Calibri" w:hAnsi="Calibri" w:cs="Calibri"/>
        </w:rPr>
        <w:t>inicia</w:t>
      </w:r>
      <w:r w:rsidR="00A03B75" w:rsidRPr="007E77AF">
        <w:rPr>
          <w:rFonts w:ascii="Calibri" w:eastAsia="Calibri" w:hAnsi="Calibri" w:cs="Calibri"/>
        </w:rPr>
        <w:t>ndo-se</w:t>
      </w:r>
      <w:r w:rsidR="00E235A9" w:rsidRPr="007E77AF">
        <w:rPr>
          <w:rFonts w:ascii="Calibri" w:eastAsia="Calibri" w:hAnsi="Calibri" w:cs="Calibri"/>
        </w:rPr>
        <w:t xml:space="preserve"> após</w:t>
      </w:r>
      <w:r w:rsidR="00E235A9" w:rsidRPr="007E77AF">
        <w:t>, cumulativamente,</w:t>
      </w:r>
      <w:r w:rsidR="00E235A9" w:rsidRPr="007E77AF">
        <w:rPr>
          <w:rFonts w:ascii="Calibri" w:eastAsia="Calibri" w:hAnsi="Calibri" w:cs="Calibri"/>
        </w:rPr>
        <w:t xml:space="preserve"> a obtenção do registro e a </w:t>
      </w:r>
      <w:r w:rsidR="00A03B75" w:rsidRPr="007E77AF">
        <w:rPr>
          <w:rFonts w:ascii="Calibri" w:eastAsia="Calibri" w:hAnsi="Calibri" w:cs="Calibri"/>
        </w:rPr>
        <w:t xml:space="preserve">divulgação </w:t>
      </w:r>
      <w:r w:rsidR="00E235A9" w:rsidRPr="007E77AF">
        <w:rPr>
          <w:rFonts w:ascii="Calibri" w:eastAsia="Calibri" w:hAnsi="Calibri" w:cs="Calibri"/>
        </w:rPr>
        <w:t xml:space="preserve">do anúncio de início </w:t>
      </w:r>
      <w:r w:rsidR="0023755D" w:rsidRPr="007E77AF">
        <w:rPr>
          <w:rFonts w:ascii="Calibri" w:eastAsia="Calibri" w:hAnsi="Calibri" w:cs="Calibri"/>
        </w:rPr>
        <w:t>de distribuição</w:t>
      </w:r>
      <w:r w:rsidR="00E235A9" w:rsidRPr="007E77AF">
        <w:rPr>
          <w:rFonts w:ascii="Calibri" w:eastAsia="Calibri" w:hAnsi="Calibri" w:cs="Calibri"/>
        </w:rPr>
        <w:t xml:space="preserve"> e encerra</w:t>
      </w:r>
      <w:r w:rsidR="00A03B75" w:rsidRPr="007E77AF">
        <w:rPr>
          <w:rFonts w:ascii="Calibri" w:eastAsia="Calibri" w:hAnsi="Calibri" w:cs="Calibri"/>
        </w:rPr>
        <w:t>ndo-se</w:t>
      </w:r>
      <w:r w:rsidR="00E235A9" w:rsidRPr="007E77AF">
        <w:rPr>
          <w:rFonts w:ascii="Calibri" w:eastAsia="Calibri" w:hAnsi="Calibri" w:cs="Calibri"/>
        </w:rPr>
        <w:t xml:space="preserve"> </w:t>
      </w:r>
      <w:r w:rsidR="00CD123E" w:rsidRPr="007E77AF">
        <w:rPr>
          <w:rFonts w:ascii="Calibri" w:eastAsia="Calibri" w:hAnsi="Calibri" w:cs="Calibri"/>
        </w:rPr>
        <w:t>quando da observância d</w:t>
      </w:r>
      <w:r w:rsidR="00E235A9" w:rsidRPr="007E77AF">
        <w:rPr>
          <w:rFonts w:ascii="Calibri" w:eastAsia="Calibri" w:hAnsi="Calibri" w:cs="Calibri"/>
        </w:rPr>
        <w:t xml:space="preserve">o disposto no inciso </w:t>
      </w:r>
      <w:r w:rsidR="00971E65" w:rsidRPr="007E77AF">
        <w:rPr>
          <w:rFonts w:ascii="Calibri" w:eastAsia="Calibri" w:hAnsi="Calibri" w:cs="Calibri"/>
        </w:rPr>
        <w:t>I</w:t>
      </w:r>
      <w:r w:rsidR="00EE488F">
        <w:rPr>
          <w:rFonts w:ascii="Calibri" w:eastAsia="Calibri" w:hAnsi="Calibri" w:cs="Calibri"/>
        </w:rPr>
        <w:t>X</w:t>
      </w:r>
      <w:r w:rsidR="00E235A9" w:rsidRPr="007E77AF">
        <w:rPr>
          <w:rFonts w:ascii="Calibri" w:eastAsia="Calibri" w:hAnsi="Calibri" w:cs="Calibri"/>
        </w:rPr>
        <w:t xml:space="preserve"> deste artigo</w:t>
      </w:r>
      <w:r w:rsidR="001F78A2" w:rsidRPr="007E77AF">
        <w:rPr>
          <w:rFonts w:ascii="Calibri" w:eastAsia="Calibri" w:hAnsi="Calibri" w:cs="Calibri"/>
        </w:rPr>
        <w:t>;</w:t>
      </w:r>
    </w:p>
    <w:p w14:paraId="38F93D50" w14:textId="107E109C" w:rsidR="00D74986" w:rsidRPr="0054101D" w:rsidRDefault="009069A1" w:rsidP="001353DC">
      <w:pPr>
        <w:spacing w:before="120" w:after="120" w:line="312" w:lineRule="auto"/>
        <w:ind w:firstLine="567"/>
        <w:jc w:val="both"/>
        <w:rPr>
          <w:rFonts w:eastAsia="Calibri"/>
          <w:strike/>
        </w:rPr>
      </w:pPr>
      <w:r w:rsidRPr="0054101D">
        <w:rPr>
          <w:rFonts w:eastAsiaTheme="minorEastAsia" w:cstheme="minorBidi"/>
          <w:strike/>
        </w:rPr>
        <w:t>XVI</w:t>
      </w:r>
      <w:r w:rsidR="21871AD9" w:rsidRPr="0054101D">
        <w:rPr>
          <w:strike/>
        </w:rPr>
        <w:t xml:space="preserve"> </w:t>
      </w:r>
      <w:r w:rsidR="613B733B" w:rsidRPr="0054101D">
        <w:rPr>
          <w:strike/>
        </w:rPr>
        <w:t>–</w:t>
      </w:r>
      <w:r w:rsidR="21871AD9" w:rsidRPr="0054101D">
        <w:rPr>
          <w:strike/>
        </w:rPr>
        <w:t xml:space="preserve"> </w:t>
      </w:r>
      <w:r w:rsidR="613B733B" w:rsidRPr="0054101D">
        <w:rPr>
          <w:strike/>
        </w:rPr>
        <w:t>p</w:t>
      </w:r>
      <w:r w:rsidR="21871AD9" w:rsidRPr="0054101D">
        <w:rPr>
          <w:strike/>
        </w:rPr>
        <w:t>essoa</w:t>
      </w:r>
      <w:r w:rsidR="7125AA1C" w:rsidRPr="0054101D">
        <w:rPr>
          <w:strike/>
        </w:rPr>
        <w:t>s</w:t>
      </w:r>
      <w:r w:rsidR="21871AD9" w:rsidRPr="0054101D">
        <w:rPr>
          <w:strike/>
        </w:rPr>
        <w:t xml:space="preserve"> vinculada</w:t>
      </w:r>
      <w:r w:rsidR="7125AA1C" w:rsidRPr="0054101D">
        <w:rPr>
          <w:strike/>
        </w:rPr>
        <w:t>s</w:t>
      </w:r>
      <w:r w:rsidR="21871AD9" w:rsidRPr="0054101D">
        <w:rPr>
          <w:strike/>
        </w:rPr>
        <w:t>: controladores, diretos ou indiretos, ou administradores d</w:t>
      </w:r>
      <w:r w:rsidR="0094580F" w:rsidRPr="0054101D">
        <w:rPr>
          <w:strike/>
        </w:rPr>
        <w:t>os</w:t>
      </w:r>
      <w:r w:rsidR="00FA1081" w:rsidRPr="0054101D">
        <w:rPr>
          <w:strike/>
        </w:rPr>
        <w:t xml:space="preserve"> </w:t>
      </w:r>
      <w:r w:rsidR="004F291D" w:rsidRPr="0054101D">
        <w:rPr>
          <w:strike/>
        </w:rPr>
        <w:t>participantes</w:t>
      </w:r>
      <w:r w:rsidR="00177406" w:rsidRPr="0054101D">
        <w:rPr>
          <w:strike/>
        </w:rPr>
        <w:t xml:space="preserve"> do consórcio de distribuição, </w:t>
      </w:r>
      <w:r w:rsidR="21871AD9" w:rsidRPr="0054101D">
        <w:rPr>
          <w:strike/>
        </w:rPr>
        <w:t>do emissor, do ofertante</w:t>
      </w:r>
      <w:r w:rsidR="21871AD9" w:rsidRPr="0054101D">
        <w:rPr>
          <w:rFonts w:eastAsia="Calibri"/>
          <w:strike/>
        </w:rPr>
        <w:t xml:space="preserve">, bem como seus cônjuges ou companheiros, seus ascendentes, descendentes e colaterais até o 2º grau, </w:t>
      </w:r>
      <w:r w:rsidR="685BBCB6" w:rsidRPr="0054101D">
        <w:rPr>
          <w:strike/>
        </w:rPr>
        <w:t>e</w:t>
      </w:r>
      <w:r w:rsidR="21871AD9" w:rsidRPr="0054101D">
        <w:rPr>
          <w:rFonts w:eastAsia="Calibri"/>
          <w:strike/>
        </w:rPr>
        <w:t xml:space="preserve"> </w:t>
      </w:r>
      <w:r w:rsidR="02AE973C" w:rsidRPr="0054101D">
        <w:rPr>
          <w:rFonts w:eastAsia="Calibri"/>
          <w:strike/>
        </w:rPr>
        <w:t xml:space="preserve">as </w:t>
      </w:r>
      <w:r w:rsidR="685BBCB6" w:rsidRPr="0054101D">
        <w:rPr>
          <w:rFonts w:eastAsia="Calibri"/>
          <w:strike/>
        </w:rPr>
        <w:t xml:space="preserve">demais </w:t>
      </w:r>
      <w:r w:rsidR="21871AD9" w:rsidRPr="0054101D">
        <w:rPr>
          <w:rFonts w:eastAsia="Calibri"/>
          <w:strike/>
        </w:rPr>
        <w:t xml:space="preserve">pessoas vinculadas à emissão e </w:t>
      </w:r>
      <w:r w:rsidR="60A73CEA" w:rsidRPr="0054101D">
        <w:rPr>
          <w:strike/>
        </w:rPr>
        <w:t xml:space="preserve">à </w:t>
      </w:r>
      <w:r w:rsidR="21871AD9" w:rsidRPr="0054101D">
        <w:rPr>
          <w:rFonts w:eastAsia="Calibri"/>
          <w:strike/>
        </w:rPr>
        <w:t>distribuição, conforme definidas na regulamentação da CVM que dispõe sobre normas e procedimentos a serem observados nas operações realizadas com valores mobiliários em mercados regulamentados;</w:t>
      </w:r>
      <w:bookmarkStart w:id="24" w:name="_Ref462907567"/>
      <w:bookmarkEnd w:id="24"/>
    </w:p>
    <w:p w14:paraId="7BD1E2A2" w14:textId="77777777" w:rsidR="0054101D" w:rsidRDefault="0054101D" w:rsidP="0054101D">
      <w:pPr>
        <w:spacing w:before="120" w:after="120" w:line="312" w:lineRule="auto"/>
        <w:ind w:firstLine="567"/>
        <w:jc w:val="both"/>
      </w:pPr>
      <w:r w:rsidRPr="006D480D">
        <w:t>XVI – pessoas vinculadas: controladores, diretos ou indiretos, ou administradores dos participantes</w:t>
      </w:r>
      <w:r>
        <w:t xml:space="preserve"> </w:t>
      </w:r>
      <w:r w:rsidRPr="006D480D">
        <w:t xml:space="preserve">do consórcio de distribuição, do emissor, do ofertante, bem como seus cônjuges ou companheiros, seus ascendentes, descendentes e </w:t>
      </w:r>
      <w:r w:rsidRPr="0054101D">
        <w:rPr>
          <w:rFonts w:ascii="Calibri" w:eastAsia="Calibri" w:hAnsi="Calibri" w:cs="Calibri"/>
        </w:rPr>
        <w:t>colaterais</w:t>
      </w:r>
      <w:r w:rsidRPr="006D480D">
        <w:t xml:space="preserve"> até o 2º grau, </w:t>
      </w:r>
      <w:r>
        <w:t xml:space="preserve">sociedades por eles controladas direta ou indiretamente </w:t>
      </w:r>
      <w:r w:rsidRPr="006D480D">
        <w:t>e</w:t>
      </w:r>
      <w:r>
        <w:t>, quando atuando na emissão ou distribuição,</w:t>
      </w:r>
      <w:r w:rsidRPr="006D480D">
        <w:t xml:space="preserve"> as demais pessoas</w:t>
      </w:r>
      <w:r>
        <w:t xml:space="preserve"> consideradas vinculadas na regulamentação </w:t>
      </w:r>
      <w:r w:rsidRPr="006D480D">
        <w:t>da CVM que dispõe sobre normas e procedimentos a serem observados nas operações realizadas com valores mobiliários em mercados regulamentados</w:t>
      </w:r>
      <w:r>
        <w:t>;</w:t>
      </w:r>
    </w:p>
    <w:p w14:paraId="7B067019" w14:textId="54034C2B" w:rsidR="0054101D" w:rsidRPr="00025DC1" w:rsidRDefault="0054101D" w:rsidP="0054101D">
      <w:pPr>
        <w:pStyle w:val="PargrafodaLista"/>
        <w:numPr>
          <w:ilvl w:val="0"/>
          <w:numId w:val="53"/>
        </w:numPr>
        <w:tabs>
          <w:tab w:val="left" w:pos="993"/>
        </w:tabs>
        <w:spacing w:line="312" w:lineRule="auto"/>
        <w:ind w:left="709" w:hanging="142"/>
        <w:contextualSpacing/>
        <w:jc w:val="both"/>
        <w:rPr>
          <w:b/>
          <w:i/>
        </w:rPr>
      </w:pPr>
      <w:r>
        <w:rPr>
          <w:b/>
          <w:i/>
        </w:rPr>
        <w:t xml:space="preserve">Inciso XVI com redação dada pela </w:t>
      </w:r>
      <w:r w:rsidRPr="00025DC1">
        <w:rPr>
          <w:b/>
          <w:i/>
        </w:rPr>
        <w:t xml:space="preserve">Resolução CVM nº </w:t>
      </w:r>
      <w:r>
        <w:rPr>
          <w:b/>
          <w:i/>
        </w:rPr>
        <w:t>173</w:t>
      </w:r>
      <w:r w:rsidRPr="00025DC1">
        <w:rPr>
          <w:b/>
          <w:i/>
        </w:rPr>
        <w:t>, de 2</w:t>
      </w:r>
      <w:r>
        <w:rPr>
          <w:b/>
          <w:i/>
        </w:rPr>
        <w:t>9</w:t>
      </w:r>
      <w:r w:rsidRPr="00025DC1">
        <w:rPr>
          <w:b/>
          <w:i/>
        </w:rPr>
        <w:t xml:space="preserve"> de </w:t>
      </w:r>
      <w:r>
        <w:rPr>
          <w:b/>
          <w:i/>
        </w:rPr>
        <w:t>novembro de 2022</w:t>
      </w:r>
      <w:r w:rsidRPr="00025DC1">
        <w:rPr>
          <w:b/>
          <w:i/>
        </w:rPr>
        <w:t>.</w:t>
      </w:r>
    </w:p>
    <w:p w14:paraId="16D0B2FB" w14:textId="5B4CAE7E" w:rsidR="00D74986" w:rsidRPr="002C67D2"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XVII</w:t>
      </w:r>
      <w:r w:rsidR="21871AD9" w:rsidRPr="007E77AF">
        <w:rPr>
          <w:rFonts w:ascii="Calibri" w:eastAsia="Calibri" w:hAnsi="Calibri"/>
        </w:rPr>
        <w:t xml:space="preserve"> </w:t>
      </w:r>
      <w:r w:rsidR="685BBCB6" w:rsidRPr="007E77AF">
        <w:rPr>
          <w:rFonts w:ascii="Calibri" w:eastAsia="Calibri" w:hAnsi="Calibri"/>
        </w:rPr>
        <w:t>–</w:t>
      </w:r>
      <w:r w:rsidR="21871AD9" w:rsidRPr="007E77AF">
        <w:rPr>
          <w:rFonts w:ascii="Calibri" w:eastAsia="Calibri" w:hAnsi="Calibri"/>
        </w:rPr>
        <w:t xml:space="preserve"> </w:t>
      </w:r>
      <w:r w:rsidR="004564A4" w:rsidRPr="007E77AF">
        <w:t xml:space="preserve">procedimento de precificação </w:t>
      </w:r>
      <w:r w:rsidR="21871AD9" w:rsidRPr="007E77AF">
        <w:t>(</w:t>
      </w:r>
      <w:proofErr w:type="spellStart"/>
      <w:r w:rsidR="685BBCB6" w:rsidRPr="007E77AF">
        <w:rPr>
          <w:b/>
          <w:bCs/>
        </w:rPr>
        <w:t>b</w:t>
      </w:r>
      <w:r w:rsidR="21871AD9" w:rsidRPr="007E77AF">
        <w:rPr>
          <w:b/>
          <w:bCs/>
        </w:rPr>
        <w:t>ookbuilding</w:t>
      </w:r>
      <w:proofErr w:type="spellEnd"/>
      <w:r w:rsidR="21871AD9" w:rsidRPr="007E77AF">
        <w:t xml:space="preserve">): </w:t>
      </w:r>
      <w:r w:rsidR="00A137AC" w:rsidRPr="00E768E4">
        <w:rPr>
          <w:rFonts w:cstheme="minorHAnsi"/>
        </w:rPr>
        <w:t>p</w:t>
      </w:r>
      <w:r w:rsidR="003B6367" w:rsidRPr="00E768E4">
        <w:rPr>
          <w:rFonts w:cstheme="minorHAnsi"/>
        </w:rPr>
        <w:t>rocedimento de coleta de intenções de investimento para precificação</w:t>
      </w:r>
      <w:r w:rsidR="003B6367" w:rsidRPr="007E77AF">
        <w:t xml:space="preserve"> </w:t>
      </w:r>
      <w:r w:rsidR="21871AD9" w:rsidRPr="007E77AF">
        <w:t>do valor mobiliário</w:t>
      </w:r>
      <w:r w:rsidR="00A137AC" w:rsidRPr="007E77AF">
        <w:t>,</w:t>
      </w:r>
      <w:r w:rsidR="003B6367" w:rsidRPr="007E77AF">
        <w:t xml:space="preserve"> a ser</w:t>
      </w:r>
      <w:r w:rsidR="21871AD9" w:rsidRPr="007E77AF">
        <w:t xml:space="preserve"> realizado </w:t>
      </w:r>
      <w:r w:rsidR="003E1A70" w:rsidRPr="007E77AF">
        <w:t>conforme disposto no</w:t>
      </w:r>
      <w:r w:rsidR="0688CFA1" w:rsidRPr="007E77AF">
        <w:t xml:space="preserve"> </w:t>
      </w:r>
      <w:r w:rsidR="21871AD9" w:rsidRPr="007E77AF">
        <w:t>art.</w:t>
      </w:r>
      <w:r w:rsidR="004564A4" w:rsidRPr="007E77AF">
        <w:t xml:space="preserve"> </w:t>
      </w:r>
      <w:r w:rsidR="00DE0560">
        <w:t>61</w:t>
      </w:r>
      <w:r w:rsidR="21871AD9" w:rsidRPr="007E77AF">
        <w:t>, § 2º, e que não se confunde com o recebimento de reservas quando a oferta está a mercado;</w:t>
      </w:r>
      <w:bookmarkStart w:id="25" w:name="_Ref462577891"/>
      <w:bookmarkEnd w:id="25"/>
    </w:p>
    <w:p w14:paraId="35BD9C08" w14:textId="27CF0D90" w:rsidR="00D74986" w:rsidRPr="007E77AF" w:rsidRDefault="009069A1" w:rsidP="001353DC">
      <w:pPr>
        <w:spacing w:before="120" w:after="120" w:line="312" w:lineRule="auto"/>
        <w:ind w:firstLine="567"/>
        <w:jc w:val="both"/>
      </w:pPr>
      <w:r w:rsidRPr="007E77AF">
        <w:lastRenderedPageBreak/>
        <w:t>X</w:t>
      </w:r>
      <w:r w:rsidR="00492E6B">
        <w:t>V</w:t>
      </w:r>
      <w:r w:rsidRPr="007E77AF">
        <w:t>I</w:t>
      </w:r>
      <w:r w:rsidR="00492E6B">
        <w:t>II</w:t>
      </w:r>
      <w:r w:rsidR="21871AD9" w:rsidRPr="007E77AF">
        <w:t xml:space="preserve"> – prospecto: </w:t>
      </w:r>
      <w:r w:rsidR="00324DB6" w:rsidRPr="007E77AF">
        <w:t xml:space="preserve">os </w:t>
      </w:r>
      <w:r w:rsidR="685BBCB6" w:rsidRPr="007E77AF">
        <w:t>p</w:t>
      </w:r>
      <w:r w:rsidR="21871AD9" w:rsidRPr="007E77AF">
        <w:t xml:space="preserve">rospectos </w:t>
      </w:r>
      <w:r w:rsidR="685BBCB6" w:rsidRPr="007E77AF">
        <w:t>p</w:t>
      </w:r>
      <w:r w:rsidR="21871AD9" w:rsidRPr="007E77AF">
        <w:t xml:space="preserve">reliminar e </w:t>
      </w:r>
      <w:r w:rsidR="685BBCB6" w:rsidRPr="007E77AF">
        <w:t>d</w:t>
      </w:r>
      <w:r w:rsidR="21871AD9" w:rsidRPr="007E77AF">
        <w:t xml:space="preserve">efinitivo, ou somente o </w:t>
      </w:r>
      <w:r w:rsidR="685BBCB6" w:rsidRPr="007E77AF">
        <w:t>p</w:t>
      </w:r>
      <w:r w:rsidR="21871AD9" w:rsidRPr="007E77AF">
        <w:t xml:space="preserve">rospecto </w:t>
      </w:r>
      <w:r w:rsidR="685BBCB6" w:rsidRPr="007E77AF">
        <w:t>d</w:t>
      </w:r>
      <w:r w:rsidR="21871AD9" w:rsidRPr="007E77AF">
        <w:t xml:space="preserve">efinitivo, na hipótese de oferta que não contenha previsão de utilização de </w:t>
      </w:r>
      <w:r w:rsidR="685BBCB6" w:rsidRPr="007E77AF">
        <w:t>p</w:t>
      </w:r>
      <w:r w:rsidR="21871AD9" w:rsidRPr="007E77AF">
        <w:t xml:space="preserve">rospecto </w:t>
      </w:r>
      <w:r w:rsidR="685BBCB6" w:rsidRPr="007E77AF">
        <w:t>p</w:t>
      </w:r>
      <w:r w:rsidR="21871AD9" w:rsidRPr="007E77AF">
        <w:t>reliminar;</w:t>
      </w:r>
    </w:p>
    <w:p w14:paraId="626706B3" w14:textId="616C735C" w:rsidR="00D74986" w:rsidRPr="007E77AF" w:rsidRDefault="009069A1" w:rsidP="001353DC">
      <w:pPr>
        <w:spacing w:before="120" w:after="120" w:line="312" w:lineRule="auto"/>
        <w:ind w:firstLine="567"/>
        <w:jc w:val="both"/>
      </w:pPr>
      <w:r w:rsidRPr="007E77AF">
        <w:t>X</w:t>
      </w:r>
      <w:r w:rsidR="00492E6B">
        <w:t>I</w:t>
      </w:r>
      <w:r w:rsidRPr="007E77AF">
        <w:t>X</w:t>
      </w:r>
      <w:r w:rsidR="21871AD9" w:rsidRPr="007E77AF">
        <w:t xml:space="preserve"> – </w:t>
      </w:r>
      <w:r w:rsidR="685BBCB6" w:rsidRPr="007E77AF">
        <w:t>p</w:t>
      </w:r>
      <w:r w:rsidR="21871AD9" w:rsidRPr="007E77AF">
        <w:t xml:space="preserve">rospecto </w:t>
      </w:r>
      <w:r w:rsidR="685BBCB6" w:rsidRPr="007E77AF">
        <w:t>d</w:t>
      </w:r>
      <w:r w:rsidR="21871AD9" w:rsidRPr="007E77AF">
        <w:t>efinitivo:</w:t>
      </w:r>
      <w:r w:rsidR="21871AD9" w:rsidRPr="007E77AF" w:rsidDel="00BC212A">
        <w:t xml:space="preserve"> </w:t>
      </w:r>
      <w:r w:rsidR="21871AD9" w:rsidRPr="007E77AF">
        <w:t xml:space="preserve">prospecto </w:t>
      </w:r>
      <w:r w:rsidR="349B2204" w:rsidRPr="007E77AF">
        <w:t xml:space="preserve">cuja divulgação </w:t>
      </w:r>
      <w:r w:rsidR="21871AD9" w:rsidRPr="007E77AF">
        <w:t>é requisito para o início da distribuição</w:t>
      </w:r>
      <w:r w:rsidR="00E27C1F" w:rsidRPr="007E77AF">
        <w:t>, conforme</w:t>
      </w:r>
      <w:r w:rsidR="21871AD9" w:rsidRPr="007E77AF">
        <w:t xml:space="preserve"> art. </w:t>
      </w:r>
      <w:r w:rsidR="002C4313">
        <w:t>59</w:t>
      </w:r>
      <w:r w:rsidR="002B6C36" w:rsidRPr="007E77AF">
        <w:t>;</w:t>
      </w:r>
    </w:p>
    <w:p w14:paraId="6C68F85E" w14:textId="1892774D" w:rsidR="00D74986" w:rsidRPr="007E77AF" w:rsidRDefault="009069A1" w:rsidP="001353DC">
      <w:pPr>
        <w:spacing w:before="120" w:after="120" w:line="312" w:lineRule="auto"/>
        <w:ind w:firstLine="567"/>
        <w:jc w:val="both"/>
      </w:pPr>
      <w:r w:rsidRPr="007E77AF">
        <w:t>XX</w:t>
      </w:r>
      <w:r w:rsidR="21871AD9" w:rsidRPr="007E77AF">
        <w:t xml:space="preserve"> – </w:t>
      </w:r>
      <w:proofErr w:type="gramStart"/>
      <w:r w:rsidR="685BBCB6" w:rsidRPr="007E77AF">
        <w:t>p</w:t>
      </w:r>
      <w:r w:rsidR="21871AD9" w:rsidRPr="007E77AF">
        <w:t>rospecto</w:t>
      </w:r>
      <w:proofErr w:type="gramEnd"/>
      <w:r w:rsidR="21871AD9" w:rsidRPr="007E77AF">
        <w:t xml:space="preserve"> </w:t>
      </w:r>
      <w:r w:rsidR="685BBCB6" w:rsidRPr="007E77AF">
        <w:t>p</w:t>
      </w:r>
      <w:r w:rsidR="21871AD9" w:rsidRPr="007E77AF">
        <w:t xml:space="preserve">reliminar: prospecto </w:t>
      </w:r>
      <w:r w:rsidR="00CE172D" w:rsidRPr="007E77AF">
        <w:t>disponível para consulta do público em geral</w:t>
      </w:r>
      <w:r w:rsidR="00C91407" w:rsidRPr="007E77AF">
        <w:t>,</w:t>
      </w:r>
      <w:r w:rsidR="00CE172D" w:rsidRPr="007E77AF">
        <w:t xml:space="preserve"> </w:t>
      </w:r>
      <w:r w:rsidR="00FB208B" w:rsidRPr="007E77AF">
        <w:t xml:space="preserve">nos termos e condições previstos no art. </w:t>
      </w:r>
      <w:r w:rsidR="0086760A" w:rsidRPr="007E77AF">
        <w:t>20</w:t>
      </w:r>
      <w:r w:rsidR="007D683E" w:rsidRPr="007E77AF">
        <w:t>;</w:t>
      </w:r>
    </w:p>
    <w:p w14:paraId="3603D48F" w14:textId="45F78782"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XXI</w:t>
      </w:r>
      <w:r w:rsidR="2C2F6EB9" w:rsidRPr="007E77AF">
        <w:t xml:space="preserve"> </w:t>
      </w:r>
      <w:r w:rsidR="27C3A486" w:rsidRPr="007E77AF">
        <w:t>–</w:t>
      </w:r>
      <w:r w:rsidR="2E82A914" w:rsidRPr="007E77AF">
        <w:t xml:space="preserve"> </w:t>
      </w:r>
      <w:r w:rsidR="777AFF01" w:rsidRPr="007E77AF">
        <w:t>p</w:t>
      </w:r>
      <w:r w:rsidR="68E787C6" w:rsidRPr="007E77AF">
        <w:t xml:space="preserve">úblico </w:t>
      </w:r>
      <w:r w:rsidR="3A8C3074" w:rsidRPr="007E77AF">
        <w:t xml:space="preserve">investidor </w:t>
      </w:r>
      <w:r w:rsidR="68E787C6" w:rsidRPr="007E77AF">
        <w:t>em geral</w:t>
      </w:r>
      <w:r w:rsidR="3F438BE4" w:rsidRPr="007E77AF">
        <w:t xml:space="preserve">: </w:t>
      </w:r>
      <w:r w:rsidR="005774D9" w:rsidRPr="007E77AF">
        <w:t xml:space="preserve">quaisquer </w:t>
      </w:r>
      <w:r w:rsidR="2E82A914" w:rsidRPr="007E77AF">
        <w:t>pessoas naturais</w:t>
      </w:r>
      <w:r w:rsidR="2924D68A" w:rsidRPr="007E77AF">
        <w:t xml:space="preserve"> ou</w:t>
      </w:r>
      <w:r w:rsidR="2E82A914" w:rsidRPr="007E77AF">
        <w:t xml:space="preserve"> jurídicas</w:t>
      </w:r>
      <w:r w:rsidR="7C5159FD" w:rsidRPr="007E77AF">
        <w:t xml:space="preserve">, </w:t>
      </w:r>
      <w:r w:rsidR="2E82A914" w:rsidRPr="007E77AF">
        <w:t>fundo</w:t>
      </w:r>
      <w:r w:rsidR="22520D4B" w:rsidRPr="007E77AF">
        <w:t xml:space="preserve">s e </w:t>
      </w:r>
      <w:r w:rsidR="2E82A914" w:rsidRPr="007E77AF">
        <w:t>veículo</w:t>
      </w:r>
      <w:r w:rsidR="22520D4B" w:rsidRPr="007E77AF">
        <w:t>s</w:t>
      </w:r>
      <w:r w:rsidR="2E82A914" w:rsidRPr="007E77AF">
        <w:t xml:space="preserve"> de investimento coletivo ou </w:t>
      </w:r>
      <w:r w:rsidR="22520D4B" w:rsidRPr="007E77AF">
        <w:t xml:space="preserve">de </w:t>
      </w:r>
      <w:r w:rsidR="2E82A914" w:rsidRPr="007E77AF">
        <w:t>universalidade de direitos</w:t>
      </w:r>
      <w:r w:rsidR="22520D4B" w:rsidRPr="007E77AF">
        <w:t>,</w:t>
      </w:r>
      <w:r w:rsidR="2E82A914" w:rsidRPr="007E77AF">
        <w:t xml:space="preserve"> ou qualquer outra </w:t>
      </w:r>
      <w:r w:rsidR="00637E6E" w:rsidRPr="007E77AF">
        <w:t xml:space="preserve">entidade </w:t>
      </w:r>
      <w:r w:rsidR="2E82A914" w:rsidRPr="007E77AF">
        <w:t xml:space="preserve">destinatária da oferta pública, </w:t>
      </w:r>
      <w:r w:rsidR="64A4265B" w:rsidRPr="007E77AF">
        <w:t xml:space="preserve">incluindo conjuntos de pessoas representados por </w:t>
      </w:r>
      <w:r w:rsidR="3F438BE4" w:rsidRPr="007E77AF">
        <w:t>uma classe, categoria ou grupo</w:t>
      </w:r>
      <w:r w:rsidR="00C26418" w:rsidRPr="007E77AF">
        <w:t>;</w:t>
      </w:r>
    </w:p>
    <w:p w14:paraId="39116782" w14:textId="09375163" w:rsidR="00B97D4B" w:rsidRPr="007E77AF" w:rsidRDefault="3F9A7EAD" w:rsidP="009069A1">
      <w:pPr>
        <w:spacing w:before="120" w:after="120" w:line="312" w:lineRule="auto"/>
        <w:ind w:firstLine="567"/>
        <w:jc w:val="both"/>
      </w:pPr>
      <w:r w:rsidRPr="136341F5">
        <w:rPr>
          <w:rFonts w:eastAsiaTheme="minorEastAsia" w:cstheme="minorBidi"/>
        </w:rPr>
        <w:t>XXII</w:t>
      </w:r>
      <w:r w:rsidR="5A7A5121">
        <w:t xml:space="preserve"> – </w:t>
      </w:r>
      <w:r w:rsidR="5A7A5121" w:rsidRPr="00E768E4">
        <w:t>sociedade com propósito de aquisição de companhia</w:t>
      </w:r>
      <w:r w:rsidR="1419F1EB">
        <w:t xml:space="preserve"> (SPAC)</w:t>
      </w:r>
      <w:r w:rsidR="5481CA7B">
        <w:t>:</w:t>
      </w:r>
      <w:r w:rsidR="7261E13F">
        <w:t xml:space="preserve"> </w:t>
      </w:r>
      <w:r w:rsidR="42C8857D">
        <w:t xml:space="preserve">emissora </w:t>
      </w:r>
      <w:r w:rsidR="6F3BAEAC">
        <w:t>em fase pré-operacional constituíd</w:t>
      </w:r>
      <w:r w:rsidR="00481900">
        <w:t>a</w:t>
      </w:r>
      <w:r w:rsidR="6F3BAEAC">
        <w:t xml:space="preserve"> com a finalidade exclusiva de participar futuramente no capital social de sociedade operacional pré-existente</w:t>
      </w:r>
      <w:r w:rsidR="4EE92281">
        <w:t>; e</w:t>
      </w:r>
    </w:p>
    <w:p w14:paraId="5DC3498D" w14:textId="0D3FD842" w:rsidR="00C26418" w:rsidRPr="007E77AF" w:rsidRDefault="4EE92281" w:rsidP="136341F5">
      <w:pPr>
        <w:spacing w:before="120" w:after="120" w:line="312" w:lineRule="auto"/>
        <w:ind w:firstLine="567"/>
        <w:jc w:val="both"/>
        <w:rPr>
          <w:rFonts w:eastAsiaTheme="minorEastAsia" w:cstheme="minorBidi"/>
        </w:rPr>
      </w:pPr>
      <w:r>
        <w:t>XXI</w:t>
      </w:r>
      <w:r w:rsidR="00492E6B">
        <w:t>II</w:t>
      </w:r>
      <w:r>
        <w:t xml:space="preserve"> – venda a descoberto de ações: venda realizada por investidores que não sejam titulares das ações, ou cuja titularidade resulte de empréstimo ou outro contrato de efeito equivalente</w:t>
      </w:r>
      <w:r w:rsidR="0DB3CD01">
        <w:t>.</w:t>
      </w:r>
    </w:p>
    <w:p w14:paraId="70401A24" w14:textId="01E1FDF3" w:rsidR="00D74986" w:rsidRPr="007E77AF" w:rsidRDefault="00723124" w:rsidP="00D74986">
      <w:pPr>
        <w:spacing w:before="120" w:after="120" w:line="312" w:lineRule="auto"/>
        <w:ind w:firstLine="567"/>
        <w:jc w:val="both"/>
        <w:rPr>
          <w:rFonts w:eastAsiaTheme="minorEastAsia" w:cstheme="minorBidi"/>
        </w:rPr>
      </w:pPr>
      <w:r w:rsidRPr="007E77AF" w:rsidDel="00957752">
        <w:rPr>
          <w:rFonts w:eastAsiaTheme="minorEastAsia" w:cstheme="minorBidi"/>
        </w:rPr>
        <w:t>Parágrafo único.</w:t>
      </w:r>
      <w:r w:rsidR="00957752" w:rsidRPr="007E77AF">
        <w:rPr>
          <w:rFonts w:eastAsiaTheme="minorEastAsia" w:cstheme="minorBidi"/>
        </w:rPr>
        <w:t xml:space="preserve"> </w:t>
      </w:r>
      <w:r w:rsidRPr="007E77AF">
        <w:rPr>
          <w:rFonts w:eastAsiaTheme="minorEastAsia" w:cstheme="minorBidi"/>
        </w:rPr>
        <w:t xml:space="preserve"> Considera-se</w:t>
      </w:r>
      <w:r w:rsidR="00207C7B" w:rsidRPr="007E77AF">
        <w:rPr>
          <w:rFonts w:eastAsiaTheme="minorEastAsia" w:cstheme="minorBidi"/>
        </w:rPr>
        <w:t xml:space="preserve"> meio de comunicação de massa eletrônico</w:t>
      </w:r>
      <w:r w:rsidRPr="007E77AF">
        <w:rPr>
          <w:rFonts w:eastAsiaTheme="minorEastAsia" w:cstheme="minorBidi"/>
        </w:rPr>
        <w:t xml:space="preserve">, para fins do inciso </w:t>
      </w:r>
      <w:r w:rsidR="0086760A" w:rsidRPr="007E77AF">
        <w:rPr>
          <w:rFonts w:eastAsiaTheme="minorEastAsia" w:cstheme="minorBidi"/>
        </w:rPr>
        <w:t>XI</w:t>
      </w:r>
      <w:r w:rsidR="00971E65" w:rsidRPr="007E77AF">
        <w:rPr>
          <w:rFonts w:eastAsiaTheme="minorEastAsia" w:cstheme="minorBidi"/>
        </w:rPr>
        <w:t>I</w:t>
      </w:r>
      <w:r w:rsidR="006E7A10" w:rsidRPr="007E77AF">
        <w:rPr>
          <w:rFonts w:eastAsiaTheme="minorEastAsia" w:cstheme="minorBidi"/>
        </w:rPr>
        <w:t xml:space="preserve">, </w:t>
      </w:r>
      <w:r w:rsidR="003F5257" w:rsidRPr="007E77AF">
        <w:rPr>
          <w:rFonts w:eastAsiaTheme="minorEastAsia" w:cstheme="minorBidi"/>
        </w:rPr>
        <w:t xml:space="preserve">as páginas na </w:t>
      </w:r>
      <w:r w:rsidR="00993D80" w:rsidRPr="007E77AF">
        <w:rPr>
          <w:rFonts w:eastAsiaTheme="minorEastAsia" w:cstheme="minorBidi"/>
        </w:rPr>
        <w:t>rede mundial de computadores</w:t>
      </w:r>
      <w:r w:rsidR="00797AC6" w:rsidRPr="007E77AF">
        <w:rPr>
          <w:rFonts w:eastAsiaTheme="minorEastAsia" w:cstheme="minorBidi"/>
        </w:rPr>
        <w:t xml:space="preserve"> ou qualquer outra rede</w:t>
      </w:r>
      <w:r w:rsidR="00993D80" w:rsidRPr="007E77AF">
        <w:rPr>
          <w:rFonts w:eastAsiaTheme="minorEastAsia" w:cstheme="minorBidi"/>
        </w:rPr>
        <w:t xml:space="preserve">, </w:t>
      </w:r>
      <w:r w:rsidR="00797AC6" w:rsidRPr="007E77AF">
        <w:rPr>
          <w:rFonts w:eastAsiaTheme="minorEastAsia" w:cstheme="minorBidi"/>
        </w:rPr>
        <w:t xml:space="preserve">bem como </w:t>
      </w:r>
      <w:r w:rsidR="00993D80" w:rsidRPr="007E77AF">
        <w:rPr>
          <w:rFonts w:eastAsiaTheme="minorEastAsia" w:cstheme="minorBidi"/>
        </w:rPr>
        <w:t>programas</w:t>
      </w:r>
      <w:r w:rsidR="00CD3B3F" w:rsidRPr="007E77AF">
        <w:rPr>
          <w:rFonts w:eastAsiaTheme="minorEastAsia" w:cstheme="minorBidi"/>
        </w:rPr>
        <w:t>,</w:t>
      </w:r>
      <w:r w:rsidR="00993D80" w:rsidRPr="007E77AF">
        <w:rPr>
          <w:rFonts w:eastAsiaTheme="minorEastAsia" w:cstheme="minorBidi"/>
        </w:rPr>
        <w:t xml:space="preserve"> aplicativos </w:t>
      </w:r>
      <w:r w:rsidR="002511F5" w:rsidRPr="007E77AF">
        <w:rPr>
          <w:rFonts w:eastAsiaTheme="minorEastAsia" w:cstheme="minorBidi"/>
        </w:rPr>
        <w:t xml:space="preserve">de mensageria eletrônica e </w:t>
      </w:r>
      <w:r w:rsidR="00207C7B" w:rsidRPr="007E77AF">
        <w:rPr>
          <w:rFonts w:eastAsiaTheme="minorEastAsia" w:cstheme="minorBidi"/>
        </w:rPr>
        <w:t>as redes sociais.</w:t>
      </w:r>
    </w:p>
    <w:p w14:paraId="3A150C49" w14:textId="2A18AFE2" w:rsidR="00D74986" w:rsidRPr="007E77AF" w:rsidRDefault="003C55F7" w:rsidP="006B018B">
      <w:pPr>
        <w:pStyle w:val="Captulo"/>
      </w:pPr>
      <w:bookmarkStart w:id="26" w:name="_Toc467256264"/>
      <w:bookmarkStart w:id="27" w:name="_Toc476216306"/>
      <w:bookmarkStart w:id="28" w:name="_Toc108516027"/>
      <w:bookmarkStart w:id="29" w:name="_Toc108203058"/>
      <w:bookmarkStart w:id="30" w:name="_Toc58111887"/>
      <w:bookmarkStart w:id="31" w:name="_Toc136502798"/>
      <w:r w:rsidRPr="007E77AF">
        <w:t xml:space="preserve">CAPÍTULO II – </w:t>
      </w:r>
      <w:r w:rsidR="00E027AA" w:rsidRPr="007E77AF">
        <w:t xml:space="preserve">OFERTAS </w:t>
      </w:r>
      <w:r w:rsidR="00CF6500">
        <w:t xml:space="preserve">PÚBLICAS </w:t>
      </w:r>
      <w:r w:rsidR="00E027AA" w:rsidRPr="007E77AF">
        <w:t>DE DISTRIBUIÇÃO</w:t>
      </w:r>
      <w:r w:rsidR="00F55FAB" w:rsidRPr="007E77AF">
        <w:t xml:space="preserve"> DE VALORES MOBILIÁRIOS</w:t>
      </w:r>
      <w:bookmarkEnd w:id="26"/>
      <w:bookmarkEnd w:id="27"/>
      <w:bookmarkEnd w:id="28"/>
      <w:bookmarkEnd w:id="29"/>
      <w:bookmarkEnd w:id="31"/>
    </w:p>
    <w:p w14:paraId="66F793D1" w14:textId="5EC65DC8" w:rsidR="00D74986" w:rsidRPr="007E77AF" w:rsidRDefault="00F55FAB" w:rsidP="006B018B">
      <w:pPr>
        <w:pStyle w:val="Seo"/>
      </w:pPr>
      <w:bookmarkStart w:id="32" w:name="_Toc467256265"/>
      <w:bookmarkStart w:id="33" w:name="_Toc476216307"/>
      <w:bookmarkStart w:id="34" w:name="_Toc108516028"/>
      <w:bookmarkStart w:id="35" w:name="_Toc108203059"/>
      <w:bookmarkStart w:id="36" w:name="_Toc136502799"/>
      <w:r w:rsidRPr="007E77AF">
        <w:t xml:space="preserve">Seção I – Ofertas </w:t>
      </w:r>
      <w:r w:rsidR="0086512B" w:rsidRPr="007E77AF">
        <w:t>P</w:t>
      </w:r>
      <w:r w:rsidRPr="007E77AF">
        <w:t>úblicas</w:t>
      </w:r>
      <w:bookmarkEnd w:id="32"/>
      <w:bookmarkEnd w:id="33"/>
      <w:bookmarkEnd w:id="34"/>
      <w:bookmarkEnd w:id="35"/>
      <w:bookmarkEnd w:id="36"/>
    </w:p>
    <w:p w14:paraId="65102C63" w14:textId="414CF7D1" w:rsidR="00D74986" w:rsidRPr="007E77AF" w:rsidRDefault="009069A1" w:rsidP="001353DC">
      <w:pPr>
        <w:spacing w:before="120" w:after="120" w:line="312" w:lineRule="auto"/>
        <w:ind w:firstLine="567"/>
        <w:jc w:val="both"/>
      </w:pPr>
      <w:bookmarkStart w:id="37" w:name="_Ref460491192"/>
      <w:r w:rsidRPr="007E77AF">
        <w:t>Art. 3</w:t>
      </w:r>
      <w:r w:rsidR="00E50F9E" w:rsidRPr="007E77AF">
        <w:t xml:space="preserve">º  </w:t>
      </w:r>
      <w:r w:rsidR="00397CC8" w:rsidRPr="007E77AF">
        <w:t xml:space="preserve">Configura oferta pública </w:t>
      </w:r>
      <w:r w:rsidR="0008429F">
        <w:t xml:space="preserve">de distribuição </w:t>
      </w:r>
      <w:r w:rsidR="00397CC8" w:rsidRPr="007E77AF">
        <w:t>o ato de comunicação</w:t>
      </w:r>
      <w:r w:rsidR="009D1DAC" w:rsidRPr="007E77AF">
        <w:t xml:space="preserve"> </w:t>
      </w:r>
      <w:r w:rsidR="00397CC8" w:rsidRPr="007E77AF">
        <w:t>oriundo do ofertante</w:t>
      </w:r>
      <w:r w:rsidR="000C7FD0">
        <w:t>, do emissor, quando este não for o ofertante,</w:t>
      </w:r>
      <w:r w:rsidR="00397CC8" w:rsidRPr="007E77AF" w:rsidDel="00DE63B2">
        <w:t xml:space="preserve"> ou ainda de quaisquer pessoas naturais ou jurídicas, integrantes ou não do sistema de distribuição de valores mobiliários, atuando em nome do emissor, do ofertante ou das </w:t>
      </w:r>
      <w:r w:rsidR="00397CC8" w:rsidRPr="004573CB" w:rsidDel="00DE63B2">
        <w:t>instituições intermediárias</w:t>
      </w:r>
      <w:r w:rsidR="00397CC8" w:rsidRPr="007E77AF">
        <w:t xml:space="preserve">, </w:t>
      </w:r>
      <w:r w:rsidR="00A64C1D">
        <w:t xml:space="preserve">disseminado </w:t>
      </w:r>
      <w:r w:rsidR="00397CC8" w:rsidRPr="007E77AF">
        <w:t>por qualquer meio ou forma</w:t>
      </w:r>
      <w:r w:rsidR="00A249BA">
        <w:t xml:space="preserve"> que permita o alcance de diversos destinatários</w:t>
      </w:r>
      <w:r w:rsidR="003E3FE2">
        <w:t>,</w:t>
      </w:r>
      <w:r w:rsidR="002A3E4F">
        <w:t xml:space="preserve"> e</w:t>
      </w:r>
      <w:r w:rsidR="002A3E4F" w:rsidRPr="007E77AF">
        <w:t xml:space="preserve"> </w:t>
      </w:r>
      <w:r w:rsidR="00397CC8" w:rsidRPr="007E77AF">
        <w:t xml:space="preserve">cujo conteúdo </w:t>
      </w:r>
      <w:r w:rsidR="00E33851">
        <w:t>e</w:t>
      </w:r>
      <w:r w:rsidR="00E33851" w:rsidRPr="007E77AF">
        <w:t xml:space="preserve"> </w:t>
      </w:r>
      <w:r w:rsidR="00397CC8" w:rsidRPr="007E77AF">
        <w:t xml:space="preserve">contexto </w:t>
      </w:r>
      <w:r w:rsidR="00157B9F">
        <w:t>representem</w:t>
      </w:r>
      <w:r w:rsidR="00397CC8" w:rsidRPr="007E77AF">
        <w:t xml:space="preserve"> tentativa de despertar o interesse ou prospectar investidores para a realização de investimento em</w:t>
      </w:r>
      <w:r w:rsidR="00637E6E" w:rsidRPr="007E77AF">
        <w:t xml:space="preserve"> determinados</w:t>
      </w:r>
      <w:r w:rsidR="00397CC8" w:rsidRPr="007E77AF">
        <w:t xml:space="preserve"> valores mobiliários</w:t>
      </w:r>
      <w:r w:rsidR="002A3E4F">
        <w:t>, ressalvado o disposto no art. 8º</w:t>
      </w:r>
      <w:r w:rsidR="00397CC8" w:rsidRPr="007E77AF">
        <w:t>.</w:t>
      </w:r>
    </w:p>
    <w:p w14:paraId="6F9CA0DB" w14:textId="5DF16CC4" w:rsidR="00D74986" w:rsidRPr="007E77AF" w:rsidRDefault="002302B7" w:rsidP="00986942">
      <w:pPr>
        <w:spacing w:before="120" w:after="120" w:line="312" w:lineRule="auto"/>
        <w:ind w:firstLine="567"/>
        <w:jc w:val="both"/>
        <w:rPr>
          <w:rFonts w:cstheme="minorHAnsi"/>
        </w:rPr>
      </w:pPr>
      <w:r w:rsidRPr="007E77AF">
        <w:rPr>
          <w:rFonts w:cstheme="minorHAnsi"/>
        </w:rPr>
        <w:t>§ 1</w:t>
      </w:r>
      <w:proofErr w:type="gramStart"/>
      <w:r w:rsidRPr="007E77AF">
        <w:rPr>
          <w:rFonts w:cstheme="minorHAnsi"/>
        </w:rPr>
        <w:t xml:space="preserve">º  </w:t>
      </w:r>
      <w:r w:rsidR="008679F9" w:rsidRPr="007E77AF">
        <w:rPr>
          <w:rFonts w:cstheme="minorHAnsi"/>
        </w:rPr>
        <w:t>Sem</w:t>
      </w:r>
      <w:proofErr w:type="gramEnd"/>
      <w:r w:rsidR="008679F9" w:rsidRPr="007E77AF">
        <w:rPr>
          <w:rFonts w:cstheme="minorHAnsi"/>
        </w:rPr>
        <w:t xml:space="preserve"> prejuízo de outros </w:t>
      </w:r>
      <w:r w:rsidR="007E1A8D" w:rsidRPr="007E77AF">
        <w:rPr>
          <w:rFonts w:cstheme="minorHAnsi"/>
        </w:rPr>
        <w:t xml:space="preserve">atos </w:t>
      </w:r>
      <w:r w:rsidR="008679F9" w:rsidRPr="007E77AF">
        <w:rPr>
          <w:rFonts w:cstheme="minorHAnsi"/>
        </w:rPr>
        <w:t xml:space="preserve">que se enquadrem no </w:t>
      </w:r>
      <w:r w:rsidR="008679F9" w:rsidRPr="007E77AF">
        <w:rPr>
          <w:rFonts w:cstheme="minorHAnsi"/>
          <w:b/>
          <w:bCs/>
        </w:rPr>
        <w:t xml:space="preserve">caput, </w:t>
      </w:r>
      <w:r w:rsidR="008679F9" w:rsidRPr="00986942">
        <w:t xml:space="preserve">são exemplos que caracterizam </w:t>
      </w:r>
      <w:r w:rsidR="008679F9" w:rsidRPr="007E77AF">
        <w:rPr>
          <w:rFonts w:cstheme="minorHAnsi"/>
        </w:rPr>
        <w:t>uma oferta como pública:</w:t>
      </w:r>
      <w:bookmarkEnd w:id="37"/>
    </w:p>
    <w:p w14:paraId="71157B60" w14:textId="5EEEFE7F" w:rsidR="00D74986" w:rsidRPr="007E77AF" w:rsidRDefault="00AC2215" w:rsidP="001353DC">
      <w:pPr>
        <w:spacing w:before="120" w:after="120" w:line="312" w:lineRule="auto"/>
        <w:ind w:firstLine="567"/>
        <w:jc w:val="both"/>
      </w:pPr>
      <w:r w:rsidRPr="007E77AF">
        <w:t>I</w:t>
      </w:r>
      <w:r w:rsidR="00B43C94" w:rsidRPr="007E77AF">
        <w:t xml:space="preserve"> – </w:t>
      </w:r>
      <w:proofErr w:type="gramStart"/>
      <w:r w:rsidR="00B43C94" w:rsidRPr="007E77AF">
        <w:t>a</w:t>
      </w:r>
      <w:proofErr w:type="gramEnd"/>
      <w:r w:rsidR="00B43C94" w:rsidRPr="007E77AF">
        <w:t xml:space="preserve"> utilização de material publicitári</w:t>
      </w:r>
      <w:r w:rsidR="00562CDC" w:rsidRPr="007E77AF">
        <w:t>o</w:t>
      </w:r>
      <w:r w:rsidR="00B43C94" w:rsidRPr="007E77AF">
        <w:t xml:space="preserve"> dirigido ao público </w:t>
      </w:r>
      <w:r w:rsidR="00C551C9" w:rsidRPr="007E77AF">
        <w:t xml:space="preserve">investidor </w:t>
      </w:r>
      <w:r w:rsidR="00B43C94" w:rsidRPr="007E77AF">
        <w:t>em geral</w:t>
      </w:r>
      <w:r w:rsidR="00D32EF5" w:rsidRPr="007E77AF">
        <w:t>;</w:t>
      </w:r>
    </w:p>
    <w:p w14:paraId="7AA0F817" w14:textId="0F7192C1" w:rsidR="00D74986" w:rsidRPr="007E77AF" w:rsidRDefault="00AC2215" w:rsidP="001353DC">
      <w:pPr>
        <w:spacing w:before="120" w:after="120" w:line="312" w:lineRule="auto"/>
        <w:ind w:firstLine="567"/>
        <w:jc w:val="both"/>
      </w:pPr>
      <w:r w:rsidRPr="007E77AF">
        <w:lastRenderedPageBreak/>
        <w:t>II</w:t>
      </w:r>
      <w:r w:rsidR="00D32EF5" w:rsidRPr="007E77AF">
        <w:t xml:space="preserve"> </w:t>
      </w:r>
      <w:r w:rsidR="00EF03DF" w:rsidRPr="007E77AF">
        <w:t>–</w:t>
      </w:r>
      <w:r w:rsidR="00D32EF5" w:rsidRPr="007E77AF">
        <w:t xml:space="preserve"> </w:t>
      </w:r>
      <w:proofErr w:type="gramStart"/>
      <w:r w:rsidR="00D32EF5" w:rsidRPr="007E77AF">
        <w:t>a</w:t>
      </w:r>
      <w:proofErr w:type="gramEnd"/>
      <w:r w:rsidR="00D32EF5" w:rsidRPr="007E77AF">
        <w:t xml:space="preserve"> procura, no todo ou em parte, </w:t>
      </w:r>
      <w:r w:rsidR="00792187" w:rsidRPr="007E77AF">
        <w:t xml:space="preserve">de </w:t>
      </w:r>
      <w:r w:rsidR="00036804">
        <w:t>investidores</w:t>
      </w:r>
      <w:r w:rsidR="00792187" w:rsidRPr="007E77AF">
        <w:t xml:space="preserve"> indeterminados para os valores mobiliários, por meio de quaisquer pessoas naturais ou jurídicas</w:t>
      </w:r>
      <w:r w:rsidR="00B46998" w:rsidRPr="007E77AF">
        <w:t>,</w:t>
      </w:r>
      <w:r w:rsidR="18375679" w:rsidRPr="007E77AF">
        <w:t xml:space="preserve"> </w:t>
      </w:r>
      <w:r w:rsidR="00B46998" w:rsidRPr="007E77AF">
        <w:t xml:space="preserve">integrantes ou não do sistema de distribuição de valores mobiliários, </w:t>
      </w:r>
      <w:r w:rsidR="18375679" w:rsidRPr="007E77AF">
        <w:t>atuando em nome do emissor</w:t>
      </w:r>
      <w:r w:rsidR="00DE59AC" w:rsidRPr="007E77AF">
        <w:t>, do ofertante</w:t>
      </w:r>
      <w:r w:rsidR="18375679" w:rsidRPr="007E77AF">
        <w:t xml:space="preserve"> ou d</w:t>
      </w:r>
      <w:r w:rsidR="43A2EF05" w:rsidRPr="007E77AF">
        <w:t xml:space="preserve">as </w:t>
      </w:r>
      <w:r w:rsidR="43A2EF05" w:rsidRPr="004573CB">
        <w:t>instituições</w:t>
      </w:r>
      <w:r w:rsidR="18375679" w:rsidRPr="004573CB">
        <w:t xml:space="preserve"> </w:t>
      </w:r>
      <w:r w:rsidR="00136A84">
        <w:t>participantes do consórcio de distribuição</w:t>
      </w:r>
      <w:r w:rsidR="00F27E7B" w:rsidRPr="007E77AF">
        <w:t>;</w:t>
      </w:r>
    </w:p>
    <w:p w14:paraId="1CBD8736" w14:textId="17EE5422" w:rsidR="00D74986" w:rsidRPr="007E77AF" w:rsidRDefault="00CC232C" w:rsidP="001353DC">
      <w:pPr>
        <w:spacing w:before="120" w:after="120" w:line="312" w:lineRule="auto"/>
        <w:ind w:firstLine="567"/>
        <w:jc w:val="both"/>
      </w:pPr>
      <w:r w:rsidRPr="007E77AF">
        <w:t>III</w:t>
      </w:r>
      <w:r w:rsidRPr="007E77AF">
        <w:rPr>
          <w:bCs/>
        </w:rPr>
        <w:t xml:space="preserve"> </w:t>
      </w:r>
      <w:r w:rsidR="00F27E7B" w:rsidRPr="007E77AF">
        <w:rPr>
          <w:bCs/>
        </w:rPr>
        <w:t xml:space="preserve">– </w:t>
      </w:r>
      <w:r w:rsidR="00F27E7B" w:rsidRPr="007E77AF">
        <w:t xml:space="preserve">a consulta sobre a viabilidade da oferta ou a coleta de intenções de investimento junto a </w:t>
      </w:r>
      <w:r w:rsidR="00D967DD">
        <w:t xml:space="preserve">potenciais </w:t>
      </w:r>
      <w:r w:rsidR="00F27E7B" w:rsidRPr="007E77AF">
        <w:t>subscritores ou adquirentes indeterminados</w:t>
      </w:r>
      <w:r w:rsidR="00E10F3E" w:rsidRPr="007E77AF">
        <w:t xml:space="preserve">, ressalvada a hipótese prevista no art. </w:t>
      </w:r>
      <w:r w:rsidR="0086760A" w:rsidRPr="007E77AF">
        <w:rPr>
          <w:bCs/>
        </w:rPr>
        <w:t>6</w:t>
      </w:r>
      <w:r w:rsidR="00E10F3E" w:rsidRPr="007E77AF">
        <w:t>º;</w:t>
      </w:r>
    </w:p>
    <w:p w14:paraId="43B76597" w14:textId="02B2B959" w:rsidR="00D74986" w:rsidRDefault="00CC232C" w:rsidP="001353DC">
      <w:pPr>
        <w:spacing w:before="120" w:after="120" w:line="312" w:lineRule="auto"/>
        <w:ind w:firstLine="567"/>
        <w:jc w:val="both"/>
      </w:pPr>
      <w:r w:rsidRPr="007E77AF">
        <w:t>I</w:t>
      </w:r>
      <w:r w:rsidR="009069A1" w:rsidRPr="007E77AF">
        <w:t>V</w:t>
      </w:r>
      <w:r w:rsidR="00F27E7B" w:rsidRPr="007E77AF">
        <w:t xml:space="preserve"> </w:t>
      </w:r>
      <w:r w:rsidR="00EF03DF" w:rsidRPr="007E77AF">
        <w:t>–</w:t>
      </w:r>
      <w:r w:rsidR="00D32EF5" w:rsidRPr="007E77AF">
        <w:t xml:space="preserve"> </w:t>
      </w:r>
      <w:proofErr w:type="gramStart"/>
      <w:r w:rsidR="00D32EF5" w:rsidRPr="007E77AF">
        <w:t>a</w:t>
      </w:r>
      <w:proofErr w:type="gramEnd"/>
      <w:r w:rsidR="00D32EF5" w:rsidRPr="007E77AF">
        <w:t xml:space="preserve"> negociação feita em loja, escritório</w:t>
      </w:r>
      <w:r w:rsidR="00FE26A4" w:rsidRPr="007E77AF">
        <w:t>,</w:t>
      </w:r>
      <w:r w:rsidR="00D32EF5" w:rsidRPr="007E77AF">
        <w:t xml:space="preserve"> estabelecimento aberto ao público</w:t>
      </w:r>
      <w:r w:rsidR="00F27E7B" w:rsidRPr="007E77AF">
        <w:t>,</w:t>
      </w:r>
      <w:r w:rsidR="00D32EF5" w:rsidRPr="007E77AF">
        <w:t xml:space="preserve"> </w:t>
      </w:r>
      <w:r w:rsidR="00214963" w:rsidRPr="007E77AF">
        <w:t xml:space="preserve">página na rede mundial de computadores, rede social ou aplicativo, </w:t>
      </w:r>
      <w:r w:rsidR="00D32EF5" w:rsidRPr="007E77AF">
        <w:t>destinada, no todo ou em parte, a subscritores ou adquirentes indeterminados</w:t>
      </w:r>
      <w:r w:rsidR="00F27511">
        <w:t>;</w:t>
      </w:r>
      <w:r w:rsidR="00293C10">
        <w:t xml:space="preserve"> e</w:t>
      </w:r>
    </w:p>
    <w:p w14:paraId="7A419143" w14:textId="1317A41F" w:rsidR="00F27511" w:rsidRPr="007E77AF" w:rsidRDefault="00F27511" w:rsidP="001353DC">
      <w:pPr>
        <w:spacing w:before="120" w:after="120" w:line="312" w:lineRule="auto"/>
        <w:ind w:firstLine="567"/>
        <w:jc w:val="both"/>
      </w:pPr>
      <w:r>
        <w:t xml:space="preserve">V – </w:t>
      </w:r>
      <w:proofErr w:type="gramStart"/>
      <w:r>
        <w:t>a</w:t>
      </w:r>
      <w:proofErr w:type="gramEnd"/>
      <w:r>
        <w:t xml:space="preserve"> </w:t>
      </w:r>
      <w:r w:rsidR="00BE06B1" w:rsidRPr="00651F56">
        <w:t xml:space="preserve">prática de quaisquer atos descritos </w:t>
      </w:r>
      <w:r w:rsidR="00BE06B1" w:rsidRPr="00B465B8">
        <w:t>nos incisos II a IV</w:t>
      </w:r>
      <w:r w:rsidR="00BE06B1" w:rsidRPr="00651F56">
        <w:t xml:space="preserve">, </w:t>
      </w:r>
      <w:r w:rsidR="00E92CBA" w:rsidRPr="00651F56">
        <w:t>ainda que os destinatários da comunicação sejam individualmente identificados</w:t>
      </w:r>
      <w:r w:rsidR="00E92CBA">
        <w:t>,</w:t>
      </w:r>
      <w:r w:rsidR="00E92CBA" w:rsidRPr="00651F56">
        <w:t xml:space="preserve"> </w:t>
      </w:r>
      <w:r w:rsidR="00BE06B1" w:rsidRPr="00651F56">
        <w:t>quando resultante de comunicação padronizada e massificada.</w:t>
      </w:r>
    </w:p>
    <w:p w14:paraId="67623628" w14:textId="1D7D3299" w:rsidR="00D74986" w:rsidRPr="007E77AF" w:rsidRDefault="00EC4BD9" w:rsidP="00D74986">
      <w:pPr>
        <w:spacing w:before="120" w:after="120" w:line="312" w:lineRule="auto"/>
        <w:ind w:firstLine="567"/>
        <w:jc w:val="both"/>
      </w:pPr>
      <w:r w:rsidRPr="007E77AF">
        <w:t xml:space="preserve">§ </w:t>
      </w:r>
      <w:r w:rsidR="00BA74F7" w:rsidRPr="007E77AF">
        <w:t>2</w:t>
      </w:r>
      <w:proofErr w:type="gramStart"/>
      <w:r w:rsidR="009F60AF" w:rsidRPr="007E77AF">
        <w:t>º</w:t>
      </w:r>
      <w:r w:rsidR="00E10F3E" w:rsidRPr="007E77AF">
        <w:t xml:space="preserve">  </w:t>
      </w:r>
      <w:r w:rsidR="004D134D" w:rsidRPr="007E77AF">
        <w:t>É</w:t>
      </w:r>
      <w:proofErr w:type="gramEnd"/>
      <w:r w:rsidR="004D134D" w:rsidRPr="007E77AF">
        <w:t xml:space="preserve"> considerada pública a oferta</w:t>
      </w:r>
      <w:r w:rsidR="00145DCE" w:rsidRPr="007E77AF">
        <w:t xml:space="preserve"> que </w:t>
      </w:r>
      <w:r w:rsidR="00BA74F7" w:rsidRPr="007E77AF">
        <w:t xml:space="preserve">venha a obter registro </w:t>
      </w:r>
      <w:r w:rsidR="00CB70D6" w:rsidRPr="007E77AF">
        <w:t>junto à CVM nos termos desta Resolução.</w:t>
      </w:r>
    </w:p>
    <w:p w14:paraId="6667F23D" w14:textId="252994E4" w:rsidR="00D74986" w:rsidRPr="007E77AF" w:rsidRDefault="00EC4BD9" w:rsidP="00D74986">
      <w:pPr>
        <w:spacing w:before="120" w:after="120" w:line="312" w:lineRule="auto"/>
        <w:ind w:firstLine="567"/>
        <w:jc w:val="both"/>
      </w:pPr>
      <w:r w:rsidRPr="007E77AF">
        <w:t xml:space="preserve">§ </w:t>
      </w:r>
      <w:r w:rsidR="00BA74F7" w:rsidRPr="007E77AF">
        <w:t>3</w:t>
      </w:r>
      <w:proofErr w:type="gramStart"/>
      <w:r w:rsidR="009F60AF" w:rsidRPr="007E77AF">
        <w:t>º</w:t>
      </w:r>
      <w:r w:rsidRPr="007E77AF">
        <w:t xml:space="preserve">  Os</w:t>
      </w:r>
      <w:proofErr w:type="gramEnd"/>
      <w:r w:rsidRPr="007E77AF">
        <w:t xml:space="preserve"> princípios, requisitos, permissões e vedações relativos aos atos de comunicação sobre </w:t>
      </w:r>
      <w:r w:rsidR="00CA0351" w:rsidRPr="007E77AF">
        <w:t xml:space="preserve">uma oferta, os valores mobiliários, o emissor e </w:t>
      </w:r>
      <w:r w:rsidR="00532B4D" w:rsidRPr="007E77AF">
        <w:t xml:space="preserve">o </w:t>
      </w:r>
      <w:r w:rsidR="00CA0351" w:rsidRPr="007E77AF">
        <w:t xml:space="preserve">ofertante </w:t>
      </w:r>
      <w:r w:rsidRPr="007E77AF">
        <w:t xml:space="preserve">estão elencados no Capítulo </w:t>
      </w:r>
      <w:r w:rsidR="00045AC0" w:rsidRPr="007E77AF">
        <w:t xml:space="preserve">III </w:t>
      </w:r>
      <w:r w:rsidRPr="007E77AF">
        <w:t>desta norma.</w:t>
      </w:r>
    </w:p>
    <w:p w14:paraId="5D23C6E6" w14:textId="1921A794" w:rsidR="00D74986" w:rsidRPr="007E77AF" w:rsidRDefault="009069A1" w:rsidP="001353DC">
      <w:pPr>
        <w:spacing w:before="120" w:after="120" w:line="312" w:lineRule="auto"/>
        <w:ind w:firstLine="567"/>
        <w:jc w:val="both"/>
      </w:pPr>
      <w:bookmarkStart w:id="38" w:name="_Ref460489917"/>
      <w:r w:rsidRPr="007E77AF">
        <w:t>Art. 4</w:t>
      </w:r>
      <w:proofErr w:type="gramStart"/>
      <w:r w:rsidR="00B50EB6" w:rsidRPr="007E77AF">
        <w:t xml:space="preserve">º  </w:t>
      </w:r>
      <w:r w:rsidR="00A73A59" w:rsidRPr="007E77AF">
        <w:t>Toda</w:t>
      </w:r>
      <w:proofErr w:type="gramEnd"/>
      <w:r w:rsidR="00A73A59" w:rsidRPr="007E77AF">
        <w:t xml:space="preserve"> oferta pública de distribuição </w:t>
      </w:r>
      <w:r w:rsidR="00831D71" w:rsidRPr="007E77AF">
        <w:t>de valores mobiliários</w:t>
      </w:r>
      <w:r w:rsidR="00A73A59" w:rsidRPr="007E77AF">
        <w:t xml:space="preserve">, </w:t>
      </w:r>
      <w:r w:rsidR="007D5AC0" w:rsidRPr="007E77AF">
        <w:t>cujos destinatários seja</w:t>
      </w:r>
      <w:r w:rsidR="007219B7" w:rsidRPr="007E77AF">
        <w:t>m</w:t>
      </w:r>
      <w:r w:rsidR="007D5AC0" w:rsidRPr="007E77AF">
        <w:t xml:space="preserve"> investidores residentes</w:t>
      </w:r>
      <w:r w:rsidR="13EB1952" w:rsidRPr="007E77AF">
        <w:t>,</w:t>
      </w:r>
      <w:r w:rsidR="007D5AC0" w:rsidRPr="007E77AF">
        <w:t xml:space="preserve"> domiciliados </w:t>
      </w:r>
      <w:r w:rsidR="6A8D71EB" w:rsidRPr="007E77AF">
        <w:t>ou constituídos</w:t>
      </w:r>
      <w:r w:rsidR="35C45A62" w:rsidRPr="007E77AF">
        <w:t xml:space="preserve"> </w:t>
      </w:r>
      <w:r w:rsidR="007219B7" w:rsidRPr="007E77AF">
        <w:t>no Brasil</w:t>
      </w:r>
      <w:r w:rsidR="00A73A59" w:rsidRPr="007E77AF">
        <w:t xml:space="preserve">, deve ser submetida previamente a registro </w:t>
      </w:r>
      <w:r w:rsidR="000E6B61" w:rsidRPr="007E77AF">
        <w:t xml:space="preserve">ou </w:t>
      </w:r>
      <w:r w:rsidR="00496A3E" w:rsidRPr="007E77AF">
        <w:t xml:space="preserve">objeto de </w:t>
      </w:r>
      <w:r w:rsidR="008E35D4" w:rsidRPr="007E77AF">
        <w:t xml:space="preserve">dispensa </w:t>
      </w:r>
      <w:r w:rsidR="00496A3E" w:rsidRPr="007E77AF">
        <w:t>junto à</w:t>
      </w:r>
      <w:r w:rsidR="00A73A59" w:rsidRPr="007E77AF">
        <w:t xml:space="preserve"> CVM nos termos desta </w:t>
      </w:r>
      <w:r w:rsidR="002109AE" w:rsidRPr="007E77AF">
        <w:t>Resolução</w:t>
      </w:r>
      <w:r w:rsidR="008F4460" w:rsidRPr="007E77AF">
        <w:t xml:space="preserve">, observado o disposto no </w:t>
      </w:r>
      <w:r w:rsidR="00B30699" w:rsidRPr="007E77AF">
        <w:t>parágrafo único do art. 1º</w:t>
      </w:r>
      <w:r w:rsidR="00916148" w:rsidRPr="007E77AF">
        <w:t xml:space="preserve"> e no art. 43</w:t>
      </w:r>
      <w:r w:rsidR="00A73A59" w:rsidRPr="007E77AF">
        <w:t>.</w:t>
      </w:r>
      <w:bookmarkEnd w:id="38"/>
    </w:p>
    <w:p w14:paraId="5B751EBC" w14:textId="5A330B0D" w:rsidR="00F10222" w:rsidRDefault="009069A1" w:rsidP="00ED3756">
      <w:pPr>
        <w:spacing w:before="120" w:after="120" w:line="312" w:lineRule="auto"/>
        <w:ind w:firstLine="567"/>
        <w:jc w:val="both"/>
      </w:pPr>
      <w:bookmarkStart w:id="39" w:name="_Ref464390490"/>
      <w:r w:rsidRPr="007E77AF">
        <w:t>Art. 5</w:t>
      </w:r>
      <w:proofErr w:type="gramStart"/>
      <w:r w:rsidR="00B50EB6" w:rsidRPr="007E77AF">
        <w:t xml:space="preserve">º  </w:t>
      </w:r>
      <w:r w:rsidR="00ED00C0">
        <w:t>A</w:t>
      </w:r>
      <w:proofErr w:type="gramEnd"/>
      <w:r w:rsidR="00E50F9E" w:rsidRPr="007E77AF">
        <w:t xml:space="preserve"> distribuição pública de </w:t>
      </w:r>
      <w:r w:rsidR="00445BCC" w:rsidRPr="007E77AF">
        <w:t xml:space="preserve">que trata o </w:t>
      </w:r>
      <w:r w:rsidR="00A356F6" w:rsidRPr="007E77AF">
        <w:t xml:space="preserve">art. </w:t>
      </w:r>
      <w:r w:rsidR="0086760A" w:rsidRPr="007E77AF">
        <w:t>4</w:t>
      </w:r>
      <w:r w:rsidR="003563EF" w:rsidRPr="007E77AF">
        <w:t>º</w:t>
      </w:r>
      <w:r w:rsidR="00C23914">
        <w:t xml:space="preserve"> </w:t>
      </w:r>
      <w:r w:rsidR="00404496">
        <w:t xml:space="preserve">deve </w:t>
      </w:r>
      <w:r w:rsidR="00CE371F">
        <w:t xml:space="preserve">contar com a coordenação de </w:t>
      </w:r>
      <w:r w:rsidR="00DA2C50">
        <w:t xml:space="preserve">ao menos uma </w:t>
      </w:r>
      <w:r w:rsidR="00CE371F">
        <w:t xml:space="preserve">entidade </w:t>
      </w:r>
      <w:r w:rsidR="004C3698">
        <w:t>registrada</w:t>
      </w:r>
      <w:r w:rsidR="00CE371F">
        <w:t xml:space="preserve"> a atuar como coordenador </w:t>
      </w:r>
      <w:r w:rsidR="00445672">
        <w:t>de ofertas de valores mobiliários</w:t>
      </w:r>
      <w:r w:rsidR="00F10222">
        <w:t>, nos termos da regulamentação específica</w:t>
      </w:r>
      <w:r w:rsidR="00ED3756">
        <w:t>.</w:t>
      </w:r>
    </w:p>
    <w:p w14:paraId="74ED0230" w14:textId="190F55DC" w:rsidR="00ED3756" w:rsidRDefault="00ED3756" w:rsidP="00ED3756">
      <w:pPr>
        <w:spacing w:before="120" w:after="120" w:line="312" w:lineRule="auto"/>
        <w:ind w:firstLine="567"/>
        <w:jc w:val="both"/>
      </w:pPr>
      <w:r>
        <w:t>Parágrafo único.  As</w:t>
      </w:r>
      <w:r w:rsidR="006B3C69">
        <w:t xml:space="preserve"> demais</w:t>
      </w:r>
      <w:r>
        <w:t xml:space="preserve"> instituições </w:t>
      </w:r>
      <w:r w:rsidR="000C651F">
        <w:t xml:space="preserve">intermediárias que venham a </w:t>
      </w:r>
      <w:r w:rsidR="005D244B">
        <w:t>integrar o</w:t>
      </w:r>
      <w:r w:rsidR="000C651F">
        <w:t xml:space="preserve"> consórcio de distribuição</w:t>
      </w:r>
      <w:r w:rsidR="006816DF">
        <w:t xml:space="preserve"> devem </w:t>
      </w:r>
      <w:r w:rsidR="00EA1A60">
        <w:t xml:space="preserve">estar habilitadas </w:t>
      </w:r>
      <w:r w:rsidR="00B943D4">
        <w:t xml:space="preserve">a atuar como </w:t>
      </w:r>
      <w:r w:rsidR="00950883">
        <w:t xml:space="preserve">integrantes </w:t>
      </w:r>
      <w:r w:rsidR="006B5FA5">
        <w:t>do sistema de distribuição de valores mobiliários.</w:t>
      </w:r>
    </w:p>
    <w:p w14:paraId="21BAABBE" w14:textId="0D0000F9" w:rsidR="00D74986" w:rsidRPr="007E77AF" w:rsidRDefault="009069A1" w:rsidP="001353DC">
      <w:pPr>
        <w:spacing w:before="120" w:after="120" w:line="312" w:lineRule="auto"/>
        <w:ind w:firstLine="567"/>
        <w:jc w:val="both"/>
        <w:rPr>
          <w:b/>
          <w:bCs/>
        </w:rPr>
      </w:pPr>
      <w:bookmarkStart w:id="40" w:name="_Ref460489798"/>
      <w:bookmarkEnd w:id="39"/>
      <w:r w:rsidRPr="007E77AF">
        <w:rPr>
          <w:bCs/>
        </w:rPr>
        <w:t>Art. 6</w:t>
      </w:r>
      <w:proofErr w:type="gramStart"/>
      <w:r w:rsidR="7F568D99" w:rsidRPr="007E77AF">
        <w:t xml:space="preserve">º  </w:t>
      </w:r>
      <w:r w:rsidR="5116C9FA" w:rsidRPr="007E77AF">
        <w:t>É</w:t>
      </w:r>
      <w:proofErr w:type="gramEnd"/>
      <w:r w:rsidR="5116C9FA" w:rsidRPr="007E77AF">
        <w:t xml:space="preserve"> permitida, mesmo antes do protocolo do requerimento de registro</w:t>
      </w:r>
      <w:r w:rsidR="4760319D" w:rsidRPr="007E77AF">
        <w:t xml:space="preserve"> da oferta pública</w:t>
      </w:r>
      <w:r w:rsidR="5116C9FA" w:rsidRPr="007E77AF">
        <w:t xml:space="preserve">, a consulta </w:t>
      </w:r>
      <w:r w:rsidR="6D61DDFF" w:rsidRPr="007E77AF">
        <w:t xml:space="preserve">sigilosa </w:t>
      </w:r>
      <w:r w:rsidR="5116C9FA" w:rsidRPr="007E77AF">
        <w:t xml:space="preserve">a potenciais investidores </w:t>
      </w:r>
      <w:r w:rsidR="00280A6A" w:rsidRPr="007E77AF">
        <w:t>profissionais</w:t>
      </w:r>
      <w:r w:rsidR="753249D9" w:rsidRPr="007E77AF">
        <w:t xml:space="preserve"> para apurar a viabilidade ou o interesse </w:t>
      </w:r>
      <w:r w:rsidR="00637E6E" w:rsidRPr="007E77AF">
        <w:t>em</w:t>
      </w:r>
      <w:r w:rsidR="753249D9" w:rsidRPr="007E77AF">
        <w:t xml:space="preserve"> uma eventual oferta pública de distribuição</w:t>
      </w:r>
      <w:r w:rsidR="3F1E79CB" w:rsidRPr="007E77AF">
        <w:t>.</w:t>
      </w:r>
      <w:bookmarkEnd w:id="40"/>
    </w:p>
    <w:p w14:paraId="119C0A45" w14:textId="77777777" w:rsidR="00D74986" w:rsidRPr="007E77AF" w:rsidRDefault="00FD5E18" w:rsidP="00D74986">
      <w:pPr>
        <w:spacing w:before="120" w:after="120" w:line="312" w:lineRule="auto"/>
        <w:ind w:firstLine="567"/>
        <w:jc w:val="both"/>
        <w:rPr>
          <w:bCs/>
        </w:rPr>
      </w:pPr>
      <w:r w:rsidRPr="007E77AF">
        <w:rPr>
          <w:bCs/>
        </w:rPr>
        <w:t>§ 1</w:t>
      </w:r>
      <w:proofErr w:type="gramStart"/>
      <w:r w:rsidRPr="007E77AF">
        <w:rPr>
          <w:bCs/>
        </w:rPr>
        <w:t>º  A</w:t>
      </w:r>
      <w:proofErr w:type="gramEnd"/>
      <w:r w:rsidRPr="007E77AF">
        <w:rPr>
          <w:bCs/>
        </w:rPr>
        <w:t xml:space="preserve"> consulta mencionada no </w:t>
      </w:r>
      <w:r w:rsidRPr="007E77AF">
        <w:rPr>
          <w:b/>
          <w:bCs/>
        </w:rPr>
        <w:t>caput</w:t>
      </w:r>
      <w:r w:rsidRPr="007E77AF">
        <w:rPr>
          <w:bCs/>
        </w:rPr>
        <w:t xml:space="preserve"> pode ser </w:t>
      </w:r>
      <w:r w:rsidR="00ED1AD4" w:rsidRPr="007E77AF">
        <w:rPr>
          <w:bCs/>
        </w:rPr>
        <w:t>realizada</w:t>
      </w:r>
      <w:r w:rsidR="00C552AB" w:rsidRPr="007E77AF">
        <w:rPr>
          <w:bCs/>
        </w:rPr>
        <w:t>:</w:t>
      </w:r>
    </w:p>
    <w:p w14:paraId="699CD3C4" w14:textId="34C9EFC4" w:rsidR="00D74986" w:rsidRPr="007E77AF" w:rsidRDefault="009069A1" w:rsidP="001353DC">
      <w:pPr>
        <w:spacing w:before="120" w:after="120" w:line="312" w:lineRule="auto"/>
        <w:ind w:firstLine="567"/>
        <w:jc w:val="both"/>
      </w:pPr>
      <w:r w:rsidRPr="007E77AF">
        <w:lastRenderedPageBreak/>
        <w:t>I</w:t>
      </w:r>
      <w:r w:rsidR="00C552AB" w:rsidRPr="007E77AF">
        <w:t xml:space="preserve"> </w:t>
      </w:r>
      <w:r w:rsidR="00EB119F" w:rsidRPr="007E77AF">
        <w:t xml:space="preserve">– </w:t>
      </w:r>
      <w:proofErr w:type="gramStart"/>
      <w:r w:rsidR="00ED1AD4" w:rsidRPr="007E77AF">
        <w:t>pelo</w:t>
      </w:r>
      <w:r w:rsidR="00931E8D" w:rsidRPr="007E77AF">
        <w:t>s</w:t>
      </w:r>
      <w:proofErr w:type="gramEnd"/>
      <w:r w:rsidR="00EB119F" w:rsidRPr="007E77AF">
        <w:t xml:space="preserve"> </w:t>
      </w:r>
      <w:r w:rsidR="00ED1AD4" w:rsidRPr="007E77AF">
        <w:t>ofertante</w:t>
      </w:r>
      <w:r w:rsidR="00931E8D" w:rsidRPr="007E77AF">
        <w:t>s</w:t>
      </w:r>
      <w:r w:rsidR="00C552AB" w:rsidRPr="007E77AF">
        <w:t>;</w:t>
      </w:r>
    </w:p>
    <w:p w14:paraId="11423E4B" w14:textId="733BCF28" w:rsidR="00D74986" w:rsidRPr="007E77AF" w:rsidRDefault="009069A1" w:rsidP="001353DC">
      <w:pPr>
        <w:spacing w:before="120" w:after="120" w:line="312" w:lineRule="auto"/>
        <w:ind w:firstLine="567"/>
        <w:jc w:val="both"/>
      </w:pPr>
      <w:r w:rsidRPr="007E77AF">
        <w:t>II</w:t>
      </w:r>
      <w:r w:rsidR="00C552AB" w:rsidRPr="007E77AF">
        <w:t xml:space="preserve"> </w:t>
      </w:r>
      <w:r w:rsidR="002F3CC2" w:rsidRPr="007E77AF">
        <w:t xml:space="preserve">– </w:t>
      </w:r>
      <w:proofErr w:type="gramStart"/>
      <w:r w:rsidR="002F3CC2" w:rsidRPr="007E77AF">
        <w:t xml:space="preserve">por </w:t>
      </w:r>
      <w:r w:rsidR="009147EE" w:rsidRPr="009147EE" w:rsidDel="00DE63B2">
        <w:t xml:space="preserve"> </w:t>
      </w:r>
      <w:r w:rsidR="009147EE" w:rsidRPr="007E77AF" w:rsidDel="00DE63B2">
        <w:t>instituições</w:t>
      </w:r>
      <w:proofErr w:type="gramEnd"/>
      <w:r w:rsidR="009147EE" w:rsidRPr="007E77AF" w:rsidDel="00DE63B2">
        <w:t xml:space="preserve"> intermediárias</w:t>
      </w:r>
      <w:r w:rsidR="009147EE" w:rsidDel="009147EE">
        <w:t xml:space="preserve"> </w:t>
      </w:r>
      <w:r w:rsidR="002F3CC2" w:rsidRPr="007E77AF">
        <w:t xml:space="preserve">agindo em nome de ofertante; </w:t>
      </w:r>
      <w:r w:rsidR="00C552AB" w:rsidRPr="007E77AF">
        <w:t>ou</w:t>
      </w:r>
    </w:p>
    <w:p w14:paraId="1F7A001B" w14:textId="2DA0A111" w:rsidR="00D74986" w:rsidRPr="007E77AF" w:rsidRDefault="009069A1" w:rsidP="001353DC">
      <w:pPr>
        <w:spacing w:before="120" w:after="120" w:line="312" w:lineRule="auto"/>
        <w:ind w:firstLine="567"/>
        <w:jc w:val="both"/>
      </w:pPr>
      <w:r w:rsidRPr="007E77AF">
        <w:t>III</w:t>
      </w:r>
      <w:r w:rsidR="00C552AB" w:rsidRPr="007E77AF">
        <w:t xml:space="preserve"> </w:t>
      </w:r>
      <w:r w:rsidR="0038290B" w:rsidRPr="007E77AF">
        <w:t>–</w:t>
      </w:r>
      <w:r w:rsidR="00EB119F" w:rsidRPr="007E77AF">
        <w:t xml:space="preserve"> até o momento do protocolo, </w:t>
      </w:r>
      <w:r w:rsidR="00ED1AD4" w:rsidRPr="007E77AF">
        <w:t xml:space="preserve">por pessoas contratadas </w:t>
      </w:r>
      <w:r w:rsidR="00153A4C" w:rsidRPr="007E77AF">
        <w:t>pel</w:t>
      </w:r>
      <w:r w:rsidR="00DF436B" w:rsidRPr="007E77AF">
        <w:t>o</w:t>
      </w:r>
      <w:r w:rsidR="00153A4C" w:rsidRPr="007E77AF">
        <w:t xml:space="preserve">s </w:t>
      </w:r>
      <w:r w:rsidR="007539C1" w:rsidRPr="007E77AF">
        <w:t>ofertantes</w:t>
      </w:r>
      <w:r w:rsidR="00153A4C" w:rsidRPr="007E77AF">
        <w:t xml:space="preserve"> </w:t>
      </w:r>
      <w:r w:rsidR="00B40870" w:rsidRPr="007E77AF">
        <w:t xml:space="preserve">e </w:t>
      </w:r>
      <w:r w:rsidR="00ED1AD4" w:rsidRPr="007E77AF">
        <w:t xml:space="preserve">que com estes estejam trabalhando ou os assessorando </w:t>
      </w:r>
      <w:r w:rsidR="00C552AB" w:rsidRPr="007E77AF">
        <w:t>para a realização da consulta.</w:t>
      </w:r>
      <w:r w:rsidR="00FF666C" w:rsidRPr="007E77AF">
        <w:t xml:space="preserve"> </w:t>
      </w:r>
    </w:p>
    <w:p w14:paraId="461C64D6" w14:textId="47003BF0" w:rsidR="00D74986" w:rsidRPr="007E77AF" w:rsidRDefault="00FF666C" w:rsidP="0074308E">
      <w:pPr>
        <w:spacing w:before="120" w:after="120" w:line="312" w:lineRule="auto"/>
        <w:ind w:firstLine="567"/>
        <w:jc w:val="both"/>
        <w:rPr>
          <w:bCs/>
        </w:rPr>
      </w:pPr>
      <w:r w:rsidRPr="007E77AF">
        <w:rPr>
          <w:bCs/>
        </w:rPr>
        <w:t xml:space="preserve">§ </w:t>
      </w:r>
      <w:r w:rsidR="00FD5E18" w:rsidRPr="007E77AF">
        <w:rPr>
          <w:bCs/>
        </w:rPr>
        <w:t>2</w:t>
      </w:r>
      <w:proofErr w:type="gramStart"/>
      <w:r w:rsidRPr="007E77AF">
        <w:rPr>
          <w:bCs/>
        </w:rPr>
        <w:t xml:space="preserve">º  </w:t>
      </w:r>
      <w:r w:rsidR="00ED394E" w:rsidRPr="007E77AF">
        <w:rPr>
          <w:bCs/>
        </w:rPr>
        <w:t>A</w:t>
      </w:r>
      <w:proofErr w:type="gramEnd"/>
      <w:r w:rsidR="00ED394E" w:rsidRPr="007E77AF">
        <w:rPr>
          <w:bCs/>
        </w:rPr>
        <w:t xml:space="preserve"> consulta a potenciais investidores,</w:t>
      </w:r>
      <w:r w:rsidR="00193BB4" w:rsidRPr="007E77AF">
        <w:rPr>
          <w:bCs/>
        </w:rPr>
        <w:t xml:space="preserve"> nos termos do </w:t>
      </w:r>
      <w:r w:rsidR="00193BB4" w:rsidRPr="007E77AF">
        <w:rPr>
          <w:b/>
        </w:rPr>
        <w:t>caput</w:t>
      </w:r>
      <w:r w:rsidR="00193BB4" w:rsidRPr="007E77AF">
        <w:rPr>
          <w:bCs/>
        </w:rPr>
        <w:t>,</w:t>
      </w:r>
      <w:r w:rsidR="00ED394E" w:rsidRPr="007E77AF">
        <w:rPr>
          <w:bCs/>
        </w:rPr>
        <w:t xml:space="preserve"> incluindo o</w:t>
      </w:r>
      <w:r w:rsidR="004913D1" w:rsidRPr="007E77AF">
        <w:rPr>
          <w:bCs/>
        </w:rPr>
        <w:t>s documentos e apresentações utilizados</w:t>
      </w:r>
      <w:r w:rsidR="00D967DD">
        <w:rPr>
          <w:bCs/>
        </w:rPr>
        <w:t>,</w:t>
      </w:r>
      <w:r w:rsidR="007E1682" w:rsidRPr="007E77AF">
        <w:rPr>
          <w:bCs/>
        </w:rPr>
        <w:t xml:space="preserve"> não pode</w:t>
      </w:r>
      <w:r w:rsidR="009B7FA7" w:rsidRPr="007E77AF">
        <w:rPr>
          <w:bCs/>
        </w:rPr>
        <w:t xml:space="preserve"> </w:t>
      </w:r>
      <w:r w:rsidRPr="007E77AF">
        <w:rPr>
          <w:bCs/>
        </w:rPr>
        <w:t>vincular as partes, sendo vedada a realização ou aceitação de ofertas, bem como o pagamento ou o recebimento de quaisquer valores, bens ou direitos de parte a parte</w:t>
      </w:r>
      <w:r w:rsidR="000E6BBA" w:rsidRPr="007E77AF">
        <w:rPr>
          <w:bCs/>
        </w:rPr>
        <w:t>.</w:t>
      </w:r>
    </w:p>
    <w:p w14:paraId="0CEFCD91" w14:textId="02A437B3" w:rsidR="00D74986" w:rsidRPr="007E77AF" w:rsidRDefault="00FF666C" w:rsidP="00D74986">
      <w:pPr>
        <w:spacing w:before="120" w:after="120" w:line="312" w:lineRule="auto"/>
        <w:ind w:firstLine="567"/>
        <w:jc w:val="both"/>
      </w:pPr>
      <w:r w:rsidRPr="007E77AF">
        <w:t xml:space="preserve">§ </w:t>
      </w:r>
      <w:r w:rsidR="00FD5E18" w:rsidRPr="007E77AF">
        <w:t>3</w:t>
      </w:r>
      <w:proofErr w:type="gramStart"/>
      <w:r w:rsidRPr="007E77AF">
        <w:t>º  Durante</w:t>
      </w:r>
      <w:proofErr w:type="gramEnd"/>
      <w:r w:rsidRPr="007E77AF">
        <w:t xml:space="preserve"> a consulta a potenciais investidores, as pessoas mencionadas no </w:t>
      </w:r>
      <w:r w:rsidR="00FD5E18" w:rsidRPr="007E77AF">
        <w:t xml:space="preserve">§ 1º do </w:t>
      </w:r>
      <w:r w:rsidR="00E00A37" w:rsidRPr="007E77AF">
        <w:rPr>
          <w:b/>
          <w:bCs/>
        </w:rPr>
        <w:t>caput</w:t>
      </w:r>
      <w:r w:rsidRPr="007E77AF">
        <w:t xml:space="preserve"> </w:t>
      </w:r>
      <w:r w:rsidR="00A46464" w:rsidRPr="007E77AF">
        <w:t xml:space="preserve">devem </w:t>
      </w:r>
      <w:r w:rsidR="006F515F" w:rsidRPr="007E77AF">
        <w:t>obter de</w:t>
      </w:r>
      <w:r w:rsidRPr="007E77AF">
        <w:t xml:space="preserve"> seus interlocutores </w:t>
      </w:r>
      <w:r w:rsidR="00992CFC" w:rsidRPr="007E77AF">
        <w:t xml:space="preserve">o compromisso </w:t>
      </w:r>
      <w:r w:rsidRPr="007E77AF">
        <w:t xml:space="preserve">de </w:t>
      </w:r>
      <w:r w:rsidR="00493DC4">
        <w:t xml:space="preserve">manter em sigilo </w:t>
      </w:r>
      <w:r w:rsidRPr="007E77AF">
        <w:t>a</w:t>
      </w:r>
      <w:r w:rsidR="002F73AA">
        <w:t>s informações recebidas na</w:t>
      </w:r>
      <w:r w:rsidR="00C42103">
        <w:t xml:space="preserve"> consulta e a possibilidade</w:t>
      </w:r>
      <w:r w:rsidRPr="007E77AF">
        <w:t xml:space="preserve"> de </w:t>
      </w:r>
      <w:r w:rsidR="002F73AA" w:rsidRPr="007E77AF">
        <w:t>realiza</w:t>
      </w:r>
      <w:r w:rsidR="002F73AA">
        <w:t>ção de</w:t>
      </w:r>
      <w:r w:rsidR="002F73AA" w:rsidRPr="007E77AF">
        <w:t xml:space="preserve"> </w:t>
      </w:r>
      <w:r w:rsidRPr="007E77AF">
        <w:t xml:space="preserve">oferta pública de distribuição de valores mobiliários até </w:t>
      </w:r>
      <w:r w:rsidR="00F91E0A">
        <w:t xml:space="preserve">a divulgação do aviso ao mercado </w:t>
      </w:r>
      <w:r w:rsidR="004B6767" w:rsidRPr="007E77AF" w:rsidDel="00493DC4">
        <w:t xml:space="preserve">ou </w:t>
      </w:r>
      <w:r w:rsidR="00F91E0A">
        <w:t>d</w:t>
      </w:r>
      <w:r w:rsidR="00DB3BBF">
        <w:t xml:space="preserve">o </w:t>
      </w:r>
      <w:r w:rsidR="00A5350C">
        <w:t>a</w:t>
      </w:r>
      <w:r w:rsidR="00871463">
        <w:t>núncio</w:t>
      </w:r>
      <w:r w:rsidR="00DB3BBF">
        <w:t xml:space="preserve"> de início</w:t>
      </w:r>
      <w:r w:rsidR="00871463">
        <w:t xml:space="preserve"> de distribuição</w:t>
      </w:r>
      <w:r w:rsidR="00493DC4">
        <w:t>.</w:t>
      </w:r>
    </w:p>
    <w:p w14:paraId="46C56358" w14:textId="1CD3A4C0" w:rsidR="00D74986" w:rsidRPr="007E77AF" w:rsidRDefault="00FF666C" w:rsidP="00D74986">
      <w:pPr>
        <w:spacing w:before="120" w:after="120" w:line="312" w:lineRule="auto"/>
        <w:ind w:firstLine="567"/>
        <w:jc w:val="both"/>
      </w:pPr>
      <w:r w:rsidRPr="007E77AF">
        <w:t xml:space="preserve">§ </w:t>
      </w:r>
      <w:r w:rsidR="00FD5E18" w:rsidRPr="007E77AF">
        <w:t>4</w:t>
      </w:r>
      <w:proofErr w:type="gramStart"/>
      <w:r w:rsidRPr="007E77AF">
        <w:t>º  As</w:t>
      </w:r>
      <w:proofErr w:type="gramEnd"/>
      <w:r w:rsidRPr="007E77AF">
        <w:t xml:space="preserve"> pessoas mencionadas no </w:t>
      </w:r>
      <w:r w:rsidR="00FD5E18" w:rsidRPr="007E77AF">
        <w:t xml:space="preserve">§ 1º </w:t>
      </w:r>
      <w:r w:rsidR="00A46464" w:rsidRPr="007E77AF">
        <w:t>devem</w:t>
      </w:r>
      <w:r w:rsidR="00A46464" w:rsidRPr="007E77AF">
        <w:rPr>
          <w:bCs/>
        </w:rPr>
        <w:t xml:space="preserve"> </w:t>
      </w:r>
      <w:r w:rsidRPr="007E77AF">
        <w:t xml:space="preserve">manter </w:t>
      </w:r>
      <w:r w:rsidR="004913D1" w:rsidRPr="007E77AF">
        <w:t xml:space="preserve">à disposição da CVM nos termos do </w:t>
      </w:r>
      <w:r w:rsidR="00495B58" w:rsidRPr="007E77AF">
        <w:t>inciso</w:t>
      </w:r>
      <w:r w:rsidR="00216530" w:rsidRPr="007E77AF">
        <w:t xml:space="preserve"> </w:t>
      </w:r>
      <w:r w:rsidR="0086760A" w:rsidRPr="007E77AF">
        <w:t>XV</w:t>
      </w:r>
      <w:r w:rsidR="00216530" w:rsidRPr="007E77AF">
        <w:t xml:space="preserve"> </w:t>
      </w:r>
      <w:r w:rsidR="00495B58" w:rsidRPr="007E77AF">
        <w:t xml:space="preserve">do </w:t>
      </w:r>
      <w:r w:rsidR="004913D1" w:rsidRPr="007E77AF">
        <w:t xml:space="preserve">art. </w:t>
      </w:r>
      <w:r w:rsidR="00FE13FC">
        <w:rPr>
          <w:bCs/>
        </w:rPr>
        <w:t>83</w:t>
      </w:r>
      <w:r w:rsidR="00FE13FC" w:rsidRPr="007E77AF">
        <w:t xml:space="preserve"> </w:t>
      </w:r>
      <w:r w:rsidR="00495B58" w:rsidRPr="007E77AF">
        <w:t>desta Resolução</w:t>
      </w:r>
      <w:r w:rsidR="004913D1" w:rsidRPr="007E77AF">
        <w:rPr>
          <w:bCs/>
        </w:rPr>
        <w:t>:</w:t>
      </w:r>
    </w:p>
    <w:p w14:paraId="39EC3F7B" w14:textId="5659A711" w:rsidR="00D74986" w:rsidRPr="007E77AF" w:rsidRDefault="004913D1" w:rsidP="00D74986">
      <w:pPr>
        <w:spacing w:before="120" w:after="120" w:line="312" w:lineRule="auto"/>
        <w:ind w:firstLine="567"/>
        <w:jc w:val="both"/>
        <w:rPr>
          <w:bCs/>
        </w:rPr>
      </w:pPr>
      <w:r w:rsidRPr="007E77AF">
        <w:rPr>
          <w:bCs/>
        </w:rPr>
        <w:t xml:space="preserve">I </w:t>
      </w:r>
      <w:r w:rsidR="00ED394E" w:rsidRPr="007E77AF">
        <w:rPr>
          <w:bCs/>
        </w:rPr>
        <w:t>–</w:t>
      </w:r>
      <w:r w:rsidRPr="007E77AF">
        <w:rPr>
          <w:bCs/>
        </w:rPr>
        <w:t xml:space="preserve"> </w:t>
      </w:r>
      <w:proofErr w:type="gramStart"/>
      <w:r w:rsidR="00FF666C" w:rsidRPr="007E77AF">
        <w:rPr>
          <w:bCs/>
        </w:rPr>
        <w:t>lista</w:t>
      </w:r>
      <w:proofErr w:type="gramEnd"/>
      <w:r w:rsidR="00FF666C" w:rsidRPr="007E77AF">
        <w:rPr>
          <w:bCs/>
        </w:rPr>
        <w:t xml:space="preserve"> com informações </w:t>
      </w:r>
      <w:r w:rsidR="00CA1AD2" w:rsidRPr="007E77AF">
        <w:rPr>
          <w:bCs/>
        </w:rPr>
        <w:t>que possibilitem a identificação das</w:t>
      </w:r>
      <w:r w:rsidR="00FF666C" w:rsidRPr="007E77AF">
        <w:rPr>
          <w:bCs/>
        </w:rPr>
        <w:t xml:space="preserve"> pessoas consultadas</w:t>
      </w:r>
      <w:r w:rsidR="2877F252" w:rsidRPr="007E77AF">
        <w:t>,</w:t>
      </w:r>
      <w:r w:rsidR="00FF666C" w:rsidRPr="007E77AF">
        <w:t xml:space="preserve"> </w:t>
      </w:r>
      <w:r w:rsidR="2F205805" w:rsidRPr="007E77AF">
        <w:t>bem como</w:t>
      </w:r>
      <w:r w:rsidR="00FF666C" w:rsidRPr="007E77AF">
        <w:rPr>
          <w:bCs/>
        </w:rPr>
        <w:t xml:space="preserve"> a data e </w:t>
      </w:r>
      <w:r w:rsidR="220EA311" w:rsidRPr="007E77AF">
        <w:t>a</w:t>
      </w:r>
      <w:r w:rsidR="00FF666C" w:rsidRPr="007E77AF">
        <w:t xml:space="preserve"> </w:t>
      </w:r>
      <w:r w:rsidR="00FF666C" w:rsidRPr="007E77AF">
        <w:rPr>
          <w:bCs/>
        </w:rPr>
        <w:t>hora em que foram consultadas</w:t>
      </w:r>
      <w:r w:rsidRPr="007E77AF">
        <w:rPr>
          <w:bCs/>
        </w:rPr>
        <w:t>;</w:t>
      </w:r>
      <w:r w:rsidR="00831D71" w:rsidRPr="007E77AF">
        <w:rPr>
          <w:bCs/>
        </w:rPr>
        <w:t xml:space="preserve"> e</w:t>
      </w:r>
    </w:p>
    <w:p w14:paraId="35D69826" w14:textId="77777777" w:rsidR="00D74986" w:rsidRPr="007E77AF" w:rsidRDefault="004913D1" w:rsidP="00D74986">
      <w:pPr>
        <w:spacing w:before="120" w:after="120" w:line="312" w:lineRule="auto"/>
        <w:ind w:firstLine="567"/>
        <w:jc w:val="both"/>
      </w:pPr>
      <w:r w:rsidRPr="007E77AF">
        <w:t xml:space="preserve">II – </w:t>
      </w:r>
      <w:proofErr w:type="gramStart"/>
      <w:r w:rsidR="004517F3" w:rsidRPr="007E77AF">
        <w:t>as</w:t>
      </w:r>
      <w:proofErr w:type="gramEnd"/>
      <w:r w:rsidR="004517F3" w:rsidRPr="007E77AF">
        <w:t xml:space="preserve"> apresentações </w:t>
      </w:r>
      <w:r w:rsidRPr="007E77AF">
        <w:t xml:space="preserve">e </w:t>
      </w:r>
      <w:r w:rsidR="004517F3" w:rsidRPr="007E77AF">
        <w:t>os materiais utilizados</w:t>
      </w:r>
      <w:r w:rsidRPr="007E77AF">
        <w:t>.</w:t>
      </w:r>
    </w:p>
    <w:p w14:paraId="2DA98773" w14:textId="2FCFF931" w:rsidR="00D74986" w:rsidRPr="007E77AF" w:rsidRDefault="009069A1" w:rsidP="001353DC">
      <w:pPr>
        <w:keepNext/>
        <w:spacing w:before="120" w:after="120" w:line="312" w:lineRule="auto"/>
        <w:ind w:firstLine="567"/>
        <w:jc w:val="both"/>
      </w:pPr>
      <w:bookmarkStart w:id="41" w:name="_Ref467256775"/>
      <w:r w:rsidRPr="007E77AF">
        <w:t>Art. 7</w:t>
      </w:r>
      <w:proofErr w:type="gramStart"/>
      <w:r w:rsidR="00DF7881" w:rsidRPr="007E77AF">
        <w:rPr>
          <w:lang w:eastAsia="en-US"/>
        </w:rPr>
        <w:t>º  As</w:t>
      </w:r>
      <w:proofErr w:type="gramEnd"/>
      <w:r w:rsidR="00DF7881" w:rsidRPr="007E77AF">
        <w:rPr>
          <w:lang w:eastAsia="en-US"/>
        </w:rPr>
        <w:t xml:space="preserve"> ofertas</w:t>
      </w:r>
      <w:r w:rsidR="00DF7881" w:rsidRPr="007E77AF">
        <w:t xml:space="preserve"> públicas de distribuição devem ser realizadas em condições que assegurem tratamento equitativo aos destinatários e aceitantes das ofertas, permitida a concessão de prioridade àqueles que já </w:t>
      </w:r>
      <w:r w:rsidR="007C37F9" w:rsidRPr="007E77AF">
        <w:t xml:space="preserve">sejam titulares de </w:t>
      </w:r>
      <w:r w:rsidR="00DF7881" w:rsidRPr="007E77AF">
        <w:t xml:space="preserve">valores mobiliários objeto da oferta, sem prejuízo do disposto nos </w:t>
      </w:r>
      <w:proofErr w:type="spellStart"/>
      <w:r w:rsidR="00DF7881" w:rsidRPr="007E77AF">
        <w:t>arts</w:t>
      </w:r>
      <w:proofErr w:type="spellEnd"/>
      <w:r w:rsidR="00DF7881" w:rsidRPr="007E77AF">
        <w:t xml:space="preserve">. </w:t>
      </w:r>
      <w:r w:rsidR="0086760A" w:rsidRPr="007E77AF">
        <w:t>49</w:t>
      </w:r>
      <w:r w:rsidR="00A60541" w:rsidRPr="007E77AF">
        <w:t xml:space="preserve"> e</w:t>
      </w:r>
      <w:r w:rsidR="00DF7881" w:rsidRPr="007E77AF">
        <w:t xml:space="preserve"> </w:t>
      </w:r>
      <w:r w:rsidR="00AE55BA">
        <w:t>61</w:t>
      </w:r>
      <w:r w:rsidR="00DF7881" w:rsidRPr="007E77AF">
        <w:t>.</w:t>
      </w:r>
      <w:bookmarkEnd w:id="41"/>
    </w:p>
    <w:p w14:paraId="3B8CD936" w14:textId="6BFC0158" w:rsidR="00D74986" w:rsidRPr="007E77AF" w:rsidRDefault="00126A64" w:rsidP="006B018B">
      <w:pPr>
        <w:pStyle w:val="Seo"/>
      </w:pPr>
      <w:bookmarkStart w:id="42" w:name="_Toc467256266"/>
      <w:bookmarkStart w:id="43" w:name="_Toc476216308"/>
      <w:bookmarkStart w:id="44" w:name="_Toc108516029"/>
      <w:bookmarkStart w:id="45" w:name="_Toc108203060"/>
      <w:bookmarkStart w:id="46" w:name="_Toc136502800"/>
      <w:r w:rsidRPr="007E77AF">
        <w:t xml:space="preserve">Seção </w:t>
      </w:r>
      <w:r w:rsidR="00F55FAB" w:rsidRPr="007E77AF">
        <w:t>I</w:t>
      </w:r>
      <w:r w:rsidRPr="007E77AF">
        <w:t xml:space="preserve">I – </w:t>
      </w:r>
      <w:r w:rsidR="0022634B" w:rsidRPr="007E77AF">
        <w:t xml:space="preserve">Ofertas não </w:t>
      </w:r>
      <w:r w:rsidR="005C4130" w:rsidRPr="007E77AF">
        <w:t>S</w:t>
      </w:r>
      <w:r w:rsidR="0022634B" w:rsidRPr="007E77AF">
        <w:t xml:space="preserve">ujeitas </w:t>
      </w:r>
      <w:r w:rsidR="00736E79" w:rsidRPr="007E77AF">
        <w:t xml:space="preserve">a </w:t>
      </w:r>
      <w:r w:rsidR="0022634B" w:rsidRPr="007E77AF">
        <w:t xml:space="preserve">esta </w:t>
      </w:r>
      <w:bookmarkEnd w:id="42"/>
      <w:r w:rsidR="5CA000DF" w:rsidRPr="007E77AF">
        <w:t>R</w:t>
      </w:r>
      <w:r w:rsidR="002D0656" w:rsidRPr="007E77AF">
        <w:t>egulamentação</w:t>
      </w:r>
      <w:bookmarkEnd w:id="43"/>
      <w:bookmarkEnd w:id="44"/>
      <w:bookmarkEnd w:id="45"/>
      <w:bookmarkEnd w:id="46"/>
    </w:p>
    <w:p w14:paraId="1097330F" w14:textId="6147C5A0" w:rsidR="00D74986" w:rsidRPr="007E77AF" w:rsidRDefault="009069A1" w:rsidP="001353DC">
      <w:pPr>
        <w:keepNext/>
        <w:spacing w:before="120" w:after="120" w:line="312" w:lineRule="auto"/>
        <w:ind w:firstLine="567"/>
        <w:jc w:val="both"/>
      </w:pPr>
      <w:bookmarkStart w:id="47" w:name="_Ref61011509"/>
      <w:r w:rsidRPr="007E77AF">
        <w:t>Art. 8</w:t>
      </w:r>
      <w:proofErr w:type="gramStart"/>
      <w:r w:rsidR="00B50EB6" w:rsidRPr="007E77AF">
        <w:t xml:space="preserve">º  </w:t>
      </w:r>
      <w:r w:rsidR="0017693A" w:rsidRPr="007E77AF">
        <w:t>N</w:t>
      </w:r>
      <w:r w:rsidR="005A0A46" w:rsidRPr="007E77AF">
        <w:t>ão</w:t>
      </w:r>
      <w:proofErr w:type="gramEnd"/>
      <w:r w:rsidR="005A0A46" w:rsidRPr="007E77AF">
        <w:t xml:space="preserve"> </w:t>
      </w:r>
      <w:r w:rsidR="00EC3571" w:rsidRPr="007E77AF">
        <w:t>estão sujeitas a esta regulamentação</w:t>
      </w:r>
      <w:r w:rsidR="001D6A49" w:rsidRPr="007E77AF">
        <w:t xml:space="preserve"> </w:t>
      </w:r>
      <w:r w:rsidR="005A0A46" w:rsidRPr="007E77AF">
        <w:t>ofertas</w:t>
      </w:r>
      <w:r w:rsidR="009D6C30" w:rsidRPr="007E77AF">
        <w:t xml:space="preserve"> </w:t>
      </w:r>
      <w:r w:rsidR="00922435" w:rsidRPr="007E77AF">
        <w:t>de valores mobiliários com as seguintes características</w:t>
      </w:r>
      <w:r w:rsidR="005A0A46" w:rsidRPr="007E77AF">
        <w:t>:</w:t>
      </w:r>
      <w:bookmarkEnd w:id="47"/>
    </w:p>
    <w:p w14:paraId="4C3BF86F" w14:textId="6A5EB5C7" w:rsidR="00D74986" w:rsidRPr="007E77AF" w:rsidRDefault="009069A1" w:rsidP="001353DC">
      <w:pPr>
        <w:spacing w:before="120" w:after="120" w:line="312" w:lineRule="auto"/>
        <w:ind w:firstLine="567"/>
        <w:jc w:val="both"/>
      </w:pPr>
      <w:r w:rsidRPr="007E77AF">
        <w:t>I</w:t>
      </w:r>
      <w:r w:rsidR="005E5774" w:rsidRPr="007E77AF">
        <w:t xml:space="preserve"> – </w:t>
      </w:r>
      <w:proofErr w:type="gramStart"/>
      <w:r w:rsidR="005E5774" w:rsidRPr="007E77AF">
        <w:t>iniciais</w:t>
      </w:r>
      <w:proofErr w:type="gramEnd"/>
      <w:r w:rsidR="005E5774" w:rsidRPr="007E77AF">
        <w:t xml:space="preserve"> e subsequentes de cotas de fundos de investimento fechados exclusivos</w:t>
      </w:r>
      <w:r w:rsidR="0068497F" w:rsidRPr="007E77AF">
        <w:t>, conforme definido</w:t>
      </w:r>
      <w:r w:rsidR="00F80C5D" w:rsidRPr="007E77AF">
        <w:t>s</w:t>
      </w:r>
      <w:r w:rsidR="0068497F" w:rsidRPr="007E77AF">
        <w:t xml:space="preserve"> em regulamentação específica</w:t>
      </w:r>
      <w:r w:rsidR="005E5774" w:rsidRPr="007E77AF">
        <w:t>;</w:t>
      </w:r>
    </w:p>
    <w:p w14:paraId="74A721F3" w14:textId="16CD2506" w:rsidR="00D74986" w:rsidRPr="007E77AF" w:rsidRDefault="009069A1" w:rsidP="001353DC">
      <w:pPr>
        <w:spacing w:before="120" w:after="120" w:line="312" w:lineRule="auto"/>
        <w:ind w:firstLine="567"/>
        <w:jc w:val="both"/>
      </w:pPr>
      <w:r w:rsidRPr="007E77AF">
        <w:t>II</w:t>
      </w:r>
      <w:r w:rsidR="005E5774" w:rsidRPr="007E77AF">
        <w:t xml:space="preserve"> – </w:t>
      </w:r>
      <w:proofErr w:type="gramStart"/>
      <w:r w:rsidR="005E5774" w:rsidRPr="007E77AF">
        <w:t>subsequentes</w:t>
      </w:r>
      <w:proofErr w:type="gramEnd"/>
      <w:r w:rsidR="005E5774" w:rsidRPr="007E77AF">
        <w:t xml:space="preserve"> de cotas de fundo</w:t>
      </w:r>
      <w:r w:rsidR="30372BCC" w:rsidRPr="007E77AF">
        <w:t>s</w:t>
      </w:r>
      <w:r w:rsidR="005E5774" w:rsidRPr="007E77AF">
        <w:t xml:space="preserve"> de investimento fechado</w:t>
      </w:r>
      <w:r w:rsidR="73879F33" w:rsidRPr="007E77AF">
        <w:t>s</w:t>
      </w:r>
      <w:r w:rsidR="005E5774" w:rsidRPr="007E77AF">
        <w:t xml:space="preserve"> destinada exclusivamente a cotistas do próprio fundo</w:t>
      </w:r>
      <w:r w:rsidR="00A93D03" w:rsidRPr="007E77AF">
        <w:t xml:space="preserve"> </w:t>
      </w:r>
      <w:r w:rsidR="00F622FB" w:rsidRPr="007E77AF">
        <w:t xml:space="preserve">nos casos de fundos </w:t>
      </w:r>
      <w:r w:rsidR="455E500C" w:rsidRPr="007E77AF">
        <w:t xml:space="preserve">ou classes de cotas </w:t>
      </w:r>
      <w:r w:rsidR="00F622FB" w:rsidRPr="007E77AF">
        <w:t xml:space="preserve">com menos de </w:t>
      </w:r>
      <w:r w:rsidR="00C04A96" w:rsidRPr="007E77AF">
        <w:t xml:space="preserve">100 </w:t>
      </w:r>
      <w:r w:rsidR="24A0D510" w:rsidRPr="007E77AF">
        <w:t xml:space="preserve">(cem) </w:t>
      </w:r>
      <w:r w:rsidR="00F622FB" w:rsidRPr="007E77AF">
        <w:t>cotistas</w:t>
      </w:r>
      <w:r w:rsidR="00A73A59" w:rsidRPr="007E77AF">
        <w:t xml:space="preserve"> na data da oferta</w:t>
      </w:r>
      <w:r w:rsidR="687A56F5" w:rsidRPr="007E77AF">
        <w:t xml:space="preserve"> </w:t>
      </w:r>
      <w:r w:rsidR="001C1C08" w:rsidRPr="007E77AF">
        <w:t xml:space="preserve">e cujas cotas não estejam admitidas </w:t>
      </w:r>
      <w:r w:rsidR="000A07CA">
        <w:t>à</w:t>
      </w:r>
      <w:r w:rsidR="00A53906">
        <w:t xml:space="preserve"> </w:t>
      </w:r>
      <w:r w:rsidR="001C1C08" w:rsidRPr="007E77AF">
        <w:t>negociação em mercado organizado</w:t>
      </w:r>
      <w:r w:rsidR="005E5774" w:rsidRPr="007E77AF">
        <w:t>;</w:t>
      </w:r>
    </w:p>
    <w:p w14:paraId="6198FE0F" w14:textId="22F6A4B1" w:rsidR="00D74986" w:rsidRPr="007E77AF" w:rsidRDefault="009069A1" w:rsidP="001353DC">
      <w:pPr>
        <w:spacing w:before="120" w:after="120" w:line="312" w:lineRule="auto"/>
        <w:ind w:firstLine="567"/>
        <w:jc w:val="both"/>
      </w:pPr>
      <w:r w:rsidRPr="007E77AF">
        <w:lastRenderedPageBreak/>
        <w:t>III</w:t>
      </w:r>
      <w:r w:rsidR="00BB11F5" w:rsidRPr="007E77AF">
        <w:t xml:space="preserve"> </w:t>
      </w:r>
      <w:r w:rsidR="005E5774" w:rsidRPr="007E77AF">
        <w:t>–</w:t>
      </w:r>
      <w:r w:rsidR="006914B3" w:rsidRPr="007E77AF">
        <w:t xml:space="preserve"> </w:t>
      </w:r>
      <w:r w:rsidR="005E5774" w:rsidRPr="007E77AF">
        <w:t>de</w:t>
      </w:r>
      <w:r w:rsidR="0019742A" w:rsidRPr="007E77AF">
        <w:t>corrente</w:t>
      </w:r>
      <w:r w:rsidR="00631242">
        <w:t>s</w:t>
      </w:r>
      <w:r w:rsidR="0019742A" w:rsidRPr="007E77AF">
        <w:t xml:space="preserve"> de plano de remuneração</w:t>
      </w:r>
      <w:r w:rsidR="00FF43D7" w:rsidRPr="007E77AF">
        <w:t xml:space="preserve"> </w:t>
      </w:r>
      <w:r w:rsidR="0019742A" w:rsidRPr="007E77AF">
        <w:t>de</w:t>
      </w:r>
      <w:r w:rsidR="005E5774" w:rsidRPr="007E77AF">
        <w:t>stinad</w:t>
      </w:r>
      <w:r w:rsidR="0019742A" w:rsidRPr="007E77AF">
        <w:t>o</w:t>
      </w:r>
      <w:r w:rsidR="005E5774" w:rsidRPr="007E77AF">
        <w:t xml:space="preserve"> </w:t>
      </w:r>
      <w:r w:rsidR="009228E3" w:rsidRPr="007E77AF">
        <w:t>aos administradores</w:t>
      </w:r>
      <w:r w:rsidR="00265D16" w:rsidRPr="007E77AF">
        <w:t>,</w:t>
      </w:r>
      <w:r w:rsidR="00CD34D1" w:rsidRPr="007E77AF">
        <w:t xml:space="preserve"> funcionários</w:t>
      </w:r>
      <w:r w:rsidR="009228E3" w:rsidRPr="007E77AF">
        <w:t xml:space="preserve"> </w:t>
      </w:r>
      <w:r w:rsidR="00603727" w:rsidRPr="007E77AF">
        <w:t>e pessoas naturais que prestem serviço</w:t>
      </w:r>
      <w:r w:rsidR="009814E2" w:rsidRPr="007E77AF">
        <w:t>s</w:t>
      </w:r>
      <w:r w:rsidR="00603727" w:rsidRPr="007E77AF">
        <w:t xml:space="preserve"> ao</w:t>
      </w:r>
      <w:r w:rsidR="009228E3" w:rsidRPr="007E77AF">
        <w:t xml:space="preserve"> emissor</w:t>
      </w:r>
      <w:r w:rsidR="00C40528" w:rsidRPr="007E77AF">
        <w:t xml:space="preserve"> ou</w:t>
      </w:r>
      <w:r w:rsidR="005E5774" w:rsidRPr="007E77AF">
        <w:t xml:space="preserve"> </w:t>
      </w:r>
      <w:r w:rsidR="00162791" w:rsidRPr="007E77AF">
        <w:t xml:space="preserve">à </w:t>
      </w:r>
      <w:r w:rsidR="005E5774" w:rsidRPr="007E77AF">
        <w:t>empresa coligada, controlada ou controladora do emissor</w:t>
      </w:r>
      <w:r w:rsidR="00735C84" w:rsidRPr="007E77AF">
        <w:t xml:space="preserve"> </w:t>
      </w:r>
      <w:r w:rsidR="00831332" w:rsidRPr="007E77AF">
        <w:t xml:space="preserve">e </w:t>
      </w:r>
      <w:r w:rsidR="00DC1DC6" w:rsidRPr="007E77AF">
        <w:rPr>
          <w:rFonts w:cstheme="minorHAnsi"/>
        </w:rPr>
        <w:t>entidades sem fins lucrativ</w:t>
      </w:r>
      <w:r w:rsidR="00481B99" w:rsidRPr="007E77AF">
        <w:rPr>
          <w:rFonts w:cstheme="minorHAnsi"/>
        </w:rPr>
        <w:t>o</w:t>
      </w:r>
      <w:r w:rsidR="00DC1DC6" w:rsidRPr="007E77AF">
        <w:rPr>
          <w:rFonts w:cstheme="minorHAnsi"/>
        </w:rPr>
        <w:t>s por ele mantidas</w:t>
      </w:r>
      <w:r w:rsidR="005E5774" w:rsidRPr="007E77AF">
        <w:t>;</w:t>
      </w:r>
    </w:p>
    <w:p w14:paraId="4284F33F" w14:textId="74930385" w:rsidR="00D74986" w:rsidRPr="007E77AF" w:rsidRDefault="009069A1" w:rsidP="001353DC">
      <w:pPr>
        <w:spacing w:before="120" w:after="120" w:line="312" w:lineRule="auto"/>
        <w:ind w:firstLine="567"/>
        <w:jc w:val="both"/>
      </w:pPr>
      <w:r w:rsidRPr="007E77AF">
        <w:t>IV</w:t>
      </w:r>
      <w:r w:rsidR="00171683" w:rsidRPr="007E77AF">
        <w:t xml:space="preserve"> </w:t>
      </w:r>
      <w:r w:rsidR="4D90B63E" w:rsidRPr="007E77AF">
        <w:t xml:space="preserve">– </w:t>
      </w:r>
      <w:proofErr w:type="gramStart"/>
      <w:r w:rsidR="4D90B63E" w:rsidRPr="007E77AF">
        <w:t>de</w:t>
      </w:r>
      <w:proofErr w:type="gramEnd"/>
      <w:r w:rsidR="4D90B63E" w:rsidRPr="007E77AF">
        <w:t xml:space="preserve"> lote único e indivisível de valores mobiliários</w:t>
      </w:r>
      <w:r w:rsidR="540369D7" w:rsidRPr="007E77AF">
        <w:t xml:space="preserve"> destinado a um único investidor</w:t>
      </w:r>
      <w:r w:rsidR="009143EB">
        <w:t>;</w:t>
      </w:r>
    </w:p>
    <w:p w14:paraId="4F4E43B2" w14:textId="68689599" w:rsidR="00D74986" w:rsidRPr="007E77AF" w:rsidRDefault="009069A1" w:rsidP="001353DC">
      <w:pPr>
        <w:spacing w:before="120" w:after="120" w:line="312" w:lineRule="auto"/>
        <w:ind w:firstLine="567"/>
        <w:jc w:val="both"/>
      </w:pPr>
      <w:r w:rsidRPr="007E77AF">
        <w:t>V</w:t>
      </w:r>
      <w:r w:rsidR="00015809" w:rsidRPr="007E77AF">
        <w:t xml:space="preserve"> – </w:t>
      </w:r>
      <w:proofErr w:type="gramStart"/>
      <w:r w:rsidR="00015809" w:rsidRPr="007E77AF">
        <w:t>de</w:t>
      </w:r>
      <w:proofErr w:type="gramEnd"/>
      <w:r w:rsidR="00015809" w:rsidRPr="007E77AF">
        <w:t xml:space="preserve"> </w:t>
      </w:r>
      <w:r w:rsidR="66B0E851" w:rsidRPr="007E77AF">
        <w:t>valores mobiliário</w:t>
      </w:r>
      <w:r w:rsidR="009000E2" w:rsidRPr="007E77AF">
        <w:t>s</w:t>
      </w:r>
      <w:r w:rsidR="00015809" w:rsidRPr="007E77AF">
        <w:t xml:space="preserve"> oferecidos por ocasião </w:t>
      </w:r>
      <w:r w:rsidR="05913112" w:rsidRPr="007E77AF">
        <w:t>de</w:t>
      </w:r>
      <w:r w:rsidR="00A538B2" w:rsidRPr="007E77AF">
        <w:t xml:space="preserve"> permuta no âmbito de oferta pública de aquisição de ações (</w:t>
      </w:r>
      <w:r w:rsidR="00EE56E7" w:rsidRPr="007E77AF">
        <w:t>“</w:t>
      </w:r>
      <w:r w:rsidR="00A538B2" w:rsidRPr="007E77AF">
        <w:t>OPA</w:t>
      </w:r>
      <w:r w:rsidR="00EE56E7" w:rsidRPr="007E77AF">
        <w:t>”</w:t>
      </w:r>
      <w:r w:rsidR="00A538B2" w:rsidRPr="007E77AF">
        <w:t xml:space="preserve">), </w:t>
      </w:r>
      <w:r w:rsidR="00695E93" w:rsidRPr="007E77AF">
        <w:t>sem prejuízo d</w:t>
      </w:r>
      <w:r w:rsidR="00A538B2" w:rsidRPr="007E77AF">
        <w:t>as disposições de norma específica sobre OPA</w:t>
      </w:r>
      <w:r w:rsidR="17CDF6EF" w:rsidRPr="007E77AF">
        <w:t xml:space="preserve">, </w:t>
      </w:r>
      <w:r w:rsidR="1E3E1603" w:rsidRPr="007E77AF">
        <w:t>e desde que tais valore</w:t>
      </w:r>
      <w:r w:rsidR="17CDF6EF" w:rsidRPr="007E77AF">
        <w:t xml:space="preserve">s mobiliários </w:t>
      </w:r>
      <w:r w:rsidR="009716A0" w:rsidRPr="007E77AF">
        <w:t xml:space="preserve">estejam </w:t>
      </w:r>
      <w:r w:rsidR="17CDF6EF" w:rsidRPr="007E77AF">
        <w:t xml:space="preserve">admitidos à negociação em mercados </w:t>
      </w:r>
      <w:r w:rsidR="71B47F9F" w:rsidRPr="007E77AF">
        <w:t xml:space="preserve">organizados </w:t>
      </w:r>
      <w:r w:rsidR="17CDF6EF" w:rsidRPr="007E77AF">
        <w:t>brasileiros</w:t>
      </w:r>
      <w:r w:rsidR="00854A84" w:rsidRPr="007E77AF">
        <w:t>;</w:t>
      </w:r>
    </w:p>
    <w:p w14:paraId="7CE9F303" w14:textId="6B18EDFE" w:rsidR="00D74986" w:rsidRPr="007E77AF" w:rsidRDefault="009069A1" w:rsidP="001353DC">
      <w:pPr>
        <w:spacing w:before="120" w:after="120" w:line="312" w:lineRule="auto"/>
        <w:ind w:firstLine="567"/>
        <w:jc w:val="both"/>
      </w:pPr>
      <w:r w:rsidRPr="007E77AF">
        <w:t>VI</w:t>
      </w:r>
      <w:r w:rsidR="00933558" w:rsidRPr="007E77AF">
        <w:t xml:space="preserve"> –</w:t>
      </w:r>
      <w:r w:rsidR="001C2BCF" w:rsidRPr="007E77AF">
        <w:t xml:space="preserve"> </w:t>
      </w:r>
      <w:proofErr w:type="gramStart"/>
      <w:r w:rsidR="00933558" w:rsidRPr="007E77AF">
        <w:t>iniciais</w:t>
      </w:r>
      <w:proofErr w:type="gramEnd"/>
      <w:r w:rsidR="00933558" w:rsidRPr="007E77AF">
        <w:t xml:space="preserve"> ou subsequentes de valores mobiliários emitidos e admitidos à negociação em </w:t>
      </w:r>
      <w:r w:rsidR="007E598D" w:rsidRPr="007E77AF">
        <w:t xml:space="preserve">mercados </w:t>
      </w:r>
      <w:r w:rsidR="00917CB9" w:rsidRPr="007E77AF">
        <w:t xml:space="preserve">organizados de valores mobiliários </w:t>
      </w:r>
      <w:r w:rsidR="007E598D" w:rsidRPr="007E77AF">
        <w:t>estrangeiros, com</w:t>
      </w:r>
      <w:r w:rsidR="00933558" w:rsidRPr="007E77AF">
        <w:t xml:space="preserve"> </w:t>
      </w:r>
      <w:r w:rsidR="007E598D" w:rsidRPr="007E77AF">
        <w:t xml:space="preserve">liquidação </w:t>
      </w:r>
      <w:r w:rsidR="00933558" w:rsidRPr="007E77AF">
        <w:t>no exterior em moeda estrangeira</w:t>
      </w:r>
      <w:r w:rsidR="00C31FF8" w:rsidRPr="007E77AF">
        <w:t>,</w:t>
      </w:r>
      <w:r w:rsidR="00933558" w:rsidRPr="007E77AF">
        <w:t xml:space="preserve"> </w:t>
      </w:r>
      <w:r w:rsidR="5D80C115" w:rsidRPr="007E77AF">
        <w:t xml:space="preserve">quando </w:t>
      </w:r>
      <w:r w:rsidR="1DFCEA7D" w:rsidRPr="007E77AF">
        <w:t>adquiridos</w:t>
      </w:r>
      <w:r w:rsidR="00933558" w:rsidRPr="007E77AF">
        <w:t xml:space="preserve"> </w:t>
      </w:r>
      <w:r w:rsidR="27121204" w:rsidRPr="007E77AF">
        <w:t>por</w:t>
      </w:r>
      <w:r w:rsidR="00933558" w:rsidRPr="007E77AF">
        <w:t xml:space="preserve"> investidores </w:t>
      </w:r>
      <w:r w:rsidR="003568CD" w:rsidRPr="007E77AF">
        <w:t xml:space="preserve">profissionais </w:t>
      </w:r>
      <w:r w:rsidR="00ED30AC">
        <w:t>residentes no Brasil</w:t>
      </w:r>
      <w:r w:rsidR="00ED30AC" w:rsidRPr="007E77AF">
        <w:t xml:space="preserve"> </w:t>
      </w:r>
      <w:r w:rsidR="007E598D" w:rsidRPr="007E77AF">
        <w:t>por meio de</w:t>
      </w:r>
      <w:r w:rsidR="001C2BCF" w:rsidRPr="007E77AF">
        <w:t xml:space="preserve"> </w:t>
      </w:r>
      <w:r w:rsidR="004A7DFB" w:rsidRPr="007E77AF">
        <w:t>conta no exterior</w:t>
      </w:r>
      <w:r w:rsidR="00933558" w:rsidRPr="007E77AF">
        <w:t>, sendo vedada a negociação destes ativos</w:t>
      </w:r>
      <w:r w:rsidR="00857548" w:rsidRPr="007E77AF">
        <w:t xml:space="preserve"> em mercados regulamentados de valores mobiliários</w:t>
      </w:r>
      <w:r w:rsidR="00933558" w:rsidRPr="007E77AF">
        <w:t xml:space="preserve"> no Brasil após a sua aquisição; e</w:t>
      </w:r>
    </w:p>
    <w:p w14:paraId="75FF8972" w14:textId="53FBBFD7" w:rsidR="00D74986" w:rsidRPr="007E77AF" w:rsidRDefault="009069A1" w:rsidP="001353DC">
      <w:pPr>
        <w:spacing w:before="120" w:after="120" w:line="312" w:lineRule="auto"/>
        <w:ind w:firstLine="567"/>
        <w:jc w:val="both"/>
      </w:pPr>
      <w:r w:rsidRPr="007E77AF">
        <w:t>VII</w:t>
      </w:r>
      <w:r w:rsidR="001C596C" w:rsidRPr="007E77AF">
        <w:t xml:space="preserve"> – de ações de propriedade da União, Estados, Distrito Federal</w:t>
      </w:r>
      <w:r w:rsidR="003668FF" w:rsidRPr="007E77AF">
        <w:t>,</w:t>
      </w:r>
      <w:r w:rsidR="001C596C" w:rsidRPr="007E77AF">
        <w:t xml:space="preserve"> municípios e demais entidades da administração pública, que, cumulativamente: </w:t>
      </w:r>
    </w:p>
    <w:p w14:paraId="2B2966EA" w14:textId="77777777" w:rsidR="00D74986" w:rsidRPr="007E77AF" w:rsidRDefault="001C596C" w:rsidP="00D74986">
      <w:pPr>
        <w:spacing w:before="120" w:after="120" w:line="312" w:lineRule="auto"/>
        <w:ind w:firstLine="567"/>
        <w:jc w:val="both"/>
        <w:rPr>
          <w:bCs/>
        </w:rPr>
      </w:pPr>
      <w:r w:rsidRPr="007E77AF">
        <w:rPr>
          <w:bCs/>
        </w:rPr>
        <w:t>a) não objetive colocação junto ao público em geral; e</w:t>
      </w:r>
    </w:p>
    <w:p w14:paraId="17D7A8A5" w14:textId="7178485D" w:rsidR="00D74986" w:rsidRPr="007E77AF" w:rsidRDefault="001C596C" w:rsidP="00D74986">
      <w:pPr>
        <w:spacing w:before="120" w:after="120" w:line="312" w:lineRule="auto"/>
        <w:ind w:firstLine="567"/>
        <w:jc w:val="both"/>
      </w:pPr>
      <w:r w:rsidRPr="007E77AF">
        <w:t xml:space="preserve">b) seja realizada em leilão organizado por entidade administradora de mercado organizado, nos termos da </w:t>
      </w:r>
      <w:r w:rsidR="09955509" w:rsidRPr="007E77AF">
        <w:t>l</w:t>
      </w:r>
      <w:r w:rsidRPr="007E77AF">
        <w:t>e</w:t>
      </w:r>
      <w:r w:rsidR="00637E6E" w:rsidRPr="007E77AF">
        <w:t>gislação</w:t>
      </w:r>
      <w:r w:rsidRPr="007E77AF">
        <w:t xml:space="preserve"> </w:t>
      </w:r>
      <w:r w:rsidR="6B6F8B76" w:rsidRPr="007E77AF">
        <w:t>que estabelece normas gerais sobre licitações e contratos administrativos</w:t>
      </w:r>
      <w:r w:rsidR="00EF73CA" w:rsidRPr="007E77AF">
        <w:t>.</w:t>
      </w:r>
    </w:p>
    <w:p w14:paraId="2575EA52" w14:textId="26A255FB" w:rsidR="00D74986" w:rsidRPr="007E77AF" w:rsidRDefault="002D5A60" w:rsidP="00D74986">
      <w:pPr>
        <w:spacing w:before="120" w:after="120" w:line="312" w:lineRule="auto"/>
        <w:ind w:firstLine="567"/>
        <w:jc w:val="both"/>
      </w:pPr>
      <w:r w:rsidRPr="007E77AF">
        <w:t>§ 1</w:t>
      </w:r>
      <w:proofErr w:type="gramStart"/>
      <w:r w:rsidRPr="007E77AF">
        <w:t>º</w:t>
      </w:r>
      <w:r w:rsidR="00B915A5" w:rsidRPr="007E77AF">
        <w:t xml:space="preserve">  </w:t>
      </w:r>
      <w:r w:rsidR="008C4EF7" w:rsidRPr="007E77AF">
        <w:t>Na</w:t>
      </w:r>
      <w:r w:rsidR="00CE047D" w:rsidRPr="007E77AF">
        <w:t>s</w:t>
      </w:r>
      <w:proofErr w:type="gramEnd"/>
      <w:r w:rsidR="00CE047D" w:rsidRPr="007E77AF">
        <w:t xml:space="preserve"> ofertas</w:t>
      </w:r>
      <w:r w:rsidR="008C4EF7" w:rsidRPr="007E77AF">
        <w:t xml:space="preserve"> de distribuição de valores mobiliários </w:t>
      </w:r>
      <w:r w:rsidR="00B915A5" w:rsidRPr="007E77AF">
        <w:t>elencadas no</w:t>
      </w:r>
      <w:r w:rsidR="00B15D2E" w:rsidRPr="007E77AF">
        <w:t>s incisos do</w:t>
      </w:r>
      <w:r w:rsidR="00B915A5" w:rsidRPr="007E77AF">
        <w:t xml:space="preserve"> </w:t>
      </w:r>
      <w:r w:rsidR="00E00A37" w:rsidRPr="007E77AF">
        <w:rPr>
          <w:b/>
          <w:bCs/>
        </w:rPr>
        <w:t>caput</w:t>
      </w:r>
      <w:r w:rsidR="00B915A5" w:rsidRPr="007E77AF">
        <w:t xml:space="preserve"> não é </w:t>
      </w:r>
      <w:r w:rsidR="25958457" w:rsidRPr="007E77AF">
        <w:t>vedada</w:t>
      </w:r>
      <w:r w:rsidR="00B915A5" w:rsidRPr="007E77AF">
        <w:t xml:space="preserve"> a </w:t>
      </w:r>
      <w:r w:rsidR="69E53C97" w:rsidRPr="007E77AF">
        <w:t xml:space="preserve">submissão prévia e </w:t>
      </w:r>
      <w:r w:rsidR="00CE047D" w:rsidRPr="007E77AF">
        <w:t xml:space="preserve">voluntária </w:t>
      </w:r>
      <w:r w:rsidR="7B023271" w:rsidRPr="007E77AF">
        <w:t>a</w:t>
      </w:r>
      <w:r w:rsidR="00B915A5" w:rsidRPr="007E77AF">
        <w:t xml:space="preserve"> registro</w:t>
      </w:r>
      <w:r w:rsidR="00CE047D" w:rsidRPr="007E77AF">
        <w:t xml:space="preserve"> de oferta pública de distribuição</w:t>
      </w:r>
      <w:r w:rsidR="68E52C72" w:rsidRPr="007E77AF">
        <w:t>,</w:t>
      </w:r>
      <w:r w:rsidR="00CE047D" w:rsidRPr="007E77AF">
        <w:t xml:space="preserve"> que deve seguir o rito </w:t>
      </w:r>
      <w:r w:rsidR="00B15D2E" w:rsidRPr="007E77AF">
        <w:t xml:space="preserve">de distribuição </w:t>
      </w:r>
      <w:r w:rsidR="1B87D431" w:rsidRPr="007E77AF">
        <w:t xml:space="preserve">adequado </w:t>
      </w:r>
      <w:r w:rsidR="00CD69A6" w:rsidRPr="007E77AF">
        <w:t xml:space="preserve">ao tipo de valor mobiliário e </w:t>
      </w:r>
      <w:r w:rsidR="003668FF" w:rsidRPr="007E77AF">
        <w:t>público-</w:t>
      </w:r>
      <w:r w:rsidR="00CD69A6" w:rsidRPr="007E77AF">
        <w:t xml:space="preserve">alvo </w:t>
      </w:r>
      <w:r w:rsidR="00CE047D" w:rsidRPr="007E77AF">
        <w:t xml:space="preserve">conforme o </w:t>
      </w:r>
      <w:r w:rsidR="0023247B" w:rsidRPr="007E77AF">
        <w:t xml:space="preserve">Capítulo </w:t>
      </w:r>
      <w:r w:rsidR="00E7345F">
        <w:t>IV</w:t>
      </w:r>
      <w:r w:rsidR="00216530" w:rsidRPr="007E77AF">
        <w:t xml:space="preserve"> </w:t>
      </w:r>
      <w:r w:rsidR="00CE047D" w:rsidRPr="007E77AF">
        <w:t xml:space="preserve">desta </w:t>
      </w:r>
      <w:r w:rsidR="002109AE" w:rsidRPr="007E77AF">
        <w:t>Resolução</w:t>
      </w:r>
      <w:r w:rsidR="00CE047D" w:rsidRPr="007E77AF">
        <w:t>.</w:t>
      </w:r>
    </w:p>
    <w:p w14:paraId="018A4E37" w14:textId="47737593" w:rsidR="00D74986" w:rsidRPr="007E77AF" w:rsidRDefault="4285AB2C" w:rsidP="00D74986">
      <w:pPr>
        <w:spacing w:before="120" w:after="120" w:line="312" w:lineRule="auto"/>
        <w:ind w:firstLine="567"/>
        <w:jc w:val="both"/>
      </w:pPr>
      <w:r w:rsidRPr="007E77AF">
        <w:t>§ 2</w:t>
      </w:r>
      <w:proofErr w:type="gramStart"/>
      <w:r w:rsidRPr="007E77AF">
        <w:t xml:space="preserve">º </w:t>
      </w:r>
      <w:r w:rsidR="00016A45" w:rsidRPr="007E77AF">
        <w:t xml:space="preserve"> </w:t>
      </w:r>
      <w:r w:rsidR="005A2C06" w:rsidRPr="007E77AF">
        <w:t>Não</w:t>
      </w:r>
      <w:proofErr w:type="gramEnd"/>
      <w:r w:rsidR="005A2C06" w:rsidRPr="007E77AF">
        <w:t xml:space="preserve"> é permitida a utilização de material publicitário nas ofertas elencadas nos incisos do </w:t>
      </w:r>
      <w:r w:rsidR="005A2C06" w:rsidRPr="007E77AF">
        <w:rPr>
          <w:b/>
          <w:bCs/>
        </w:rPr>
        <w:t>caput</w:t>
      </w:r>
      <w:r w:rsidR="7AA39354" w:rsidRPr="007E77AF">
        <w:t>.</w:t>
      </w:r>
    </w:p>
    <w:p w14:paraId="21E7E1CB" w14:textId="366F255B" w:rsidR="00D73850" w:rsidRPr="00F320D3" w:rsidRDefault="00D73850" w:rsidP="00C82FB0">
      <w:pPr>
        <w:spacing w:before="120" w:after="120" w:line="312" w:lineRule="auto"/>
        <w:ind w:firstLine="567"/>
        <w:jc w:val="both"/>
      </w:pPr>
      <w:r>
        <w:t>§ 3</w:t>
      </w:r>
      <w:proofErr w:type="gramStart"/>
      <w:r>
        <w:t xml:space="preserve">º  </w:t>
      </w:r>
      <w:r w:rsidR="002A5E79" w:rsidRPr="00061C01">
        <w:t>Caso</w:t>
      </w:r>
      <w:proofErr w:type="gramEnd"/>
      <w:r w:rsidR="002A5E79" w:rsidRPr="00061C01">
        <w:t xml:space="preserve">, nos 180 (cento e oitenta) dias seguintes </w:t>
      </w:r>
      <w:r w:rsidR="003E184E">
        <w:t>ao encerramento</w:t>
      </w:r>
      <w:r w:rsidR="002A5E79" w:rsidRPr="00061C01">
        <w:t xml:space="preserve"> de oferta</w:t>
      </w:r>
      <w:r w:rsidR="003E184E">
        <w:t xml:space="preserve"> realizada</w:t>
      </w:r>
      <w:r w:rsidR="002A5E79" w:rsidRPr="00061C01">
        <w:t xml:space="preserve"> nos termos do </w:t>
      </w:r>
      <w:r w:rsidR="002A5E79" w:rsidRPr="00C67B81">
        <w:t xml:space="preserve">inciso IV do </w:t>
      </w:r>
      <w:r w:rsidR="002A5E79" w:rsidRPr="00C67B81">
        <w:rPr>
          <w:b/>
        </w:rPr>
        <w:t>caput</w:t>
      </w:r>
      <w:r w:rsidR="002A5E79" w:rsidRPr="00061C01">
        <w:t xml:space="preserve">, o </w:t>
      </w:r>
      <w:r w:rsidR="002A5E79" w:rsidRPr="00C67B81">
        <w:t xml:space="preserve">mesmo ofertante </w:t>
      </w:r>
      <w:r w:rsidR="002A5E79" w:rsidRPr="00061C01">
        <w:t>venha</w:t>
      </w:r>
      <w:r w:rsidR="002A5E79" w:rsidRPr="00C67B81">
        <w:t xml:space="preserve"> a </w:t>
      </w:r>
      <w:r w:rsidR="002A5E79" w:rsidRPr="00061C01">
        <w:t xml:space="preserve">realizar nova oferta de lote único e indivisível de </w:t>
      </w:r>
      <w:r w:rsidR="002A5E79" w:rsidRPr="00C67B81">
        <w:t xml:space="preserve">mesma espécie de </w:t>
      </w:r>
      <w:r w:rsidR="002A5E79" w:rsidRPr="00061C01">
        <w:t>valor mobiliário</w:t>
      </w:r>
      <w:r w:rsidR="002A5E79" w:rsidRPr="00C67B81">
        <w:t xml:space="preserve"> de um mesmo emissor</w:t>
      </w:r>
      <w:r w:rsidR="002A5E79" w:rsidRPr="00061C01">
        <w:t xml:space="preserve">, a nova oferta não será considerada abrangida pelo disposto no inciso IV do </w:t>
      </w:r>
      <w:r w:rsidR="002A5E79" w:rsidRPr="00061C01">
        <w:rPr>
          <w:b/>
          <w:bCs/>
        </w:rPr>
        <w:t>caput</w:t>
      </w:r>
      <w:r w:rsidR="00F320D3">
        <w:t>.</w:t>
      </w:r>
    </w:p>
    <w:p w14:paraId="41C301B7" w14:textId="60F8E61A" w:rsidR="009143EB" w:rsidRPr="00F320D3" w:rsidRDefault="009143EB" w:rsidP="00C82FB0">
      <w:pPr>
        <w:spacing w:before="120" w:after="120" w:line="312" w:lineRule="auto"/>
        <w:ind w:firstLine="567"/>
        <w:jc w:val="both"/>
      </w:pPr>
      <w:r>
        <w:t>§ 4</w:t>
      </w:r>
      <w:proofErr w:type="gramStart"/>
      <w:r>
        <w:t xml:space="preserve">º </w:t>
      </w:r>
      <w:r w:rsidR="00F57D86">
        <w:t xml:space="preserve"> </w:t>
      </w:r>
      <w:r>
        <w:t>Nas</w:t>
      </w:r>
      <w:proofErr w:type="gramEnd"/>
      <w:r>
        <w:t xml:space="preserve"> ofertas realizadas</w:t>
      </w:r>
      <w:r w:rsidRPr="009143EB">
        <w:t xml:space="preserve"> </w:t>
      </w:r>
      <w:r w:rsidRPr="00061C01">
        <w:t xml:space="preserve">nos termos do inciso IV do </w:t>
      </w:r>
      <w:r w:rsidRPr="00061C01">
        <w:rPr>
          <w:b/>
          <w:bCs/>
        </w:rPr>
        <w:t>caput</w:t>
      </w:r>
      <w:r>
        <w:rPr>
          <w:b/>
          <w:bCs/>
        </w:rPr>
        <w:t xml:space="preserve"> </w:t>
      </w:r>
      <w:r w:rsidRPr="00E768E4">
        <w:t>é vedada a negociação fracionada do lote em mercados regulamentados pelo</w:t>
      </w:r>
      <w:r w:rsidRPr="00C67B81">
        <w:t xml:space="preserve"> prazo de 180 (cento e oitenta) dias da data </w:t>
      </w:r>
      <w:r w:rsidRPr="00E768E4">
        <w:t>de subscrição do lote de valores mobiliários</w:t>
      </w:r>
      <w:r w:rsidRPr="00C61A09">
        <w:t>.</w:t>
      </w:r>
    </w:p>
    <w:p w14:paraId="38A1F963" w14:textId="77777777" w:rsidR="00D74986" w:rsidRPr="007E77AF" w:rsidRDefault="22DA3335" w:rsidP="006B018B">
      <w:pPr>
        <w:pStyle w:val="Captulo"/>
      </w:pPr>
      <w:bookmarkStart w:id="48" w:name="art171§1b"/>
      <w:bookmarkStart w:id="49" w:name="_Toc467256267"/>
      <w:bookmarkStart w:id="50" w:name="_Toc476216309"/>
      <w:bookmarkStart w:id="51" w:name="_Toc108516030"/>
      <w:bookmarkStart w:id="52" w:name="_Toc108203061"/>
      <w:bookmarkStart w:id="53" w:name="_Toc136502801"/>
      <w:bookmarkEnd w:id="30"/>
      <w:bookmarkEnd w:id="48"/>
      <w:r w:rsidRPr="007E77AF">
        <w:lastRenderedPageBreak/>
        <w:t xml:space="preserve">CAPÍTULO </w:t>
      </w:r>
      <w:r w:rsidR="00E01DCD" w:rsidRPr="007E77AF">
        <w:t xml:space="preserve">III </w:t>
      </w:r>
      <w:r w:rsidR="313EE9D7" w:rsidRPr="007E77AF">
        <w:t>–</w:t>
      </w:r>
      <w:r w:rsidR="32F4F3F6" w:rsidRPr="007E77AF">
        <w:t xml:space="preserve"> </w:t>
      </w:r>
      <w:r w:rsidR="29F4F0B8" w:rsidRPr="007E77AF">
        <w:t>PUBLICIDADE</w:t>
      </w:r>
      <w:r w:rsidR="1ADB1705" w:rsidRPr="007E77AF">
        <w:t xml:space="preserve"> E DOCUMENTOS DA OFERTA</w:t>
      </w:r>
      <w:bookmarkEnd w:id="49"/>
      <w:bookmarkEnd w:id="50"/>
      <w:bookmarkEnd w:id="51"/>
      <w:bookmarkEnd w:id="52"/>
      <w:bookmarkEnd w:id="53"/>
    </w:p>
    <w:p w14:paraId="382F6E1E" w14:textId="3392FF42" w:rsidR="00D74986" w:rsidRPr="007E77AF" w:rsidRDefault="005A0A46" w:rsidP="006B018B">
      <w:pPr>
        <w:pStyle w:val="Seo"/>
      </w:pPr>
      <w:bookmarkStart w:id="54" w:name="_DV_M11"/>
      <w:bookmarkStart w:id="55" w:name="_DV_M13"/>
      <w:bookmarkStart w:id="56" w:name="_Toc467256270"/>
      <w:bookmarkStart w:id="57" w:name="_Toc476216310"/>
      <w:bookmarkStart w:id="58" w:name="_Toc108516031"/>
      <w:bookmarkStart w:id="59" w:name="_Toc108203062"/>
      <w:bookmarkStart w:id="60" w:name="_Toc136502802"/>
      <w:bookmarkEnd w:id="54"/>
      <w:bookmarkEnd w:id="55"/>
      <w:r w:rsidRPr="007E77AF">
        <w:t>Seção</w:t>
      </w:r>
      <w:r w:rsidR="00DF3135" w:rsidRPr="007E77AF">
        <w:t xml:space="preserve"> </w:t>
      </w:r>
      <w:r w:rsidR="003C6491" w:rsidRPr="007E77AF">
        <w:t xml:space="preserve">I </w:t>
      </w:r>
      <w:r w:rsidR="00DF3135" w:rsidRPr="007E77AF">
        <w:t>–</w:t>
      </w:r>
      <w:r w:rsidR="00755DAD" w:rsidRPr="007E77AF">
        <w:t xml:space="preserve"> </w:t>
      </w:r>
      <w:r w:rsidR="00DF3135" w:rsidRPr="007E77AF">
        <w:t>E</w:t>
      </w:r>
      <w:r w:rsidRPr="007E77AF">
        <w:t xml:space="preserve">xigência de </w:t>
      </w:r>
      <w:bookmarkEnd w:id="56"/>
      <w:r w:rsidR="0E4BBA0F" w:rsidRPr="007E77AF">
        <w:t>P</w:t>
      </w:r>
      <w:r w:rsidRPr="007E77AF">
        <w:t>rospecto</w:t>
      </w:r>
      <w:r w:rsidR="109BF80F" w:rsidRPr="007E77AF">
        <w:t xml:space="preserve"> e de Documento de Aceitação</w:t>
      </w:r>
      <w:bookmarkEnd w:id="57"/>
      <w:bookmarkEnd w:id="58"/>
      <w:bookmarkEnd w:id="59"/>
      <w:bookmarkEnd w:id="60"/>
    </w:p>
    <w:p w14:paraId="72DDF4F8" w14:textId="25D45509" w:rsidR="003B6213" w:rsidRPr="007E77AF" w:rsidRDefault="009069A1" w:rsidP="001353DC">
      <w:pPr>
        <w:spacing w:before="120" w:after="120" w:line="312" w:lineRule="auto"/>
        <w:ind w:firstLine="567"/>
        <w:jc w:val="both"/>
      </w:pPr>
      <w:bookmarkStart w:id="61" w:name="_Ref460489621"/>
      <w:r w:rsidRPr="007E77AF">
        <w:t>Art. 9</w:t>
      </w:r>
      <w:proofErr w:type="gramStart"/>
      <w:r w:rsidR="00A508B0" w:rsidRPr="007E77AF">
        <w:t>º</w:t>
      </w:r>
      <w:r w:rsidR="0A22DD73" w:rsidRPr="007E77AF">
        <w:t xml:space="preserve">  </w:t>
      </w:r>
      <w:r w:rsidR="21068060" w:rsidRPr="007E77AF">
        <w:t>Os</w:t>
      </w:r>
      <w:proofErr w:type="gramEnd"/>
      <w:r w:rsidR="7A51D670" w:rsidRPr="007E77AF">
        <w:t xml:space="preserve"> </w:t>
      </w:r>
      <w:r w:rsidR="50A2B7E7" w:rsidRPr="007E77AF">
        <w:t xml:space="preserve">valores mobiliários não </w:t>
      </w:r>
      <w:r w:rsidR="049D5CC3" w:rsidRPr="007E77AF">
        <w:t xml:space="preserve">podem </w:t>
      </w:r>
      <w:r w:rsidR="50A2B7E7" w:rsidRPr="007E77AF">
        <w:t xml:space="preserve">ser ofertados ao público sem a </w:t>
      </w:r>
      <w:r w:rsidR="21068060" w:rsidRPr="007E77AF">
        <w:t xml:space="preserve">divulgação </w:t>
      </w:r>
      <w:r w:rsidR="50A2B7E7" w:rsidRPr="007E77AF">
        <w:t>de um prospecto</w:t>
      </w:r>
      <w:r w:rsidR="4D2E1662" w:rsidRPr="007E77AF">
        <w:t xml:space="preserve"> e a utilização de um documento de aceitação da oferta</w:t>
      </w:r>
      <w:r w:rsidR="04E78C39" w:rsidRPr="007E77AF">
        <w:t>, exceto</w:t>
      </w:r>
      <w:r w:rsidR="003B6213" w:rsidRPr="007E77AF">
        <w:t>:</w:t>
      </w:r>
    </w:p>
    <w:p w14:paraId="2AB5B224" w14:textId="61033BE9" w:rsidR="003B6213" w:rsidRPr="007E77AF" w:rsidRDefault="1B76804A" w:rsidP="491E246D">
      <w:pPr>
        <w:pStyle w:val="PargrafodaLista"/>
        <w:spacing w:before="120" w:after="120" w:line="312" w:lineRule="auto"/>
        <w:ind w:left="0" w:firstLine="567"/>
        <w:jc w:val="both"/>
      </w:pPr>
      <w:r w:rsidRPr="007E77AF">
        <w:t xml:space="preserve">I </w:t>
      </w:r>
      <w:r w:rsidR="2F140EBA" w:rsidRPr="007E77AF">
        <w:t>–</w:t>
      </w:r>
      <w:r w:rsidR="1DE4C166" w:rsidRPr="007E77AF">
        <w:t xml:space="preserve"> </w:t>
      </w:r>
      <w:proofErr w:type="gramStart"/>
      <w:r w:rsidR="4F9CF7CE" w:rsidRPr="007E77AF">
        <w:t>nas</w:t>
      </w:r>
      <w:proofErr w:type="gramEnd"/>
      <w:r w:rsidR="4F9CF7CE" w:rsidRPr="007E77AF">
        <w:t xml:space="preserve"> ofertas</w:t>
      </w:r>
      <w:r w:rsidR="1F471B9C" w:rsidRPr="007E77AF">
        <w:t xml:space="preserve"> </w:t>
      </w:r>
      <w:r w:rsidR="4F9CF7CE" w:rsidRPr="007E77AF">
        <w:t>destinadas</w:t>
      </w:r>
      <w:r w:rsidR="5AB98447" w:rsidRPr="007E77AF">
        <w:t xml:space="preserve"> </w:t>
      </w:r>
      <w:r w:rsidR="4F9CF7CE" w:rsidRPr="007E77AF">
        <w:t>exclusivamente a investidores profissionais</w:t>
      </w:r>
      <w:r w:rsidRPr="007E77AF">
        <w:t>;</w:t>
      </w:r>
    </w:p>
    <w:p w14:paraId="1DC0EA24" w14:textId="6EC2E6BB" w:rsidR="005C3F67" w:rsidRPr="007E77AF" w:rsidRDefault="005C3F67" w:rsidP="491E246D">
      <w:pPr>
        <w:pStyle w:val="PargrafodaLista"/>
        <w:spacing w:before="120" w:after="120" w:line="312" w:lineRule="auto"/>
        <w:ind w:left="0" w:firstLine="567"/>
        <w:jc w:val="both"/>
      </w:pPr>
      <w:r>
        <w:t xml:space="preserve">II – </w:t>
      </w:r>
      <w:proofErr w:type="gramStart"/>
      <w:r>
        <w:t>nas</w:t>
      </w:r>
      <w:proofErr w:type="gramEnd"/>
      <w:r>
        <w:t xml:space="preserve"> ofertas </w:t>
      </w:r>
      <w:r w:rsidR="008E0977">
        <w:t xml:space="preserve">de cotas de fundo de investimento financeiro </w:t>
      </w:r>
      <w:r w:rsidR="000B6E1A">
        <w:t xml:space="preserve">fechado </w:t>
      </w:r>
      <w:r w:rsidR="008E0977">
        <w:t>destinadas exclusivamente a investidores qualificados;</w:t>
      </w:r>
      <w:r w:rsidR="00F57D86">
        <w:t xml:space="preserve"> e</w:t>
      </w:r>
    </w:p>
    <w:p w14:paraId="342A515D" w14:textId="165A0918" w:rsidR="00F26844" w:rsidRDefault="000A12EF" w:rsidP="491E246D">
      <w:pPr>
        <w:pStyle w:val="PargrafodaLista"/>
        <w:spacing w:before="120" w:after="120" w:line="312" w:lineRule="auto"/>
        <w:ind w:left="0" w:firstLine="567"/>
        <w:jc w:val="both"/>
      </w:pPr>
      <w:r>
        <w:t>I</w:t>
      </w:r>
      <w:r w:rsidR="003B6213" w:rsidRPr="007E77AF">
        <w:t xml:space="preserve">II </w:t>
      </w:r>
      <w:r w:rsidR="00B04415" w:rsidRPr="007E77AF">
        <w:rPr>
          <w:bCs/>
        </w:rPr>
        <w:t>–</w:t>
      </w:r>
      <w:r w:rsidR="003B6213" w:rsidRPr="007E77AF">
        <w:t xml:space="preserve"> </w:t>
      </w:r>
      <w:r w:rsidR="006C28ED" w:rsidRPr="007E77AF">
        <w:t xml:space="preserve">nas ofertas </w:t>
      </w:r>
      <w:r w:rsidR="00F26844">
        <w:t>que atendam cumulativamente os seguintes requisitos:</w:t>
      </w:r>
    </w:p>
    <w:p w14:paraId="1C1A8D86" w14:textId="453EE8B8" w:rsidR="00F26844" w:rsidRDefault="00F26844" w:rsidP="491E246D">
      <w:pPr>
        <w:pStyle w:val="PargrafodaLista"/>
        <w:spacing w:before="120" w:after="120" w:line="312" w:lineRule="auto"/>
        <w:ind w:left="0" w:firstLine="567"/>
        <w:jc w:val="both"/>
      </w:pPr>
      <w:r>
        <w:t xml:space="preserve">a) sejam </w:t>
      </w:r>
      <w:r w:rsidR="003B6213" w:rsidRPr="007E77AF">
        <w:t>destinada</w:t>
      </w:r>
      <w:r w:rsidR="00012F3F" w:rsidRPr="007E77AF">
        <w:t>s</w:t>
      </w:r>
      <w:r w:rsidR="003B6213" w:rsidRPr="007E77AF">
        <w:t xml:space="preserve"> exclusivamente a </w:t>
      </w:r>
      <w:r w:rsidR="1E729CF4" w:rsidRPr="007E77AF">
        <w:t>credores de emissores em recuperação judicial ou extrajudicial</w:t>
      </w:r>
      <w:r w:rsidR="003B6213" w:rsidRPr="007E77AF">
        <w:t xml:space="preserve">, </w:t>
      </w:r>
      <w:r w:rsidR="64A1BDF3" w:rsidRPr="007E77AF">
        <w:t>n</w:t>
      </w:r>
      <w:r w:rsidR="003B6213" w:rsidRPr="007E77AF">
        <w:t xml:space="preserve">os termos de </w:t>
      </w:r>
      <w:r w:rsidR="65331A40" w:rsidRPr="007E77AF">
        <w:t>p</w:t>
      </w:r>
      <w:r w:rsidR="003B6213" w:rsidRPr="007E77AF">
        <w:t xml:space="preserve">lano de </w:t>
      </w:r>
      <w:r w:rsidR="2073780C" w:rsidRPr="007E77AF">
        <w:t>r</w:t>
      </w:r>
      <w:r w:rsidR="003B6213" w:rsidRPr="007E77AF">
        <w:t xml:space="preserve">ecuperação </w:t>
      </w:r>
      <w:r w:rsidR="35F4662E" w:rsidRPr="007E77AF">
        <w:t>j</w:t>
      </w:r>
      <w:r w:rsidR="003B6213" w:rsidRPr="007E77AF">
        <w:t xml:space="preserve">udicial ou </w:t>
      </w:r>
      <w:r w:rsidR="6894EC52" w:rsidRPr="007E77AF">
        <w:t>e</w:t>
      </w:r>
      <w:r w:rsidR="003B6213" w:rsidRPr="007E77AF">
        <w:t>xtrajudicial homologado em juízo</w:t>
      </w:r>
      <w:r>
        <w:t>; e</w:t>
      </w:r>
    </w:p>
    <w:p w14:paraId="5FC5408B" w14:textId="2C22862C" w:rsidR="00D74986" w:rsidRPr="007E77AF" w:rsidRDefault="00F26844" w:rsidP="491E246D">
      <w:pPr>
        <w:pStyle w:val="PargrafodaLista"/>
        <w:spacing w:before="120" w:after="120" w:line="312" w:lineRule="auto"/>
        <w:ind w:left="0" w:firstLine="567"/>
        <w:jc w:val="both"/>
      </w:pPr>
      <w:r>
        <w:t>b) não tenham por objeto ações ou certificados de depósito de ações</w:t>
      </w:r>
      <w:r w:rsidR="31AC59DE" w:rsidRPr="007E77AF">
        <w:t>.</w:t>
      </w:r>
      <w:bookmarkEnd w:id="61"/>
    </w:p>
    <w:p w14:paraId="068144A8" w14:textId="3334A2AD" w:rsidR="00D74986" w:rsidRPr="007E77AF" w:rsidRDefault="00CF0EE7" w:rsidP="00D74986">
      <w:pPr>
        <w:spacing w:before="120" w:after="120" w:line="312" w:lineRule="auto"/>
        <w:ind w:firstLine="567"/>
        <w:jc w:val="both"/>
      </w:pPr>
      <w:r w:rsidRPr="007E77AF">
        <w:t>§ 1</w:t>
      </w:r>
      <w:proofErr w:type="gramStart"/>
      <w:r w:rsidRPr="007E77AF">
        <w:t xml:space="preserve">º </w:t>
      </w:r>
      <w:r w:rsidR="3F95CA3D" w:rsidRPr="007E77AF">
        <w:t xml:space="preserve"> Nas</w:t>
      </w:r>
      <w:proofErr w:type="gramEnd"/>
      <w:r w:rsidR="3F95CA3D" w:rsidRPr="007E77AF">
        <w:t xml:space="preserve"> ofertas </w:t>
      </w:r>
      <w:r w:rsidR="003B6213" w:rsidRPr="007E77AF">
        <w:t xml:space="preserve">elencadas nos incisos do </w:t>
      </w:r>
      <w:r w:rsidR="003B6213" w:rsidRPr="007E77AF">
        <w:rPr>
          <w:b/>
          <w:bCs/>
        </w:rPr>
        <w:t>caput</w:t>
      </w:r>
      <w:r w:rsidR="3F95CA3D" w:rsidRPr="007E77AF">
        <w:t xml:space="preserve"> </w:t>
      </w:r>
      <w:r w:rsidR="006A70BA" w:rsidRPr="00C67B81">
        <w:t>o investidor</w:t>
      </w:r>
      <w:r w:rsidR="006A70BA" w:rsidRPr="007E77AF">
        <w:rPr>
          <w:iCs/>
        </w:rPr>
        <w:t xml:space="preserve"> deve ser </w:t>
      </w:r>
      <w:r w:rsidR="006A70BA" w:rsidRPr="00C67B81">
        <w:t>informado</w:t>
      </w:r>
      <w:r w:rsidR="006431BD" w:rsidRPr="00C67B81">
        <w:t xml:space="preserve"> </w:t>
      </w:r>
      <w:r w:rsidR="3F95CA3D" w:rsidRPr="007E77AF">
        <w:t>de que:</w:t>
      </w:r>
    </w:p>
    <w:p w14:paraId="3FA82E72" w14:textId="77777777" w:rsidR="00D74986" w:rsidRPr="007E77AF" w:rsidRDefault="00605F00" w:rsidP="00D74986">
      <w:pPr>
        <w:spacing w:before="120" w:after="120" w:line="312" w:lineRule="auto"/>
        <w:ind w:firstLine="567"/>
        <w:jc w:val="both"/>
        <w:rPr>
          <w:bCs/>
        </w:rPr>
      </w:pPr>
      <w:r w:rsidRPr="007E77AF">
        <w:rPr>
          <w:bCs/>
        </w:rPr>
        <w:t xml:space="preserve">I – </w:t>
      </w:r>
      <w:proofErr w:type="gramStart"/>
      <w:r w:rsidRPr="007E77AF">
        <w:rPr>
          <w:bCs/>
        </w:rPr>
        <w:t>foi</w:t>
      </w:r>
      <w:proofErr w:type="gramEnd"/>
      <w:r w:rsidRPr="007E77AF">
        <w:rPr>
          <w:bCs/>
        </w:rPr>
        <w:t xml:space="preserve"> dispensada divulgação de um prospecto para a realização da oferta;</w:t>
      </w:r>
    </w:p>
    <w:p w14:paraId="203F3476" w14:textId="77777777" w:rsidR="00D74986" w:rsidRPr="007E77AF" w:rsidRDefault="00605F00" w:rsidP="00D74986">
      <w:pPr>
        <w:spacing w:before="120" w:after="120" w:line="312" w:lineRule="auto"/>
        <w:ind w:firstLine="567"/>
        <w:jc w:val="both"/>
        <w:rPr>
          <w:bCs/>
        </w:rPr>
      </w:pPr>
      <w:r w:rsidRPr="007E77AF">
        <w:rPr>
          <w:bCs/>
        </w:rPr>
        <w:t xml:space="preserve">II – </w:t>
      </w:r>
      <w:proofErr w:type="gramStart"/>
      <w:r w:rsidRPr="007E77AF">
        <w:rPr>
          <w:bCs/>
        </w:rPr>
        <w:t>a</w:t>
      </w:r>
      <w:proofErr w:type="gramEnd"/>
      <w:r w:rsidRPr="007E77AF">
        <w:rPr>
          <w:bCs/>
        </w:rPr>
        <w:t xml:space="preserve"> CVM não realizou análise dos </w:t>
      </w:r>
      <w:r w:rsidR="00781796" w:rsidRPr="007E77AF">
        <w:rPr>
          <w:bCs/>
        </w:rPr>
        <w:t xml:space="preserve">documentos </w:t>
      </w:r>
      <w:r w:rsidRPr="007E77AF">
        <w:rPr>
          <w:bCs/>
        </w:rPr>
        <w:t>da oferta</w:t>
      </w:r>
      <w:r w:rsidR="000B53CA" w:rsidRPr="007E77AF">
        <w:rPr>
          <w:bCs/>
        </w:rPr>
        <w:t xml:space="preserve"> nem de seus termos e condições</w:t>
      </w:r>
      <w:r w:rsidRPr="007E77AF">
        <w:rPr>
          <w:bCs/>
        </w:rPr>
        <w:t>; e</w:t>
      </w:r>
    </w:p>
    <w:p w14:paraId="1B785BA3" w14:textId="4AC7ABAD" w:rsidR="00D74986" w:rsidRPr="007E77AF" w:rsidRDefault="00605F00" w:rsidP="00A53D25">
      <w:pPr>
        <w:spacing w:before="120" w:after="120" w:line="312" w:lineRule="auto"/>
        <w:ind w:firstLine="567"/>
        <w:jc w:val="both"/>
      </w:pPr>
      <w:r w:rsidRPr="007E77AF">
        <w:t xml:space="preserve">III – </w:t>
      </w:r>
      <w:r w:rsidR="58794875" w:rsidRPr="007E77AF">
        <w:t>pode haver</w:t>
      </w:r>
      <w:r w:rsidRPr="007E77AF">
        <w:t xml:space="preserve"> </w:t>
      </w:r>
      <w:r w:rsidR="00D51886" w:rsidRPr="007E77AF">
        <w:t xml:space="preserve">restrições </w:t>
      </w:r>
      <w:r w:rsidRPr="007E77AF">
        <w:t>que se aplicam à revenda dos valores mobiliários</w:t>
      </w:r>
      <w:r w:rsidR="008A0D6E" w:rsidRPr="007E77AF">
        <w:t>, conforme Capítulo VII,</w:t>
      </w:r>
      <w:r w:rsidRPr="007E77AF">
        <w:t xml:space="preserve"> </w:t>
      </w:r>
      <w:r w:rsidR="003668FF" w:rsidRPr="007E77AF">
        <w:t xml:space="preserve">descrevendo </w:t>
      </w:r>
      <w:r w:rsidRPr="007E77AF">
        <w:t>quais são estas</w:t>
      </w:r>
      <w:r w:rsidR="3E02E086" w:rsidRPr="007E77AF">
        <w:t xml:space="preserve">, </w:t>
      </w:r>
      <w:r w:rsidR="008A0D6E" w:rsidRPr="007E77AF">
        <w:t>quando</w:t>
      </w:r>
      <w:r w:rsidR="3E02E086" w:rsidRPr="007E77AF">
        <w:t xml:space="preserve"> aplicáveis</w:t>
      </w:r>
      <w:r w:rsidRPr="007E77AF">
        <w:t>.</w:t>
      </w:r>
    </w:p>
    <w:p w14:paraId="1F764009" w14:textId="1DDACC76" w:rsidR="00081297" w:rsidRDefault="00081297" w:rsidP="00A53D25">
      <w:pPr>
        <w:spacing w:before="120" w:after="120" w:line="312" w:lineRule="auto"/>
        <w:ind w:firstLine="567"/>
        <w:jc w:val="both"/>
        <w:rPr>
          <w:strike/>
        </w:rPr>
      </w:pPr>
      <w:r w:rsidRPr="004132F6">
        <w:rPr>
          <w:strike/>
        </w:rPr>
        <w:t>§ 2</w:t>
      </w:r>
      <w:proofErr w:type="gramStart"/>
      <w:r w:rsidRPr="004132F6">
        <w:rPr>
          <w:strike/>
        </w:rPr>
        <w:t>º  A</w:t>
      </w:r>
      <w:proofErr w:type="gramEnd"/>
      <w:r w:rsidRPr="004132F6">
        <w:rPr>
          <w:strike/>
        </w:rPr>
        <w:t xml:space="preserve"> exceção </w:t>
      </w:r>
      <w:r w:rsidR="274DF638" w:rsidRPr="004132F6">
        <w:rPr>
          <w:strike/>
        </w:rPr>
        <w:t xml:space="preserve">da divulgação de um prospecto </w:t>
      </w:r>
      <w:r w:rsidRPr="004132F6">
        <w:rPr>
          <w:strike/>
        </w:rPr>
        <w:t xml:space="preserve">prevista </w:t>
      </w:r>
      <w:r w:rsidR="00CF0EE7" w:rsidRPr="004132F6">
        <w:rPr>
          <w:strike/>
        </w:rPr>
        <w:t>n</w:t>
      </w:r>
      <w:r w:rsidR="00A14813" w:rsidRPr="004132F6">
        <w:rPr>
          <w:strike/>
        </w:rPr>
        <w:t xml:space="preserve">o inciso I do </w:t>
      </w:r>
      <w:r w:rsidR="00A14813" w:rsidRPr="004132F6">
        <w:rPr>
          <w:b/>
          <w:strike/>
        </w:rPr>
        <w:t>caput</w:t>
      </w:r>
      <w:r w:rsidR="00A14813" w:rsidRPr="004132F6">
        <w:rPr>
          <w:strike/>
        </w:rPr>
        <w:t xml:space="preserve"> d</w:t>
      </w:r>
      <w:r w:rsidR="00CF0EE7" w:rsidRPr="004132F6">
        <w:rPr>
          <w:strike/>
        </w:rPr>
        <w:t>este artigo</w:t>
      </w:r>
      <w:r w:rsidRPr="004132F6">
        <w:rPr>
          <w:strike/>
        </w:rPr>
        <w:t xml:space="preserve"> não se aplica às ofertas </w:t>
      </w:r>
      <w:r w:rsidR="00C67306" w:rsidRPr="004132F6">
        <w:rPr>
          <w:strike/>
        </w:rPr>
        <w:t>iniciais de distribuição de ações, bônus de subscrição, debêntures conversíveis ou permutáveis em ações e de certifi</w:t>
      </w:r>
      <w:r w:rsidR="00682942" w:rsidRPr="004132F6">
        <w:rPr>
          <w:strike/>
        </w:rPr>
        <w:t xml:space="preserve">cados de depósito </w:t>
      </w:r>
      <w:r w:rsidR="00CF0EE7" w:rsidRPr="004132F6">
        <w:rPr>
          <w:strike/>
        </w:rPr>
        <w:t>sobre esses valores mobiliários.</w:t>
      </w:r>
    </w:p>
    <w:p w14:paraId="19FED4CC" w14:textId="77777777" w:rsidR="004132F6" w:rsidRDefault="004132F6" w:rsidP="004132F6">
      <w:pPr>
        <w:spacing w:before="120" w:after="120" w:line="312" w:lineRule="auto"/>
        <w:ind w:firstLine="567"/>
        <w:jc w:val="both"/>
      </w:pPr>
      <w:r w:rsidRPr="004132F6">
        <w:t>§ 2</w:t>
      </w:r>
      <w:proofErr w:type="gramStart"/>
      <w:r w:rsidRPr="004132F6">
        <w:t>º  A</w:t>
      </w:r>
      <w:proofErr w:type="gramEnd"/>
      <w:r w:rsidRPr="004132F6">
        <w:t xml:space="preserve"> exceção da divulgação de um prospecto prevista no inciso I do </w:t>
      </w:r>
      <w:r w:rsidRPr="004132F6">
        <w:rPr>
          <w:b/>
        </w:rPr>
        <w:t>caput</w:t>
      </w:r>
      <w:r w:rsidRPr="004132F6">
        <w:t xml:space="preserve"> deste artigo não se aplica às ofertas iniciais de distribuição de ações, bônus de subscrição, debêntures conversíveis ou permutáveis em ações e de certificados de depósito sobre esses valores mobiliários, inclusive certificados de depósitos de valores mobiliários no âmbito de Programa de BDR com lastro em ações.</w:t>
      </w:r>
    </w:p>
    <w:p w14:paraId="6D12FE2E" w14:textId="5E70A29F" w:rsidR="004132F6" w:rsidRPr="004132F6" w:rsidRDefault="004132F6" w:rsidP="004132F6">
      <w:pPr>
        <w:pStyle w:val="PargrafodaLista"/>
        <w:numPr>
          <w:ilvl w:val="0"/>
          <w:numId w:val="53"/>
        </w:numPr>
        <w:tabs>
          <w:tab w:val="left" w:pos="993"/>
        </w:tabs>
        <w:spacing w:line="312" w:lineRule="auto"/>
        <w:ind w:left="709" w:hanging="142"/>
        <w:contextualSpacing/>
        <w:jc w:val="both"/>
        <w:rPr>
          <w:b/>
          <w:i/>
        </w:rPr>
      </w:pPr>
      <w:r w:rsidRPr="004132F6">
        <w:rPr>
          <w:b/>
          <w:bCs/>
          <w:i/>
          <w:iCs/>
        </w:rPr>
        <w:t>§ 2º</w:t>
      </w:r>
      <w:r>
        <w:rPr>
          <w:b/>
          <w:i/>
        </w:rPr>
        <w:t xml:space="preserve">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563778EF" w14:textId="2E057F9E" w:rsidR="00B37A73" w:rsidRPr="007E77AF" w:rsidRDefault="00B37A73" w:rsidP="00A53D25">
      <w:pPr>
        <w:spacing w:before="120" w:after="120" w:line="312" w:lineRule="auto"/>
        <w:ind w:firstLine="567"/>
        <w:jc w:val="both"/>
      </w:pPr>
      <w:r w:rsidRPr="007E77AF">
        <w:t xml:space="preserve">§ </w:t>
      </w:r>
      <w:r w:rsidR="000A12EF">
        <w:t>3</w:t>
      </w:r>
      <w:proofErr w:type="gramStart"/>
      <w:r w:rsidR="000A12EF">
        <w:t>º</w:t>
      </w:r>
      <w:r w:rsidR="008C653D" w:rsidRPr="007E77AF">
        <w:t xml:space="preserve">  </w:t>
      </w:r>
      <w:r w:rsidR="00C73D6B" w:rsidRPr="007E77AF">
        <w:t>A</w:t>
      </w:r>
      <w:proofErr w:type="gramEnd"/>
      <w:r w:rsidR="00C73D6B" w:rsidRPr="007E77AF">
        <w:t xml:space="preserve"> </w:t>
      </w:r>
      <w:r w:rsidR="00996609" w:rsidRPr="007E77AF">
        <w:t xml:space="preserve">utilização de um documento de aceitação da oferta </w:t>
      </w:r>
      <w:r w:rsidR="007E2228" w:rsidRPr="007E77AF">
        <w:t>não</w:t>
      </w:r>
      <w:r w:rsidR="00DB78E1" w:rsidRPr="007E77AF">
        <w:t xml:space="preserve"> é exigida em relação a investidores profissionais, ainda que a oferta não seja a eles exclusivamente </w:t>
      </w:r>
      <w:r w:rsidR="00DB744E" w:rsidRPr="007E77AF">
        <w:t>destinada.</w:t>
      </w:r>
    </w:p>
    <w:p w14:paraId="03CD27BA" w14:textId="5D72F8F8" w:rsidR="00B36E25" w:rsidRPr="007E77AF" w:rsidRDefault="00531BDD" w:rsidP="00A53D25">
      <w:pPr>
        <w:spacing w:before="120" w:after="120" w:line="312" w:lineRule="auto"/>
        <w:ind w:firstLine="567"/>
        <w:jc w:val="both"/>
      </w:pPr>
      <w:r w:rsidRPr="007E77AF">
        <w:t>§</w:t>
      </w:r>
      <w:r w:rsidR="000A6976">
        <w:t xml:space="preserve"> </w:t>
      </w:r>
      <w:r w:rsidR="00874E28">
        <w:t>4</w:t>
      </w:r>
      <w:proofErr w:type="gramStart"/>
      <w:r w:rsidR="00874E28" w:rsidRPr="007E77AF">
        <w:t xml:space="preserve">º </w:t>
      </w:r>
      <w:r w:rsidR="00874E28">
        <w:t xml:space="preserve"> </w:t>
      </w:r>
      <w:r w:rsidR="00BA0125" w:rsidRPr="007E77AF">
        <w:t>Nas</w:t>
      </w:r>
      <w:proofErr w:type="gramEnd"/>
      <w:r w:rsidR="00BA0125" w:rsidRPr="007E77AF">
        <w:t xml:space="preserve"> ofertas elencadas nos incisos do </w:t>
      </w:r>
      <w:r w:rsidR="00BA0125" w:rsidRPr="007E77AF">
        <w:rPr>
          <w:b/>
          <w:bCs/>
        </w:rPr>
        <w:t>caput</w:t>
      </w:r>
      <w:r w:rsidR="00BA0125" w:rsidRPr="007E77AF">
        <w:t>, c</w:t>
      </w:r>
      <w:r w:rsidRPr="007E77AF">
        <w:t xml:space="preserve">aso </w:t>
      </w:r>
      <w:r w:rsidR="00B53EF9" w:rsidRPr="007E77AF">
        <w:t xml:space="preserve">o </w:t>
      </w:r>
      <w:r w:rsidR="00242C55">
        <w:t>ofertante</w:t>
      </w:r>
      <w:r w:rsidR="00B53EF9" w:rsidRPr="007E77AF">
        <w:t xml:space="preserve"> opte por</w:t>
      </w:r>
      <w:r w:rsidR="00BA0125" w:rsidRPr="007E77AF">
        <w:t xml:space="preserve"> divulgar um prospecto</w:t>
      </w:r>
      <w:r w:rsidR="005A1486" w:rsidRPr="007E77AF">
        <w:t>,</w:t>
      </w:r>
      <w:r w:rsidR="00BA0125" w:rsidRPr="007E77AF">
        <w:t xml:space="preserve"> este deve ser elaborado de acordo com as dete</w:t>
      </w:r>
      <w:r w:rsidR="0018187E" w:rsidRPr="007E77AF">
        <w:t xml:space="preserve">rminações </w:t>
      </w:r>
      <w:r w:rsidR="00F81C2D" w:rsidRPr="007E77AF">
        <w:t>d</w:t>
      </w:r>
      <w:r w:rsidR="00415A80" w:rsidRPr="007E77AF">
        <w:t xml:space="preserve">a seção </w:t>
      </w:r>
      <w:r w:rsidR="00020678" w:rsidRPr="007E77AF">
        <w:t xml:space="preserve">III deste </w:t>
      </w:r>
      <w:r w:rsidR="005A1486" w:rsidRPr="007E77AF">
        <w:t>C</w:t>
      </w:r>
      <w:r w:rsidR="00020678" w:rsidRPr="007E77AF">
        <w:t>apítulo</w:t>
      </w:r>
      <w:r w:rsidR="007B4FAA" w:rsidRPr="007E77AF">
        <w:t>.</w:t>
      </w:r>
    </w:p>
    <w:p w14:paraId="75D5888F" w14:textId="77777777" w:rsidR="00D74986" w:rsidRPr="007E77AF" w:rsidRDefault="00432B6A" w:rsidP="006B018B">
      <w:pPr>
        <w:pStyle w:val="Seo"/>
      </w:pPr>
      <w:bookmarkStart w:id="62" w:name="_Toc467256271"/>
      <w:bookmarkStart w:id="63" w:name="_Toc476216311"/>
      <w:bookmarkStart w:id="64" w:name="_Toc108516032"/>
      <w:bookmarkStart w:id="65" w:name="_Toc108203063"/>
      <w:bookmarkStart w:id="66" w:name="_Toc136502803"/>
      <w:r w:rsidRPr="007E77AF">
        <w:lastRenderedPageBreak/>
        <w:t xml:space="preserve">Seção </w:t>
      </w:r>
      <w:r w:rsidR="00D83FEC" w:rsidRPr="007E77AF">
        <w:t xml:space="preserve">II </w:t>
      </w:r>
      <w:r w:rsidRPr="007E77AF">
        <w:t xml:space="preserve">– </w:t>
      </w:r>
      <w:r w:rsidR="00943279" w:rsidRPr="007E77AF">
        <w:t>Publicidade</w:t>
      </w:r>
      <w:bookmarkEnd w:id="62"/>
      <w:bookmarkEnd w:id="63"/>
      <w:bookmarkEnd w:id="64"/>
      <w:bookmarkEnd w:id="65"/>
      <w:bookmarkEnd w:id="66"/>
    </w:p>
    <w:p w14:paraId="16B6E4C0" w14:textId="3B3C0B73" w:rsidR="00680C8E" w:rsidRPr="007E77AF" w:rsidRDefault="00680C8E" w:rsidP="001353DC">
      <w:pPr>
        <w:spacing w:before="120" w:after="120" w:line="312" w:lineRule="auto"/>
        <w:ind w:firstLine="567"/>
        <w:jc w:val="both"/>
      </w:pPr>
      <w:r w:rsidRPr="007E77AF">
        <w:t xml:space="preserve">Art. 10.  </w:t>
      </w:r>
      <w:r w:rsidR="005362FA" w:rsidRPr="007E77AF">
        <w:t xml:space="preserve">Considera-se que foi dada publicidade a uma oferta quando </w:t>
      </w:r>
      <w:r w:rsidR="007655C2">
        <w:t xml:space="preserve">for </w:t>
      </w:r>
      <w:r w:rsidR="00FA4C84">
        <w:t xml:space="preserve">promovido, por qualquer meio ou forma, </w:t>
      </w:r>
      <w:r w:rsidR="00282262" w:rsidRPr="007E77AF">
        <w:t>ato de comunicação</w:t>
      </w:r>
      <w:r w:rsidR="00013119" w:rsidRPr="007E77AF">
        <w:t xml:space="preserve"> que busque despertar</w:t>
      </w:r>
      <w:r w:rsidR="00E5666A" w:rsidRPr="007E77AF">
        <w:t xml:space="preserve"> interesse na subscrição </w:t>
      </w:r>
      <w:r w:rsidR="766FDC45" w:rsidRPr="007E77AF">
        <w:t xml:space="preserve">ou </w:t>
      </w:r>
      <w:r w:rsidR="6FA6486C" w:rsidRPr="007E77AF">
        <w:t xml:space="preserve">na </w:t>
      </w:r>
      <w:r w:rsidR="5668B809" w:rsidRPr="007E77AF">
        <w:t>aquisição</w:t>
      </w:r>
      <w:r w:rsidR="766FDC45" w:rsidRPr="007E77AF">
        <w:t xml:space="preserve"> </w:t>
      </w:r>
      <w:r w:rsidR="00E5666A" w:rsidRPr="007E77AF">
        <w:t xml:space="preserve">de </w:t>
      </w:r>
      <w:r w:rsidR="005409EC">
        <w:t xml:space="preserve">determinados </w:t>
      </w:r>
      <w:r w:rsidR="00E5666A" w:rsidRPr="007E77AF">
        <w:t>valores mobiliários</w:t>
      </w:r>
      <w:r w:rsidR="0080553E" w:rsidRPr="007E77AF">
        <w:t xml:space="preserve"> ofertados ou a serem ofertados.</w:t>
      </w:r>
    </w:p>
    <w:p w14:paraId="3C379559" w14:textId="14897FFE" w:rsidR="00D74986" w:rsidRPr="007E77AF" w:rsidRDefault="009069A1" w:rsidP="001353DC">
      <w:pPr>
        <w:spacing w:before="120" w:after="120" w:line="312" w:lineRule="auto"/>
        <w:ind w:firstLine="567"/>
        <w:jc w:val="both"/>
      </w:pPr>
      <w:bookmarkStart w:id="67" w:name="_Ref460229865"/>
      <w:r w:rsidRPr="007E77AF">
        <w:t>Art. 11</w:t>
      </w:r>
      <w:r w:rsidR="000F4845" w:rsidRPr="007E77AF">
        <w:t xml:space="preserve">. </w:t>
      </w:r>
      <w:r w:rsidR="00EE2169" w:rsidRPr="007E77AF">
        <w:t xml:space="preserve"> </w:t>
      </w:r>
      <w:r w:rsidR="00D60760" w:rsidRPr="007E77AF">
        <w:t xml:space="preserve">Ressalvado o </w:t>
      </w:r>
      <w:r w:rsidR="001C6DF5" w:rsidRPr="007E77AF">
        <w:t>disposto n</w:t>
      </w:r>
      <w:r w:rsidR="00571601" w:rsidRPr="007E77AF">
        <w:t>o</w:t>
      </w:r>
      <w:r w:rsidR="008D4B19" w:rsidRPr="007E77AF">
        <w:t>s</w:t>
      </w:r>
      <w:r w:rsidR="00571601" w:rsidRPr="007E77AF">
        <w:t xml:space="preserve"> </w:t>
      </w:r>
      <w:proofErr w:type="spellStart"/>
      <w:r w:rsidR="00D60760" w:rsidRPr="007E77AF">
        <w:t>art</w:t>
      </w:r>
      <w:r w:rsidR="008D4B19" w:rsidRPr="007E77AF">
        <w:t>s</w:t>
      </w:r>
      <w:proofErr w:type="spellEnd"/>
      <w:r w:rsidR="00D60760" w:rsidRPr="007E77AF">
        <w:t>. 1</w:t>
      </w:r>
      <w:r w:rsidR="50F8C0FC" w:rsidRPr="007E77AF">
        <w:t>2</w:t>
      </w:r>
      <w:r w:rsidR="006328D1" w:rsidRPr="007E77AF">
        <w:t xml:space="preserve"> e 35</w:t>
      </w:r>
      <w:r w:rsidR="00D60760" w:rsidRPr="007E77AF">
        <w:t>, o</w:t>
      </w:r>
      <w:r w:rsidR="00B50EE9" w:rsidRPr="007E77AF">
        <w:t xml:space="preserve"> </w:t>
      </w:r>
      <w:r w:rsidR="000F4845" w:rsidRPr="007E77AF">
        <w:t xml:space="preserve">ofertante, as instituições </w:t>
      </w:r>
      <w:r w:rsidR="00502694">
        <w:t xml:space="preserve">participantes do consórcio de distribuição </w:t>
      </w:r>
      <w:r w:rsidR="000F4845" w:rsidRPr="007E77AF">
        <w:t xml:space="preserve">e as pessoas contratadas que com estes estejam trabalhando ou os assessorando de qualquer forma </w:t>
      </w:r>
      <w:r w:rsidR="000C7FD0">
        <w:t xml:space="preserve">em relação à oferta </w:t>
      </w:r>
      <w:r w:rsidR="000F4845" w:rsidRPr="007E77AF">
        <w:t>devem abster-se de dar publicidade</w:t>
      </w:r>
      <w:r w:rsidR="005A7EB2" w:rsidRPr="007E77AF">
        <w:t xml:space="preserve"> à oferta</w:t>
      </w:r>
      <w:r w:rsidR="009B6E3E">
        <w:t xml:space="preserve">, inclusive por meio de </w:t>
      </w:r>
      <w:r w:rsidR="00C92AFE">
        <w:t>manifestações a respeito</w:t>
      </w:r>
      <w:r w:rsidR="005A7EB2" w:rsidRPr="007E77AF">
        <w:t xml:space="preserve"> </w:t>
      </w:r>
      <w:r w:rsidR="00C92AFE">
        <w:t>d</w:t>
      </w:r>
      <w:r w:rsidR="005A7EB2" w:rsidRPr="007E77AF">
        <w:t>o emissor</w:t>
      </w:r>
      <w:r w:rsidR="00847E68">
        <w:t>,</w:t>
      </w:r>
      <w:r w:rsidR="00B50EE9" w:rsidRPr="007E77AF">
        <w:t xml:space="preserve"> no período</w:t>
      </w:r>
      <w:r w:rsidR="00AC11C2" w:rsidRPr="007E77AF">
        <w:t>:</w:t>
      </w:r>
    </w:p>
    <w:p w14:paraId="036C33B2" w14:textId="77777777" w:rsidR="00D74986" w:rsidRPr="007E77AF" w:rsidRDefault="00AC11C2" w:rsidP="00D74986">
      <w:pPr>
        <w:pStyle w:val="PargrafodaLista"/>
        <w:spacing w:before="120" w:after="120" w:line="312" w:lineRule="auto"/>
        <w:ind w:left="0" w:firstLine="567"/>
        <w:jc w:val="both"/>
      </w:pPr>
      <w:r w:rsidRPr="007E77AF">
        <w:t xml:space="preserve">I </w:t>
      </w:r>
      <w:r w:rsidR="003058E0" w:rsidRPr="007E77AF">
        <w:t>–</w:t>
      </w:r>
      <w:r w:rsidR="00B50EE9" w:rsidRPr="007E77AF">
        <w:t xml:space="preserve"> </w:t>
      </w:r>
      <w:proofErr w:type="gramStart"/>
      <w:r w:rsidR="002B36B7" w:rsidRPr="007E77AF">
        <w:t>que</w:t>
      </w:r>
      <w:proofErr w:type="gramEnd"/>
      <w:r w:rsidR="002B36B7" w:rsidRPr="007E77AF">
        <w:t xml:space="preserve"> se inicia n</w:t>
      </w:r>
      <w:r w:rsidR="003058E0" w:rsidRPr="007E77AF">
        <w:t>a data mais antiga entre</w:t>
      </w:r>
      <w:r w:rsidR="000A36D3" w:rsidRPr="007E77AF">
        <w:t>:</w:t>
      </w:r>
    </w:p>
    <w:p w14:paraId="513AA6AC" w14:textId="6C7CAE0E" w:rsidR="00D74986" w:rsidRPr="007E77AF" w:rsidRDefault="002B36B7" w:rsidP="00D74986">
      <w:pPr>
        <w:pStyle w:val="PargrafodaLista"/>
        <w:spacing w:before="120" w:after="120" w:line="312" w:lineRule="auto"/>
        <w:ind w:left="0" w:firstLine="567"/>
        <w:jc w:val="both"/>
      </w:pPr>
      <w:r w:rsidRPr="007E77AF">
        <w:t>a)</w:t>
      </w:r>
      <w:r w:rsidR="00B50EE9" w:rsidRPr="007E77AF">
        <w:t xml:space="preserve"> o momento em que a realização da oferta foi </w:t>
      </w:r>
      <w:r w:rsidR="0007364A" w:rsidRPr="007E77AF">
        <w:t>aprovada</w:t>
      </w:r>
      <w:r w:rsidR="00B50EE9" w:rsidRPr="007E77AF">
        <w:t xml:space="preserve"> </w:t>
      </w:r>
      <w:r w:rsidR="00351ED2" w:rsidRPr="007E77AF">
        <w:t xml:space="preserve">por meio de </w:t>
      </w:r>
      <w:r w:rsidR="00B50EE9" w:rsidRPr="007E77AF">
        <w:t xml:space="preserve">ato </w:t>
      </w:r>
      <w:r w:rsidR="00023D7B" w:rsidRPr="007E77AF">
        <w:t>deliberativo</w:t>
      </w:r>
      <w:r w:rsidR="00B50EE9" w:rsidRPr="007E77AF">
        <w:t xml:space="preserve"> ou</w:t>
      </w:r>
      <w:r w:rsidR="0056096F" w:rsidRPr="007E77AF">
        <w:t xml:space="preserve">, </w:t>
      </w:r>
      <w:r w:rsidR="008C66D6" w:rsidRPr="007E77AF">
        <w:t xml:space="preserve">no caso de oferta </w:t>
      </w:r>
      <w:r w:rsidR="002F22B9" w:rsidRPr="007E77AF">
        <w:t>exclusivamente secundária</w:t>
      </w:r>
      <w:r w:rsidR="00DE3E15" w:rsidRPr="007E77AF">
        <w:t xml:space="preserve"> em que não haja </w:t>
      </w:r>
      <w:r w:rsidR="0054595F" w:rsidRPr="007E77AF">
        <w:t xml:space="preserve">tal </w:t>
      </w:r>
      <w:r w:rsidR="00DE3E15" w:rsidRPr="007E77AF">
        <w:t xml:space="preserve">ato </w:t>
      </w:r>
      <w:r w:rsidR="005A469E" w:rsidRPr="007E77AF">
        <w:t>deliberativo</w:t>
      </w:r>
      <w:r w:rsidR="002F22B9" w:rsidRPr="007E77AF">
        <w:t>,</w:t>
      </w:r>
      <w:r w:rsidR="00B50EE9" w:rsidRPr="007E77AF">
        <w:t xml:space="preserve"> </w:t>
      </w:r>
      <w:r w:rsidR="00F83955">
        <w:t>o momento do engajamento ou contratação do coordenador líder</w:t>
      </w:r>
      <w:r w:rsidR="00F05376">
        <w:t xml:space="preserve">; </w:t>
      </w:r>
      <w:r w:rsidR="009624A6">
        <w:t>ou</w:t>
      </w:r>
    </w:p>
    <w:p w14:paraId="25F699DB" w14:textId="77777777" w:rsidR="00D74986" w:rsidRPr="007E77AF" w:rsidRDefault="002B36B7" w:rsidP="00D74986">
      <w:pPr>
        <w:pStyle w:val="PargrafodaLista"/>
        <w:spacing w:before="120" w:after="120" w:line="312" w:lineRule="auto"/>
        <w:ind w:left="0" w:firstLine="567"/>
        <w:jc w:val="both"/>
      </w:pPr>
      <w:r w:rsidRPr="007E77AF">
        <w:t>b)</w:t>
      </w:r>
      <w:r w:rsidR="00B50EE9" w:rsidRPr="007E77AF">
        <w:t xml:space="preserve"> o 30º (trigésimo) dia que antecede o protocolo do requerimento de registro da oferta junto à CVM ou à entidade autorreguladora autorizada pela CVM para análise prévia do requerimento de registro</w:t>
      </w:r>
      <w:r w:rsidR="000A36D3" w:rsidRPr="007E77AF">
        <w:t xml:space="preserve">; e </w:t>
      </w:r>
    </w:p>
    <w:p w14:paraId="7B5DC318" w14:textId="77777777" w:rsidR="00D74986" w:rsidRPr="007E77AF" w:rsidRDefault="000A36D3" w:rsidP="00D74986">
      <w:pPr>
        <w:pStyle w:val="PargrafodaLista"/>
        <w:spacing w:before="120" w:after="120" w:line="312" w:lineRule="auto"/>
        <w:ind w:left="0" w:firstLine="567"/>
        <w:jc w:val="both"/>
      </w:pPr>
      <w:r w:rsidRPr="007E77AF">
        <w:t xml:space="preserve">II – </w:t>
      </w:r>
      <w:proofErr w:type="gramStart"/>
      <w:r w:rsidR="002B36B7" w:rsidRPr="007E77AF">
        <w:t>que</w:t>
      </w:r>
      <w:proofErr w:type="gramEnd"/>
      <w:r w:rsidRPr="007E77AF">
        <w:t xml:space="preserve"> </w:t>
      </w:r>
      <w:r w:rsidR="002B36B7" w:rsidRPr="007E77AF">
        <w:t>se encerra na data do anúncio de encerramento da distribuição</w:t>
      </w:r>
      <w:r w:rsidR="00135376" w:rsidRPr="007E77AF">
        <w:t>.</w:t>
      </w:r>
    </w:p>
    <w:p w14:paraId="5A1E4D12" w14:textId="224BF807" w:rsidR="00D74986" w:rsidRPr="007E77AF" w:rsidRDefault="00977B93" w:rsidP="00D74986">
      <w:pPr>
        <w:spacing w:before="120" w:after="120" w:line="312" w:lineRule="auto"/>
        <w:ind w:firstLine="567"/>
        <w:jc w:val="both"/>
      </w:pPr>
      <w:r w:rsidRPr="007E77AF">
        <w:t>§ 1</w:t>
      </w:r>
      <w:proofErr w:type="gramStart"/>
      <w:r w:rsidRPr="007E77AF">
        <w:t xml:space="preserve">º </w:t>
      </w:r>
      <w:r w:rsidR="00135376" w:rsidRPr="007E77AF">
        <w:t xml:space="preserve"> </w:t>
      </w:r>
      <w:r w:rsidR="00B40AD2" w:rsidRPr="007E77AF">
        <w:t>Não</w:t>
      </w:r>
      <w:proofErr w:type="gramEnd"/>
      <w:r w:rsidR="00B40AD2" w:rsidRPr="007E77AF">
        <w:t xml:space="preserve"> configuram </w:t>
      </w:r>
      <w:r w:rsidR="00FA2D90" w:rsidRPr="00C67B81">
        <w:t xml:space="preserve">infração </w:t>
      </w:r>
      <w:r w:rsidR="00B70219" w:rsidRPr="00C67B81">
        <w:t>a</w:t>
      </w:r>
      <w:r w:rsidR="00FA2D90" w:rsidRPr="00C67B81">
        <w:t xml:space="preserve">o </w:t>
      </w:r>
      <w:r w:rsidR="00B70219" w:rsidRPr="00C67B81">
        <w:t xml:space="preserve">disposto no </w:t>
      </w:r>
      <w:r w:rsidR="00FA2D90" w:rsidRPr="00C67B81">
        <w:rPr>
          <w:b/>
        </w:rPr>
        <w:t>caput</w:t>
      </w:r>
      <w:r w:rsidR="00FA2D90" w:rsidRPr="007E77AF">
        <w:rPr>
          <w:rFonts w:cstheme="minorHAnsi"/>
        </w:rPr>
        <w:t xml:space="preserve"> </w:t>
      </w:r>
      <w:r w:rsidR="00B40AD2" w:rsidRPr="007E77AF">
        <w:t>as</w:t>
      </w:r>
      <w:r w:rsidRPr="007E77AF">
        <w:t xml:space="preserve"> comunicações </w:t>
      </w:r>
      <w:r w:rsidR="00A32CE9" w:rsidRPr="007E77AF">
        <w:t>que atendam cumulativamente os seguintes requisitos:</w:t>
      </w:r>
    </w:p>
    <w:p w14:paraId="6DFC76E7" w14:textId="5776F7CA" w:rsidR="00D74986" w:rsidRPr="007E77AF" w:rsidRDefault="00FB0E7E" w:rsidP="00D74986">
      <w:pPr>
        <w:spacing w:before="120" w:after="120" w:line="312" w:lineRule="auto"/>
        <w:ind w:firstLine="567"/>
        <w:jc w:val="both"/>
      </w:pPr>
      <w:r w:rsidRPr="007E77AF">
        <w:t xml:space="preserve">I – </w:t>
      </w:r>
      <w:proofErr w:type="gramStart"/>
      <w:r w:rsidRPr="007E77AF">
        <w:t>sejam</w:t>
      </w:r>
      <w:proofErr w:type="gramEnd"/>
      <w:r w:rsidRPr="007E77AF">
        <w:t xml:space="preserve"> </w:t>
      </w:r>
      <w:r w:rsidR="00977B93" w:rsidRPr="007E77AF">
        <w:t>efetuadas pelo emissor</w:t>
      </w:r>
      <w:r w:rsidR="009F7B22" w:rsidRPr="007E77AF">
        <w:t xml:space="preserve">, </w:t>
      </w:r>
      <w:r w:rsidR="00B0371F" w:rsidRPr="007E77AF">
        <w:t xml:space="preserve">pelo prestador de serviços essenciais </w:t>
      </w:r>
      <w:r w:rsidR="00B72A77" w:rsidRPr="007E77AF">
        <w:t xml:space="preserve">ao fundo de investimento, ou por </w:t>
      </w:r>
      <w:r w:rsidR="009F7B22" w:rsidRPr="007E77AF">
        <w:t>administradores ou empregados</w:t>
      </w:r>
      <w:r w:rsidR="00BB66E0" w:rsidRPr="007E77AF">
        <w:t xml:space="preserve"> de tais pessoas jurídicas</w:t>
      </w:r>
      <w:r w:rsidR="009F7B22" w:rsidRPr="007E77AF">
        <w:t>, sem o envolvimento de instituição intermediária</w:t>
      </w:r>
      <w:r w:rsidR="00815664" w:rsidRPr="007E77AF">
        <w:t xml:space="preserve"> que venha a integrar o consórcio de distribuição</w:t>
      </w:r>
      <w:r w:rsidR="009F7B22" w:rsidRPr="007E77AF">
        <w:t>;</w:t>
      </w:r>
    </w:p>
    <w:p w14:paraId="563E9CA7" w14:textId="336475F4" w:rsidR="00D74986" w:rsidRPr="007E77AF" w:rsidRDefault="009F7B22" w:rsidP="00D74986">
      <w:pPr>
        <w:spacing w:before="120" w:after="120" w:line="312" w:lineRule="auto"/>
        <w:ind w:firstLine="567"/>
        <w:jc w:val="both"/>
      </w:pPr>
      <w:r w:rsidRPr="007E77AF">
        <w:t xml:space="preserve">II </w:t>
      </w:r>
      <w:r w:rsidR="006F4C98" w:rsidRPr="007E77AF">
        <w:t>–</w:t>
      </w:r>
      <w:r w:rsidRPr="007E77AF">
        <w:t xml:space="preserve"> </w:t>
      </w:r>
      <w:proofErr w:type="gramStart"/>
      <w:r w:rsidR="00977B93" w:rsidRPr="007E77AF">
        <w:t>não</w:t>
      </w:r>
      <w:proofErr w:type="gramEnd"/>
      <w:r w:rsidR="00977B93" w:rsidRPr="007E77AF">
        <w:t xml:space="preserve"> contenham menção a uma oferta pública de valores mobiliários</w:t>
      </w:r>
      <w:r w:rsidR="00014035" w:rsidRPr="007E77AF">
        <w:t>; e</w:t>
      </w:r>
    </w:p>
    <w:p w14:paraId="791F3E72" w14:textId="77777777" w:rsidR="00D74986" w:rsidRPr="007E77AF" w:rsidRDefault="00014035" w:rsidP="00D74986">
      <w:pPr>
        <w:spacing w:before="120" w:after="120" w:line="312" w:lineRule="auto"/>
        <w:ind w:firstLine="567"/>
        <w:jc w:val="both"/>
      </w:pPr>
      <w:r w:rsidRPr="007E77AF">
        <w:t>III –</w:t>
      </w:r>
      <w:r w:rsidR="00A402FA" w:rsidRPr="007E77AF">
        <w:t xml:space="preserve"> </w:t>
      </w:r>
      <w:r w:rsidR="00977B93" w:rsidRPr="007E77AF">
        <w:t>sejam realizadas antes d</w:t>
      </w:r>
      <w:r w:rsidR="007C254B" w:rsidRPr="007E77AF">
        <w:t xml:space="preserve">o </w:t>
      </w:r>
      <w:r w:rsidR="00723F31" w:rsidRPr="007E77AF">
        <w:t>30º (trigésimo) dia que antecede o protocolo do requerimento de registro da</w:t>
      </w:r>
      <w:r w:rsidR="00712109" w:rsidRPr="007E77AF">
        <w:t xml:space="preserve"> </w:t>
      </w:r>
      <w:r w:rsidR="00723F31" w:rsidRPr="007E77AF">
        <w:t>oferta junto à CVM ou à entidade autorreguladora autorizada pela CVM para análise prévia do requerimento de registro.</w:t>
      </w:r>
    </w:p>
    <w:p w14:paraId="5E641623" w14:textId="61FFD2CE" w:rsidR="00D74986" w:rsidRPr="007E77AF" w:rsidRDefault="5BC55117" w:rsidP="00D74986">
      <w:pPr>
        <w:spacing w:before="120" w:after="120" w:line="312" w:lineRule="auto"/>
        <w:ind w:firstLine="567"/>
        <w:jc w:val="both"/>
      </w:pPr>
      <w:r w:rsidRPr="007E77AF">
        <w:t xml:space="preserve">§ </w:t>
      </w:r>
      <w:r w:rsidR="00AA79B3" w:rsidRPr="007E77AF">
        <w:t>2</w:t>
      </w:r>
      <w:proofErr w:type="gramStart"/>
      <w:r w:rsidR="00AA79B3" w:rsidRPr="007E77AF">
        <w:t xml:space="preserve">º  </w:t>
      </w:r>
      <w:r w:rsidRPr="007E77AF">
        <w:t>O</w:t>
      </w:r>
      <w:proofErr w:type="gramEnd"/>
      <w:r w:rsidRPr="007E77AF">
        <w:t xml:space="preserve"> disposto no </w:t>
      </w:r>
      <w:r w:rsidRPr="007E77AF">
        <w:rPr>
          <w:b/>
        </w:rPr>
        <w:t>caput</w:t>
      </w:r>
      <w:r w:rsidRPr="007E77AF">
        <w:t xml:space="preserve"> não se aplica às divu</w:t>
      </w:r>
      <w:r w:rsidR="01E521DC" w:rsidRPr="007E77AF">
        <w:t>l</w:t>
      </w:r>
      <w:r w:rsidRPr="007E77AF">
        <w:t>gações</w:t>
      </w:r>
      <w:r w:rsidR="6951FA2B" w:rsidRPr="007E77AF">
        <w:t xml:space="preserve"> </w:t>
      </w:r>
      <w:r w:rsidR="00D967DD">
        <w:t xml:space="preserve">realizadas </w:t>
      </w:r>
      <w:r w:rsidR="59EF3C81" w:rsidRPr="007E77AF">
        <w:t xml:space="preserve">por </w:t>
      </w:r>
      <w:r w:rsidR="6951FA2B" w:rsidRPr="007E77AF">
        <w:t>emissor</w:t>
      </w:r>
      <w:r w:rsidR="59EF3C81" w:rsidRPr="007E77AF">
        <w:t xml:space="preserve"> registrado na CVM</w:t>
      </w:r>
      <w:r w:rsidR="007A45F3">
        <w:t xml:space="preserve"> e p</w:t>
      </w:r>
      <w:r w:rsidR="00774CFD">
        <w:t>or</w:t>
      </w:r>
      <w:r w:rsidR="007A45F3">
        <w:t xml:space="preserve"> prestador de serviço</w:t>
      </w:r>
      <w:r w:rsidR="00452EA0">
        <w:t xml:space="preserve"> essencia</w:t>
      </w:r>
      <w:r w:rsidR="008855AB">
        <w:t>l</w:t>
      </w:r>
      <w:r w:rsidR="00452EA0">
        <w:t xml:space="preserve"> a fundo de investimento</w:t>
      </w:r>
      <w:r w:rsidR="00D7534F" w:rsidRPr="007E77AF">
        <w:t xml:space="preserve">, bem como </w:t>
      </w:r>
      <w:r w:rsidR="001E0181">
        <w:t>pelos</w:t>
      </w:r>
      <w:r w:rsidR="001E0181" w:rsidRPr="007E77AF">
        <w:t xml:space="preserve"> </w:t>
      </w:r>
      <w:r w:rsidR="00D7534F" w:rsidRPr="007E77AF">
        <w:t>representantes</w:t>
      </w:r>
      <w:r w:rsidR="009E1586">
        <w:t xml:space="preserve"> </w:t>
      </w:r>
      <w:r w:rsidR="001E0181">
        <w:t>destes agentes</w:t>
      </w:r>
      <w:r w:rsidR="6951FA2B" w:rsidRPr="007E77AF">
        <w:t>:</w:t>
      </w:r>
      <w:bookmarkEnd w:id="67"/>
    </w:p>
    <w:p w14:paraId="3514E32C" w14:textId="68FF2903" w:rsidR="00D74986" w:rsidRPr="007E77AF" w:rsidRDefault="009069A1" w:rsidP="001353DC">
      <w:pPr>
        <w:spacing w:before="120" w:after="120" w:line="312" w:lineRule="auto"/>
        <w:ind w:firstLine="567"/>
        <w:jc w:val="both"/>
      </w:pPr>
      <w:r w:rsidRPr="007E77AF">
        <w:lastRenderedPageBreak/>
        <w:t>I</w:t>
      </w:r>
      <w:r w:rsidR="000F4845" w:rsidRPr="007E77AF">
        <w:t xml:space="preserve"> – </w:t>
      </w:r>
      <w:proofErr w:type="gramStart"/>
      <w:r w:rsidR="000F4845" w:rsidRPr="007E77AF">
        <w:t>das</w:t>
      </w:r>
      <w:proofErr w:type="gramEnd"/>
      <w:r w:rsidR="000F4845" w:rsidRPr="007E77AF">
        <w:t xml:space="preserve"> informações periódicas e eventuais exigidas do emissor pela CVM</w:t>
      </w:r>
      <w:r w:rsidR="003A43B0" w:rsidRPr="007E77AF">
        <w:t xml:space="preserve"> </w:t>
      </w:r>
      <w:r w:rsidR="003A43B0" w:rsidRPr="007E77AF">
        <w:rPr>
          <w:rFonts w:cstheme="minorHAnsi"/>
          <w:iCs/>
        </w:rPr>
        <w:t>ou por outra autoridade reguladora ou autorreguladora competente</w:t>
      </w:r>
      <w:r w:rsidR="000F4845" w:rsidRPr="007E77AF">
        <w:t>;</w:t>
      </w:r>
    </w:p>
    <w:p w14:paraId="0DBA2921" w14:textId="5B5E8E0B" w:rsidR="00D74986" w:rsidRPr="007E77AF" w:rsidRDefault="009069A1" w:rsidP="001353DC">
      <w:pPr>
        <w:spacing w:before="120" w:after="120" w:line="312" w:lineRule="auto"/>
        <w:ind w:firstLine="567"/>
        <w:jc w:val="both"/>
      </w:pPr>
      <w:r w:rsidRPr="007E77AF">
        <w:t>II</w:t>
      </w:r>
      <w:r w:rsidR="000F4845" w:rsidRPr="007E77AF">
        <w:t xml:space="preserve"> – </w:t>
      </w:r>
      <w:proofErr w:type="gramStart"/>
      <w:r w:rsidR="003668FF" w:rsidRPr="007E77AF">
        <w:t>de</w:t>
      </w:r>
      <w:proofErr w:type="gramEnd"/>
      <w:r w:rsidR="003668FF" w:rsidRPr="007E77AF">
        <w:t xml:space="preserve"> </w:t>
      </w:r>
      <w:r w:rsidR="000F4845" w:rsidRPr="007E77AF">
        <w:t xml:space="preserve">informações </w:t>
      </w:r>
      <w:r w:rsidR="006D5FF0" w:rsidRPr="007E77AF">
        <w:t xml:space="preserve">do interesse do público investidor em geral </w:t>
      </w:r>
      <w:r w:rsidR="000F4845" w:rsidRPr="007E77AF">
        <w:t>divulgadas rotineiramente pelo emissor no curso de seus negócios</w:t>
      </w:r>
      <w:r w:rsidR="005A725C" w:rsidRPr="007E77AF">
        <w:t>,</w:t>
      </w:r>
      <w:r w:rsidR="000F4845" w:rsidRPr="007E77AF">
        <w:t xml:space="preserve"> desde que </w:t>
      </w:r>
      <w:r w:rsidR="00F009F9" w:rsidRPr="007E77AF">
        <w:t xml:space="preserve">realizadas de modo consistente com </w:t>
      </w:r>
      <w:r w:rsidR="000F4845" w:rsidRPr="007E77AF">
        <w:t>as divulgações prévias</w:t>
      </w:r>
      <w:r w:rsidR="00212D6F" w:rsidRPr="007E77AF">
        <w:t>;</w:t>
      </w:r>
      <w:r w:rsidR="00722FF5" w:rsidRPr="007E77AF">
        <w:t xml:space="preserve"> e</w:t>
      </w:r>
    </w:p>
    <w:p w14:paraId="557442CB" w14:textId="61ED8B83" w:rsidR="00D74986" w:rsidRPr="007E77AF" w:rsidRDefault="009069A1" w:rsidP="001353DC">
      <w:pPr>
        <w:spacing w:before="120" w:after="120" w:line="312" w:lineRule="auto"/>
        <w:ind w:firstLine="567"/>
        <w:jc w:val="both"/>
      </w:pPr>
      <w:r w:rsidRPr="007E77AF">
        <w:t>III</w:t>
      </w:r>
      <w:r w:rsidR="000F4845" w:rsidRPr="007E77AF">
        <w:t xml:space="preserve"> – de campanha de promoção publicitária</w:t>
      </w:r>
      <w:r w:rsidR="00CE3BC6" w:rsidRPr="007E77AF">
        <w:t>, manifestações na mídia ou publicações jornalísticas</w:t>
      </w:r>
      <w:r w:rsidR="003832E3" w:rsidRPr="007E77AF">
        <w:t xml:space="preserve"> sobre</w:t>
      </w:r>
      <w:r w:rsidR="000F4845" w:rsidRPr="007E77AF">
        <w:t xml:space="preserve"> os produtos e serviços oferecidos pelo emissor</w:t>
      </w:r>
      <w:r w:rsidR="00331684" w:rsidRPr="007E77AF">
        <w:t xml:space="preserve"> ou pelos </w:t>
      </w:r>
      <w:r w:rsidR="00963268" w:rsidRPr="007E77AF">
        <w:t>prestadores de serviços essenciais do fundo</w:t>
      </w:r>
      <w:r w:rsidR="00B711E9" w:rsidRPr="007E77AF">
        <w:t xml:space="preserve">, desde que não </w:t>
      </w:r>
      <w:r w:rsidR="00A65B04" w:rsidRPr="007E77AF">
        <w:t>mencione uma</w:t>
      </w:r>
      <w:r w:rsidR="00B711E9" w:rsidRPr="007E77AF">
        <w:t xml:space="preserve"> oferta</w:t>
      </w:r>
      <w:r w:rsidR="00A65B04" w:rsidRPr="007E77AF">
        <w:t xml:space="preserve"> pública</w:t>
      </w:r>
      <w:r w:rsidR="00A92A50" w:rsidRPr="007E77AF">
        <w:t xml:space="preserve"> de valores mobiliários</w:t>
      </w:r>
      <w:r w:rsidR="00722FF5" w:rsidRPr="007E77AF">
        <w:t>.</w:t>
      </w:r>
    </w:p>
    <w:p w14:paraId="3C252EAC" w14:textId="1FD5573F" w:rsidR="00D74986" w:rsidRDefault="65F35F81" w:rsidP="00D74986">
      <w:pPr>
        <w:spacing w:before="120" w:after="120" w:line="312" w:lineRule="auto"/>
        <w:ind w:firstLine="567"/>
        <w:jc w:val="both"/>
      </w:pPr>
      <w:r w:rsidRPr="007E77AF">
        <w:t xml:space="preserve">§ </w:t>
      </w:r>
      <w:r w:rsidR="00AA79B3" w:rsidRPr="007E77AF">
        <w:t>3</w:t>
      </w:r>
      <w:proofErr w:type="gramStart"/>
      <w:r w:rsidR="00AA79B3" w:rsidRPr="007E77AF">
        <w:t xml:space="preserve">º  </w:t>
      </w:r>
      <w:r w:rsidR="30015D30" w:rsidRPr="007E77AF">
        <w:t>D</w:t>
      </w:r>
      <w:r w:rsidR="005E0F82" w:rsidRPr="007E77AF">
        <w:t>urante</w:t>
      </w:r>
      <w:proofErr w:type="gramEnd"/>
      <w:r w:rsidR="005E0F82" w:rsidRPr="007E77AF">
        <w:t xml:space="preserve"> o período </w:t>
      </w:r>
      <w:r w:rsidR="006D2BEC" w:rsidRPr="007E77AF">
        <w:t>que se inicia na data estabelecida nos termos do</w:t>
      </w:r>
      <w:r w:rsidR="001C1BEA" w:rsidRPr="007E77AF">
        <w:t xml:space="preserve"> inciso I do</w:t>
      </w:r>
      <w:r w:rsidR="006D2BEC" w:rsidRPr="007E77AF">
        <w:t xml:space="preserve"> </w:t>
      </w:r>
      <w:r w:rsidR="00106FAB" w:rsidRPr="007E77AF">
        <w:rPr>
          <w:b/>
          <w:bCs/>
        </w:rPr>
        <w:t>caput</w:t>
      </w:r>
      <w:r w:rsidR="61E46599" w:rsidRPr="007E77AF">
        <w:t xml:space="preserve"> </w:t>
      </w:r>
      <w:r w:rsidR="001461EF" w:rsidRPr="007E77AF">
        <w:t xml:space="preserve">e até a divulgação do aviso ao mercado </w:t>
      </w:r>
      <w:r w:rsidR="00922297" w:rsidRPr="007E77AF">
        <w:t xml:space="preserve">as pessoas mencionadas </w:t>
      </w:r>
      <w:r w:rsidR="3AF55E54" w:rsidRPr="007E77AF">
        <w:t xml:space="preserve">no </w:t>
      </w:r>
      <w:r w:rsidR="3AF55E54" w:rsidRPr="007E77AF">
        <w:rPr>
          <w:b/>
          <w:bCs/>
        </w:rPr>
        <w:t>caput</w:t>
      </w:r>
      <w:r w:rsidR="3AF55E54" w:rsidRPr="007E77AF">
        <w:t xml:space="preserve"> </w:t>
      </w:r>
      <w:r w:rsidR="00922297" w:rsidRPr="007E77AF">
        <w:t xml:space="preserve">devem limitar a revelação </w:t>
      </w:r>
      <w:r w:rsidR="18FDFCDB" w:rsidRPr="007E77AF">
        <w:t>e utilizaç</w:t>
      </w:r>
      <w:r w:rsidR="003922B5" w:rsidRPr="007E77AF">
        <w:t>ã</w:t>
      </w:r>
      <w:r w:rsidR="18FDFCDB" w:rsidRPr="007E77AF">
        <w:t xml:space="preserve">o </w:t>
      </w:r>
      <w:r w:rsidR="00922297" w:rsidRPr="007E77AF">
        <w:t xml:space="preserve">de informação relativa à oferta </w:t>
      </w:r>
      <w:r w:rsidR="66C2B341" w:rsidRPr="007E77AF">
        <w:t xml:space="preserve">estritamente </w:t>
      </w:r>
      <w:r w:rsidR="003922B5" w:rsidRPr="007E77AF">
        <w:t xml:space="preserve">para </w:t>
      </w:r>
      <w:r w:rsidR="66C2B341" w:rsidRPr="007E77AF">
        <w:t>os fins relacionados com a preparação da oferta</w:t>
      </w:r>
      <w:r w:rsidR="00922297" w:rsidRPr="007E77AF">
        <w:t>, advertindo os destinatários sobre o caráter reservado da informação transmitida</w:t>
      </w:r>
      <w:r w:rsidR="5DCB99B7" w:rsidRPr="007E77AF">
        <w:t>.</w:t>
      </w:r>
    </w:p>
    <w:p w14:paraId="5C4E9777" w14:textId="3D3B09EB" w:rsidR="00E61BB2" w:rsidRDefault="007D0E9D" w:rsidP="00D74986">
      <w:pPr>
        <w:spacing w:before="120" w:after="120" w:line="312" w:lineRule="auto"/>
        <w:ind w:firstLine="567"/>
        <w:jc w:val="both"/>
      </w:pPr>
      <w:r w:rsidRPr="007E77AF">
        <w:t xml:space="preserve">§ </w:t>
      </w:r>
      <w:r>
        <w:t>4</w:t>
      </w:r>
      <w:proofErr w:type="gramStart"/>
      <w:r w:rsidRPr="007E77AF">
        <w:t xml:space="preserve">º  </w:t>
      </w:r>
      <w:r w:rsidR="00555E6D">
        <w:t>O</w:t>
      </w:r>
      <w:proofErr w:type="gramEnd"/>
      <w:r w:rsidR="00555E6D">
        <w:t xml:space="preserve"> emissor dos valores mobiliários objeto da oferta</w:t>
      </w:r>
      <w:r w:rsidR="00D17467">
        <w:t xml:space="preserve">, </w:t>
      </w:r>
      <w:r w:rsidR="008C20D2">
        <w:t xml:space="preserve">ainda que </w:t>
      </w:r>
      <w:r w:rsidR="00D17467">
        <w:t xml:space="preserve">não </w:t>
      </w:r>
      <w:r w:rsidR="008C20D2">
        <w:t>seja</w:t>
      </w:r>
      <w:r w:rsidR="00D17467">
        <w:t xml:space="preserve"> o próprio ofertante,</w:t>
      </w:r>
      <w:r w:rsidR="00555E6D">
        <w:t xml:space="preserve"> também se sujeita ao dever de</w:t>
      </w:r>
      <w:r w:rsidR="004A2DE5">
        <w:t xml:space="preserve"> abstenção de que trata o </w:t>
      </w:r>
      <w:r w:rsidR="004A2DE5" w:rsidRPr="00B87D80">
        <w:rPr>
          <w:b/>
        </w:rPr>
        <w:t>caput</w:t>
      </w:r>
      <w:r w:rsidR="00555E6D" w:rsidRPr="00C63BD3">
        <w:rPr>
          <w:bCs/>
        </w:rPr>
        <w:t>,</w:t>
      </w:r>
      <w:r w:rsidR="004A2DE5">
        <w:t xml:space="preserve"> </w:t>
      </w:r>
      <w:r w:rsidR="00846D23">
        <w:t>a partir</w:t>
      </w:r>
      <w:r w:rsidR="006F119B">
        <w:t xml:space="preserve"> </w:t>
      </w:r>
      <w:r w:rsidR="00846D23">
        <w:t xml:space="preserve">do </w:t>
      </w:r>
      <w:r w:rsidR="006F119B">
        <w:t>período que</w:t>
      </w:r>
      <w:r w:rsidR="004A2DE5">
        <w:t xml:space="preserve"> se inicia na data mais antiga entre</w:t>
      </w:r>
      <w:r w:rsidR="00E61BB2">
        <w:t>:</w:t>
      </w:r>
    </w:p>
    <w:p w14:paraId="30ACCDDB" w14:textId="4EF56871" w:rsidR="00CC2845" w:rsidRDefault="00E61BB2" w:rsidP="00D74986">
      <w:pPr>
        <w:spacing w:before="120" w:after="120" w:line="312" w:lineRule="auto"/>
        <w:ind w:firstLine="567"/>
        <w:jc w:val="both"/>
      </w:pPr>
      <w:r>
        <w:t xml:space="preserve">I – </w:t>
      </w:r>
      <w:proofErr w:type="gramStart"/>
      <w:r w:rsidR="004A2DE5">
        <w:t>o</w:t>
      </w:r>
      <w:proofErr w:type="gramEnd"/>
      <w:r w:rsidR="004A2DE5">
        <w:t xml:space="preserve"> momento </w:t>
      </w:r>
      <w:r w:rsidR="006E49EA">
        <w:t>em que</w:t>
      </w:r>
      <w:r w:rsidR="00730745">
        <w:t xml:space="preserve"> tenha sido solicitado</w:t>
      </w:r>
      <w:r w:rsidR="00C3621B" w:rsidRPr="007E77AF">
        <w:t xml:space="preserve">, pelo ofertante ou por aqueles que com estes estejam trabalhando ou os assessorando de qualquer forma, a fornecer informações e documentos necessários para elaboração dos documentos da oferta, nos termos do art. 17, § 4º; </w:t>
      </w:r>
      <w:r w:rsidR="003A08AC">
        <w:t>e</w:t>
      </w:r>
    </w:p>
    <w:p w14:paraId="437A82C9" w14:textId="37B4A738" w:rsidR="007D0E9D" w:rsidRPr="007E77AF" w:rsidRDefault="00CC2845" w:rsidP="00D74986">
      <w:pPr>
        <w:spacing w:before="120" w:after="120" w:line="312" w:lineRule="auto"/>
        <w:ind w:firstLine="567"/>
        <w:jc w:val="both"/>
      </w:pPr>
      <w:r>
        <w:t xml:space="preserve">II – </w:t>
      </w:r>
      <w:proofErr w:type="gramStart"/>
      <w:r w:rsidR="003A08AC">
        <w:t>o</w:t>
      </w:r>
      <w:proofErr w:type="gramEnd"/>
      <w:r w:rsidR="003A08AC">
        <w:t xml:space="preserve"> </w:t>
      </w:r>
      <w:r w:rsidR="003A08AC">
        <w:rPr>
          <w:sz w:val="23"/>
          <w:szCs w:val="23"/>
        </w:rPr>
        <w:t>30º (trigésimo) dia que antecede o protocolo do requerimento de registro da oferta junto à CVM ou à entidade autorreguladora autorizada pela CVM para análise prévia do requerimento de registro.</w:t>
      </w:r>
    </w:p>
    <w:p w14:paraId="7B1AEB1A" w14:textId="1791AFA7" w:rsidR="00D74986" w:rsidRPr="007E77AF" w:rsidRDefault="009069A1" w:rsidP="001353DC">
      <w:pPr>
        <w:spacing w:before="120" w:after="120" w:line="312" w:lineRule="auto"/>
        <w:ind w:firstLine="567"/>
        <w:jc w:val="both"/>
        <w:rPr>
          <w:rFonts w:eastAsiaTheme="minorEastAsia" w:cstheme="minorBidi"/>
        </w:rPr>
      </w:pPr>
      <w:bookmarkStart w:id="68" w:name="_Ref460491325"/>
      <w:r w:rsidRPr="007E77AF">
        <w:rPr>
          <w:rFonts w:eastAsiaTheme="minorEastAsia" w:cstheme="minorBidi"/>
        </w:rPr>
        <w:t>Art. 12</w:t>
      </w:r>
      <w:r w:rsidR="5D41424C" w:rsidRPr="007E77AF">
        <w:t>.</w:t>
      </w:r>
      <w:r w:rsidR="2F2051E8" w:rsidRPr="007E77AF">
        <w:t xml:space="preserve">  </w:t>
      </w:r>
      <w:r w:rsidR="05685938" w:rsidRPr="007E77AF">
        <w:t xml:space="preserve">Após </w:t>
      </w:r>
      <w:r w:rsidR="00EF1AC4" w:rsidRPr="007E77AF">
        <w:t>o início do período de</w:t>
      </w:r>
      <w:r w:rsidR="74C7DF42" w:rsidRPr="007E77AF">
        <w:rPr>
          <w:rFonts w:ascii="Calibri" w:eastAsia="Calibri" w:hAnsi="Calibri" w:cs="Calibri"/>
        </w:rPr>
        <w:t xml:space="preserve"> oferta a mercado</w:t>
      </w:r>
      <w:r w:rsidR="004C5418" w:rsidRPr="007E77AF">
        <w:rPr>
          <w:rFonts w:ascii="Calibri" w:eastAsia="Calibri" w:hAnsi="Calibri" w:cs="Calibri"/>
        </w:rPr>
        <w:t>,</w:t>
      </w:r>
      <w:r w:rsidR="44880903" w:rsidRPr="007E77AF">
        <w:t xml:space="preserve"> é permitido ao ofertante</w:t>
      </w:r>
      <w:r w:rsidR="000B199A">
        <w:t>,</w:t>
      </w:r>
      <w:r w:rsidR="44880903" w:rsidRPr="007E77AF">
        <w:t xml:space="preserve"> às instituições </w:t>
      </w:r>
      <w:r w:rsidR="00404E21">
        <w:t xml:space="preserve">participantes do consórcio de distribuição </w:t>
      </w:r>
      <w:r w:rsidR="000B199A">
        <w:t>e</w:t>
      </w:r>
      <w:r w:rsidR="44880903" w:rsidRPr="007E77AF">
        <w:t xml:space="preserve"> </w:t>
      </w:r>
      <w:r w:rsidR="2285C7EC" w:rsidRPr="007E77AF">
        <w:t>à</w:t>
      </w:r>
      <w:r w:rsidR="05685938" w:rsidRPr="007E77AF">
        <w:t xml:space="preserve">s </w:t>
      </w:r>
      <w:r w:rsidR="44880903" w:rsidRPr="007E77AF">
        <w:t xml:space="preserve">pessoas contratadas que com </w:t>
      </w:r>
      <w:r w:rsidR="003668FF" w:rsidRPr="007E77AF">
        <w:t xml:space="preserve">estes </w:t>
      </w:r>
      <w:r w:rsidR="44880903" w:rsidRPr="007E77AF">
        <w:t xml:space="preserve">estejam trabalhando ou os assessorando de qualquer forma dar </w:t>
      </w:r>
      <w:r w:rsidR="29BE3729" w:rsidRPr="007E77AF">
        <w:t xml:space="preserve">ampla </w:t>
      </w:r>
      <w:r w:rsidR="44880903" w:rsidRPr="007E77AF">
        <w:t xml:space="preserve">publicidade à oferta, </w:t>
      </w:r>
      <w:r w:rsidR="000218EA" w:rsidRPr="007E77AF">
        <w:t>nas condições estabelecidas por este artigo</w:t>
      </w:r>
      <w:r w:rsidR="00BE2A7A" w:rsidRPr="007E77AF">
        <w:t>,</w:t>
      </w:r>
      <w:r w:rsidR="000218EA" w:rsidRPr="007E77AF">
        <w:t xml:space="preserve"> </w:t>
      </w:r>
      <w:r w:rsidR="00981704" w:rsidRPr="007E77AF">
        <w:t xml:space="preserve">inclusive </w:t>
      </w:r>
      <w:r w:rsidR="44880903" w:rsidRPr="007E77AF">
        <w:t xml:space="preserve">por meio </w:t>
      </w:r>
      <w:r w:rsidR="688F3B37" w:rsidRPr="007E77AF">
        <w:t>da disseminação</w:t>
      </w:r>
      <w:r w:rsidR="00BE2A7A" w:rsidRPr="007E77AF">
        <w:t>:</w:t>
      </w:r>
      <w:bookmarkEnd w:id="68"/>
    </w:p>
    <w:p w14:paraId="6635F9D1" w14:textId="7E3221E1" w:rsidR="00D74986" w:rsidRPr="007E77AF" w:rsidRDefault="009069A1" w:rsidP="001353DC">
      <w:pPr>
        <w:spacing w:before="120" w:after="120" w:line="312" w:lineRule="auto"/>
        <w:ind w:firstLine="567"/>
        <w:jc w:val="both"/>
      </w:pPr>
      <w:r w:rsidRPr="007E77AF">
        <w:t>I</w:t>
      </w:r>
      <w:r w:rsidR="005C4868" w:rsidRPr="007E77AF">
        <w:t xml:space="preserve"> – </w:t>
      </w:r>
      <w:proofErr w:type="gramStart"/>
      <w:r w:rsidR="00981704" w:rsidRPr="007E77AF">
        <w:t>do</w:t>
      </w:r>
      <w:proofErr w:type="gramEnd"/>
      <w:r w:rsidR="00981704" w:rsidRPr="007E77AF">
        <w:t xml:space="preserve"> prospecto </w:t>
      </w:r>
      <w:r w:rsidR="00611BC7" w:rsidRPr="007E77AF">
        <w:t xml:space="preserve">e </w:t>
      </w:r>
      <w:r w:rsidR="00AD4926" w:rsidRPr="007E77AF">
        <w:t>d</w:t>
      </w:r>
      <w:r w:rsidR="005C4868" w:rsidRPr="007E77AF">
        <w:t xml:space="preserve">a </w:t>
      </w:r>
      <w:r w:rsidR="00494021" w:rsidRPr="007E77AF">
        <w:t>lâmina da oferta</w:t>
      </w:r>
      <w:r w:rsidR="005C4868" w:rsidRPr="007E77AF">
        <w:rPr>
          <w:bCs/>
        </w:rPr>
        <w:t>;</w:t>
      </w:r>
    </w:p>
    <w:p w14:paraId="6A89AB55" w14:textId="48EFEAB9" w:rsidR="00534104" w:rsidRPr="007E77AF" w:rsidRDefault="009069A1" w:rsidP="001353DC">
      <w:pPr>
        <w:spacing w:before="120" w:after="120" w:line="312" w:lineRule="auto"/>
        <w:ind w:firstLine="567"/>
        <w:jc w:val="both"/>
      </w:pPr>
      <w:r w:rsidRPr="007E77AF">
        <w:t>II</w:t>
      </w:r>
      <w:r w:rsidR="00BA74C1" w:rsidRPr="007E77AF">
        <w:t xml:space="preserve"> </w:t>
      </w:r>
      <w:r w:rsidR="003852E1" w:rsidRPr="007E77AF">
        <w:t>–</w:t>
      </w:r>
      <w:r w:rsidR="002564D7" w:rsidRPr="007E77AF">
        <w:t xml:space="preserve"> </w:t>
      </w:r>
      <w:proofErr w:type="gramStart"/>
      <w:r w:rsidR="00AD4926" w:rsidRPr="007E77AF">
        <w:t>de</w:t>
      </w:r>
      <w:proofErr w:type="gramEnd"/>
      <w:r w:rsidR="00AD4926" w:rsidRPr="007E77AF">
        <w:t xml:space="preserve"> </w:t>
      </w:r>
      <w:r w:rsidR="002564D7" w:rsidRPr="007E77AF">
        <w:t xml:space="preserve">material </w:t>
      </w:r>
      <w:r w:rsidR="003852E1" w:rsidRPr="007E77AF">
        <w:t xml:space="preserve">de caráter explicativo e educacional </w:t>
      </w:r>
      <w:r w:rsidR="234939A9" w:rsidRPr="007E77AF">
        <w:t xml:space="preserve">que contenha </w:t>
      </w:r>
      <w:r w:rsidR="003E7C36" w:rsidRPr="007E77AF">
        <w:t>aspectos úteis e relevantes para</w:t>
      </w:r>
      <w:r w:rsidR="00810BB5" w:rsidRPr="007E77AF">
        <w:t>:</w:t>
      </w:r>
    </w:p>
    <w:p w14:paraId="3B29FCB3" w14:textId="62C836E3" w:rsidR="00534104" w:rsidRPr="007E77AF" w:rsidRDefault="00534104" w:rsidP="00534104">
      <w:pPr>
        <w:spacing w:before="120" w:after="120" w:line="312" w:lineRule="auto"/>
        <w:ind w:left="567"/>
        <w:jc w:val="both"/>
      </w:pPr>
      <w:r w:rsidRPr="007E77AF">
        <w:t xml:space="preserve">a) o apropriado entendimento </w:t>
      </w:r>
      <w:r w:rsidR="00CF0273" w:rsidRPr="007E77AF">
        <w:t>d</w:t>
      </w:r>
      <w:r w:rsidR="00CF0273">
        <w:t>as</w:t>
      </w:r>
      <w:r w:rsidR="00CF0273" w:rsidRPr="007E77AF">
        <w:t xml:space="preserve"> </w:t>
      </w:r>
      <w:r w:rsidR="00CF0273">
        <w:t>características</w:t>
      </w:r>
      <w:r w:rsidR="00CF0273" w:rsidRPr="007E77AF">
        <w:t xml:space="preserve"> </w:t>
      </w:r>
      <w:r w:rsidRPr="007E77AF">
        <w:t>do valor mobiliário objeto da oferta; e</w:t>
      </w:r>
    </w:p>
    <w:p w14:paraId="4B80B6C3" w14:textId="5C01C7AD" w:rsidR="00534104" w:rsidRPr="007E77AF" w:rsidRDefault="00534104" w:rsidP="00534104">
      <w:pPr>
        <w:spacing w:before="120" w:after="120" w:line="312" w:lineRule="auto"/>
        <w:ind w:left="567"/>
        <w:jc w:val="both"/>
      </w:pPr>
      <w:r w:rsidRPr="007E77AF">
        <w:t>b) para o acompanhamento do desempenho do investimento, incluindo:</w:t>
      </w:r>
    </w:p>
    <w:p w14:paraId="23F03AF2" w14:textId="77777777" w:rsidR="00534104" w:rsidRPr="007E77AF" w:rsidRDefault="00534104" w:rsidP="00534104">
      <w:pPr>
        <w:spacing w:before="120" w:after="120" w:line="312" w:lineRule="auto"/>
        <w:ind w:firstLine="567"/>
        <w:jc w:val="both"/>
      </w:pPr>
      <w:r w:rsidRPr="007E77AF">
        <w:t>1. datas de vencimento;</w:t>
      </w:r>
    </w:p>
    <w:p w14:paraId="5212232A" w14:textId="77777777" w:rsidR="00534104" w:rsidRPr="007E77AF" w:rsidRDefault="00534104" w:rsidP="00534104">
      <w:pPr>
        <w:spacing w:before="120" w:after="120" w:line="312" w:lineRule="auto"/>
        <w:ind w:firstLine="567"/>
        <w:jc w:val="both"/>
      </w:pPr>
      <w:r w:rsidRPr="007E77AF">
        <w:lastRenderedPageBreak/>
        <w:t>2. método de cálculo e calendário de pagamento de juros;</w:t>
      </w:r>
    </w:p>
    <w:p w14:paraId="1CDBE684" w14:textId="77777777" w:rsidR="00534104" w:rsidRPr="007E77AF" w:rsidRDefault="00534104" w:rsidP="00534104">
      <w:pPr>
        <w:spacing w:before="120" w:after="120" w:line="312" w:lineRule="auto"/>
        <w:ind w:firstLine="567"/>
        <w:jc w:val="both"/>
      </w:pPr>
      <w:r w:rsidRPr="007E77AF">
        <w:t>3. indexadores;</w:t>
      </w:r>
    </w:p>
    <w:p w14:paraId="3B270AC7" w14:textId="77777777" w:rsidR="00534104" w:rsidRPr="007E77AF" w:rsidRDefault="00534104" w:rsidP="00534104">
      <w:pPr>
        <w:spacing w:before="120" w:after="120" w:line="312" w:lineRule="auto"/>
        <w:ind w:firstLine="567"/>
        <w:jc w:val="both"/>
      </w:pPr>
      <w:r w:rsidRPr="007E77AF">
        <w:t>4. direitos e deveres do emissor e do investidor relativos a cláusulas de vencimento antecipado;</w:t>
      </w:r>
    </w:p>
    <w:p w14:paraId="63D5504E" w14:textId="77777777" w:rsidR="00534104" w:rsidRPr="007E77AF" w:rsidRDefault="00534104" w:rsidP="00534104">
      <w:pPr>
        <w:spacing w:before="120" w:after="120" w:line="312" w:lineRule="auto"/>
        <w:ind w:firstLine="567"/>
        <w:jc w:val="both"/>
      </w:pPr>
      <w:r w:rsidRPr="007E77AF">
        <w:t>5. opções de recompra;</w:t>
      </w:r>
    </w:p>
    <w:p w14:paraId="09769C47" w14:textId="77777777" w:rsidR="00534104" w:rsidRPr="007E77AF" w:rsidRDefault="00534104" w:rsidP="00534104">
      <w:pPr>
        <w:spacing w:before="120" w:after="120" w:line="312" w:lineRule="auto"/>
        <w:ind w:firstLine="567"/>
        <w:jc w:val="both"/>
      </w:pPr>
      <w:r w:rsidRPr="007E77AF">
        <w:t>6. convocação e comparecimento a assembleias; e</w:t>
      </w:r>
    </w:p>
    <w:p w14:paraId="125CE309" w14:textId="2655FE66" w:rsidR="00D74986" w:rsidRPr="007E77AF" w:rsidRDefault="00534104" w:rsidP="00534104">
      <w:pPr>
        <w:spacing w:before="120" w:after="120" w:line="312" w:lineRule="auto"/>
        <w:ind w:firstLine="567"/>
        <w:jc w:val="both"/>
      </w:pPr>
      <w:r w:rsidRPr="007E77AF">
        <w:t>7. outras informações;</w:t>
      </w:r>
    </w:p>
    <w:p w14:paraId="59404814" w14:textId="6DE807E6" w:rsidR="00D74986" w:rsidRPr="007E77AF" w:rsidRDefault="009069A1" w:rsidP="001353DC">
      <w:pPr>
        <w:spacing w:before="120" w:after="120" w:line="312" w:lineRule="auto"/>
        <w:ind w:firstLine="567"/>
        <w:jc w:val="both"/>
      </w:pPr>
      <w:r w:rsidRPr="007E77AF">
        <w:t>III</w:t>
      </w:r>
      <w:r w:rsidR="00B121B0" w:rsidRPr="007E77AF">
        <w:t xml:space="preserve"> – </w:t>
      </w:r>
      <w:r w:rsidR="00AD4926" w:rsidRPr="007E77AF">
        <w:t xml:space="preserve">de </w:t>
      </w:r>
      <w:r w:rsidR="00B121B0" w:rsidRPr="007E77AF">
        <w:t>material publicitári</w:t>
      </w:r>
      <w:r w:rsidR="0026382B" w:rsidRPr="007E77AF">
        <w:t>o</w:t>
      </w:r>
      <w:r w:rsidR="00395ED7" w:rsidRPr="007E77AF">
        <w:t>;</w:t>
      </w:r>
    </w:p>
    <w:p w14:paraId="09D62B63" w14:textId="140E97ED" w:rsidR="00D74986" w:rsidRPr="007E77AF" w:rsidRDefault="009069A1" w:rsidP="001353DC">
      <w:pPr>
        <w:spacing w:before="120" w:after="120" w:line="312" w:lineRule="auto"/>
        <w:ind w:firstLine="567"/>
        <w:jc w:val="both"/>
      </w:pPr>
      <w:r w:rsidRPr="007E77AF">
        <w:t>IV</w:t>
      </w:r>
      <w:r w:rsidR="001461EF" w:rsidRPr="007E77AF">
        <w:t xml:space="preserve"> </w:t>
      </w:r>
      <w:r w:rsidR="00BA74C1" w:rsidRPr="007E77AF">
        <w:t>–</w:t>
      </w:r>
      <w:r w:rsidR="001461EF" w:rsidRPr="007E77AF">
        <w:t xml:space="preserve"> </w:t>
      </w:r>
      <w:proofErr w:type="gramStart"/>
      <w:r w:rsidR="00AD4926" w:rsidRPr="007E77AF">
        <w:t>de</w:t>
      </w:r>
      <w:proofErr w:type="gramEnd"/>
      <w:r w:rsidR="00AD4926" w:rsidRPr="007E77AF">
        <w:t xml:space="preserve"> </w:t>
      </w:r>
      <w:r w:rsidR="00F463F6" w:rsidRPr="007E77AF">
        <w:t xml:space="preserve">apresentações </w:t>
      </w:r>
      <w:r w:rsidR="00F463F6" w:rsidRPr="007E77AF">
        <w:rPr>
          <w:rFonts w:ascii="Calibri" w:eastAsia="Calibri" w:hAnsi="Calibri" w:cs="Calibri"/>
        </w:rPr>
        <w:t>para investidores</w:t>
      </w:r>
      <w:r w:rsidR="003A0FB6">
        <w:rPr>
          <w:rFonts w:ascii="Calibri" w:eastAsia="Calibri" w:hAnsi="Calibri" w:cs="Calibri"/>
        </w:rPr>
        <w:t>,</w:t>
      </w:r>
      <w:r w:rsidR="00F463F6" w:rsidRPr="007E77AF">
        <w:t xml:space="preserve"> incluindo os </w:t>
      </w:r>
      <w:r w:rsidR="001461EF" w:rsidRPr="007E77AF">
        <w:t xml:space="preserve">documentos de suporte a </w:t>
      </w:r>
      <w:r w:rsidR="00F463F6" w:rsidRPr="007E77AF">
        <w:t xml:space="preserve">tais </w:t>
      </w:r>
      <w:r w:rsidR="001461EF" w:rsidRPr="007E77AF">
        <w:t>apresentações</w:t>
      </w:r>
      <w:r w:rsidR="005A7EB2" w:rsidRPr="007E77AF">
        <w:rPr>
          <w:rFonts w:ascii="Calibri" w:eastAsia="Calibri" w:hAnsi="Calibri" w:cs="Calibri"/>
        </w:rPr>
        <w:t>; e</w:t>
      </w:r>
    </w:p>
    <w:p w14:paraId="3EDDCD6A" w14:textId="4D1F9D9B" w:rsidR="00D74986" w:rsidRPr="007E77AF" w:rsidRDefault="009069A1" w:rsidP="001353DC">
      <w:pPr>
        <w:spacing w:before="120" w:after="120" w:line="312" w:lineRule="auto"/>
        <w:ind w:firstLine="567"/>
        <w:jc w:val="both"/>
      </w:pPr>
      <w:r w:rsidRPr="007E77AF">
        <w:t>V</w:t>
      </w:r>
      <w:r w:rsidR="00022FE6" w:rsidRPr="007E77AF">
        <w:t xml:space="preserve"> </w:t>
      </w:r>
      <w:proofErr w:type="gramStart"/>
      <w:r w:rsidR="00022FE6" w:rsidRPr="007E77AF">
        <w:t>–  de</w:t>
      </w:r>
      <w:proofErr w:type="gramEnd"/>
      <w:r w:rsidR="00022FE6" w:rsidRPr="007E77AF">
        <w:t xml:space="preserve"> entrevistas na mídia.</w:t>
      </w:r>
    </w:p>
    <w:p w14:paraId="3084295C" w14:textId="22FDF2AB" w:rsidR="00D74986" w:rsidRPr="007E77AF" w:rsidRDefault="00CB2712" w:rsidP="00D74986">
      <w:pPr>
        <w:spacing w:before="120" w:after="120" w:line="312" w:lineRule="auto"/>
        <w:ind w:firstLine="567"/>
        <w:jc w:val="both"/>
      </w:pPr>
      <w:r w:rsidRPr="007E77AF">
        <w:t>§ 1</w:t>
      </w:r>
      <w:proofErr w:type="gramStart"/>
      <w:r w:rsidRPr="007E77AF">
        <w:t xml:space="preserve">º </w:t>
      </w:r>
      <w:r w:rsidR="002564D7" w:rsidRPr="007E77AF">
        <w:t xml:space="preserve"> </w:t>
      </w:r>
      <w:r w:rsidR="300B21CE" w:rsidRPr="007E77AF">
        <w:t>Os</w:t>
      </w:r>
      <w:proofErr w:type="gramEnd"/>
      <w:r w:rsidR="300B21CE" w:rsidRPr="007E77AF">
        <w:t xml:space="preserve"> </w:t>
      </w:r>
      <w:r w:rsidR="4D8F32F3" w:rsidRPr="007E77AF">
        <w:t>remetentes</w:t>
      </w:r>
      <w:r w:rsidR="300B21CE" w:rsidRPr="007E77AF">
        <w:t xml:space="preserve"> das </w:t>
      </w:r>
      <w:r w:rsidR="74AAF2C3" w:rsidRPr="007E77AF">
        <w:t>comunicaç</w:t>
      </w:r>
      <w:r w:rsidR="5759014B" w:rsidRPr="007E77AF">
        <w:t xml:space="preserve">ões de que trata o </w:t>
      </w:r>
      <w:r w:rsidR="5759014B" w:rsidRPr="007E77AF">
        <w:rPr>
          <w:b/>
          <w:bCs/>
        </w:rPr>
        <w:t>caput</w:t>
      </w:r>
      <w:r w:rsidR="5759014B" w:rsidRPr="007E77AF">
        <w:t xml:space="preserve"> devem se identificar</w:t>
      </w:r>
      <w:r w:rsidR="00A25F76" w:rsidRPr="007E77AF">
        <w:t>,</w:t>
      </w:r>
      <w:r w:rsidR="00A5069A" w:rsidRPr="007E77AF">
        <w:rPr>
          <w:sz w:val="23"/>
        </w:rPr>
        <w:t xml:space="preserve"> incluindo </w:t>
      </w:r>
      <w:r w:rsidR="00A5069A" w:rsidRPr="007E77AF">
        <w:rPr>
          <w:sz w:val="23"/>
          <w:szCs w:val="23"/>
        </w:rPr>
        <w:t>informações pelas quais</w:t>
      </w:r>
      <w:r w:rsidRPr="007E77AF">
        <w:t xml:space="preserve"> possa</w:t>
      </w:r>
      <w:r w:rsidR="632F19BB" w:rsidRPr="007E77AF">
        <w:t>m</w:t>
      </w:r>
      <w:r w:rsidRPr="007E77AF">
        <w:t xml:space="preserve"> ser contatado</w:t>
      </w:r>
      <w:r w:rsidR="5B3F4019" w:rsidRPr="007E77AF">
        <w:t>s</w:t>
      </w:r>
      <w:r w:rsidR="00047FBB" w:rsidRPr="007E77AF">
        <w:t>,</w:t>
      </w:r>
      <w:r w:rsidRPr="007E77AF">
        <w:t xml:space="preserve"> </w:t>
      </w:r>
      <w:r w:rsidR="35F3F183" w:rsidRPr="007E77AF">
        <w:t xml:space="preserve">bem como </w:t>
      </w:r>
      <w:r w:rsidR="00CD1565" w:rsidRPr="007E77AF">
        <w:t xml:space="preserve">explicitar </w:t>
      </w:r>
      <w:r w:rsidR="00A2468E" w:rsidRPr="007E77AF">
        <w:t xml:space="preserve">a </w:t>
      </w:r>
      <w:r w:rsidR="00047FBB" w:rsidRPr="007E77AF">
        <w:t xml:space="preserve">sua ligação com </w:t>
      </w:r>
      <w:r w:rsidR="00512F25" w:rsidRPr="007E77AF">
        <w:t xml:space="preserve">o ofertante e com </w:t>
      </w:r>
      <w:r w:rsidR="712FED66" w:rsidRPr="007E77AF">
        <w:t xml:space="preserve">a </w:t>
      </w:r>
      <w:r w:rsidR="00047FBB" w:rsidRPr="007E77AF">
        <w:t xml:space="preserve">instituição </w:t>
      </w:r>
      <w:r w:rsidR="009C1EB3">
        <w:t xml:space="preserve">participante do consórcio de distribuição </w:t>
      </w:r>
      <w:r w:rsidRPr="007E77AF">
        <w:t xml:space="preserve">e o fato de que está participando, ou espera participar, </w:t>
      </w:r>
      <w:r w:rsidR="000B199A">
        <w:t>d</w:t>
      </w:r>
      <w:r w:rsidR="008D11EC" w:rsidRPr="007E77AF">
        <w:t xml:space="preserve">o esforço de venda da </w:t>
      </w:r>
      <w:r w:rsidRPr="007E77AF">
        <w:t>oferta pública de distribuição do valor mobiliário.</w:t>
      </w:r>
    </w:p>
    <w:p w14:paraId="7846682F" w14:textId="77777777" w:rsidR="00D74986" w:rsidRPr="007E77AF" w:rsidRDefault="00CB2712" w:rsidP="00D74986">
      <w:pPr>
        <w:spacing w:before="120" w:after="120" w:line="312" w:lineRule="auto"/>
        <w:ind w:firstLine="567"/>
        <w:jc w:val="both"/>
      </w:pPr>
      <w:r w:rsidRPr="007E77AF">
        <w:t>§ 2</w:t>
      </w:r>
      <w:proofErr w:type="gramStart"/>
      <w:r w:rsidRPr="007E77AF">
        <w:t>º  As</w:t>
      </w:r>
      <w:proofErr w:type="gramEnd"/>
      <w:r w:rsidRPr="007E77AF">
        <w:t xml:space="preserve"> comunicações permitidas conforme o </w:t>
      </w:r>
      <w:r w:rsidRPr="007E77AF">
        <w:rPr>
          <w:b/>
          <w:bCs/>
        </w:rPr>
        <w:t>caput</w:t>
      </w:r>
      <w:r w:rsidRPr="007E77AF">
        <w:t xml:space="preserve"> </w:t>
      </w:r>
      <w:r w:rsidR="00922297" w:rsidRPr="007E77AF">
        <w:t>devem:</w:t>
      </w:r>
    </w:p>
    <w:p w14:paraId="25A4D883" w14:textId="77777777" w:rsidR="00D74986" w:rsidRPr="007E77AF" w:rsidRDefault="00922297" w:rsidP="00D74986">
      <w:pPr>
        <w:spacing w:before="120" w:after="120" w:line="312" w:lineRule="auto"/>
        <w:ind w:firstLine="567"/>
        <w:jc w:val="both"/>
        <w:rPr>
          <w:bCs/>
        </w:rPr>
      </w:pPr>
      <w:r w:rsidRPr="007E77AF">
        <w:rPr>
          <w:bCs/>
        </w:rPr>
        <w:t xml:space="preserve">I – </w:t>
      </w:r>
      <w:proofErr w:type="gramStart"/>
      <w:r w:rsidRPr="007E77AF">
        <w:rPr>
          <w:bCs/>
        </w:rPr>
        <w:t>ser</w:t>
      </w:r>
      <w:proofErr w:type="gramEnd"/>
      <w:r w:rsidRPr="007E77AF">
        <w:rPr>
          <w:bCs/>
        </w:rPr>
        <w:t xml:space="preserve"> consistente</w:t>
      </w:r>
      <w:r w:rsidR="00C64430" w:rsidRPr="007E77AF">
        <w:rPr>
          <w:bCs/>
        </w:rPr>
        <w:t>s</w:t>
      </w:r>
      <w:r w:rsidRPr="007E77AF">
        <w:rPr>
          <w:bCs/>
        </w:rPr>
        <w:t xml:space="preserve"> com o conteúdo do prospecto</w:t>
      </w:r>
      <w:r w:rsidR="76B3A6CB" w:rsidRPr="007E77AF">
        <w:t xml:space="preserve"> </w:t>
      </w:r>
      <w:r w:rsidR="001461EF" w:rsidRPr="007E77AF">
        <w:t>e das</w:t>
      </w:r>
      <w:r w:rsidR="76B3A6CB" w:rsidRPr="007E77AF">
        <w:t xml:space="preserve"> informa</w:t>
      </w:r>
      <w:r w:rsidR="001461EF" w:rsidRPr="007E77AF">
        <w:t>çõ</w:t>
      </w:r>
      <w:r w:rsidR="76B3A6CB" w:rsidRPr="007E77AF">
        <w:t>es peri</w:t>
      </w:r>
      <w:r w:rsidR="00BD7C76" w:rsidRPr="007E77AF">
        <w:t>ó</w:t>
      </w:r>
      <w:r w:rsidR="76B3A6CB" w:rsidRPr="007E77AF">
        <w:t>dicas do emissor</w:t>
      </w:r>
      <w:r w:rsidR="00395ED7" w:rsidRPr="007E77AF">
        <w:t xml:space="preserve"> requeridas pela legislação e regulamentação em vigor</w:t>
      </w:r>
      <w:r w:rsidRPr="007E77AF">
        <w:rPr>
          <w:bCs/>
        </w:rPr>
        <w:t>;</w:t>
      </w:r>
    </w:p>
    <w:p w14:paraId="340CB6CE" w14:textId="77777777" w:rsidR="00D74986" w:rsidRPr="007E77AF" w:rsidRDefault="00922297" w:rsidP="00D74986">
      <w:pPr>
        <w:spacing w:before="120" w:after="120" w:line="312" w:lineRule="auto"/>
        <w:ind w:firstLine="567"/>
        <w:jc w:val="both"/>
        <w:rPr>
          <w:bCs/>
        </w:rPr>
      </w:pPr>
      <w:r w:rsidRPr="007E77AF">
        <w:t>II</w:t>
      </w:r>
      <w:r w:rsidRPr="007E77AF">
        <w:rPr>
          <w:bCs/>
        </w:rPr>
        <w:t xml:space="preserve"> – </w:t>
      </w:r>
      <w:proofErr w:type="gramStart"/>
      <w:r w:rsidRPr="007E77AF">
        <w:rPr>
          <w:bCs/>
        </w:rPr>
        <w:t>usar</w:t>
      </w:r>
      <w:proofErr w:type="gramEnd"/>
      <w:r w:rsidRPr="007E77AF">
        <w:rPr>
          <w:bCs/>
        </w:rPr>
        <w:t xml:space="preserve"> linguagem serena e moderada;</w:t>
      </w:r>
    </w:p>
    <w:p w14:paraId="140245D7" w14:textId="54551E3B" w:rsidR="00D74986" w:rsidRPr="007E77AF" w:rsidRDefault="001461EF" w:rsidP="00D74986">
      <w:pPr>
        <w:spacing w:before="120" w:after="120" w:line="312" w:lineRule="auto"/>
        <w:ind w:firstLine="567"/>
        <w:jc w:val="both"/>
        <w:rPr>
          <w:bCs/>
        </w:rPr>
      </w:pPr>
      <w:r w:rsidRPr="007E77AF">
        <w:rPr>
          <w:bCs/>
        </w:rPr>
        <w:t>I</w:t>
      </w:r>
      <w:r w:rsidRPr="007E77AF">
        <w:t>II</w:t>
      </w:r>
      <w:r w:rsidRPr="007E77AF">
        <w:rPr>
          <w:bCs/>
        </w:rPr>
        <w:t xml:space="preserve"> </w:t>
      </w:r>
      <w:r w:rsidR="00922297" w:rsidRPr="007E77AF">
        <w:rPr>
          <w:bCs/>
        </w:rPr>
        <w:t xml:space="preserve">– observar os princípios de qualidade, transparência e </w:t>
      </w:r>
      <w:r w:rsidR="0021009A" w:rsidRPr="007E77AF">
        <w:rPr>
          <w:bCs/>
        </w:rPr>
        <w:t xml:space="preserve">equidade </w:t>
      </w:r>
      <w:r w:rsidR="00922297" w:rsidRPr="007E77AF">
        <w:rPr>
          <w:bCs/>
        </w:rPr>
        <w:t>de acesso à informação</w:t>
      </w:r>
      <w:r w:rsidR="00C06756" w:rsidRPr="007E77AF">
        <w:rPr>
          <w:bCs/>
        </w:rPr>
        <w:t>;</w:t>
      </w:r>
      <w:r w:rsidR="00370F26">
        <w:rPr>
          <w:bCs/>
        </w:rPr>
        <w:t xml:space="preserve"> e</w:t>
      </w:r>
    </w:p>
    <w:p w14:paraId="17307B0C" w14:textId="77777777" w:rsidR="00D74986" w:rsidRPr="007E77AF" w:rsidRDefault="001461EF" w:rsidP="00D74986">
      <w:pPr>
        <w:spacing w:before="120" w:after="120" w:line="312" w:lineRule="auto"/>
        <w:ind w:firstLine="567"/>
        <w:jc w:val="both"/>
        <w:rPr>
          <w:bCs/>
        </w:rPr>
      </w:pPr>
      <w:r w:rsidRPr="007E77AF">
        <w:rPr>
          <w:bCs/>
        </w:rPr>
        <w:t>I</w:t>
      </w:r>
      <w:r w:rsidR="00C06756" w:rsidRPr="007E77AF">
        <w:rPr>
          <w:bCs/>
        </w:rPr>
        <w:t xml:space="preserve">V – </w:t>
      </w:r>
      <w:proofErr w:type="gramStart"/>
      <w:r w:rsidR="00C06756" w:rsidRPr="007E77AF">
        <w:rPr>
          <w:bCs/>
        </w:rPr>
        <w:t>abster-se</w:t>
      </w:r>
      <w:proofErr w:type="gramEnd"/>
      <w:r w:rsidR="00C06756" w:rsidRPr="007E77AF">
        <w:rPr>
          <w:bCs/>
        </w:rPr>
        <w:t xml:space="preserve"> de</w:t>
      </w:r>
      <w:r w:rsidR="00540B3C" w:rsidRPr="007E77AF">
        <w:rPr>
          <w:bCs/>
        </w:rPr>
        <w:t>:</w:t>
      </w:r>
    </w:p>
    <w:p w14:paraId="1423419C" w14:textId="35EE9D59" w:rsidR="00D74986" w:rsidRPr="007E77AF" w:rsidRDefault="00540B3C" w:rsidP="00D74986">
      <w:pPr>
        <w:spacing w:before="120" w:after="120" w:line="312" w:lineRule="auto"/>
        <w:ind w:firstLine="567"/>
        <w:jc w:val="both"/>
      </w:pPr>
      <w:r w:rsidRPr="007E77AF">
        <w:t>a)</w:t>
      </w:r>
      <w:r w:rsidR="00C06756" w:rsidRPr="007E77AF">
        <w:t xml:space="preserve"> utilizar linguagem que </w:t>
      </w:r>
      <w:r w:rsidR="00E70D5F" w:rsidRPr="007E77AF">
        <w:t>omit</w:t>
      </w:r>
      <w:r w:rsidR="00AA664B" w:rsidRPr="007E77AF">
        <w:t>a</w:t>
      </w:r>
      <w:r w:rsidR="00E70D5F" w:rsidRPr="007E77AF">
        <w:t xml:space="preserve"> ou </w:t>
      </w:r>
      <w:r w:rsidR="000379A0">
        <w:t>que não</w:t>
      </w:r>
      <w:r w:rsidR="00E70D5F" w:rsidRPr="007E77AF">
        <w:t xml:space="preserve"> </w:t>
      </w:r>
      <w:r w:rsidR="000379A0">
        <w:t>reflita adequadamente</w:t>
      </w:r>
      <w:r w:rsidR="00E70D5F" w:rsidRPr="007E77AF">
        <w:t xml:space="preserve"> a existência de riscos</w:t>
      </w:r>
      <w:r w:rsidRPr="007E77AF">
        <w:t>;</w:t>
      </w:r>
    </w:p>
    <w:p w14:paraId="7DDDC226" w14:textId="69BAF344" w:rsidR="00D74986" w:rsidRPr="007E77AF" w:rsidRDefault="10DF1105" w:rsidP="00D74986">
      <w:pPr>
        <w:spacing w:before="120" w:after="120" w:line="312" w:lineRule="auto"/>
        <w:ind w:firstLine="567"/>
        <w:jc w:val="both"/>
      </w:pPr>
      <w:r w:rsidRPr="007E77AF">
        <w:t>b</w:t>
      </w:r>
      <w:r w:rsidR="00850AD3" w:rsidRPr="007E77AF">
        <w:t xml:space="preserve">) </w:t>
      </w:r>
      <w:r w:rsidR="00540B3C" w:rsidRPr="007E77AF">
        <w:t>conter afirmações que afastem as re</w:t>
      </w:r>
      <w:r w:rsidR="00082F70">
        <w:t>s</w:t>
      </w:r>
      <w:r w:rsidR="00540B3C" w:rsidRPr="007E77AF">
        <w:t xml:space="preserve">ponsabilidades do ofertante e </w:t>
      </w:r>
      <w:r w:rsidR="00997A89">
        <w:t xml:space="preserve">das instituições </w:t>
      </w:r>
      <w:r w:rsidR="00486BFE">
        <w:t xml:space="preserve">participantes do consórcio de distribuição </w:t>
      </w:r>
      <w:r w:rsidR="00930E6E" w:rsidRPr="007E77AF">
        <w:t>sobre as informações fornecidas</w:t>
      </w:r>
      <w:r w:rsidR="00540B3C" w:rsidRPr="007E77AF">
        <w:t>;</w:t>
      </w:r>
    </w:p>
    <w:p w14:paraId="707304BD" w14:textId="44135BA8" w:rsidR="00D74986" w:rsidRPr="007E77AF" w:rsidRDefault="1745A769" w:rsidP="00D74986">
      <w:pPr>
        <w:spacing w:before="120" w:after="120" w:line="312" w:lineRule="auto"/>
        <w:ind w:firstLine="567"/>
        <w:jc w:val="both"/>
      </w:pPr>
      <w:r w:rsidRPr="007E77AF">
        <w:t>c</w:t>
      </w:r>
      <w:r w:rsidR="00540B3C" w:rsidRPr="007E77AF">
        <w:t>) afirmar que não se trata de oferta pública;</w:t>
      </w:r>
    </w:p>
    <w:p w14:paraId="13EB7B67" w14:textId="6229E88F" w:rsidR="00D74986" w:rsidRPr="007E77AF" w:rsidRDefault="46A0DBE6" w:rsidP="00D74986">
      <w:pPr>
        <w:spacing w:before="120" w:after="120" w:line="312" w:lineRule="auto"/>
        <w:ind w:firstLine="567"/>
        <w:jc w:val="both"/>
      </w:pPr>
      <w:r w:rsidRPr="007E77AF">
        <w:t>d</w:t>
      </w:r>
      <w:r w:rsidR="00540B3C" w:rsidRPr="007E77AF">
        <w:t xml:space="preserve">) </w:t>
      </w:r>
      <w:r w:rsidR="513E0908" w:rsidRPr="007E77AF">
        <w:rPr>
          <w:rFonts w:ascii="Calibri" w:eastAsia="Calibri" w:hAnsi="Calibri" w:cs="Calibri"/>
        </w:rPr>
        <w:t>afirmar</w:t>
      </w:r>
      <w:r w:rsidR="00540B3C" w:rsidRPr="007E77AF">
        <w:t xml:space="preserve"> que as informações </w:t>
      </w:r>
      <w:r w:rsidR="009973C6" w:rsidRPr="007E77AF">
        <w:t xml:space="preserve">constantes da comunicação </w:t>
      </w:r>
      <w:r w:rsidR="00540B3C" w:rsidRPr="007E77AF">
        <w:t>são confidenciais</w:t>
      </w:r>
      <w:r w:rsidR="00877A59" w:rsidRPr="007E77AF">
        <w:t>;</w:t>
      </w:r>
    </w:p>
    <w:p w14:paraId="0778D717" w14:textId="68605464" w:rsidR="002769A8" w:rsidRPr="007E77AF" w:rsidRDefault="1A1AAF9B" w:rsidP="00D74986">
      <w:pPr>
        <w:spacing w:before="120" w:after="120" w:line="312" w:lineRule="auto"/>
        <w:ind w:firstLine="567"/>
        <w:jc w:val="both"/>
      </w:pPr>
      <w:r w:rsidRPr="007E77AF">
        <w:t>e</w:t>
      </w:r>
      <w:r w:rsidR="00877A59" w:rsidRPr="007E77AF">
        <w:t xml:space="preserve">) </w:t>
      </w:r>
      <w:r w:rsidR="00FD2E66" w:rsidRPr="007E77AF">
        <w:t xml:space="preserve">conter linguagem de natureza contratual que implique </w:t>
      </w:r>
      <w:r w:rsidR="00BD7C76" w:rsidRPr="007E77AF">
        <w:t xml:space="preserve">percepção de </w:t>
      </w:r>
      <w:r w:rsidR="00FD2E66" w:rsidRPr="007E77AF">
        <w:t xml:space="preserve">anuência </w:t>
      </w:r>
      <w:r w:rsidR="006049A0" w:rsidRPr="007E77AF">
        <w:t>tácita</w:t>
      </w:r>
      <w:r w:rsidR="00196CEC" w:rsidRPr="007E77AF">
        <w:t xml:space="preserve"> </w:t>
      </w:r>
      <w:r w:rsidR="00FD2E66" w:rsidRPr="007E77AF">
        <w:t xml:space="preserve">de reserva ou </w:t>
      </w:r>
      <w:r w:rsidR="00047FBB" w:rsidRPr="007E77AF">
        <w:t xml:space="preserve">colocação de </w:t>
      </w:r>
      <w:r w:rsidR="00FD2E66" w:rsidRPr="007E77AF">
        <w:t>ordem</w:t>
      </w:r>
      <w:r w:rsidR="00B05220" w:rsidRPr="007E77AF">
        <w:t>; e</w:t>
      </w:r>
    </w:p>
    <w:p w14:paraId="7607DDB8" w14:textId="07C8856E" w:rsidR="00D74986" w:rsidRPr="007E77AF" w:rsidRDefault="0023783C" w:rsidP="00D74986">
      <w:pPr>
        <w:spacing w:before="120" w:after="120" w:line="312" w:lineRule="auto"/>
        <w:ind w:firstLine="567"/>
        <w:jc w:val="both"/>
      </w:pPr>
      <w:r w:rsidRPr="007E77AF">
        <w:lastRenderedPageBreak/>
        <w:t>f)</w:t>
      </w:r>
      <w:r w:rsidR="002769A8" w:rsidRPr="007E77AF">
        <w:t xml:space="preserve"> </w:t>
      </w:r>
      <w:r w:rsidR="00803A6E" w:rsidRPr="007E77AF">
        <w:t xml:space="preserve">usar </w:t>
      </w:r>
      <w:r w:rsidR="002769A8" w:rsidRPr="007E77AF">
        <w:t>informações falsas, imprecisas ou que induzam o investidor a erro</w:t>
      </w:r>
      <w:r w:rsidR="006B018B" w:rsidRPr="007E77AF">
        <w:t>.</w:t>
      </w:r>
    </w:p>
    <w:p w14:paraId="5FDC623F" w14:textId="6C9062EB" w:rsidR="00D74986" w:rsidRPr="007E77AF" w:rsidRDefault="384AFDDC" w:rsidP="00D74986">
      <w:pPr>
        <w:spacing w:before="120" w:after="120" w:line="312" w:lineRule="auto"/>
        <w:ind w:firstLine="567"/>
        <w:jc w:val="both"/>
      </w:pPr>
      <w:r w:rsidRPr="007E77AF">
        <w:t xml:space="preserve">§ </w:t>
      </w:r>
      <w:r w:rsidR="00B055D3" w:rsidRPr="007E77AF">
        <w:t>3</w:t>
      </w:r>
      <w:proofErr w:type="gramStart"/>
      <w:r w:rsidR="00B055D3" w:rsidRPr="007E77AF">
        <w:t xml:space="preserve">º  </w:t>
      </w:r>
      <w:r w:rsidRPr="007E77AF">
        <w:t>É</w:t>
      </w:r>
      <w:proofErr w:type="gramEnd"/>
      <w:r w:rsidRPr="007E77AF">
        <w:t xml:space="preserve"> permitido o uso de tabelas, gráficos, diagramas, </w:t>
      </w:r>
      <w:r w:rsidR="006837B4" w:rsidRPr="007E77AF">
        <w:t>imagens</w:t>
      </w:r>
      <w:r w:rsidRPr="007E77AF">
        <w:t xml:space="preserve"> e mapas </w:t>
      </w:r>
      <w:r w:rsidR="00BE4C63" w:rsidRPr="00E768E4">
        <w:rPr>
          <w:rFonts w:cstheme="minorHAnsi"/>
        </w:rPr>
        <w:t>nos documentos e</w:t>
      </w:r>
      <w:r w:rsidRPr="007E77AF">
        <w:t xml:space="preserve"> comunicações </w:t>
      </w:r>
      <w:r w:rsidR="000B199A">
        <w:t>autorizados</w:t>
      </w:r>
      <w:r w:rsidR="00082F70" w:rsidRPr="007E77AF">
        <w:t xml:space="preserve"> </w:t>
      </w:r>
      <w:r w:rsidRPr="007E77AF">
        <w:t xml:space="preserve">conforme o </w:t>
      </w:r>
      <w:r w:rsidRPr="007E77AF">
        <w:rPr>
          <w:b/>
          <w:bCs/>
        </w:rPr>
        <w:t>caput</w:t>
      </w:r>
      <w:r w:rsidRPr="007E77AF">
        <w:t xml:space="preserve"> desde que:</w:t>
      </w:r>
    </w:p>
    <w:p w14:paraId="2EBD3855" w14:textId="77777777" w:rsidR="00D74986" w:rsidRPr="007E77AF" w:rsidRDefault="384AFDDC" w:rsidP="00D74986">
      <w:pPr>
        <w:spacing w:before="120" w:after="120" w:line="312" w:lineRule="auto"/>
        <w:ind w:firstLine="567"/>
        <w:jc w:val="both"/>
      </w:pPr>
      <w:r w:rsidRPr="007E77AF">
        <w:t xml:space="preserve">I – </w:t>
      </w:r>
      <w:proofErr w:type="gramStart"/>
      <w:r w:rsidRPr="007E77AF">
        <w:t>sejam</w:t>
      </w:r>
      <w:proofErr w:type="gramEnd"/>
      <w:r w:rsidRPr="007E77AF">
        <w:t xml:space="preserve"> úteis para o objetivo de facilitar a compreensão das informações essenciais;</w:t>
      </w:r>
    </w:p>
    <w:p w14:paraId="19E8BEBE" w14:textId="77777777" w:rsidR="00D74986" w:rsidRPr="007E77AF" w:rsidRDefault="384AFDDC" w:rsidP="00D74986">
      <w:pPr>
        <w:spacing w:before="120" w:after="120" w:line="312" w:lineRule="auto"/>
        <w:ind w:firstLine="567"/>
        <w:jc w:val="both"/>
      </w:pPr>
      <w:r w:rsidRPr="007E77AF">
        <w:t xml:space="preserve">II – </w:t>
      </w:r>
      <w:proofErr w:type="gramStart"/>
      <w:r w:rsidRPr="007E77AF">
        <w:t>sejam</w:t>
      </w:r>
      <w:proofErr w:type="gramEnd"/>
      <w:r w:rsidRPr="007E77AF">
        <w:t xml:space="preserve"> acompanhados de legendas claras e descrições das hipóteses usadas, quando houver;</w:t>
      </w:r>
    </w:p>
    <w:p w14:paraId="717792A0" w14:textId="719E72E6" w:rsidR="00D74986" w:rsidRPr="007E77AF" w:rsidRDefault="384AFDDC" w:rsidP="00D74986">
      <w:pPr>
        <w:spacing w:before="120" w:after="120" w:line="312" w:lineRule="auto"/>
        <w:ind w:firstLine="567"/>
        <w:jc w:val="both"/>
      </w:pPr>
      <w:r w:rsidRPr="007E77AF">
        <w:t xml:space="preserve">III – as escalas dos eixos dos gráficos e diagramas, incluindo </w:t>
      </w:r>
      <w:r w:rsidR="003D48E6" w:rsidRPr="00E768E4">
        <w:rPr>
          <w:rFonts w:cstheme="minorHAnsi"/>
        </w:rPr>
        <w:t>as grandezas utilizadas</w:t>
      </w:r>
      <w:r w:rsidR="003D48E6" w:rsidRPr="00E768E4">
        <w:t xml:space="preserve"> e as variáveis escolhidas para a construção da figura</w:t>
      </w:r>
      <w:r w:rsidRPr="007E77AF">
        <w:t xml:space="preserve">, </w:t>
      </w:r>
      <w:r w:rsidR="00082F70">
        <w:t>representem</w:t>
      </w:r>
      <w:r w:rsidRPr="007E77AF">
        <w:t xml:space="preserve"> a informação de maneira justa e não enviesada, devendo ser idênticas quando mais de uma figura for utilizada para a realização de comparações</w:t>
      </w:r>
      <w:r w:rsidR="2858D2CD" w:rsidRPr="007E77AF">
        <w:t>; e</w:t>
      </w:r>
    </w:p>
    <w:p w14:paraId="7929A769" w14:textId="77777777" w:rsidR="00D74986" w:rsidRPr="007E77AF" w:rsidRDefault="2858D2CD" w:rsidP="00D74986">
      <w:pPr>
        <w:spacing w:before="120" w:after="120" w:line="312" w:lineRule="auto"/>
        <w:ind w:firstLine="567"/>
        <w:jc w:val="both"/>
        <w:rPr>
          <w:strike/>
        </w:rPr>
      </w:pPr>
      <w:r w:rsidRPr="007E77AF">
        <w:t>IV –</w:t>
      </w:r>
      <w:r w:rsidR="00C4244C" w:rsidRPr="007E77AF">
        <w:t xml:space="preserve"> </w:t>
      </w:r>
      <w:proofErr w:type="gramStart"/>
      <w:r w:rsidR="00C4244C" w:rsidRPr="007E77AF">
        <w:t>as</w:t>
      </w:r>
      <w:proofErr w:type="gramEnd"/>
      <w:r w:rsidR="00C4244C" w:rsidRPr="007E77AF">
        <w:t xml:space="preserve"> </w:t>
      </w:r>
      <w:r w:rsidR="00246082" w:rsidRPr="007E77AF">
        <w:t>imagens</w:t>
      </w:r>
      <w:r w:rsidRPr="007E77AF">
        <w:t xml:space="preserve"> somente </w:t>
      </w:r>
      <w:r w:rsidR="105F33AA" w:rsidRPr="007E77AF">
        <w:t>sejam</w:t>
      </w:r>
      <w:r w:rsidRPr="007E77AF">
        <w:t xml:space="preserve"> incluídas quando </w:t>
      </w:r>
      <w:r w:rsidR="6363C244" w:rsidRPr="007E77AF">
        <w:t xml:space="preserve">úteis </w:t>
      </w:r>
      <w:r w:rsidRPr="007E77AF">
        <w:t>para a compreensão de aspectos relevantes da oferta.</w:t>
      </w:r>
    </w:p>
    <w:p w14:paraId="723DD923" w14:textId="77777777" w:rsidR="00D74986" w:rsidRPr="007E77AF" w:rsidRDefault="2285C7EC" w:rsidP="00D74986">
      <w:pPr>
        <w:spacing w:before="120" w:after="120" w:line="312" w:lineRule="auto"/>
        <w:ind w:firstLine="567"/>
        <w:jc w:val="both"/>
      </w:pPr>
      <w:r w:rsidRPr="007E77AF">
        <w:t xml:space="preserve">§ </w:t>
      </w:r>
      <w:r w:rsidR="00B055D3" w:rsidRPr="007E77AF">
        <w:t>4</w:t>
      </w:r>
      <w:proofErr w:type="gramStart"/>
      <w:r w:rsidR="00B055D3" w:rsidRPr="007E77AF">
        <w:t xml:space="preserve">º  </w:t>
      </w:r>
      <w:r w:rsidRPr="007E77AF">
        <w:t>O</w:t>
      </w:r>
      <w:proofErr w:type="gramEnd"/>
      <w:r w:rsidRPr="007E77AF">
        <w:t xml:space="preserve"> material publicitári</w:t>
      </w:r>
      <w:r w:rsidR="0035092D" w:rsidRPr="007E77AF">
        <w:t>o</w:t>
      </w:r>
      <w:r w:rsidRPr="007E77AF">
        <w:t>, se utilizado, deve:</w:t>
      </w:r>
    </w:p>
    <w:p w14:paraId="346CB702" w14:textId="2AF3DBA4" w:rsidR="00D74986" w:rsidRPr="007E77AF" w:rsidRDefault="00B121B0" w:rsidP="00D74986">
      <w:pPr>
        <w:spacing w:before="120" w:after="120" w:line="312" w:lineRule="auto"/>
        <w:ind w:firstLine="567"/>
        <w:jc w:val="both"/>
      </w:pPr>
      <w:r w:rsidRPr="007E77AF">
        <w:t xml:space="preserve">I – </w:t>
      </w:r>
      <w:proofErr w:type="gramStart"/>
      <w:r w:rsidR="00004FD4" w:rsidRPr="007E77AF">
        <w:t>n</w:t>
      </w:r>
      <w:r w:rsidR="40F5E516" w:rsidRPr="007E77AF">
        <w:t>a</w:t>
      </w:r>
      <w:r w:rsidR="00004FD4" w:rsidRPr="007E77AF">
        <w:t>s</w:t>
      </w:r>
      <w:proofErr w:type="gramEnd"/>
      <w:r w:rsidR="00004FD4" w:rsidRPr="007E77AF">
        <w:t xml:space="preserve"> </w:t>
      </w:r>
      <w:r w:rsidR="1397B3E0" w:rsidRPr="007E77AF">
        <w:t>ofertas</w:t>
      </w:r>
      <w:r w:rsidR="00004FD4" w:rsidRPr="007E77AF">
        <w:t xml:space="preserve"> em que é obrigatória a </w:t>
      </w:r>
      <w:r w:rsidR="00C64AF5" w:rsidRPr="007E77AF">
        <w:t xml:space="preserve">divulgação de prospecto, </w:t>
      </w:r>
      <w:r w:rsidRPr="007E77AF">
        <w:t xml:space="preserve">afirmar que um </w:t>
      </w:r>
      <w:r w:rsidR="0C2AE61A" w:rsidRPr="007E77AF">
        <w:t>p</w:t>
      </w:r>
      <w:r w:rsidRPr="007E77AF">
        <w:t xml:space="preserve">rospecto </w:t>
      </w:r>
      <w:r w:rsidR="5A211BC4" w:rsidRPr="007E77AF">
        <w:t>p</w:t>
      </w:r>
      <w:r w:rsidRPr="007E77AF">
        <w:t xml:space="preserve">reliminar ou </w:t>
      </w:r>
      <w:r w:rsidR="522F15EC" w:rsidRPr="007E77AF">
        <w:t>d</w:t>
      </w:r>
      <w:r w:rsidRPr="007E77AF">
        <w:t>efinitivo foi divulgado, conforme o caso, e indicar onde ele pode ser obtido, além da advertência em destaque: “</w:t>
      </w:r>
      <w:r w:rsidR="00813761" w:rsidRPr="007E77AF">
        <w:rPr>
          <w:b/>
          <w:bCs/>
        </w:rPr>
        <w:t>Leia o prospecto antes de aceitar a oferta e em especial a seção dos fatores de risco</w:t>
      </w:r>
      <w:r w:rsidRPr="007E77AF">
        <w:t>”;</w:t>
      </w:r>
    </w:p>
    <w:p w14:paraId="117A86FB" w14:textId="15C2E56D" w:rsidR="00D74986" w:rsidRPr="007E77AF" w:rsidRDefault="00B121B0" w:rsidP="00D74986">
      <w:pPr>
        <w:spacing w:before="120" w:after="120" w:line="312" w:lineRule="auto"/>
        <w:ind w:firstLine="567"/>
        <w:jc w:val="both"/>
        <w:rPr>
          <w:bCs/>
        </w:rPr>
      </w:pPr>
      <w:r w:rsidRPr="007E77AF">
        <w:rPr>
          <w:bCs/>
        </w:rPr>
        <w:t xml:space="preserve">II – </w:t>
      </w:r>
      <w:proofErr w:type="gramStart"/>
      <w:r w:rsidRPr="007E77AF">
        <w:rPr>
          <w:bCs/>
        </w:rPr>
        <w:t>conter</w:t>
      </w:r>
      <w:proofErr w:type="gramEnd"/>
      <w:r w:rsidRPr="007E77AF">
        <w:rPr>
          <w:bCs/>
        </w:rPr>
        <w:t xml:space="preserve"> referência expressa </w:t>
      </w:r>
      <w:r w:rsidR="00637E6E" w:rsidRPr="007E77AF">
        <w:rPr>
          <w:bCs/>
        </w:rPr>
        <w:t xml:space="preserve">de </w:t>
      </w:r>
      <w:r w:rsidRPr="007E77AF">
        <w:rPr>
          <w:bCs/>
        </w:rPr>
        <w:t>que se trata de material publicitário, não devendo se confundir com o prospecto; e</w:t>
      </w:r>
    </w:p>
    <w:p w14:paraId="1BC176A4" w14:textId="5C11915B" w:rsidR="00D74986" w:rsidRPr="007E77AF" w:rsidRDefault="00B121B0" w:rsidP="00D74986">
      <w:pPr>
        <w:spacing w:before="120" w:after="120" w:line="312" w:lineRule="auto"/>
        <w:ind w:firstLine="567"/>
        <w:jc w:val="both"/>
        <w:rPr>
          <w:bCs/>
        </w:rPr>
      </w:pPr>
      <w:r w:rsidRPr="007E77AF">
        <w:rPr>
          <w:bCs/>
        </w:rPr>
        <w:t>III – advertir que se trata de investimento de risco.</w:t>
      </w:r>
    </w:p>
    <w:p w14:paraId="1AFEB5EC" w14:textId="207DBA19" w:rsidR="00D74986" w:rsidRDefault="2285C7EC" w:rsidP="00D74986">
      <w:pPr>
        <w:spacing w:before="120" w:after="120" w:line="312" w:lineRule="auto"/>
        <w:ind w:firstLine="567"/>
        <w:jc w:val="both"/>
      </w:pPr>
      <w:r w:rsidRPr="007E77AF">
        <w:t xml:space="preserve">§ </w:t>
      </w:r>
      <w:r w:rsidR="1E405369" w:rsidRPr="007E77AF">
        <w:t>5</w:t>
      </w:r>
      <w:proofErr w:type="gramStart"/>
      <w:r w:rsidR="28C00A7A" w:rsidRPr="007E77AF">
        <w:t>º</w:t>
      </w:r>
      <w:r w:rsidRPr="007E77AF">
        <w:t xml:space="preserve">  Na</w:t>
      </w:r>
      <w:proofErr w:type="gramEnd"/>
      <w:r w:rsidRPr="007E77AF">
        <w:t xml:space="preserve"> promoção publicitária que </w:t>
      </w:r>
      <w:r w:rsidR="0073227A" w:rsidRPr="007E77AF">
        <w:t xml:space="preserve">utilize </w:t>
      </w:r>
      <w:r w:rsidRPr="007E77AF">
        <w:t>materiais na forma audiovisual</w:t>
      </w:r>
      <w:r w:rsidR="001C6622" w:rsidRPr="007E77AF">
        <w:t>,</w:t>
      </w:r>
      <w:r w:rsidRPr="007E77AF">
        <w:t xml:space="preserve"> as advertências </w:t>
      </w:r>
      <w:r w:rsidR="283767F5" w:rsidRPr="007E77AF">
        <w:t xml:space="preserve">requeridas pelo § </w:t>
      </w:r>
      <w:r w:rsidR="3B83EA03" w:rsidRPr="007E77AF">
        <w:t>4</w:t>
      </w:r>
      <w:r w:rsidR="28C00A7A" w:rsidRPr="007E77AF">
        <w:t>º</w:t>
      </w:r>
      <w:r w:rsidR="283767F5" w:rsidRPr="007E77AF">
        <w:t xml:space="preserve"> deste artigo </w:t>
      </w:r>
      <w:r w:rsidRPr="007E77AF">
        <w:t>realizadas de forma oral não pode</w:t>
      </w:r>
      <w:r w:rsidR="00190381" w:rsidRPr="007E77AF">
        <w:t>m</w:t>
      </w:r>
      <w:r w:rsidRPr="007E77AF">
        <w:t xml:space="preserve"> compromet</w:t>
      </w:r>
      <w:r w:rsidR="00C04E49" w:rsidRPr="007E77AF">
        <w:t>er</w:t>
      </w:r>
      <w:r w:rsidRPr="007E77AF">
        <w:t xml:space="preserve"> a clareza e </w:t>
      </w:r>
      <w:r w:rsidR="00C04E49" w:rsidRPr="007E77AF">
        <w:t xml:space="preserve">o </w:t>
      </w:r>
      <w:r w:rsidRPr="007E77AF">
        <w:t>destaque dos avisos, e</w:t>
      </w:r>
      <w:r w:rsidR="008E305D" w:rsidRPr="007E77AF">
        <w:t>,</w:t>
      </w:r>
      <w:r w:rsidRPr="007E77AF">
        <w:t xml:space="preserve"> nos casos de advertência de forma escrita, o tamanho da fonte deve ser adequado para não comprometer a leitura.</w:t>
      </w:r>
    </w:p>
    <w:p w14:paraId="598E512F" w14:textId="2B59E7CB" w:rsidR="00192C30" w:rsidRPr="007E77AF" w:rsidRDefault="00192C30" w:rsidP="00192C30">
      <w:pPr>
        <w:spacing w:before="120" w:after="120" w:line="312" w:lineRule="auto"/>
        <w:ind w:firstLine="567"/>
        <w:jc w:val="both"/>
      </w:pPr>
      <w:r w:rsidRPr="007E77AF">
        <w:t xml:space="preserve">§ </w:t>
      </w:r>
      <w:r>
        <w:t>6</w:t>
      </w:r>
      <w:proofErr w:type="gramStart"/>
      <w:r w:rsidRPr="007E77AF">
        <w:t>º  A</w:t>
      </w:r>
      <w:proofErr w:type="gramEnd"/>
      <w:r w:rsidRPr="007E77AF">
        <w:t xml:space="preserve"> utilização das comunicações permitidas </w:t>
      </w:r>
      <w:r w:rsidR="00A15D6A">
        <w:t>neste artigo</w:t>
      </w:r>
      <w:r w:rsidRPr="007E77AF">
        <w:t xml:space="preserve"> independe de aprovação prévia pela </w:t>
      </w:r>
      <w:r w:rsidR="00963DCD" w:rsidRPr="007E77AF">
        <w:t xml:space="preserve">Superintendência de Registro de Valores Mobiliários – </w:t>
      </w:r>
      <w:r w:rsidRPr="007E77AF">
        <w:t>SRE, porém os materiais publicitários devem ser encaminhados à CVM em até 1 (um) dia útil após a sua utilização.</w:t>
      </w:r>
    </w:p>
    <w:p w14:paraId="0D30700E" w14:textId="410A0940" w:rsidR="00D74986" w:rsidRPr="007E77AF" w:rsidRDefault="009069A1" w:rsidP="001353DC">
      <w:pPr>
        <w:spacing w:before="120" w:after="120" w:line="312" w:lineRule="auto"/>
        <w:ind w:firstLine="567"/>
        <w:jc w:val="both"/>
      </w:pPr>
      <w:bookmarkStart w:id="69" w:name="_Ref460491515"/>
      <w:r w:rsidRPr="007E77AF">
        <w:t>Art. 13</w:t>
      </w:r>
      <w:r w:rsidR="1C02FE9A" w:rsidRPr="007E77AF">
        <w:t xml:space="preserve">.  </w:t>
      </w:r>
      <w:r w:rsidR="0BD97010" w:rsidRPr="007E77AF">
        <w:t xml:space="preserve">As divulgações </w:t>
      </w:r>
      <w:r w:rsidR="481D2926" w:rsidRPr="007E77AF">
        <w:t xml:space="preserve">requeridas por esta </w:t>
      </w:r>
      <w:r w:rsidR="0BD97010" w:rsidRPr="007E77AF">
        <w:t xml:space="preserve">Resolução, inclusive </w:t>
      </w:r>
      <w:r w:rsidR="008065F1">
        <w:t>d</w:t>
      </w:r>
      <w:r w:rsidR="0BD97010" w:rsidRPr="007E77AF">
        <w:t xml:space="preserve">o </w:t>
      </w:r>
      <w:r w:rsidR="5C0BEDBD" w:rsidRPr="007E77AF">
        <w:t>p</w:t>
      </w:r>
      <w:r w:rsidR="625C5FE1" w:rsidRPr="007E77AF">
        <w:t xml:space="preserve">rospecto </w:t>
      </w:r>
      <w:r w:rsidR="77F04691" w:rsidRPr="007E77AF">
        <w:t>p</w:t>
      </w:r>
      <w:r w:rsidR="0BD97010" w:rsidRPr="007E77AF">
        <w:t xml:space="preserve">reliminar, quando houver, e </w:t>
      </w:r>
      <w:r w:rsidR="008065F1">
        <w:t>d</w:t>
      </w:r>
      <w:r w:rsidR="0BD97010" w:rsidRPr="007E77AF">
        <w:t xml:space="preserve">o </w:t>
      </w:r>
      <w:r w:rsidR="3DDF553B" w:rsidRPr="007E77AF">
        <w:t>p</w:t>
      </w:r>
      <w:r w:rsidR="0BD97010" w:rsidRPr="007E77AF">
        <w:t xml:space="preserve">rospecto </w:t>
      </w:r>
      <w:r w:rsidR="5BDD5248" w:rsidRPr="007E77AF">
        <w:t>d</w:t>
      </w:r>
      <w:r w:rsidR="0BD97010" w:rsidRPr="007E77AF">
        <w:t>efinitivo</w:t>
      </w:r>
      <w:r w:rsidR="00D2512F" w:rsidRPr="007E77AF">
        <w:t>,</w:t>
      </w:r>
      <w:r w:rsidR="0BD97010" w:rsidRPr="007E77AF">
        <w:t xml:space="preserve"> devem ser feitas, com destaque</w:t>
      </w:r>
      <w:r w:rsidR="625C5FE1" w:rsidRPr="007E77AF">
        <w:t xml:space="preserve"> e sem restrições de acesso</w:t>
      </w:r>
      <w:r w:rsidR="0BD97010" w:rsidRPr="007E77AF">
        <w:t>, na página da rede mundial de computadores:</w:t>
      </w:r>
      <w:bookmarkEnd w:id="69"/>
    </w:p>
    <w:p w14:paraId="79D1CAE6" w14:textId="3995AA5C" w:rsidR="000C1079" w:rsidRPr="007E77AF" w:rsidRDefault="009069A1" w:rsidP="001353DC">
      <w:pPr>
        <w:spacing w:before="120" w:after="120" w:line="312" w:lineRule="auto"/>
        <w:ind w:firstLine="567"/>
        <w:jc w:val="both"/>
      </w:pPr>
      <w:r w:rsidRPr="007E77AF">
        <w:rPr>
          <w:rFonts w:eastAsiaTheme="minorEastAsia" w:cstheme="minorBidi"/>
        </w:rPr>
        <w:t>I</w:t>
      </w:r>
      <w:r w:rsidR="7D7A911B" w:rsidRPr="007E77AF">
        <w:t xml:space="preserve"> </w:t>
      </w:r>
      <w:proofErr w:type="gramStart"/>
      <w:r w:rsidR="42418289" w:rsidRPr="007E77AF">
        <w:t>–</w:t>
      </w:r>
      <w:r w:rsidR="7D7A911B" w:rsidRPr="007E77AF">
        <w:t xml:space="preserve"> </w:t>
      </w:r>
      <w:r w:rsidR="42418289" w:rsidRPr="007E77AF">
        <w:t xml:space="preserve"> </w:t>
      </w:r>
      <w:r w:rsidR="7D7A911B" w:rsidRPr="007E77AF">
        <w:t>do</w:t>
      </w:r>
      <w:proofErr w:type="gramEnd"/>
      <w:r w:rsidR="7D7A911B" w:rsidRPr="007E77AF">
        <w:t xml:space="preserve"> ofertante;</w:t>
      </w:r>
    </w:p>
    <w:p w14:paraId="5F0426CC" w14:textId="0376D360" w:rsidR="00D74986" w:rsidRPr="007E77AF" w:rsidRDefault="000C1079" w:rsidP="009069A1">
      <w:pPr>
        <w:spacing w:before="120" w:after="120" w:line="312" w:lineRule="auto"/>
        <w:ind w:firstLine="567"/>
        <w:jc w:val="both"/>
        <w:rPr>
          <w:rFonts w:eastAsiaTheme="minorEastAsia" w:cstheme="minorBidi"/>
        </w:rPr>
      </w:pPr>
      <w:r w:rsidRPr="007E77AF">
        <w:t>I</w:t>
      </w:r>
      <w:r w:rsidR="00732A9F">
        <w:t>I</w:t>
      </w:r>
      <w:r w:rsidRPr="007E77AF">
        <w:t xml:space="preserve"> – </w:t>
      </w:r>
      <w:proofErr w:type="gramStart"/>
      <w:r w:rsidR="000A7E86" w:rsidRPr="007E77AF">
        <w:t>do</w:t>
      </w:r>
      <w:proofErr w:type="gramEnd"/>
      <w:r w:rsidR="000A7E86" w:rsidRPr="007E77AF">
        <w:t xml:space="preserve"> fundo de investimento cujas cotas</w:t>
      </w:r>
      <w:r w:rsidR="0016093C" w:rsidRPr="007E77AF">
        <w:t xml:space="preserve"> estejam sendo ofertadas, quando </w:t>
      </w:r>
      <w:r w:rsidR="000C7CBD" w:rsidRPr="007E77AF">
        <w:t>for o caso;</w:t>
      </w:r>
    </w:p>
    <w:p w14:paraId="35A956A4" w14:textId="0097CD51" w:rsidR="00D74986" w:rsidRPr="007E77AF" w:rsidRDefault="009069A1" w:rsidP="001353DC">
      <w:pPr>
        <w:spacing w:before="120" w:after="120" w:line="312" w:lineRule="auto"/>
        <w:ind w:firstLine="567"/>
        <w:jc w:val="both"/>
      </w:pPr>
      <w:r w:rsidRPr="007E77AF">
        <w:lastRenderedPageBreak/>
        <w:t>II</w:t>
      </w:r>
      <w:r w:rsidR="00D110FC">
        <w:t>I</w:t>
      </w:r>
      <w:r w:rsidR="001733B5" w:rsidRPr="007E77AF">
        <w:t xml:space="preserve"> </w:t>
      </w:r>
      <w:proofErr w:type="gramStart"/>
      <w:r w:rsidR="001733B5" w:rsidRPr="007E77AF">
        <w:t>–</w:t>
      </w:r>
      <w:r w:rsidR="00B1537D" w:rsidRPr="00B1537D">
        <w:t xml:space="preserve"> </w:t>
      </w:r>
      <w:r w:rsidR="00446884">
        <w:t xml:space="preserve"> </w:t>
      </w:r>
      <w:r w:rsidR="003A1DD7">
        <w:t>das</w:t>
      </w:r>
      <w:proofErr w:type="gramEnd"/>
      <w:r w:rsidR="003A1DD7">
        <w:t xml:space="preserve"> instituições</w:t>
      </w:r>
      <w:r w:rsidR="003A1DD7" w:rsidRPr="003A1DD7">
        <w:t xml:space="preserve"> </w:t>
      </w:r>
      <w:r w:rsidR="003A1DD7">
        <w:t xml:space="preserve">participantes </w:t>
      </w:r>
      <w:r w:rsidR="00B1537D" w:rsidRPr="00B1537D">
        <w:t>do consórcio de distribuição, sendo aceita a remissão à página do coordenador líder que contenha as divulgações no caso de participantes que não sejam coordenadores</w:t>
      </w:r>
      <w:r w:rsidR="001733B5" w:rsidRPr="007E77AF">
        <w:t>;</w:t>
      </w:r>
    </w:p>
    <w:p w14:paraId="2A318A10" w14:textId="72053FA3" w:rsidR="00D74986" w:rsidRPr="007E77AF" w:rsidRDefault="00D110FC" w:rsidP="001353DC">
      <w:pPr>
        <w:spacing w:before="120" w:after="120" w:line="312" w:lineRule="auto"/>
        <w:ind w:firstLine="567"/>
        <w:jc w:val="both"/>
      </w:pPr>
      <w:r>
        <w:t>IV</w:t>
      </w:r>
      <w:r w:rsidRPr="007E77AF">
        <w:t xml:space="preserve"> </w:t>
      </w:r>
      <w:r w:rsidR="001733B5" w:rsidRPr="007E77AF">
        <w:t xml:space="preserve">– </w:t>
      </w:r>
      <w:proofErr w:type="gramStart"/>
      <w:r w:rsidR="001733B5" w:rsidRPr="007E77AF">
        <w:t>das</w:t>
      </w:r>
      <w:proofErr w:type="gramEnd"/>
      <w:r w:rsidR="001733B5" w:rsidRPr="007E77AF">
        <w:t xml:space="preserve"> entidades administradoras de mercado organizado de valores mobiliários </w:t>
      </w:r>
      <w:r w:rsidR="00EC1266" w:rsidRPr="007E77AF">
        <w:t xml:space="preserve">nos quais </w:t>
      </w:r>
      <w:r w:rsidR="001733B5" w:rsidRPr="007E77AF">
        <w:t>os valores mobiliários d</w:t>
      </w:r>
      <w:r w:rsidR="0072059E" w:rsidRPr="007E77AF">
        <w:t xml:space="preserve">o </w:t>
      </w:r>
      <w:r w:rsidR="001733B5" w:rsidRPr="007E77AF">
        <w:t>emissor sejam admitidos à negociação</w:t>
      </w:r>
      <w:r w:rsidR="634C0108" w:rsidRPr="007E77AF">
        <w:t>, quando aplicável</w:t>
      </w:r>
      <w:r w:rsidR="001733B5" w:rsidRPr="007E77AF">
        <w:t>;</w:t>
      </w:r>
      <w:r w:rsidR="00BA74C1" w:rsidRPr="007E77AF">
        <w:t xml:space="preserve"> e</w:t>
      </w:r>
    </w:p>
    <w:p w14:paraId="4EBCC990" w14:textId="4E674DB8" w:rsidR="00D74986" w:rsidRPr="007E77AF" w:rsidRDefault="009069A1" w:rsidP="001353DC">
      <w:pPr>
        <w:spacing w:before="120" w:after="120" w:line="312" w:lineRule="auto"/>
        <w:ind w:firstLine="567"/>
        <w:jc w:val="both"/>
      </w:pPr>
      <w:r w:rsidRPr="007E77AF">
        <w:t>V</w:t>
      </w:r>
      <w:r w:rsidR="00BA74C1" w:rsidRPr="007E77AF">
        <w:t xml:space="preserve"> </w:t>
      </w:r>
      <w:r w:rsidR="009F3C4D" w:rsidRPr="007E77AF">
        <w:t>–</w:t>
      </w:r>
      <w:r w:rsidR="0B3862C0" w:rsidRPr="007E77AF">
        <w:t xml:space="preserve"> </w:t>
      </w:r>
      <w:proofErr w:type="gramStart"/>
      <w:r w:rsidR="00BA74C1" w:rsidRPr="007E77AF">
        <w:t>da</w:t>
      </w:r>
      <w:proofErr w:type="gramEnd"/>
      <w:r w:rsidR="00BA74C1" w:rsidRPr="007E77AF">
        <w:t xml:space="preserve"> CVM.</w:t>
      </w:r>
    </w:p>
    <w:p w14:paraId="5A2CA585" w14:textId="5AAC3BD2" w:rsidR="00D74986" w:rsidRPr="007E77AF" w:rsidRDefault="001733B5" w:rsidP="00D74986">
      <w:pPr>
        <w:spacing w:before="120" w:after="120" w:line="312" w:lineRule="auto"/>
        <w:ind w:firstLine="567"/>
        <w:jc w:val="both"/>
      </w:pPr>
      <w:r w:rsidRPr="007E77AF">
        <w:t xml:space="preserve">§ </w:t>
      </w:r>
      <w:r w:rsidR="00BA74C1" w:rsidRPr="007E77AF">
        <w:t>1</w:t>
      </w:r>
      <w:proofErr w:type="gramStart"/>
      <w:r w:rsidRPr="007E77AF">
        <w:t xml:space="preserve">º  </w:t>
      </w:r>
      <w:r w:rsidR="002D0F8B" w:rsidRPr="007E77AF">
        <w:t>A</w:t>
      </w:r>
      <w:proofErr w:type="gramEnd"/>
      <w:r w:rsidR="002D0F8B" w:rsidRPr="007E77AF">
        <w:t xml:space="preserve"> </w:t>
      </w:r>
      <w:r w:rsidR="00082F70">
        <w:t>obri</w:t>
      </w:r>
      <w:r w:rsidR="00082F70" w:rsidRPr="007E77AF">
        <w:t xml:space="preserve">gação </w:t>
      </w:r>
      <w:r w:rsidR="002D0F8B" w:rsidRPr="007E77AF">
        <w:t xml:space="preserve">prevista no </w:t>
      </w:r>
      <w:r w:rsidR="002D0F8B" w:rsidRPr="007E77AF">
        <w:rPr>
          <w:b/>
          <w:bCs/>
        </w:rPr>
        <w:t>caput</w:t>
      </w:r>
      <w:r w:rsidR="002D0F8B" w:rsidRPr="007E77AF">
        <w:t xml:space="preserve"> nã</w:t>
      </w:r>
      <w:r w:rsidR="003619C8" w:rsidRPr="007E77AF">
        <w:t>o impede a divulgação em outros m</w:t>
      </w:r>
      <w:r w:rsidR="008242BD" w:rsidRPr="007E77AF">
        <w:t>eios de comunicação e mídias digitais.</w:t>
      </w:r>
    </w:p>
    <w:p w14:paraId="0C66E396" w14:textId="77777777" w:rsidR="00D74986" w:rsidRPr="007E77AF" w:rsidRDefault="00B619E1" w:rsidP="00D74986">
      <w:pPr>
        <w:spacing w:before="120" w:after="120" w:line="312" w:lineRule="auto"/>
        <w:ind w:firstLine="567"/>
        <w:jc w:val="both"/>
      </w:pPr>
      <w:r w:rsidRPr="007E77AF">
        <w:t>§ 2</w:t>
      </w:r>
      <w:proofErr w:type="gramStart"/>
      <w:r w:rsidRPr="007E77AF">
        <w:t xml:space="preserve">º  </w:t>
      </w:r>
      <w:r w:rsidR="001733B5" w:rsidRPr="007E77AF">
        <w:t>As</w:t>
      </w:r>
      <w:proofErr w:type="gramEnd"/>
      <w:r w:rsidR="001733B5" w:rsidRPr="007E77AF">
        <w:t xml:space="preserve"> divulgações devem ser feitas, sempre que possível, antes da abertura ou após o encerramento do pregão.</w:t>
      </w:r>
    </w:p>
    <w:p w14:paraId="0F69D3D5" w14:textId="4042ABB1" w:rsidR="00D74986" w:rsidRPr="007E77AF" w:rsidRDefault="00BA74C1" w:rsidP="00D74986">
      <w:pPr>
        <w:spacing w:before="120" w:after="120" w:line="312" w:lineRule="auto"/>
        <w:ind w:firstLine="567"/>
        <w:jc w:val="both"/>
        <w:rPr>
          <w:szCs w:val="27"/>
        </w:rPr>
      </w:pPr>
      <w:r w:rsidRPr="007E77AF">
        <w:t xml:space="preserve">§ </w:t>
      </w:r>
      <w:r w:rsidR="00B04415" w:rsidRPr="007E77AF">
        <w:t>3</w:t>
      </w:r>
      <w:proofErr w:type="gramStart"/>
      <w:r w:rsidRPr="007E77AF">
        <w:t>º</w:t>
      </w:r>
      <w:r w:rsidR="00137320" w:rsidRPr="007E77AF">
        <w:rPr>
          <w:szCs w:val="27"/>
        </w:rPr>
        <w:t xml:space="preserve">  Na</w:t>
      </w:r>
      <w:proofErr w:type="gramEnd"/>
      <w:r w:rsidR="00137320" w:rsidRPr="007E77AF">
        <w:rPr>
          <w:szCs w:val="27"/>
        </w:rPr>
        <w:t xml:space="preserve"> hipótese de alguns dos envolvidos na oferta pública de distribuição não possuir página própria </w:t>
      </w:r>
      <w:r w:rsidR="00636A4D" w:rsidRPr="007E77AF">
        <w:rPr>
          <w:szCs w:val="27"/>
        </w:rPr>
        <w:t xml:space="preserve">em português </w:t>
      </w:r>
      <w:r w:rsidR="00137320" w:rsidRPr="007E77AF">
        <w:rPr>
          <w:szCs w:val="27"/>
        </w:rPr>
        <w:t xml:space="preserve">na rede mundial de computadores, e sempre que as precauções adotadas pelo ofertante e </w:t>
      </w:r>
      <w:r w:rsidR="00AC162F" w:rsidRPr="007E77AF">
        <w:rPr>
          <w:szCs w:val="27"/>
        </w:rPr>
        <w:t>pelas instituições mencionadas no inciso II</w:t>
      </w:r>
      <w:r w:rsidR="00A83295">
        <w:rPr>
          <w:szCs w:val="27"/>
        </w:rPr>
        <w:t>I</w:t>
      </w:r>
      <w:r w:rsidR="00AC162F" w:rsidRPr="007E77AF">
        <w:rPr>
          <w:szCs w:val="27"/>
        </w:rPr>
        <w:t xml:space="preserve"> do </w:t>
      </w:r>
      <w:r w:rsidR="00AC162F" w:rsidRPr="007E77AF">
        <w:rPr>
          <w:b/>
          <w:szCs w:val="27"/>
        </w:rPr>
        <w:t>caput</w:t>
      </w:r>
      <w:r w:rsidR="00B774C8" w:rsidRPr="007E77AF">
        <w:rPr>
          <w:szCs w:val="27"/>
        </w:rPr>
        <w:t xml:space="preserve"> </w:t>
      </w:r>
      <w:r w:rsidR="00137320" w:rsidRPr="007E77AF">
        <w:rPr>
          <w:szCs w:val="27"/>
        </w:rPr>
        <w:t>forem suficientes para atingir a finalidade de ampla publicidade que se deve dar aos prospectos, é dispensada a divulgação do prospecto por estes envolvidos.</w:t>
      </w:r>
    </w:p>
    <w:p w14:paraId="5CD24CFC" w14:textId="1C7FC541" w:rsidR="00506C47" w:rsidRPr="007E77AF" w:rsidRDefault="00506C47" w:rsidP="00D74986">
      <w:pPr>
        <w:spacing w:before="120" w:after="120" w:line="312" w:lineRule="auto"/>
        <w:ind w:firstLine="567"/>
        <w:jc w:val="both"/>
        <w:rPr>
          <w:bCs/>
        </w:rPr>
      </w:pPr>
      <w:r w:rsidRPr="00E768E4">
        <w:rPr>
          <w:rFonts w:cstheme="minorHAnsi"/>
        </w:rPr>
        <w:t>§</w:t>
      </w:r>
      <w:r w:rsidR="00AC162F" w:rsidRPr="00E768E4">
        <w:rPr>
          <w:rFonts w:cstheme="minorHAnsi"/>
        </w:rPr>
        <w:t xml:space="preserve"> </w:t>
      </w:r>
      <w:r w:rsidRPr="00E768E4">
        <w:rPr>
          <w:rFonts w:cstheme="minorHAnsi"/>
        </w:rPr>
        <w:t>4</w:t>
      </w:r>
      <w:proofErr w:type="gramStart"/>
      <w:r w:rsidR="000F4315">
        <w:rPr>
          <w:rFonts w:cstheme="minorHAnsi"/>
        </w:rPr>
        <w:t>º</w:t>
      </w:r>
      <w:r w:rsidRPr="00E768E4">
        <w:rPr>
          <w:rFonts w:cstheme="minorHAnsi"/>
        </w:rPr>
        <w:t xml:space="preserve">  Na</w:t>
      </w:r>
      <w:proofErr w:type="gramEnd"/>
      <w:r w:rsidRPr="00E768E4">
        <w:rPr>
          <w:rFonts w:cstheme="minorHAnsi"/>
        </w:rPr>
        <w:t xml:space="preserve"> hipótese de um ou mais ofertantes serem pessoas </w:t>
      </w:r>
      <w:r w:rsidR="004C7C9D" w:rsidRPr="00E768E4">
        <w:rPr>
          <w:rFonts w:cstheme="minorHAnsi"/>
        </w:rPr>
        <w:t>naturais</w:t>
      </w:r>
      <w:r w:rsidRPr="00E768E4">
        <w:rPr>
          <w:rFonts w:cstheme="minorHAnsi"/>
        </w:rPr>
        <w:t xml:space="preserve">, fica dispensada a apresentação de seu nome e endereço nos anúncios de início e encerramento da distribuição de valores mobiliários, desde que tais informações constem, de forma completa, no mínimo, dos </w:t>
      </w:r>
      <w:r w:rsidR="00AC162F" w:rsidRPr="00E768E4">
        <w:rPr>
          <w:rFonts w:cstheme="minorHAnsi"/>
        </w:rPr>
        <w:t>p</w:t>
      </w:r>
      <w:r w:rsidRPr="00E768E4">
        <w:rPr>
          <w:rFonts w:cstheme="minorHAnsi"/>
        </w:rPr>
        <w:t xml:space="preserve">rospectos </w:t>
      </w:r>
      <w:r w:rsidR="00AC162F" w:rsidRPr="00E768E4">
        <w:rPr>
          <w:rFonts w:cstheme="minorHAnsi"/>
        </w:rPr>
        <w:t>p</w:t>
      </w:r>
      <w:r w:rsidRPr="00E768E4">
        <w:rPr>
          <w:rFonts w:cstheme="minorHAnsi"/>
        </w:rPr>
        <w:t xml:space="preserve">reliminar e </w:t>
      </w:r>
      <w:r w:rsidR="00AC162F" w:rsidRPr="00E768E4">
        <w:rPr>
          <w:rFonts w:cstheme="minorHAnsi"/>
        </w:rPr>
        <w:t>d</w:t>
      </w:r>
      <w:r w:rsidRPr="00E768E4">
        <w:rPr>
          <w:rFonts w:cstheme="minorHAnsi"/>
        </w:rPr>
        <w:t>efinitivo.</w:t>
      </w:r>
    </w:p>
    <w:p w14:paraId="5EBE97A0" w14:textId="04A80D6F" w:rsidR="00D74986" w:rsidRPr="007E77AF" w:rsidRDefault="009069A1" w:rsidP="001353DC">
      <w:pPr>
        <w:spacing w:before="120" w:after="120" w:line="312" w:lineRule="auto"/>
        <w:ind w:firstLine="567"/>
        <w:jc w:val="both"/>
      </w:pPr>
      <w:r w:rsidRPr="007E77AF">
        <w:t>Art. 14</w:t>
      </w:r>
      <w:r w:rsidR="3B6A5B1E" w:rsidRPr="007E77AF">
        <w:t>.</w:t>
      </w:r>
      <w:r w:rsidR="432DFD87" w:rsidRPr="007E77AF">
        <w:t xml:space="preserve">  </w:t>
      </w:r>
      <w:r w:rsidR="35E22467" w:rsidRPr="007E77AF">
        <w:t xml:space="preserve">A </w:t>
      </w:r>
      <w:r w:rsidR="00E8648A" w:rsidRPr="007E77AF">
        <w:t>SRE</w:t>
      </w:r>
      <w:r w:rsidR="35E22467" w:rsidRPr="007E77AF">
        <w:t xml:space="preserve"> pode, a qualquer momento, por decisão motivada, requerer retificações, alterações, a cessação da publicidade ou mesmo suspender a oferta pelo período necessário para esclarecimentos e nova disseminação de informações, sem prejuízo </w:t>
      </w:r>
      <w:r w:rsidR="007361C6">
        <w:t xml:space="preserve">da </w:t>
      </w:r>
      <w:r w:rsidR="00615EC6">
        <w:t>possibilidade de</w:t>
      </w:r>
      <w:r w:rsidR="007361C6">
        <w:t xml:space="preserve"> apuração de responsabilidades</w:t>
      </w:r>
      <w:r w:rsidR="004B7F41">
        <w:t xml:space="preserve"> em sede de processo administrativo sancionador</w:t>
      </w:r>
      <w:r w:rsidR="35E22467" w:rsidRPr="007E77AF">
        <w:t>.</w:t>
      </w:r>
    </w:p>
    <w:p w14:paraId="0EB7A922" w14:textId="139BC9B7" w:rsidR="00D74986" w:rsidRPr="007E77AF" w:rsidRDefault="009069A1" w:rsidP="001353DC">
      <w:pPr>
        <w:spacing w:before="120" w:after="120" w:line="312" w:lineRule="auto"/>
        <w:ind w:firstLine="567"/>
        <w:jc w:val="both"/>
      </w:pPr>
      <w:r w:rsidRPr="007E77AF">
        <w:t>Art. 15</w:t>
      </w:r>
      <w:r w:rsidR="0D1DE21A" w:rsidRPr="007E77AF">
        <w:t>.</w:t>
      </w:r>
      <w:r w:rsidR="1BF8C2E2" w:rsidRPr="007E77AF">
        <w:t xml:space="preserve"> </w:t>
      </w:r>
      <w:r w:rsidR="0D1DE21A" w:rsidRPr="007E77AF">
        <w:t xml:space="preserve"> O ofertante e o </w:t>
      </w:r>
      <w:r w:rsidR="0D1DE21A" w:rsidRPr="00350817">
        <w:t>coordenador</w:t>
      </w:r>
      <w:r w:rsidR="00BF5845">
        <w:t xml:space="preserve"> líder</w:t>
      </w:r>
      <w:r w:rsidR="0D1DE21A" w:rsidRPr="007E77AF">
        <w:t xml:space="preserve"> da oferta são responsáveis pelo cumprimento do disposto nesta seção.</w:t>
      </w:r>
    </w:p>
    <w:p w14:paraId="502F9744" w14:textId="323F3BA8" w:rsidR="00BF5845" w:rsidRPr="007E77AF" w:rsidRDefault="00BF5845" w:rsidP="001353DC">
      <w:pPr>
        <w:spacing w:before="120" w:after="120" w:line="312" w:lineRule="auto"/>
        <w:ind w:firstLine="567"/>
        <w:jc w:val="both"/>
      </w:pPr>
      <w:r>
        <w:t>Parágrafo único.  O</w:t>
      </w:r>
      <w:r w:rsidRPr="00BF5845">
        <w:t xml:space="preserve"> disposto neste artigo não afasta a responsabilidade das demais instituições </w:t>
      </w:r>
      <w:r w:rsidR="008041F2">
        <w:t>participantes do consórcio de distribuição</w:t>
      </w:r>
      <w:r w:rsidRPr="00BF5845">
        <w:t xml:space="preserve"> por eventuais infrações às obrigações previstas n</w:t>
      </w:r>
      <w:r>
        <w:t>esta seção</w:t>
      </w:r>
      <w:r w:rsidRPr="00BF5845">
        <w:t xml:space="preserve"> a que deem causa.</w:t>
      </w:r>
    </w:p>
    <w:p w14:paraId="275399AC" w14:textId="1FF17F91" w:rsidR="002A0F03" w:rsidRPr="007E77AF" w:rsidRDefault="002A0F03" w:rsidP="006B018B">
      <w:pPr>
        <w:pStyle w:val="Seo"/>
      </w:pPr>
      <w:bookmarkStart w:id="70" w:name="_Toc467256272"/>
      <w:bookmarkStart w:id="71" w:name="_Toc476216312"/>
      <w:bookmarkStart w:id="72" w:name="_Toc108516033"/>
      <w:bookmarkStart w:id="73" w:name="_Toc108203064"/>
      <w:bookmarkStart w:id="74" w:name="_Toc136502804"/>
      <w:r w:rsidRPr="007E77AF">
        <w:lastRenderedPageBreak/>
        <w:t xml:space="preserve">Seção </w:t>
      </w:r>
      <w:r w:rsidR="00D83FEC" w:rsidRPr="007E77AF">
        <w:t xml:space="preserve">III </w:t>
      </w:r>
      <w:r w:rsidR="00CF5FDF" w:rsidRPr="007E77AF">
        <w:t>–</w:t>
      </w:r>
      <w:r w:rsidRPr="007E77AF">
        <w:t xml:space="preserve"> Prospecto</w:t>
      </w:r>
      <w:bookmarkEnd w:id="70"/>
      <w:bookmarkEnd w:id="71"/>
      <w:bookmarkEnd w:id="72"/>
      <w:bookmarkEnd w:id="73"/>
      <w:bookmarkEnd w:id="74"/>
    </w:p>
    <w:p w14:paraId="52C9E896" w14:textId="00A915E2" w:rsidR="00D74986" w:rsidRPr="007E77AF" w:rsidRDefault="00A13ECE" w:rsidP="006B018B">
      <w:pPr>
        <w:pStyle w:val="Seo"/>
      </w:pPr>
      <w:bookmarkStart w:id="75" w:name="_Toc476216313"/>
      <w:bookmarkStart w:id="76" w:name="_Toc108516034"/>
      <w:bookmarkStart w:id="77" w:name="_Toc108203065"/>
      <w:bookmarkStart w:id="78" w:name="_Toc136502805"/>
      <w:r w:rsidRPr="007E77AF">
        <w:t xml:space="preserve">Subseção I – Disposições </w:t>
      </w:r>
      <w:r w:rsidR="005C4130" w:rsidRPr="007E77AF">
        <w:t>G</w:t>
      </w:r>
      <w:r w:rsidRPr="007E77AF">
        <w:t xml:space="preserve">erais e </w:t>
      </w:r>
      <w:r w:rsidR="4DC9B939" w:rsidRPr="007E77AF">
        <w:t>C</w:t>
      </w:r>
      <w:r w:rsidRPr="007E77AF">
        <w:t>onteúdo</w:t>
      </w:r>
      <w:bookmarkEnd w:id="75"/>
      <w:bookmarkEnd w:id="76"/>
      <w:bookmarkEnd w:id="77"/>
      <w:bookmarkEnd w:id="78"/>
    </w:p>
    <w:p w14:paraId="7454CCDB" w14:textId="3EE0696F" w:rsidR="00D74986" w:rsidRPr="007E77AF" w:rsidRDefault="009069A1" w:rsidP="001353DC">
      <w:pPr>
        <w:spacing w:before="120" w:after="120" w:line="312" w:lineRule="auto"/>
        <w:ind w:firstLine="567"/>
        <w:jc w:val="both"/>
      </w:pPr>
      <w:bookmarkStart w:id="79" w:name="_Ref460491446"/>
      <w:r w:rsidRPr="007E77AF">
        <w:t>Art. 16</w:t>
      </w:r>
      <w:r w:rsidR="69B30459" w:rsidRPr="007E77AF">
        <w:t xml:space="preserve">.  O prospecto </w:t>
      </w:r>
      <w:r w:rsidR="00C74C15" w:rsidRPr="007E77AF">
        <w:t>deve ser</w:t>
      </w:r>
      <w:r w:rsidR="69B30459" w:rsidRPr="007E77AF">
        <w:t xml:space="preserve"> elaborado pelo ofertante em conjunto com </w:t>
      </w:r>
      <w:r w:rsidR="008E7E6D" w:rsidRPr="007E77AF">
        <w:t>o coordenador</w:t>
      </w:r>
      <w:r w:rsidR="00BF5845">
        <w:t xml:space="preserve"> líder</w:t>
      </w:r>
      <w:r w:rsidR="69B30459" w:rsidRPr="007E77AF">
        <w:t xml:space="preserve"> </w:t>
      </w:r>
      <w:r w:rsidR="007A2E08" w:rsidRPr="007E77AF">
        <w:t>e</w:t>
      </w:r>
      <w:r w:rsidR="69B30459" w:rsidRPr="007E77AF">
        <w:t xml:space="preserve"> </w:t>
      </w:r>
      <w:r w:rsidR="00637E6E" w:rsidRPr="007E77AF">
        <w:t xml:space="preserve">conter </w:t>
      </w:r>
      <w:r w:rsidR="009A18F6" w:rsidRPr="007E77AF">
        <w:t xml:space="preserve">a </w:t>
      </w:r>
      <w:r w:rsidR="69B30459" w:rsidRPr="007E77AF">
        <w:t>informação necessária, suficiente, verdadeira, precisa, consistente e atual, apresentada de maneira clara e objetiva</w:t>
      </w:r>
      <w:r w:rsidR="336C65B4" w:rsidRPr="007E77AF">
        <w:t xml:space="preserve"> </w:t>
      </w:r>
      <w:r w:rsidR="69B30459" w:rsidRPr="007E77AF">
        <w:t xml:space="preserve">em linguagem </w:t>
      </w:r>
      <w:r w:rsidR="7B30B80F" w:rsidRPr="007E77AF">
        <w:t xml:space="preserve">direta e </w:t>
      </w:r>
      <w:r w:rsidR="69B30459" w:rsidRPr="007E77AF">
        <w:t>acessível, de modo que os investidores possam formar criteriosamente a sua decisão de investimento</w:t>
      </w:r>
      <w:r w:rsidR="53972573" w:rsidRPr="007E77AF">
        <w:t>.</w:t>
      </w:r>
      <w:bookmarkEnd w:id="79"/>
    </w:p>
    <w:p w14:paraId="3F356F2A" w14:textId="2261FACC" w:rsidR="00D74986" w:rsidRPr="007E77AF" w:rsidRDefault="009069A1" w:rsidP="001353DC">
      <w:pPr>
        <w:spacing w:before="120" w:after="120" w:line="312" w:lineRule="auto"/>
        <w:ind w:firstLine="567"/>
        <w:jc w:val="both"/>
      </w:pPr>
      <w:bookmarkStart w:id="80" w:name="_Ref460491415"/>
      <w:r w:rsidRPr="007E77AF">
        <w:t>Art. 17</w:t>
      </w:r>
      <w:r w:rsidR="4EDA75B5" w:rsidRPr="007E77AF">
        <w:t xml:space="preserve">.  O prospecto deve, de maneira que não omita </w:t>
      </w:r>
      <w:r w:rsidR="00060683" w:rsidRPr="007E77AF">
        <w:t>informações relevantes</w:t>
      </w:r>
      <w:r w:rsidR="4EDA75B5" w:rsidRPr="007E77AF">
        <w:t xml:space="preserve">, nem contenha informações </w:t>
      </w:r>
      <w:r w:rsidR="5C3D4726" w:rsidRPr="007E77AF">
        <w:t>imprecisas</w:t>
      </w:r>
      <w:r w:rsidR="0E31F837" w:rsidRPr="007E77AF">
        <w:t xml:space="preserve"> ou </w:t>
      </w:r>
      <w:r w:rsidR="4EDA75B5" w:rsidRPr="007E77AF">
        <w:t>que possam induzir a erro, conter os dados e informações sobre:</w:t>
      </w:r>
      <w:bookmarkEnd w:id="80"/>
    </w:p>
    <w:p w14:paraId="16AF5C46" w14:textId="1A305B24" w:rsidR="00D74986" w:rsidRPr="007E77AF" w:rsidRDefault="009069A1" w:rsidP="001353DC">
      <w:pPr>
        <w:spacing w:before="120" w:after="120" w:line="312" w:lineRule="auto"/>
        <w:ind w:firstLine="567"/>
        <w:jc w:val="both"/>
      </w:pPr>
      <w:r w:rsidRPr="007E77AF">
        <w:t>I</w:t>
      </w:r>
      <w:r w:rsidR="002A0F03" w:rsidRPr="007E77AF">
        <w:t xml:space="preserve"> </w:t>
      </w:r>
      <w:r w:rsidR="00547CC1" w:rsidRPr="007E77AF">
        <w:t>–</w:t>
      </w:r>
      <w:r w:rsidR="002A0F03" w:rsidRPr="007E77AF">
        <w:t xml:space="preserve"> </w:t>
      </w:r>
      <w:proofErr w:type="gramStart"/>
      <w:r w:rsidR="002A0F03" w:rsidRPr="007E77AF">
        <w:t>a</w:t>
      </w:r>
      <w:proofErr w:type="gramEnd"/>
      <w:r w:rsidR="00547CC1" w:rsidRPr="007E77AF">
        <w:t xml:space="preserve"> </w:t>
      </w:r>
      <w:r w:rsidR="002A0F03" w:rsidRPr="007E77AF">
        <w:t>oferta</w:t>
      </w:r>
      <w:r w:rsidR="001D4716" w:rsidRPr="007E77AF">
        <w:t>,</w:t>
      </w:r>
      <w:r w:rsidR="00E878FA" w:rsidRPr="007E77AF">
        <w:t xml:space="preserve"> incluindo seus termos e condi</w:t>
      </w:r>
      <w:r w:rsidR="0547C5DE" w:rsidRPr="007E77AF">
        <w:t>ç</w:t>
      </w:r>
      <w:r w:rsidR="00E878FA" w:rsidRPr="007E77AF">
        <w:t>ões</w:t>
      </w:r>
      <w:r w:rsidR="002A0F03" w:rsidRPr="007E77AF">
        <w:t>;</w:t>
      </w:r>
    </w:p>
    <w:p w14:paraId="54E854E1" w14:textId="66B49735" w:rsidR="00D74986" w:rsidRPr="007E77AF" w:rsidRDefault="009069A1" w:rsidP="001353DC">
      <w:pPr>
        <w:spacing w:before="120" w:after="120" w:line="312" w:lineRule="auto"/>
        <w:ind w:firstLine="567"/>
        <w:jc w:val="both"/>
      </w:pPr>
      <w:r w:rsidRPr="007E77AF">
        <w:t>II</w:t>
      </w:r>
      <w:r w:rsidR="5721F315" w:rsidRPr="007E77AF">
        <w:t xml:space="preserve"> </w:t>
      </w:r>
      <w:r w:rsidR="791065FF" w:rsidRPr="007E77AF">
        <w:t>–</w:t>
      </w:r>
      <w:r w:rsidR="5721F315" w:rsidRPr="007E77AF">
        <w:t xml:space="preserve"> </w:t>
      </w:r>
      <w:proofErr w:type="gramStart"/>
      <w:r w:rsidR="5721F315" w:rsidRPr="007E77AF">
        <w:t>os</w:t>
      </w:r>
      <w:proofErr w:type="gramEnd"/>
      <w:r w:rsidR="791065FF" w:rsidRPr="007E77AF">
        <w:t xml:space="preserve"> valores mobiliários</w:t>
      </w:r>
      <w:r w:rsidR="5721F315" w:rsidRPr="007E77AF">
        <w:t xml:space="preserve"> objeto da oferta e os direitos que lhes são inerentes;</w:t>
      </w:r>
    </w:p>
    <w:p w14:paraId="7AC5F7C4" w14:textId="1174D8FE" w:rsidR="00D74986" w:rsidRPr="007E77AF" w:rsidRDefault="009069A1" w:rsidP="001353DC">
      <w:pPr>
        <w:spacing w:before="120" w:after="120" w:line="312" w:lineRule="auto"/>
        <w:ind w:firstLine="567"/>
        <w:jc w:val="both"/>
      </w:pPr>
      <w:r w:rsidRPr="007E77AF">
        <w:t>III</w:t>
      </w:r>
      <w:r w:rsidR="002A0F03" w:rsidRPr="007E77AF">
        <w:t xml:space="preserve"> </w:t>
      </w:r>
      <w:r w:rsidR="00547CC1" w:rsidRPr="007E77AF">
        <w:t>–</w:t>
      </w:r>
      <w:r w:rsidR="002A0F03" w:rsidRPr="007E77AF">
        <w:t xml:space="preserve"> o</w:t>
      </w:r>
      <w:r w:rsidR="00547CC1" w:rsidRPr="007E77AF">
        <w:t xml:space="preserve"> </w:t>
      </w:r>
      <w:r w:rsidR="002A0F03" w:rsidRPr="007E77AF">
        <w:t>ofertante, caso diferente do emissor;</w:t>
      </w:r>
    </w:p>
    <w:p w14:paraId="03BC7C7B" w14:textId="547BC5DF" w:rsidR="00D74986" w:rsidRPr="007E77AF" w:rsidRDefault="009069A1" w:rsidP="001353DC">
      <w:pPr>
        <w:spacing w:before="120" w:after="120" w:line="312" w:lineRule="auto"/>
        <w:ind w:firstLine="567"/>
        <w:jc w:val="both"/>
      </w:pPr>
      <w:r w:rsidRPr="007E77AF">
        <w:t>IV</w:t>
      </w:r>
      <w:r w:rsidR="002A0F03" w:rsidRPr="007E77AF">
        <w:t xml:space="preserve"> </w:t>
      </w:r>
      <w:r w:rsidR="00547CC1" w:rsidRPr="007E77AF">
        <w:t>–</w:t>
      </w:r>
      <w:r w:rsidR="002A0F03" w:rsidRPr="007E77AF">
        <w:t xml:space="preserve"> </w:t>
      </w:r>
      <w:proofErr w:type="gramStart"/>
      <w:r w:rsidR="002A0F03" w:rsidRPr="007E77AF">
        <w:t>o</w:t>
      </w:r>
      <w:proofErr w:type="gramEnd"/>
      <w:r w:rsidR="00547CC1" w:rsidRPr="007E77AF">
        <w:t xml:space="preserve"> </w:t>
      </w:r>
      <w:r w:rsidR="002A0F03" w:rsidRPr="007E77AF">
        <w:t>emissor e sua situação patrimonial, econômica e financeira;</w:t>
      </w:r>
    </w:p>
    <w:p w14:paraId="0357DA07" w14:textId="22B2749D" w:rsidR="00D74986" w:rsidRPr="007E77AF" w:rsidRDefault="009069A1" w:rsidP="001353DC">
      <w:pPr>
        <w:spacing w:before="120" w:after="120" w:line="312" w:lineRule="auto"/>
        <w:ind w:firstLine="567"/>
        <w:jc w:val="both"/>
      </w:pPr>
      <w:r w:rsidRPr="007E77AF">
        <w:t>V</w:t>
      </w:r>
      <w:r w:rsidR="002A0F03" w:rsidRPr="007E77AF">
        <w:t xml:space="preserve"> </w:t>
      </w:r>
      <w:r w:rsidR="00547CC1" w:rsidRPr="007E77AF">
        <w:t>–</w:t>
      </w:r>
      <w:r w:rsidR="002A0F03" w:rsidRPr="007E77AF">
        <w:t xml:space="preserve"> </w:t>
      </w:r>
      <w:proofErr w:type="gramStart"/>
      <w:r w:rsidR="00162FB1" w:rsidRPr="007E77AF">
        <w:t>os</w:t>
      </w:r>
      <w:proofErr w:type="gramEnd"/>
      <w:r w:rsidR="00162FB1" w:rsidRPr="007E77AF">
        <w:t xml:space="preserve"> </w:t>
      </w:r>
      <w:r w:rsidR="002A0F03" w:rsidRPr="007E77AF">
        <w:t>terceiros</w:t>
      </w:r>
      <w:r w:rsidR="00547CC1" w:rsidRPr="007E77AF">
        <w:t xml:space="preserve"> </w:t>
      </w:r>
      <w:r w:rsidR="002A0F03" w:rsidRPr="007E77AF">
        <w:t xml:space="preserve">garantidores de obrigações relacionadas com os </w:t>
      </w:r>
      <w:r w:rsidR="00547CC1" w:rsidRPr="007E77AF">
        <w:t xml:space="preserve">valores mobiliários </w:t>
      </w:r>
      <w:r w:rsidR="002A0F03" w:rsidRPr="007E77AF">
        <w:t>objeto da oferta,</w:t>
      </w:r>
      <w:r w:rsidR="00547CC1" w:rsidRPr="007E77AF">
        <w:t xml:space="preserve"> </w:t>
      </w:r>
      <w:r w:rsidR="002A0F03" w:rsidRPr="007E77AF">
        <w:t>se houver</w:t>
      </w:r>
      <w:r w:rsidR="7F216E93" w:rsidRPr="007E77AF">
        <w:t xml:space="preserve">, incluindo </w:t>
      </w:r>
      <w:r w:rsidR="008035DD" w:rsidRPr="007E77AF">
        <w:t>su</w:t>
      </w:r>
      <w:r w:rsidR="00AD2211" w:rsidRPr="007E77AF">
        <w:t>a situação patrimonial, econômica e financeira</w:t>
      </w:r>
      <w:r w:rsidR="002A0F03" w:rsidRPr="007E77AF">
        <w:t>;</w:t>
      </w:r>
    </w:p>
    <w:p w14:paraId="76BBE918" w14:textId="12D2D2B8" w:rsidR="00D74986" w:rsidRPr="007E77AF" w:rsidRDefault="009069A1" w:rsidP="001353DC">
      <w:pPr>
        <w:spacing w:before="120" w:after="120" w:line="312" w:lineRule="auto"/>
        <w:ind w:firstLine="567"/>
        <w:jc w:val="both"/>
      </w:pPr>
      <w:r w:rsidRPr="007E77AF">
        <w:t>VI</w:t>
      </w:r>
      <w:r w:rsidR="002A0F03" w:rsidRPr="007E77AF">
        <w:t xml:space="preserve"> </w:t>
      </w:r>
      <w:r w:rsidR="00547CC1" w:rsidRPr="007E77AF">
        <w:t>–</w:t>
      </w:r>
      <w:r w:rsidR="002A0F03" w:rsidRPr="007E77AF">
        <w:t xml:space="preserve"> </w:t>
      </w:r>
      <w:proofErr w:type="gramStart"/>
      <w:r w:rsidR="002A0F03" w:rsidRPr="007E77AF">
        <w:t>os</w:t>
      </w:r>
      <w:proofErr w:type="gramEnd"/>
      <w:r w:rsidR="00547CC1" w:rsidRPr="007E77AF">
        <w:t xml:space="preserve"> </w:t>
      </w:r>
      <w:r w:rsidR="002A0F03" w:rsidRPr="007E77AF">
        <w:t xml:space="preserve">principais fatores de risco relacionados com o emissor, com o </w:t>
      </w:r>
      <w:r w:rsidR="00547CC1" w:rsidRPr="007E77AF">
        <w:t>valor mobiliário</w:t>
      </w:r>
      <w:r w:rsidR="002A0F03" w:rsidRPr="007E77AF">
        <w:t>, com a oferta, e com o terceiro garantidor; e</w:t>
      </w:r>
    </w:p>
    <w:p w14:paraId="5445D37E" w14:textId="5487956C" w:rsidR="00D74986" w:rsidRPr="007E77AF" w:rsidRDefault="009069A1" w:rsidP="001353DC">
      <w:pPr>
        <w:spacing w:before="120" w:after="120" w:line="312" w:lineRule="auto"/>
        <w:ind w:firstLine="567"/>
        <w:jc w:val="both"/>
      </w:pPr>
      <w:r w:rsidRPr="007E77AF">
        <w:t>VII</w:t>
      </w:r>
      <w:r w:rsidR="002A0F03" w:rsidRPr="007E77AF">
        <w:t xml:space="preserve"> </w:t>
      </w:r>
      <w:r w:rsidR="00547CC1" w:rsidRPr="007E77AF">
        <w:t>–</w:t>
      </w:r>
      <w:r w:rsidR="002A0F03" w:rsidRPr="007E77AF">
        <w:t xml:space="preserve"> </w:t>
      </w:r>
      <w:r w:rsidR="00162FB1" w:rsidRPr="007E77AF">
        <w:t xml:space="preserve">os </w:t>
      </w:r>
      <w:r w:rsidR="002A0F03" w:rsidRPr="007E77AF">
        <w:t>terceiros</w:t>
      </w:r>
      <w:r w:rsidR="00547CC1" w:rsidRPr="007E77AF">
        <w:t xml:space="preserve"> </w:t>
      </w:r>
      <w:r w:rsidR="002A0F03" w:rsidRPr="007E77AF">
        <w:t>que venham a ser destinatários dos recursos captados com a oferta</w:t>
      </w:r>
      <w:r w:rsidR="007D7F1E" w:rsidRPr="007E77AF">
        <w:t xml:space="preserve"> primária</w:t>
      </w:r>
      <w:r w:rsidR="002A0F03" w:rsidRPr="007E77AF">
        <w:t>.</w:t>
      </w:r>
    </w:p>
    <w:p w14:paraId="49EA6871" w14:textId="5883E553" w:rsidR="00D74986" w:rsidRPr="007E77AF" w:rsidRDefault="002A0F03" w:rsidP="00D74986">
      <w:pPr>
        <w:spacing w:before="120" w:after="120" w:line="312" w:lineRule="auto"/>
        <w:ind w:firstLine="567"/>
        <w:jc w:val="both"/>
      </w:pPr>
      <w:r w:rsidRPr="007E77AF">
        <w:t>§</w:t>
      </w:r>
      <w:r w:rsidR="0003323C" w:rsidRPr="007E77AF">
        <w:t xml:space="preserve"> </w:t>
      </w:r>
      <w:r w:rsidR="00EC3329" w:rsidRPr="007E77AF">
        <w:t>1</w:t>
      </w:r>
      <w:proofErr w:type="gramStart"/>
      <w:r w:rsidRPr="007E77AF">
        <w:t>º</w:t>
      </w:r>
      <w:r w:rsidR="004D3F09" w:rsidRPr="007E77AF">
        <w:t xml:space="preserve">  O</w:t>
      </w:r>
      <w:proofErr w:type="gramEnd"/>
      <w:r w:rsidR="004D3F09" w:rsidRPr="007E77AF">
        <w:t xml:space="preserve"> conteúdo mínimo do prospecto depende das características do emissor, da operação, do tipo de </w:t>
      </w:r>
      <w:r w:rsidR="00BD6806" w:rsidRPr="007E77AF">
        <w:t xml:space="preserve">valor mobiliário </w:t>
      </w:r>
      <w:r w:rsidR="0073227A" w:rsidRPr="007E77AF">
        <w:t xml:space="preserve">e </w:t>
      </w:r>
      <w:r w:rsidR="004D3F09" w:rsidRPr="007E77AF">
        <w:t>do público</w:t>
      </w:r>
      <w:r w:rsidR="00557063" w:rsidRPr="007E77AF">
        <w:t>-</w:t>
      </w:r>
      <w:r w:rsidR="004D3F09" w:rsidRPr="007E77AF">
        <w:t xml:space="preserve">alvo, devendo conter as informações discriminadas nos Anexos desta </w:t>
      </w:r>
      <w:r w:rsidR="002109AE" w:rsidRPr="007E77AF">
        <w:t>Resolução</w:t>
      </w:r>
      <w:r w:rsidR="004D3F09" w:rsidRPr="007E77AF">
        <w:t xml:space="preserve"> conforme segue:</w:t>
      </w:r>
    </w:p>
    <w:p w14:paraId="5795596C" w14:textId="1E4B60FC" w:rsidR="00D74986" w:rsidRPr="007E77AF" w:rsidRDefault="00593F46" w:rsidP="00D74986">
      <w:pPr>
        <w:spacing w:before="120" w:after="120" w:line="312" w:lineRule="auto"/>
        <w:ind w:firstLine="567"/>
        <w:jc w:val="both"/>
        <w:rPr>
          <w:bCs/>
        </w:rPr>
      </w:pPr>
      <w:r w:rsidRPr="007E77AF">
        <w:rPr>
          <w:bCs/>
        </w:rPr>
        <w:t xml:space="preserve">I – Anexo </w:t>
      </w:r>
      <w:r w:rsidR="007A1251" w:rsidRPr="007E77AF">
        <w:rPr>
          <w:bCs/>
        </w:rPr>
        <w:t>A</w:t>
      </w:r>
      <w:r w:rsidR="00226B89" w:rsidRPr="007E77AF">
        <w:rPr>
          <w:bCs/>
        </w:rPr>
        <w:t>:</w:t>
      </w:r>
      <w:r w:rsidRPr="007E77AF">
        <w:rPr>
          <w:bCs/>
        </w:rPr>
        <w:t xml:space="preserve"> para oferta </w:t>
      </w:r>
      <w:bookmarkStart w:id="81" w:name="_Hlk59141765"/>
      <w:r w:rsidRPr="007E77AF">
        <w:rPr>
          <w:bCs/>
        </w:rPr>
        <w:t xml:space="preserve">pública inicial </w:t>
      </w:r>
      <w:r w:rsidR="00372470" w:rsidRPr="007E77AF">
        <w:rPr>
          <w:bCs/>
        </w:rPr>
        <w:t xml:space="preserve">ou subsequente </w:t>
      </w:r>
      <w:r w:rsidRPr="007E77AF">
        <w:rPr>
          <w:bCs/>
        </w:rPr>
        <w:t xml:space="preserve">de distribuição de ações, bônus de </w:t>
      </w:r>
      <w:r w:rsidRPr="007E77AF">
        <w:t>subscrição</w:t>
      </w:r>
      <w:r w:rsidR="00EB06C9" w:rsidRPr="007E77AF">
        <w:t xml:space="preserve"> </w:t>
      </w:r>
      <w:r w:rsidRPr="007E77AF">
        <w:t>e</w:t>
      </w:r>
      <w:r w:rsidRPr="007E77AF">
        <w:rPr>
          <w:bCs/>
        </w:rPr>
        <w:t xml:space="preserve"> de certificados de depósito sobre estes valores mobiliários</w:t>
      </w:r>
      <w:bookmarkEnd w:id="81"/>
      <w:r w:rsidRPr="007E77AF">
        <w:rPr>
          <w:bCs/>
        </w:rPr>
        <w:t>;</w:t>
      </w:r>
    </w:p>
    <w:p w14:paraId="2A590F4E" w14:textId="72876ABB" w:rsidR="00D74986" w:rsidRPr="007E77AF" w:rsidRDefault="00593F46" w:rsidP="00D74986">
      <w:pPr>
        <w:spacing w:before="120" w:after="120" w:line="312" w:lineRule="auto"/>
        <w:ind w:firstLine="567"/>
        <w:jc w:val="both"/>
      </w:pPr>
      <w:r w:rsidRPr="007E77AF">
        <w:rPr>
          <w:bCs/>
        </w:rPr>
        <w:t xml:space="preserve">II – </w:t>
      </w:r>
      <w:r w:rsidR="53FF17E0" w:rsidRPr="007E77AF">
        <w:t xml:space="preserve">Anexo </w:t>
      </w:r>
      <w:r w:rsidR="007A1251" w:rsidRPr="007E77AF">
        <w:t>B</w:t>
      </w:r>
      <w:r w:rsidR="00226B89" w:rsidRPr="007E77AF">
        <w:t>:</w:t>
      </w:r>
      <w:r w:rsidR="53FF17E0" w:rsidRPr="007E77AF">
        <w:t xml:space="preserve"> </w:t>
      </w:r>
      <w:bookmarkStart w:id="82" w:name="_Hlk59142359"/>
      <w:r w:rsidR="53FF17E0" w:rsidRPr="007E77AF">
        <w:t>para oferta pública de distribuição de debêntures ou de outros tipos de valores mobiliários representativos de dívida</w:t>
      </w:r>
      <w:r w:rsidR="3F52E7FA" w:rsidRPr="007E77AF">
        <w:t>, inclusive conversíveis ou permutáveis em ações</w:t>
      </w:r>
      <w:r w:rsidR="53FF17E0" w:rsidRPr="007E77AF">
        <w:t xml:space="preserve"> de emissor registrado nas Categorias A e B</w:t>
      </w:r>
      <w:r w:rsidR="00F21C1C" w:rsidRPr="007E77AF">
        <w:t xml:space="preserve"> não contemplados n</w:t>
      </w:r>
      <w:r w:rsidR="007F03E2" w:rsidRPr="007E77AF">
        <w:t xml:space="preserve">o inciso </w:t>
      </w:r>
      <w:r w:rsidR="007F03E2" w:rsidRPr="001F5B72">
        <w:t>V</w:t>
      </w:r>
      <w:bookmarkEnd w:id="82"/>
      <w:r w:rsidR="0073227A" w:rsidRPr="007E77AF">
        <w:t xml:space="preserve"> deste §</w:t>
      </w:r>
      <w:r w:rsidR="005E2446" w:rsidRPr="007E77AF">
        <w:t xml:space="preserve"> </w:t>
      </w:r>
      <w:r w:rsidR="0073227A" w:rsidRPr="007E77AF">
        <w:t>1</w:t>
      </w:r>
      <w:r w:rsidR="008E4AC6">
        <w:t>º</w:t>
      </w:r>
      <w:r w:rsidR="53FF17E0" w:rsidRPr="007E77AF">
        <w:t>;</w:t>
      </w:r>
    </w:p>
    <w:p w14:paraId="7F7104BD" w14:textId="31DBDFE3" w:rsidR="00D74986" w:rsidRPr="007E77AF" w:rsidRDefault="00372470" w:rsidP="00D74986">
      <w:pPr>
        <w:spacing w:before="120" w:after="120" w:line="312" w:lineRule="auto"/>
        <w:ind w:firstLine="567"/>
        <w:jc w:val="both"/>
      </w:pPr>
      <w:r w:rsidRPr="007E77AF">
        <w:t xml:space="preserve">III </w:t>
      </w:r>
      <w:r w:rsidR="3B2FC506" w:rsidRPr="007E77AF">
        <w:t xml:space="preserve">– </w:t>
      </w:r>
      <w:r w:rsidR="53FF17E0" w:rsidRPr="007E77AF">
        <w:t xml:space="preserve">Anexo </w:t>
      </w:r>
      <w:r w:rsidR="002069CB" w:rsidRPr="007E77AF">
        <w:t>C</w:t>
      </w:r>
      <w:r w:rsidR="00226B89" w:rsidRPr="007E77AF">
        <w:t>:</w:t>
      </w:r>
      <w:r w:rsidR="53FF17E0" w:rsidRPr="007E77AF">
        <w:t xml:space="preserve"> </w:t>
      </w:r>
      <w:bookmarkStart w:id="83" w:name="_Hlk59142715"/>
      <w:r w:rsidR="53FF17E0" w:rsidRPr="007E77AF">
        <w:t>para oferta pública inicial ou subsequente de distribuição de cotas de fundos de investimento fechados</w:t>
      </w:r>
      <w:r w:rsidR="00AE2489" w:rsidRPr="007E77AF">
        <w:t xml:space="preserve">, exceto os fundos </w:t>
      </w:r>
      <w:r w:rsidR="00B42938" w:rsidRPr="007E77AF">
        <w:t xml:space="preserve">de investimento em direitos creditórios </w:t>
      </w:r>
      <w:r w:rsidR="00A057FB" w:rsidRPr="007E77AF">
        <w:t>–</w:t>
      </w:r>
      <w:r w:rsidR="00B42938" w:rsidRPr="007E77AF">
        <w:t xml:space="preserve"> </w:t>
      </w:r>
      <w:r w:rsidR="007F03E2" w:rsidRPr="007E77AF">
        <w:t>FIDC</w:t>
      </w:r>
      <w:bookmarkEnd w:id="83"/>
      <w:r w:rsidR="1B927A40" w:rsidRPr="007E77AF">
        <w:t>;</w:t>
      </w:r>
      <w:r w:rsidRPr="007E77AF">
        <w:t xml:space="preserve"> </w:t>
      </w:r>
    </w:p>
    <w:p w14:paraId="5495F257" w14:textId="6AB43A9A" w:rsidR="001A3FCC" w:rsidRPr="007E77AF" w:rsidRDefault="47BC7EAC" w:rsidP="00D74986">
      <w:pPr>
        <w:spacing w:before="120" w:after="120" w:line="312" w:lineRule="auto"/>
        <w:ind w:firstLine="567"/>
        <w:jc w:val="both"/>
      </w:pPr>
      <w:r w:rsidRPr="007E77AF">
        <w:lastRenderedPageBreak/>
        <w:t>I</w:t>
      </w:r>
      <w:r w:rsidR="3B2FC506" w:rsidRPr="007E77AF">
        <w:t xml:space="preserve">V – </w:t>
      </w:r>
      <w:r w:rsidR="015F08A8" w:rsidRPr="007E77AF">
        <w:t xml:space="preserve">Anexo </w:t>
      </w:r>
      <w:r w:rsidR="002069CB" w:rsidRPr="007E77AF">
        <w:t>D</w:t>
      </w:r>
      <w:r w:rsidR="00226B89" w:rsidRPr="007E77AF">
        <w:t>:</w:t>
      </w:r>
      <w:r w:rsidR="015F08A8" w:rsidRPr="007E77AF">
        <w:t xml:space="preserve"> para oferta pública de distribuição de </w:t>
      </w:r>
      <w:r w:rsidR="001A3FCC" w:rsidRPr="007E77AF">
        <w:t xml:space="preserve">cotas </w:t>
      </w:r>
      <w:r w:rsidR="00A31B28" w:rsidRPr="007E77AF">
        <w:t>de fundos de investimento em direitos creditórios – FIDC</w:t>
      </w:r>
      <w:r w:rsidR="00641695" w:rsidRPr="007E77AF">
        <w:t>; e</w:t>
      </w:r>
    </w:p>
    <w:p w14:paraId="2C0466D3" w14:textId="5016861D" w:rsidR="00EF6438" w:rsidRPr="007E77AF" w:rsidRDefault="00641695" w:rsidP="00D74986">
      <w:pPr>
        <w:spacing w:before="120" w:after="120" w:line="312" w:lineRule="auto"/>
        <w:ind w:firstLine="567"/>
        <w:jc w:val="both"/>
      </w:pPr>
      <w:r w:rsidRPr="007E77AF">
        <w:t xml:space="preserve">V </w:t>
      </w:r>
      <w:r w:rsidR="003A37F1" w:rsidRPr="007E77AF">
        <w:t>–</w:t>
      </w:r>
      <w:r w:rsidRPr="007E77AF">
        <w:t xml:space="preserve"> </w:t>
      </w:r>
      <w:r w:rsidR="003A37F1" w:rsidRPr="007E77AF">
        <w:t xml:space="preserve">Anexo </w:t>
      </w:r>
      <w:r w:rsidR="00300CE3">
        <w:t>E</w:t>
      </w:r>
      <w:r w:rsidR="003A37F1" w:rsidRPr="007E77AF">
        <w:t xml:space="preserve">: </w:t>
      </w:r>
      <w:r w:rsidR="015F08A8" w:rsidRPr="007E77AF">
        <w:t xml:space="preserve">para oferta pública de distribuição de </w:t>
      </w:r>
      <w:r w:rsidR="000A4DBB" w:rsidRPr="007E77AF">
        <w:t>valores mobiliários representativos de operações</w:t>
      </w:r>
      <w:r w:rsidR="015F08A8" w:rsidRPr="007E77AF">
        <w:t xml:space="preserve"> de securitização emitidos por companhia </w:t>
      </w:r>
      <w:proofErr w:type="spellStart"/>
      <w:r w:rsidR="015F08A8" w:rsidRPr="007E77AF">
        <w:t>securitizadora</w:t>
      </w:r>
      <w:proofErr w:type="spellEnd"/>
      <w:r w:rsidR="00A24709" w:rsidRPr="007E77AF">
        <w:t>.</w:t>
      </w:r>
    </w:p>
    <w:p w14:paraId="133233EF" w14:textId="0A0A6CB8" w:rsidR="00D74986" w:rsidRPr="007E77AF" w:rsidRDefault="437CF441" w:rsidP="00D74986">
      <w:pPr>
        <w:spacing w:before="120" w:after="120" w:line="312" w:lineRule="auto"/>
        <w:ind w:firstLine="567"/>
        <w:jc w:val="both"/>
      </w:pPr>
      <w:r w:rsidRPr="007E77AF">
        <w:t xml:space="preserve">§ </w:t>
      </w:r>
      <w:r w:rsidR="20C71F1B" w:rsidRPr="007E77AF">
        <w:t>2</w:t>
      </w:r>
      <w:proofErr w:type="gramStart"/>
      <w:r w:rsidRPr="007E77AF">
        <w:t>º  A</w:t>
      </w:r>
      <w:proofErr w:type="gramEnd"/>
      <w:r w:rsidRPr="007E77AF">
        <w:t xml:space="preserve"> seção 1 do prospecto, denominada Capa do Prospecto, deve ter, no máximo, 1 (uma) página</w:t>
      </w:r>
      <w:r w:rsidR="002B58C9" w:rsidRPr="007E77AF">
        <w:t xml:space="preserve"> de formato A4</w:t>
      </w:r>
      <w:r w:rsidRPr="007E77AF">
        <w:t>, quando i</w:t>
      </w:r>
      <w:r w:rsidR="24FB93FF" w:rsidRPr="007E77AF">
        <w:t>mpress</w:t>
      </w:r>
      <w:r w:rsidR="1747BB75" w:rsidRPr="007E77AF">
        <w:t>a</w:t>
      </w:r>
      <w:r w:rsidR="074E6008" w:rsidRPr="007E77AF">
        <w:t xml:space="preserve">, devendo refletir, de forma </w:t>
      </w:r>
      <w:r w:rsidR="527C96C1" w:rsidRPr="007E77AF">
        <w:t xml:space="preserve">legível, </w:t>
      </w:r>
      <w:r w:rsidR="074E6008" w:rsidRPr="007E77AF">
        <w:t xml:space="preserve">direta e objetiva, </w:t>
      </w:r>
      <w:r w:rsidR="43EFB386" w:rsidRPr="007E77AF">
        <w:t>a</w:t>
      </w:r>
      <w:r w:rsidR="42FCB8BA" w:rsidRPr="007E77AF">
        <w:t xml:space="preserve">s </w:t>
      </w:r>
      <w:r w:rsidR="6F92906A" w:rsidRPr="007E77AF">
        <w:t>informaçõe</w:t>
      </w:r>
      <w:r w:rsidR="42FCB8BA" w:rsidRPr="007E77AF">
        <w:t xml:space="preserve">s expressamente </w:t>
      </w:r>
      <w:r w:rsidR="0DA6BD52" w:rsidRPr="007E77AF">
        <w:t>solicitada</w:t>
      </w:r>
      <w:r w:rsidR="42FCB8BA" w:rsidRPr="007E77AF">
        <w:t>s</w:t>
      </w:r>
      <w:r w:rsidR="1C00C637" w:rsidRPr="007E77AF">
        <w:t xml:space="preserve"> no respectivo anexo</w:t>
      </w:r>
      <w:r w:rsidR="42FCB8BA" w:rsidRPr="007E77AF">
        <w:t>.</w:t>
      </w:r>
    </w:p>
    <w:p w14:paraId="0CC1AAE9" w14:textId="7B5E53A4" w:rsidR="00D74986" w:rsidRPr="007E77AF" w:rsidRDefault="00EB716E" w:rsidP="00D74986">
      <w:pPr>
        <w:spacing w:before="120" w:after="120" w:line="312" w:lineRule="auto"/>
        <w:ind w:firstLine="567"/>
        <w:jc w:val="both"/>
      </w:pPr>
      <w:r w:rsidRPr="007E77AF">
        <w:t xml:space="preserve">§ </w:t>
      </w:r>
      <w:r w:rsidR="0705F75A" w:rsidRPr="007E77AF">
        <w:t>3</w:t>
      </w:r>
      <w:proofErr w:type="gramStart"/>
      <w:r w:rsidRPr="007E77AF">
        <w:t xml:space="preserve">º  </w:t>
      </w:r>
      <w:r w:rsidR="56B95DA4" w:rsidRPr="007E77AF">
        <w:t>A</w:t>
      </w:r>
      <w:proofErr w:type="gramEnd"/>
      <w:r w:rsidR="56B95DA4" w:rsidRPr="007E77AF">
        <w:t xml:space="preserve"> seção </w:t>
      </w:r>
      <w:r w:rsidR="004B1679" w:rsidRPr="007E77AF">
        <w:t>2</w:t>
      </w:r>
      <w:r w:rsidR="56B95DA4" w:rsidRPr="007E77AF">
        <w:t xml:space="preserve"> </w:t>
      </w:r>
      <w:r w:rsidR="64CBBEF9" w:rsidRPr="007E77AF">
        <w:t xml:space="preserve">do </w:t>
      </w:r>
      <w:r w:rsidR="004E474B" w:rsidRPr="007E77AF">
        <w:t>prospecto</w:t>
      </w:r>
      <w:r w:rsidR="00937D97" w:rsidRPr="007E77AF">
        <w:t xml:space="preserve">, denominada </w:t>
      </w:r>
      <w:r w:rsidR="00A830F9" w:rsidRPr="007E77AF">
        <w:t>Principais Características da Oferta</w:t>
      </w:r>
      <w:r w:rsidR="00937D97" w:rsidRPr="007E77AF">
        <w:t>,</w:t>
      </w:r>
      <w:r w:rsidR="004E474B" w:rsidRPr="007E77AF">
        <w:t xml:space="preserve"> deve </w:t>
      </w:r>
      <w:r w:rsidR="18D78B11" w:rsidRPr="007E77AF">
        <w:t xml:space="preserve">apresentar </w:t>
      </w:r>
      <w:r w:rsidR="001104E0" w:rsidRPr="007E77AF">
        <w:t>as características da operação</w:t>
      </w:r>
      <w:r w:rsidR="7F62B49F" w:rsidRPr="007E77AF">
        <w:t xml:space="preserve"> e conter </w:t>
      </w:r>
      <w:r w:rsidR="004E474B" w:rsidRPr="007E77AF">
        <w:t>a</w:t>
      </w:r>
      <w:r w:rsidR="68659C86" w:rsidRPr="007E77AF">
        <w:t>s</w:t>
      </w:r>
      <w:r w:rsidR="004E474B" w:rsidRPr="007E77AF">
        <w:t xml:space="preserve"> informaç</w:t>
      </w:r>
      <w:r w:rsidR="6660FDCC" w:rsidRPr="007E77AF">
        <w:t>ões</w:t>
      </w:r>
      <w:r w:rsidR="004E474B" w:rsidRPr="007E77AF">
        <w:t xml:space="preserve"> fundamenta</w:t>
      </w:r>
      <w:r w:rsidR="3BADF8F8" w:rsidRPr="007E77AF">
        <w:t>is</w:t>
      </w:r>
      <w:r w:rsidR="006721D4" w:rsidRPr="007E77AF">
        <w:t xml:space="preserve"> de</w:t>
      </w:r>
      <w:r w:rsidR="004E474B" w:rsidRPr="007E77AF">
        <w:t xml:space="preserve"> que os investidores necessit</w:t>
      </w:r>
      <w:r w:rsidR="006721D4" w:rsidRPr="007E77AF">
        <w:t>e</w:t>
      </w:r>
      <w:r w:rsidR="004E474B" w:rsidRPr="007E77AF">
        <w:t xml:space="preserve">m para compreender a natureza do emissor e </w:t>
      </w:r>
      <w:r w:rsidR="2855081A" w:rsidRPr="007E77AF">
        <w:t xml:space="preserve">características </w:t>
      </w:r>
      <w:r w:rsidR="004E474B" w:rsidRPr="007E77AF">
        <w:t xml:space="preserve">dos valores mobiliários </w:t>
      </w:r>
      <w:r w:rsidR="006721D4" w:rsidRPr="007E77AF">
        <w:t>ofertados</w:t>
      </w:r>
      <w:r w:rsidR="2E99A193" w:rsidRPr="007E77AF">
        <w:t xml:space="preserve">, devendo </w:t>
      </w:r>
      <w:r w:rsidR="007F498B" w:rsidRPr="007E77AF">
        <w:t>adicionalmente:</w:t>
      </w:r>
      <w:r w:rsidR="004E474B" w:rsidRPr="007E77AF">
        <w:t xml:space="preserve"> </w:t>
      </w:r>
    </w:p>
    <w:p w14:paraId="00AE105C" w14:textId="671304E2" w:rsidR="00D74986" w:rsidRPr="007E77AF" w:rsidRDefault="00993147" w:rsidP="00D74986">
      <w:pPr>
        <w:spacing w:before="120" w:after="120" w:line="312" w:lineRule="auto"/>
        <w:ind w:firstLine="567"/>
        <w:jc w:val="both"/>
      </w:pPr>
      <w:r w:rsidRPr="007E77AF">
        <w:t xml:space="preserve">I – </w:t>
      </w:r>
      <w:proofErr w:type="gramStart"/>
      <w:r w:rsidRPr="007E77AF">
        <w:t>ser</w:t>
      </w:r>
      <w:proofErr w:type="gramEnd"/>
      <w:r w:rsidRPr="007E77AF">
        <w:t xml:space="preserve"> elaborad</w:t>
      </w:r>
      <w:r w:rsidR="00637E6E" w:rsidRPr="007E77AF">
        <w:t>a</w:t>
      </w:r>
      <w:r w:rsidRPr="007E77AF">
        <w:t xml:space="preserve"> de forma que possa ser lid</w:t>
      </w:r>
      <w:r w:rsidR="00637E6E" w:rsidRPr="007E77AF">
        <w:t>a</w:t>
      </w:r>
      <w:r w:rsidRPr="007E77AF">
        <w:t xml:space="preserve"> </w:t>
      </w:r>
      <w:r w:rsidR="004D0697" w:rsidRPr="007E77AF">
        <w:t xml:space="preserve">independentemente </w:t>
      </w:r>
      <w:r w:rsidRPr="007E77AF">
        <w:t>d</w:t>
      </w:r>
      <w:r w:rsidR="004D0697" w:rsidRPr="007E77AF">
        <w:t>a</w:t>
      </w:r>
      <w:r w:rsidRPr="007E77AF">
        <w:t xml:space="preserve">s demais </w:t>
      </w:r>
      <w:r w:rsidR="004D0697" w:rsidRPr="007E77AF">
        <w:t>partes do prospecto</w:t>
      </w:r>
      <w:r w:rsidRPr="007E77AF">
        <w:t>;</w:t>
      </w:r>
    </w:p>
    <w:p w14:paraId="0F2C5A3E" w14:textId="77777777" w:rsidR="00D74986" w:rsidRPr="007E77AF" w:rsidRDefault="00993147" w:rsidP="00D74986">
      <w:pPr>
        <w:spacing w:before="120" w:after="120" w:line="312" w:lineRule="auto"/>
        <w:ind w:firstLine="567"/>
        <w:jc w:val="both"/>
      </w:pPr>
      <w:r w:rsidRPr="007E77AF">
        <w:t xml:space="preserve">II – </w:t>
      </w:r>
      <w:proofErr w:type="gramStart"/>
      <w:r w:rsidRPr="007E77AF">
        <w:t>ser</w:t>
      </w:r>
      <w:proofErr w:type="gramEnd"/>
      <w:r w:rsidRPr="007E77AF">
        <w:t xml:space="preserve"> coerente com as demais partes do prospecto, sem reproduzir desnecessariamente informações já contidas neste documento; e</w:t>
      </w:r>
    </w:p>
    <w:p w14:paraId="2C6858DF" w14:textId="7CE025ED" w:rsidR="00D74986" w:rsidRPr="007E77AF" w:rsidRDefault="00993147" w:rsidP="00D74986">
      <w:pPr>
        <w:spacing w:before="120" w:after="120" w:line="312" w:lineRule="auto"/>
        <w:ind w:firstLine="567"/>
        <w:jc w:val="both"/>
      </w:pPr>
      <w:r w:rsidRPr="007E77AF">
        <w:t>III – possuir número máximo de 15 (quinze) páginas de formato A4, quando impress</w:t>
      </w:r>
      <w:r w:rsidR="006331D9" w:rsidRPr="007E77AF">
        <w:t>a</w:t>
      </w:r>
      <w:r w:rsidRPr="007E77AF">
        <w:t>.</w:t>
      </w:r>
    </w:p>
    <w:p w14:paraId="7CE2803C" w14:textId="3E1C009D" w:rsidR="00D74986" w:rsidRPr="007E77AF" w:rsidRDefault="004E474B" w:rsidP="00D74986">
      <w:pPr>
        <w:spacing w:before="120" w:after="120" w:line="312" w:lineRule="auto"/>
        <w:ind w:firstLine="567"/>
        <w:jc w:val="both"/>
      </w:pPr>
      <w:r w:rsidRPr="007E77AF">
        <w:t xml:space="preserve">§ </w:t>
      </w:r>
      <w:r w:rsidR="466C55C3" w:rsidRPr="007E77AF">
        <w:t>4</w:t>
      </w:r>
      <w:r w:rsidR="006A4B4E" w:rsidRPr="007E77AF">
        <w:t xml:space="preserve">º  </w:t>
      </w:r>
      <w:r w:rsidR="00EB716E" w:rsidRPr="007E77AF">
        <w:t xml:space="preserve">O emissor de valores mobiliários </w:t>
      </w:r>
      <w:r w:rsidR="7DB00F9A" w:rsidRPr="007E77AF">
        <w:t>objeto de</w:t>
      </w:r>
      <w:r w:rsidR="00EB716E" w:rsidRPr="007E77AF">
        <w:t xml:space="preserve"> oferta pública secundária, observado o disposto no art. 157, § 5º da Lei nº 6.404, de </w:t>
      </w:r>
      <w:r w:rsidR="00431A36" w:rsidRPr="007E77AF">
        <w:t xml:space="preserve">15 de dezembro de </w:t>
      </w:r>
      <w:r w:rsidR="00EB716E" w:rsidRPr="007E77AF">
        <w:t xml:space="preserve">1976, deve fornecer ao ofertante as informações e os documentos necessários para a elaboração dos documentos da oferta, se obrigatórios por esta </w:t>
      </w:r>
      <w:r w:rsidR="002109AE" w:rsidRPr="007E77AF">
        <w:t>Resolução</w:t>
      </w:r>
      <w:r w:rsidR="00EB716E" w:rsidRPr="007E77AF">
        <w:t xml:space="preserve">, devendo </w:t>
      </w:r>
      <w:r w:rsidR="005071AE" w:rsidRPr="007E77AF">
        <w:t>o</w:t>
      </w:r>
      <w:r w:rsidR="00EB716E" w:rsidRPr="007E77AF">
        <w:t xml:space="preserve"> emissor ser ressarcid</w:t>
      </w:r>
      <w:r w:rsidR="005071AE" w:rsidRPr="007E77AF">
        <w:t>o</w:t>
      </w:r>
      <w:r w:rsidR="00EB716E" w:rsidRPr="007E77AF">
        <w:t xml:space="preserve"> por todos os custos que incorrer na coleta, elaboração, preparação e entrega de informações ou documentos adicionais àqueles que periodicamente já fornece ao mercado.</w:t>
      </w:r>
    </w:p>
    <w:p w14:paraId="26E2974E" w14:textId="78538A7B" w:rsidR="00D74986" w:rsidRPr="007E77AF" w:rsidRDefault="007460C6" w:rsidP="00D74986">
      <w:pPr>
        <w:spacing w:before="120" w:after="120" w:line="312" w:lineRule="auto"/>
        <w:ind w:firstLine="567"/>
        <w:jc w:val="both"/>
      </w:pPr>
      <w:r w:rsidRPr="007E77AF">
        <w:t xml:space="preserve">§ </w:t>
      </w:r>
      <w:r w:rsidR="3BA5F22F" w:rsidRPr="007E77AF">
        <w:t>5</w:t>
      </w:r>
      <w:proofErr w:type="gramStart"/>
      <w:r w:rsidR="006A4B4E" w:rsidRPr="007E77AF">
        <w:t xml:space="preserve">º  </w:t>
      </w:r>
      <w:r w:rsidR="002A0F03" w:rsidRPr="007E77AF">
        <w:t>A</w:t>
      </w:r>
      <w:proofErr w:type="gramEnd"/>
      <w:r w:rsidR="002A0F03" w:rsidRPr="007E77AF">
        <w:t xml:space="preserve"> </w:t>
      </w:r>
      <w:r w:rsidR="00D06F3D" w:rsidRPr="007E77AF">
        <w:t xml:space="preserve">SRE </w:t>
      </w:r>
      <w:r w:rsidR="002A0F03" w:rsidRPr="007E77AF">
        <w:t>pode exigir do ofertante e do emissor</w:t>
      </w:r>
      <w:r w:rsidR="0047022C" w:rsidRPr="007E77AF">
        <w:t>, quando este não for ofertante,</w:t>
      </w:r>
      <w:r w:rsidR="002A0F03" w:rsidRPr="007E77AF">
        <w:t xml:space="preserve"> inclusive com vistas à inclusão no prospecto, as informações adicionais que julgar adequadas, além de advertências e considerações que entender cabíveis para a análise e compreensão do prospecto pelos investidores</w:t>
      </w:r>
      <w:r w:rsidR="00C66818" w:rsidRPr="007E77AF">
        <w:t xml:space="preserve"> destinatários da oferta</w:t>
      </w:r>
      <w:r w:rsidR="002A0F03" w:rsidRPr="007E77AF">
        <w:t>.</w:t>
      </w:r>
    </w:p>
    <w:p w14:paraId="0EEA4022" w14:textId="1C678477" w:rsidR="607AACF4" w:rsidRPr="007E77AF" w:rsidRDefault="607AACF4" w:rsidP="00D74986">
      <w:pPr>
        <w:spacing w:before="120" w:after="120" w:line="312" w:lineRule="auto"/>
        <w:ind w:firstLine="567"/>
        <w:jc w:val="both"/>
      </w:pPr>
      <w:r w:rsidRPr="007E77AF">
        <w:t>§</w:t>
      </w:r>
      <w:r w:rsidR="00EB716E" w:rsidRPr="007E77AF">
        <w:t xml:space="preserve"> </w:t>
      </w:r>
      <w:r w:rsidR="585E2EA1" w:rsidRPr="007E77AF">
        <w:t>6</w:t>
      </w:r>
      <w:proofErr w:type="gramStart"/>
      <w:r w:rsidR="002C6A1C" w:rsidRPr="007E77AF">
        <w:t xml:space="preserve">º  </w:t>
      </w:r>
      <w:r w:rsidRPr="007E77AF">
        <w:t>Caso</w:t>
      </w:r>
      <w:proofErr w:type="gramEnd"/>
      <w:r w:rsidRPr="007E77AF">
        <w:t xml:space="preserve"> </w:t>
      </w:r>
      <w:r w:rsidR="00BD2A2D" w:rsidRPr="007E77AF">
        <w:t xml:space="preserve">haja previsão de </w:t>
      </w:r>
      <w:r w:rsidR="00FE48E6" w:rsidRPr="007E77AF">
        <w:t xml:space="preserve">aumento </w:t>
      </w:r>
      <w:r w:rsidR="00FF3D4B" w:rsidRPr="007E77AF">
        <w:t>da quantidade ofertada</w:t>
      </w:r>
      <w:r w:rsidR="001C6C8D" w:rsidRPr="007E77AF">
        <w:t xml:space="preserve"> de valores mobiliários</w:t>
      </w:r>
      <w:r w:rsidR="00FF3D4B" w:rsidRPr="007E77AF">
        <w:t xml:space="preserve">, bem como no caso de </w:t>
      </w:r>
      <w:r w:rsidRPr="007E77AF">
        <w:t>outorga</w:t>
      </w:r>
      <w:r w:rsidR="00B40569" w:rsidRPr="007E77AF">
        <w:t xml:space="preserve"> de</w:t>
      </w:r>
      <w:r w:rsidRPr="007E77AF">
        <w:t xml:space="preserve"> opção de distribuição de lote suplementar, nos termos do</w:t>
      </w:r>
      <w:r w:rsidR="00963DCD">
        <w:t>s</w:t>
      </w:r>
      <w:r w:rsidRPr="007E77AF">
        <w:t xml:space="preserve"> </w:t>
      </w:r>
      <w:proofErr w:type="spellStart"/>
      <w:r w:rsidR="00066566" w:rsidRPr="007E77AF">
        <w:t>art</w:t>
      </w:r>
      <w:r w:rsidR="00B40569" w:rsidRPr="007E77AF">
        <w:t>s</w:t>
      </w:r>
      <w:proofErr w:type="spellEnd"/>
      <w:r w:rsidR="00066566" w:rsidRPr="007E77AF">
        <w:t>.</w:t>
      </w:r>
      <w:r w:rsidR="0096298C" w:rsidRPr="007E77AF">
        <w:t xml:space="preserve"> </w:t>
      </w:r>
      <w:r w:rsidR="0086760A" w:rsidRPr="007E77AF">
        <w:t>50</w:t>
      </w:r>
      <w:r w:rsidR="00DB667B" w:rsidRPr="007E77AF">
        <w:t xml:space="preserve"> e </w:t>
      </w:r>
      <w:r w:rsidR="0086760A" w:rsidRPr="007E77AF">
        <w:t>51</w:t>
      </w:r>
      <w:r w:rsidR="00070D25" w:rsidRPr="007E77AF">
        <w:t>,</w:t>
      </w:r>
      <w:r w:rsidRPr="007E77AF">
        <w:t xml:space="preserve"> </w:t>
      </w:r>
      <w:r w:rsidR="00116F48" w:rsidRPr="007E77AF">
        <w:t xml:space="preserve">a quantidade </w:t>
      </w:r>
      <w:r w:rsidR="000C0889" w:rsidRPr="007E77AF">
        <w:t>máxima</w:t>
      </w:r>
      <w:r w:rsidR="00FF6964" w:rsidRPr="007E77AF">
        <w:t xml:space="preserve"> </w:t>
      </w:r>
      <w:r w:rsidR="00116F48" w:rsidRPr="007E77AF">
        <w:t xml:space="preserve">de valores mobiliários adicionais </w:t>
      </w:r>
      <w:r w:rsidR="00B950B7" w:rsidRPr="007E77AF">
        <w:t xml:space="preserve">que podem </w:t>
      </w:r>
      <w:r w:rsidR="007F63D9" w:rsidRPr="007E77AF">
        <w:t xml:space="preserve">vir a </w:t>
      </w:r>
      <w:r w:rsidR="00B950B7" w:rsidRPr="007E77AF">
        <w:t xml:space="preserve">ser </w:t>
      </w:r>
      <w:r w:rsidR="00116F48" w:rsidRPr="007E77AF">
        <w:t xml:space="preserve">distribuídos </w:t>
      </w:r>
      <w:r w:rsidR="369EE8AF" w:rsidRPr="007E77AF">
        <w:t>deve constar do prospecto</w:t>
      </w:r>
      <w:r w:rsidRPr="007E77AF">
        <w:t>.</w:t>
      </w:r>
    </w:p>
    <w:p w14:paraId="28F006C2" w14:textId="7D645080" w:rsidR="00D74986" w:rsidRPr="007E77AF" w:rsidRDefault="002A0F03" w:rsidP="00D74986">
      <w:pPr>
        <w:spacing w:before="120" w:after="120" w:line="312" w:lineRule="auto"/>
        <w:ind w:firstLine="567"/>
        <w:jc w:val="both"/>
      </w:pPr>
      <w:r w:rsidRPr="007E77AF">
        <w:t>§</w:t>
      </w:r>
      <w:r w:rsidR="00D06F3D" w:rsidRPr="007E77AF">
        <w:t xml:space="preserve"> </w:t>
      </w:r>
      <w:r w:rsidR="27C4DCD9" w:rsidRPr="007E77AF">
        <w:t>7</w:t>
      </w:r>
      <w:proofErr w:type="gramStart"/>
      <w:r w:rsidR="002C6A1C" w:rsidRPr="007E77AF">
        <w:t xml:space="preserve">º  </w:t>
      </w:r>
      <w:r w:rsidRPr="007E77AF">
        <w:t>No</w:t>
      </w:r>
      <w:proofErr w:type="gramEnd"/>
      <w:r w:rsidRPr="007E77AF">
        <w:t xml:space="preserve"> caso de ofertas públicas que envolvam a emissão de ativos para os quais não estejam previstos procedimentos, informações e documentos específicos, </w:t>
      </w:r>
      <w:r w:rsidR="00651B22" w:rsidRPr="007E77AF">
        <w:t>deve ser seguido o modelo</w:t>
      </w:r>
      <w:r w:rsidR="000D58E7" w:rsidRPr="007E77AF">
        <w:t xml:space="preserve">, ou uma </w:t>
      </w:r>
      <w:r w:rsidR="000D58E7" w:rsidRPr="007E77AF">
        <w:lastRenderedPageBreak/>
        <w:t>combinação de modelos,</w:t>
      </w:r>
      <w:r w:rsidR="00651B22" w:rsidRPr="007E77AF">
        <w:t xml:space="preserve"> cujas características mais se aproximem do valor mobiliário ofertado</w:t>
      </w:r>
      <w:r w:rsidR="00D90641" w:rsidRPr="007E77AF">
        <w:t xml:space="preserve">, sem prejuízo </w:t>
      </w:r>
      <w:r w:rsidR="00A47A6F" w:rsidRPr="007E77AF">
        <w:t>d</w:t>
      </w:r>
      <w:r w:rsidR="00E82F92" w:rsidRPr="007E77AF">
        <w:t xml:space="preserve">e </w:t>
      </w:r>
      <w:r w:rsidRPr="007E77AF">
        <w:t xml:space="preserve">a </w:t>
      </w:r>
      <w:r w:rsidR="00D06F3D" w:rsidRPr="007E77AF">
        <w:t xml:space="preserve">SRE </w:t>
      </w:r>
      <w:r w:rsidRPr="007E77AF">
        <w:t>pode</w:t>
      </w:r>
      <w:r w:rsidR="00A47A6F" w:rsidRPr="007E77AF">
        <w:t>r</w:t>
      </w:r>
      <w:r w:rsidRPr="007E77AF">
        <w:t xml:space="preserve"> estabelecer o conteúdo </w:t>
      </w:r>
      <w:r w:rsidR="00BC7D4A" w:rsidRPr="007E77AF">
        <w:t xml:space="preserve">adicional </w:t>
      </w:r>
      <w:r w:rsidRPr="007E77AF">
        <w:t>para o respectivo prospecto.</w:t>
      </w:r>
    </w:p>
    <w:p w14:paraId="6716BE54" w14:textId="78FE346D" w:rsidR="00D74986" w:rsidRPr="007E77AF" w:rsidRDefault="008A5FC6" w:rsidP="00D74986">
      <w:pPr>
        <w:spacing w:before="120" w:after="120" w:line="312" w:lineRule="auto"/>
        <w:ind w:firstLine="567"/>
        <w:jc w:val="both"/>
      </w:pPr>
      <w:r w:rsidRPr="007E77AF">
        <w:t xml:space="preserve">§ </w:t>
      </w:r>
      <w:r w:rsidR="0560C47B" w:rsidRPr="007E77AF">
        <w:t>8</w:t>
      </w:r>
      <w:proofErr w:type="gramStart"/>
      <w:r w:rsidR="002C6A1C" w:rsidRPr="007E77AF">
        <w:t xml:space="preserve">º  </w:t>
      </w:r>
      <w:r w:rsidRPr="007E77AF">
        <w:t>No</w:t>
      </w:r>
      <w:proofErr w:type="gramEnd"/>
      <w:r w:rsidRPr="007E77AF">
        <w:t xml:space="preserve"> caso elencado no inciso </w:t>
      </w:r>
      <w:r w:rsidR="0086760A" w:rsidRPr="007E77AF">
        <w:t>IX</w:t>
      </w:r>
      <w:r w:rsidRPr="007E77AF">
        <w:t xml:space="preserve"> do art. </w:t>
      </w:r>
      <w:r w:rsidR="0086760A" w:rsidRPr="007E77AF">
        <w:t>26</w:t>
      </w:r>
      <w:r w:rsidRPr="007E77AF">
        <w:t xml:space="preserve"> </w:t>
      </w:r>
      <w:r w:rsidR="000541D9" w:rsidRPr="007E77AF">
        <w:t>(“debêntures incentivadas emitidas por SPE”)</w:t>
      </w:r>
      <w:r w:rsidR="00963DCD">
        <w:t>,</w:t>
      </w:r>
      <w:r w:rsidRPr="007E77AF">
        <w:t xml:space="preserve"> </w:t>
      </w:r>
      <w:r w:rsidR="00E32EC1" w:rsidRPr="007E77AF">
        <w:t xml:space="preserve">a capa do </w:t>
      </w:r>
      <w:r w:rsidR="2C24AF4C" w:rsidRPr="007E77AF">
        <w:t>p</w:t>
      </w:r>
      <w:r w:rsidR="00E32EC1" w:rsidRPr="007E77AF">
        <w:t xml:space="preserve">rospecto </w:t>
      </w:r>
      <w:r w:rsidR="76C2E90F" w:rsidRPr="007E77AF">
        <w:t>p</w:t>
      </w:r>
      <w:r w:rsidR="00E32EC1" w:rsidRPr="007E77AF">
        <w:t xml:space="preserve">reliminar, se utilizado, e do </w:t>
      </w:r>
      <w:r w:rsidR="49EC315C" w:rsidRPr="007E77AF">
        <w:t>d</w:t>
      </w:r>
      <w:r w:rsidR="00963DCD">
        <w:t>efinitivo deve</w:t>
      </w:r>
      <w:r w:rsidR="00E32EC1" w:rsidRPr="007E77AF">
        <w:t xml:space="preserve"> conter em destaque:</w:t>
      </w:r>
    </w:p>
    <w:p w14:paraId="76A3872A" w14:textId="77777777" w:rsidR="00D74986" w:rsidRPr="007E77AF" w:rsidRDefault="009839FE" w:rsidP="00D74986">
      <w:pPr>
        <w:pStyle w:val="NormalWeb"/>
        <w:tabs>
          <w:tab w:val="left" w:pos="1134"/>
        </w:tabs>
        <w:spacing w:before="120" w:beforeAutospacing="0" w:after="120" w:afterAutospacing="0" w:line="312" w:lineRule="auto"/>
        <w:ind w:firstLine="567"/>
        <w:jc w:val="both"/>
        <w:rPr>
          <w:rFonts w:asciiTheme="minorHAnsi" w:eastAsia="Times New Roman" w:hAnsiTheme="minorHAnsi" w:cs="Times New Roman"/>
          <w:color w:val="auto"/>
        </w:rPr>
      </w:pPr>
      <w:r w:rsidRPr="007E77AF">
        <w:rPr>
          <w:rFonts w:asciiTheme="minorHAnsi" w:eastAsia="Times New Roman" w:hAnsiTheme="minorHAnsi" w:cs="Times New Roman"/>
          <w:color w:val="auto"/>
        </w:rPr>
        <w:t xml:space="preserve">I </w:t>
      </w:r>
      <w:r w:rsidR="000A32EF" w:rsidRPr="007E77AF">
        <w:rPr>
          <w:bCs/>
          <w:color w:val="auto"/>
        </w:rPr>
        <w:t>–</w:t>
      </w:r>
      <w:r w:rsidR="00E32EC1" w:rsidRPr="007E77AF">
        <w:rPr>
          <w:rFonts w:asciiTheme="minorHAnsi" w:eastAsia="Times New Roman" w:hAnsiTheme="minorHAnsi" w:cs="Times New Roman"/>
          <w:color w:val="auto"/>
        </w:rPr>
        <w:t xml:space="preserve"> o número e a data de publicação da portaria de aprovação do ministério setorial responsável; e </w:t>
      </w:r>
    </w:p>
    <w:p w14:paraId="7434FF40" w14:textId="77777777" w:rsidR="00D74986" w:rsidRPr="007E77AF" w:rsidRDefault="009839FE" w:rsidP="00D74986">
      <w:pPr>
        <w:spacing w:before="120" w:after="120" w:line="312" w:lineRule="auto"/>
        <w:ind w:firstLine="567"/>
        <w:jc w:val="both"/>
      </w:pPr>
      <w:r w:rsidRPr="007E77AF">
        <w:t xml:space="preserve">II </w:t>
      </w:r>
      <w:r w:rsidR="000A32EF" w:rsidRPr="007E77AF">
        <w:rPr>
          <w:bCs/>
        </w:rPr>
        <w:t>–</w:t>
      </w:r>
      <w:r w:rsidR="00E32EC1" w:rsidRPr="007E77AF">
        <w:t xml:space="preserve"> </w:t>
      </w:r>
      <w:proofErr w:type="gramStart"/>
      <w:r w:rsidR="00E32EC1" w:rsidRPr="007E77AF">
        <w:t>o</w:t>
      </w:r>
      <w:proofErr w:type="gramEnd"/>
      <w:r w:rsidR="00E32EC1" w:rsidRPr="007E77AF">
        <w:t xml:space="preserve"> compromisso de alocação dos recursos obtidos no projeto de investimento aprovado.</w:t>
      </w:r>
    </w:p>
    <w:p w14:paraId="3F265E86" w14:textId="50EA2162" w:rsidR="00937392" w:rsidRPr="007E77AF" w:rsidRDefault="00F74928" w:rsidP="00F74928">
      <w:pPr>
        <w:spacing w:before="120" w:after="120" w:line="312" w:lineRule="auto"/>
        <w:ind w:firstLine="567"/>
        <w:jc w:val="both"/>
        <w:rPr>
          <w:bCs/>
        </w:rPr>
      </w:pPr>
      <w:r w:rsidRPr="007E77AF">
        <w:rPr>
          <w:bCs/>
        </w:rPr>
        <w:t>§ 9</w:t>
      </w:r>
      <w:proofErr w:type="gramStart"/>
      <w:r w:rsidRPr="007E77AF">
        <w:rPr>
          <w:bCs/>
        </w:rPr>
        <w:t>º  As</w:t>
      </w:r>
      <w:proofErr w:type="gramEnd"/>
      <w:r w:rsidRPr="007E77AF">
        <w:rPr>
          <w:bCs/>
        </w:rPr>
        <w:t xml:space="preserve"> condições estipuladas no prospecto devem ser observadas pelo emissor, ofertante, </w:t>
      </w:r>
      <w:r w:rsidR="006444AC">
        <w:rPr>
          <w:bCs/>
        </w:rPr>
        <w:t xml:space="preserve">instituições </w:t>
      </w:r>
      <w:r w:rsidR="007B19DE">
        <w:rPr>
          <w:bCs/>
        </w:rPr>
        <w:t>participantes do consórcio de distribuição</w:t>
      </w:r>
      <w:r w:rsidRPr="007E77AF">
        <w:rPr>
          <w:bCs/>
        </w:rPr>
        <w:t xml:space="preserve"> e demais pessoas vinculadas à oferta, nas suas respectivas esferas de competência, mesmo após o encerramento da oferta.</w:t>
      </w:r>
    </w:p>
    <w:p w14:paraId="5969F334" w14:textId="7F1660DC" w:rsidR="00D74986" w:rsidRPr="007E77AF" w:rsidRDefault="009069A1" w:rsidP="001353DC">
      <w:pPr>
        <w:spacing w:before="120" w:after="120" w:line="312" w:lineRule="auto"/>
        <w:ind w:firstLine="567"/>
        <w:jc w:val="both"/>
      </w:pPr>
      <w:bookmarkStart w:id="84" w:name="_Ref464390885"/>
      <w:r w:rsidRPr="007E77AF">
        <w:t>Art. 18</w:t>
      </w:r>
      <w:r w:rsidR="12650620" w:rsidRPr="007E77AF">
        <w:t>.  O prospecto deve obrigatoriamente:</w:t>
      </w:r>
      <w:bookmarkEnd w:id="84"/>
    </w:p>
    <w:p w14:paraId="0DADCA09" w14:textId="1BB2ECAB" w:rsidR="000A32EF" w:rsidRPr="007E77AF" w:rsidRDefault="009069A1" w:rsidP="001353DC">
      <w:pPr>
        <w:spacing w:before="120" w:after="120" w:line="312" w:lineRule="auto"/>
        <w:ind w:firstLine="567"/>
        <w:jc w:val="both"/>
      </w:pPr>
      <w:r w:rsidRPr="007E77AF">
        <w:t>I</w:t>
      </w:r>
      <w:r w:rsidR="000A32EF" w:rsidRPr="007E77AF">
        <w:t xml:space="preserve"> – </w:t>
      </w:r>
      <w:proofErr w:type="gramStart"/>
      <w:r w:rsidR="000A32EF" w:rsidRPr="007E77AF">
        <w:t>ser</w:t>
      </w:r>
      <w:proofErr w:type="gramEnd"/>
      <w:r w:rsidR="000A32EF" w:rsidRPr="007E77AF">
        <w:t xml:space="preserve"> apresentado na ordem específica </w:t>
      </w:r>
      <w:r w:rsidR="00331B8E" w:rsidRPr="007E77AF">
        <w:t xml:space="preserve">estabelecida </w:t>
      </w:r>
      <w:r w:rsidR="000A32EF" w:rsidRPr="007E77AF">
        <w:t xml:space="preserve">no </w:t>
      </w:r>
      <w:r w:rsidR="007739C2" w:rsidRPr="007E77AF">
        <w:t>respectivo a</w:t>
      </w:r>
      <w:r w:rsidR="000A32EF" w:rsidRPr="007E77AF">
        <w:t xml:space="preserve">nexo </w:t>
      </w:r>
      <w:r w:rsidR="007739C2" w:rsidRPr="007E77AF">
        <w:t>a esta Resolução</w:t>
      </w:r>
      <w:r w:rsidR="000A32EF" w:rsidRPr="007E77AF">
        <w:t>;</w:t>
      </w:r>
    </w:p>
    <w:p w14:paraId="0D4B4638" w14:textId="6C8B2197" w:rsidR="00390FFC" w:rsidRPr="007E77AF" w:rsidRDefault="009069A1" w:rsidP="001353DC">
      <w:pPr>
        <w:spacing w:before="120" w:after="120" w:line="312" w:lineRule="auto"/>
        <w:ind w:firstLine="567"/>
        <w:jc w:val="both"/>
      </w:pPr>
      <w:r w:rsidRPr="007E77AF">
        <w:t>II</w:t>
      </w:r>
      <w:r w:rsidR="00390FFC" w:rsidRPr="007E77AF">
        <w:t xml:space="preserve"> – </w:t>
      </w:r>
      <w:proofErr w:type="gramStart"/>
      <w:r w:rsidR="000A32EF" w:rsidRPr="007E77AF">
        <w:t>ter</w:t>
      </w:r>
      <w:proofErr w:type="gramEnd"/>
      <w:r w:rsidR="000A32EF" w:rsidRPr="007E77AF">
        <w:t xml:space="preserve"> apresentação e disposição que facilitem a leitura; </w:t>
      </w:r>
      <w:r w:rsidR="00323A1C" w:rsidRPr="007E77AF">
        <w:t>e</w:t>
      </w:r>
    </w:p>
    <w:p w14:paraId="35896240" w14:textId="2D05CCD1" w:rsidR="00D74986" w:rsidRPr="007E77AF" w:rsidRDefault="009069A1" w:rsidP="001353DC">
      <w:pPr>
        <w:spacing w:before="120" w:after="120" w:line="312" w:lineRule="auto"/>
        <w:ind w:firstLine="567"/>
        <w:jc w:val="both"/>
      </w:pPr>
      <w:r w:rsidRPr="007E77AF">
        <w:t>III</w:t>
      </w:r>
      <w:r w:rsidR="00390FFC" w:rsidRPr="007E77AF">
        <w:t xml:space="preserve"> – </w:t>
      </w:r>
      <w:r w:rsidR="000A32EF" w:rsidRPr="007E77AF">
        <w:t>ser escrito com caracteres de tamanho legível</w:t>
      </w:r>
      <w:r w:rsidR="66D352D7" w:rsidRPr="007E77AF">
        <w:t>.</w:t>
      </w:r>
    </w:p>
    <w:p w14:paraId="39F76CCA" w14:textId="77777777" w:rsidR="00D74986" w:rsidRPr="007E77AF" w:rsidRDefault="000A32EF" w:rsidP="00D74986">
      <w:pPr>
        <w:spacing w:before="120" w:after="120" w:line="312" w:lineRule="auto"/>
        <w:ind w:firstLine="567"/>
        <w:jc w:val="both"/>
      </w:pPr>
      <w:r w:rsidRPr="007E77AF">
        <w:t>§ 1</w:t>
      </w:r>
      <w:proofErr w:type="gramStart"/>
      <w:r w:rsidRPr="007E77AF">
        <w:t>º  As</w:t>
      </w:r>
      <w:proofErr w:type="gramEnd"/>
      <w:r w:rsidRPr="007E77AF">
        <w:t xml:space="preserve"> seções e subseções elencadas no</w:t>
      </w:r>
      <w:r w:rsidR="002069CB" w:rsidRPr="007E77AF">
        <w:t>s respectivos anexos</w:t>
      </w:r>
      <w:r w:rsidRPr="007E77AF">
        <w:t xml:space="preserve"> </w:t>
      </w:r>
      <w:r w:rsidR="002069CB" w:rsidRPr="007E77AF">
        <w:t xml:space="preserve">a esta Resolução </w:t>
      </w:r>
      <w:r w:rsidRPr="007E77AF">
        <w:t>não podem ser suprimidas, alteradas</w:t>
      </w:r>
      <w:r w:rsidR="004E474B" w:rsidRPr="007E77AF">
        <w:t>,</w:t>
      </w:r>
      <w:r w:rsidRPr="007E77AF">
        <w:t xml:space="preserve"> renomeadas</w:t>
      </w:r>
      <w:r w:rsidR="004E474B" w:rsidRPr="007E77AF">
        <w:t>, ou ter sua ordem alterada</w:t>
      </w:r>
      <w:r w:rsidRPr="007E77AF">
        <w:t>.</w:t>
      </w:r>
    </w:p>
    <w:p w14:paraId="4209C976" w14:textId="400FD1FB" w:rsidR="000A32EF" w:rsidRPr="007E77AF" w:rsidRDefault="000A32EF" w:rsidP="00D74986">
      <w:pPr>
        <w:spacing w:before="120" w:after="120" w:line="312" w:lineRule="auto"/>
        <w:ind w:firstLine="567"/>
        <w:jc w:val="both"/>
        <w:rPr>
          <w:b/>
          <w:bCs/>
          <w:lang w:eastAsia="en-US"/>
        </w:rPr>
      </w:pPr>
      <w:r w:rsidRPr="007E77AF">
        <w:t>§ 2</w:t>
      </w:r>
      <w:proofErr w:type="gramStart"/>
      <w:r w:rsidRPr="007E77AF">
        <w:t>º  A</w:t>
      </w:r>
      <w:proofErr w:type="gramEnd"/>
      <w:r w:rsidRPr="007E77AF">
        <w:t xml:space="preserve"> adição de seções que não constem do </w:t>
      </w:r>
      <w:r w:rsidR="007739C2" w:rsidRPr="007E77AF">
        <w:t>respectivo anexo a esta Resolução</w:t>
      </w:r>
      <w:r w:rsidRPr="007E77AF">
        <w:t xml:space="preserve"> deve ser realizada após as mandatórias.</w:t>
      </w:r>
    </w:p>
    <w:p w14:paraId="163157D6" w14:textId="581C12A9" w:rsidR="000A32EF" w:rsidRPr="007E77AF" w:rsidRDefault="00A13ECE" w:rsidP="006B018B">
      <w:pPr>
        <w:pStyle w:val="Seo"/>
      </w:pPr>
      <w:bookmarkStart w:id="85" w:name="_Toc476216314"/>
      <w:bookmarkStart w:id="86" w:name="_Toc108516035"/>
      <w:bookmarkStart w:id="87" w:name="_Toc108203066"/>
      <w:bookmarkStart w:id="88" w:name="_Toc136502806"/>
      <w:r w:rsidRPr="007E77AF">
        <w:t xml:space="preserve">Subseção II – Fatores de </w:t>
      </w:r>
      <w:r w:rsidR="50268D8F" w:rsidRPr="007E77AF">
        <w:t>R</w:t>
      </w:r>
      <w:r w:rsidRPr="007E77AF">
        <w:t>isco</w:t>
      </w:r>
      <w:bookmarkEnd w:id="85"/>
      <w:bookmarkEnd w:id="86"/>
      <w:bookmarkEnd w:id="87"/>
      <w:bookmarkEnd w:id="88"/>
    </w:p>
    <w:p w14:paraId="703CE93F" w14:textId="3B631A61" w:rsidR="00BB02E1" w:rsidRPr="007E77AF" w:rsidRDefault="009069A1" w:rsidP="001353DC">
      <w:pPr>
        <w:spacing w:before="120" w:after="120" w:line="312" w:lineRule="auto"/>
        <w:ind w:firstLine="567"/>
        <w:jc w:val="both"/>
      </w:pPr>
      <w:bookmarkStart w:id="89" w:name="_Ref460491460"/>
      <w:r w:rsidRPr="007E77AF">
        <w:t>Art. 19</w:t>
      </w:r>
      <w:r w:rsidR="00390FFC" w:rsidRPr="007E77AF">
        <w:t xml:space="preserve">.  </w:t>
      </w:r>
      <w:r w:rsidR="4EDA75B5" w:rsidRPr="007E77AF">
        <w:t xml:space="preserve">Os </w:t>
      </w:r>
      <w:r w:rsidR="27486621" w:rsidRPr="007E77AF">
        <w:t xml:space="preserve">principais </w:t>
      </w:r>
      <w:r w:rsidR="4EDA75B5" w:rsidRPr="007E77AF">
        <w:t xml:space="preserve">fatores de risco elencados no prospecto, conforme o inciso VI do art. </w:t>
      </w:r>
      <w:r w:rsidR="0086760A" w:rsidRPr="007E77AF">
        <w:rPr>
          <w:bCs/>
        </w:rPr>
        <w:t>17</w:t>
      </w:r>
      <w:r w:rsidR="4EDA75B5" w:rsidRPr="007E77AF">
        <w:t>, devem ser</w:t>
      </w:r>
      <w:r w:rsidR="00BB02E1" w:rsidRPr="007E77AF">
        <w:t>:</w:t>
      </w:r>
    </w:p>
    <w:p w14:paraId="2951AF9C" w14:textId="1793481B" w:rsidR="00BB02E1" w:rsidRPr="007E77AF" w:rsidRDefault="00BB02E1" w:rsidP="00BB02E1">
      <w:pPr>
        <w:pStyle w:val="PargrafodaLista"/>
        <w:spacing w:before="120" w:after="120" w:line="312" w:lineRule="auto"/>
        <w:ind w:left="567"/>
        <w:jc w:val="both"/>
      </w:pPr>
      <w:r w:rsidRPr="007E77AF">
        <w:t>I –</w:t>
      </w:r>
      <w:r w:rsidR="4EDA75B5" w:rsidRPr="007E77AF">
        <w:t xml:space="preserve"> </w:t>
      </w:r>
      <w:proofErr w:type="gramStart"/>
      <w:r w:rsidR="4EDA75B5" w:rsidRPr="007E77AF">
        <w:t>específicos</w:t>
      </w:r>
      <w:proofErr w:type="gramEnd"/>
      <w:r w:rsidR="4EDA75B5" w:rsidRPr="007E77AF">
        <w:t xml:space="preserve"> em relação ao </w:t>
      </w:r>
      <w:r w:rsidR="63340DB4" w:rsidRPr="007E77AF">
        <w:t>valor mobiliário</w:t>
      </w:r>
      <w:r w:rsidR="4EDA75B5" w:rsidRPr="007E77AF">
        <w:t xml:space="preserve">, à oferta, </w:t>
      </w:r>
      <w:r w:rsidR="394F1072" w:rsidRPr="007E77AF">
        <w:t xml:space="preserve">ao emissor </w:t>
      </w:r>
      <w:r w:rsidR="4EDA75B5" w:rsidRPr="007E77AF">
        <w:t>e ao terceiro garantidor</w:t>
      </w:r>
      <w:r w:rsidRPr="007E77AF">
        <w:t>; e</w:t>
      </w:r>
    </w:p>
    <w:p w14:paraId="55DA7EE7" w14:textId="374FA2B0" w:rsidR="00D74986" w:rsidRPr="007E77AF" w:rsidRDefault="00BB02E1" w:rsidP="00BB02E1">
      <w:pPr>
        <w:pStyle w:val="PargrafodaLista"/>
        <w:spacing w:before="120" w:after="120" w:line="312" w:lineRule="auto"/>
        <w:ind w:left="567"/>
        <w:jc w:val="both"/>
      </w:pPr>
      <w:r w:rsidRPr="007E77AF">
        <w:t xml:space="preserve">II – </w:t>
      </w:r>
      <w:proofErr w:type="gramStart"/>
      <w:r w:rsidR="4EDA75B5" w:rsidRPr="007E77AF">
        <w:t>materiais</w:t>
      </w:r>
      <w:proofErr w:type="gramEnd"/>
      <w:r w:rsidR="4EDA75B5" w:rsidRPr="007E77AF">
        <w:t xml:space="preserve"> para a tomada de decisão de investimento</w:t>
      </w:r>
      <w:r w:rsidR="63340DB4" w:rsidRPr="007E77AF">
        <w:rPr>
          <w:bCs/>
        </w:rPr>
        <w:t>.</w:t>
      </w:r>
      <w:bookmarkEnd w:id="89"/>
    </w:p>
    <w:p w14:paraId="1B9407F0" w14:textId="5D155CBB" w:rsidR="00D74986" w:rsidRPr="007E77AF" w:rsidRDefault="002A0F03" w:rsidP="00D74986">
      <w:pPr>
        <w:spacing w:before="120" w:after="120" w:line="312" w:lineRule="auto"/>
        <w:ind w:firstLine="567"/>
        <w:jc w:val="both"/>
      </w:pPr>
      <w:r w:rsidRPr="007E77AF">
        <w:t>§ 1</w:t>
      </w:r>
      <w:proofErr w:type="gramStart"/>
      <w:r w:rsidRPr="007E77AF">
        <w:t>º  A</w:t>
      </w:r>
      <w:proofErr w:type="gramEnd"/>
      <w:r w:rsidRPr="007E77AF">
        <w:t xml:space="preserve"> materialidade de cada fator de risco </w:t>
      </w:r>
      <w:r w:rsidR="2FD10A09" w:rsidRPr="007E77AF">
        <w:t xml:space="preserve">relativo ao emissor </w:t>
      </w:r>
      <w:r w:rsidRPr="007E77AF">
        <w:t xml:space="preserve">deve ser </w:t>
      </w:r>
      <w:r w:rsidR="00707161" w:rsidRPr="007E77AF">
        <w:t xml:space="preserve">compatível com </w:t>
      </w:r>
      <w:r w:rsidRPr="007E77AF">
        <w:t xml:space="preserve">o conteúdo do </w:t>
      </w:r>
      <w:r w:rsidR="008035DD" w:rsidRPr="007E77AF">
        <w:t xml:space="preserve">respectivo </w:t>
      </w:r>
      <w:r w:rsidR="5C8ECFA7" w:rsidRPr="007E77AF">
        <w:t>f</w:t>
      </w:r>
      <w:r w:rsidRPr="007E77AF">
        <w:t xml:space="preserve">ormulário de </w:t>
      </w:r>
      <w:r w:rsidR="26A094B4" w:rsidRPr="007E77AF">
        <w:t>r</w:t>
      </w:r>
      <w:r w:rsidR="008035DD" w:rsidRPr="007E77AF">
        <w:t>eferência</w:t>
      </w:r>
      <w:r w:rsidR="00790ECD" w:rsidRPr="007E77AF">
        <w:t>, nos casos em que e</w:t>
      </w:r>
      <w:r w:rsidR="101CDFA4" w:rsidRPr="007E77AF">
        <w:t>ss</w:t>
      </w:r>
      <w:r w:rsidR="00805C92" w:rsidRPr="007E77AF">
        <w:t>e é exigido pela regulamentação</w:t>
      </w:r>
      <w:r w:rsidRPr="007E77AF">
        <w:t>.</w:t>
      </w:r>
    </w:p>
    <w:p w14:paraId="30C89268" w14:textId="0F24B8B9" w:rsidR="00D74986" w:rsidRPr="007E77AF" w:rsidRDefault="002A0F03" w:rsidP="701A4F5C">
      <w:pPr>
        <w:spacing w:before="120" w:after="120" w:line="312" w:lineRule="auto"/>
        <w:ind w:firstLine="567"/>
        <w:jc w:val="both"/>
      </w:pPr>
      <w:r w:rsidRPr="007E77AF">
        <w:t>§ 2</w:t>
      </w:r>
      <w:proofErr w:type="gramStart"/>
      <w:r w:rsidRPr="007E77AF">
        <w:t>º  O</w:t>
      </w:r>
      <w:proofErr w:type="gramEnd"/>
      <w:r w:rsidRPr="007E77AF">
        <w:t xml:space="preserve"> ofertante deve avaliar a materialidade dos fatores </w:t>
      </w:r>
      <w:r w:rsidR="00963DCD">
        <w:t xml:space="preserve">de </w:t>
      </w:r>
      <w:r w:rsidRPr="007E77AF">
        <w:t xml:space="preserve">risco durante a elaboração do prospecto com base </w:t>
      </w:r>
      <w:r w:rsidR="00B43968" w:rsidRPr="007E77AF">
        <w:t>na</w:t>
      </w:r>
      <w:r w:rsidRPr="007E77AF">
        <w:t xml:space="preserve"> probabilidade de ocorrência e </w:t>
      </w:r>
      <w:r w:rsidR="00E04DD0" w:rsidRPr="007E77AF">
        <w:t xml:space="preserve">na </w:t>
      </w:r>
      <w:r w:rsidRPr="007E77AF">
        <w:t>magnitude do impacto negativo</w:t>
      </w:r>
      <w:r w:rsidR="3E69F94B" w:rsidRPr="007E77AF">
        <w:t>, caso concretizado</w:t>
      </w:r>
      <w:r w:rsidRPr="007E77AF">
        <w:t>.</w:t>
      </w:r>
    </w:p>
    <w:p w14:paraId="7EA60114" w14:textId="5DE7F4D9" w:rsidR="00D74986" w:rsidRPr="007E77AF" w:rsidRDefault="002A0F03" w:rsidP="00D74986">
      <w:pPr>
        <w:spacing w:before="120" w:after="120" w:line="312" w:lineRule="auto"/>
        <w:ind w:firstLine="567"/>
        <w:jc w:val="both"/>
        <w:rPr>
          <w:bCs/>
        </w:rPr>
      </w:pPr>
      <w:r w:rsidRPr="007E77AF">
        <w:rPr>
          <w:bCs/>
        </w:rPr>
        <w:lastRenderedPageBreak/>
        <w:t>§ 3</w:t>
      </w:r>
      <w:proofErr w:type="gramStart"/>
      <w:r w:rsidRPr="007E77AF">
        <w:rPr>
          <w:bCs/>
        </w:rPr>
        <w:t>º  Deve</w:t>
      </w:r>
      <w:proofErr w:type="gramEnd"/>
      <w:r w:rsidRPr="007E77AF">
        <w:rPr>
          <w:bCs/>
        </w:rPr>
        <w:t xml:space="preserve"> ser apresentada uma descrição adequada de como cada fator de risco elencado </w:t>
      </w:r>
      <w:r w:rsidR="00B054F3" w:rsidRPr="007E77AF">
        <w:rPr>
          <w:bCs/>
        </w:rPr>
        <w:t xml:space="preserve">pode </w:t>
      </w:r>
      <w:r w:rsidRPr="007E77AF">
        <w:rPr>
          <w:bCs/>
        </w:rPr>
        <w:t>afeta</w:t>
      </w:r>
      <w:r w:rsidR="00B054F3" w:rsidRPr="007E77AF">
        <w:rPr>
          <w:bCs/>
        </w:rPr>
        <w:t>r</w:t>
      </w:r>
      <w:r w:rsidRPr="007E77AF">
        <w:rPr>
          <w:bCs/>
        </w:rPr>
        <w:t xml:space="preserve"> o emissor, o </w:t>
      </w:r>
      <w:r w:rsidR="71433803" w:rsidRPr="007E77AF">
        <w:t>valor mobiliário</w:t>
      </w:r>
      <w:r w:rsidRPr="007E77AF">
        <w:rPr>
          <w:bCs/>
        </w:rPr>
        <w:t xml:space="preserve">, e o terceiro garantidor, sendo aceito que a materialidade seja expressa em uma escala qualitativa de risco </w:t>
      </w:r>
      <w:r w:rsidR="00AD68CF" w:rsidRPr="007E77AF">
        <w:rPr>
          <w:bCs/>
        </w:rPr>
        <w:t>“</w:t>
      </w:r>
      <w:r w:rsidR="00835E37" w:rsidRPr="007E77AF">
        <w:rPr>
          <w:bCs/>
        </w:rPr>
        <w:t>menor, médio e maior</w:t>
      </w:r>
      <w:r w:rsidR="00AD68CF" w:rsidRPr="007E77AF">
        <w:rPr>
          <w:bCs/>
        </w:rPr>
        <w:t>”</w:t>
      </w:r>
      <w:r w:rsidRPr="007E77AF">
        <w:rPr>
          <w:bCs/>
        </w:rPr>
        <w:t>.</w:t>
      </w:r>
    </w:p>
    <w:p w14:paraId="52F9F776" w14:textId="3748254E" w:rsidR="002A0F03" w:rsidRPr="007E77AF" w:rsidRDefault="002A0F03" w:rsidP="00D74986">
      <w:pPr>
        <w:spacing w:before="120" w:after="120" w:line="312" w:lineRule="auto"/>
        <w:ind w:firstLine="567"/>
        <w:jc w:val="both"/>
        <w:rPr>
          <w:bCs/>
        </w:rPr>
      </w:pPr>
      <w:r w:rsidRPr="007E77AF">
        <w:rPr>
          <w:bCs/>
        </w:rPr>
        <w:t>§ 4</w:t>
      </w:r>
      <w:proofErr w:type="gramStart"/>
      <w:r w:rsidRPr="007E77AF">
        <w:rPr>
          <w:bCs/>
        </w:rPr>
        <w:t>º  Os</w:t>
      </w:r>
      <w:proofErr w:type="gramEnd"/>
      <w:r w:rsidRPr="007E77AF">
        <w:rPr>
          <w:bCs/>
        </w:rPr>
        <w:t xml:space="preserve"> fatores de risco devem ser </w:t>
      </w:r>
      <w:r w:rsidR="203BE03F" w:rsidRPr="007E77AF">
        <w:t>dispostos</w:t>
      </w:r>
      <w:r w:rsidR="1D3FFB80" w:rsidRPr="007E77AF">
        <w:t xml:space="preserve"> </w:t>
      </w:r>
      <w:r w:rsidR="7B40A1A0" w:rsidRPr="007E77AF">
        <w:t xml:space="preserve">de maneira que </w:t>
      </w:r>
      <w:r w:rsidRPr="007E77AF">
        <w:rPr>
          <w:bCs/>
        </w:rPr>
        <w:t xml:space="preserve">o fator de maior </w:t>
      </w:r>
      <w:r w:rsidR="004750F1" w:rsidRPr="007E77AF">
        <w:rPr>
          <w:bCs/>
        </w:rPr>
        <w:t>materialidade</w:t>
      </w:r>
      <w:r w:rsidRPr="007E77AF">
        <w:rPr>
          <w:bCs/>
        </w:rPr>
        <w:t xml:space="preserve"> </w:t>
      </w:r>
      <w:r w:rsidR="1147D838" w:rsidRPr="007E77AF">
        <w:t>se</w:t>
      </w:r>
      <w:r w:rsidR="1C3826B8" w:rsidRPr="007E77AF">
        <w:t>ja</w:t>
      </w:r>
      <w:r w:rsidRPr="007E77AF">
        <w:rPr>
          <w:bCs/>
        </w:rPr>
        <w:t xml:space="preserve"> apresentado em primeiro lugar</w:t>
      </w:r>
      <w:r w:rsidR="0077717B" w:rsidRPr="007E77AF">
        <w:rPr>
          <w:bCs/>
        </w:rPr>
        <w:t>, seguido pelos demais em ordem decrescente</w:t>
      </w:r>
      <w:r w:rsidRPr="007E77AF">
        <w:rPr>
          <w:bCs/>
        </w:rPr>
        <w:t>.</w:t>
      </w:r>
    </w:p>
    <w:p w14:paraId="69390969" w14:textId="3C3CF52A" w:rsidR="00E10F7B" w:rsidRPr="007E77AF" w:rsidRDefault="00A13ECE">
      <w:pPr>
        <w:pStyle w:val="Seo"/>
      </w:pPr>
      <w:bookmarkStart w:id="90" w:name="_Toc476216315"/>
      <w:bookmarkStart w:id="91" w:name="_Toc108516036"/>
      <w:bookmarkStart w:id="92" w:name="_Toc108203067"/>
      <w:bookmarkStart w:id="93" w:name="_Toc136502807"/>
      <w:r w:rsidRPr="007E77AF">
        <w:t xml:space="preserve">Subseção III – Prospecto </w:t>
      </w:r>
      <w:r w:rsidR="002F2B5E" w:rsidRPr="007E77AF">
        <w:t>P</w:t>
      </w:r>
      <w:r w:rsidRPr="007E77AF">
        <w:t>reliminar</w:t>
      </w:r>
      <w:bookmarkStart w:id="94" w:name="_Ref468634922"/>
      <w:bookmarkEnd w:id="90"/>
      <w:bookmarkEnd w:id="91"/>
      <w:bookmarkEnd w:id="92"/>
      <w:bookmarkEnd w:id="93"/>
    </w:p>
    <w:p w14:paraId="268C7F41" w14:textId="56AF7882" w:rsidR="00E10F7B" w:rsidRPr="007E77AF" w:rsidRDefault="00E10F7B" w:rsidP="001353DC">
      <w:pPr>
        <w:spacing w:before="120" w:after="120" w:line="312" w:lineRule="auto"/>
        <w:ind w:firstLine="567"/>
        <w:jc w:val="both"/>
      </w:pPr>
      <w:r w:rsidRPr="007E77AF">
        <w:t>Art. 20.  O prospecto preliminar deve atender a todas as condições de um prospecto definitivo, exceto por não conter:</w:t>
      </w:r>
    </w:p>
    <w:p w14:paraId="041C630A" w14:textId="7A656011" w:rsidR="00E10F7B" w:rsidRPr="007E77AF" w:rsidRDefault="00E10F7B" w:rsidP="009069A1">
      <w:pPr>
        <w:spacing w:before="120" w:after="120" w:line="312" w:lineRule="auto"/>
        <w:ind w:firstLine="567"/>
        <w:jc w:val="both"/>
      </w:pPr>
      <w:r w:rsidRPr="007E77AF">
        <w:t xml:space="preserve">I – </w:t>
      </w:r>
      <w:proofErr w:type="gramStart"/>
      <w:r w:rsidRPr="007E77AF">
        <w:t>o</w:t>
      </w:r>
      <w:proofErr w:type="gramEnd"/>
      <w:r w:rsidRPr="007E77AF">
        <w:t xml:space="preserve"> número de registro da oferta na CVM;</w:t>
      </w:r>
      <w:r w:rsidR="000536F2">
        <w:t xml:space="preserve"> e</w:t>
      </w:r>
    </w:p>
    <w:p w14:paraId="12A22555" w14:textId="448BB4EF" w:rsidR="00A72F69" w:rsidRPr="007E77AF" w:rsidRDefault="00E10F7B" w:rsidP="009069A1">
      <w:pPr>
        <w:spacing w:before="120" w:after="120" w:line="312" w:lineRule="auto"/>
        <w:ind w:firstLine="567"/>
        <w:jc w:val="both"/>
      </w:pPr>
      <w:r w:rsidRPr="007E77AF">
        <w:t xml:space="preserve">II – </w:t>
      </w:r>
      <w:proofErr w:type="gramStart"/>
      <w:r w:rsidR="00356C8E" w:rsidRPr="007E77AF">
        <w:t>o</w:t>
      </w:r>
      <w:proofErr w:type="gramEnd"/>
      <w:r w:rsidR="00356C8E" w:rsidRPr="007E77AF">
        <w:t xml:space="preserve"> preço ou a taxa de remuneração</w:t>
      </w:r>
      <w:r w:rsidR="003674A4" w:rsidRPr="007E77AF">
        <w:t xml:space="preserve"> definitivos</w:t>
      </w:r>
      <w:r w:rsidR="000536F2">
        <w:t>.</w:t>
      </w:r>
    </w:p>
    <w:p w14:paraId="320443D7" w14:textId="2ACCF3F6" w:rsidR="00D74986" w:rsidRPr="007E77AF" w:rsidRDefault="00D31462" w:rsidP="009069A1">
      <w:pPr>
        <w:spacing w:before="120" w:after="120" w:line="312" w:lineRule="auto"/>
        <w:ind w:firstLine="567"/>
        <w:jc w:val="both"/>
      </w:pPr>
      <w:r w:rsidRPr="007E77AF">
        <w:t>§ 1</w:t>
      </w:r>
      <w:proofErr w:type="gramStart"/>
      <w:r w:rsidRPr="007E77AF">
        <w:t>º</w:t>
      </w:r>
      <w:r w:rsidR="00AA4A38" w:rsidRPr="007E77AF">
        <w:t xml:space="preserve">  </w:t>
      </w:r>
      <w:r w:rsidR="00B45523" w:rsidRPr="007E77AF">
        <w:t>O</w:t>
      </w:r>
      <w:proofErr w:type="gramEnd"/>
      <w:r w:rsidR="00B45523" w:rsidRPr="007E77AF">
        <w:t xml:space="preserve"> pre</w:t>
      </w:r>
      <w:r w:rsidR="00CA4417" w:rsidRPr="007E77AF">
        <w:t>ço ou a taxa de re</w:t>
      </w:r>
      <w:r w:rsidR="00A268D0" w:rsidRPr="007E77AF">
        <w:t>muneração</w:t>
      </w:r>
      <w:r w:rsidR="00E60BF4" w:rsidRPr="007E77AF">
        <w:t xml:space="preserve"> previstos no inciso II do </w:t>
      </w:r>
      <w:r w:rsidR="00E60BF4" w:rsidRPr="007E77AF">
        <w:rPr>
          <w:b/>
          <w:bCs/>
        </w:rPr>
        <w:t>caput</w:t>
      </w:r>
      <w:r w:rsidR="00E60BF4" w:rsidRPr="007E77AF">
        <w:t xml:space="preserve"> podem ser apresentados sob</w:t>
      </w:r>
      <w:r w:rsidR="009042EE" w:rsidRPr="007E77AF">
        <w:t xml:space="preserve"> a forma de </w:t>
      </w:r>
      <w:r w:rsidR="00F3114C" w:rsidRPr="007E77AF">
        <w:t xml:space="preserve">faixa de variação, hipótese em que </w:t>
      </w:r>
      <w:r w:rsidR="009A003D" w:rsidRPr="007E77AF">
        <w:t xml:space="preserve">as demais informações que dela dependam devem ser </w:t>
      </w:r>
      <w:r w:rsidR="00B464A2" w:rsidRPr="007E77AF">
        <w:t>apresentadas, no mínimo, com base no valor médio da faixa de variação.</w:t>
      </w:r>
      <w:bookmarkEnd w:id="94"/>
    </w:p>
    <w:p w14:paraId="52C0D440" w14:textId="0BA7DE26" w:rsidR="00B90793" w:rsidRPr="007E77AF" w:rsidRDefault="00B90793" w:rsidP="001353DC">
      <w:pPr>
        <w:spacing w:before="120" w:after="120" w:line="312" w:lineRule="auto"/>
        <w:ind w:firstLine="567"/>
        <w:jc w:val="both"/>
      </w:pPr>
      <w:r w:rsidRPr="007E77AF">
        <w:t>§ 2</w:t>
      </w:r>
      <w:proofErr w:type="gramStart"/>
      <w:r w:rsidRPr="007E77AF">
        <w:t xml:space="preserve">º </w:t>
      </w:r>
      <w:r w:rsidR="003239B6" w:rsidRPr="007E77AF">
        <w:t xml:space="preserve"> O</w:t>
      </w:r>
      <w:proofErr w:type="gramEnd"/>
      <w:r w:rsidR="003239B6" w:rsidRPr="007E77AF">
        <w:t xml:space="preserve"> prospecto preliminar deve ser utilizado</w:t>
      </w:r>
      <w:r w:rsidR="00FD71E2" w:rsidRPr="007E77AF">
        <w:t>, até a divulgação do anúncio de início,</w:t>
      </w:r>
      <w:r w:rsidR="003239B6" w:rsidRPr="007E77AF">
        <w:t xml:space="preserve"> nas ofertas em que a divulgação de prospecto seja exigida e em que haja previsão de:</w:t>
      </w:r>
    </w:p>
    <w:p w14:paraId="263F10E2" w14:textId="0521156E" w:rsidR="00D74986" w:rsidRPr="007E77AF" w:rsidRDefault="009069A1" w:rsidP="001353DC">
      <w:pPr>
        <w:spacing w:before="120" w:after="120" w:line="312" w:lineRule="auto"/>
        <w:ind w:firstLine="567"/>
        <w:jc w:val="both"/>
      </w:pPr>
      <w:r w:rsidRPr="007E77AF">
        <w:t>I</w:t>
      </w:r>
      <w:r w:rsidR="003D1FD5" w:rsidRPr="007E77AF">
        <w:t xml:space="preserve"> </w:t>
      </w:r>
      <w:r w:rsidR="00E220BB" w:rsidRPr="007E77AF">
        <w:t>–</w:t>
      </w:r>
      <w:r w:rsidR="003D1FD5" w:rsidRPr="007E77AF">
        <w:t xml:space="preserve"> </w:t>
      </w:r>
      <w:proofErr w:type="gramStart"/>
      <w:r w:rsidR="003D1FD5" w:rsidRPr="007E77AF">
        <w:t>recebimento</w:t>
      </w:r>
      <w:proofErr w:type="gramEnd"/>
      <w:r w:rsidR="003D1FD5" w:rsidRPr="007E77AF">
        <w:t xml:space="preserve"> de reservas;</w:t>
      </w:r>
    </w:p>
    <w:p w14:paraId="409D7A1B" w14:textId="34AD0E13" w:rsidR="00D74986" w:rsidRPr="007E77AF" w:rsidRDefault="009069A1" w:rsidP="001353DC">
      <w:pPr>
        <w:spacing w:before="120" w:after="120" w:line="312" w:lineRule="auto"/>
        <w:ind w:firstLine="567"/>
        <w:jc w:val="both"/>
      </w:pPr>
      <w:r w:rsidRPr="007E77AF">
        <w:t>II</w:t>
      </w:r>
      <w:r w:rsidR="003D1FD5" w:rsidRPr="007E77AF">
        <w:t xml:space="preserve"> – </w:t>
      </w:r>
      <w:proofErr w:type="gramStart"/>
      <w:r w:rsidR="27186A61" w:rsidRPr="007E77AF">
        <w:t>p</w:t>
      </w:r>
      <w:r w:rsidR="003D1FD5" w:rsidRPr="007E77AF">
        <w:t>rocedimento</w:t>
      </w:r>
      <w:proofErr w:type="gramEnd"/>
      <w:r w:rsidR="003D1FD5" w:rsidRPr="007E77AF">
        <w:t xml:space="preserve"> de </w:t>
      </w:r>
      <w:r w:rsidR="5DC67D65" w:rsidRPr="007E77AF">
        <w:t>p</w:t>
      </w:r>
      <w:r w:rsidR="003D1FD5" w:rsidRPr="007E77AF">
        <w:t>recificação, com ou sem recebimento de reservas; ou</w:t>
      </w:r>
    </w:p>
    <w:p w14:paraId="0E452418" w14:textId="22C4BDB0" w:rsidR="00D74986" w:rsidRPr="007E77AF" w:rsidRDefault="009069A1" w:rsidP="001353DC">
      <w:pPr>
        <w:spacing w:before="120" w:after="120" w:line="312" w:lineRule="auto"/>
        <w:ind w:firstLine="567"/>
        <w:jc w:val="both"/>
      </w:pPr>
      <w:r w:rsidRPr="007E77AF">
        <w:t>III</w:t>
      </w:r>
      <w:r w:rsidR="003D1FD5" w:rsidRPr="007E77AF">
        <w:t xml:space="preserve"> </w:t>
      </w:r>
      <w:r w:rsidR="00E220BB" w:rsidRPr="007E77AF">
        <w:t>–</w:t>
      </w:r>
      <w:r w:rsidR="003D1FD5" w:rsidRPr="007E77AF">
        <w:t xml:space="preserve"> utilização de material publicitári</w:t>
      </w:r>
      <w:r w:rsidR="00C624CE" w:rsidRPr="007E77AF">
        <w:t>o</w:t>
      </w:r>
      <w:r w:rsidR="003D1FD5" w:rsidRPr="007E77AF">
        <w:t>.</w:t>
      </w:r>
    </w:p>
    <w:p w14:paraId="3EC34798" w14:textId="1CC41F19" w:rsidR="00D74986" w:rsidRPr="007E77AF" w:rsidRDefault="00155E67" w:rsidP="00D74986">
      <w:pPr>
        <w:spacing w:before="120" w:after="120" w:line="312" w:lineRule="auto"/>
        <w:ind w:firstLine="567"/>
        <w:jc w:val="both"/>
      </w:pPr>
      <w:r w:rsidRPr="007E77AF">
        <w:t>§</w:t>
      </w:r>
      <w:r w:rsidR="57A996CD" w:rsidRPr="007E77AF">
        <w:t xml:space="preserve"> </w:t>
      </w:r>
      <w:r w:rsidR="00DD2E70" w:rsidRPr="007E77AF">
        <w:t>3</w:t>
      </w:r>
      <w:proofErr w:type="gramStart"/>
      <w:r w:rsidR="00DD2E70" w:rsidRPr="007E77AF">
        <w:t xml:space="preserve">º  </w:t>
      </w:r>
      <w:r w:rsidR="006F3BB2" w:rsidRPr="007E77AF">
        <w:t>Em</w:t>
      </w:r>
      <w:proofErr w:type="gramEnd"/>
      <w:r w:rsidR="006F3BB2" w:rsidRPr="007E77AF">
        <w:t xml:space="preserve"> adição aos dizeres previstos nos </w:t>
      </w:r>
      <w:r w:rsidR="00E220BB" w:rsidRPr="007E77AF">
        <w:t>A</w:t>
      </w:r>
      <w:r w:rsidR="006F3BB2" w:rsidRPr="007E77AF">
        <w:t xml:space="preserve">nexos </w:t>
      </w:r>
      <w:r w:rsidR="00E220BB" w:rsidRPr="007E77AF">
        <w:t>“</w:t>
      </w:r>
      <w:r w:rsidR="006F3BB2" w:rsidRPr="007E77AF">
        <w:t>A</w:t>
      </w:r>
      <w:r w:rsidR="00E220BB" w:rsidRPr="007E77AF">
        <w:t>”</w:t>
      </w:r>
      <w:r w:rsidR="006F3BB2" w:rsidRPr="007E77AF">
        <w:t xml:space="preserve"> a </w:t>
      </w:r>
      <w:r w:rsidR="00E220BB" w:rsidRPr="007E77AF">
        <w:t>“</w:t>
      </w:r>
      <w:r w:rsidR="00194085">
        <w:t>E</w:t>
      </w:r>
      <w:r w:rsidR="00E220BB" w:rsidRPr="007E77AF">
        <w:t>”</w:t>
      </w:r>
      <w:r w:rsidR="006F3BB2" w:rsidRPr="007E77AF">
        <w:t>, o</w:t>
      </w:r>
      <w:r w:rsidRPr="007E77AF">
        <w:t xml:space="preserve">s seguintes dizeres devem constar da capa do </w:t>
      </w:r>
      <w:r w:rsidR="33410B92" w:rsidRPr="007E77AF">
        <w:t>p</w:t>
      </w:r>
      <w:r w:rsidRPr="007E77AF">
        <w:t xml:space="preserve">rospecto </w:t>
      </w:r>
      <w:r w:rsidR="1526B5D6" w:rsidRPr="007E77AF">
        <w:t>p</w:t>
      </w:r>
      <w:r w:rsidRPr="007E77AF">
        <w:t>reliminar, com destaque:</w:t>
      </w:r>
    </w:p>
    <w:p w14:paraId="20E1CDE5" w14:textId="17C71437" w:rsidR="00D74986" w:rsidRPr="007E77AF" w:rsidRDefault="00155E67" w:rsidP="00D74986">
      <w:pPr>
        <w:spacing w:before="120" w:after="120" w:line="312" w:lineRule="auto"/>
        <w:ind w:firstLine="567"/>
        <w:jc w:val="both"/>
      </w:pPr>
      <w:r w:rsidRPr="007E77AF">
        <w:t xml:space="preserve">I </w:t>
      </w:r>
      <w:r w:rsidR="00447023" w:rsidRPr="007E77AF">
        <w:t>–</w:t>
      </w:r>
      <w:r w:rsidRPr="007E77AF">
        <w:t xml:space="preserve"> “</w:t>
      </w:r>
      <w:r w:rsidR="00B04415" w:rsidRPr="007E77AF">
        <w:t>PROSPECTO PRELIMINAR</w:t>
      </w:r>
      <w:r w:rsidRPr="007E77AF">
        <w:t>” e a respectiva data de edição;</w:t>
      </w:r>
    </w:p>
    <w:p w14:paraId="04BB00E1" w14:textId="613FC81E" w:rsidR="00D74986" w:rsidRPr="007E77AF" w:rsidRDefault="00155E67" w:rsidP="00D74986">
      <w:pPr>
        <w:spacing w:before="120" w:after="120" w:line="312" w:lineRule="auto"/>
        <w:ind w:firstLine="567"/>
        <w:jc w:val="both"/>
      </w:pPr>
      <w:r w:rsidRPr="007E77AF">
        <w:t xml:space="preserve">II </w:t>
      </w:r>
      <w:r w:rsidR="00447023" w:rsidRPr="007E77AF">
        <w:t>–</w:t>
      </w:r>
      <w:r w:rsidR="00B70274" w:rsidRPr="007E77AF">
        <w:t xml:space="preserve"> </w:t>
      </w:r>
      <w:r w:rsidRPr="007E77AF">
        <w:t xml:space="preserve">“O </w:t>
      </w:r>
      <w:r w:rsidR="154EDBA6" w:rsidRPr="007E77AF">
        <w:t>p</w:t>
      </w:r>
      <w:r w:rsidRPr="007E77AF">
        <w:t xml:space="preserve">rospecto </w:t>
      </w:r>
      <w:r w:rsidR="00972947" w:rsidRPr="007E77AF">
        <w:t>d</w:t>
      </w:r>
      <w:r w:rsidRPr="007E77AF">
        <w:t xml:space="preserve">efinitivo estará disponível </w:t>
      </w:r>
      <w:r w:rsidR="004750F1" w:rsidRPr="007E77AF">
        <w:t>em [</w:t>
      </w:r>
      <w:r w:rsidRPr="007E77AF">
        <w:t>páginas da rede mundial de computadores</w:t>
      </w:r>
      <w:r w:rsidR="00447023" w:rsidRPr="007E77AF">
        <w:t xml:space="preserve"> do ofertante,</w:t>
      </w:r>
      <w:r w:rsidR="00BA1191" w:rsidRPr="007E77AF">
        <w:t xml:space="preserve"> </w:t>
      </w:r>
      <w:r w:rsidR="009E0AC6">
        <w:t>dos coordenadores</w:t>
      </w:r>
      <w:r w:rsidR="00BD1E00" w:rsidRPr="007E77AF">
        <w:t>,</w:t>
      </w:r>
      <w:r w:rsidRPr="007E77AF">
        <w:t xml:space="preserve"> das instituições</w:t>
      </w:r>
      <w:r w:rsidR="00335068">
        <w:t xml:space="preserve"> participantes</w:t>
      </w:r>
      <w:r w:rsidRPr="007E77AF">
        <w:t xml:space="preserve"> do consórcio de distribuição</w:t>
      </w:r>
      <w:r w:rsidR="00447023" w:rsidRPr="007E77AF">
        <w:t>, se houver</w:t>
      </w:r>
      <w:r w:rsidR="00BD1E00" w:rsidRPr="007E77AF">
        <w:t>,</w:t>
      </w:r>
      <w:r w:rsidR="00BA1191" w:rsidRPr="007E77AF">
        <w:t xml:space="preserve"> </w:t>
      </w:r>
      <w:r w:rsidRPr="007E77AF">
        <w:t xml:space="preserve">das entidades administradoras de mercado organizado de valores mobiliários </w:t>
      </w:r>
      <w:r w:rsidR="00EC1266" w:rsidRPr="007E77AF">
        <w:t>no qual</w:t>
      </w:r>
      <w:r w:rsidRPr="007E77AF">
        <w:t xml:space="preserve"> os valores mobiliários </w:t>
      </w:r>
      <w:r w:rsidR="00BD1E00" w:rsidRPr="007E77AF">
        <w:t xml:space="preserve">do </w:t>
      </w:r>
      <w:r w:rsidRPr="007E77AF">
        <w:t>emissor sejam admitidos à negociação e da CVM</w:t>
      </w:r>
      <w:r w:rsidR="007E1659" w:rsidRPr="007E77AF">
        <w:t>.</w:t>
      </w:r>
      <w:r w:rsidR="00683AF3" w:rsidRPr="007E77AF">
        <w:t>]</w:t>
      </w:r>
      <w:r w:rsidR="007E1659" w:rsidRPr="007E77AF">
        <w:t>”;</w:t>
      </w:r>
    </w:p>
    <w:p w14:paraId="156C404D" w14:textId="40413B29" w:rsidR="00D74986" w:rsidRPr="007E77AF" w:rsidRDefault="512F21FC" w:rsidP="00D74986">
      <w:pPr>
        <w:spacing w:before="120" w:after="120" w:line="312" w:lineRule="auto"/>
        <w:ind w:firstLine="567"/>
        <w:jc w:val="both"/>
      </w:pPr>
      <w:r w:rsidRPr="007E77AF">
        <w:t xml:space="preserve">III </w:t>
      </w:r>
      <w:r w:rsidR="589E2594" w:rsidRPr="007E77AF">
        <w:t>–</w:t>
      </w:r>
      <w:r w:rsidR="24312D1B" w:rsidRPr="007E77AF">
        <w:t xml:space="preserve"> </w:t>
      </w:r>
      <w:r w:rsidRPr="007E77AF">
        <w:t>“É admissível o recebimento de reservas, a partir d</w:t>
      </w:r>
      <w:r w:rsidR="001E1543" w:rsidRPr="007E77AF">
        <w:t>e</w:t>
      </w:r>
      <w:r w:rsidRPr="007E77AF">
        <w:t xml:space="preserve"> </w:t>
      </w:r>
      <w:r w:rsidR="589E2594" w:rsidRPr="007E77AF">
        <w:t>[</w:t>
      </w:r>
      <w:r w:rsidR="31741AE0" w:rsidRPr="007E77AF">
        <w:t>dia</w:t>
      </w:r>
      <w:r w:rsidR="589E2594" w:rsidRPr="007E77AF">
        <w:t>] de [</w:t>
      </w:r>
      <w:r w:rsidR="27B473B0" w:rsidRPr="007E77AF">
        <w:t>mês</w:t>
      </w:r>
      <w:r w:rsidR="589E2594" w:rsidRPr="007E77AF">
        <w:t>] de [</w:t>
      </w:r>
      <w:r w:rsidR="1BD1FB91" w:rsidRPr="007E77AF">
        <w:t>ano</w:t>
      </w:r>
      <w:r w:rsidR="589E2594" w:rsidRPr="007E77AF">
        <w:t>].</w:t>
      </w:r>
      <w:r w:rsidRPr="007E77AF">
        <w:t xml:space="preserve"> </w:t>
      </w:r>
      <w:r w:rsidR="589E2594" w:rsidRPr="007E77AF">
        <w:t>Os pedidos de reserva</w:t>
      </w:r>
      <w:r w:rsidRPr="007E77AF">
        <w:t xml:space="preserve"> são irrevogáveis e serão </w:t>
      </w:r>
      <w:r w:rsidR="14508C54" w:rsidRPr="007E77AF">
        <w:t>quita</w:t>
      </w:r>
      <w:r w:rsidRPr="007E77AF">
        <w:t>d</w:t>
      </w:r>
      <w:r w:rsidR="589E2594" w:rsidRPr="007E77AF">
        <w:t>o</w:t>
      </w:r>
      <w:r w:rsidRPr="007E77AF">
        <w:t>s após o início do período de distribuição</w:t>
      </w:r>
      <w:r w:rsidR="589E2594" w:rsidRPr="007E77AF">
        <w:t xml:space="preserve"> conforme os termos e </w:t>
      </w:r>
      <w:r w:rsidR="1CFC16BE" w:rsidRPr="007E77AF">
        <w:t xml:space="preserve">condições </w:t>
      </w:r>
      <w:r w:rsidR="589E2594" w:rsidRPr="007E77AF">
        <w:t>da oferta</w:t>
      </w:r>
      <w:r w:rsidRPr="007E77AF">
        <w:t xml:space="preserve">.”, exclusivamente na </w:t>
      </w:r>
      <w:r w:rsidR="24312D1B" w:rsidRPr="007E77AF">
        <w:t>hipótese de estar previsto o recebimento de reservas para subscrição ou aquisição</w:t>
      </w:r>
      <w:r w:rsidR="1CEBBEA6" w:rsidRPr="007E77AF">
        <w:t>;</w:t>
      </w:r>
    </w:p>
    <w:p w14:paraId="7311137C" w14:textId="5B34D0B5" w:rsidR="00D74986" w:rsidRPr="007E77AF" w:rsidRDefault="0688E43A" w:rsidP="00D74986">
      <w:pPr>
        <w:spacing w:before="120" w:after="120" w:line="312" w:lineRule="auto"/>
        <w:ind w:firstLine="567"/>
        <w:jc w:val="both"/>
      </w:pPr>
      <w:r w:rsidRPr="007E77AF">
        <w:lastRenderedPageBreak/>
        <w:t xml:space="preserve">IV – </w:t>
      </w:r>
      <w:r w:rsidR="00104C84" w:rsidRPr="007E77AF">
        <w:t>“</w:t>
      </w:r>
      <w:r w:rsidRPr="007E77AF">
        <w:t xml:space="preserve">As informações contidas neste </w:t>
      </w:r>
      <w:r w:rsidR="2548B4CC" w:rsidRPr="007E77AF">
        <w:t>p</w:t>
      </w:r>
      <w:r w:rsidRPr="007E77AF">
        <w:t xml:space="preserve">rospecto </w:t>
      </w:r>
      <w:r w:rsidR="5FA34B17" w:rsidRPr="007E77AF">
        <w:t>p</w:t>
      </w:r>
      <w:r w:rsidRPr="007E77AF">
        <w:t>reliminar estão sob análise da Comissão de Valores Mobiliários</w:t>
      </w:r>
      <w:r w:rsidR="002C29DD" w:rsidRPr="007E77AF">
        <w:t xml:space="preserve"> - CVM</w:t>
      </w:r>
      <w:r w:rsidRPr="007E77AF">
        <w:t>, a qual ainda não se manifestou a seu respeito.</w:t>
      </w:r>
      <w:r w:rsidR="00104C84" w:rsidRPr="007E77AF">
        <w:t>”, nos casos de oferta com rito</w:t>
      </w:r>
      <w:r w:rsidR="002F16A3" w:rsidRPr="007E77AF">
        <w:t xml:space="preserve"> de registro</w:t>
      </w:r>
      <w:r w:rsidR="00104C84" w:rsidRPr="007E77AF">
        <w:t xml:space="preserve"> ordin</w:t>
      </w:r>
      <w:r w:rsidR="002C29DD" w:rsidRPr="007E77AF">
        <w:t>á</w:t>
      </w:r>
      <w:r w:rsidR="00104C84" w:rsidRPr="007E77AF">
        <w:t>rio de distribuição;</w:t>
      </w:r>
      <w:r w:rsidRPr="007E77AF">
        <w:t xml:space="preserve"> </w:t>
      </w:r>
      <w:r w:rsidR="002C29DD" w:rsidRPr="007E77AF">
        <w:t>e</w:t>
      </w:r>
    </w:p>
    <w:p w14:paraId="237675E9" w14:textId="2EA982D0" w:rsidR="00D74986" w:rsidRPr="007E77AF" w:rsidRDefault="42CE2A6A" w:rsidP="00D74986">
      <w:pPr>
        <w:spacing w:before="120" w:after="120" w:line="312" w:lineRule="auto"/>
        <w:ind w:firstLine="567"/>
        <w:jc w:val="both"/>
      </w:pPr>
      <w:r w:rsidRPr="007E77AF">
        <w:t xml:space="preserve">V – </w:t>
      </w:r>
      <w:r w:rsidR="002C29DD" w:rsidRPr="007E77AF">
        <w:t xml:space="preserve">“As informações contidas neste </w:t>
      </w:r>
      <w:r w:rsidR="190C052E" w:rsidRPr="007E77AF">
        <w:t>p</w:t>
      </w:r>
      <w:r w:rsidR="002C29DD" w:rsidRPr="007E77AF">
        <w:t xml:space="preserve">rospecto </w:t>
      </w:r>
      <w:r w:rsidR="7FC893FC" w:rsidRPr="007E77AF">
        <w:t>p</w:t>
      </w:r>
      <w:r w:rsidR="002C29DD" w:rsidRPr="007E77AF">
        <w:t xml:space="preserve">reliminar não foram analisadas pela Comissão de Valores Mobiliários – CVM.”, nos </w:t>
      </w:r>
      <w:r w:rsidRPr="007E77AF">
        <w:t xml:space="preserve">casos de </w:t>
      </w:r>
      <w:r w:rsidR="002C29DD" w:rsidRPr="007E77AF">
        <w:t xml:space="preserve">oferta com </w:t>
      </w:r>
      <w:r w:rsidRPr="007E77AF">
        <w:t xml:space="preserve">rito </w:t>
      </w:r>
      <w:r w:rsidR="002F16A3" w:rsidRPr="007E77AF">
        <w:t xml:space="preserve">de registro </w:t>
      </w:r>
      <w:r w:rsidR="002C29DD" w:rsidRPr="007E77AF">
        <w:t>automático</w:t>
      </w:r>
      <w:r w:rsidR="000C3A44" w:rsidRPr="007E77AF">
        <w:t xml:space="preserve"> </w:t>
      </w:r>
      <w:r w:rsidR="002C29DD" w:rsidRPr="007E77AF">
        <w:t>de distribuição.</w:t>
      </w:r>
    </w:p>
    <w:p w14:paraId="3C04B49D" w14:textId="1E6B339B" w:rsidR="00D74986" w:rsidRPr="007E77AF" w:rsidRDefault="7CCB16F1" w:rsidP="00D74986">
      <w:pPr>
        <w:spacing w:before="120" w:after="120" w:line="312" w:lineRule="auto"/>
        <w:ind w:firstLine="567"/>
        <w:jc w:val="both"/>
      </w:pPr>
      <w:r w:rsidRPr="007E77AF">
        <w:t xml:space="preserve">§ </w:t>
      </w:r>
      <w:r w:rsidR="00DD2E70" w:rsidRPr="007E77AF">
        <w:t>4</w:t>
      </w:r>
      <w:proofErr w:type="gramStart"/>
      <w:r w:rsidR="00DD2E70" w:rsidRPr="007E77AF">
        <w:t xml:space="preserve">º  </w:t>
      </w:r>
      <w:r w:rsidRPr="007E77AF">
        <w:t>Aplica</w:t>
      </w:r>
      <w:r w:rsidR="589E2594" w:rsidRPr="007E77AF">
        <w:t>m</w:t>
      </w:r>
      <w:proofErr w:type="gramEnd"/>
      <w:r w:rsidRPr="007E77AF">
        <w:t xml:space="preserve">-se ao </w:t>
      </w:r>
      <w:r w:rsidR="6E849C7A" w:rsidRPr="007E77AF">
        <w:t>p</w:t>
      </w:r>
      <w:r w:rsidRPr="007E77AF">
        <w:t xml:space="preserve">rospecto </w:t>
      </w:r>
      <w:r w:rsidR="6CB603B6" w:rsidRPr="007E77AF">
        <w:t>p</w:t>
      </w:r>
      <w:r w:rsidRPr="007E77AF">
        <w:t>reliminar</w:t>
      </w:r>
      <w:r w:rsidRPr="007E77AF">
        <w:rPr>
          <w:bCs/>
        </w:rPr>
        <w:t xml:space="preserve"> </w:t>
      </w:r>
      <w:r w:rsidR="2545D435" w:rsidRPr="007E77AF">
        <w:t>as disposições</w:t>
      </w:r>
      <w:r w:rsidR="2545D435" w:rsidRPr="007E77AF">
        <w:rPr>
          <w:bCs/>
        </w:rPr>
        <w:t xml:space="preserve"> </w:t>
      </w:r>
      <w:r w:rsidR="2545D435" w:rsidRPr="007E77AF">
        <w:t>do</w:t>
      </w:r>
      <w:r w:rsidR="24DCF670" w:rsidRPr="007E77AF">
        <w:t>s</w:t>
      </w:r>
      <w:r w:rsidR="2545D435" w:rsidRPr="007E77AF">
        <w:rPr>
          <w:bCs/>
        </w:rPr>
        <w:t xml:space="preserve"> </w:t>
      </w:r>
      <w:proofErr w:type="spellStart"/>
      <w:r w:rsidRPr="007E77AF">
        <w:t>art</w:t>
      </w:r>
      <w:r w:rsidR="24DCF670" w:rsidRPr="007E77AF">
        <w:t>s</w:t>
      </w:r>
      <w:proofErr w:type="spellEnd"/>
      <w:r w:rsidRPr="007E77AF">
        <w:rPr>
          <w:bCs/>
        </w:rPr>
        <w:t xml:space="preserve">. </w:t>
      </w:r>
      <w:r w:rsidR="0086760A" w:rsidRPr="007E77AF">
        <w:rPr>
          <w:bCs/>
        </w:rPr>
        <w:t>16</w:t>
      </w:r>
      <w:r w:rsidR="24DCF670" w:rsidRPr="007E77AF">
        <w:t xml:space="preserve"> a </w:t>
      </w:r>
      <w:r w:rsidR="0086760A" w:rsidRPr="007E77AF">
        <w:rPr>
          <w:bCs/>
        </w:rPr>
        <w:t>19</w:t>
      </w:r>
      <w:r w:rsidRPr="007E77AF">
        <w:rPr>
          <w:bCs/>
        </w:rPr>
        <w:t>.</w:t>
      </w:r>
    </w:p>
    <w:p w14:paraId="7FE70D8A" w14:textId="59192888" w:rsidR="00D74986" w:rsidRPr="007E77AF" w:rsidRDefault="00E90080" w:rsidP="006B018B">
      <w:pPr>
        <w:pStyle w:val="Seo"/>
      </w:pPr>
      <w:bookmarkStart w:id="95" w:name="_Toc476216316"/>
      <w:bookmarkStart w:id="96" w:name="_Toc108516037"/>
      <w:bookmarkStart w:id="97" w:name="_Toc108203068"/>
      <w:bookmarkStart w:id="98" w:name="_Toc136502808"/>
      <w:r w:rsidRPr="007E77AF">
        <w:t xml:space="preserve">Subseção IV – Tratamento </w:t>
      </w:r>
      <w:r w:rsidR="007C00AC" w:rsidRPr="007E77AF">
        <w:t xml:space="preserve">dos </w:t>
      </w:r>
      <w:r w:rsidR="003779E5" w:rsidRPr="007E77AF">
        <w:t xml:space="preserve">Casos </w:t>
      </w:r>
      <w:r w:rsidRPr="007E77AF">
        <w:t xml:space="preserve">de </w:t>
      </w:r>
      <w:r w:rsidR="003779E5" w:rsidRPr="007E77AF">
        <w:t xml:space="preserve">Informações </w:t>
      </w:r>
      <w:r w:rsidRPr="007E77AF">
        <w:t xml:space="preserve">não </w:t>
      </w:r>
      <w:r w:rsidR="000B7B54" w:rsidRPr="007E77AF">
        <w:t>C</w:t>
      </w:r>
      <w:r w:rsidRPr="007E77AF">
        <w:t>ontidas n</w:t>
      </w:r>
      <w:r w:rsidR="002574E7" w:rsidRPr="007E77AF">
        <w:t xml:space="preserve">o </w:t>
      </w:r>
      <w:r w:rsidR="003779E5" w:rsidRPr="007E77AF">
        <w:t>Prospecto</w:t>
      </w:r>
      <w:bookmarkEnd w:id="95"/>
      <w:bookmarkEnd w:id="96"/>
      <w:bookmarkEnd w:id="97"/>
      <w:bookmarkEnd w:id="98"/>
    </w:p>
    <w:p w14:paraId="6F6BB5DC" w14:textId="30D9FAF3" w:rsidR="00D74986" w:rsidRPr="007E77AF" w:rsidRDefault="009069A1" w:rsidP="001353DC">
      <w:pPr>
        <w:spacing w:before="120" w:after="120" w:line="312" w:lineRule="auto"/>
        <w:ind w:firstLine="567"/>
        <w:jc w:val="both"/>
      </w:pPr>
      <w:bookmarkStart w:id="99" w:name="_Ref460492141"/>
      <w:r w:rsidRPr="007E77AF">
        <w:t>Art. 21</w:t>
      </w:r>
      <w:r w:rsidR="272B5496" w:rsidRPr="007E77AF">
        <w:rPr>
          <w:bCs/>
        </w:rPr>
        <w:t>.</w:t>
      </w:r>
      <w:r w:rsidR="00907433" w:rsidRPr="007E77AF">
        <w:t xml:space="preserve"> </w:t>
      </w:r>
      <w:r w:rsidR="00BB330F">
        <w:t xml:space="preserve"> </w:t>
      </w:r>
      <w:r w:rsidR="00907433" w:rsidRPr="007E77AF">
        <w:t>Durante</w:t>
      </w:r>
      <w:r w:rsidR="55E7F5C0" w:rsidRPr="007E77AF">
        <w:t xml:space="preserve"> </w:t>
      </w:r>
      <w:r w:rsidR="6D6C37E2" w:rsidRPr="007E77AF">
        <w:t xml:space="preserve">o </w:t>
      </w:r>
      <w:r w:rsidR="00DF524D" w:rsidRPr="007E77AF">
        <w:t xml:space="preserve">intervalo </w:t>
      </w:r>
      <w:r w:rsidR="6D6C37E2" w:rsidRPr="007E77AF">
        <w:t>compreendido entre</w:t>
      </w:r>
      <w:r w:rsidR="272B5496" w:rsidRPr="007E77AF">
        <w:t xml:space="preserve"> </w:t>
      </w:r>
      <w:r w:rsidR="00F02783" w:rsidRPr="007E77AF">
        <w:t xml:space="preserve">o início do período </w:t>
      </w:r>
      <w:r w:rsidR="00856883" w:rsidRPr="007E77AF">
        <w:t>de</w:t>
      </w:r>
      <w:r w:rsidR="272B5496" w:rsidRPr="007E77AF">
        <w:t xml:space="preserve"> oferta a mercado </w:t>
      </w:r>
      <w:r w:rsidR="6D6C37E2" w:rsidRPr="007E77AF">
        <w:t xml:space="preserve">e o início </w:t>
      </w:r>
      <w:r w:rsidR="00EC77CA" w:rsidRPr="007E77AF">
        <w:t xml:space="preserve">do período </w:t>
      </w:r>
      <w:r w:rsidR="6D6C37E2" w:rsidRPr="007E77AF">
        <w:t>d</w:t>
      </w:r>
      <w:r w:rsidR="00EC77CA" w:rsidRPr="007E77AF">
        <w:t>e</w:t>
      </w:r>
      <w:r w:rsidR="6D6C37E2" w:rsidRPr="007E77AF">
        <w:t xml:space="preserve"> distribuição</w:t>
      </w:r>
      <w:r w:rsidR="55E7F5C0" w:rsidRPr="007E77AF">
        <w:rPr>
          <w:bCs/>
        </w:rPr>
        <w:t>,</w:t>
      </w:r>
      <w:r w:rsidR="6D6C37E2" w:rsidRPr="007E77AF">
        <w:rPr>
          <w:bCs/>
        </w:rPr>
        <w:t xml:space="preserve"> </w:t>
      </w:r>
      <w:r w:rsidR="00907433" w:rsidRPr="007E77AF">
        <w:t xml:space="preserve">na hipótese de </w:t>
      </w:r>
      <w:r w:rsidR="272B5496" w:rsidRPr="007E77AF">
        <w:t xml:space="preserve">informações </w:t>
      </w:r>
      <w:r w:rsidR="001F3703" w:rsidRPr="007E77AF">
        <w:t>relevantes</w:t>
      </w:r>
      <w:r w:rsidR="00D044DD" w:rsidRPr="007E77AF">
        <w:t xml:space="preserve"> </w:t>
      </w:r>
      <w:r w:rsidR="272B5496" w:rsidRPr="007E77AF">
        <w:t>terem sido fornecidas diretamente pelo ofertante, instituição</w:t>
      </w:r>
      <w:r w:rsidR="007A4EE6">
        <w:t xml:space="preserve"> participante do consórcio de distribuição</w:t>
      </w:r>
      <w:r w:rsidR="272B5496" w:rsidRPr="007E77AF">
        <w:t xml:space="preserve"> agindo em nome do ofertante, ou pessoas que com estes estejam trabalhando ou os assessorando de qualquer forma, a investidores específicos, incluindo as informações divulgadas no contexto de reuniões e apresentações relacionadas com a oferta, e </w:t>
      </w:r>
      <w:r w:rsidR="00340572">
        <w:t xml:space="preserve">observado </w:t>
      </w:r>
      <w:r w:rsidR="272B5496" w:rsidRPr="007E77AF">
        <w:t xml:space="preserve">o disposto nos </w:t>
      </w:r>
      <w:proofErr w:type="spellStart"/>
      <w:r w:rsidR="272B5496" w:rsidRPr="007E77AF">
        <w:t>arts</w:t>
      </w:r>
      <w:proofErr w:type="spellEnd"/>
      <w:r w:rsidR="272B5496" w:rsidRPr="007E77AF">
        <w:rPr>
          <w:bCs/>
        </w:rPr>
        <w:t>.</w:t>
      </w:r>
      <w:r w:rsidR="00F35F45" w:rsidRPr="007E77AF">
        <w:rPr>
          <w:bCs/>
        </w:rPr>
        <w:t xml:space="preserve"> </w:t>
      </w:r>
      <w:r w:rsidR="009229C2">
        <w:rPr>
          <w:bCs/>
        </w:rPr>
        <w:t>65</w:t>
      </w:r>
      <w:r w:rsidR="00F35F45" w:rsidRPr="007E77AF">
        <w:rPr>
          <w:bCs/>
        </w:rPr>
        <w:t xml:space="preserve">, </w:t>
      </w:r>
      <w:r w:rsidR="00F35F45" w:rsidRPr="007E77AF">
        <w:t>§</w:t>
      </w:r>
      <w:r w:rsidR="00E220BB" w:rsidRPr="007E77AF">
        <w:t xml:space="preserve"> </w:t>
      </w:r>
      <w:r w:rsidR="00F35F45" w:rsidRPr="007E77AF">
        <w:t>6º, inc</w:t>
      </w:r>
      <w:r w:rsidR="00253A4C" w:rsidRPr="007E77AF">
        <w:t>iso</w:t>
      </w:r>
      <w:r w:rsidR="00F35F45" w:rsidRPr="007E77AF">
        <w:t xml:space="preserve"> III, </w:t>
      </w:r>
      <w:r w:rsidR="009229C2">
        <w:t>67</w:t>
      </w:r>
      <w:r w:rsidR="009229C2" w:rsidRPr="007E77AF">
        <w:rPr>
          <w:bCs/>
        </w:rPr>
        <w:t xml:space="preserve"> </w:t>
      </w:r>
      <w:r w:rsidR="272B5496" w:rsidRPr="007E77AF">
        <w:t xml:space="preserve">a </w:t>
      </w:r>
      <w:r w:rsidR="009229C2">
        <w:rPr>
          <w:bCs/>
        </w:rPr>
        <w:t>69</w:t>
      </w:r>
      <w:r w:rsidR="55E7F5C0" w:rsidRPr="007E77AF">
        <w:t xml:space="preserve">, o ofertante e </w:t>
      </w:r>
      <w:r w:rsidR="00B979E1">
        <w:t>o</w:t>
      </w:r>
      <w:r w:rsidR="00B979E1" w:rsidRPr="007E77AF">
        <w:t xml:space="preserve"> </w:t>
      </w:r>
      <w:r w:rsidR="008F489E">
        <w:t>coordenador líder</w:t>
      </w:r>
      <w:r w:rsidR="55E7F5C0" w:rsidRPr="007E77AF">
        <w:t xml:space="preserve"> devem </w:t>
      </w:r>
      <w:r w:rsidR="343E7CE7" w:rsidRPr="007E77AF">
        <w:t>imediatamente</w:t>
      </w:r>
      <w:r w:rsidR="272B5496" w:rsidRPr="007E77AF">
        <w:rPr>
          <w:bCs/>
        </w:rPr>
        <w:t>:</w:t>
      </w:r>
      <w:bookmarkEnd w:id="99"/>
    </w:p>
    <w:p w14:paraId="4191EC47" w14:textId="2C7F2180" w:rsidR="005730E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w:t>
      </w:r>
      <w:r w:rsidR="005730EB" w:rsidRPr="007E77AF">
        <w:t xml:space="preserve"> </w:t>
      </w:r>
      <w:r w:rsidR="60A2E772" w:rsidRPr="007E77AF">
        <w:t>–</w:t>
      </w:r>
      <w:r w:rsidR="005730EB" w:rsidRPr="007E77AF">
        <w:rPr>
          <w:bCs/>
        </w:rPr>
        <w:t xml:space="preserve"> </w:t>
      </w:r>
      <w:proofErr w:type="gramStart"/>
      <w:r w:rsidR="005730EB" w:rsidRPr="007E77AF">
        <w:t>incluir</w:t>
      </w:r>
      <w:proofErr w:type="gramEnd"/>
      <w:r w:rsidR="005730EB" w:rsidRPr="007E77AF">
        <w:t xml:space="preserve"> tais informações no </w:t>
      </w:r>
      <w:r w:rsidR="6FD245F7" w:rsidRPr="007E77AF">
        <w:t>p</w:t>
      </w:r>
      <w:r w:rsidR="005730EB" w:rsidRPr="007E77AF">
        <w:t xml:space="preserve">rospecto </w:t>
      </w:r>
      <w:r w:rsidR="00FF03E3" w:rsidRPr="007E77AF">
        <w:t>p</w:t>
      </w:r>
      <w:r w:rsidR="005730EB" w:rsidRPr="007E77AF">
        <w:t>reliminar</w:t>
      </w:r>
      <w:r w:rsidR="00096F8F" w:rsidRPr="007E77AF">
        <w:rPr>
          <w:bCs/>
        </w:rPr>
        <w:t xml:space="preserve">, </w:t>
      </w:r>
      <w:r w:rsidR="00096F8F" w:rsidRPr="007E77AF">
        <w:t xml:space="preserve">utilizando os </w:t>
      </w:r>
      <w:r w:rsidR="00C0721A" w:rsidRPr="007E77AF">
        <w:t xml:space="preserve">locais e meios </w:t>
      </w:r>
      <w:r w:rsidR="00096F8F" w:rsidRPr="007E77AF">
        <w:t xml:space="preserve">de divulgação elencados no art. </w:t>
      </w:r>
      <w:r w:rsidR="0086760A" w:rsidRPr="007E77AF">
        <w:rPr>
          <w:bCs/>
        </w:rPr>
        <w:t>13</w:t>
      </w:r>
      <w:r w:rsidR="00096F8F" w:rsidRPr="007E77AF">
        <w:t xml:space="preserve"> para</w:t>
      </w:r>
      <w:r w:rsidR="00E82FA1" w:rsidRPr="007E77AF">
        <w:t xml:space="preserve"> sua disseminação</w:t>
      </w:r>
      <w:r w:rsidR="005730EB" w:rsidRPr="007E77AF">
        <w:t>; ou</w:t>
      </w:r>
    </w:p>
    <w:p w14:paraId="597931A1" w14:textId="5E059AEB"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w:t>
      </w:r>
      <w:r w:rsidR="00390FFC" w:rsidRPr="007E77AF">
        <w:t xml:space="preserve"> – </w:t>
      </w:r>
      <w:proofErr w:type="gramStart"/>
      <w:r w:rsidR="006C117E" w:rsidRPr="007E77AF">
        <w:t>nos</w:t>
      </w:r>
      <w:proofErr w:type="gramEnd"/>
      <w:r w:rsidR="006C117E" w:rsidRPr="007E77AF">
        <w:t xml:space="preserve"> casos previstos nesta Resolução em que é dispensada a elaboração de um prospecto, </w:t>
      </w:r>
      <w:r w:rsidR="005730EB" w:rsidRPr="007E77AF">
        <w:t>divulgar tais informações a todos os demais investidores a</w:t>
      </w:r>
      <w:r w:rsidR="00907433" w:rsidRPr="007E77AF">
        <w:t>os</w:t>
      </w:r>
      <w:r w:rsidR="005730EB" w:rsidRPr="007E77AF">
        <w:t xml:space="preserve"> </w:t>
      </w:r>
      <w:r w:rsidR="00907433" w:rsidRPr="007E77AF">
        <w:t xml:space="preserve">quais </w:t>
      </w:r>
      <w:r w:rsidR="005730EB" w:rsidRPr="007E77AF">
        <w:t xml:space="preserve">a oferta é dirigida, inclusive a parcela prevista no art. </w:t>
      </w:r>
      <w:r w:rsidR="00686783">
        <w:t>53</w:t>
      </w:r>
      <w:r w:rsidR="005730EB" w:rsidRPr="007E77AF">
        <w:t>.</w:t>
      </w:r>
    </w:p>
    <w:p w14:paraId="1998ACD4" w14:textId="18151C2A" w:rsidR="00C939B7" w:rsidRPr="007E77AF" w:rsidRDefault="009069A1" w:rsidP="001353DC">
      <w:pPr>
        <w:spacing w:before="120" w:after="120" w:line="312" w:lineRule="auto"/>
        <w:ind w:firstLine="567"/>
        <w:jc w:val="both"/>
      </w:pPr>
      <w:bookmarkStart w:id="100" w:name="_Ref464390899"/>
      <w:r w:rsidRPr="007E77AF">
        <w:t>Art. 22</w:t>
      </w:r>
      <w:r w:rsidR="7DF2ED34" w:rsidRPr="007E77AF">
        <w:t xml:space="preserve">.  </w:t>
      </w:r>
      <w:r w:rsidR="54717248" w:rsidRPr="007E77AF">
        <w:t xml:space="preserve">Na hipótese </w:t>
      </w:r>
      <w:r w:rsidR="7A968A22" w:rsidRPr="007E77AF">
        <w:t>em</w:t>
      </w:r>
      <w:r w:rsidR="54717248" w:rsidRPr="007E77AF">
        <w:t xml:space="preserve"> que se verifique, </w:t>
      </w:r>
      <w:r w:rsidR="0005082B" w:rsidRPr="007E77AF">
        <w:t xml:space="preserve">enquanto </w:t>
      </w:r>
      <w:r w:rsidR="54717248" w:rsidRPr="007E77AF">
        <w:t xml:space="preserve">a </w:t>
      </w:r>
      <w:r w:rsidR="00B52C65" w:rsidRPr="007E77AF">
        <w:t xml:space="preserve">oferta </w:t>
      </w:r>
      <w:r w:rsidR="00BD6A56" w:rsidRPr="007E77AF">
        <w:t>estiver</w:t>
      </w:r>
      <w:r w:rsidR="000F05ED" w:rsidRPr="007E77AF">
        <w:t xml:space="preserve"> </w:t>
      </w:r>
      <w:r w:rsidR="00797707" w:rsidRPr="007E77AF">
        <w:t>em distribuição</w:t>
      </w:r>
      <w:r w:rsidR="461EACE1" w:rsidRPr="007E77AF">
        <w:t xml:space="preserve">, </w:t>
      </w:r>
      <w:r w:rsidR="54717248" w:rsidRPr="007E77AF">
        <w:t xml:space="preserve">qualquer imprecisão ou mudança </w:t>
      </w:r>
      <w:r w:rsidR="00571F0B" w:rsidRPr="007E77AF">
        <w:t xml:space="preserve">relevante </w:t>
      </w:r>
      <w:r w:rsidR="54717248" w:rsidRPr="007E77AF">
        <w:t xml:space="preserve">nas informações contidas no </w:t>
      </w:r>
      <w:r w:rsidR="63D50A85" w:rsidRPr="007E77AF">
        <w:t>p</w:t>
      </w:r>
      <w:r w:rsidR="54717248" w:rsidRPr="007E77AF">
        <w:t xml:space="preserve">rospecto </w:t>
      </w:r>
      <w:r w:rsidR="4405CCA0" w:rsidRPr="007E77AF">
        <w:t>d</w:t>
      </w:r>
      <w:r w:rsidR="54717248" w:rsidRPr="007E77AF">
        <w:t xml:space="preserve">efinitivo, notadamente decorrentes de deficiência informacional ou de qualquer fato novo ou anterior não considerado no prospecto, </w:t>
      </w:r>
      <w:r w:rsidR="00252EBD">
        <w:t xml:space="preserve">de </w:t>
      </w:r>
      <w:r w:rsidR="54717248" w:rsidRPr="007E77AF">
        <w:t xml:space="preserve">que se tome conhecimento e </w:t>
      </w:r>
      <w:r w:rsidR="00252EBD">
        <w:t xml:space="preserve">que </w:t>
      </w:r>
      <w:r w:rsidR="54717248" w:rsidRPr="007E77AF">
        <w:t>seja relevante para a decisão de investimento</w:t>
      </w:r>
      <w:r w:rsidR="7DF2ED34" w:rsidRPr="007E77AF">
        <w:t xml:space="preserve">, o ofertante e </w:t>
      </w:r>
      <w:r w:rsidR="004337DE">
        <w:t>o</w:t>
      </w:r>
      <w:r w:rsidR="004337DE" w:rsidRPr="007E77AF">
        <w:t xml:space="preserve"> </w:t>
      </w:r>
      <w:r w:rsidR="008F489E">
        <w:t>coordenador líder</w:t>
      </w:r>
      <w:r w:rsidR="7DF2ED34" w:rsidRPr="007E77AF">
        <w:t xml:space="preserve"> </w:t>
      </w:r>
      <w:r w:rsidR="54717248" w:rsidRPr="007E77AF">
        <w:t xml:space="preserve">devem </w:t>
      </w:r>
      <w:r w:rsidR="7DF2ED34" w:rsidRPr="007E77AF">
        <w:t>suspender imediatamente a distribuição até que se proceda</w:t>
      </w:r>
      <w:r w:rsidR="00C939B7" w:rsidRPr="007E77AF">
        <w:t>:</w:t>
      </w:r>
    </w:p>
    <w:p w14:paraId="51E43E52" w14:textId="2434F010" w:rsidR="001B2E92" w:rsidRPr="007E77AF" w:rsidRDefault="00C939B7" w:rsidP="00C939B7">
      <w:pPr>
        <w:spacing w:before="120" w:after="120" w:line="312" w:lineRule="auto"/>
        <w:ind w:firstLine="567"/>
        <w:jc w:val="both"/>
      </w:pPr>
      <w:r w:rsidRPr="007E77AF">
        <w:t xml:space="preserve">I – </w:t>
      </w:r>
      <w:proofErr w:type="gramStart"/>
      <w:r w:rsidR="7DF2ED34" w:rsidRPr="007E77AF">
        <w:t>a</w:t>
      </w:r>
      <w:proofErr w:type="gramEnd"/>
      <w:r w:rsidRPr="007E77AF">
        <w:t xml:space="preserve"> </w:t>
      </w:r>
      <w:r w:rsidR="7DF2ED34" w:rsidRPr="007E77AF">
        <w:t xml:space="preserve">devida divulgação ao público da </w:t>
      </w:r>
      <w:r w:rsidR="5AA036CA" w:rsidRPr="007E77AF">
        <w:t>modificação da oferta</w:t>
      </w:r>
      <w:r w:rsidR="001B2E92" w:rsidRPr="007E77AF">
        <w:t>;</w:t>
      </w:r>
    </w:p>
    <w:p w14:paraId="63787C37" w14:textId="406B0695" w:rsidR="00E92B58" w:rsidRPr="007E77AF" w:rsidRDefault="001B2E92" w:rsidP="00C939B7">
      <w:pPr>
        <w:spacing w:before="120" w:after="120" w:line="312" w:lineRule="auto"/>
        <w:ind w:firstLine="567"/>
        <w:jc w:val="both"/>
      </w:pPr>
      <w:r w:rsidRPr="007E77AF">
        <w:t xml:space="preserve">II – </w:t>
      </w:r>
      <w:proofErr w:type="gramStart"/>
      <w:r w:rsidR="5AA036CA" w:rsidRPr="007E77AF">
        <w:t>a</w:t>
      </w:r>
      <w:proofErr w:type="gramEnd"/>
      <w:r w:rsidRPr="007E77AF">
        <w:t xml:space="preserve"> </w:t>
      </w:r>
      <w:r w:rsidR="7DF2ED34" w:rsidRPr="007E77AF">
        <w:t xml:space="preserve">complementação do </w:t>
      </w:r>
      <w:r w:rsidR="21D6E72E" w:rsidRPr="007E77AF">
        <w:t>prospecto</w:t>
      </w:r>
      <w:r w:rsidR="00E92B58" w:rsidRPr="007E77AF">
        <w:t xml:space="preserve"> ou publicação de suplemento;</w:t>
      </w:r>
    </w:p>
    <w:p w14:paraId="443832CE" w14:textId="151FC772" w:rsidR="00FC4291" w:rsidRPr="007E77AF" w:rsidRDefault="00BA4094" w:rsidP="00C939B7">
      <w:pPr>
        <w:spacing w:before="120" w:after="120" w:line="312" w:lineRule="auto"/>
        <w:ind w:firstLine="567"/>
        <w:jc w:val="both"/>
      </w:pPr>
      <w:r w:rsidRPr="007E77AF">
        <w:t xml:space="preserve">III – </w:t>
      </w:r>
      <w:r w:rsidR="00907433" w:rsidRPr="007E77AF">
        <w:t xml:space="preserve">a </w:t>
      </w:r>
      <w:r w:rsidRPr="007E77AF">
        <w:t>atualização da lâmina;</w:t>
      </w:r>
      <w:r w:rsidR="00700A45" w:rsidRPr="007E77AF">
        <w:t xml:space="preserve"> e</w:t>
      </w:r>
    </w:p>
    <w:p w14:paraId="22777527" w14:textId="7F331589" w:rsidR="00D74986" w:rsidRPr="007E77AF" w:rsidRDefault="00FC4291" w:rsidP="009E6698">
      <w:pPr>
        <w:spacing w:before="120" w:after="120" w:line="312" w:lineRule="auto"/>
        <w:ind w:firstLine="567"/>
        <w:jc w:val="both"/>
      </w:pPr>
      <w:r w:rsidRPr="007E77AF">
        <w:t xml:space="preserve">IV – </w:t>
      </w:r>
      <w:proofErr w:type="gramStart"/>
      <w:r w:rsidR="00907433" w:rsidRPr="007E77AF">
        <w:t>a</w:t>
      </w:r>
      <w:proofErr w:type="gramEnd"/>
      <w:r w:rsidR="00907433" w:rsidRPr="007E77AF">
        <w:t xml:space="preserve"> </w:t>
      </w:r>
      <w:r w:rsidRPr="007E77AF">
        <w:t xml:space="preserve">atualização dos demais </w:t>
      </w:r>
      <w:r w:rsidR="5AA036CA" w:rsidRPr="007E77AF">
        <w:t>documentos da oferta</w:t>
      </w:r>
      <w:r w:rsidR="7DF2ED34" w:rsidRPr="007E77AF">
        <w:t>.</w:t>
      </w:r>
      <w:bookmarkEnd w:id="100"/>
    </w:p>
    <w:p w14:paraId="4FAEA3F1" w14:textId="588511E0" w:rsidR="00D74986" w:rsidRPr="007E77AF" w:rsidRDefault="00D72995" w:rsidP="00D74986">
      <w:pPr>
        <w:spacing w:before="120" w:after="120" w:line="312" w:lineRule="auto"/>
        <w:ind w:firstLine="567"/>
        <w:jc w:val="both"/>
      </w:pPr>
      <w:r w:rsidRPr="007E77AF">
        <w:lastRenderedPageBreak/>
        <w:t xml:space="preserve">Parágrafo único.  As alterações acima referidas </w:t>
      </w:r>
      <w:r w:rsidR="00B6338A" w:rsidRPr="007E77AF">
        <w:t>devem</w:t>
      </w:r>
      <w:r w:rsidR="00B6338A" w:rsidRPr="007E77AF">
        <w:rPr>
          <w:bCs/>
        </w:rPr>
        <w:t xml:space="preserve"> </w:t>
      </w:r>
      <w:r w:rsidR="00697AAD">
        <w:rPr>
          <w:bCs/>
        </w:rPr>
        <w:t>observar o disposto no</w:t>
      </w:r>
      <w:r w:rsidR="00E871AE" w:rsidRPr="007E77AF">
        <w:t xml:space="preserve"> art. </w:t>
      </w:r>
      <w:r w:rsidR="004E4F35">
        <w:rPr>
          <w:bCs/>
        </w:rPr>
        <w:t>67</w:t>
      </w:r>
      <w:r w:rsidRPr="007E77AF">
        <w:t xml:space="preserve">, e as eventuais manifestações já recebidas </w:t>
      </w:r>
      <w:r w:rsidR="00D85EBB" w:rsidRPr="007E77AF">
        <w:t xml:space="preserve">estão </w:t>
      </w:r>
      <w:r w:rsidRPr="007E77AF">
        <w:t>sujeit</w:t>
      </w:r>
      <w:r w:rsidR="00D85EBB" w:rsidRPr="007E77AF">
        <w:t>a</w:t>
      </w:r>
      <w:r w:rsidRPr="007E77AF">
        <w:t xml:space="preserve">s ao disposto no art. </w:t>
      </w:r>
      <w:r w:rsidR="004E4F35">
        <w:rPr>
          <w:bCs/>
        </w:rPr>
        <w:t>69</w:t>
      </w:r>
      <w:r w:rsidR="004E6473" w:rsidRPr="007E77AF">
        <w:t>, §</w:t>
      </w:r>
      <w:r w:rsidR="0083317F" w:rsidRPr="007E77AF">
        <w:t xml:space="preserve"> </w:t>
      </w:r>
      <w:r w:rsidR="004E6473" w:rsidRPr="007E77AF">
        <w:t>1º</w:t>
      </w:r>
      <w:r w:rsidRPr="007E77AF">
        <w:t>.</w:t>
      </w:r>
    </w:p>
    <w:p w14:paraId="4836BDE5" w14:textId="2E8677BE" w:rsidR="00D74986" w:rsidRPr="007E77AF" w:rsidRDefault="00ED0BFD" w:rsidP="006B018B">
      <w:pPr>
        <w:pStyle w:val="Seo"/>
      </w:pPr>
      <w:bookmarkStart w:id="101" w:name="_Toc467256273"/>
      <w:bookmarkStart w:id="102" w:name="_Toc476216317"/>
      <w:bookmarkStart w:id="103" w:name="_Toc108516038"/>
      <w:bookmarkStart w:id="104" w:name="_Toc108203069"/>
      <w:bookmarkStart w:id="105" w:name="_Toc136502809"/>
      <w:r w:rsidRPr="007E77AF">
        <w:t xml:space="preserve">Seção </w:t>
      </w:r>
      <w:r w:rsidR="07FD33EA" w:rsidRPr="007E77AF">
        <w:t xml:space="preserve">IV </w:t>
      </w:r>
      <w:r w:rsidRPr="007E77AF">
        <w:t>–</w:t>
      </w:r>
      <w:r w:rsidR="00263AB5" w:rsidRPr="007E77AF">
        <w:t xml:space="preserve"> </w:t>
      </w:r>
      <w:r w:rsidR="00A44BD6" w:rsidRPr="007E77AF">
        <w:t>Lâmina</w:t>
      </w:r>
      <w:r w:rsidR="00263AB5" w:rsidRPr="007E77AF">
        <w:t xml:space="preserve"> </w:t>
      </w:r>
      <w:r w:rsidRPr="007E77AF">
        <w:t xml:space="preserve">da </w:t>
      </w:r>
      <w:bookmarkEnd w:id="101"/>
      <w:r w:rsidR="747DD121" w:rsidRPr="007E77AF">
        <w:t>O</w:t>
      </w:r>
      <w:r w:rsidRPr="007E77AF">
        <w:t>ferta</w:t>
      </w:r>
      <w:bookmarkEnd w:id="102"/>
      <w:bookmarkEnd w:id="103"/>
      <w:bookmarkEnd w:id="104"/>
      <w:bookmarkEnd w:id="105"/>
    </w:p>
    <w:p w14:paraId="4E607E60" w14:textId="4A557033" w:rsidR="00D74986" w:rsidRPr="007E77AF" w:rsidRDefault="009069A1" w:rsidP="001353DC">
      <w:pPr>
        <w:spacing w:before="120" w:after="120" w:line="312" w:lineRule="auto"/>
        <w:ind w:firstLine="567"/>
        <w:jc w:val="both"/>
      </w:pPr>
      <w:bookmarkStart w:id="106" w:name="_Ref460491242"/>
      <w:r w:rsidRPr="007E77AF">
        <w:t>Art. 23</w:t>
      </w:r>
      <w:r w:rsidR="4F8634D0" w:rsidRPr="007E77AF">
        <w:t>.</w:t>
      </w:r>
      <w:r w:rsidR="67A9FD28" w:rsidRPr="007E77AF">
        <w:t xml:space="preserve">  A </w:t>
      </w:r>
      <w:r w:rsidR="00A44BD6" w:rsidRPr="007E77AF">
        <w:t>lâmina</w:t>
      </w:r>
      <w:r w:rsidR="67A9FD28" w:rsidRPr="007E77AF">
        <w:t xml:space="preserve"> da oferta </w:t>
      </w:r>
      <w:r w:rsidR="288F4621" w:rsidRPr="007E77AF">
        <w:t>deve ser elaborad</w:t>
      </w:r>
      <w:r w:rsidR="004C6BAE">
        <w:t>a</w:t>
      </w:r>
      <w:r w:rsidR="288F4621" w:rsidRPr="007E77AF">
        <w:t xml:space="preserve"> pelo ofertante</w:t>
      </w:r>
      <w:r w:rsidR="00697AAD">
        <w:t xml:space="preserve"> em conjunto com o coordenador líder</w:t>
      </w:r>
      <w:r w:rsidR="38D2C392" w:rsidRPr="007E77AF">
        <w:t xml:space="preserve"> </w:t>
      </w:r>
      <w:r w:rsidR="288F4621" w:rsidRPr="007E77AF">
        <w:t xml:space="preserve">em adição </w:t>
      </w:r>
      <w:r w:rsidR="1457A4E7" w:rsidRPr="007E77AF">
        <w:t>a</w:t>
      </w:r>
      <w:r w:rsidR="00907433" w:rsidRPr="007E77AF">
        <w:t>o</w:t>
      </w:r>
      <w:r w:rsidR="1457A4E7" w:rsidRPr="007E77AF">
        <w:t xml:space="preserve"> prospecto </w:t>
      </w:r>
      <w:r w:rsidR="288F4621" w:rsidRPr="007E77AF">
        <w:t xml:space="preserve">e </w:t>
      </w:r>
      <w:r w:rsidR="0035759C" w:rsidRPr="007E77AF">
        <w:t xml:space="preserve">de forma </w:t>
      </w:r>
      <w:r w:rsidR="288F4621" w:rsidRPr="007E77AF">
        <w:t xml:space="preserve">consistente com </w:t>
      </w:r>
      <w:r w:rsidR="12783747" w:rsidRPr="007E77AF">
        <w:t xml:space="preserve">ele, servindo para sintetizar o seu conteúdo e </w:t>
      </w:r>
      <w:r w:rsidR="6ED6F1EA" w:rsidRPr="007E77AF">
        <w:t>apresentar</w:t>
      </w:r>
      <w:r w:rsidR="3522D583" w:rsidRPr="007E77AF">
        <w:t xml:space="preserve"> as características essenciais</w:t>
      </w:r>
      <w:r w:rsidR="38D2C392" w:rsidRPr="007E77AF">
        <w:t xml:space="preserve"> da oferta</w:t>
      </w:r>
      <w:r w:rsidR="3522D583" w:rsidRPr="007E77AF">
        <w:t>, a natureza e os riscos associados ao emissor, às garantias, e aos valores mobiliários</w:t>
      </w:r>
      <w:r w:rsidR="44FF4122" w:rsidRPr="007E77AF">
        <w:t>.</w:t>
      </w:r>
      <w:bookmarkEnd w:id="106"/>
    </w:p>
    <w:p w14:paraId="743E088B" w14:textId="77777777" w:rsidR="00D74986" w:rsidRPr="007E77AF" w:rsidRDefault="004646F7" w:rsidP="00D74986">
      <w:pPr>
        <w:spacing w:before="120" w:after="120" w:line="312" w:lineRule="auto"/>
        <w:ind w:firstLine="567"/>
        <w:jc w:val="both"/>
        <w:rPr>
          <w:bCs/>
        </w:rPr>
      </w:pPr>
      <w:r w:rsidRPr="007E77AF">
        <w:rPr>
          <w:bCs/>
        </w:rPr>
        <w:t>§ 1</w:t>
      </w:r>
      <w:proofErr w:type="gramStart"/>
      <w:r w:rsidRPr="007E77AF">
        <w:rPr>
          <w:bCs/>
        </w:rPr>
        <w:t>º</w:t>
      </w:r>
      <w:r w:rsidR="00D2799C" w:rsidRPr="007E77AF">
        <w:rPr>
          <w:bCs/>
        </w:rPr>
        <w:t xml:space="preserve">  </w:t>
      </w:r>
      <w:r w:rsidR="00BC162E" w:rsidRPr="007E77AF">
        <w:rPr>
          <w:bCs/>
        </w:rPr>
        <w:t>A</w:t>
      </w:r>
      <w:proofErr w:type="gramEnd"/>
      <w:r w:rsidR="00BC162E" w:rsidRPr="007E77AF">
        <w:rPr>
          <w:bCs/>
        </w:rPr>
        <w:t xml:space="preserve"> </w:t>
      </w:r>
      <w:r w:rsidR="00494021" w:rsidRPr="007E77AF">
        <w:rPr>
          <w:bCs/>
        </w:rPr>
        <w:t>lâmina da oferta</w:t>
      </w:r>
      <w:r w:rsidR="00BC162E" w:rsidRPr="007E77AF">
        <w:rPr>
          <w:bCs/>
        </w:rPr>
        <w:t xml:space="preserve"> não é obrigatória nas ofertas em</w:t>
      </w:r>
      <w:r w:rsidR="00C0374F" w:rsidRPr="007E77AF">
        <w:rPr>
          <w:bCs/>
        </w:rPr>
        <w:t xml:space="preserve"> </w:t>
      </w:r>
      <w:r w:rsidR="00BC162E" w:rsidRPr="007E77AF">
        <w:rPr>
          <w:bCs/>
        </w:rPr>
        <w:t>que a elaboração do prospecto é dispensada</w:t>
      </w:r>
      <w:r w:rsidR="00BC4A06" w:rsidRPr="007E77AF">
        <w:rPr>
          <w:bCs/>
        </w:rPr>
        <w:t>.</w:t>
      </w:r>
    </w:p>
    <w:p w14:paraId="6EB911A5" w14:textId="77777777" w:rsidR="00D74986" w:rsidRPr="007E77AF" w:rsidRDefault="004646F7" w:rsidP="00D74986">
      <w:pPr>
        <w:spacing w:before="120" w:after="120" w:line="312" w:lineRule="auto"/>
        <w:ind w:firstLine="567"/>
        <w:jc w:val="both"/>
        <w:rPr>
          <w:bCs/>
        </w:rPr>
      </w:pPr>
      <w:r w:rsidRPr="007E77AF">
        <w:rPr>
          <w:bCs/>
        </w:rPr>
        <w:t>§ 2</w:t>
      </w:r>
      <w:proofErr w:type="gramStart"/>
      <w:r w:rsidRPr="007E77AF">
        <w:rPr>
          <w:bCs/>
        </w:rPr>
        <w:t>º</w:t>
      </w:r>
      <w:r w:rsidR="00632CBF" w:rsidRPr="007E77AF">
        <w:rPr>
          <w:bCs/>
        </w:rPr>
        <w:t xml:space="preserve">  </w:t>
      </w:r>
      <w:r w:rsidR="00CE1F80" w:rsidRPr="007E77AF">
        <w:rPr>
          <w:bCs/>
        </w:rPr>
        <w:t>A</w:t>
      </w:r>
      <w:proofErr w:type="gramEnd"/>
      <w:r w:rsidR="00263AB5" w:rsidRPr="007E77AF">
        <w:rPr>
          <w:bCs/>
        </w:rPr>
        <w:t xml:space="preserve"> </w:t>
      </w:r>
      <w:r w:rsidR="00494021" w:rsidRPr="007E77AF">
        <w:rPr>
          <w:bCs/>
        </w:rPr>
        <w:t>lâmina da oferta</w:t>
      </w:r>
      <w:r w:rsidR="00632CBF" w:rsidRPr="007E77AF">
        <w:rPr>
          <w:bCs/>
        </w:rPr>
        <w:t xml:space="preserve"> </w:t>
      </w:r>
      <w:r w:rsidR="00263AB5" w:rsidRPr="007E77AF">
        <w:rPr>
          <w:bCs/>
        </w:rPr>
        <w:t>deve</w:t>
      </w:r>
      <w:r w:rsidR="00CE1F80" w:rsidRPr="007E77AF">
        <w:rPr>
          <w:bCs/>
        </w:rPr>
        <w:t>:</w:t>
      </w:r>
      <w:r w:rsidR="40098715" w:rsidRPr="007E77AF">
        <w:rPr>
          <w:bCs/>
        </w:rPr>
        <w:t xml:space="preserve"> </w:t>
      </w:r>
    </w:p>
    <w:p w14:paraId="25F6D011" w14:textId="71B0E1C2" w:rsidR="00D74986" w:rsidRPr="007E77AF" w:rsidRDefault="00494021" w:rsidP="00D74986">
      <w:pPr>
        <w:spacing w:before="120" w:after="120" w:line="312" w:lineRule="auto"/>
        <w:ind w:firstLine="567"/>
        <w:jc w:val="both"/>
        <w:rPr>
          <w:bCs/>
        </w:rPr>
      </w:pPr>
      <w:r w:rsidRPr="007E77AF">
        <w:rPr>
          <w:bCs/>
        </w:rPr>
        <w:t xml:space="preserve">I – </w:t>
      </w:r>
      <w:proofErr w:type="gramStart"/>
      <w:r w:rsidRPr="007E77AF">
        <w:rPr>
          <w:bCs/>
        </w:rPr>
        <w:t>ser</w:t>
      </w:r>
      <w:proofErr w:type="gramEnd"/>
      <w:r w:rsidRPr="007E77AF">
        <w:rPr>
          <w:bCs/>
        </w:rPr>
        <w:t xml:space="preserve"> útil para fins da decisão de investimento;</w:t>
      </w:r>
    </w:p>
    <w:p w14:paraId="483A6820" w14:textId="22CED12A" w:rsidR="00D74986" w:rsidRPr="007E77AF" w:rsidRDefault="00494021" w:rsidP="00D74986">
      <w:pPr>
        <w:spacing w:before="120" w:after="120" w:line="312" w:lineRule="auto"/>
        <w:ind w:firstLine="567"/>
        <w:jc w:val="both"/>
        <w:rPr>
          <w:bCs/>
        </w:rPr>
      </w:pPr>
      <w:r w:rsidRPr="007E77AF">
        <w:rPr>
          <w:bCs/>
        </w:rPr>
        <w:t>I</w:t>
      </w:r>
      <w:r w:rsidR="00CE1F80" w:rsidRPr="007E77AF">
        <w:rPr>
          <w:bCs/>
        </w:rPr>
        <w:t xml:space="preserve">I – </w:t>
      </w:r>
      <w:proofErr w:type="gramStart"/>
      <w:r w:rsidR="00CE1F80" w:rsidRPr="007E77AF">
        <w:rPr>
          <w:bCs/>
        </w:rPr>
        <w:t>ser</w:t>
      </w:r>
      <w:proofErr w:type="gramEnd"/>
      <w:r w:rsidR="00CE1F80" w:rsidRPr="007E77AF">
        <w:rPr>
          <w:bCs/>
        </w:rPr>
        <w:t xml:space="preserve"> escrita de forma clara, concisa e efetiva quanto ao objetivo de permitir que </w:t>
      </w:r>
      <w:r w:rsidR="00A44BD6" w:rsidRPr="007E77AF">
        <w:rPr>
          <w:bCs/>
        </w:rPr>
        <w:t>o público investidor em geral</w:t>
      </w:r>
      <w:r w:rsidR="00CE1F80" w:rsidRPr="007E77AF">
        <w:rPr>
          <w:bCs/>
        </w:rPr>
        <w:t xml:space="preserve"> compreenda a oferta;</w:t>
      </w:r>
    </w:p>
    <w:p w14:paraId="78F0C753" w14:textId="2E24F64C" w:rsidR="00D74986" w:rsidRPr="007E77AF" w:rsidRDefault="00494021" w:rsidP="00D74986">
      <w:pPr>
        <w:spacing w:before="120" w:after="120" w:line="312" w:lineRule="auto"/>
        <w:ind w:firstLine="567"/>
        <w:jc w:val="both"/>
        <w:rPr>
          <w:bCs/>
        </w:rPr>
      </w:pPr>
      <w:r w:rsidRPr="007E77AF">
        <w:rPr>
          <w:bCs/>
        </w:rPr>
        <w:t>I</w:t>
      </w:r>
      <w:r w:rsidR="00CE1F80" w:rsidRPr="007E77AF">
        <w:rPr>
          <w:bCs/>
        </w:rPr>
        <w:t xml:space="preserve">II – ser </w:t>
      </w:r>
      <w:r w:rsidR="00A44BD6" w:rsidRPr="007E77AF">
        <w:rPr>
          <w:bCs/>
        </w:rPr>
        <w:t>precisa</w:t>
      </w:r>
      <w:r w:rsidR="00CE1F80" w:rsidRPr="007E77AF">
        <w:rPr>
          <w:bCs/>
        </w:rPr>
        <w:t>, apropriadamente balanceada na ênfase dada a informações positivas e negativas, e não deve induzir o investidor a erro;</w:t>
      </w:r>
    </w:p>
    <w:p w14:paraId="71917F9F" w14:textId="77777777" w:rsidR="00D74986" w:rsidRPr="007E77AF" w:rsidRDefault="00494021" w:rsidP="00D74986">
      <w:pPr>
        <w:spacing w:before="120" w:after="120" w:line="312" w:lineRule="auto"/>
        <w:ind w:firstLine="567"/>
        <w:jc w:val="both"/>
      </w:pPr>
      <w:r w:rsidRPr="007E77AF">
        <w:rPr>
          <w:bCs/>
        </w:rPr>
        <w:t xml:space="preserve">IV </w:t>
      </w:r>
      <w:r w:rsidR="00794099" w:rsidRPr="007E77AF">
        <w:rPr>
          <w:bCs/>
        </w:rPr>
        <w:t xml:space="preserve">– </w:t>
      </w:r>
      <w:proofErr w:type="gramStart"/>
      <w:r w:rsidR="00794099" w:rsidRPr="007E77AF">
        <w:rPr>
          <w:bCs/>
        </w:rPr>
        <w:t>ser</w:t>
      </w:r>
      <w:proofErr w:type="gramEnd"/>
      <w:r w:rsidR="00794099" w:rsidRPr="007E77AF">
        <w:rPr>
          <w:bCs/>
        </w:rPr>
        <w:t xml:space="preserve"> de fácil leitura e escrita em linguagem </w:t>
      </w:r>
      <w:r w:rsidR="00A44BD6" w:rsidRPr="007E77AF">
        <w:rPr>
          <w:bCs/>
        </w:rPr>
        <w:t>simples</w:t>
      </w:r>
      <w:r w:rsidRPr="007E77AF">
        <w:rPr>
          <w:bCs/>
        </w:rPr>
        <w:t>,</w:t>
      </w:r>
      <w:r w:rsidRPr="007E77AF">
        <w:t xml:space="preserve"> abstendo-se de fazer </w:t>
      </w:r>
      <w:r w:rsidR="6C233B08" w:rsidRPr="007E77AF">
        <w:t>comentários por</w:t>
      </w:r>
      <w:r w:rsidR="03C0A83A" w:rsidRPr="007E77AF">
        <w:t xml:space="preserve"> </w:t>
      </w:r>
      <w:r w:rsidRPr="007E77AF">
        <w:t>referência ao prospecto nas seções destinadas a sintetizar as informações solicitadas</w:t>
      </w:r>
      <w:r w:rsidR="004F61A6" w:rsidRPr="007E77AF">
        <w:rPr>
          <w:bCs/>
        </w:rPr>
        <w:t>;</w:t>
      </w:r>
    </w:p>
    <w:p w14:paraId="5B0CA0EC" w14:textId="414F98D6" w:rsidR="00D74986" w:rsidRPr="007E77AF" w:rsidRDefault="71AB23F6" w:rsidP="00D74986">
      <w:pPr>
        <w:spacing w:before="120" w:after="120" w:line="312" w:lineRule="auto"/>
        <w:ind w:firstLine="567"/>
        <w:jc w:val="both"/>
      </w:pPr>
      <w:r w:rsidRPr="007E77AF">
        <w:t xml:space="preserve">V – </w:t>
      </w:r>
      <w:proofErr w:type="gramStart"/>
      <w:r w:rsidRPr="007E77AF">
        <w:t>seguir</w:t>
      </w:r>
      <w:proofErr w:type="gramEnd"/>
      <w:r w:rsidRPr="007E77AF">
        <w:t xml:space="preserve"> </w:t>
      </w:r>
      <w:r w:rsidR="4D533B55" w:rsidRPr="007E77AF">
        <w:t xml:space="preserve">o modelo e </w:t>
      </w:r>
      <w:r w:rsidR="0884C9CA" w:rsidRPr="007E77AF">
        <w:t>os requi</w:t>
      </w:r>
      <w:r w:rsidRPr="007E77AF">
        <w:t>sitos de tópicos abordados na ordem apresentada no</w:t>
      </w:r>
      <w:r w:rsidR="74A2DE65" w:rsidRPr="007E77AF">
        <w:t xml:space="preserve">s Anexos </w:t>
      </w:r>
      <w:r w:rsidR="002852DA">
        <w:t>F</w:t>
      </w:r>
      <w:r w:rsidR="002852DA" w:rsidRPr="007E77AF">
        <w:t xml:space="preserve"> </w:t>
      </w:r>
      <w:r w:rsidR="74A2DE65" w:rsidRPr="007E77AF">
        <w:t xml:space="preserve">a </w:t>
      </w:r>
      <w:r w:rsidR="002852DA">
        <w:t>J</w:t>
      </w:r>
      <w:r w:rsidR="002852DA" w:rsidRPr="007E77AF">
        <w:t xml:space="preserve"> </w:t>
      </w:r>
      <w:r w:rsidR="74A2DE65" w:rsidRPr="007E77AF">
        <w:t>desta Resolução</w:t>
      </w:r>
      <w:r w:rsidRPr="007E77AF">
        <w:t>;</w:t>
      </w:r>
    </w:p>
    <w:p w14:paraId="11E0E182" w14:textId="146F86C4" w:rsidR="00477722" w:rsidRPr="007E77AF" w:rsidRDefault="00743DE8" w:rsidP="00D74986">
      <w:pPr>
        <w:spacing w:before="120" w:after="120" w:line="312" w:lineRule="auto"/>
        <w:ind w:firstLine="567"/>
        <w:jc w:val="both"/>
        <w:rPr>
          <w:bCs/>
        </w:rPr>
      </w:pPr>
      <w:r w:rsidRPr="007E77AF">
        <w:rPr>
          <w:bCs/>
        </w:rPr>
        <w:t>V</w:t>
      </w:r>
      <w:r w:rsidR="00494021" w:rsidRPr="007E77AF">
        <w:rPr>
          <w:bCs/>
        </w:rPr>
        <w:t>I</w:t>
      </w:r>
      <w:r w:rsidRPr="007E77AF">
        <w:rPr>
          <w:bCs/>
        </w:rPr>
        <w:t xml:space="preserve"> </w:t>
      </w:r>
      <w:r w:rsidR="00DF49C6" w:rsidRPr="007E77AF">
        <w:rPr>
          <w:bCs/>
        </w:rPr>
        <w:t>–</w:t>
      </w:r>
      <w:r w:rsidRPr="007E77AF">
        <w:rPr>
          <w:bCs/>
        </w:rPr>
        <w:t xml:space="preserve"> </w:t>
      </w:r>
      <w:proofErr w:type="gramStart"/>
      <w:r w:rsidR="00263AB5" w:rsidRPr="007E77AF">
        <w:rPr>
          <w:bCs/>
        </w:rPr>
        <w:t>estabelecer</w:t>
      </w:r>
      <w:proofErr w:type="gramEnd"/>
      <w:r w:rsidR="00BC162E" w:rsidRPr="007E77AF">
        <w:rPr>
          <w:bCs/>
        </w:rPr>
        <w:t>, adicionalmente,</w:t>
      </w:r>
      <w:r w:rsidR="00263AB5" w:rsidRPr="007E77AF">
        <w:rPr>
          <w:bCs/>
        </w:rPr>
        <w:t xml:space="preserve"> os term</w:t>
      </w:r>
      <w:r w:rsidR="00CE1F80" w:rsidRPr="007E77AF">
        <w:rPr>
          <w:bCs/>
        </w:rPr>
        <w:t>os e condições gerais da oferta</w:t>
      </w:r>
      <w:r w:rsidR="00477722" w:rsidRPr="007E77AF">
        <w:rPr>
          <w:bCs/>
        </w:rPr>
        <w:t>;</w:t>
      </w:r>
      <w:r w:rsidR="00B04415" w:rsidRPr="007E77AF">
        <w:rPr>
          <w:bCs/>
        </w:rPr>
        <w:t xml:space="preserve"> e</w:t>
      </w:r>
    </w:p>
    <w:p w14:paraId="0DC2E4D9" w14:textId="22FAC06E" w:rsidR="00D74986" w:rsidRPr="007E77AF" w:rsidRDefault="00477722" w:rsidP="00D74986">
      <w:pPr>
        <w:spacing w:before="120" w:after="120" w:line="312" w:lineRule="auto"/>
        <w:ind w:firstLine="567"/>
        <w:jc w:val="both"/>
      </w:pPr>
      <w:r w:rsidRPr="007E77AF">
        <w:t>VII – ser elaborada de forma a</w:t>
      </w:r>
      <w:r w:rsidR="002F2283" w:rsidRPr="007E77AF">
        <w:t xml:space="preserve"> permitir a leitura adequada </w:t>
      </w:r>
      <w:r w:rsidR="00B04415" w:rsidRPr="007E77AF">
        <w:t xml:space="preserve">inclusive </w:t>
      </w:r>
      <w:r w:rsidR="002F2283" w:rsidRPr="007E77AF">
        <w:t xml:space="preserve">em </w:t>
      </w:r>
      <w:r w:rsidR="00B04415" w:rsidRPr="007E77AF">
        <w:t>dispositivos eletrônicos móveis</w:t>
      </w:r>
      <w:r w:rsidR="00352CA9" w:rsidRPr="007E77AF">
        <w:t>, programas</w:t>
      </w:r>
      <w:r w:rsidR="002F2283" w:rsidRPr="007E77AF">
        <w:t xml:space="preserve"> e aplicativos</w:t>
      </w:r>
      <w:r w:rsidR="041F0BB3" w:rsidRPr="007E77AF">
        <w:t xml:space="preserve"> em geral</w:t>
      </w:r>
      <w:r w:rsidR="00743DE8" w:rsidRPr="007E77AF">
        <w:t>.</w:t>
      </w:r>
    </w:p>
    <w:p w14:paraId="297C13F3" w14:textId="7C948227" w:rsidR="00D74986" w:rsidRPr="007E77AF" w:rsidRDefault="7085F3CC" w:rsidP="00D74986">
      <w:pPr>
        <w:spacing w:before="120" w:after="120" w:line="312" w:lineRule="auto"/>
        <w:ind w:firstLine="567"/>
        <w:jc w:val="both"/>
      </w:pPr>
      <w:r w:rsidRPr="007E77AF">
        <w:t xml:space="preserve">§ </w:t>
      </w:r>
      <w:r w:rsidR="71AB23F6" w:rsidRPr="007E77AF">
        <w:t>3</w:t>
      </w:r>
      <w:proofErr w:type="gramStart"/>
      <w:r w:rsidRPr="007E77AF">
        <w:t>º</w:t>
      </w:r>
      <w:r w:rsidR="3D1E97B7" w:rsidRPr="007E77AF">
        <w:t xml:space="preserve">  A</w:t>
      </w:r>
      <w:proofErr w:type="gramEnd"/>
      <w:r w:rsidR="3D1E97B7" w:rsidRPr="007E77AF">
        <w:t xml:space="preserve"> descrição dos fatores de risco na </w:t>
      </w:r>
      <w:r w:rsidR="00494021" w:rsidRPr="007E77AF">
        <w:t>lâmina da oferta</w:t>
      </w:r>
      <w:r w:rsidR="3D1E97B7" w:rsidRPr="007E77AF">
        <w:t xml:space="preserve"> deve ser relevante para a oferta </w:t>
      </w:r>
      <w:r w:rsidR="0FB04383" w:rsidRPr="007E77AF">
        <w:t>em questão</w:t>
      </w:r>
      <w:r w:rsidR="3D1E97B7" w:rsidRPr="007E77AF">
        <w:t xml:space="preserve"> e ser exclusivamente elaborada em benefício </w:t>
      </w:r>
      <w:r w:rsidR="2E2B31A8" w:rsidRPr="007E77AF">
        <w:t xml:space="preserve">da compreensão </w:t>
      </w:r>
      <w:r w:rsidR="30599B99" w:rsidRPr="007E77AF">
        <w:t xml:space="preserve">da oferta </w:t>
      </w:r>
      <w:r w:rsidR="2E2B31A8" w:rsidRPr="007E77AF">
        <w:t xml:space="preserve">por parte </w:t>
      </w:r>
      <w:r w:rsidR="3D1E97B7" w:rsidRPr="007E77AF">
        <w:t>dos investidores</w:t>
      </w:r>
      <w:r w:rsidR="30599B99" w:rsidRPr="007E77AF">
        <w:t>,</w:t>
      </w:r>
      <w:r w:rsidR="3D1E97B7" w:rsidRPr="007E77AF">
        <w:t xml:space="preserve"> </w:t>
      </w:r>
      <w:r w:rsidR="2E2B31A8" w:rsidRPr="007E77AF">
        <w:t xml:space="preserve">abstendo-se </w:t>
      </w:r>
      <w:r w:rsidR="4E2EEB87" w:rsidRPr="007E77AF">
        <w:t xml:space="preserve">o ofertante </w:t>
      </w:r>
      <w:r w:rsidR="2E2B31A8" w:rsidRPr="007E77AF">
        <w:t xml:space="preserve">de </w:t>
      </w:r>
      <w:r w:rsidR="3D1E97B7" w:rsidRPr="007E77AF">
        <w:t xml:space="preserve">formular declarações </w:t>
      </w:r>
      <w:r w:rsidR="0C9FFAF7" w:rsidRPr="007E77AF">
        <w:t xml:space="preserve">de caráter </w:t>
      </w:r>
      <w:r w:rsidR="3D1E97B7" w:rsidRPr="007E77AF">
        <w:t>ge</w:t>
      </w:r>
      <w:r w:rsidR="0C9FFAF7" w:rsidRPr="007E77AF">
        <w:t>nérico</w:t>
      </w:r>
      <w:r w:rsidR="3D1E97B7" w:rsidRPr="007E77AF">
        <w:t xml:space="preserve"> sobre os riscos de investimento, </w:t>
      </w:r>
      <w:r w:rsidR="00B205AF" w:rsidRPr="007E77AF">
        <w:t xml:space="preserve">e de </w:t>
      </w:r>
      <w:r w:rsidR="3D1E97B7" w:rsidRPr="007E77AF">
        <w:t xml:space="preserve">limitar </w:t>
      </w:r>
      <w:r w:rsidR="4E2EEB87" w:rsidRPr="007E77AF">
        <w:t>su</w:t>
      </w:r>
      <w:r w:rsidR="3D1E97B7" w:rsidRPr="007E77AF">
        <w:t xml:space="preserve">a responsabilidade ou </w:t>
      </w:r>
      <w:r w:rsidR="4E2EEB87" w:rsidRPr="007E77AF">
        <w:t xml:space="preserve">de </w:t>
      </w:r>
      <w:r w:rsidR="3D1E97B7" w:rsidRPr="007E77AF">
        <w:t>quaisque</w:t>
      </w:r>
      <w:r w:rsidR="2E2B31A8" w:rsidRPr="007E77AF">
        <w:t>r pessoas que atuem em seu nome.</w:t>
      </w:r>
    </w:p>
    <w:p w14:paraId="2DB66903" w14:textId="6D54C32B" w:rsidR="00B04415" w:rsidRPr="007E77AF" w:rsidRDefault="00B04415" w:rsidP="00D74986">
      <w:pPr>
        <w:spacing w:before="120" w:after="120" w:line="312" w:lineRule="auto"/>
        <w:ind w:firstLine="567"/>
        <w:jc w:val="both"/>
      </w:pPr>
      <w:r w:rsidRPr="007E77AF">
        <w:t>§ 4</w:t>
      </w:r>
      <w:proofErr w:type="gramStart"/>
      <w:r w:rsidRPr="007E77AF">
        <w:t>º  Devem</w:t>
      </w:r>
      <w:proofErr w:type="gramEnd"/>
      <w:r w:rsidRPr="007E77AF">
        <w:t xml:space="preserve"> ser listados os 5 (cinco) principais fatores de risco, em ordem decrescente de materialidade, com base </w:t>
      </w:r>
      <w:r w:rsidR="006A0C90" w:rsidRPr="007E77AF">
        <w:t xml:space="preserve">na </w:t>
      </w:r>
      <w:r w:rsidRPr="007E77AF">
        <w:t xml:space="preserve">probabilidade de ocorrência e </w:t>
      </w:r>
      <w:r w:rsidR="00ED3588" w:rsidRPr="007E77AF">
        <w:t xml:space="preserve">na </w:t>
      </w:r>
      <w:r w:rsidRPr="007E77AF">
        <w:t>magnitude do impacto negativo, caso concretizado.</w:t>
      </w:r>
    </w:p>
    <w:p w14:paraId="13281569" w14:textId="1A79C0DE" w:rsidR="00BF6128" w:rsidRPr="007E77AF" w:rsidRDefault="6E2886EB" w:rsidP="00E053AA">
      <w:pPr>
        <w:spacing w:before="120" w:after="120" w:line="312" w:lineRule="auto"/>
        <w:ind w:firstLine="567"/>
        <w:jc w:val="both"/>
      </w:pPr>
      <w:r w:rsidRPr="007E77AF">
        <w:lastRenderedPageBreak/>
        <w:t xml:space="preserve">§ </w:t>
      </w:r>
      <w:r w:rsidR="00B04415" w:rsidRPr="007E77AF">
        <w:t>5</w:t>
      </w:r>
      <w:proofErr w:type="gramStart"/>
      <w:r w:rsidRPr="007E77AF">
        <w:t>º  A</w:t>
      </w:r>
      <w:proofErr w:type="gramEnd"/>
      <w:r w:rsidRPr="007E77AF">
        <w:t xml:space="preserve"> </w:t>
      </w:r>
      <w:r w:rsidR="00576B84" w:rsidRPr="007E77AF">
        <w:t>probabilidade de ocorrência e a magnitude do impacto</w:t>
      </w:r>
      <w:r w:rsidR="008858E1" w:rsidRPr="007E77AF">
        <w:t xml:space="preserve"> negativo</w:t>
      </w:r>
      <w:r w:rsidR="00576B84" w:rsidRPr="007E77AF">
        <w:t xml:space="preserve"> </w:t>
      </w:r>
      <w:r w:rsidRPr="007E77AF">
        <w:t>dos fatores de risco deve</w:t>
      </w:r>
      <w:r w:rsidR="00EB07F7" w:rsidRPr="007E77AF">
        <w:t>m</w:t>
      </w:r>
      <w:r w:rsidRPr="007E77AF">
        <w:t xml:space="preserve"> ser expressa</w:t>
      </w:r>
      <w:r w:rsidR="00EB07F7" w:rsidRPr="007E77AF">
        <w:t>s</w:t>
      </w:r>
      <w:r w:rsidRPr="007E77AF">
        <w:t xml:space="preserve"> em uma escala qualitativa de </w:t>
      </w:r>
      <w:r w:rsidR="00E053AA" w:rsidRPr="007E77AF">
        <w:t>níveis “menor, médio e maior”,</w:t>
      </w:r>
      <w:r w:rsidRPr="007E77AF">
        <w:t xml:space="preserve"> </w:t>
      </w:r>
      <w:r w:rsidR="0038123C" w:rsidRPr="007E77AF">
        <w:t>quando requerido nos</w:t>
      </w:r>
      <w:r w:rsidR="74A2DE65" w:rsidRPr="007E77AF">
        <w:t xml:space="preserve"> a</w:t>
      </w:r>
      <w:r w:rsidRPr="007E77AF">
        <w:t>nexo</w:t>
      </w:r>
      <w:r w:rsidR="74A2DE65" w:rsidRPr="007E77AF">
        <w:t>s a esta Resolução</w:t>
      </w:r>
      <w:r w:rsidRPr="007E77AF">
        <w:t>.</w:t>
      </w:r>
    </w:p>
    <w:p w14:paraId="198195BA" w14:textId="77AC7A61" w:rsidR="00D74986" w:rsidRPr="007E77AF" w:rsidRDefault="00F7367E" w:rsidP="005A20B6">
      <w:pPr>
        <w:pStyle w:val="Seo"/>
      </w:pPr>
      <w:bookmarkStart w:id="107" w:name="_Toc467256274"/>
      <w:bookmarkStart w:id="108" w:name="_Toc476216318"/>
      <w:bookmarkStart w:id="109" w:name="_Toc108516039"/>
      <w:bookmarkStart w:id="110" w:name="_Toc108203070"/>
      <w:bookmarkStart w:id="111" w:name="_Toc136502810"/>
      <w:r w:rsidRPr="007E77AF">
        <w:t xml:space="preserve">Seção </w:t>
      </w:r>
      <w:r w:rsidR="2145B1AB" w:rsidRPr="007E77AF">
        <w:t>V –</w:t>
      </w:r>
      <w:r w:rsidR="4EC0E053" w:rsidRPr="007E77AF">
        <w:t xml:space="preserve"> </w:t>
      </w:r>
      <w:r w:rsidR="099DF87A" w:rsidRPr="007E77AF">
        <w:t xml:space="preserve">Responsabilidade sobre </w:t>
      </w:r>
      <w:r w:rsidR="11F00F51" w:rsidRPr="007E77AF">
        <w:t xml:space="preserve">as </w:t>
      </w:r>
      <w:bookmarkEnd w:id="107"/>
      <w:r w:rsidR="0A1939EF" w:rsidRPr="007E77AF">
        <w:t>I</w:t>
      </w:r>
      <w:r w:rsidR="11F00F51" w:rsidRPr="007E77AF">
        <w:t>nformações</w:t>
      </w:r>
      <w:bookmarkEnd w:id="108"/>
      <w:bookmarkEnd w:id="109"/>
      <w:bookmarkEnd w:id="110"/>
      <w:bookmarkEnd w:id="111"/>
    </w:p>
    <w:p w14:paraId="78B9DC78" w14:textId="311BD999" w:rsidR="00D74986" w:rsidRPr="007E77AF" w:rsidRDefault="009069A1" w:rsidP="001353DC">
      <w:pPr>
        <w:spacing w:before="120" w:after="120" w:line="312" w:lineRule="auto"/>
        <w:ind w:firstLine="567"/>
        <w:jc w:val="both"/>
      </w:pPr>
      <w:bookmarkStart w:id="112" w:name="_Ref460498988"/>
      <w:r w:rsidRPr="007E77AF">
        <w:t>Art. 24</w:t>
      </w:r>
      <w:r w:rsidR="0A22DD73" w:rsidRPr="007E77AF">
        <w:t>.</w:t>
      </w:r>
      <w:r w:rsidR="45120584" w:rsidRPr="007E77AF">
        <w:t xml:space="preserve">  </w:t>
      </w:r>
      <w:r w:rsidR="70189C46" w:rsidRPr="007E77AF">
        <w:t xml:space="preserve">O ofertante é o responsável pela </w:t>
      </w:r>
      <w:r w:rsidR="763C7B38" w:rsidRPr="007E77AF">
        <w:t xml:space="preserve">suficiência, </w:t>
      </w:r>
      <w:r w:rsidR="70189C46" w:rsidRPr="007E77AF">
        <w:t xml:space="preserve">veracidade, </w:t>
      </w:r>
      <w:r w:rsidR="099DF87A" w:rsidRPr="007E77AF">
        <w:t xml:space="preserve">precisão, </w:t>
      </w:r>
      <w:r w:rsidR="70189C46" w:rsidRPr="007E77AF">
        <w:t>consistência</w:t>
      </w:r>
      <w:r w:rsidR="649109EE" w:rsidRPr="007E77AF">
        <w:t xml:space="preserve"> e atualidade</w:t>
      </w:r>
      <w:r w:rsidR="70189C46" w:rsidRPr="007E77AF">
        <w:t xml:space="preserve"> </w:t>
      </w:r>
      <w:r w:rsidR="64E91B71" w:rsidRPr="007E77AF">
        <w:t xml:space="preserve">dos documentos da oferta e </w:t>
      </w:r>
      <w:r w:rsidR="70189C46" w:rsidRPr="007E77AF">
        <w:t>d</w:t>
      </w:r>
      <w:r w:rsidR="22BCDD4B" w:rsidRPr="007E77AF">
        <w:t>em</w:t>
      </w:r>
      <w:r w:rsidR="70189C46" w:rsidRPr="007E77AF">
        <w:t>a</w:t>
      </w:r>
      <w:r w:rsidR="22BCDD4B" w:rsidRPr="007E77AF">
        <w:t>i</w:t>
      </w:r>
      <w:r w:rsidR="70189C46" w:rsidRPr="007E77AF">
        <w:t xml:space="preserve">s informações </w:t>
      </w:r>
      <w:r w:rsidR="683A4866" w:rsidRPr="007E77AF">
        <w:t xml:space="preserve">fornecidas ao mercado durante a oferta pública </w:t>
      </w:r>
      <w:r w:rsidR="18147E9F" w:rsidRPr="007E77AF">
        <w:t>de distribuição</w:t>
      </w:r>
      <w:r w:rsidR="683A4866" w:rsidRPr="007E77AF">
        <w:t>.</w:t>
      </w:r>
      <w:bookmarkEnd w:id="112"/>
    </w:p>
    <w:p w14:paraId="7B12007F" w14:textId="0029622C" w:rsidR="00D74986" w:rsidRPr="007E77AF" w:rsidRDefault="00604809" w:rsidP="00D74986">
      <w:pPr>
        <w:spacing w:before="120" w:after="120" w:line="312" w:lineRule="auto"/>
        <w:ind w:firstLine="567"/>
        <w:jc w:val="both"/>
        <w:rPr>
          <w:bCs/>
        </w:rPr>
      </w:pPr>
      <w:r w:rsidRPr="007E77AF">
        <w:rPr>
          <w:bCs/>
        </w:rPr>
        <w:t>§</w:t>
      </w:r>
      <w:r w:rsidR="00991CE0" w:rsidRPr="007E77AF">
        <w:rPr>
          <w:bCs/>
        </w:rPr>
        <w:t xml:space="preserve"> </w:t>
      </w:r>
      <w:r w:rsidRPr="007E77AF">
        <w:rPr>
          <w:bCs/>
        </w:rPr>
        <w:t xml:space="preserve">1º  </w:t>
      </w:r>
      <w:r w:rsidR="004D4081">
        <w:rPr>
          <w:bCs/>
        </w:rPr>
        <w:t>O</w:t>
      </w:r>
      <w:r w:rsidR="00B45D26">
        <w:rPr>
          <w:bCs/>
        </w:rPr>
        <w:t xml:space="preserve"> coordenador</w:t>
      </w:r>
      <w:r w:rsidR="00BF5845">
        <w:rPr>
          <w:bCs/>
        </w:rPr>
        <w:t xml:space="preserve"> líder</w:t>
      </w:r>
      <w:r w:rsidRPr="007E77AF">
        <w:rPr>
          <w:bCs/>
        </w:rPr>
        <w:t xml:space="preserve"> </w:t>
      </w:r>
      <w:r w:rsidR="00431081" w:rsidRPr="007E77AF">
        <w:rPr>
          <w:bCs/>
        </w:rPr>
        <w:t xml:space="preserve">deve </w:t>
      </w:r>
      <w:r w:rsidRPr="007E77AF">
        <w:rPr>
          <w:bCs/>
        </w:rPr>
        <w:t>tomar todas as cautelas e agir com elevados padrões de diligência, respondendo pela falta de diligência ou omissão, para assegurar que</w:t>
      </w:r>
      <w:r w:rsidR="009B47A7" w:rsidRPr="007E77AF">
        <w:rPr>
          <w:bCs/>
        </w:rPr>
        <w:t xml:space="preserve"> as informações prestadas pelo ofertante, inclusive aquelas eventuais ou periódicas constantes da atualização do registro do emissor na CVM e as constantes do estudo de viabilidade econômico-financeira do empreendimento, se aplicável, </w:t>
      </w:r>
      <w:r w:rsidR="00AC2ED8" w:rsidRPr="007E77AF">
        <w:rPr>
          <w:bCs/>
        </w:rPr>
        <w:t>são suficientes, verdadeiras, precisas, consistentes e atuais</w:t>
      </w:r>
      <w:r w:rsidR="009B47A7" w:rsidRPr="007E77AF">
        <w:rPr>
          <w:bCs/>
        </w:rPr>
        <w:t>, permitindo aos investidores uma tomada de decisão fundamentada a respeito da oferta.</w:t>
      </w:r>
    </w:p>
    <w:p w14:paraId="17854789" w14:textId="77777777" w:rsidR="00D74986" w:rsidRPr="007E77AF" w:rsidRDefault="00604809" w:rsidP="00D74986">
      <w:pPr>
        <w:spacing w:before="120" w:after="120" w:line="312" w:lineRule="auto"/>
        <w:ind w:firstLine="567"/>
        <w:jc w:val="both"/>
      </w:pPr>
      <w:r w:rsidRPr="007E77AF">
        <w:t>§</w:t>
      </w:r>
      <w:r w:rsidR="00991CE0" w:rsidRPr="007E77AF">
        <w:t xml:space="preserve"> </w:t>
      </w:r>
      <w:r w:rsidR="00C73D0C" w:rsidRPr="007E77AF">
        <w:t>2</w:t>
      </w:r>
      <w:proofErr w:type="gramStart"/>
      <w:r w:rsidR="00C73D0C" w:rsidRPr="007E77AF">
        <w:t xml:space="preserve">º  </w:t>
      </w:r>
      <w:r w:rsidRPr="007E77AF">
        <w:t>Em</w:t>
      </w:r>
      <w:proofErr w:type="gramEnd"/>
      <w:r w:rsidRPr="007E77AF">
        <w:t xml:space="preserve"> caso de </w:t>
      </w:r>
      <w:r w:rsidR="4311EA12" w:rsidRPr="007E77AF">
        <w:t>oferta</w:t>
      </w:r>
      <w:r w:rsidR="00A810E0" w:rsidRPr="007E77AF">
        <w:t xml:space="preserve"> </w:t>
      </w:r>
      <w:r w:rsidRPr="007E77AF">
        <w:t>secundária que não seja realizada pel</w:t>
      </w:r>
      <w:r w:rsidR="00114582" w:rsidRPr="007E77AF">
        <w:t>o</w:t>
      </w:r>
      <w:r w:rsidRPr="007E77AF">
        <w:t xml:space="preserve"> emissor ou pelo seu acionista controlador, cabe ao ofertante, no que se refere a informações d</w:t>
      </w:r>
      <w:r w:rsidR="00114582" w:rsidRPr="007E77AF">
        <w:t>o</w:t>
      </w:r>
      <w:r w:rsidRPr="007E77AF">
        <w:t xml:space="preserve"> emissor, somente a responsabilidade prevista no § 1º deste artigo.</w:t>
      </w:r>
    </w:p>
    <w:p w14:paraId="5A5F9AAC" w14:textId="5FCCC0B9" w:rsidR="00D74986" w:rsidRPr="007E77AF" w:rsidRDefault="00604809" w:rsidP="004750F1">
      <w:pPr>
        <w:spacing w:before="120" w:after="120" w:line="312" w:lineRule="auto"/>
        <w:ind w:firstLine="567"/>
        <w:jc w:val="both"/>
      </w:pPr>
      <w:r w:rsidRPr="007E77AF">
        <w:t>§</w:t>
      </w:r>
      <w:r w:rsidR="00991CE0" w:rsidRPr="007E77AF">
        <w:rPr>
          <w:bCs/>
        </w:rPr>
        <w:t xml:space="preserve"> </w:t>
      </w:r>
      <w:r w:rsidR="00C73D0C" w:rsidRPr="007E77AF">
        <w:t>3</w:t>
      </w:r>
      <w:proofErr w:type="gramStart"/>
      <w:r w:rsidR="00C73D0C" w:rsidRPr="007E77AF">
        <w:t xml:space="preserve">º  </w:t>
      </w:r>
      <w:r w:rsidR="004D4081">
        <w:t>O</w:t>
      </w:r>
      <w:proofErr w:type="gramEnd"/>
      <w:r w:rsidR="00683BAF">
        <w:t xml:space="preserve"> coordenador</w:t>
      </w:r>
      <w:r w:rsidR="00A21687">
        <w:t xml:space="preserve"> líder</w:t>
      </w:r>
      <w:r w:rsidRPr="007E77AF">
        <w:t xml:space="preserve"> e o ofertante, este último na hipótese do § </w:t>
      </w:r>
      <w:r w:rsidR="00C73D0C" w:rsidRPr="007E77AF">
        <w:t xml:space="preserve">2º </w:t>
      </w:r>
      <w:r w:rsidRPr="007E77AF">
        <w:t>apenas,</w:t>
      </w:r>
      <w:r w:rsidR="00F40D84" w:rsidRPr="007E77AF">
        <w:t xml:space="preserve"> </w:t>
      </w:r>
      <w:r w:rsidR="002E57E5" w:rsidRPr="007E77AF">
        <w:t xml:space="preserve">devem </w:t>
      </w:r>
      <w:r w:rsidR="00F40D84" w:rsidRPr="007E77AF">
        <w:t>manter</w:t>
      </w:r>
      <w:r w:rsidRPr="007E77AF">
        <w:t xml:space="preserve"> à disposição da CVM</w:t>
      </w:r>
      <w:r w:rsidR="00F40D84" w:rsidRPr="007E77AF">
        <w:t>,</w:t>
      </w:r>
      <w:r w:rsidR="00894A45" w:rsidRPr="007E77AF">
        <w:t xml:space="preserve"> </w:t>
      </w:r>
      <w:r w:rsidR="00F40D84" w:rsidRPr="007E77AF">
        <w:t xml:space="preserve">nos termos do </w:t>
      </w:r>
      <w:r w:rsidR="00CC1A01" w:rsidRPr="007E77AF">
        <w:t xml:space="preserve">inciso </w:t>
      </w:r>
      <w:r w:rsidR="00B243CE">
        <w:t>XV</w:t>
      </w:r>
      <w:r w:rsidR="00B243CE" w:rsidRPr="007E77AF">
        <w:t xml:space="preserve"> </w:t>
      </w:r>
      <w:r w:rsidR="00CC1A01" w:rsidRPr="007E77AF">
        <w:t xml:space="preserve">do </w:t>
      </w:r>
      <w:r w:rsidR="00F40D84" w:rsidRPr="007E77AF">
        <w:t xml:space="preserve">art. </w:t>
      </w:r>
      <w:r w:rsidR="00B243CE">
        <w:t>83</w:t>
      </w:r>
      <w:r w:rsidRPr="007E77AF">
        <w:t xml:space="preserve">, a documentação comprobatória de sua diligência para </w:t>
      </w:r>
      <w:r w:rsidR="002E57E5" w:rsidRPr="007E77AF">
        <w:t xml:space="preserve">fins de </w:t>
      </w:r>
      <w:r w:rsidRPr="007E77AF">
        <w:t>cumprimento do disposto no § 1º.</w:t>
      </w:r>
    </w:p>
    <w:p w14:paraId="22251A18" w14:textId="4D0A6674" w:rsidR="00D74986" w:rsidRPr="007E77AF" w:rsidRDefault="00604809" w:rsidP="00D74986">
      <w:pPr>
        <w:spacing w:before="120" w:after="120" w:line="312" w:lineRule="auto"/>
        <w:ind w:firstLine="567"/>
        <w:jc w:val="both"/>
        <w:rPr>
          <w:bCs/>
        </w:rPr>
      </w:pPr>
      <w:r w:rsidRPr="007E77AF">
        <w:rPr>
          <w:bCs/>
        </w:rPr>
        <w:t>§</w:t>
      </w:r>
      <w:r w:rsidR="00731EDE" w:rsidRPr="007E77AF">
        <w:rPr>
          <w:bCs/>
        </w:rPr>
        <w:t xml:space="preserve"> </w:t>
      </w:r>
      <w:r w:rsidR="0045008F" w:rsidRPr="007E77AF">
        <w:rPr>
          <w:bCs/>
        </w:rPr>
        <w:t xml:space="preserve">4º  </w:t>
      </w:r>
      <w:r w:rsidRPr="007E77AF">
        <w:rPr>
          <w:bCs/>
        </w:rPr>
        <w:t>Na hipótese de o ofertante não pertencer ao grupo controlador d</w:t>
      </w:r>
      <w:r w:rsidR="00114582" w:rsidRPr="007E77AF">
        <w:rPr>
          <w:bCs/>
        </w:rPr>
        <w:t>o</w:t>
      </w:r>
      <w:r w:rsidRPr="007E77AF">
        <w:rPr>
          <w:bCs/>
        </w:rPr>
        <w:t xml:space="preserve"> emissor, ou não atuar representando o mesmo interesse de acionista controlador d</w:t>
      </w:r>
      <w:r w:rsidR="00BC5615" w:rsidRPr="007E77AF">
        <w:rPr>
          <w:bCs/>
        </w:rPr>
        <w:t>o</w:t>
      </w:r>
      <w:r w:rsidRPr="007E77AF">
        <w:rPr>
          <w:bCs/>
        </w:rPr>
        <w:t xml:space="preserve"> emissor, e est</w:t>
      </w:r>
      <w:r w:rsidR="0080673A" w:rsidRPr="007E77AF">
        <w:rPr>
          <w:bCs/>
        </w:rPr>
        <w:t>e</w:t>
      </w:r>
      <w:r w:rsidRPr="007E77AF">
        <w:rPr>
          <w:bCs/>
        </w:rPr>
        <w:t xml:space="preserve"> lhe negar acesso aos documentos e informações necessários à elaboração do </w:t>
      </w:r>
      <w:r w:rsidR="00114582" w:rsidRPr="007E77AF">
        <w:rPr>
          <w:bCs/>
        </w:rPr>
        <w:t>p</w:t>
      </w:r>
      <w:r w:rsidRPr="007E77AF">
        <w:rPr>
          <w:bCs/>
        </w:rPr>
        <w:t xml:space="preserve">rospecto, o ofertante deve fornecer toda a informação relevante que lhe estiver disponível ou que possa obter em registros e documentos públicos, dar divulgação </w:t>
      </w:r>
      <w:r w:rsidR="009F2C00" w:rsidRPr="007E77AF">
        <w:rPr>
          <w:bCs/>
        </w:rPr>
        <w:t xml:space="preserve">deste fato </w:t>
      </w:r>
      <w:r w:rsidRPr="007E77AF">
        <w:rPr>
          <w:bCs/>
        </w:rPr>
        <w:t>no</w:t>
      </w:r>
      <w:r w:rsidR="009F2C00" w:rsidRPr="007E77AF">
        <w:rPr>
          <w:bCs/>
        </w:rPr>
        <w:t>s documentos da oferta</w:t>
      </w:r>
      <w:r w:rsidR="002E57E5" w:rsidRPr="007E77AF">
        <w:rPr>
          <w:bCs/>
        </w:rPr>
        <w:t>, inclusive no</w:t>
      </w:r>
      <w:r w:rsidR="009F2C00" w:rsidRPr="007E77AF">
        <w:rPr>
          <w:bCs/>
        </w:rPr>
        <w:t xml:space="preserve"> </w:t>
      </w:r>
      <w:r w:rsidR="00114582" w:rsidRPr="007E77AF">
        <w:rPr>
          <w:bCs/>
        </w:rPr>
        <w:t>p</w:t>
      </w:r>
      <w:r w:rsidRPr="007E77AF">
        <w:rPr>
          <w:bCs/>
        </w:rPr>
        <w:t>rospecto</w:t>
      </w:r>
      <w:r w:rsidR="009F2C00" w:rsidRPr="007E77AF">
        <w:rPr>
          <w:bCs/>
        </w:rPr>
        <w:t xml:space="preserve">, </w:t>
      </w:r>
      <w:r w:rsidRPr="007E77AF">
        <w:rPr>
          <w:bCs/>
        </w:rPr>
        <w:t>devendo requerer que a CVM exija d</w:t>
      </w:r>
      <w:r w:rsidR="00114582" w:rsidRPr="007E77AF">
        <w:rPr>
          <w:bCs/>
        </w:rPr>
        <w:t>o</w:t>
      </w:r>
      <w:r w:rsidRPr="007E77AF">
        <w:rPr>
          <w:bCs/>
        </w:rPr>
        <w:t xml:space="preserve"> emissor a complementação das informações indicadas pelo ofertante, necessárias ao registro da oferta pública.</w:t>
      </w:r>
    </w:p>
    <w:p w14:paraId="13448662" w14:textId="77777777" w:rsidR="00D74986" w:rsidRPr="007E77AF" w:rsidRDefault="000A4736" w:rsidP="006B018B">
      <w:pPr>
        <w:pStyle w:val="Captulo"/>
      </w:pPr>
      <w:bookmarkStart w:id="113" w:name="_Toc467256275"/>
      <w:bookmarkStart w:id="114" w:name="_Toc476216319"/>
      <w:bookmarkStart w:id="115" w:name="_Toc108516040"/>
      <w:bookmarkStart w:id="116" w:name="_Toc108203071"/>
      <w:bookmarkStart w:id="117" w:name="_Toc136502811"/>
      <w:r w:rsidRPr="007E77AF">
        <w:t xml:space="preserve">CAPÍTULO </w:t>
      </w:r>
      <w:r w:rsidR="00E01DCD" w:rsidRPr="007E77AF">
        <w:t>I</w:t>
      </w:r>
      <w:r w:rsidR="534076B9" w:rsidRPr="007E77AF">
        <w:t>V</w:t>
      </w:r>
      <w:r w:rsidRPr="007E77AF">
        <w:t xml:space="preserve"> </w:t>
      </w:r>
      <w:r w:rsidR="005D572F" w:rsidRPr="007E77AF">
        <w:t>–</w:t>
      </w:r>
      <w:r w:rsidR="00227C9F" w:rsidRPr="007E77AF">
        <w:t xml:space="preserve"> </w:t>
      </w:r>
      <w:r w:rsidR="000B4911" w:rsidRPr="007E77AF">
        <w:t xml:space="preserve">RITOS, </w:t>
      </w:r>
      <w:r w:rsidR="00EA65BD" w:rsidRPr="007E77AF">
        <w:t xml:space="preserve">PROCEDIMENTO </w:t>
      </w:r>
      <w:r w:rsidR="00C514EE" w:rsidRPr="007E77AF">
        <w:t xml:space="preserve">E PRAZOS </w:t>
      </w:r>
      <w:r w:rsidR="00EA65BD" w:rsidRPr="007E77AF">
        <w:t>PARA OBTENÇÃO DO REGISTRO DA OFERTA</w:t>
      </w:r>
      <w:bookmarkEnd w:id="113"/>
      <w:bookmarkEnd w:id="114"/>
      <w:bookmarkEnd w:id="115"/>
      <w:bookmarkEnd w:id="116"/>
      <w:bookmarkEnd w:id="117"/>
      <w:r w:rsidR="00EA65BD" w:rsidRPr="007E77AF">
        <w:t xml:space="preserve"> </w:t>
      </w:r>
    </w:p>
    <w:p w14:paraId="34B72FCA" w14:textId="7D784884" w:rsidR="00D74986" w:rsidRPr="007E77AF" w:rsidRDefault="00B77CEF" w:rsidP="006B018B">
      <w:pPr>
        <w:pStyle w:val="Seo"/>
      </w:pPr>
      <w:bookmarkStart w:id="118" w:name="_Toc476216320"/>
      <w:bookmarkStart w:id="119" w:name="_Toc108516041"/>
      <w:bookmarkStart w:id="120" w:name="_Toc108203072"/>
      <w:bookmarkStart w:id="121" w:name="_Toc136502812"/>
      <w:r w:rsidRPr="007E77AF">
        <w:t xml:space="preserve">Seção I – Requerente, </w:t>
      </w:r>
      <w:r w:rsidR="4B8765CC" w:rsidRPr="007E77AF">
        <w:t>D</w:t>
      </w:r>
      <w:r w:rsidRPr="007E77AF">
        <w:t xml:space="preserve">ocumentos </w:t>
      </w:r>
      <w:r w:rsidR="373C0D24" w:rsidRPr="007E77AF">
        <w:t>E</w:t>
      </w:r>
      <w:r w:rsidRPr="007E77AF">
        <w:t xml:space="preserve">xigidos e </w:t>
      </w:r>
      <w:r w:rsidR="4A422B76" w:rsidRPr="007E77AF">
        <w:t>C</w:t>
      </w:r>
      <w:r w:rsidRPr="007E77AF">
        <w:t>ondições</w:t>
      </w:r>
      <w:bookmarkEnd w:id="118"/>
      <w:bookmarkEnd w:id="119"/>
      <w:bookmarkEnd w:id="120"/>
      <w:bookmarkEnd w:id="121"/>
    </w:p>
    <w:p w14:paraId="7DD45470" w14:textId="37F9B329" w:rsidR="00D74986" w:rsidRPr="007E77AF" w:rsidRDefault="009069A1" w:rsidP="001353DC">
      <w:pPr>
        <w:spacing w:before="120" w:after="120" w:line="312" w:lineRule="auto"/>
        <w:ind w:firstLine="567"/>
        <w:jc w:val="both"/>
      </w:pPr>
      <w:bookmarkStart w:id="122" w:name="_Ref460751566"/>
      <w:bookmarkStart w:id="123" w:name="_Ref460490343"/>
      <w:r w:rsidRPr="007E77AF">
        <w:t>Art. 25</w:t>
      </w:r>
      <w:r w:rsidR="00B77CEF" w:rsidRPr="007E77AF">
        <w:t xml:space="preserve">.  O registro de oferta pública de distribuição </w:t>
      </w:r>
      <w:r w:rsidR="00E777D6" w:rsidRPr="007E77AF">
        <w:t>deve ser</w:t>
      </w:r>
      <w:r w:rsidR="00B77CEF" w:rsidRPr="007E77AF">
        <w:t xml:space="preserve"> requerido à CVM pelo ofertante, em conjunto com </w:t>
      </w:r>
      <w:r w:rsidR="00684309">
        <w:t>o</w:t>
      </w:r>
      <w:r w:rsidR="00684309" w:rsidRPr="007E77AF">
        <w:t xml:space="preserve"> </w:t>
      </w:r>
      <w:r w:rsidR="008F489E">
        <w:t>coordenador líder</w:t>
      </w:r>
      <w:r w:rsidR="00B77CEF" w:rsidRPr="007E77AF">
        <w:t xml:space="preserve"> da distribuição, </w:t>
      </w:r>
      <w:r w:rsidR="00917586" w:rsidRPr="007E77AF">
        <w:t xml:space="preserve">sendo </w:t>
      </w:r>
      <w:r w:rsidR="00B77CEF" w:rsidRPr="007E77AF">
        <w:t xml:space="preserve">os documentos exigidos para requerimento e </w:t>
      </w:r>
      <w:r w:rsidR="00B77CEF" w:rsidRPr="007E77AF">
        <w:lastRenderedPageBreak/>
        <w:t xml:space="preserve">concessão do registro da oferta submetidos à CVM pelos meios e formatos de transmissão eletrônica por ela especificados, conforme a seguir </w:t>
      </w:r>
      <w:r w:rsidR="002A3D51" w:rsidRPr="007E77AF">
        <w:t>discriminado</w:t>
      </w:r>
      <w:r w:rsidR="682A81FF" w:rsidRPr="007E77AF">
        <w:t>s</w:t>
      </w:r>
      <w:r w:rsidR="00B77CEF" w:rsidRPr="007E77AF">
        <w:t xml:space="preserve"> de acordo com o rito </w:t>
      </w:r>
      <w:r w:rsidR="002F16A3" w:rsidRPr="007E77AF">
        <w:t xml:space="preserve">de registro </w:t>
      </w:r>
      <w:r w:rsidR="00B77CEF" w:rsidRPr="007E77AF">
        <w:t>utilizado.</w:t>
      </w:r>
      <w:bookmarkEnd w:id="122"/>
      <w:bookmarkEnd w:id="123"/>
    </w:p>
    <w:p w14:paraId="7FE8CC71" w14:textId="541BC9D3" w:rsidR="00E23965" w:rsidRPr="007E77AF" w:rsidRDefault="00E23965" w:rsidP="00165CB9">
      <w:pPr>
        <w:spacing w:before="120" w:after="120" w:line="312" w:lineRule="auto"/>
        <w:ind w:firstLine="567"/>
        <w:jc w:val="both"/>
      </w:pPr>
      <w:r w:rsidRPr="007E77AF">
        <w:t>§ 1</w:t>
      </w:r>
      <w:proofErr w:type="gramStart"/>
      <w:r w:rsidRPr="007E77AF">
        <w:t>º</w:t>
      </w:r>
      <w:r w:rsidR="000B4911" w:rsidRPr="007E77AF">
        <w:t xml:space="preserve">  </w:t>
      </w:r>
      <w:r w:rsidRPr="007E77AF">
        <w:t>A</w:t>
      </w:r>
      <w:proofErr w:type="gramEnd"/>
      <w:r w:rsidRPr="007E77AF">
        <w:t xml:space="preserve"> definição do rito de registro e da documentação que deve ser preparada para fins da oferta depende</w:t>
      </w:r>
      <w:r w:rsidR="001325A9" w:rsidRPr="007E77AF">
        <w:t>m</w:t>
      </w:r>
      <w:r w:rsidRPr="007E77AF">
        <w:t xml:space="preserve"> da natureza do emissor, do tipo de valor mobiliário ofertado e do público destinatário da oferta, conforme o disposto nas Seções II e III </w:t>
      </w:r>
      <w:r w:rsidR="00AF1DAE" w:rsidRPr="007E77AF">
        <w:t>deste Cap</w:t>
      </w:r>
      <w:r w:rsidR="003852C4" w:rsidRPr="007E77AF">
        <w:t>ítulo IV</w:t>
      </w:r>
      <w:r w:rsidRPr="007E77AF">
        <w:t>.</w:t>
      </w:r>
    </w:p>
    <w:p w14:paraId="6D6FBEEF" w14:textId="0095E0CA" w:rsidR="00895631" w:rsidRDefault="00165CB9" w:rsidP="00E8788F">
      <w:pPr>
        <w:spacing w:before="120" w:after="120" w:line="312" w:lineRule="auto"/>
        <w:ind w:firstLine="567"/>
        <w:jc w:val="both"/>
        <w:rPr>
          <w:strike/>
        </w:rPr>
      </w:pPr>
      <w:r w:rsidRPr="004132F6">
        <w:rPr>
          <w:strike/>
        </w:rPr>
        <w:t>§ 2</w:t>
      </w:r>
      <w:proofErr w:type="gramStart"/>
      <w:r w:rsidRPr="004132F6">
        <w:rPr>
          <w:strike/>
        </w:rPr>
        <w:t>º  As</w:t>
      </w:r>
      <w:proofErr w:type="gramEnd"/>
      <w:r w:rsidRPr="004132F6">
        <w:rPr>
          <w:strike/>
        </w:rPr>
        <w:t xml:space="preserve"> ofertas públicas de emissores não registrados </w:t>
      </w:r>
      <w:r w:rsidR="00EA0C3C" w:rsidRPr="004132F6">
        <w:rPr>
          <w:strike/>
        </w:rPr>
        <w:t xml:space="preserve">na CVM </w:t>
      </w:r>
      <w:r w:rsidRPr="004132F6">
        <w:rPr>
          <w:strike/>
        </w:rPr>
        <w:t>apenas podem ser destinadas a investidores profissionais.</w:t>
      </w:r>
    </w:p>
    <w:p w14:paraId="4D7C57D8" w14:textId="77777777" w:rsidR="004132F6" w:rsidRDefault="004132F6" w:rsidP="004132F6">
      <w:pPr>
        <w:spacing w:before="120" w:after="120" w:line="312" w:lineRule="auto"/>
        <w:ind w:firstLine="567"/>
        <w:jc w:val="both"/>
      </w:pPr>
      <w:r w:rsidRPr="004132F6">
        <w:t>§ 2</w:t>
      </w:r>
      <w:proofErr w:type="gramStart"/>
      <w:r w:rsidRPr="004132F6">
        <w:t>º  As</w:t>
      </w:r>
      <w:proofErr w:type="gramEnd"/>
      <w:r w:rsidRPr="004132F6">
        <w:t xml:space="preserve"> ofertas públicas de valores mobiliários de emissores não registrados na CVM e de certificados de depósito de valores mobiliários no âmbito de programas de BDR Patrocinados Níveis I e II com lastro em ações apenas podem ser destinadas a investidores profissionais.</w:t>
      </w:r>
    </w:p>
    <w:p w14:paraId="37C72059" w14:textId="30F2F7DE" w:rsidR="004132F6" w:rsidRPr="00716165" w:rsidRDefault="004132F6" w:rsidP="00716165">
      <w:pPr>
        <w:pStyle w:val="PargrafodaLista"/>
        <w:numPr>
          <w:ilvl w:val="0"/>
          <w:numId w:val="53"/>
        </w:numPr>
        <w:tabs>
          <w:tab w:val="left" w:pos="993"/>
        </w:tabs>
        <w:spacing w:line="312" w:lineRule="auto"/>
        <w:ind w:left="709" w:hanging="142"/>
        <w:contextualSpacing/>
        <w:jc w:val="both"/>
        <w:rPr>
          <w:b/>
          <w:i/>
        </w:rPr>
      </w:pPr>
      <w:r w:rsidRPr="004132F6">
        <w:rPr>
          <w:b/>
          <w:bCs/>
          <w:i/>
          <w:iCs/>
        </w:rPr>
        <w:t>§ 2º</w:t>
      </w:r>
      <w:r>
        <w:rPr>
          <w:b/>
          <w:i/>
        </w:rPr>
        <w:t xml:space="preserve">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647A04DE" w14:textId="159CA3D1" w:rsidR="004132F6" w:rsidRDefault="004132F6" w:rsidP="00716165">
      <w:pPr>
        <w:pStyle w:val="PargrafodaLista"/>
        <w:tabs>
          <w:tab w:val="left" w:pos="993"/>
        </w:tabs>
        <w:spacing w:line="312" w:lineRule="auto"/>
        <w:ind w:left="0" w:firstLine="567"/>
        <w:contextualSpacing/>
        <w:jc w:val="both"/>
      </w:pPr>
      <w:r>
        <w:t>§ 3</w:t>
      </w:r>
      <w:proofErr w:type="gramStart"/>
      <w:r>
        <w:t>º  As</w:t>
      </w:r>
      <w:proofErr w:type="gramEnd"/>
      <w:r>
        <w:t xml:space="preserve"> ofertas públicas de distribuição certificados de depósito de valores mobiliários no âmbito de programas de BDR devem observar ainda, no que tange à qualificação dos investidores destinatários da oferta, as mesmas restrições a que esteja sujeita a oferta pública no exterior dos valores mobiliários que sirvam como lastro para os BDR.</w:t>
      </w:r>
    </w:p>
    <w:p w14:paraId="27909E52" w14:textId="010F16CE" w:rsidR="004132F6" w:rsidRDefault="004132F6" w:rsidP="004132F6">
      <w:pPr>
        <w:pStyle w:val="PargrafodaLista"/>
        <w:numPr>
          <w:ilvl w:val="0"/>
          <w:numId w:val="53"/>
        </w:numPr>
        <w:tabs>
          <w:tab w:val="left" w:pos="993"/>
        </w:tabs>
        <w:spacing w:line="312" w:lineRule="auto"/>
        <w:ind w:left="709" w:hanging="142"/>
        <w:contextualSpacing/>
        <w:jc w:val="both"/>
        <w:rPr>
          <w:b/>
          <w:i/>
        </w:rPr>
      </w:pPr>
      <w:r w:rsidRPr="004132F6">
        <w:rPr>
          <w:b/>
          <w:bCs/>
          <w:i/>
          <w:iCs/>
        </w:rPr>
        <w:t xml:space="preserve">§ </w:t>
      </w:r>
      <w:r>
        <w:rPr>
          <w:b/>
          <w:bCs/>
          <w:i/>
          <w:iCs/>
        </w:rPr>
        <w:t>3</w:t>
      </w:r>
      <w:r w:rsidRPr="004132F6">
        <w:rPr>
          <w:b/>
          <w:bCs/>
          <w:i/>
          <w:iCs/>
        </w:rPr>
        <w:t>º</w:t>
      </w:r>
      <w:r>
        <w:rPr>
          <w:b/>
          <w:i/>
        </w:rPr>
        <w:t xml:space="preserve"> incluído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0DE78418" w14:textId="5D881AA0" w:rsidR="00D74986" w:rsidRPr="007E77AF" w:rsidRDefault="000B4911" w:rsidP="006B018B">
      <w:pPr>
        <w:pStyle w:val="Seo"/>
      </w:pPr>
      <w:bookmarkStart w:id="124" w:name="_Toc476216321"/>
      <w:bookmarkStart w:id="125" w:name="_Toc108516042"/>
      <w:bookmarkStart w:id="126" w:name="_Toc108203073"/>
      <w:bookmarkStart w:id="127" w:name="_Toc136502813"/>
      <w:r w:rsidRPr="007E77AF">
        <w:t xml:space="preserve">Seção II – Rito </w:t>
      </w:r>
      <w:r w:rsidR="002F16A3" w:rsidRPr="007E77AF">
        <w:t xml:space="preserve">de Registro Automático </w:t>
      </w:r>
      <w:r w:rsidRPr="007E77AF">
        <w:t xml:space="preserve">de </w:t>
      </w:r>
      <w:r w:rsidR="002F16A3" w:rsidRPr="007E77AF">
        <w:t>Distribuição</w:t>
      </w:r>
      <w:bookmarkEnd w:id="124"/>
      <w:bookmarkEnd w:id="125"/>
      <w:bookmarkEnd w:id="126"/>
      <w:bookmarkEnd w:id="127"/>
    </w:p>
    <w:p w14:paraId="22F9C4EB" w14:textId="0F101EDB" w:rsidR="00EB0C2B" w:rsidRPr="007E77AF" w:rsidRDefault="00EB0C2B" w:rsidP="006B018B">
      <w:pPr>
        <w:pStyle w:val="Seo"/>
      </w:pPr>
      <w:bookmarkStart w:id="128" w:name="_Toc476216322"/>
      <w:bookmarkStart w:id="129" w:name="_Toc108516043"/>
      <w:bookmarkStart w:id="130" w:name="_Toc108203074"/>
      <w:bookmarkStart w:id="131" w:name="_Toc136502814"/>
      <w:r w:rsidRPr="007E77AF">
        <w:t xml:space="preserve">Subseção I – Emissores e </w:t>
      </w:r>
      <w:r w:rsidR="002F16A3" w:rsidRPr="007E77AF">
        <w:t>Valores Mobiliários Elegíveis</w:t>
      </w:r>
      <w:bookmarkEnd w:id="128"/>
      <w:bookmarkEnd w:id="129"/>
      <w:bookmarkEnd w:id="130"/>
      <w:bookmarkEnd w:id="131"/>
    </w:p>
    <w:p w14:paraId="6B00BD9E" w14:textId="71E223AB" w:rsidR="00D74986" w:rsidRPr="007E77AF" w:rsidRDefault="009069A1" w:rsidP="001353DC">
      <w:pPr>
        <w:spacing w:before="120" w:after="120" w:line="312" w:lineRule="auto"/>
        <w:ind w:firstLine="567"/>
        <w:jc w:val="both"/>
      </w:pPr>
      <w:bookmarkStart w:id="132" w:name="_Ref59139104"/>
      <w:r w:rsidRPr="007E77AF">
        <w:t>Art. 26</w:t>
      </w:r>
      <w:r w:rsidR="00A55F37" w:rsidRPr="007E77AF">
        <w:t>.</w:t>
      </w:r>
      <w:r w:rsidR="000B4911" w:rsidRPr="007E77AF">
        <w:t xml:space="preserve">  O registro da oferta não se sujeita à análise prévia da CVM e a distribuição pode ser realizada automaticamente se cumpridos os requisitos e procedimentos elencados no art. </w:t>
      </w:r>
      <w:r w:rsidR="0086760A" w:rsidRPr="007E77AF">
        <w:t>27</w:t>
      </w:r>
      <w:r w:rsidR="000B4911" w:rsidRPr="007E77AF">
        <w:t xml:space="preserve"> nos casos de oferta pública:</w:t>
      </w:r>
      <w:bookmarkEnd w:id="132"/>
    </w:p>
    <w:p w14:paraId="0B8F2281" w14:textId="7376B31E" w:rsidR="00D74986" w:rsidRPr="007E77AF" w:rsidRDefault="009069A1" w:rsidP="001353DC">
      <w:pPr>
        <w:spacing w:before="120" w:after="120" w:line="312" w:lineRule="auto"/>
        <w:ind w:firstLine="567"/>
        <w:jc w:val="both"/>
      </w:pPr>
      <w:r w:rsidRPr="007E77AF">
        <w:t>I</w:t>
      </w:r>
      <w:r w:rsidR="000B4911" w:rsidRPr="007E77AF">
        <w:t xml:space="preserve"> </w:t>
      </w:r>
      <w:bookmarkStart w:id="133" w:name="_Ref469913527"/>
      <w:r w:rsidR="000B4911" w:rsidRPr="007E77AF">
        <w:t xml:space="preserve">– </w:t>
      </w:r>
      <w:proofErr w:type="gramStart"/>
      <w:r w:rsidR="000B4911" w:rsidRPr="007E77AF">
        <w:t>inicial</w:t>
      </w:r>
      <w:proofErr w:type="gramEnd"/>
      <w:r w:rsidR="000B4911" w:rsidRPr="007E77AF">
        <w:t xml:space="preserve"> de distribuição de ações, bônus de subscrição, debêntures conversíveis ou permutáveis em ações e de certificados de depósito sobre estes valores mobiliários de emissores </w:t>
      </w:r>
      <w:r w:rsidR="00823CE7" w:rsidRPr="007E77AF">
        <w:t xml:space="preserve">registrados </w:t>
      </w:r>
      <w:r w:rsidR="000B4911" w:rsidRPr="007E77AF">
        <w:t xml:space="preserve">em fase operacional quando o requerimento de registro for previamente analisado por entidade autorreguladora autorizada pela CVM </w:t>
      </w:r>
      <w:r w:rsidR="000F03AC" w:rsidRPr="007E77AF">
        <w:t>nos te</w:t>
      </w:r>
      <w:r w:rsidR="00271B38">
        <w:t>r</w:t>
      </w:r>
      <w:r w:rsidR="000F03AC" w:rsidRPr="007E77AF">
        <w:t xml:space="preserve">mos do </w:t>
      </w:r>
      <w:r w:rsidR="00190190" w:rsidRPr="007E77AF">
        <w:t>c</w:t>
      </w:r>
      <w:r w:rsidR="000F03AC" w:rsidRPr="007E77AF">
        <w:t>onvênio</w:t>
      </w:r>
      <w:r w:rsidR="006B3F93" w:rsidRPr="007E77AF">
        <w:t xml:space="preserve"> </w:t>
      </w:r>
      <w:r w:rsidR="00873FBF" w:rsidRPr="007E77AF">
        <w:t>(“IPO de ações com análise via convênio”)</w:t>
      </w:r>
      <w:r w:rsidR="00153958" w:rsidRPr="007E77AF">
        <w:t xml:space="preserve">, sujeita a apresentação dos documentos previstos nos </w:t>
      </w:r>
      <w:proofErr w:type="spellStart"/>
      <w:r w:rsidR="00153958" w:rsidRPr="007E77AF">
        <w:t>arts</w:t>
      </w:r>
      <w:proofErr w:type="spellEnd"/>
      <w:r w:rsidR="00153958" w:rsidRPr="007E77AF">
        <w:t>. 16 e 23</w:t>
      </w:r>
      <w:r w:rsidR="000B4911" w:rsidRPr="007E77AF">
        <w:t>;</w:t>
      </w:r>
      <w:bookmarkEnd w:id="133"/>
    </w:p>
    <w:p w14:paraId="1621EC90" w14:textId="0D507C2A" w:rsidR="00D74986" w:rsidRDefault="009069A1" w:rsidP="001353DC">
      <w:pPr>
        <w:spacing w:before="120" w:after="120" w:line="312" w:lineRule="auto"/>
        <w:ind w:firstLine="567"/>
        <w:jc w:val="both"/>
        <w:rPr>
          <w:strike/>
        </w:rPr>
      </w:pPr>
      <w:r w:rsidRPr="004132F6">
        <w:rPr>
          <w:strike/>
        </w:rPr>
        <w:t>II</w:t>
      </w:r>
      <w:r w:rsidR="000B4911" w:rsidRPr="004132F6">
        <w:rPr>
          <w:strike/>
        </w:rPr>
        <w:t xml:space="preserve"> – </w:t>
      </w:r>
      <w:proofErr w:type="gramStart"/>
      <w:r w:rsidR="000B4911" w:rsidRPr="004132F6">
        <w:rPr>
          <w:strike/>
        </w:rPr>
        <w:t>subsequente</w:t>
      </w:r>
      <w:proofErr w:type="gramEnd"/>
      <w:r w:rsidR="000B4911" w:rsidRPr="004132F6">
        <w:rPr>
          <w:strike/>
        </w:rPr>
        <w:t xml:space="preserve"> de distribuição de ações, bônus de subscrição, debêntures conversíveis ou permutáveis em ações e de certificados de depósito sobre estes valores mobiliários de emissores em fase operacional</w:t>
      </w:r>
      <w:r w:rsidR="00FA2E35" w:rsidRPr="004132F6">
        <w:rPr>
          <w:strike/>
        </w:rPr>
        <w:t xml:space="preserve"> (“subsequente de ações”) </w:t>
      </w:r>
      <w:r w:rsidR="000B4911" w:rsidRPr="004132F6">
        <w:rPr>
          <w:strike/>
        </w:rPr>
        <w:t>destinada:</w:t>
      </w:r>
    </w:p>
    <w:p w14:paraId="5F50ED5A" w14:textId="77777777" w:rsidR="004132F6" w:rsidRPr="004132F6" w:rsidRDefault="004132F6" w:rsidP="004132F6">
      <w:pPr>
        <w:spacing w:before="120" w:after="120" w:line="312" w:lineRule="auto"/>
        <w:ind w:firstLine="567"/>
        <w:jc w:val="both"/>
      </w:pPr>
      <w:r w:rsidRPr="004132F6">
        <w:lastRenderedPageBreak/>
        <w:t xml:space="preserve">II – </w:t>
      </w:r>
      <w:proofErr w:type="gramStart"/>
      <w:r w:rsidRPr="004132F6">
        <w:t>subsequente</w:t>
      </w:r>
      <w:proofErr w:type="gramEnd"/>
      <w:r w:rsidRPr="004132F6">
        <w:t xml:space="preserve"> de distribuição de ações, bônus de subscrição, certificados de depósitos de valores mobiliários no âmbito de Programa de BDR Patrocinado Nível III com lastro em ações, debêntures conversíveis ou permutáveis em ações e de certificados de depósito sobre estes valores mobiliários de emissores em fase operacional (“subsequente de ações”) destinada:</w:t>
      </w:r>
    </w:p>
    <w:p w14:paraId="640773E4" w14:textId="7BD61615" w:rsidR="004132F6" w:rsidRPr="004132F6" w:rsidRDefault="00F241DD" w:rsidP="004132F6">
      <w:pPr>
        <w:pStyle w:val="PargrafodaLista"/>
        <w:numPr>
          <w:ilvl w:val="0"/>
          <w:numId w:val="53"/>
        </w:numPr>
        <w:tabs>
          <w:tab w:val="left" w:pos="993"/>
        </w:tabs>
        <w:spacing w:line="312" w:lineRule="auto"/>
        <w:ind w:left="709" w:hanging="142"/>
        <w:contextualSpacing/>
        <w:jc w:val="both"/>
        <w:rPr>
          <w:b/>
          <w:i/>
        </w:rPr>
      </w:pPr>
      <w:r>
        <w:rPr>
          <w:b/>
          <w:i/>
        </w:rPr>
        <w:t>Inciso II</w:t>
      </w:r>
      <w:r w:rsidR="004132F6">
        <w:rPr>
          <w:b/>
          <w:i/>
        </w:rPr>
        <w:t xml:space="preserve"> com redação dada </w:t>
      </w:r>
      <w:r w:rsidR="004132F6" w:rsidRPr="00AF3F0B">
        <w:rPr>
          <w:b/>
          <w:i/>
        </w:rPr>
        <w:t xml:space="preserve">pela Resolução CVM nº </w:t>
      </w:r>
      <w:r w:rsidR="004132F6">
        <w:rPr>
          <w:b/>
          <w:i/>
        </w:rPr>
        <w:t>183</w:t>
      </w:r>
      <w:r w:rsidR="004132F6" w:rsidRPr="00AF3F0B">
        <w:rPr>
          <w:b/>
          <w:i/>
        </w:rPr>
        <w:t xml:space="preserve">, de </w:t>
      </w:r>
      <w:r w:rsidR="004132F6">
        <w:rPr>
          <w:b/>
          <w:i/>
        </w:rPr>
        <w:t>11 de maio de 2023</w:t>
      </w:r>
      <w:r w:rsidR="004132F6" w:rsidRPr="00AF3F0B">
        <w:rPr>
          <w:b/>
          <w:i/>
        </w:rPr>
        <w:t>.</w:t>
      </w:r>
    </w:p>
    <w:p w14:paraId="22C951FB" w14:textId="4E2DE0A4" w:rsidR="00D74986" w:rsidRPr="007E77AF" w:rsidRDefault="000B4911" w:rsidP="00D74986">
      <w:pPr>
        <w:spacing w:before="120" w:after="120" w:line="312" w:lineRule="auto"/>
        <w:ind w:firstLine="567"/>
        <w:jc w:val="both"/>
      </w:pPr>
      <w:r w:rsidRPr="007E77AF">
        <w:t xml:space="preserve">a) exclusivamente a investidores profissionais; </w:t>
      </w:r>
    </w:p>
    <w:p w14:paraId="2EE1B1C1" w14:textId="3705C819" w:rsidR="00D74986" w:rsidRPr="007E77AF" w:rsidRDefault="000B4911" w:rsidP="00D74986">
      <w:pPr>
        <w:spacing w:before="120" w:after="120" w:line="312" w:lineRule="auto"/>
        <w:ind w:firstLine="567"/>
        <w:jc w:val="both"/>
      </w:pPr>
      <w:r w:rsidRPr="007E77AF">
        <w:t xml:space="preserve">b) exclusivamente a investidores qualificados, sujeita a apresentação dos documentos previstos nos </w:t>
      </w:r>
      <w:proofErr w:type="spellStart"/>
      <w:r w:rsidRPr="007E77AF">
        <w:t>arts</w:t>
      </w:r>
      <w:proofErr w:type="spellEnd"/>
      <w:r w:rsidRPr="007E77AF">
        <w:t xml:space="preserve">. </w:t>
      </w:r>
      <w:r w:rsidR="0086760A" w:rsidRPr="007E77AF">
        <w:t>16</w:t>
      </w:r>
      <w:r w:rsidRPr="007E77AF">
        <w:t xml:space="preserve"> e </w:t>
      </w:r>
      <w:r w:rsidR="0086760A" w:rsidRPr="007E77AF">
        <w:t>23</w:t>
      </w:r>
      <w:r w:rsidRPr="007E77AF">
        <w:t>; ou</w:t>
      </w:r>
    </w:p>
    <w:p w14:paraId="1F7DDF67" w14:textId="78ABE4BE" w:rsidR="00D74986" w:rsidRPr="007E77AF" w:rsidRDefault="000B4911" w:rsidP="00D74986">
      <w:pPr>
        <w:spacing w:before="120" w:after="120" w:line="312" w:lineRule="auto"/>
        <w:ind w:firstLine="567"/>
        <w:jc w:val="both"/>
      </w:pPr>
      <w:r w:rsidRPr="007E77AF">
        <w:t xml:space="preserve">c) inclusive ao público investidor em geral quando o requerimento de registro for previamente analisado por entidade autorreguladora autorizada pela CVM </w:t>
      </w:r>
      <w:r w:rsidR="000B53DF" w:rsidRPr="007E77AF">
        <w:t>nos te</w:t>
      </w:r>
      <w:r w:rsidR="00A2285F" w:rsidRPr="007E77AF">
        <w:t>r</w:t>
      </w:r>
      <w:r w:rsidR="000B53DF" w:rsidRPr="007E77AF">
        <w:t>mos do convênio</w:t>
      </w:r>
      <w:r w:rsidRPr="007E77AF">
        <w:t>;</w:t>
      </w:r>
    </w:p>
    <w:p w14:paraId="6B9ABDF8" w14:textId="5926CF39" w:rsidR="00D74986" w:rsidRPr="007E77AF" w:rsidRDefault="009069A1" w:rsidP="001353DC">
      <w:pPr>
        <w:spacing w:before="120" w:after="120" w:line="312" w:lineRule="auto"/>
        <w:ind w:firstLine="567"/>
        <w:jc w:val="both"/>
      </w:pPr>
      <w:r w:rsidRPr="007E77AF">
        <w:t>III</w:t>
      </w:r>
      <w:r w:rsidR="000B4911" w:rsidRPr="007E77AF">
        <w:t xml:space="preserve"> </w:t>
      </w:r>
      <w:bookmarkStart w:id="134" w:name="_Ref469913559"/>
      <w:r w:rsidR="000B4911" w:rsidRPr="007E77AF">
        <w:t xml:space="preserve">– subsequente de distribuição de ações, bônus de subscrição, debêntures conversíveis ou permutáveis em ações e de certificados de depósito sobre estes valores mobiliários de emissor de ações </w:t>
      </w:r>
      <w:r w:rsidR="008A3D2B" w:rsidRPr="007E77AF">
        <w:t xml:space="preserve">com </w:t>
      </w:r>
      <w:r w:rsidR="000B4911" w:rsidRPr="007E77AF">
        <w:t>grande exposição ao mercado - EGEM</w:t>
      </w:r>
      <w:r w:rsidR="00E7621A" w:rsidRPr="007E77AF">
        <w:t xml:space="preserve"> (“subsequente de ações de EGEM”)</w:t>
      </w:r>
      <w:r w:rsidR="000B4911" w:rsidRPr="007E77AF">
        <w:t xml:space="preserve"> destinada:</w:t>
      </w:r>
      <w:bookmarkEnd w:id="134"/>
    </w:p>
    <w:p w14:paraId="3A9E8FFD" w14:textId="0EF92877" w:rsidR="00D74986" w:rsidRPr="007E77AF" w:rsidRDefault="000B4911" w:rsidP="00D74986">
      <w:pPr>
        <w:spacing w:before="120" w:after="120" w:line="312" w:lineRule="auto"/>
        <w:ind w:firstLine="567"/>
        <w:jc w:val="both"/>
        <w:rPr>
          <w:bCs/>
        </w:rPr>
      </w:pPr>
      <w:r w:rsidRPr="007E77AF">
        <w:rPr>
          <w:bCs/>
        </w:rPr>
        <w:t>a) exclusivamente a investidores profissionais; ou</w:t>
      </w:r>
    </w:p>
    <w:p w14:paraId="2F5C26ED" w14:textId="12067CD6" w:rsidR="00D74986" w:rsidRDefault="000B4911" w:rsidP="00D74986">
      <w:pPr>
        <w:spacing w:before="120" w:after="120" w:line="312" w:lineRule="auto"/>
        <w:ind w:firstLine="567"/>
        <w:jc w:val="both"/>
      </w:pPr>
      <w:r w:rsidRPr="007E77AF">
        <w:t xml:space="preserve">b) inclusive ao público investidor em geral, sujeita à apresentação dos documentos previstos nos </w:t>
      </w:r>
      <w:proofErr w:type="spellStart"/>
      <w:r w:rsidRPr="007E77AF">
        <w:t>arts</w:t>
      </w:r>
      <w:proofErr w:type="spellEnd"/>
      <w:r w:rsidRPr="007E77AF">
        <w:t xml:space="preserve">. </w:t>
      </w:r>
      <w:r w:rsidR="0086760A" w:rsidRPr="007E77AF">
        <w:t>16</w:t>
      </w:r>
      <w:r w:rsidRPr="007E77AF">
        <w:t xml:space="preserve"> e </w:t>
      </w:r>
      <w:r w:rsidR="0086760A" w:rsidRPr="007E77AF">
        <w:t>23</w:t>
      </w:r>
      <w:r w:rsidRPr="007E77AF">
        <w:t>;</w:t>
      </w:r>
    </w:p>
    <w:p w14:paraId="23CFB9B9" w14:textId="77777777" w:rsidR="004132F6" w:rsidRPr="004132F6" w:rsidRDefault="004132F6" w:rsidP="004132F6">
      <w:pPr>
        <w:spacing w:before="120" w:after="120" w:line="312" w:lineRule="auto"/>
        <w:ind w:firstLine="567"/>
        <w:jc w:val="both"/>
      </w:pPr>
      <w:r w:rsidRPr="004132F6">
        <w:t>III-A – subsequente de distribuição de certificados de depósitos de valores mobiliários no âmbito de Programa de BDR Patrocinado Níveis I e II com lastro em ações (“subsequente de BDR Patrocinado Níveis I e II com lastro em ações”);</w:t>
      </w:r>
    </w:p>
    <w:p w14:paraId="4E50E95E" w14:textId="33D91AD0" w:rsidR="004132F6" w:rsidRPr="004132F6" w:rsidRDefault="004132F6" w:rsidP="004132F6">
      <w:pPr>
        <w:pStyle w:val="PargrafodaLista"/>
        <w:numPr>
          <w:ilvl w:val="0"/>
          <w:numId w:val="53"/>
        </w:numPr>
        <w:tabs>
          <w:tab w:val="left" w:pos="993"/>
        </w:tabs>
        <w:spacing w:line="312" w:lineRule="auto"/>
        <w:ind w:left="709" w:hanging="142"/>
        <w:contextualSpacing/>
        <w:jc w:val="both"/>
        <w:rPr>
          <w:b/>
          <w:i/>
        </w:rPr>
      </w:pPr>
      <w:r w:rsidRPr="004132F6">
        <w:rPr>
          <w:b/>
          <w:i/>
        </w:rPr>
        <w:t>Inciso III-A</w:t>
      </w:r>
      <w:r>
        <w:rPr>
          <w:b/>
          <w:i/>
        </w:rPr>
        <w:t xml:space="preserve"> </w:t>
      </w:r>
      <w:r w:rsidR="00517527">
        <w:rPr>
          <w:b/>
          <w:i/>
        </w:rPr>
        <w:t xml:space="preserve">incluído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0036741A" w14:textId="271CE8FC" w:rsidR="00D74986" w:rsidRPr="007E77AF" w:rsidRDefault="009069A1" w:rsidP="001353DC">
      <w:pPr>
        <w:spacing w:before="120" w:after="120" w:line="312" w:lineRule="auto"/>
        <w:ind w:firstLine="567"/>
        <w:jc w:val="both"/>
      </w:pPr>
      <w:r w:rsidRPr="007E77AF">
        <w:t>IV</w:t>
      </w:r>
      <w:r w:rsidR="000B4911" w:rsidRPr="007E77AF">
        <w:t xml:space="preserve"> </w:t>
      </w:r>
      <w:bookmarkStart w:id="135" w:name="_Ref469912776"/>
      <w:r w:rsidR="000B4911" w:rsidRPr="007E77AF">
        <w:t xml:space="preserve">– </w:t>
      </w:r>
      <w:proofErr w:type="gramStart"/>
      <w:r w:rsidR="000B4911" w:rsidRPr="007E77AF">
        <w:t>de</w:t>
      </w:r>
      <w:proofErr w:type="gramEnd"/>
      <w:r w:rsidR="000B4911" w:rsidRPr="007E77AF">
        <w:t xml:space="preserve"> distribuição de debêntures não-conversíveis ou não-permutáveis em ações, ou de outros tipos de valores mobiliários representativos de dívida de emissor frequente de valores mobiliários de renda fixa - EFRF destinada</w:t>
      </w:r>
      <w:r w:rsidR="00CC7DFD" w:rsidRPr="007E77AF">
        <w:t xml:space="preserve"> (“debêntures simples de emissor frequente de dívida”)</w:t>
      </w:r>
      <w:r w:rsidR="000B4911" w:rsidRPr="007E77AF">
        <w:t>:</w:t>
      </w:r>
      <w:bookmarkEnd w:id="135"/>
    </w:p>
    <w:p w14:paraId="0144A40A" w14:textId="56F01690" w:rsidR="00D74986" w:rsidRPr="007E77AF" w:rsidRDefault="000B4911" w:rsidP="00D74986">
      <w:pPr>
        <w:spacing w:before="120" w:after="120" w:line="312" w:lineRule="auto"/>
        <w:ind w:firstLine="567"/>
        <w:jc w:val="both"/>
        <w:rPr>
          <w:bCs/>
        </w:rPr>
      </w:pPr>
      <w:r w:rsidRPr="007E77AF">
        <w:rPr>
          <w:bCs/>
        </w:rPr>
        <w:t>a) exclusivamente a investidores profissionais</w:t>
      </w:r>
      <w:r w:rsidR="0007663A" w:rsidRPr="007E77AF">
        <w:t xml:space="preserve">, observado o disposto no inciso </w:t>
      </w:r>
      <w:r w:rsidR="0086760A" w:rsidRPr="007E77AF">
        <w:rPr>
          <w:bCs/>
        </w:rPr>
        <w:t>I</w:t>
      </w:r>
      <w:r w:rsidR="0007663A" w:rsidRPr="007E77AF">
        <w:t xml:space="preserve"> do </w:t>
      </w:r>
      <w:r w:rsidR="00322E54" w:rsidRPr="007E77AF">
        <w:t xml:space="preserve">art. </w:t>
      </w:r>
      <w:r w:rsidR="005408A1">
        <w:t>86</w:t>
      </w:r>
      <w:r w:rsidRPr="007E77AF">
        <w:rPr>
          <w:bCs/>
        </w:rPr>
        <w:t>; ou</w:t>
      </w:r>
    </w:p>
    <w:p w14:paraId="05BC20BB" w14:textId="58B974F3" w:rsidR="00D74986" w:rsidRPr="007E77AF" w:rsidRDefault="000B4911" w:rsidP="00D74986">
      <w:pPr>
        <w:spacing w:before="120" w:after="120" w:line="312" w:lineRule="auto"/>
        <w:ind w:firstLine="567"/>
        <w:jc w:val="both"/>
      </w:pPr>
      <w:r w:rsidRPr="007E77AF">
        <w:t>b) inclusive ao público investidor em geral</w:t>
      </w:r>
      <w:r w:rsidRPr="007E77AF">
        <w:rPr>
          <w:bCs/>
        </w:rPr>
        <w:t xml:space="preserve">, sujeita a apresentação dos documentos previstos nos </w:t>
      </w:r>
      <w:proofErr w:type="spellStart"/>
      <w:r w:rsidRPr="007E77AF">
        <w:rPr>
          <w:bCs/>
        </w:rPr>
        <w:t>arts</w:t>
      </w:r>
      <w:proofErr w:type="spellEnd"/>
      <w:r w:rsidRPr="007E77AF">
        <w:rPr>
          <w:bCs/>
        </w:rPr>
        <w:t xml:space="preserve">. </w:t>
      </w:r>
      <w:r w:rsidR="0086760A" w:rsidRPr="007E77AF">
        <w:rPr>
          <w:bCs/>
        </w:rPr>
        <w:t>16</w:t>
      </w:r>
      <w:r w:rsidRPr="007E77AF">
        <w:rPr>
          <w:bCs/>
        </w:rPr>
        <w:t xml:space="preserve"> e </w:t>
      </w:r>
      <w:r w:rsidR="0086760A" w:rsidRPr="007E77AF">
        <w:rPr>
          <w:bCs/>
        </w:rPr>
        <w:t>23</w:t>
      </w:r>
      <w:r w:rsidRPr="007E77AF">
        <w:t>;</w:t>
      </w:r>
    </w:p>
    <w:p w14:paraId="0D9C28BA" w14:textId="42AA0A42" w:rsidR="00D74986" w:rsidRPr="007E77AF" w:rsidRDefault="009069A1" w:rsidP="001353DC">
      <w:pPr>
        <w:spacing w:before="120" w:after="120" w:line="312" w:lineRule="auto"/>
        <w:ind w:firstLine="567"/>
        <w:jc w:val="both"/>
      </w:pPr>
      <w:r w:rsidRPr="007E77AF">
        <w:t>V</w:t>
      </w:r>
      <w:r w:rsidR="000B4911" w:rsidRPr="007E77AF">
        <w:t xml:space="preserve"> </w:t>
      </w:r>
      <w:bookmarkStart w:id="136" w:name="_Ref469912430"/>
      <w:r w:rsidR="000B4911" w:rsidRPr="007E77AF">
        <w:t xml:space="preserve">– </w:t>
      </w:r>
      <w:proofErr w:type="gramStart"/>
      <w:r w:rsidR="000B4911" w:rsidRPr="007E77AF">
        <w:t>de</w:t>
      </w:r>
      <w:proofErr w:type="gramEnd"/>
      <w:r w:rsidR="000B4911" w:rsidRPr="007E77AF">
        <w:t xml:space="preserve"> distribuição de debêntures não-conversíveis ou não-permutáveis em ações, ou de outros tipos de valores mobiliários representativos de dívida de emissor em fase operacional registrado nas Categorias A e B </w:t>
      </w:r>
      <w:r w:rsidR="00FC1AFC" w:rsidRPr="007E77AF">
        <w:t xml:space="preserve">(“debêntures simples”) </w:t>
      </w:r>
      <w:r w:rsidR="000B4911" w:rsidRPr="007E77AF">
        <w:t>destinada exclusivamente a:</w:t>
      </w:r>
      <w:bookmarkEnd w:id="136"/>
    </w:p>
    <w:p w14:paraId="057259ED" w14:textId="7B55293B" w:rsidR="00D74986" w:rsidRPr="007E77AF" w:rsidRDefault="000B4911" w:rsidP="00D74986">
      <w:pPr>
        <w:spacing w:before="120" w:after="120" w:line="312" w:lineRule="auto"/>
        <w:ind w:firstLine="567"/>
        <w:jc w:val="both"/>
      </w:pPr>
      <w:r w:rsidRPr="007E77AF">
        <w:lastRenderedPageBreak/>
        <w:t xml:space="preserve">a) investidores profissionais, observado o disposto no inciso </w:t>
      </w:r>
      <w:r w:rsidR="0086760A" w:rsidRPr="007E77AF">
        <w:t>II</w:t>
      </w:r>
      <w:r w:rsidR="0007663A" w:rsidRPr="007E77AF">
        <w:t xml:space="preserve"> </w:t>
      </w:r>
      <w:r w:rsidRPr="007E77AF">
        <w:t xml:space="preserve">do art. </w:t>
      </w:r>
      <w:r w:rsidR="000F0B94">
        <w:rPr>
          <w:bCs/>
        </w:rPr>
        <w:t>86</w:t>
      </w:r>
      <w:r w:rsidRPr="007E77AF">
        <w:rPr>
          <w:bCs/>
        </w:rPr>
        <w:t>;</w:t>
      </w:r>
    </w:p>
    <w:p w14:paraId="3DAFFB13" w14:textId="6B7B6523" w:rsidR="00D74986" w:rsidRPr="007E77AF" w:rsidRDefault="000B4911" w:rsidP="00D74986">
      <w:pPr>
        <w:spacing w:before="120" w:after="120" w:line="312" w:lineRule="auto"/>
        <w:ind w:firstLine="567"/>
        <w:jc w:val="both"/>
      </w:pPr>
      <w:r w:rsidRPr="007E77AF">
        <w:t xml:space="preserve">b) investidores qualificados, observado o disposto no inciso </w:t>
      </w:r>
      <w:r w:rsidR="0086760A" w:rsidRPr="007E77AF">
        <w:rPr>
          <w:bCs/>
        </w:rPr>
        <w:t>III</w:t>
      </w:r>
      <w:r w:rsidRPr="007E77AF">
        <w:t xml:space="preserve"> do art. </w:t>
      </w:r>
      <w:r w:rsidR="000F0B94">
        <w:rPr>
          <w:bCs/>
        </w:rPr>
        <w:t>86</w:t>
      </w:r>
      <w:r w:rsidRPr="007E77AF">
        <w:rPr>
          <w:bCs/>
        </w:rPr>
        <w:t>;</w:t>
      </w:r>
      <w:r w:rsidRPr="007E77AF">
        <w:t xml:space="preserve"> ou</w:t>
      </w:r>
    </w:p>
    <w:p w14:paraId="6B525791" w14:textId="27782757" w:rsidR="00D74986" w:rsidRPr="007E77AF" w:rsidRDefault="000B4911" w:rsidP="00543F53">
      <w:pPr>
        <w:spacing w:before="120" w:after="120" w:line="312" w:lineRule="auto"/>
        <w:ind w:firstLine="567"/>
        <w:jc w:val="both"/>
      </w:pPr>
      <w:r w:rsidRPr="007E77AF">
        <w:t>c) inclusive ao público investidor em geral quando</w:t>
      </w:r>
      <w:r w:rsidR="00B357A3" w:rsidRPr="007E77AF">
        <w:t xml:space="preserve"> (“debêntures simples de emissor registrado para o público em geral nas hipóteses de registro automático”)</w:t>
      </w:r>
      <w:r w:rsidRPr="007E77AF">
        <w:t>:</w:t>
      </w:r>
    </w:p>
    <w:p w14:paraId="5717650E" w14:textId="3570BEFA" w:rsidR="00D74986" w:rsidRPr="007E77AF" w:rsidRDefault="000B4911" w:rsidP="00D74986">
      <w:pPr>
        <w:spacing w:before="120" w:after="120" w:line="312" w:lineRule="auto"/>
        <w:ind w:firstLine="567"/>
        <w:jc w:val="both"/>
      </w:pPr>
      <w:r w:rsidRPr="007E77AF">
        <w:t xml:space="preserve">1. o requerimento de registro for previamente analisado por entidade autorreguladora autorizada pela CVM </w:t>
      </w:r>
      <w:r w:rsidR="00C25236" w:rsidRPr="007E77AF">
        <w:t>nos termos do convênio</w:t>
      </w:r>
      <w:r w:rsidRPr="007E77AF">
        <w:t>;</w:t>
      </w:r>
    </w:p>
    <w:p w14:paraId="7C05DCBA" w14:textId="77777777" w:rsidR="00D74986" w:rsidRPr="007E77AF" w:rsidRDefault="000B4911" w:rsidP="00D74986">
      <w:pPr>
        <w:spacing w:before="120" w:after="120" w:line="312" w:lineRule="auto"/>
        <w:ind w:firstLine="567"/>
        <w:jc w:val="both"/>
      </w:pPr>
      <w:r w:rsidRPr="007E77AF">
        <w:t>2. se tratar de títulos com características idênticas, exceto pela taxa de remuneração, inclusive com o mesmo vencimento, aos distribuídos em oferta pública anterior destinada público investidor em geral (reabertura de séries); ou</w:t>
      </w:r>
    </w:p>
    <w:p w14:paraId="086BE32B" w14:textId="415B5F5A" w:rsidR="00D74986" w:rsidRDefault="000B4911" w:rsidP="00D74986">
      <w:pPr>
        <w:spacing w:before="120" w:after="120" w:line="312" w:lineRule="auto"/>
        <w:ind w:firstLine="567"/>
        <w:jc w:val="both"/>
      </w:pPr>
      <w:r w:rsidRPr="007E77AF">
        <w:t>3. se tratar de título padronizado, de acordo com modelo definido por entidade autorreguladora e que seja previamente aprovado pela CVM;</w:t>
      </w:r>
    </w:p>
    <w:p w14:paraId="26CFD42B" w14:textId="0E0B414D" w:rsidR="004132F6" w:rsidRDefault="004132F6" w:rsidP="00D74986">
      <w:pPr>
        <w:spacing w:before="120" w:after="120" w:line="312" w:lineRule="auto"/>
        <w:ind w:firstLine="567"/>
        <w:jc w:val="both"/>
      </w:pPr>
      <w:r>
        <w:t xml:space="preserve">V-A – </w:t>
      </w:r>
      <w:r w:rsidRPr="00372EC5">
        <w:t>de distribuição de certificados de depósito de valores mobiliários no âmbito de programa de BDR Patrocinado Nível I, II ou III, com lastro em valores mobiliários representativos de dívida, destinada exclusivamente a investidores profissionais (“BDR Patrocinado com lastro em dívida”)</w:t>
      </w:r>
      <w:r>
        <w:t>;</w:t>
      </w:r>
    </w:p>
    <w:p w14:paraId="72B97C6D" w14:textId="1B6367B1" w:rsidR="004132F6" w:rsidRPr="004132F6" w:rsidRDefault="004132F6" w:rsidP="004132F6">
      <w:pPr>
        <w:pStyle w:val="PargrafodaLista"/>
        <w:numPr>
          <w:ilvl w:val="0"/>
          <w:numId w:val="53"/>
        </w:numPr>
        <w:tabs>
          <w:tab w:val="left" w:pos="993"/>
        </w:tabs>
        <w:spacing w:line="312" w:lineRule="auto"/>
        <w:ind w:left="709" w:hanging="142"/>
        <w:contextualSpacing/>
        <w:jc w:val="both"/>
        <w:rPr>
          <w:b/>
          <w:i/>
        </w:rPr>
      </w:pPr>
      <w:r>
        <w:rPr>
          <w:b/>
          <w:i/>
        </w:rPr>
        <w:t xml:space="preserve">Inciso </w:t>
      </w:r>
      <w:r w:rsidRPr="004132F6">
        <w:rPr>
          <w:b/>
          <w:bCs/>
          <w:i/>
          <w:iCs/>
        </w:rPr>
        <w:t>V-A</w:t>
      </w:r>
      <w:r>
        <w:rPr>
          <w:b/>
          <w:i/>
        </w:rPr>
        <w:t xml:space="preserve"> </w:t>
      </w:r>
      <w:r w:rsidR="00517527">
        <w:rPr>
          <w:b/>
          <w:i/>
        </w:rPr>
        <w:t xml:space="preserve">incluído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6ED14224" w14:textId="2B6056FD" w:rsidR="00D74986" w:rsidRDefault="009069A1" w:rsidP="001353DC">
      <w:pPr>
        <w:spacing w:before="120" w:after="120" w:line="312" w:lineRule="auto"/>
        <w:ind w:firstLine="567"/>
        <w:jc w:val="both"/>
        <w:rPr>
          <w:strike/>
        </w:rPr>
      </w:pPr>
      <w:r w:rsidRPr="004511EB">
        <w:rPr>
          <w:strike/>
        </w:rPr>
        <w:t>VI</w:t>
      </w:r>
      <w:r w:rsidR="000B4911" w:rsidRPr="004511EB">
        <w:rPr>
          <w:strike/>
        </w:rPr>
        <w:t xml:space="preserve"> –</w:t>
      </w:r>
      <w:r w:rsidR="00776480" w:rsidRPr="004511EB">
        <w:rPr>
          <w:strike/>
        </w:rPr>
        <w:t xml:space="preserve"> </w:t>
      </w:r>
      <w:proofErr w:type="gramStart"/>
      <w:r w:rsidR="0043510F" w:rsidRPr="004511EB">
        <w:rPr>
          <w:strike/>
        </w:rPr>
        <w:t>inicial</w:t>
      </w:r>
      <w:bookmarkStart w:id="137" w:name="_Ref469912470"/>
      <w:proofErr w:type="gramEnd"/>
      <w:r w:rsidR="00776480" w:rsidRPr="004511EB">
        <w:rPr>
          <w:strike/>
        </w:rPr>
        <w:t xml:space="preserve"> </w:t>
      </w:r>
      <w:r w:rsidR="000B4911" w:rsidRPr="004511EB">
        <w:rPr>
          <w:strike/>
        </w:rPr>
        <w:t xml:space="preserve">de distribuição de cotas de fundo de investimento fechado não exclusivo </w:t>
      </w:r>
      <w:r w:rsidR="00A615E6" w:rsidRPr="004511EB">
        <w:rPr>
          <w:strike/>
        </w:rPr>
        <w:t xml:space="preserve">(“cotas de fundo fechado”) </w:t>
      </w:r>
      <w:r w:rsidR="000B4911" w:rsidRPr="004511EB">
        <w:rPr>
          <w:strike/>
        </w:rPr>
        <w:t>destinada exclusivamente a:</w:t>
      </w:r>
      <w:bookmarkEnd w:id="137"/>
    </w:p>
    <w:p w14:paraId="279FAE25" w14:textId="62C00D9A" w:rsidR="004511EB" w:rsidRPr="001637C4" w:rsidRDefault="004511EB" w:rsidP="004511EB">
      <w:pPr>
        <w:spacing w:before="120" w:after="120" w:line="312" w:lineRule="auto"/>
        <w:ind w:firstLine="567"/>
        <w:jc w:val="both"/>
      </w:pPr>
      <w:r w:rsidRPr="001637C4">
        <w:t xml:space="preserve">VI – </w:t>
      </w:r>
      <w:proofErr w:type="gramStart"/>
      <w:r w:rsidRPr="001637C4">
        <w:t>inicial</w:t>
      </w:r>
      <w:proofErr w:type="gramEnd"/>
      <w:r w:rsidRPr="001637C4">
        <w:t xml:space="preserve"> de distribuição de cotas de fundo de investimento fechado não exclusivo (“inicial de cotas de fundo fechado”) destinada exclusivamente a:</w:t>
      </w:r>
    </w:p>
    <w:p w14:paraId="29F5F517" w14:textId="227D6C4A" w:rsidR="004511EB" w:rsidRPr="001637C4" w:rsidRDefault="004511EB" w:rsidP="004511EB">
      <w:pPr>
        <w:pStyle w:val="PargrafodaLista"/>
        <w:numPr>
          <w:ilvl w:val="0"/>
          <w:numId w:val="53"/>
        </w:numPr>
        <w:tabs>
          <w:tab w:val="left" w:pos="993"/>
        </w:tabs>
        <w:spacing w:line="312" w:lineRule="auto"/>
        <w:ind w:left="709" w:hanging="142"/>
        <w:contextualSpacing/>
        <w:jc w:val="both"/>
        <w:rPr>
          <w:b/>
          <w:i/>
        </w:rPr>
      </w:pPr>
      <w:r w:rsidRPr="001637C4">
        <w:rPr>
          <w:b/>
          <w:bCs/>
          <w:i/>
          <w:iCs/>
        </w:rPr>
        <w:t>Inciso VI com</w:t>
      </w:r>
      <w:r w:rsidRPr="001637C4">
        <w:rPr>
          <w:b/>
          <w:i/>
        </w:rPr>
        <w:t xml:space="preserve"> redação dada pela Resolução CVM nº 180, de 22 de março de 2023.</w:t>
      </w:r>
    </w:p>
    <w:p w14:paraId="09EFC3E8" w14:textId="42E089E3" w:rsidR="00D74986" w:rsidRPr="001637C4" w:rsidRDefault="000B4911" w:rsidP="00D74986">
      <w:pPr>
        <w:spacing w:before="120" w:after="120" w:line="312" w:lineRule="auto"/>
        <w:ind w:firstLine="567"/>
        <w:jc w:val="both"/>
      </w:pPr>
      <w:r w:rsidRPr="001637C4">
        <w:t>a) investidores profissionais, observado o disposto no inciso</w:t>
      </w:r>
      <w:r w:rsidR="0007663A" w:rsidRPr="001637C4">
        <w:t xml:space="preserve"> </w:t>
      </w:r>
      <w:r w:rsidR="0086760A" w:rsidRPr="001637C4">
        <w:t>II</w:t>
      </w:r>
      <w:r w:rsidRPr="001637C4">
        <w:t xml:space="preserve"> do art. </w:t>
      </w:r>
      <w:r w:rsidR="000F0B94" w:rsidRPr="001637C4">
        <w:rPr>
          <w:bCs/>
        </w:rPr>
        <w:t>86</w:t>
      </w:r>
      <w:r w:rsidRPr="001637C4">
        <w:rPr>
          <w:bCs/>
        </w:rPr>
        <w:t>;</w:t>
      </w:r>
    </w:p>
    <w:p w14:paraId="629C0A38" w14:textId="7D627915" w:rsidR="00D74986" w:rsidRPr="001637C4" w:rsidRDefault="000B4911" w:rsidP="00D74986">
      <w:pPr>
        <w:spacing w:before="120" w:after="120" w:line="312" w:lineRule="auto"/>
        <w:ind w:firstLine="567"/>
        <w:jc w:val="both"/>
        <w:rPr>
          <w:bCs/>
        </w:rPr>
      </w:pPr>
      <w:r w:rsidRPr="001637C4">
        <w:t xml:space="preserve">b) investidores qualificados, observado o disposto no inciso </w:t>
      </w:r>
      <w:r w:rsidR="0086760A" w:rsidRPr="001637C4">
        <w:rPr>
          <w:bCs/>
        </w:rPr>
        <w:t>III</w:t>
      </w:r>
      <w:r w:rsidRPr="001637C4">
        <w:t xml:space="preserve"> do art. </w:t>
      </w:r>
      <w:r w:rsidR="000F0B94" w:rsidRPr="001637C4">
        <w:rPr>
          <w:bCs/>
        </w:rPr>
        <w:t>86</w:t>
      </w:r>
      <w:r w:rsidRPr="001637C4">
        <w:rPr>
          <w:bCs/>
        </w:rPr>
        <w:t>;</w:t>
      </w:r>
      <w:r w:rsidR="007376DA" w:rsidRPr="001637C4">
        <w:rPr>
          <w:bCs/>
        </w:rPr>
        <w:t xml:space="preserve"> ou</w:t>
      </w:r>
    </w:p>
    <w:p w14:paraId="40A15DE5" w14:textId="0D7B01ED" w:rsidR="001637C4" w:rsidRPr="001637C4" w:rsidRDefault="004E19D3" w:rsidP="001637C4">
      <w:pPr>
        <w:spacing w:before="120" w:after="120" w:line="312" w:lineRule="auto"/>
        <w:ind w:firstLine="567"/>
        <w:jc w:val="both"/>
      </w:pPr>
      <w:r w:rsidRPr="001637C4">
        <w:t xml:space="preserve">c) inclusive ao público investidor em geral quando o requerimento de registro for previamente analisado por entidade autorreguladora autorizada pela CVM </w:t>
      </w:r>
      <w:r w:rsidR="00564712" w:rsidRPr="001637C4">
        <w:t>nos termos do convênio</w:t>
      </w:r>
      <w:r w:rsidR="006F700A" w:rsidRPr="001637C4">
        <w:t xml:space="preserve"> </w:t>
      </w:r>
      <w:r w:rsidR="00181109" w:rsidRPr="001637C4">
        <w:t>(“inicial de fundo fechado destinada ao público investidor em geral com análise via convênio”)</w:t>
      </w:r>
      <w:r w:rsidRPr="001637C4">
        <w:t>;</w:t>
      </w:r>
    </w:p>
    <w:p w14:paraId="5AEF8EDC" w14:textId="40B013C5" w:rsidR="00D74986" w:rsidRPr="001637C4" w:rsidRDefault="009069A1" w:rsidP="001353DC">
      <w:pPr>
        <w:spacing w:before="120" w:after="120" w:line="312" w:lineRule="auto"/>
        <w:ind w:firstLine="567"/>
        <w:jc w:val="both"/>
      </w:pPr>
      <w:r w:rsidRPr="001637C4">
        <w:t>VII</w:t>
      </w:r>
      <w:r w:rsidR="000B4911" w:rsidRPr="001637C4">
        <w:t xml:space="preserve"> </w:t>
      </w:r>
      <w:bookmarkStart w:id="138" w:name="_Ref469913686"/>
      <w:r w:rsidR="000B4911" w:rsidRPr="001637C4">
        <w:t>– subsequente de distribuição de cotas de fundo de investimento fechado destinada ao público investidor em geral</w:t>
      </w:r>
      <w:r w:rsidR="00864691" w:rsidRPr="001637C4">
        <w:rPr>
          <w:rStyle w:val="Refdecomentrio"/>
        </w:rPr>
        <w:t>,</w:t>
      </w:r>
      <w:r w:rsidR="000B4911" w:rsidRPr="001637C4">
        <w:t xml:space="preserve"> excetuados os casos de mudanças na política de investimento do fundo ou de ampliação de seu público-alvo desde a realização da última oferta pública de distribuição de cotas </w:t>
      </w:r>
      <w:r w:rsidR="000B4911" w:rsidRPr="001637C4">
        <w:lastRenderedPageBreak/>
        <w:t>registrada</w:t>
      </w:r>
      <w:r w:rsidR="00AF78EE" w:rsidRPr="001637C4">
        <w:t xml:space="preserve"> (“subsequente de fundos fechados destinada ao público investidor em geral sem mudança na política de investimento ou ampliação de público-alvo”)</w:t>
      </w:r>
      <w:r w:rsidR="000B4911" w:rsidRPr="001637C4">
        <w:t>;</w:t>
      </w:r>
      <w:bookmarkEnd w:id="138"/>
    </w:p>
    <w:p w14:paraId="57D170DD" w14:textId="77777777" w:rsidR="004511EB" w:rsidRPr="001637C4" w:rsidRDefault="004511EB" w:rsidP="004511EB">
      <w:pPr>
        <w:spacing w:before="120" w:after="120" w:line="312" w:lineRule="auto"/>
        <w:ind w:firstLine="567"/>
        <w:jc w:val="both"/>
      </w:pPr>
      <w:r w:rsidRPr="001637C4">
        <w:t>VII – subsequente de distribuição de cotas de fundo de investimento fechado não exclusivo (“subsequente de cotas de fundo fechado”) destinada exclusivamente:</w:t>
      </w:r>
    </w:p>
    <w:p w14:paraId="18E3AAC0" w14:textId="77777777" w:rsidR="004511EB" w:rsidRPr="001637C4" w:rsidRDefault="004511EB" w:rsidP="004511EB">
      <w:pPr>
        <w:spacing w:before="120" w:after="120" w:line="312" w:lineRule="auto"/>
        <w:ind w:firstLine="567"/>
        <w:jc w:val="both"/>
      </w:pPr>
      <w:r w:rsidRPr="001637C4">
        <w:t>a) a investidores profissionais, observado o disposto no inciso II do art. 86;</w:t>
      </w:r>
    </w:p>
    <w:p w14:paraId="711A40C5" w14:textId="77777777" w:rsidR="004511EB" w:rsidRPr="001637C4" w:rsidRDefault="004511EB" w:rsidP="004511EB">
      <w:pPr>
        <w:spacing w:before="120" w:after="120" w:line="312" w:lineRule="auto"/>
        <w:ind w:firstLine="567"/>
        <w:jc w:val="both"/>
      </w:pPr>
      <w:r w:rsidRPr="001637C4">
        <w:t>b) a investidores qualificados, observado o disposto no inciso III do art. 86;</w:t>
      </w:r>
    </w:p>
    <w:p w14:paraId="1733A82D" w14:textId="77777777" w:rsidR="004511EB" w:rsidRPr="001637C4" w:rsidRDefault="004511EB" w:rsidP="004511EB">
      <w:pPr>
        <w:spacing w:before="120" w:after="120" w:line="312" w:lineRule="auto"/>
        <w:ind w:firstLine="567"/>
        <w:jc w:val="both"/>
      </w:pPr>
      <w:r w:rsidRPr="001637C4">
        <w:t>c) ao público investidor em geral, desde que tenha havido oferta anterior objeto de análise prévia por parte da CVM e não tenha havido ampliação de público-alvo do fundo ou alteração em sua política de investimento (“subsequente de fundos fechados destinada ao público investidor em geral sem mudança na política de investimento ou ampliação de público-alvo”); ou</w:t>
      </w:r>
    </w:p>
    <w:p w14:paraId="33C77B53" w14:textId="77777777" w:rsidR="004511EB" w:rsidRPr="001637C4" w:rsidRDefault="004511EB" w:rsidP="004511EB">
      <w:pPr>
        <w:spacing w:before="120" w:after="120" w:line="312" w:lineRule="auto"/>
        <w:ind w:firstLine="567"/>
        <w:jc w:val="both"/>
      </w:pPr>
      <w:r w:rsidRPr="001637C4">
        <w:t>d) ao público investidor em geral quando o requerimento de registro for previamente analisado por entidade autorreguladora autorizada pela CVM nos termos do convênio (“subsequente de fundo fechado destinada ao público investidor em geral com análise via convênio”);</w:t>
      </w:r>
    </w:p>
    <w:p w14:paraId="3DF351F2" w14:textId="1F64E9D1" w:rsidR="004511EB" w:rsidRPr="001637C4" w:rsidRDefault="004511EB" w:rsidP="004511EB">
      <w:pPr>
        <w:pStyle w:val="PargrafodaLista"/>
        <w:numPr>
          <w:ilvl w:val="0"/>
          <w:numId w:val="53"/>
        </w:numPr>
        <w:tabs>
          <w:tab w:val="left" w:pos="993"/>
        </w:tabs>
        <w:spacing w:line="312" w:lineRule="auto"/>
        <w:ind w:left="709" w:hanging="142"/>
        <w:contextualSpacing/>
        <w:jc w:val="both"/>
        <w:rPr>
          <w:b/>
          <w:i/>
        </w:rPr>
      </w:pPr>
      <w:r w:rsidRPr="001637C4">
        <w:rPr>
          <w:b/>
          <w:bCs/>
          <w:i/>
          <w:iCs/>
        </w:rPr>
        <w:t>Inciso VII com</w:t>
      </w:r>
      <w:r w:rsidRPr="001637C4">
        <w:rPr>
          <w:b/>
          <w:i/>
        </w:rPr>
        <w:t xml:space="preserve"> redação dada pela Resolução CVM nº 180, de 22 de março de 2023.</w:t>
      </w:r>
    </w:p>
    <w:p w14:paraId="2DCD33DD" w14:textId="028557E3" w:rsidR="00D74986" w:rsidRPr="007E77AF" w:rsidRDefault="009069A1" w:rsidP="001353DC">
      <w:pPr>
        <w:spacing w:before="120" w:after="120" w:line="312" w:lineRule="auto"/>
        <w:ind w:firstLine="567"/>
        <w:jc w:val="both"/>
      </w:pPr>
      <w:r w:rsidRPr="007E77AF">
        <w:t>VIII</w:t>
      </w:r>
      <w:r w:rsidR="000B4911" w:rsidRPr="007E77AF">
        <w:t xml:space="preserve"> </w:t>
      </w:r>
      <w:bookmarkStart w:id="139" w:name="_Ref469912555"/>
      <w:r w:rsidR="000B4911" w:rsidRPr="007E77AF">
        <w:t xml:space="preserve">– de distribuição de títulos de securitização emitidos por companhias </w:t>
      </w:r>
      <w:proofErr w:type="spellStart"/>
      <w:r w:rsidR="000B4911" w:rsidRPr="007E77AF">
        <w:t>securitizadoras</w:t>
      </w:r>
      <w:proofErr w:type="spellEnd"/>
      <w:r w:rsidR="000B4911" w:rsidRPr="007E77AF">
        <w:t xml:space="preserve"> registradas na CVM </w:t>
      </w:r>
      <w:r w:rsidR="00482471" w:rsidRPr="007E77AF">
        <w:t xml:space="preserve">(“títulos de securitização”) </w:t>
      </w:r>
      <w:r w:rsidR="000B4911" w:rsidRPr="007E77AF">
        <w:t>destinada exclusivamente a:</w:t>
      </w:r>
      <w:bookmarkEnd w:id="139"/>
    </w:p>
    <w:p w14:paraId="5F4D693C" w14:textId="4CED562C" w:rsidR="00D74986" w:rsidRPr="007E77AF" w:rsidRDefault="000B4911" w:rsidP="00D74986">
      <w:pPr>
        <w:spacing w:before="120" w:after="120" w:line="312" w:lineRule="auto"/>
        <w:ind w:firstLine="567"/>
        <w:jc w:val="both"/>
      </w:pPr>
      <w:r w:rsidRPr="007E77AF">
        <w:t>a) investidores profissionais, observado o disposto no inciso</w:t>
      </w:r>
      <w:r w:rsidR="002E531B" w:rsidRPr="007E77AF">
        <w:t xml:space="preserve"> </w:t>
      </w:r>
      <w:r w:rsidR="0086760A" w:rsidRPr="007E77AF">
        <w:t>II</w:t>
      </w:r>
      <w:r w:rsidRPr="007E77AF">
        <w:t xml:space="preserve"> do art. </w:t>
      </w:r>
      <w:r w:rsidR="000F0B94">
        <w:rPr>
          <w:bCs/>
        </w:rPr>
        <w:t>86</w:t>
      </w:r>
      <w:r w:rsidRPr="007E77AF">
        <w:rPr>
          <w:bCs/>
        </w:rPr>
        <w:t>;</w:t>
      </w:r>
    </w:p>
    <w:p w14:paraId="30F3C0D5" w14:textId="73CDEAE5" w:rsidR="00D74986" w:rsidRPr="007E77AF" w:rsidRDefault="000B4911" w:rsidP="00D74986">
      <w:pPr>
        <w:spacing w:before="120" w:after="120" w:line="312" w:lineRule="auto"/>
        <w:ind w:firstLine="567"/>
        <w:jc w:val="both"/>
      </w:pPr>
      <w:r w:rsidRPr="007E77AF">
        <w:t xml:space="preserve">b) investidores qualificados, observado o disposto no inciso </w:t>
      </w:r>
      <w:r w:rsidR="0086760A" w:rsidRPr="007E77AF">
        <w:rPr>
          <w:bCs/>
        </w:rPr>
        <w:t>III</w:t>
      </w:r>
      <w:r w:rsidRPr="007E77AF">
        <w:t xml:space="preserve"> do art.</w:t>
      </w:r>
      <w:r w:rsidR="002E531B" w:rsidRPr="007E77AF">
        <w:t xml:space="preserve"> </w:t>
      </w:r>
      <w:r w:rsidR="000F0B94">
        <w:t>86</w:t>
      </w:r>
      <w:r w:rsidRPr="007E77AF">
        <w:rPr>
          <w:bCs/>
        </w:rPr>
        <w:t>;</w:t>
      </w:r>
      <w:r w:rsidRPr="007E77AF">
        <w:t xml:space="preserve"> ou</w:t>
      </w:r>
    </w:p>
    <w:p w14:paraId="104441DB" w14:textId="77777777" w:rsidR="0055425A" w:rsidRPr="007E77AF" w:rsidRDefault="000B4911" w:rsidP="00D74986">
      <w:pPr>
        <w:spacing w:before="120" w:after="120" w:line="312" w:lineRule="auto"/>
        <w:ind w:firstLine="567"/>
        <w:jc w:val="both"/>
      </w:pPr>
      <w:r w:rsidRPr="007E77AF">
        <w:t>c) inclusive ao público investidor em geral quando</w:t>
      </w:r>
      <w:r w:rsidR="001D2539" w:rsidRPr="007E77AF">
        <w:t>:</w:t>
      </w:r>
    </w:p>
    <w:p w14:paraId="6D939E9A" w14:textId="51BEF8E0" w:rsidR="00D74986" w:rsidRPr="007E77AF" w:rsidRDefault="0055425A" w:rsidP="00D74986">
      <w:pPr>
        <w:spacing w:before="120" w:after="120" w:line="312" w:lineRule="auto"/>
        <w:ind w:firstLine="567"/>
        <w:jc w:val="both"/>
      </w:pPr>
      <w:r w:rsidRPr="007E77AF">
        <w:t>1.</w:t>
      </w:r>
      <w:r w:rsidR="000B4911" w:rsidRPr="007E77AF">
        <w:t xml:space="preserve"> o requerimento de registro for previamente analisado por entidade autorreguladora autorizada pela CVM </w:t>
      </w:r>
      <w:r w:rsidR="00564712" w:rsidRPr="007E77AF">
        <w:t>nos te</w:t>
      </w:r>
      <w:r w:rsidR="00804A91" w:rsidRPr="007E77AF">
        <w:t>r</w:t>
      </w:r>
      <w:r w:rsidR="00564712" w:rsidRPr="007E77AF">
        <w:t>mos do convênio</w:t>
      </w:r>
      <w:r w:rsidR="006F700A" w:rsidRPr="007E77AF">
        <w:t xml:space="preserve"> </w:t>
      </w:r>
      <w:r w:rsidR="00482471" w:rsidRPr="007E77AF">
        <w:t>(“títulos de securitização</w:t>
      </w:r>
      <w:r w:rsidR="001177D5" w:rsidRPr="007E77AF">
        <w:t xml:space="preserve"> com análise via convênio</w:t>
      </w:r>
      <w:r w:rsidR="00482471" w:rsidRPr="007E77AF">
        <w:t>”)</w:t>
      </w:r>
      <w:r w:rsidR="000B4911" w:rsidRPr="007E77AF">
        <w:t>;</w:t>
      </w:r>
    </w:p>
    <w:p w14:paraId="5FC49716" w14:textId="49408D50" w:rsidR="0055425A" w:rsidRPr="002C67D2" w:rsidRDefault="0055425A" w:rsidP="00D74986">
      <w:pPr>
        <w:spacing w:before="120" w:after="120" w:line="312" w:lineRule="auto"/>
        <w:ind w:firstLine="567"/>
        <w:jc w:val="both"/>
        <w:rPr>
          <w:rFonts w:cstheme="minorHAnsi"/>
        </w:rPr>
      </w:pPr>
      <w:r w:rsidRPr="007E77AF">
        <w:t xml:space="preserve">2. </w:t>
      </w:r>
      <w:r w:rsidR="00820112" w:rsidRPr="002C67D2">
        <w:rPr>
          <w:rFonts w:cstheme="minorHAnsi"/>
          <w:iCs/>
        </w:rPr>
        <w:t>se tratar de títulos com características idênticas, exceto pela taxa de remuneração, inclusive com mesmo instrumento de lastro, vinculado a risco corporativo único e mesm</w:t>
      </w:r>
      <w:r w:rsidR="00696B68" w:rsidRPr="002C67D2">
        <w:rPr>
          <w:rFonts w:cstheme="minorHAnsi"/>
          <w:iCs/>
        </w:rPr>
        <w:t>a</w:t>
      </w:r>
      <w:r w:rsidR="00820112" w:rsidRPr="002C67D2">
        <w:rPr>
          <w:rFonts w:cstheme="minorHAnsi"/>
          <w:iCs/>
        </w:rPr>
        <w:t xml:space="preserve"> </w:t>
      </w:r>
      <w:r w:rsidR="00696B68" w:rsidRPr="002C67D2">
        <w:rPr>
          <w:rFonts w:cstheme="minorHAnsi"/>
          <w:iCs/>
        </w:rPr>
        <w:t>data</w:t>
      </w:r>
      <w:r w:rsidR="0066740C" w:rsidRPr="002C67D2">
        <w:rPr>
          <w:rFonts w:cstheme="minorHAnsi"/>
          <w:iCs/>
        </w:rPr>
        <w:t xml:space="preserve"> de</w:t>
      </w:r>
      <w:r w:rsidR="00820112" w:rsidRPr="002C67D2">
        <w:rPr>
          <w:rFonts w:cstheme="minorHAnsi"/>
        </w:rPr>
        <w:t xml:space="preserve"> vencimento, aos distribuídos em oferta pública anterior destinada público investidor em geral (reabertura de séries)</w:t>
      </w:r>
      <w:r w:rsidR="00460670" w:rsidRPr="002C67D2">
        <w:rPr>
          <w:rFonts w:cstheme="minorHAnsi"/>
        </w:rPr>
        <w:t>; ou</w:t>
      </w:r>
    </w:p>
    <w:p w14:paraId="21634007" w14:textId="68BC479B" w:rsidR="002D56DA" w:rsidRPr="007E77AF" w:rsidRDefault="000F5C93" w:rsidP="00D74986">
      <w:pPr>
        <w:spacing w:before="120" w:after="120" w:line="312" w:lineRule="auto"/>
        <w:ind w:firstLine="567"/>
        <w:jc w:val="both"/>
      </w:pPr>
      <w:r w:rsidRPr="002C67D2">
        <w:rPr>
          <w:rFonts w:cstheme="minorHAnsi"/>
        </w:rPr>
        <w:t>3</w:t>
      </w:r>
      <w:r w:rsidR="002956E6" w:rsidRPr="002C67D2">
        <w:rPr>
          <w:rFonts w:cstheme="minorHAnsi"/>
        </w:rPr>
        <w:t xml:space="preserve">. </w:t>
      </w:r>
      <w:r w:rsidRPr="002C67D2">
        <w:rPr>
          <w:rFonts w:cstheme="minorHAnsi"/>
        </w:rPr>
        <w:t>o devedor do lastro for único e se enquadrar como EFRF ou EGEM</w:t>
      </w:r>
      <w:r w:rsidR="005E551B" w:rsidRPr="002C67D2">
        <w:rPr>
          <w:rFonts w:cstheme="minorHAnsi"/>
        </w:rPr>
        <w:t>;</w:t>
      </w:r>
    </w:p>
    <w:p w14:paraId="7BDD5362" w14:textId="568D6806" w:rsidR="002948B0" w:rsidRPr="0054101D" w:rsidRDefault="009069A1" w:rsidP="001353DC">
      <w:pPr>
        <w:spacing w:before="120" w:after="120" w:line="312" w:lineRule="auto"/>
        <w:ind w:firstLine="567"/>
        <w:jc w:val="both"/>
        <w:rPr>
          <w:strike/>
        </w:rPr>
      </w:pPr>
      <w:r w:rsidRPr="0054101D">
        <w:rPr>
          <w:strike/>
        </w:rPr>
        <w:t>IX</w:t>
      </w:r>
      <w:r w:rsidR="000B4911" w:rsidRPr="0054101D">
        <w:rPr>
          <w:strike/>
        </w:rPr>
        <w:t xml:space="preserve"> </w:t>
      </w:r>
      <w:bookmarkStart w:id="140" w:name="_Ref59139120"/>
      <w:r w:rsidR="000B4911" w:rsidRPr="0054101D">
        <w:rPr>
          <w:strike/>
        </w:rPr>
        <w:t xml:space="preserve">– de debêntures não conversíveis emitidas por sociedade de propósito específico, constituída sob a forma de sociedade por ações, relacionada à captação de recursos com vistas a implementar projetos de investimento na área de infraestrutura, ou de produção econômica intensiva em pesquisa, desenvolvimento e inovação, considerados como prioritários na forma regulamentada pelo Poder </w:t>
      </w:r>
      <w:r w:rsidR="000B4911" w:rsidRPr="0054101D">
        <w:rPr>
          <w:strike/>
        </w:rPr>
        <w:lastRenderedPageBreak/>
        <w:t xml:space="preserve">Executivo </w:t>
      </w:r>
      <w:r w:rsidR="00651DBB" w:rsidRPr="0054101D">
        <w:rPr>
          <w:strike/>
        </w:rPr>
        <w:t>F</w:t>
      </w:r>
      <w:r w:rsidR="000B4911" w:rsidRPr="0054101D">
        <w:rPr>
          <w:strike/>
        </w:rPr>
        <w:t>ederal, de acordo com os requisitos da lei que trata de incentivos tributários a tais títulos, destinada exclusivamente a investidores qualificados</w:t>
      </w:r>
      <w:r w:rsidR="008674F0" w:rsidRPr="0054101D">
        <w:rPr>
          <w:strike/>
        </w:rPr>
        <w:t xml:space="preserve"> (“</w:t>
      </w:r>
      <w:bookmarkStart w:id="141" w:name="_Hlk61625206"/>
      <w:r w:rsidR="008674F0" w:rsidRPr="0054101D">
        <w:rPr>
          <w:strike/>
        </w:rPr>
        <w:t xml:space="preserve">debêntures incentivadas </w:t>
      </w:r>
      <w:r w:rsidR="00242804" w:rsidRPr="0054101D">
        <w:rPr>
          <w:strike/>
        </w:rPr>
        <w:t>emitidas por SPE</w:t>
      </w:r>
      <w:bookmarkEnd w:id="141"/>
      <w:r w:rsidR="00242804" w:rsidRPr="0054101D">
        <w:rPr>
          <w:strike/>
        </w:rPr>
        <w:t>”)</w:t>
      </w:r>
      <w:r w:rsidR="000B4911" w:rsidRPr="0054101D">
        <w:rPr>
          <w:strike/>
        </w:rPr>
        <w:t>;</w:t>
      </w:r>
      <w:bookmarkEnd w:id="140"/>
    </w:p>
    <w:p w14:paraId="10701D7A" w14:textId="2C802215" w:rsidR="0054101D" w:rsidRDefault="0054101D" w:rsidP="0054101D">
      <w:pPr>
        <w:spacing w:before="120" w:after="120" w:line="312" w:lineRule="auto"/>
        <w:ind w:firstLine="567"/>
        <w:jc w:val="both"/>
      </w:pPr>
      <w:r>
        <w:t xml:space="preserve">IX – de debêntures não conversíveis emitidas pelas sociedades previstas no art. 2º, </w:t>
      </w:r>
      <w:r>
        <w:rPr>
          <w:b/>
          <w:bCs/>
        </w:rPr>
        <w:t>caput</w:t>
      </w:r>
      <w:r>
        <w:t xml:space="preserve"> e §§ 1º-A e 1ª-B da Lei nº 12.431, de 24 de junho de 2011, relacionadas à captação de recursos com vistas a implementar projetos de investimento na área de infraestrutura, ou de produção econômica intensiva em pesquisa, desenvolvimento e inovação, considerados como prioritários na forma regulamentada pelo Poder Executivo Federal, de acordo com os requisitos da referida Lei, destinada exclusivamente a investidores qualificados (“debêntures incentivadas emitidas por SPE”);</w:t>
      </w:r>
    </w:p>
    <w:p w14:paraId="49BC35C0" w14:textId="2482E8E6" w:rsidR="0054101D" w:rsidRPr="00025DC1" w:rsidRDefault="0054101D" w:rsidP="0054101D">
      <w:pPr>
        <w:pStyle w:val="PargrafodaLista"/>
        <w:numPr>
          <w:ilvl w:val="0"/>
          <w:numId w:val="53"/>
        </w:numPr>
        <w:tabs>
          <w:tab w:val="left" w:pos="993"/>
        </w:tabs>
        <w:spacing w:line="312" w:lineRule="auto"/>
        <w:ind w:left="709" w:hanging="142"/>
        <w:contextualSpacing/>
        <w:jc w:val="both"/>
        <w:rPr>
          <w:b/>
          <w:i/>
        </w:rPr>
      </w:pPr>
      <w:r>
        <w:rPr>
          <w:b/>
          <w:i/>
        </w:rPr>
        <w:t xml:space="preserve">Inciso IX com redação dada pela </w:t>
      </w:r>
      <w:r w:rsidRPr="00025DC1">
        <w:rPr>
          <w:b/>
          <w:i/>
        </w:rPr>
        <w:t xml:space="preserve">Resolução CVM nº </w:t>
      </w:r>
      <w:r>
        <w:rPr>
          <w:b/>
          <w:i/>
        </w:rPr>
        <w:t>173</w:t>
      </w:r>
      <w:r w:rsidRPr="00025DC1">
        <w:rPr>
          <w:b/>
          <w:i/>
        </w:rPr>
        <w:t>, de 2</w:t>
      </w:r>
      <w:r>
        <w:rPr>
          <w:b/>
          <w:i/>
        </w:rPr>
        <w:t>9</w:t>
      </w:r>
      <w:r w:rsidRPr="00025DC1">
        <w:rPr>
          <w:b/>
          <w:i/>
        </w:rPr>
        <w:t xml:space="preserve"> de </w:t>
      </w:r>
      <w:r>
        <w:rPr>
          <w:b/>
          <w:i/>
        </w:rPr>
        <w:t>novembro de 2022</w:t>
      </w:r>
      <w:r w:rsidRPr="00025DC1">
        <w:rPr>
          <w:b/>
          <w:i/>
        </w:rPr>
        <w:t>.</w:t>
      </w:r>
    </w:p>
    <w:p w14:paraId="70420045" w14:textId="265E9B7E" w:rsidR="00D74986" w:rsidRPr="007E77AF" w:rsidRDefault="009069A1" w:rsidP="001353DC">
      <w:pPr>
        <w:spacing w:before="120" w:after="120" w:line="312" w:lineRule="auto"/>
        <w:ind w:firstLine="567"/>
        <w:jc w:val="both"/>
      </w:pPr>
      <w:r w:rsidRPr="007E77AF">
        <w:t>X</w:t>
      </w:r>
      <w:r w:rsidR="000B4911" w:rsidRPr="007E77AF">
        <w:t xml:space="preserve"> </w:t>
      </w:r>
      <w:bookmarkStart w:id="142" w:name="_Ref469913333"/>
      <w:r w:rsidR="000B4911" w:rsidRPr="007E77AF">
        <w:t xml:space="preserve">– </w:t>
      </w:r>
      <w:proofErr w:type="gramStart"/>
      <w:r w:rsidR="000B4911" w:rsidRPr="007E77AF">
        <w:t>de</w:t>
      </w:r>
      <w:proofErr w:type="gramEnd"/>
      <w:r w:rsidR="000B4911" w:rsidRPr="007E77AF">
        <w:t xml:space="preserve"> valores mobiliários</w:t>
      </w:r>
      <w:r w:rsidR="004750F1" w:rsidRPr="007E77AF">
        <w:t xml:space="preserve"> representativos de dívida</w:t>
      </w:r>
      <w:r w:rsidR="000B4911" w:rsidRPr="007E77AF">
        <w:t xml:space="preserve"> quando o emissor não for registrado na CVM</w:t>
      </w:r>
      <w:r w:rsidR="003F712F" w:rsidRPr="007E77AF">
        <w:t xml:space="preserve"> (“dívida de emissor não registrado”)</w:t>
      </w:r>
      <w:r w:rsidR="53645172" w:rsidRPr="007E77AF">
        <w:t>,</w:t>
      </w:r>
      <w:r w:rsidR="3F32835D" w:rsidRPr="007E77AF">
        <w:t xml:space="preserve"> observado o</w:t>
      </w:r>
      <w:r w:rsidR="00C93A1E" w:rsidRPr="007E77AF">
        <w:rPr>
          <w:rFonts w:cstheme="minorHAnsi"/>
          <w:iCs/>
        </w:rPr>
        <w:t xml:space="preserve"> disposto no </w:t>
      </w:r>
      <w:r w:rsidR="00B72598" w:rsidRPr="007E77AF">
        <w:t>§</w:t>
      </w:r>
      <w:r w:rsidR="006708E6" w:rsidRPr="007E77AF">
        <w:t xml:space="preserve"> </w:t>
      </w:r>
      <w:r w:rsidR="00B72598" w:rsidRPr="007E77AF">
        <w:t>2º</w:t>
      </w:r>
      <w:r w:rsidR="3F32835D" w:rsidRPr="007E77AF">
        <w:t xml:space="preserve"> do art. </w:t>
      </w:r>
      <w:r w:rsidR="00B72598" w:rsidRPr="007E77AF">
        <w:t>25</w:t>
      </w:r>
      <w:r w:rsidR="0042286D" w:rsidRPr="007E77AF">
        <w:t>;</w:t>
      </w:r>
      <w:bookmarkEnd w:id="142"/>
    </w:p>
    <w:p w14:paraId="260CA16D" w14:textId="666C1803" w:rsidR="00D74986" w:rsidRPr="001637C4" w:rsidRDefault="009069A1" w:rsidP="001353DC">
      <w:pPr>
        <w:spacing w:before="120" w:after="120" w:line="312" w:lineRule="auto"/>
        <w:ind w:firstLine="567"/>
        <w:jc w:val="both"/>
        <w:rPr>
          <w:strike/>
        </w:rPr>
      </w:pPr>
      <w:r w:rsidRPr="001637C4">
        <w:rPr>
          <w:strike/>
        </w:rPr>
        <w:t>XI</w:t>
      </w:r>
      <w:r w:rsidR="000B4911" w:rsidRPr="001637C4">
        <w:rPr>
          <w:rFonts w:ascii="Times New Roman" w:hAnsi="Times New Roman"/>
          <w:strike/>
        </w:rPr>
        <w:t xml:space="preserve"> </w:t>
      </w:r>
      <w:bookmarkStart w:id="143" w:name="_Ref469913460"/>
      <w:r w:rsidR="000B4911" w:rsidRPr="001637C4">
        <w:rPr>
          <w:rFonts w:ascii="Times New Roman" w:hAnsi="Times New Roman"/>
          <w:strike/>
        </w:rPr>
        <w:t xml:space="preserve">– </w:t>
      </w:r>
      <w:r w:rsidR="000B4911" w:rsidRPr="001637C4">
        <w:rPr>
          <w:strike/>
        </w:rPr>
        <w:t>de distribuição de certificados de depósito de valores mobiliários no âmbito de programa de BDR Patrocinado:</w:t>
      </w:r>
      <w:bookmarkEnd w:id="143"/>
    </w:p>
    <w:p w14:paraId="1B7641DE" w14:textId="77777777" w:rsidR="00D74986" w:rsidRPr="001637C4" w:rsidRDefault="000B4911" w:rsidP="00D74986">
      <w:pPr>
        <w:spacing w:before="120" w:after="120" w:line="312" w:lineRule="auto"/>
        <w:ind w:left="567"/>
        <w:jc w:val="both"/>
        <w:rPr>
          <w:strike/>
        </w:rPr>
      </w:pPr>
      <w:r w:rsidRPr="001637C4">
        <w:rPr>
          <w:strike/>
        </w:rPr>
        <w:t>a) Nível I; e</w:t>
      </w:r>
    </w:p>
    <w:p w14:paraId="03E59A43" w14:textId="414D94A0" w:rsidR="00D74986" w:rsidRDefault="000B4911" w:rsidP="00D74986">
      <w:pPr>
        <w:spacing w:before="120" w:after="120" w:line="312" w:lineRule="auto"/>
        <w:ind w:left="567"/>
        <w:jc w:val="both"/>
        <w:rPr>
          <w:strike/>
        </w:rPr>
      </w:pPr>
      <w:r w:rsidRPr="001637C4">
        <w:rPr>
          <w:strike/>
        </w:rPr>
        <w:t>b)</w:t>
      </w:r>
      <w:r w:rsidRPr="001637C4">
        <w:rPr>
          <w:rFonts w:ascii="Times New Roman" w:hAnsi="Times New Roman"/>
          <w:strike/>
        </w:rPr>
        <w:t xml:space="preserve"> </w:t>
      </w:r>
      <w:r w:rsidRPr="001637C4">
        <w:rPr>
          <w:strike/>
        </w:rPr>
        <w:t>Nível II;</w:t>
      </w:r>
    </w:p>
    <w:p w14:paraId="474A06C6" w14:textId="7AA9D84C" w:rsidR="001637C4" w:rsidRDefault="001637C4" w:rsidP="00D74986">
      <w:pPr>
        <w:spacing w:before="120" w:after="120" w:line="312" w:lineRule="auto"/>
        <w:ind w:left="567"/>
        <w:jc w:val="both"/>
      </w:pPr>
      <w:r>
        <w:t>XI – REVOGADO</w:t>
      </w:r>
    </w:p>
    <w:p w14:paraId="7195DE1E" w14:textId="5FD2E9F0" w:rsidR="001637C4" w:rsidRPr="001637C4" w:rsidRDefault="001637C4" w:rsidP="001637C4">
      <w:pPr>
        <w:pStyle w:val="PargrafodaLista"/>
        <w:numPr>
          <w:ilvl w:val="0"/>
          <w:numId w:val="53"/>
        </w:numPr>
        <w:tabs>
          <w:tab w:val="left" w:pos="993"/>
        </w:tabs>
        <w:spacing w:line="312" w:lineRule="auto"/>
        <w:ind w:left="709" w:hanging="142"/>
        <w:contextualSpacing/>
        <w:jc w:val="both"/>
        <w:rPr>
          <w:b/>
          <w:i/>
        </w:rPr>
      </w:pPr>
      <w:r>
        <w:rPr>
          <w:b/>
          <w:i/>
        </w:rPr>
        <w:t xml:space="preserve">Inciso XI revogado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7A1BFE6D" w14:textId="50894C6C" w:rsidR="00D74986" w:rsidRDefault="009069A1" w:rsidP="001353DC">
      <w:pPr>
        <w:spacing w:before="120" w:after="120" w:line="312" w:lineRule="auto"/>
        <w:ind w:firstLine="567"/>
        <w:jc w:val="both"/>
        <w:rPr>
          <w:strike/>
        </w:rPr>
      </w:pPr>
      <w:r w:rsidRPr="001637C4">
        <w:rPr>
          <w:strike/>
        </w:rPr>
        <w:t>XII</w:t>
      </w:r>
      <w:r w:rsidR="000B4911" w:rsidRPr="001637C4">
        <w:rPr>
          <w:strike/>
        </w:rPr>
        <w:t xml:space="preserve"> </w:t>
      </w:r>
      <w:bookmarkStart w:id="144" w:name="_Ref469913743"/>
      <w:r w:rsidR="000B4911" w:rsidRPr="001637C4">
        <w:rPr>
          <w:rFonts w:ascii="Times New Roman" w:hAnsi="Times New Roman"/>
          <w:strike/>
        </w:rPr>
        <w:t xml:space="preserve">– </w:t>
      </w:r>
      <w:r w:rsidR="000B4911" w:rsidRPr="001637C4">
        <w:rPr>
          <w:strike/>
        </w:rPr>
        <w:t xml:space="preserve">subsequente de distribuição de certificados de depósito de valores mobiliários no âmbito de programa de BDR Patrocinado Nível III, exclusivamente nos casos de programa BDR Nível III em que houve oferta inicial por </w:t>
      </w:r>
      <w:r w:rsidR="002F16A3" w:rsidRPr="001637C4">
        <w:rPr>
          <w:strike/>
        </w:rPr>
        <w:t>rito de registro</w:t>
      </w:r>
      <w:r w:rsidR="000B4911" w:rsidRPr="001637C4">
        <w:rPr>
          <w:strike/>
        </w:rPr>
        <w:t xml:space="preserve"> ordinário</w:t>
      </w:r>
      <w:r w:rsidR="005455F6" w:rsidRPr="001637C4">
        <w:rPr>
          <w:strike/>
        </w:rPr>
        <w:t xml:space="preserve"> (“subsequ</w:t>
      </w:r>
      <w:r w:rsidR="43A72537" w:rsidRPr="001637C4">
        <w:rPr>
          <w:strike/>
        </w:rPr>
        <w:t>e</w:t>
      </w:r>
      <w:r w:rsidR="005455F6" w:rsidRPr="001637C4">
        <w:rPr>
          <w:strike/>
        </w:rPr>
        <w:t>nte de BDR Patrocinado Nível III”)</w:t>
      </w:r>
      <w:r w:rsidR="000B4911" w:rsidRPr="001637C4">
        <w:rPr>
          <w:strike/>
        </w:rPr>
        <w:t>;</w:t>
      </w:r>
      <w:bookmarkEnd w:id="144"/>
    </w:p>
    <w:p w14:paraId="07D4B508" w14:textId="2C4E527B" w:rsidR="001637C4" w:rsidRDefault="001637C4" w:rsidP="001353DC">
      <w:pPr>
        <w:spacing w:before="120" w:after="120" w:line="312" w:lineRule="auto"/>
        <w:ind w:firstLine="567"/>
        <w:jc w:val="both"/>
      </w:pPr>
      <w:r w:rsidRPr="001637C4">
        <w:t xml:space="preserve">XII </w:t>
      </w:r>
      <w:r>
        <w:t>–</w:t>
      </w:r>
      <w:r w:rsidRPr="001637C4">
        <w:t xml:space="preserve"> </w:t>
      </w:r>
      <w:r>
        <w:t>REVOGADO</w:t>
      </w:r>
    </w:p>
    <w:p w14:paraId="1EA1C997" w14:textId="27DC8283" w:rsidR="001637C4" w:rsidRPr="001637C4" w:rsidRDefault="001637C4" w:rsidP="001637C4">
      <w:pPr>
        <w:pStyle w:val="PargrafodaLista"/>
        <w:numPr>
          <w:ilvl w:val="0"/>
          <w:numId w:val="53"/>
        </w:numPr>
        <w:tabs>
          <w:tab w:val="left" w:pos="993"/>
        </w:tabs>
        <w:spacing w:line="312" w:lineRule="auto"/>
        <w:ind w:left="709" w:hanging="142"/>
        <w:contextualSpacing/>
        <w:jc w:val="both"/>
        <w:rPr>
          <w:b/>
          <w:i/>
        </w:rPr>
      </w:pPr>
      <w:r>
        <w:rPr>
          <w:b/>
          <w:i/>
        </w:rPr>
        <w:t xml:space="preserve">Inciso XII revogado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5EF837EB" w14:textId="637CB6D1" w:rsidR="00D74986" w:rsidRPr="007E77AF" w:rsidRDefault="009069A1" w:rsidP="001353DC">
      <w:pPr>
        <w:spacing w:before="120" w:after="120" w:line="312" w:lineRule="auto"/>
        <w:ind w:firstLine="567"/>
        <w:jc w:val="both"/>
      </w:pPr>
      <w:r w:rsidRPr="007E77AF">
        <w:t>XIII</w:t>
      </w:r>
      <w:r w:rsidR="000B4911" w:rsidRPr="007E77AF">
        <w:t xml:space="preserve"> </w:t>
      </w:r>
      <w:bookmarkStart w:id="145" w:name="_Ref469913775"/>
      <w:r w:rsidR="000B4911" w:rsidRPr="007E77AF">
        <w:t>– destinada inclusive ao público investidor em geral para colocação em bolsa de valores de ações oriundas de distribuição primária decorrente de aumento de capital privado, em volume superior a 5% (cinco por cento) da emissão e inferior a 1/3 (um terço) das ações em circulação no mercado, considerando as novas ações ofertadas para o cálculo das ações em circulação, desde que os valores mobiliários já estejam admitidos à negociação em mercado organizado</w:t>
      </w:r>
      <w:r w:rsidR="00240472" w:rsidRPr="007E77AF">
        <w:t xml:space="preserve"> (“sobras de aumento de capital privado”)</w:t>
      </w:r>
      <w:r w:rsidR="00212107" w:rsidRPr="007E77AF">
        <w:t>; e</w:t>
      </w:r>
      <w:bookmarkEnd w:id="145"/>
    </w:p>
    <w:p w14:paraId="316745DF" w14:textId="31E0B0FF" w:rsidR="00F21D1C" w:rsidRPr="007E77AF" w:rsidRDefault="009069A1" w:rsidP="001353DC">
      <w:pPr>
        <w:spacing w:before="120" w:after="120" w:line="312" w:lineRule="auto"/>
        <w:ind w:firstLine="567"/>
        <w:jc w:val="both"/>
      </w:pPr>
      <w:r w:rsidRPr="007E77AF">
        <w:lastRenderedPageBreak/>
        <w:t>XIV</w:t>
      </w:r>
      <w:r w:rsidR="00F21D1C" w:rsidRPr="007E77AF">
        <w:t xml:space="preserve"> – </w:t>
      </w:r>
      <w:r w:rsidR="00D76840" w:rsidRPr="007E77AF">
        <w:t xml:space="preserve">de distribuição de </w:t>
      </w:r>
      <w:r w:rsidR="1DD47AB7" w:rsidRPr="007E77AF">
        <w:t>valores mobiliários representativos de dívida</w:t>
      </w:r>
      <w:r w:rsidR="00D76840" w:rsidRPr="007E77AF">
        <w:t xml:space="preserve"> </w:t>
      </w:r>
      <w:r w:rsidR="00F21D1C" w:rsidRPr="007E77AF">
        <w:t xml:space="preserve">destinada exclusivamente a </w:t>
      </w:r>
      <w:r w:rsidR="179E2DF2" w:rsidRPr="007E77AF">
        <w:t>credores de emissor em recuperação judicial ou extrajudicial</w:t>
      </w:r>
      <w:r w:rsidR="0000255C" w:rsidRPr="007E77AF">
        <w:t xml:space="preserve"> (“emissores em plano de recuperação”)</w:t>
      </w:r>
      <w:r w:rsidR="00D76840" w:rsidRPr="007E77AF">
        <w:t xml:space="preserve">, </w:t>
      </w:r>
      <w:r w:rsidR="01623FB2" w:rsidRPr="007E77AF">
        <w:t>n</w:t>
      </w:r>
      <w:r w:rsidR="00D76840" w:rsidRPr="007E77AF">
        <w:t>os termos d</w:t>
      </w:r>
      <w:r w:rsidR="00282587" w:rsidRPr="007E77AF">
        <w:t>e</w:t>
      </w:r>
      <w:r w:rsidR="00D76840" w:rsidRPr="007E77AF">
        <w:t xml:space="preserve"> </w:t>
      </w:r>
      <w:r w:rsidR="6949D571" w:rsidRPr="007E77AF">
        <w:t>p</w:t>
      </w:r>
      <w:r w:rsidR="00D76840" w:rsidRPr="007E77AF">
        <w:t xml:space="preserve">lano de </w:t>
      </w:r>
      <w:r w:rsidR="795518BE" w:rsidRPr="007E77AF">
        <w:t>r</w:t>
      </w:r>
      <w:r w:rsidR="00D76840" w:rsidRPr="007E77AF">
        <w:t xml:space="preserve">ecuperação </w:t>
      </w:r>
      <w:r w:rsidR="4327577B" w:rsidRPr="007E77AF">
        <w:t>j</w:t>
      </w:r>
      <w:r w:rsidR="00D76840" w:rsidRPr="007E77AF">
        <w:t xml:space="preserve">udicial ou </w:t>
      </w:r>
      <w:r w:rsidR="65D1D82F" w:rsidRPr="007E77AF">
        <w:t>e</w:t>
      </w:r>
      <w:r w:rsidR="00D76840" w:rsidRPr="007E77AF">
        <w:t>xtrajudicial</w:t>
      </w:r>
      <w:r w:rsidR="00F21D1C" w:rsidRPr="007E77AF">
        <w:t xml:space="preserve"> homologado em juízo, </w:t>
      </w:r>
      <w:r w:rsidR="00D76840" w:rsidRPr="007E77AF">
        <w:t xml:space="preserve">observado o disposto no inciso </w:t>
      </w:r>
      <w:r w:rsidR="0086760A" w:rsidRPr="007E77AF">
        <w:t>VI</w:t>
      </w:r>
      <w:r w:rsidR="00D76840" w:rsidRPr="007E77AF">
        <w:t xml:space="preserve"> do art. </w:t>
      </w:r>
      <w:r w:rsidR="00AE2563">
        <w:t>86</w:t>
      </w:r>
      <w:r w:rsidR="000278D6" w:rsidRPr="007E77AF">
        <w:t>.</w:t>
      </w:r>
    </w:p>
    <w:p w14:paraId="5B989BD8" w14:textId="13F2FC95" w:rsidR="00D74986" w:rsidRPr="007E77AF" w:rsidRDefault="007E531A" w:rsidP="00D74986">
      <w:pPr>
        <w:spacing w:before="120" w:after="120" w:line="312" w:lineRule="auto"/>
        <w:ind w:firstLine="567"/>
        <w:jc w:val="both"/>
      </w:pPr>
      <w:r>
        <w:t>§ 1</w:t>
      </w:r>
      <w:proofErr w:type="gramStart"/>
      <w:r>
        <w:t>º</w:t>
      </w:r>
      <w:r w:rsidR="000B4911" w:rsidRPr="007E77AF">
        <w:t xml:space="preserve">  Nas</w:t>
      </w:r>
      <w:proofErr w:type="gramEnd"/>
      <w:r w:rsidR="000B4911" w:rsidRPr="007E77AF">
        <w:t xml:space="preserve"> hipóteses constantes dos incisos do </w:t>
      </w:r>
      <w:r w:rsidR="000B4911" w:rsidRPr="007E77AF">
        <w:rPr>
          <w:b/>
          <w:bCs/>
        </w:rPr>
        <w:t xml:space="preserve">caput </w:t>
      </w:r>
      <w:r w:rsidR="000B4911" w:rsidRPr="007E77AF">
        <w:t>deste artigo:</w:t>
      </w:r>
    </w:p>
    <w:p w14:paraId="3E899C72" w14:textId="77777777" w:rsidR="00D74986" w:rsidRPr="007E77AF" w:rsidRDefault="000B4911" w:rsidP="00D74986">
      <w:pPr>
        <w:spacing w:before="120" w:after="120" w:line="312" w:lineRule="auto"/>
        <w:ind w:firstLine="567"/>
        <w:jc w:val="both"/>
      </w:pPr>
      <w:r w:rsidRPr="007E77AF">
        <w:t xml:space="preserve">I – </w:t>
      </w:r>
      <w:proofErr w:type="gramStart"/>
      <w:r w:rsidRPr="007E77AF">
        <w:t>devem</w:t>
      </w:r>
      <w:proofErr w:type="gramEnd"/>
      <w:r w:rsidRPr="007E77AF">
        <w:t xml:space="preserve"> ser observadas as restrições à negociação dos valores mobiliários ofertados elencadas no Capítulo VII; e</w:t>
      </w:r>
    </w:p>
    <w:p w14:paraId="5A51C328" w14:textId="2C48AE60" w:rsidR="00D74986" w:rsidRPr="007E77AF" w:rsidRDefault="000B4911" w:rsidP="00D74986">
      <w:pPr>
        <w:spacing w:before="120" w:after="120" w:line="312" w:lineRule="auto"/>
        <w:ind w:firstLine="567"/>
        <w:jc w:val="both"/>
      </w:pPr>
      <w:r w:rsidRPr="007E77AF">
        <w:t xml:space="preserve">II – </w:t>
      </w:r>
      <w:proofErr w:type="gramStart"/>
      <w:r w:rsidRPr="007E77AF">
        <w:t>deve</w:t>
      </w:r>
      <w:proofErr w:type="gramEnd"/>
      <w:r w:rsidRPr="007E77AF">
        <w:t xml:space="preserve"> ser dada ciência ao investidor por meio de aviso em destaque na capa do prospecto e na lâmina da oferta</w:t>
      </w:r>
      <w:r w:rsidR="00282E4B" w:rsidRPr="007E77AF">
        <w:t>,</w:t>
      </w:r>
      <w:r w:rsidR="00282E4B" w:rsidRPr="002C67D2">
        <w:rPr>
          <w:u w:color="0070C0"/>
        </w:rPr>
        <w:t xml:space="preserve"> </w:t>
      </w:r>
      <w:r w:rsidR="00F61253" w:rsidRPr="002C67D2">
        <w:rPr>
          <w:u w:color="0070C0"/>
        </w:rPr>
        <w:t>nos casos em que exigidos por esta Resolução</w:t>
      </w:r>
      <w:r w:rsidR="00282E4B" w:rsidRPr="002C67D2">
        <w:rPr>
          <w:u w:color="0070C0"/>
        </w:rPr>
        <w:t>,</w:t>
      </w:r>
      <w:r w:rsidRPr="007E77AF">
        <w:t xml:space="preserve"> de que:</w:t>
      </w:r>
    </w:p>
    <w:p w14:paraId="164CEEF5" w14:textId="77777777" w:rsidR="00D74986" w:rsidRPr="007E77AF" w:rsidRDefault="000B4911" w:rsidP="00D74986">
      <w:pPr>
        <w:spacing w:before="120" w:after="120" w:line="312" w:lineRule="auto"/>
        <w:ind w:firstLine="567"/>
        <w:jc w:val="both"/>
      </w:pPr>
      <w:r w:rsidRPr="007E77AF">
        <w:t>a) a CVM não realizou análise prévia do conteúdo do prospecto, nem dos documentos da oferta; e</w:t>
      </w:r>
    </w:p>
    <w:p w14:paraId="3E96EF39" w14:textId="097F2843" w:rsidR="00D74986" w:rsidRPr="007E77AF" w:rsidRDefault="000B4911" w:rsidP="00D74986">
      <w:pPr>
        <w:spacing w:before="120" w:after="120" w:line="312" w:lineRule="auto"/>
        <w:ind w:firstLine="567"/>
        <w:jc w:val="both"/>
      </w:pPr>
      <w:r w:rsidRPr="007E77AF">
        <w:t>b) pode haver restrições à revenda dos valores mobiliários</w:t>
      </w:r>
      <w:r w:rsidR="0042286D" w:rsidRPr="007E77AF">
        <w:t xml:space="preserve">, descrevendo </w:t>
      </w:r>
      <w:r w:rsidRPr="007E77AF">
        <w:t>quais são estas, nos casos aplicáveis.</w:t>
      </w:r>
    </w:p>
    <w:p w14:paraId="597025D7" w14:textId="16EFD6F3" w:rsidR="00567AF7" w:rsidRPr="007E77AF" w:rsidRDefault="00567AF7" w:rsidP="00D74986">
      <w:pPr>
        <w:spacing w:before="120" w:after="120" w:line="312" w:lineRule="auto"/>
        <w:ind w:firstLine="567"/>
        <w:jc w:val="both"/>
      </w:pPr>
      <w:r w:rsidRPr="007E77AF">
        <w:t>§ 2</w:t>
      </w:r>
      <w:proofErr w:type="gramStart"/>
      <w:r w:rsidRPr="007E77AF">
        <w:t>º  Considera</w:t>
      </w:r>
      <w:r w:rsidR="00DE43A8" w:rsidRPr="007E77AF">
        <w:t>m</w:t>
      </w:r>
      <w:proofErr w:type="gramEnd"/>
      <w:r w:rsidRPr="007E77AF">
        <w:t xml:space="preserve">-se </w:t>
      </w:r>
      <w:r w:rsidR="00484ACA" w:rsidRPr="007E77AF">
        <w:t>companhia</w:t>
      </w:r>
      <w:r w:rsidR="00DE43A8" w:rsidRPr="007E77AF">
        <w:t>s</w:t>
      </w:r>
      <w:r w:rsidR="00484ACA" w:rsidRPr="007E77AF">
        <w:t xml:space="preserve"> </w:t>
      </w:r>
      <w:proofErr w:type="spellStart"/>
      <w:r w:rsidR="00484ACA" w:rsidRPr="007E77AF">
        <w:t>securitizadora</w:t>
      </w:r>
      <w:r w:rsidR="00DE43A8" w:rsidRPr="007E77AF">
        <w:t>s</w:t>
      </w:r>
      <w:proofErr w:type="spellEnd"/>
      <w:r w:rsidR="00484ACA" w:rsidRPr="007E77AF">
        <w:t xml:space="preserve"> registrada</w:t>
      </w:r>
      <w:r w:rsidR="00DE43A8" w:rsidRPr="007E77AF">
        <w:t>s</w:t>
      </w:r>
      <w:r w:rsidRPr="007E77AF">
        <w:t>, para fins do inciso VIII</w:t>
      </w:r>
      <w:r w:rsidR="00034127">
        <w:t xml:space="preserve"> do </w:t>
      </w:r>
      <w:r w:rsidR="00034127">
        <w:rPr>
          <w:b/>
          <w:bCs/>
        </w:rPr>
        <w:t>caput</w:t>
      </w:r>
      <w:r w:rsidRPr="007E77AF">
        <w:t xml:space="preserve">, </w:t>
      </w:r>
      <w:r w:rsidR="00484ACA" w:rsidRPr="007E77AF">
        <w:t>as</w:t>
      </w:r>
      <w:r w:rsidRPr="007E77AF">
        <w:t xml:space="preserve"> sociedades de propósito específico que sejam subsidiárias </w:t>
      </w:r>
      <w:r w:rsidR="006708E6" w:rsidRPr="007E77AF">
        <w:t>integra</w:t>
      </w:r>
      <w:r w:rsidR="004043DD" w:rsidRPr="007E77AF">
        <w:t>is</w:t>
      </w:r>
      <w:r w:rsidR="006708E6" w:rsidRPr="007E77AF">
        <w:t xml:space="preserve"> </w:t>
      </w:r>
      <w:r w:rsidRPr="007E77AF">
        <w:t xml:space="preserve">de companhias </w:t>
      </w:r>
      <w:proofErr w:type="spellStart"/>
      <w:r w:rsidRPr="007E77AF">
        <w:t>securitizadoras</w:t>
      </w:r>
      <w:proofErr w:type="spellEnd"/>
      <w:r w:rsidRPr="007E77AF">
        <w:t xml:space="preserve"> registradas na CVM</w:t>
      </w:r>
      <w:r w:rsidR="0070791F" w:rsidRPr="007E77AF">
        <w:t>,</w:t>
      </w:r>
      <w:r w:rsidRPr="007E77AF">
        <w:t xml:space="preserve"> nos termos da regulamentação que dispõe sobre as companhias </w:t>
      </w:r>
      <w:proofErr w:type="spellStart"/>
      <w:r w:rsidRPr="007E77AF">
        <w:t>securitizadoras</w:t>
      </w:r>
      <w:proofErr w:type="spellEnd"/>
      <w:r w:rsidR="00FF7CE5" w:rsidRPr="007E77AF">
        <w:t xml:space="preserve"> de direitos creditórios</w:t>
      </w:r>
      <w:r w:rsidRPr="007E77AF">
        <w:t>.</w:t>
      </w:r>
    </w:p>
    <w:p w14:paraId="573FAB5D" w14:textId="4F8D16F3" w:rsidR="00D74986" w:rsidRPr="007E77AF" w:rsidRDefault="007A11D9" w:rsidP="006B018B">
      <w:pPr>
        <w:pStyle w:val="Seo"/>
      </w:pPr>
      <w:bookmarkStart w:id="146" w:name="_Toc476216323"/>
      <w:bookmarkStart w:id="147" w:name="_Toc108516044"/>
      <w:bookmarkStart w:id="148" w:name="_Toc108203075"/>
      <w:bookmarkStart w:id="149" w:name="_Toc136502815"/>
      <w:r w:rsidRPr="007E77AF">
        <w:t>S</w:t>
      </w:r>
      <w:r w:rsidR="00EB0C2B" w:rsidRPr="007E77AF">
        <w:t>ubs</w:t>
      </w:r>
      <w:r w:rsidRPr="007E77AF">
        <w:t xml:space="preserve">eção </w:t>
      </w:r>
      <w:r w:rsidR="0006690E" w:rsidRPr="007E77AF">
        <w:t>I</w:t>
      </w:r>
      <w:r w:rsidRPr="007E77AF">
        <w:t>I</w:t>
      </w:r>
      <w:r w:rsidR="0006690E" w:rsidRPr="007E77AF">
        <w:t xml:space="preserve"> – Requerimento de </w:t>
      </w:r>
      <w:r w:rsidR="19C789BE" w:rsidRPr="007E77AF">
        <w:t>R</w:t>
      </w:r>
      <w:r w:rsidR="0006690E" w:rsidRPr="007E77AF">
        <w:t xml:space="preserve">egistro </w:t>
      </w:r>
      <w:r w:rsidR="0FEA9109" w:rsidRPr="007E77AF">
        <w:t>A</w:t>
      </w:r>
      <w:r w:rsidR="0006690E" w:rsidRPr="007E77AF">
        <w:t>utomático</w:t>
      </w:r>
      <w:bookmarkEnd w:id="146"/>
      <w:bookmarkEnd w:id="147"/>
      <w:bookmarkEnd w:id="148"/>
      <w:bookmarkEnd w:id="149"/>
    </w:p>
    <w:p w14:paraId="3108A9A4" w14:textId="1BD0C0CD" w:rsidR="00D74986" w:rsidRPr="007E77AF" w:rsidRDefault="009069A1" w:rsidP="001353DC">
      <w:pPr>
        <w:spacing w:before="120" w:after="120" w:line="312" w:lineRule="auto"/>
        <w:ind w:firstLine="567"/>
        <w:jc w:val="both"/>
      </w:pPr>
      <w:bookmarkStart w:id="150" w:name="_Ref464390974"/>
      <w:r w:rsidRPr="007E77AF">
        <w:t>Art. 27</w:t>
      </w:r>
      <w:r w:rsidR="4875EC84" w:rsidRPr="007E77AF">
        <w:t>.</w:t>
      </w:r>
      <w:r w:rsidR="7021CB5B" w:rsidRPr="007E77AF">
        <w:t xml:space="preserve">  Os seguintes documentos e condições são exigidos para requerimento e concessão do registro da oferta pública de distribuição que siga o rito automático</w:t>
      </w:r>
      <w:bookmarkEnd w:id="150"/>
      <w:r w:rsidR="4F50EE87" w:rsidRPr="007E77AF">
        <w:t>:</w:t>
      </w:r>
    </w:p>
    <w:p w14:paraId="4F97C61E" w14:textId="6E384211" w:rsidR="00D74986" w:rsidRPr="007E77AF" w:rsidRDefault="008E7CC2" w:rsidP="00F033F4">
      <w:pPr>
        <w:spacing w:before="120" w:after="120" w:line="312" w:lineRule="auto"/>
        <w:ind w:firstLine="567"/>
        <w:jc w:val="both"/>
      </w:pPr>
      <w:r w:rsidRPr="007E77AF">
        <w:t xml:space="preserve">I </w:t>
      </w:r>
      <w:r w:rsidR="00673E41" w:rsidRPr="007E77AF">
        <w:t>–</w:t>
      </w:r>
      <w:r w:rsidR="00173AA5" w:rsidRPr="007E77AF">
        <w:t xml:space="preserve"> </w:t>
      </w:r>
      <w:proofErr w:type="gramStart"/>
      <w:r w:rsidR="00673E41" w:rsidRPr="007E77AF">
        <w:t>c</w:t>
      </w:r>
      <w:r w:rsidR="00173AA5" w:rsidRPr="007E77AF">
        <w:t>aso</w:t>
      </w:r>
      <w:proofErr w:type="gramEnd"/>
      <w:r w:rsidR="00173AA5" w:rsidRPr="007E77AF">
        <w:t xml:space="preserve"> o </w:t>
      </w:r>
      <w:r w:rsidR="00CB3D2D" w:rsidRPr="007E77AF">
        <w:t>público-</w:t>
      </w:r>
      <w:r w:rsidR="00173AA5" w:rsidRPr="007E77AF">
        <w:t>alvo da oferta seja composto exclusivamente por investidores profissionais:</w:t>
      </w:r>
    </w:p>
    <w:p w14:paraId="142F985F" w14:textId="3E45A47A" w:rsidR="00D74986" w:rsidRPr="007E77AF" w:rsidRDefault="00673E41" w:rsidP="00412F1C">
      <w:pPr>
        <w:spacing w:before="120" w:after="120" w:line="312" w:lineRule="auto"/>
        <w:ind w:firstLine="567"/>
        <w:jc w:val="both"/>
      </w:pPr>
      <w:r w:rsidRPr="007E77AF">
        <w:t>a)</w:t>
      </w:r>
      <w:r w:rsidR="00173AA5" w:rsidRPr="007E77AF">
        <w:t xml:space="preserve"> pagamento da taxa de fiscalização, nos termos da </w:t>
      </w:r>
      <w:r w:rsidR="00A04BBD" w:rsidRPr="007E77AF">
        <w:t>lei que trata da taxa de fiscalização dos mercados de títulos e valores mobiliários</w:t>
      </w:r>
      <w:r w:rsidR="00173AA5" w:rsidRPr="007E77AF">
        <w:t>;</w:t>
      </w:r>
    </w:p>
    <w:p w14:paraId="38978DA9" w14:textId="5C700D86" w:rsidR="00A212F5" w:rsidRPr="007E77AF" w:rsidRDefault="00673E41" w:rsidP="00D74986">
      <w:pPr>
        <w:spacing w:before="120" w:after="120" w:line="312" w:lineRule="auto"/>
        <w:ind w:firstLine="567"/>
        <w:jc w:val="both"/>
      </w:pPr>
      <w:r w:rsidRPr="007E77AF">
        <w:t>b)</w:t>
      </w:r>
      <w:r w:rsidR="00173AA5" w:rsidRPr="007E77AF">
        <w:t xml:space="preserve"> </w:t>
      </w:r>
      <w:r w:rsidR="2B616DB7" w:rsidRPr="007E77AF">
        <w:t>f</w:t>
      </w:r>
      <w:r w:rsidR="00173AA5" w:rsidRPr="007E77AF">
        <w:t xml:space="preserve">ormulário </w:t>
      </w:r>
      <w:r w:rsidR="257AEE83" w:rsidRPr="007E77AF">
        <w:t>e</w:t>
      </w:r>
      <w:r w:rsidR="00173AA5" w:rsidRPr="007E77AF">
        <w:t xml:space="preserve">letrônico de </w:t>
      </w:r>
      <w:r w:rsidR="612E3B7A" w:rsidRPr="007E77AF">
        <w:t>r</w:t>
      </w:r>
      <w:r w:rsidR="00173AA5" w:rsidRPr="007E77AF">
        <w:t xml:space="preserve">equerimento da </w:t>
      </w:r>
      <w:r w:rsidR="78696E0A" w:rsidRPr="007E77AF">
        <w:t>o</w:t>
      </w:r>
      <w:r w:rsidR="00173AA5" w:rsidRPr="007E77AF">
        <w:t xml:space="preserve">ferta preenchido </w:t>
      </w:r>
      <w:r w:rsidR="0A6B6DBE" w:rsidRPr="007E77AF">
        <w:t xml:space="preserve">por meio </w:t>
      </w:r>
      <w:r w:rsidR="00173AA5" w:rsidRPr="007E77AF">
        <w:t>d</w:t>
      </w:r>
      <w:r w:rsidR="4763BC2C" w:rsidRPr="007E77AF">
        <w:t>e</w:t>
      </w:r>
      <w:r w:rsidR="00173AA5" w:rsidRPr="007E77AF">
        <w:t xml:space="preserve"> </w:t>
      </w:r>
      <w:r w:rsidR="47551BBB" w:rsidRPr="007E77AF">
        <w:t>s</w:t>
      </w:r>
      <w:r w:rsidR="00173AA5" w:rsidRPr="007E77AF">
        <w:t xml:space="preserve">istema de </w:t>
      </w:r>
      <w:r w:rsidR="04F3773A" w:rsidRPr="007E77AF">
        <w:t>r</w:t>
      </w:r>
      <w:r w:rsidR="00173AA5" w:rsidRPr="007E77AF">
        <w:t>egistro</w:t>
      </w:r>
      <w:r w:rsidR="39700A97" w:rsidRPr="007E77AF">
        <w:t xml:space="preserve"> disponível </w:t>
      </w:r>
      <w:r w:rsidR="00CB3D2D" w:rsidRPr="007E77AF">
        <w:t xml:space="preserve">na </w:t>
      </w:r>
      <w:r w:rsidR="39700A97" w:rsidRPr="007E77AF">
        <w:t xml:space="preserve">página </w:t>
      </w:r>
      <w:r w:rsidR="003123BE" w:rsidRPr="007E77AF">
        <w:t xml:space="preserve">da CVM </w:t>
      </w:r>
      <w:r w:rsidR="39700A97" w:rsidRPr="007E77AF">
        <w:t>na rede mundial de computadores</w:t>
      </w:r>
      <w:r w:rsidR="00173AA5" w:rsidRPr="007E77AF">
        <w:t>;</w:t>
      </w:r>
      <w:r w:rsidR="79272212" w:rsidRPr="007E77AF">
        <w:t xml:space="preserve"> </w:t>
      </w:r>
      <w:r w:rsidR="009D1231">
        <w:t>e</w:t>
      </w:r>
    </w:p>
    <w:p w14:paraId="5770B4E0" w14:textId="75607960" w:rsidR="00D74986" w:rsidRPr="007E77AF" w:rsidRDefault="00A212F5" w:rsidP="00D74986">
      <w:pPr>
        <w:spacing w:before="120" w:after="120" w:line="312" w:lineRule="auto"/>
        <w:ind w:firstLine="567"/>
        <w:jc w:val="both"/>
      </w:pPr>
      <w:r w:rsidRPr="007E77AF">
        <w:t xml:space="preserve">c) </w:t>
      </w:r>
      <w:r w:rsidR="00D4083D" w:rsidRPr="007E77AF">
        <w:t>nos casos de ofertas de emissores registrados</w:t>
      </w:r>
      <w:r w:rsidR="00C143BC" w:rsidRPr="007E77AF">
        <w:t xml:space="preserve">, declaração de que o registro de emissor </w:t>
      </w:r>
      <w:proofErr w:type="gramStart"/>
      <w:r w:rsidR="00C143BC" w:rsidRPr="007E77AF">
        <w:t>encontra-se</w:t>
      </w:r>
      <w:proofErr w:type="gramEnd"/>
      <w:r w:rsidR="00C143BC" w:rsidRPr="007E77AF">
        <w:t xml:space="preserve"> atualizado</w:t>
      </w:r>
      <w:r w:rsidR="00D4083D" w:rsidRPr="007E77AF">
        <w:t xml:space="preserve">; </w:t>
      </w:r>
      <w:r w:rsidR="79272212" w:rsidRPr="007E77AF">
        <w:t>e</w:t>
      </w:r>
    </w:p>
    <w:p w14:paraId="0EE89A18" w14:textId="10C3B39D" w:rsidR="00D74986" w:rsidRPr="007E77AF" w:rsidRDefault="007F4D71" w:rsidP="00D74986">
      <w:pPr>
        <w:spacing w:before="120" w:after="120" w:line="312" w:lineRule="auto"/>
        <w:ind w:firstLine="567"/>
        <w:jc w:val="both"/>
      </w:pPr>
      <w:r w:rsidRPr="007E77AF">
        <w:t>II –</w:t>
      </w:r>
      <w:r w:rsidR="7021CB5B" w:rsidRPr="007E77AF">
        <w:t xml:space="preserve"> </w:t>
      </w:r>
      <w:proofErr w:type="gramStart"/>
      <w:r w:rsidRPr="007E77AF">
        <w:t>c</w:t>
      </w:r>
      <w:r w:rsidR="7021CB5B" w:rsidRPr="007E77AF">
        <w:t>aso</w:t>
      </w:r>
      <w:proofErr w:type="gramEnd"/>
      <w:r w:rsidR="7021CB5B" w:rsidRPr="007E77AF">
        <w:t xml:space="preserve"> o público</w:t>
      </w:r>
      <w:r w:rsidR="00C24201">
        <w:t>-</w:t>
      </w:r>
      <w:r w:rsidR="7021CB5B" w:rsidRPr="007E77AF">
        <w:t xml:space="preserve">alvo da oferta </w:t>
      </w:r>
      <w:r w:rsidR="7153404E" w:rsidRPr="007E77AF">
        <w:t>não</w:t>
      </w:r>
      <w:r w:rsidR="19C48B7F" w:rsidRPr="007E77AF">
        <w:rPr>
          <w:rFonts w:ascii="Calibri" w:eastAsia="Calibri" w:hAnsi="Calibri" w:cs="Calibri"/>
        </w:rPr>
        <w:t xml:space="preserve"> seja composto exclusivamente por investidores profissionais</w:t>
      </w:r>
      <w:r w:rsidR="7021CB5B" w:rsidRPr="007E77AF">
        <w:t xml:space="preserve">, </w:t>
      </w:r>
      <w:r w:rsidR="00335F22">
        <w:t xml:space="preserve">ressalvado o disposto no § </w:t>
      </w:r>
      <w:r w:rsidR="00FF4E6B">
        <w:t>1º</w:t>
      </w:r>
      <w:r w:rsidR="00F83533">
        <w:t xml:space="preserve">, </w:t>
      </w:r>
      <w:r w:rsidR="7021CB5B" w:rsidRPr="007E77AF">
        <w:t xml:space="preserve">além dos documentos e requisitos identificados no </w:t>
      </w:r>
      <w:r w:rsidR="002E1E0B" w:rsidRPr="007E77AF">
        <w:t>inciso I</w:t>
      </w:r>
      <w:r w:rsidR="7021CB5B" w:rsidRPr="007E77AF">
        <w:t>, são exigidos:</w:t>
      </w:r>
    </w:p>
    <w:p w14:paraId="6E6F1E6A" w14:textId="77777777" w:rsidR="00D74986" w:rsidRPr="007E77AF" w:rsidRDefault="007F4D71" w:rsidP="00D74986">
      <w:pPr>
        <w:spacing w:before="120" w:after="120" w:line="312" w:lineRule="auto"/>
        <w:ind w:firstLine="567"/>
        <w:jc w:val="both"/>
      </w:pPr>
      <w:r w:rsidRPr="007E77AF">
        <w:t>a)</w:t>
      </w:r>
      <w:r w:rsidR="00173AA5" w:rsidRPr="007E77AF">
        <w:t xml:space="preserve"> </w:t>
      </w:r>
      <w:r w:rsidR="00494021" w:rsidRPr="007E77AF">
        <w:t>lâmina da oferta</w:t>
      </w:r>
      <w:r w:rsidR="00173AA5" w:rsidRPr="007E77AF">
        <w:t>;</w:t>
      </w:r>
    </w:p>
    <w:p w14:paraId="66DC6E23" w14:textId="6377AC94" w:rsidR="00D74986" w:rsidRPr="007E77AF" w:rsidRDefault="007F4D71" w:rsidP="00D74986">
      <w:pPr>
        <w:spacing w:before="120" w:after="120" w:line="312" w:lineRule="auto"/>
        <w:ind w:firstLine="567"/>
        <w:jc w:val="both"/>
      </w:pPr>
      <w:r w:rsidRPr="007E77AF">
        <w:lastRenderedPageBreak/>
        <w:t>b)</w:t>
      </w:r>
      <w:r w:rsidR="1DB8891E" w:rsidRPr="007E77AF">
        <w:t xml:space="preserve"> </w:t>
      </w:r>
      <w:r w:rsidR="7BD86C99" w:rsidRPr="007E77AF">
        <w:t>p</w:t>
      </w:r>
      <w:r w:rsidR="1DB8891E" w:rsidRPr="007E77AF">
        <w:t xml:space="preserve">rospecto </w:t>
      </w:r>
      <w:r w:rsidR="4C8C5A35" w:rsidRPr="007E77AF">
        <w:t>d</w:t>
      </w:r>
      <w:r w:rsidR="1DB8891E" w:rsidRPr="007E77AF">
        <w:t xml:space="preserve">efinitivo ou </w:t>
      </w:r>
      <w:r w:rsidR="54B20686" w:rsidRPr="007E77AF">
        <w:t>p</w:t>
      </w:r>
      <w:r w:rsidR="1DB8891E" w:rsidRPr="007E77AF">
        <w:t xml:space="preserve">reliminar, </w:t>
      </w:r>
      <w:r w:rsidR="66C291E0" w:rsidRPr="007E77AF">
        <w:t xml:space="preserve">observado o art. </w:t>
      </w:r>
      <w:r w:rsidR="0086760A" w:rsidRPr="007E77AF">
        <w:t>20</w:t>
      </w:r>
      <w:r w:rsidR="1DB8891E" w:rsidRPr="007E77AF">
        <w:t>;</w:t>
      </w:r>
      <w:r w:rsidR="004B1737" w:rsidRPr="007E77AF">
        <w:t xml:space="preserve"> e</w:t>
      </w:r>
    </w:p>
    <w:p w14:paraId="75297746" w14:textId="5EA9EAA0" w:rsidR="00D74986" w:rsidRPr="007E77AF" w:rsidRDefault="00EC2470" w:rsidP="00D74986">
      <w:pPr>
        <w:spacing w:before="120" w:after="120" w:line="312" w:lineRule="auto"/>
        <w:ind w:firstLine="567"/>
        <w:jc w:val="both"/>
      </w:pPr>
      <w:r w:rsidRPr="007E77AF">
        <w:t>c</w:t>
      </w:r>
      <w:r w:rsidR="007F4D71" w:rsidRPr="007E77AF">
        <w:t>)</w:t>
      </w:r>
      <w:r w:rsidR="00173AA5" w:rsidRPr="007E77AF">
        <w:t xml:space="preserve"> declaração contendo memória de cálculo </w:t>
      </w:r>
      <w:r w:rsidR="00CC6429" w:rsidRPr="007E77AF">
        <w:t xml:space="preserve">demonstrando </w:t>
      </w:r>
      <w:r w:rsidR="00173AA5" w:rsidRPr="007E77AF">
        <w:t xml:space="preserve">que </w:t>
      </w:r>
      <w:r w:rsidR="007F2433" w:rsidRPr="007E77AF">
        <w:t>o</w:t>
      </w:r>
      <w:r w:rsidR="00173AA5" w:rsidRPr="007E77AF">
        <w:t xml:space="preserve"> emissor se enquadra na definição de EGEM</w:t>
      </w:r>
      <w:r w:rsidR="002E583C" w:rsidRPr="007E77AF">
        <w:t xml:space="preserve"> ou de EFRF</w:t>
      </w:r>
      <w:r w:rsidR="797B7C33" w:rsidRPr="007E77AF">
        <w:t>, quando for o caso</w:t>
      </w:r>
      <w:r w:rsidR="00173AA5" w:rsidRPr="007E77AF">
        <w:t>;</w:t>
      </w:r>
    </w:p>
    <w:p w14:paraId="7471AEDE" w14:textId="6BD0A0B7" w:rsidR="00F83533" w:rsidRDefault="00F83533" w:rsidP="00D74986">
      <w:pPr>
        <w:spacing w:before="120" w:after="120" w:line="312" w:lineRule="auto"/>
        <w:ind w:firstLine="567"/>
        <w:jc w:val="both"/>
      </w:pPr>
      <w:r>
        <w:t xml:space="preserve">§ </w:t>
      </w:r>
      <w:r w:rsidR="00E126B9">
        <w:t>1</w:t>
      </w:r>
      <w:proofErr w:type="gramStart"/>
      <w:r w:rsidR="00E126B9">
        <w:t xml:space="preserve">º  </w:t>
      </w:r>
      <w:r>
        <w:t>A</w:t>
      </w:r>
      <w:proofErr w:type="gramEnd"/>
      <w:r>
        <w:t xml:space="preserve"> lâmina e os prospectos preliminar e definitivo não são exigidos nas ofertas de cotas de </w:t>
      </w:r>
      <w:r w:rsidR="00EF4324">
        <w:t>fundo de investimento financeiro fechado</w:t>
      </w:r>
      <w:r w:rsidR="005331A1">
        <w:t xml:space="preserve"> destinadas exclusivamente a investidores</w:t>
      </w:r>
      <w:r w:rsidR="00C21337">
        <w:t xml:space="preserve"> qualificados.</w:t>
      </w:r>
    </w:p>
    <w:p w14:paraId="1CD35BFA" w14:textId="3DB27C59" w:rsidR="00D74986" w:rsidRPr="007E77AF" w:rsidRDefault="00143FB0" w:rsidP="00D74986">
      <w:pPr>
        <w:spacing w:before="120" w:after="120" w:line="312" w:lineRule="auto"/>
        <w:ind w:firstLine="567"/>
        <w:jc w:val="both"/>
      </w:pPr>
      <w:r w:rsidRPr="007E77AF">
        <w:t xml:space="preserve">§ </w:t>
      </w:r>
      <w:r w:rsidR="00E126B9">
        <w:t>2</w:t>
      </w:r>
      <w:proofErr w:type="gramStart"/>
      <w:r w:rsidR="00E126B9" w:rsidRPr="007E77AF">
        <w:t xml:space="preserve">º  </w:t>
      </w:r>
      <w:r w:rsidRPr="007E77AF">
        <w:t>Caso</w:t>
      </w:r>
      <w:proofErr w:type="gramEnd"/>
      <w:r w:rsidRPr="007E77AF">
        <w:t xml:space="preserve"> o cronograma da oferta preveja </w:t>
      </w:r>
      <w:r w:rsidR="00F02783" w:rsidRPr="007E77AF">
        <w:t xml:space="preserve">o início do período </w:t>
      </w:r>
      <w:r w:rsidR="00B81BF5" w:rsidRPr="007E77AF">
        <w:t>de</w:t>
      </w:r>
      <w:r w:rsidR="00F02783" w:rsidRPr="007E77AF">
        <w:t xml:space="preserve"> oferta </w:t>
      </w:r>
      <w:r w:rsidRPr="007E77AF">
        <w:t xml:space="preserve">a mercado, nos termos do art. </w:t>
      </w:r>
      <w:r w:rsidR="00380DFE">
        <w:t>57</w:t>
      </w:r>
      <w:r w:rsidRPr="007E77AF">
        <w:t>, anteriormente à concessão do registro, o requerimento de registro da oferta pode ser realizado na pendência de documentos, aditamentos e informações</w:t>
      </w:r>
      <w:r w:rsidR="0033136C" w:rsidRPr="007E77AF">
        <w:t>,</w:t>
      </w:r>
      <w:r w:rsidRPr="007E77AF">
        <w:t xml:space="preserve"> desde que relacionados exclusivamente à definição do preço ou remuneração do valor mobiliário objeto da distribuição, situação notadamente aplicada:</w:t>
      </w:r>
    </w:p>
    <w:p w14:paraId="2E5FF3A8" w14:textId="0C721BB6" w:rsidR="00D74986" w:rsidRPr="007E77AF" w:rsidRDefault="00143FB0" w:rsidP="00D74986">
      <w:pPr>
        <w:spacing w:before="120" w:after="120" w:line="312" w:lineRule="auto"/>
        <w:ind w:firstLine="567"/>
        <w:jc w:val="both"/>
      </w:pPr>
      <w:r w:rsidRPr="007E77AF">
        <w:t xml:space="preserve">I – </w:t>
      </w:r>
      <w:proofErr w:type="gramStart"/>
      <w:r w:rsidRPr="007E77AF">
        <w:t>nas</w:t>
      </w:r>
      <w:proofErr w:type="gramEnd"/>
      <w:r w:rsidRPr="007E77AF">
        <w:t xml:space="preserve"> hipóteses dos incisos I e II do </w:t>
      </w:r>
      <w:r w:rsidRPr="007E77AF">
        <w:rPr>
          <w:b/>
          <w:bCs/>
        </w:rPr>
        <w:t>caput</w:t>
      </w:r>
      <w:r w:rsidRPr="007E77AF">
        <w:t>, à informação do preço ou remuneração do valor mobiliário contida no formulário eletrônico de requerimento da oferta; e</w:t>
      </w:r>
    </w:p>
    <w:p w14:paraId="09633DEF" w14:textId="4BBE40CC" w:rsidR="00D74986" w:rsidRPr="007E77AF" w:rsidRDefault="00143FB0" w:rsidP="00502D27">
      <w:pPr>
        <w:spacing w:before="120" w:after="120" w:line="312" w:lineRule="auto"/>
        <w:ind w:firstLine="567"/>
        <w:jc w:val="both"/>
      </w:pPr>
      <w:r w:rsidRPr="007E77AF">
        <w:t xml:space="preserve">II – </w:t>
      </w:r>
      <w:proofErr w:type="gramStart"/>
      <w:r w:rsidRPr="007E77AF">
        <w:t>na</w:t>
      </w:r>
      <w:proofErr w:type="gramEnd"/>
      <w:r w:rsidRPr="007E77AF">
        <w:t xml:space="preserve"> hipótese do inciso II do </w:t>
      </w:r>
      <w:r w:rsidRPr="007E77AF">
        <w:rPr>
          <w:b/>
          <w:bCs/>
        </w:rPr>
        <w:t>caput</w:t>
      </w:r>
      <w:r w:rsidR="00653EB2" w:rsidRPr="007E77AF">
        <w:rPr>
          <w:b/>
          <w:bCs/>
        </w:rPr>
        <w:t>,</w:t>
      </w:r>
      <w:r w:rsidR="00653EB2" w:rsidRPr="007E77AF">
        <w:rPr>
          <w:b/>
        </w:rPr>
        <w:t xml:space="preserve"> </w:t>
      </w:r>
      <w:r w:rsidR="00BE6BF5" w:rsidRPr="007E77AF">
        <w:t>à informação do preço ou remuneração do valor mobiliário contida n</w:t>
      </w:r>
      <w:r w:rsidR="002B1489" w:rsidRPr="007E77AF">
        <w:t>a lâmina da oferta</w:t>
      </w:r>
      <w:r w:rsidR="00653EB2" w:rsidRPr="007E77AF">
        <w:t>.</w:t>
      </w:r>
    </w:p>
    <w:p w14:paraId="2CB47A6B" w14:textId="379AD225" w:rsidR="00D74986" w:rsidRPr="007E77AF" w:rsidRDefault="006966A5" w:rsidP="00D74986">
      <w:pPr>
        <w:spacing w:before="120" w:after="120" w:line="312" w:lineRule="auto"/>
        <w:ind w:firstLine="567"/>
        <w:jc w:val="both"/>
      </w:pPr>
      <w:r w:rsidRPr="007E77AF">
        <w:t xml:space="preserve">§ </w:t>
      </w:r>
      <w:r w:rsidR="00E126B9">
        <w:t>3</w:t>
      </w:r>
      <w:proofErr w:type="gramStart"/>
      <w:r w:rsidR="00E126B9" w:rsidRPr="007E77AF">
        <w:t xml:space="preserve">º  </w:t>
      </w:r>
      <w:r w:rsidRPr="007E77AF">
        <w:t>Nos</w:t>
      </w:r>
      <w:proofErr w:type="gramEnd"/>
      <w:r w:rsidR="00173AA5" w:rsidRPr="007E77AF">
        <w:t xml:space="preserve"> casos </w:t>
      </w:r>
      <w:r w:rsidRPr="007E77AF">
        <w:t xml:space="preserve">mencionados no § </w:t>
      </w:r>
      <w:r w:rsidR="00DE33E1">
        <w:t>2</w:t>
      </w:r>
      <w:r w:rsidR="00DE33E1" w:rsidRPr="007E77AF">
        <w:t>º</w:t>
      </w:r>
      <w:r w:rsidRPr="007E77AF">
        <w:t xml:space="preserve">, </w:t>
      </w:r>
      <w:r w:rsidR="00173AA5" w:rsidRPr="007E77AF">
        <w:t xml:space="preserve">a concessão do registro automático da oferta se dará no momento da submissão </w:t>
      </w:r>
      <w:r w:rsidR="0056012E" w:rsidRPr="007E77AF">
        <w:t>das</w:t>
      </w:r>
      <w:r w:rsidR="00C405D9" w:rsidRPr="007E77AF">
        <w:t xml:space="preserve"> informações e</w:t>
      </w:r>
      <w:r w:rsidR="00173AA5" w:rsidRPr="007E77AF">
        <w:t xml:space="preserve"> documentos</w:t>
      </w:r>
      <w:r w:rsidR="0035360E" w:rsidRPr="007E77AF">
        <w:t xml:space="preserve"> pendentes</w:t>
      </w:r>
      <w:r w:rsidR="00173AA5" w:rsidRPr="007E77AF">
        <w:t xml:space="preserve">, </w:t>
      </w:r>
      <w:r w:rsidR="00294D9B" w:rsidRPr="007E77AF">
        <w:t>que devem</w:t>
      </w:r>
      <w:r w:rsidR="00173AA5" w:rsidRPr="007E77AF">
        <w:t xml:space="preserve"> </w:t>
      </w:r>
      <w:r w:rsidR="3B854AE5" w:rsidRPr="007E77AF">
        <w:t>ser apresentad</w:t>
      </w:r>
      <w:r w:rsidR="00BB239C" w:rsidRPr="007E77AF">
        <w:t>o</w:t>
      </w:r>
      <w:r w:rsidR="3B854AE5" w:rsidRPr="007E77AF">
        <w:t xml:space="preserve">s </w:t>
      </w:r>
      <w:r w:rsidR="00173AA5" w:rsidRPr="007E77AF">
        <w:t xml:space="preserve">em período não superior a 90 </w:t>
      </w:r>
      <w:r w:rsidR="30D69675" w:rsidRPr="007E77AF">
        <w:t xml:space="preserve">(noventa) </w:t>
      </w:r>
      <w:r w:rsidR="00173AA5" w:rsidRPr="007E77AF">
        <w:t xml:space="preserve">dias </w:t>
      </w:r>
      <w:r w:rsidR="0819E0DA" w:rsidRPr="007E77AF">
        <w:t xml:space="preserve">após a </w:t>
      </w:r>
      <w:r w:rsidR="004D3FFA" w:rsidRPr="007E77AF">
        <w:t xml:space="preserve">data </w:t>
      </w:r>
      <w:r w:rsidR="00173AA5" w:rsidRPr="007E77AF">
        <w:t>do requerimento</w:t>
      </w:r>
      <w:r w:rsidR="2511CDF1" w:rsidRPr="007E77AF">
        <w:t xml:space="preserve"> de registro da oferta</w:t>
      </w:r>
      <w:r w:rsidR="00D11B0E" w:rsidRPr="007E77AF">
        <w:t xml:space="preserve">, sob </w:t>
      </w:r>
      <w:r w:rsidR="00CB559E" w:rsidRPr="007E77AF">
        <w:t>pena de não concessão do registro</w:t>
      </w:r>
      <w:r w:rsidR="00173AA5" w:rsidRPr="007E77AF">
        <w:t>.</w:t>
      </w:r>
    </w:p>
    <w:p w14:paraId="6F4C0FB8" w14:textId="713B37AD" w:rsidR="00D74986" w:rsidRPr="007E77AF" w:rsidRDefault="159FDB48" w:rsidP="00D74986">
      <w:pPr>
        <w:spacing w:before="120" w:after="120" w:line="312" w:lineRule="auto"/>
        <w:ind w:firstLine="567"/>
        <w:jc w:val="both"/>
      </w:pPr>
      <w:r w:rsidRPr="007E77AF">
        <w:t xml:space="preserve">§ </w:t>
      </w:r>
      <w:r w:rsidR="00E126B9">
        <w:t>4</w:t>
      </w:r>
      <w:proofErr w:type="gramStart"/>
      <w:r w:rsidR="00E126B9" w:rsidRPr="007E77AF">
        <w:t xml:space="preserve">º  </w:t>
      </w:r>
      <w:r w:rsidR="1A3C067D" w:rsidRPr="007E77AF">
        <w:t>A</w:t>
      </w:r>
      <w:proofErr w:type="gramEnd"/>
      <w:r w:rsidR="006B047C" w:rsidRPr="007E77AF">
        <w:t xml:space="preserve"> partir d</w:t>
      </w:r>
      <w:r w:rsidR="00A67F0B" w:rsidRPr="007E77AF">
        <w:t>o</w:t>
      </w:r>
      <w:r w:rsidR="006B047C" w:rsidRPr="007E77AF">
        <w:t xml:space="preserve"> </w:t>
      </w:r>
      <w:r w:rsidR="00A67F0B" w:rsidRPr="007E77AF">
        <w:t>requerimento</w:t>
      </w:r>
      <w:r w:rsidR="006B047C" w:rsidRPr="007E77AF">
        <w:t xml:space="preserve"> do registro, </w:t>
      </w:r>
      <w:r w:rsidR="00684309">
        <w:t>o</w:t>
      </w:r>
      <w:r w:rsidR="00684309" w:rsidRPr="007E77AF">
        <w:t xml:space="preserve"> </w:t>
      </w:r>
      <w:r w:rsidR="008F489E">
        <w:t>coordenador líder</w:t>
      </w:r>
      <w:r w:rsidR="1A3C067D" w:rsidRPr="007E77AF">
        <w:t xml:space="preserve"> deve manter à disposição da CVM os </w:t>
      </w:r>
      <w:r w:rsidR="4FFD4631" w:rsidRPr="007E77AF">
        <w:t xml:space="preserve">seguintes documentos relacionados às ofertas públicas submetidas ao </w:t>
      </w:r>
      <w:r w:rsidR="002F16A3" w:rsidRPr="007E77AF">
        <w:t>rito de registro</w:t>
      </w:r>
      <w:r w:rsidR="302ED5FB" w:rsidRPr="007E77AF">
        <w:t xml:space="preserve"> </w:t>
      </w:r>
      <w:r w:rsidR="4FFD4631" w:rsidRPr="007E77AF">
        <w:t>automátic</w:t>
      </w:r>
      <w:r w:rsidR="2D2139AD" w:rsidRPr="007E77AF">
        <w:t>o de distribuição</w:t>
      </w:r>
      <w:r w:rsidR="7EC961D7" w:rsidRPr="007E77AF">
        <w:t>:</w:t>
      </w:r>
    </w:p>
    <w:p w14:paraId="21F61E78" w14:textId="56D6D33D" w:rsidR="00D74986" w:rsidRPr="007E77AF" w:rsidRDefault="7EC961D7" w:rsidP="00D74986">
      <w:pPr>
        <w:spacing w:before="120" w:after="120" w:line="312" w:lineRule="auto"/>
        <w:ind w:firstLine="567"/>
        <w:jc w:val="both"/>
      </w:pPr>
      <w:r w:rsidRPr="007E77AF">
        <w:t xml:space="preserve">I </w:t>
      </w:r>
      <w:r w:rsidR="006D56FE" w:rsidRPr="007E77AF">
        <w:t>–</w:t>
      </w:r>
      <w:r w:rsidRPr="007E77AF">
        <w:t xml:space="preserve"> </w:t>
      </w:r>
      <w:proofErr w:type="gramStart"/>
      <w:r w:rsidRPr="007E77AF">
        <w:t>documento</w:t>
      </w:r>
      <w:proofErr w:type="gramEnd"/>
      <w:r w:rsidR="006D56FE" w:rsidRPr="007E77AF">
        <w:t xml:space="preserve"> </w:t>
      </w:r>
      <w:r w:rsidRPr="007E77AF">
        <w:t xml:space="preserve">da deliberação sobre a aprovação da emissão ou distribuição dos valores mobiliários tomada pelos órgãos societários competentes do ofertante e das decisões administrativas exigíveis, </w:t>
      </w:r>
      <w:r w:rsidR="00AA2235" w:rsidRPr="007E77AF">
        <w:t>bem como a documentação de suporte</w:t>
      </w:r>
      <w:r w:rsidRPr="007E77AF">
        <w:t xml:space="preserve"> para as referidas deliberações;</w:t>
      </w:r>
    </w:p>
    <w:p w14:paraId="03E301D7" w14:textId="0A72BE67" w:rsidR="00D74986" w:rsidRPr="007E77AF" w:rsidRDefault="7EC961D7" w:rsidP="00D74986">
      <w:pPr>
        <w:spacing w:before="120" w:after="120" w:line="312" w:lineRule="auto"/>
        <w:ind w:firstLine="567"/>
        <w:jc w:val="both"/>
      </w:pPr>
      <w:r w:rsidRPr="007E77AF">
        <w:t xml:space="preserve">II </w:t>
      </w:r>
      <w:r w:rsidR="006D56FE" w:rsidRPr="007E77AF">
        <w:t>–</w:t>
      </w:r>
      <w:r w:rsidRPr="007E77AF">
        <w:t xml:space="preserve"> </w:t>
      </w:r>
      <w:proofErr w:type="gramStart"/>
      <w:r w:rsidRPr="007E77AF">
        <w:t>ato</w:t>
      </w:r>
      <w:proofErr w:type="gramEnd"/>
      <w:r w:rsidR="006D56FE" w:rsidRPr="007E77AF">
        <w:t xml:space="preserve"> </w:t>
      </w:r>
      <w:r w:rsidRPr="007E77AF">
        <w:t>que deliberou o preço de emissão das ações, quando aplicável;</w:t>
      </w:r>
    </w:p>
    <w:p w14:paraId="6BC975C3" w14:textId="07D3E37C" w:rsidR="00D74986" w:rsidRPr="007E77AF" w:rsidRDefault="7EC961D7" w:rsidP="00D74986">
      <w:pPr>
        <w:spacing w:before="120" w:after="120" w:line="312" w:lineRule="auto"/>
        <w:ind w:firstLine="567"/>
        <w:jc w:val="both"/>
      </w:pPr>
      <w:r w:rsidRPr="007E77AF">
        <w:t xml:space="preserve">III </w:t>
      </w:r>
      <w:r w:rsidR="006D56FE" w:rsidRPr="007E77AF">
        <w:t>–</w:t>
      </w:r>
      <w:r w:rsidRPr="007E77AF">
        <w:t xml:space="preserve"> contrato</w:t>
      </w:r>
      <w:r w:rsidR="006D56FE" w:rsidRPr="007E77AF">
        <w:t xml:space="preserve"> </w:t>
      </w:r>
      <w:r w:rsidRPr="007E77AF">
        <w:t>de distribuição de valores mobiliários assinado, do qual deve</w:t>
      </w:r>
      <w:r w:rsidR="00531D0C" w:rsidRPr="007E77AF">
        <w:t>m</w:t>
      </w:r>
      <w:r w:rsidRPr="007E77AF">
        <w:t xml:space="preserve"> constar as cláusulas relacionadas no Anexo </w:t>
      </w:r>
      <w:r w:rsidR="00960F61">
        <w:t>K</w:t>
      </w:r>
      <w:r w:rsidR="00960F61" w:rsidRPr="007E77AF">
        <w:t xml:space="preserve"> </w:t>
      </w:r>
      <w:r w:rsidRPr="007E77AF">
        <w:t>a esta Resolução, e respectivos termos de adesão;</w:t>
      </w:r>
    </w:p>
    <w:p w14:paraId="7B39340A" w14:textId="4FE752CF" w:rsidR="00D74986" w:rsidRPr="007E77AF" w:rsidRDefault="7EC961D7" w:rsidP="00D74986">
      <w:pPr>
        <w:spacing w:before="120" w:after="120" w:line="312" w:lineRule="auto"/>
        <w:ind w:firstLine="567"/>
        <w:jc w:val="both"/>
      </w:pPr>
      <w:r w:rsidRPr="007E77AF">
        <w:t xml:space="preserve">IV </w:t>
      </w:r>
      <w:r w:rsidR="006D56FE" w:rsidRPr="007E77AF">
        <w:t>–</w:t>
      </w:r>
      <w:r w:rsidRPr="007E77AF">
        <w:t xml:space="preserve"> </w:t>
      </w:r>
      <w:proofErr w:type="gramStart"/>
      <w:r w:rsidRPr="007E77AF">
        <w:t>contratos</w:t>
      </w:r>
      <w:proofErr w:type="gramEnd"/>
      <w:r w:rsidR="006D56FE" w:rsidRPr="007E77AF">
        <w:t xml:space="preserve"> </w:t>
      </w:r>
      <w:r w:rsidRPr="007E77AF">
        <w:t>de estabilização de preços ou de garantia de liquidez, se houver; e</w:t>
      </w:r>
    </w:p>
    <w:p w14:paraId="401481C4" w14:textId="40154F70" w:rsidR="00D74986" w:rsidRPr="007E77AF" w:rsidRDefault="7EC961D7" w:rsidP="00D74986">
      <w:pPr>
        <w:spacing w:before="120" w:after="120" w:line="312" w:lineRule="auto"/>
        <w:ind w:firstLine="567"/>
        <w:jc w:val="both"/>
      </w:pPr>
      <w:r w:rsidRPr="007E77AF">
        <w:lastRenderedPageBreak/>
        <w:t xml:space="preserve">V </w:t>
      </w:r>
      <w:r w:rsidR="006D56FE" w:rsidRPr="007E77AF">
        <w:t>–</w:t>
      </w:r>
      <w:r w:rsidRPr="007E77AF">
        <w:t xml:space="preserve"> </w:t>
      </w:r>
      <w:proofErr w:type="gramStart"/>
      <w:r w:rsidRPr="007E77AF">
        <w:t>declaração</w:t>
      </w:r>
      <w:proofErr w:type="gramEnd"/>
      <w:r w:rsidR="006D56FE" w:rsidRPr="007E77AF">
        <w:t xml:space="preserve"> </w:t>
      </w:r>
      <w:r w:rsidRPr="007E77AF">
        <w:t>da bolsa de valores ou da entidade do mercado de balcão organizado informando do deferimento do pedido de admissão à negociação do valor mobiliário, se for o caso, condicionado apenas à obtenção do registro na CVM.</w:t>
      </w:r>
    </w:p>
    <w:p w14:paraId="0C3C8877" w14:textId="66CAB46E" w:rsidR="00D74986" w:rsidRPr="007E77AF" w:rsidRDefault="53E99307" w:rsidP="00D74986">
      <w:pPr>
        <w:spacing w:before="120" w:after="120" w:line="312" w:lineRule="auto"/>
        <w:ind w:firstLine="567"/>
        <w:jc w:val="both"/>
      </w:pPr>
      <w:r w:rsidRPr="007E77AF">
        <w:t xml:space="preserve">§ </w:t>
      </w:r>
      <w:r w:rsidR="00E126B9">
        <w:t>5</w:t>
      </w:r>
      <w:proofErr w:type="gramStart"/>
      <w:r w:rsidR="00E126B9" w:rsidRPr="007E77AF">
        <w:t xml:space="preserve">º  </w:t>
      </w:r>
      <w:r w:rsidR="744676A5" w:rsidRPr="007E77AF">
        <w:t>Adicionalmente</w:t>
      </w:r>
      <w:proofErr w:type="gramEnd"/>
      <w:r w:rsidRPr="007E77AF">
        <w:t xml:space="preserve"> às demais exigências deste artigo, para fins d</w:t>
      </w:r>
      <w:r w:rsidR="355113D4" w:rsidRPr="007E77AF">
        <w:t>e</w:t>
      </w:r>
      <w:r w:rsidRPr="007E77AF">
        <w:t xml:space="preserve"> recebimento de reservas, coleta de intenções de investimento e início da distribuição</w:t>
      </w:r>
      <w:r w:rsidR="098BC0EA" w:rsidRPr="007E77AF">
        <w:t>,</w:t>
      </w:r>
      <w:r w:rsidRPr="007E77AF">
        <w:t xml:space="preserve"> nos casos elencados </w:t>
      </w:r>
      <w:r w:rsidR="00850A95" w:rsidRPr="007E77AF">
        <w:t>no</w:t>
      </w:r>
      <w:r w:rsidRPr="007E77AF">
        <w:t xml:space="preserve"> </w:t>
      </w:r>
      <w:r w:rsidR="5DB2E0AB" w:rsidRPr="007E77AF">
        <w:rPr>
          <w:b/>
        </w:rPr>
        <w:t>caput</w:t>
      </w:r>
      <w:r w:rsidR="0980CBC7" w:rsidRPr="007E77AF">
        <w:t xml:space="preserve"> </w:t>
      </w:r>
      <w:r w:rsidR="00A55F37" w:rsidRPr="007E77AF">
        <w:t xml:space="preserve">do </w:t>
      </w:r>
      <w:r w:rsidRPr="007E77AF">
        <w:t xml:space="preserve">art. </w:t>
      </w:r>
      <w:r w:rsidR="0086760A" w:rsidRPr="007E77AF">
        <w:t>26</w:t>
      </w:r>
      <w:r w:rsidR="0980CBC7" w:rsidRPr="007E77AF">
        <w:t>,</w:t>
      </w:r>
      <w:r w:rsidRPr="007E77AF">
        <w:t xml:space="preserve"> as seguintes condições devem ser satisfeitas:</w:t>
      </w:r>
    </w:p>
    <w:p w14:paraId="7DC206A2" w14:textId="2CAF5E34" w:rsidR="00D74986" w:rsidRPr="007E77AF" w:rsidRDefault="00A7486E" w:rsidP="00D74986">
      <w:pPr>
        <w:spacing w:before="120" w:after="120" w:line="312" w:lineRule="auto"/>
        <w:ind w:firstLine="567"/>
        <w:jc w:val="both"/>
      </w:pPr>
      <w:r w:rsidRPr="007E77AF">
        <w:t xml:space="preserve">I – </w:t>
      </w:r>
      <w:proofErr w:type="gramStart"/>
      <w:r w:rsidRPr="007E77AF">
        <w:t>o</w:t>
      </w:r>
      <w:proofErr w:type="gramEnd"/>
      <w:r w:rsidRPr="007E77AF">
        <w:t xml:space="preserve"> emissor registrado deve </w:t>
      </w:r>
      <w:r w:rsidR="0019076F" w:rsidRPr="007E77AF">
        <w:t xml:space="preserve">estar em </w:t>
      </w:r>
      <w:r w:rsidR="00EF0EFD" w:rsidRPr="007E77AF">
        <w:t>conformidade</w:t>
      </w:r>
      <w:r w:rsidRPr="007E77AF">
        <w:t xml:space="preserve"> com </w:t>
      </w:r>
      <w:r w:rsidR="008F60DC" w:rsidRPr="007E77AF">
        <w:t xml:space="preserve">as obrigações </w:t>
      </w:r>
      <w:r w:rsidRPr="007E77AF">
        <w:t xml:space="preserve">de </w:t>
      </w:r>
      <w:r w:rsidR="00DA0E20" w:rsidRPr="007E77AF">
        <w:t>envio</w:t>
      </w:r>
      <w:r w:rsidRPr="007E77AF">
        <w:t xml:space="preserve"> </w:t>
      </w:r>
      <w:r w:rsidR="00CF360A" w:rsidRPr="007E77AF">
        <w:t>de informações periódicas aplicáveis ao emissor nos termos de regulamentação específica</w:t>
      </w:r>
      <w:r w:rsidRPr="007E77AF">
        <w:t>;</w:t>
      </w:r>
    </w:p>
    <w:p w14:paraId="4996FD75" w14:textId="2F7977BD" w:rsidR="00D74986" w:rsidRPr="007E77AF" w:rsidRDefault="00A7486E" w:rsidP="00D74986">
      <w:pPr>
        <w:spacing w:before="120" w:after="120" w:line="312" w:lineRule="auto"/>
        <w:ind w:firstLine="567"/>
        <w:jc w:val="both"/>
      </w:pPr>
      <w:r w:rsidRPr="007E77AF">
        <w:t xml:space="preserve">II – </w:t>
      </w:r>
      <w:proofErr w:type="gramStart"/>
      <w:r w:rsidR="00CF360A" w:rsidRPr="007E77AF">
        <w:t>exce</w:t>
      </w:r>
      <w:r w:rsidR="00853B96" w:rsidRPr="007E77AF">
        <w:t>t</w:t>
      </w:r>
      <w:r w:rsidR="00CF360A" w:rsidRPr="007E77AF">
        <w:t>o</w:t>
      </w:r>
      <w:proofErr w:type="gramEnd"/>
      <w:r w:rsidR="00CF360A" w:rsidRPr="007E77AF">
        <w:t xml:space="preserve"> no caso do inciso VIII do </w:t>
      </w:r>
      <w:r w:rsidR="00CF360A" w:rsidRPr="007E77AF">
        <w:rPr>
          <w:b/>
          <w:bCs/>
        </w:rPr>
        <w:t>caput</w:t>
      </w:r>
      <w:r w:rsidR="00E34DE0" w:rsidRPr="007E77AF">
        <w:t xml:space="preserve"> do art. 26</w:t>
      </w:r>
      <w:r w:rsidR="00C2701C" w:rsidRPr="007E77AF">
        <w:t xml:space="preserve"> (“títulos de securitização”)</w:t>
      </w:r>
      <w:r w:rsidR="00CF360A" w:rsidRPr="007E77AF">
        <w:t xml:space="preserve">, </w:t>
      </w:r>
      <w:r w:rsidRPr="007E77AF">
        <w:t xml:space="preserve">as demonstrações financeiras que servem de base para a distribuição automática de oferta pública e instrução do processo de registro na CVM não podem estar acompanhadas de relatório da auditoria independente que contenha opinião modificada sobre as demonstrações financeiras ou seção separada contendo incerteza relevante relacionada </w:t>
      </w:r>
      <w:r w:rsidR="008E2726" w:rsidRPr="007E77AF">
        <w:t xml:space="preserve">à </w:t>
      </w:r>
      <w:r w:rsidRPr="007E77AF">
        <w:t>continuidade operacional;</w:t>
      </w:r>
      <w:r w:rsidR="00C11FE7" w:rsidRPr="007E77AF">
        <w:t xml:space="preserve"> e</w:t>
      </w:r>
    </w:p>
    <w:p w14:paraId="01B25949" w14:textId="3AF5A151" w:rsidR="00D74986" w:rsidRPr="007E77AF" w:rsidRDefault="00A7486E" w:rsidP="00E23965">
      <w:pPr>
        <w:spacing w:before="120" w:after="120" w:line="312" w:lineRule="auto"/>
        <w:ind w:firstLine="567"/>
        <w:jc w:val="both"/>
      </w:pPr>
      <w:r w:rsidRPr="007E77AF">
        <w:t xml:space="preserve">III – </w:t>
      </w:r>
      <w:r w:rsidR="2B174311" w:rsidRPr="007E77AF">
        <w:t>a</w:t>
      </w:r>
      <w:r w:rsidRPr="007E77AF">
        <w:t xml:space="preserve">s entidades administradoras de mercados organizados em que serão admitidas à negociação os valores mobiliários objeto de distribuição por meio do </w:t>
      </w:r>
      <w:r w:rsidR="002F16A3" w:rsidRPr="007E77AF">
        <w:t>rito de registro</w:t>
      </w:r>
      <w:r w:rsidRPr="007E77AF">
        <w:t xml:space="preserve"> automático devem:</w:t>
      </w:r>
    </w:p>
    <w:p w14:paraId="3DF13371" w14:textId="7C8BF047" w:rsidR="00D74986" w:rsidRPr="007E77AF" w:rsidRDefault="00A7486E" w:rsidP="00F311C9">
      <w:pPr>
        <w:spacing w:before="120" w:after="120" w:line="312" w:lineRule="auto"/>
        <w:ind w:firstLine="567"/>
        <w:jc w:val="both"/>
      </w:pPr>
      <w:r w:rsidRPr="007E77AF">
        <w:t xml:space="preserve">a) firmar e dar publicidade </w:t>
      </w:r>
      <w:r w:rsidR="00F534BF" w:rsidRPr="007E77AF">
        <w:t xml:space="preserve">a </w:t>
      </w:r>
      <w:r w:rsidRPr="007E77AF">
        <w:t xml:space="preserve">declaração de autorização para a realização da distribuição por meio do </w:t>
      </w:r>
      <w:r w:rsidR="002F16A3" w:rsidRPr="007E77AF">
        <w:t>rito de registro</w:t>
      </w:r>
      <w:r w:rsidRPr="007E77AF">
        <w:t xml:space="preserve"> automático; e</w:t>
      </w:r>
    </w:p>
    <w:p w14:paraId="48716603" w14:textId="61F3682C" w:rsidR="00C06BAC" w:rsidRPr="007E77AF" w:rsidRDefault="00A7486E" w:rsidP="00F311C9">
      <w:pPr>
        <w:spacing w:before="120" w:after="120" w:line="312" w:lineRule="auto"/>
        <w:ind w:firstLine="567"/>
        <w:jc w:val="both"/>
      </w:pPr>
      <w:r w:rsidRPr="007E77AF">
        <w:t xml:space="preserve">b) adotar procedimentos </w:t>
      </w:r>
      <w:r w:rsidRPr="007E77AF">
        <w:rPr>
          <w:bCs/>
        </w:rPr>
        <w:t>preestabelecidos, formalizados e passíveis de verificação</w:t>
      </w:r>
      <w:r w:rsidRPr="007E77AF">
        <w:t xml:space="preserve"> para </w:t>
      </w:r>
      <w:r w:rsidR="0000259E" w:rsidRPr="007E77AF">
        <w:t>auxiliar a observância d</w:t>
      </w:r>
      <w:r w:rsidRPr="007E77AF">
        <w:t>as restrições à negociação aplicáveis em cada caso, conforme as exigências desta Resolução</w:t>
      </w:r>
      <w:r w:rsidR="007C0491" w:rsidRPr="007E77AF">
        <w:t>.</w:t>
      </w:r>
    </w:p>
    <w:p w14:paraId="1DAF4AAA" w14:textId="497C9CFF" w:rsidR="00D74986" w:rsidRPr="007E77AF" w:rsidRDefault="00F5042E" w:rsidP="00D74986">
      <w:pPr>
        <w:spacing w:before="120" w:after="120" w:line="312" w:lineRule="auto"/>
        <w:ind w:firstLine="567"/>
        <w:jc w:val="both"/>
      </w:pPr>
      <w:r w:rsidRPr="007E77AF">
        <w:t xml:space="preserve">§ </w:t>
      </w:r>
      <w:r w:rsidR="00E126B9">
        <w:t>6</w:t>
      </w:r>
      <w:proofErr w:type="gramStart"/>
      <w:r w:rsidR="00E126B9" w:rsidRPr="007E77AF">
        <w:t>º</w:t>
      </w:r>
      <w:r w:rsidR="002E6DB7">
        <w:t xml:space="preserve"> </w:t>
      </w:r>
      <w:r w:rsidR="00E126B9" w:rsidRPr="007E77AF">
        <w:t xml:space="preserve"> </w:t>
      </w:r>
      <w:r w:rsidR="00E41FCE" w:rsidRPr="007E77AF">
        <w:t>O</w:t>
      </w:r>
      <w:proofErr w:type="gramEnd"/>
      <w:r w:rsidR="00E41FCE" w:rsidRPr="007E77AF">
        <w:t xml:space="preserve"> disposto nos incisos</w:t>
      </w:r>
      <w:r w:rsidR="00850EA6" w:rsidRPr="007E77AF">
        <w:t xml:space="preserve"> I e II</w:t>
      </w:r>
      <w:r w:rsidR="00E41FCE" w:rsidRPr="007E77AF">
        <w:t xml:space="preserve"> do § </w:t>
      </w:r>
      <w:r w:rsidR="002856A8">
        <w:t>5</w:t>
      </w:r>
      <w:r w:rsidR="002856A8" w:rsidRPr="007E77AF">
        <w:t xml:space="preserve">º </w:t>
      </w:r>
      <w:r w:rsidR="00E41FCE" w:rsidRPr="007E77AF">
        <w:t>se aplica ao emissor registrado cujo valor mobiliário seja lastro</w:t>
      </w:r>
      <w:r w:rsidR="00F62CED" w:rsidRPr="007E77AF">
        <w:t xml:space="preserve"> único</w:t>
      </w:r>
      <w:r w:rsidR="00E41FCE" w:rsidRPr="007E77AF">
        <w:t xml:space="preserve"> d</w:t>
      </w:r>
      <w:r w:rsidR="00F62CED" w:rsidRPr="007E77AF">
        <w:t>as</w:t>
      </w:r>
      <w:r w:rsidR="00E41FCE" w:rsidRPr="007E77AF">
        <w:t xml:space="preserve"> operações</w:t>
      </w:r>
      <w:r w:rsidR="00F62CED" w:rsidRPr="007E77AF">
        <w:t xml:space="preserve"> a que se refere o inciso VIII do </w:t>
      </w:r>
      <w:r w:rsidR="00F62CED" w:rsidRPr="007E77AF">
        <w:rPr>
          <w:b/>
          <w:bCs/>
        </w:rPr>
        <w:t>caput</w:t>
      </w:r>
      <w:r w:rsidR="00F62CED" w:rsidRPr="007E77AF">
        <w:t xml:space="preserve"> do art. </w:t>
      </w:r>
      <w:r w:rsidR="0086760A" w:rsidRPr="007E77AF">
        <w:t>26</w:t>
      </w:r>
      <w:r w:rsidRPr="007E77AF">
        <w:t>.</w:t>
      </w:r>
    </w:p>
    <w:p w14:paraId="3B71DF93" w14:textId="79174B34" w:rsidR="00D74986" w:rsidRPr="004511EB" w:rsidRDefault="00F5042E" w:rsidP="00D74986">
      <w:pPr>
        <w:spacing w:before="120" w:after="120" w:line="312" w:lineRule="auto"/>
        <w:ind w:firstLine="567"/>
        <w:jc w:val="both"/>
        <w:rPr>
          <w:strike/>
        </w:rPr>
      </w:pPr>
      <w:r w:rsidRPr="004511EB">
        <w:rPr>
          <w:strike/>
        </w:rPr>
        <w:t xml:space="preserve">§ </w:t>
      </w:r>
      <w:r w:rsidR="00E126B9" w:rsidRPr="004511EB">
        <w:rPr>
          <w:strike/>
        </w:rPr>
        <w:t>7</w:t>
      </w:r>
      <w:proofErr w:type="gramStart"/>
      <w:r w:rsidR="00E126B9" w:rsidRPr="004511EB">
        <w:rPr>
          <w:strike/>
        </w:rPr>
        <w:t xml:space="preserve">º  </w:t>
      </w:r>
      <w:r w:rsidRPr="004511EB">
        <w:rPr>
          <w:strike/>
        </w:rPr>
        <w:t>Nos</w:t>
      </w:r>
      <w:proofErr w:type="gramEnd"/>
      <w:r w:rsidRPr="004511EB">
        <w:rPr>
          <w:strike/>
        </w:rPr>
        <w:t xml:space="preserve"> casos elencados nos incisos </w:t>
      </w:r>
      <w:r w:rsidR="2AF02380" w:rsidRPr="004511EB">
        <w:rPr>
          <w:strike/>
        </w:rPr>
        <w:t>I</w:t>
      </w:r>
      <w:r w:rsidR="6CD555B1" w:rsidRPr="004511EB">
        <w:rPr>
          <w:strike/>
        </w:rPr>
        <w:t>,</w:t>
      </w:r>
      <w:r w:rsidR="07038846" w:rsidRPr="004511EB">
        <w:rPr>
          <w:strike/>
        </w:rPr>
        <w:t xml:space="preserve"> </w:t>
      </w:r>
      <w:r w:rsidR="08BC062A" w:rsidRPr="004511EB">
        <w:rPr>
          <w:strike/>
        </w:rPr>
        <w:t>II</w:t>
      </w:r>
      <w:r w:rsidRPr="004511EB">
        <w:rPr>
          <w:strike/>
        </w:rPr>
        <w:t xml:space="preserve">, alínea </w:t>
      </w:r>
      <w:r w:rsidR="0A27F944" w:rsidRPr="004511EB">
        <w:rPr>
          <w:strike/>
        </w:rPr>
        <w:t>“</w:t>
      </w:r>
      <w:r w:rsidRPr="004511EB">
        <w:rPr>
          <w:strike/>
        </w:rPr>
        <w:t>c</w:t>
      </w:r>
      <w:r w:rsidR="0A27F944" w:rsidRPr="004511EB">
        <w:rPr>
          <w:strike/>
        </w:rPr>
        <w:t>”</w:t>
      </w:r>
      <w:r w:rsidRPr="004511EB">
        <w:rPr>
          <w:strike/>
        </w:rPr>
        <w:t xml:space="preserve">, </w:t>
      </w:r>
      <w:r w:rsidR="07FEAD84" w:rsidRPr="004511EB">
        <w:rPr>
          <w:strike/>
        </w:rPr>
        <w:t>V</w:t>
      </w:r>
      <w:r w:rsidRPr="004511EB">
        <w:rPr>
          <w:strike/>
        </w:rPr>
        <w:t xml:space="preserve">, alínea </w:t>
      </w:r>
      <w:r w:rsidR="3466825B" w:rsidRPr="004511EB">
        <w:rPr>
          <w:strike/>
        </w:rPr>
        <w:t>“</w:t>
      </w:r>
      <w:r w:rsidRPr="004511EB">
        <w:rPr>
          <w:strike/>
        </w:rPr>
        <w:t>c</w:t>
      </w:r>
      <w:r w:rsidR="3466825B" w:rsidRPr="004511EB">
        <w:rPr>
          <w:strike/>
        </w:rPr>
        <w:t>”</w:t>
      </w:r>
      <w:r w:rsidRPr="004511EB">
        <w:rPr>
          <w:strike/>
        </w:rPr>
        <w:t xml:space="preserve">, e </w:t>
      </w:r>
      <w:r w:rsidR="632E724D" w:rsidRPr="004511EB">
        <w:rPr>
          <w:strike/>
        </w:rPr>
        <w:t>VIII</w:t>
      </w:r>
      <w:r w:rsidRPr="004511EB">
        <w:rPr>
          <w:strike/>
        </w:rPr>
        <w:t xml:space="preserve">, alínea </w:t>
      </w:r>
      <w:r w:rsidR="6178D55D" w:rsidRPr="004511EB">
        <w:rPr>
          <w:strike/>
        </w:rPr>
        <w:t>“</w:t>
      </w:r>
      <w:r w:rsidRPr="004511EB">
        <w:rPr>
          <w:strike/>
        </w:rPr>
        <w:t>c</w:t>
      </w:r>
      <w:r w:rsidR="6F3E7D08" w:rsidRPr="004511EB">
        <w:rPr>
          <w:strike/>
        </w:rPr>
        <w:t>”</w:t>
      </w:r>
      <w:r w:rsidRPr="004511EB">
        <w:rPr>
          <w:strike/>
        </w:rPr>
        <w:t xml:space="preserve"> do </w:t>
      </w:r>
      <w:r w:rsidRPr="004511EB">
        <w:rPr>
          <w:b/>
          <w:bCs/>
          <w:strike/>
        </w:rPr>
        <w:t>caput</w:t>
      </w:r>
      <w:r w:rsidRPr="004511EB">
        <w:rPr>
          <w:strike/>
        </w:rPr>
        <w:t xml:space="preserve"> do art. </w:t>
      </w:r>
      <w:r w:rsidR="0086760A" w:rsidRPr="004511EB">
        <w:rPr>
          <w:strike/>
        </w:rPr>
        <w:t>26</w:t>
      </w:r>
      <w:r w:rsidRPr="004511EB">
        <w:rPr>
          <w:strike/>
        </w:rPr>
        <w:t xml:space="preserve">, o requerimento de registro previamente analisado por entidade autorreguladora deve ser </w:t>
      </w:r>
      <w:r w:rsidR="00BE4F53" w:rsidRPr="004511EB">
        <w:rPr>
          <w:strike/>
        </w:rPr>
        <w:t>submetido</w:t>
      </w:r>
      <w:r w:rsidRPr="004511EB">
        <w:rPr>
          <w:strike/>
        </w:rPr>
        <w:t xml:space="preserve"> acompanhado:</w:t>
      </w:r>
    </w:p>
    <w:p w14:paraId="6FD99F72" w14:textId="51727385" w:rsidR="00D74986" w:rsidRPr="004511EB" w:rsidRDefault="00F5042E" w:rsidP="00D74986">
      <w:pPr>
        <w:spacing w:before="120" w:after="120" w:line="312" w:lineRule="auto"/>
        <w:ind w:firstLine="567"/>
        <w:jc w:val="both"/>
        <w:rPr>
          <w:strike/>
        </w:rPr>
      </w:pPr>
      <w:r w:rsidRPr="004511EB">
        <w:rPr>
          <w:strike/>
        </w:rPr>
        <w:t xml:space="preserve">I – </w:t>
      </w:r>
      <w:proofErr w:type="gramStart"/>
      <w:r w:rsidR="290F892D" w:rsidRPr="004511EB">
        <w:rPr>
          <w:strike/>
        </w:rPr>
        <w:t>d</w:t>
      </w:r>
      <w:r w:rsidR="68CFBA01" w:rsidRPr="004511EB">
        <w:rPr>
          <w:strike/>
        </w:rPr>
        <w:t>os</w:t>
      </w:r>
      <w:proofErr w:type="gramEnd"/>
      <w:r w:rsidRPr="004511EB">
        <w:rPr>
          <w:strike/>
        </w:rPr>
        <w:t xml:space="preserve"> documentos </w:t>
      </w:r>
      <w:r w:rsidR="00F534BF" w:rsidRPr="004511EB">
        <w:rPr>
          <w:strike/>
        </w:rPr>
        <w:t>necessários</w:t>
      </w:r>
      <w:r w:rsidRPr="004511EB">
        <w:rPr>
          <w:strike/>
        </w:rPr>
        <w:t xml:space="preserve"> </w:t>
      </w:r>
      <w:r w:rsidR="00150907" w:rsidRPr="004511EB">
        <w:rPr>
          <w:strike/>
        </w:rPr>
        <w:t>para o</w:t>
      </w:r>
      <w:r w:rsidRPr="004511EB">
        <w:rPr>
          <w:strike/>
        </w:rPr>
        <w:t xml:space="preserve"> registro da respectiva oferta pública de distribuição, de acordo</w:t>
      </w:r>
      <w:r w:rsidR="0024690F" w:rsidRPr="004511EB">
        <w:rPr>
          <w:strike/>
        </w:rPr>
        <w:t xml:space="preserve"> com</w:t>
      </w:r>
      <w:r w:rsidRPr="004511EB">
        <w:rPr>
          <w:strike/>
        </w:rPr>
        <w:t xml:space="preserve"> </w:t>
      </w:r>
      <w:r w:rsidR="60E7A532" w:rsidRPr="004511EB">
        <w:rPr>
          <w:strike/>
        </w:rPr>
        <w:t>o público-alvo destinatário da oferta, conforme previsto</w:t>
      </w:r>
      <w:r w:rsidR="68CFBA01" w:rsidRPr="004511EB">
        <w:rPr>
          <w:strike/>
        </w:rPr>
        <w:t xml:space="preserve"> </w:t>
      </w:r>
      <w:r w:rsidR="69898E49" w:rsidRPr="004511EB">
        <w:rPr>
          <w:strike/>
        </w:rPr>
        <w:t>n</w:t>
      </w:r>
      <w:r w:rsidR="68CFBA01" w:rsidRPr="004511EB">
        <w:rPr>
          <w:strike/>
        </w:rPr>
        <w:t>esta</w:t>
      </w:r>
      <w:r w:rsidRPr="004511EB">
        <w:rPr>
          <w:strike/>
        </w:rPr>
        <w:t xml:space="preserve"> Resolução;</w:t>
      </w:r>
      <w:r w:rsidR="004531B0" w:rsidRPr="004511EB">
        <w:rPr>
          <w:strike/>
        </w:rPr>
        <w:t xml:space="preserve"> e</w:t>
      </w:r>
    </w:p>
    <w:p w14:paraId="2BE4484D" w14:textId="7D6AB2A4" w:rsidR="006D56FE" w:rsidRDefault="00F5042E" w:rsidP="00405B24">
      <w:pPr>
        <w:spacing w:before="120" w:after="120" w:line="312" w:lineRule="auto"/>
        <w:ind w:firstLine="567"/>
        <w:jc w:val="both"/>
        <w:rPr>
          <w:strike/>
        </w:rPr>
      </w:pPr>
      <w:r w:rsidRPr="004511EB">
        <w:rPr>
          <w:strike/>
        </w:rPr>
        <w:t xml:space="preserve">II – </w:t>
      </w:r>
      <w:proofErr w:type="gramStart"/>
      <w:r w:rsidR="47B984E1" w:rsidRPr="004511EB">
        <w:rPr>
          <w:strike/>
        </w:rPr>
        <w:t>de</w:t>
      </w:r>
      <w:proofErr w:type="gramEnd"/>
      <w:r w:rsidR="47B984E1" w:rsidRPr="004511EB">
        <w:rPr>
          <w:strike/>
        </w:rPr>
        <w:t xml:space="preserve"> </w:t>
      </w:r>
      <w:r w:rsidR="0EA59ACA" w:rsidRPr="004511EB">
        <w:rPr>
          <w:strike/>
        </w:rPr>
        <w:t xml:space="preserve">relatório técnico elaborado pela entidade autorreguladora conveniada nos termos estabelecidos pelo </w:t>
      </w:r>
      <w:r w:rsidR="005069E9" w:rsidRPr="004511EB">
        <w:rPr>
          <w:strike/>
        </w:rPr>
        <w:t>c</w:t>
      </w:r>
      <w:r w:rsidR="0EA59ACA" w:rsidRPr="004511EB">
        <w:rPr>
          <w:strike/>
        </w:rPr>
        <w:t xml:space="preserve">onvênio que </w:t>
      </w:r>
      <w:r w:rsidR="00562F19" w:rsidRPr="004511EB">
        <w:rPr>
          <w:strike/>
        </w:rPr>
        <w:t>não aponte óbice</w:t>
      </w:r>
      <w:r w:rsidR="0023130B" w:rsidRPr="004511EB">
        <w:rPr>
          <w:strike/>
        </w:rPr>
        <w:t xml:space="preserve"> ou condições</w:t>
      </w:r>
      <w:r w:rsidR="00434C6B" w:rsidRPr="004511EB">
        <w:rPr>
          <w:strike/>
        </w:rPr>
        <w:t xml:space="preserve"> </w:t>
      </w:r>
      <w:r w:rsidR="0023130B" w:rsidRPr="004511EB">
        <w:rPr>
          <w:strike/>
        </w:rPr>
        <w:t>par</w:t>
      </w:r>
      <w:r w:rsidR="005752A7" w:rsidRPr="004511EB">
        <w:rPr>
          <w:strike/>
        </w:rPr>
        <w:t>a</w:t>
      </w:r>
      <w:r w:rsidR="0023130B" w:rsidRPr="004511EB">
        <w:rPr>
          <w:strike/>
        </w:rPr>
        <w:t xml:space="preserve"> </w:t>
      </w:r>
      <w:r w:rsidR="0EA59ACA" w:rsidRPr="004511EB">
        <w:rPr>
          <w:strike/>
        </w:rPr>
        <w:t>o deferimento do registro da oferta pública</w:t>
      </w:r>
      <w:r w:rsidR="00EA0591" w:rsidRPr="004511EB">
        <w:rPr>
          <w:strike/>
        </w:rPr>
        <w:t>.</w:t>
      </w:r>
    </w:p>
    <w:p w14:paraId="6E15527C" w14:textId="77777777" w:rsidR="004511EB" w:rsidRPr="004511EB" w:rsidRDefault="004511EB" w:rsidP="004511EB">
      <w:pPr>
        <w:spacing w:before="120" w:after="120" w:line="312" w:lineRule="auto"/>
        <w:ind w:firstLine="567"/>
        <w:jc w:val="both"/>
      </w:pPr>
      <w:r w:rsidRPr="004511EB">
        <w:lastRenderedPageBreak/>
        <w:t>§ 7</w:t>
      </w:r>
      <w:proofErr w:type="gramStart"/>
      <w:r w:rsidRPr="004511EB">
        <w:t>º  Nos</w:t>
      </w:r>
      <w:proofErr w:type="gramEnd"/>
      <w:r w:rsidRPr="004511EB">
        <w:t xml:space="preserve"> casos elencados nos incisos do </w:t>
      </w:r>
      <w:r w:rsidRPr="004511EB">
        <w:rPr>
          <w:b/>
          <w:bCs/>
        </w:rPr>
        <w:t>caput</w:t>
      </w:r>
      <w:r w:rsidRPr="004511EB">
        <w:t xml:space="preserve"> do art. 26 em que haja previsão de análise prévia por entidade autorreguladora, o requerimento de registro deve ser acompanhado:</w:t>
      </w:r>
    </w:p>
    <w:p w14:paraId="430A5AAE" w14:textId="77777777" w:rsidR="004511EB" w:rsidRPr="004511EB" w:rsidRDefault="004511EB" w:rsidP="004511EB">
      <w:pPr>
        <w:spacing w:before="120" w:after="120" w:line="312" w:lineRule="auto"/>
        <w:ind w:firstLine="567"/>
        <w:jc w:val="both"/>
      </w:pPr>
      <w:r w:rsidRPr="004511EB">
        <w:t xml:space="preserve">I – </w:t>
      </w:r>
      <w:proofErr w:type="gramStart"/>
      <w:r w:rsidRPr="004511EB">
        <w:t>no</w:t>
      </w:r>
      <w:proofErr w:type="gramEnd"/>
      <w:r w:rsidRPr="004511EB">
        <w:t xml:space="preserve"> momento da apresentação do requerimento, os documentos necessários para o registro da respectiva oferta de distribuição, de acordo com o público-alvo destinatário da oferta, conforme previsto nesta Resolução; e</w:t>
      </w:r>
    </w:p>
    <w:p w14:paraId="7F4593F5" w14:textId="77777777" w:rsidR="004511EB" w:rsidRPr="004511EB" w:rsidRDefault="004511EB" w:rsidP="004511EB">
      <w:pPr>
        <w:spacing w:before="120" w:after="120" w:line="312" w:lineRule="auto"/>
        <w:ind w:firstLine="567"/>
        <w:jc w:val="both"/>
      </w:pPr>
      <w:r w:rsidRPr="004511EB">
        <w:t xml:space="preserve">II – </w:t>
      </w:r>
      <w:proofErr w:type="gramStart"/>
      <w:r w:rsidRPr="004511EB">
        <w:t>até</w:t>
      </w:r>
      <w:proofErr w:type="gramEnd"/>
      <w:r w:rsidRPr="004511EB">
        <w:t xml:space="preserve"> a obtenção do registro, do relatório técnico elaborado pela entidade autorreguladora conveniada nos termos estabelecidos pelo convênio que não aponte óbice ou condições para o deferimento do registro da oferta pública.</w:t>
      </w:r>
    </w:p>
    <w:p w14:paraId="58242374" w14:textId="0EBDCE3C" w:rsidR="004511EB" w:rsidRDefault="004511EB" w:rsidP="004511EB">
      <w:pPr>
        <w:numPr>
          <w:ilvl w:val="0"/>
          <w:numId w:val="53"/>
        </w:numPr>
        <w:tabs>
          <w:tab w:val="left" w:pos="993"/>
        </w:tabs>
        <w:spacing w:line="312" w:lineRule="auto"/>
        <w:ind w:left="709" w:hanging="142"/>
        <w:contextualSpacing/>
        <w:jc w:val="both"/>
        <w:rPr>
          <w:rFonts w:ascii="Calibri" w:eastAsia="Calibri" w:hAnsi="Calibri" w:cs="Calibri"/>
          <w:b/>
          <w:i/>
          <w:lang w:eastAsia="en-US"/>
        </w:rPr>
      </w:pPr>
      <w:r w:rsidRPr="004511EB">
        <w:rPr>
          <w:rFonts w:ascii="Calibri" w:eastAsia="Calibri" w:hAnsi="Calibri" w:cs="Calibri"/>
          <w:b/>
          <w:bCs/>
          <w:i/>
          <w:iCs/>
          <w:lang w:eastAsia="en-US"/>
        </w:rPr>
        <w:t xml:space="preserve">§ </w:t>
      </w:r>
      <w:r>
        <w:rPr>
          <w:rFonts w:ascii="Calibri" w:eastAsia="Calibri" w:hAnsi="Calibri" w:cs="Calibri"/>
          <w:b/>
          <w:bCs/>
          <w:i/>
          <w:iCs/>
          <w:lang w:eastAsia="en-US"/>
        </w:rPr>
        <w:t>7</w:t>
      </w:r>
      <w:r w:rsidRPr="004511EB">
        <w:rPr>
          <w:rFonts w:ascii="Calibri" w:eastAsia="Calibri" w:hAnsi="Calibri" w:cs="Calibri"/>
          <w:b/>
          <w:bCs/>
          <w:i/>
          <w:iCs/>
          <w:lang w:eastAsia="en-US"/>
        </w:rPr>
        <w:t>º</w:t>
      </w:r>
      <w:r w:rsidRPr="004511EB">
        <w:rPr>
          <w:rFonts w:ascii="Calibri" w:eastAsia="Calibri" w:hAnsi="Calibri" w:cs="Calibri"/>
          <w:lang w:eastAsia="en-US"/>
        </w:rPr>
        <w:t xml:space="preserve"> </w:t>
      </w:r>
      <w:r w:rsidRPr="004511EB">
        <w:rPr>
          <w:rFonts w:ascii="Calibri" w:eastAsia="Calibri" w:hAnsi="Calibri" w:cs="Calibri"/>
          <w:b/>
          <w:i/>
          <w:lang w:eastAsia="en-US"/>
        </w:rPr>
        <w:t>com redação dada pela Resolução CVM nº 180, de 22 de março de 2023.</w:t>
      </w:r>
    </w:p>
    <w:p w14:paraId="6F713BE1" w14:textId="0DAD127D" w:rsidR="006D56FE" w:rsidRPr="007E77AF" w:rsidRDefault="006D56FE" w:rsidP="004511EB">
      <w:pPr>
        <w:spacing w:line="312" w:lineRule="auto"/>
        <w:ind w:firstLine="567"/>
        <w:jc w:val="both"/>
      </w:pPr>
      <w:r w:rsidRPr="007E77AF">
        <w:t xml:space="preserve">§ </w:t>
      </w:r>
      <w:r w:rsidR="005A4B92">
        <w:t>8</w:t>
      </w:r>
      <w:proofErr w:type="gramStart"/>
      <w:r w:rsidR="005A4B92" w:rsidRPr="007E77AF">
        <w:t xml:space="preserve">º  </w:t>
      </w:r>
      <w:r w:rsidRPr="007E77AF">
        <w:t>A</w:t>
      </w:r>
      <w:proofErr w:type="gramEnd"/>
      <w:r w:rsidRPr="007E77AF">
        <w:t xml:space="preserve"> entidade autorreguladora deve manter à disposição da CVM todas as correspondências e informações trocadas entre a entidade autorreguladora e o ofertante em relação ao pedido de registro sob análise.</w:t>
      </w:r>
    </w:p>
    <w:p w14:paraId="22D5C02F" w14:textId="43AAFDFB" w:rsidR="00D74986" w:rsidRPr="007E77AF" w:rsidRDefault="006D56FE" w:rsidP="00B2762B">
      <w:pPr>
        <w:spacing w:before="120" w:after="120" w:line="312" w:lineRule="auto"/>
        <w:ind w:firstLine="567"/>
        <w:jc w:val="both"/>
      </w:pPr>
      <w:r w:rsidRPr="007E77AF">
        <w:t xml:space="preserve">§ </w:t>
      </w:r>
      <w:r w:rsidR="005A4B92">
        <w:t>9</w:t>
      </w:r>
      <w:proofErr w:type="gramStart"/>
      <w:r w:rsidR="005A4B92" w:rsidRPr="007E77AF">
        <w:t xml:space="preserve">º  </w:t>
      </w:r>
      <w:r w:rsidRPr="007E77AF">
        <w:t>O</w:t>
      </w:r>
      <w:proofErr w:type="gramEnd"/>
      <w:r w:rsidRPr="007E77AF">
        <w:t xml:space="preserve"> ofertante deve divulgar ao mercado que protocolou o pedido de análise prévia para registro de oferta pública de distribuição na entidade autorreguladora, na data do protocolo</w:t>
      </w:r>
      <w:r w:rsidR="00445D60" w:rsidRPr="007E77AF">
        <w:t>,</w:t>
      </w:r>
      <w:r w:rsidR="00445D60" w:rsidRPr="002C67D2">
        <w:rPr>
          <w:rFonts w:cstheme="minorHAnsi"/>
        </w:rPr>
        <w:t xml:space="preserve"> ressalvado o disposto no art. 34</w:t>
      </w:r>
      <w:r w:rsidRPr="007E77AF">
        <w:t>.</w:t>
      </w:r>
    </w:p>
    <w:p w14:paraId="325916D3" w14:textId="5D6E7D5C" w:rsidR="00D74986" w:rsidRPr="007E77AF" w:rsidRDefault="00F5042E" w:rsidP="00D74986">
      <w:pPr>
        <w:spacing w:before="120" w:after="120" w:line="312" w:lineRule="auto"/>
        <w:ind w:firstLine="567"/>
        <w:jc w:val="both"/>
      </w:pPr>
      <w:r w:rsidRPr="007E77AF">
        <w:t xml:space="preserve">§ </w:t>
      </w:r>
      <w:r w:rsidR="005A4B92">
        <w:t>10.</w:t>
      </w:r>
      <w:r w:rsidR="005A4B92" w:rsidRPr="007E77AF">
        <w:t xml:space="preserve">  </w:t>
      </w:r>
      <w:r w:rsidR="00566AD5">
        <w:t>A</w:t>
      </w:r>
      <w:r w:rsidRPr="007E77AF">
        <w:t>o analisar os pedidos de registro, a entidade autorreguladora conveniada não pode facultar ou admitir a substituição de documentos, informações ou procedimentos obrigatórios impostos por esta Resolução.</w:t>
      </w:r>
    </w:p>
    <w:p w14:paraId="7153BB7D" w14:textId="589DF639" w:rsidR="00D74986" w:rsidRPr="007E77AF" w:rsidRDefault="00B54C90" w:rsidP="006B018B">
      <w:pPr>
        <w:pStyle w:val="Seo"/>
      </w:pPr>
      <w:bookmarkStart w:id="151" w:name="_Toc476216324"/>
      <w:bookmarkStart w:id="152" w:name="_Toc108516045"/>
      <w:bookmarkStart w:id="153" w:name="_Toc108203076"/>
      <w:bookmarkStart w:id="154" w:name="_Toc136502816"/>
      <w:r w:rsidRPr="007E77AF">
        <w:t xml:space="preserve">Seção </w:t>
      </w:r>
      <w:r w:rsidR="000C554B" w:rsidRPr="007E77AF">
        <w:t xml:space="preserve">III </w:t>
      </w:r>
      <w:r w:rsidRPr="007E77AF">
        <w:t xml:space="preserve">– </w:t>
      </w:r>
      <w:r w:rsidR="002F16A3" w:rsidRPr="007E77AF">
        <w:t xml:space="preserve">Rito de </w:t>
      </w:r>
      <w:r w:rsidR="2B4AF978" w:rsidRPr="007E77AF">
        <w:t>R</w:t>
      </w:r>
      <w:r w:rsidR="002F16A3" w:rsidRPr="007E77AF">
        <w:t>egistro</w:t>
      </w:r>
      <w:r w:rsidRPr="007E77AF">
        <w:t xml:space="preserve"> </w:t>
      </w:r>
      <w:r w:rsidR="3EBC99B3" w:rsidRPr="007E77AF">
        <w:t>O</w:t>
      </w:r>
      <w:r w:rsidRPr="007E77AF">
        <w:t xml:space="preserve">rdinário de </w:t>
      </w:r>
      <w:r w:rsidR="0966A717" w:rsidRPr="007E77AF">
        <w:t>D</w:t>
      </w:r>
      <w:r w:rsidRPr="007E77AF">
        <w:t>istribuição</w:t>
      </w:r>
      <w:bookmarkEnd w:id="151"/>
      <w:bookmarkEnd w:id="152"/>
      <w:bookmarkEnd w:id="153"/>
      <w:bookmarkEnd w:id="154"/>
    </w:p>
    <w:p w14:paraId="40B8DB24" w14:textId="2DCA9ACD" w:rsidR="00000D0A" w:rsidRPr="007E77AF" w:rsidRDefault="00000D0A" w:rsidP="006B018B">
      <w:pPr>
        <w:pStyle w:val="Seo"/>
      </w:pPr>
      <w:bookmarkStart w:id="155" w:name="_Toc476216325"/>
      <w:bookmarkStart w:id="156" w:name="_Toc108516046"/>
      <w:bookmarkStart w:id="157" w:name="_Toc108203077"/>
      <w:bookmarkStart w:id="158" w:name="_Toc136502817"/>
      <w:r w:rsidRPr="007E77AF">
        <w:t xml:space="preserve">Subseção I – Emissores e </w:t>
      </w:r>
      <w:r w:rsidR="003A3B66" w:rsidRPr="007E77AF">
        <w:t>Valores M</w:t>
      </w:r>
      <w:r w:rsidRPr="007E77AF">
        <w:t>obiliários</w:t>
      </w:r>
      <w:bookmarkEnd w:id="155"/>
      <w:bookmarkEnd w:id="156"/>
      <w:bookmarkEnd w:id="157"/>
      <w:bookmarkEnd w:id="158"/>
    </w:p>
    <w:p w14:paraId="6CDD9D5A" w14:textId="4DD5F6AC" w:rsidR="00D74986" w:rsidRPr="007E77AF" w:rsidRDefault="009069A1" w:rsidP="001353DC">
      <w:pPr>
        <w:keepNext/>
        <w:spacing w:before="120" w:after="120" w:line="312" w:lineRule="auto"/>
        <w:ind w:firstLine="567"/>
        <w:jc w:val="both"/>
      </w:pPr>
      <w:bookmarkStart w:id="159" w:name="_Ref469908546"/>
      <w:r w:rsidRPr="007E77AF">
        <w:t>Art. 28</w:t>
      </w:r>
      <w:r w:rsidR="00B54C90" w:rsidRPr="007E77AF">
        <w:t xml:space="preserve">.  O </w:t>
      </w:r>
      <w:r w:rsidR="002F16A3" w:rsidRPr="007E77AF">
        <w:t>rito de registro</w:t>
      </w:r>
      <w:r w:rsidR="00B54C90" w:rsidRPr="007E77AF">
        <w:t xml:space="preserve"> ordinário de distribuição de valores mobiliários é aquele que se sujeita à análise prévia da CVM para a obtenção do registro, conforme o procedimento e os requisitos elencados no art. </w:t>
      </w:r>
      <w:r w:rsidR="0086760A" w:rsidRPr="007E77AF">
        <w:t>29</w:t>
      </w:r>
      <w:r w:rsidR="00B54C90" w:rsidRPr="007E77AF">
        <w:t>, e deve ser obrigatoriamente seguido nos casos de oferta pública:</w:t>
      </w:r>
      <w:bookmarkEnd w:id="159"/>
    </w:p>
    <w:p w14:paraId="28E4C529" w14:textId="66EC4CBC" w:rsidR="00D74986" w:rsidRDefault="009069A1" w:rsidP="001353DC">
      <w:pPr>
        <w:spacing w:before="120" w:after="120" w:line="312" w:lineRule="auto"/>
        <w:ind w:firstLine="567"/>
        <w:jc w:val="both"/>
        <w:rPr>
          <w:strike/>
        </w:rPr>
      </w:pPr>
      <w:r w:rsidRPr="00517527">
        <w:rPr>
          <w:rFonts w:eastAsiaTheme="minorEastAsia" w:cstheme="minorBidi"/>
          <w:strike/>
        </w:rPr>
        <w:t>I</w:t>
      </w:r>
      <w:r w:rsidR="00B54C90" w:rsidRPr="00517527">
        <w:rPr>
          <w:strike/>
        </w:rPr>
        <w:t xml:space="preserve"> – </w:t>
      </w:r>
      <w:proofErr w:type="gramStart"/>
      <w:r w:rsidR="00B54C90" w:rsidRPr="00517527">
        <w:rPr>
          <w:strike/>
        </w:rPr>
        <w:t>inicial</w:t>
      </w:r>
      <w:proofErr w:type="gramEnd"/>
      <w:r w:rsidR="00B54C90" w:rsidRPr="00517527">
        <w:rPr>
          <w:strike/>
        </w:rPr>
        <w:t xml:space="preserve"> de distribuição de ações, bônus de subscrição, debêntures conversíveis ou permutáveis em ações e de certificados de depósito sobre estes valores mobiliários, </w:t>
      </w:r>
      <w:r w:rsidR="009D5865" w:rsidRPr="00517527">
        <w:rPr>
          <w:strike/>
        </w:rPr>
        <w:t>ressalvado o caso previsto n</w:t>
      </w:r>
      <w:r w:rsidR="00B54C90" w:rsidRPr="00517527">
        <w:rPr>
          <w:strike/>
        </w:rPr>
        <w:t xml:space="preserve">o inciso </w:t>
      </w:r>
      <w:r w:rsidR="26504C4B" w:rsidRPr="00517527">
        <w:rPr>
          <w:strike/>
        </w:rPr>
        <w:t xml:space="preserve">I </w:t>
      </w:r>
      <w:r w:rsidR="00B54C90" w:rsidRPr="00517527">
        <w:rPr>
          <w:strike/>
        </w:rPr>
        <w:t xml:space="preserve">do art. </w:t>
      </w:r>
      <w:r w:rsidR="0086760A" w:rsidRPr="00517527">
        <w:rPr>
          <w:strike/>
        </w:rPr>
        <w:t>26</w:t>
      </w:r>
      <w:r w:rsidR="00B54C90" w:rsidRPr="00517527">
        <w:rPr>
          <w:strike/>
        </w:rPr>
        <w:t>;</w:t>
      </w:r>
    </w:p>
    <w:p w14:paraId="136CBB71" w14:textId="77777777" w:rsidR="00517527" w:rsidRDefault="00517527" w:rsidP="00517527">
      <w:pPr>
        <w:spacing w:before="120" w:after="120" w:line="312" w:lineRule="auto"/>
        <w:ind w:firstLine="567"/>
        <w:jc w:val="both"/>
        <w:rPr>
          <w:rFonts w:eastAsiaTheme="minorEastAsia" w:cstheme="minorBidi"/>
        </w:rPr>
      </w:pPr>
      <w:r w:rsidRPr="00517527">
        <w:rPr>
          <w:rFonts w:eastAsiaTheme="minorEastAsia" w:cstheme="minorBidi"/>
        </w:rPr>
        <w:t xml:space="preserve">I – </w:t>
      </w:r>
      <w:proofErr w:type="gramStart"/>
      <w:r w:rsidRPr="00517527">
        <w:rPr>
          <w:rFonts w:eastAsiaTheme="minorEastAsia" w:cstheme="minorBidi"/>
        </w:rPr>
        <w:t>inicial</w:t>
      </w:r>
      <w:proofErr w:type="gramEnd"/>
      <w:r w:rsidRPr="00517527">
        <w:rPr>
          <w:rFonts w:eastAsiaTheme="minorEastAsia" w:cstheme="minorBidi"/>
        </w:rPr>
        <w:t xml:space="preserve"> de distribuição de ações, bônus de subscrição, debêntures conversíveis ou permutáveis em ações, certificados de depósito sobre estes valores mobiliários e de certificados de depósito de valores mobiliários no âmbito de programa de BDR Patrocinado Nível I, II ou III com lastro em ações, ressalvado o caso previsto no inciso I do art. 26;</w:t>
      </w:r>
    </w:p>
    <w:p w14:paraId="2E3426DF" w14:textId="487C25B7" w:rsidR="00517527" w:rsidRPr="001637C4" w:rsidRDefault="00517527" w:rsidP="001637C4">
      <w:pPr>
        <w:pStyle w:val="PargrafodaLista"/>
        <w:numPr>
          <w:ilvl w:val="0"/>
          <w:numId w:val="53"/>
        </w:numPr>
        <w:tabs>
          <w:tab w:val="left" w:pos="993"/>
        </w:tabs>
        <w:spacing w:line="312" w:lineRule="auto"/>
        <w:ind w:left="709" w:hanging="142"/>
        <w:contextualSpacing/>
        <w:jc w:val="both"/>
        <w:rPr>
          <w:b/>
          <w:i/>
        </w:rPr>
      </w:pPr>
      <w:r>
        <w:rPr>
          <w:b/>
          <w:i/>
        </w:rPr>
        <w:lastRenderedPageBreak/>
        <w:t xml:space="preserve">Inciso I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4E4E0078" w14:textId="57933FA1" w:rsidR="00D74986" w:rsidRPr="007E77AF" w:rsidRDefault="009069A1" w:rsidP="001353DC">
      <w:pPr>
        <w:spacing w:before="120" w:after="120" w:line="312" w:lineRule="auto"/>
        <w:ind w:firstLine="567"/>
        <w:jc w:val="both"/>
      </w:pPr>
      <w:r w:rsidRPr="007E77AF">
        <w:t>II</w:t>
      </w:r>
      <w:r w:rsidR="00B54C90" w:rsidRPr="007E77AF">
        <w:t xml:space="preserve"> – </w:t>
      </w:r>
      <w:proofErr w:type="gramStart"/>
      <w:r w:rsidR="00B54C90" w:rsidRPr="007E77AF">
        <w:t>subsequente</w:t>
      </w:r>
      <w:proofErr w:type="gramEnd"/>
      <w:r w:rsidR="00B54C90" w:rsidRPr="007E77AF">
        <w:t xml:space="preserve"> de distribuição de ações, bônus de subscrição, debêntures conversíveis ou permutáveis em ações e de certificados de depósito sobre estes valores mobiliários:</w:t>
      </w:r>
    </w:p>
    <w:p w14:paraId="112E38E0" w14:textId="7AEB6486" w:rsidR="00D74986" w:rsidRPr="007E77AF" w:rsidRDefault="00B54C90" w:rsidP="00D74986">
      <w:pPr>
        <w:spacing w:before="120" w:after="120" w:line="312" w:lineRule="auto"/>
        <w:ind w:firstLine="567"/>
        <w:jc w:val="both"/>
      </w:pPr>
      <w:r w:rsidRPr="007E77AF">
        <w:t>a) em que exista obrigação de elaboração de estudo de viabilidade econômico-financeira;</w:t>
      </w:r>
    </w:p>
    <w:p w14:paraId="3792CDA3" w14:textId="702636C2" w:rsidR="00D74986" w:rsidRPr="007E77AF" w:rsidRDefault="00B54C90" w:rsidP="00D74986">
      <w:pPr>
        <w:spacing w:before="120" w:after="120" w:line="312" w:lineRule="auto"/>
        <w:ind w:firstLine="567"/>
        <w:jc w:val="both"/>
      </w:pPr>
      <w:r w:rsidRPr="007E77AF">
        <w:t>b) destinada ao público investidor em geral, ressalvado</w:t>
      </w:r>
      <w:r w:rsidR="00214E51" w:rsidRPr="007E77AF">
        <w:t>s</w:t>
      </w:r>
      <w:r w:rsidRPr="007E77AF">
        <w:t xml:space="preserve"> os casos previstos nos incisos </w:t>
      </w:r>
      <w:r w:rsidR="689E61E5" w:rsidRPr="007E77AF">
        <w:t>II</w:t>
      </w:r>
      <w:r w:rsidRPr="007E77AF">
        <w:t xml:space="preserve">, alínea "c”, e </w:t>
      </w:r>
      <w:r w:rsidR="4ADC19F6" w:rsidRPr="007E77AF">
        <w:t>III</w:t>
      </w:r>
      <w:r w:rsidRPr="007E77AF">
        <w:t xml:space="preserve"> do art. </w:t>
      </w:r>
      <w:r w:rsidR="0086760A" w:rsidRPr="007E77AF">
        <w:t>26</w:t>
      </w:r>
      <w:r w:rsidRPr="007E77AF">
        <w:t>;</w:t>
      </w:r>
    </w:p>
    <w:p w14:paraId="7390FCEF" w14:textId="291E0901" w:rsidR="00D74986" w:rsidRDefault="009069A1" w:rsidP="001353DC">
      <w:pPr>
        <w:spacing w:before="120" w:after="120" w:line="312" w:lineRule="auto"/>
        <w:ind w:firstLine="567"/>
        <w:jc w:val="both"/>
        <w:rPr>
          <w:bCs/>
        </w:rPr>
      </w:pPr>
      <w:r w:rsidRPr="007E77AF">
        <w:t>III</w:t>
      </w:r>
      <w:r w:rsidR="00E735E4" w:rsidRPr="007E77AF">
        <w:t xml:space="preserve"> </w:t>
      </w:r>
      <w:r w:rsidR="00B54C90" w:rsidRPr="007E77AF">
        <w:rPr>
          <w:bCs/>
        </w:rPr>
        <w:t xml:space="preserve">– </w:t>
      </w:r>
      <w:r w:rsidR="00B54C90" w:rsidRPr="007E77AF">
        <w:t>de distribuição de debêntures ou de outros tipos de valores mobiliários representativos de dívida</w:t>
      </w:r>
      <w:r w:rsidR="00B54C90" w:rsidRPr="007E77AF">
        <w:rPr>
          <w:bCs/>
        </w:rPr>
        <w:t xml:space="preserve"> </w:t>
      </w:r>
      <w:r w:rsidR="00B54C90" w:rsidRPr="007E77AF">
        <w:t xml:space="preserve">de emissor registrado nas Categorias A e B destinada ao público investidor em geral, </w:t>
      </w:r>
      <w:r w:rsidR="009D5865" w:rsidRPr="007E77AF">
        <w:t xml:space="preserve">ressalvado </w:t>
      </w:r>
      <w:r w:rsidR="00B54C90" w:rsidRPr="007E77AF">
        <w:t xml:space="preserve">o </w:t>
      </w:r>
      <w:r w:rsidR="009D5865" w:rsidRPr="007E77AF">
        <w:t xml:space="preserve">caso previsto </w:t>
      </w:r>
      <w:r w:rsidR="00B54C90" w:rsidRPr="007E77AF">
        <w:t xml:space="preserve">no inciso </w:t>
      </w:r>
      <w:r w:rsidR="5565F074" w:rsidRPr="007E77AF">
        <w:t>V</w:t>
      </w:r>
      <w:r w:rsidR="00B54C90" w:rsidRPr="007E77AF">
        <w:t xml:space="preserve">, alínea “c”, do art. </w:t>
      </w:r>
      <w:r w:rsidR="0086760A" w:rsidRPr="007E77AF">
        <w:t>26</w:t>
      </w:r>
      <w:r w:rsidR="00B54C90" w:rsidRPr="007E77AF">
        <w:rPr>
          <w:bCs/>
        </w:rPr>
        <w:t>;</w:t>
      </w:r>
    </w:p>
    <w:p w14:paraId="49F8A553" w14:textId="77777777" w:rsidR="00517527" w:rsidRPr="00517527" w:rsidRDefault="00517527" w:rsidP="00517527">
      <w:pPr>
        <w:spacing w:before="120" w:after="120" w:line="312" w:lineRule="auto"/>
        <w:ind w:firstLine="567"/>
        <w:jc w:val="both"/>
      </w:pPr>
      <w:r w:rsidRPr="00517527">
        <w:t>III-A – de distribuição de certificados de depósito de valores mobiliários no âmbito de programa de BDR Patrocinado Nível III com lastro em valores mobiliários representativos de dívida destinada a investidores qualificados ou ao público investidor em geral;</w:t>
      </w:r>
    </w:p>
    <w:p w14:paraId="42A63823" w14:textId="584A758C" w:rsidR="00517527" w:rsidRPr="00517527" w:rsidRDefault="00517527" w:rsidP="00517527">
      <w:pPr>
        <w:pStyle w:val="PargrafodaLista"/>
        <w:numPr>
          <w:ilvl w:val="0"/>
          <w:numId w:val="53"/>
        </w:numPr>
        <w:tabs>
          <w:tab w:val="left" w:pos="993"/>
        </w:tabs>
        <w:spacing w:line="312" w:lineRule="auto"/>
        <w:ind w:left="709" w:hanging="142"/>
        <w:contextualSpacing/>
        <w:jc w:val="both"/>
        <w:rPr>
          <w:b/>
          <w:i/>
        </w:rPr>
      </w:pPr>
      <w:r>
        <w:rPr>
          <w:b/>
          <w:i/>
        </w:rPr>
        <w:t xml:space="preserve">Inciso </w:t>
      </w:r>
      <w:r w:rsidRPr="00517527">
        <w:rPr>
          <w:b/>
          <w:bCs/>
          <w:i/>
          <w:iCs/>
        </w:rPr>
        <w:t>III-A</w:t>
      </w:r>
      <w:r>
        <w:rPr>
          <w:b/>
          <w:i/>
        </w:rPr>
        <w:t xml:space="preserve"> incluído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2C08698C" w14:textId="050FA79E" w:rsidR="00E735E4" w:rsidRPr="007E77AF" w:rsidRDefault="009069A1" w:rsidP="001353DC">
      <w:pPr>
        <w:spacing w:before="120" w:after="120" w:line="312" w:lineRule="auto"/>
        <w:ind w:firstLine="567"/>
        <w:jc w:val="both"/>
      </w:pPr>
      <w:proofErr w:type="gramStart"/>
      <w:r w:rsidRPr="007E77AF">
        <w:t>IV</w:t>
      </w:r>
      <w:r w:rsidR="00E735E4" w:rsidRPr="007E77AF">
        <w:rPr>
          <w:bCs/>
        </w:rPr>
        <w:t xml:space="preserve">  </w:t>
      </w:r>
      <w:r w:rsidR="00E735E4" w:rsidRPr="007E77AF">
        <w:t>–</w:t>
      </w:r>
      <w:proofErr w:type="gramEnd"/>
      <w:r w:rsidR="00E735E4" w:rsidRPr="007E77AF">
        <w:t xml:space="preserve"> inicial ou subsequente de distribuição de cotas de fundos de investimento fechados destinada ao público investidor em geral, </w:t>
      </w:r>
      <w:r w:rsidR="009D5865" w:rsidRPr="007E77AF">
        <w:t>ressalvado</w:t>
      </w:r>
      <w:r w:rsidR="00214E51" w:rsidRPr="007E77AF">
        <w:t>s</w:t>
      </w:r>
      <w:r w:rsidR="009D5865" w:rsidRPr="007E77AF">
        <w:t xml:space="preserve"> os casos previstos </w:t>
      </w:r>
      <w:r w:rsidR="00E735E4" w:rsidRPr="007E77AF">
        <w:t xml:space="preserve">no inciso VI, alínea “c”, e inciso VII do art. </w:t>
      </w:r>
      <w:r w:rsidR="0086760A" w:rsidRPr="007E77AF">
        <w:t>26</w:t>
      </w:r>
      <w:r w:rsidR="00E735E4" w:rsidRPr="007E77AF">
        <w:t>;</w:t>
      </w:r>
    </w:p>
    <w:p w14:paraId="41280BE0" w14:textId="449E04AE" w:rsidR="00D74986" w:rsidRPr="007E77AF" w:rsidRDefault="009069A1" w:rsidP="001353DC">
      <w:pPr>
        <w:spacing w:before="120" w:after="120" w:line="312" w:lineRule="auto"/>
        <w:ind w:firstLine="567"/>
        <w:jc w:val="both"/>
      </w:pPr>
      <w:r w:rsidRPr="007E77AF">
        <w:t>V</w:t>
      </w:r>
      <w:r w:rsidR="00B54C90" w:rsidRPr="007E77AF">
        <w:t xml:space="preserve"> – </w:t>
      </w:r>
      <w:proofErr w:type="gramStart"/>
      <w:r w:rsidR="00B54C90" w:rsidRPr="007E77AF">
        <w:t>de</w:t>
      </w:r>
      <w:proofErr w:type="gramEnd"/>
      <w:r w:rsidR="00B54C90" w:rsidRPr="007E77AF">
        <w:t xml:space="preserve"> distribuição de títulos de securitização emitidos por companhia </w:t>
      </w:r>
      <w:proofErr w:type="spellStart"/>
      <w:r w:rsidR="00B54C90" w:rsidRPr="007E77AF">
        <w:t>securitizadora</w:t>
      </w:r>
      <w:proofErr w:type="spellEnd"/>
      <w:r w:rsidR="00B54C90" w:rsidRPr="007E77AF">
        <w:t xml:space="preserve"> registrada na CVM destinada ao público investidor em geral, </w:t>
      </w:r>
      <w:r w:rsidR="009D5865" w:rsidRPr="007E77AF">
        <w:t xml:space="preserve">ressalvado o caso previsto </w:t>
      </w:r>
      <w:r w:rsidR="00B54C90" w:rsidRPr="007E77AF">
        <w:t xml:space="preserve">no inciso </w:t>
      </w:r>
      <w:r w:rsidR="63357B09" w:rsidRPr="007E77AF">
        <w:t>VIII</w:t>
      </w:r>
      <w:r w:rsidR="00B54C90" w:rsidRPr="007E77AF">
        <w:t xml:space="preserve">, alínea </w:t>
      </w:r>
      <w:r w:rsidR="51601241" w:rsidRPr="007E77AF">
        <w:t>“</w:t>
      </w:r>
      <w:r w:rsidR="00B54C90" w:rsidRPr="007E77AF">
        <w:t>c</w:t>
      </w:r>
      <w:r w:rsidR="51601241" w:rsidRPr="007E77AF">
        <w:t>”</w:t>
      </w:r>
      <w:r w:rsidR="1AEC2EA3" w:rsidRPr="007E77AF">
        <w:t>,</w:t>
      </w:r>
      <w:r w:rsidR="00B54C90" w:rsidRPr="007E77AF">
        <w:t xml:space="preserve"> do </w:t>
      </w:r>
      <w:r w:rsidR="0027355E" w:rsidRPr="007E77AF">
        <w:t xml:space="preserve">art. </w:t>
      </w:r>
      <w:r w:rsidR="0086760A" w:rsidRPr="007E77AF">
        <w:t>26</w:t>
      </w:r>
      <w:r w:rsidR="00B54C90" w:rsidRPr="007E77AF">
        <w:t xml:space="preserve">; </w:t>
      </w:r>
    </w:p>
    <w:p w14:paraId="724005EE" w14:textId="7D266E75" w:rsidR="00D74986" w:rsidRDefault="009069A1" w:rsidP="001353DC">
      <w:pPr>
        <w:spacing w:before="120" w:after="120" w:line="312" w:lineRule="auto"/>
        <w:ind w:firstLine="567"/>
        <w:jc w:val="both"/>
        <w:rPr>
          <w:strike/>
        </w:rPr>
      </w:pPr>
      <w:r w:rsidRPr="001637C4">
        <w:rPr>
          <w:strike/>
        </w:rPr>
        <w:t>VI</w:t>
      </w:r>
      <w:r w:rsidR="00B54C90" w:rsidRPr="001637C4">
        <w:rPr>
          <w:rFonts w:ascii="Times New Roman" w:hAnsi="Times New Roman"/>
          <w:strike/>
        </w:rPr>
        <w:t xml:space="preserve"> – </w:t>
      </w:r>
      <w:proofErr w:type="gramStart"/>
      <w:r w:rsidR="00B54C90" w:rsidRPr="001637C4">
        <w:rPr>
          <w:strike/>
        </w:rPr>
        <w:t>inicial</w:t>
      </w:r>
      <w:proofErr w:type="gramEnd"/>
      <w:r w:rsidR="00B54C90" w:rsidRPr="001637C4">
        <w:rPr>
          <w:strike/>
        </w:rPr>
        <w:t xml:space="preserve"> de distribuição de certificados de depósito de valores mobiliários destinada ao público investidor em geral no âmbito de programa de BDR Patrocinado Nível III</w:t>
      </w:r>
      <w:r w:rsidR="00371158" w:rsidRPr="001637C4">
        <w:rPr>
          <w:strike/>
        </w:rPr>
        <w:t>;</w:t>
      </w:r>
      <w:r w:rsidR="00476F2C" w:rsidRPr="001637C4">
        <w:rPr>
          <w:strike/>
        </w:rPr>
        <w:t xml:space="preserve"> e</w:t>
      </w:r>
    </w:p>
    <w:p w14:paraId="21529AA8" w14:textId="23AAB9EE" w:rsidR="001637C4" w:rsidRDefault="001637C4" w:rsidP="001353DC">
      <w:pPr>
        <w:spacing w:before="120" w:after="120" w:line="312" w:lineRule="auto"/>
        <w:ind w:firstLine="567"/>
        <w:jc w:val="both"/>
      </w:pPr>
      <w:r>
        <w:t>VI – REVOGADO</w:t>
      </w:r>
    </w:p>
    <w:p w14:paraId="0A8651B0" w14:textId="6B048C88" w:rsidR="001637C4" w:rsidRPr="001637C4" w:rsidRDefault="001637C4" w:rsidP="001637C4">
      <w:pPr>
        <w:pStyle w:val="PargrafodaLista"/>
        <w:numPr>
          <w:ilvl w:val="0"/>
          <w:numId w:val="53"/>
        </w:numPr>
        <w:tabs>
          <w:tab w:val="left" w:pos="993"/>
        </w:tabs>
        <w:spacing w:line="312" w:lineRule="auto"/>
        <w:ind w:left="709" w:hanging="142"/>
        <w:contextualSpacing/>
        <w:jc w:val="both"/>
        <w:rPr>
          <w:b/>
          <w:i/>
        </w:rPr>
      </w:pPr>
      <w:r>
        <w:rPr>
          <w:b/>
          <w:i/>
        </w:rPr>
        <w:t xml:space="preserve">Inciso VI revogado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095D5CDC" w14:textId="7E49E9D7" w:rsidR="00EE373F" w:rsidRPr="007E77AF" w:rsidRDefault="00EE373F" w:rsidP="00D74986">
      <w:pPr>
        <w:spacing w:before="120" w:after="120" w:line="312" w:lineRule="auto"/>
        <w:ind w:firstLine="567"/>
        <w:jc w:val="both"/>
        <w:rPr>
          <w:rFonts w:cstheme="minorHAnsi"/>
          <w:iCs/>
        </w:rPr>
      </w:pPr>
      <w:r w:rsidRPr="007E77AF">
        <w:rPr>
          <w:rFonts w:cstheme="minorHAnsi"/>
          <w:iCs/>
        </w:rPr>
        <w:t>VII – de distribuição de quaisquer outros valores mobiliários não previstos no art. 26.</w:t>
      </w:r>
    </w:p>
    <w:p w14:paraId="69573DFD" w14:textId="47364E0E" w:rsidR="00D74986" w:rsidRPr="007E77AF" w:rsidRDefault="00B54C90" w:rsidP="00D74986">
      <w:pPr>
        <w:spacing w:before="120" w:after="120" w:line="312" w:lineRule="auto"/>
        <w:ind w:firstLine="567"/>
        <w:jc w:val="both"/>
      </w:pPr>
      <w:r w:rsidRPr="007E77AF">
        <w:t>§ 1</w:t>
      </w:r>
      <w:proofErr w:type="gramStart"/>
      <w:r w:rsidRPr="007E77AF">
        <w:t>º  Na</w:t>
      </w:r>
      <w:proofErr w:type="gramEnd"/>
      <w:r w:rsidRPr="007E77AF">
        <w:t xml:space="preserve"> hipótese de valores mobiliários de emissão de emissor em fase pré-operacional a oferta mencionada no inciso I do </w:t>
      </w:r>
      <w:r w:rsidRPr="007E77AF">
        <w:rPr>
          <w:b/>
          <w:bCs/>
        </w:rPr>
        <w:t>caput</w:t>
      </w:r>
      <w:r w:rsidR="6C82A7CB" w:rsidRPr="007E77AF">
        <w:rPr>
          <w:b/>
          <w:bCs/>
        </w:rPr>
        <w:t>:</w:t>
      </w:r>
    </w:p>
    <w:p w14:paraId="2C5ABB57" w14:textId="4AD57A6A" w:rsidR="00D74986" w:rsidRPr="007E77AF" w:rsidRDefault="6C82A7CB" w:rsidP="00D74986">
      <w:pPr>
        <w:spacing w:before="120" w:after="120" w:line="312" w:lineRule="auto"/>
        <w:ind w:firstLine="567"/>
        <w:jc w:val="both"/>
      </w:pPr>
      <w:r w:rsidRPr="007E77AF">
        <w:t xml:space="preserve">I </w:t>
      </w:r>
      <w:r w:rsidR="00B87511" w:rsidRPr="007E77AF">
        <w:t>–</w:t>
      </w:r>
      <w:r w:rsidRPr="007E77AF">
        <w:t xml:space="preserve"> </w:t>
      </w:r>
      <w:proofErr w:type="gramStart"/>
      <w:r w:rsidR="00B54C90" w:rsidRPr="007E77AF">
        <w:t>somente</w:t>
      </w:r>
      <w:proofErr w:type="gramEnd"/>
      <w:r w:rsidR="00B87511" w:rsidRPr="007E77AF">
        <w:t xml:space="preserve"> </w:t>
      </w:r>
      <w:r w:rsidR="00B54C90" w:rsidRPr="007E77AF">
        <w:t>pode ser distribuída para investidores qualificados</w:t>
      </w:r>
      <w:r w:rsidR="351D095E" w:rsidRPr="007E77AF">
        <w:t>; e</w:t>
      </w:r>
    </w:p>
    <w:p w14:paraId="7A7A766B" w14:textId="5618C86D" w:rsidR="351D095E" w:rsidRPr="007E77AF" w:rsidRDefault="351D095E" w:rsidP="00C04DE4">
      <w:pPr>
        <w:spacing w:before="120" w:after="120" w:line="312" w:lineRule="auto"/>
        <w:ind w:firstLine="567"/>
        <w:jc w:val="both"/>
        <w:rPr>
          <w:rFonts w:ascii="Calibri" w:eastAsia="Calibri" w:hAnsi="Calibri" w:cs="Calibri"/>
        </w:rPr>
      </w:pPr>
      <w:r w:rsidRPr="007E77AF">
        <w:t xml:space="preserve">II </w:t>
      </w:r>
      <w:r w:rsidR="00B87511" w:rsidRPr="007E77AF">
        <w:t>–</w:t>
      </w:r>
      <w:r w:rsidRPr="007E77AF">
        <w:t xml:space="preserve"> </w:t>
      </w:r>
      <w:proofErr w:type="gramStart"/>
      <w:r w:rsidRPr="007E77AF">
        <w:t>não</w:t>
      </w:r>
      <w:proofErr w:type="gramEnd"/>
      <w:r w:rsidR="00B87511" w:rsidRPr="007E77AF">
        <w:t xml:space="preserve"> </w:t>
      </w:r>
      <w:r w:rsidRPr="007E77AF">
        <w:t xml:space="preserve">é admitida </w:t>
      </w:r>
      <w:r w:rsidR="1A66DD84" w:rsidRPr="007E77AF">
        <w:t xml:space="preserve">a </w:t>
      </w:r>
      <w:r w:rsidRPr="007E77AF">
        <w:rPr>
          <w:rFonts w:ascii="Calibri" w:eastAsia="Calibri" w:hAnsi="Calibri" w:cs="Calibri"/>
        </w:rPr>
        <w:t>análise pr</w:t>
      </w:r>
      <w:r w:rsidR="38873F7B" w:rsidRPr="007E77AF">
        <w:rPr>
          <w:rFonts w:ascii="Calibri" w:eastAsia="Calibri" w:hAnsi="Calibri" w:cs="Calibri"/>
        </w:rPr>
        <w:t xml:space="preserve">évia </w:t>
      </w:r>
      <w:r w:rsidRPr="007E77AF">
        <w:rPr>
          <w:rFonts w:ascii="Calibri" w:eastAsia="Calibri" w:hAnsi="Calibri" w:cs="Calibri"/>
        </w:rPr>
        <w:t xml:space="preserve">do requerimento de registro </w:t>
      </w:r>
      <w:r w:rsidR="2DE67765" w:rsidRPr="007E77AF">
        <w:rPr>
          <w:rFonts w:ascii="Calibri" w:eastAsia="Calibri" w:hAnsi="Calibri" w:cs="Calibri"/>
        </w:rPr>
        <w:t>por</w:t>
      </w:r>
      <w:r w:rsidRPr="007E77AF">
        <w:rPr>
          <w:rFonts w:ascii="Calibri" w:eastAsia="Calibri" w:hAnsi="Calibri" w:cs="Calibri"/>
        </w:rPr>
        <w:t xml:space="preserve"> entidades autorreguladoras</w:t>
      </w:r>
      <w:r w:rsidR="1B7B2B75" w:rsidRPr="007E77AF">
        <w:rPr>
          <w:rFonts w:ascii="Calibri" w:eastAsia="Calibri" w:hAnsi="Calibri" w:cs="Calibri"/>
        </w:rPr>
        <w:t>.</w:t>
      </w:r>
    </w:p>
    <w:p w14:paraId="21CFA410" w14:textId="195E13BF" w:rsidR="00B54C90" w:rsidRPr="007E77AF" w:rsidRDefault="00B54C90" w:rsidP="00D74986">
      <w:pPr>
        <w:spacing w:before="120" w:after="120" w:line="312" w:lineRule="auto"/>
        <w:ind w:firstLine="567"/>
        <w:jc w:val="both"/>
      </w:pPr>
      <w:r w:rsidRPr="007E77AF">
        <w:lastRenderedPageBreak/>
        <w:t>§ 2</w:t>
      </w:r>
      <w:proofErr w:type="gramStart"/>
      <w:r w:rsidRPr="007E77AF">
        <w:t>º  Na</w:t>
      </w:r>
      <w:proofErr w:type="gramEnd"/>
      <w:r w:rsidRPr="007E77AF">
        <w:t xml:space="preserve"> distribuição dos valores mobiliários na oferta citada no § 1º deve ser dada ciência ao investidor</w:t>
      </w:r>
      <w:r w:rsidR="0068288A" w:rsidRPr="007E77AF">
        <w:t>,</w:t>
      </w:r>
      <w:r w:rsidRPr="007E77AF">
        <w:t xml:space="preserve"> por meio de aviso em destaque no prospecto e </w:t>
      </w:r>
      <w:r w:rsidR="003152D7" w:rsidRPr="007E77AF">
        <w:t>na lâmina</w:t>
      </w:r>
      <w:r w:rsidRPr="007E77AF">
        <w:t xml:space="preserve"> da oferta</w:t>
      </w:r>
      <w:r w:rsidR="0068288A" w:rsidRPr="007E77AF">
        <w:t>,</w:t>
      </w:r>
      <w:r w:rsidRPr="007E77AF">
        <w:t xml:space="preserve"> que há vedações que se aplicam à revenda dos valores mobiliários até que estejam satisfeitas as condições elencadas no</w:t>
      </w:r>
      <w:r w:rsidR="0008774E">
        <w:t>s</w:t>
      </w:r>
      <w:r w:rsidRPr="007E77AF">
        <w:t xml:space="preserve"> </w:t>
      </w:r>
      <w:proofErr w:type="spellStart"/>
      <w:r w:rsidRPr="007E77AF">
        <w:t>art</w:t>
      </w:r>
      <w:r w:rsidR="0008774E">
        <w:t>s</w:t>
      </w:r>
      <w:proofErr w:type="spellEnd"/>
      <w:r w:rsidRPr="007E77AF">
        <w:t xml:space="preserve">. </w:t>
      </w:r>
      <w:r w:rsidR="0029770D">
        <w:t>84</w:t>
      </w:r>
      <w:r w:rsidR="00507EF5">
        <w:t xml:space="preserve"> e</w:t>
      </w:r>
      <w:r w:rsidR="00C53DBE">
        <w:t>, se aplicável,</w:t>
      </w:r>
      <w:r w:rsidR="000763A2">
        <w:t xml:space="preserve"> 85</w:t>
      </w:r>
      <w:r w:rsidRPr="007E77AF">
        <w:t>.</w:t>
      </w:r>
    </w:p>
    <w:p w14:paraId="1B46BFDE" w14:textId="260A73B7" w:rsidR="00D74986" w:rsidRPr="007E77AF" w:rsidRDefault="00D20C2F" w:rsidP="00294E22">
      <w:pPr>
        <w:pStyle w:val="Seo"/>
      </w:pPr>
      <w:bookmarkStart w:id="160" w:name="_Toc476216326"/>
      <w:bookmarkStart w:id="161" w:name="_Toc108516047"/>
      <w:bookmarkStart w:id="162" w:name="_Toc108203078"/>
      <w:bookmarkStart w:id="163" w:name="_Toc136502818"/>
      <w:r w:rsidRPr="007E77AF">
        <w:t>S</w:t>
      </w:r>
      <w:r w:rsidR="00C64F85" w:rsidRPr="007E77AF">
        <w:t>ubs</w:t>
      </w:r>
      <w:r w:rsidRPr="007E77AF">
        <w:t xml:space="preserve">eção </w:t>
      </w:r>
      <w:r w:rsidR="004A7E12" w:rsidRPr="007E77AF">
        <w:t xml:space="preserve">II </w:t>
      </w:r>
      <w:r w:rsidRPr="007E77AF">
        <w:t xml:space="preserve">– Requerimento de </w:t>
      </w:r>
      <w:r w:rsidR="003779E5" w:rsidRPr="007E77AF">
        <w:t xml:space="preserve">Registro </w:t>
      </w:r>
      <w:r w:rsidRPr="007E77AF">
        <w:t xml:space="preserve">no </w:t>
      </w:r>
      <w:r w:rsidR="0027355E" w:rsidRPr="007E77AF">
        <w:t>R</w:t>
      </w:r>
      <w:r w:rsidR="002F16A3" w:rsidRPr="007E77AF">
        <w:t xml:space="preserve">ito de </w:t>
      </w:r>
      <w:r w:rsidR="0027355E" w:rsidRPr="007E77AF">
        <w:t>R</w:t>
      </w:r>
      <w:r w:rsidR="002F16A3" w:rsidRPr="007E77AF">
        <w:t>egistro</w:t>
      </w:r>
      <w:r w:rsidRPr="007E77AF">
        <w:t xml:space="preserve"> </w:t>
      </w:r>
      <w:r w:rsidR="00663D0A" w:rsidRPr="007E77AF">
        <w:t>O</w:t>
      </w:r>
      <w:r w:rsidRPr="007E77AF">
        <w:t>rdinário</w:t>
      </w:r>
      <w:bookmarkEnd w:id="160"/>
      <w:bookmarkEnd w:id="161"/>
      <w:bookmarkEnd w:id="162"/>
      <w:bookmarkEnd w:id="163"/>
    </w:p>
    <w:p w14:paraId="733BEC12" w14:textId="29BD6716" w:rsidR="00D74986" w:rsidRPr="007E77AF" w:rsidRDefault="009069A1" w:rsidP="001353DC">
      <w:pPr>
        <w:spacing w:before="120" w:after="120" w:line="312" w:lineRule="auto"/>
        <w:ind w:firstLine="567"/>
        <w:jc w:val="both"/>
      </w:pPr>
      <w:bookmarkStart w:id="164" w:name="_Ref467233156"/>
      <w:r w:rsidRPr="007E77AF">
        <w:t>Art. 29</w:t>
      </w:r>
      <w:r w:rsidR="40F51FF9" w:rsidRPr="007E77AF">
        <w:t>.</w:t>
      </w:r>
      <w:r w:rsidR="7021CB5B" w:rsidRPr="007E77AF">
        <w:t xml:space="preserve">  </w:t>
      </w:r>
      <w:r w:rsidR="6BF0292C" w:rsidRPr="007E77AF">
        <w:t>Os</w:t>
      </w:r>
      <w:r w:rsidR="3552123B" w:rsidRPr="007E77AF">
        <w:t xml:space="preserve"> </w:t>
      </w:r>
      <w:r w:rsidR="26AAFFDE" w:rsidRPr="007E77AF">
        <w:t>seguintes</w:t>
      </w:r>
      <w:r w:rsidR="40F51FF9" w:rsidRPr="007E77AF">
        <w:t xml:space="preserve"> </w:t>
      </w:r>
      <w:r w:rsidR="7021CB5B" w:rsidRPr="007E77AF">
        <w:t xml:space="preserve">documentos e condições </w:t>
      </w:r>
      <w:r w:rsidR="4E52D031" w:rsidRPr="007E77AF">
        <w:t xml:space="preserve">são exigidos para requerimento do registro da oferta pública de distribuição que siga o </w:t>
      </w:r>
      <w:r w:rsidR="002F16A3" w:rsidRPr="007E77AF">
        <w:t>rito de registro</w:t>
      </w:r>
      <w:r w:rsidR="6BF0292C" w:rsidRPr="007E77AF">
        <w:t xml:space="preserve"> </w:t>
      </w:r>
      <w:r w:rsidR="7021CB5B" w:rsidRPr="007E77AF">
        <w:t>ordinário</w:t>
      </w:r>
      <w:bookmarkEnd w:id="164"/>
      <w:r w:rsidR="00173AA5" w:rsidRPr="007E77AF">
        <w:t>:</w:t>
      </w:r>
    </w:p>
    <w:p w14:paraId="16DA6394" w14:textId="62287688" w:rsidR="00D74986" w:rsidRPr="007E77AF" w:rsidRDefault="00173AA5" w:rsidP="00D74986">
      <w:pPr>
        <w:spacing w:before="120" w:after="120" w:line="312" w:lineRule="auto"/>
        <w:ind w:firstLine="567"/>
        <w:jc w:val="both"/>
      </w:pPr>
      <w:r w:rsidRPr="007E77AF">
        <w:t xml:space="preserve">I – </w:t>
      </w:r>
      <w:proofErr w:type="gramStart"/>
      <w:r w:rsidRPr="007E77AF">
        <w:t>pagamento</w:t>
      </w:r>
      <w:proofErr w:type="gramEnd"/>
      <w:r w:rsidRPr="007E77AF">
        <w:t xml:space="preserve"> da taxa de fiscalização, nos termos da</w:t>
      </w:r>
      <w:r w:rsidR="00412F1C" w:rsidRPr="007E77AF">
        <w:t xml:space="preserve"> lei que trata da taxa de fiscalização dos mercados de títulos e valores mobiliários</w:t>
      </w:r>
      <w:r w:rsidRPr="007E77AF">
        <w:t>;</w:t>
      </w:r>
    </w:p>
    <w:p w14:paraId="4BC2B09F" w14:textId="45581A72" w:rsidR="00D74986" w:rsidRPr="007E77AF" w:rsidRDefault="00722887" w:rsidP="00D74986">
      <w:pPr>
        <w:spacing w:before="120" w:after="120" w:line="312" w:lineRule="auto"/>
        <w:ind w:firstLine="567"/>
        <w:jc w:val="both"/>
      </w:pPr>
      <w:r w:rsidRPr="007E77AF">
        <w:t>II</w:t>
      </w:r>
      <w:r w:rsidR="7B886809" w:rsidRPr="007E77AF" w:rsidDel="007E1C87">
        <w:t xml:space="preserve"> </w:t>
      </w:r>
      <w:r w:rsidR="7B886809" w:rsidRPr="007E77AF">
        <w:t>–</w:t>
      </w:r>
      <w:r w:rsidRPr="007E77AF">
        <w:t xml:space="preserve"> </w:t>
      </w:r>
      <w:proofErr w:type="gramStart"/>
      <w:r w:rsidR="1E93FB49" w:rsidRPr="007E77AF">
        <w:t>f</w:t>
      </w:r>
      <w:r w:rsidR="00173AA5" w:rsidRPr="007E77AF">
        <w:t>ormulário</w:t>
      </w:r>
      <w:proofErr w:type="gramEnd"/>
      <w:r w:rsidR="00173AA5" w:rsidRPr="007E77AF">
        <w:t xml:space="preserve"> </w:t>
      </w:r>
      <w:r w:rsidR="20083060" w:rsidRPr="007E77AF">
        <w:t>e</w:t>
      </w:r>
      <w:r w:rsidR="00173AA5" w:rsidRPr="007E77AF">
        <w:t xml:space="preserve">letrônico de </w:t>
      </w:r>
      <w:r w:rsidR="4368C0FF" w:rsidRPr="007E77AF">
        <w:t>r</w:t>
      </w:r>
      <w:r w:rsidR="00173AA5" w:rsidRPr="007E77AF">
        <w:t xml:space="preserve">equerimento da </w:t>
      </w:r>
      <w:r w:rsidR="23799933" w:rsidRPr="007E77AF">
        <w:t>o</w:t>
      </w:r>
      <w:r w:rsidR="00173AA5" w:rsidRPr="007E77AF">
        <w:t xml:space="preserve">ferta preenchido </w:t>
      </w:r>
      <w:r w:rsidR="3D64488A" w:rsidRPr="007E77AF">
        <w:t>por meio</w:t>
      </w:r>
      <w:r w:rsidR="00173AA5" w:rsidRPr="007E77AF">
        <w:t xml:space="preserve"> d</w:t>
      </w:r>
      <w:r w:rsidR="751EA73F" w:rsidRPr="007E77AF">
        <w:t>e</w:t>
      </w:r>
      <w:r w:rsidR="00173AA5" w:rsidRPr="007E77AF">
        <w:t xml:space="preserve"> </w:t>
      </w:r>
      <w:r w:rsidR="4D207420" w:rsidRPr="007E77AF">
        <w:t>s</w:t>
      </w:r>
      <w:r w:rsidR="00173AA5" w:rsidRPr="007E77AF">
        <w:t xml:space="preserve">istema de </w:t>
      </w:r>
      <w:r w:rsidR="4AD171E6" w:rsidRPr="007E77AF">
        <w:t>r</w:t>
      </w:r>
      <w:r w:rsidR="00173AA5" w:rsidRPr="007E77AF">
        <w:t>egistro</w:t>
      </w:r>
      <w:r w:rsidR="0841E5A6" w:rsidRPr="007E77AF">
        <w:t xml:space="preserve"> </w:t>
      </w:r>
      <w:r w:rsidR="541B7F7C" w:rsidRPr="007E77AF">
        <w:t>disponível em página na rede mundial de computadores</w:t>
      </w:r>
      <w:r w:rsidR="00173AA5" w:rsidRPr="007E77AF">
        <w:t>;</w:t>
      </w:r>
    </w:p>
    <w:p w14:paraId="4EED2E9B" w14:textId="58F57DE1" w:rsidR="00D74986" w:rsidRPr="007E77AF" w:rsidRDefault="00810A08" w:rsidP="00D74986">
      <w:pPr>
        <w:spacing w:before="120" w:after="120" w:line="312" w:lineRule="auto"/>
        <w:ind w:firstLine="567"/>
        <w:jc w:val="both"/>
      </w:pPr>
      <w:r w:rsidRPr="007E77AF">
        <w:t xml:space="preserve">III </w:t>
      </w:r>
      <w:r w:rsidR="00173AA5" w:rsidRPr="007E77AF">
        <w:t>– cópia do documento original da deliberação sobre a aprovação da emissão ou distribuição dos valores mobiliários tomada pelos órgãos societários competentes do ofertante e das decisões administrativas exigíveis, com todos os documentos que fizeram ou serviram de base para as referidas deliberações;</w:t>
      </w:r>
    </w:p>
    <w:p w14:paraId="4740F065" w14:textId="5FFB557D" w:rsidR="00D74986" w:rsidRPr="007E77AF" w:rsidRDefault="00810A08" w:rsidP="00D74986">
      <w:pPr>
        <w:spacing w:before="120" w:after="120" w:line="312" w:lineRule="auto"/>
        <w:ind w:firstLine="567"/>
        <w:jc w:val="both"/>
      </w:pPr>
      <w:r w:rsidRPr="007E77AF">
        <w:t>I</w:t>
      </w:r>
      <w:r w:rsidR="00173AA5" w:rsidRPr="007E77AF">
        <w:t xml:space="preserve">V – </w:t>
      </w:r>
      <w:proofErr w:type="gramStart"/>
      <w:r w:rsidR="00173AA5" w:rsidRPr="007E77AF">
        <w:t>cópia</w:t>
      </w:r>
      <w:proofErr w:type="gramEnd"/>
      <w:r w:rsidR="00173AA5" w:rsidRPr="007E77AF">
        <w:t xml:space="preserve"> </w:t>
      </w:r>
      <w:r w:rsidR="7B560691" w:rsidRPr="007E77AF">
        <w:t>d</w:t>
      </w:r>
      <w:r w:rsidR="4DACBB30" w:rsidRPr="007E77AF">
        <w:t>e</w:t>
      </w:r>
      <w:r w:rsidR="00173AA5" w:rsidRPr="007E77AF">
        <w:t xml:space="preserve"> documento </w:t>
      </w:r>
      <w:r w:rsidR="009422E5" w:rsidRPr="007E77AF">
        <w:t>d</w:t>
      </w:r>
      <w:r w:rsidR="00173AA5" w:rsidRPr="007E77AF">
        <w:t xml:space="preserve">a emissão </w:t>
      </w:r>
      <w:r w:rsidR="282280DD" w:rsidRPr="007E77AF">
        <w:t xml:space="preserve">e seus aditamentos, </w:t>
      </w:r>
      <w:r w:rsidR="00173AA5" w:rsidRPr="007E77AF">
        <w:t>tais como escritura</w:t>
      </w:r>
      <w:r w:rsidR="7296E34E" w:rsidRPr="007E77AF">
        <w:t xml:space="preserve"> de debêntures</w:t>
      </w:r>
      <w:r w:rsidR="00173AA5" w:rsidRPr="007E77AF">
        <w:t xml:space="preserve">, termos </w:t>
      </w:r>
      <w:r w:rsidR="00594D4B">
        <w:t>de</w:t>
      </w:r>
      <w:r w:rsidR="00173AA5" w:rsidRPr="007E77AF">
        <w:t xml:space="preserve"> securitização e nota promissória</w:t>
      </w:r>
      <w:r w:rsidR="5AB88398" w:rsidRPr="007E77AF">
        <w:t>,</w:t>
      </w:r>
      <w:r w:rsidR="00173AA5" w:rsidRPr="007E77AF">
        <w:t xml:space="preserve"> quando </w:t>
      </w:r>
      <w:r w:rsidR="5AB88398" w:rsidRPr="007E77AF">
        <w:t>aplicáve</w:t>
      </w:r>
      <w:r w:rsidR="2A56051C" w:rsidRPr="007E77AF">
        <w:t>is</w:t>
      </w:r>
      <w:r w:rsidR="008209BC" w:rsidRPr="007E77AF">
        <w:t>,</w:t>
      </w:r>
      <w:r w:rsidR="00D76680" w:rsidRPr="007E77AF">
        <w:t xml:space="preserve"> acompanhado do </w:t>
      </w:r>
      <w:r w:rsidR="00FB5F0A" w:rsidRPr="007E77AF">
        <w:t>protocolo</w:t>
      </w:r>
      <w:r w:rsidR="00D76680" w:rsidRPr="007E77AF">
        <w:t xml:space="preserve"> de</w:t>
      </w:r>
      <w:r w:rsidR="0049601F" w:rsidRPr="007E77AF">
        <w:t xml:space="preserve"> requer</w:t>
      </w:r>
      <w:r w:rsidR="009526CB" w:rsidRPr="007E77AF">
        <w:t>imento de registro</w:t>
      </w:r>
      <w:r w:rsidR="0005543F" w:rsidRPr="007E77AF">
        <w:t xml:space="preserve"> perante as autoridades competentes</w:t>
      </w:r>
      <w:r w:rsidR="00173AA5" w:rsidRPr="007E77AF">
        <w:t>;</w:t>
      </w:r>
    </w:p>
    <w:p w14:paraId="3D3502D2" w14:textId="2D722404" w:rsidR="00D74986" w:rsidRPr="007E77AF" w:rsidRDefault="00570E7C" w:rsidP="00D74986">
      <w:pPr>
        <w:spacing w:before="120" w:after="120" w:line="312" w:lineRule="auto"/>
        <w:ind w:firstLine="567"/>
        <w:jc w:val="both"/>
      </w:pPr>
      <w:r w:rsidRPr="007E77AF">
        <w:t>V</w:t>
      </w:r>
      <w:r w:rsidR="00173AA5" w:rsidRPr="007E77AF">
        <w:t xml:space="preserve"> – </w:t>
      </w:r>
      <w:proofErr w:type="gramStart"/>
      <w:r w:rsidR="00494021" w:rsidRPr="007E77AF">
        <w:t>lâmina</w:t>
      </w:r>
      <w:proofErr w:type="gramEnd"/>
      <w:r w:rsidR="00494021" w:rsidRPr="007E77AF">
        <w:t xml:space="preserve"> da oferta</w:t>
      </w:r>
      <w:r w:rsidR="00173AA5" w:rsidRPr="007E77AF">
        <w:t>;</w:t>
      </w:r>
    </w:p>
    <w:p w14:paraId="55737D93" w14:textId="4ED1DB90" w:rsidR="00D74986" w:rsidRPr="007E77AF" w:rsidRDefault="00570E7C" w:rsidP="00D74986">
      <w:pPr>
        <w:spacing w:before="120" w:after="120" w:line="312" w:lineRule="auto"/>
        <w:ind w:firstLine="567"/>
        <w:jc w:val="both"/>
      </w:pPr>
      <w:r w:rsidRPr="007E77AF">
        <w:t>VI</w:t>
      </w:r>
      <w:r w:rsidR="00173AA5" w:rsidRPr="007E77AF">
        <w:t xml:space="preserve"> – </w:t>
      </w:r>
      <w:proofErr w:type="gramStart"/>
      <w:r w:rsidR="75F6FCF0" w:rsidRPr="007E77AF">
        <w:t>p</w:t>
      </w:r>
      <w:r w:rsidR="00173AA5" w:rsidRPr="007E77AF">
        <w:t>rospecto</w:t>
      </w:r>
      <w:proofErr w:type="gramEnd"/>
      <w:r w:rsidR="00173AA5" w:rsidRPr="007E77AF">
        <w:t xml:space="preserve"> </w:t>
      </w:r>
      <w:r w:rsidR="6DA5D72F" w:rsidRPr="007E77AF">
        <w:t>d</w:t>
      </w:r>
      <w:r w:rsidR="00173AA5" w:rsidRPr="007E77AF">
        <w:t xml:space="preserve">efinitivo ou </w:t>
      </w:r>
      <w:r w:rsidR="0E26C20C" w:rsidRPr="007E77AF">
        <w:t>p</w:t>
      </w:r>
      <w:r w:rsidR="00173AA5" w:rsidRPr="007E77AF">
        <w:t>reliminar, neste caso se for empregado procedimento de coleta de intenções de investimento, admitindo-se minuta</w:t>
      </w:r>
      <w:r w:rsidR="7F040E31" w:rsidRPr="007E77AF">
        <w:t xml:space="preserve"> nos termos </w:t>
      </w:r>
      <w:r w:rsidR="001A1066" w:rsidRPr="007E77AF">
        <w:t xml:space="preserve">do </w:t>
      </w:r>
      <w:r w:rsidR="7F040E31" w:rsidRPr="007E77AF">
        <w:t>art.</w:t>
      </w:r>
      <w:r w:rsidR="001A1066" w:rsidRPr="007E77AF">
        <w:t xml:space="preserve"> </w:t>
      </w:r>
      <w:r w:rsidR="0086760A" w:rsidRPr="007E77AF">
        <w:t>41</w:t>
      </w:r>
      <w:r w:rsidR="00173AA5" w:rsidRPr="007E77AF">
        <w:t>;</w:t>
      </w:r>
    </w:p>
    <w:p w14:paraId="653D7D39" w14:textId="480B8097" w:rsidR="00D74986" w:rsidRPr="002C67D2" w:rsidRDefault="00570E7C" w:rsidP="00D74986">
      <w:pPr>
        <w:spacing w:before="120" w:after="120" w:line="312" w:lineRule="auto"/>
        <w:ind w:firstLine="567"/>
        <w:jc w:val="both"/>
        <w:rPr>
          <w:bCs/>
        </w:rPr>
      </w:pPr>
      <w:r w:rsidRPr="007E77AF">
        <w:t>VII</w:t>
      </w:r>
      <w:r w:rsidR="00173AA5" w:rsidRPr="007E77AF">
        <w:t xml:space="preserve"> – estudo de viabilidade</w:t>
      </w:r>
      <w:r w:rsidR="002E583C" w:rsidRPr="007E77AF">
        <w:t xml:space="preserve"> </w:t>
      </w:r>
      <w:r w:rsidRPr="007E77AF">
        <w:rPr>
          <w:bCs/>
        </w:rPr>
        <w:t>econômico-financeira do emissor</w:t>
      </w:r>
      <w:r w:rsidR="00722887" w:rsidRPr="007E77AF">
        <w:rPr>
          <w:bCs/>
        </w:rPr>
        <w:t xml:space="preserve">, </w:t>
      </w:r>
      <w:r w:rsidR="00C60DC9" w:rsidRPr="007E77AF">
        <w:rPr>
          <w:bCs/>
        </w:rPr>
        <w:t>com o conteúdo mínimo definido</w:t>
      </w:r>
      <w:r w:rsidR="00A2545B" w:rsidRPr="007E77AF">
        <w:rPr>
          <w:bCs/>
        </w:rPr>
        <w:t xml:space="preserve"> </w:t>
      </w:r>
      <w:r w:rsidR="00C60DC9" w:rsidRPr="007E77AF">
        <w:rPr>
          <w:bCs/>
        </w:rPr>
        <w:t>n</w:t>
      </w:r>
      <w:r w:rsidR="00A2545B" w:rsidRPr="007E77AF">
        <w:rPr>
          <w:bCs/>
        </w:rPr>
        <w:t>os Anexos A e C</w:t>
      </w:r>
      <w:r w:rsidR="00C60DC9" w:rsidRPr="007E77AF">
        <w:rPr>
          <w:bCs/>
        </w:rPr>
        <w:t xml:space="preserve">, </w:t>
      </w:r>
      <w:r w:rsidRPr="007E77AF">
        <w:rPr>
          <w:bCs/>
        </w:rPr>
        <w:t>quando</w:t>
      </w:r>
      <w:r w:rsidR="00262035" w:rsidRPr="007E77AF">
        <w:rPr>
          <w:bCs/>
        </w:rPr>
        <w:t xml:space="preserve"> o emissor não for um</w:t>
      </w:r>
      <w:r w:rsidR="00251ADD">
        <w:rPr>
          <w:bCs/>
        </w:rPr>
        <w:t>a</w:t>
      </w:r>
      <w:r w:rsidR="00262035" w:rsidRPr="007E77AF">
        <w:rPr>
          <w:bCs/>
        </w:rPr>
        <w:t xml:space="preserve"> SPAC e</w:t>
      </w:r>
      <w:r w:rsidRPr="007E77AF">
        <w:rPr>
          <w:bCs/>
        </w:rPr>
        <w:t>:</w:t>
      </w:r>
    </w:p>
    <w:p w14:paraId="303A93E9" w14:textId="7C50F512" w:rsidR="00D74986" w:rsidRPr="007E77AF" w:rsidRDefault="00570E7C" w:rsidP="00D74986">
      <w:pPr>
        <w:spacing w:before="120" w:after="120" w:line="312" w:lineRule="auto"/>
        <w:ind w:firstLine="567"/>
        <w:jc w:val="both"/>
        <w:rPr>
          <w:bCs/>
        </w:rPr>
      </w:pPr>
      <w:r w:rsidRPr="007E77AF">
        <w:rPr>
          <w:bCs/>
        </w:rPr>
        <w:t>a) a oferta tenha por objeto a constituição do emissor;</w:t>
      </w:r>
    </w:p>
    <w:p w14:paraId="69693BB7" w14:textId="77777777" w:rsidR="00D74986" w:rsidRPr="007E77AF" w:rsidRDefault="00570E7C" w:rsidP="00D74986">
      <w:pPr>
        <w:spacing w:before="120" w:after="120" w:line="312" w:lineRule="auto"/>
        <w:ind w:firstLine="567"/>
        <w:jc w:val="both"/>
        <w:rPr>
          <w:bCs/>
        </w:rPr>
      </w:pPr>
      <w:r w:rsidRPr="007E77AF">
        <w:rPr>
          <w:bCs/>
        </w:rPr>
        <w:t>b) o emissor seja companhia em fase pré-operacional; ou</w:t>
      </w:r>
    </w:p>
    <w:p w14:paraId="13160331" w14:textId="2508EC41" w:rsidR="00D74986" w:rsidRPr="007E77AF" w:rsidRDefault="00570E7C" w:rsidP="00D74986">
      <w:pPr>
        <w:spacing w:before="120" w:after="120" w:line="312" w:lineRule="auto"/>
        <w:ind w:firstLine="567"/>
        <w:jc w:val="both"/>
      </w:pPr>
      <w:r w:rsidRPr="007E77AF">
        <w:t>c)</w:t>
      </w:r>
      <w:r w:rsidRPr="007E77AF">
        <w:rPr>
          <w:bCs/>
        </w:rPr>
        <w:t xml:space="preserve"> os recursos captados na oferta sejam preponderantemente destinados a investimentos em atividades ainda não desenvolvidas pelo emissor</w:t>
      </w:r>
      <w:r w:rsidR="00556BD8" w:rsidRPr="007E77AF">
        <w:rPr>
          <w:bCs/>
        </w:rPr>
        <w:t xml:space="preserve"> e que sejam alheias </w:t>
      </w:r>
      <w:r w:rsidR="001D7E07" w:rsidRPr="007E77AF">
        <w:rPr>
          <w:bCs/>
        </w:rPr>
        <w:t xml:space="preserve">aos negócios ordinários </w:t>
      </w:r>
      <w:r w:rsidR="00556BD8" w:rsidRPr="007E77AF">
        <w:rPr>
          <w:bCs/>
        </w:rPr>
        <w:t>do emissor</w:t>
      </w:r>
      <w:r w:rsidR="00173AA5" w:rsidRPr="007E77AF">
        <w:t>; e</w:t>
      </w:r>
    </w:p>
    <w:p w14:paraId="394F1FB8" w14:textId="0565CF19" w:rsidR="00D74986" w:rsidRPr="007E77AF" w:rsidRDefault="00A32C6F" w:rsidP="00D74986">
      <w:pPr>
        <w:spacing w:before="120" w:after="120" w:line="312" w:lineRule="auto"/>
        <w:ind w:firstLine="567"/>
        <w:jc w:val="both"/>
      </w:pPr>
      <w:r w:rsidRPr="007E77AF">
        <w:t>VIII</w:t>
      </w:r>
      <w:r w:rsidR="00173AA5" w:rsidRPr="007E77AF">
        <w:t xml:space="preserve"> – outras informações ou documentos exigidos pela CVM em regula</w:t>
      </w:r>
      <w:r w:rsidR="00947FC8">
        <w:t>menta</w:t>
      </w:r>
      <w:r w:rsidR="00173AA5" w:rsidRPr="007E77AF">
        <w:t>ção específica.</w:t>
      </w:r>
    </w:p>
    <w:p w14:paraId="446740A9" w14:textId="41B8F12A" w:rsidR="00D74986" w:rsidRPr="007E77AF" w:rsidRDefault="00173AA5" w:rsidP="00D74986">
      <w:pPr>
        <w:spacing w:before="120" w:after="120" w:line="312" w:lineRule="auto"/>
        <w:ind w:firstLine="567"/>
        <w:jc w:val="both"/>
      </w:pPr>
      <w:r w:rsidRPr="007E77AF">
        <w:lastRenderedPageBreak/>
        <w:t xml:space="preserve">§ </w:t>
      </w:r>
      <w:r w:rsidR="008A24C8" w:rsidRPr="007E77AF">
        <w:t>1</w:t>
      </w:r>
      <w:proofErr w:type="gramStart"/>
      <w:r w:rsidR="008A24C8" w:rsidRPr="007E77AF">
        <w:t xml:space="preserve">º  </w:t>
      </w:r>
      <w:r w:rsidRPr="007E77AF">
        <w:t>Para</w:t>
      </w:r>
      <w:proofErr w:type="gramEnd"/>
      <w:r w:rsidRPr="007E77AF">
        <w:t xml:space="preserve"> a concessão do registro da oferta são exigidos:</w:t>
      </w:r>
    </w:p>
    <w:p w14:paraId="735E085E" w14:textId="77777777" w:rsidR="00D74986" w:rsidRPr="007E77AF" w:rsidRDefault="00173AA5" w:rsidP="00D74986">
      <w:pPr>
        <w:spacing w:before="120" w:after="120" w:line="312" w:lineRule="auto"/>
        <w:ind w:firstLine="567"/>
        <w:jc w:val="both"/>
      </w:pPr>
      <w:r w:rsidRPr="007E77AF">
        <w:t xml:space="preserve">I – </w:t>
      </w:r>
      <w:proofErr w:type="gramStart"/>
      <w:r w:rsidRPr="007E77AF">
        <w:t>cópia</w:t>
      </w:r>
      <w:proofErr w:type="gramEnd"/>
      <w:r w:rsidRPr="007E77AF">
        <w:t xml:space="preserve"> do ato que deliberou o preço de emissão das ações, quando aplicável;</w:t>
      </w:r>
    </w:p>
    <w:p w14:paraId="0FF32F46" w14:textId="29D00779" w:rsidR="00D74986" w:rsidRPr="007E77AF" w:rsidRDefault="00173AA5" w:rsidP="00D74986">
      <w:pPr>
        <w:spacing w:before="120" w:after="120" w:line="312" w:lineRule="auto"/>
        <w:ind w:firstLine="567"/>
        <w:jc w:val="both"/>
      </w:pPr>
      <w:r w:rsidRPr="007E77AF">
        <w:t xml:space="preserve">II </w:t>
      </w:r>
      <w:r w:rsidR="00A7486E" w:rsidRPr="007E77AF">
        <w:t>–</w:t>
      </w:r>
      <w:r w:rsidRPr="007E77AF">
        <w:t xml:space="preserve"> </w:t>
      </w:r>
      <w:proofErr w:type="gramStart"/>
      <w:r w:rsidRPr="007E77AF">
        <w:t>contrato</w:t>
      </w:r>
      <w:proofErr w:type="gramEnd"/>
      <w:r w:rsidRPr="007E77AF">
        <w:t xml:space="preserve"> de distribuição de valores mobiliários assinado, do qual deve</w:t>
      </w:r>
      <w:r w:rsidR="00AF1645" w:rsidRPr="007E77AF">
        <w:t>m</w:t>
      </w:r>
      <w:r w:rsidRPr="007E77AF">
        <w:t xml:space="preserve"> constar, entre outras, obrigatoriamente, as cláusulas relacionadas no </w:t>
      </w:r>
      <w:r w:rsidR="009E2808" w:rsidRPr="007E77AF">
        <w:t>A</w:t>
      </w:r>
      <w:r w:rsidRPr="007E77AF">
        <w:t>nexo</w:t>
      </w:r>
      <w:r w:rsidR="009E2808" w:rsidRPr="007E77AF">
        <w:t xml:space="preserve"> </w:t>
      </w:r>
      <w:r w:rsidR="00E663C3">
        <w:t>K</w:t>
      </w:r>
      <w:r w:rsidR="00E663C3" w:rsidRPr="007E77AF">
        <w:t xml:space="preserve"> </w:t>
      </w:r>
      <w:r w:rsidR="009E2808" w:rsidRPr="007E77AF">
        <w:t>a esta Resolução</w:t>
      </w:r>
      <w:r w:rsidRPr="007E77AF">
        <w:t>;</w:t>
      </w:r>
    </w:p>
    <w:p w14:paraId="014E5634" w14:textId="48D6BA09" w:rsidR="00D74986" w:rsidRPr="007E77AF" w:rsidRDefault="00173AA5" w:rsidP="00D74986">
      <w:pPr>
        <w:spacing w:before="120" w:after="120" w:line="312" w:lineRule="auto"/>
        <w:ind w:firstLine="567"/>
        <w:jc w:val="both"/>
      </w:pPr>
      <w:r w:rsidRPr="007E77AF">
        <w:t>III – contratos de estabilização de preços ou de garantia de liquidez, se houver;</w:t>
      </w:r>
    </w:p>
    <w:p w14:paraId="00B6E55D" w14:textId="70ABC6E7" w:rsidR="00D74986" w:rsidRPr="007E77AF" w:rsidRDefault="00173AA5" w:rsidP="00D74986">
      <w:pPr>
        <w:spacing w:before="120" w:after="120" w:line="312" w:lineRule="auto"/>
        <w:ind w:firstLine="567"/>
        <w:jc w:val="both"/>
      </w:pPr>
      <w:r w:rsidRPr="007E77AF">
        <w:t xml:space="preserve">IV – </w:t>
      </w:r>
      <w:proofErr w:type="gramStart"/>
      <w:r w:rsidRPr="007E77AF">
        <w:t>outros</w:t>
      </w:r>
      <w:proofErr w:type="gramEnd"/>
      <w:r w:rsidRPr="007E77AF">
        <w:t xml:space="preserve"> contratos relacionados à oferta;</w:t>
      </w:r>
    </w:p>
    <w:p w14:paraId="6B3E7830" w14:textId="1183EB34" w:rsidR="00D74986" w:rsidRPr="007E77AF" w:rsidRDefault="00173AA5" w:rsidP="00D74986">
      <w:pPr>
        <w:spacing w:before="120" w:after="120" w:line="312" w:lineRule="auto"/>
        <w:ind w:firstLine="567"/>
        <w:jc w:val="both"/>
      </w:pPr>
      <w:r w:rsidRPr="007E77AF">
        <w:t xml:space="preserve">V – </w:t>
      </w:r>
      <w:proofErr w:type="gramStart"/>
      <w:r w:rsidRPr="007E77AF">
        <w:t>declaração</w:t>
      </w:r>
      <w:proofErr w:type="gramEnd"/>
      <w:r w:rsidRPr="007E77AF">
        <w:t xml:space="preserve"> da bolsa de valores ou da entidade do mercado de balcão organizado informando do deferimento do pedido de admissão à negociação do valor mobiliário, se for o caso, condicionado apenas à obtenção do registro na CVM</w:t>
      </w:r>
      <w:r w:rsidR="0030454A" w:rsidRPr="007E77AF">
        <w:t>; e</w:t>
      </w:r>
    </w:p>
    <w:p w14:paraId="02B8AEE5" w14:textId="2C7233F5" w:rsidR="00AA255E" w:rsidRPr="007E77AF" w:rsidRDefault="0030454A" w:rsidP="00D74986">
      <w:pPr>
        <w:spacing w:before="120" w:after="120" w:line="312" w:lineRule="auto"/>
        <w:ind w:firstLine="567"/>
        <w:jc w:val="both"/>
      </w:pPr>
      <w:r w:rsidRPr="007E77AF">
        <w:rPr>
          <w:rFonts w:cstheme="minorHAnsi"/>
          <w:bCs/>
          <w:iCs/>
        </w:rPr>
        <w:t xml:space="preserve">VI – </w:t>
      </w:r>
      <w:proofErr w:type="gramStart"/>
      <w:r w:rsidRPr="007E77AF">
        <w:rPr>
          <w:rFonts w:cstheme="minorHAnsi"/>
          <w:bCs/>
          <w:iCs/>
        </w:rPr>
        <w:t>cópia</w:t>
      </w:r>
      <w:proofErr w:type="gramEnd"/>
      <w:r w:rsidRPr="007E77AF">
        <w:rPr>
          <w:rFonts w:cstheme="minorHAnsi"/>
          <w:bCs/>
          <w:iCs/>
        </w:rPr>
        <w:t xml:space="preserve"> do documento que formaliza a emissão, devidamente registrado na forma prevista na lei, e cópias de seus aditamentos devidamente protocolados perante as autoridades competentes, nos casos em que o registro de tais aditamentos seja exigido por lei</w:t>
      </w:r>
      <w:r w:rsidR="00064DAE" w:rsidRPr="007E77AF">
        <w:rPr>
          <w:rFonts w:cstheme="minorHAnsi"/>
          <w:bCs/>
          <w:iCs/>
        </w:rPr>
        <w:t>.</w:t>
      </w:r>
    </w:p>
    <w:p w14:paraId="58C8877A" w14:textId="2CBB7377" w:rsidR="00D74986" w:rsidRPr="007E77AF" w:rsidRDefault="00173AA5" w:rsidP="0254E9C6">
      <w:pPr>
        <w:spacing w:before="120" w:after="120" w:line="312" w:lineRule="auto"/>
        <w:ind w:firstLine="567"/>
        <w:jc w:val="both"/>
      </w:pPr>
      <w:r w:rsidRPr="007E77AF">
        <w:t xml:space="preserve">§ </w:t>
      </w:r>
      <w:r w:rsidR="002671E5" w:rsidRPr="007E77AF">
        <w:t>2</w:t>
      </w:r>
      <w:proofErr w:type="gramStart"/>
      <w:r w:rsidRPr="007E77AF">
        <w:t xml:space="preserve">º </w:t>
      </w:r>
      <w:r w:rsidR="7CD834A7" w:rsidRPr="007E77AF">
        <w:t xml:space="preserve"> </w:t>
      </w:r>
      <w:r w:rsidRPr="007E77AF">
        <w:t>Caso</w:t>
      </w:r>
      <w:proofErr w:type="gramEnd"/>
      <w:r w:rsidRPr="007E77AF">
        <w:t xml:space="preserve"> </w:t>
      </w:r>
      <w:r w:rsidR="0033510F" w:rsidRPr="007E77AF">
        <w:t>o cronograma d</w:t>
      </w:r>
      <w:r w:rsidRPr="007E77AF">
        <w:t xml:space="preserve">a oferta preveja </w:t>
      </w:r>
      <w:r w:rsidR="00F02783" w:rsidRPr="007E77AF">
        <w:t xml:space="preserve">o início do período </w:t>
      </w:r>
      <w:r w:rsidR="00636514" w:rsidRPr="007E77AF">
        <w:t>de</w:t>
      </w:r>
      <w:r w:rsidR="00F02783" w:rsidRPr="007E77AF">
        <w:t xml:space="preserve"> oferta </w:t>
      </w:r>
      <w:r w:rsidR="00E6708D" w:rsidRPr="007E77AF">
        <w:t>a</w:t>
      </w:r>
      <w:r w:rsidRPr="007E77AF">
        <w:t xml:space="preserve"> mercado anteriormente à concessão do registro</w:t>
      </w:r>
      <w:r w:rsidR="004F31BE" w:rsidRPr="007E77AF">
        <w:t>,</w:t>
      </w:r>
      <w:r w:rsidRPr="007E77AF">
        <w:t xml:space="preserve"> </w:t>
      </w:r>
      <w:r w:rsidR="00824FDF" w:rsidRPr="007E77AF">
        <w:t xml:space="preserve">nos termos do art. </w:t>
      </w:r>
      <w:r w:rsidR="000666FF">
        <w:t>57</w:t>
      </w:r>
      <w:r w:rsidR="00824FDF" w:rsidRPr="007E77AF">
        <w:t xml:space="preserve">, </w:t>
      </w:r>
      <w:r w:rsidRPr="007E77AF">
        <w:t xml:space="preserve">o requerimento de registro da oferta pode ser apresentado </w:t>
      </w:r>
      <w:r w:rsidR="171AB01C" w:rsidRPr="007E77AF">
        <w:rPr>
          <w:rFonts w:eastAsia="Calibri"/>
        </w:rPr>
        <w:t>com documentos e informações pendentes, desde que relacionados exclusivamente ao preço ou à remuneração do valor mobiliário objeto da distribuição.</w:t>
      </w:r>
    </w:p>
    <w:p w14:paraId="0B8FEEEA" w14:textId="58C58D32" w:rsidR="00433921" w:rsidRPr="007E77AF" w:rsidRDefault="171AB01C" w:rsidP="0254E9C6">
      <w:pPr>
        <w:spacing w:before="120" w:after="120" w:line="312" w:lineRule="auto"/>
        <w:ind w:firstLine="567"/>
        <w:jc w:val="both"/>
        <w:rPr>
          <w:rFonts w:eastAsia="Calibri"/>
        </w:rPr>
      </w:pPr>
      <w:r w:rsidRPr="007E77AF">
        <w:rPr>
          <w:rFonts w:eastAsia="Calibri"/>
        </w:rPr>
        <w:t xml:space="preserve">§ </w:t>
      </w:r>
      <w:r w:rsidR="002671E5" w:rsidRPr="007E77AF">
        <w:rPr>
          <w:rFonts w:eastAsia="Calibri"/>
        </w:rPr>
        <w:t>3</w:t>
      </w:r>
      <w:proofErr w:type="gramStart"/>
      <w:r w:rsidRPr="007E77AF">
        <w:rPr>
          <w:rFonts w:eastAsia="Calibri"/>
        </w:rPr>
        <w:t>º  Ressalvado</w:t>
      </w:r>
      <w:proofErr w:type="gramEnd"/>
      <w:r w:rsidRPr="007E77AF">
        <w:rPr>
          <w:rFonts w:eastAsia="Calibri"/>
        </w:rPr>
        <w:t xml:space="preserve"> o disposto no § </w:t>
      </w:r>
      <w:r w:rsidR="002671E5" w:rsidRPr="007E77AF">
        <w:rPr>
          <w:rFonts w:eastAsia="Calibri"/>
        </w:rPr>
        <w:t>2</w:t>
      </w:r>
      <w:r w:rsidRPr="007E77AF">
        <w:rPr>
          <w:rFonts w:eastAsia="Calibri"/>
        </w:rPr>
        <w:t xml:space="preserve">º, </w:t>
      </w:r>
      <w:r w:rsidR="000E11DA" w:rsidRPr="007E77AF">
        <w:rPr>
          <w:rFonts w:eastAsia="Calibri"/>
        </w:rPr>
        <w:t xml:space="preserve">o período </w:t>
      </w:r>
      <w:r w:rsidR="003F201F" w:rsidRPr="007E77AF">
        <w:rPr>
          <w:rFonts w:eastAsia="Calibri"/>
        </w:rPr>
        <w:t>de</w:t>
      </w:r>
      <w:r w:rsidR="000E11DA" w:rsidRPr="007E77AF">
        <w:rPr>
          <w:rFonts w:eastAsia="Calibri"/>
        </w:rPr>
        <w:t xml:space="preserve"> oferta </w:t>
      </w:r>
      <w:r w:rsidR="002671E5" w:rsidRPr="007E77AF">
        <w:rPr>
          <w:rFonts w:eastAsia="Calibri"/>
        </w:rPr>
        <w:t xml:space="preserve">a mercado </w:t>
      </w:r>
      <w:r w:rsidR="000E11DA" w:rsidRPr="007E77AF">
        <w:rPr>
          <w:rFonts w:eastAsia="Calibri"/>
        </w:rPr>
        <w:t>só pode iniciar</w:t>
      </w:r>
      <w:r w:rsidR="00B0761F" w:rsidRPr="007E77AF">
        <w:rPr>
          <w:rFonts w:eastAsia="Calibri"/>
        </w:rPr>
        <w:t>:</w:t>
      </w:r>
    </w:p>
    <w:p w14:paraId="404E0955" w14:textId="77777777" w:rsidR="005E0DEE" w:rsidRPr="007E77AF" w:rsidRDefault="00433921" w:rsidP="0254E9C6">
      <w:pPr>
        <w:spacing w:before="120" w:after="120" w:line="312" w:lineRule="auto"/>
        <w:ind w:firstLine="567"/>
        <w:jc w:val="both"/>
        <w:rPr>
          <w:rFonts w:eastAsia="Calibri"/>
        </w:rPr>
      </w:pPr>
      <w:r w:rsidRPr="007E77AF">
        <w:rPr>
          <w:rFonts w:eastAsia="Calibri"/>
        </w:rPr>
        <w:t>I –</w:t>
      </w:r>
      <w:r w:rsidR="000E11DA" w:rsidRPr="007E77AF">
        <w:rPr>
          <w:rFonts w:eastAsia="Calibri"/>
        </w:rPr>
        <w:t xml:space="preserve"> </w:t>
      </w:r>
      <w:proofErr w:type="gramStart"/>
      <w:r w:rsidR="171AB01C" w:rsidRPr="007E77AF">
        <w:rPr>
          <w:rFonts w:eastAsia="Calibri"/>
        </w:rPr>
        <w:t>após</w:t>
      </w:r>
      <w:proofErr w:type="gramEnd"/>
      <w:r w:rsidR="171AB01C" w:rsidRPr="007E77AF">
        <w:rPr>
          <w:rFonts w:eastAsia="Calibri"/>
        </w:rPr>
        <w:t xml:space="preserve"> o envio à CVM de todos os documentos exigidos para registro da oferta</w:t>
      </w:r>
      <w:r w:rsidR="005E0DEE" w:rsidRPr="007E77AF">
        <w:rPr>
          <w:rFonts w:eastAsia="Calibri"/>
        </w:rPr>
        <w:t>;</w:t>
      </w:r>
    </w:p>
    <w:p w14:paraId="555EBB76" w14:textId="77777777" w:rsidR="0036476D" w:rsidRPr="007E77AF" w:rsidRDefault="005E0DEE" w:rsidP="0254E9C6">
      <w:pPr>
        <w:spacing w:before="120" w:after="120" w:line="312" w:lineRule="auto"/>
        <w:ind w:firstLine="567"/>
        <w:jc w:val="both"/>
        <w:rPr>
          <w:rFonts w:eastAsia="Calibri"/>
        </w:rPr>
      </w:pPr>
      <w:r w:rsidRPr="007E77AF">
        <w:rPr>
          <w:rFonts w:eastAsia="Calibri"/>
        </w:rPr>
        <w:t xml:space="preserve">II – </w:t>
      </w:r>
      <w:proofErr w:type="gramStart"/>
      <w:r w:rsidR="006C37CC" w:rsidRPr="007E77AF">
        <w:rPr>
          <w:rFonts w:eastAsia="Calibri"/>
        </w:rPr>
        <w:t>se</w:t>
      </w:r>
      <w:proofErr w:type="gramEnd"/>
      <w:r w:rsidR="006C37CC" w:rsidRPr="007E77AF">
        <w:rPr>
          <w:rFonts w:eastAsia="Calibri"/>
        </w:rPr>
        <w:t xml:space="preserve"> o emissor </w:t>
      </w:r>
      <w:r w:rsidR="00CF1DFB" w:rsidRPr="007E77AF">
        <w:rPr>
          <w:rFonts w:eastAsia="Calibri"/>
        </w:rPr>
        <w:t xml:space="preserve">registrado </w:t>
      </w:r>
      <w:proofErr w:type="spellStart"/>
      <w:r w:rsidR="00CF1DFB" w:rsidRPr="007E77AF">
        <w:rPr>
          <w:rFonts w:eastAsia="Calibri"/>
        </w:rPr>
        <w:t>estiver</w:t>
      </w:r>
      <w:proofErr w:type="spellEnd"/>
      <w:r w:rsidR="00CF1DFB" w:rsidRPr="007E77AF">
        <w:rPr>
          <w:rFonts w:eastAsia="Calibri"/>
        </w:rPr>
        <w:t xml:space="preserve"> </w:t>
      </w:r>
      <w:r w:rsidR="00090C3E" w:rsidRPr="007E77AF">
        <w:rPr>
          <w:rFonts w:eastAsia="Calibri"/>
        </w:rPr>
        <w:t xml:space="preserve">em conformidade com as </w:t>
      </w:r>
      <w:r w:rsidR="00613E3C" w:rsidRPr="007E77AF">
        <w:rPr>
          <w:rFonts w:eastAsia="Calibri"/>
        </w:rPr>
        <w:t xml:space="preserve">obrigações </w:t>
      </w:r>
      <w:r w:rsidR="006F77D0" w:rsidRPr="007E77AF">
        <w:rPr>
          <w:rFonts w:eastAsia="Calibri"/>
        </w:rPr>
        <w:t>de envio à CVM</w:t>
      </w:r>
      <w:r w:rsidR="007A7B23" w:rsidRPr="007E77AF">
        <w:rPr>
          <w:rFonts w:eastAsia="Calibri"/>
        </w:rPr>
        <w:t xml:space="preserve"> de </w:t>
      </w:r>
      <w:r w:rsidR="0011592C" w:rsidRPr="007E77AF">
        <w:rPr>
          <w:rFonts w:eastAsia="Calibri"/>
        </w:rPr>
        <w:t>informações</w:t>
      </w:r>
      <w:r w:rsidR="00934EB7" w:rsidRPr="007E77AF">
        <w:rPr>
          <w:rFonts w:eastAsia="Calibri"/>
        </w:rPr>
        <w:t xml:space="preserve"> periódicas</w:t>
      </w:r>
      <w:r w:rsidR="00A9068C" w:rsidRPr="007E77AF">
        <w:rPr>
          <w:rFonts w:eastAsia="Calibri"/>
        </w:rPr>
        <w:t xml:space="preserve"> aplicáveis </w:t>
      </w:r>
      <w:r w:rsidR="007B3AD8" w:rsidRPr="007E77AF">
        <w:rPr>
          <w:rFonts w:eastAsia="Calibri"/>
        </w:rPr>
        <w:t>nos termos da regulamentação específica;</w:t>
      </w:r>
      <w:r w:rsidR="0036476D" w:rsidRPr="007E77AF">
        <w:rPr>
          <w:rFonts w:eastAsia="Calibri"/>
        </w:rPr>
        <w:t xml:space="preserve"> e</w:t>
      </w:r>
    </w:p>
    <w:p w14:paraId="292A8A1E" w14:textId="35F4CA5E" w:rsidR="00D74986" w:rsidRPr="007E77AF" w:rsidRDefault="0036476D" w:rsidP="0254E9C6">
      <w:pPr>
        <w:spacing w:before="120" w:after="120" w:line="312" w:lineRule="auto"/>
        <w:ind w:firstLine="567"/>
        <w:jc w:val="both"/>
      </w:pPr>
      <w:r w:rsidRPr="007E77AF">
        <w:rPr>
          <w:rFonts w:eastAsia="Calibri"/>
        </w:rPr>
        <w:t xml:space="preserve">III – se </w:t>
      </w:r>
      <w:r w:rsidR="004947C5" w:rsidRPr="007E77AF">
        <w:rPr>
          <w:rFonts w:eastAsia="Calibri"/>
        </w:rPr>
        <w:t>as demonstrações financeiras</w:t>
      </w:r>
      <w:r w:rsidR="0053408B" w:rsidRPr="007E77AF">
        <w:t xml:space="preserve"> que servem de base para a oferta pública e instrução do processo de registro na CVM não </w:t>
      </w:r>
      <w:r w:rsidR="00D7263A" w:rsidRPr="007E77AF">
        <w:t>estiverem</w:t>
      </w:r>
      <w:r w:rsidR="0053408B" w:rsidRPr="007E77AF">
        <w:t xml:space="preserve"> acompanhadas de relatório da auditoria independente que contenha opinião modificada sobre as demonstrações financeiras ou seção separada contendo incerteza relevante relacionada à continuidade operacional</w:t>
      </w:r>
      <w:r w:rsidR="171AB01C" w:rsidRPr="007E77AF">
        <w:t>.</w:t>
      </w:r>
    </w:p>
    <w:p w14:paraId="13251927" w14:textId="73EE7212" w:rsidR="00D74986" w:rsidRPr="007E77AF" w:rsidRDefault="00173AA5" w:rsidP="00D74986">
      <w:pPr>
        <w:spacing w:before="120" w:after="120" w:line="312" w:lineRule="auto"/>
        <w:ind w:firstLine="567"/>
        <w:jc w:val="both"/>
      </w:pPr>
      <w:r w:rsidRPr="007E77AF">
        <w:t xml:space="preserve">§ </w:t>
      </w:r>
      <w:r w:rsidR="002671E5" w:rsidRPr="007E77AF">
        <w:t>4</w:t>
      </w:r>
      <w:proofErr w:type="gramStart"/>
      <w:r w:rsidRPr="007E77AF">
        <w:t>º  Os</w:t>
      </w:r>
      <w:proofErr w:type="gramEnd"/>
      <w:r w:rsidRPr="007E77AF">
        <w:t xml:space="preserve"> documentos apresentados no requerimento </w:t>
      </w:r>
      <w:r w:rsidR="3B7D19D9" w:rsidRPr="007E77AF">
        <w:t xml:space="preserve">de registro da oferta </w:t>
      </w:r>
      <w:r w:rsidRPr="007E77AF">
        <w:t>em forma de minuta deve</w:t>
      </w:r>
      <w:r w:rsidR="70A3B7C5" w:rsidRPr="007E77AF">
        <w:t>m</w:t>
      </w:r>
      <w:r w:rsidRPr="007E77AF">
        <w:t xml:space="preserve"> ser submetidos em versões finais e</w:t>
      </w:r>
      <w:r w:rsidR="002E583C" w:rsidRPr="007E77AF">
        <w:t>,</w:t>
      </w:r>
      <w:r w:rsidRPr="007E77AF">
        <w:t xml:space="preserve"> se for o caso</w:t>
      </w:r>
      <w:r w:rsidR="002E583C" w:rsidRPr="007E77AF">
        <w:t>,</w:t>
      </w:r>
      <w:r w:rsidRPr="007E77AF">
        <w:t xml:space="preserve"> assinadas até </w:t>
      </w:r>
      <w:r w:rsidR="00F13ACF" w:rsidRPr="007E77AF">
        <w:t xml:space="preserve">o início do período </w:t>
      </w:r>
      <w:r w:rsidR="003F201F" w:rsidRPr="007E77AF">
        <w:t>de</w:t>
      </w:r>
      <w:r w:rsidR="00F13ACF" w:rsidRPr="007E77AF">
        <w:t xml:space="preserve"> oferta a</w:t>
      </w:r>
      <w:r w:rsidRPr="007E77AF">
        <w:t xml:space="preserve"> mercado ou até o prazo final para a concessão do registro da oferta.</w:t>
      </w:r>
    </w:p>
    <w:p w14:paraId="3860CB49" w14:textId="64E4C596" w:rsidR="00D74986" w:rsidRPr="007E77AF" w:rsidRDefault="009069A1" w:rsidP="001353DC">
      <w:pPr>
        <w:spacing w:before="120" w:after="120" w:line="312" w:lineRule="auto"/>
        <w:ind w:firstLine="567"/>
        <w:jc w:val="both"/>
      </w:pPr>
      <w:r w:rsidRPr="007E77AF">
        <w:t>Art. 30</w:t>
      </w:r>
      <w:r w:rsidR="38D5DB91" w:rsidRPr="007E77AF">
        <w:t xml:space="preserve">.  A </w:t>
      </w:r>
      <w:r w:rsidR="6D1C24A9" w:rsidRPr="007E77AF">
        <w:t>SRE</w:t>
      </w:r>
      <w:r w:rsidR="382506EE" w:rsidRPr="007E77AF">
        <w:t xml:space="preserve"> </w:t>
      </w:r>
      <w:r w:rsidR="38D5DB91" w:rsidRPr="007E77AF">
        <w:t>pode, a qualquer tempo:</w:t>
      </w:r>
    </w:p>
    <w:p w14:paraId="6EA5F6D6" w14:textId="77777777" w:rsidR="00D74986" w:rsidRPr="007E77AF" w:rsidRDefault="00B06112" w:rsidP="00D74986">
      <w:pPr>
        <w:spacing w:before="120" w:after="120" w:line="312" w:lineRule="auto"/>
        <w:ind w:firstLine="567"/>
        <w:jc w:val="both"/>
      </w:pPr>
      <w:r w:rsidRPr="007E77AF">
        <w:lastRenderedPageBreak/>
        <w:t xml:space="preserve">I – </w:t>
      </w:r>
      <w:proofErr w:type="gramStart"/>
      <w:r w:rsidRPr="007E77AF">
        <w:t>exigir</w:t>
      </w:r>
      <w:proofErr w:type="gramEnd"/>
      <w:r w:rsidRPr="007E77AF">
        <w:t xml:space="preserve"> a adequação das informações prestadas às disposições legais e regulamentares pertinentes; ou</w:t>
      </w:r>
    </w:p>
    <w:p w14:paraId="43422805" w14:textId="2E497326" w:rsidR="00AB6E0E" w:rsidRPr="007E77AF" w:rsidRDefault="00B06112" w:rsidP="00E308DD">
      <w:pPr>
        <w:spacing w:before="120" w:after="120" w:line="312" w:lineRule="auto"/>
        <w:ind w:firstLine="567"/>
        <w:jc w:val="both"/>
      </w:pPr>
      <w:r w:rsidRPr="007E77AF">
        <w:t xml:space="preserve">II </w:t>
      </w:r>
      <w:r w:rsidR="00CF24AA" w:rsidRPr="007E77AF">
        <w:t>–</w:t>
      </w:r>
      <w:r w:rsidRPr="007E77AF">
        <w:t xml:space="preserve"> </w:t>
      </w:r>
      <w:proofErr w:type="gramStart"/>
      <w:r w:rsidRPr="007E77AF">
        <w:t>suspender</w:t>
      </w:r>
      <w:r w:rsidR="00CF24AA" w:rsidRPr="007E77AF">
        <w:t xml:space="preserve"> </w:t>
      </w:r>
      <w:r w:rsidRPr="007E77AF">
        <w:t>ou cancelar</w:t>
      </w:r>
      <w:proofErr w:type="gramEnd"/>
      <w:r w:rsidRPr="007E77AF">
        <w:t xml:space="preserve"> a oferta de distribuição, nos termos do art. </w:t>
      </w:r>
      <w:r w:rsidR="000425DB">
        <w:t>70</w:t>
      </w:r>
      <w:r w:rsidRPr="007E77AF">
        <w:t>.</w:t>
      </w:r>
    </w:p>
    <w:p w14:paraId="0A4D7422" w14:textId="24DD652E" w:rsidR="00D74986" w:rsidRPr="007E77AF" w:rsidRDefault="25BB19EF" w:rsidP="006B018B">
      <w:pPr>
        <w:pStyle w:val="Seo"/>
        <w:rPr>
          <w:bCs/>
        </w:rPr>
      </w:pPr>
      <w:bookmarkStart w:id="165" w:name="_Toc467256277"/>
      <w:bookmarkStart w:id="166" w:name="_Toc476216327"/>
      <w:bookmarkStart w:id="167" w:name="_Toc108516048"/>
      <w:bookmarkStart w:id="168" w:name="_Toc108203079"/>
      <w:bookmarkStart w:id="169" w:name="_Toc136502819"/>
      <w:r w:rsidRPr="007E77AF">
        <w:t>S</w:t>
      </w:r>
      <w:r w:rsidR="00C64F85" w:rsidRPr="007E77AF">
        <w:t>ubs</w:t>
      </w:r>
      <w:r w:rsidRPr="007E77AF">
        <w:t xml:space="preserve">eção </w:t>
      </w:r>
      <w:r w:rsidR="00BB7106" w:rsidRPr="007E77AF">
        <w:t xml:space="preserve">III </w:t>
      </w:r>
      <w:r w:rsidRPr="007E77AF">
        <w:t xml:space="preserve">– Análise </w:t>
      </w:r>
      <w:r w:rsidR="00695A7D" w:rsidRPr="007E77AF">
        <w:t>R</w:t>
      </w:r>
      <w:r w:rsidRPr="007E77AF">
        <w:t xml:space="preserve">eservada de </w:t>
      </w:r>
      <w:r w:rsidR="00695A7D" w:rsidRPr="007E77AF">
        <w:t>R</w:t>
      </w:r>
      <w:r w:rsidR="005C74F1" w:rsidRPr="007E77AF">
        <w:t xml:space="preserve">equerimentos </w:t>
      </w:r>
      <w:r w:rsidRPr="007E77AF">
        <w:t xml:space="preserve">de </w:t>
      </w:r>
      <w:r w:rsidR="00695A7D" w:rsidRPr="007E77AF">
        <w:t>R</w:t>
      </w:r>
      <w:r w:rsidRPr="007E77AF">
        <w:t>egistro</w:t>
      </w:r>
      <w:bookmarkEnd w:id="165"/>
      <w:bookmarkEnd w:id="166"/>
      <w:bookmarkEnd w:id="167"/>
      <w:bookmarkEnd w:id="168"/>
      <w:bookmarkEnd w:id="169"/>
    </w:p>
    <w:p w14:paraId="4B5DE83D" w14:textId="0343493C" w:rsidR="00D74986" w:rsidRPr="007E77AF" w:rsidRDefault="009069A1" w:rsidP="001353DC">
      <w:pPr>
        <w:spacing w:before="120" w:after="120" w:line="312" w:lineRule="auto"/>
        <w:ind w:firstLine="567"/>
        <w:jc w:val="both"/>
      </w:pPr>
      <w:bookmarkStart w:id="170" w:name="_Ref460492381"/>
      <w:r w:rsidRPr="007E77AF">
        <w:t>Art. 31</w:t>
      </w:r>
      <w:r w:rsidR="25BB19EF" w:rsidRPr="007E77AF">
        <w:t>.  Caso seja requerid</w:t>
      </w:r>
      <w:r w:rsidR="47E9A316" w:rsidRPr="007E77AF">
        <w:t>a,</w:t>
      </w:r>
      <w:r w:rsidR="25BB19EF" w:rsidRPr="007E77AF">
        <w:t xml:space="preserve"> a análise </w:t>
      </w:r>
      <w:r w:rsidR="006B5C05" w:rsidRPr="007E77AF">
        <w:t xml:space="preserve">do requerimento do registro </w:t>
      </w:r>
      <w:r w:rsidR="00F87631" w:rsidRPr="007E77AF">
        <w:t xml:space="preserve">de oferta pública de distribuição </w:t>
      </w:r>
      <w:r w:rsidR="00F671C0" w:rsidRPr="007E77AF">
        <w:t xml:space="preserve">seguindo o </w:t>
      </w:r>
      <w:r w:rsidR="002F16A3" w:rsidRPr="007E77AF">
        <w:t>rito de registro</w:t>
      </w:r>
      <w:r w:rsidR="00F671C0" w:rsidRPr="007E77AF">
        <w:t xml:space="preserve"> ordinário</w:t>
      </w:r>
      <w:r w:rsidR="00DF2401" w:rsidRPr="007E77AF">
        <w:t xml:space="preserve"> </w:t>
      </w:r>
      <w:r w:rsidR="25BB19EF" w:rsidRPr="007E77AF">
        <w:t xml:space="preserve">pode ser conduzida </w:t>
      </w:r>
      <w:r w:rsidR="00AF1645" w:rsidRPr="007E77AF">
        <w:t xml:space="preserve">pela </w:t>
      </w:r>
      <w:r w:rsidR="00233FB7" w:rsidRPr="007E77AF">
        <w:t>SRE</w:t>
      </w:r>
      <w:r w:rsidR="25BB19EF" w:rsidRPr="007E77AF">
        <w:t xml:space="preserve"> de forma reservada</w:t>
      </w:r>
      <w:r w:rsidR="00332ECE" w:rsidRPr="007E77AF">
        <w:t>,</w:t>
      </w:r>
      <w:r w:rsidR="25BB19EF" w:rsidRPr="007E77AF">
        <w:t xml:space="preserve"> </w:t>
      </w:r>
      <w:r w:rsidR="0070055F" w:rsidRPr="007E77AF">
        <w:t xml:space="preserve">conforme os prazos e procedimentos constantes </w:t>
      </w:r>
      <w:r w:rsidR="00A67B0C" w:rsidRPr="007E77AF">
        <w:t xml:space="preserve">da </w:t>
      </w:r>
      <w:r w:rsidR="00456592" w:rsidRPr="007E77AF">
        <w:t>Subs</w:t>
      </w:r>
      <w:r w:rsidR="00A67B0C" w:rsidRPr="007E77AF">
        <w:t xml:space="preserve">eção </w:t>
      </w:r>
      <w:r w:rsidR="00456592" w:rsidRPr="007E77AF">
        <w:t>I</w:t>
      </w:r>
      <w:r w:rsidR="00B42A9D" w:rsidRPr="007E77AF">
        <w:t xml:space="preserve">V </w:t>
      </w:r>
      <w:r w:rsidR="00E678C2">
        <w:t xml:space="preserve">da Seção III </w:t>
      </w:r>
      <w:r w:rsidR="00A67B0C" w:rsidRPr="007E77AF">
        <w:t>deste Capítulo</w:t>
      </w:r>
      <w:r w:rsidR="005D706F" w:rsidRPr="007E77AF">
        <w:t>,</w:t>
      </w:r>
      <w:r w:rsidR="0070055F" w:rsidRPr="007E77AF">
        <w:t xml:space="preserve"> </w:t>
      </w:r>
      <w:r w:rsidR="25BB19EF" w:rsidRPr="007E77AF">
        <w:t xml:space="preserve">até a data em que ocorrer o deferimento do registro ou a divulgação </w:t>
      </w:r>
      <w:r w:rsidR="00C67EAF" w:rsidRPr="007E77AF">
        <w:t>d</w:t>
      </w:r>
      <w:r w:rsidR="25BB19EF" w:rsidRPr="007E77AF">
        <w:t xml:space="preserve">e </w:t>
      </w:r>
      <w:r w:rsidR="3CD8C897" w:rsidRPr="007E77AF">
        <w:t>p</w:t>
      </w:r>
      <w:r w:rsidR="25BB19EF" w:rsidRPr="007E77AF">
        <w:t>rospecto</w:t>
      </w:r>
      <w:r w:rsidR="001516CC" w:rsidRPr="007E77AF">
        <w:t>,</w:t>
      </w:r>
      <w:r w:rsidR="25BB19EF" w:rsidRPr="007E77AF">
        <w:t xml:space="preserve"> </w:t>
      </w:r>
      <w:r w:rsidR="3E5E0E6B" w:rsidRPr="007E77AF">
        <w:t>p</w:t>
      </w:r>
      <w:r w:rsidR="25BB19EF" w:rsidRPr="007E77AF">
        <w:t>reliminar</w:t>
      </w:r>
      <w:r w:rsidR="00EF460F" w:rsidRPr="007E77AF">
        <w:t xml:space="preserve"> ou </w:t>
      </w:r>
      <w:r w:rsidR="4FD4AC36" w:rsidRPr="007E77AF">
        <w:t>d</w:t>
      </w:r>
      <w:r w:rsidR="00EF460F" w:rsidRPr="007E77AF">
        <w:t>efinitivo</w:t>
      </w:r>
      <w:r w:rsidR="25BB19EF" w:rsidRPr="007E77AF">
        <w:t>, o que ocorrer primeir</w:t>
      </w:r>
      <w:r w:rsidR="00912FAD" w:rsidRPr="007E77AF">
        <w:t>o.</w:t>
      </w:r>
      <w:bookmarkEnd w:id="170"/>
    </w:p>
    <w:p w14:paraId="5AB895EB" w14:textId="08DA85FA" w:rsidR="00D74986" w:rsidRPr="007E77AF" w:rsidRDefault="560CCF2B" w:rsidP="00D74986">
      <w:pPr>
        <w:spacing w:before="120" w:after="120" w:line="312" w:lineRule="auto"/>
        <w:ind w:firstLine="567"/>
        <w:jc w:val="both"/>
      </w:pPr>
      <w:r w:rsidRPr="007E77AF">
        <w:t>§ 1</w:t>
      </w:r>
      <w:proofErr w:type="gramStart"/>
      <w:r w:rsidRPr="007E77AF">
        <w:t xml:space="preserve">º  </w:t>
      </w:r>
      <w:r w:rsidR="104EBEA3" w:rsidRPr="007E77AF">
        <w:t>É</w:t>
      </w:r>
      <w:proofErr w:type="gramEnd"/>
      <w:r w:rsidR="104EBEA3" w:rsidRPr="007E77AF">
        <w:t xml:space="preserve"> facultado ao ofertante </w:t>
      </w:r>
      <w:r w:rsidR="09B4DD7D" w:rsidRPr="007E77AF">
        <w:t>dar publicidade à existência do pedido de oferta, restringindo o tratamento reservado apenas a</w:t>
      </w:r>
      <w:r w:rsidR="104EBEA3" w:rsidRPr="007E77AF">
        <w:t xml:space="preserve">os documentos submetidos à </w:t>
      </w:r>
      <w:r w:rsidR="00233FB7" w:rsidRPr="007E77AF">
        <w:t>SRE</w:t>
      </w:r>
      <w:r w:rsidR="104EBEA3" w:rsidRPr="007E77AF">
        <w:t xml:space="preserve"> para fins de análise do requerimento do registro</w:t>
      </w:r>
      <w:r w:rsidR="180F22A1" w:rsidRPr="007E77AF">
        <w:t>.</w:t>
      </w:r>
    </w:p>
    <w:p w14:paraId="65177E38" w14:textId="42528F14" w:rsidR="00D74986" w:rsidRPr="007E77AF" w:rsidRDefault="104EBEA3" w:rsidP="00D74986">
      <w:pPr>
        <w:spacing w:before="120" w:after="120" w:line="312" w:lineRule="auto"/>
        <w:ind w:firstLine="567"/>
        <w:jc w:val="both"/>
      </w:pPr>
      <w:r w:rsidRPr="007E77AF">
        <w:t>§ 2</w:t>
      </w:r>
      <w:proofErr w:type="gramStart"/>
      <w:r w:rsidRPr="007E77AF">
        <w:t>º</w:t>
      </w:r>
      <w:r w:rsidR="560CCF2B" w:rsidRPr="007E77AF">
        <w:t xml:space="preserve">  O</w:t>
      </w:r>
      <w:proofErr w:type="gramEnd"/>
      <w:r w:rsidR="560CCF2B" w:rsidRPr="007E77AF">
        <w:t xml:space="preserve"> ofertante pode requerer, a qualquer momento, o término do caráter reservado da análise do</w:t>
      </w:r>
      <w:r w:rsidR="5691014D" w:rsidRPr="007E77AF">
        <w:t xml:space="preserve"> requerimento do registro da oferta por parte da </w:t>
      </w:r>
      <w:r w:rsidR="00233FB7" w:rsidRPr="007E77AF">
        <w:t>SRE</w:t>
      </w:r>
      <w:r w:rsidR="5691014D" w:rsidRPr="007E77AF">
        <w:t>.</w:t>
      </w:r>
    </w:p>
    <w:p w14:paraId="2C262363" w14:textId="540C471F" w:rsidR="00D74986" w:rsidRPr="007E77AF" w:rsidRDefault="6B83AAC0" w:rsidP="00D74986">
      <w:pPr>
        <w:spacing w:before="120" w:after="120" w:line="312" w:lineRule="auto"/>
        <w:ind w:firstLine="567"/>
        <w:jc w:val="both"/>
      </w:pPr>
      <w:r w:rsidRPr="007E77AF">
        <w:t xml:space="preserve">§ </w:t>
      </w:r>
      <w:r w:rsidR="456D6A9C" w:rsidRPr="007E77AF">
        <w:t>3</w:t>
      </w:r>
      <w:proofErr w:type="gramStart"/>
      <w:r w:rsidRPr="007E77AF">
        <w:t>º</w:t>
      </w:r>
      <w:r w:rsidR="003728AD" w:rsidRPr="007E77AF">
        <w:t xml:space="preserve">  Na</w:t>
      </w:r>
      <w:proofErr w:type="gramEnd"/>
      <w:r w:rsidR="003728AD" w:rsidRPr="007E77AF">
        <w:t xml:space="preserve"> hipótese de oferta pública secundária, não é afastado o dever de cooperação do emissor, conforme o </w:t>
      </w:r>
      <w:r w:rsidR="00757ACD" w:rsidRPr="007E77AF">
        <w:t xml:space="preserve">§ </w:t>
      </w:r>
      <w:r w:rsidR="002B0B7A" w:rsidRPr="007E77AF">
        <w:t>4</w:t>
      </w:r>
      <w:r w:rsidR="00757ACD" w:rsidRPr="007E77AF">
        <w:t xml:space="preserve">º do </w:t>
      </w:r>
      <w:r w:rsidR="003728AD" w:rsidRPr="007E77AF">
        <w:t xml:space="preserve">art. </w:t>
      </w:r>
      <w:r w:rsidR="0086760A" w:rsidRPr="007E77AF">
        <w:t>17</w:t>
      </w:r>
      <w:r w:rsidR="003728AD" w:rsidRPr="007E77AF">
        <w:t>, que deve ser exercido levando em consideração o caráter reservado do requerimento de registro.</w:t>
      </w:r>
    </w:p>
    <w:p w14:paraId="7A55030A" w14:textId="7DFCD8D3" w:rsidR="00D74986" w:rsidRPr="007E77AF" w:rsidRDefault="009069A1" w:rsidP="001353DC">
      <w:pPr>
        <w:spacing w:before="120" w:after="120" w:line="312" w:lineRule="auto"/>
        <w:ind w:firstLine="567"/>
        <w:jc w:val="both"/>
      </w:pPr>
      <w:r w:rsidRPr="007E77AF">
        <w:t>Art. 32</w:t>
      </w:r>
      <w:r w:rsidR="35120B2E" w:rsidRPr="007E77AF">
        <w:rPr>
          <w:bCs/>
        </w:rPr>
        <w:t xml:space="preserve">.  </w:t>
      </w:r>
      <w:r w:rsidR="78F6EEA8" w:rsidRPr="007E77AF">
        <w:t xml:space="preserve">A condução da análise reservada prevista no art. </w:t>
      </w:r>
      <w:r w:rsidR="0086760A" w:rsidRPr="007E77AF">
        <w:rPr>
          <w:bCs/>
        </w:rPr>
        <w:t>31</w:t>
      </w:r>
      <w:r w:rsidR="6B056B2F" w:rsidRPr="007E77AF">
        <w:rPr>
          <w:bCs/>
        </w:rPr>
        <w:t xml:space="preserve"> </w:t>
      </w:r>
      <w:r w:rsidR="78F6EEA8" w:rsidRPr="007E77AF">
        <w:t>somente é possível se solicitada simultaneamente com o protocolo inicial do requerimento de registro da oferta pública de distribuição.</w:t>
      </w:r>
    </w:p>
    <w:p w14:paraId="1691F310" w14:textId="0B7FBA6E" w:rsidR="00D74986" w:rsidRPr="007E77AF" w:rsidRDefault="004430B9" w:rsidP="00D74986">
      <w:pPr>
        <w:spacing w:before="120" w:after="120" w:line="312" w:lineRule="auto"/>
        <w:ind w:firstLine="567"/>
        <w:jc w:val="both"/>
      </w:pPr>
      <w:r w:rsidRPr="007E77AF">
        <w:t>§ 1</w:t>
      </w:r>
      <w:proofErr w:type="gramStart"/>
      <w:r w:rsidR="009F60AF" w:rsidRPr="007E77AF">
        <w:t>º</w:t>
      </w:r>
      <w:r w:rsidRPr="007E77AF">
        <w:t xml:space="preserve">  </w:t>
      </w:r>
      <w:r w:rsidR="25BB19EF" w:rsidRPr="007E77AF">
        <w:t>O</w:t>
      </w:r>
      <w:proofErr w:type="gramEnd"/>
      <w:r w:rsidR="25BB19EF" w:rsidRPr="007E77AF">
        <w:t xml:space="preserve"> </w:t>
      </w:r>
      <w:r w:rsidR="00387BF0" w:rsidRPr="007E77AF">
        <w:t xml:space="preserve">ofertante </w:t>
      </w:r>
      <w:r w:rsidR="25BB19EF" w:rsidRPr="007E77AF">
        <w:t xml:space="preserve">deve declarar </w:t>
      </w:r>
      <w:r w:rsidR="002E0DB8" w:rsidRPr="007E77AF">
        <w:t xml:space="preserve">no requerimento de registro </w:t>
      </w:r>
      <w:r w:rsidR="62305D80" w:rsidRPr="007E77AF">
        <w:t xml:space="preserve">da oferta </w:t>
      </w:r>
      <w:r w:rsidR="25BB19EF" w:rsidRPr="007E77AF">
        <w:t>a justificativa para o sigilo, incluindo</w:t>
      </w:r>
      <w:r w:rsidR="79A6AE0A" w:rsidRPr="007E77AF">
        <w:t xml:space="preserve">, nos termos da Lei de Acesso à Informação </w:t>
      </w:r>
      <w:r w:rsidR="00E678C2" w:rsidRPr="007E77AF">
        <w:t>–</w:t>
      </w:r>
      <w:r w:rsidR="79A6AE0A" w:rsidRPr="007E77AF">
        <w:t xml:space="preserve"> LAI,</w:t>
      </w:r>
      <w:r w:rsidR="25BB19EF" w:rsidRPr="007E77AF">
        <w:t xml:space="preserve"> as razões pelas quais a sua divulgação pode representar vantagem competitiva a outros agentes econômicos ou </w:t>
      </w:r>
      <w:r w:rsidR="008617CE" w:rsidRPr="007E77AF">
        <w:t xml:space="preserve">pôr </w:t>
      </w:r>
      <w:r w:rsidR="25BB19EF" w:rsidRPr="007E77AF">
        <w:t xml:space="preserve">em risco interesse legítimo </w:t>
      </w:r>
      <w:r w:rsidR="00912FAD" w:rsidRPr="007E77AF">
        <w:t>do ofertante</w:t>
      </w:r>
      <w:r w:rsidR="25BB19EF" w:rsidRPr="007E77AF">
        <w:t xml:space="preserve">, sendo que, uma vez apresentada tal declaração, o tratamento reservado </w:t>
      </w:r>
      <w:r w:rsidR="00914F7E" w:rsidRPr="007E77AF">
        <w:t xml:space="preserve">deve ser </w:t>
      </w:r>
      <w:r w:rsidR="25BB19EF" w:rsidRPr="007E77AF">
        <w:t>deferido pelas áreas técnicas</w:t>
      </w:r>
      <w:r w:rsidR="005E7860" w:rsidRPr="007E77AF">
        <w:t>.</w:t>
      </w:r>
    </w:p>
    <w:p w14:paraId="6DA041E9" w14:textId="27DAECB0" w:rsidR="00D74986" w:rsidRPr="007E77AF" w:rsidRDefault="004430B9" w:rsidP="00D74986">
      <w:pPr>
        <w:spacing w:before="120" w:after="120" w:line="312" w:lineRule="auto"/>
        <w:ind w:firstLine="567"/>
        <w:jc w:val="both"/>
      </w:pPr>
      <w:r w:rsidRPr="007E77AF">
        <w:t>§ 2</w:t>
      </w:r>
      <w:proofErr w:type="gramStart"/>
      <w:r w:rsidR="009F60AF" w:rsidRPr="007E77AF">
        <w:t>º</w:t>
      </w:r>
      <w:r w:rsidRPr="007E77AF">
        <w:t xml:space="preserve"> </w:t>
      </w:r>
      <w:r w:rsidR="00110AB2" w:rsidRPr="007E77AF">
        <w:t xml:space="preserve"> </w:t>
      </w:r>
      <w:r w:rsidR="25BB19EF" w:rsidRPr="007E77AF">
        <w:t>Na</w:t>
      </w:r>
      <w:proofErr w:type="gramEnd"/>
      <w:r w:rsidR="25BB19EF" w:rsidRPr="007E77AF">
        <w:t xml:space="preserve"> hipótese de solicitação de análise reservada de </w:t>
      </w:r>
      <w:r w:rsidR="3300A19A" w:rsidRPr="007E77AF">
        <w:t>requerimento</w:t>
      </w:r>
      <w:r w:rsidR="25BB19EF" w:rsidRPr="007E77AF">
        <w:t xml:space="preserve"> de registro de oferta subsequente, o emissor deve indicar o período durante o qual tal informação deve se manter reservada se houver desistência ou indeferimento.</w:t>
      </w:r>
    </w:p>
    <w:p w14:paraId="640667DB" w14:textId="4296A22E" w:rsidR="00D74986" w:rsidRPr="007E77AF" w:rsidRDefault="009069A1" w:rsidP="001353DC">
      <w:pPr>
        <w:spacing w:before="120" w:after="120" w:line="312" w:lineRule="auto"/>
        <w:ind w:firstLine="567"/>
        <w:jc w:val="both"/>
      </w:pPr>
      <w:bookmarkStart w:id="171" w:name="_Ref464390999"/>
      <w:r w:rsidRPr="007E77AF">
        <w:t>Art. 33</w:t>
      </w:r>
      <w:r w:rsidR="35120B2E" w:rsidRPr="007E77AF">
        <w:t>.  As entidades administradoras de mercados organizados em que s</w:t>
      </w:r>
      <w:r w:rsidR="00FD6B94" w:rsidRPr="007E77AF">
        <w:t>ão</w:t>
      </w:r>
      <w:r w:rsidR="35120B2E" w:rsidRPr="007E77AF">
        <w:t xml:space="preserve"> admitidas à negociação </w:t>
      </w:r>
      <w:r w:rsidR="18377A86" w:rsidRPr="007E77AF">
        <w:t xml:space="preserve">os valores mobiliários </w:t>
      </w:r>
      <w:r w:rsidR="35120B2E" w:rsidRPr="007E77AF">
        <w:t>objeto da oferta pública de distribuição também devem adotar procedimentos para garantir o sigilo do pedido de análise de registro da oferta pública.</w:t>
      </w:r>
      <w:bookmarkEnd w:id="171"/>
    </w:p>
    <w:p w14:paraId="3C34A45C" w14:textId="041CD401" w:rsidR="00D74986" w:rsidRPr="007E77AF" w:rsidRDefault="009069A1" w:rsidP="001353DC">
      <w:pPr>
        <w:spacing w:before="120" w:after="120" w:line="312" w:lineRule="auto"/>
        <w:ind w:firstLine="567"/>
        <w:jc w:val="both"/>
      </w:pPr>
      <w:r w:rsidRPr="007E77AF">
        <w:lastRenderedPageBreak/>
        <w:t>Art. 34</w:t>
      </w:r>
      <w:r w:rsidR="10200DFE" w:rsidRPr="007E77AF">
        <w:t xml:space="preserve">.  As entidades autorreguladoras </w:t>
      </w:r>
      <w:r w:rsidR="708E1EF1" w:rsidRPr="007E77AF">
        <w:t xml:space="preserve">autorizadas pela CVM </w:t>
      </w:r>
      <w:r w:rsidR="10200DFE" w:rsidRPr="007E77AF">
        <w:t xml:space="preserve">que conduzam análises prévias </w:t>
      </w:r>
      <w:r w:rsidR="708E1EF1" w:rsidRPr="007E77AF">
        <w:t xml:space="preserve">de </w:t>
      </w:r>
      <w:r w:rsidR="3B5611C0" w:rsidRPr="007E77AF">
        <w:t xml:space="preserve">requerimento </w:t>
      </w:r>
      <w:r w:rsidR="708E1EF1" w:rsidRPr="007E77AF">
        <w:t xml:space="preserve">de registro </w:t>
      </w:r>
      <w:r w:rsidR="10200DFE" w:rsidRPr="007E77AF">
        <w:t xml:space="preserve">também devem adotar procedimentos que garantam o sigilo dos seus processos de análise, ficando o ofertante que solicitar a análise reservada dispensado da divulgação </w:t>
      </w:r>
      <w:r w:rsidR="7E29A67D" w:rsidRPr="007E77AF" w:rsidDel="00727205">
        <w:t>de</w:t>
      </w:r>
      <w:r w:rsidR="2E903870" w:rsidRPr="007E77AF" w:rsidDel="00727205">
        <w:t>sta solicitação</w:t>
      </w:r>
      <w:r w:rsidR="7E29A67D" w:rsidRPr="007E77AF">
        <w:t>.</w:t>
      </w:r>
    </w:p>
    <w:p w14:paraId="5BECCC12" w14:textId="3E1FB8AC" w:rsidR="00D74986" w:rsidRPr="007E77AF" w:rsidRDefault="009069A1" w:rsidP="001353DC">
      <w:pPr>
        <w:spacing w:before="120" w:after="120" w:line="312" w:lineRule="auto"/>
        <w:ind w:firstLine="567"/>
        <w:jc w:val="both"/>
      </w:pPr>
      <w:bookmarkStart w:id="172" w:name="_Ref464391011"/>
      <w:r w:rsidRPr="007E77AF">
        <w:t>Art. 35</w:t>
      </w:r>
      <w:r w:rsidR="35120B2E" w:rsidRPr="007E77AF">
        <w:t xml:space="preserve">.  </w:t>
      </w:r>
      <w:r w:rsidR="54AD869B" w:rsidRPr="007E77AF">
        <w:t>Caso</w:t>
      </w:r>
      <w:r w:rsidR="35120B2E" w:rsidRPr="007E77AF">
        <w:t xml:space="preserve"> o </w:t>
      </w:r>
      <w:r w:rsidR="000A3022" w:rsidRPr="007E77AF">
        <w:t xml:space="preserve">requerimento </w:t>
      </w:r>
      <w:r w:rsidR="35120B2E" w:rsidRPr="007E77AF">
        <w:t xml:space="preserve">de registro de oferta pública de distribuição </w:t>
      </w:r>
      <w:r w:rsidR="10E8B49E" w:rsidRPr="007E77AF">
        <w:t>submetida</w:t>
      </w:r>
      <w:r w:rsidR="35120B2E" w:rsidRPr="007E77AF">
        <w:t xml:space="preserve"> </w:t>
      </w:r>
      <w:r w:rsidR="285A325E" w:rsidRPr="007E77AF">
        <w:t>à</w:t>
      </w:r>
      <w:r w:rsidR="35120B2E" w:rsidRPr="007E77AF">
        <w:t xml:space="preserve"> análise reservada </w:t>
      </w:r>
      <w:r w:rsidR="00DF149D" w:rsidRPr="007E77AF">
        <w:t xml:space="preserve">tenha </w:t>
      </w:r>
      <w:r w:rsidR="35120B2E" w:rsidRPr="007E77AF">
        <w:t xml:space="preserve">escapado do controle, o </w:t>
      </w:r>
      <w:r w:rsidR="005E000C" w:rsidRPr="007E77AF">
        <w:t>ofertante</w:t>
      </w:r>
      <w:r w:rsidR="00517041" w:rsidRPr="002C67D2">
        <w:t xml:space="preserve"> deve</w:t>
      </w:r>
      <w:r w:rsidR="00517041" w:rsidRPr="002C67D2">
        <w:rPr>
          <w:rFonts w:cstheme="minorHAnsi"/>
        </w:rPr>
        <w:t>, observadas</w:t>
      </w:r>
      <w:r w:rsidR="35120B2E" w:rsidRPr="007E77AF">
        <w:t xml:space="preserve"> </w:t>
      </w:r>
      <w:r w:rsidR="005923E9" w:rsidRPr="007E77AF">
        <w:t>as regras aplicáveis acerca da divulgação de informações,</w:t>
      </w:r>
      <w:r w:rsidR="35120B2E" w:rsidRPr="007E77AF">
        <w:t xml:space="preserve"> proceder à imediata divulgação </w:t>
      </w:r>
      <w:r w:rsidR="004D14B7" w:rsidRPr="002C67D2">
        <w:rPr>
          <w:rFonts w:cstheme="minorHAnsi"/>
        </w:rPr>
        <w:t xml:space="preserve">sobre o </w:t>
      </w:r>
      <w:r w:rsidR="007A2C22" w:rsidRPr="002C67D2">
        <w:rPr>
          <w:rFonts w:cstheme="minorHAnsi"/>
        </w:rPr>
        <w:t>requerimento</w:t>
      </w:r>
      <w:r w:rsidR="004D14B7" w:rsidRPr="002C67D2">
        <w:rPr>
          <w:rFonts w:cstheme="minorHAnsi"/>
        </w:rPr>
        <w:t xml:space="preserve"> de registro</w:t>
      </w:r>
      <w:r w:rsidR="35120B2E" w:rsidRPr="007E77AF">
        <w:t xml:space="preserve">, bem como informar à </w:t>
      </w:r>
      <w:r w:rsidR="7454F4BA" w:rsidRPr="007E77AF">
        <w:t xml:space="preserve">SRE </w:t>
      </w:r>
      <w:r w:rsidR="35120B2E" w:rsidRPr="007E77AF">
        <w:t xml:space="preserve">para que seja dada publicidade ao </w:t>
      </w:r>
      <w:r w:rsidR="6FE06859" w:rsidRPr="007E77AF">
        <w:t xml:space="preserve">requerimento </w:t>
      </w:r>
      <w:r w:rsidR="35120B2E" w:rsidRPr="007E77AF">
        <w:t>de registro</w:t>
      </w:r>
      <w:r w:rsidR="15AD6EB1" w:rsidRPr="007E77AF">
        <w:t xml:space="preserve">, conforme o caso, </w:t>
      </w:r>
      <w:r w:rsidR="35120B2E" w:rsidRPr="007E77AF">
        <w:t>sem prejuízo da avaliação de eventuais responsabilidades e da eventual suspensão da análise de pedido da oferta</w:t>
      </w:r>
      <w:r w:rsidR="2361CF96" w:rsidRPr="007E77AF">
        <w:t>.</w:t>
      </w:r>
      <w:bookmarkEnd w:id="172"/>
    </w:p>
    <w:p w14:paraId="0F94086F" w14:textId="2A7B93F3" w:rsidR="00E701F1" w:rsidRPr="007E77AF" w:rsidRDefault="003D45B8" w:rsidP="009E6698">
      <w:pPr>
        <w:spacing w:before="120" w:after="120" w:line="312" w:lineRule="auto"/>
        <w:ind w:firstLine="567"/>
        <w:jc w:val="both"/>
      </w:pPr>
      <w:r w:rsidRPr="007E77AF">
        <w:t xml:space="preserve">§ </w:t>
      </w:r>
      <w:r w:rsidR="456BAF01" w:rsidRPr="007E77AF">
        <w:t>1</w:t>
      </w:r>
      <w:proofErr w:type="gramStart"/>
      <w:r w:rsidRPr="007E77AF">
        <w:t>º</w:t>
      </w:r>
      <w:r w:rsidR="00E701F1" w:rsidRPr="007E77AF">
        <w:t xml:space="preserve">  </w:t>
      </w:r>
      <w:r w:rsidR="0404FE7F" w:rsidRPr="007E77AF">
        <w:t>No</w:t>
      </w:r>
      <w:proofErr w:type="gramEnd"/>
      <w:r w:rsidR="0404FE7F" w:rsidRPr="007E77AF">
        <w:t xml:space="preserve"> caso em que se tenha perdido o controle da informaç</w:t>
      </w:r>
      <w:r w:rsidR="20A7E422" w:rsidRPr="007E77AF">
        <w:t>ão</w:t>
      </w:r>
      <w:r w:rsidR="0404FE7F" w:rsidRPr="007E77AF">
        <w:t>,</w:t>
      </w:r>
      <w:r w:rsidR="00E701F1" w:rsidRPr="007E77AF">
        <w:t xml:space="preserve"> </w:t>
      </w:r>
      <w:r w:rsidR="2536BE08" w:rsidRPr="007E77AF">
        <w:t xml:space="preserve">nos termos do </w:t>
      </w:r>
      <w:r w:rsidR="2536BE08" w:rsidRPr="007E77AF">
        <w:rPr>
          <w:b/>
          <w:bCs/>
        </w:rPr>
        <w:t>caput</w:t>
      </w:r>
      <w:r w:rsidR="2536BE08" w:rsidRPr="007E77AF">
        <w:t>, é possível</w:t>
      </w:r>
      <w:r w:rsidR="00E23965" w:rsidRPr="007E77AF">
        <w:t xml:space="preserve"> a manutenção do tratamento reservado, por parte da CVM, dos documentos que subsidiam a análise do requerimento do registro</w:t>
      </w:r>
      <w:r w:rsidR="34433F9A" w:rsidRPr="007E77AF">
        <w:t>, caso o ofertante assim o solicite</w:t>
      </w:r>
      <w:r w:rsidR="73A8701B" w:rsidRPr="007E77AF">
        <w:t xml:space="preserve"> imediatamente após a divulgação de que trata o </w:t>
      </w:r>
      <w:r w:rsidR="73A8701B" w:rsidRPr="007E77AF">
        <w:rPr>
          <w:b/>
          <w:bCs/>
        </w:rPr>
        <w:t>caput</w:t>
      </w:r>
      <w:r w:rsidR="00E23965" w:rsidRPr="007E77AF">
        <w:t>.</w:t>
      </w:r>
    </w:p>
    <w:p w14:paraId="31085B2D" w14:textId="7A273EAC" w:rsidR="1997C897" w:rsidRPr="007E77AF" w:rsidRDefault="0631DA1F" w:rsidP="1997C897">
      <w:pPr>
        <w:spacing w:before="120" w:after="120" w:line="312" w:lineRule="auto"/>
        <w:ind w:firstLine="567"/>
        <w:jc w:val="both"/>
      </w:pPr>
      <w:r w:rsidRPr="007E77AF">
        <w:t xml:space="preserve">§ </w:t>
      </w:r>
      <w:r w:rsidR="103D905B" w:rsidRPr="007E77AF">
        <w:t>2</w:t>
      </w:r>
      <w:proofErr w:type="gramStart"/>
      <w:r w:rsidRPr="007E77AF">
        <w:t xml:space="preserve">º  </w:t>
      </w:r>
      <w:r w:rsidR="00E60759" w:rsidRPr="007E77AF">
        <w:t>Na</w:t>
      </w:r>
      <w:proofErr w:type="gramEnd"/>
      <w:r w:rsidR="00E60759" w:rsidRPr="007E77AF">
        <w:t xml:space="preserve"> hipótese do </w:t>
      </w:r>
      <w:r w:rsidR="00E60759" w:rsidRPr="007E77AF">
        <w:rPr>
          <w:b/>
        </w:rPr>
        <w:t>caput</w:t>
      </w:r>
      <w:r w:rsidR="00E60759" w:rsidRPr="007E77AF">
        <w:t>, n</w:t>
      </w:r>
      <w:r w:rsidRPr="007E77AF">
        <w:t xml:space="preserve">a ausência de divulgação por parte do ofertante, a </w:t>
      </w:r>
      <w:r w:rsidR="00F72BE7" w:rsidRPr="007E77AF">
        <w:t>SRE</w:t>
      </w:r>
      <w:r w:rsidRPr="007E77AF">
        <w:t xml:space="preserve"> </w:t>
      </w:r>
      <w:r w:rsidR="00914F7E" w:rsidRPr="007E77AF">
        <w:t xml:space="preserve">deve </w:t>
      </w:r>
      <w:r w:rsidRPr="007E77AF">
        <w:t>dar publicidade ao requerimento de registro, devendo conferir tratamento público ao processo de registro.</w:t>
      </w:r>
    </w:p>
    <w:p w14:paraId="4E9C94BF" w14:textId="2E0573DA" w:rsidR="00D74986" w:rsidRPr="007E77AF" w:rsidRDefault="63EABB54" w:rsidP="006B018B">
      <w:pPr>
        <w:pStyle w:val="Seo"/>
      </w:pPr>
      <w:bookmarkStart w:id="173" w:name="_Toc467256278"/>
      <w:bookmarkStart w:id="174" w:name="_Toc476216328"/>
      <w:bookmarkStart w:id="175" w:name="_Toc108516049"/>
      <w:bookmarkStart w:id="176" w:name="_Toc108203080"/>
      <w:bookmarkStart w:id="177" w:name="_Toc136502820"/>
      <w:r w:rsidRPr="007E77AF">
        <w:t>S</w:t>
      </w:r>
      <w:r w:rsidR="00BB7106" w:rsidRPr="007E77AF">
        <w:t>ubs</w:t>
      </w:r>
      <w:r w:rsidRPr="007E77AF">
        <w:t xml:space="preserve">eção </w:t>
      </w:r>
      <w:r w:rsidR="00BB7106" w:rsidRPr="007E77AF">
        <w:t>I</w:t>
      </w:r>
      <w:r w:rsidR="00B07F18" w:rsidRPr="007E77AF">
        <w:t>V</w:t>
      </w:r>
      <w:r w:rsidRPr="007E77AF">
        <w:t xml:space="preserve"> – Prazos de </w:t>
      </w:r>
      <w:r w:rsidR="3D327D20" w:rsidRPr="007E77AF">
        <w:t>A</w:t>
      </w:r>
      <w:r w:rsidRPr="007E77AF">
        <w:t>nálise</w:t>
      </w:r>
      <w:r w:rsidR="00EA6D3E" w:rsidRPr="007E77AF">
        <w:t xml:space="preserve"> – </w:t>
      </w:r>
      <w:r w:rsidR="0027355E" w:rsidRPr="007E77AF">
        <w:t>R</w:t>
      </w:r>
      <w:r w:rsidR="002F16A3" w:rsidRPr="007E77AF">
        <w:t xml:space="preserve">ito de </w:t>
      </w:r>
      <w:r w:rsidR="0027355E" w:rsidRPr="007E77AF">
        <w:t>R</w:t>
      </w:r>
      <w:r w:rsidR="002F16A3" w:rsidRPr="007E77AF">
        <w:t>egistro</w:t>
      </w:r>
      <w:r w:rsidR="00EA6D3E" w:rsidRPr="007E77AF">
        <w:t xml:space="preserve"> </w:t>
      </w:r>
      <w:r w:rsidR="00695A7D" w:rsidRPr="007E77AF">
        <w:t>O</w:t>
      </w:r>
      <w:r w:rsidR="00EA6D3E" w:rsidRPr="007E77AF">
        <w:t>rdinário</w:t>
      </w:r>
      <w:r w:rsidR="00094C3E" w:rsidRPr="007E77AF">
        <w:t xml:space="preserve"> de </w:t>
      </w:r>
      <w:r w:rsidR="00695A7D" w:rsidRPr="007E77AF">
        <w:t>D</w:t>
      </w:r>
      <w:r w:rsidR="00094C3E" w:rsidRPr="007E77AF">
        <w:t>istribuição</w:t>
      </w:r>
      <w:bookmarkEnd w:id="173"/>
      <w:bookmarkEnd w:id="174"/>
      <w:bookmarkEnd w:id="175"/>
      <w:bookmarkEnd w:id="176"/>
      <w:bookmarkEnd w:id="177"/>
    </w:p>
    <w:p w14:paraId="23203DAD" w14:textId="0633B5A4" w:rsidR="00D74986" w:rsidRPr="007E77AF" w:rsidRDefault="009069A1" w:rsidP="001353DC">
      <w:pPr>
        <w:spacing w:before="120" w:after="120" w:line="312" w:lineRule="auto"/>
        <w:ind w:firstLine="567"/>
        <w:jc w:val="both"/>
      </w:pPr>
      <w:bookmarkStart w:id="178" w:name="_Ref460754392"/>
      <w:r w:rsidRPr="007E77AF">
        <w:t>Art. 36</w:t>
      </w:r>
      <w:r w:rsidR="7265EE63" w:rsidRPr="007E77AF">
        <w:t>.</w:t>
      </w:r>
      <w:r w:rsidR="00E678C2">
        <w:t xml:space="preserve"> </w:t>
      </w:r>
      <w:r w:rsidR="7265EE63" w:rsidRPr="007E77AF">
        <w:t xml:space="preserve"> A SRE </w:t>
      </w:r>
      <w:r w:rsidR="006B3A6A" w:rsidRPr="007E77AF">
        <w:t>deve</w:t>
      </w:r>
      <w:r w:rsidR="7265EE63" w:rsidRPr="007E77AF">
        <w:t xml:space="preserve"> concluir a análise do </w:t>
      </w:r>
      <w:r w:rsidR="6F2BA2E7" w:rsidRPr="007E77AF">
        <w:t>requerimento</w:t>
      </w:r>
      <w:r w:rsidR="7265EE63" w:rsidRPr="007E77AF">
        <w:t xml:space="preserve"> de registro da oferta</w:t>
      </w:r>
      <w:r w:rsidR="006B3A6A" w:rsidRPr="007E77AF">
        <w:t xml:space="preserve"> </w:t>
      </w:r>
      <w:r w:rsidR="00613E05" w:rsidRPr="007E77AF">
        <w:t xml:space="preserve">no prazo </w:t>
      </w:r>
      <w:r w:rsidR="00EA2689" w:rsidRPr="007E77AF">
        <w:t>máximo de 60 (sessenta) dias</w:t>
      </w:r>
      <w:r w:rsidR="7265EE63" w:rsidRPr="007E77AF">
        <w:t>, contado da data do protocolo de todos os documentos elencados no art.</w:t>
      </w:r>
      <w:r w:rsidR="00A91AEE" w:rsidRPr="007E77AF">
        <w:t xml:space="preserve"> </w:t>
      </w:r>
      <w:r w:rsidR="0086760A" w:rsidRPr="007E77AF">
        <w:t>29</w:t>
      </w:r>
      <w:r w:rsidR="7265EE63" w:rsidRPr="007E77AF">
        <w:t xml:space="preserve">, </w:t>
      </w:r>
      <w:r w:rsidR="62656732" w:rsidRPr="007E77AF">
        <w:t>sendo o registro</w:t>
      </w:r>
      <w:r w:rsidR="143F0688" w:rsidRPr="007E77AF">
        <w:t xml:space="preserve"> </w:t>
      </w:r>
      <w:r w:rsidR="7265EE63" w:rsidRPr="007E77AF">
        <w:t xml:space="preserve">automaticamente </w:t>
      </w:r>
      <w:r w:rsidR="00537B5C" w:rsidRPr="007E77AF">
        <w:t xml:space="preserve">deferido </w:t>
      </w:r>
      <w:r w:rsidR="7265EE63" w:rsidRPr="007E77AF">
        <w:t>se não houver manifestação da SRE neste prazo.</w:t>
      </w:r>
      <w:bookmarkEnd w:id="178"/>
    </w:p>
    <w:p w14:paraId="56A1FF61" w14:textId="02F01B6E" w:rsidR="00D74986" w:rsidRPr="007E77AF" w:rsidRDefault="009069A1" w:rsidP="001353DC">
      <w:pPr>
        <w:spacing w:before="120" w:after="120" w:line="312" w:lineRule="auto"/>
        <w:ind w:firstLine="567"/>
        <w:jc w:val="both"/>
      </w:pPr>
      <w:bookmarkStart w:id="179" w:name="_Ref467189554"/>
      <w:r w:rsidRPr="007E77AF">
        <w:t>Art. 37</w:t>
      </w:r>
      <w:r w:rsidR="00451BAB" w:rsidRPr="007E77AF">
        <w:t>.</w:t>
      </w:r>
      <w:r w:rsidR="00E678C2">
        <w:t xml:space="preserve"> </w:t>
      </w:r>
      <w:r w:rsidR="00451BAB" w:rsidRPr="007E77AF">
        <w:t xml:space="preserve"> Caso qualquer dos documentos elencados no art.</w:t>
      </w:r>
      <w:r w:rsidR="00A91AEE" w:rsidRPr="007E77AF">
        <w:t xml:space="preserve"> </w:t>
      </w:r>
      <w:r w:rsidR="0086760A" w:rsidRPr="007E77AF">
        <w:t>29</w:t>
      </w:r>
      <w:r w:rsidR="00451BAB" w:rsidRPr="007E77AF">
        <w:t xml:space="preserve">, necessários à análise do pedido de registro da oferta, não seja protocolado no momento do requerimento, o prazo de que trata o </w:t>
      </w:r>
      <w:r w:rsidR="0068434B" w:rsidRPr="007E77AF">
        <w:t>art. 36</w:t>
      </w:r>
      <w:r w:rsidR="005009B8" w:rsidRPr="007E77AF">
        <w:t xml:space="preserve"> </w:t>
      </w:r>
      <w:r w:rsidR="00AB77CC" w:rsidRPr="007E77AF">
        <w:t xml:space="preserve">é </w:t>
      </w:r>
      <w:r w:rsidR="00451BAB" w:rsidRPr="007E77AF">
        <w:t>contado da data d</w:t>
      </w:r>
      <w:r w:rsidR="33A9928F" w:rsidRPr="007E77AF">
        <w:t>o</w:t>
      </w:r>
      <w:r w:rsidR="00451BAB" w:rsidRPr="007E77AF">
        <w:t xml:space="preserve"> protocolo do último documento que complete a instrução do processo de requerimento de registro.</w:t>
      </w:r>
      <w:bookmarkEnd w:id="179"/>
    </w:p>
    <w:p w14:paraId="7FA6C566" w14:textId="627435A0" w:rsidR="00D74986" w:rsidRDefault="00C91CC8" w:rsidP="00D74986">
      <w:pPr>
        <w:spacing w:before="120" w:after="120" w:line="312" w:lineRule="auto"/>
        <w:ind w:firstLine="708"/>
        <w:jc w:val="both"/>
        <w:rPr>
          <w:strike/>
        </w:rPr>
      </w:pPr>
      <w:r w:rsidRPr="004511EB">
        <w:rPr>
          <w:strike/>
        </w:rPr>
        <w:t>§ 1</w:t>
      </w:r>
      <w:proofErr w:type="gramStart"/>
      <w:r w:rsidRPr="004511EB">
        <w:rPr>
          <w:strike/>
        </w:rPr>
        <w:t>º</w:t>
      </w:r>
      <w:r w:rsidR="0D97E0A6" w:rsidRPr="004511EB">
        <w:rPr>
          <w:strike/>
        </w:rPr>
        <w:t xml:space="preserve">  A</w:t>
      </w:r>
      <w:proofErr w:type="gramEnd"/>
      <w:r w:rsidR="0D97E0A6" w:rsidRPr="004511EB">
        <w:rPr>
          <w:strike/>
        </w:rPr>
        <w:t xml:space="preserve"> SRE deve informar, </w:t>
      </w:r>
      <w:r w:rsidR="004B2960" w:rsidRPr="004511EB">
        <w:rPr>
          <w:strike/>
        </w:rPr>
        <w:t xml:space="preserve">no prazo de </w:t>
      </w:r>
      <w:r w:rsidR="0D97E0A6" w:rsidRPr="004511EB">
        <w:rPr>
          <w:strike/>
        </w:rPr>
        <w:t xml:space="preserve">até 10 (dez) dias </w:t>
      </w:r>
      <w:r w:rsidR="7EAC4C99" w:rsidRPr="004511EB">
        <w:rPr>
          <w:strike/>
        </w:rPr>
        <w:t xml:space="preserve">contado </w:t>
      </w:r>
      <w:r w:rsidR="0D97E0A6" w:rsidRPr="004511EB">
        <w:rPr>
          <w:strike/>
        </w:rPr>
        <w:t xml:space="preserve">do protocolo, </w:t>
      </w:r>
      <w:r w:rsidR="0710484C" w:rsidRPr="004511EB">
        <w:rPr>
          <w:strike/>
        </w:rPr>
        <w:t>sobre</w:t>
      </w:r>
      <w:r w:rsidR="778831CC" w:rsidRPr="004511EB">
        <w:rPr>
          <w:strike/>
        </w:rPr>
        <w:t xml:space="preserve"> a </w:t>
      </w:r>
      <w:r w:rsidR="40D50026" w:rsidRPr="004511EB">
        <w:rPr>
          <w:strike/>
        </w:rPr>
        <w:t xml:space="preserve">suficiência </w:t>
      </w:r>
      <w:r w:rsidR="778831CC" w:rsidRPr="004511EB">
        <w:rPr>
          <w:strike/>
        </w:rPr>
        <w:t xml:space="preserve">dos documentos </w:t>
      </w:r>
      <w:r w:rsidR="4D12AC6D" w:rsidRPr="004511EB">
        <w:rPr>
          <w:strike/>
        </w:rPr>
        <w:t xml:space="preserve">submetidos </w:t>
      </w:r>
      <w:r w:rsidR="778831CC" w:rsidRPr="004511EB">
        <w:rPr>
          <w:strike/>
        </w:rPr>
        <w:t xml:space="preserve">e </w:t>
      </w:r>
      <w:r w:rsidR="536284ED" w:rsidRPr="004511EB">
        <w:rPr>
          <w:strike/>
        </w:rPr>
        <w:t>quais documentos ou informações estão faltando.</w:t>
      </w:r>
    </w:p>
    <w:p w14:paraId="29B1CFF7" w14:textId="77777777" w:rsidR="004511EB" w:rsidRPr="004511EB" w:rsidRDefault="004511EB" w:rsidP="004511EB">
      <w:pPr>
        <w:spacing w:before="120" w:after="120" w:line="312" w:lineRule="auto"/>
        <w:ind w:firstLine="708"/>
        <w:jc w:val="both"/>
      </w:pPr>
      <w:r w:rsidRPr="004511EB">
        <w:t>§ 1</w:t>
      </w:r>
      <w:proofErr w:type="gramStart"/>
      <w:r w:rsidRPr="004511EB">
        <w:t>º  A</w:t>
      </w:r>
      <w:proofErr w:type="gramEnd"/>
      <w:r w:rsidRPr="004511EB">
        <w:t xml:space="preserve"> SRE deve informar, no prazo de até 10 (dez) dias contado do protocolo, sobre a insuficiência dos documentos submetidos, se for o caso, e quais documentos ou informações estão faltando.</w:t>
      </w:r>
    </w:p>
    <w:p w14:paraId="1F3A14F7" w14:textId="7A6175BF" w:rsidR="004511EB" w:rsidRPr="004511EB" w:rsidRDefault="004511EB" w:rsidP="004511EB">
      <w:pPr>
        <w:pStyle w:val="PargrafodaLista"/>
        <w:numPr>
          <w:ilvl w:val="0"/>
          <w:numId w:val="53"/>
        </w:numPr>
        <w:tabs>
          <w:tab w:val="left" w:pos="993"/>
        </w:tabs>
        <w:spacing w:line="312" w:lineRule="auto"/>
        <w:ind w:left="709" w:hanging="142"/>
        <w:contextualSpacing/>
        <w:jc w:val="both"/>
        <w:rPr>
          <w:b/>
          <w:i/>
        </w:rPr>
      </w:pPr>
      <w:r w:rsidRPr="00673033">
        <w:rPr>
          <w:b/>
          <w:bCs/>
          <w:i/>
          <w:iCs/>
        </w:rPr>
        <w:t xml:space="preserve">§ </w:t>
      </w:r>
      <w:r>
        <w:rPr>
          <w:b/>
          <w:bCs/>
          <w:i/>
          <w:iCs/>
        </w:rPr>
        <w:t>1</w:t>
      </w:r>
      <w:r w:rsidRPr="00673033">
        <w:rPr>
          <w:b/>
          <w:bCs/>
          <w:i/>
          <w:iCs/>
        </w:rPr>
        <w:t>º</w:t>
      </w:r>
      <w:r w:rsidRPr="000E3D95">
        <w:t xml:space="preserve">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3A71B034" w14:textId="166E1CA4" w:rsidR="00C91CC8" w:rsidRPr="007E77AF" w:rsidRDefault="00C91CC8" w:rsidP="00C91CC8">
      <w:pPr>
        <w:spacing w:before="120" w:after="120" w:line="312" w:lineRule="auto"/>
        <w:ind w:firstLine="708"/>
        <w:jc w:val="both"/>
      </w:pPr>
      <w:r w:rsidRPr="007E77AF">
        <w:lastRenderedPageBreak/>
        <w:t>§ 2</w:t>
      </w:r>
      <w:proofErr w:type="gramStart"/>
      <w:r w:rsidRPr="007E77AF">
        <w:t>º  A</w:t>
      </w:r>
      <w:proofErr w:type="gramEnd"/>
      <w:r w:rsidRPr="007E77AF">
        <w:t xml:space="preserve"> suficiência de que trata o § 1º se consubstancia por meio </w:t>
      </w:r>
      <w:r w:rsidR="0031099D" w:rsidRPr="007E77AF">
        <w:t>d</w:t>
      </w:r>
      <w:r w:rsidRPr="007E77AF">
        <w:t>a observância dos aspectos mencionados no art. 41.</w:t>
      </w:r>
    </w:p>
    <w:p w14:paraId="6DF3CB29" w14:textId="4C68E491" w:rsidR="00504434" w:rsidRPr="007E77AF" w:rsidRDefault="00504434" w:rsidP="00C91CC8">
      <w:pPr>
        <w:spacing w:before="120" w:after="120" w:line="312" w:lineRule="auto"/>
        <w:ind w:firstLine="708"/>
        <w:jc w:val="both"/>
      </w:pPr>
      <w:r w:rsidRPr="007E77AF">
        <w:t>§ 3</w:t>
      </w:r>
      <w:proofErr w:type="gramStart"/>
      <w:r w:rsidRPr="007E77AF">
        <w:t xml:space="preserve">º  </w:t>
      </w:r>
      <w:r w:rsidR="008B6487" w:rsidRPr="007E77AF">
        <w:t>Para</w:t>
      </w:r>
      <w:proofErr w:type="gramEnd"/>
      <w:r w:rsidR="00FA0FC6" w:rsidRPr="007E77AF" w:rsidDel="000F5205">
        <w:t xml:space="preserve"> </w:t>
      </w:r>
      <w:r w:rsidR="00FA0FC6" w:rsidRPr="007E77AF">
        <w:t xml:space="preserve">a </w:t>
      </w:r>
      <w:r w:rsidR="00A85F64" w:rsidRPr="007E77AF">
        <w:t xml:space="preserve">complementação </w:t>
      </w:r>
      <w:r w:rsidR="00B00870" w:rsidRPr="007E77AF">
        <w:t xml:space="preserve">da documentação </w:t>
      </w:r>
      <w:r w:rsidR="00AC4AA6" w:rsidRPr="007E77AF">
        <w:t>necessária à instrução do pedido de registro</w:t>
      </w:r>
      <w:r w:rsidR="00D83519" w:rsidRPr="007E77AF">
        <w:t xml:space="preserve">, </w:t>
      </w:r>
      <w:r w:rsidR="002E70BB" w:rsidRPr="007E77AF">
        <w:t xml:space="preserve">é concedido prazo de </w:t>
      </w:r>
      <w:r w:rsidR="00B72C05" w:rsidRPr="007E77AF">
        <w:t>10 (dez) dias úteis.</w:t>
      </w:r>
    </w:p>
    <w:p w14:paraId="49AA2330" w14:textId="4EAFAEEA" w:rsidR="00451BA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Art. 38</w:t>
      </w:r>
      <w:r w:rsidR="7265EE63" w:rsidRPr="007E77AF">
        <w:t>.</w:t>
      </w:r>
      <w:r w:rsidR="000F5205">
        <w:t xml:space="preserve"> </w:t>
      </w:r>
      <w:r w:rsidR="7265EE63" w:rsidRPr="007E77AF">
        <w:t xml:space="preserve"> </w:t>
      </w:r>
      <w:r w:rsidR="7C4CF9F1" w:rsidRPr="007E77AF">
        <w:t>No prazo de</w:t>
      </w:r>
      <w:r w:rsidR="7265EE63" w:rsidRPr="007E77AF">
        <w:t xml:space="preserve"> </w:t>
      </w:r>
      <w:r w:rsidR="005A4B8D" w:rsidRPr="007E77AF">
        <w:t xml:space="preserve">20 </w:t>
      </w:r>
      <w:r w:rsidR="7265EE63" w:rsidRPr="007E77AF">
        <w:t>(</w:t>
      </w:r>
      <w:r w:rsidR="005A4B8D" w:rsidRPr="007E77AF">
        <w:t>vinte</w:t>
      </w:r>
      <w:r w:rsidR="7265EE63" w:rsidRPr="007E77AF">
        <w:t>) dias úteis da apresentação de todos os documentos necessários à instrução do pedido de registro, a SRE pode suspender o prazo de análise de que trata o</w:t>
      </w:r>
      <w:r w:rsidR="00433EDA" w:rsidRPr="007E77AF">
        <w:t xml:space="preserve"> </w:t>
      </w:r>
      <w:r w:rsidR="7265EE63" w:rsidRPr="007E77AF">
        <w:t xml:space="preserve">art. </w:t>
      </w:r>
      <w:r w:rsidR="0086760A" w:rsidRPr="007E77AF">
        <w:t>36</w:t>
      </w:r>
      <w:r w:rsidR="7265EE63" w:rsidRPr="007E77AF">
        <w:t>, mediante emissão de ofício com exigências ao requerente.</w:t>
      </w:r>
    </w:p>
    <w:p w14:paraId="786B669C" w14:textId="44D6292A" w:rsidR="00451BAB" w:rsidRPr="007E77AF" w:rsidRDefault="00451BAB" w:rsidP="00D74986">
      <w:pPr>
        <w:spacing w:before="120" w:after="120" w:line="312" w:lineRule="auto"/>
        <w:ind w:firstLine="567"/>
        <w:jc w:val="both"/>
      </w:pPr>
      <w:r w:rsidRPr="007E77AF">
        <w:t>§ 1</w:t>
      </w:r>
      <w:proofErr w:type="gramStart"/>
      <w:r w:rsidRPr="007E77AF">
        <w:t>º</w:t>
      </w:r>
      <w:r w:rsidR="000F5205">
        <w:t xml:space="preserve"> </w:t>
      </w:r>
      <w:r w:rsidRPr="007E77AF">
        <w:t xml:space="preserve"> Para</w:t>
      </w:r>
      <w:proofErr w:type="gramEnd"/>
      <w:r w:rsidRPr="007E77AF">
        <w:t xml:space="preserve"> o atendimento das eventuais exigências</w:t>
      </w:r>
      <w:r w:rsidR="3495849F" w:rsidRPr="007E77AF">
        <w:t xml:space="preserve"> referidas no</w:t>
      </w:r>
      <w:r w:rsidR="00433EDA" w:rsidRPr="007E77AF">
        <w:t xml:space="preserve"> </w:t>
      </w:r>
      <w:r w:rsidR="00433EDA" w:rsidRPr="007E77AF">
        <w:rPr>
          <w:b/>
        </w:rPr>
        <w:t>caput</w:t>
      </w:r>
      <w:r w:rsidRPr="007E77AF">
        <w:rPr>
          <w:bCs/>
        </w:rPr>
        <w:t xml:space="preserve">, </w:t>
      </w:r>
      <w:r w:rsidR="00AB77CC" w:rsidRPr="007E77AF">
        <w:t>é</w:t>
      </w:r>
      <w:r w:rsidR="00AB77CC" w:rsidRPr="007E77AF">
        <w:rPr>
          <w:bCs/>
        </w:rPr>
        <w:t xml:space="preserve"> </w:t>
      </w:r>
      <w:r w:rsidRPr="007E77AF">
        <w:t>concedido prazo de 40 (quarenta) dias úteis.</w:t>
      </w:r>
    </w:p>
    <w:p w14:paraId="3416C1B9" w14:textId="07A3761F" w:rsidR="00D74986" w:rsidRPr="007E77AF" w:rsidRDefault="00451BAB" w:rsidP="00D74986">
      <w:pPr>
        <w:spacing w:before="120" w:after="120" w:line="312" w:lineRule="auto"/>
        <w:ind w:firstLine="567"/>
        <w:jc w:val="both"/>
        <w:rPr>
          <w:bCs/>
        </w:rPr>
      </w:pPr>
      <w:r w:rsidRPr="007E77AF">
        <w:rPr>
          <w:bCs/>
        </w:rPr>
        <w:t>§ 2</w:t>
      </w:r>
      <w:proofErr w:type="gramStart"/>
      <w:r w:rsidRPr="007E77AF">
        <w:rPr>
          <w:bCs/>
        </w:rPr>
        <w:t>º</w:t>
      </w:r>
      <w:r w:rsidR="000F5205">
        <w:rPr>
          <w:bCs/>
        </w:rPr>
        <w:t xml:space="preserve"> </w:t>
      </w:r>
      <w:r w:rsidRPr="007E77AF">
        <w:rPr>
          <w:bCs/>
        </w:rPr>
        <w:t xml:space="preserve"> O</w:t>
      </w:r>
      <w:proofErr w:type="gramEnd"/>
      <w:r w:rsidRPr="007E77AF">
        <w:rPr>
          <w:bCs/>
        </w:rPr>
        <w:t xml:space="preserve"> prazo para o cumprimento das exigências pode ser prorrogado uma única vez, por período não superior a 20 (vinte) dias úteis, mediante a prévia apresentação de pedido fundamentado pelos interessados.</w:t>
      </w:r>
    </w:p>
    <w:p w14:paraId="4F177E24" w14:textId="39B9D0D1" w:rsidR="00D74986" w:rsidRPr="007E77AF" w:rsidRDefault="00451BAB" w:rsidP="00D74986">
      <w:pPr>
        <w:spacing w:before="120" w:after="120" w:line="312" w:lineRule="auto"/>
        <w:ind w:firstLine="567"/>
        <w:jc w:val="both"/>
      </w:pPr>
      <w:r w:rsidRPr="007E77AF">
        <w:t>§ 3</w:t>
      </w:r>
      <w:proofErr w:type="gramStart"/>
      <w:r w:rsidRPr="007E77AF">
        <w:t>º</w:t>
      </w:r>
      <w:r w:rsidR="000F5205">
        <w:t xml:space="preserve"> </w:t>
      </w:r>
      <w:r w:rsidRPr="007E77AF">
        <w:t xml:space="preserve"> No</w:t>
      </w:r>
      <w:proofErr w:type="gramEnd"/>
      <w:r w:rsidRPr="007E77AF">
        <w:t xml:space="preserve"> atendimento às exigências formuladas pela</w:t>
      </w:r>
      <w:r w:rsidR="5F61690D" w:rsidRPr="007E77AF">
        <w:t xml:space="preserve"> SRE</w:t>
      </w:r>
      <w:r w:rsidRPr="007E77AF">
        <w:t xml:space="preserve">, os documentos </w:t>
      </w:r>
      <w:r w:rsidR="1ACF8C72" w:rsidRPr="007E77AF">
        <w:t>devem</w:t>
      </w:r>
      <w:r w:rsidRPr="007E77AF">
        <w:t xml:space="preserve"> ser apresentados em duas versões</w:t>
      </w:r>
      <w:r w:rsidR="0B5D9673" w:rsidRPr="007E77AF">
        <w:t>:</w:t>
      </w:r>
    </w:p>
    <w:p w14:paraId="65110816" w14:textId="77777777" w:rsidR="00D74986" w:rsidRPr="007E77AF" w:rsidRDefault="5E670E65" w:rsidP="00D74986">
      <w:pPr>
        <w:spacing w:before="120" w:after="120" w:line="312" w:lineRule="auto"/>
        <w:ind w:firstLine="567"/>
        <w:jc w:val="both"/>
      </w:pPr>
      <w:r w:rsidRPr="007E77AF">
        <w:t>I</w:t>
      </w:r>
      <w:r w:rsidR="47D519A4" w:rsidRPr="007E77AF">
        <w:t xml:space="preserve"> –</w:t>
      </w:r>
      <w:r w:rsidR="00451BAB" w:rsidRPr="007E77AF">
        <w:t xml:space="preserve"> </w:t>
      </w:r>
      <w:proofErr w:type="gramStart"/>
      <w:r w:rsidR="00451BAB" w:rsidRPr="007E77AF">
        <w:t>a</w:t>
      </w:r>
      <w:proofErr w:type="gramEnd"/>
      <w:r w:rsidR="00451BAB" w:rsidRPr="007E77AF">
        <w:t xml:space="preserve"> primeira</w:t>
      </w:r>
      <w:r w:rsidR="11B5F3BD" w:rsidRPr="007E77AF">
        <w:t>,</w:t>
      </w:r>
      <w:r w:rsidR="00451BAB" w:rsidRPr="007E77AF">
        <w:t xml:space="preserve"> contendo o documento originalmente submetido, </w:t>
      </w:r>
      <w:r w:rsidR="2954EE3D" w:rsidRPr="007E77AF">
        <w:t>incluindo:</w:t>
      </w:r>
    </w:p>
    <w:p w14:paraId="38FCF6C0" w14:textId="1D9FB822" w:rsidR="00D74986" w:rsidRPr="007E77AF" w:rsidRDefault="2954EE3D" w:rsidP="00D74986">
      <w:pPr>
        <w:spacing w:before="120" w:after="120" w:line="312" w:lineRule="auto"/>
        <w:ind w:firstLine="567"/>
        <w:jc w:val="both"/>
      </w:pPr>
      <w:r w:rsidRPr="007E77AF">
        <w:t xml:space="preserve">a) </w:t>
      </w:r>
      <w:r w:rsidR="00451BAB" w:rsidRPr="007E77AF">
        <w:t xml:space="preserve">indicação das alterações determinadas pela </w:t>
      </w:r>
      <w:r w:rsidR="00A96158" w:rsidRPr="007E77AF">
        <w:t>SRE</w:t>
      </w:r>
      <w:r w:rsidR="00451BAB" w:rsidRPr="007E77AF">
        <w:t xml:space="preserve"> e aquelas que não decorram do cumprimento de tais determinações</w:t>
      </w:r>
      <w:r w:rsidR="1E3E008A" w:rsidRPr="007E77AF">
        <w:t>;</w:t>
      </w:r>
      <w:r w:rsidR="00451BAB" w:rsidRPr="007E77AF">
        <w:t xml:space="preserve"> e</w:t>
      </w:r>
    </w:p>
    <w:p w14:paraId="6C5DA98E" w14:textId="1367AA6D" w:rsidR="00D74986" w:rsidRPr="007E77AF" w:rsidRDefault="6DDC37B0" w:rsidP="00D74986">
      <w:pPr>
        <w:spacing w:before="120" w:after="120" w:line="312" w:lineRule="auto"/>
        <w:ind w:firstLine="567"/>
        <w:jc w:val="both"/>
      </w:pPr>
      <w:r w:rsidRPr="007E77AF">
        <w:t>b) explicação sobre cada questão levantada pela</w:t>
      </w:r>
      <w:r w:rsidR="7F0662B2" w:rsidRPr="007E77AF">
        <w:t xml:space="preserve"> </w:t>
      </w:r>
      <w:r w:rsidR="00A96158" w:rsidRPr="007E77AF">
        <w:t>SRE</w:t>
      </w:r>
      <w:r w:rsidR="7F0662B2" w:rsidRPr="007E77AF">
        <w:t>; e</w:t>
      </w:r>
    </w:p>
    <w:p w14:paraId="328E0044" w14:textId="380D2BFF" w:rsidR="00451BAB" w:rsidRPr="007E77AF" w:rsidRDefault="23B8BF52" w:rsidP="00D74986">
      <w:pPr>
        <w:spacing w:before="120" w:after="120" w:line="312" w:lineRule="auto"/>
        <w:ind w:firstLine="567"/>
        <w:jc w:val="both"/>
      </w:pPr>
      <w:r w:rsidRPr="007E77AF">
        <w:t>II</w:t>
      </w:r>
      <w:r w:rsidR="1C514C5F" w:rsidRPr="007E77AF">
        <w:t xml:space="preserve"> –</w:t>
      </w:r>
      <w:r w:rsidR="00451BAB" w:rsidRPr="007E77AF">
        <w:t xml:space="preserve"> </w:t>
      </w:r>
      <w:proofErr w:type="gramStart"/>
      <w:r w:rsidR="00451BAB" w:rsidRPr="007E77AF">
        <w:t>a</w:t>
      </w:r>
      <w:proofErr w:type="gramEnd"/>
      <w:r w:rsidR="00451BAB" w:rsidRPr="007E77AF">
        <w:t xml:space="preserve"> segunda, sem quaisquer marcas.</w:t>
      </w:r>
    </w:p>
    <w:p w14:paraId="6263CBBB" w14:textId="3A28DE95" w:rsidR="00451BAB" w:rsidRPr="007E77AF" w:rsidRDefault="00451BAB" w:rsidP="00D74986">
      <w:pPr>
        <w:spacing w:before="120" w:after="120" w:line="312" w:lineRule="auto"/>
        <w:ind w:firstLine="567"/>
        <w:jc w:val="both"/>
        <w:rPr>
          <w:bCs/>
        </w:rPr>
      </w:pPr>
      <w:r w:rsidRPr="007E77AF">
        <w:rPr>
          <w:bCs/>
        </w:rPr>
        <w:t>§ 4</w:t>
      </w:r>
      <w:proofErr w:type="gramStart"/>
      <w:r w:rsidRPr="007E77AF">
        <w:rPr>
          <w:bCs/>
        </w:rPr>
        <w:t>º</w:t>
      </w:r>
      <w:r w:rsidR="000F5205">
        <w:rPr>
          <w:bCs/>
        </w:rPr>
        <w:t xml:space="preserve"> </w:t>
      </w:r>
      <w:r w:rsidRPr="007E77AF">
        <w:rPr>
          <w:bCs/>
        </w:rPr>
        <w:t xml:space="preserve"> A</w:t>
      </w:r>
      <w:proofErr w:type="gramEnd"/>
      <w:r w:rsidRPr="007E77AF">
        <w:rPr>
          <w:bCs/>
        </w:rPr>
        <w:t xml:space="preserve"> partir do recebimento de todos os documentos e informações em cumprimento das exigências formuladas, a SRE </w:t>
      </w:r>
      <w:r w:rsidR="00AB77CC" w:rsidRPr="007E77AF">
        <w:rPr>
          <w:bCs/>
        </w:rPr>
        <w:t xml:space="preserve">tem </w:t>
      </w:r>
      <w:r w:rsidR="00761DD3" w:rsidRPr="007E77AF">
        <w:rPr>
          <w:bCs/>
        </w:rPr>
        <w:t xml:space="preserve">10 </w:t>
      </w:r>
      <w:r w:rsidRPr="007E77AF">
        <w:rPr>
          <w:bCs/>
        </w:rPr>
        <w:t>(</w:t>
      </w:r>
      <w:r w:rsidR="00761DD3" w:rsidRPr="007E77AF">
        <w:rPr>
          <w:bCs/>
        </w:rPr>
        <w:t>dez</w:t>
      </w:r>
      <w:r w:rsidRPr="007E77AF">
        <w:rPr>
          <w:bCs/>
        </w:rPr>
        <w:t xml:space="preserve">) dias úteis para se manifestar sobre o pedido de registro, o qual </w:t>
      </w:r>
      <w:r w:rsidR="00AB77CC" w:rsidRPr="007E77AF">
        <w:rPr>
          <w:bCs/>
        </w:rPr>
        <w:t xml:space="preserve">é </w:t>
      </w:r>
      <w:r w:rsidRPr="007E77AF">
        <w:rPr>
          <w:bCs/>
        </w:rPr>
        <w:t>automaticamente obtido se não houver manifestação da SRE neste prazo.</w:t>
      </w:r>
    </w:p>
    <w:p w14:paraId="3C50E5C8" w14:textId="27252875" w:rsidR="0019439C" w:rsidRPr="007E77AF" w:rsidRDefault="00451BAB" w:rsidP="00D74986">
      <w:pPr>
        <w:spacing w:before="120" w:after="120" w:line="312" w:lineRule="auto"/>
        <w:ind w:firstLine="567"/>
        <w:jc w:val="both"/>
      </w:pPr>
      <w:r w:rsidRPr="007E77AF">
        <w:t>§ 5º</w:t>
      </w:r>
      <w:r w:rsidR="000F5205">
        <w:t xml:space="preserve"> </w:t>
      </w:r>
      <w:r w:rsidRPr="007E77AF">
        <w:t xml:space="preserve"> Decorrido o prazo previsto no § 4º, caso restem exigências inicialmente formuladas que não tenham sido plenamente atendidas ou caso as alterações em documentos e informações ensejem a necessidade de se realizar novas exigências, preliminarmente ao indeferimento do pedido de registro, a SRE </w:t>
      </w:r>
      <w:r w:rsidR="00914F7E" w:rsidRPr="007E77AF">
        <w:t xml:space="preserve">deve </w:t>
      </w:r>
      <w:r w:rsidRPr="007E77AF">
        <w:t xml:space="preserve">enviar ofício </w:t>
      </w:r>
      <w:r w:rsidR="00E23C40">
        <w:t>ao</w:t>
      </w:r>
      <w:r w:rsidR="00E23C40" w:rsidRPr="007E77AF">
        <w:t xml:space="preserve"> </w:t>
      </w:r>
      <w:r w:rsidR="008F489E">
        <w:t>coordenador líder</w:t>
      </w:r>
      <w:r w:rsidRPr="007E77AF">
        <w:t>, com cópia para o ofertante, reiterando exigências ou apresentando novas exigências que se mostrarem necessárias, concedendo-lhe para atendimento o prazo de 5 (cinco) dias úteis</w:t>
      </w:r>
      <w:r w:rsidR="4AEFC26F" w:rsidRPr="007E77AF">
        <w:t xml:space="preserve">, sem prejuízo do § </w:t>
      </w:r>
      <w:r w:rsidR="002554DA">
        <w:t>8</w:t>
      </w:r>
      <w:r w:rsidR="002554DA" w:rsidRPr="007E77AF">
        <w:t>º</w:t>
      </w:r>
      <w:r w:rsidRPr="007E77AF">
        <w:t>.</w:t>
      </w:r>
    </w:p>
    <w:p w14:paraId="75FFBE86" w14:textId="4A10620B" w:rsidR="004108D0" w:rsidRPr="007E77AF" w:rsidRDefault="004108D0" w:rsidP="00D74986">
      <w:pPr>
        <w:spacing w:before="120" w:after="120" w:line="312" w:lineRule="auto"/>
        <w:ind w:firstLine="567"/>
        <w:jc w:val="both"/>
      </w:pPr>
      <w:r w:rsidRPr="007E77AF">
        <w:rPr>
          <w:bCs/>
        </w:rPr>
        <w:lastRenderedPageBreak/>
        <w:t xml:space="preserve">§ </w:t>
      </w:r>
      <w:r w:rsidR="00DD049A">
        <w:rPr>
          <w:bCs/>
        </w:rPr>
        <w:t>6</w:t>
      </w:r>
      <w:proofErr w:type="gramStart"/>
      <w:r w:rsidR="00DD049A">
        <w:rPr>
          <w:bCs/>
        </w:rPr>
        <w:t>º</w:t>
      </w:r>
      <w:r w:rsidR="00F724B9" w:rsidRPr="007E77AF">
        <w:rPr>
          <w:bCs/>
        </w:rPr>
        <w:t xml:space="preserve">  </w:t>
      </w:r>
      <w:r w:rsidR="00244973" w:rsidRPr="007E77AF">
        <w:rPr>
          <w:bCs/>
        </w:rPr>
        <w:t>O</w:t>
      </w:r>
      <w:proofErr w:type="gramEnd"/>
      <w:r w:rsidR="00244973" w:rsidRPr="007E77AF">
        <w:rPr>
          <w:bCs/>
        </w:rPr>
        <w:t xml:space="preserve"> prazo </w:t>
      </w:r>
      <w:r w:rsidR="005B76CA" w:rsidRPr="007E77AF">
        <w:rPr>
          <w:bCs/>
        </w:rPr>
        <w:t xml:space="preserve">para o cumprimento das </w:t>
      </w:r>
      <w:r w:rsidR="006722D5" w:rsidRPr="007E77AF">
        <w:rPr>
          <w:bCs/>
        </w:rPr>
        <w:t xml:space="preserve">novas </w:t>
      </w:r>
      <w:r w:rsidR="005B76CA" w:rsidRPr="007E77AF">
        <w:rPr>
          <w:bCs/>
        </w:rPr>
        <w:t xml:space="preserve">exigências pode ser prorrogado uma única vez, por período não superior a </w:t>
      </w:r>
      <w:r w:rsidR="0042614D" w:rsidRPr="007E77AF">
        <w:rPr>
          <w:bCs/>
        </w:rPr>
        <w:t>5</w:t>
      </w:r>
      <w:r w:rsidR="005B76CA" w:rsidRPr="007E77AF">
        <w:rPr>
          <w:bCs/>
        </w:rPr>
        <w:t xml:space="preserve"> (</w:t>
      </w:r>
      <w:r w:rsidR="0042614D" w:rsidRPr="007E77AF">
        <w:rPr>
          <w:bCs/>
        </w:rPr>
        <w:t>cinco</w:t>
      </w:r>
      <w:r w:rsidR="005B76CA" w:rsidRPr="007E77AF">
        <w:rPr>
          <w:bCs/>
        </w:rPr>
        <w:t>) dias úteis, mediante a prévia apresentação de pedido fundamentado pelos interessados</w:t>
      </w:r>
      <w:r w:rsidR="0042614D" w:rsidRPr="007E77AF">
        <w:rPr>
          <w:bCs/>
        </w:rPr>
        <w:t xml:space="preserve">, </w:t>
      </w:r>
      <w:r w:rsidR="0016177D" w:rsidRPr="007E77AF">
        <w:rPr>
          <w:bCs/>
        </w:rPr>
        <w:t>sendo cert</w:t>
      </w:r>
      <w:r w:rsidR="004018E6" w:rsidRPr="007E77AF">
        <w:rPr>
          <w:bCs/>
        </w:rPr>
        <w:t xml:space="preserve">o que o </w:t>
      </w:r>
      <w:r w:rsidR="000F4CA1" w:rsidRPr="007E77AF">
        <w:rPr>
          <w:bCs/>
        </w:rPr>
        <w:t xml:space="preserve">período da prorrogação não será computado para </w:t>
      </w:r>
      <w:r w:rsidR="0045050B" w:rsidRPr="007E77AF">
        <w:rPr>
          <w:bCs/>
        </w:rPr>
        <w:t xml:space="preserve">os fins do art. </w:t>
      </w:r>
      <w:r w:rsidR="00B05246" w:rsidRPr="007E77AF">
        <w:rPr>
          <w:bCs/>
        </w:rPr>
        <w:t>36.</w:t>
      </w:r>
    </w:p>
    <w:p w14:paraId="310C2DF5" w14:textId="578DDF67" w:rsidR="00451BAB" w:rsidRPr="007E77AF" w:rsidRDefault="00451BAB" w:rsidP="00D74986">
      <w:pPr>
        <w:spacing w:before="120" w:after="120" w:line="312" w:lineRule="auto"/>
        <w:ind w:firstLine="567"/>
        <w:jc w:val="both"/>
        <w:rPr>
          <w:bCs/>
        </w:rPr>
      </w:pPr>
      <w:r w:rsidRPr="007E77AF">
        <w:rPr>
          <w:bCs/>
        </w:rPr>
        <w:t xml:space="preserve">§ </w:t>
      </w:r>
      <w:r w:rsidR="00DD049A">
        <w:rPr>
          <w:bCs/>
        </w:rPr>
        <w:t>7</w:t>
      </w:r>
      <w:proofErr w:type="gramStart"/>
      <w:r w:rsidR="00DD049A" w:rsidRPr="007E77AF">
        <w:rPr>
          <w:bCs/>
        </w:rPr>
        <w:t xml:space="preserve">º  </w:t>
      </w:r>
      <w:r w:rsidRPr="007E77AF">
        <w:rPr>
          <w:bCs/>
        </w:rPr>
        <w:t>O</w:t>
      </w:r>
      <w:proofErr w:type="gramEnd"/>
      <w:r w:rsidRPr="007E77AF">
        <w:rPr>
          <w:bCs/>
        </w:rPr>
        <w:t xml:space="preserve"> prazo para manifestação da SRE a respeito do cumprimento das exigências em atendimento ao ofício mencionado no § 5º </w:t>
      </w:r>
      <w:r w:rsidR="00AB77CC" w:rsidRPr="007E77AF">
        <w:rPr>
          <w:bCs/>
        </w:rPr>
        <w:t xml:space="preserve">é </w:t>
      </w:r>
      <w:r w:rsidRPr="007E77AF">
        <w:rPr>
          <w:bCs/>
        </w:rPr>
        <w:t>de</w:t>
      </w:r>
      <w:r w:rsidR="00A1273B" w:rsidRPr="007E77AF">
        <w:rPr>
          <w:bCs/>
        </w:rPr>
        <w:t xml:space="preserve"> 3 (três) dias úteis</w:t>
      </w:r>
      <w:r w:rsidRPr="007E77AF">
        <w:rPr>
          <w:bCs/>
        </w:rPr>
        <w:t>.</w:t>
      </w:r>
    </w:p>
    <w:p w14:paraId="4626BF04" w14:textId="501EEA0E" w:rsidR="00D74986" w:rsidRPr="007E77AF" w:rsidRDefault="00451BAB" w:rsidP="00D74986">
      <w:pPr>
        <w:spacing w:before="120" w:after="120" w:line="312" w:lineRule="auto"/>
        <w:ind w:firstLine="567"/>
        <w:jc w:val="both"/>
      </w:pPr>
      <w:r w:rsidRPr="007E77AF">
        <w:t xml:space="preserve">§ </w:t>
      </w:r>
      <w:r w:rsidR="00DD049A">
        <w:t>8</w:t>
      </w:r>
      <w:proofErr w:type="gramStart"/>
      <w:r w:rsidR="00DD049A" w:rsidRPr="007E77AF">
        <w:t xml:space="preserve">º  </w:t>
      </w:r>
      <w:r w:rsidRPr="007E77AF">
        <w:t>Caso</w:t>
      </w:r>
      <w:proofErr w:type="gramEnd"/>
      <w:r w:rsidRPr="007E77AF">
        <w:t xml:space="preserve">, além dos documentos e informações apresentados em resposta aos ofícios previstos no </w:t>
      </w:r>
      <w:r w:rsidRPr="007E77AF">
        <w:rPr>
          <w:b/>
          <w:bCs/>
        </w:rPr>
        <w:t>caput</w:t>
      </w:r>
      <w:r w:rsidRPr="007E77AF">
        <w:t xml:space="preserve"> ou no § 5º do presente artigo, tenham sido realizadas alterações em documentos </w:t>
      </w:r>
      <w:r w:rsidR="007B71E9" w:rsidRPr="007E77AF">
        <w:t xml:space="preserve">ou </w:t>
      </w:r>
      <w:r w:rsidR="79863A58" w:rsidRPr="007E77AF">
        <w:t>em</w:t>
      </w:r>
      <w:r w:rsidRPr="007E77AF">
        <w:t xml:space="preserve"> informações que não decorram do cumprimento de exigências, </w:t>
      </w:r>
      <w:r w:rsidR="00C535FF" w:rsidRPr="007E77AF">
        <w:t xml:space="preserve">a SRE </w:t>
      </w:r>
      <w:r w:rsidR="000C4718" w:rsidRPr="007E77AF">
        <w:t xml:space="preserve">pode </w:t>
      </w:r>
      <w:r w:rsidR="00CE661A" w:rsidRPr="007E77AF">
        <w:t xml:space="preserve">apontar </w:t>
      </w:r>
      <w:r w:rsidR="00673336" w:rsidRPr="007E77AF">
        <w:t xml:space="preserve">a </w:t>
      </w:r>
      <w:r w:rsidR="00937FC7" w:rsidRPr="007E77AF">
        <w:t xml:space="preserve">ocorrência </w:t>
      </w:r>
      <w:r w:rsidR="000C4718" w:rsidRPr="007E77AF">
        <w:t>de fato novo</w:t>
      </w:r>
      <w:r w:rsidR="00AF1DA7" w:rsidRPr="007E77AF">
        <w:t xml:space="preserve">, </w:t>
      </w:r>
      <w:r w:rsidR="001D6635" w:rsidRPr="007E77AF">
        <w:rPr>
          <w:rFonts w:cstheme="minorHAnsi"/>
        </w:rPr>
        <w:t>a depender da relevância das alterações</w:t>
      </w:r>
      <w:r w:rsidR="000C4718" w:rsidRPr="007E77AF">
        <w:t>.</w:t>
      </w:r>
    </w:p>
    <w:p w14:paraId="6ECB393E" w14:textId="05C41FEF" w:rsidR="00D376C4" w:rsidRPr="007E77AF" w:rsidRDefault="00937FC7" w:rsidP="00B07F18">
      <w:pPr>
        <w:spacing w:before="120" w:after="120" w:line="312" w:lineRule="auto"/>
        <w:ind w:firstLine="567"/>
        <w:jc w:val="both"/>
      </w:pPr>
      <w:r w:rsidRPr="007E77AF">
        <w:t xml:space="preserve">§ </w:t>
      </w:r>
      <w:r w:rsidR="00DD049A">
        <w:t>9</w:t>
      </w:r>
      <w:proofErr w:type="gramStart"/>
      <w:r w:rsidR="00DD049A" w:rsidRPr="007E77AF">
        <w:t xml:space="preserve">º  </w:t>
      </w:r>
      <w:r w:rsidR="008A14FD" w:rsidRPr="007E77AF">
        <w:t>A</w:t>
      </w:r>
      <w:proofErr w:type="gramEnd"/>
      <w:r w:rsidR="008A14FD" w:rsidRPr="007E77AF">
        <w:t xml:space="preserve"> ocorrência de fato novo </w:t>
      </w:r>
      <w:r w:rsidR="1C0B1B59" w:rsidRPr="007E77AF">
        <w:t>deve ser</w:t>
      </w:r>
      <w:r w:rsidR="00673336" w:rsidRPr="007E77AF">
        <w:t xml:space="preserve"> </w:t>
      </w:r>
      <w:r w:rsidR="00914FF0" w:rsidRPr="007E77AF">
        <w:t xml:space="preserve">comunicada </w:t>
      </w:r>
      <w:r w:rsidR="42972049" w:rsidRPr="007E77AF">
        <w:t>pela SRE</w:t>
      </w:r>
      <w:r w:rsidR="00914FF0" w:rsidRPr="007E77AF">
        <w:t xml:space="preserve"> </w:t>
      </w:r>
      <w:r w:rsidR="00A4465F" w:rsidRPr="007E77AF">
        <w:t xml:space="preserve">ao ofertante e ao coordenador líder </w:t>
      </w:r>
      <w:r w:rsidR="00914FF0" w:rsidRPr="007E77AF">
        <w:t xml:space="preserve">dentro dos </w:t>
      </w:r>
      <w:r w:rsidR="00451BAB" w:rsidRPr="007E77AF">
        <w:t>prazo</w:t>
      </w:r>
      <w:r w:rsidR="00914FF0" w:rsidRPr="007E77AF">
        <w:t>s</w:t>
      </w:r>
      <w:r w:rsidR="00451BAB" w:rsidRPr="007E77AF">
        <w:t xml:space="preserve"> de que trata o § 4º ou § </w:t>
      </w:r>
      <w:r w:rsidR="00092DE3">
        <w:t>7</w:t>
      </w:r>
      <w:r w:rsidR="00092DE3" w:rsidRPr="007E77AF">
        <w:t>º</w:t>
      </w:r>
      <w:r w:rsidR="00451BAB" w:rsidRPr="007E77AF">
        <w:t xml:space="preserve">, </w:t>
      </w:r>
      <w:r w:rsidR="00FD43C2" w:rsidRPr="007E77AF">
        <w:t>e acarreta</w:t>
      </w:r>
      <w:r w:rsidRPr="007E77AF" w:rsidDel="00FD43C2">
        <w:t xml:space="preserve"> </w:t>
      </w:r>
      <w:r w:rsidR="09B1FE6E" w:rsidRPr="007E77AF">
        <w:t>nova</w:t>
      </w:r>
      <w:r w:rsidR="00FD43C2" w:rsidRPr="007E77AF">
        <w:t xml:space="preserve"> </w:t>
      </w:r>
      <w:r w:rsidR="7134FB45" w:rsidRPr="007E77AF">
        <w:t xml:space="preserve">suspensão </w:t>
      </w:r>
      <w:r w:rsidR="00FD43C2" w:rsidRPr="007E77AF">
        <w:t>d</w:t>
      </w:r>
      <w:r w:rsidR="2370F058" w:rsidRPr="007E77AF">
        <w:t>e</w:t>
      </w:r>
      <w:r w:rsidR="26659364" w:rsidRPr="007E77AF">
        <w:t xml:space="preserve"> </w:t>
      </w:r>
      <w:r w:rsidR="617B4A8C" w:rsidRPr="007E77AF">
        <w:t>2</w:t>
      </w:r>
      <w:r w:rsidR="00FD43C2" w:rsidRPr="007E77AF">
        <w:t>0 (</w:t>
      </w:r>
      <w:r w:rsidR="49372B67" w:rsidRPr="007E77AF">
        <w:t>vinte</w:t>
      </w:r>
      <w:r w:rsidR="00FD43C2" w:rsidRPr="007E77AF">
        <w:t>) dias úteis</w:t>
      </w:r>
      <w:r w:rsidR="15407393" w:rsidRPr="007E77AF">
        <w:t>.</w:t>
      </w:r>
    </w:p>
    <w:p w14:paraId="53FDF229" w14:textId="1DA266A1" w:rsidR="00451BAB" w:rsidRPr="007E77AF" w:rsidRDefault="00321274" w:rsidP="00B07F18">
      <w:pPr>
        <w:spacing w:before="120" w:after="120" w:line="312" w:lineRule="auto"/>
        <w:ind w:firstLine="567"/>
        <w:jc w:val="both"/>
      </w:pPr>
      <w:r w:rsidRPr="007E77AF">
        <w:t xml:space="preserve">§ </w:t>
      </w:r>
      <w:r w:rsidR="00DD049A">
        <w:t>10.</w:t>
      </w:r>
      <w:r w:rsidR="00DD049A" w:rsidRPr="007E77AF">
        <w:t xml:space="preserve">  </w:t>
      </w:r>
      <w:r w:rsidR="00E9088F" w:rsidRPr="007E77AF">
        <w:t xml:space="preserve">Findos os prazos </w:t>
      </w:r>
      <w:r w:rsidR="0012078C" w:rsidRPr="007E77AF">
        <w:t xml:space="preserve">de que trata o § </w:t>
      </w:r>
      <w:r w:rsidR="003D48B5">
        <w:t>9</w:t>
      </w:r>
      <w:r w:rsidR="003D48B5" w:rsidRPr="007E77AF">
        <w:t>º</w:t>
      </w:r>
      <w:r w:rsidR="621A61D6" w:rsidRPr="007E77AF">
        <w:t>,</w:t>
      </w:r>
      <w:r w:rsidR="0012078C" w:rsidRPr="007E77AF">
        <w:t xml:space="preserve"> </w:t>
      </w:r>
      <w:r w:rsidR="00451BAB" w:rsidRPr="007E77AF">
        <w:t xml:space="preserve">a SRE deve se manifestar sobre o </w:t>
      </w:r>
      <w:r w:rsidR="05A9CB9B" w:rsidRPr="007E77AF">
        <w:t xml:space="preserve">requerimento </w:t>
      </w:r>
      <w:r w:rsidR="00451BAB" w:rsidRPr="007E77AF">
        <w:t>de registro</w:t>
      </w:r>
      <w:r w:rsidR="51C11654" w:rsidRPr="007E77AF">
        <w:t xml:space="preserve"> no prazo remanescente</w:t>
      </w:r>
      <w:r w:rsidR="73252360" w:rsidRPr="007E77AF">
        <w:t xml:space="preserve"> previsto no art.</w:t>
      </w:r>
      <w:r w:rsidR="00433EDA" w:rsidRPr="007E77AF">
        <w:rPr>
          <w:rFonts w:ascii="Calibri" w:eastAsia="Calibri" w:hAnsi="Calibri" w:cs="Calibri"/>
        </w:rPr>
        <w:t xml:space="preserve"> </w:t>
      </w:r>
      <w:r w:rsidR="0086760A" w:rsidRPr="007E77AF">
        <w:rPr>
          <w:rFonts w:ascii="Calibri" w:eastAsia="Calibri" w:hAnsi="Calibri" w:cs="Calibri"/>
        </w:rPr>
        <w:t>36</w:t>
      </w:r>
      <w:r w:rsidR="00451BAB" w:rsidRPr="007E77AF">
        <w:t xml:space="preserve">, </w:t>
      </w:r>
      <w:r w:rsidR="58B3438D" w:rsidRPr="007E77AF">
        <w:t>sendo o registro</w:t>
      </w:r>
      <w:r w:rsidR="00451BAB" w:rsidRPr="007E77AF">
        <w:t xml:space="preserve"> automaticamente </w:t>
      </w:r>
      <w:r w:rsidR="00541E48" w:rsidRPr="007E77AF">
        <w:t xml:space="preserve">deferido </w:t>
      </w:r>
      <w:r w:rsidR="00451BAB" w:rsidRPr="007E77AF">
        <w:t xml:space="preserve">se não houver manifestação da SRE </w:t>
      </w:r>
      <w:r w:rsidR="60126CA7" w:rsidRPr="007E77AF">
        <w:t>neste período</w:t>
      </w:r>
      <w:r w:rsidR="00451BAB" w:rsidRPr="007E77AF">
        <w:t>.</w:t>
      </w:r>
    </w:p>
    <w:p w14:paraId="509348F0" w14:textId="5009D1CA" w:rsidR="000F3A48" w:rsidRPr="007E77AF" w:rsidRDefault="009069A1" w:rsidP="000F3A48">
      <w:pPr>
        <w:spacing w:before="120" w:after="120" w:line="312" w:lineRule="auto"/>
        <w:ind w:firstLine="567"/>
        <w:jc w:val="both"/>
      </w:pPr>
      <w:r w:rsidRPr="007E77AF">
        <w:t>Art. 39</w:t>
      </w:r>
      <w:r w:rsidR="7265EE63" w:rsidRPr="007E77AF">
        <w:t>.</w:t>
      </w:r>
      <w:r w:rsidR="000F3A48" w:rsidRPr="007E77AF">
        <w:t xml:space="preserve">  A SRE deve interromper a análise do pedido de registro uma única vez a pedido d</w:t>
      </w:r>
      <w:r w:rsidR="00313572" w:rsidRPr="007E77AF">
        <w:t xml:space="preserve">o ofertante, em conjunto com </w:t>
      </w:r>
      <w:r w:rsidR="00F5757D">
        <w:t>o</w:t>
      </w:r>
      <w:r w:rsidR="00313572" w:rsidRPr="007E77AF">
        <w:t xml:space="preserve"> </w:t>
      </w:r>
      <w:r w:rsidR="008F489E">
        <w:t>coordenador líder</w:t>
      </w:r>
      <w:r w:rsidR="00313572" w:rsidRPr="007E77AF">
        <w:t xml:space="preserve"> da distribuição, </w:t>
      </w:r>
      <w:r w:rsidR="000F3A48" w:rsidRPr="007E77AF">
        <w:t>por até 60 (sessenta) dias úteis.</w:t>
      </w:r>
    </w:p>
    <w:p w14:paraId="3D61F6B4" w14:textId="4C3D6244" w:rsidR="000F3A48" w:rsidRPr="007E77AF" w:rsidRDefault="000F3A48" w:rsidP="000F3A48">
      <w:pPr>
        <w:spacing w:before="120" w:after="120" w:line="312" w:lineRule="auto"/>
        <w:ind w:firstLine="567"/>
        <w:jc w:val="both"/>
      </w:pPr>
      <w:r w:rsidRPr="007E77AF">
        <w:t>§ 1</w:t>
      </w:r>
      <w:proofErr w:type="gramStart"/>
      <w:r w:rsidRPr="007E77AF">
        <w:t>º  A</w:t>
      </w:r>
      <w:proofErr w:type="gramEnd"/>
      <w:r w:rsidRPr="007E77AF">
        <w:t xml:space="preserve"> ausência de manifestação do </w:t>
      </w:r>
      <w:r w:rsidR="00313572" w:rsidRPr="007E77AF">
        <w:t>requerente</w:t>
      </w:r>
      <w:r w:rsidRPr="007E77AF">
        <w:t xml:space="preserve"> sobre sua intenção de prosseguir com o processo de registro dentro do prazo mencionado no </w:t>
      </w:r>
      <w:r w:rsidRPr="007E77AF">
        <w:rPr>
          <w:b/>
        </w:rPr>
        <w:t>caput</w:t>
      </w:r>
      <w:r w:rsidRPr="007E77AF">
        <w:t xml:space="preserve"> implica indeferimento automático do pedido de registro.</w:t>
      </w:r>
    </w:p>
    <w:p w14:paraId="62BEB5BD" w14:textId="6DF5D158" w:rsidR="00D74986" w:rsidRPr="007E77AF" w:rsidRDefault="000F3A48" w:rsidP="001353DC">
      <w:pPr>
        <w:spacing w:before="120" w:after="120" w:line="312" w:lineRule="auto"/>
        <w:ind w:firstLine="567"/>
        <w:jc w:val="both"/>
      </w:pPr>
      <w:r w:rsidRPr="007E77AF">
        <w:t>§ 2</w:t>
      </w:r>
      <w:proofErr w:type="gramStart"/>
      <w:r w:rsidRPr="007E77AF">
        <w:t>º  O</w:t>
      </w:r>
      <w:proofErr w:type="gramEnd"/>
      <w:r w:rsidRPr="007E77AF">
        <w:t xml:space="preserve"> pedido de registro é considerado reapresentado no primeiro dia útil subsequente à manifestação de interesse na continuidade do processo, aplicando-se ao pedido todas as etapas processuais e seus respectivos prazos como se novo fosse, independentemente da fase em que se encontrava quando da interrupção de sua análise.</w:t>
      </w:r>
    </w:p>
    <w:p w14:paraId="1BA15321" w14:textId="757E2B32" w:rsidR="00D74986" w:rsidRPr="007E77AF" w:rsidRDefault="009069A1" w:rsidP="001353DC">
      <w:pPr>
        <w:spacing w:before="120" w:after="120" w:line="312" w:lineRule="auto"/>
        <w:ind w:firstLine="567"/>
        <w:jc w:val="both"/>
      </w:pPr>
      <w:r w:rsidRPr="007E77AF">
        <w:t>Art. 40</w:t>
      </w:r>
      <w:r w:rsidR="7265EE63" w:rsidRPr="007E77AF">
        <w:t xml:space="preserve">. </w:t>
      </w:r>
      <w:r w:rsidR="00F30E62">
        <w:t xml:space="preserve"> </w:t>
      </w:r>
      <w:r w:rsidR="7265EE63" w:rsidRPr="007E77AF">
        <w:t>O requerimento de registro pode ser indeferido nas seguintes hipóteses:</w:t>
      </w:r>
    </w:p>
    <w:p w14:paraId="514F91DA" w14:textId="6CC7115A" w:rsidR="00D74986" w:rsidRPr="007E77AF" w:rsidRDefault="009069A1" w:rsidP="001353DC">
      <w:pPr>
        <w:spacing w:before="120" w:after="120" w:line="312" w:lineRule="auto"/>
        <w:ind w:firstLine="567"/>
        <w:jc w:val="both"/>
        <w:rPr>
          <w:rFonts w:ascii="Helvetica" w:hAnsi="Helvetica"/>
          <w:sz w:val="21"/>
          <w:szCs w:val="21"/>
          <w:lang w:eastAsia="en-US"/>
        </w:rPr>
      </w:pPr>
      <w:r w:rsidRPr="007E77AF">
        <w:rPr>
          <w:rFonts w:ascii="Helvetica" w:hAnsi="Helvetica"/>
          <w:sz w:val="21"/>
          <w:szCs w:val="21"/>
          <w:lang w:eastAsia="en-US"/>
        </w:rPr>
        <w:t>I</w:t>
      </w:r>
      <w:r w:rsidR="00451BAB" w:rsidRPr="007E77AF">
        <w:rPr>
          <w:rFonts w:ascii="Calibri" w:hAnsi="Calibri"/>
          <w:lang w:eastAsia="en-US"/>
        </w:rPr>
        <w:t xml:space="preserve"> – </w:t>
      </w:r>
      <w:proofErr w:type="gramStart"/>
      <w:r w:rsidR="00451BAB" w:rsidRPr="007E77AF">
        <w:rPr>
          <w:rFonts w:ascii="Calibri" w:hAnsi="Calibri"/>
          <w:lang w:eastAsia="en-US"/>
        </w:rPr>
        <w:t>por</w:t>
      </w:r>
      <w:proofErr w:type="gramEnd"/>
      <w:r w:rsidR="00451BAB" w:rsidRPr="007E77AF">
        <w:rPr>
          <w:rFonts w:ascii="Calibri" w:hAnsi="Calibri"/>
          <w:lang w:eastAsia="en-US"/>
        </w:rPr>
        <w:t xml:space="preserve"> inviabilidade ou temeridade do empreendimento ou inidoneidade dos fundadores, quando se tratar de constituição de emissor; ou</w:t>
      </w:r>
    </w:p>
    <w:p w14:paraId="350A6DFC" w14:textId="0A6D20C5" w:rsidR="00D74986" w:rsidRPr="007E77AF" w:rsidRDefault="009069A1" w:rsidP="001353DC">
      <w:pPr>
        <w:spacing w:before="120" w:after="120" w:line="312" w:lineRule="auto"/>
        <w:ind w:firstLine="567"/>
        <w:jc w:val="both"/>
        <w:rPr>
          <w:rFonts w:ascii="Calibri" w:hAnsi="Calibri"/>
          <w:lang w:eastAsia="en-US"/>
        </w:rPr>
      </w:pPr>
      <w:r w:rsidRPr="007E77AF">
        <w:rPr>
          <w:rFonts w:ascii="Calibri" w:hAnsi="Calibri"/>
          <w:lang w:eastAsia="en-US"/>
        </w:rPr>
        <w:t>II</w:t>
      </w:r>
      <w:r w:rsidR="00451BAB" w:rsidRPr="007E77AF">
        <w:rPr>
          <w:rFonts w:ascii="Calibri" w:hAnsi="Calibri"/>
          <w:lang w:eastAsia="en-US"/>
        </w:rPr>
        <w:t xml:space="preserve"> – </w:t>
      </w:r>
      <w:proofErr w:type="gramStart"/>
      <w:r w:rsidR="00451BAB" w:rsidRPr="007E77AF">
        <w:rPr>
          <w:rFonts w:ascii="Calibri" w:hAnsi="Calibri"/>
          <w:lang w:eastAsia="en-US"/>
        </w:rPr>
        <w:t>quando</w:t>
      </w:r>
      <w:proofErr w:type="gramEnd"/>
      <w:r w:rsidR="00451BAB" w:rsidRPr="007E77AF">
        <w:rPr>
          <w:rFonts w:ascii="Calibri" w:hAnsi="Calibri"/>
          <w:lang w:eastAsia="en-US"/>
        </w:rPr>
        <w:t xml:space="preserve"> não forem cumpridas as exigências formuladas pela </w:t>
      </w:r>
      <w:r w:rsidR="00AB1064" w:rsidRPr="007E77AF">
        <w:rPr>
          <w:rFonts w:ascii="Calibri" w:hAnsi="Calibri"/>
          <w:lang w:eastAsia="en-US"/>
        </w:rPr>
        <w:t>SRE</w:t>
      </w:r>
      <w:r w:rsidR="00451BAB" w:rsidRPr="007E77AF">
        <w:rPr>
          <w:rFonts w:ascii="Calibri" w:hAnsi="Calibri"/>
          <w:lang w:eastAsia="en-US"/>
        </w:rPr>
        <w:t>, nos prazos previstos nesta Resolução.</w:t>
      </w:r>
    </w:p>
    <w:p w14:paraId="5B67D8B6" w14:textId="23C2148A" w:rsidR="00451BAB" w:rsidRPr="007E77AF" w:rsidRDefault="1C5E0F33" w:rsidP="00D74986">
      <w:pPr>
        <w:spacing w:before="120" w:after="120" w:line="312" w:lineRule="auto"/>
        <w:ind w:firstLine="567"/>
        <w:jc w:val="both"/>
      </w:pPr>
      <w:r w:rsidRPr="007E77AF">
        <w:lastRenderedPageBreak/>
        <w:t>Parágrafo único.</w:t>
      </w:r>
      <w:r w:rsidR="00F30E62">
        <w:t xml:space="preserve"> </w:t>
      </w:r>
      <w:r w:rsidR="00451BAB" w:rsidRPr="007E77AF">
        <w:t xml:space="preserve"> Na hipótese de indeferimento, a SRE </w:t>
      </w:r>
      <w:r w:rsidR="4C9F94F6" w:rsidRPr="007E77AF">
        <w:t>deve enviar</w:t>
      </w:r>
      <w:r w:rsidR="00451BAB" w:rsidRPr="007E77AF">
        <w:t xml:space="preserve"> ofício </w:t>
      </w:r>
      <w:r w:rsidR="004C5C39">
        <w:t>ao</w:t>
      </w:r>
      <w:r w:rsidR="004C5C39" w:rsidRPr="007E77AF">
        <w:t xml:space="preserve"> </w:t>
      </w:r>
      <w:r w:rsidR="008F489E">
        <w:t>coordenador líder</w:t>
      </w:r>
      <w:r w:rsidR="00451BAB" w:rsidRPr="007E77AF">
        <w:t>, com cópia para o ofertante, informando sua decisão, da qual cabe recurso ao Colegiado da CVM, na forma da regulamentação vigente.</w:t>
      </w:r>
    </w:p>
    <w:p w14:paraId="50004152" w14:textId="632324F4" w:rsidR="00D74986" w:rsidRPr="007E77AF" w:rsidRDefault="000953D4" w:rsidP="006B018B">
      <w:pPr>
        <w:pStyle w:val="Seo"/>
        <w:rPr>
          <w:rFonts w:eastAsiaTheme="minorEastAsia" w:cstheme="minorBidi"/>
        </w:rPr>
      </w:pPr>
      <w:bookmarkStart w:id="180" w:name="_Toc476216329"/>
      <w:bookmarkStart w:id="181" w:name="_Toc108516050"/>
      <w:bookmarkStart w:id="182" w:name="_Toc108203081"/>
      <w:bookmarkStart w:id="183" w:name="_Toc136502821"/>
      <w:r w:rsidRPr="007E77AF" w:rsidDel="009B1190">
        <w:t>S</w:t>
      </w:r>
      <w:r w:rsidR="00113CB7" w:rsidRPr="007E77AF">
        <w:t>ubs</w:t>
      </w:r>
      <w:r w:rsidRPr="007E77AF" w:rsidDel="009B1190">
        <w:t xml:space="preserve">eção </w:t>
      </w:r>
      <w:r w:rsidR="46680A1A" w:rsidRPr="007E77AF">
        <w:t>V</w:t>
      </w:r>
      <w:bookmarkStart w:id="184" w:name="_Toc467256280"/>
      <w:r w:rsidR="00CF5FDF" w:rsidRPr="007E77AF">
        <w:t xml:space="preserve"> </w:t>
      </w:r>
      <w:r w:rsidR="002A74FF" w:rsidRPr="007E77AF">
        <w:t>–</w:t>
      </w:r>
      <w:r w:rsidR="005D572F" w:rsidRPr="007E77AF">
        <w:t xml:space="preserve"> </w:t>
      </w:r>
      <w:r w:rsidR="002A74FF" w:rsidRPr="007E77AF">
        <w:t xml:space="preserve">Análise e </w:t>
      </w:r>
      <w:r w:rsidR="1327CCD6" w:rsidRPr="007E77AF">
        <w:t>A</w:t>
      </w:r>
      <w:r w:rsidR="002A74FF" w:rsidRPr="007E77AF">
        <w:t xml:space="preserve">provação do </w:t>
      </w:r>
      <w:bookmarkEnd w:id="184"/>
      <w:r w:rsidR="2AC65F1F" w:rsidRPr="007E77AF">
        <w:t>P</w:t>
      </w:r>
      <w:r w:rsidR="002A74FF" w:rsidRPr="007E77AF">
        <w:t>rospecto</w:t>
      </w:r>
      <w:bookmarkEnd w:id="180"/>
      <w:bookmarkEnd w:id="181"/>
      <w:bookmarkEnd w:id="182"/>
      <w:bookmarkEnd w:id="183"/>
    </w:p>
    <w:p w14:paraId="4B1A351F" w14:textId="1E985CFD" w:rsidR="00D74986" w:rsidRPr="007E77AF" w:rsidRDefault="009069A1" w:rsidP="001353DC">
      <w:pPr>
        <w:spacing w:before="120" w:after="120" w:line="312" w:lineRule="auto"/>
        <w:ind w:firstLine="567"/>
        <w:jc w:val="both"/>
      </w:pPr>
      <w:bookmarkStart w:id="185" w:name="_Ref469908781"/>
      <w:r w:rsidRPr="007E77AF">
        <w:t>Art. 41</w:t>
      </w:r>
      <w:r w:rsidR="1434D666" w:rsidRPr="007E77AF">
        <w:t xml:space="preserve">.  </w:t>
      </w:r>
      <w:bookmarkEnd w:id="185"/>
      <w:r w:rsidR="002A74FF" w:rsidRPr="007E77AF">
        <w:t xml:space="preserve">A minuta do </w:t>
      </w:r>
      <w:r w:rsidR="41033570" w:rsidRPr="007E77AF">
        <w:t>p</w:t>
      </w:r>
      <w:r w:rsidR="002A74FF" w:rsidRPr="007E77AF">
        <w:t xml:space="preserve">rospecto </w:t>
      </w:r>
      <w:r w:rsidR="6869A4B2" w:rsidRPr="007E77AF">
        <w:t>p</w:t>
      </w:r>
      <w:r w:rsidR="008351D5" w:rsidRPr="007E77AF">
        <w:t>reliminar</w:t>
      </w:r>
      <w:r w:rsidR="006A698D" w:rsidRPr="007E77AF">
        <w:t xml:space="preserve"> ou </w:t>
      </w:r>
      <w:r w:rsidR="002008A2" w:rsidRPr="007E77AF">
        <w:t xml:space="preserve">do </w:t>
      </w:r>
      <w:r w:rsidR="2EB145DB" w:rsidRPr="007E77AF">
        <w:t>d</w:t>
      </w:r>
      <w:r w:rsidR="006A698D" w:rsidRPr="007E77AF">
        <w:t>efinit</w:t>
      </w:r>
      <w:r w:rsidR="002008A2" w:rsidRPr="007E77AF">
        <w:t>i</w:t>
      </w:r>
      <w:r w:rsidR="006A698D" w:rsidRPr="007E77AF">
        <w:t>vo</w:t>
      </w:r>
      <w:r w:rsidR="00C42C82" w:rsidRPr="007E77AF">
        <w:t>, admitida</w:t>
      </w:r>
      <w:r w:rsidR="002008A2" w:rsidRPr="007E77AF">
        <w:t>s</w:t>
      </w:r>
      <w:r w:rsidR="00C42C82" w:rsidRPr="007E77AF">
        <w:t xml:space="preserve"> no </w:t>
      </w:r>
      <w:r w:rsidR="002F16A3" w:rsidRPr="007E77AF">
        <w:t>rito de registro</w:t>
      </w:r>
      <w:r w:rsidR="00C42C82" w:rsidRPr="007E77AF">
        <w:t xml:space="preserve"> ordinário</w:t>
      </w:r>
      <w:r w:rsidR="00A26EB4" w:rsidRPr="007E77AF">
        <w:t xml:space="preserve"> </w:t>
      </w:r>
      <w:r w:rsidR="26F7D3FC" w:rsidRPr="007E77AF">
        <w:t>de</w:t>
      </w:r>
      <w:r w:rsidR="00261303" w:rsidRPr="007E77AF">
        <w:t xml:space="preserve"> distribuição,</w:t>
      </w:r>
      <w:r w:rsidR="4B5EEF33" w:rsidRPr="007E77AF">
        <w:t xml:space="preserve"> </w:t>
      </w:r>
      <w:r w:rsidR="1A1575EC" w:rsidRPr="007E77AF">
        <w:t>suas partes constitutivas</w:t>
      </w:r>
      <w:r w:rsidR="00B84594" w:rsidRPr="007E77AF">
        <w:t xml:space="preserve"> e respectivas </w:t>
      </w:r>
      <w:r w:rsidR="000353B0" w:rsidRPr="007E77AF">
        <w:t xml:space="preserve">informações </w:t>
      </w:r>
      <w:r w:rsidR="4245D9D5" w:rsidRPr="007E77AF">
        <w:t>devem</w:t>
      </w:r>
      <w:r w:rsidR="002A74FF" w:rsidRPr="007E77AF">
        <w:t xml:space="preserve"> ser submetidas com elevado padrão de completude, compreensibilidade e</w:t>
      </w:r>
      <w:r w:rsidR="00646EF3" w:rsidRPr="007E77AF">
        <w:t xml:space="preserve"> </w:t>
      </w:r>
      <w:r w:rsidR="002A74FF" w:rsidRPr="007E77AF">
        <w:t>consistência</w:t>
      </w:r>
      <w:r w:rsidR="0010015E" w:rsidRPr="007E77AF">
        <w:t>, não</w:t>
      </w:r>
      <w:r w:rsidR="000A62F9" w:rsidRPr="007E77AF">
        <w:t xml:space="preserve"> podendo</w:t>
      </w:r>
      <w:r w:rsidR="0010015E" w:rsidRPr="007E77AF">
        <w:t xml:space="preserve"> haver lacunas </w:t>
      </w:r>
      <w:r w:rsidR="002008A2" w:rsidRPr="007E77AF">
        <w:t xml:space="preserve">relativas a aspectos materiais </w:t>
      </w:r>
      <w:r w:rsidR="0010015E" w:rsidRPr="007E77AF">
        <w:t>em seu conteúdo</w:t>
      </w:r>
      <w:r w:rsidR="003D3842" w:rsidRPr="007E77AF">
        <w:t>.</w:t>
      </w:r>
    </w:p>
    <w:p w14:paraId="642E48CF" w14:textId="63A49EB1" w:rsidR="00D74986" w:rsidRPr="007E77AF" w:rsidRDefault="009069A1" w:rsidP="001353DC">
      <w:pPr>
        <w:spacing w:before="120" w:after="120" w:line="312" w:lineRule="auto"/>
        <w:ind w:firstLine="567"/>
        <w:jc w:val="both"/>
      </w:pPr>
      <w:r w:rsidRPr="007E77AF">
        <w:t>Art. 42</w:t>
      </w:r>
      <w:r w:rsidR="23286CE0" w:rsidRPr="007E77AF">
        <w:t>.</w:t>
      </w:r>
      <w:r w:rsidR="70189C46" w:rsidRPr="007E77AF">
        <w:t xml:space="preserve">  </w:t>
      </w:r>
      <w:r w:rsidR="11B03B98" w:rsidRPr="007E77AF">
        <w:t xml:space="preserve">A aprovação do prospecto e </w:t>
      </w:r>
      <w:r w:rsidR="06910045" w:rsidRPr="007E77AF">
        <w:t>d</w:t>
      </w:r>
      <w:r w:rsidR="11B03B98" w:rsidRPr="007E77AF">
        <w:t>o</w:t>
      </w:r>
      <w:r w:rsidR="70189C46" w:rsidRPr="007E77AF">
        <w:t xml:space="preserve"> registro </w:t>
      </w:r>
      <w:r w:rsidR="11B03B98" w:rsidRPr="007E77AF">
        <w:t xml:space="preserve">da oferta pública de distribuição </w:t>
      </w:r>
      <w:r w:rsidR="70189C46" w:rsidRPr="007E77AF">
        <w:t xml:space="preserve">não implica, por parte da CVM, garantia </w:t>
      </w:r>
      <w:r w:rsidR="11B03B98" w:rsidRPr="007E77AF">
        <w:t xml:space="preserve">quanto ao conteúdo </w:t>
      </w:r>
      <w:r w:rsidR="70189C46" w:rsidRPr="007E77AF">
        <w:t>das informações prestadas ou julgamento sobre a qualidade d</w:t>
      </w:r>
      <w:r w:rsidR="1F44DF49" w:rsidRPr="007E77AF">
        <w:t>o emissor</w:t>
      </w:r>
      <w:r w:rsidR="70189C46" w:rsidRPr="007E77AF">
        <w:t xml:space="preserve">, sua viabilidade, sua administração </w:t>
      </w:r>
      <w:r w:rsidR="290BD79E" w:rsidRPr="007E77AF">
        <w:t xml:space="preserve">e </w:t>
      </w:r>
      <w:r w:rsidR="2DBAA6CB" w:rsidRPr="007E77AF">
        <w:t xml:space="preserve">sua </w:t>
      </w:r>
      <w:r w:rsidR="70189C46" w:rsidRPr="007E77AF">
        <w:t>situação econômico-financeira</w:t>
      </w:r>
      <w:r w:rsidR="62F63E4B" w:rsidRPr="007E77AF">
        <w:t xml:space="preserve">, bem como quanto </w:t>
      </w:r>
      <w:r w:rsidR="11B03B98" w:rsidRPr="007E77AF">
        <w:t>à qualidade</w:t>
      </w:r>
      <w:r w:rsidR="3CA9C526" w:rsidRPr="007E77AF">
        <w:t xml:space="preserve"> </w:t>
      </w:r>
      <w:r w:rsidR="70189C46" w:rsidRPr="007E77AF">
        <w:t xml:space="preserve">dos </w:t>
      </w:r>
      <w:r w:rsidR="1F44DF49" w:rsidRPr="007E77AF">
        <w:t>ativos</w:t>
      </w:r>
      <w:r w:rsidR="70189C46" w:rsidRPr="007E77AF">
        <w:t xml:space="preserve"> a serem distribuídos</w:t>
      </w:r>
      <w:r w:rsidR="00F80C4F" w:rsidRPr="007E77AF">
        <w:t>,</w:t>
      </w:r>
      <w:r w:rsidR="70189C46" w:rsidRPr="007E77AF">
        <w:t xml:space="preserve"> e é concedido segundo critérios formais de legalidade.</w:t>
      </w:r>
    </w:p>
    <w:p w14:paraId="0AC1CF35" w14:textId="250FCC22" w:rsidR="00703891" w:rsidRPr="007E77AF" w:rsidRDefault="00F458F8" w:rsidP="006B018B">
      <w:pPr>
        <w:pStyle w:val="Seo"/>
      </w:pPr>
      <w:bookmarkStart w:id="186" w:name="_Toc467256281"/>
      <w:bookmarkStart w:id="187" w:name="_Toc476216330"/>
      <w:bookmarkStart w:id="188" w:name="_Toc108516051"/>
      <w:bookmarkStart w:id="189" w:name="_Toc108203082"/>
      <w:bookmarkStart w:id="190" w:name="_Toc136502822"/>
      <w:r w:rsidRPr="007E77AF">
        <w:t xml:space="preserve">Seção </w:t>
      </w:r>
      <w:r w:rsidR="000C554B" w:rsidRPr="007E77AF">
        <w:t>I</w:t>
      </w:r>
      <w:r w:rsidR="00113CB7" w:rsidRPr="007E77AF">
        <w:t xml:space="preserve">V </w:t>
      </w:r>
      <w:r w:rsidRPr="007E77AF">
        <w:t xml:space="preserve">– </w:t>
      </w:r>
      <w:r w:rsidR="00C51EC7" w:rsidRPr="007E77AF">
        <w:t>D</w:t>
      </w:r>
      <w:r w:rsidR="47D6DA61" w:rsidRPr="007E77AF">
        <w:t xml:space="preserve">ispensa de </w:t>
      </w:r>
      <w:r w:rsidR="0A0354B8" w:rsidRPr="007E77AF">
        <w:t>R</w:t>
      </w:r>
      <w:r w:rsidR="00115CBD" w:rsidRPr="007E77AF">
        <w:t xml:space="preserve">egistro e de </w:t>
      </w:r>
      <w:bookmarkEnd w:id="186"/>
      <w:r w:rsidR="09E0136B" w:rsidRPr="007E77AF">
        <w:t>R</w:t>
      </w:r>
      <w:r w:rsidR="47D6DA61" w:rsidRPr="007E77AF">
        <w:t>equisitos</w:t>
      </w:r>
      <w:bookmarkEnd w:id="187"/>
      <w:bookmarkEnd w:id="188"/>
      <w:bookmarkEnd w:id="189"/>
      <w:bookmarkEnd w:id="190"/>
      <w:r w:rsidR="23DCA37B" w:rsidRPr="007E77AF">
        <w:rPr>
          <w:rFonts w:ascii="Arial Unicode MS" w:eastAsia="Arial Unicode MS" w:hAnsi="Arial Unicode MS" w:cs="Arial Unicode MS"/>
        </w:rPr>
        <w:t xml:space="preserve"> </w:t>
      </w:r>
    </w:p>
    <w:p w14:paraId="6D3DEB43" w14:textId="07BF6091" w:rsidR="00D74986" w:rsidRPr="007E77AF" w:rsidRDefault="009069A1" w:rsidP="001353DC">
      <w:pPr>
        <w:spacing w:before="120" w:after="120" w:line="312" w:lineRule="auto"/>
        <w:ind w:firstLine="567"/>
        <w:jc w:val="both"/>
      </w:pPr>
      <w:bookmarkStart w:id="191" w:name="_Ref460492314"/>
      <w:r w:rsidRPr="007E77AF">
        <w:t>Art. 43</w:t>
      </w:r>
      <w:r w:rsidR="0C9D9098" w:rsidRPr="007E77AF">
        <w:t>.</w:t>
      </w:r>
      <w:r w:rsidR="5A1CE17C" w:rsidRPr="007E77AF">
        <w:t xml:space="preserve">  Considerando as características da oferta pública de distribuição de valores mobiliários, a </w:t>
      </w:r>
      <w:r w:rsidR="00527E1B" w:rsidRPr="007E77AF">
        <w:t xml:space="preserve">CVM </w:t>
      </w:r>
      <w:r w:rsidR="5A1CE17C" w:rsidRPr="007E77AF">
        <w:t>pode, a seu critério e sempre observados o interesse público, a adequada informação e a proteção ao investidor, dispensar o registro ou</w:t>
      </w:r>
      <w:r w:rsidR="59F657F2" w:rsidRPr="007E77AF">
        <w:t xml:space="preserve"> </w:t>
      </w:r>
      <w:r w:rsidR="5A1CE17C" w:rsidRPr="007E77AF">
        <w:t>alguns dos requisitos</w:t>
      </w:r>
      <w:r w:rsidR="014B01AE" w:rsidRPr="007E77AF">
        <w:t xml:space="preserve"> para a concessão deste</w:t>
      </w:r>
      <w:r w:rsidR="5A1CE17C" w:rsidRPr="007E77AF">
        <w:t xml:space="preserve">, inclusive divulgações, prazos e procedimentos previstos nesta </w:t>
      </w:r>
      <w:r w:rsidR="0EC0FFCD" w:rsidRPr="007E77AF">
        <w:t>Resolução</w:t>
      </w:r>
      <w:r w:rsidR="5A1CE17C" w:rsidRPr="007E77AF">
        <w:t>.</w:t>
      </w:r>
      <w:bookmarkEnd w:id="191"/>
    </w:p>
    <w:p w14:paraId="6AB5FDFA" w14:textId="772C68CD" w:rsidR="00D74986" w:rsidRPr="007E77AF" w:rsidRDefault="00C51EC7" w:rsidP="00D74986">
      <w:pPr>
        <w:spacing w:before="120" w:after="120" w:line="312" w:lineRule="auto"/>
        <w:ind w:firstLine="567"/>
        <w:jc w:val="both"/>
      </w:pPr>
      <w:r w:rsidRPr="007E77AF">
        <w:t>§ 1</w:t>
      </w:r>
      <w:proofErr w:type="gramStart"/>
      <w:r w:rsidRPr="007E77AF">
        <w:t>º  Na</w:t>
      </w:r>
      <w:r w:rsidR="00887BA9" w:rsidRPr="007E77AF">
        <w:t>s</w:t>
      </w:r>
      <w:proofErr w:type="gramEnd"/>
      <w:r w:rsidRPr="007E77AF">
        <w:t xml:space="preserve"> dispensa</w:t>
      </w:r>
      <w:r w:rsidR="00887BA9" w:rsidRPr="007E77AF">
        <w:t>s</w:t>
      </w:r>
      <w:r w:rsidRPr="007E77AF">
        <w:t xml:space="preserve"> mencionada</w:t>
      </w:r>
      <w:r w:rsidR="00887BA9" w:rsidRPr="007E77AF">
        <w:t>s</w:t>
      </w:r>
      <w:r w:rsidRPr="007E77AF">
        <w:t xml:space="preserve"> no </w:t>
      </w:r>
      <w:r w:rsidR="00E00A37" w:rsidRPr="007E77AF">
        <w:rPr>
          <w:b/>
          <w:bCs/>
        </w:rPr>
        <w:t>caput</w:t>
      </w:r>
      <w:r w:rsidRPr="007E77AF">
        <w:t xml:space="preserve">, a </w:t>
      </w:r>
      <w:r w:rsidR="00507CC4" w:rsidRPr="007E77AF">
        <w:t xml:space="preserve">CVM </w:t>
      </w:r>
      <w:r w:rsidR="02F63257" w:rsidRPr="007E77AF">
        <w:t xml:space="preserve">deve </w:t>
      </w:r>
      <w:r w:rsidRPr="007E77AF">
        <w:t>considera</w:t>
      </w:r>
      <w:r w:rsidR="437827CA" w:rsidRPr="007E77AF">
        <w:t>r</w:t>
      </w:r>
      <w:r w:rsidRPr="007E77AF">
        <w:t>, cumulativa ou isoladamente, as seguintes condições especiais da operação pretendida</w:t>
      </w:r>
      <w:r w:rsidR="00825632" w:rsidRPr="007E77AF">
        <w:t>, sem prejuízo de outr</w:t>
      </w:r>
      <w:r w:rsidR="00C662A3" w:rsidRPr="007E77AF">
        <w:t>o</w:t>
      </w:r>
      <w:r w:rsidR="00825632" w:rsidRPr="007E77AF">
        <w:t>s elementos</w:t>
      </w:r>
      <w:r w:rsidRPr="007E77AF">
        <w:t>:</w:t>
      </w:r>
    </w:p>
    <w:p w14:paraId="5C477D9F" w14:textId="77777777" w:rsidR="00D74986" w:rsidRPr="007E77AF" w:rsidRDefault="00C51EC7" w:rsidP="00D74986">
      <w:pPr>
        <w:spacing w:before="120" w:after="120" w:line="312" w:lineRule="auto"/>
        <w:ind w:firstLine="567"/>
        <w:jc w:val="both"/>
      </w:pPr>
      <w:r w:rsidRPr="007E77AF">
        <w:t xml:space="preserve">I </w:t>
      </w:r>
      <w:r w:rsidR="00244DC7" w:rsidRPr="007E77AF">
        <w:t>–</w:t>
      </w:r>
      <w:r w:rsidRPr="007E77AF">
        <w:t xml:space="preserve"> </w:t>
      </w:r>
      <w:proofErr w:type="gramStart"/>
      <w:r w:rsidRPr="007E77AF">
        <w:t>o</w:t>
      </w:r>
      <w:proofErr w:type="gramEnd"/>
      <w:r w:rsidRPr="007E77AF">
        <w:t xml:space="preserve"> valor unitário dos valores mobiliários ofertados ou o valor total da oferta;</w:t>
      </w:r>
    </w:p>
    <w:p w14:paraId="1A6D50E3" w14:textId="215AB8E5" w:rsidR="00D74986" w:rsidRPr="007E77AF" w:rsidRDefault="00C51EC7" w:rsidP="00D74986">
      <w:pPr>
        <w:spacing w:before="120" w:after="120" w:line="312" w:lineRule="auto"/>
        <w:ind w:firstLine="567"/>
        <w:jc w:val="both"/>
      </w:pPr>
      <w:r w:rsidRPr="007E77AF">
        <w:t xml:space="preserve">II </w:t>
      </w:r>
      <w:r w:rsidR="00244DC7" w:rsidRPr="007E77AF">
        <w:t>–</w:t>
      </w:r>
      <w:r w:rsidRPr="007E77AF">
        <w:t xml:space="preserve"> </w:t>
      </w:r>
      <w:proofErr w:type="gramStart"/>
      <w:r w:rsidRPr="007E77AF">
        <w:t>o</w:t>
      </w:r>
      <w:proofErr w:type="gramEnd"/>
      <w:r w:rsidRPr="007E77AF">
        <w:t xml:space="preserve"> plano de distribuição dos valores mobiliários</w:t>
      </w:r>
      <w:r w:rsidR="006167D2" w:rsidRPr="007E77AF">
        <w:t>;</w:t>
      </w:r>
    </w:p>
    <w:p w14:paraId="5F9D89A6" w14:textId="3449DCE5" w:rsidR="00D74986" w:rsidRPr="007E77AF" w:rsidRDefault="00C51EC7" w:rsidP="00D74986">
      <w:pPr>
        <w:spacing w:before="120" w:after="120" w:line="312" w:lineRule="auto"/>
        <w:ind w:firstLine="567"/>
        <w:jc w:val="both"/>
      </w:pPr>
      <w:r w:rsidRPr="007E77AF">
        <w:t>I</w:t>
      </w:r>
      <w:r w:rsidR="4138D9E4" w:rsidRPr="007E77AF">
        <w:t>II</w:t>
      </w:r>
      <w:r w:rsidRPr="007E77AF">
        <w:t xml:space="preserve"> </w:t>
      </w:r>
      <w:r w:rsidR="00244DC7" w:rsidRPr="007E77AF">
        <w:t>–</w:t>
      </w:r>
      <w:r w:rsidRPr="007E77AF">
        <w:t xml:space="preserve"> a </w:t>
      </w:r>
      <w:r w:rsidR="00612ACD" w:rsidRPr="007E77AF">
        <w:t xml:space="preserve">realização da </w:t>
      </w:r>
      <w:r w:rsidRPr="007E77AF">
        <w:t xml:space="preserve">distribuição em mais de um </w:t>
      </w:r>
      <w:r w:rsidR="005D6A24" w:rsidRPr="007E77AF">
        <w:t>mercado</w:t>
      </w:r>
      <w:r w:rsidRPr="007E77AF">
        <w:t>, de forma a compatibilizar os diferentes procedimentos envolvidos, desde que assegurada, no mínimo, a igualdade de condições com os investidores locais;</w:t>
      </w:r>
    </w:p>
    <w:p w14:paraId="5FD666C3" w14:textId="77777777" w:rsidR="00D74986" w:rsidRPr="007E77AF" w:rsidRDefault="44774450" w:rsidP="00D74986">
      <w:pPr>
        <w:spacing w:before="120" w:after="120" w:line="312" w:lineRule="auto"/>
        <w:ind w:firstLine="567"/>
        <w:jc w:val="both"/>
      </w:pPr>
      <w:r w:rsidRPr="007E77AF">
        <w:t>I</w:t>
      </w:r>
      <w:r w:rsidR="00C51EC7" w:rsidRPr="007E77AF">
        <w:t xml:space="preserve">V </w:t>
      </w:r>
      <w:r w:rsidR="00244DC7" w:rsidRPr="007E77AF">
        <w:t>–</w:t>
      </w:r>
      <w:r w:rsidR="00C51EC7" w:rsidRPr="007E77AF">
        <w:t xml:space="preserve"> </w:t>
      </w:r>
      <w:proofErr w:type="gramStart"/>
      <w:r w:rsidR="00C51EC7" w:rsidRPr="007E77AF">
        <w:t>características</w:t>
      </w:r>
      <w:proofErr w:type="gramEnd"/>
      <w:r w:rsidR="00C51EC7" w:rsidRPr="007E77AF">
        <w:t xml:space="preserve"> da oferta de permuta;</w:t>
      </w:r>
    </w:p>
    <w:p w14:paraId="7DEBDA5A" w14:textId="679ACA06" w:rsidR="00D74986" w:rsidRPr="007E77AF" w:rsidRDefault="00C51EC7" w:rsidP="00D74986">
      <w:pPr>
        <w:spacing w:before="120" w:after="120" w:line="312" w:lineRule="auto"/>
        <w:ind w:firstLine="567"/>
        <w:jc w:val="both"/>
      </w:pPr>
      <w:r w:rsidRPr="007E77AF">
        <w:t xml:space="preserve">V </w:t>
      </w:r>
      <w:r w:rsidR="00244DC7" w:rsidRPr="007E77AF">
        <w:t>–</w:t>
      </w:r>
      <w:r w:rsidRPr="007E77AF">
        <w:t xml:space="preserve"> </w:t>
      </w:r>
      <w:proofErr w:type="gramStart"/>
      <w:r w:rsidRPr="007E77AF">
        <w:t>o</w:t>
      </w:r>
      <w:proofErr w:type="gramEnd"/>
      <w:r w:rsidRPr="007E77AF">
        <w:t xml:space="preserve"> público destinatário da oferta, inclusive quanto à sua localidade geográfica ou quantidade;</w:t>
      </w:r>
    </w:p>
    <w:p w14:paraId="2090E523" w14:textId="3C4011F4" w:rsidR="00D74986" w:rsidRPr="007E77AF" w:rsidRDefault="00C51EC7" w:rsidP="00D74986">
      <w:pPr>
        <w:spacing w:before="120" w:after="120" w:line="312" w:lineRule="auto"/>
        <w:ind w:firstLine="567"/>
        <w:jc w:val="both"/>
      </w:pPr>
      <w:r w:rsidRPr="007E77AF">
        <w:t xml:space="preserve">VI </w:t>
      </w:r>
      <w:r w:rsidR="00244DC7" w:rsidRPr="007E77AF">
        <w:t>–</w:t>
      </w:r>
      <w:r w:rsidRPr="007E77AF">
        <w:t xml:space="preserve"> </w:t>
      </w:r>
      <w:proofErr w:type="gramStart"/>
      <w:r w:rsidR="0091678F" w:rsidRPr="007E77AF">
        <w:t>o</w:t>
      </w:r>
      <w:proofErr w:type="gramEnd"/>
      <w:r w:rsidR="0091678F" w:rsidRPr="007E77AF">
        <w:t xml:space="preserve"> público</w:t>
      </w:r>
      <w:r w:rsidR="00951E0B" w:rsidRPr="007E77AF">
        <w:t xml:space="preserve"> destinatário</w:t>
      </w:r>
      <w:r w:rsidR="0091678F" w:rsidRPr="007E77AF">
        <w:t xml:space="preserve"> da oferta </w:t>
      </w:r>
      <w:r w:rsidRPr="007E77AF">
        <w:t xml:space="preserve">ser </w:t>
      </w:r>
      <w:r w:rsidR="0091678F" w:rsidRPr="007E77AF">
        <w:t xml:space="preserve">formado </w:t>
      </w:r>
      <w:r w:rsidRPr="007E77AF">
        <w:t xml:space="preserve">exclusivamente </w:t>
      </w:r>
      <w:r w:rsidR="0091678F" w:rsidRPr="007E77AF">
        <w:t xml:space="preserve">por </w:t>
      </w:r>
      <w:r w:rsidRPr="007E77AF">
        <w:t>investidores qualificados</w:t>
      </w:r>
      <w:r w:rsidR="00703BE5" w:rsidRPr="007E77AF">
        <w:t>; ou</w:t>
      </w:r>
    </w:p>
    <w:p w14:paraId="75D3D1B2" w14:textId="3845247E" w:rsidR="00D74986" w:rsidRPr="007E77AF" w:rsidRDefault="00703BE5" w:rsidP="00D74986">
      <w:pPr>
        <w:spacing w:before="120" w:after="120" w:line="312" w:lineRule="auto"/>
        <w:ind w:firstLine="567"/>
        <w:jc w:val="both"/>
      </w:pPr>
      <w:r w:rsidRPr="007E77AF">
        <w:t>VII –</w:t>
      </w:r>
      <w:r w:rsidR="004A0154">
        <w:t xml:space="preserve"> </w:t>
      </w:r>
      <w:r w:rsidR="006A2044" w:rsidRPr="007E77AF">
        <w:t xml:space="preserve">restrições </w:t>
      </w:r>
      <w:r w:rsidR="0020624B" w:rsidRPr="007E77AF">
        <w:t xml:space="preserve">previstas </w:t>
      </w:r>
      <w:r w:rsidRPr="007E77AF">
        <w:t>à negociação dos valores mobiliários adquiridos na oferta</w:t>
      </w:r>
      <w:r w:rsidR="00887BA9" w:rsidRPr="007E77AF">
        <w:t>.</w:t>
      </w:r>
    </w:p>
    <w:p w14:paraId="69807E5A" w14:textId="21E9D1F3" w:rsidR="00D74986" w:rsidRPr="007E77AF" w:rsidRDefault="00C51EC7" w:rsidP="00D74986">
      <w:pPr>
        <w:spacing w:before="120" w:after="120" w:line="312" w:lineRule="auto"/>
        <w:ind w:firstLine="567"/>
        <w:jc w:val="both"/>
      </w:pPr>
      <w:r w:rsidRPr="007E77AF">
        <w:lastRenderedPageBreak/>
        <w:t>§</w:t>
      </w:r>
      <w:r w:rsidR="36256F9E" w:rsidRPr="007E77AF">
        <w:t xml:space="preserve"> </w:t>
      </w:r>
      <w:r w:rsidRPr="007E77AF">
        <w:t>2</w:t>
      </w:r>
      <w:proofErr w:type="gramStart"/>
      <w:r w:rsidRPr="007E77AF">
        <w:t>º  O</w:t>
      </w:r>
      <w:proofErr w:type="gramEnd"/>
      <w:r w:rsidRPr="007E77AF">
        <w:t xml:space="preserve"> pedido de dispensa de registro ou de requisitos do registro </w:t>
      </w:r>
      <w:r w:rsidR="00D62025" w:rsidRPr="007E77AF">
        <w:t>deve ser</w:t>
      </w:r>
      <w:r w:rsidR="00591F75" w:rsidRPr="007E77AF">
        <w:t xml:space="preserve"> </w:t>
      </w:r>
      <w:r w:rsidRPr="007E77AF">
        <w:t xml:space="preserve">formulado pelo ofertante e </w:t>
      </w:r>
      <w:r w:rsidR="00D55D04">
        <w:t>pelo coordenador líder</w:t>
      </w:r>
      <w:r w:rsidRPr="007E77AF">
        <w:t xml:space="preserve"> nos termos do </w:t>
      </w:r>
      <w:r w:rsidR="00553D80" w:rsidRPr="007E77AF">
        <w:t>documento previsto no</w:t>
      </w:r>
      <w:r w:rsidRPr="007E77AF">
        <w:t xml:space="preserve"> Anexo </w:t>
      </w:r>
      <w:r w:rsidR="00E663C3">
        <w:t>L</w:t>
      </w:r>
      <w:r w:rsidR="00E663C3" w:rsidRPr="007E77AF">
        <w:t xml:space="preserve"> </w:t>
      </w:r>
      <w:r w:rsidR="00D404F0" w:rsidRPr="007E77AF">
        <w:t>a esta Resolução</w:t>
      </w:r>
      <w:r w:rsidRPr="007E77AF">
        <w:t xml:space="preserve">, e </w:t>
      </w:r>
      <w:r w:rsidR="00591F75" w:rsidRPr="007E77AF">
        <w:t xml:space="preserve">deve </w:t>
      </w:r>
      <w:r w:rsidRPr="007E77AF">
        <w:t>conter as justificativas identificadas pelos requerentes para a concessão da dispensa.</w:t>
      </w:r>
    </w:p>
    <w:p w14:paraId="206D120E" w14:textId="73ECBF8B" w:rsidR="00D74986" w:rsidRPr="007E77AF" w:rsidRDefault="009069A1" w:rsidP="001353DC">
      <w:pPr>
        <w:spacing w:before="120" w:after="120" w:line="312" w:lineRule="auto"/>
        <w:ind w:firstLine="567"/>
        <w:jc w:val="both"/>
        <w:rPr>
          <w:rFonts w:eastAsiaTheme="minorEastAsia" w:cstheme="minorBidi"/>
        </w:rPr>
      </w:pPr>
      <w:bookmarkStart w:id="192" w:name="_Ref460762194"/>
      <w:r w:rsidRPr="007E77AF">
        <w:rPr>
          <w:rFonts w:eastAsiaTheme="minorEastAsia" w:cstheme="minorBidi"/>
        </w:rPr>
        <w:t>Art. 44</w:t>
      </w:r>
      <w:r w:rsidR="0DFB16DC" w:rsidRPr="007E77AF">
        <w:t xml:space="preserve">. </w:t>
      </w:r>
      <w:r w:rsidR="00F30E62">
        <w:t xml:space="preserve"> </w:t>
      </w:r>
      <w:r w:rsidR="11FE3123" w:rsidRPr="007E77AF">
        <w:t xml:space="preserve">A análise de pedido de dispensa de registro ou de requisitos do registro </w:t>
      </w:r>
      <w:r w:rsidR="2336953F" w:rsidRPr="007E77AF">
        <w:t>é realizada</w:t>
      </w:r>
      <w:r w:rsidR="11FE3123" w:rsidRPr="007E77AF">
        <w:t xml:space="preserve"> previamente </w:t>
      </w:r>
      <w:r w:rsidR="72B630C8" w:rsidRPr="007E77AF">
        <w:t>ao início d</w:t>
      </w:r>
      <w:r w:rsidR="7646E077" w:rsidRPr="007E77AF">
        <w:t>a</w:t>
      </w:r>
      <w:r w:rsidR="11FE3123" w:rsidRPr="007E77AF">
        <w:t xml:space="preserve"> análise do requerimento do registro.</w:t>
      </w:r>
      <w:bookmarkEnd w:id="192"/>
    </w:p>
    <w:p w14:paraId="0F37B16E" w14:textId="060B1CAA" w:rsidR="00D74986" w:rsidRPr="007E77AF" w:rsidRDefault="004C0C0C" w:rsidP="00391DEA">
      <w:pPr>
        <w:spacing w:before="120" w:after="120" w:line="312" w:lineRule="auto"/>
        <w:ind w:firstLine="567"/>
        <w:jc w:val="both"/>
      </w:pPr>
      <w:r w:rsidRPr="007E77AF">
        <w:t>§ 1</w:t>
      </w:r>
      <w:proofErr w:type="gramStart"/>
      <w:r w:rsidRPr="007E77AF">
        <w:t>º</w:t>
      </w:r>
      <w:r w:rsidR="00102FE5" w:rsidRPr="007E77AF">
        <w:t xml:space="preserve"> </w:t>
      </w:r>
      <w:r w:rsidR="66CAE3E6" w:rsidRPr="007E77AF">
        <w:t xml:space="preserve"> </w:t>
      </w:r>
      <w:r w:rsidR="002E0C3A" w:rsidRPr="007E77AF">
        <w:t>Aplica</w:t>
      </w:r>
      <w:r w:rsidR="00612ACD" w:rsidRPr="007E77AF">
        <w:t>m</w:t>
      </w:r>
      <w:proofErr w:type="gramEnd"/>
      <w:r w:rsidR="002E0C3A" w:rsidRPr="007E77AF">
        <w:t xml:space="preserve">-se à </w:t>
      </w:r>
      <w:r w:rsidR="00634B65" w:rsidRPr="007E77AF">
        <w:t>análise</w:t>
      </w:r>
      <w:r w:rsidR="002E0C3A" w:rsidRPr="007E77AF">
        <w:t xml:space="preserve"> do</w:t>
      </w:r>
      <w:r w:rsidR="005C5482" w:rsidRPr="007E77AF">
        <w:t xml:space="preserve"> pedido a que se refere o </w:t>
      </w:r>
      <w:r w:rsidR="005C5482" w:rsidRPr="007E77AF">
        <w:rPr>
          <w:b/>
          <w:bCs/>
        </w:rPr>
        <w:t>caput</w:t>
      </w:r>
      <w:r w:rsidR="005C5482" w:rsidRPr="007E77AF">
        <w:t xml:space="preserve"> os prazos previstos </w:t>
      </w:r>
      <w:r w:rsidR="00547674" w:rsidRPr="007E77AF">
        <w:t>par</w:t>
      </w:r>
      <w:r w:rsidR="005C5482" w:rsidRPr="007E77AF">
        <w:t xml:space="preserve">a análise do </w:t>
      </w:r>
      <w:r w:rsidR="002F16A3" w:rsidRPr="007E77AF">
        <w:t>rito de registro</w:t>
      </w:r>
      <w:r w:rsidR="005C5482" w:rsidRPr="007E77AF">
        <w:t xml:space="preserve"> ordinário de distribuição</w:t>
      </w:r>
      <w:r w:rsidR="00B12FD4" w:rsidRPr="007E77AF">
        <w:t xml:space="preserve">, conforme </w:t>
      </w:r>
      <w:proofErr w:type="spellStart"/>
      <w:r w:rsidR="00B12FD4" w:rsidRPr="007E77AF">
        <w:t>arts</w:t>
      </w:r>
      <w:proofErr w:type="spellEnd"/>
      <w:r w:rsidR="00B12FD4" w:rsidRPr="007E77AF">
        <w:t xml:space="preserve">. </w:t>
      </w:r>
      <w:r w:rsidR="0086760A" w:rsidRPr="007E77AF">
        <w:t>36</w:t>
      </w:r>
      <w:r w:rsidR="00B12FD4" w:rsidRPr="007E77AF">
        <w:t xml:space="preserve"> </w:t>
      </w:r>
      <w:r w:rsidR="00550997" w:rsidRPr="007E77AF">
        <w:t>a 38</w:t>
      </w:r>
      <w:r w:rsidR="66CAE3E6" w:rsidRPr="007E77AF">
        <w:t>.</w:t>
      </w:r>
    </w:p>
    <w:p w14:paraId="31FF4495" w14:textId="66952E58" w:rsidR="00E76259" w:rsidRPr="007E77AF" w:rsidRDefault="0011614F" w:rsidP="00391DEA">
      <w:pPr>
        <w:spacing w:before="120" w:after="120" w:line="312" w:lineRule="auto"/>
        <w:ind w:firstLine="567"/>
        <w:jc w:val="both"/>
      </w:pPr>
      <w:r w:rsidRPr="007E77AF">
        <w:t>§ 2</w:t>
      </w:r>
      <w:proofErr w:type="gramStart"/>
      <w:r w:rsidRPr="007E77AF">
        <w:t>º  O</w:t>
      </w:r>
      <w:proofErr w:type="gramEnd"/>
      <w:r w:rsidRPr="007E77AF">
        <w:t xml:space="preserve"> disposto </w:t>
      </w:r>
      <w:r w:rsidR="005A63DF" w:rsidRPr="007E77AF">
        <w:t xml:space="preserve">no </w:t>
      </w:r>
      <w:r w:rsidR="005A63DF" w:rsidRPr="007E77AF">
        <w:rPr>
          <w:b/>
          <w:bCs/>
        </w:rPr>
        <w:t>caput</w:t>
      </w:r>
      <w:r w:rsidRPr="007E77AF">
        <w:t xml:space="preserve"> não se aplica aos </w:t>
      </w:r>
      <w:r w:rsidR="00A31AC2" w:rsidRPr="007E77AF">
        <w:t>pedidos de dispensa cuja competência</w:t>
      </w:r>
      <w:r w:rsidR="004C0C0C" w:rsidRPr="007E77AF">
        <w:t xml:space="preserve"> para concessão tenha sido delegada à SRE</w:t>
      </w:r>
      <w:r w:rsidR="00A020C0" w:rsidRPr="007E77AF">
        <w:t xml:space="preserve">, os quais podem ser </w:t>
      </w:r>
      <w:r w:rsidR="00645504" w:rsidRPr="007E77AF">
        <w:t xml:space="preserve">formulados concomitantemente com </w:t>
      </w:r>
      <w:r w:rsidR="005A63DF" w:rsidRPr="007E77AF">
        <w:t>o requerimento de registro</w:t>
      </w:r>
      <w:r w:rsidR="004C0C0C" w:rsidRPr="007E77AF">
        <w:t>.</w:t>
      </w:r>
    </w:p>
    <w:p w14:paraId="34B6944D" w14:textId="3A1216A3" w:rsidR="00D74986" w:rsidRPr="007E77AF" w:rsidRDefault="009069A1" w:rsidP="001353DC">
      <w:pPr>
        <w:spacing w:before="120" w:after="120" w:line="312" w:lineRule="auto"/>
        <w:ind w:firstLine="567"/>
        <w:jc w:val="both"/>
      </w:pPr>
      <w:bookmarkStart w:id="193" w:name="_Ref473382888"/>
      <w:r w:rsidRPr="007E77AF">
        <w:t>Art. 45</w:t>
      </w:r>
      <w:r w:rsidR="0DFB16DC" w:rsidRPr="007E77AF">
        <w:t xml:space="preserve">.  </w:t>
      </w:r>
      <w:r w:rsidR="5A1CE17C" w:rsidRPr="007E77AF">
        <w:t xml:space="preserve">Na hipótese de dispensa de requisitos </w:t>
      </w:r>
      <w:r w:rsidR="524A0594" w:rsidRPr="007E77AF">
        <w:t>para o</w:t>
      </w:r>
      <w:r w:rsidR="5A1CE17C" w:rsidRPr="007E77AF">
        <w:t xml:space="preserve"> registro com base no inciso VI do § 1º</w:t>
      </w:r>
      <w:r w:rsidR="5BBE7756" w:rsidRPr="007E77AF">
        <w:t xml:space="preserve"> do </w:t>
      </w:r>
      <w:r w:rsidR="0086760A" w:rsidRPr="007E77AF">
        <w:t>43</w:t>
      </w:r>
      <w:r w:rsidR="5A1CE17C" w:rsidRPr="007E77AF">
        <w:t>, deve ser, adicionalmente, observado o seguinte:</w:t>
      </w:r>
      <w:bookmarkEnd w:id="193"/>
    </w:p>
    <w:p w14:paraId="640D6D74" w14:textId="2F1E9BE6" w:rsidR="00D74986" w:rsidRPr="007E77AF" w:rsidRDefault="00C51EC7" w:rsidP="00D74986">
      <w:pPr>
        <w:spacing w:before="120" w:after="120" w:line="312" w:lineRule="auto"/>
        <w:ind w:firstLine="567"/>
        <w:jc w:val="both"/>
      </w:pPr>
      <w:r w:rsidRPr="007E77AF">
        <w:t xml:space="preserve">I </w:t>
      </w:r>
      <w:r w:rsidR="00244DC7" w:rsidRPr="007E77AF">
        <w:t>–</w:t>
      </w:r>
      <w:r w:rsidRPr="007E77AF">
        <w:t xml:space="preserve"> </w:t>
      </w:r>
      <w:proofErr w:type="gramStart"/>
      <w:r w:rsidR="00A67CAC" w:rsidRPr="002C67D2">
        <w:t>as</w:t>
      </w:r>
      <w:proofErr w:type="gramEnd"/>
      <w:r w:rsidR="00A67CAC" w:rsidRPr="002C67D2">
        <w:t xml:space="preserve"> instituições </w:t>
      </w:r>
      <w:r w:rsidR="00E1643B">
        <w:t>participantes do consórcio de distribuição</w:t>
      </w:r>
      <w:r w:rsidR="00E1643B" w:rsidRPr="007E77AF">
        <w:t xml:space="preserve"> </w:t>
      </w:r>
      <w:r w:rsidR="00267698" w:rsidRPr="007E77AF">
        <w:t>devem garantir que</w:t>
      </w:r>
      <w:r w:rsidRPr="007E77AF">
        <w:t xml:space="preserve"> </w:t>
      </w:r>
      <w:r w:rsidR="00267698" w:rsidRPr="007E77AF">
        <w:t xml:space="preserve">uma </w:t>
      </w:r>
      <w:r w:rsidRPr="007E77AF">
        <w:t xml:space="preserve">declaração </w:t>
      </w:r>
      <w:r w:rsidR="00267698" w:rsidRPr="007E77AF">
        <w:t>de ciência sej</w:t>
      </w:r>
      <w:r w:rsidRPr="007E77AF">
        <w:t>a firmad</w:t>
      </w:r>
      <w:r w:rsidR="00267698" w:rsidRPr="007E77AF">
        <w:t>a</w:t>
      </w:r>
      <w:r w:rsidRPr="007E77AF">
        <w:t xml:space="preserve"> pelos subscritores ou adquirentes,</w:t>
      </w:r>
      <w:r w:rsidR="003B504D" w:rsidRPr="007E77AF">
        <w:t xml:space="preserve"> </w:t>
      </w:r>
      <w:r w:rsidR="003B504D" w:rsidRPr="002C67D2">
        <w:t xml:space="preserve">exceto </w:t>
      </w:r>
      <w:r w:rsidR="00727F47" w:rsidRPr="002C67D2">
        <w:t xml:space="preserve">quando estes forem </w:t>
      </w:r>
      <w:r w:rsidR="003B504D" w:rsidRPr="002C67D2">
        <w:t>investidores</w:t>
      </w:r>
      <w:r w:rsidR="003B504D" w:rsidRPr="007E77AF">
        <w:t xml:space="preserve"> </w:t>
      </w:r>
      <w:r w:rsidR="003B504D" w:rsidRPr="002C67D2">
        <w:t>profissionais</w:t>
      </w:r>
      <w:r w:rsidR="003B504D" w:rsidRPr="007E77AF">
        <w:t xml:space="preserve">, </w:t>
      </w:r>
      <w:r w:rsidR="00605416" w:rsidRPr="007E77AF">
        <w:t xml:space="preserve">da </w:t>
      </w:r>
      <w:r w:rsidRPr="007E77AF">
        <w:t>qual deve constar, obrigatoriamente, que:</w:t>
      </w:r>
    </w:p>
    <w:p w14:paraId="28DB48ED" w14:textId="62DD6F8D" w:rsidR="00703891" w:rsidRPr="007E77AF" w:rsidRDefault="00C51EC7" w:rsidP="00D74986">
      <w:pPr>
        <w:spacing w:before="120" w:after="120" w:line="312" w:lineRule="auto"/>
        <w:ind w:firstLine="567"/>
        <w:jc w:val="both"/>
      </w:pPr>
      <w:r w:rsidRPr="007E77AF">
        <w:t>a) têm conhecimento e experiência em finanças e negócios suficientes para avaliar os riscos e o conteúdo da oferta e que são capazes de assumir tais riscos;</w:t>
      </w:r>
    </w:p>
    <w:p w14:paraId="59ECB978" w14:textId="5BF01F02" w:rsidR="00703891" w:rsidRPr="007E77AF" w:rsidRDefault="00C51EC7" w:rsidP="00D74986">
      <w:pPr>
        <w:spacing w:before="120" w:after="120" w:line="312" w:lineRule="auto"/>
        <w:ind w:firstLine="567"/>
        <w:jc w:val="both"/>
      </w:pPr>
      <w:r w:rsidRPr="007E77AF">
        <w:t xml:space="preserve">b) tiveram amplo acesso às informações que julgaram necessárias e suficientes para a decisão de investimento, notadamente aquelas normalmente fornecidas </w:t>
      </w:r>
      <w:r w:rsidR="00495349" w:rsidRPr="007E77AF">
        <w:t xml:space="preserve">em um </w:t>
      </w:r>
      <w:r w:rsidR="38146E5C" w:rsidRPr="007E77AF">
        <w:t>p</w:t>
      </w:r>
      <w:r w:rsidRPr="007E77AF">
        <w:t>rospecto;</w:t>
      </w:r>
    </w:p>
    <w:p w14:paraId="01D32888" w14:textId="302A5DE3" w:rsidR="00D74986" w:rsidRPr="007E77AF" w:rsidRDefault="00C51EC7" w:rsidP="00D74986">
      <w:pPr>
        <w:spacing w:before="120" w:after="120" w:line="312" w:lineRule="auto"/>
        <w:ind w:firstLine="567"/>
        <w:jc w:val="both"/>
      </w:pPr>
      <w:r w:rsidRPr="007E77AF">
        <w:t>c) têm conhecimento de que se trata de hipótese de dispensa de registro ou de requisitos, conforme o caso;</w:t>
      </w:r>
      <w:r w:rsidR="002030E1" w:rsidRPr="007E77AF">
        <w:t xml:space="preserve"> e</w:t>
      </w:r>
    </w:p>
    <w:p w14:paraId="7DC9FAF3" w14:textId="61407B9D" w:rsidR="006674AD" w:rsidRPr="007E77AF" w:rsidRDefault="006674AD" w:rsidP="00D74986">
      <w:pPr>
        <w:spacing w:before="120" w:after="120" w:line="312" w:lineRule="auto"/>
        <w:ind w:firstLine="567"/>
        <w:jc w:val="both"/>
      </w:pPr>
      <w:r w:rsidRPr="007E77AF">
        <w:t>d) têm conhecimento da vedação imposta à negociação do valor mobiliário adquirido ou subscrito, nos casos aplicáveis; e</w:t>
      </w:r>
    </w:p>
    <w:p w14:paraId="37E4B656" w14:textId="101C25F5" w:rsidR="00D74986" w:rsidRPr="007E77AF" w:rsidRDefault="00C51EC7" w:rsidP="00D74986">
      <w:pPr>
        <w:spacing w:before="120" w:after="120" w:line="312" w:lineRule="auto"/>
        <w:ind w:firstLine="567"/>
        <w:jc w:val="both"/>
      </w:pPr>
      <w:r w:rsidRPr="007E77AF">
        <w:t xml:space="preserve">II </w:t>
      </w:r>
      <w:r w:rsidR="00244DC7" w:rsidRPr="007E77AF">
        <w:t>–</w:t>
      </w:r>
      <w:r w:rsidRPr="007E77AF">
        <w:t xml:space="preserve"> </w:t>
      </w:r>
      <w:r w:rsidR="002D6A5B" w:rsidRPr="007E77AF">
        <w:t>é</w:t>
      </w:r>
      <w:r w:rsidR="00742CAE" w:rsidRPr="007E77AF">
        <w:t xml:space="preserve"> admitido o uso de meios eletrônicos para </w:t>
      </w:r>
      <w:r w:rsidR="002D6A5B" w:rsidRPr="007E77AF">
        <w:t>obtenção da declaração prevista no inciso I deste parágrafo</w:t>
      </w:r>
      <w:r w:rsidR="005C6185" w:rsidRPr="007E77AF">
        <w:t>,</w:t>
      </w:r>
      <w:r w:rsidR="00742CAE" w:rsidRPr="007E77AF">
        <w:t xml:space="preserve"> </w:t>
      </w:r>
      <w:r w:rsidR="005C6185" w:rsidRPr="007E77AF">
        <w:t>que deve constar</w:t>
      </w:r>
      <w:r w:rsidR="00742CAE" w:rsidRPr="007E77AF">
        <w:t>:</w:t>
      </w:r>
    </w:p>
    <w:p w14:paraId="613EE220" w14:textId="4D461BA5" w:rsidR="00D74986" w:rsidRPr="00C67B81" w:rsidRDefault="00742CAE" w:rsidP="00D74986">
      <w:pPr>
        <w:spacing w:before="120" w:after="120" w:line="312" w:lineRule="auto"/>
        <w:ind w:firstLine="567"/>
        <w:jc w:val="both"/>
        <w:rPr>
          <w:highlight w:val="yellow"/>
        </w:rPr>
      </w:pPr>
      <w:r w:rsidRPr="007E77AF">
        <w:t xml:space="preserve">a) </w:t>
      </w:r>
      <w:r w:rsidR="005C6185" w:rsidRPr="007E77AF">
        <w:t>d</w:t>
      </w:r>
      <w:r w:rsidR="00292464" w:rsidRPr="007E77AF">
        <w:t xml:space="preserve">os </w:t>
      </w:r>
      <w:r w:rsidRPr="007E77AF">
        <w:t>pedidos de reserva, quando forem admitid</w:t>
      </w:r>
      <w:r w:rsidR="00D1251C" w:rsidRPr="007E77AF">
        <w:t>o</w:t>
      </w:r>
      <w:r w:rsidRPr="007E77AF">
        <w:t>s;</w:t>
      </w:r>
    </w:p>
    <w:p w14:paraId="618D213E" w14:textId="22E8DBA2" w:rsidR="00D74986" w:rsidRPr="00C67B81" w:rsidRDefault="00742CAE" w:rsidP="00D74986">
      <w:pPr>
        <w:spacing w:before="120" w:after="120" w:line="312" w:lineRule="auto"/>
        <w:ind w:firstLine="567"/>
        <w:jc w:val="both"/>
        <w:rPr>
          <w:highlight w:val="yellow"/>
        </w:rPr>
      </w:pPr>
      <w:r w:rsidRPr="007E77AF">
        <w:t xml:space="preserve">b) </w:t>
      </w:r>
      <w:r w:rsidR="005C6185" w:rsidRPr="007E77AF">
        <w:t xml:space="preserve">dos </w:t>
      </w:r>
      <w:r w:rsidR="00C51EC7" w:rsidRPr="007E77AF">
        <w:t>boletins de subscrição</w:t>
      </w:r>
      <w:r w:rsidR="006646F4" w:rsidRPr="007E77AF">
        <w:t xml:space="preserve">, quando exigidos por força de lei, </w:t>
      </w:r>
      <w:r w:rsidR="00C51EC7" w:rsidRPr="007E77AF">
        <w:t>ou</w:t>
      </w:r>
      <w:r w:rsidR="005C6185" w:rsidRPr="007E77AF">
        <w:t xml:space="preserve"> das</w:t>
      </w:r>
      <w:r w:rsidR="00C51EC7" w:rsidRPr="007E77AF">
        <w:t xml:space="preserve"> </w:t>
      </w:r>
      <w:r w:rsidR="00531DC1" w:rsidRPr="007E77AF">
        <w:t xml:space="preserve">ordens </w:t>
      </w:r>
      <w:r w:rsidR="00C51EC7" w:rsidRPr="007E77AF">
        <w:t>de aquisição</w:t>
      </w:r>
      <w:r w:rsidRPr="007E77AF">
        <w:t xml:space="preserve">, nas ofertas em que não </w:t>
      </w:r>
      <w:r w:rsidR="00531DC1" w:rsidRPr="007E77AF">
        <w:t>estejam previstos pedidos</w:t>
      </w:r>
      <w:r w:rsidRPr="007E77AF">
        <w:t xml:space="preserve"> de reserva; ou</w:t>
      </w:r>
    </w:p>
    <w:p w14:paraId="16B7CDC4" w14:textId="5A3E8F18" w:rsidR="00D74986" w:rsidRPr="00C67B81" w:rsidRDefault="00742CAE" w:rsidP="00D74986">
      <w:pPr>
        <w:spacing w:before="120" w:after="120" w:line="312" w:lineRule="auto"/>
        <w:ind w:firstLine="567"/>
        <w:jc w:val="both"/>
        <w:rPr>
          <w:highlight w:val="yellow"/>
        </w:rPr>
      </w:pPr>
      <w:r w:rsidRPr="007E77AF">
        <w:lastRenderedPageBreak/>
        <w:t xml:space="preserve">c) </w:t>
      </w:r>
      <w:r w:rsidR="005C6185" w:rsidRPr="007E77AF">
        <w:t xml:space="preserve">do </w:t>
      </w:r>
      <w:r w:rsidR="00C51EC7" w:rsidRPr="007E77AF">
        <w:t>termo de adesão e ciência de risco, no caso de oferta de cotas de emissão de fundos de investimento</w:t>
      </w:r>
      <w:r w:rsidR="002030E1" w:rsidRPr="007E77AF">
        <w:t>.</w:t>
      </w:r>
    </w:p>
    <w:p w14:paraId="6F1680E1" w14:textId="1D9D8FD7" w:rsidR="00D74986" w:rsidRPr="007E77AF" w:rsidRDefault="009069A1" w:rsidP="001353DC">
      <w:pPr>
        <w:spacing w:before="120" w:after="120" w:line="312" w:lineRule="auto"/>
        <w:ind w:firstLine="567"/>
        <w:jc w:val="both"/>
      </w:pPr>
      <w:r w:rsidRPr="007E77AF">
        <w:t>Art. 46</w:t>
      </w:r>
      <w:r w:rsidR="5BBE7756" w:rsidRPr="007E77AF">
        <w:t>.</w:t>
      </w:r>
      <w:r w:rsidR="5A1CE17C" w:rsidRPr="007E77AF">
        <w:t xml:space="preserve">  Nas hipóteses de dispensa de registro ou de requisitos previstas </w:t>
      </w:r>
      <w:r w:rsidR="5BBE7756" w:rsidRPr="007E77AF">
        <w:t xml:space="preserve">nesta </w:t>
      </w:r>
      <w:r w:rsidR="00C16810">
        <w:t>s</w:t>
      </w:r>
      <w:r w:rsidR="5BBE7756" w:rsidRPr="007E77AF">
        <w:t>eção</w:t>
      </w:r>
      <w:r w:rsidR="5A1CE17C" w:rsidRPr="007E77AF">
        <w:t>, a CVM pode impor restrições à negociação dos valores mobiliários em mercados regulamentados.</w:t>
      </w:r>
    </w:p>
    <w:p w14:paraId="2E328166" w14:textId="15CE5EAC" w:rsidR="00D74986" w:rsidRPr="007E77AF" w:rsidRDefault="0E5961F1" w:rsidP="006B018B">
      <w:pPr>
        <w:pStyle w:val="Seo"/>
      </w:pPr>
      <w:bookmarkStart w:id="194" w:name="_Toc476216331"/>
      <w:bookmarkStart w:id="195" w:name="_Toc108516052"/>
      <w:bookmarkStart w:id="196" w:name="_Toc108203083"/>
      <w:bookmarkStart w:id="197" w:name="_Toc136502823"/>
      <w:r w:rsidRPr="007E77AF">
        <w:t xml:space="preserve">Seção </w:t>
      </w:r>
      <w:r w:rsidR="00113CB7" w:rsidRPr="007E77AF">
        <w:t xml:space="preserve">V </w:t>
      </w:r>
      <w:r w:rsidRPr="007E77AF">
        <w:t xml:space="preserve">– Validade do </w:t>
      </w:r>
      <w:r w:rsidR="00C22400" w:rsidRPr="007E77AF">
        <w:t>Re</w:t>
      </w:r>
      <w:r w:rsidRPr="007E77AF">
        <w:t xml:space="preserve">gistro e </w:t>
      </w:r>
      <w:r w:rsidR="00C22400" w:rsidRPr="007E77AF">
        <w:t>P</w:t>
      </w:r>
      <w:r w:rsidRPr="007E77AF">
        <w:t xml:space="preserve">razo de </w:t>
      </w:r>
      <w:r w:rsidR="00C22400" w:rsidRPr="007E77AF">
        <w:t>D</w:t>
      </w:r>
      <w:r w:rsidRPr="007E77AF">
        <w:t>istribuição</w:t>
      </w:r>
      <w:bookmarkEnd w:id="194"/>
      <w:bookmarkEnd w:id="195"/>
      <w:bookmarkEnd w:id="196"/>
      <w:bookmarkEnd w:id="197"/>
    </w:p>
    <w:p w14:paraId="79536C33" w14:textId="76AB95C4" w:rsidR="00D74986" w:rsidRPr="007E77AF" w:rsidRDefault="009069A1" w:rsidP="001353DC">
      <w:pPr>
        <w:spacing w:before="120" w:after="120" w:line="312" w:lineRule="auto"/>
        <w:ind w:firstLine="567"/>
        <w:jc w:val="both"/>
      </w:pPr>
      <w:r w:rsidRPr="007E77AF">
        <w:t>Art. 47</w:t>
      </w:r>
      <w:r w:rsidR="0E5961F1" w:rsidRPr="007E77AF">
        <w:t xml:space="preserve">.  O registro de distribuição de valores mobiliários caduca se o anúncio de início de distribuição e o prospecto definitivo não forem divulgados em até 90 (noventa) dias após </w:t>
      </w:r>
      <w:r w:rsidR="00495349" w:rsidRPr="007E77AF">
        <w:t>o deferimento do registro</w:t>
      </w:r>
      <w:r w:rsidR="0E5961F1" w:rsidRPr="007E77AF">
        <w:t>.</w:t>
      </w:r>
    </w:p>
    <w:p w14:paraId="01351B70" w14:textId="7B4F2915" w:rsidR="00D74986" w:rsidRPr="007E77AF" w:rsidRDefault="0E5961F1" w:rsidP="00D74986">
      <w:pPr>
        <w:spacing w:before="120" w:after="120" w:line="312" w:lineRule="auto"/>
        <w:ind w:firstLine="567"/>
        <w:jc w:val="both"/>
      </w:pPr>
      <w:r w:rsidRPr="007E77AF">
        <w:t xml:space="preserve">Parágrafo único.  No caso de ofertas que utilizem prospecto preliminar, o anúncio de início de distribuição deve ser divulgado em até 2 (dois) dias </w:t>
      </w:r>
      <w:r w:rsidR="00C32827" w:rsidRPr="007E77AF">
        <w:t xml:space="preserve">úteis </w:t>
      </w:r>
      <w:r w:rsidRPr="007E77AF">
        <w:t>após a concessão do registro.</w:t>
      </w:r>
    </w:p>
    <w:p w14:paraId="665C077A" w14:textId="0486D39A" w:rsidR="00703891" w:rsidRPr="007E77AF" w:rsidRDefault="009069A1" w:rsidP="001353DC">
      <w:pPr>
        <w:spacing w:before="120" w:after="120" w:line="312" w:lineRule="auto"/>
        <w:ind w:firstLine="567"/>
        <w:jc w:val="both"/>
      </w:pPr>
      <w:r w:rsidRPr="007E77AF">
        <w:t>Art. 48</w:t>
      </w:r>
      <w:r w:rsidR="0E5961F1" w:rsidRPr="007E77AF">
        <w:t>.  A subscrição ou aquisição dos valores mobiliários objeto da oferta de distribuição deve ser realizada no prazo máximo de 180 (cento e oitenta) dias, contado da data de divulgação do anúncio de início de distribuição.</w:t>
      </w:r>
    </w:p>
    <w:p w14:paraId="4B37E848" w14:textId="77777777" w:rsidR="00D74986" w:rsidRPr="007E77AF" w:rsidRDefault="00002143" w:rsidP="006B018B">
      <w:pPr>
        <w:pStyle w:val="Captulo"/>
      </w:pPr>
      <w:bookmarkStart w:id="198" w:name="_Toc467256282"/>
      <w:bookmarkStart w:id="199" w:name="_Toc476216332"/>
      <w:bookmarkStart w:id="200" w:name="_Toc108516053"/>
      <w:bookmarkStart w:id="201" w:name="_Toc108203084"/>
      <w:bookmarkStart w:id="202" w:name="_Toc136502824"/>
      <w:r w:rsidRPr="007E77AF">
        <w:t xml:space="preserve">CAPÍTULO </w:t>
      </w:r>
      <w:r w:rsidR="4BDC1337" w:rsidRPr="007E77AF">
        <w:t>V</w:t>
      </w:r>
      <w:r w:rsidRPr="007E77AF">
        <w:t xml:space="preserve"> – CONDUÇÃO DA OFERTA</w:t>
      </w:r>
      <w:bookmarkEnd w:id="198"/>
      <w:bookmarkEnd w:id="199"/>
      <w:bookmarkEnd w:id="200"/>
      <w:bookmarkEnd w:id="201"/>
      <w:bookmarkEnd w:id="202"/>
    </w:p>
    <w:p w14:paraId="2B960952" w14:textId="77777777" w:rsidR="00D74986" w:rsidRPr="007E77AF" w:rsidRDefault="00EF73CA" w:rsidP="006B018B">
      <w:pPr>
        <w:pStyle w:val="Seo"/>
      </w:pPr>
      <w:bookmarkStart w:id="203" w:name="_Toc467256283"/>
      <w:bookmarkStart w:id="204" w:name="_Toc476216333"/>
      <w:bookmarkStart w:id="205" w:name="_Toc108516054"/>
      <w:bookmarkStart w:id="206" w:name="_Toc108203085"/>
      <w:bookmarkStart w:id="207" w:name="_Toc136502825"/>
      <w:r w:rsidRPr="007E77AF">
        <w:t>Seção I – Plano de Distribuição</w:t>
      </w:r>
      <w:bookmarkEnd w:id="203"/>
      <w:bookmarkEnd w:id="204"/>
      <w:bookmarkEnd w:id="205"/>
      <w:bookmarkEnd w:id="206"/>
      <w:bookmarkEnd w:id="207"/>
    </w:p>
    <w:p w14:paraId="68AC578E" w14:textId="40A3F3A3" w:rsidR="00EF73CA" w:rsidRPr="007E77AF" w:rsidRDefault="009069A1" w:rsidP="001353DC">
      <w:pPr>
        <w:spacing w:before="120" w:after="120" w:line="312" w:lineRule="auto"/>
        <w:ind w:firstLine="567"/>
        <w:jc w:val="both"/>
      </w:pPr>
      <w:bookmarkStart w:id="208" w:name="_Ref467232656"/>
      <w:r w:rsidRPr="007E77AF">
        <w:t>Art. 49</w:t>
      </w:r>
      <w:r w:rsidR="0001399E" w:rsidRPr="007E77AF">
        <w:t>.</w:t>
      </w:r>
      <w:r w:rsidR="00EF73CA" w:rsidRPr="007E77AF">
        <w:t xml:space="preserve">  </w:t>
      </w:r>
      <w:r w:rsidR="000B2746">
        <w:t>Os coordenadores</w:t>
      </w:r>
      <w:r w:rsidR="00EF73CA" w:rsidRPr="007E77AF">
        <w:t xml:space="preserve">, com anuência do ofertante, </w:t>
      </w:r>
      <w:r w:rsidR="00D87AA2" w:rsidRPr="007E77AF">
        <w:t>deve</w:t>
      </w:r>
      <w:r w:rsidR="000B2746">
        <w:t>m</w:t>
      </w:r>
      <w:r w:rsidR="00D87AA2" w:rsidRPr="007E77AF">
        <w:t xml:space="preserve"> </w:t>
      </w:r>
      <w:r w:rsidR="0033415B" w:rsidRPr="007E77AF">
        <w:t xml:space="preserve">elaborar </w:t>
      </w:r>
      <w:r w:rsidR="00EF73CA" w:rsidRPr="007E77AF">
        <w:t>plano de distribuição, no âmbito do qual:</w:t>
      </w:r>
      <w:bookmarkEnd w:id="208"/>
    </w:p>
    <w:p w14:paraId="55F4D1C8" w14:textId="268887DC" w:rsidR="00D74986" w:rsidRPr="007E77AF" w:rsidRDefault="009069A1" w:rsidP="001353DC">
      <w:pPr>
        <w:spacing w:before="120" w:after="120" w:line="312" w:lineRule="auto"/>
        <w:ind w:firstLine="567"/>
        <w:jc w:val="both"/>
        <w:rPr>
          <w:rFonts w:eastAsiaTheme="minorEastAsia"/>
        </w:rPr>
      </w:pPr>
      <w:r w:rsidRPr="007E77AF">
        <w:rPr>
          <w:rFonts w:eastAsiaTheme="minorEastAsia"/>
        </w:rPr>
        <w:t>I</w:t>
      </w:r>
      <w:r w:rsidR="00EF73CA" w:rsidRPr="007E77AF">
        <w:t xml:space="preserve"> – </w:t>
      </w:r>
      <w:proofErr w:type="gramStart"/>
      <w:r w:rsidR="00FB0792" w:rsidRPr="007E77AF">
        <w:t>possam</w:t>
      </w:r>
      <w:proofErr w:type="gramEnd"/>
      <w:r w:rsidR="00FB0792" w:rsidRPr="007E77AF">
        <w:t xml:space="preserve"> </w:t>
      </w:r>
      <w:r w:rsidR="00EF73CA" w:rsidRPr="007E77AF">
        <w:t>se</w:t>
      </w:r>
      <w:r w:rsidR="007507FC" w:rsidRPr="007E77AF">
        <w:t>r</w:t>
      </w:r>
      <w:r w:rsidR="00EF73CA" w:rsidRPr="007E77AF">
        <w:t xml:space="preserve"> estabelecidas parcelas (tranches) prioritárias a funcionários do emissor, </w:t>
      </w:r>
      <w:r w:rsidR="003A62C7" w:rsidRPr="007E77AF">
        <w:t>acionistas</w:t>
      </w:r>
      <w:r w:rsidR="003A62C7" w:rsidRPr="007E77AF">
        <w:rPr>
          <w:rFonts w:cstheme="minorHAnsi"/>
        </w:rPr>
        <w:t xml:space="preserve"> diretos</w:t>
      </w:r>
      <w:r w:rsidR="00EF73CA" w:rsidRPr="007E77AF">
        <w:t xml:space="preserve"> </w:t>
      </w:r>
      <w:r w:rsidR="000E4D97" w:rsidRPr="002C67D2">
        <w:rPr>
          <w:rFonts w:cstheme="minorHAnsi"/>
        </w:rPr>
        <w:t>e</w:t>
      </w:r>
      <w:r w:rsidR="00EF73CA" w:rsidRPr="007E77AF">
        <w:t xml:space="preserve"> indiretos, ou quaisquer outros grupos que levem em consideração relações de natureza comercial ou estratégica em relação ao emissor;</w:t>
      </w:r>
    </w:p>
    <w:p w14:paraId="761CDBFE" w14:textId="5F1B6AFE"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w:t>
      </w:r>
      <w:r w:rsidR="63B537BA" w:rsidRPr="007E77AF">
        <w:t xml:space="preserve"> </w:t>
      </w:r>
      <w:proofErr w:type="gramStart"/>
      <w:r w:rsidR="63B537BA" w:rsidRPr="007E77AF">
        <w:t xml:space="preserve">– </w:t>
      </w:r>
      <w:r w:rsidR="3D4EE270" w:rsidRPr="007E77AF">
        <w:t xml:space="preserve"> </w:t>
      </w:r>
      <w:r w:rsidR="00FB0792" w:rsidRPr="007E77AF">
        <w:t>possa</w:t>
      </w:r>
      <w:proofErr w:type="gramEnd"/>
      <w:r w:rsidR="00FB0792" w:rsidRPr="007E77AF">
        <w:t xml:space="preserve"> </w:t>
      </w:r>
      <w:r w:rsidR="3D4EE270" w:rsidRPr="007E77AF">
        <w:t>se</w:t>
      </w:r>
      <w:r w:rsidR="007507FC" w:rsidRPr="007E77AF">
        <w:t>r</w:t>
      </w:r>
      <w:r w:rsidR="3D4EE270" w:rsidRPr="007E77AF">
        <w:t xml:space="preserve"> estabelecida prioridade</w:t>
      </w:r>
      <w:r w:rsidR="006164CF" w:rsidRPr="007E77AF">
        <w:t xml:space="preserve"> na forma de percentual de</w:t>
      </w:r>
      <w:r w:rsidR="00FB0792" w:rsidRPr="007E77AF">
        <w:t xml:space="preserve"> alocação</w:t>
      </w:r>
      <w:r w:rsidR="002041A5" w:rsidRPr="007E77AF">
        <w:t xml:space="preserve"> diferenciado</w:t>
      </w:r>
      <w:r w:rsidR="00776A92" w:rsidRPr="007E77AF">
        <w:t xml:space="preserve"> sobre a reserva</w:t>
      </w:r>
      <w:r w:rsidR="3D4EE270" w:rsidRPr="007E77AF">
        <w:t xml:space="preserve"> a</w:t>
      </w:r>
      <w:r w:rsidR="00863FEC" w:rsidRPr="007E77AF">
        <w:t>os</w:t>
      </w:r>
      <w:r w:rsidR="3D4EE270" w:rsidRPr="007E77AF">
        <w:t xml:space="preserve"> investidores que aceitarem se submeter a </w:t>
      </w:r>
      <w:r w:rsidR="49A29781" w:rsidRPr="007E77AF">
        <w:t>um</w:t>
      </w:r>
      <w:r w:rsidR="717765BC" w:rsidRPr="007E77AF">
        <w:t>a restrição de negociação</w:t>
      </w:r>
      <w:r w:rsidR="49A29781" w:rsidRPr="007E77AF">
        <w:t xml:space="preserve"> </w:t>
      </w:r>
      <w:r w:rsidR="5B740411" w:rsidRPr="007E77AF">
        <w:t>(</w:t>
      </w:r>
      <w:proofErr w:type="spellStart"/>
      <w:r w:rsidR="3D4EE270" w:rsidRPr="007E77AF">
        <w:rPr>
          <w:b/>
        </w:rPr>
        <w:t>lock</w:t>
      </w:r>
      <w:proofErr w:type="spellEnd"/>
      <w:r w:rsidR="3D4EE270" w:rsidRPr="007E77AF">
        <w:rPr>
          <w:b/>
        </w:rPr>
        <w:t xml:space="preserve"> </w:t>
      </w:r>
      <w:proofErr w:type="spellStart"/>
      <w:r w:rsidR="3D4EE270" w:rsidRPr="007E77AF">
        <w:rPr>
          <w:b/>
        </w:rPr>
        <w:t>up</w:t>
      </w:r>
      <w:proofErr w:type="spellEnd"/>
      <w:r w:rsidR="5D12D2FB" w:rsidRPr="007E77AF">
        <w:t>)</w:t>
      </w:r>
      <w:r w:rsidR="63B537BA" w:rsidRPr="007E77AF">
        <w:t>;</w:t>
      </w:r>
      <w:r w:rsidR="00C35F69" w:rsidRPr="007E77AF">
        <w:t xml:space="preserve"> e</w:t>
      </w:r>
    </w:p>
    <w:p w14:paraId="1E9BFBEE" w14:textId="6CC68775" w:rsidR="00545725"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III</w:t>
      </w:r>
      <w:r w:rsidR="00EF73CA" w:rsidRPr="007E77AF">
        <w:t xml:space="preserve"> </w:t>
      </w:r>
      <w:bookmarkStart w:id="209" w:name="_Ref467228682"/>
      <w:r w:rsidR="00EF73CA" w:rsidRPr="007E77AF">
        <w:t xml:space="preserve">– </w:t>
      </w:r>
      <w:r w:rsidR="00BD6879" w:rsidRPr="007E77AF">
        <w:t>caso a oferta se destine ao público investidor em geral e esteja prevista a possibilidade de rateio ou de outro procedimento para lidar com o excesso de demanda, devam ser estabelecidas regras que garantam o tratamento equitativo dos investidores, sendo permitido o estabelecimento de limite máximo para os pedidos de reserva.</w:t>
      </w:r>
    </w:p>
    <w:bookmarkEnd w:id="209"/>
    <w:p w14:paraId="35F26C8E" w14:textId="703CAB15" w:rsidR="00D74986" w:rsidRPr="007E77AF" w:rsidRDefault="00BC253F" w:rsidP="00D74986">
      <w:pPr>
        <w:spacing w:before="120" w:after="120" w:line="312" w:lineRule="auto"/>
        <w:ind w:firstLine="567"/>
        <w:jc w:val="both"/>
      </w:pPr>
      <w:r w:rsidRPr="007E77AF">
        <w:t>Parágrafo único.</w:t>
      </w:r>
      <w:r w:rsidR="00EF73CA" w:rsidRPr="007E77AF">
        <w:t xml:space="preserve"> </w:t>
      </w:r>
      <w:r w:rsidR="006140FB" w:rsidRPr="007E77AF">
        <w:t xml:space="preserve"> </w:t>
      </w:r>
      <w:r w:rsidR="00EF73CA" w:rsidRPr="007E77AF">
        <w:t xml:space="preserve">As relações com clientes e outras considerações de natureza comercial ou estratégica, tanto </w:t>
      </w:r>
      <w:r w:rsidR="00C76C9D">
        <w:t>dos</w:t>
      </w:r>
      <w:r w:rsidR="00D432D7">
        <w:t xml:space="preserve"> coordenadores</w:t>
      </w:r>
      <w:r w:rsidR="00EF73CA" w:rsidRPr="007E77AF">
        <w:t xml:space="preserve"> como do ofertante, não podem ser consideradas na alocação dos </w:t>
      </w:r>
      <w:r w:rsidR="00EF73CA" w:rsidRPr="007E77AF">
        <w:lastRenderedPageBreak/>
        <w:t xml:space="preserve">investidores na parcela </w:t>
      </w:r>
      <w:r w:rsidR="7C99ED8E" w:rsidRPr="007E77AF">
        <w:t xml:space="preserve">destinada ao público investidor </w:t>
      </w:r>
      <w:r w:rsidR="00651D56" w:rsidRPr="007E77AF">
        <w:t>n</w:t>
      </w:r>
      <w:r w:rsidR="00C4048D" w:rsidRPr="007E77AF">
        <w:t>ão qualificado</w:t>
      </w:r>
      <w:r w:rsidR="00EF73CA" w:rsidRPr="007E77AF">
        <w:t xml:space="preserve"> no âmbito do plano de distribuição, devendo este fato estar claro </w:t>
      </w:r>
      <w:r w:rsidR="00334624" w:rsidRPr="007E77AF">
        <w:t>nos documentos</w:t>
      </w:r>
      <w:r w:rsidR="00EF73CA" w:rsidRPr="007E77AF">
        <w:t xml:space="preserve"> da oferta.</w:t>
      </w:r>
    </w:p>
    <w:p w14:paraId="5752044D" w14:textId="4F74BE40" w:rsidR="00D74986" w:rsidRPr="007E77AF" w:rsidRDefault="00701C86" w:rsidP="006B018B">
      <w:pPr>
        <w:pStyle w:val="Seo"/>
      </w:pPr>
      <w:bookmarkStart w:id="210" w:name="_Toc467256284"/>
      <w:bookmarkStart w:id="211" w:name="_Toc476216334"/>
      <w:bookmarkStart w:id="212" w:name="_Toc108516055"/>
      <w:bookmarkStart w:id="213" w:name="_Toc108203086"/>
      <w:bookmarkStart w:id="214" w:name="_Toc136502826"/>
      <w:r w:rsidRPr="007E77AF">
        <w:t>Seção II – Lote Adicional</w:t>
      </w:r>
      <w:bookmarkEnd w:id="210"/>
      <w:bookmarkEnd w:id="211"/>
      <w:r w:rsidR="0005042D" w:rsidRPr="007E77AF">
        <w:t xml:space="preserve"> e Lote Suplementar</w:t>
      </w:r>
      <w:bookmarkEnd w:id="212"/>
      <w:bookmarkEnd w:id="213"/>
      <w:bookmarkEnd w:id="214"/>
    </w:p>
    <w:p w14:paraId="7570FDDF" w14:textId="38E553CB" w:rsidR="00415D65" w:rsidRPr="007E77AF" w:rsidRDefault="009069A1" w:rsidP="001353DC">
      <w:pPr>
        <w:spacing w:before="120" w:after="120" w:line="312" w:lineRule="auto"/>
        <w:ind w:firstLine="567"/>
        <w:jc w:val="both"/>
      </w:pPr>
      <w:bookmarkStart w:id="215" w:name="_Ref467229141"/>
      <w:r w:rsidRPr="007E77AF">
        <w:t>Art. 50</w:t>
      </w:r>
      <w:r w:rsidR="00701C86" w:rsidRPr="007E77AF">
        <w:t xml:space="preserve">.  </w:t>
      </w:r>
      <w:bookmarkEnd w:id="215"/>
      <w:r w:rsidR="00DC34EC" w:rsidRPr="007E77AF">
        <w:t xml:space="preserve">A quantidade de valores mobiliários a ser distribuída pode, a critério do ofertante e sem a necessidade de novo requerimento de registro ou de modificação dos termos da oferta, ser aumentada, até um montante que não exceda em </w:t>
      </w:r>
      <w:r w:rsidR="00B01DA8" w:rsidRPr="007E77AF">
        <w:t>25</w:t>
      </w:r>
      <w:r w:rsidR="00DC34EC" w:rsidRPr="007E77AF">
        <w:t xml:space="preserve">% (vinte </w:t>
      </w:r>
      <w:r w:rsidR="00B01DA8" w:rsidRPr="007E77AF">
        <w:t>e cinco</w:t>
      </w:r>
      <w:r w:rsidR="00DC34EC" w:rsidRPr="007E77AF">
        <w:t xml:space="preserve"> por cento) a quantidade inicialmente requerida (lote adicional), excluído o eventual lote suplementar de que trata o art. </w:t>
      </w:r>
      <w:r w:rsidR="0086760A" w:rsidRPr="007E77AF">
        <w:t>51</w:t>
      </w:r>
      <w:r w:rsidR="00DC34EC" w:rsidRPr="007E77AF">
        <w:t>.</w:t>
      </w:r>
    </w:p>
    <w:p w14:paraId="66AF8D78" w14:textId="5446F2AD" w:rsidR="009530BB" w:rsidRPr="007E77AF" w:rsidRDefault="004A0154" w:rsidP="0005042D">
      <w:pPr>
        <w:spacing w:before="120" w:after="120" w:line="312" w:lineRule="auto"/>
        <w:ind w:firstLine="567"/>
        <w:jc w:val="both"/>
      </w:pPr>
      <w:bookmarkStart w:id="216" w:name="_Ref473448183"/>
      <w:bookmarkStart w:id="217" w:name="_Ref467229220"/>
      <w:r>
        <w:t>Parágrafo único.</w:t>
      </w:r>
      <w:r w:rsidR="003B4630" w:rsidRPr="007E77AF">
        <w:t xml:space="preserve">  </w:t>
      </w:r>
      <w:r w:rsidR="006E4ED6" w:rsidRPr="007E77AF">
        <w:t>Nas</w:t>
      </w:r>
      <w:r w:rsidR="009E4357" w:rsidRPr="007E77AF">
        <w:t xml:space="preserve"> ofertas destinadas exclusivamente a investidores </w:t>
      </w:r>
      <w:r w:rsidR="00D216FC" w:rsidRPr="007E77AF">
        <w:t xml:space="preserve">profissionais, </w:t>
      </w:r>
      <w:r w:rsidR="001F2744" w:rsidRPr="007E77AF">
        <w:t>é dispensada a observância do limite de 25% (vinte e cinco por cento) previst</w:t>
      </w:r>
      <w:r w:rsidR="00BA5BFD">
        <w:t>o</w:t>
      </w:r>
      <w:r w:rsidR="001F2744" w:rsidRPr="007E77AF">
        <w:t xml:space="preserve"> no </w:t>
      </w:r>
      <w:r w:rsidR="001F2744" w:rsidRPr="007E77AF">
        <w:rPr>
          <w:b/>
        </w:rPr>
        <w:t>caput</w:t>
      </w:r>
      <w:r w:rsidR="001F2744" w:rsidRPr="007E77AF">
        <w:t>, devendo o valor máximo d</w:t>
      </w:r>
      <w:r w:rsidR="00D216FC" w:rsidRPr="007E77AF">
        <w:t xml:space="preserve">o lote adicional </w:t>
      </w:r>
      <w:r w:rsidR="00A922AE" w:rsidRPr="007E77AF">
        <w:t>estar previsto nos documentos da oferta</w:t>
      </w:r>
      <w:r w:rsidR="00F47A93" w:rsidRPr="007E77AF">
        <w:t>,</w:t>
      </w:r>
      <w:r w:rsidR="00EA7C90" w:rsidRPr="007E77AF">
        <w:t xml:space="preserve"> assim como a </w:t>
      </w:r>
      <w:r w:rsidR="00472C1D" w:rsidRPr="007E77AF">
        <w:t>especificação da</w:t>
      </w:r>
      <w:r w:rsidR="00EA7C90" w:rsidRPr="007E77AF">
        <w:t xml:space="preserve"> destinação dos recursos adicionais</w:t>
      </w:r>
      <w:r w:rsidR="00A922AE" w:rsidRPr="007E77AF">
        <w:t>.</w:t>
      </w:r>
    </w:p>
    <w:p w14:paraId="1420E2E6" w14:textId="12DE30FF" w:rsidR="00FB17A7" w:rsidRPr="007E77AF" w:rsidRDefault="009069A1" w:rsidP="001353DC">
      <w:pPr>
        <w:spacing w:before="120" w:after="120" w:line="312" w:lineRule="auto"/>
        <w:ind w:firstLine="567"/>
        <w:jc w:val="both"/>
      </w:pPr>
      <w:r w:rsidRPr="007E77AF">
        <w:t>Art. 51</w:t>
      </w:r>
      <w:r w:rsidR="00701C86" w:rsidRPr="007E77AF">
        <w:t xml:space="preserve">.  </w:t>
      </w:r>
      <w:r w:rsidR="00FB17A7" w:rsidRPr="007E77AF">
        <w:t xml:space="preserve">O emissor ou o ofertante podem outorgar </w:t>
      </w:r>
      <w:r w:rsidR="007D5FCC">
        <w:t>aos coordenadores</w:t>
      </w:r>
      <w:r w:rsidR="00FB17A7" w:rsidRPr="007E77AF">
        <w:t xml:space="preserve"> opção de distribuição de lote suplementar, a ser exercida em razão da prestação de serviço de estabilização de preços dos valores mobiliários objeto da oferta, nas mesmas condições e preço dos valores mobiliários inicialmente ofertados, até um montante pré-determinado que consta obrigatoriamente nos documentos da oferta e no prospecto, e que não pode ultrapassar 15% (quinze por cento) da quantidade inicialmente ofertada.</w:t>
      </w:r>
      <w:bookmarkEnd w:id="216"/>
    </w:p>
    <w:p w14:paraId="309F9DA1" w14:textId="6C175A8D" w:rsidR="00FA35B9" w:rsidRPr="007E77AF" w:rsidRDefault="00FA35B9" w:rsidP="00FB17A7">
      <w:pPr>
        <w:spacing w:before="120" w:after="120" w:line="312" w:lineRule="auto"/>
        <w:ind w:firstLine="567"/>
        <w:jc w:val="both"/>
      </w:pPr>
      <w:bookmarkStart w:id="218" w:name="_Toc467256285"/>
      <w:bookmarkStart w:id="219" w:name="_Toc476216335"/>
      <w:bookmarkEnd w:id="217"/>
      <w:r>
        <w:t xml:space="preserve">Art. </w:t>
      </w:r>
      <w:r w:rsidR="004A0154">
        <w:t>52</w:t>
      </w:r>
      <w:r>
        <w:t>.  O valor da oferta compreende o valor dos lotes adicional e suplementar.</w:t>
      </w:r>
    </w:p>
    <w:p w14:paraId="36F44D9C" w14:textId="2372F652" w:rsidR="00D74986" w:rsidRPr="007E77AF" w:rsidRDefault="007E5146" w:rsidP="006B018B">
      <w:pPr>
        <w:pStyle w:val="Seo"/>
      </w:pPr>
      <w:bookmarkStart w:id="220" w:name="_Toc108516056"/>
      <w:bookmarkStart w:id="221" w:name="_Toc108203087"/>
      <w:bookmarkStart w:id="222" w:name="_Toc136502827"/>
      <w:r w:rsidRPr="007E77AF">
        <w:t xml:space="preserve">Seção III – Tratamento do </w:t>
      </w:r>
      <w:r w:rsidR="344ED7A3" w:rsidRPr="007E77AF">
        <w:t>R</w:t>
      </w:r>
      <w:r w:rsidRPr="007E77AF">
        <w:t xml:space="preserve">isco de </w:t>
      </w:r>
      <w:r w:rsidR="00C22400" w:rsidRPr="007E77AF">
        <w:t>D</w:t>
      </w:r>
      <w:r w:rsidRPr="007E77AF">
        <w:t>iluição</w:t>
      </w:r>
      <w:bookmarkEnd w:id="218"/>
      <w:bookmarkEnd w:id="219"/>
      <w:bookmarkEnd w:id="220"/>
      <w:bookmarkEnd w:id="221"/>
      <w:bookmarkEnd w:id="222"/>
    </w:p>
    <w:p w14:paraId="5EA406AD" w14:textId="09F277A3" w:rsidR="00D74986" w:rsidRPr="007E77AF" w:rsidRDefault="009069A1" w:rsidP="001353DC">
      <w:pPr>
        <w:keepNext/>
        <w:spacing w:before="120" w:after="120" w:line="312" w:lineRule="auto"/>
        <w:ind w:firstLine="567"/>
        <w:jc w:val="both"/>
      </w:pPr>
      <w:bookmarkStart w:id="223" w:name="_Ref467233992"/>
      <w:r w:rsidRPr="007E77AF">
        <w:t xml:space="preserve">Art. </w:t>
      </w:r>
      <w:r w:rsidR="006F31CC">
        <w:t>53</w:t>
      </w:r>
      <w:r w:rsidR="00B071D2" w:rsidRPr="007E77AF">
        <w:t>.</w:t>
      </w:r>
      <w:r w:rsidR="007E5146" w:rsidRPr="007E77AF">
        <w:t xml:space="preserve">  Nos casos de oferta pública em que exista restrição de </w:t>
      </w:r>
      <w:r w:rsidR="00AD2EA4" w:rsidRPr="007E77AF">
        <w:t>público-</w:t>
      </w:r>
      <w:r w:rsidR="007E5146" w:rsidRPr="007E77AF">
        <w:t xml:space="preserve">alvo que implique risco de diluição para atuais detentores do valor mobiliário objeto da oferta, deve ser </w:t>
      </w:r>
      <w:r w:rsidR="12BB003D" w:rsidRPr="007E77AF">
        <w:t>concedida prioridade</w:t>
      </w:r>
      <w:r w:rsidR="007E5146" w:rsidRPr="007E77AF">
        <w:t xml:space="preserve"> aos atuais detentores dos valores mobiliários sem </w:t>
      </w:r>
      <w:r w:rsidR="003C1F19" w:rsidRPr="007E77AF">
        <w:t xml:space="preserve">quaisquer </w:t>
      </w:r>
      <w:r w:rsidR="003167CF" w:rsidRPr="007E77AF">
        <w:t>restrições</w:t>
      </w:r>
      <w:r w:rsidR="007E5146" w:rsidRPr="007E77AF">
        <w:t xml:space="preserve">, </w:t>
      </w:r>
      <w:r w:rsidR="0000468E" w:rsidRPr="007E77AF">
        <w:t>observado</w:t>
      </w:r>
      <w:r w:rsidR="007E5146" w:rsidRPr="007E77AF">
        <w:t xml:space="preserve"> o disposto no § </w:t>
      </w:r>
      <w:r w:rsidR="2A44D521" w:rsidRPr="007E77AF">
        <w:t>2</w:t>
      </w:r>
      <w:r w:rsidR="04B21491" w:rsidRPr="007E77AF">
        <w:t>º</w:t>
      </w:r>
      <w:r w:rsidR="007E5146" w:rsidRPr="007E77AF">
        <w:t xml:space="preserve"> deste artigo.</w:t>
      </w:r>
      <w:bookmarkEnd w:id="223"/>
    </w:p>
    <w:p w14:paraId="2AF61B55" w14:textId="7F98B56F" w:rsidR="00D74986" w:rsidRPr="007E77AF" w:rsidRDefault="007E5146" w:rsidP="00D74986">
      <w:pPr>
        <w:spacing w:before="120" w:after="120" w:line="312" w:lineRule="auto"/>
        <w:ind w:firstLine="567"/>
        <w:jc w:val="both"/>
        <w:rPr>
          <w:strike/>
        </w:rPr>
      </w:pPr>
      <w:r w:rsidRPr="007E77AF">
        <w:t>§ 1</w:t>
      </w:r>
      <w:proofErr w:type="gramStart"/>
      <w:r w:rsidRPr="007E77AF">
        <w:t>º</w:t>
      </w:r>
      <w:r w:rsidR="007E0AA6">
        <w:t xml:space="preserve"> </w:t>
      </w:r>
      <w:r w:rsidRPr="007E77AF">
        <w:t xml:space="preserve"> Na</w:t>
      </w:r>
      <w:proofErr w:type="gramEnd"/>
      <w:r w:rsidRPr="007E77AF">
        <w:t xml:space="preserve"> hipótese do </w:t>
      </w:r>
      <w:r w:rsidRPr="007E77AF">
        <w:rPr>
          <w:b/>
        </w:rPr>
        <w:t>caput</w:t>
      </w:r>
      <w:r w:rsidRPr="007E77AF">
        <w:t xml:space="preserve"> deste artigo, o cronograma previsto das etapas da oferta </w:t>
      </w:r>
      <w:r w:rsidRPr="007E77AF" w:rsidDel="004231AC">
        <w:t xml:space="preserve">e a forma de exercício do direito de </w:t>
      </w:r>
      <w:r w:rsidRPr="007E77AF">
        <w:t>prioridade devem:</w:t>
      </w:r>
    </w:p>
    <w:p w14:paraId="50ED40F2" w14:textId="2075609B" w:rsidR="00D74986" w:rsidRPr="007E77AF" w:rsidRDefault="007E5146" w:rsidP="00D74986">
      <w:pPr>
        <w:spacing w:before="120" w:after="120" w:line="312" w:lineRule="auto"/>
        <w:ind w:firstLine="567"/>
        <w:jc w:val="both"/>
        <w:rPr>
          <w:strike/>
        </w:rPr>
      </w:pPr>
      <w:r w:rsidRPr="007E77AF">
        <w:t xml:space="preserve">I </w:t>
      </w:r>
      <w:r w:rsidRPr="007E77AF">
        <w:rPr>
          <w:bCs/>
        </w:rPr>
        <w:t>–</w:t>
      </w:r>
      <w:r w:rsidRPr="007E77AF">
        <w:t xml:space="preserve"> </w:t>
      </w:r>
      <w:proofErr w:type="gramStart"/>
      <w:r w:rsidRPr="007E77AF">
        <w:t>ser</w:t>
      </w:r>
      <w:proofErr w:type="gramEnd"/>
      <w:r w:rsidRPr="007E77AF">
        <w:t xml:space="preserve"> amplamente divulgados nos documentos da oferta; e</w:t>
      </w:r>
    </w:p>
    <w:p w14:paraId="25A6419F" w14:textId="5207E8C2" w:rsidR="00D74986" w:rsidRPr="007E77AF" w:rsidRDefault="007E5146" w:rsidP="00D74986">
      <w:pPr>
        <w:spacing w:before="120" w:after="120" w:line="312" w:lineRule="auto"/>
        <w:ind w:firstLine="567"/>
        <w:jc w:val="both"/>
      </w:pPr>
      <w:r w:rsidRPr="007E77AF">
        <w:t xml:space="preserve">II – </w:t>
      </w:r>
      <w:proofErr w:type="gramStart"/>
      <w:r w:rsidRPr="007E77AF">
        <w:t>prever</w:t>
      </w:r>
      <w:proofErr w:type="gramEnd"/>
      <w:r w:rsidRPr="007E77AF">
        <w:t xml:space="preserve"> um prazo de, no mínimo, 5 (cinco) dias úteis antecedentes ao término do prazo de reservas ou de subscrição para que os atuais detentores dos valores mobiliários possam exercer o direito de prioridade em tempo hábil.</w:t>
      </w:r>
    </w:p>
    <w:p w14:paraId="61B11894" w14:textId="63447913" w:rsidR="00D74986" w:rsidRPr="007E77AF" w:rsidRDefault="007E5146" w:rsidP="00D74986">
      <w:pPr>
        <w:spacing w:before="120" w:after="120" w:line="312" w:lineRule="auto"/>
        <w:ind w:firstLine="567"/>
        <w:jc w:val="both"/>
        <w:rPr>
          <w:bCs/>
        </w:rPr>
      </w:pPr>
      <w:r w:rsidRPr="007E77AF">
        <w:rPr>
          <w:bCs/>
        </w:rPr>
        <w:t>§ 2</w:t>
      </w:r>
      <w:proofErr w:type="gramStart"/>
      <w:r w:rsidRPr="007E77AF">
        <w:rPr>
          <w:bCs/>
        </w:rPr>
        <w:t>º  Nas</w:t>
      </w:r>
      <w:proofErr w:type="gramEnd"/>
      <w:r w:rsidRPr="007E77AF">
        <w:rPr>
          <w:bCs/>
        </w:rPr>
        <w:t xml:space="preserve"> ofertas subsequentes de cotas de fundos de investimento fechados devem ser observadas as disposições </w:t>
      </w:r>
      <w:r w:rsidR="0009003B" w:rsidRPr="007E77AF">
        <w:rPr>
          <w:bCs/>
        </w:rPr>
        <w:t xml:space="preserve">sobre direitos de prioridade e preferência </w:t>
      </w:r>
      <w:r w:rsidR="00DB20C0" w:rsidRPr="007E77AF">
        <w:rPr>
          <w:bCs/>
        </w:rPr>
        <w:t xml:space="preserve">constantes do </w:t>
      </w:r>
      <w:r w:rsidRPr="007E77AF">
        <w:rPr>
          <w:bCs/>
        </w:rPr>
        <w:t>regulamento do fundo.</w:t>
      </w:r>
    </w:p>
    <w:p w14:paraId="2966C032" w14:textId="3111EB35" w:rsidR="00555A51" w:rsidRPr="007E77AF" w:rsidRDefault="00043307" w:rsidP="00D74986">
      <w:pPr>
        <w:spacing w:before="120" w:after="120" w:line="312" w:lineRule="auto"/>
        <w:ind w:firstLine="567"/>
        <w:jc w:val="both"/>
        <w:rPr>
          <w:bCs/>
        </w:rPr>
      </w:pPr>
      <w:r w:rsidRPr="007E77AF">
        <w:rPr>
          <w:bCs/>
        </w:rPr>
        <w:lastRenderedPageBreak/>
        <w:t>§</w:t>
      </w:r>
      <w:r w:rsidR="0043723B" w:rsidRPr="007E77AF">
        <w:rPr>
          <w:bCs/>
        </w:rPr>
        <w:t xml:space="preserve"> </w:t>
      </w:r>
      <w:r w:rsidRPr="007E77AF">
        <w:rPr>
          <w:bCs/>
        </w:rPr>
        <w:t>3</w:t>
      </w:r>
      <w:proofErr w:type="gramStart"/>
      <w:r w:rsidRPr="007E77AF">
        <w:rPr>
          <w:bCs/>
        </w:rPr>
        <w:t>º  A</w:t>
      </w:r>
      <w:proofErr w:type="gramEnd"/>
      <w:r w:rsidRPr="007E77AF">
        <w:rPr>
          <w:bCs/>
        </w:rPr>
        <w:t xml:space="preserve"> oferta pública de ações ou de valores mobiliários conversíveis em ações pode ser realizada com exclusão do direito de preferência ou com prazo para o exercício do direito de preferência menor que 5 (cinco) dias, na forma prevista na </w:t>
      </w:r>
      <w:r w:rsidR="00C93E60" w:rsidRPr="007E77AF">
        <w:rPr>
          <w:bCs/>
        </w:rPr>
        <w:t>legislação</w:t>
      </w:r>
      <w:r w:rsidRPr="007E77AF">
        <w:rPr>
          <w:bCs/>
        </w:rPr>
        <w:t xml:space="preserve"> em vigor, se a realização da oferta sem a concessão de direito de prioridade for aprovada por acionistas detentores de ações representativas de 100% (cem por cento) do capital social do emissor.</w:t>
      </w:r>
    </w:p>
    <w:p w14:paraId="0F8514A8" w14:textId="0C6CB19E" w:rsidR="00D74986" w:rsidRPr="007E77AF" w:rsidRDefault="00B95F8E" w:rsidP="006B018B">
      <w:pPr>
        <w:pStyle w:val="Seo"/>
      </w:pPr>
      <w:bookmarkStart w:id="224" w:name="_Toc467256286"/>
      <w:bookmarkStart w:id="225" w:name="_Toc476216336"/>
      <w:bookmarkStart w:id="226" w:name="_Toc108516057"/>
      <w:bookmarkStart w:id="227" w:name="_Toc108203088"/>
      <w:bookmarkStart w:id="228" w:name="_Toc136502828"/>
      <w:r w:rsidRPr="007E77AF">
        <w:t xml:space="preserve">Seção </w:t>
      </w:r>
      <w:r w:rsidR="002F429B" w:rsidRPr="007E77AF">
        <w:t xml:space="preserve">IV </w:t>
      </w:r>
      <w:r w:rsidR="79C79913" w:rsidRPr="007E77AF">
        <w:t xml:space="preserve">– </w:t>
      </w:r>
      <w:r w:rsidRPr="007E77AF">
        <w:t xml:space="preserve">Tratamento de </w:t>
      </w:r>
      <w:r w:rsidR="4EBA0303" w:rsidRPr="007E77AF">
        <w:t>C</w:t>
      </w:r>
      <w:r w:rsidR="007E5146" w:rsidRPr="007E77AF">
        <w:t xml:space="preserve">onflitos </w:t>
      </w:r>
      <w:r w:rsidRPr="007E77AF">
        <w:t xml:space="preserve">de </w:t>
      </w:r>
      <w:r w:rsidR="00B93EE2" w:rsidRPr="007E77AF">
        <w:t>I</w:t>
      </w:r>
      <w:r w:rsidR="007E5146" w:rsidRPr="007E77AF">
        <w:t>nteresse</w:t>
      </w:r>
      <w:bookmarkEnd w:id="224"/>
      <w:bookmarkEnd w:id="225"/>
      <w:bookmarkEnd w:id="226"/>
      <w:bookmarkEnd w:id="227"/>
      <w:bookmarkEnd w:id="228"/>
    </w:p>
    <w:p w14:paraId="29947224" w14:textId="20A04237" w:rsidR="003A133D" w:rsidRPr="007E77AF" w:rsidRDefault="009069A1" w:rsidP="001353DC">
      <w:pPr>
        <w:spacing w:before="120" w:after="120" w:line="312" w:lineRule="auto"/>
        <w:ind w:firstLine="567"/>
        <w:jc w:val="both"/>
        <w:rPr>
          <w:bCs/>
        </w:rPr>
      </w:pPr>
      <w:bookmarkStart w:id="229" w:name="_Ref467230012"/>
      <w:r w:rsidRPr="007E77AF">
        <w:rPr>
          <w:bCs/>
        </w:rPr>
        <w:t xml:space="preserve">Art. </w:t>
      </w:r>
      <w:r w:rsidR="006F31CC">
        <w:rPr>
          <w:bCs/>
        </w:rPr>
        <w:t>54</w:t>
      </w:r>
      <w:r w:rsidR="00B95F8E" w:rsidRPr="007E77AF">
        <w:rPr>
          <w:bCs/>
        </w:rPr>
        <w:t xml:space="preserve">.  O ofertante, as instituições </w:t>
      </w:r>
      <w:r w:rsidR="00516206">
        <w:rPr>
          <w:bCs/>
        </w:rPr>
        <w:t>participantes do consórcio de distribuição</w:t>
      </w:r>
      <w:r w:rsidR="00B95F8E" w:rsidRPr="007E77AF">
        <w:rPr>
          <w:bCs/>
        </w:rPr>
        <w:t xml:space="preserve"> e as pessoas contratadas que com estes estejam trabalhando ou os assessorando de qualquer forma </w:t>
      </w:r>
      <w:r w:rsidR="00D449E2">
        <w:rPr>
          <w:bCs/>
        </w:rPr>
        <w:t>na oferta pública</w:t>
      </w:r>
      <w:r w:rsidR="00914B7C" w:rsidRPr="007E77AF">
        <w:rPr>
          <w:bCs/>
        </w:rPr>
        <w:t xml:space="preserve"> </w:t>
      </w:r>
      <w:r w:rsidR="00B95F8E" w:rsidRPr="007E77AF">
        <w:rPr>
          <w:bCs/>
        </w:rPr>
        <w:t>devem abster-se de negociar com valores mobiliários do mesmo emissor e da mesma espécie daquele objeto da oferta pública, nele referenciados, conversíveis ou permutáveis, ou com valores mobiliários nos quais o valor mobiliário objeto da oferta seja conversível ou permutável</w:t>
      </w:r>
      <w:r w:rsidR="003A133D" w:rsidRPr="007E77AF">
        <w:rPr>
          <w:bCs/>
        </w:rPr>
        <w:t>.</w:t>
      </w:r>
    </w:p>
    <w:p w14:paraId="34FDA42F" w14:textId="348B878D" w:rsidR="003A133D" w:rsidRPr="007E77AF" w:rsidRDefault="003A133D" w:rsidP="003A133D">
      <w:pPr>
        <w:pStyle w:val="PargrafodaLista"/>
        <w:spacing w:before="120" w:after="120" w:line="312" w:lineRule="auto"/>
        <w:ind w:left="567"/>
        <w:jc w:val="both"/>
      </w:pPr>
      <w:r w:rsidRPr="007E77AF">
        <w:t>§ 1</w:t>
      </w:r>
      <w:proofErr w:type="gramStart"/>
      <w:r w:rsidRPr="007E77AF">
        <w:t>º  A</w:t>
      </w:r>
      <w:proofErr w:type="gramEnd"/>
      <w:r w:rsidRPr="007E77AF">
        <w:t xml:space="preserve"> </w:t>
      </w:r>
      <w:r w:rsidR="00440E96" w:rsidRPr="007E77AF">
        <w:t>vedação</w:t>
      </w:r>
      <w:r w:rsidRPr="007E77AF">
        <w:t xml:space="preserve"> de que trata o </w:t>
      </w:r>
      <w:r w:rsidRPr="007E77AF">
        <w:rPr>
          <w:b/>
          <w:bCs/>
        </w:rPr>
        <w:t>caput</w:t>
      </w:r>
      <w:r w:rsidR="00A94389" w:rsidRPr="007E77AF">
        <w:t>:</w:t>
      </w:r>
    </w:p>
    <w:p w14:paraId="6F255D56" w14:textId="00A69159" w:rsidR="00DF50EB" w:rsidRPr="007E77AF" w:rsidRDefault="00A94389" w:rsidP="002A280C">
      <w:pPr>
        <w:spacing w:before="120" w:after="120" w:line="312" w:lineRule="auto"/>
        <w:ind w:firstLine="567"/>
        <w:jc w:val="both"/>
      </w:pPr>
      <w:r w:rsidRPr="007E77AF">
        <w:t xml:space="preserve">I – </w:t>
      </w:r>
      <w:proofErr w:type="gramStart"/>
      <w:r w:rsidRPr="007E77AF">
        <w:t>se</w:t>
      </w:r>
      <w:proofErr w:type="gramEnd"/>
      <w:r w:rsidRPr="007E77AF">
        <w:t xml:space="preserve"> inicia</w:t>
      </w:r>
      <w:r w:rsidR="00281D2E" w:rsidRPr="007E77AF">
        <w:t xml:space="preserve">, para o ofertante </w:t>
      </w:r>
      <w:r w:rsidR="002A280C" w:rsidRPr="007E77AF">
        <w:t>e as pessoas contratadas que com estes estejam trabalhando ou os assessorando de qualquer forma</w:t>
      </w:r>
      <w:r w:rsidR="0053687A" w:rsidRPr="007E77AF">
        <w:t>,</w:t>
      </w:r>
      <w:r w:rsidR="00281D2E" w:rsidRPr="007E77AF">
        <w:t xml:space="preserve"> </w:t>
      </w:r>
      <w:r w:rsidR="002A280C" w:rsidRPr="007E77AF">
        <w:t>na data mais antiga entre</w:t>
      </w:r>
      <w:r w:rsidR="00DF50EB" w:rsidRPr="007E77AF">
        <w:t>:</w:t>
      </w:r>
    </w:p>
    <w:p w14:paraId="3D2A038A" w14:textId="3F18EF0E" w:rsidR="00DF50EB" w:rsidRPr="007E77AF" w:rsidRDefault="00DF50EB" w:rsidP="002A280C">
      <w:pPr>
        <w:spacing w:before="120" w:after="120" w:line="312" w:lineRule="auto"/>
        <w:ind w:firstLine="567"/>
        <w:jc w:val="both"/>
      </w:pPr>
      <w:r w:rsidRPr="007E77AF">
        <w:t xml:space="preserve">a) </w:t>
      </w:r>
      <w:r w:rsidR="002A465B" w:rsidRPr="007E77AF">
        <w:t xml:space="preserve">a </w:t>
      </w:r>
      <w:r w:rsidR="00640F70" w:rsidRPr="007E77AF">
        <w:t xml:space="preserve">data de deliberação </w:t>
      </w:r>
      <w:r w:rsidR="002A465B" w:rsidRPr="007E77AF">
        <w:t>da oferta</w:t>
      </w:r>
      <w:r w:rsidRPr="007E77AF">
        <w:t>;</w:t>
      </w:r>
      <w:r w:rsidR="002A465B" w:rsidRPr="007E77AF">
        <w:t xml:space="preserve"> </w:t>
      </w:r>
      <w:r w:rsidR="00C35A94" w:rsidRPr="007E77AF">
        <w:t>e</w:t>
      </w:r>
    </w:p>
    <w:p w14:paraId="7E3D8CDA" w14:textId="4514A5CA" w:rsidR="00A94389" w:rsidRPr="007E77AF" w:rsidRDefault="00DF50EB" w:rsidP="002A280C">
      <w:pPr>
        <w:spacing w:before="120" w:after="120" w:line="312" w:lineRule="auto"/>
        <w:ind w:firstLine="567"/>
        <w:jc w:val="both"/>
      </w:pPr>
      <w:r w:rsidRPr="007E77AF">
        <w:t>b) o 30º (trigésimo) dia que antecede o protocolo do requerimento de registro da oferta junto à CVM ou à entidade autorreguladora autorizada pela CVM para análise prévia do requerimento de registro;</w:t>
      </w:r>
    </w:p>
    <w:p w14:paraId="33CCA138" w14:textId="3A97B2F8" w:rsidR="00DF50EB" w:rsidRPr="007E77AF" w:rsidRDefault="00DF50EB" w:rsidP="002A280C">
      <w:pPr>
        <w:spacing w:before="120" w:after="120" w:line="312" w:lineRule="auto"/>
        <w:ind w:firstLine="567"/>
        <w:jc w:val="both"/>
      </w:pPr>
      <w:r w:rsidRPr="007E77AF">
        <w:t xml:space="preserve">II </w:t>
      </w:r>
      <w:r w:rsidR="0053687A" w:rsidRPr="007E77AF">
        <w:t>–</w:t>
      </w:r>
      <w:r w:rsidRPr="007E77AF">
        <w:t xml:space="preserve"> </w:t>
      </w:r>
      <w:proofErr w:type="gramStart"/>
      <w:r w:rsidR="0053687A" w:rsidRPr="007E77AF">
        <w:t>se</w:t>
      </w:r>
      <w:proofErr w:type="gramEnd"/>
      <w:r w:rsidR="0053687A" w:rsidRPr="007E77AF">
        <w:t xml:space="preserve"> inicia, para as instituições </w:t>
      </w:r>
      <w:r w:rsidR="004726E5">
        <w:t>participantes do consórcio de distribuição</w:t>
      </w:r>
      <w:r w:rsidR="0053687A" w:rsidRPr="007E77AF">
        <w:t xml:space="preserve"> e as pessoas contratadas que com estes estejam trabalhando ou os assessorando de qualquer forma, na data</w:t>
      </w:r>
      <w:r w:rsidR="007C38CD">
        <w:t xml:space="preserve"> da contratação ou</w:t>
      </w:r>
      <w:r w:rsidR="0053687A" w:rsidRPr="007E77AF">
        <w:t xml:space="preserve"> do </w:t>
      </w:r>
      <w:r w:rsidR="00E568F4" w:rsidRPr="007E77AF">
        <w:t>seu engajamento na oferta;</w:t>
      </w:r>
    </w:p>
    <w:p w14:paraId="1ADEB826" w14:textId="28EFF271" w:rsidR="00E568F4" w:rsidRPr="007E77AF" w:rsidRDefault="00E568F4" w:rsidP="002A280C">
      <w:pPr>
        <w:spacing w:before="120" w:after="120" w:line="312" w:lineRule="auto"/>
        <w:ind w:firstLine="567"/>
        <w:jc w:val="both"/>
      </w:pPr>
      <w:r w:rsidRPr="007E77AF">
        <w:t>III – se encerra com a divulgação do anúncio de encerramento de distribuição</w:t>
      </w:r>
      <w:r w:rsidR="00A45839" w:rsidRPr="007E77AF">
        <w:t>;</w:t>
      </w:r>
      <w:r w:rsidR="00E82D5B" w:rsidRPr="007E77AF">
        <w:t xml:space="preserve"> e</w:t>
      </w:r>
    </w:p>
    <w:p w14:paraId="1834A82E" w14:textId="792951EC" w:rsidR="00E82D5B" w:rsidRPr="00E04F47" w:rsidRDefault="00E82D5B" w:rsidP="002A280C">
      <w:pPr>
        <w:spacing w:before="120" w:after="120" w:line="312" w:lineRule="auto"/>
        <w:ind w:firstLine="567"/>
        <w:jc w:val="both"/>
        <w:rPr>
          <w:strike/>
        </w:rPr>
      </w:pPr>
      <w:r w:rsidRPr="00E04F47">
        <w:rPr>
          <w:strike/>
        </w:rPr>
        <w:t xml:space="preserve">IV – </w:t>
      </w:r>
      <w:proofErr w:type="gramStart"/>
      <w:r w:rsidRPr="00E04F47">
        <w:rPr>
          <w:strike/>
        </w:rPr>
        <w:t>aplica-se</w:t>
      </w:r>
      <w:proofErr w:type="gramEnd"/>
      <w:r w:rsidR="022AB2E2" w:rsidRPr="00E04F47">
        <w:rPr>
          <w:strike/>
        </w:rPr>
        <w:t>:</w:t>
      </w:r>
    </w:p>
    <w:p w14:paraId="5FBEBFCC" w14:textId="355B469E" w:rsidR="007A6BEF" w:rsidRPr="00E04F47" w:rsidRDefault="00465822" w:rsidP="007A6BEF">
      <w:pPr>
        <w:spacing w:before="120" w:after="120" w:line="312" w:lineRule="auto"/>
        <w:ind w:firstLine="567"/>
        <w:jc w:val="both"/>
        <w:rPr>
          <w:strike/>
        </w:rPr>
      </w:pPr>
      <w:r w:rsidRPr="00E04F47">
        <w:rPr>
          <w:strike/>
        </w:rPr>
        <w:t xml:space="preserve">a) </w:t>
      </w:r>
      <w:r w:rsidR="007A6BEF" w:rsidRPr="00E04F47">
        <w:rPr>
          <w:strike/>
        </w:rPr>
        <w:t xml:space="preserve">aos emissores, caso </w:t>
      </w:r>
      <w:r w:rsidR="00275FFA" w:rsidRPr="00E04F47">
        <w:rPr>
          <w:strike/>
        </w:rPr>
        <w:t>estes não sejam ofertantes</w:t>
      </w:r>
      <w:r w:rsidR="007A6BEF" w:rsidRPr="00E04F47">
        <w:rPr>
          <w:strike/>
        </w:rPr>
        <w:t xml:space="preserve">, </w:t>
      </w:r>
      <w:r w:rsidR="00775056" w:rsidRPr="00E04F47">
        <w:rPr>
          <w:strike/>
        </w:rPr>
        <w:t>após terem sido solicitados</w:t>
      </w:r>
      <w:r w:rsidR="007A6BEF" w:rsidRPr="00E04F47">
        <w:rPr>
          <w:strike/>
        </w:rPr>
        <w:t>, pelo ofertante ou por aqueles que com estes estejam trabalhando ou os assessorando de qualquer forma</w:t>
      </w:r>
      <w:r w:rsidR="00775056" w:rsidRPr="00E04F47">
        <w:rPr>
          <w:strike/>
        </w:rPr>
        <w:t>, a fornecer informações e documentos necessários para elaboração dos documentos da oferta, nos termos do art. 17, §</w:t>
      </w:r>
      <w:r w:rsidR="00BC5EBE" w:rsidRPr="00E04F47">
        <w:rPr>
          <w:strike/>
        </w:rPr>
        <w:t xml:space="preserve"> </w:t>
      </w:r>
      <w:r w:rsidR="00775056" w:rsidRPr="00E04F47">
        <w:rPr>
          <w:strike/>
        </w:rPr>
        <w:t>4º</w:t>
      </w:r>
      <w:r w:rsidR="007A6BEF" w:rsidRPr="00E04F47">
        <w:rPr>
          <w:strike/>
        </w:rPr>
        <w:t>;</w:t>
      </w:r>
      <w:r w:rsidR="00775056" w:rsidRPr="00E04F47">
        <w:rPr>
          <w:strike/>
        </w:rPr>
        <w:t xml:space="preserve"> e</w:t>
      </w:r>
    </w:p>
    <w:p w14:paraId="05EE2B18" w14:textId="4833FB8B" w:rsidR="00465822" w:rsidRDefault="022AB2E2" w:rsidP="002A280C">
      <w:pPr>
        <w:spacing w:before="120" w:after="120" w:line="312" w:lineRule="auto"/>
        <w:ind w:firstLine="567"/>
        <w:jc w:val="both"/>
        <w:rPr>
          <w:strike/>
        </w:rPr>
      </w:pPr>
      <w:r w:rsidRPr="00E04F47">
        <w:rPr>
          <w:strike/>
        </w:rPr>
        <w:t xml:space="preserve">b) aos administradores </w:t>
      </w:r>
      <w:r w:rsidR="4FC97ACE" w:rsidRPr="00E04F47">
        <w:rPr>
          <w:strike/>
        </w:rPr>
        <w:t xml:space="preserve">dos ofertantes, </w:t>
      </w:r>
      <w:r w:rsidR="007A6BEF" w:rsidRPr="00E04F47">
        <w:rPr>
          <w:strike/>
        </w:rPr>
        <w:t xml:space="preserve">das </w:t>
      </w:r>
      <w:r w:rsidR="4FC97ACE" w:rsidRPr="00E04F47">
        <w:rPr>
          <w:strike/>
        </w:rPr>
        <w:t>instituições</w:t>
      </w:r>
      <w:r w:rsidR="00F43E59" w:rsidRPr="00E04F47">
        <w:rPr>
          <w:strike/>
        </w:rPr>
        <w:t xml:space="preserve"> participantes do consórcio de distribuição</w:t>
      </w:r>
      <w:r w:rsidR="4FC97ACE" w:rsidRPr="00E04F47">
        <w:rPr>
          <w:strike/>
        </w:rPr>
        <w:t xml:space="preserve">, </w:t>
      </w:r>
      <w:r w:rsidR="007A6BEF" w:rsidRPr="00E04F47">
        <w:rPr>
          <w:strike/>
        </w:rPr>
        <w:t xml:space="preserve">e, </w:t>
      </w:r>
      <w:r w:rsidR="4FC97ACE" w:rsidRPr="00E04F47">
        <w:rPr>
          <w:strike/>
        </w:rPr>
        <w:t>no caso da alínea “a” d</w:t>
      </w:r>
      <w:r w:rsidR="71E615EE" w:rsidRPr="00E04F47">
        <w:rPr>
          <w:strike/>
        </w:rPr>
        <w:t>este inciso</w:t>
      </w:r>
      <w:r w:rsidR="007A6BEF" w:rsidRPr="00E04F47">
        <w:rPr>
          <w:strike/>
        </w:rPr>
        <w:t>, dos emissores</w:t>
      </w:r>
      <w:r w:rsidR="71E615EE" w:rsidRPr="00E04F47">
        <w:rPr>
          <w:strike/>
        </w:rPr>
        <w:t>.</w:t>
      </w:r>
    </w:p>
    <w:p w14:paraId="070373AE" w14:textId="77777777" w:rsidR="00E04F47" w:rsidRDefault="00E04F47" w:rsidP="00E04F47">
      <w:pPr>
        <w:spacing w:before="120" w:after="120" w:line="312" w:lineRule="auto"/>
        <w:ind w:firstLine="567"/>
        <w:jc w:val="both"/>
      </w:pPr>
      <w:r>
        <w:t xml:space="preserve">IV – </w:t>
      </w:r>
      <w:proofErr w:type="gramStart"/>
      <w:r>
        <w:t>aplica-se</w:t>
      </w:r>
      <w:proofErr w:type="gramEnd"/>
      <w:r>
        <w:t xml:space="preserve"> também:</w:t>
      </w:r>
    </w:p>
    <w:p w14:paraId="2A798DB0" w14:textId="77777777" w:rsidR="00E04F47" w:rsidRDefault="00E04F47" w:rsidP="00E04F47">
      <w:pPr>
        <w:spacing w:before="120" w:after="120" w:line="312" w:lineRule="auto"/>
        <w:ind w:firstLine="567"/>
        <w:jc w:val="both"/>
      </w:pPr>
      <w:r>
        <w:lastRenderedPageBreak/>
        <w:t>a) aos emissores, caso estes não sejam ofertantes, após terem sido solicitados, pelo ofertante ou por aqueles que com estes estejam trabalhando ou os assessorando de qualquer forma, a fornecer informações e documentos necessários para elaboração dos documentos da oferta, nos termos do art. 17, § 4º;</w:t>
      </w:r>
    </w:p>
    <w:p w14:paraId="143D6A9D" w14:textId="77777777" w:rsidR="00E04F47" w:rsidRDefault="00E04F47" w:rsidP="00E04F47">
      <w:pPr>
        <w:spacing w:before="120" w:after="120" w:line="312" w:lineRule="auto"/>
        <w:ind w:firstLine="567"/>
        <w:jc w:val="both"/>
      </w:pPr>
      <w:r>
        <w:t>b) aos administradores dos ofertantes, das instituições participantes do consórcio de distribuição, e, no caso da alínea “a” deste inciso, dos emissores; e</w:t>
      </w:r>
    </w:p>
    <w:p w14:paraId="132FBC10" w14:textId="77777777" w:rsidR="00E04F47" w:rsidRDefault="00E04F47" w:rsidP="00E04F47">
      <w:pPr>
        <w:spacing w:before="120" w:after="120" w:line="312" w:lineRule="auto"/>
        <w:ind w:firstLine="567"/>
        <w:jc w:val="both"/>
      </w:pPr>
      <w:r>
        <w:t>c) aos empregados, contratados e colaboradores que estejam trabalhando ou assessorando de qualquer forma, em relação à realização da oferta, o ofertante, as instituições participantes do consórcio de distribuição, e, no caso da alínea “a” deste inciso, os emissores.</w:t>
      </w:r>
    </w:p>
    <w:p w14:paraId="7C6CF91A" w14:textId="20DF0B4C" w:rsidR="00E04F47" w:rsidRPr="00025DC1" w:rsidRDefault="00E04F47" w:rsidP="00E04F47">
      <w:pPr>
        <w:pStyle w:val="PargrafodaLista"/>
        <w:numPr>
          <w:ilvl w:val="0"/>
          <w:numId w:val="53"/>
        </w:numPr>
        <w:tabs>
          <w:tab w:val="left" w:pos="993"/>
        </w:tabs>
        <w:spacing w:line="312" w:lineRule="auto"/>
        <w:ind w:left="709" w:hanging="142"/>
        <w:contextualSpacing/>
        <w:jc w:val="both"/>
        <w:rPr>
          <w:b/>
          <w:i/>
        </w:rPr>
      </w:pPr>
      <w:r>
        <w:rPr>
          <w:b/>
          <w:i/>
        </w:rPr>
        <w:t xml:space="preserve">Inciso IV com redação dada pela </w:t>
      </w:r>
      <w:r w:rsidRPr="00025DC1">
        <w:rPr>
          <w:b/>
          <w:i/>
        </w:rPr>
        <w:t xml:space="preserve">Resolução CVM nº </w:t>
      </w:r>
      <w:r>
        <w:rPr>
          <w:b/>
          <w:i/>
        </w:rPr>
        <w:t>173</w:t>
      </w:r>
      <w:r w:rsidRPr="00025DC1">
        <w:rPr>
          <w:b/>
          <w:i/>
        </w:rPr>
        <w:t>, de 2</w:t>
      </w:r>
      <w:r>
        <w:rPr>
          <w:b/>
          <w:i/>
        </w:rPr>
        <w:t>9</w:t>
      </w:r>
      <w:r w:rsidRPr="00025DC1">
        <w:rPr>
          <w:b/>
          <w:i/>
        </w:rPr>
        <w:t xml:space="preserve"> de </w:t>
      </w:r>
      <w:r>
        <w:rPr>
          <w:b/>
          <w:i/>
        </w:rPr>
        <w:t>novembro de 2022</w:t>
      </w:r>
      <w:r w:rsidRPr="00025DC1">
        <w:rPr>
          <w:b/>
          <w:i/>
        </w:rPr>
        <w:t>.</w:t>
      </w:r>
    </w:p>
    <w:p w14:paraId="164B356F" w14:textId="1B72D79A" w:rsidR="00D74986" w:rsidRPr="007E77AF" w:rsidRDefault="00FE0BDB" w:rsidP="003A133D">
      <w:pPr>
        <w:pStyle w:val="PargrafodaLista"/>
        <w:spacing w:before="120" w:after="120" w:line="312" w:lineRule="auto"/>
        <w:ind w:left="567"/>
        <w:jc w:val="both"/>
      </w:pPr>
      <w:r w:rsidRPr="007E77AF">
        <w:t>§ 2</w:t>
      </w:r>
      <w:proofErr w:type="gramStart"/>
      <w:r w:rsidRPr="007E77AF">
        <w:t xml:space="preserve">º  </w:t>
      </w:r>
      <w:r w:rsidR="00E224FF" w:rsidRPr="007E77AF">
        <w:t>São</w:t>
      </w:r>
      <w:proofErr w:type="gramEnd"/>
      <w:r w:rsidR="00E224FF" w:rsidRPr="007E77AF">
        <w:t xml:space="preserve"> </w:t>
      </w:r>
      <w:r w:rsidR="005F27F6" w:rsidRPr="007E77AF">
        <w:t xml:space="preserve">exceções à vedação prevista no </w:t>
      </w:r>
      <w:r w:rsidR="005F27F6" w:rsidRPr="007E77AF">
        <w:rPr>
          <w:b/>
          <w:bCs/>
        </w:rPr>
        <w:t>caput</w:t>
      </w:r>
      <w:bookmarkEnd w:id="229"/>
      <w:r w:rsidR="005F27F6" w:rsidRPr="007E77AF">
        <w:t>:</w:t>
      </w:r>
    </w:p>
    <w:p w14:paraId="210756AA" w14:textId="45141BA0" w:rsidR="00D74986" w:rsidRPr="007E77AF" w:rsidRDefault="009069A1" w:rsidP="001353DC">
      <w:pPr>
        <w:spacing w:before="120" w:after="120" w:line="312" w:lineRule="auto"/>
        <w:ind w:firstLine="567"/>
        <w:jc w:val="both"/>
      </w:pPr>
      <w:r w:rsidRPr="007E77AF">
        <w:t>I</w:t>
      </w:r>
      <w:r w:rsidR="00B95F8E" w:rsidRPr="007E77AF">
        <w:t xml:space="preserve"> – </w:t>
      </w:r>
      <w:proofErr w:type="gramStart"/>
      <w:r w:rsidR="007C16F7" w:rsidRPr="007E77AF">
        <w:t>a</w:t>
      </w:r>
      <w:proofErr w:type="gramEnd"/>
      <w:r w:rsidR="007C16F7" w:rsidRPr="007E77AF">
        <w:t xml:space="preserve"> </w:t>
      </w:r>
      <w:r w:rsidR="00B95F8E" w:rsidRPr="007E77AF">
        <w:t>execução de</w:t>
      </w:r>
      <w:r w:rsidR="00DF2401" w:rsidRPr="007E77AF">
        <w:t xml:space="preserve"> serviço de estabilização previsto nos documentos da oferta</w:t>
      </w:r>
      <w:r w:rsidR="00B95F8E" w:rsidRPr="007E77AF">
        <w:t>;</w:t>
      </w:r>
    </w:p>
    <w:p w14:paraId="081882D6" w14:textId="2B3263E9" w:rsidR="00D74986" w:rsidRPr="007E77AF" w:rsidRDefault="009069A1" w:rsidP="001353DC">
      <w:pPr>
        <w:spacing w:before="120" w:after="120" w:line="312" w:lineRule="auto"/>
        <w:ind w:firstLine="567"/>
        <w:jc w:val="both"/>
      </w:pPr>
      <w:r w:rsidRPr="007E77AF">
        <w:t>II</w:t>
      </w:r>
      <w:r w:rsidR="00B95F8E" w:rsidRPr="007E77AF">
        <w:t xml:space="preserve"> – </w:t>
      </w:r>
      <w:proofErr w:type="gramStart"/>
      <w:r w:rsidR="007C16F7" w:rsidRPr="007E77AF">
        <w:t>a</w:t>
      </w:r>
      <w:proofErr w:type="gramEnd"/>
      <w:r w:rsidR="007C16F7" w:rsidRPr="007E77AF">
        <w:t xml:space="preserve"> </w:t>
      </w:r>
      <w:r w:rsidR="00B95F8E" w:rsidRPr="007E77AF">
        <w:t>alienação total ou parcial de lote de valores mobiliários objeto de garantia firme;</w:t>
      </w:r>
    </w:p>
    <w:p w14:paraId="484F5338" w14:textId="2F749D1F" w:rsidR="00D74986" w:rsidRPr="007E77AF" w:rsidRDefault="009069A1" w:rsidP="001353DC">
      <w:pPr>
        <w:spacing w:before="120" w:after="120" w:line="312" w:lineRule="auto"/>
        <w:ind w:firstLine="567"/>
        <w:jc w:val="both"/>
      </w:pPr>
      <w:r w:rsidRPr="007E77AF">
        <w:t>III</w:t>
      </w:r>
      <w:r w:rsidR="00B95F8E" w:rsidRPr="007E77AF">
        <w:t xml:space="preserve"> – </w:t>
      </w:r>
      <w:r w:rsidR="007C16F7" w:rsidRPr="007E77AF">
        <w:t xml:space="preserve">a </w:t>
      </w:r>
      <w:r w:rsidR="00B95F8E" w:rsidRPr="007E77AF">
        <w:t>negociação por conta e ordem de terceiros;</w:t>
      </w:r>
    </w:p>
    <w:p w14:paraId="17E3A7C9" w14:textId="27BC797E" w:rsidR="00D74986" w:rsidRPr="007E77AF" w:rsidRDefault="009069A1" w:rsidP="001353DC">
      <w:pPr>
        <w:spacing w:before="120" w:after="120" w:line="312" w:lineRule="auto"/>
        <w:ind w:firstLine="567"/>
        <w:jc w:val="both"/>
      </w:pPr>
      <w:r w:rsidRPr="007E77AF">
        <w:t>IV</w:t>
      </w:r>
      <w:r w:rsidR="00B95F8E" w:rsidRPr="007E77AF">
        <w:t xml:space="preserve"> – </w:t>
      </w:r>
      <w:proofErr w:type="gramStart"/>
      <w:r w:rsidR="00E358E8" w:rsidRPr="007E77AF">
        <w:t>as</w:t>
      </w:r>
      <w:proofErr w:type="gramEnd"/>
      <w:r w:rsidR="00E358E8" w:rsidRPr="007E77AF">
        <w:t xml:space="preserve"> </w:t>
      </w:r>
      <w:r w:rsidR="00B95F8E" w:rsidRPr="007E77AF">
        <w:t>operações claramente destinadas a acompanhar índice de ações, certificado ou recibo de valores mobiliários;</w:t>
      </w:r>
    </w:p>
    <w:p w14:paraId="323BF2E4" w14:textId="048D9857" w:rsidR="00D74986" w:rsidRPr="007E77AF" w:rsidRDefault="009069A1" w:rsidP="001353DC">
      <w:pPr>
        <w:spacing w:before="120" w:after="120" w:line="312" w:lineRule="auto"/>
        <w:ind w:firstLine="567"/>
        <w:jc w:val="both"/>
      </w:pPr>
      <w:r w:rsidRPr="007E77AF">
        <w:t>V</w:t>
      </w:r>
      <w:r w:rsidR="00B95F8E" w:rsidRPr="007E77AF">
        <w:t xml:space="preserve"> – </w:t>
      </w:r>
      <w:proofErr w:type="gramStart"/>
      <w:r w:rsidR="00E358E8" w:rsidRPr="007E77AF">
        <w:t>as</w:t>
      </w:r>
      <w:proofErr w:type="gramEnd"/>
      <w:r w:rsidR="00E358E8" w:rsidRPr="007E77AF">
        <w:t xml:space="preserve"> </w:t>
      </w:r>
      <w:r w:rsidR="00B95F8E" w:rsidRPr="007E77AF">
        <w:t>operações destinadas a proteger posições assumidas em derivativos contratados com terceiros;</w:t>
      </w:r>
    </w:p>
    <w:p w14:paraId="4208159D" w14:textId="07B6EF8F" w:rsidR="00D74986" w:rsidRPr="007E77AF" w:rsidRDefault="009069A1" w:rsidP="001353DC">
      <w:pPr>
        <w:spacing w:before="120" w:after="120" w:line="312" w:lineRule="auto"/>
        <w:ind w:firstLine="567"/>
        <w:jc w:val="both"/>
      </w:pPr>
      <w:r w:rsidRPr="007E77AF">
        <w:t>VI</w:t>
      </w:r>
      <w:r w:rsidR="00B95F8E" w:rsidRPr="007E77AF">
        <w:t xml:space="preserve"> – </w:t>
      </w:r>
      <w:proofErr w:type="gramStart"/>
      <w:r w:rsidR="00E358E8" w:rsidRPr="007E77AF">
        <w:t>as</w:t>
      </w:r>
      <w:proofErr w:type="gramEnd"/>
      <w:r w:rsidR="00E358E8" w:rsidRPr="007E77AF">
        <w:t xml:space="preserve"> </w:t>
      </w:r>
      <w:r w:rsidR="00B95F8E" w:rsidRPr="007E77AF">
        <w:t>operações realizadas como formador de mercado, nos termos da regulamentação aplicável;</w:t>
      </w:r>
    </w:p>
    <w:p w14:paraId="5B04140A" w14:textId="7580A830" w:rsidR="00D74986" w:rsidRPr="007E77AF" w:rsidRDefault="009069A1" w:rsidP="001353DC">
      <w:pPr>
        <w:spacing w:before="120" w:after="120" w:line="312" w:lineRule="auto"/>
        <w:ind w:firstLine="567"/>
        <w:jc w:val="both"/>
      </w:pPr>
      <w:r w:rsidRPr="007E77AF">
        <w:t>VII</w:t>
      </w:r>
      <w:r w:rsidR="00B95F8E" w:rsidRPr="007E77AF">
        <w:t xml:space="preserve"> – </w:t>
      </w:r>
      <w:r w:rsidR="00E358E8" w:rsidRPr="007E77AF">
        <w:t xml:space="preserve">a </w:t>
      </w:r>
      <w:r w:rsidR="00B95F8E" w:rsidRPr="007E77AF">
        <w:t>administração discricionária de carteira de terceiros;</w:t>
      </w:r>
    </w:p>
    <w:p w14:paraId="74D36662" w14:textId="4719F29C" w:rsidR="00D74986" w:rsidRPr="007E77AF" w:rsidRDefault="009069A1" w:rsidP="001353DC">
      <w:pPr>
        <w:spacing w:before="120" w:after="120" w:line="312" w:lineRule="auto"/>
        <w:ind w:firstLine="567"/>
        <w:jc w:val="both"/>
      </w:pPr>
      <w:r w:rsidRPr="007E77AF">
        <w:t>VIII</w:t>
      </w:r>
      <w:r w:rsidR="00B95F8E" w:rsidRPr="007E77AF">
        <w:t xml:space="preserve"> – </w:t>
      </w:r>
      <w:r w:rsidR="00E358E8" w:rsidRPr="007E77AF">
        <w:t xml:space="preserve">a </w:t>
      </w:r>
      <w:r w:rsidR="00B95F8E" w:rsidRPr="007E77AF">
        <w:t>aquisição de valores mobiliários solicitada por clientes com o fim de prover liquidez, bem como a alienação dos valores mobiliários assim adquiridos;</w:t>
      </w:r>
    </w:p>
    <w:p w14:paraId="2ACCDB66" w14:textId="00A41A37" w:rsidR="00D74986" w:rsidRPr="007E77AF" w:rsidRDefault="009069A1" w:rsidP="001353DC">
      <w:pPr>
        <w:spacing w:before="120" w:after="120" w:line="312" w:lineRule="auto"/>
        <w:ind w:firstLine="567"/>
        <w:jc w:val="both"/>
      </w:pPr>
      <w:r w:rsidRPr="007E77AF">
        <w:t>IX</w:t>
      </w:r>
      <w:r w:rsidR="00B95F8E" w:rsidRPr="007E77AF">
        <w:t xml:space="preserve"> – </w:t>
      </w:r>
      <w:proofErr w:type="gramStart"/>
      <w:r w:rsidR="00E358E8" w:rsidRPr="007E77AF">
        <w:t>a</w:t>
      </w:r>
      <w:proofErr w:type="gramEnd"/>
      <w:r w:rsidR="00E358E8" w:rsidRPr="007E77AF">
        <w:t xml:space="preserve"> </w:t>
      </w:r>
      <w:r w:rsidR="00B95F8E" w:rsidRPr="007E77AF">
        <w:t>arbitragem entre:</w:t>
      </w:r>
    </w:p>
    <w:p w14:paraId="3C8AD868" w14:textId="77777777" w:rsidR="00D74986" w:rsidRPr="007E77AF" w:rsidRDefault="00B95F8E" w:rsidP="00D74986">
      <w:pPr>
        <w:spacing w:before="120" w:after="120" w:line="312" w:lineRule="auto"/>
        <w:ind w:firstLine="567"/>
        <w:jc w:val="both"/>
        <w:rPr>
          <w:bCs/>
        </w:rPr>
      </w:pPr>
      <w:r w:rsidRPr="007E77AF">
        <w:rPr>
          <w:bCs/>
        </w:rPr>
        <w:t>a) valores mobiliários e seus certificados de depósito; ou</w:t>
      </w:r>
    </w:p>
    <w:p w14:paraId="48837949" w14:textId="6F946116" w:rsidR="00D74986" w:rsidRPr="007E77AF" w:rsidRDefault="00B95F8E" w:rsidP="00D74986">
      <w:pPr>
        <w:spacing w:before="120" w:after="120" w:line="312" w:lineRule="auto"/>
        <w:ind w:firstLine="567"/>
        <w:jc w:val="both"/>
        <w:rPr>
          <w:bCs/>
        </w:rPr>
      </w:pPr>
      <w:r w:rsidRPr="007E77AF">
        <w:rPr>
          <w:bCs/>
        </w:rPr>
        <w:t>b) índice de mercado e contrato futuro nele referenciado;</w:t>
      </w:r>
    </w:p>
    <w:p w14:paraId="602B3374" w14:textId="497D1C91" w:rsidR="00D74986" w:rsidRPr="007E77AF" w:rsidRDefault="009069A1" w:rsidP="001353DC">
      <w:pPr>
        <w:spacing w:before="120" w:after="120" w:line="312" w:lineRule="auto"/>
        <w:ind w:firstLine="567"/>
        <w:jc w:val="both"/>
      </w:pPr>
      <w:r w:rsidRPr="007E77AF">
        <w:t>X</w:t>
      </w:r>
      <w:r w:rsidR="00B95F8E" w:rsidRPr="007E77AF">
        <w:t xml:space="preserve"> – </w:t>
      </w:r>
      <w:proofErr w:type="gramStart"/>
      <w:r w:rsidR="00E358E8" w:rsidRPr="007E77AF">
        <w:t>as</w:t>
      </w:r>
      <w:proofErr w:type="gramEnd"/>
      <w:r w:rsidR="00E358E8" w:rsidRPr="007E77AF">
        <w:t xml:space="preserve"> </w:t>
      </w:r>
      <w:r w:rsidR="00B95F8E" w:rsidRPr="007E77AF">
        <w:t>operações destinadas a cumprir obrigações assumidas antes do início do período de vedação decorrentes de:</w:t>
      </w:r>
    </w:p>
    <w:p w14:paraId="3BDC6AED" w14:textId="5FBDD4F8" w:rsidR="00D74986" w:rsidRPr="007E77AF" w:rsidRDefault="00B95F8E" w:rsidP="00D74986">
      <w:pPr>
        <w:spacing w:before="120" w:after="120" w:line="312" w:lineRule="auto"/>
        <w:ind w:firstLine="567"/>
        <w:jc w:val="both"/>
        <w:rPr>
          <w:bCs/>
        </w:rPr>
      </w:pPr>
      <w:r w:rsidRPr="007E77AF">
        <w:rPr>
          <w:bCs/>
        </w:rPr>
        <w:t>a) empréstimos de valores mobiliários;</w:t>
      </w:r>
    </w:p>
    <w:p w14:paraId="5B6BEF57" w14:textId="77777777" w:rsidR="00D74986" w:rsidRPr="007E77AF" w:rsidRDefault="00B95F8E" w:rsidP="00D74986">
      <w:pPr>
        <w:spacing w:before="120" w:after="120" w:line="312" w:lineRule="auto"/>
        <w:ind w:firstLine="567"/>
        <w:jc w:val="both"/>
        <w:rPr>
          <w:bCs/>
        </w:rPr>
      </w:pPr>
      <w:r w:rsidRPr="007E77AF">
        <w:rPr>
          <w:bCs/>
        </w:rPr>
        <w:lastRenderedPageBreak/>
        <w:t>b) exercício de opções de compra ou venda por terceiros; ou</w:t>
      </w:r>
    </w:p>
    <w:p w14:paraId="2E8C365F" w14:textId="2A5D6B4D" w:rsidR="00D74986" w:rsidRPr="007E77AF" w:rsidRDefault="00B95F8E" w:rsidP="00D74986">
      <w:pPr>
        <w:spacing w:before="120" w:after="120" w:line="312" w:lineRule="auto"/>
        <w:ind w:firstLine="567"/>
        <w:jc w:val="both"/>
        <w:rPr>
          <w:bCs/>
        </w:rPr>
      </w:pPr>
      <w:r w:rsidRPr="007E77AF">
        <w:rPr>
          <w:bCs/>
        </w:rPr>
        <w:t>c) contratos de compra e venda a termo</w:t>
      </w:r>
      <w:r w:rsidR="00D026BB" w:rsidRPr="007E77AF">
        <w:rPr>
          <w:bCs/>
        </w:rPr>
        <w:t>; e</w:t>
      </w:r>
    </w:p>
    <w:p w14:paraId="2FACEF27" w14:textId="5B2CE6EC" w:rsidR="00D1702F" w:rsidRPr="007E77AF" w:rsidRDefault="00FF26DF" w:rsidP="00D74986">
      <w:pPr>
        <w:spacing w:before="120" w:after="120" w:line="312" w:lineRule="auto"/>
        <w:ind w:firstLine="567"/>
        <w:jc w:val="both"/>
        <w:rPr>
          <w:bCs/>
        </w:rPr>
      </w:pPr>
      <w:r w:rsidRPr="002C67D2">
        <w:rPr>
          <w:rFonts w:cstheme="minorHAnsi"/>
          <w:iCs/>
        </w:rPr>
        <w:t xml:space="preserve">XI </w:t>
      </w:r>
      <w:r w:rsidR="00D026BB" w:rsidRPr="002C67D2">
        <w:rPr>
          <w:rFonts w:cstheme="minorHAnsi"/>
          <w:iCs/>
        </w:rPr>
        <w:t>–</w:t>
      </w:r>
      <w:r w:rsidRPr="002C67D2">
        <w:rPr>
          <w:rFonts w:cstheme="minorHAnsi"/>
          <w:iCs/>
        </w:rPr>
        <w:t xml:space="preserve"> a negociação das cotas de outras classes de um mesmo fundo que não sejam </w:t>
      </w:r>
      <w:proofErr w:type="gramStart"/>
      <w:r w:rsidRPr="002C67D2">
        <w:rPr>
          <w:rFonts w:cstheme="minorHAnsi"/>
          <w:iCs/>
        </w:rPr>
        <w:t>aquela objeto</w:t>
      </w:r>
      <w:proofErr w:type="gramEnd"/>
      <w:r w:rsidRPr="002C67D2">
        <w:rPr>
          <w:rFonts w:cstheme="minorHAnsi"/>
          <w:iCs/>
        </w:rPr>
        <w:t xml:space="preserve"> de oferta</w:t>
      </w:r>
      <w:r w:rsidR="00BC5A4A" w:rsidRPr="002C67D2">
        <w:rPr>
          <w:rFonts w:cstheme="minorHAnsi"/>
          <w:iCs/>
        </w:rPr>
        <w:t xml:space="preserve"> pública</w:t>
      </w:r>
      <w:r w:rsidR="00531ABD" w:rsidRPr="002C67D2">
        <w:rPr>
          <w:rFonts w:cstheme="minorHAnsi"/>
          <w:iCs/>
        </w:rPr>
        <w:t xml:space="preserve"> e que não sejam nela conversíveis nem por ela permutáveis</w:t>
      </w:r>
      <w:r w:rsidR="00883D35" w:rsidRPr="002C67D2">
        <w:rPr>
          <w:rFonts w:cstheme="minorHAnsi"/>
          <w:iCs/>
        </w:rPr>
        <w:t>.</w:t>
      </w:r>
    </w:p>
    <w:p w14:paraId="40F5A716" w14:textId="10A01652" w:rsidR="00D74986" w:rsidRPr="007E77AF" w:rsidRDefault="759D7B47" w:rsidP="6D833876">
      <w:pPr>
        <w:spacing w:before="120" w:after="120" w:line="312" w:lineRule="auto"/>
        <w:ind w:firstLine="567"/>
        <w:jc w:val="both"/>
      </w:pPr>
      <w:r w:rsidRPr="007E77AF">
        <w:t>§</w:t>
      </w:r>
      <w:r w:rsidRPr="007E77AF" w:rsidDel="00974143">
        <w:t xml:space="preserve"> </w:t>
      </w:r>
      <w:r w:rsidR="005F27F6" w:rsidRPr="007E77AF">
        <w:t>3</w:t>
      </w:r>
      <w:proofErr w:type="gramStart"/>
      <w:r w:rsidRPr="007E77AF">
        <w:t>º</w:t>
      </w:r>
      <w:r w:rsidR="00B95F8E" w:rsidRPr="007E77AF">
        <w:t xml:space="preserve">  As</w:t>
      </w:r>
      <w:proofErr w:type="gramEnd"/>
      <w:r w:rsidR="00B95F8E" w:rsidRPr="007E77AF">
        <w:t xml:space="preserve"> pessoas referidas no </w:t>
      </w:r>
      <w:r w:rsidR="00B95F8E" w:rsidRPr="007E77AF">
        <w:rPr>
          <w:b/>
          <w:bCs/>
        </w:rPr>
        <w:t>caput</w:t>
      </w:r>
      <w:r w:rsidR="00B95F8E" w:rsidRPr="007E77AF">
        <w:t xml:space="preserve"> devem adotar procedimentos adequados e passíveis de comprovação para assegurar o cumprimento das normas de conduta previstas neste artigo.</w:t>
      </w:r>
    </w:p>
    <w:p w14:paraId="06336198" w14:textId="688514AA" w:rsidR="00A45B52" w:rsidRPr="007E77AF" w:rsidRDefault="009069A1" w:rsidP="001353DC">
      <w:pPr>
        <w:spacing w:before="120" w:after="120" w:line="312" w:lineRule="auto"/>
        <w:ind w:firstLine="567"/>
        <w:jc w:val="both"/>
      </w:pPr>
      <w:bookmarkStart w:id="230" w:name="_Ref467257235"/>
      <w:r w:rsidRPr="007E77AF">
        <w:t xml:space="preserve">Art. </w:t>
      </w:r>
      <w:r w:rsidR="005D60DF">
        <w:t>55</w:t>
      </w:r>
      <w:r w:rsidR="00B95F8E" w:rsidRPr="007E77AF">
        <w:t xml:space="preserve">.  As restrições à negociação estabelecidas para as instituições </w:t>
      </w:r>
      <w:r w:rsidR="005D65C2">
        <w:t>participantes do consórcio de distribuição</w:t>
      </w:r>
      <w:r w:rsidR="00B95F8E" w:rsidRPr="007E77AF">
        <w:t xml:space="preserve"> no art. </w:t>
      </w:r>
      <w:r w:rsidR="00D74CB9">
        <w:t>54</w:t>
      </w:r>
      <w:r w:rsidR="00D74CB9" w:rsidRPr="007E77AF">
        <w:t xml:space="preserve"> </w:t>
      </w:r>
      <w:r w:rsidR="00B95F8E" w:rsidRPr="007E77AF">
        <w:t xml:space="preserve">aplicam-se </w:t>
      </w:r>
      <w:r w:rsidR="0083091A" w:rsidRPr="007E77AF">
        <w:t>à</w:t>
      </w:r>
      <w:r w:rsidR="00B95F8E" w:rsidRPr="007E77AF">
        <w:t>s suas controladas, controladoras e sociedades sob controle</w:t>
      </w:r>
      <w:r w:rsidR="00334624" w:rsidRPr="007E77AF">
        <w:t xml:space="preserve"> comum</w:t>
      </w:r>
      <w:r w:rsidR="00B95F8E" w:rsidRPr="007E77AF">
        <w:t>, que atuem no mercado financeiro</w:t>
      </w:r>
      <w:r w:rsidR="00B64542" w:rsidRPr="007E77AF">
        <w:t xml:space="preserve"> ou de capitais</w:t>
      </w:r>
      <w:r w:rsidR="00B95F8E" w:rsidRPr="007E77AF">
        <w:t>.</w:t>
      </w:r>
      <w:bookmarkEnd w:id="230"/>
    </w:p>
    <w:p w14:paraId="522C012E" w14:textId="05E27653" w:rsidR="00D74986" w:rsidRPr="007E77AF" w:rsidRDefault="009069A1" w:rsidP="001353DC">
      <w:pPr>
        <w:spacing w:before="120" w:after="120" w:line="312" w:lineRule="auto"/>
        <w:ind w:firstLine="567"/>
        <w:jc w:val="both"/>
        <w:rPr>
          <w:rFonts w:eastAsiaTheme="minorEastAsia" w:cstheme="minorBidi"/>
        </w:rPr>
      </w:pPr>
      <w:bookmarkStart w:id="231" w:name="_Ref467257382"/>
      <w:r w:rsidRPr="007E77AF">
        <w:rPr>
          <w:rFonts w:eastAsiaTheme="minorEastAsia" w:cstheme="minorBidi"/>
        </w:rPr>
        <w:t xml:space="preserve">Art. </w:t>
      </w:r>
      <w:r w:rsidR="005D60DF">
        <w:rPr>
          <w:rFonts w:eastAsiaTheme="minorEastAsia" w:cstheme="minorBidi"/>
        </w:rPr>
        <w:t>56</w:t>
      </w:r>
      <w:r w:rsidR="00A45B52" w:rsidRPr="007E77AF">
        <w:t xml:space="preserve">.  É vedada a colocação de valores mobiliários para pessoas vinculadas no caso de distribuição com excesso de demanda superior em </w:t>
      </w:r>
      <w:r w:rsidR="00C97BD5" w:rsidRPr="007E77AF">
        <w:t>1/3 (</w:t>
      </w:r>
      <w:r w:rsidR="00A45B52" w:rsidRPr="007E77AF">
        <w:t>um terço</w:t>
      </w:r>
      <w:r w:rsidR="00C97BD5" w:rsidRPr="007E77AF">
        <w:t>)</w:t>
      </w:r>
      <w:r w:rsidR="00A45B52" w:rsidRPr="007E77AF">
        <w:t xml:space="preserve"> à quantidade de valores mobiliários inicialmente ofertada, sem levar em consideração a opção de distribuição de lote suplementar</w:t>
      </w:r>
      <w:r w:rsidR="00A45B52" w:rsidRPr="007E77AF" w:rsidDel="00C84B35">
        <w:t xml:space="preserve"> </w:t>
      </w:r>
      <w:r w:rsidR="00A45B52" w:rsidRPr="007E77AF">
        <w:t>ou a colocação do lote adicional.</w:t>
      </w:r>
      <w:bookmarkEnd w:id="231"/>
    </w:p>
    <w:p w14:paraId="5AD782D3" w14:textId="77777777" w:rsidR="00F04BB1" w:rsidRPr="007E77AF" w:rsidRDefault="00A45B52" w:rsidP="00D74986">
      <w:pPr>
        <w:spacing w:before="120" w:after="120" w:line="312" w:lineRule="auto"/>
        <w:ind w:firstLine="567"/>
        <w:jc w:val="both"/>
      </w:pPr>
      <w:r w:rsidRPr="007E77AF">
        <w:t>§ 1</w:t>
      </w:r>
      <w:proofErr w:type="gramStart"/>
      <w:r w:rsidRPr="007E77AF">
        <w:t>º  A</w:t>
      </w:r>
      <w:proofErr w:type="gramEnd"/>
      <w:r w:rsidRPr="007E77AF">
        <w:t xml:space="preserve"> vedação constante do </w:t>
      </w:r>
      <w:r w:rsidRPr="007E77AF">
        <w:rPr>
          <w:b/>
          <w:bCs/>
        </w:rPr>
        <w:t>caput</w:t>
      </w:r>
      <w:r w:rsidRPr="007E77AF">
        <w:t xml:space="preserve"> não se aplica</w:t>
      </w:r>
      <w:r w:rsidR="00C74E22" w:rsidRPr="007E77AF">
        <w:t>:</w:t>
      </w:r>
    </w:p>
    <w:p w14:paraId="70C84FA9" w14:textId="137002F9" w:rsidR="00D74986" w:rsidRPr="007E77AF" w:rsidRDefault="00F04BB1" w:rsidP="00D74986">
      <w:pPr>
        <w:spacing w:before="120" w:after="120" w:line="312" w:lineRule="auto"/>
        <w:ind w:firstLine="567"/>
        <w:jc w:val="both"/>
      </w:pPr>
      <w:r w:rsidRPr="007E77AF">
        <w:t>I –</w:t>
      </w:r>
      <w:r w:rsidR="00A45B52" w:rsidRPr="007E77AF">
        <w:t xml:space="preserve"> </w:t>
      </w:r>
      <w:proofErr w:type="gramStart"/>
      <w:r w:rsidR="00A45B52" w:rsidRPr="007E77AF">
        <w:t>às</w:t>
      </w:r>
      <w:proofErr w:type="gramEnd"/>
      <w:r w:rsidR="00A45B52" w:rsidRPr="007E77AF">
        <w:t xml:space="preserve"> instituições financeiras contratadas como formadores de mercado</w:t>
      </w:r>
      <w:r w:rsidRPr="007E77AF">
        <w:t>;</w:t>
      </w:r>
    </w:p>
    <w:p w14:paraId="193C5DD4" w14:textId="7FE45559" w:rsidR="00F04BB1" w:rsidRPr="007E77AF" w:rsidRDefault="00F04BB1" w:rsidP="00D74986">
      <w:pPr>
        <w:spacing w:before="120" w:after="120" w:line="312" w:lineRule="auto"/>
        <w:ind w:firstLine="567"/>
        <w:jc w:val="both"/>
      </w:pPr>
      <w:r w:rsidRPr="007E77AF">
        <w:t xml:space="preserve">II – </w:t>
      </w:r>
      <w:proofErr w:type="gramStart"/>
      <w:r w:rsidR="00751F7B" w:rsidRPr="007E77AF">
        <w:t>aos</w:t>
      </w:r>
      <w:proofErr w:type="gramEnd"/>
      <w:r w:rsidR="00751F7B" w:rsidRPr="007E77AF">
        <w:t xml:space="preserve"> gestores</w:t>
      </w:r>
      <w:r w:rsidR="00D80170" w:rsidRPr="007E77AF">
        <w:t xml:space="preserve"> de recursos e demais</w:t>
      </w:r>
      <w:r w:rsidR="00751F7B" w:rsidRPr="007E77AF">
        <w:t xml:space="preserve"> entidades ou indivíduos </w:t>
      </w:r>
      <w:r w:rsidR="009F438D" w:rsidRPr="007E77AF">
        <w:t>sujeitos a regulamentação que</w:t>
      </w:r>
      <w:r w:rsidR="00751F7B" w:rsidRPr="007E77AF">
        <w:t xml:space="preserve"> exija a aplicação mínima de recursos em fundos de investimento para fins da </w:t>
      </w:r>
      <w:r w:rsidR="00592CC8">
        <w:t>realização</w:t>
      </w:r>
      <w:r w:rsidR="00751F7B" w:rsidRPr="007E77AF">
        <w:t xml:space="preserve"> de investimentos por determinado tipo de investidor, exclusivamente até o montante necessário para que a respectiva </w:t>
      </w:r>
      <w:r w:rsidR="00592CC8">
        <w:t>regra</w:t>
      </w:r>
      <w:r w:rsidR="00BE7E4A" w:rsidRPr="007E77AF">
        <w:t xml:space="preserve"> de aplicação mínima de recursos seja observada</w:t>
      </w:r>
      <w:r w:rsidR="001133EC" w:rsidRPr="007E77AF">
        <w:t>;</w:t>
      </w:r>
      <w:r w:rsidR="009C4C2D" w:rsidRPr="007E77AF">
        <w:t xml:space="preserve"> e</w:t>
      </w:r>
    </w:p>
    <w:p w14:paraId="03308061" w14:textId="71020912" w:rsidR="001133EC" w:rsidRPr="007E77AF" w:rsidRDefault="00D70A3D" w:rsidP="00D74986">
      <w:pPr>
        <w:spacing w:before="120" w:after="120" w:line="312" w:lineRule="auto"/>
        <w:ind w:firstLine="567"/>
        <w:jc w:val="both"/>
      </w:pPr>
      <w:r w:rsidRPr="007E77AF">
        <w:t>III – caso</w:t>
      </w:r>
      <w:r w:rsidR="007C61E8" w:rsidRPr="007E77AF">
        <w:t xml:space="preserve">, na ausência de colocação para as pessoas </w:t>
      </w:r>
      <w:r w:rsidR="00065C6D" w:rsidRPr="007E77AF">
        <w:t>vinculadas</w:t>
      </w:r>
      <w:r w:rsidR="00E1723B" w:rsidRPr="007E77AF">
        <w:t xml:space="preserve">, </w:t>
      </w:r>
      <w:r w:rsidR="000452B1" w:rsidRPr="007E77AF">
        <w:t xml:space="preserve">a demanda </w:t>
      </w:r>
      <w:r w:rsidR="002D2289" w:rsidRPr="007E77AF">
        <w:t xml:space="preserve">remanescente </w:t>
      </w:r>
      <w:r w:rsidR="000452B1" w:rsidRPr="007E77AF">
        <w:t>seja inferior</w:t>
      </w:r>
      <w:r w:rsidR="00C64FCF" w:rsidRPr="007E77AF">
        <w:t xml:space="preserve"> à quantidad</w:t>
      </w:r>
      <w:r w:rsidR="007534ED" w:rsidRPr="007E77AF">
        <w:t xml:space="preserve">e de valores mobiliários inicialmente ofertada, nos termos do </w:t>
      </w:r>
      <w:r w:rsidR="007534ED" w:rsidRPr="007E77AF">
        <w:rPr>
          <w:b/>
          <w:bCs/>
        </w:rPr>
        <w:t>caput</w:t>
      </w:r>
      <w:r w:rsidR="008141F2" w:rsidRPr="007E77AF">
        <w:t>.</w:t>
      </w:r>
    </w:p>
    <w:p w14:paraId="40532A3D" w14:textId="6AA665D9" w:rsidR="008B6A19" w:rsidRPr="007E77AF" w:rsidRDefault="008B6A19" w:rsidP="00D74986">
      <w:pPr>
        <w:spacing w:before="120" w:after="120" w:line="312" w:lineRule="auto"/>
        <w:ind w:firstLine="567"/>
        <w:jc w:val="both"/>
      </w:pPr>
      <w:r w:rsidRPr="007E77AF">
        <w:t xml:space="preserve">§ </w:t>
      </w:r>
      <w:r w:rsidR="005D60DF">
        <w:t>2</w:t>
      </w:r>
      <w:proofErr w:type="gramStart"/>
      <w:r w:rsidR="005D60DF">
        <w:t>º</w:t>
      </w:r>
      <w:r w:rsidRPr="007E77AF">
        <w:t xml:space="preserve">  </w:t>
      </w:r>
      <w:r w:rsidR="000D3F34" w:rsidRPr="007E77AF">
        <w:t>Nas</w:t>
      </w:r>
      <w:proofErr w:type="gramEnd"/>
      <w:r w:rsidR="000D3F34" w:rsidRPr="007E77AF">
        <w:t xml:space="preserve"> hipóteses do § 1º, </w:t>
      </w:r>
      <w:r w:rsidR="00C77306" w:rsidRPr="007E77AF">
        <w:t xml:space="preserve">o direito de subscrever e a quantidade máxima de valores mobiliários a ser subscrita, se houver tal limitação, </w:t>
      </w:r>
      <w:r w:rsidR="005A217C" w:rsidRPr="007E77AF">
        <w:t>devem ser</w:t>
      </w:r>
      <w:r w:rsidR="00C77306" w:rsidRPr="007E77AF">
        <w:t xml:space="preserve"> divulgados nos documentos da oferta e no prospecto, nos casos em que seja obrigatória a divulgação deste</w:t>
      </w:r>
      <w:r w:rsidR="00CF3DE9" w:rsidRPr="007E77AF">
        <w:t>.</w:t>
      </w:r>
    </w:p>
    <w:p w14:paraId="1D2534F0" w14:textId="41AFB4D9" w:rsidR="00C403F0" w:rsidRPr="007E77AF" w:rsidRDefault="00C403F0" w:rsidP="00D74986">
      <w:pPr>
        <w:spacing w:before="120" w:after="120" w:line="312" w:lineRule="auto"/>
        <w:ind w:firstLine="567"/>
        <w:jc w:val="both"/>
      </w:pPr>
      <w:r w:rsidRPr="007E77AF">
        <w:t xml:space="preserve">§ </w:t>
      </w:r>
      <w:r w:rsidR="005D60DF">
        <w:t>3</w:t>
      </w:r>
      <w:proofErr w:type="gramStart"/>
      <w:r w:rsidR="005D60DF">
        <w:t>º</w:t>
      </w:r>
      <w:r w:rsidRPr="007E77AF">
        <w:t xml:space="preserve">  Na</w:t>
      </w:r>
      <w:proofErr w:type="gramEnd"/>
      <w:r w:rsidRPr="007E77AF">
        <w:t xml:space="preserve"> hipótese do </w:t>
      </w:r>
      <w:r w:rsidR="009F4625" w:rsidRPr="007E77AF">
        <w:t>inciso III do § 1º</w:t>
      </w:r>
      <w:r w:rsidR="00995491" w:rsidRPr="007E77AF">
        <w:t xml:space="preserve">, </w:t>
      </w:r>
      <w:r w:rsidR="004D0544" w:rsidRPr="007E77AF">
        <w:t xml:space="preserve">a </w:t>
      </w:r>
      <w:r w:rsidR="00790007" w:rsidRPr="007E77AF">
        <w:t>colocação</w:t>
      </w:r>
      <w:r w:rsidR="004D0544" w:rsidRPr="007E77AF">
        <w:t xml:space="preserve"> de </w:t>
      </w:r>
      <w:r w:rsidR="00790007" w:rsidRPr="007E77AF">
        <w:t>valores mobiliários para pessoas vinculadas</w:t>
      </w:r>
      <w:r w:rsidR="00426DF4" w:rsidRPr="007E77AF">
        <w:t xml:space="preserve"> fica limitada ao </w:t>
      </w:r>
      <w:r w:rsidR="00E81EF3" w:rsidRPr="007E77AF">
        <w:t xml:space="preserve">necessário para perfazer </w:t>
      </w:r>
      <w:r w:rsidR="00ED2336" w:rsidRPr="007E77AF">
        <w:t xml:space="preserve">a quantidade de valores mobiliários inicialmente ofertada, </w:t>
      </w:r>
      <w:r w:rsidR="00EE5361">
        <w:t>acrescida</w:t>
      </w:r>
      <w:r w:rsidR="00D5643F">
        <w:t xml:space="preserve"> </w:t>
      </w:r>
      <w:r w:rsidR="00EE5361">
        <w:t>d</w:t>
      </w:r>
      <w:r w:rsidR="00652D39" w:rsidRPr="007E77AF">
        <w:t>o lote adicional</w:t>
      </w:r>
      <w:r w:rsidR="000130A3">
        <w:t xml:space="preserve">, </w:t>
      </w:r>
      <w:r w:rsidR="00DB0DD3">
        <w:t xml:space="preserve">desde que preservada a colocação </w:t>
      </w:r>
      <w:r w:rsidR="00085E3D">
        <w:t xml:space="preserve">integral </w:t>
      </w:r>
      <w:r w:rsidR="00770BD4">
        <w:t>junto a pessoas não vinculadas dos v</w:t>
      </w:r>
      <w:r w:rsidR="00766DB0">
        <w:t>alores mobiliários por el</w:t>
      </w:r>
      <w:r w:rsidR="00D451C5">
        <w:t>a</w:t>
      </w:r>
      <w:r w:rsidR="00766DB0">
        <w:t>s demandados</w:t>
      </w:r>
      <w:r w:rsidR="00ED2336" w:rsidRPr="007E77AF">
        <w:t>.</w:t>
      </w:r>
    </w:p>
    <w:p w14:paraId="4F67FF32" w14:textId="02CB26EF" w:rsidR="00D74986" w:rsidRPr="007E77AF" w:rsidRDefault="00A45B52" w:rsidP="00D74986">
      <w:pPr>
        <w:spacing w:before="120" w:after="120" w:line="312" w:lineRule="auto"/>
        <w:ind w:firstLine="567"/>
        <w:jc w:val="both"/>
      </w:pPr>
      <w:r w:rsidRPr="007E77AF">
        <w:lastRenderedPageBreak/>
        <w:t xml:space="preserve">§ </w:t>
      </w:r>
      <w:r w:rsidR="005D60DF">
        <w:t>4</w:t>
      </w:r>
      <w:proofErr w:type="gramStart"/>
      <w:r w:rsidR="005D60DF" w:rsidRPr="007E77AF">
        <w:t xml:space="preserve">º  </w:t>
      </w:r>
      <w:r w:rsidRPr="007E77AF">
        <w:t>A</w:t>
      </w:r>
      <w:proofErr w:type="gramEnd"/>
      <w:r w:rsidRPr="007E77AF">
        <w:t xml:space="preserve"> vedação constante do </w:t>
      </w:r>
      <w:r w:rsidRPr="007E77AF">
        <w:rPr>
          <w:b/>
          <w:bCs/>
        </w:rPr>
        <w:t>caput</w:t>
      </w:r>
      <w:r w:rsidRPr="007E77AF">
        <w:t xml:space="preserve"> pode ser afastada </w:t>
      </w:r>
      <w:r w:rsidR="0023737A">
        <w:t>nas</w:t>
      </w:r>
      <w:r w:rsidRPr="007E77AF">
        <w:t xml:space="preserve"> ofertas em que o apreçamento do valor mobiliário resulte de </w:t>
      </w:r>
      <w:r w:rsidR="16E4754B" w:rsidRPr="007E77AF">
        <w:t>p</w:t>
      </w:r>
      <w:r w:rsidR="7EF6E546" w:rsidRPr="007E77AF">
        <w:t>rocedimento</w:t>
      </w:r>
      <w:r w:rsidRPr="007E77AF">
        <w:t xml:space="preserve"> de </w:t>
      </w:r>
      <w:r w:rsidR="1AC4E399" w:rsidRPr="007E77AF">
        <w:t>p</w:t>
      </w:r>
      <w:r w:rsidR="7EF6E546" w:rsidRPr="007E77AF">
        <w:t>recificação</w:t>
      </w:r>
      <w:r w:rsidR="007E0AA6">
        <w:t>,</w:t>
      </w:r>
      <w:r w:rsidRPr="007E77AF">
        <w:t xml:space="preserve"> desde que o plano de distribuição da oferta preveja a adoção de precauções suficientes e passíveis de comprovação para mitigar as possibilidades de favorecimento e utilização de informação para obtenção de vantagem indevida pelas pessoas citadas no </w:t>
      </w:r>
      <w:r w:rsidRPr="007E77AF">
        <w:rPr>
          <w:b/>
          <w:bCs/>
        </w:rPr>
        <w:t>caput</w:t>
      </w:r>
      <w:r w:rsidRPr="007E77AF">
        <w:t>.</w:t>
      </w:r>
    </w:p>
    <w:p w14:paraId="3F907C2D" w14:textId="50EAB014" w:rsidR="00D74986" w:rsidRPr="007E77AF" w:rsidRDefault="00A45B52" w:rsidP="00D74986">
      <w:pPr>
        <w:spacing w:before="120" w:after="120" w:line="312" w:lineRule="auto"/>
        <w:ind w:firstLine="567"/>
        <w:jc w:val="both"/>
      </w:pPr>
      <w:r w:rsidRPr="007E77AF">
        <w:t xml:space="preserve">§ </w:t>
      </w:r>
      <w:r w:rsidR="005D60DF">
        <w:t>5</w:t>
      </w:r>
      <w:proofErr w:type="gramStart"/>
      <w:r w:rsidR="005D60DF" w:rsidRPr="007E77AF">
        <w:t xml:space="preserve">º  </w:t>
      </w:r>
      <w:r w:rsidRPr="007E77AF">
        <w:t>As</w:t>
      </w:r>
      <w:proofErr w:type="gramEnd"/>
      <w:r w:rsidRPr="007E77AF">
        <w:t xml:space="preserve"> precauções citadas no § </w:t>
      </w:r>
      <w:r w:rsidR="00A36515">
        <w:t>4</w:t>
      </w:r>
      <w:r w:rsidR="00A36515" w:rsidRPr="007E77AF">
        <w:t xml:space="preserve">º </w:t>
      </w:r>
      <w:r w:rsidRPr="007E77AF">
        <w:t>deste artigo devem incluir, no mínimo:</w:t>
      </w:r>
    </w:p>
    <w:p w14:paraId="273262EB" w14:textId="2EF2DB24" w:rsidR="00D74986" w:rsidRPr="007E77AF" w:rsidRDefault="00A45B52" w:rsidP="00D74986">
      <w:pPr>
        <w:spacing w:before="120" w:after="120" w:line="312" w:lineRule="auto"/>
        <w:ind w:firstLine="567"/>
        <w:jc w:val="both"/>
      </w:pPr>
      <w:r w:rsidRPr="007E77AF">
        <w:t xml:space="preserve">I – </w:t>
      </w:r>
      <w:proofErr w:type="gramStart"/>
      <w:r w:rsidRPr="007E77AF">
        <w:t>o</w:t>
      </w:r>
      <w:proofErr w:type="gramEnd"/>
      <w:r w:rsidRPr="007E77AF">
        <w:t xml:space="preserve"> deslocamento da data de término dos pedidos de reserva efetuados por pessoas vinculadas para data que anteceder, no mínimo, 7 (sete) dias úteis ao encerramento da coleta de intenções de investimento;</w:t>
      </w:r>
      <w:r w:rsidR="00817774" w:rsidRPr="007E77AF">
        <w:t xml:space="preserve"> e</w:t>
      </w:r>
    </w:p>
    <w:p w14:paraId="578EED94" w14:textId="77777777" w:rsidR="00D74986" w:rsidRPr="007E77AF" w:rsidRDefault="00A45B52" w:rsidP="00D74986">
      <w:pPr>
        <w:spacing w:before="120" w:after="120" w:line="312" w:lineRule="auto"/>
        <w:ind w:firstLine="567"/>
        <w:jc w:val="both"/>
      </w:pPr>
      <w:r w:rsidRPr="007E77AF">
        <w:t xml:space="preserve">II – </w:t>
      </w:r>
      <w:proofErr w:type="gramStart"/>
      <w:r w:rsidRPr="007E77AF">
        <w:t>a</w:t>
      </w:r>
      <w:proofErr w:type="gramEnd"/>
      <w:r w:rsidRPr="007E77AF">
        <w:t xml:space="preserve"> restrição da participação das pessoas vinculadas na oferta à parcela não destinada ao procedimento de precificação ou à parcela prioritária, se existente, e sujeitando-as às mesmas restrições que a estas parcelas são impostas, incluindo:</w:t>
      </w:r>
    </w:p>
    <w:p w14:paraId="56054141" w14:textId="32D19364" w:rsidR="00D74986" w:rsidRPr="007E77AF" w:rsidRDefault="00A45B52" w:rsidP="00D74986">
      <w:pPr>
        <w:spacing w:before="120" w:after="120" w:line="312" w:lineRule="auto"/>
        <w:ind w:firstLine="567"/>
        <w:jc w:val="both"/>
      </w:pPr>
      <w:r w:rsidRPr="007E77AF">
        <w:t>a) limites máximos para o pedido de reserva, quer seja em valor ou</w:t>
      </w:r>
      <w:r w:rsidR="00090BCE" w:rsidRPr="007E77AF">
        <w:t xml:space="preserve"> em quantidade</w:t>
      </w:r>
      <w:r w:rsidRPr="007E77AF">
        <w:t>;</w:t>
      </w:r>
    </w:p>
    <w:p w14:paraId="3DB5CBE1" w14:textId="77777777" w:rsidR="00D74986" w:rsidRPr="007E77AF" w:rsidRDefault="00A45B52" w:rsidP="00D74986">
      <w:pPr>
        <w:spacing w:before="120" w:after="120" w:line="312" w:lineRule="auto"/>
        <w:ind w:firstLine="567"/>
        <w:jc w:val="both"/>
      </w:pPr>
      <w:r w:rsidRPr="007E77AF">
        <w:t>b) restrições à sua participação a uma única instituição intermediária;</w:t>
      </w:r>
    </w:p>
    <w:p w14:paraId="5DD86BD7" w14:textId="77777777" w:rsidR="00D74986" w:rsidRPr="007E77AF" w:rsidRDefault="00A45B52" w:rsidP="00D74986">
      <w:pPr>
        <w:spacing w:before="120" w:after="120" w:line="312" w:lineRule="auto"/>
        <w:ind w:firstLine="567"/>
        <w:jc w:val="both"/>
      </w:pPr>
      <w:r w:rsidRPr="007E77AF">
        <w:t>c) condições de desistência que não dependam de sua única vontade;</w:t>
      </w:r>
    </w:p>
    <w:p w14:paraId="4712D344" w14:textId="77777777" w:rsidR="00D74986" w:rsidRPr="007E77AF" w:rsidRDefault="00A45B52" w:rsidP="00D74986">
      <w:pPr>
        <w:spacing w:before="120" w:after="120" w:line="312" w:lineRule="auto"/>
        <w:ind w:firstLine="567"/>
        <w:jc w:val="both"/>
      </w:pPr>
      <w:r w:rsidRPr="007E77AF">
        <w:t xml:space="preserve">d) sujeição ao rateio em caso de excesso de demanda; e </w:t>
      </w:r>
    </w:p>
    <w:p w14:paraId="0D4D6DE1" w14:textId="77777777" w:rsidR="00D74986" w:rsidRPr="007E77AF" w:rsidRDefault="00A45B52" w:rsidP="00D74986">
      <w:pPr>
        <w:spacing w:before="120" w:after="120" w:line="312" w:lineRule="auto"/>
        <w:ind w:firstLine="567"/>
        <w:jc w:val="both"/>
      </w:pPr>
      <w:r w:rsidRPr="007E77AF">
        <w:t>e) demais condições impostas conforme os documentos da oferta.</w:t>
      </w:r>
    </w:p>
    <w:p w14:paraId="70E0AD51" w14:textId="18CD5C8A" w:rsidR="00D74986" w:rsidRPr="007E77AF" w:rsidRDefault="00A315C0" w:rsidP="006B018B">
      <w:pPr>
        <w:pStyle w:val="Seo"/>
      </w:pPr>
      <w:bookmarkStart w:id="232" w:name="_Toc467256287"/>
      <w:bookmarkStart w:id="233" w:name="_Toc476216337"/>
      <w:bookmarkStart w:id="234" w:name="_Toc108516058"/>
      <w:bookmarkStart w:id="235" w:name="_Toc108203089"/>
      <w:bookmarkStart w:id="236" w:name="_Toc136502829"/>
      <w:r w:rsidRPr="007E77AF">
        <w:t xml:space="preserve">Seção </w:t>
      </w:r>
      <w:r w:rsidR="00B95F8E" w:rsidRPr="007E77AF">
        <w:t>V</w:t>
      </w:r>
      <w:r w:rsidRPr="007E77AF">
        <w:t xml:space="preserve"> </w:t>
      </w:r>
      <w:r w:rsidR="00002143" w:rsidRPr="007E77AF">
        <w:t xml:space="preserve">– </w:t>
      </w:r>
      <w:r w:rsidR="002030E1" w:rsidRPr="007E77AF">
        <w:t xml:space="preserve">Oferta a </w:t>
      </w:r>
      <w:r w:rsidR="00835FDC" w:rsidRPr="007E77AF">
        <w:t>M</w:t>
      </w:r>
      <w:r w:rsidR="002030E1" w:rsidRPr="007E77AF">
        <w:t xml:space="preserve">ercado </w:t>
      </w:r>
      <w:r w:rsidR="00002143" w:rsidRPr="007E77AF">
        <w:t xml:space="preserve">e </w:t>
      </w:r>
      <w:r w:rsidR="45D2475D" w:rsidRPr="007E77AF">
        <w:t>P</w:t>
      </w:r>
      <w:r w:rsidR="00002143" w:rsidRPr="007E77AF">
        <w:t xml:space="preserve">eríodo de </w:t>
      </w:r>
      <w:r w:rsidR="00807352" w:rsidRPr="007E77AF">
        <w:t>D</w:t>
      </w:r>
      <w:r w:rsidR="00002143" w:rsidRPr="007E77AF">
        <w:t>istribuição</w:t>
      </w:r>
      <w:bookmarkEnd w:id="232"/>
      <w:bookmarkEnd w:id="233"/>
      <w:bookmarkEnd w:id="234"/>
      <w:bookmarkEnd w:id="235"/>
      <w:bookmarkEnd w:id="236"/>
    </w:p>
    <w:p w14:paraId="014AFE3F" w14:textId="46A14D34" w:rsidR="00D74986" w:rsidRPr="007E77AF" w:rsidRDefault="009069A1" w:rsidP="001353DC">
      <w:pPr>
        <w:spacing w:before="120" w:after="120" w:line="312" w:lineRule="auto"/>
        <w:ind w:firstLine="567"/>
        <w:jc w:val="both"/>
      </w:pPr>
      <w:bookmarkStart w:id="237" w:name="_Ref461194568"/>
      <w:r w:rsidRPr="007E77AF">
        <w:t xml:space="preserve">Art. </w:t>
      </w:r>
      <w:r w:rsidR="005D60DF">
        <w:t>57</w:t>
      </w:r>
      <w:r w:rsidR="6EFEFFCA" w:rsidRPr="007E77AF">
        <w:t xml:space="preserve">.  </w:t>
      </w:r>
      <w:r w:rsidR="0034216E" w:rsidRPr="007E77AF">
        <w:t xml:space="preserve">A </w:t>
      </w:r>
      <w:r w:rsidR="79630A3F" w:rsidRPr="007E77AF">
        <w:t xml:space="preserve">oferta pública de distribuição de valores mobiliários </w:t>
      </w:r>
      <w:r w:rsidR="224EF971" w:rsidRPr="007E77AF">
        <w:t>está a mercado</w:t>
      </w:r>
      <w:r w:rsidR="79630A3F" w:rsidRPr="007E77AF">
        <w:t xml:space="preserve"> a </w:t>
      </w:r>
      <w:r w:rsidR="00E87789" w:rsidRPr="007E77AF">
        <w:t>partir d</w:t>
      </w:r>
      <w:r w:rsidR="007F6E4F" w:rsidRPr="007E77AF">
        <w:t xml:space="preserve">a </w:t>
      </w:r>
      <w:r w:rsidR="79630A3F" w:rsidRPr="007E77AF">
        <w:t xml:space="preserve">data em que o </w:t>
      </w:r>
      <w:r w:rsidR="66F48E25" w:rsidRPr="007E77AF">
        <w:t>a</w:t>
      </w:r>
      <w:r w:rsidR="3449E0E8" w:rsidRPr="007E77AF">
        <w:t xml:space="preserve">viso ao </w:t>
      </w:r>
      <w:r w:rsidR="171CBBDA" w:rsidRPr="007E77AF">
        <w:t>m</w:t>
      </w:r>
      <w:r w:rsidR="3449E0E8" w:rsidRPr="007E77AF">
        <w:t>ercado for divulgado</w:t>
      </w:r>
      <w:r w:rsidR="00673ECB" w:rsidRPr="007E77AF">
        <w:t>,</w:t>
      </w:r>
      <w:r w:rsidR="3449E0E8" w:rsidRPr="007E77AF">
        <w:t xml:space="preserve"> </w:t>
      </w:r>
      <w:r w:rsidR="79630A3F" w:rsidRPr="007E77AF">
        <w:t xml:space="preserve">sendo que </w:t>
      </w:r>
      <w:r w:rsidR="00882C4A">
        <w:t xml:space="preserve">as instituições </w:t>
      </w:r>
      <w:r w:rsidR="004E4BD7">
        <w:t>participantes</w:t>
      </w:r>
      <w:r w:rsidR="00882C4A">
        <w:t xml:space="preserve"> do consórcio de distribuição</w:t>
      </w:r>
      <w:r w:rsidR="00340DCB" w:rsidRPr="007E77AF">
        <w:t xml:space="preserve"> deve</w:t>
      </w:r>
      <w:r w:rsidR="00CA6E49" w:rsidRPr="007E77AF">
        <w:t>m</w:t>
      </w:r>
      <w:r w:rsidR="79630A3F" w:rsidRPr="007E77AF">
        <w:t xml:space="preserve">, </w:t>
      </w:r>
      <w:r w:rsidR="55A78A03" w:rsidRPr="007E77AF">
        <w:t>simultaneamente</w:t>
      </w:r>
      <w:r w:rsidR="024DCD4E" w:rsidRPr="007E77AF">
        <w:t>,</w:t>
      </w:r>
      <w:r w:rsidR="79630A3F" w:rsidRPr="007E77AF">
        <w:t xml:space="preserve"> </w:t>
      </w:r>
      <w:r w:rsidR="00E87789" w:rsidRPr="007E77AF">
        <w:t>dar ampla divulgação à oferta,</w:t>
      </w:r>
      <w:r w:rsidR="6EFEFFCA" w:rsidRPr="007E77AF">
        <w:t xml:space="preserve"> </w:t>
      </w:r>
      <w:r w:rsidR="59248D11" w:rsidRPr="007E77AF">
        <w:t xml:space="preserve">utilizando </w:t>
      </w:r>
      <w:r w:rsidR="005A4920" w:rsidRPr="007E77AF">
        <w:t>a</w:t>
      </w:r>
      <w:r w:rsidR="59248D11" w:rsidRPr="007E77AF">
        <w:t xml:space="preserve">s </w:t>
      </w:r>
      <w:r w:rsidR="005A4920" w:rsidRPr="007E77AF">
        <w:t>formas</w:t>
      </w:r>
      <w:r w:rsidR="00115234" w:rsidRPr="007E77AF">
        <w:t xml:space="preserve"> </w:t>
      </w:r>
      <w:r w:rsidR="59248D11" w:rsidRPr="007E77AF">
        <w:t xml:space="preserve">de divulgação </w:t>
      </w:r>
      <w:r w:rsidR="00E87789" w:rsidRPr="007E77AF">
        <w:t xml:space="preserve">elencadas </w:t>
      </w:r>
      <w:r w:rsidR="59248D11" w:rsidRPr="007E77AF">
        <w:t xml:space="preserve">no art. </w:t>
      </w:r>
      <w:r w:rsidR="0086760A" w:rsidRPr="007E77AF">
        <w:rPr>
          <w:bCs/>
        </w:rPr>
        <w:t>13</w:t>
      </w:r>
      <w:r w:rsidR="45775234" w:rsidRPr="007E77AF">
        <w:t>.</w:t>
      </w:r>
      <w:bookmarkEnd w:id="237"/>
    </w:p>
    <w:p w14:paraId="53107CE8" w14:textId="656E24D4" w:rsidR="00D74986" w:rsidRPr="007E77AF" w:rsidRDefault="00E81680" w:rsidP="00D74986">
      <w:pPr>
        <w:spacing w:before="120" w:after="120" w:line="312" w:lineRule="auto"/>
        <w:ind w:firstLine="567"/>
        <w:jc w:val="both"/>
      </w:pPr>
      <w:r w:rsidRPr="007E77AF">
        <w:t>§ 1</w:t>
      </w:r>
      <w:proofErr w:type="gramStart"/>
      <w:r w:rsidRPr="007E77AF">
        <w:t>º</w:t>
      </w:r>
      <w:r w:rsidR="001B6C91" w:rsidRPr="007E77AF">
        <w:t xml:space="preserve"> </w:t>
      </w:r>
      <w:r w:rsidR="6E2DED8A" w:rsidRPr="007E77AF">
        <w:t xml:space="preserve"> </w:t>
      </w:r>
      <w:r w:rsidR="001B6C91" w:rsidRPr="007E77AF">
        <w:t>O</w:t>
      </w:r>
      <w:proofErr w:type="gramEnd"/>
      <w:r w:rsidR="001B6C91" w:rsidRPr="007E77AF">
        <w:t xml:space="preserve"> </w:t>
      </w:r>
      <w:r w:rsidR="45E937C5" w:rsidRPr="007E77AF">
        <w:t>a</w:t>
      </w:r>
      <w:r w:rsidR="001B6C91" w:rsidRPr="007E77AF">
        <w:t xml:space="preserve">viso ao </w:t>
      </w:r>
      <w:r w:rsidR="64BA4F8B" w:rsidRPr="007E77AF">
        <w:t>m</w:t>
      </w:r>
      <w:r w:rsidR="001B6C91" w:rsidRPr="007E77AF">
        <w:t xml:space="preserve">ercado é um aviso resumido que dá ampla divulgação </w:t>
      </w:r>
      <w:r w:rsidRPr="007E77AF">
        <w:t xml:space="preserve">ao </w:t>
      </w:r>
      <w:r w:rsidR="00F26351" w:rsidRPr="007E77AF">
        <w:t>prospecto preliminar</w:t>
      </w:r>
      <w:r w:rsidR="001B6C91" w:rsidRPr="007E77AF">
        <w:t xml:space="preserve"> </w:t>
      </w:r>
      <w:r w:rsidR="001D50CD" w:rsidRPr="007E77AF">
        <w:t xml:space="preserve">ou, no caso de oferta destinada a investidores profissionais, </w:t>
      </w:r>
      <w:r w:rsidR="00982030" w:rsidRPr="007E77AF">
        <w:t>ao requerimento</w:t>
      </w:r>
      <w:r w:rsidR="00D8571D" w:rsidRPr="007E77AF">
        <w:t xml:space="preserve"> do registro automático</w:t>
      </w:r>
      <w:r w:rsidR="00485FF7">
        <w:t>,</w:t>
      </w:r>
      <w:r w:rsidR="00D8571D" w:rsidRPr="007E77AF">
        <w:t xml:space="preserve"> </w:t>
      </w:r>
      <w:r w:rsidR="001B6C91" w:rsidRPr="007E77AF">
        <w:t>e que deve conter, n</w:t>
      </w:r>
      <w:r w:rsidR="31AE6772" w:rsidRPr="007E77AF">
        <w:t>o</w:t>
      </w:r>
      <w:r w:rsidR="001B6C91" w:rsidRPr="007E77AF">
        <w:t xml:space="preserve"> máximo, as seguintes informações:</w:t>
      </w:r>
    </w:p>
    <w:p w14:paraId="70CF97CA" w14:textId="77777777" w:rsidR="00D74986" w:rsidRPr="007E77AF" w:rsidRDefault="001B6C91" w:rsidP="00D74986">
      <w:pPr>
        <w:spacing w:before="120" w:after="120" w:line="312" w:lineRule="auto"/>
        <w:ind w:firstLine="567"/>
        <w:jc w:val="both"/>
      </w:pPr>
      <w:r w:rsidRPr="007E77AF">
        <w:t xml:space="preserve">I – </w:t>
      </w:r>
      <w:proofErr w:type="gramStart"/>
      <w:r w:rsidRPr="007E77AF">
        <w:t>o</w:t>
      </w:r>
      <w:proofErr w:type="gramEnd"/>
      <w:r w:rsidRPr="007E77AF">
        <w:t xml:space="preserve"> valor mobiliário oferta</w:t>
      </w:r>
      <w:r w:rsidR="00E81680" w:rsidRPr="007E77AF">
        <w:t>do</w:t>
      </w:r>
      <w:r w:rsidRPr="007E77AF">
        <w:t xml:space="preserve"> e identificação do ofertante;</w:t>
      </w:r>
    </w:p>
    <w:p w14:paraId="5FF6EB3B" w14:textId="23485092" w:rsidR="00D74986" w:rsidRPr="007E77AF" w:rsidRDefault="001B6C91" w:rsidP="00D74986">
      <w:pPr>
        <w:spacing w:before="120" w:after="120" w:line="312" w:lineRule="auto"/>
        <w:ind w:firstLine="567"/>
        <w:jc w:val="both"/>
      </w:pPr>
      <w:r w:rsidRPr="007E77AF">
        <w:t xml:space="preserve">II – </w:t>
      </w:r>
      <w:proofErr w:type="gramStart"/>
      <w:r w:rsidRPr="007E77AF">
        <w:t>a</w:t>
      </w:r>
      <w:proofErr w:type="gramEnd"/>
      <w:r w:rsidRPr="007E77AF">
        <w:t xml:space="preserve"> i</w:t>
      </w:r>
      <w:r w:rsidRPr="007E77AF">
        <w:rPr>
          <w:rFonts w:cs="Calibri"/>
        </w:rPr>
        <w:t>ndicação d</w:t>
      </w:r>
      <w:r w:rsidR="00774EB9" w:rsidRPr="007E77AF">
        <w:rPr>
          <w:rFonts w:cs="Calibri"/>
        </w:rPr>
        <w:t>a forma</w:t>
      </w:r>
      <w:r w:rsidRPr="007E77AF">
        <w:rPr>
          <w:rFonts w:cs="Calibri"/>
        </w:rPr>
        <w:t xml:space="preserve"> </w:t>
      </w:r>
      <w:r w:rsidR="008C3B25" w:rsidRPr="007E77AF">
        <w:rPr>
          <w:rFonts w:cs="Calibri"/>
        </w:rPr>
        <w:t xml:space="preserve">de </w:t>
      </w:r>
      <w:r w:rsidRPr="007E77AF">
        <w:rPr>
          <w:rFonts w:cs="Calibri"/>
        </w:rPr>
        <w:t xml:space="preserve">obtenção do </w:t>
      </w:r>
      <w:r w:rsidR="1EC51065" w:rsidRPr="007E77AF">
        <w:rPr>
          <w:rFonts w:cs="Calibri"/>
        </w:rPr>
        <w:t>p</w:t>
      </w:r>
      <w:r w:rsidRPr="007E77AF">
        <w:rPr>
          <w:rFonts w:cs="Calibri"/>
        </w:rPr>
        <w:t xml:space="preserve">rospecto e da </w:t>
      </w:r>
      <w:r w:rsidR="00494021" w:rsidRPr="007E77AF">
        <w:t>lâmina da oferta</w:t>
      </w:r>
      <w:r w:rsidR="6ADD61DE" w:rsidRPr="007E77AF">
        <w:t xml:space="preserve">, quando </w:t>
      </w:r>
      <w:r w:rsidR="00A654B3" w:rsidRPr="007E77AF">
        <w:t>requerid</w:t>
      </w:r>
      <w:r w:rsidR="00693043" w:rsidRPr="007E77AF">
        <w:t>os</w:t>
      </w:r>
      <w:r w:rsidRPr="007E77AF">
        <w:t>;</w:t>
      </w:r>
    </w:p>
    <w:p w14:paraId="50EF029D" w14:textId="4553D839" w:rsidR="00C651BC" w:rsidRPr="007E77AF" w:rsidRDefault="001B6C91" w:rsidP="00D74986">
      <w:pPr>
        <w:spacing w:before="120" w:after="120" w:line="312" w:lineRule="auto"/>
        <w:ind w:firstLine="567"/>
        <w:jc w:val="both"/>
      </w:pPr>
      <w:r w:rsidRPr="007E77AF">
        <w:t xml:space="preserve">III – o </w:t>
      </w:r>
      <w:r w:rsidR="002F16A3" w:rsidRPr="007E77AF">
        <w:t>rito de registro</w:t>
      </w:r>
      <w:r w:rsidRPr="007E77AF">
        <w:t xml:space="preserve"> de distribuição adotado</w:t>
      </w:r>
      <w:r w:rsidR="00E81680" w:rsidRPr="007E77AF">
        <w:t>;</w:t>
      </w:r>
      <w:r w:rsidR="00B64542" w:rsidRPr="007E77AF">
        <w:t xml:space="preserve"> </w:t>
      </w:r>
    </w:p>
    <w:p w14:paraId="258CA779" w14:textId="3D5F576C" w:rsidR="00D74986" w:rsidRPr="007E77AF" w:rsidRDefault="00C651BC" w:rsidP="00D74986">
      <w:pPr>
        <w:spacing w:before="120" w:after="120" w:line="312" w:lineRule="auto"/>
        <w:ind w:firstLine="567"/>
        <w:jc w:val="both"/>
      </w:pPr>
      <w:r w:rsidRPr="007E77AF">
        <w:lastRenderedPageBreak/>
        <w:t xml:space="preserve">IV – </w:t>
      </w:r>
      <w:proofErr w:type="gramStart"/>
      <w:r w:rsidR="008C3B25" w:rsidRPr="007E77AF">
        <w:t>o</w:t>
      </w:r>
      <w:proofErr w:type="gramEnd"/>
      <w:r w:rsidR="008C3B25" w:rsidRPr="007E77AF">
        <w:t xml:space="preserve"> </w:t>
      </w:r>
      <w:r w:rsidRPr="007E77AF">
        <w:t xml:space="preserve">cronograma da </w:t>
      </w:r>
      <w:r w:rsidR="00774EB9" w:rsidRPr="007E77AF">
        <w:t xml:space="preserve">oferta; </w:t>
      </w:r>
      <w:r w:rsidR="00B64542" w:rsidRPr="007E77AF">
        <w:t>e</w:t>
      </w:r>
    </w:p>
    <w:p w14:paraId="2BFAAB8B" w14:textId="7818EE6C" w:rsidR="00D74986" w:rsidRPr="007E77AF" w:rsidRDefault="00E81680" w:rsidP="00D74986">
      <w:pPr>
        <w:spacing w:before="120" w:after="120" w:line="312" w:lineRule="auto"/>
        <w:ind w:firstLine="567"/>
        <w:jc w:val="both"/>
      </w:pPr>
      <w:r w:rsidRPr="007E77AF">
        <w:t xml:space="preserve">V – </w:t>
      </w:r>
      <w:proofErr w:type="gramStart"/>
      <w:r w:rsidRPr="007E77AF">
        <w:t>o</w:t>
      </w:r>
      <w:proofErr w:type="gramEnd"/>
      <w:r w:rsidRPr="007E77AF">
        <w:t xml:space="preserve"> seguinte aviso</w:t>
      </w:r>
      <w:r w:rsidR="0C0B15C9" w:rsidRPr="007E77AF">
        <w:t>:</w:t>
      </w:r>
      <w:r w:rsidR="6CDF3301" w:rsidRPr="007E77AF">
        <w:t xml:space="preserve"> </w:t>
      </w:r>
      <w:r w:rsidR="1BC84466" w:rsidRPr="007E77AF">
        <w:t>“</w:t>
      </w:r>
      <w:r w:rsidRPr="007E77AF">
        <w:t>Foi dispensada divulgação de prospecto</w:t>
      </w:r>
      <w:r w:rsidR="00A654B3" w:rsidRPr="007E77AF">
        <w:t xml:space="preserve"> </w:t>
      </w:r>
      <w:r w:rsidR="0C99B17D" w:rsidRPr="007E77AF">
        <w:t xml:space="preserve">e da </w:t>
      </w:r>
      <w:r w:rsidR="00494021" w:rsidRPr="007E77AF">
        <w:t>lâmina da oferta</w:t>
      </w:r>
      <w:r w:rsidRPr="007E77AF">
        <w:t xml:space="preserve"> para a realização d</w:t>
      </w:r>
      <w:r w:rsidR="7E0A80F2" w:rsidRPr="007E77AF">
        <w:t>est</w:t>
      </w:r>
      <w:r w:rsidRPr="007E77AF">
        <w:t>a oferta</w:t>
      </w:r>
      <w:r w:rsidR="78A923CF" w:rsidRPr="007E77AF">
        <w:t>”</w:t>
      </w:r>
      <w:r w:rsidRPr="007E77AF">
        <w:t>, em caso de oferta destinada exclusivamente a investidores profissionais</w:t>
      </w:r>
      <w:r w:rsidR="00B64542" w:rsidRPr="007E77AF">
        <w:t>.</w:t>
      </w:r>
    </w:p>
    <w:p w14:paraId="49D69287" w14:textId="6FD631E7" w:rsidR="00D74986" w:rsidRPr="007E77AF" w:rsidRDefault="009A34A3" w:rsidP="00D74986">
      <w:pPr>
        <w:spacing w:before="120" w:after="120" w:line="312" w:lineRule="auto"/>
        <w:ind w:firstLine="567"/>
        <w:jc w:val="both"/>
      </w:pPr>
      <w:r w:rsidRPr="007E77AF">
        <w:t xml:space="preserve">§ </w:t>
      </w:r>
      <w:r w:rsidR="003626AD" w:rsidRPr="007E77AF">
        <w:t>2</w:t>
      </w:r>
      <w:proofErr w:type="gramStart"/>
      <w:r w:rsidRPr="007E77AF">
        <w:t xml:space="preserve">º </w:t>
      </w:r>
      <w:r w:rsidR="4EE7C717" w:rsidRPr="007E77AF">
        <w:t xml:space="preserve"> </w:t>
      </w:r>
      <w:r w:rsidR="73990919" w:rsidRPr="007E77AF">
        <w:t>Nas</w:t>
      </w:r>
      <w:proofErr w:type="gramEnd"/>
      <w:r w:rsidR="73990919" w:rsidRPr="007E77AF">
        <w:t xml:space="preserve"> hipóteses em que </w:t>
      </w:r>
      <w:r w:rsidR="0094363C" w:rsidRPr="007E77AF">
        <w:t>se optar pelo</w:t>
      </w:r>
      <w:r w:rsidR="0094363C" w:rsidRPr="007E77AF" w:rsidDel="0094363C">
        <w:t xml:space="preserve"> </w:t>
      </w:r>
      <w:r w:rsidR="73990919" w:rsidRPr="007E77AF">
        <w:t>uso do prospecto preliminar, este</w:t>
      </w:r>
      <w:r w:rsidRPr="007E77AF">
        <w:t xml:space="preserve"> deve estar disponível nos mesmos locais</w:t>
      </w:r>
      <w:r w:rsidR="00614FFE" w:rsidRPr="007E77AF">
        <w:t xml:space="preserve"> elencados no art. </w:t>
      </w:r>
      <w:r w:rsidR="0086760A" w:rsidRPr="007E77AF">
        <w:rPr>
          <w:bCs/>
        </w:rPr>
        <w:t>13</w:t>
      </w:r>
      <w:r w:rsidR="00614FFE" w:rsidRPr="007E77AF">
        <w:rPr>
          <w:bCs/>
        </w:rPr>
        <w:t xml:space="preserve"> </w:t>
      </w:r>
      <w:r w:rsidRPr="007E77AF">
        <w:t>para os investidores pelo menos 5</w:t>
      </w:r>
      <w:r w:rsidRPr="007E77AF">
        <w:rPr>
          <w:bCs/>
        </w:rPr>
        <w:t xml:space="preserve"> (</w:t>
      </w:r>
      <w:r w:rsidRPr="007E77AF">
        <w:t>cinco) dias úteis antes do prazo inicial para o recebimento de reserva.</w:t>
      </w:r>
    </w:p>
    <w:p w14:paraId="75481B5D" w14:textId="074555D8" w:rsidR="00D74986" w:rsidRPr="007E77AF" w:rsidRDefault="009F4083" w:rsidP="00D74986">
      <w:pPr>
        <w:spacing w:before="120" w:after="120" w:line="312" w:lineRule="auto"/>
        <w:ind w:firstLine="567"/>
        <w:jc w:val="both"/>
      </w:pPr>
      <w:r w:rsidRPr="007E77AF">
        <w:t xml:space="preserve">§ </w:t>
      </w:r>
      <w:r w:rsidR="003626AD" w:rsidRPr="007E77AF">
        <w:t>3</w:t>
      </w:r>
      <w:proofErr w:type="gramStart"/>
      <w:r w:rsidRPr="007E77AF">
        <w:t xml:space="preserve">º  </w:t>
      </w:r>
      <w:r w:rsidR="002A5824" w:rsidRPr="007E77AF">
        <w:t>No</w:t>
      </w:r>
      <w:proofErr w:type="gramEnd"/>
      <w:r w:rsidR="002A5824" w:rsidRPr="007E77AF">
        <w:t xml:space="preserve"> caso de que trata este ar</w:t>
      </w:r>
      <w:r w:rsidR="0054281D" w:rsidRPr="007E77AF">
        <w:t>tigo, tendo a oferta sido</w:t>
      </w:r>
      <w:r w:rsidRPr="007E77AF">
        <w:t xml:space="preserve"> </w:t>
      </w:r>
      <w:r w:rsidR="00415CB4" w:rsidRPr="007E77AF">
        <w:t xml:space="preserve">submetida ao </w:t>
      </w:r>
      <w:r w:rsidR="007A75EB" w:rsidRPr="007E77AF">
        <w:t xml:space="preserve">registro automático </w:t>
      </w:r>
      <w:r w:rsidR="0054281D" w:rsidRPr="007E77AF">
        <w:t xml:space="preserve">e </w:t>
      </w:r>
      <w:r w:rsidR="00084CDE" w:rsidRPr="007E77AF">
        <w:t xml:space="preserve">destinada </w:t>
      </w:r>
      <w:r w:rsidR="00F57C34" w:rsidRPr="007E77AF">
        <w:t xml:space="preserve">exclusivamente </w:t>
      </w:r>
      <w:r w:rsidR="00084CDE" w:rsidRPr="007E77AF">
        <w:t>a investidor profissional</w:t>
      </w:r>
      <w:r w:rsidR="003372D9" w:rsidRPr="007E77AF">
        <w:t>, esta</w:t>
      </w:r>
      <w:r w:rsidR="007636B3" w:rsidRPr="007E77AF">
        <w:t xml:space="preserve"> </w:t>
      </w:r>
      <w:r w:rsidR="00D046F6" w:rsidRPr="007E77AF">
        <w:t xml:space="preserve">deve </w:t>
      </w:r>
      <w:r w:rsidR="00A83BD2" w:rsidRPr="007E77AF">
        <w:t xml:space="preserve">permanecer a mercado </w:t>
      </w:r>
      <w:r w:rsidR="005664E3" w:rsidRPr="007E77AF">
        <w:t xml:space="preserve">por pelo menos </w:t>
      </w:r>
      <w:r w:rsidR="00CB31ED" w:rsidRPr="007E77AF">
        <w:t xml:space="preserve">3 </w:t>
      </w:r>
      <w:r w:rsidRPr="007E77AF">
        <w:t>(</w:t>
      </w:r>
      <w:r w:rsidR="00CB31ED" w:rsidRPr="007E77AF">
        <w:t>três</w:t>
      </w:r>
      <w:r w:rsidRPr="007E77AF">
        <w:t>) dias úteis.</w:t>
      </w:r>
    </w:p>
    <w:p w14:paraId="07624BE3" w14:textId="1F7DBE44" w:rsidR="00D74986" w:rsidRPr="007E77AF" w:rsidRDefault="00AB0149" w:rsidP="00D74986">
      <w:pPr>
        <w:spacing w:before="120" w:after="120" w:line="312" w:lineRule="auto"/>
        <w:ind w:firstLine="567"/>
        <w:jc w:val="both"/>
      </w:pPr>
      <w:r w:rsidRPr="007E77AF">
        <w:t xml:space="preserve">§ </w:t>
      </w:r>
      <w:r w:rsidR="003626AD" w:rsidRPr="007E77AF">
        <w:t>4</w:t>
      </w:r>
      <w:proofErr w:type="gramStart"/>
      <w:r w:rsidRPr="007E77AF">
        <w:t xml:space="preserve">º  </w:t>
      </w:r>
      <w:r w:rsidR="00FA5DA2" w:rsidRPr="007E77AF">
        <w:t>Simultaneamente</w:t>
      </w:r>
      <w:proofErr w:type="gramEnd"/>
      <w:r w:rsidR="00FA5DA2" w:rsidRPr="007E77AF">
        <w:t xml:space="preserve"> à divulgação do </w:t>
      </w:r>
      <w:r w:rsidR="57879154" w:rsidRPr="007E77AF">
        <w:t>a</w:t>
      </w:r>
      <w:r w:rsidR="00FA5DA2" w:rsidRPr="007E77AF">
        <w:t xml:space="preserve">viso ao </w:t>
      </w:r>
      <w:r w:rsidR="454EFCEF" w:rsidRPr="007E77AF">
        <w:t>m</w:t>
      </w:r>
      <w:r w:rsidR="00FA5DA2" w:rsidRPr="007E77AF">
        <w:t xml:space="preserve">ercado, </w:t>
      </w:r>
      <w:r w:rsidR="009E65FD">
        <w:t>o</w:t>
      </w:r>
      <w:r w:rsidR="009E65FD" w:rsidRPr="007E77AF">
        <w:t xml:space="preserve"> </w:t>
      </w:r>
      <w:r w:rsidR="008F489E">
        <w:t>coordenador líder</w:t>
      </w:r>
      <w:r w:rsidRPr="007E77AF">
        <w:t xml:space="preserve"> deve</w:t>
      </w:r>
      <w:r w:rsidR="00FA5DA2" w:rsidRPr="007E77AF">
        <w:t xml:space="preserve"> </w:t>
      </w:r>
      <w:r w:rsidRPr="007E77AF">
        <w:t xml:space="preserve">encaminhar à </w:t>
      </w:r>
      <w:r w:rsidR="00EC1266" w:rsidRPr="007E77AF">
        <w:t xml:space="preserve">SRE </w:t>
      </w:r>
      <w:r w:rsidRPr="007E77AF">
        <w:t xml:space="preserve">e às entidades administradoras de mercado organizado </w:t>
      </w:r>
      <w:r w:rsidR="00EC1266" w:rsidRPr="007E77AF">
        <w:t>no qual</w:t>
      </w:r>
      <w:r w:rsidRPr="007E77AF">
        <w:t xml:space="preserve"> os valores mobiliários d</w:t>
      </w:r>
      <w:r w:rsidR="008F64AC" w:rsidRPr="007E77AF">
        <w:t>o</w:t>
      </w:r>
      <w:r w:rsidRPr="007E77AF">
        <w:t xml:space="preserve"> emissor sejam admitidos à negociação</w:t>
      </w:r>
      <w:r w:rsidR="00A65789" w:rsidRPr="007E77AF">
        <w:t>,</w:t>
      </w:r>
      <w:r w:rsidR="0075631D" w:rsidRPr="007E77AF">
        <w:t xml:space="preserve"> </w:t>
      </w:r>
      <w:r w:rsidRPr="007E77AF">
        <w:t>versão eletrônica</w:t>
      </w:r>
      <w:r w:rsidR="003340AB" w:rsidRPr="007E77AF">
        <w:t xml:space="preserve"> do </w:t>
      </w:r>
      <w:r w:rsidR="46265765" w:rsidRPr="007E77AF">
        <w:t>a</w:t>
      </w:r>
      <w:r w:rsidR="00B3058B" w:rsidRPr="007E77AF">
        <w:t xml:space="preserve">viso ao </w:t>
      </w:r>
      <w:r w:rsidR="04359DD2" w:rsidRPr="007E77AF">
        <w:t>m</w:t>
      </w:r>
      <w:r w:rsidR="00B3058B" w:rsidRPr="007E77AF">
        <w:t xml:space="preserve">ercado e do </w:t>
      </w:r>
      <w:r w:rsidR="5151A4D1" w:rsidRPr="007E77AF">
        <w:t>p</w:t>
      </w:r>
      <w:r w:rsidR="003340AB" w:rsidRPr="007E77AF">
        <w:t xml:space="preserve">rospecto </w:t>
      </w:r>
      <w:r w:rsidR="4A3B0B3F" w:rsidRPr="007E77AF">
        <w:t>p</w:t>
      </w:r>
      <w:r w:rsidR="003340AB" w:rsidRPr="007E77AF">
        <w:t>reliminar</w:t>
      </w:r>
      <w:r w:rsidRPr="007E77AF">
        <w:t>,</w:t>
      </w:r>
      <w:r w:rsidR="002A3835" w:rsidRPr="007E77AF">
        <w:t xml:space="preserve"> se houver,</w:t>
      </w:r>
      <w:r w:rsidRPr="007E77AF">
        <w:t xml:space="preserve"> sem quaisquer restrições para sua cópia e em formato digital que permita a busca de palavras e termos.</w:t>
      </w:r>
    </w:p>
    <w:p w14:paraId="35183AC8" w14:textId="35F90B00" w:rsidR="00D74986" w:rsidRPr="007E77AF" w:rsidRDefault="009069A1" w:rsidP="001353DC">
      <w:pPr>
        <w:spacing w:before="120" w:after="120" w:line="312" w:lineRule="auto"/>
        <w:ind w:firstLine="567"/>
        <w:jc w:val="both"/>
        <w:rPr>
          <w:rFonts w:eastAsiaTheme="minorEastAsia" w:cstheme="minorBidi"/>
        </w:rPr>
      </w:pPr>
      <w:bookmarkStart w:id="238" w:name="_Ref467232371"/>
      <w:r w:rsidRPr="007E77AF">
        <w:rPr>
          <w:rFonts w:eastAsiaTheme="minorEastAsia" w:cstheme="minorBidi"/>
        </w:rPr>
        <w:t xml:space="preserve">Art. </w:t>
      </w:r>
      <w:r w:rsidR="00D22E51">
        <w:rPr>
          <w:rFonts w:eastAsiaTheme="minorEastAsia" w:cstheme="minorBidi"/>
        </w:rPr>
        <w:t>58</w:t>
      </w:r>
      <w:r w:rsidR="003420B5" w:rsidRPr="007E77AF">
        <w:t xml:space="preserve">.  A oferta a mercado é irrevogável, </w:t>
      </w:r>
      <w:r w:rsidR="004E0D87" w:rsidRPr="007E77AF">
        <w:t xml:space="preserve">mas pode </w:t>
      </w:r>
      <w:r w:rsidR="00564E02" w:rsidRPr="007E77AF">
        <w:t>estar</w:t>
      </w:r>
      <w:r w:rsidR="004E0D87" w:rsidRPr="007E77AF">
        <w:t xml:space="preserve"> sujeita a condições </w:t>
      </w:r>
      <w:r w:rsidR="00A564FA" w:rsidRPr="007E77AF">
        <w:t>previamente indicadas</w:t>
      </w:r>
      <w:r w:rsidR="004E0D87" w:rsidRPr="007E77AF">
        <w:t xml:space="preserve"> que correspondam a um interesse legítimo do ofertante</w:t>
      </w:r>
      <w:r w:rsidR="003420B5" w:rsidRPr="007E77AF">
        <w:t xml:space="preserve"> e cujo implemento não dependa de atuação direta ou indireta do ofertante ou de pessoas a ele vinculadas.</w:t>
      </w:r>
      <w:bookmarkEnd w:id="238"/>
    </w:p>
    <w:p w14:paraId="5568513A" w14:textId="77777777" w:rsidR="00D74986" w:rsidRPr="007E77AF" w:rsidRDefault="003420B5" w:rsidP="00D74986">
      <w:pPr>
        <w:spacing w:before="120" w:after="120" w:line="312" w:lineRule="auto"/>
        <w:ind w:firstLine="567"/>
        <w:jc w:val="both"/>
        <w:rPr>
          <w:bCs/>
        </w:rPr>
      </w:pPr>
      <w:r w:rsidRPr="007E77AF">
        <w:rPr>
          <w:bCs/>
        </w:rPr>
        <w:t xml:space="preserve">Parágrafo único. </w:t>
      </w:r>
      <w:r w:rsidR="578E06B9" w:rsidRPr="007E77AF">
        <w:t xml:space="preserve"> </w:t>
      </w:r>
      <w:r w:rsidRPr="007E77AF">
        <w:rPr>
          <w:bCs/>
        </w:rPr>
        <w:t xml:space="preserve">As condições mencionadas no </w:t>
      </w:r>
      <w:r w:rsidRPr="007E77AF">
        <w:rPr>
          <w:b/>
          <w:bCs/>
        </w:rPr>
        <w:t>caput</w:t>
      </w:r>
      <w:r w:rsidRPr="007E77AF">
        <w:rPr>
          <w:bCs/>
        </w:rPr>
        <w:t xml:space="preserve"> devem constar:</w:t>
      </w:r>
    </w:p>
    <w:p w14:paraId="07865E95" w14:textId="3EF3BD09" w:rsidR="00D74986" w:rsidRPr="007E77AF" w:rsidRDefault="003420B5" w:rsidP="00D74986">
      <w:pPr>
        <w:spacing w:before="120" w:after="120" w:line="312" w:lineRule="auto"/>
        <w:ind w:firstLine="567"/>
        <w:jc w:val="both"/>
        <w:rPr>
          <w:bCs/>
        </w:rPr>
      </w:pPr>
      <w:r w:rsidRPr="007E77AF">
        <w:rPr>
          <w:bCs/>
        </w:rPr>
        <w:t xml:space="preserve">I – </w:t>
      </w:r>
      <w:proofErr w:type="gramStart"/>
      <w:r w:rsidRPr="007E77AF">
        <w:rPr>
          <w:bCs/>
        </w:rPr>
        <w:t>do</w:t>
      </w:r>
      <w:proofErr w:type="gramEnd"/>
      <w:r w:rsidRPr="007E77AF">
        <w:rPr>
          <w:bCs/>
        </w:rPr>
        <w:t xml:space="preserve"> prospecto;</w:t>
      </w:r>
      <w:r w:rsidR="00EC1266" w:rsidRPr="007E77AF">
        <w:rPr>
          <w:bCs/>
        </w:rPr>
        <w:t xml:space="preserve"> e</w:t>
      </w:r>
    </w:p>
    <w:p w14:paraId="4187011C" w14:textId="7BF6D17D" w:rsidR="00D74986" w:rsidRPr="007E77AF" w:rsidRDefault="003420B5" w:rsidP="00D74986">
      <w:pPr>
        <w:spacing w:before="120" w:after="120" w:line="312" w:lineRule="auto"/>
        <w:ind w:firstLine="567"/>
        <w:jc w:val="both"/>
      </w:pPr>
      <w:r w:rsidRPr="007E77AF">
        <w:t xml:space="preserve">II – </w:t>
      </w:r>
      <w:proofErr w:type="gramStart"/>
      <w:r w:rsidRPr="007E77AF">
        <w:t>de</w:t>
      </w:r>
      <w:proofErr w:type="gramEnd"/>
      <w:r w:rsidRPr="007E77AF">
        <w:t xml:space="preserve"> aviso em destaque nos documentos da oferta nos casos em que a divulgação de um prospecto é dispensada</w:t>
      </w:r>
      <w:r w:rsidR="00EC1266" w:rsidRPr="007E77AF">
        <w:t>.</w:t>
      </w:r>
    </w:p>
    <w:p w14:paraId="3A1E8599" w14:textId="2E0C78D0" w:rsidR="00D74986" w:rsidRPr="007E77AF" w:rsidRDefault="009069A1" w:rsidP="001353DC">
      <w:pPr>
        <w:spacing w:before="120" w:after="120" w:line="312" w:lineRule="auto"/>
        <w:ind w:firstLine="567"/>
        <w:jc w:val="both"/>
      </w:pPr>
      <w:bookmarkStart w:id="239" w:name="_Ref461196489"/>
      <w:r w:rsidRPr="007E77AF">
        <w:t xml:space="preserve">Art. </w:t>
      </w:r>
      <w:r w:rsidR="00D22E51">
        <w:t>59</w:t>
      </w:r>
      <w:r w:rsidR="6EFEFFCA" w:rsidRPr="007E77AF">
        <w:t xml:space="preserve">.  </w:t>
      </w:r>
      <w:r w:rsidR="4C6274A3" w:rsidRPr="007E77AF">
        <w:t xml:space="preserve">O período </w:t>
      </w:r>
      <w:r w:rsidR="68D713EB" w:rsidRPr="007E77AF">
        <w:t>de</w:t>
      </w:r>
      <w:r w:rsidR="3AC7BB0B" w:rsidRPr="007E77AF">
        <w:t xml:space="preserve"> distribuição, </w:t>
      </w:r>
      <w:r w:rsidR="1BA21E7C" w:rsidRPr="007E77AF">
        <w:t>cara</w:t>
      </w:r>
      <w:r w:rsidR="3D4010B1" w:rsidRPr="007E77AF">
        <w:t>c</w:t>
      </w:r>
      <w:r w:rsidR="1BA21E7C" w:rsidRPr="007E77AF">
        <w:t>terizad</w:t>
      </w:r>
      <w:r w:rsidR="0008CA81" w:rsidRPr="007E77AF">
        <w:t>o</w:t>
      </w:r>
      <w:r w:rsidR="2ED54A22" w:rsidRPr="007E77AF">
        <w:t xml:space="preserve"> pela possibilidade de efetiva</w:t>
      </w:r>
      <w:r w:rsidR="6EFEFFCA" w:rsidRPr="007E77AF">
        <w:t xml:space="preserve"> </w:t>
      </w:r>
      <w:r w:rsidR="36199B3C" w:rsidRPr="007E77AF">
        <w:t xml:space="preserve">liquidação </w:t>
      </w:r>
      <w:r w:rsidR="6C913307" w:rsidRPr="007E77AF">
        <w:t xml:space="preserve">da operação de </w:t>
      </w:r>
      <w:r w:rsidR="00947FC8">
        <w:t>subscrição ou aquisição</w:t>
      </w:r>
      <w:r w:rsidR="6C913307" w:rsidRPr="007E77AF">
        <w:t xml:space="preserve"> dos valores mobiliários</w:t>
      </w:r>
      <w:r w:rsidR="449DB1F5" w:rsidRPr="007E77AF">
        <w:t xml:space="preserve"> </w:t>
      </w:r>
      <w:r w:rsidR="6EFEFFCA" w:rsidRPr="007E77AF">
        <w:t>objeto da oferta pública</w:t>
      </w:r>
      <w:r w:rsidR="3AC7BB0B" w:rsidRPr="007E77AF">
        <w:t>,</w:t>
      </w:r>
      <w:r w:rsidR="6EFEFFCA" w:rsidRPr="007E77AF">
        <w:t xml:space="preserve"> somente </w:t>
      </w:r>
      <w:r w:rsidR="76FAE884" w:rsidRPr="007E77AF">
        <w:t xml:space="preserve">pode </w:t>
      </w:r>
      <w:r w:rsidR="3AC7BB0B" w:rsidRPr="007E77AF">
        <w:t>ter início</w:t>
      </w:r>
      <w:r w:rsidR="6EFEFFCA" w:rsidRPr="007E77AF">
        <w:t xml:space="preserve"> após observadas, cumulativamente, as seguintes condições:</w:t>
      </w:r>
      <w:bookmarkEnd w:id="239"/>
    </w:p>
    <w:p w14:paraId="4F7A245C" w14:textId="25B66E4E" w:rsidR="00D74986" w:rsidRPr="007E77AF" w:rsidRDefault="009069A1" w:rsidP="001353DC">
      <w:pPr>
        <w:spacing w:before="120" w:after="120" w:line="312" w:lineRule="auto"/>
        <w:ind w:firstLine="567"/>
        <w:jc w:val="both"/>
      </w:pPr>
      <w:r w:rsidRPr="007E77AF">
        <w:t>I</w:t>
      </w:r>
      <w:r w:rsidR="6EFEFFCA" w:rsidRPr="007E77AF">
        <w:t xml:space="preserve"> – </w:t>
      </w:r>
      <w:proofErr w:type="gramStart"/>
      <w:r w:rsidR="6EFEFFCA" w:rsidRPr="007E77AF">
        <w:t>obtenção</w:t>
      </w:r>
      <w:proofErr w:type="gramEnd"/>
      <w:r w:rsidR="6EFEFFCA" w:rsidRPr="007E77AF">
        <w:t xml:space="preserve"> do registro da oferta na CVM;</w:t>
      </w:r>
    </w:p>
    <w:p w14:paraId="2E414871" w14:textId="7F2A5882" w:rsidR="00D74986" w:rsidRPr="007E77AF" w:rsidRDefault="009069A1" w:rsidP="001353DC">
      <w:pPr>
        <w:spacing w:before="120" w:after="120" w:line="312" w:lineRule="auto"/>
        <w:ind w:firstLine="567"/>
        <w:jc w:val="both"/>
      </w:pPr>
      <w:r w:rsidRPr="007E77AF">
        <w:t>II</w:t>
      </w:r>
      <w:r w:rsidR="6EFEFFCA" w:rsidRPr="007E77AF">
        <w:t xml:space="preserve"> – </w:t>
      </w:r>
      <w:proofErr w:type="gramStart"/>
      <w:r w:rsidR="6EFEFFCA" w:rsidRPr="007E77AF">
        <w:t>divulgação</w:t>
      </w:r>
      <w:proofErr w:type="gramEnd"/>
      <w:r w:rsidR="6EFEFFCA" w:rsidRPr="007E77AF">
        <w:t xml:space="preserve"> do </w:t>
      </w:r>
      <w:r w:rsidR="3431E1B5" w:rsidRPr="007E77AF">
        <w:t>a</w:t>
      </w:r>
      <w:r w:rsidR="6EFEFFCA" w:rsidRPr="007E77AF">
        <w:t xml:space="preserve">núncio de </w:t>
      </w:r>
      <w:r w:rsidR="4CA33BBC" w:rsidRPr="007E77AF">
        <w:t>i</w:t>
      </w:r>
      <w:r w:rsidR="6EFEFFCA" w:rsidRPr="007E77AF">
        <w:t xml:space="preserve">nício de </w:t>
      </w:r>
      <w:r w:rsidR="160AD8FB" w:rsidRPr="007E77AF">
        <w:t>d</w:t>
      </w:r>
      <w:r w:rsidR="6EFEFFCA" w:rsidRPr="007E77AF">
        <w:t xml:space="preserve">istribuição, </w:t>
      </w:r>
      <w:r w:rsidR="6AD887F8" w:rsidRPr="007E77AF">
        <w:t xml:space="preserve">utilizando </w:t>
      </w:r>
      <w:r w:rsidR="008531FE" w:rsidRPr="007E77AF">
        <w:t>a</w:t>
      </w:r>
      <w:r w:rsidR="6AD887F8" w:rsidRPr="007E77AF">
        <w:t xml:space="preserve">s </w:t>
      </w:r>
      <w:r w:rsidR="008531FE" w:rsidRPr="007E77AF">
        <w:t xml:space="preserve">formas </w:t>
      </w:r>
      <w:r w:rsidR="6AD887F8" w:rsidRPr="007E77AF">
        <w:t xml:space="preserve">de divulgação </w:t>
      </w:r>
      <w:r w:rsidR="00367DC1" w:rsidRPr="007E77AF">
        <w:t xml:space="preserve">elencadas </w:t>
      </w:r>
      <w:r w:rsidR="6AD887F8" w:rsidRPr="007E77AF">
        <w:t xml:space="preserve">no art. </w:t>
      </w:r>
      <w:r w:rsidR="0086760A" w:rsidRPr="007E77AF">
        <w:rPr>
          <w:bCs/>
        </w:rPr>
        <w:t>13</w:t>
      </w:r>
      <w:r w:rsidR="6EFEFFCA" w:rsidRPr="007E77AF">
        <w:t>; e</w:t>
      </w:r>
    </w:p>
    <w:p w14:paraId="30FD4ADC" w14:textId="0426B169" w:rsidR="00D74986" w:rsidRPr="007E77AF" w:rsidRDefault="009069A1" w:rsidP="001353DC">
      <w:pPr>
        <w:spacing w:before="120" w:after="120" w:line="312" w:lineRule="auto"/>
        <w:ind w:firstLine="567"/>
        <w:jc w:val="both"/>
      </w:pPr>
      <w:r w:rsidRPr="007E77AF">
        <w:t>III</w:t>
      </w:r>
      <w:r w:rsidR="6EFEFFCA" w:rsidRPr="007E77AF">
        <w:t xml:space="preserve"> – </w:t>
      </w:r>
      <w:r w:rsidR="116CCB4B" w:rsidRPr="007E77AF">
        <w:t xml:space="preserve">quando </w:t>
      </w:r>
      <w:r w:rsidR="160AF135" w:rsidRPr="007E77AF">
        <w:t>aplicável</w:t>
      </w:r>
      <w:r w:rsidR="116CCB4B" w:rsidRPr="007E77AF">
        <w:t xml:space="preserve">, </w:t>
      </w:r>
      <w:r w:rsidR="6EFEFFCA" w:rsidRPr="007E77AF">
        <w:t>disponibili</w:t>
      </w:r>
      <w:r w:rsidR="7424AF08" w:rsidRPr="007E77AF">
        <w:t>zação</w:t>
      </w:r>
      <w:r w:rsidR="6EFEFFCA" w:rsidRPr="007E77AF">
        <w:t xml:space="preserve"> do </w:t>
      </w:r>
      <w:r w:rsidR="367435A0" w:rsidRPr="007E77AF">
        <w:t>p</w:t>
      </w:r>
      <w:r w:rsidR="6EFEFFCA" w:rsidRPr="007E77AF">
        <w:t xml:space="preserve">rospecto </w:t>
      </w:r>
      <w:r w:rsidR="055E508B" w:rsidRPr="007E77AF">
        <w:t>d</w:t>
      </w:r>
      <w:r w:rsidR="6EFEFFCA" w:rsidRPr="007E77AF">
        <w:t>efinitivo para os investidores</w:t>
      </w:r>
      <w:r w:rsidR="0EC9EF84" w:rsidRPr="007E77AF">
        <w:t>.</w:t>
      </w:r>
    </w:p>
    <w:p w14:paraId="642F8334" w14:textId="09FAFABE" w:rsidR="00D74986" w:rsidRPr="007E77AF" w:rsidRDefault="009F4083" w:rsidP="00D74986">
      <w:pPr>
        <w:spacing w:before="120" w:after="120" w:line="312" w:lineRule="auto"/>
        <w:ind w:firstLine="567"/>
        <w:jc w:val="both"/>
      </w:pPr>
      <w:r w:rsidRPr="007E77AF">
        <w:lastRenderedPageBreak/>
        <w:t>§ 1</w:t>
      </w:r>
      <w:proofErr w:type="gramStart"/>
      <w:r w:rsidRPr="007E77AF">
        <w:t xml:space="preserve">º  </w:t>
      </w:r>
      <w:r w:rsidR="00EC1266" w:rsidRPr="007E77AF">
        <w:t>Nos</w:t>
      </w:r>
      <w:proofErr w:type="gramEnd"/>
      <w:r w:rsidR="00EC1266" w:rsidRPr="007E77AF">
        <w:t xml:space="preserve"> casos em que exigido por esta Resolução</w:t>
      </w:r>
      <w:r w:rsidR="1CE4757D" w:rsidRPr="007E77AF">
        <w:t xml:space="preserve">, </w:t>
      </w:r>
      <w:r w:rsidR="621131FC" w:rsidRPr="007E77AF">
        <w:t>o</w:t>
      </w:r>
      <w:r w:rsidRPr="007E77AF">
        <w:t xml:space="preserve"> </w:t>
      </w:r>
      <w:r w:rsidR="022474F9" w:rsidRPr="007E77AF">
        <w:t>p</w:t>
      </w:r>
      <w:r w:rsidRPr="007E77AF">
        <w:t xml:space="preserve">rospecto </w:t>
      </w:r>
      <w:r w:rsidR="3B5C8A00" w:rsidRPr="007E77AF">
        <w:t>d</w:t>
      </w:r>
      <w:r w:rsidRPr="007E77AF">
        <w:t>efinitivo deve estar disponível para os investidores pelo menos 5 (cinco) dias úteis antes do prazo inicial para a aceitação da oferta:</w:t>
      </w:r>
    </w:p>
    <w:p w14:paraId="58755618" w14:textId="77777777" w:rsidR="00D74986" w:rsidRPr="007E77AF" w:rsidRDefault="009F4083" w:rsidP="00D74986">
      <w:pPr>
        <w:spacing w:before="120" w:after="120" w:line="312" w:lineRule="auto"/>
        <w:ind w:firstLine="567"/>
        <w:jc w:val="both"/>
      </w:pPr>
      <w:proofErr w:type="gramStart"/>
      <w:r w:rsidRPr="007E77AF">
        <w:t xml:space="preserve">I  </w:t>
      </w:r>
      <w:r w:rsidR="16267D37" w:rsidRPr="007E77AF">
        <w:t>–</w:t>
      </w:r>
      <w:proofErr w:type="gramEnd"/>
      <w:r w:rsidRPr="007E77AF">
        <w:t xml:space="preserve"> se não houver sido utilizado </w:t>
      </w:r>
      <w:r w:rsidR="06FC2CF8" w:rsidRPr="007E77AF">
        <w:t>p</w:t>
      </w:r>
      <w:r w:rsidRPr="007E77AF">
        <w:t xml:space="preserve">rospecto </w:t>
      </w:r>
      <w:r w:rsidR="18A7B718" w:rsidRPr="007E77AF">
        <w:t>p</w:t>
      </w:r>
      <w:r w:rsidRPr="007E77AF">
        <w:t xml:space="preserve">reliminar; </w:t>
      </w:r>
      <w:r w:rsidR="00B1179F" w:rsidRPr="007E77AF">
        <w:t>ou</w:t>
      </w:r>
    </w:p>
    <w:p w14:paraId="53B28DA7" w14:textId="4BFE618B" w:rsidR="00D74986" w:rsidRPr="007E77AF" w:rsidRDefault="009F4083" w:rsidP="00D74986">
      <w:pPr>
        <w:spacing w:before="120" w:after="120" w:line="312" w:lineRule="auto"/>
        <w:ind w:firstLine="567"/>
        <w:jc w:val="both"/>
      </w:pPr>
      <w:r w:rsidRPr="007E77AF">
        <w:t xml:space="preserve">II </w:t>
      </w:r>
      <w:r w:rsidR="221989D7" w:rsidRPr="007E77AF">
        <w:t>–</w:t>
      </w:r>
      <w:r w:rsidRPr="007E77AF">
        <w:t xml:space="preserve"> </w:t>
      </w:r>
      <w:proofErr w:type="gramStart"/>
      <w:r w:rsidRPr="007E77AF">
        <w:t>se</w:t>
      </w:r>
      <w:proofErr w:type="gramEnd"/>
      <w:r w:rsidRPr="007E77AF">
        <w:t xml:space="preserve"> houver sido utilizado </w:t>
      </w:r>
      <w:r w:rsidR="10E2CFF1" w:rsidRPr="007E77AF">
        <w:t>p</w:t>
      </w:r>
      <w:r w:rsidRPr="007E77AF">
        <w:t xml:space="preserve">rospecto </w:t>
      </w:r>
      <w:r w:rsidR="599B3590" w:rsidRPr="007E77AF">
        <w:t>p</w:t>
      </w:r>
      <w:r w:rsidRPr="007E77AF">
        <w:t xml:space="preserve">reliminar e as informações constantes do </w:t>
      </w:r>
      <w:r w:rsidR="226BCA36" w:rsidRPr="007E77AF">
        <w:t>p</w:t>
      </w:r>
      <w:r w:rsidRPr="007E77AF">
        <w:t xml:space="preserve">rospecto </w:t>
      </w:r>
      <w:r w:rsidR="7BCA1CBB" w:rsidRPr="007E77AF">
        <w:t>d</w:t>
      </w:r>
      <w:r w:rsidRPr="007E77AF">
        <w:t xml:space="preserve">efinitivo forem substancialmente diferentes das informações daquele, </w:t>
      </w:r>
      <w:r w:rsidR="00AA3504" w:rsidRPr="007E77AF">
        <w:t>observadas as regras referentes à modificação de oferta</w:t>
      </w:r>
      <w:r w:rsidR="00901079" w:rsidRPr="007E77AF">
        <w:t xml:space="preserve"> (</w:t>
      </w:r>
      <w:r w:rsidR="0DF7FC9B" w:rsidRPr="007E77AF">
        <w:t>S</w:t>
      </w:r>
      <w:r w:rsidR="00901079" w:rsidRPr="007E77AF">
        <w:t xml:space="preserve">eção </w:t>
      </w:r>
      <w:r w:rsidR="00E54F9F" w:rsidRPr="007E77AF">
        <w:t xml:space="preserve">X </w:t>
      </w:r>
      <w:r w:rsidR="00901079" w:rsidRPr="007E77AF">
        <w:t xml:space="preserve">deste </w:t>
      </w:r>
      <w:r w:rsidR="00621001" w:rsidRPr="007E77AF">
        <w:t>C</w:t>
      </w:r>
      <w:r w:rsidR="00901079" w:rsidRPr="007E77AF">
        <w:t>apítulo)</w:t>
      </w:r>
      <w:r w:rsidRPr="007E77AF">
        <w:t>.</w:t>
      </w:r>
    </w:p>
    <w:p w14:paraId="0A28D29D" w14:textId="7C71F222" w:rsidR="00D74986" w:rsidRPr="007E77AF" w:rsidRDefault="00AB0149" w:rsidP="00D74986">
      <w:pPr>
        <w:spacing w:before="120" w:after="120" w:line="312" w:lineRule="auto"/>
        <w:ind w:firstLine="567"/>
        <w:jc w:val="both"/>
      </w:pPr>
      <w:r w:rsidRPr="007E77AF">
        <w:t>§ 2</w:t>
      </w:r>
      <w:proofErr w:type="gramStart"/>
      <w:r w:rsidRPr="007E77AF">
        <w:t xml:space="preserve">º  </w:t>
      </w:r>
      <w:r w:rsidR="00FA5DA2" w:rsidRPr="007E77AF">
        <w:t>Simultaneamente</w:t>
      </w:r>
      <w:proofErr w:type="gramEnd"/>
      <w:r w:rsidR="00FA5DA2" w:rsidRPr="007E77AF">
        <w:t xml:space="preserve"> à divulgação do </w:t>
      </w:r>
      <w:r w:rsidR="5BC10D04" w:rsidRPr="007E77AF">
        <w:t>a</w:t>
      </w:r>
      <w:r w:rsidR="00FA5DA2" w:rsidRPr="007E77AF">
        <w:t xml:space="preserve">núncio de </w:t>
      </w:r>
      <w:r w:rsidR="4FFED801" w:rsidRPr="007E77AF">
        <w:t>i</w:t>
      </w:r>
      <w:r w:rsidR="00FA5DA2" w:rsidRPr="007E77AF">
        <w:t xml:space="preserve">nício de </w:t>
      </w:r>
      <w:r w:rsidR="1CC7C532" w:rsidRPr="007E77AF">
        <w:t>d</w:t>
      </w:r>
      <w:r w:rsidR="00FA5DA2" w:rsidRPr="007E77AF">
        <w:t xml:space="preserve">istribuição, </w:t>
      </w:r>
      <w:r w:rsidR="00460440">
        <w:t>o</w:t>
      </w:r>
      <w:r w:rsidR="00460440" w:rsidRPr="007E77AF">
        <w:t xml:space="preserve"> </w:t>
      </w:r>
      <w:r w:rsidR="008F489E">
        <w:t>coordenador líder</w:t>
      </w:r>
      <w:r w:rsidRPr="007E77AF">
        <w:t xml:space="preserve"> deve encaminhar à CVM e às entidades administradoras de mercado organizado </w:t>
      </w:r>
      <w:r w:rsidR="00EC1266" w:rsidRPr="007E77AF">
        <w:t>no qual</w:t>
      </w:r>
      <w:r w:rsidRPr="007E77AF">
        <w:t xml:space="preserve"> os valores mobiliários d</w:t>
      </w:r>
      <w:r w:rsidR="00FE362E" w:rsidRPr="007E77AF">
        <w:t>o</w:t>
      </w:r>
      <w:r w:rsidRPr="007E77AF">
        <w:t xml:space="preserve"> emissor sejam admitidos à negociação versão eletrônica</w:t>
      </w:r>
      <w:r w:rsidR="004D44BB" w:rsidRPr="007E77AF">
        <w:t xml:space="preserve"> </w:t>
      </w:r>
      <w:r w:rsidR="003340AB" w:rsidRPr="007E77AF">
        <w:t>do</w:t>
      </w:r>
      <w:r w:rsidR="004D44BB" w:rsidRPr="007E77AF">
        <w:t xml:space="preserve"> </w:t>
      </w:r>
      <w:r w:rsidR="6488EBE2" w:rsidRPr="007E77AF">
        <w:t>a</w:t>
      </w:r>
      <w:r w:rsidR="42BB13B7" w:rsidRPr="007E77AF">
        <w:t>núncio</w:t>
      </w:r>
      <w:r w:rsidR="004D44BB" w:rsidRPr="007E77AF">
        <w:t xml:space="preserve"> de </w:t>
      </w:r>
      <w:r w:rsidR="5805E1D7" w:rsidRPr="007E77AF">
        <w:t>i</w:t>
      </w:r>
      <w:r w:rsidR="0228E73E" w:rsidRPr="007E77AF">
        <w:t>nício</w:t>
      </w:r>
      <w:r w:rsidR="004D44BB" w:rsidRPr="007E77AF">
        <w:t xml:space="preserve"> </w:t>
      </w:r>
      <w:r w:rsidR="001630AF" w:rsidRPr="007E77AF">
        <w:t xml:space="preserve">de </w:t>
      </w:r>
      <w:r w:rsidR="0469E6F9" w:rsidRPr="007E77AF">
        <w:t>d</w:t>
      </w:r>
      <w:r w:rsidR="001630AF" w:rsidRPr="007E77AF">
        <w:t xml:space="preserve">istribuição </w:t>
      </w:r>
      <w:r w:rsidR="004D44BB" w:rsidRPr="007E77AF">
        <w:t>e do</w:t>
      </w:r>
      <w:r w:rsidR="003340AB" w:rsidRPr="007E77AF">
        <w:t xml:space="preserve"> </w:t>
      </w:r>
      <w:r w:rsidR="6E751EE1" w:rsidRPr="007E77AF">
        <w:t>p</w:t>
      </w:r>
      <w:r w:rsidR="003340AB" w:rsidRPr="007E77AF">
        <w:t xml:space="preserve">rospecto </w:t>
      </w:r>
      <w:r w:rsidR="54B693B9" w:rsidRPr="007E77AF">
        <w:t>d</w:t>
      </w:r>
      <w:r w:rsidR="003340AB" w:rsidRPr="007E77AF">
        <w:t>efinitivo</w:t>
      </w:r>
      <w:r w:rsidRPr="007E77AF">
        <w:t>, sem quaisquer restrições para sua cópia e em formato digital que permita a busca de palavras e termos.</w:t>
      </w:r>
    </w:p>
    <w:p w14:paraId="5BF384CD" w14:textId="3A49D63E" w:rsidR="00D74986" w:rsidRPr="007E77AF" w:rsidRDefault="00901079" w:rsidP="00D74986">
      <w:pPr>
        <w:spacing w:before="120" w:after="120" w:line="312" w:lineRule="auto"/>
        <w:ind w:firstLine="567"/>
        <w:jc w:val="both"/>
      </w:pPr>
      <w:r w:rsidRPr="007E77AF">
        <w:t>§ 3</w:t>
      </w:r>
      <w:proofErr w:type="gramStart"/>
      <w:r w:rsidRPr="007E77AF">
        <w:t xml:space="preserve">º </w:t>
      </w:r>
      <w:r w:rsidR="27D4DA5B" w:rsidRPr="007E77AF">
        <w:t xml:space="preserve"> </w:t>
      </w:r>
      <w:r w:rsidRPr="007E77AF">
        <w:t>O</w:t>
      </w:r>
      <w:proofErr w:type="gramEnd"/>
      <w:r w:rsidRPr="007E77AF">
        <w:t xml:space="preserve"> </w:t>
      </w:r>
      <w:r w:rsidR="140C950D" w:rsidRPr="007E77AF">
        <w:t>a</w:t>
      </w:r>
      <w:r w:rsidR="7C5A7064" w:rsidRPr="007E77AF">
        <w:t>núncio</w:t>
      </w:r>
      <w:r w:rsidRPr="007E77AF">
        <w:t xml:space="preserve"> de </w:t>
      </w:r>
      <w:r w:rsidR="555BB4EA" w:rsidRPr="007E77AF">
        <w:t>i</w:t>
      </w:r>
      <w:r w:rsidRPr="007E77AF">
        <w:t xml:space="preserve">nício de </w:t>
      </w:r>
      <w:r w:rsidR="7F12DBE7" w:rsidRPr="007E77AF">
        <w:t>d</w:t>
      </w:r>
      <w:r w:rsidRPr="007E77AF">
        <w:t xml:space="preserve">istribuição é um aviso resumido que </w:t>
      </w:r>
      <w:r w:rsidR="00B51FA0" w:rsidRPr="007E77AF">
        <w:t xml:space="preserve">comunica o início da distribuição e </w:t>
      </w:r>
      <w:r w:rsidRPr="007E77AF">
        <w:t xml:space="preserve">dá ampla divulgação ao </w:t>
      </w:r>
      <w:r w:rsidR="00B51FA0" w:rsidRPr="007E77AF">
        <w:t>prospecto definitivo</w:t>
      </w:r>
      <w:r w:rsidR="002B31E3" w:rsidRPr="007E77AF">
        <w:t xml:space="preserve">, </w:t>
      </w:r>
      <w:r w:rsidR="005A229C" w:rsidRPr="007E77AF">
        <w:t>nos casos em que</w:t>
      </w:r>
      <w:r w:rsidR="00F149A5" w:rsidRPr="007E77AF">
        <w:t xml:space="preserve"> tal documento é exigido</w:t>
      </w:r>
      <w:r w:rsidR="0053736D" w:rsidRPr="007E77AF">
        <w:t xml:space="preserve"> por esta Resolução</w:t>
      </w:r>
      <w:r w:rsidR="00B51FA0" w:rsidRPr="007E77AF">
        <w:t>, devendo</w:t>
      </w:r>
      <w:r w:rsidRPr="007E77AF">
        <w:t xml:space="preserve"> conter, no máximo, as seguintes informações:</w:t>
      </w:r>
    </w:p>
    <w:p w14:paraId="355EDD4D" w14:textId="77777777" w:rsidR="00D74986" w:rsidRPr="007E77AF" w:rsidRDefault="00901079" w:rsidP="00D74986">
      <w:pPr>
        <w:spacing w:before="120" w:after="120" w:line="312" w:lineRule="auto"/>
        <w:ind w:firstLine="567"/>
        <w:jc w:val="both"/>
      </w:pPr>
      <w:r w:rsidRPr="007E77AF">
        <w:t xml:space="preserve">I – </w:t>
      </w:r>
      <w:proofErr w:type="gramStart"/>
      <w:r w:rsidRPr="007E77AF">
        <w:t>o</w:t>
      </w:r>
      <w:proofErr w:type="gramEnd"/>
      <w:r w:rsidRPr="007E77AF">
        <w:t xml:space="preserve"> valor mobiliário ofertado e identificação do ofertante;</w:t>
      </w:r>
    </w:p>
    <w:p w14:paraId="6075A5D7" w14:textId="18C1A0C6" w:rsidR="00D74986" w:rsidRPr="007E77AF" w:rsidRDefault="00901079" w:rsidP="00D74986">
      <w:pPr>
        <w:spacing w:before="120" w:after="120" w:line="312" w:lineRule="auto"/>
        <w:ind w:firstLine="567"/>
        <w:jc w:val="both"/>
      </w:pPr>
      <w:r w:rsidRPr="007E77AF">
        <w:t xml:space="preserve">II – </w:t>
      </w:r>
      <w:proofErr w:type="gramStart"/>
      <w:r w:rsidRPr="007E77AF">
        <w:t>a</w:t>
      </w:r>
      <w:proofErr w:type="gramEnd"/>
      <w:r w:rsidRPr="007E77AF">
        <w:t xml:space="preserve"> i</w:t>
      </w:r>
      <w:r w:rsidRPr="007E77AF">
        <w:rPr>
          <w:rFonts w:cs="Calibri"/>
        </w:rPr>
        <w:t>ndicação d</w:t>
      </w:r>
      <w:r w:rsidR="001562CF" w:rsidRPr="007E77AF">
        <w:rPr>
          <w:rFonts w:cs="Calibri"/>
        </w:rPr>
        <w:t>a</w:t>
      </w:r>
      <w:r w:rsidRPr="007E77AF">
        <w:rPr>
          <w:rFonts w:cs="Calibri"/>
        </w:rPr>
        <w:t xml:space="preserve"> </w:t>
      </w:r>
      <w:r w:rsidR="001562CF" w:rsidRPr="007E77AF">
        <w:rPr>
          <w:rFonts w:cs="Calibri"/>
        </w:rPr>
        <w:t>forma de</w:t>
      </w:r>
      <w:r w:rsidRPr="007E77AF">
        <w:rPr>
          <w:rFonts w:cs="Calibri"/>
        </w:rPr>
        <w:t xml:space="preserve"> obtenção do </w:t>
      </w:r>
      <w:r w:rsidR="3CBD9F3E" w:rsidRPr="007E77AF">
        <w:rPr>
          <w:rFonts w:cs="Calibri"/>
        </w:rPr>
        <w:t>p</w:t>
      </w:r>
      <w:r w:rsidRPr="007E77AF">
        <w:rPr>
          <w:rFonts w:cs="Calibri"/>
        </w:rPr>
        <w:t xml:space="preserve">rospecto </w:t>
      </w:r>
      <w:r w:rsidR="7C563E9A" w:rsidRPr="007E77AF">
        <w:rPr>
          <w:rFonts w:cs="Calibri"/>
        </w:rPr>
        <w:t>d</w:t>
      </w:r>
      <w:r w:rsidR="00FB6CCD" w:rsidRPr="007E77AF">
        <w:rPr>
          <w:rFonts w:cs="Calibri"/>
        </w:rPr>
        <w:t xml:space="preserve">efinitivo </w:t>
      </w:r>
      <w:r w:rsidRPr="007E77AF">
        <w:rPr>
          <w:rFonts w:cs="Calibri"/>
        </w:rPr>
        <w:t xml:space="preserve">e da </w:t>
      </w:r>
      <w:r w:rsidR="00494021" w:rsidRPr="007E77AF">
        <w:t>lâmina da oferta</w:t>
      </w:r>
      <w:r w:rsidR="7CE3F5C4" w:rsidRPr="007E77AF">
        <w:t>, observado o inciso VI</w:t>
      </w:r>
      <w:r w:rsidR="00EC1266" w:rsidRPr="007E77AF">
        <w:t>I</w:t>
      </w:r>
      <w:r w:rsidRPr="007E77AF">
        <w:t>;</w:t>
      </w:r>
    </w:p>
    <w:p w14:paraId="449A6694" w14:textId="3C9ADBCC" w:rsidR="00D74986" w:rsidRPr="007E77AF" w:rsidRDefault="00901079" w:rsidP="00D74986">
      <w:pPr>
        <w:spacing w:before="120" w:after="120" w:line="312" w:lineRule="auto"/>
        <w:ind w:firstLine="567"/>
        <w:jc w:val="both"/>
      </w:pPr>
      <w:r w:rsidRPr="007E77AF">
        <w:t xml:space="preserve">III – o </w:t>
      </w:r>
      <w:r w:rsidR="002F16A3" w:rsidRPr="007E77AF">
        <w:t>rito de registro</w:t>
      </w:r>
      <w:r w:rsidRPr="007E77AF">
        <w:t xml:space="preserve"> de distribuição adotado;</w:t>
      </w:r>
    </w:p>
    <w:p w14:paraId="7311A3D2" w14:textId="50E827CC" w:rsidR="006C3251" w:rsidRPr="007E77AF" w:rsidRDefault="006C3251" w:rsidP="00D74986">
      <w:pPr>
        <w:spacing w:before="120" w:after="120" w:line="312" w:lineRule="auto"/>
        <w:ind w:firstLine="567"/>
        <w:jc w:val="both"/>
      </w:pPr>
      <w:r w:rsidRPr="007E77AF">
        <w:t xml:space="preserve">IV – </w:t>
      </w:r>
      <w:proofErr w:type="gramStart"/>
      <w:r w:rsidR="00620A1A" w:rsidRPr="007E77AF">
        <w:t>o</w:t>
      </w:r>
      <w:proofErr w:type="gramEnd"/>
      <w:r w:rsidR="00620A1A" w:rsidRPr="007E77AF">
        <w:t xml:space="preserve"> </w:t>
      </w:r>
      <w:r w:rsidRPr="007E77AF">
        <w:t>cronograma da oferta;</w:t>
      </w:r>
    </w:p>
    <w:p w14:paraId="2323FE2B" w14:textId="1E2DD926" w:rsidR="00D74986" w:rsidRPr="007E77AF" w:rsidRDefault="00FB6CCD" w:rsidP="00D74986">
      <w:pPr>
        <w:spacing w:before="120" w:after="120" w:line="312" w:lineRule="auto"/>
        <w:ind w:firstLine="567"/>
        <w:jc w:val="both"/>
      </w:pPr>
      <w:r w:rsidRPr="007E77AF">
        <w:t>V</w:t>
      </w:r>
      <w:r w:rsidR="66009430" w:rsidRPr="007E77AF">
        <w:t xml:space="preserve"> –</w:t>
      </w:r>
      <w:r w:rsidRPr="007E77AF">
        <w:t xml:space="preserve"> </w:t>
      </w:r>
      <w:proofErr w:type="gramStart"/>
      <w:r w:rsidRPr="007E77AF">
        <w:t>esclarecimento</w:t>
      </w:r>
      <w:proofErr w:type="gramEnd"/>
      <w:r w:rsidRPr="007E77AF">
        <w:t xml:space="preserve"> de que maiores informações sobre a distribuição </w:t>
      </w:r>
      <w:r w:rsidR="46C4E099" w:rsidRPr="007E77AF">
        <w:t>podem</w:t>
      </w:r>
      <w:r w:rsidRPr="007E77AF">
        <w:t xml:space="preserve"> ser obtidas com </w:t>
      </w:r>
      <w:r w:rsidR="00EA5855">
        <w:t>os coordenadores</w:t>
      </w:r>
      <w:r w:rsidRPr="007E77AF">
        <w:t xml:space="preserve"> e demais </w:t>
      </w:r>
      <w:r w:rsidR="48E12616" w:rsidRPr="007E77AF">
        <w:t>i</w:t>
      </w:r>
      <w:r w:rsidRPr="007E77AF">
        <w:t xml:space="preserve">nstituições </w:t>
      </w:r>
      <w:r w:rsidR="00593C96">
        <w:t>participantes</w:t>
      </w:r>
      <w:r w:rsidR="24D2198E" w:rsidRPr="007E77AF">
        <w:t xml:space="preserve"> do consórcio de distribuição</w:t>
      </w:r>
      <w:r w:rsidRPr="007E77AF">
        <w:t xml:space="preserve">, ou </w:t>
      </w:r>
      <w:r w:rsidR="7D02B2A1" w:rsidRPr="007E77AF">
        <w:t>com a</w:t>
      </w:r>
      <w:r w:rsidRPr="007E77AF">
        <w:t xml:space="preserve"> CVM;</w:t>
      </w:r>
    </w:p>
    <w:p w14:paraId="7CB67779" w14:textId="5FF058ED" w:rsidR="00D74986" w:rsidRPr="007E77AF" w:rsidRDefault="00FB6CCD" w:rsidP="00D74986">
      <w:pPr>
        <w:spacing w:before="120" w:after="120" w:line="312" w:lineRule="auto"/>
        <w:ind w:firstLine="567"/>
        <w:jc w:val="both"/>
      </w:pPr>
      <w:r w:rsidRPr="007E77AF">
        <w:t>V</w:t>
      </w:r>
      <w:r w:rsidR="006C3251" w:rsidRPr="007E77AF">
        <w:t>I</w:t>
      </w:r>
      <w:r w:rsidR="52152CCB" w:rsidRPr="007E77AF">
        <w:t xml:space="preserve"> –</w:t>
      </w:r>
      <w:r w:rsidRPr="007E77AF">
        <w:t xml:space="preserve"> número e data do registro na CVM, de forma destacada;</w:t>
      </w:r>
      <w:r w:rsidR="00115A18" w:rsidRPr="007E77AF">
        <w:t xml:space="preserve"> </w:t>
      </w:r>
      <w:r w:rsidRPr="007E77AF">
        <w:t>e</w:t>
      </w:r>
    </w:p>
    <w:p w14:paraId="1CE252A3" w14:textId="229058F0" w:rsidR="00203173" w:rsidRPr="007E77AF" w:rsidRDefault="00901079" w:rsidP="00D74986">
      <w:pPr>
        <w:spacing w:before="120" w:after="120" w:line="312" w:lineRule="auto"/>
        <w:ind w:firstLine="567"/>
        <w:jc w:val="both"/>
      </w:pPr>
      <w:r w:rsidRPr="007E77AF">
        <w:t>V</w:t>
      </w:r>
      <w:r w:rsidR="1A26C41F" w:rsidRPr="007E77AF">
        <w:t>I</w:t>
      </w:r>
      <w:r w:rsidR="006C3251" w:rsidRPr="007E77AF">
        <w:t>I</w:t>
      </w:r>
      <w:r w:rsidRPr="007E77AF">
        <w:t xml:space="preserve"> – </w:t>
      </w:r>
      <w:r w:rsidR="00FB6CCD" w:rsidRPr="007E77AF">
        <w:t>se for o caso de oferta destinada exclusivamente a investidores profissionais o seguinte aviso</w:t>
      </w:r>
      <w:r w:rsidR="312ACFA4" w:rsidRPr="007E77AF">
        <w:t>:</w:t>
      </w:r>
      <w:r w:rsidRPr="007E77AF">
        <w:t xml:space="preserve"> “Foi dispensada divulgação de um prospecto para a realização d</w:t>
      </w:r>
      <w:r w:rsidR="37B6AC8B" w:rsidRPr="007E77AF">
        <w:t>est</w:t>
      </w:r>
      <w:r w:rsidRPr="007E77AF">
        <w:t>a oferta”</w:t>
      </w:r>
      <w:r w:rsidR="00FB6CCD" w:rsidRPr="007E77AF">
        <w:t>.</w:t>
      </w:r>
    </w:p>
    <w:p w14:paraId="38509B54" w14:textId="7CC772AE" w:rsidR="00D74986" w:rsidRPr="007E77AF" w:rsidRDefault="009F4083" w:rsidP="00D74986">
      <w:pPr>
        <w:spacing w:before="120" w:after="120" w:line="312" w:lineRule="auto"/>
        <w:ind w:firstLine="567"/>
        <w:jc w:val="both"/>
      </w:pPr>
      <w:r w:rsidRPr="007E77AF">
        <w:t xml:space="preserve">§ </w:t>
      </w:r>
      <w:r w:rsidR="00901079" w:rsidRPr="007E77AF">
        <w:t>4</w:t>
      </w:r>
      <w:proofErr w:type="gramStart"/>
      <w:r w:rsidR="009F60AF" w:rsidRPr="007E77AF">
        <w:t>º</w:t>
      </w:r>
      <w:r w:rsidR="00337EE0" w:rsidRPr="007E77AF">
        <w:t xml:space="preserve">  </w:t>
      </w:r>
      <w:r w:rsidR="00803893" w:rsidRPr="007E77AF">
        <w:t>A</w:t>
      </w:r>
      <w:proofErr w:type="gramEnd"/>
      <w:r w:rsidR="00080754" w:rsidRPr="007E77AF">
        <w:t xml:space="preserve"> </w:t>
      </w:r>
      <w:r w:rsidR="00EE12D9" w:rsidRPr="007E77AF">
        <w:t xml:space="preserve">oferta </w:t>
      </w:r>
      <w:r w:rsidR="00080754" w:rsidRPr="007E77AF">
        <w:t xml:space="preserve">submetida a registro </w:t>
      </w:r>
      <w:r w:rsidR="00EE12D9" w:rsidRPr="007E77AF">
        <w:t xml:space="preserve">automático </w:t>
      </w:r>
      <w:r w:rsidR="00D4311A" w:rsidRPr="007E77AF">
        <w:t xml:space="preserve">na qual não tenha havido </w:t>
      </w:r>
      <w:r w:rsidR="00F20B25" w:rsidRPr="007E77AF">
        <w:t xml:space="preserve">o período de oferta a mercado </w:t>
      </w:r>
      <w:r w:rsidR="00EE12D9" w:rsidRPr="007E77AF">
        <w:t xml:space="preserve">deve </w:t>
      </w:r>
      <w:r w:rsidR="00F20B25" w:rsidRPr="007E77AF">
        <w:t xml:space="preserve">permanecer em </w:t>
      </w:r>
      <w:r w:rsidR="002F16A3" w:rsidRPr="007E77AF">
        <w:t>distribuição</w:t>
      </w:r>
      <w:r w:rsidR="00F20B25" w:rsidRPr="007E77AF">
        <w:t xml:space="preserve"> por </w:t>
      </w:r>
      <w:r w:rsidR="00EE12D9" w:rsidRPr="007E77AF">
        <w:t xml:space="preserve">pelo menos </w:t>
      </w:r>
      <w:r w:rsidR="0059777C" w:rsidRPr="007E77AF">
        <w:t xml:space="preserve">3 </w:t>
      </w:r>
      <w:r w:rsidR="00EE12D9" w:rsidRPr="007E77AF">
        <w:t>(</w:t>
      </w:r>
      <w:r w:rsidR="0059777C" w:rsidRPr="007E77AF">
        <w:t>três</w:t>
      </w:r>
      <w:r w:rsidR="00EE12D9" w:rsidRPr="007E77AF">
        <w:t>) dias úteis</w:t>
      </w:r>
      <w:r w:rsidR="006E4585" w:rsidRPr="007E77AF">
        <w:t xml:space="preserve">, </w:t>
      </w:r>
      <w:r w:rsidR="00D4121F" w:rsidRPr="007E77AF">
        <w:t xml:space="preserve">exceto </w:t>
      </w:r>
      <w:r w:rsidR="006E4585" w:rsidRPr="007E77AF">
        <w:t xml:space="preserve">se todos os valores mobiliários </w:t>
      </w:r>
      <w:r w:rsidR="009D4A50" w:rsidRPr="007E77AF">
        <w:t>objeto da oferta tiverem sido distribuídos</w:t>
      </w:r>
      <w:r w:rsidR="00B54D57" w:rsidRPr="007E77AF">
        <w:t xml:space="preserve">, </w:t>
      </w:r>
      <w:r w:rsidR="00D4121F" w:rsidRPr="007E77AF">
        <w:t xml:space="preserve">sem </w:t>
      </w:r>
      <w:r w:rsidR="001A67BC" w:rsidRPr="007E77AF">
        <w:t xml:space="preserve">que isso tenha decorrido do </w:t>
      </w:r>
      <w:r w:rsidR="001C2758" w:rsidRPr="007E77AF">
        <w:t>exercício de garantia firme</w:t>
      </w:r>
      <w:r w:rsidR="00EE12D9" w:rsidRPr="007E77AF">
        <w:t>.</w:t>
      </w:r>
    </w:p>
    <w:p w14:paraId="07197C05" w14:textId="39F2EFE4" w:rsidR="00D74986" w:rsidRPr="007E77AF" w:rsidRDefault="009303EE" w:rsidP="006B018B">
      <w:pPr>
        <w:pStyle w:val="Seo"/>
      </w:pPr>
      <w:bookmarkStart w:id="240" w:name="_Toc467256288"/>
      <w:bookmarkStart w:id="241" w:name="_Toc476216338"/>
      <w:bookmarkStart w:id="242" w:name="_Toc108516059"/>
      <w:bookmarkStart w:id="243" w:name="_Toc108203090"/>
      <w:bookmarkStart w:id="244" w:name="_Toc136502830"/>
      <w:r w:rsidRPr="007E77AF">
        <w:lastRenderedPageBreak/>
        <w:t xml:space="preserve">Seção </w:t>
      </w:r>
      <w:r w:rsidR="002F429B" w:rsidRPr="007E77AF">
        <w:t>V</w:t>
      </w:r>
      <w:r w:rsidRPr="007E77AF">
        <w:t xml:space="preserve">I </w:t>
      </w:r>
      <w:r w:rsidR="0051636E" w:rsidRPr="007E77AF">
        <w:t>–</w:t>
      </w:r>
      <w:r w:rsidR="00002143" w:rsidRPr="007E77AF">
        <w:t xml:space="preserve"> </w:t>
      </w:r>
      <w:r w:rsidR="008B72EC" w:rsidRPr="007E77AF">
        <w:t xml:space="preserve">Apresentações para </w:t>
      </w:r>
      <w:r w:rsidR="00807352" w:rsidRPr="007E77AF">
        <w:t>I</w:t>
      </w:r>
      <w:r w:rsidR="008B72EC" w:rsidRPr="007E77AF">
        <w:t>nvestidores</w:t>
      </w:r>
      <w:bookmarkEnd w:id="240"/>
      <w:bookmarkEnd w:id="241"/>
      <w:bookmarkEnd w:id="242"/>
      <w:bookmarkEnd w:id="243"/>
      <w:bookmarkEnd w:id="244"/>
    </w:p>
    <w:p w14:paraId="042602EE" w14:textId="0A9E205D" w:rsidR="00D74986" w:rsidRPr="007E77AF" w:rsidRDefault="009069A1" w:rsidP="001353DC">
      <w:pPr>
        <w:spacing w:before="120" w:after="120" w:line="312" w:lineRule="auto"/>
        <w:ind w:firstLine="567"/>
        <w:jc w:val="both"/>
      </w:pPr>
      <w:bookmarkStart w:id="245" w:name="_Ref464391110"/>
      <w:r w:rsidRPr="007E77AF">
        <w:t xml:space="preserve">Art. </w:t>
      </w:r>
      <w:r w:rsidR="00D22E51">
        <w:t>60</w:t>
      </w:r>
      <w:r w:rsidR="05E9A5DA" w:rsidRPr="007E77AF">
        <w:t xml:space="preserve">.  Os documentos de suporte a apresentações oferecidas a investidores devem ser divulgados pelo ofertante e </w:t>
      </w:r>
      <w:r w:rsidR="0048474D">
        <w:t>pelos coordenadores</w:t>
      </w:r>
      <w:r w:rsidR="05E9A5DA" w:rsidRPr="007E77AF">
        <w:t xml:space="preserve">, </w:t>
      </w:r>
      <w:r w:rsidR="1715224C" w:rsidRPr="007E77AF">
        <w:t xml:space="preserve">nos locais elencados no art. </w:t>
      </w:r>
      <w:r w:rsidR="0086760A" w:rsidRPr="007E77AF">
        <w:t>13</w:t>
      </w:r>
      <w:r w:rsidR="05E9A5DA" w:rsidRPr="007E77AF">
        <w:t xml:space="preserve">, </w:t>
      </w:r>
      <w:r w:rsidR="00BD6579">
        <w:t>I e III</w:t>
      </w:r>
      <w:r w:rsidR="05E9A5DA" w:rsidRPr="007E77AF">
        <w:t xml:space="preserve">, até </w:t>
      </w:r>
      <w:r w:rsidR="002F16A3" w:rsidRPr="007E77AF">
        <w:t xml:space="preserve">1 </w:t>
      </w:r>
      <w:r w:rsidR="7EE1A16E" w:rsidRPr="007E77AF">
        <w:t>(</w:t>
      </w:r>
      <w:r w:rsidR="002F16A3" w:rsidRPr="007E77AF">
        <w:t>um</w:t>
      </w:r>
      <w:r w:rsidR="7EE1A16E" w:rsidRPr="007E77AF">
        <w:t xml:space="preserve">) </w:t>
      </w:r>
      <w:r w:rsidR="05E9A5DA" w:rsidRPr="007E77AF">
        <w:t>dia após a sua utilização.</w:t>
      </w:r>
      <w:bookmarkEnd w:id="245"/>
    </w:p>
    <w:p w14:paraId="6E059839" w14:textId="09B20ABB" w:rsidR="00D74986" w:rsidRPr="007E77AF" w:rsidRDefault="005442C1" w:rsidP="00D74986">
      <w:pPr>
        <w:keepNext/>
        <w:spacing w:before="120" w:after="120" w:line="312" w:lineRule="auto"/>
        <w:ind w:firstLine="567"/>
        <w:jc w:val="both"/>
      </w:pPr>
      <w:r w:rsidRPr="007E77AF">
        <w:t>§ 1</w:t>
      </w:r>
      <w:proofErr w:type="gramStart"/>
      <w:r w:rsidRPr="007E77AF">
        <w:t>º</w:t>
      </w:r>
      <w:r w:rsidR="00FE4280" w:rsidRPr="007E77AF">
        <w:t xml:space="preserve"> </w:t>
      </w:r>
      <w:r w:rsidR="4EDAC50C" w:rsidRPr="007E77AF">
        <w:t xml:space="preserve"> </w:t>
      </w:r>
      <w:r w:rsidR="00FE4280" w:rsidRPr="007E77AF">
        <w:t>Aplicam</w:t>
      </w:r>
      <w:proofErr w:type="gramEnd"/>
      <w:r w:rsidR="00FE4280" w:rsidRPr="007E77AF">
        <w:t xml:space="preserve">-se </w:t>
      </w:r>
      <w:r w:rsidR="53082797" w:rsidRPr="007E77AF">
        <w:t>as</w:t>
      </w:r>
      <w:r w:rsidR="00FE4280" w:rsidRPr="007E77AF">
        <w:t xml:space="preserve"> exigências d</w:t>
      </w:r>
      <w:r w:rsidR="00B64542" w:rsidRPr="007E77AF">
        <w:t>o</w:t>
      </w:r>
      <w:r w:rsidR="00FE4280" w:rsidRPr="007E77AF">
        <w:t xml:space="preserve"> </w:t>
      </w:r>
      <w:r w:rsidR="00C45B31" w:rsidRPr="007E77AF">
        <w:t xml:space="preserve">art. </w:t>
      </w:r>
      <w:r w:rsidR="0086760A" w:rsidRPr="007E77AF">
        <w:t>12</w:t>
      </w:r>
      <w:r w:rsidR="00C45B31" w:rsidRPr="007E77AF">
        <w:t xml:space="preserve"> </w:t>
      </w:r>
      <w:r w:rsidR="00FE4280" w:rsidRPr="007E77AF">
        <w:t xml:space="preserve">aos documentos de suporte </w:t>
      </w:r>
      <w:r w:rsidR="00367DC1" w:rsidRPr="007E77AF">
        <w:t xml:space="preserve">de </w:t>
      </w:r>
      <w:r w:rsidR="00FE4280" w:rsidRPr="007E77AF">
        <w:t xml:space="preserve">apresentações </w:t>
      </w:r>
      <w:r w:rsidR="00367DC1" w:rsidRPr="007E77AF">
        <w:t xml:space="preserve">realizadas junto </w:t>
      </w:r>
      <w:r w:rsidR="00FE4280" w:rsidRPr="007E77AF">
        <w:t>a investidores.</w:t>
      </w:r>
    </w:p>
    <w:p w14:paraId="25235DEC" w14:textId="5CBF4F04" w:rsidR="00D74986" w:rsidRPr="007E77AF" w:rsidRDefault="00A36A7B" w:rsidP="00D74986">
      <w:pPr>
        <w:spacing w:before="120" w:after="120" w:line="312" w:lineRule="auto"/>
        <w:ind w:firstLine="567"/>
        <w:jc w:val="both"/>
      </w:pPr>
      <w:r w:rsidRPr="007E77AF">
        <w:t>§ 2</w:t>
      </w:r>
      <w:proofErr w:type="gramStart"/>
      <w:r w:rsidRPr="007E77AF">
        <w:t xml:space="preserve">º </w:t>
      </w:r>
      <w:r w:rsidR="005442C1" w:rsidRPr="007E77AF">
        <w:t xml:space="preserve"> </w:t>
      </w:r>
      <w:r w:rsidR="36CD01E2" w:rsidRPr="007E77AF">
        <w:t>A</w:t>
      </w:r>
      <w:proofErr w:type="gramEnd"/>
      <w:r w:rsidRPr="007E77AF">
        <w:t xml:space="preserve"> </w:t>
      </w:r>
      <w:r w:rsidR="100B241B" w:rsidRPr="007E77AF">
        <w:t>exigência</w:t>
      </w:r>
      <w:r w:rsidR="009D4C39" w:rsidRPr="007E77AF">
        <w:t xml:space="preserve"> constante do </w:t>
      </w:r>
      <w:r w:rsidR="009D4C39" w:rsidRPr="007E77AF">
        <w:rPr>
          <w:b/>
          <w:bCs/>
        </w:rPr>
        <w:t>caput</w:t>
      </w:r>
      <w:r w:rsidRPr="007E77AF">
        <w:t xml:space="preserve"> deste artigo não se aplica </w:t>
      </w:r>
      <w:r w:rsidR="00DA7FF5">
        <w:t>às</w:t>
      </w:r>
      <w:r w:rsidRPr="007E77AF">
        <w:t xml:space="preserve"> ofertas destinadas exclusivamente a investidores profissionais</w:t>
      </w:r>
      <w:r w:rsidR="090C824B" w:rsidRPr="007E77AF">
        <w:t>,</w:t>
      </w:r>
      <w:r w:rsidRPr="007E77AF">
        <w:t xml:space="preserve"> </w:t>
      </w:r>
      <w:r w:rsidR="005442C1" w:rsidRPr="007E77AF">
        <w:t>exceto quando se tratar de oferta subsequente de distribuição de ações, bônus de subscrição, debêntures conversíveis ou permutáveis em ações e de certificados de depósito sobre estes valores mobiliários</w:t>
      </w:r>
      <w:r w:rsidR="00BB0D4F" w:rsidRPr="007E77AF">
        <w:t xml:space="preserve"> </w:t>
      </w:r>
      <w:r w:rsidR="00CB6819" w:rsidRPr="007E77AF">
        <w:t xml:space="preserve">ou </w:t>
      </w:r>
      <w:r w:rsidR="00A95B71" w:rsidRPr="007E77AF">
        <w:t xml:space="preserve">a distribuição contar </w:t>
      </w:r>
      <w:r w:rsidR="00663414" w:rsidRPr="007E77AF">
        <w:rPr>
          <w:rFonts w:cstheme="minorHAnsi"/>
        </w:rPr>
        <w:t>com o exercício do direito de preferência</w:t>
      </w:r>
      <w:r w:rsidR="00663414" w:rsidRPr="007E77AF">
        <w:t xml:space="preserve"> </w:t>
      </w:r>
      <w:r w:rsidR="008C4F35" w:rsidRPr="007E77AF">
        <w:t xml:space="preserve"> ou </w:t>
      </w:r>
      <w:r w:rsidR="00A95B71" w:rsidRPr="007E77AF">
        <w:t xml:space="preserve">com oferta prioritária </w:t>
      </w:r>
      <w:r w:rsidR="00F16EAF" w:rsidRPr="007E77AF">
        <w:t>destinada aos atuais detentores d</w:t>
      </w:r>
      <w:r w:rsidR="00BE6EDC" w:rsidRPr="007E77AF">
        <w:t>os</w:t>
      </w:r>
      <w:r w:rsidR="00F16EAF" w:rsidRPr="007E77AF">
        <w:t xml:space="preserve"> valores mo</w:t>
      </w:r>
      <w:r w:rsidR="007D5A92" w:rsidRPr="007E77AF">
        <w:t>b</w:t>
      </w:r>
      <w:r w:rsidR="00F16EAF" w:rsidRPr="007E77AF">
        <w:t>ili</w:t>
      </w:r>
      <w:r w:rsidR="00486117" w:rsidRPr="007E77AF">
        <w:t>á</w:t>
      </w:r>
      <w:r w:rsidR="00F16EAF" w:rsidRPr="007E77AF">
        <w:t>rios</w:t>
      </w:r>
      <w:r w:rsidR="005442C1" w:rsidRPr="007E77AF">
        <w:t>.</w:t>
      </w:r>
    </w:p>
    <w:p w14:paraId="7DF00C3D" w14:textId="7EA63C30" w:rsidR="00D74986" w:rsidRPr="007E77AF" w:rsidRDefault="00234551" w:rsidP="00D74986">
      <w:pPr>
        <w:spacing w:before="120" w:after="120" w:line="312" w:lineRule="auto"/>
        <w:ind w:firstLine="567"/>
        <w:jc w:val="both"/>
      </w:pPr>
      <w:r w:rsidRPr="007E77AF">
        <w:t>§ 3</w:t>
      </w:r>
      <w:proofErr w:type="gramStart"/>
      <w:r w:rsidRPr="007E77AF">
        <w:t>º  A</w:t>
      </w:r>
      <w:proofErr w:type="gramEnd"/>
      <w:r w:rsidR="002E5E06" w:rsidRPr="007E77AF">
        <w:t xml:space="preserve"> divulgação de vídeos das apresentações </w:t>
      </w:r>
      <w:r w:rsidR="3D339846" w:rsidRPr="007E77AF">
        <w:t>realizadas par</w:t>
      </w:r>
      <w:r w:rsidRPr="007E77AF">
        <w:t>a investidores</w:t>
      </w:r>
      <w:r w:rsidR="00B9667E" w:rsidRPr="007E77AF">
        <w:t xml:space="preserve"> é</w:t>
      </w:r>
      <w:r w:rsidR="00884780" w:rsidRPr="007E77AF">
        <w:t xml:space="preserve"> facultativa</w:t>
      </w:r>
      <w:r w:rsidRPr="007E77AF">
        <w:rPr>
          <w:bCs/>
        </w:rPr>
        <w:t>,</w:t>
      </w:r>
      <w:r w:rsidR="00B9667E" w:rsidRPr="007E77AF">
        <w:rPr>
          <w:bCs/>
        </w:rPr>
        <w:t xml:space="preserve"> </w:t>
      </w:r>
      <w:r w:rsidR="001C7515" w:rsidRPr="007E77AF">
        <w:t>sem prejuízo</w:t>
      </w:r>
      <w:r w:rsidR="00884780" w:rsidRPr="007E77AF">
        <w:rPr>
          <w:bCs/>
        </w:rPr>
        <w:t xml:space="preserve"> </w:t>
      </w:r>
      <w:r w:rsidR="001C7515" w:rsidRPr="007E77AF">
        <w:t>do dispost</w:t>
      </w:r>
      <w:r w:rsidR="00A95987" w:rsidRPr="007E77AF">
        <w:t xml:space="preserve">o </w:t>
      </w:r>
      <w:r w:rsidR="001C7515" w:rsidRPr="007E77AF">
        <w:t xml:space="preserve">no </w:t>
      </w:r>
      <w:r w:rsidR="00A95987" w:rsidRPr="007E77AF">
        <w:t xml:space="preserve">art. </w:t>
      </w:r>
      <w:r w:rsidR="0086760A" w:rsidRPr="007E77AF">
        <w:rPr>
          <w:bCs/>
        </w:rPr>
        <w:t>12</w:t>
      </w:r>
      <w:r w:rsidR="00A95987" w:rsidRPr="007E77AF">
        <w:rPr>
          <w:bCs/>
        </w:rPr>
        <w:t>.</w:t>
      </w:r>
    </w:p>
    <w:p w14:paraId="5138406D" w14:textId="51DA558D" w:rsidR="00D74986" w:rsidRPr="007E77AF" w:rsidRDefault="00002143" w:rsidP="006B018B">
      <w:pPr>
        <w:pStyle w:val="Seo"/>
      </w:pPr>
      <w:bookmarkStart w:id="246" w:name="_Toc467256289"/>
      <w:bookmarkStart w:id="247" w:name="_Toc476216339"/>
      <w:bookmarkStart w:id="248" w:name="_Toc108516060"/>
      <w:bookmarkStart w:id="249" w:name="_Toc108203091"/>
      <w:bookmarkStart w:id="250" w:name="_Toc136502831"/>
      <w:r w:rsidRPr="007E77AF">
        <w:t xml:space="preserve">Seção </w:t>
      </w:r>
      <w:r w:rsidR="009303EE" w:rsidRPr="007E77AF">
        <w:t>V</w:t>
      </w:r>
      <w:r w:rsidR="002F429B" w:rsidRPr="007E77AF">
        <w:t>II</w:t>
      </w:r>
      <w:r w:rsidRPr="007E77AF">
        <w:t xml:space="preserve"> </w:t>
      </w:r>
      <w:r w:rsidR="0051636E" w:rsidRPr="007E77AF">
        <w:t>–</w:t>
      </w:r>
      <w:r w:rsidR="006A3A28" w:rsidRPr="007E77AF">
        <w:t xml:space="preserve"> F</w:t>
      </w:r>
      <w:r w:rsidR="00905B12" w:rsidRPr="007E77AF">
        <w:t xml:space="preserve">ormação de </w:t>
      </w:r>
      <w:bookmarkEnd w:id="246"/>
      <w:r w:rsidR="48361911" w:rsidRPr="007E77AF">
        <w:t>P</w:t>
      </w:r>
      <w:r w:rsidR="00905B12" w:rsidRPr="007E77AF">
        <w:t>reço</w:t>
      </w:r>
      <w:bookmarkEnd w:id="247"/>
      <w:bookmarkEnd w:id="248"/>
      <w:bookmarkEnd w:id="249"/>
      <w:bookmarkEnd w:id="250"/>
    </w:p>
    <w:p w14:paraId="13C4D41D" w14:textId="2AAA074F" w:rsidR="00D74986" w:rsidRPr="007E77AF" w:rsidRDefault="009069A1" w:rsidP="001353DC">
      <w:pPr>
        <w:spacing w:before="120" w:after="120" w:line="312" w:lineRule="auto"/>
        <w:ind w:firstLine="567"/>
        <w:jc w:val="both"/>
      </w:pPr>
      <w:bookmarkStart w:id="251" w:name="_Ref467231080"/>
      <w:r w:rsidRPr="007E77AF">
        <w:t xml:space="preserve">Art. </w:t>
      </w:r>
      <w:r w:rsidR="00D22E51">
        <w:t>61</w:t>
      </w:r>
      <w:r w:rsidR="003420B5" w:rsidRPr="007E77AF">
        <w:t>.  O preço da oferta é único.</w:t>
      </w:r>
      <w:bookmarkEnd w:id="251"/>
    </w:p>
    <w:p w14:paraId="5D79B117" w14:textId="32473847" w:rsidR="00D74986" w:rsidRPr="007E77AF" w:rsidRDefault="003420B5" w:rsidP="00D74986">
      <w:pPr>
        <w:spacing w:before="120" w:after="120" w:line="312" w:lineRule="auto"/>
        <w:ind w:firstLine="567"/>
        <w:jc w:val="both"/>
      </w:pPr>
      <w:r w:rsidRPr="007E77AF">
        <w:t>§ 1</w:t>
      </w:r>
      <w:proofErr w:type="gramStart"/>
      <w:r w:rsidRPr="007E77AF">
        <w:t>º  A</w:t>
      </w:r>
      <w:proofErr w:type="gramEnd"/>
      <w:r w:rsidRPr="007E77AF">
        <w:t xml:space="preserve"> CVM pode autorizar, em operações específicas, a possibilidade de preços e condições diversos consoante tipo, espécie e classe, fixados em termos objetivos e em função de interesses legítimos do ofertante, admitido ágio ou deságio em função das condições do mercado, conforme disposto no inciso III do § 1º do art. 170 da Lei n</w:t>
      </w:r>
      <w:r w:rsidR="00B64542" w:rsidRPr="007E77AF">
        <w:t>º</w:t>
      </w:r>
      <w:r w:rsidRPr="007E77AF">
        <w:t xml:space="preserve"> 6.404, de 1976.</w:t>
      </w:r>
    </w:p>
    <w:p w14:paraId="413EC493" w14:textId="7146BDE1" w:rsidR="003420B5" w:rsidRPr="007E77AF" w:rsidRDefault="003420B5" w:rsidP="00D74986">
      <w:pPr>
        <w:spacing w:before="120" w:after="120" w:line="312" w:lineRule="auto"/>
        <w:ind w:firstLine="567"/>
        <w:jc w:val="both"/>
      </w:pPr>
      <w:r w:rsidRPr="007E77AF">
        <w:t>§ 2</w:t>
      </w:r>
      <w:proofErr w:type="gramStart"/>
      <w:r w:rsidRPr="007E77AF">
        <w:t>º  O</w:t>
      </w:r>
      <w:proofErr w:type="gramEnd"/>
      <w:r w:rsidRPr="007E77AF">
        <w:t xml:space="preserve"> ofertante</w:t>
      </w:r>
      <w:r w:rsidR="00830551">
        <w:t>,</w:t>
      </w:r>
      <w:r w:rsidRPr="007E77AF">
        <w:t xml:space="preserve"> em conjunto com </w:t>
      </w:r>
      <w:r w:rsidR="00830551">
        <w:t>os coordenadores,</w:t>
      </w:r>
      <w:r w:rsidRPr="007E77AF">
        <w:t xml:space="preserve"> pode estabelecer que o preço </w:t>
      </w:r>
      <w:r w:rsidR="007C5F80" w:rsidRPr="007E77AF">
        <w:t>ou</w:t>
      </w:r>
      <w:r w:rsidRPr="007E77AF">
        <w:t xml:space="preserve">, tratando-se de valores mobiliários representativos de dívida, a taxa de remuneração, sejam determinados </w:t>
      </w:r>
      <w:r w:rsidR="16CD0118" w:rsidRPr="007E77AF">
        <w:t>por meio</w:t>
      </w:r>
      <w:r w:rsidR="005E623D" w:rsidRPr="007E77AF">
        <w:t xml:space="preserve"> de </w:t>
      </w:r>
      <w:r w:rsidR="00864691" w:rsidRPr="007E77AF">
        <w:t xml:space="preserve">procedimento de precificação </w:t>
      </w:r>
      <w:r w:rsidR="005E623D" w:rsidRPr="007E77AF">
        <w:t>destinad</w:t>
      </w:r>
      <w:r w:rsidR="45E43267" w:rsidRPr="007E77AF">
        <w:t>o</w:t>
      </w:r>
      <w:r w:rsidR="005E623D" w:rsidRPr="007E77AF">
        <w:t xml:space="preserve"> a uma parcela (tranche) constituída exclusivamente por investidores </w:t>
      </w:r>
      <w:r w:rsidR="00793457" w:rsidRPr="007E77AF">
        <w:t>profissionais</w:t>
      </w:r>
      <w:r w:rsidRPr="007E77AF">
        <w:t xml:space="preserve">, desde que os critérios </w:t>
      </w:r>
      <w:r w:rsidR="00365F28" w:rsidRPr="007E77AF">
        <w:t>aplicáveis</w:t>
      </w:r>
      <w:r w:rsidRPr="007E77AF">
        <w:t xml:space="preserve"> a sua fixação</w:t>
      </w:r>
      <w:r w:rsidR="00EE2A69" w:rsidRPr="007E77AF">
        <w:t xml:space="preserve"> </w:t>
      </w:r>
      <w:r w:rsidRPr="007E77AF">
        <w:t>sejam indicados no prospecto preliminar.</w:t>
      </w:r>
    </w:p>
    <w:p w14:paraId="6073FFEB" w14:textId="41EF4285" w:rsidR="0077243D" w:rsidRPr="007E77AF" w:rsidRDefault="0077243D" w:rsidP="0077243D">
      <w:pPr>
        <w:spacing w:before="120" w:after="120" w:line="312" w:lineRule="auto"/>
        <w:ind w:firstLine="567"/>
        <w:jc w:val="both"/>
      </w:pPr>
      <w:r w:rsidRPr="007E77AF">
        <w:t xml:space="preserve">§ </w:t>
      </w:r>
      <w:r w:rsidR="00D22E51">
        <w:t>3</w:t>
      </w:r>
      <w:proofErr w:type="gramStart"/>
      <w:r w:rsidR="00D22E51">
        <w:t>º</w:t>
      </w:r>
      <w:r w:rsidRPr="007E77AF">
        <w:t xml:space="preserve">  Nas</w:t>
      </w:r>
      <w:proofErr w:type="gramEnd"/>
      <w:r w:rsidRPr="007E77AF">
        <w:t xml:space="preserve"> ofertas registradas </w:t>
      </w:r>
      <w:r w:rsidR="00C84F40">
        <w:t xml:space="preserve">de </w:t>
      </w:r>
      <w:r w:rsidR="00C84F40" w:rsidRPr="007E77AF">
        <w:t xml:space="preserve">debêntures não-conversíveis </w:t>
      </w:r>
      <w:r w:rsidR="007F0557">
        <w:t>e</w:t>
      </w:r>
      <w:r w:rsidR="00C84F40" w:rsidRPr="007E77AF">
        <w:t xml:space="preserve"> não-permutáveis em ações</w:t>
      </w:r>
      <w:r w:rsidR="007F0557">
        <w:t>, outros títulos representativos de dívida</w:t>
      </w:r>
      <w:r w:rsidR="00C84F40">
        <w:t xml:space="preserve"> </w:t>
      </w:r>
      <w:r w:rsidR="007F0557">
        <w:t>ou</w:t>
      </w:r>
      <w:r w:rsidR="00C84F40">
        <w:t xml:space="preserve"> de títulos de securitização</w:t>
      </w:r>
      <w:r w:rsidR="007F0557">
        <w:t xml:space="preserve">, </w:t>
      </w:r>
      <w:r w:rsidRPr="007E77AF">
        <w:t>é permitida a participação de investidores qualificados no procedimento de precificação.</w:t>
      </w:r>
    </w:p>
    <w:p w14:paraId="5C7D53B4" w14:textId="4D16DA04" w:rsidR="00864DC2" w:rsidRPr="007E77AF" w:rsidRDefault="003420B5" w:rsidP="00864DC2">
      <w:pPr>
        <w:spacing w:before="120" w:after="120" w:line="312" w:lineRule="auto"/>
        <w:ind w:firstLine="567"/>
        <w:jc w:val="both"/>
        <w:rPr>
          <w:iCs/>
        </w:rPr>
      </w:pPr>
      <w:r w:rsidRPr="007E77AF">
        <w:t xml:space="preserve">§ </w:t>
      </w:r>
      <w:r w:rsidR="00D22E51">
        <w:t>4</w:t>
      </w:r>
      <w:proofErr w:type="gramStart"/>
      <w:r w:rsidR="00D22E51" w:rsidRPr="007E77AF">
        <w:t xml:space="preserve">º  </w:t>
      </w:r>
      <w:r w:rsidR="570DDFB0" w:rsidRPr="007E77AF">
        <w:t>A</w:t>
      </w:r>
      <w:proofErr w:type="gramEnd"/>
      <w:r w:rsidR="570DDFB0" w:rsidRPr="007E77AF">
        <w:t xml:space="preserve"> determinação do preço ou</w:t>
      </w:r>
      <w:r w:rsidR="40F0AFF3" w:rsidRPr="007E77AF">
        <w:t xml:space="preserve"> </w:t>
      </w:r>
      <w:r w:rsidR="570DDFB0" w:rsidRPr="007E77AF">
        <w:t>taxa</w:t>
      </w:r>
      <w:r w:rsidR="678AB3E9" w:rsidRPr="007E77AF">
        <w:t xml:space="preserve"> </w:t>
      </w:r>
      <w:r w:rsidR="73E4DA53" w:rsidRPr="007E77AF">
        <w:t>de remuneração definitivos, quando realizada</w:t>
      </w:r>
      <w:r w:rsidRPr="007E77AF">
        <w:t xml:space="preserve"> no</w:t>
      </w:r>
      <w:r w:rsidR="6403DB08" w:rsidRPr="007E77AF">
        <w:t>s termos do</w:t>
      </w:r>
      <w:r w:rsidRPr="007E77AF">
        <w:t xml:space="preserve"> § 2º, </w:t>
      </w:r>
      <w:r w:rsidR="6C2191FD" w:rsidRPr="007E77AF">
        <w:t>pode</w:t>
      </w:r>
      <w:r w:rsidR="678AB3E9" w:rsidRPr="007E77AF">
        <w:t xml:space="preserve"> ocorrer no mesmo dia </w:t>
      </w:r>
      <w:r w:rsidR="6C2191FD" w:rsidRPr="007E77AF">
        <w:t xml:space="preserve">da realização </w:t>
      </w:r>
      <w:r w:rsidR="678AB3E9" w:rsidRPr="007E77AF">
        <w:t>do procedimento</w:t>
      </w:r>
      <w:r w:rsidR="40F0AFF3" w:rsidRPr="007E77AF">
        <w:t xml:space="preserve"> </w:t>
      </w:r>
      <w:r w:rsidR="40B5174E" w:rsidRPr="007E77AF">
        <w:t>lá referido e su</w:t>
      </w:r>
      <w:r w:rsidRPr="007E77AF">
        <w:t xml:space="preserve">a divulgação </w:t>
      </w:r>
      <w:r w:rsidR="0074A2E4" w:rsidRPr="007E77AF">
        <w:t>deve ser feita</w:t>
      </w:r>
      <w:r w:rsidRPr="007E77AF">
        <w:t xml:space="preserve"> </w:t>
      </w:r>
      <w:r w:rsidR="007627BD">
        <w:t>nos termos do art. 13</w:t>
      </w:r>
      <w:r w:rsidRPr="007E77AF">
        <w:t xml:space="preserve"> em até 1 (um) dia útil </w:t>
      </w:r>
      <w:r w:rsidR="00B24103" w:rsidRPr="007E77AF">
        <w:t>após</w:t>
      </w:r>
      <w:r w:rsidRPr="007E77AF">
        <w:t xml:space="preserve"> tal definição</w:t>
      </w:r>
      <w:r w:rsidRPr="007E77AF">
        <w:rPr>
          <w:iCs/>
        </w:rPr>
        <w:t>.</w:t>
      </w:r>
    </w:p>
    <w:p w14:paraId="48B40D0D" w14:textId="45C90635" w:rsidR="004A5832" w:rsidRPr="007E77AF" w:rsidRDefault="02B88B79" w:rsidP="009069A1">
      <w:pPr>
        <w:spacing w:before="120" w:after="120" w:line="312" w:lineRule="auto"/>
        <w:ind w:firstLine="567"/>
        <w:jc w:val="both"/>
      </w:pPr>
      <w:r w:rsidRPr="007E77AF">
        <w:lastRenderedPageBreak/>
        <w:t xml:space="preserve">§ </w:t>
      </w:r>
      <w:r w:rsidR="00D22E51">
        <w:t>5</w:t>
      </w:r>
      <w:proofErr w:type="gramStart"/>
      <w:r w:rsidR="00D22E51" w:rsidRPr="007E77AF">
        <w:t xml:space="preserve">º  </w:t>
      </w:r>
      <w:r w:rsidRPr="007E77AF">
        <w:t>O</w:t>
      </w:r>
      <w:proofErr w:type="gramEnd"/>
      <w:r w:rsidRPr="007E77AF">
        <w:t xml:space="preserve"> preço ou taxa de remuneração definitivos são condição para a concessão do registro definitivo da oferta.</w:t>
      </w:r>
      <w:bookmarkStart w:id="252" w:name="_Ref464748880"/>
    </w:p>
    <w:p w14:paraId="6BED2F1F" w14:textId="3C41BE80" w:rsidR="00D74986" w:rsidRPr="007E77AF" w:rsidRDefault="009069A1" w:rsidP="001353DC">
      <w:pPr>
        <w:spacing w:before="120" w:after="120" w:line="312" w:lineRule="auto"/>
        <w:ind w:firstLine="567"/>
        <w:jc w:val="both"/>
      </w:pPr>
      <w:r w:rsidRPr="007E77AF">
        <w:t xml:space="preserve">Art. </w:t>
      </w:r>
      <w:r w:rsidR="00D22E51">
        <w:t>62</w:t>
      </w:r>
      <w:r w:rsidR="01DD897A" w:rsidRPr="007E77AF">
        <w:t xml:space="preserve">.  </w:t>
      </w:r>
      <w:r w:rsidR="0639BF8A" w:rsidRPr="007E77AF">
        <w:t xml:space="preserve">O </w:t>
      </w:r>
      <w:r w:rsidR="177CF104" w:rsidRPr="007E77AF">
        <w:t>p</w:t>
      </w:r>
      <w:r w:rsidR="0639BF8A" w:rsidRPr="007E77AF">
        <w:t xml:space="preserve">rocedimento de </w:t>
      </w:r>
      <w:r w:rsidR="51CE221C" w:rsidRPr="007E77AF">
        <w:t>p</w:t>
      </w:r>
      <w:r w:rsidR="0639BF8A" w:rsidRPr="007E77AF">
        <w:t>recificação</w:t>
      </w:r>
      <w:r w:rsidR="6E3BF82D" w:rsidRPr="007E77AF" w:rsidDel="008757D4">
        <w:t xml:space="preserve"> </w:t>
      </w:r>
      <w:r w:rsidR="003420B5" w:rsidRPr="007E77AF">
        <w:t>em ofertas</w:t>
      </w:r>
      <w:r w:rsidR="01DD897A" w:rsidRPr="007E77AF">
        <w:t xml:space="preserve"> com ou sem o recebimento de reservas </w:t>
      </w:r>
      <w:r w:rsidR="00BD2FB9" w:rsidRPr="007E77AF">
        <w:t xml:space="preserve">somente pode ter início </w:t>
      </w:r>
      <w:r w:rsidR="01DD897A" w:rsidRPr="007E77AF">
        <w:t xml:space="preserve">a partir da divulgação </w:t>
      </w:r>
      <w:r w:rsidR="1C260737" w:rsidRPr="007E77AF">
        <w:t xml:space="preserve">do </w:t>
      </w:r>
      <w:r w:rsidR="0A6F4774" w:rsidRPr="007E77AF">
        <w:t>a</w:t>
      </w:r>
      <w:r w:rsidR="1C260737" w:rsidRPr="007E77AF">
        <w:t xml:space="preserve">viso ao </w:t>
      </w:r>
      <w:r w:rsidR="5EB640BC" w:rsidRPr="007E77AF">
        <w:t>m</w:t>
      </w:r>
      <w:r w:rsidR="1C260737" w:rsidRPr="007E77AF">
        <w:t>ercado</w:t>
      </w:r>
      <w:r w:rsidR="3F663603" w:rsidRPr="007E77AF">
        <w:t>.</w:t>
      </w:r>
      <w:bookmarkEnd w:id="252"/>
    </w:p>
    <w:p w14:paraId="5850CACA" w14:textId="41361289" w:rsidR="00D74986" w:rsidRPr="007E77AF" w:rsidRDefault="00C642F0" w:rsidP="00D74986">
      <w:pPr>
        <w:spacing w:before="120" w:after="120" w:line="312" w:lineRule="auto"/>
        <w:ind w:firstLine="567"/>
        <w:jc w:val="both"/>
      </w:pPr>
      <w:r w:rsidRPr="007E77AF" w:rsidDel="00197A49">
        <w:t>Parágrafo único</w:t>
      </w:r>
      <w:r w:rsidRPr="007E77AF">
        <w:t xml:space="preserve">.  A intenção de realizar </w:t>
      </w:r>
      <w:r w:rsidR="00F1559C" w:rsidRPr="007E77AF">
        <w:t xml:space="preserve">o </w:t>
      </w:r>
      <w:r w:rsidR="5FE2F60A" w:rsidRPr="007E77AF">
        <w:t>p</w:t>
      </w:r>
      <w:r w:rsidR="00F1559C" w:rsidRPr="007E77AF">
        <w:t xml:space="preserve">rocedimento de </w:t>
      </w:r>
      <w:r w:rsidR="5527A8E2" w:rsidRPr="007E77AF">
        <w:t>p</w:t>
      </w:r>
      <w:r w:rsidR="00F1559C" w:rsidRPr="007E77AF">
        <w:t>recificação</w:t>
      </w:r>
      <w:r w:rsidRPr="007E77AF">
        <w:t xml:space="preserve"> deve ser comunicada à CVM juntamente com o </w:t>
      </w:r>
      <w:r w:rsidR="00EC47ED" w:rsidRPr="007E77AF">
        <w:t xml:space="preserve">requerimento </w:t>
      </w:r>
      <w:r w:rsidRPr="007E77AF">
        <w:t>de registro de distribuição realizado</w:t>
      </w:r>
      <w:r w:rsidR="3F4E76AE" w:rsidRPr="007E77AF">
        <w:t>,</w:t>
      </w:r>
      <w:r w:rsidRPr="007E77AF">
        <w:t xml:space="preserve"> </w:t>
      </w:r>
      <w:r w:rsidR="00384B43" w:rsidRPr="007E77AF">
        <w:t xml:space="preserve">indicando o </w:t>
      </w:r>
      <w:r w:rsidR="002F16A3" w:rsidRPr="007E77AF">
        <w:t>rito de registro</w:t>
      </w:r>
      <w:r w:rsidR="00384B43" w:rsidRPr="007E77AF">
        <w:t xml:space="preserve"> desejado de distribuição </w:t>
      </w:r>
      <w:r w:rsidRPr="007E77AF">
        <w:t>nos termos do</w:t>
      </w:r>
      <w:r w:rsidR="00384B43" w:rsidRPr="007E77AF">
        <w:t xml:space="preserve">s </w:t>
      </w:r>
      <w:proofErr w:type="spellStart"/>
      <w:r w:rsidR="00384B43" w:rsidRPr="007E77AF">
        <w:t>arts</w:t>
      </w:r>
      <w:proofErr w:type="spellEnd"/>
      <w:r w:rsidR="00384B43" w:rsidRPr="007E77AF">
        <w:t xml:space="preserve">. </w:t>
      </w:r>
      <w:r w:rsidR="0086760A" w:rsidRPr="007E77AF">
        <w:t>2</w:t>
      </w:r>
      <w:r w:rsidR="0094646D" w:rsidRPr="007E77AF">
        <w:t>7</w:t>
      </w:r>
      <w:r w:rsidR="00384B43" w:rsidRPr="007E77AF">
        <w:t xml:space="preserve"> ou </w:t>
      </w:r>
      <w:r w:rsidR="0086760A" w:rsidRPr="007E77AF">
        <w:t>29</w:t>
      </w:r>
      <w:r w:rsidR="00384B43" w:rsidRPr="007E77AF" w:rsidDel="004F1761">
        <w:t>,</w:t>
      </w:r>
      <w:r w:rsidR="00384B43" w:rsidRPr="007E77AF">
        <w:t xml:space="preserve"> conforme o caso</w:t>
      </w:r>
      <w:r w:rsidRPr="007E77AF">
        <w:t>.</w:t>
      </w:r>
    </w:p>
    <w:p w14:paraId="73154851" w14:textId="2A8135DB" w:rsidR="00646D95" w:rsidRPr="007E77AF" w:rsidRDefault="00646D95" w:rsidP="001A030E">
      <w:pPr>
        <w:spacing w:before="120" w:after="120" w:line="312" w:lineRule="auto"/>
        <w:ind w:firstLine="567"/>
        <w:jc w:val="both"/>
      </w:pPr>
      <w:r w:rsidRPr="007E77AF">
        <w:t xml:space="preserve">Art. </w:t>
      </w:r>
      <w:r w:rsidR="00D22E51">
        <w:t>63</w:t>
      </w:r>
      <w:r w:rsidR="00767CAF" w:rsidRPr="007E77AF">
        <w:t>.</w:t>
      </w:r>
      <w:r w:rsidRPr="007E77AF">
        <w:t xml:space="preserve">  É vedada a aquisição de ações, no âmbito de ofertas públicas de distribuição de ações, por investidores que tenham realizado vendas a descoberto da ação objeto na data da fixação do preço da oferta e nos 5 (cinco) pregões que a antecedem.</w:t>
      </w:r>
    </w:p>
    <w:p w14:paraId="783C5279" w14:textId="761656FA" w:rsidR="00646D95" w:rsidRPr="007E77AF" w:rsidRDefault="00646D95" w:rsidP="001A030E">
      <w:pPr>
        <w:spacing w:before="120" w:after="120" w:line="312" w:lineRule="auto"/>
        <w:ind w:firstLine="567"/>
        <w:jc w:val="both"/>
      </w:pPr>
      <w:r w:rsidRPr="007E77AF">
        <w:t>§ 1</w:t>
      </w:r>
      <w:proofErr w:type="gramStart"/>
      <w:r w:rsidRPr="007E77AF">
        <w:t xml:space="preserve">º </w:t>
      </w:r>
      <w:r w:rsidR="004F1761">
        <w:t xml:space="preserve"> </w:t>
      </w:r>
      <w:r w:rsidRPr="007E77AF">
        <w:t>Para</w:t>
      </w:r>
      <w:proofErr w:type="gramEnd"/>
      <w:r w:rsidRPr="007E77AF">
        <w:t xml:space="preserve"> os efeitos do </w:t>
      </w:r>
      <w:r w:rsidRPr="007E77AF">
        <w:rPr>
          <w:b/>
          <w:bCs/>
        </w:rPr>
        <w:t>caput</w:t>
      </w:r>
      <w:r w:rsidRPr="007E77AF">
        <w:t>, são consideradas operações de um mesmo investidor as vendas a descoberto e as aquisições de ações realizadas em seu próprio nome ou por meio de qualquer veículo cuja decisão de investimento esteja sujeita a sua influência.</w:t>
      </w:r>
    </w:p>
    <w:p w14:paraId="3D34D203" w14:textId="6EACD787" w:rsidR="00646D95" w:rsidRPr="007E77AF" w:rsidRDefault="00646D95" w:rsidP="001A030E">
      <w:pPr>
        <w:spacing w:before="120" w:after="120" w:line="312" w:lineRule="auto"/>
        <w:ind w:firstLine="567"/>
        <w:jc w:val="both"/>
      </w:pPr>
      <w:r w:rsidRPr="007E77AF">
        <w:t>§ 2</w:t>
      </w:r>
      <w:proofErr w:type="gramStart"/>
      <w:r w:rsidRPr="007E77AF">
        <w:t xml:space="preserve">º </w:t>
      </w:r>
      <w:r w:rsidR="004F1761">
        <w:t xml:space="preserve"> </w:t>
      </w:r>
      <w:r w:rsidRPr="007E77AF">
        <w:t>Fundos</w:t>
      </w:r>
      <w:proofErr w:type="gramEnd"/>
      <w:r w:rsidRPr="007E77AF">
        <w:t xml:space="preserve"> de investimento cujas decisões de investimento sejam tomadas pelo mesmo gestor não serão considerados como um único investidor para efeito do disposto neste artigo, desde que as operações estejam enquadradas nas respectivas políticas de investimento de cada fundo.</w:t>
      </w:r>
    </w:p>
    <w:p w14:paraId="2E697FDA" w14:textId="7B13D282" w:rsidR="00646D95" w:rsidRPr="007E77AF" w:rsidRDefault="00646D95" w:rsidP="001A030E">
      <w:pPr>
        <w:spacing w:before="120" w:after="120" w:line="312" w:lineRule="auto"/>
        <w:ind w:firstLine="567"/>
        <w:jc w:val="both"/>
      </w:pPr>
      <w:r w:rsidRPr="007E77AF">
        <w:t>§ 3</w:t>
      </w:r>
      <w:proofErr w:type="gramStart"/>
      <w:r w:rsidRPr="007E77AF">
        <w:t xml:space="preserve">º </w:t>
      </w:r>
      <w:r w:rsidR="004F1761">
        <w:t xml:space="preserve"> </w:t>
      </w:r>
      <w:r w:rsidRPr="007E77AF">
        <w:t>A</w:t>
      </w:r>
      <w:proofErr w:type="gramEnd"/>
      <w:r w:rsidRPr="007E77AF">
        <w:t xml:space="preserve"> vedação prevista no </w:t>
      </w:r>
      <w:r w:rsidRPr="007E77AF">
        <w:rPr>
          <w:b/>
        </w:rPr>
        <w:t>caput</w:t>
      </w:r>
      <w:r w:rsidRPr="007E77AF">
        <w:t xml:space="preserve"> não se aplica nos seguintes casos:</w:t>
      </w:r>
    </w:p>
    <w:p w14:paraId="205AA1F8" w14:textId="77777777" w:rsidR="00646D95" w:rsidRPr="007E77AF" w:rsidRDefault="00646D95" w:rsidP="001A030E">
      <w:pPr>
        <w:spacing w:before="120" w:after="120" w:line="312" w:lineRule="auto"/>
        <w:ind w:firstLine="567"/>
        <w:jc w:val="both"/>
      </w:pPr>
      <w:r w:rsidRPr="007E77AF">
        <w:t xml:space="preserve">I – </w:t>
      </w:r>
      <w:proofErr w:type="gramStart"/>
      <w:r w:rsidRPr="007E77AF">
        <w:t>operações</w:t>
      </w:r>
      <w:proofErr w:type="gramEnd"/>
      <w:r w:rsidRPr="007E77AF">
        <w:t xml:space="preserve"> realizadas por pessoas jurídicas no exercício da atividade de formador de mercado da ação objeto da oferta, conforme definida na norma específica; e</w:t>
      </w:r>
    </w:p>
    <w:p w14:paraId="50045D6B" w14:textId="77777777" w:rsidR="00646D95" w:rsidRPr="007E77AF" w:rsidRDefault="00646D95" w:rsidP="008B74EC">
      <w:pPr>
        <w:spacing w:before="120" w:after="120" w:line="312" w:lineRule="auto"/>
        <w:ind w:firstLine="567"/>
        <w:jc w:val="both"/>
      </w:pPr>
      <w:r w:rsidRPr="007E77AF">
        <w:t xml:space="preserve">II – </w:t>
      </w:r>
      <w:proofErr w:type="gramStart"/>
      <w:r w:rsidRPr="007E77AF">
        <w:t>operações</w:t>
      </w:r>
      <w:proofErr w:type="gramEnd"/>
      <w:r w:rsidRPr="007E77AF">
        <w:t xml:space="preserve"> posteriormente cobertas por aquisição em mercado da quantidade total de ações correspondente à posição a descoberto até, no máximo, 2 (dois) pregões antes da data de fixação do preço da oferta.</w:t>
      </w:r>
    </w:p>
    <w:p w14:paraId="7B8BAD54" w14:textId="369F2A33" w:rsidR="00D74986" w:rsidRPr="007E77AF" w:rsidRDefault="00002143" w:rsidP="006B018B">
      <w:pPr>
        <w:pStyle w:val="Seo"/>
        <w:rPr>
          <w:bCs/>
        </w:rPr>
      </w:pPr>
      <w:bookmarkStart w:id="253" w:name="_Toc467256290"/>
      <w:bookmarkStart w:id="254" w:name="_Toc476216340"/>
      <w:bookmarkStart w:id="255" w:name="_Toc108516061"/>
      <w:bookmarkStart w:id="256" w:name="_Toc108203092"/>
      <w:bookmarkStart w:id="257" w:name="_Toc136502832"/>
      <w:r w:rsidRPr="007E77AF">
        <w:t xml:space="preserve">Seção </w:t>
      </w:r>
      <w:r w:rsidR="009303EE" w:rsidRPr="007E77AF">
        <w:t>V</w:t>
      </w:r>
      <w:r w:rsidR="002F429B" w:rsidRPr="007E77AF">
        <w:t>III</w:t>
      </w:r>
      <w:r w:rsidRPr="007E77AF">
        <w:t xml:space="preserve"> </w:t>
      </w:r>
      <w:r w:rsidR="0051636E" w:rsidRPr="007E77AF">
        <w:t>–</w:t>
      </w:r>
      <w:r w:rsidRPr="007E77AF">
        <w:t xml:space="preserve"> Adequação do </w:t>
      </w:r>
      <w:r w:rsidR="1BC79713" w:rsidRPr="007E77AF">
        <w:t>P</w:t>
      </w:r>
      <w:r w:rsidRPr="007E77AF">
        <w:t xml:space="preserve">erfil do </w:t>
      </w:r>
      <w:r w:rsidR="3D7A70FC" w:rsidRPr="007E77AF">
        <w:t>I</w:t>
      </w:r>
      <w:r w:rsidRPr="007E77AF">
        <w:t>nvestidor</w:t>
      </w:r>
      <w:r w:rsidR="0A0A0B3E" w:rsidRPr="007E77AF">
        <w:t xml:space="preserve"> e </w:t>
      </w:r>
      <w:r w:rsidR="0EBB1070" w:rsidRPr="007E77AF">
        <w:t>R</w:t>
      </w:r>
      <w:r w:rsidR="0A0A0B3E" w:rsidRPr="007E77AF">
        <w:t xml:space="preserve">estrições ao </w:t>
      </w:r>
      <w:r w:rsidR="00807352" w:rsidRPr="007E77AF">
        <w:t>I</w:t>
      </w:r>
      <w:r w:rsidR="0A0A0B3E" w:rsidRPr="007E77AF">
        <w:t>nvestimento</w:t>
      </w:r>
      <w:bookmarkEnd w:id="253"/>
      <w:bookmarkEnd w:id="254"/>
      <w:bookmarkEnd w:id="255"/>
      <w:bookmarkEnd w:id="256"/>
      <w:bookmarkEnd w:id="257"/>
    </w:p>
    <w:p w14:paraId="0B84C9E1" w14:textId="5271EA09" w:rsidR="002E30D6" w:rsidRPr="007E77AF" w:rsidRDefault="009069A1" w:rsidP="001353DC">
      <w:pPr>
        <w:keepNext/>
        <w:spacing w:before="120" w:after="120" w:line="312" w:lineRule="auto"/>
        <w:ind w:firstLine="567"/>
        <w:jc w:val="both"/>
      </w:pPr>
      <w:bookmarkStart w:id="258" w:name="_Ref464391126"/>
      <w:r w:rsidRPr="007E77AF">
        <w:t xml:space="preserve">Art. </w:t>
      </w:r>
      <w:r w:rsidR="00D22E51">
        <w:t>64</w:t>
      </w:r>
      <w:r w:rsidR="2AD288EE" w:rsidRPr="007E77AF">
        <w:t xml:space="preserve">.  As instituições </w:t>
      </w:r>
      <w:r w:rsidR="009B4B16">
        <w:t>participantes do consórcio de distribuição</w:t>
      </w:r>
      <w:r w:rsidR="448FCDA1" w:rsidRPr="007E77AF">
        <w:t xml:space="preserve"> e as pessoas contratadas que com estas estejam trabalhando ou as assessorando de qualquer forma</w:t>
      </w:r>
      <w:r w:rsidR="2AD288EE" w:rsidRPr="007E77AF">
        <w:t xml:space="preserve"> </w:t>
      </w:r>
      <w:r w:rsidR="448FCDA1" w:rsidRPr="007E77AF">
        <w:t xml:space="preserve">durante a distribuição </w:t>
      </w:r>
      <w:r w:rsidR="76FAE884" w:rsidRPr="007E77AF">
        <w:t xml:space="preserve">devem </w:t>
      </w:r>
      <w:r w:rsidR="2AD288EE" w:rsidRPr="007E77AF">
        <w:t xml:space="preserve">verificar a adequação do investimento </w:t>
      </w:r>
      <w:r w:rsidR="3A0CD7D3" w:rsidRPr="007E77AF">
        <w:t>ao perfil de risco de seus respectivos clientes, nos termos da regulamentação da CVM</w:t>
      </w:r>
      <w:r w:rsidR="5BF3C8DF" w:rsidRPr="007E77AF">
        <w:t xml:space="preserve"> que dispõe sobre o dever de verificação da adequação dos produtos, serviços e operações ao perfil do cliente</w:t>
      </w:r>
      <w:r w:rsidR="6993340B" w:rsidRPr="007E77AF">
        <w:t>, e</w:t>
      </w:r>
      <w:r w:rsidR="1A5ACBB5" w:rsidRPr="007E77AF">
        <w:t>,</w:t>
      </w:r>
      <w:r w:rsidR="6993340B" w:rsidRPr="007E77AF">
        <w:t xml:space="preserve"> adicionalmente, devem diligenciar para verificar se os investidores </w:t>
      </w:r>
      <w:r w:rsidR="25A90272" w:rsidRPr="007E77AF">
        <w:t xml:space="preserve">por </w:t>
      </w:r>
      <w:r w:rsidR="25A90272" w:rsidRPr="007E77AF">
        <w:lastRenderedPageBreak/>
        <w:t xml:space="preserve">elas </w:t>
      </w:r>
      <w:r w:rsidR="6993340B" w:rsidRPr="007E77AF">
        <w:t>acessados podem adquirir os valores mobiliários ofertados ou se há restrições que impeçam tais investidores de participar da oferta.</w:t>
      </w:r>
      <w:bookmarkEnd w:id="258"/>
    </w:p>
    <w:p w14:paraId="3143C378" w14:textId="3FF8370E" w:rsidR="00D74986" w:rsidRPr="007E77AF" w:rsidRDefault="00002143" w:rsidP="006B018B">
      <w:pPr>
        <w:pStyle w:val="Seo"/>
      </w:pPr>
      <w:bookmarkStart w:id="259" w:name="_Toc467256291"/>
      <w:bookmarkStart w:id="260" w:name="_Toc476216341"/>
      <w:bookmarkStart w:id="261" w:name="_Toc108516062"/>
      <w:bookmarkStart w:id="262" w:name="_Toc108203093"/>
      <w:bookmarkStart w:id="263" w:name="_Toc136502833"/>
      <w:r w:rsidRPr="007E77AF">
        <w:t xml:space="preserve">Seção </w:t>
      </w:r>
      <w:r w:rsidR="002F429B" w:rsidRPr="007E77AF">
        <w:t xml:space="preserve">IX </w:t>
      </w:r>
      <w:r w:rsidR="0051636E" w:rsidRPr="007E77AF">
        <w:t>–</w:t>
      </w:r>
      <w:r w:rsidRPr="007E77AF">
        <w:t xml:space="preserve"> Recebimento de </w:t>
      </w:r>
      <w:bookmarkEnd w:id="259"/>
      <w:r w:rsidR="5AB05784" w:rsidRPr="007E77AF">
        <w:t>R</w:t>
      </w:r>
      <w:r w:rsidRPr="007E77AF">
        <w:t>eservas</w:t>
      </w:r>
      <w:bookmarkEnd w:id="260"/>
      <w:bookmarkEnd w:id="261"/>
      <w:bookmarkEnd w:id="262"/>
      <w:bookmarkEnd w:id="263"/>
    </w:p>
    <w:p w14:paraId="75BFF1C6" w14:textId="161C6021" w:rsidR="00D74986" w:rsidRPr="007E77AF" w:rsidRDefault="009069A1" w:rsidP="001353DC">
      <w:pPr>
        <w:keepNext/>
        <w:spacing w:before="120" w:after="120" w:line="312" w:lineRule="auto"/>
        <w:ind w:firstLine="567"/>
        <w:jc w:val="both"/>
      </w:pPr>
      <w:bookmarkStart w:id="264" w:name="_Ref463170702"/>
      <w:bookmarkStart w:id="265" w:name="_Ref460491486"/>
      <w:r w:rsidRPr="007E77AF">
        <w:t xml:space="preserve">Art. </w:t>
      </w:r>
      <w:r w:rsidR="00D22E51">
        <w:t>65</w:t>
      </w:r>
      <w:r w:rsidR="25D30094" w:rsidRPr="007E77AF">
        <w:t xml:space="preserve">.  </w:t>
      </w:r>
      <w:r w:rsidR="79A11558" w:rsidRPr="007E77AF">
        <w:t xml:space="preserve">O recebimento de reservas para subscrição ou aquisição de valores mobiliários objeto de oferta pública é </w:t>
      </w:r>
      <w:r w:rsidR="25D30094" w:rsidRPr="007E77AF">
        <w:t>admissível desde que:</w:t>
      </w:r>
      <w:bookmarkEnd w:id="264"/>
      <w:r w:rsidR="1C260737" w:rsidRPr="007E77AF">
        <w:t xml:space="preserve"> </w:t>
      </w:r>
      <w:bookmarkEnd w:id="265"/>
    </w:p>
    <w:p w14:paraId="268D8032" w14:textId="018DDBC4" w:rsidR="00D74986" w:rsidRPr="007E77AF" w:rsidRDefault="009069A1" w:rsidP="001353DC">
      <w:pPr>
        <w:spacing w:before="120" w:after="120" w:line="312" w:lineRule="auto"/>
        <w:ind w:firstLine="567"/>
        <w:jc w:val="both"/>
      </w:pPr>
      <w:r w:rsidRPr="007E77AF">
        <w:t>I</w:t>
      </w:r>
      <w:r w:rsidR="789435BD" w:rsidRPr="007E77AF">
        <w:t xml:space="preserve"> </w:t>
      </w:r>
      <w:r w:rsidR="0AA3FD7B" w:rsidRPr="007E77AF">
        <w:t>–</w:t>
      </w:r>
      <w:r w:rsidR="789435BD" w:rsidRPr="007E77AF">
        <w:t xml:space="preserve"> </w:t>
      </w:r>
      <w:proofErr w:type="gramStart"/>
      <w:r w:rsidR="79A11558" w:rsidRPr="007E77AF">
        <w:t>tenha</w:t>
      </w:r>
      <w:proofErr w:type="gramEnd"/>
      <w:r w:rsidR="79A11558" w:rsidRPr="007E77AF">
        <w:t xml:space="preserve"> sido requerido o registro da distribuição</w:t>
      </w:r>
      <w:r w:rsidR="789435BD" w:rsidRPr="007E77AF">
        <w:t>;</w:t>
      </w:r>
    </w:p>
    <w:p w14:paraId="19DD5C1A" w14:textId="29810743" w:rsidR="00D74986" w:rsidRPr="007E77AF" w:rsidRDefault="009069A1" w:rsidP="009069A1">
      <w:pPr>
        <w:spacing w:before="120" w:after="120" w:line="312" w:lineRule="auto"/>
        <w:ind w:firstLine="567"/>
        <w:jc w:val="both"/>
      </w:pPr>
      <w:r w:rsidRPr="007E77AF">
        <w:t>II</w:t>
      </w:r>
      <w:r w:rsidR="25D30094" w:rsidRPr="007E77AF">
        <w:t xml:space="preserve"> </w:t>
      </w:r>
      <w:r w:rsidR="10829669" w:rsidRPr="007E77AF">
        <w:t>–</w:t>
      </w:r>
      <w:r w:rsidR="009B3F2C">
        <w:t xml:space="preserve"> </w:t>
      </w:r>
      <w:proofErr w:type="gramStart"/>
      <w:r w:rsidR="006B34E9" w:rsidRPr="007E77AF">
        <w:t>a</w:t>
      </w:r>
      <w:proofErr w:type="gramEnd"/>
      <w:r w:rsidR="006B34E9" w:rsidRPr="007E77AF">
        <w:t xml:space="preserve"> oferta esteja a mercado; </w:t>
      </w:r>
      <w:r w:rsidR="25D30094" w:rsidRPr="007E77AF">
        <w:t>e</w:t>
      </w:r>
    </w:p>
    <w:p w14:paraId="37C95C27" w14:textId="40646A50" w:rsidR="00D74986" w:rsidRPr="007E77AF" w:rsidRDefault="009069A1" w:rsidP="001353DC">
      <w:pPr>
        <w:spacing w:before="120" w:after="120" w:line="312" w:lineRule="auto"/>
        <w:ind w:firstLine="567"/>
        <w:jc w:val="both"/>
      </w:pPr>
      <w:r w:rsidRPr="007E77AF">
        <w:t>III</w:t>
      </w:r>
      <w:r w:rsidR="25D30094" w:rsidRPr="007E77AF">
        <w:t xml:space="preserve"> </w:t>
      </w:r>
      <w:r w:rsidR="10829669" w:rsidRPr="007E77AF">
        <w:t>–</w:t>
      </w:r>
      <w:r w:rsidR="25D30094" w:rsidRPr="007E77AF">
        <w:t xml:space="preserve"> </w:t>
      </w:r>
      <w:r w:rsidR="79A11558" w:rsidRPr="007E77AF">
        <w:t xml:space="preserve">tal fato esteja </w:t>
      </w:r>
      <w:r w:rsidR="004C1431" w:rsidRPr="007E77AF">
        <w:t xml:space="preserve">divulgado </w:t>
      </w:r>
      <w:r w:rsidR="79A11558" w:rsidRPr="007E77AF">
        <w:t xml:space="preserve">na </w:t>
      </w:r>
      <w:r w:rsidR="00494021" w:rsidRPr="007E77AF">
        <w:t>lâmina da oferta</w:t>
      </w:r>
      <w:r w:rsidR="25D30094" w:rsidRPr="007E77AF">
        <w:t>.</w:t>
      </w:r>
    </w:p>
    <w:p w14:paraId="3F547E64" w14:textId="4CAF1CE5" w:rsidR="00D74986" w:rsidRPr="007E77AF" w:rsidRDefault="00D463F1" w:rsidP="00D74986">
      <w:pPr>
        <w:spacing w:before="120" w:after="120" w:line="312" w:lineRule="auto"/>
        <w:ind w:firstLine="567"/>
        <w:jc w:val="both"/>
      </w:pPr>
      <w:r w:rsidRPr="007E77AF">
        <w:t>§</w:t>
      </w:r>
      <w:r w:rsidR="48AA64F8" w:rsidRPr="007E77AF">
        <w:t xml:space="preserve"> </w:t>
      </w:r>
      <w:r w:rsidRPr="007E77AF">
        <w:t>1</w:t>
      </w:r>
      <w:proofErr w:type="gramStart"/>
      <w:r w:rsidRPr="007E77AF">
        <w:t xml:space="preserve">º  </w:t>
      </w:r>
      <w:r w:rsidR="000740FA" w:rsidRPr="007E77AF">
        <w:t>As</w:t>
      </w:r>
      <w:proofErr w:type="gramEnd"/>
      <w:r w:rsidR="000740FA" w:rsidRPr="007E77AF">
        <w:t xml:space="preserve"> reservas são efetuadas de acordo com o</w:t>
      </w:r>
      <w:r w:rsidR="79FBD7FA" w:rsidRPr="007E77AF">
        <w:t>s</w:t>
      </w:r>
      <w:r w:rsidR="000740FA" w:rsidRPr="007E77AF">
        <w:t xml:space="preserve"> termos e condições definitivas </w:t>
      </w:r>
      <w:r w:rsidR="002931D8" w:rsidRPr="007E77AF">
        <w:t xml:space="preserve">da </w:t>
      </w:r>
      <w:r w:rsidR="000740FA" w:rsidRPr="007E77AF">
        <w:t>oferta, facultada a exigência de depósito do montante reservado.</w:t>
      </w:r>
    </w:p>
    <w:p w14:paraId="52C80DDF" w14:textId="2F3E0627" w:rsidR="00D74986" w:rsidRPr="007E77AF" w:rsidRDefault="25D30094" w:rsidP="00D74986">
      <w:pPr>
        <w:spacing w:before="120" w:after="120" w:line="312" w:lineRule="auto"/>
        <w:ind w:firstLine="567"/>
        <w:jc w:val="both"/>
      </w:pPr>
      <w:r w:rsidRPr="007E77AF">
        <w:t>§</w:t>
      </w:r>
      <w:r w:rsidR="6748FC07" w:rsidRPr="007E77AF">
        <w:t xml:space="preserve"> </w:t>
      </w:r>
      <w:r w:rsidRPr="007E77AF">
        <w:t>2</w:t>
      </w:r>
      <w:proofErr w:type="gramStart"/>
      <w:r w:rsidRPr="007E77AF">
        <w:t xml:space="preserve">º  </w:t>
      </w:r>
      <w:r w:rsidR="1935EC22" w:rsidRPr="007E77AF">
        <w:t>O</w:t>
      </w:r>
      <w:proofErr w:type="gramEnd"/>
      <w:r w:rsidR="1935EC22" w:rsidRPr="007E77AF">
        <w:t xml:space="preserve"> depósito </w:t>
      </w:r>
      <w:r w:rsidR="00082B95" w:rsidRPr="007E77AF">
        <w:t xml:space="preserve">dos recursos </w:t>
      </w:r>
      <w:r w:rsidR="1935EC22" w:rsidRPr="007E77AF">
        <w:t xml:space="preserve">para reservas, se houver, é realizado em conta bloqueada, remunerada ou não, em instituição indicada </w:t>
      </w:r>
      <w:r w:rsidR="00027FB5">
        <w:t>pelo coordenador líder</w:t>
      </w:r>
      <w:r w:rsidR="1935EC22" w:rsidRPr="007E77AF">
        <w:t xml:space="preserve"> e sob sua responsabilidade, cuja movimentação deve obedecer </w:t>
      </w:r>
      <w:r w:rsidR="0EFADA60" w:rsidRPr="007E77AF">
        <w:t>à</w:t>
      </w:r>
      <w:r w:rsidR="1935EC22" w:rsidRPr="007E77AF">
        <w:t xml:space="preserve">s seguintes normas: </w:t>
      </w:r>
    </w:p>
    <w:p w14:paraId="7EE67AD6" w14:textId="56007120" w:rsidR="00D74986" w:rsidRPr="007E77AF" w:rsidRDefault="1935EC22" w:rsidP="00D74986">
      <w:pPr>
        <w:spacing w:before="120" w:after="120" w:line="312" w:lineRule="auto"/>
        <w:ind w:firstLine="567"/>
        <w:jc w:val="both"/>
      </w:pPr>
      <w:r w:rsidRPr="007E77AF">
        <w:t xml:space="preserve">I – </w:t>
      </w:r>
      <w:proofErr w:type="gramStart"/>
      <w:r w:rsidRPr="007E77AF">
        <w:t>apurados</w:t>
      </w:r>
      <w:proofErr w:type="gramEnd"/>
      <w:r w:rsidRPr="007E77AF">
        <w:t xml:space="preserve"> os montantes das reservas e das sobras disponíveis e efetuado o rateio, se for o caso, </w:t>
      </w:r>
      <w:r w:rsidR="009B3F2C">
        <w:t>o</w:t>
      </w:r>
      <w:r w:rsidR="009B3F2C" w:rsidRPr="007E77AF">
        <w:t xml:space="preserve"> </w:t>
      </w:r>
      <w:r w:rsidR="008F489E">
        <w:t>coordenador líder</w:t>
      </w:r>
      <w:r w:rsidRPr="007E77AF">
        <w:t xml:space="preserve"> </w:t>
      </w:r>
      <w:r w:rsidR="00B64542" w:rsidRPr="007E77AF">
        <w:t xml:space="preserve">deve </w:t>
      </w:r>
      <w:r w:rsidRPr="007E77AF">
        <w:t>autoriza</w:t>
      </w:r>
      <w:r w:rsidR="00B64542" w:rsidRPr="007E77AF">
        <w:t>r</w:t>
      </w:r>
      <w:r w:rsidRPr="007E77AF">
        <w:t xml:space="preserve"> a liberação das importâncias correspondentes às subscrições a serem efetuadas por intermédio de cada instituição consorciada; e</w:t>
      </w:r>
    </w:p>
    <w:p w14:paraId="410C3183" w14:textId="19C87F9D" w:rsidR="00D74986" w:rsidRPr="007E77AF" w:rsidRDefault="1935EC22" w:rsidP="00D74986">
      <w:pPr>
        <w:spacing w:before="120" w:after="120" w:line="312" w:lineRule="auto"/>
        <w:ind w:firstLine="567"/>
        <w:jc w:val="both"/>
      </w:pPr>
      <w:r w:rsidRPr="007E77AF">
        <w:t xml:space="preserve">II – </w:t>
      </w:r>
      <w:proofErr w:type="gramStart"/>
      <w:r w:rsidR="0058460F">
        <w:t>o</w:t>
      </w:r>
      <w:proofErr w:type="gramEnd"/>
      <w:r w:rsidR="0058460F">
        <w:t xml:space="preserve"> coordenador líder</w:t>
      </w:r>
      <w:r w:rsidRPr="007E77AF">
        <w:t xml:space="preserve"> </w:t>
      </w:r>
      <w:r w:rsidR="00B64542" w:rsidRPr="007E77AF">
        <w:t xml:space="preserve">deve </w:t>
      </w:r>
      <w:r w:rsidRPr="007E77AF">
        <w:t>autoriza</w:t>
      </w:r>
      <w:r w:rsidR="00B64542" w:rsidRPr="007E77AF">
        <w:t>r</w:t>
      </w:r>
      <w:r w:rsidRPr="007E77AF">
        <w:t>, no prazo de 3 (três) dias úteis, a liberação do saldo não utilizado dos depósitos, a favor dos respectivos depositantes.</w:t>
      </w:r>
    </w:p>
    <w:p w14:paraId="2C2A7714" w14:textId="3BD4721E" w:rsidR="00D74986" w:rsidRPr="007E77AF" w:rsidRDefault="000740FA" w:rsidP="00D74986">
      <w:pPr>
        <w:spacing w:before="120" w:after="120" w:line="312" w:lineRule="auto"/>
        <w:ind w:firstLine="567"/>
        <w:jc w:val="both"/>
      </w:pPr>
      <w:r w:rsidRPr="007E77AF">
        <w:t>§</w:t>
      </w:r>
      <w:r w:rsidR="5CC2B849" w:rsidRPr="007E77AF">
        <w:t xml:space="preserve"> </w:t>
      </w:r>
      <w:r w:rsidRPr="007E77AF">
        <w:t>3</w:t>
      </w:r>
      <w:proofErr w:type="gramStart"/>
      <w:r w:rsidRPr="007E77AF">
        <w:t>º  Caso</w:t>
      </w:r>
      <w:proofErr w:type="gramEnd"/>
      <w:r w:rsidRPr="007E77AF">
        <w:t xml:space="preserve"> seja utilizada a faculdade prevista no § </w:t>
      </w:r>
      <w:r w:rsidR="00524C52" w:rsidRPr="007E77AF">
        <w:t>2</w:t>
      </w:r>
      <w:r w:rsidRPr="007E77AF">
        <w:t>º do art.</w:t>
      </w:r>
      <w:r w:rsidR="001C51E2" w:rsidRPr="007E77AF">
        <w:t xml:space="preserve"> </w:t>
      </w:r>
      <w:r w:rsidR="00F5420B">
        <w:t>61</w:t>
      </w:r>
      <w:r w:rsidRPr="007E77AF">
        <w:t>, o investidor pode estipular no pedido de reserva como condição de sua confirmação preço máximo para subscrição e taxa de juros mínima de remuneração.</w:t>
      </w:r>
    </w:p>
    <w:p w14:paraId="0D530A6F" w14:textId="4CDA5FB3" w:rsidR="00D74986" w:rsidRPr="007E77AF" w:rsidRDefault="000740FA" w:rsidP="00D74986">
      <w:pPr>
        <w:spacing w:before="120" w:after="120" w:line="312" w:lineRule="auto"/>
        <w:ind w:firstLine="567"/>
        <w:jc w:val="both"/>
      </w:pPr>
      <w:r w:rsidRPr="007E77AF">
        <w:t xml:space="preserve">§ </w:t>
      </w:r>
      <w:r w:rsidR="004C2ECD" w:rsidRPr="007E77AF">
        <w:t>4</w:t>
      </w:r>
      <w:proofErr w:type="gramStart"/>
      <w:r w:rsidR="009F60AF" w:rsidRPr="007E77AF">
        <w:t>º</w:t>
      </w:r>
      <w:r w:rsidRPr="007E77AF">
        <w:t xml:space="preserve">  A</w:t>
      </w:r>
      <w:proofErr w:type="gramEnd"/>
      <w:r w:rsidRPr="007E77AF">
        <w:t xml:space="preserve"> solicitação de reserva constitui </w:t>
      </w:r>
      <w:r w:rsidR="008E34AF" w:rsidRPr="007E77AF">
        <w:t>ato</w:t>
      </w:r>
      <w:r w:rsidR="00FA685F" w:rsidRPr="007E77AF">
        <w:t xml:space="preserve"> </w:t>
      </w:r>
      <w:r w:rsidRPr="007E77AF">
        <w:t>de aceitaç</w:t>
      </w:r>
      <w:r w:rsidR="004C2ECD" w:rsidRPr="007E77AF">
        <w:t>ão dos t</w:t>
      </w:r>
      <w:r w:rsidR="0007329C" w:rsidRPr="007E77AF">
        <w:t>e</w:t>
      </w:r>
      <w:r w:rsidR="004C2ECD" w:rsidRPr="007E77AF">
        <w:t xml:space="preserve">rmos e condições da oferta pública de valores mobiliários e tem caráter irrevogável, </w:t>
      </w:r>
      <w:r w:rsidR="0049477A" w:rsidRPr="007E77AF">
        <w:t>ressalvado</w:t>
      </w:r>
      <w:r w:rsidR="0007329C" w:rsidRPr="007E77AF">
        <w:t xml:space="preserve"> o disposto no § 5</w:t>
      </w:r>
      <w:r w:rsidR="009F60AF" w:rsidRPr="007E77AF">
        <w:t>º</w:t>
      </w:r>
      <w:r w:rsidR="0007329C" w:rsidRPr="007E77AF">
        <w:t xml:space="preserve"> deste artigo e nas Seções VI a X deste </w:t>
      </w:r>
      <w:r w:rsidR="005A2046" w:rsidRPr="007E77AF">
        <w:t>C</w:t>
      </w:r>
      <w:r w:rsidR="0007329C" w:rsidRPr="007E77AF">
        <w:t>apítulo.</w:t>
      </w:r>
      <w:r w:rsidRPr="007E77AF">
        <w:t xml:space="preserve"> </w:t>
      </w:r>
    </w:p>
    <w:p w14:paraId="1F22CBFD" w14:textId="6A00C605" w:rsidR="00D74986" w:rsidRPr="007E77AF" w:rsidRDefault="00D463F1" w:rsidP="00D74986">
      <w:pPr>
        <w:spacing w:before="120" w:after="120" w:line="312" w:lineRule="auto"/>
        <w:ind w:firstLine="567"/>
        <w:jc w:val="both"/>
      </w:pPr>
      <w:r w:rsidRPr="007E77AF">
        <w:t>§</w:t>
      </w:r>
      <w:r w:rsidR="004C2ECD" w:rsidRPr="007E77AF">
        <w:t xml:space="preserve"> 5</w:t>
      </w:r>
      <w:proofErr w:type="gramStart"/>
      <w:r w:rsidRPr="007E77AF">
        <w:t>º  Mesmo</w:t>
      </w:r>
      <w:proofErr w:type="gramEnd"/>
      <w:r w:rsidRPr="007E77AF">
        <w:t xml:space="preserve"> que o </w:t>
      </w:r>
      <w:r w:rsidR="2D303AA0" w:rsidRPr="007E77AF">
        <w:t>p</w:t>
      </w:r>
      <w:r w:rsidR="00115C9E" w:rsidRPr="007E77AF">
        <w:t xml:space="preserve">rospecto </w:t>
      </w:r>
      <w:r w:rsidR="1F59C13D" w:rsidRPr="007E77AF">
        <w:t>p</w:t>
      </w:r>
      <w:r w:rsidR="00115C9E" w:rsidRPr="007E77AF">
        <w:t>reliminar</w:t>
      </w:r>
      <w:r w:rsidR="00246B36" w:rsidRPr="007E77AF">
        <w:t xml:space="preserve"> </w:t>
      </w:r>
      <w:r w:rsidRPr="007E77AF">
        <w:t xml:space="preserve">não estipule a possibilidade de desistência do pedido de reservas, esta pode ocorrer, sem ônus para o subscritor ou adquirente, caso haja divergência relevante entre as informações constantes </w:t>
      </w:r>
      <w:r w:rsidR="00FA685F" w:rsidRPr="007E77AF">
        <w:t xml:space="preserve">do </w:t>
      </w:r>
      <w:r w:rsidR="368F5716" w:rsidRPr="007E77AF">
        <w:t>p</w:t>
      </w:r>
      <w:r w:rsidR="00FA685F" w:rsidRPr="007E77AF">
        <w:t xml:space="preserve">rospecto </w:t>
      </w:r>
      <w:r w:rsidR="667543B2" w:rsidRPr="007E77AF">
        <w:t>p</w:t>
      </w:r>
      <w:r w:rsidR="00FA685F" w:rsidRPr="007E77AF">
        <w:t xml:space="preserve">reliminar </w:t>
      </w:r>
      <w:r w:rsidRPr="007E77AF">
        <w:t xml:space="preserve">e do </w:t>
      </w:r>
      <w:r w:rsidR="27B6D35A" w:rsidRPr="007E77AF">
        <w:t>p</w:t>
      </w:r>
      <w:r w:rsidRPr="007E77AF">
        <w:t xml:space="preserve">rospecto </w:t>
      </w:r>
      <w:r w:rsidR="3A767AFA" w:rsidRPr="007E77AF">
        <w:t>d</w:t>
      </w:r>
      <w:r w:rsidRPr="007E77AF">
        <w:t>efinitivo que altere substancialmente o risco assumido pelo investidor ou a sua decisão de investimento</w:t>
      </w:r>
      <w:r w:rsidR="009E6620" w:rsidRPr="007E77AF">
        <w:t xml:space="preserve">, devendo ser observado o art. </w:t>
      </w:r>
      <w:r w:rsidR="00436C66">
        <w:t>69</w:t>
      </w:r>
      <w:r w:rsidRPr="007E77AF">
        <w:t>.</w:t>
      </w:r>
    </w:p>
    <w:p w14:paraId="703F0155" w14:textId="1EB94F71" w:rsidR="00D74986" w:rsidRPr="007E77AF" w:rsidRDefault="00246B36" w:rsidP="00D74986">
      <w:pPr>
        <w:spacing w:before="120" w:after="120" w:line="312" w:lineRule="auto"/>
        <w:ind w:firstLine="567"/>
        <w:jc w:val="both"/>
      </w:pPr>
      <w:r w:rsidRPr="007E77AF">
        <w:lastRenderedPageBreak/>
        <w:t xml:space="preserve">§ </w:t>
      </w:r>
      <w:r w:rsidR="00997428" w:rsidRPr="007E77AF">
        <w:t>6</w:t>
      </w:r>
      <w:proofErr w:type="gramStart"/>
      <w:r w:rsidR="009F60AF" w:rsidRPr="007E77AF">
        <w:t>º</w:t>
      </w:r>
      <w:r w:rsidRPr="007E77AF">
        <w:t xml:space="preserve">  </w:t>
      </w:r>
      <w:r w:rsidR="00D37EB6" w:rsidRPr="007E77AF">
        <w:t>A</w:t>
      </w:r>
      <w:proofErr w:type="gramEnd"/>
      <w:r w:rsidR="007128B7" w:rsidRPr="007E77AF">
        <w:t xml:space="preserve"> solicitação de reserva pode ser disponibilizad</w:t>
      </w:r>
      <w:r w:rsidR="00D37EB6" w:rsidRPr="007E77AF">
        <w:t>a</w:t>
      </w:r>
      <w:r w:rsidR="007128B7" w:rsidRPr="007E77AF">
        <w:t xml:space="preserve"> e assinad</w:t>
      </w:r>
      <w:r w:rsidR="00603806" w:rsidRPr="007E77AF">
        <w:t>a</w:t>
      </w:r>
      <w:r w:rsidR="007128B7" w:rsidRPr="007E77AF">
        <w:t xml:space="preserve"> pelo investidor em formato digital, e deve, obrigatoriamente:</w:t>
      </w:r>
      <w:r w:rsidRPr="007E77AF">
        <w:t xml:space="preserve"> </w:t>
      </w:r>
    </w:p>
    <w:p w14:paraId="7133330F" w14:textId="3AB98F26" w:rsidR="00D74986" w:rsidRPr="007E77AF" w:rsidRDefault="00B1179F" w:rsidP="00D74986">
      <w:pPr>
        <w:spacing w:before="120" w:after="120" w:line="312" w:lineRule="auto"/>
        <w:ind w:firstLine="567"/>
        <w:jc w:val="both"/>
      </w:pPr>
      <w:r w:rsidRPr="007E77AF">
        <w:t xml:space="preserve">I </w:t>
      </w:r>
      <w:proofErr w:type="gramStart"/>
      <w:r w:rsidRPr="007E77AF">
        <w:t xml:space="preserve">– </w:t>
      </w:r>
      <w:r w:rsidR="00246B36" w:rsidRPr="007E77AF">
        <w:t xml:space="preserve"> </w:t>
      </w:r>
      <w:r w:rsidR="007128B7" w:rsidRPr="007E77AF">
        <w:t>conter</w:t>
      </w:r>
      <w:proofErr w:type="gramEnd"/>
      <w:r w:rsidR="007128B7" w:rsidRPr="007E77AF">
        <w:t xml:space="preserve"> as </w:t>
      </w:r>
      <w:r w:rsidR="00246B36" w:rsidRPr="007E77AF">
        <w:t>condições de integralização, subscrição ou aquisição de sobras, se for o caso;</w:t>
      </w:r>
    </w:p>
    <w:p w14:paraId="6628DB61" w14:textId="7BB57CC4" w:rsidR="00D74986" w:rsidRPr="007E77AF" w:rsidRDefault="00B1179F" w:rsidP="00D74986">
      <w:pPr>
        <w:spacing w:before="120" w:after="120" w:line="312" w:lineRule="auto"/>
        <w:ind w:firstLine="567"/>
        <w:jc w:val="both"/>
      </w:pPr>
      <w:r w:rsidRPr="007E77AF">
        <w:t>II –</w:t>
      </w:r>
      <w:r w:rsidR="00246B36" w:rsidRPr="007E77AF">
        <w:t xml:space="preserve"> </w:t>
      </w:r>
      <w:proofErr w:type="gramStart"/>
      <w:r w:rsidR="007128B7" w:rsidRPr="007E77AF">
        <w:t>conter</w:t>
      </w:r>
      <w:proofErr w:type="gramEnd"/>
      <w:r w:rsidR="007128B7" w:rsidRPr="007E77AF">
        <w:t xml:space="preserve"> as </w:t>
      </w:r>
      <w:r w:rsidR="00246B36" w:rsidRPr="007E77AF">
        <w:t>condições aplicáveis caso a oferta conte com a possibilidade de distribuição parcial;</w:t>
      </w:r>
    </w:p>
    <w:p w14:paraId="361F9E14" w14:textId="3FE40484" w:rsidR="00D74986" w:rsidRPr="007E77AF" w:rsidRDefault="00B1179F" w:rsidP="00D74986">
      <w:pPr>
        <w:spacing w:before="120" w:after="120" w:line="312" w:lineRule="auto"/>
        <w:ind w:firstLine="567"/>
        <w:jc w:val="both"/>
      </w:pPr>
      <w:r w:rsidRPr="007E77AF">
        <w:t>III –</w:t>
      </w:r>
      <w:r w:rsidR="00246B36" w:rsidRPr="007E77AF">
        <w:t xml:space="preserve"> </w:t>
      </w:r>
      <w:r w:rsidR="00786BD6" w:rsidRPr="007E77AF">
        <w:t>cientificar</w:t>
      </w:r>
      <w:r w:rsidR="00E436A3" w:rsidRPr="007E77AF">
        <w:t>, com destaque,</w:t>
      </w:r>
      <w:r w:rsidR="00786BD6" w:rsidRPr="007E77AF">
        <w:t xml:space="preserve"> que a oferta original foi alterada nos casos de modificação de oferta;</w:t>
      </w:r>
    </w:p>
    <w:p w14:paraId="617A9D00" w14:textId="77777777" w:rsidR="00D74986" w:rsidRPr="007E77AF" w:rsidRDefault="00B1179F" w:rsidP="00D74986">
      <w:pPr>
        <w:spacing w:before="120" w:after="120" w:line="312" w:lineRule="auto"/>
        <w:ind w:firstLine="567"/>
        <w:jc w:val="both"/>
      </w:pPr>
      <w:r w:rsidRPr="007E77AF">
        <w:t>IV –</w:t>
      </w:r>
      <w:r w:rsidR="00E436A3" w:rsidRPr="007E77AF">
        <w:t xml:space="preserve"> </w:t>
      </w:r>
      <w:proofErr w:type="gramStart"/>
      <w:r w:rsidR="00E436A3" w:rsidRPr="007E77AF">
        <w:t>incluir</w:t>
      </w:r>
      <w:proofErr w:type="gramEnd"/>
      <w:r w:rsidR="00E436A3" w:rsidRPr="007E77AF">
        <w:t xml:space="preserve"> declaração assinada pelo subscritor ou adquirente de haver obtido exemplar do </w:t>
      </w:r>
      <w:r w:rsidR="38CCB24D" w:rsidRPr="007E77AF">
        <w:t>p</w:t>
      </w:r>
      <w:r w:rsidR="00E436A3" w:rsidRPr="007E77AF">
        <w:t xml:space="preserve">rospecto </w:t>
      </w:r>
      <w:r w:rsidR="1F260A68" w:rsidRPr="007E77AF">
        <w:t>p</w:t>
      </w:r>
      <w:r w:rsidR="00E436A3" w:rsidRPr="007E77AF">
        <w:t>reliminar e de que tem conhecimento das novas condições na hipótese de modifica</w:t>
      </w:r>
      <w:r w:rsidR="0CC3258E" w:rsidRPr="007E77AF">
        <w:t>ç</w:t>
      </w:r>
      <w:r w:rsidR="00E436A3" w:rsidRPr="007E77AF">
        <w:t>ão de oferta; e</w:t>
      </w:r>
    </w:p>
    <w:p w14:paraId="68501065" w14:textId="77777777" w:rsidR="00D74986" w:rsidRPr="007E77AF" w:rsidRDefault="00B1179F" w:rsidP="00D74986">
      <w:pPr>
        <w:spacing w:before="120" w:after="120" w:line="312" w:lineRule="auto"/>
        <w:ind w:firstLine="567"/>
        <w:jc w:val="both"/>
      </w:pPr>
      <w:r w:rsidRPr="007E77AF">
        <w:t>V –</w:t>
      </w:r>
      <w:r w:rsidR="00786BD6" w:rsidRPr="007E77AF">
        <w:t xml:space="preserve"> </w:t>
      </w:r>
      <w:proofErr w:type="gramStart"/>
      <w:r w:rsidR="00246B36" w:rsidRPr="007E77AF">
        <w:t>possibilitar</w:t>
      </w:r>
      <w:proofErr w:type="gramEnd"/>
      <w:r w:rsidR="00246B36" w:rsidRPr="007E77AF">
        <w:t xml:space="preserve"> a identificação da condição de investidor vinculado à oferta</w:t>
      </w:r>
      <w:r w:rsidR="00E436A3" w:rsidRPr="007E77AF">
        <w:t>.</w:t>
      </w:r>
    </w:p>
    <w:p w14:paraId="42EA3D27" w14:textId="48D5F637" w:rsidR="00D74986" w:rsidRPr="007E77AF" w:rsidRDefault="00765C54" w:rsidP="00D74986">
      <w:pPr>
        <w:spacing w:before="120" w:after="120" w:line="312" w:lineRule="auto"/>
        <w:ind w:firstLine="567"/>
        <w:jc w:val="both"/>
      </w:pPr>
      <w:r w:rsidRPr="007E77AF">
        <w:t>§ 7</w:t>
      </w:r>
      <w:proofErr w:type="gramStart"/>
      <w:r w:rsidR="009F60AF" w:rsidRPr="007E77AF">
        <w:t>º</w:t>
      </w:r>
      <w:r w:rsidRPr="007E77AF">
        <w:t xml:space="preserve">  </w:t>
      </w:r>
      <w:r w:rsidR="00603806" w:rsidRPr="007E77AF">
        <w:t>A</w:t>
      </w:r>
      <w:proofErr w:type="gramEnd"/>
      <w:r w:rsidR="006B0447" w:rsidRPr="007E77AF">
        <w:t xml:space="preserve"> </w:t>
      </w:r>
      <w:r w:rsidR="007128B7" w:rsidRPr="007E77AF">
        <w:t xml:space="preserve">solicitação de reserva </w:t>
      </w:r>
      <w:r w:rsidR="00B1179F" w:rsidRPr="007E77AF">
        <w:t>assinad</w:t>
      </w:r>
      <w:r w:rsidR="006B0447" w:rsidRPr="007E77AF">
        <w:t>a</w:t>
      </w:r>
      <w:r w:rsidR="00B1179F" w:rsidRPr="007E77AF">
        <w:t xml:space="preserve"> </w:t>
      </w:r>
      <w:r w:rsidR="005D151D" w:rsidRPr="007E77AF">
        <w:t>d</w:t>
      </w:r>
      <w:r w:rsidR="007128B7" w:rsidRPr="007E77AF">
        <w:t>eve ser mantid</w:t>
      </w:r>
      <w:r w:rsidR="006B0447" w:rsidRPr="007E77AF">
        <w:t>a</w:t>
      </w:r>
      <w:r w:rsidR="007128B7" w:rsidRPr="007E77AF">
        <w:t xml:space="preserve"> à disposição da CVM nos termos do </w:t>
      </w:r>
      <w:r w:rsidR="0022161A" w:rsidRPr="007E77AF">
        <w:t xml:space="preserve">inciso </w:t>
      </w:r>
      <w:r w:rsidR="0086760A" w:rsidRPr="007E77AF">
        <w:t>XV</w:t>
      </w:r>
      <w:r w:rsidR="0022161A" w:rsidRPr="007E77AF">
        <w:t xml:space="preserve"> do </w:t>
      </w:r>
      <w:r w:rsidR="007128B7" w:rsidRPr="007E77AF">
        <w:t xml:space="preserve">art. </w:t>
      </w:r>
      <w:r w:rsidR="002A1683" w:rsidRPr="007E77AF">
        <w:t>8</w:t>
      </w:r>
      <w:r w:rsidR="002A1683">
        <w:t>3</w:t>
      </w:r>
      <w:r w:rsidRPr="007E77AF">
        <w:t>.</w:t>
      </w:r>
    </w:p>
    <w:p w14:paraId="120E2271" w14:textId="7C8074D8" w:rsidR="00D74986" w:rsidRPr="007E77AF" w:rsidRDefault="009069A1" w:rsidP="001353DC">
      <w:pPr>
        <w:spacing w:before="120" w:after="120" w:line="312" w:lineRule="auto"/>
        <w:ind w:firstLine="567"/>
        <w:jc w:val="both"/>
      </w:pPr>
      <w:r w:rsidRPr="007E77AF">
        <w:t xml:space="preserve">Art. </w:t>
      </w:r>
      <w:r w:rsidR="007C2B5E">
        <w:t>66</w:t>
      </w:r>
      <w:r w:rsidR="044ECDEF" w:rsidRPr="007E77AF">
        <w:t xml:space="preserve">.  Esta seção não se aplica </w:t>
      </w:r>
      <w:r w:rsidR="00BA5739" w:rsidRPr="007E77AF">
        <w:t>aos</w:t>
      </w:r>
      <w:r w:rsidR="044ECDEF" w:rsidRPr="007E77AF">
        <w:t xml:space="preserve"> investidores profissionais.</w:t>
      </w:r>
    </w:p>
    <w:p w14:paraId="206422DB" w14:textId="51E205BC" w:rsidR="00D74986" w:rsidRPr="007E77AF" w:rsidRDefault="00002143" w:rsidP="006B018B">
      <w:pPr>
        <w:pStyle w:val="Seo"/>
      </w:pPr>
      <w:bookmarkStart w:id="266" w:name="_Toc467256292"/>
      <w:bookmarkStart w:id="267" w:name="_Toc476216342"/>
      <w:bookmarkStart w:id="268" w:name="_Toc108516063"/>
      <w:bookmarkStart w:id="269" w:name="_Toc108203094"/>
      <w:bookmarkStart w:id="270" w:name="_Toc136502834"/>
      <w:r w:rsidRPr="007E77AF">
        <w:t xml:space="preserve">Seção </w:t>
      </w:r>
      <w:r w:rsidR="002F429B" w:rsidRPr="007E77AF">
        <w:t xml:space="preserve">X </w:t>
      </w:r>
      <w:r w:rsidR="0051636E" w:rsidRPr="007E77AF">
        <w:t>–</w:t>
      </w:r>
      <w:r w:rsidRPr="007E77AF">
        <w:t xml:space="preserve"> Alteração das </w:t>
      </w:r>
      <w:r w:rsidR="002F16A3" w:rsidRPr="007E77AF">
        <w:t>C</w:t>
      </w:r>
      <w:r w:rsidRPr="007E77AF">
        <w:t>ircunstâncias</w:t>
      </w:r>
      <w:r w:rsidR="0016456D" w:rsidRPr="007E77AF">
        <w:t>,</w:t>
      </w:r>
      <w:r w:rsidRPr="007E77AF">
        <w:t xml:space="preserve"> </w:t>
      </w:r>
      <w:r w:rsidR="002F16A3" w:rsidRPr="007E77AF">
        <w:t>M</w:t>
      </w:r>
      <w:r w:rsidRPr="007E77AF">
        <w:t>odificação</w:t>
      </w:r>
      <w:bookmarkEnd w:id="266"/>
      <w:bookmarkEnd w:id="267"/>
      <w:r w:rsidR="0016456D" w:rsidRPr="007E77AF">
        <w:t xml:space="preserve"> ou Revogação</w:t>
      </w:r>
      <w:bookmarkEnd w:id="268"/>
      <w:bookmarkEnd w:id="269"/>
      <w:bookmarkEnd w:id="270"/>
    </w:p>
    <w:p w14:paraId="62D24122" w14:textId="0411DA13" w:rsidR="00D74986" w:rsidRPr="007E77AF" w:rsidRDefault="009069A1" w:rsidP="001353DC">
      <w:pPr>
        <w:keepNext/>
        <w:spacing w:before="120" w:after="120" w:line="312" w:lineRule="auto"/>
        <w:ind w:firstLine="567"/>
        <w:jc w:val="both"/>
      </w:pPr>
      <w:bookmarkStart w:id="271" w:name="_Ref467240642"/>
      <w:bookmarkStart w:id="272" w:name="_Ref460492026"/>
      <w:r w:rsidRPr="007E77AF">
        <w:t xml:space="preserve">Art. </w:t>
      </w:r>
      <w:r w:rsidR="007C2B5E">
        <w:t>67</w:t>
      </w:r>
      <w:r w:rsidR="359C72BB" w:rsidRPr="007E77AF">
        <w:t xml:space="preserve">. </w:t>
      </w:r>
      <w:r w:rsidR="009641C4">
        <w:t xml:space="preserve"> </w:t>
      </w:r>
      <w:r w:rsidR="359C72BB" w:rsidRPr="007E77AF">
        <w:t>Havendo, a juízo da CVM, alteração substancial, posterior e imprevisível nas circunstâncias de fato existentes quando d</w:t>
      </w:r>
      <w:r w:rsidR="2D9C392E" w:rsidRPr="007E77AF">
        <w:t>o</w:t>
      </w:r>
      <w:r w:rsidR="359C72BB" w:rsidRPr="007E77AF">
        <w:t xml:space="preserve"> </w:t>
      </w:r>
      <w:r w:rsidR="2D9C392E" w:rsidRPr="007E77AF">
        <w:t xml:space="preserve">protocolo </w:t>
      </w:r>
      <w:r w:rsidR="359C72BB" w:rsidRPr="007E77AF">
        <w:t xml:space="preserve">do </w:t>
      </w:r>
      <w:r w:rsidR="2D9C392E" w:rsidRPr="007E77AF">
        <w:t xml:space="preserve">requerimento </w:t>
      </w:r>
      <w:r w:rsidR="359C72BB" w:rsidRPr="007E77AF">
        <w:t xml:space="preserve">de registro de </w:t>
      </w:r>
      <w:r w:rsidR="7F690FEF" w:rsidRPr="007E77AF">
        <w:t xml:space="preserve">oferta pública de </w:t>
      </w:r>
      <w:r w:rsidR="359C72BB" w:rsidRPr="007E77AF">
        <w:t xml:space="preserve">distribuição, ou que o fundamentem, </w:t>
      </w:r>
      <w:r w:rsidR="1385DCFE" w:rsidRPr="007E77AF">
        <w:t>a SRE pode:</w:t>
      </w:r>
      <w:bookmarkEnd w:id="271"/>
      <w:bookmarkEnd w:id="272"/>
    </w:p>
    <w:p w14:paraId="4E157689" w14:textId="3BE7B324" w:rsidR="00D74986" w:rsidRPr="007E77AF" w:rsidRDefault="009069A1" w:rsidP="001353DC">
      <w:pPr>
        <w:spacing w:before="120" w:after="120" w:line="312" w:lineRule="auto"/>
        <w:ind w:firstLine="567"/>
        <w:jc w:val="both"/>
      </w:pPr>
      <w:r w:rsidRPr="007E77AF">
        <w:t>I</w:t>
      </w:r>
      <w:r w:rsidR="1385DCFE" w:rsidRPr="007E77AF">
        <w:t xml:space="preserve"> – </w:t>
      </w:r>
      <w:proofErr w:type="gramStart"/>
      <w:r w:rsidR="007308DF" w:rsidRPr="007E77AF">
        <w:t>deferir</w:t>
      </w:r>
      <w:proofErr w:type="gramEnd"/>
      <w:r w:rsidR="007308DF" w:rsidRPr="007E77AF">
        <w:t xml:space="preserve"> requerimento </w:t>
      </w:r>
      <w:r w:rsidR="1385DCFE" w:rsidRPr="007E77AF">
        <w:t>de modificação da oferta;</w:t>
      </w:r>
    </w:p>
    <w:p w14:paraId="2219A22F" w14:textId="35B8895C" w:rsidR="00D74986" w:rsidRPr="007E77AF" w:rsidRDefault="009069A1" w:rsidP="001353DC">
      <w:pPr>
        <w:spacing w:before="120" w:after="120" w:line="312" w:lineRule="auto"/>
        <w:ind w:firstLine="567"/>
        <w:jc w:val="both"/>
      </w:pPr>
      <w:r w:rsidRPr="007E77AF">
        <w:t>II</w:t>
      </w:r>
      <w:r w:rsidR="1385DCFE" w:rsidRPr="007E77AF">
        <w:t xml:space="preserve"> – </w:t>
      </w:r>
      <w:proofErr w:type="gramStart"/>
      <w:r w:rsidR="1385DCFE" w:rsidRPr="007E77AF">
        <w:t>reconhecer</w:t>
      </w:r>
      <w:proofErr w:type="gramEnd"/>
      <w:r w:rsidR="1385DCFE" w:rsidRPr="007E77AF">
        <w:t xml:space="preserve"> a ocorrência de modificação da oferta e tomar as providências cabíveis</w:t>
      </w:r>
      <w:r w:rsidR="3052DD7E" w:rsidRPr="007E77AF">
        <w:t>; ou</w:t>
      </w:r>
    </w:p>
    <w:p w14:paraId="3D1EE8D6" w14:textId="44AE3F2D"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III</w:t>
      </w:r>
      <w:r w:rsidR="00D10B91" w:rsidRPr="007E77AF">
        <w:t xml:space="preserve"> </w:t>
      </w:r>
      <w:r w:rsidR="3052DD7E" w:rsidRPr="007E77AF">
        <w:t xml:space="preserve">– caso a situação descrita no </w:t>
      </w:r>
      <w:r w:rsidR="3052DD7E" w:rsidRPr="007E77AF">
        <w:rPr>
          <w:b/>
          <w:bCs/>
        </w:rPr>
        <w:t>caput</w:t>
      </w:r>
      <w:r w:rsidR="3052DD7E" w:rsidRPr="007E77AF">
        <w:t xml:space="preserve"> acarrete aumento relevante dos riscos inerentes à própria oferta, </w:t>
      </w:r>
      <w:r w:rsidR="007308DF" w:rsidRPr="007E77AF">
        <w:t>deferir</w:t>
      </w:r>
      <w:r w:rsidR="3052DD7E" w:rsidRPr="007E77AF">
        <w:t xml:space="preserve"> </w:t>
      </w:r>
      <w:r w:rsidR="007308DF" w:rsidRPr="007E77AF">
        <w:t>requerimento</w:t>
      </w:r>
      <w:r w:rsidR="3052DD7E" w:rsidRPr="007E77AF">
        <w:t xml:space="preserve"> de revogação da oferta.</w:t>
      </w:r>
    </w:p>
    <w:p w14:paraId="719A0B4D" w14:textId="5D1B8F14" w:rsidR="00A23E98" w:rsidRPr="007E77AF" w:rsidRDefault="00894BC8" w:rsidP="00E03101">
      <w:pPr>
        <w:spacing w:before="120" w:after="120" w:line="312" w:lineRule="auto"/>
        <w:ind w:firstLine="567"/>
        <w:jc w:val="both"/>
      </w:pPr>
      <w:r w:rsidRPr="007E77AF">
        <w:t xml:space="preserve">§ </w:t>
      </w:r>
      <w:r w:rsidR="00194950" w:rsidRPr="007E77AF">
        <w:t>1</w:t>
      </w:r>
      <w:proofErr w:type="gramStart"/>
      <w:r w:rsidRPr="007E77AF">
        <w:t>º  No</w:t>
      </w:r>
      <w:proofErr w:type="gramEnd"/>
      <w:r w:rsidRPr="007E77AF">
        <w:t xml:space="preserve"> caso de oferta </w:t>
      </w:r>
      <w:r w:rsidR="00912F3F" w:rsidRPr="007E77AF">
        <w:t>submetida ao</w:t>
      </w:r>
      <w:r w:rsidR="002F16A3" w:rsidRPr="007E77AF">
        <w:t xml:space="preserve"> </w:t>
      </w:r>
      <w:r w:rsidR="00210906" w:rsidRPr="007E77AF">
        <w:t>rito de</w:t>
      </w:r>
      <w:r w:rsidR="002F16A3" w:rsidRPr="007E77AF">
        <w:t xml:space="preserve"> registro</w:t>
      </w:r>
      <w:r w:rsidRPr="007E77AF">
        <w:t xml:space="preserve"> ordinário, a</w:t>
      </w:r>
      <w:r w:rsidR="00A23E98" w:rsidRPr="007E77AF">
        <w:t xml:space="preserve"> modificação d</w:t>
      </w:r>
      <w:r w:rsidRPr="007E77AF">
        <w:t>a</w:t>
      </w:r>
      <w:r w:rsidR="00A23E98" w:rsidRPr="007E77AF">
        <w:t xml:space="preserve"> oferta realizada após a concessão do registro da oferta</w:t>
      </w:r>
      <w:r w:rsidR="006470D5" w:rsidRPr="007E77AF">
        <w:t>, exceto se exclusivamente relacionada ao cronograma,</w:t>
      </w:r>
      <w:r w:rsidR="00A23E98" w:rsidRPr="007E77AF">
        <w:t xml:space="preserve"> deve</w:t>
      </w:r>
      <w:r w:rsidRPr="007E77AF">
        <w:t xml:space="preserve"> </w:t>
      </w:r>
      <w:r w:rsidR="00A23E98" w:rsidRPr="007E77AF">
        <w:t>ser submetida à aprovação prévia da SRE.</w:t>
      </w:r>
    </w:p>
    <w:p w14:paraId="351BBCAB" w14:textId="7DEA37FA" w:rsidR="00A23E98" w:rsidRPr="007E77AF" w:rsidRDefault="00894BC8" w:rsidP="00E03101">
      <w:pPr>
        <w:spacing w:before="120" w:after="120" w:line="312" w:lineRule="auto"/>
        <w:ind w:firstLine="567"/>
        <w:jc w:val="both"/>
      </w:pPr>
      <w:r w:rsidRPr="007E77AF">
        <w:t xml:space="preserve">§ </w:t>
      </w:r>
      <w:r w:rsidR="00194950" w:rsidRPr="007E77AF">
        <w:t>2</w:t>
      </w:r>
      <w:proofErr w:type="gramStart"/>
      <w:r w:rsidR="00194950" w:rsidRPr="007E77AF">
        <w:t>º</w:t>
      </w:r>
      <w:r w:rsidRPr="007E77AF">
        <w:t xml:space="preserve">  </w:t>
      </w:r>
      <w:r w:rsidR="00E918C9" w:rsidRPr="007E77AF">
        <w:t>No</w:t>
      </w:r>
      <w:proofErr w:type="gramEnd"/>
      <w:r w:rsidR="00E918C9" w:rsidRPr="007E77AF">
        <w:t xml:space="preserve"> caso de oferta submetida ao rito de registro automático</w:t>
      </w:r>
      <w:r w:rsidR="00A23E98" w:rsidRPr="007E77AF">
        <w:t xml:space="preserve">, a modificação de oferta não </w:t>
      </w:r>
      <w:r w:rsidR="00B64542" w:rsidRPr="007E77AF">
        <w:t xml:space="preserve">depende </w:t>
      </w:r>
      <w:r w:rsidR="00A23E98" w:rsidRPr="007E77AF">
        <w:t>de aprovação prévia da SRE.</w:t>
      </w:r>
    </w:p>
    <w:p w14:paraId="262ECAF2" w14:textId="2099F0DD" w:rsidR="00D74986" w:rsidRPr="007E77AF" w:rsidRDefault="00894BC8" w:rsidP="00D74986">
      <w:pPr>
        <w:spacing w:before="120" w:after="120" w:line="312" w:lineRule="auto"/>
        <w:ind w:firstLine="567"/>
        <w:jc w:val="both"/>
      </w:pPr>
      <w:r w:rsidRPr="007E77AF">
        <w:t xml:space="preserve">§ </w:t>
      </w:r>
      <w:r w:rsidR="00194950" w:rsidRPr="007E77AF">
        <w:t>3</w:t>
      </w:r>
      <w:proofErr w:type="gramStart"/>
      <w:r w:rsidRPr="007E77AF">
        <w:t xml:space="preserve">º  </w:t>
      </w:r>
      <w:r w:rsidR="00A23E98" w:rsidRPr="007E77AF">
        <w:t>A</w:t>
      </w:r>
      <w:proofErr w:type="gramEnd"/>
      <w:r w:rsidR="00A23E98" w:rsidRPr="007E77AF">
        <w:t xml:space="preserve"> modificação de oferta realizada anteriormente à concessão do registro da oferta</w:t>
      </w:r>
      <w:r w:rsidR="001C56D3" w:rsidRPr="007E77AF">
        <w:t xml:space="preserve"> não demanda aprovação prévia da SRE, </w:t>
      </w:r>
      <w:r w:rsidR="00CC04F4" w:rsidRPr="007E77AF">
        <w:t>porém, no caso de oferta sujeita ao rito de registro</w:t>
      </w:r>
      <w:r w:rsidR="00ED2427" w:rsidRPr="007E77AF">
        <w:t xml:space="preserve"> ordinário</w:t>
      </w:r>
      <w:r w:rsidR="00CC04F4" w:rsidRPr="007E77AF">
        <w:t>,</w:t>
      </w:r>
      <w:r w:rsidR="001C56D3" w:rsidRPr="007E77AF">
        <w:t xml:space="preserve"> será </w:t>
      </w:r>
      <w:r w:rsidR="00E30A89" w:rsidRPr="007E77AF">
        <w:lastRenderedPageBreak/>
        <w:t xml:space="preserve">analisada </w:t>
      </w:r>
      <w:r w:rsidR="00C621A0" w:rsidRPr="007E77AF">
        <w:t xml:space="preserve">no decorrer do período de </w:t>
      </w:r>
      <w:r w:rsidR="000B5852" w:rsidRPr="007E77AF">
        <w:t xml:space="preserve">análise do </w:t>
      </w:r>
      <w:r w:rsidR="00D73BD5" w:rsidRPr="007E77AF">
        <w:t>registro</w:t>
      </w:r>
      <w:r w:rsidR="00A23E98" w:rsidRPr="007E77AF">
        <w:t xml:space="preserve">, </w:t>
      </w:r>
      <w:r w:rsidR="004C3DBF" w:rsidRPr="007E77AF">
        <w:t>podendo</w:t>
      </w:r>
      <w:r w:rsidR="00A23E98" w:rsidRPr="007E77AF">
        <w:t xml:space="preserve"> </w:t>
      </w:r>
      <w:r w:rsidR="0083147A" w:rsidRPr="007E77AF">
        <w:t>configurar</w:t>
      </w:r>
      <w:r w:rsidR="00A23E98" w:rsidRPr="007E77AF">
        <w:t xml:space="preserve"> fato novo para fins do rito de análise previsto </w:t>
      </w:r>
      <w:r w:rsidR="0083147A" w:rsidRPr="007E77AF">
        <w:t>na S</w:t>
      </w:r>
      <w:r w:rsidR="00656CEB" w:rsidRPr="007E77AF">
        <w:t>ub</w:t>
      </w:r>
      <w:r w:rsidR="004D281A" w:rsidRPr="007E77AF">
        <w:t>s</w:t>
      </w:r>
      <w:r w:rsidR="0083147A" w:rsidRPr="007E77AF">
        <w:t xml:space="preserve">eção </w:t>
      </w:r>
      <w:r w:rsidR="00656CEB" w:rsidRPr="007E77AF">
        <w:t>IV da Seção I</w:t>
      </w:r>
      <w:r w:rsidR="0087171B" w:rsidRPr="007E77AF">
        <w:t>II</w:t>
      </w:r>
      <w:r w:rsidR="00656CEB" w:rsidRPr="007E77AF">
        <w:t xml:space="preserve"> </w:t>
      </w:r>
      <w:r w:rsidR="0083147A" w:rsidRPr="007E77AF">
        <w:t xml:space="preserve">do Capítulo </w:t>
      </w:r>
      <w:r w:rsidR="000746FB" w:rsidRPr="007E77AF">
        <w:t>I</w:t>
      </w:r>
      <w:r w:rsidR="0083147A" w:rsidRPr="007E77AF">
        <w:t>V</w:t>
      </w:r>
      <w:r w:rsidR="00A23E98" w:rsidRPr="007E77AF">
        <w:t xml:space="preserve"> desta Resolução.</w:t>
      </w:r>
    </w:p>
    <w:p w14:paraId="23B0FB4F" w14:textId="77777777" w:rsidR="00CC557A" w:rsidRPr="007E77AF" w:rsidRDefault="0083147A" w:rsidP="00E03101">
      <w:pPr>
        <w:spacing w:before="120" w:after="120" w:line="312" w:lineRule="auto"/>
        <w:ind w:firstLine="567"/>
        <w:jc w:val="both"/>
      </w:pPr>
      <w:r w:rsidRPr="007E77AF">
        <w:t xml:space="preserve">§ </w:t>
      </w:r>
      <w:r w:rsidR="00194950" w:rsidRPr="007E77AF">
        <w:t>4</w:t>
      </w:r>
      <w:proofErr w:type="gramStart"/>
      <w:r w:rsidR="0016456D" w:rsidRPr="007E77AF">
        <w:t>º  O</w:t>
      </w:r>
      <w:proofErr w:type="gramEnd"/>
      <w:r w:rsidR="0016456D" w:rsidRPr="007E77AF">
        <w:t xml:space="preserve"> </w:t>
      </w:r>
      <w:r w:rsidR="007308DF" w:rsidRPr="007E77AF">
        <w:t>requerimento</w:t>
      </w:r>
      <w:r w:rsidR="0016456D" w:rsidRPr="007E77AF">
        <w:t xml:space="preserve"> de revogação ou de modificação da oferta </w:t>
      </w:r>
      <w:r w:rsidR="0D5D1D6E" w:rsidRPr="007E77AF">
        <w:t>deve ser</w:t>
      </w:r>
      <w:r w:rsidR="00B73CC0" w:rsidRPr="007E77AF">
        <w:t xml:space="preserve"> </w:t>
      </w:r>
      <w:r w:rsidR="00A23E98" w:rsidRPr="007E77AF">
        <w:t>analisad</w:t>
      </w:r>
      <w:r w:rsidR="0016456D" w:rsidRPr="007E77AF">
        <w:t>o</w:t>
      </w:r>
      <w:r w:rsidR="00A23E98" w:rsidRPr="007E77AF">
        <w:t xml:space="preserve"> </w:t>
      </w:r>
      <w:r w:rsidR="0016456D" w:rsidRPr="007E77AF">
        <w:t>pela SR</w:t>
      </w:r>
      <w:r w:rsidR="004C543E" w:rsidRPr="007E77AF">
        <w:t>E</w:t>
      </w:r>
      <w:r w:rsidR="0016456D" w:rsidRPr="007E77AF">
        <w:t xml:space="preserve"> </w:t>
      </w:r>
      <w:r w:rsidR="00A23E98" w:rsidRPr="007E77AF">
        <w:t>em 10</w:t>
      </w:r>
      <w:r w:rsidR="16D35871" w:rsidRPr="007E77AF">
        <w:t xml:space="preserve"> (dez)</w:t>
      </w:r>
      <w:r w:rsidR="00A23E98" w:rsidRPr="007E77AF">
        <w:t xml:space="preserve"> dias úteis contados da data do protocolo do pleito na CVM, acompanhado de todos os documentos e informações necessários à sua análise, </w:t>
      </w:r>
      <w:r w:rsidR="00C209F6" w:rsidRPr="007E77AF">
        <w:t xml:space="preserve">sendo que, </w:t>
      </w:r>
      <w:r w:rsidR="00A23E98" w:rsidRPr="007E77AF">
        <w:t xml:space="preserve">após </w:t>
      </w:r>
      <w:r w:rsidR="00C209F6" w:rsidRPr="007E77AF">
        <w:t xml:space="preserve">esse período, </w:t>
      </w:r>
      <w:r w:rsidR="00A23E98" w:rsidRPr="007E77AF">
        <w:t xml:space="preserve">o </w:t>
      </w:r>
      <w:r w:rsidR="007308DF" w:rsidRPr="007E77AF">
        <w:t>requerimento</w:t>
      </w:r>
      <w:r w:rsidR="0016456D" w:rsidRPr="007E77AF">
        <w:t xml:space="preserve"> </w:t>
      </w:r>
      <w:r w:rsidR="00A23E98" w:rsidRPr="007E77AF">
        <w:t xml:space="preserve">pode ser deferido, indeferido ou </w:t>
      </w:r>
      <w:r w:rsidR="00B73CC0" w:rsidRPr="007E77AF">
        <w:t xml:space="preserve">podem </w:t>
      </w:r>
      <w:r w:rsidR="00A23E98" w:rsidRPr="007E77AF">
        <w:t>ser comunicadas exigências a serem atendidas.</w:t>
      </w:r>
    </w:p>
    <w:p w14:paraId="20D83DCC" w14:textId="6F298D7E" w:rsidR="00D74986" w:rsidRPr="007E77AF" w:rsidRDefault="0083147A" w:rsidP="00D74986">
      <w:pPr>
        <w:spacing w:before="120" w:after="120" w:line="312" w:lineRule="auto"/>
        <w:ind w:firstLine="567"/>
        <w:jc w:val="both"/>
      </w:pPr>
      <w:r w:rsidRPr="007E77AF">
        <w:t xml:space="preserve">§ </w:t>
      </w:r>
      <w:r w:rsidR="00194950" w:rsidRPr="007E77AF">
        <w:t>5</w:t>
      </w:r>
      <w:proofErr w:type="gramStart"/>
      <w:r w:rsidRPr="007E77AF">
        <w:t xml:space="preserve">º  </w:t>
      </w:r>
      <w:r w:rsidR="00A23E98" w:rsidRPr="007E77AF">
        <w:t>A</w:t>
      </w:r>
      <w:proofErr w:type="gramEnd"/>
      <w:r w:rsidR="00A23E98" w:rsidRPr="007E77AF">
        <w:t xml:space="preserve"> SRE </w:t>
      </w:r>
      <w:r w:rsidR="00819630" w:rsidRPr="007E77AF">
        <w:t xml:space="preserve">deve </w:t>
      </w:r>
      <w:r w:rsidR="00A23E98" w:rsidRPr="007E77AF">
        <w:t>concede</w:t>
      </w:r>
      <w:r w:rsidR="7B2B3278" w:rsidRPr="007E77AF">
        <w:t>r</w:t>
      </w:r>
      <w:r w:rsidR="00A23E98" w:rsidRPr="007E77AF">
        <w:t xml:space="preserve"> igual prazo para atendimento a eventuais exigências formuladas no âmbito de </w:t>
      </w:r>
      <w:r w:rsidR="007308DF" w:rsidRPr="007E77AF">
        <w:t>requerimento</w:t>
      </w:r>
      <w:r w:rsidR="0016456D" w:rsidRPr="007E77AF">
        <w:t xml:space="preserve"> </w:t>
      </w:r>
      <w:r w:rsidR="00A23E98" w:rsidRPr="007E77AF">
        <w:t xml:space="preserve">de modificação </w:t>
      </w:r>
      <w:r w:rsidR="0016456D" w:rsidRPr="007E77AF">
        <w:t xml:space="preserve">ou revogação </w:t>
      </w:r>
      <w:r w:rsidR="00A23E98" w:rsidRPr="007E77AF">
        <w:t xml:space="preserve">de oferta, devendo deferir ou indeferir o </w:t>
      </w:r>
      <w:r w:rsidR="007308DF" w:rsidRPr="007E77AF">
        <w:t xml:space="preserve">requerimento </w:t>
      </w:r>
      <w:r w:rsidR="00A23E98" w:rsidRPr="007E77AF">
        <w:t xml:space="preserve">decorridos 10 </w:t>
      </w:r>
      <w:r w:rsidR="6474F33A" w:rsidRPr="007E77AF">
        <w:t>(dez)</w:t>
      </w:r>
      <w:r w:rsidR="00A23E98" w:rsidRPr="007E77AF">
        <w:t xml:space="preserve"> dias úteis do protocolo da resposta às exigências comunicadas.</w:t>
      </w:r>
    </w:p>
    <w:p w14:paraId="0B9CAC79" w14:textId="78B3F335" w:rsidR="00BE6841" w:rsidRPr="007E77AF" w:rsidRDefault="00BE6841" w:rsidP="00BE6841">
      <w:pPr>
        <w:spacing w:before="120" w:after="120" w:line="312" w:lineRule="auto"/>
        <w:ind w:firstLine="567"/>
        <w:jc w:val="both"/>
      </w:pPr>
      <w:r w:rsidRPr="007E77AF">
        <w:t xml:space="preserve">§ </w:t>
      </w:r>
      <w:r w:rsidR="007C2B5E">
        <w:t>6</w:t>
      </w:r>
      <w:proofErr w:type="gramStart"/>
      <w:r w:rsidR="007C2B5E">
        <w:t>º</w:t>
      </w:r>
      <w:r w:rsidRPr="002C67D2">
        <w:rPr>
          <w:u w:color="0070C0"/>
        </w:rPr>
        <w:t xml:space="preserve"> </w:t>
      </w:r>
      <w:r w:rsidRPr="007E77AF">
        <w:t xml:space="preserve"> O</w:t>
      </w:r>
      <w:proofErr w:type="gramEnd"/>
      <w:r w:rsidRPr="007E77AF">
        <w:t xml:space="preserve"> requerimento </w:t>
      </w:r>
      <w:r w:rsidR="00E93852" w:rsidRPr="007E77AF">
        <w:t xml:space="preserve">de modificação ou revogação de oferta </w:t>
      </w:r>
      <w:r w:rsidRPr="007E77AF">
        <w:t>é automaticamente deferido se não houver manifestação da SRE no</w:t>
      </w:r>
      <w:r w:rsidR="0020420C" w:rsidRPr="007E77AF">
        <w:t>s</w:t>
      </w:r>
      <w:r w:rsidRPr="007E77AF">
        <w:t xml:space="preserve"> prazo</w:t>
      </w:r>
      <w:r w:rsidR="0020420C" w:rsidRPr="007E77AF">
        <w:t>s</w:t>
      </w:r>
      <w:r w:rsidRPr="007E77AF">
        <w:t xml:space="preserve"> de que trata</w:t>
      </w:r>
      <w:r w:rsidR="0020420C" w:rsidRPr="007E77AF">
        <w:t>m</w:t>
      </w:r>
      <w:r w:rsidRPr="007E77AF">
        <w:t xml:space="preserve"> o</w:t>
      </w:r>
      <w:r w:rsidR="0020420C" w:rsidRPr="007E77AF">
        <w:t>s</w:t>
      </w:r>
      <w:r w:rsidRPr="007E77AF">
        <w:t xml:space="preserve"> </w:t>
      </w:r>
      <w:r w:rsidR="0020420C" w:rsidRPr="007E77AF">
        <w:t>§</w:t>
      </w:r>
      <w:r w:rsidRPr="007E77AF">
        <w:t>§ 4º</w:t>
      </w:r>
      <w:r w:rsidR="0020420C" w:rsidRPr="007E77AF">
        <w:t xml:space="preserve"> e 5º</w:t>
      </w:r>
      <w:r w:rsidRPr="007E77AF">
        <w:t>.</w:t>
      </w:r>
    </w:p>
    <w:p w14:paraId="66942B8E" w14:textId="7BCBBFD4" w:rsidR="00D74986" w:rsidRPr="007E77AF" w:rsidRDefault="004821EB" w:rsidP="00D74986">
      <w:pPr>
        <w:spacing w:before="120" w:after="120" w:line="312" w:lineRule="auto"/>
        <w:ind w:firstLine="567"/>
        <w:jc w:val="both"/>
      </w:pPr>
      <w:r w:rsidRPr="007E77AF">
        <w:t>§</w:t>
      </w:r>
      <w:r w:rsidR="0567CD0B" w:rsidRPr="007E77AF">
        <w:t xml:space="preserve"> </w:t>
      </w:r>
      <w:r w:rsidR="007C2B5E">
        <w:t>7</w:t>
      </w:r>
      <w:proofErr w:type="gramStart"/>
      <w:r w:rsidR="007C2B5E" w:rsidRPr="007E77AF">
        <w:t xml:space="preserve">º  </w:t>
      </w:r>
      <w:r w:rsidRPr="007E77AF">
        <w:t>Tendo</w:t>
      </w:r>
      <w:proofErr w:type="gramEnd"/>
      <w:r w:rsidRPr="007E77AF">
        <w:t xml:space="preserve"> sido deferida a modificação, a </w:t>
      </w:r>
      <w:r w:rsidR="00FC01CE" w:rsidRPr="007E77AF">
        <w:t xml:space="preserve">SRE </w:t>
      </w:r>
      <w:r w:rsidRPr="007E77AF">
        <w:t>pode</w:t>
      </w:r>
      <w:r w:rsidR="00484293" w:rsidRPr="007E77AF">
        <w:t>, uma única vez</w:t>
      </w:r>
      <w:r w:rsidRPr="007E77AF">
        <w:t xml:space="preserve">, por sua própria iniciativa ou a requerimento do ofertante, prorrogar o prazo </w:t>
      </w:r>
      <w:r w:rsidR="00DD3965" w:rsidRPr="007E77AF">
        <w:t xml:space="preserve">de distribuição </w:t>
      </w:r>
      <w:r w:rsidRPr="007E77AF">
        <w:t>da oferta por até 90 (noventa) dias.</w:t>
      </w:r>
    </w:p>
    <w:p w14:paraId="0D517BD4" w14:textId="42D0344F" w:rsidR="00D74986" w:rsidRPr="007E77AF" w:rsidRDefault="004821EB" w:rsidP="2334D682">
      <w:pPr>
        <w:spacing w:before="120" w:after="120" w:line="312" w:lineRule="auto"/>
        <w:ind w:firstLine="567"/>
        <w:jc w:val="both"/>
      </w:pPr>
      <w:r w:rsidRPr="007E77AF">
        <w:t>§</w:t>
      </w:r>
      <w:r w:rsidR="34E009E3" w:rsidRPr="007E77AF">
        <w:t xml:space="preserve"> </w:t>
      </w:r>
      <w:r w:rsidR="007C2B5E">
        <w:t>8</w:t>
      </w:r>
      <w:proofErr w:type="gramStart"/>
      <w:r w:rsidR="007C2B5E" w:rsidRPr="007E77AF">
        <w:t xml:space="preserve">º  </w:t>
      </w:r>
      <w:r w:rsidRPr="007E77AF">
        <w:t>É</w:t>
      </w:r>
      <w:proofErr w:type="gramEnd"/>
      <w:r w:rsidRPr="007E77AF">
        <w:t xml:space="preserve"> sempre permitida a modificação da oferta para melhorá-la em favor dos investidores</w:t>
      </w:r>
      <w:r w:rsidR="0016456D" w:rsidRPr="007E77AF">
        <w:t xml:space="preserve">, juízo que deve ser feito </w:t>
      </w:r>
      <w:r w:rsidR="001816EC">
        <w:t>pelo coordenador</w:t>
      </w:r>
      <w:r w:rsidR="0016456D" w:rsidRPr="007E77AF">
        <w:t xml:space="preserve"> </w:t>
      </w:r>
      <w:r w:rsidR="009622F6">
        <w:t>líder</w:t>
      </w:r>
      <w:r w:rsidR="0016456D" w:rsidRPr="007E77AF">
        <w:t xml:space="preserve"> em conjunto com o ofertante,</w:t>
      </w:r>
      <w:r w:rsidRPr="007E77AF">
        <w:t xml:space="preserve"> ou para renúncia </w:t>
      </w:r>
      <w:r w:rsidR="00B64542" w:rsidRPr="007E77AF">
        <w:t xml:space="preserve">à </w:t>
      </w:r>
      <w:r w:rsidRPr="007E77AF">
        <w:t>condição da oferta estabelecida pelo ofertante</w:t>
      </w:r>
      <w:r w:rsidR="0016456D" w:rsidRPr="007E77AF">
        <w:t xml:space="preserve">, </w:t>
      </w:r>
      <w:r w:rsidR="4FBB8165" w:rsidRPr="007E77AF">
        <w:t xml:space="preserve">não sendo necessário </w:t>
      </w:r>
      <w:r w:rsidR="007308DF" w:rsidRPr="007E77AF">
        <w:t>requerer</w:t>
      </w:r>
      <w:r w:rsidR="4FBB8165" w:rsidRPr="007E77AF">
        <w:t xml:space="preserve"> junto a SRE tal modificação, sem prejuízo dos dispostos no § </w:t>
      </w:r>
      <w:r w:rsidR="003770D7">
        <w:t>9</w:t>
      </w:r>
      <w:r w:rsidR="4FBB8165" w:rsidRPr="007E77AF">
        <w:t xml:space="preserve">º </w:t>
      </w:r>
      <w:r w:rsidR="004F21C1">
        <w:t xml:space="preserve">deste artigo </w:t>
      </w:r>
      <w:r w:rsidR="4FBB8165" w:rsidRPr="007E77AF">
        <w:t>e</w:t>
      </w:r>
      <w:r w:rsidR="006E5585">
        <w:t xml:space="preserve"> no art. </w:t>
      </w:r>
      <w:r w:rsidR="00356A4D">
        <w:t>69, § 2º</w:t>
      </w:r>
      <w:r w:rsidR="4FBB8165" w:rsidRPr="007E77AF">
        <w:t>.</w:t>
      </w:r>
    </w:p>
    <w:p w14:paraId="3DDCFAD8" w14:textId="78819189" w:rsidR="009D0FEB" w:rsidRPr="007E77AF" w:rsidRDefault="2445123F" w:rsidP="00777B60">
      <w:pPr>
        <w:spacing w:before="120" w:after="120" w:line="312" w:lineRule="auto"/>
        <w:ind w:firstLine="567"/>
        <w:jc w:val="both"/>
      </w:pPr>
      <w:r w:rsidRPr="007E77AF">
        <w:t>§</w:t>
      </w:r>
      <w:r w:rsidR="00777B60" w:rsidRPr="007E77AF">
        <w:t xml:space="preserve"> </w:t>
      </w:r>
      <w:r w:rsidR="007C2B5E">
        <w:t>9</w:t>
      </w:r>
      <w:proofErr w:type="gramStart"/>
      <w:r w:rsidR="00A901C0">
        <w:t xml:space="preserve">º </w:t>
      </w:r>
      <w:r w:rsidR="007C2B5E" w:rsidRPr="007E77AF">
        <w:t xml:space="preserve"> </w:t>
      </w:r>
      <w:r w:rsidRPr="007E77AF">
        <w:t>Na</w:t>
      </w:r>
      <w:proofErr w:type="gramEnd"/>
      <w:r w:rsidRPr="007E77AF">
        <w:t xml:space="preserve"> hipótese constante do §</w:t>
      </w:r>
      <w:r w:rsidR="00A901C0">
        <w:t xml:space="preserve"> </w:t>
      </w:r>
      <w:r w:rsidR="003770D7">
        <w:t>8</w:t>
      </w:r>
      <w:r w:rsidR="00A901C0">
        <w:t>º</w:t>
      </w:r>
      <w:r w:rsidR="009D0FEB" w:rsidRPr="007E77AF">
        <w:t>:</w:t>
      </w:r>
    </w:p>
    <w:p w14:paraId="599FFFA1" w14:textId="47E7396C" w:rsidR="00387485" w:rsidRPr="007E77AF" w:rsidRDefault="009D0FEB" w:rsidP="00777B60">
      <w:pPr>
        <w:spacing w:before="120" w:after="120" w:line="312" w:lineRule="auto"/>
        <w:ind w:firstLine="567"/>
        <w:jc w:val="both"/>
      </w:pPr>
      <w:r w:rsidRPr="007E77AF">
        <w:t xml:space="preserve">I – </w:t>
      </w:r>
      <w:r w:rsidR="2445123F" w:rsidRPr="007E77AF">
        <w:t>é obrigatória a comunicação da modificação à SRE</w:t>
      </w:r>
      <w:r w:rsidR="00387485" w:rsidRPr="007E77AF">
        <w:t>; e</w:t>
      </w:r>
    </w:p>
    <w:p w14:paraId="55D345FB" w14:textId="7A943AC0" w:rsidR="0016456D" w:rsidRPr="007E77AF" w:rsidRDefault="00387485" w:rsidP="00777B60">
      <w:pPr>
        <w:spacing w:before="120" w:after="120" w:line="312" w:lineRule="auto"/>
        <w:ind w:firstLine="567"/>
        <w:jc w:val="both"/>
      </w:pPr>
      <w:r w:rsidRPr="007E77AF">
        <w:t xml:space="preserve">II – </w:t>
      </w:r>
      <w:proofErr w:type="gramStart"/>
      <w:r w:rsidR="000A3B27" w:rsidRPr="007E77AF">
        <w:t>a</w:t>
      </w:r>
      <w:proofErr w:type="gramEnd"/>
      <w:r w:rsidR="000A3B27" w:rsidRPr="007E77AF">
        <w:t xml:space="preserve"> </w:t>
      </w:r>
      <w:r w:rsidR="00607673" w:rsidRPr="007E77AF">
        <w:t xml:space="preserve">requerimento do </w:t>
      </w:r>
      <w:r w:rsidR="00086724" w:rsidRPr="007E77AF">
        <w:t>ofer</w:t>
      </w:r>
      <w:r w:rsidR="00452875" w:rsidRPr="007E77AF">
        <w:t xml:space="preserve">tante, a SRE pode </w:t>
      </w:r>
      <w:r w:rsidR="009E2B40" w:rsidRPr="007E77AF">
        <w:t>prorrogar</w:t>
      </w:r>
      <w:r w:rsidR="00A52A4B" w:rsidRPr="007E77AF">
        <w:t xml:space="preserve"> o prazo de distribuição da oferta</w:t>
      </w:r>
      <w:r w:rsidR="00167B2F" w:rsidRPr="007E77AF">
        <w:t xml:space="preserve">, nos termos do § </w:t>
      </w:r>
      <w:r w:rsidR="009F0CE2">
        <w:t>7</w:t>
      </w:r>
      <w:r w:rsidR="009F0CE2" w:rsidRPr="007E77AF">
        <w:t>º</w:t>
      </w:r>
      <w:r w:rsidR="2445123F" w:rsidRPr="007E77AF">
        <w:t>.</w:t>
      </w:r>
    </w:p>
    <w:p w14:paraId="02803F38" w14:textId="79360CA5" w:rsidR="00D74986" w:rsidRPr="007E77AF" w:rsidRDefault="00002143" w:rsidP="006B018B">
      <w:pPr>
        <w:pStyle w:val="Seo"/>
      </w:pPr>
      <w:bookmarkStart w:id="273" w:name="_Toc467256293"/>
      <w:bookmarkStart w:id="274" w:name="_Toc476216343"/>
      <w:bookmarkStart w:id="275" w:name="_Toc108516064"/>
      <w:bookmarkStart w:id="276" w:name="_Toc108203095"/>
      <w:bookmarkStart w:id="277" w:name="_Toc136502835"/>
      <w:r w:rsidRPr="007E77AF">
        <w:t xml:space="preserve">Seção </w:t>
      </w:r>
      <w:r w:rsidR="002F429B" w:rsidRPr="007E77AF">
        <w:t xml:space="preserve">XI </w:t>
      </w:r>
      <w:r w:rsidR="0051636E" w:rsidRPr="007E77AF">
        <w:t>–</w:t>
      </w:r>
      <w:r w:rsidRPr="007E77AF">
        <w:t xml:space="preserve"> Efeitos da </w:t>
      </w:r>
      <w:r w:rsidR="00A615E6" w:rsidRPr="007E77AF">
        <w:t>R</w:t>
      </w:r>
      <w:r w:rsidRPr="007E77AF">
        <w:t xml:space="preserve">evogação e da </w:t>
      </w:r>
      <w:r w:rsidR="00A615E6" w:rsidRPr="007E77AF">
        <w:t xml:space="preserve">Modificação </w:t>
      </w:r>
      <w:r w:rsidRPr="007E77AF">
        <w:t xml:space="preserve">da </w:t>
      </w:r>
      <w:bookmarkEnd w:id="273"/>
      <w:r w:rsidR="00A615E6" w:rsidRPr="007E77AF">
        <w:t>Oferta</w:t>
      </w:r>
      <w:bookmarkEnd w:id="274"/>
      <w:bookmarkEnd w:id="275"/>
      <w:bookmarkEnd w:id="276"/>
      <w:bookmarkEnd w:id="277"/>
    </w:p>
    <w:p w14:paraId="6409BAF6" w14:textId="239EE1B2" w:rsidR="00D74986" w:rsidRPr="007E77AF" w:rsidRDefault="009069A1" w:rsidP="001353DC">
      <w:pPr>
        <w:spacing w:before="120" w:after="120" w:line="312" w:lineRule="auto"/>
        <w:ind w:firstLine="567"/>
        <w:jc w:val="both"/>
      </w:pPr>
      <w:bookmarkStart w:id="278" w:name="_Ref460492009"/>
      <w:r w:rsidRPr="007E77AF">
        <w:t xml:space="preserve">Art. </w:t>
      </w:r>
      <w:r w:rsidR="007C2B5E">
        <w:t>68</w:t>
      </w:r>
      <w:r w:rsidR="359C72BB" w:rsidRPr="007E77AF">
        <w:t>.  A revogação torna ineficazes a oferta e os atos de aceitação anteriores ou posteriores, devendo ser restituídos integralmente aos aceitantes os valores, bens ou direitos dados em contrapartida aos valores mobiliários ofertados, na forma e condições previstas no</w:t>
      </w:r>
      <w:r w:rsidR="1F83CE04" w:rsidRPr="007E77AF">
        <w:t>s termos e condições da oferta.</w:t>
      </w:r>
      <w:bookmarkStart w:id="279" w:name="OLE_LINK5"/>
      <w:bookmarkEnd w:id="278"/>
      <w:bookmarkEnd w:id="279"/>
    </w:p>
    <w:p w14:paraId="29615E63" w14:textId="186849C3" w:rsidR="00D74986" w:rsidRPr="007E77AF" w:rsidRDefault="009069A1" w:rsidP="001353DC">
      <w:pPr>
        <w:spacing w:before="120" w:after="120" w:line="312" w:lineRule="auto"/>
        <w:ind w:firstLine="567"/>
        <w:jc w:val="both"/>
      </w:pPr>
      <w:bookmarkStart w:id="280" w:name="_Ref460491502"/>
      <w:r w:rsidRPr="007E77AF">
        <w:t xml:space="preserve">Art. </w:t>
      </w:r>
      <w:r w:rsidR="007C2B5E">
        <w:t>69</w:t>
      </w:r>
      <w:r w:rsidR="359C72BB" w:rsidRPr="007E77AF">
        <w:t xml:space="preserve">.  A modificação deve ser divulgada imediatamente </w:t>
      </w:r>
      <w:r w:rsidR="000245A3" w:rsidRPr="007E77AF">
        <w:t>por</w:t>
      </w:r>
      <w:r w:rsidR="359C72BB" w:rsidRPr="007E77AF">
        <w:t xml:space="preserve"> meios ao menos iguais aos utilizados para a divulgação da oferta e as entidades </w:t>
      </w:r>
      <w:r w:rsidR="00663D9F">
        <w:t>participantes</w:t>
      </w:r>
      <w:r w:rsidR="00663D9F" w:rsidRPr="007E77AF">
        <w:t xml:space="preserve"> </w:t>
      </w:r>
      <w:r w:rsidR="359C72BB" w:rsidRPr="007E77AF">
        <w:t xml:space="preserve">do consórcio de distribuição </w:t>
      </w:r>
      <w:r w:rsidR="252B7FF6" w:rsidRPr="007E77AF">
        <w:t xml:space="preserve">devem </w:t>
      </w:r>
      <w:r w:rsidR="359C72BB" w:rsidRPr="007E77AF">
        <w:t>se certificar</w:t>
      </w:r>
      <w:r w:rsidR="00A85242" w:rsidRPr="002C67D2">
        <w:rPr>
          <w:u w:color="4472C4"/>
        </w:rPr>
        <w:t xml:space="preserve"> de que os potenciais investidores estejam cientes</w:t>
      </w:r>
      <w:r w:rsidR="359C72BB" w:rsidRPr="007E77AF" w:rsidDel="00A85242">
        <w:t xml:space="preserve">, no momento do recebimento </w:t>
      </w:r>
      <w:r w:rsidR="5A143D23" w:rsidRPr="007E77AF" w:rsidDel="00A85242">
        <w:t xml:space="preserve">do documento de aceitação </w:t>
      </w:r>
      <w:r w:rsidR="359C72BB" w:rsidRPr="007E77AF" w:rsidDel="00A85242">
        <w:t>da oferta,</w:t>
      </w:r>
      <w:r w:rsidR="359C72BB" w:rsidRPr="007E77AF">
        <w:t xml:space="preserve"> de que a oferta original foi alterada e</w:t>
      </w:r>
      <w:r w:rsidR="359C72BB" w:rsidRPr="007E77AF" w:rsidDel="009641C4">
        <w:t xml:space="preserve"> </w:t>
      </w:r>
      <w:r w:rsidR="359C72BB" w:rsidRPr="007E77AF">
        <w:t xml:space="preserve">das </w:t>
      </w:r>
      <w:r w:rsidR="008B253F" w:rsidRPr="007E77AF">
        <w:t>suas</w:t>
      </w:r>
      <w:r w:rsidR="359C72BB" w:rsidRPr="007E77AF">
        <w:t xml:space="preserve"> novas condições.</w:t>
      </w:r>
      <w:bookmarkEnd w:id="280"/>
    </w:p>
    <w:p w14:paraId="0B3AF898" w14:textId="3563AB81" w:rsidR="00D74986" w:rsidRPr="007E77AF" w:rsidRDefault="0021327B" w:rsidP="00D74986">
      <w:pPr>
        <w:spacing w:before="120" w:after="120" w:line="312" w:lineRule="auto"/>
        <w:ind w:firstLine="567"/>
        <w:jc w:val="both"/>
      </w:pPr>
      <w:r w:rsidRPr="007E77AF">
        <w:lastRenderedPageBreak/>
        <w:t>§ 1</w:t>
      </w:r>
      <w:proofErr w:type="gramStart"/>
      <w:r w:rsidRPr="007E77AF">
        <w:t>º</w:t>
      </w:r>
      <w:r w:rsidR="004821EB" w:rsidRPr="007E77AF">
        <w:t xml:space="preserve">  Na</w:t>
      </w:r>
      <w:proofErr w:type="gramEnd"/>
      <w:r w:rsidR="004821EB" w:rsidRPr="007E77AF">
        <w:t xml:space="preserve"> hipótese prevista no </w:t>
      </w:r>
      <w:r w:rsidR="00E00A37" w:rsidRPr="007E77AF">
        <w:rPr>
          <w:b/>
          <w:bCs/>
        </w:rPr>
        <w:t>caput</w:t>
      </w:r>
      <w:r w:rsidR="004821EB" w:rsidRPr="007E77AF">
        <w:t xml:space="preserve">, os investidores que já tiverem aderido à oferta </w:t>
      </w:r>
      <w:r w:rsidR="00450E42" w:rsidRPr="007E77AF">
        <w:t xml:space="preserve">devem </w:t>
      </w:r>
      <w:r w:rsidR="004821EB" w:rsidRPr="007E77AF">
        <w:t xml:space="preserve">ser </w:t>
      </w:r>
      <w:r w:rsidR="00E5481A" w:rsidRPr="007E77AF">
        <w:t>imediatamente</w:t>
      </w:r>
      <w:r w:rsidR="002815AD" w:rsidRPr="007E77AF">
        <w:t xml:space="preserve"> </w:t>
      </w:r>
      <w:r w:rsidR="004821EB" w:rsidRPr="007E77AF">
        <w:t xml:space="preserve">comunicados </w:t>
      </w:r>
      <w:r w:rsidRPr="007E77AF">
        <w:t xml:space="preserve">a respeito da modificação efetuada </w:t>
      </w:r>
      <w:r w:rsidR="004821EB" w:rsidRPr="007E77AF">
        <w:t xml:space="preserve">diretamente por correio eletrônico, correspondência física ou qualquer outra forma de comunicação passível de comprovação, para que </w:t>
      </w:r>
      <w:r w:rsidR="007002CF" w:rsidRPr="007E77AF">
        <w:t>informem</w:t>
      </w:r>
      <w:r w:rsidR="004821EB" w:rsidRPr="007E77AF">
        <w:t xml:space="preserve">, no prazo </w:t>
      </w:r>
      <w:r w:rsidRPr="007E77AF">
        <w:t xml:space="preserve">mínimo </w:t>
      </w:r>
      <w:r w:rsidR="004821EB" w:rsidRPr="007E77AF">
        <w:t xml:space="preserve">de 5 (cinco) dias úteis </w:t>
      </w:r>
      <w:r w:rsidRPr="007E77AF">
        <w:t xml:space="preserve">contados </w:t>
      </w:r>
      <w:r w:rsidR="004821EB" w:rsidRPr="007E77AF">
        <w:t xml:space="preserve">da comunicação, </w:t>
      </w:r>
      <w:r w:rsidR="00183306" w:rsidRPr="007E77AF">
        <w:t xml:space="preserve">eventual decisão </w:t>
      </w:r>
      <w:r w:rsidR="00FF7C17" w:rsidRPr="002C67D2">
        <w:rPr>
          <w:u w:color="4472C4"/>
        </w:rPr>
        <w:t>de desistir de sua adesão à oferta</w:t>
      </w:r>
      <w:r w:rsidR="004821EB" w:rsidRPr="007E77AF">
        <w:t xml:space="preserve">, presumida a manutenção </w:t>
      </w:r>
      <w:r w:rsidR="00FF7C17" w:rsidRPr="007E77AF">
        <w:t xml:space="preserve">da adesão </w:t>
      </w:r>
      <w:r w:rsidR="004821EB" w:rsidRPr="007E77AF">
        <w:t>em caso de silêncio.</w:t>
      </w:r>
    </w:p>
    <w:p w14:paraId="0986F609" w14:textId="0ECB9AFD" w:rsidR="0001395C" w:rsidRPr="007E77AF" w:rsidRDefault="0001395C" w:rsidP="0001395C">
      <w:pPr>
        <w:spacing w:before="120" w:after="120" w:line="312" w:lineRule="auto"/>
        <w:ind w:firstLine="567"/>
        <w:jc w:val="both"/>
      </w:pPr>
      <w:r w:rsidRPr="007E77AF">
        <w:t xml:space="preserve">§ </w:t>
      </w:r>
      <w:r w:rsidR="004A6D98">
        <w:t>2</w:t>
      </w:r>
      <w:proofErr w:type="gramStart"/>
      <w:r w:rsidR="004A6D98">
        <w:t>º</w:t>
      </w:r>
      <w:r w:rsidR="0046244B" w:rsidRPr="007E77AF">
        <w:t xml:space="preserve"> </w:t>
      </w:r>
      <w:r w:rsidRPr="007E77AF">
        <w:t xml:space="preserve"> O</w:t>
      </w:r>
      <w:proofErr w:type="gramEnd"/>
      <w:r w:rsidRPr="007E77AF">
        <w:t xml:space="preserve"> disposto no §</w:t>
      </w:r>
      <w:r w:rsidR="000D76EC" w:rsidRPr="007E77AF">
        <w:t xml:space="preserve"> </w:t>
      </w:r>
      <w:r w:rsidRPr="007E77AF">
        <w:t xml:space="preserve">1º deste artigo não se aplica à hipótese de que trata o § </w:t>
      </w:r>
      <w:r w:rsidR="004A5EF3">
        <w:t>8</w:t>
      </w:r>
      <w:r w:rsidR="004A5EF3" w:rsidRPr="007E77AF">
        <w:t xml:space="preserve">º </w:t>
      </w:r>
      <w:r w:rsidRPr="007E77AF">
        <w:t xml:space="preserve">do art. </w:t>
      </w:r>
      <w:r w:rsidR="004A5EF3" w:rsidRPr="007E77AF">
        <w:t>6</w:t>
      </w:r>
      <w:r w:rsidR="004A5EF3">
        <w:t>7</w:t>
      </w:r>
      <w:r w:rsidRPr="007E77AF">
        <w:t>, entretanto a SRE pode determinar a sua adoção caso entenda que a modificação não melhora a oferta em favor dos investidores.</w:t>
      </w:r>
    </w:p>
    <w:p w14:paraId="2540C74A" w14:textId="04E4534D" w:rsidR="0001395C" w:rsidRPr="007E77AF" w:rsidRDefault="0001395C" w:rsidP="0001395C">
      <w:pPr>
        <w:spacing w:before="120" w:after="120" w:line="312" w:lineRule="auto"/>
        <w:ind w:firstLine="567"/>
        <w:jc w:val="both"/>
      </w:pPr>
      <w:r w:rsidRPr="007E77AF">
        <w:t xml:space="preserve">§ </w:t>
      </w:r>
      <w:r w:rsidR="004A6D98">
        <w:t>3</w:t>
      </w:r>
      <w:proofErr w:type="gramStart"/>
      <w:r w:rsidR="004A6D98">
        <w:t>º</w:t>
      </w:r>
      <w:r w:rsidRPr="007E77AF">
        <w:t xml:space="preserve"> </w:t>
      </w:r>
      <w:r w:rsidR="0046244B" w:rsidRPr="007E77AF">
        <w:t xml:space="preserve"> </w:t>
      </w:r>
      <w:r w:rsidRPr="007E77AF">
        <w:t>No</w:t>
      </w:r>
      <w:proofErr w:type="gramEnd"/>
      <w:r w:rsidRPr="007E77AF">
        <w:t xml:space="preserve"> caso de modificação que demande aprovação prévia e que comprometa a execução do cronograma, o rito disposto no §</w:t>
      </w:r>
      <w:r w:rsidR="00C2757E" w:rsidRPr="007E77AF">
        <w:t xml:space="preserve"> </w:t>
      </w:r>
      <w:r w:rsidRPr="007E77AF">
        <w:t>1º deste artigo deve ser adotado também por oportunidade da apresentação do requerimento de modificação.</w:t>
      </w:r>
    </w:p>
    <w:p w14:paraId="51C5A6F3" w14:textId="465C620D" w:rsidR="002B55F4" w:rsidRPr="007E77AF" w:rsidRDefault="002B55F4" w:rsidP="002B55F4">
      <w:pPr>
        <w:spacing w:before="120" w:after="120" w:line="312" w:lineRule="auto"/>
        <w:ind w:firstLine="567"/>
        <w:jc w:val="both"/>
      </w:pPr>
      <w:r w:rsidRPr="007E77AF">
        <w:t xml:space="preserve">§ </w:t>
      </w:r>
      <w:r w:rsidR="004A6D98">
        <w:t>4</w:t>
      </w:r>
      <w:proofErr w:type="gramStart"/>
      <w:r w:rsidR="004A6D98" w:rsidRPr="007E77AF">
        <w:t xml:space="preserve">º  </w:t>
      </w:r>
      <w:r w:rsidRPr="007E77AF">
        <w:t>Os</w:t>
      </w:r>
      <w:proofErr w:type="gramEnd"/>
      <w:r w:rsidRPr="007E77AF">
        <w:t xml:space="preserve"> investidores que revogarem a sua aceitação têm direito à restituição integral dos valores, bens ou direitos dados em contrapartida aos valores mobiliários ofertados, na forma e condições dos documentos da oferta e do prospecto, nos casos em que é exigida a divulgação deste.</w:t>
      </w:r>
    </w:p>
    <w:p w14:paraId="6CF502CF" w14:textId="1122FB3F" w:rsidR="00D74986" w:rsidRPr="007E77AF" w:rsidRDefault="0021327B" w:rsidP="00D74986">
      <w:pPr>
        <w:spacing w:before="120" w:after="120" w:line="312" w:lineRule="auto"/>
        <w:ind w:firstLine="567"/>
        <w:jc w:val="both"/>
      </w:pPr>
      <w:r w:rsidRPr="007E77AF">
        <w:t xml:space="preserve">§ </w:t>
      </w:r>
      <w:r w:rsidR="004A6D98">
        <w:t>5</w:t>
      </w:r>
      <w:proofErr w:type="gramStart"/>
      <w:r w:rsidR="004A6D98" w:rsidRPr="007E77AF">
        <w:t xml:space="preserve">º  </w:t>
      </w:r>
      <w:r w:rsidRPr="007E77AF">
        <w:t>A</w:t>
      </w:r>
      <w:proofErr w:type="gramEnd"/>
      <w:r w:rsidRPr="007E77AF">
        <w:t xml:space="preserve"> documentação referente ao disposto no § 1º deste artigo deve ser mantida à disposição da CVM nos termos do inciso </w:t>
      </w:r>
      <w:r w:rsidR="0086760A" w:rsidRPr="007E77AF">
        <w:t>XV</w:t>
      </w:r>
      <w:r w:rsidRPr="007E77AF">
        <w:t xml:space="preserve"> do art. </w:t>
      </w:r>
      <w:r w:rsidR="004A5EF3" w:rsidRPr="007E77AF">
        <w:t>8</w:t>
      </w:r>
      <w:r w:rsidR="004A5EF3">
        <w:t>3</w:t>
      </w:r>
      <w:r w:rsidRPr="007E77AF">
        <w:t>.</w:t>
      </w:r>
    </w:p>
    <w:p w14:paraId="3A0EA9F5" w14:textId="3E8E4C55" w:rsidR="00D74986" w:rsidRPr="007E77AF" w:rsidRDefault="00927245" w:rsidP="006B018B">
      <w:pPr>
        <w:pStyle w:val="Seo"/>
      </w:pPr>
      <w:bookmarkStart w:id="281" w:name="_Toc58111895"/>
      <w:bookmarkStart w:id="282" w:name="_Toc467256294"/>
      <w:bookmarkStart w:id="283" w:name="_Toc476216344"/>
      <w:bookmarkStart w:id="284" w:name="_Toc108516065"/>
      <w:bookmarkStart w:id="285" w:name="_Toc108203096"/>
      <w:bookmarkStart w:id="286" w:name="_Toc136502836"/>
      <w:r w:rsidRPr="007E77AF">
        <w:t xml:space="preserve">Seção </w:t>
      </w:r>
      <w:r w:rsidR="002F429B" w:rsidRPr="007E77AF">
        <w:t xml:space="preserve">XII </w:t>
      </w:r>
      <w:r w:rsidRPr="007E77AF">
        <w:t xml:space="preserve">- Suspensão e </w:t>
      </w:r>
      <w:r w:rsidR="00A615E6" w:rsidRPr="007E77AF">
        <w:t>C</w:t>
      </w:r>
      <w:r w:rsidRPr="007E77AF">
        <w:t xml:space="preserve">ancelamento da </w:t>
      </w:r>
      <w:r w:rsidR="00A615E6" w:rsidRPr="007E77AF">
        <w:t>O</w:t>
      </w:r>
      <w:r w:rsidRPr="007E77AF">
        <w:t xml:space="preserve">ferta de </w:t>
      </w:r>
      <w:r w:rsidR="00A615E6" w:rsidRPr="007E77AF">
        <w:t>D</w:t>
      </w:r>
      <w:r w:rsidRPr="007E77AF">
        <w:t>istribuição</w:t>
      </w:r>
      <w:bookmarkEnd w:id="281"/>
      <w:bookmarkEnd w:id="282"/>
      <w:bookmarkEnd w:id="283"/>
      <w:bookmarkEnd w:id="284"/>
      <w:bookmarkEnd w:id="285"/>
      <w:bookmarkEnd w:id="286"/>
    </w:p>
    <w:p w14:paraId="543CA2A3" w14:textId="060D662C" w:rsidR="00D74986" w:rsidRPr="007E77AF" w:rsidRDefault="009069A1" w:rsidP="001353DC">
      <w:pPr>
        <w:keepNext/>
        <w:spacing w:before="120" w:after="120" w:line="312" w:lineRule="auto"/>
        <w:ind w:firstLine="567"/>
        <w:jc w:val="both"/>
      </w:pPr>
      <w:bookmarkStart w:id="287" w:name="_Ref460492326"/>
      <w:r w:rsidRPr="007E77AF">
        <w:t xml:space="preserve">Art. </w:t>
      </w:r>
      <w:r w:rsidR="004A6D98">
        <w:t>70</w:t>
      </w:r>
      <w:r w:rsidR="5B4F1D0F" w:rsidRPr="007E77AF">
        <w:t>.  A SRE pode suspender ou cancelar, a qualquer tempo, a oferta</w:t>
      </w:r>
      <w:r w:rsidR="0014553B" w:rsidRPr="007E77AF">
        <w:t xml:space="preserve"> pública</w:t>
      </w:r>
      <w:r w:rsidR="5B4F1D0F" w:rsidRPr="007E77AF">
        <w:t xml:space="preserve"> de distribuição que:</w:t>
      </w:r>
      <w:bookmarkEnd w:id="287"/>
    </w:p>
    <w:p w14:paraId="64FBA5E8" w14:textId="1CAF3310" w:rsidR="00D74986" w:rsidRPr="007E77AF" w:rsidRDefault="009069A1" w:rsidP="001353DC">
      <w:pPr>
        <w:spacing w:before="120" w:after="120" w:line="312" w:lineRule="auto"/>
        <w:ind w:firstLine="567"/>
        <w:jc w:val="both"/>
      </w:pPr>
      <w:r w:rsidRPr="007E77AF">
        <w:t>I</w:t>
      </w:r>
      <w:r w:rsidR="660A273C" w:rsidRPr="007E77AF">
        <w:t xml:space="preserve"> – </w:t>
      </w:r>
      <w:proofErr w:type="gramStart"/>
      <w:r w:rsidR="660A273C" w:rsidRPr="007E77AF">
        <w:t>esteja</w:t>
      </w:r>
      <w:proofErr w:type="gramEnd"/>
      <w:r w:rsidR="660A273C" w:rsidRPr="007E77AF">
        <w:t xml:space="preserve"> se processando em condições diversas das constantes da presente </w:t>
      </w:r>
      <w:r w:rsidR="0EC0FFCD" w:rsidRPr="007E77AF">
        <w:t>Resolução</w:t>
      </w:r>
      <w:r w:rsidR="660A273C" w:rsidRPr="007E77AF">
        <w:t xml:space="preserve"> ou do registro;</w:t>
      </w:r>
    </w:p>
    <w:p w14:paraId="7CEDB230" w14:textId="1C2CF92C" w:rsidR="00D74986" w:rsidRPr="007E77AF" w:rsidRDefault="009069A1" w:rsidP="001353DC">
      <w:pPr>
        <w:spacing w:before="120" w:after="120" w:line="312" w:lineRule="auto"/>
        <w:ind w:firstLine="567"/>
        <w:jc w:val="both"/>
      </w:pPr>
      <w:r w:rsidRPr="007E77AF">
        <w:t>II</w:t>
      </w:r>
      <w:r w:rsidR="55D4D17C" w:rsidRPr="007E77AF">
        <w:t xml:space="preserve"> – </w:t>
      </w:r>
      <w:proofErr w:type="gramStart"/>
      <w:r w:rsidR="55D4D17C" w:rsidRPr="007E77AF">
        <w:t>esteja</w:t>
      </w:r>
      <w:proofErr w:type="gramEnd"/>
      <w:r w:rsidR="55D4D17C" w:rsidRPr="007E77AF">
        <w:t xml:space="preserve"> sendo intermediada </w:t>
      </w:r>
      <w:r w:rsidR="701D5E5B" w:rsidRPr="007E77AF">
        <w:t xml:space="preserve">por coordenador </w:t>
      </w:r>
      <w:r w:rsidR="55D4D17C" w:rsidRPr="007E77AF">
        <w:t xml:space="preserve">que esteja </w:t>
      </w:r>
      <w:r w:rsidR="4FE95471" w:rsidRPr="007E77AF">
        <w:t xml:space="preserve">com registro suspenso ou cancelado, conforme </w:t>
      </w:r>
      <w:r w:rsidR="55D4D17C" w:rsidRPr="007E77AF">
        <w:t xml:space="preserve">a </w:t>
      </w:r>
      <w:r w:rsidR="000D76EC" w:rsidRPr="007E77AF">
        <w:t>regulamentação</w:t>
      </w:r>
      <w:r w:rsidR="73294AB5" w:rsidRPr="007E77AF">
        <w:t xml:space="preserve"> que dispõe</w:t>
      </w:r>
      <w:r w:rsidR="0AD2086D" w:rsidRPr="007E77AF">
        <w:t xml:space="preserve"> sobre</w:t>
      </w:r>
      <w:r w:rsidR="73294AB5" w:rsidRPr="007E77AF">
        <w:t xml:space="preserve"> </w:t>
      </w:r>
      <w:r w:rsidR="00881F2F">
        <w:t>coordenadores</w:t>
      </w:r>
      <w:r w:rsidR="15266C09" w:rsidRPr="007E77AF">
        <w:t xml:space="preserve"> de ofertas públicas de </w:t>
      </w:r>
      <w:r w:rsidR="00881F2F">
        <w:t xml:space="preserve">distribuição de </w:t>
      </w:r>
      <w:r w:rsidR="15266C09" w:rsidRPr="007E77AF">
        <w:t>valores mobiliários;</w:t>
      </w:r>
      <w:r w:rsidR="460DE8BA" w:rsidRPr="007E77AF">
        <w:t xml:space="preserve"> </w:t>
      </w:r>
      <w:r w:rsidR="454A0C01" w:rsidRPr="007E77AF">
        <w:t>ou</w:t>
      </w:r>
    </w:p>
    <w:p w14:paraId="14A95033" w14:textId="1C0721F0" w:rsidR="00D74986" w:rsidRPr="007E77AF" w:rsidRDefault="009069A1" w:rsidP="001353DC">
      <w:pPr>
        <w:spacing w:before="120" w:after="120" w:line="312" w:lineRule="auto"/>
        <w:ind w:firstLine="567"/>
        <w:jc w:val="both"/>
      </w:pPr>
      <w:r w:rsidRPr="007E77AF">
        <w:t>III</w:t>
      </w:r>
      <w:r w:rsidR="5B4F1D0F" w:rsidRPr="007E77AF">
        <w:t xml:space="preserve"> – tenha sido havida por ilegal, contrária à regulamentação da CVM ou fraudulenta, ainda que após obtido o respectivo registro.</w:t>
      </w:r>
    </w:p>
    <w:p w14:paraId="4D72B42D" w14:textId="7ECB26C1" w:rsidR="00D74986" w:rsidRPr="007E77AF" w:rsidRDefault="00927245" w:rsidP="00D74986">
      <w:pPr>
        <w:spacing w:before="120" w:after="120" w:line="312" w:lineRule="auto"/>
        <w:ind w:firstLine="567"/>
        <w:jc w:val="both"/>
      </w:pPr>
      <w:r w:rsidRPr="007E77AF">
        <w:t>§</w:t>
      </w:r>
      <w:r w:rsidR="3032AC17" w:rsidRPr="007E77AF">
        <w:t xml:space="preserve"> </w:t>
      </w:r>
      <w:r w:rsidRPr="007E77AF">
        <w:t>1</w:t>
      </w:r>
      <w:proofErr w:type="gramStart"/>
      <w:r w:rsidRPr="007E77AF">
        <w:t>º  A</w:t>
      </w:r>
      <w:proofErr w:type="gramEnd"/>
      <w:r w:rsidRPr="007E77AF">
        <w:t xml:space="preserve"> </w:t>
      </w:r>
      <w:r w:rsidR="00556246" w:rsidRPr="007E77AF">
        <w:t xml:space="preserve">SRE </w:t>
      </w:r>
      <w:r w:rsidRPr="007E77AF">
        <w:t xml:space="preserve">deve proceder à suspensão da oferta quando verificar ilegalidade ou violação de </w:t>
      </w:r>
      <w:r w:rsidR="00B50A58" w:rsidRPr="007E77AF">
        <w:t xml:space="preserve">regulamentação </w:t>
      </w:r>
      <w:r w:rsidR="000C2E6C" w:rsidRPr="007E77AF">
        <w:t xml:space="preserve">consideradas </w:t>
      </w:r>
      <w:r w:rsidRPr="007E77AF">
        <w:t>sanáveis.</w:t>
      </w:r>
    </w:p>
    <w:p w14:paraId="6BBC3EE1" w14:textId="77777777" w:rsidR="00D74986" w:rsidRPr="007E77AF" w:rsidRDefault="00927245" w:rsidP="00D74986">
      <w:pPr>
        <w:spacing w:before="120" w:after="120" w:line="312" w:lineRule="auto"/>
        <w:ind w:firstLine="567"/>
        <w:jc w:val="both"/>
      </w:pPr>
      <w:r w:rsidRPr="007E77AF">
        <w:t>§</w:t>
      </w:r>
      <w:r w:rsidR="38D28A16" w:rsidRPr="007E77AF">
        <w:t xml:space="preserve"> </w:t>
      </w:r>
      <w:r w:rsidRPr="007E77AF">
        <w:t>2</w:t>
      </w:r>
      <w:proofErr w:type="gramStart"/>
      <w:r w:rsidRPr="007E77AF">
        <w:t>º  O</w:t>
      </w:r>
      <w:proofErr w:type="gramEnd"/>
      <w:r w:rsidRPr="007E77AF">
        <w:t xml:space="preserve"> prazo de suspensão da oferta não pode ser superior a 30 (trinta) dias, durante o qual a irregularidade apontada deve ser sanada.</w:t>
      </w:r>
    </w:p>
    <w:p w14:paraId="76D6F56E" w14:textId="267A76AD" w:rsidR="00D74986" w:rsidRPr="007E77AF" w:rsidRDefault="00927245" w:rsidP="00D74986">
      <w:pPr>
        <w:spacing w:before="120" w:after="120" w:line="312" w:lineRule="auto"/>
        <w:ind w:firstLine="567"/>
        <w:jc w:val="both"/>
      </w:pPr>
      <w:r w:rsidRPr="007E77AF">
        <w:lastRenderedPageBreak/>
        <w:t>§</w:t>
      </w:r>
      <w:r w:rsidR="38D28A16" w:rsidRPr="007E77AF">
        <w:t xml:space="preserve"> </w:t>
      </w:r>
      <w:r w:rsidRPr="007E77AF">
        <w:t>3</w:t>
      </w:r>
      <w:proofErr w:type="gramStart"/>
      <w:r w:rsidRPr="007E77AF">
        <w:t>º  Findo</w:t>
      </w:r>
      <w:proofErr w:type="gramEnd"/>
      <w:r w:rsidRPr="007E77AF">
        <w:t xml:space="preserve"> o prazo referido no § 2º sem que tenham sido </w:t>
      </w:r>
      <w:r w:rsidR="009B6B6D" w:rsidRPr="007E77AF">
        <w:t xml:space="preserve">sanadas </w:t>
      </w:r>
      <w:r w:rsidR="009B0591" w:rsidRPr="007E77AF">
        <w:t>a</w:t>
      </w:r>
      <w:r w:rsidRPr="007E77AF">
        <w:t xml:space="preserve">s </w:t>
      </w:r>
      <w:r w:rsidR="009B0591" w:rsidRPr="007E77AF">
        <w:t>irregularidades</w:t>
      </w:r>
      <w:r w:rsidRPr="007E77AF">
        <w:t xml:space="preserve"> que determinaram a suspensão, a </w:t>
      </w:r>
      <w:r w:rsidR="00556246" w:rsidRPr="007E77AF">
        <w:t xml:space="preserve">SRE </w:t>
      </w:r>
      <w:r w:rsidRPr="007E77AF">
        <w:t>deve ordenar a retirada da oferta e cancelar o respectivo registro</w:t>
      </w:r>
      <w:r w:rsidR="00556246" w:rsidRPr="007E77AF">
        <w:t xml:space="preserve"> ou indeferir o requerimento de registro caso este ainda não tenha sido concedido</w:t>
      </w:r>
      <w:r w:rsidRPr="007E77AF">
        <w:t>.</w:t>
      </w:r>
    </w:p>
    <w:p w14:paraId="0F3B3654" w14:textId="54D949CE" w:rsidR="00D74986" w:rsidRPr="007E77AF" w:rsidRDefault="00927245" w:rsidP="00D74986">
      <w:pPr>
        <w:spacing w:before="120" w:after="120" w:line="312" w:lineRule="auto"/>
        <w:ind w:firstLine="567"/>
        <w:jc w:val="both"/>
      </w:pPr>
      <w:r w:rsidRPr="007E77AF">
        <w:t>§</w:t>
      </w:r>
      <w:r w:rsidR="22BFB1BC" w:rsidRPr="007E77AF">
        <w:t xml:space="preserve"> </w:t>
      </w:r>
      <w:r w:rsidRPr="007E77AF">
        <w:t>4</w:t>
      </w:r>
      <w:proofErr w:type="gramStart"/>
      <w:r w:rsidRPr="007E77AF">
        <w:t>º  A</w:t>
      </w:r>
      <w:proofErr w:type="gramEnd"/>
      <w:r w:rsidRPr="007E77AF">
        <w:t xml:space="preserve"> rescisão do contrato de distribuição</w:t>
      </w:r>
      <w:r w:rsidR="006E6651" w:rsidRPr="007E77AF">
        <w:t xml:space="preserve"> </w:t>
      </w:r>
      <w:r w:rsidR="0079488C" w:rsidRPr="007E77AF">
        <w:t xml:space="preserve">com </w:t>
      </w:r>
      <w:r w:rsidR="00E842A5">
        <w:t>um dos coordenadores</w:t>
      </w:r>
      <w:r w:rsidR="003959D1" w:rsidRPr="007E77AF">
        <w:t xml:space="preserve">, </w:t>
      </w:r>
      <w:r w:rsidR="006E6651" w:rsidRPr="007E77AF">
        <w:t xml:space="preserve">decorrente de inadimplemento de qualquer das partes </w:t>
      </w:r>
      <w:r w:rsidR="00967B1C" w:rsidRPr="007E77AF">
        <w:t xml:space="preserve">ou de não verificação das condições previstas no art. </w:t>
      </w:r>
      <w:r w:rsidR="004A5EF3" w:rsidRPr="007E77AF">
        <w:t>5</w:t>
      </w:r>
      <w:r w:rsidR="004A5EF3">
        <w:t>8</w:t>
      </w:r>
      <w:r w:rsidR="00947FC8">
        <w:t>,</w:t>
      </w:r>
      <w:r w:rsidR="00967B1C" w:rsidRPr="007E77AF">
        <w:t xml:space="preserve"> </w:t>
      </w:r>
      <w:r w:rsidRPr="007E77AF">
        <w:t>importa no cancelamento do registro</w:t>
      </w:r>
      <w:r w:rsidR="00DD2543" w:rsidRPr="007E77AF">
        <w:t xml:space="preserve"> da oferta</w:t>
      </w:r>
      <w:r w:rsidRPr="007E77AF">
        <w:t>.</w:t>
      </w:r>
    </w:p>
    <w:p w14:paraId="40D71DEC" w14:textId="1960FFED" w:rsidR="00D74986" w:rsidRPr="007E77AF" w:rsidRDefault="47740A93" w:rsidP="00D74986">
      <w:pPr>
        <w:spacing w:before="120" w:after="120" w:line="312" w:lineRule="auto"/>
        <w:ind w:firstLine="567"/>
        <w:jc w:val="both"/>
      </w:pPr>
      <w:r w:rsidRPr="007E77AF">
        <w:t>§ 5</w:t>
      </w:r>
      <w:proofErr w:type="gramStart"/>
      <w:r w:rsidRPr="007E77AF">
        <w:t>º</w:t>
      </w:r>
      <w:r w:rsidR="00DD2543" w:rsidRPr="007E77AF">
        <w:t xml:space="preserve"> </w:t>
      </w:r>
      <w:r w:rsidR="006E6651" w:rsidRPr="007E77AF">
        <w:t xml:space="preserve"> </w:t>
      </w:r>
      <w:r w:rsidR="00DD2543" w:rsidRPr="007E77AF">
        <w:t>A</w:t>
      </w:r>
      <w:proofErr w:type="gramEnd"/>
      <w:r w:rsidR="006E6651" w:rsidRPr="007E77AF">
        <w:t xml:space="preserve"> resilição voluntária do contrato de distribuição </w:t>
      </w:r>
      <w:r w:rsidR="00DD2543" w:rsidRPr="007E77AF">
        <w:t xml:space="preserve">por motivo distinto daquele citado no </w:t>
      </w:r>
      <w:r w:rsidR="566501BC" w:rsidRPr="007E77AF">
        <w:t>§ 4º</w:t>
      </w:r>
      <w:r w:rsidR="00DD2543" w:rsidRPr="007E77AF">
        <w:t xml:space="preserve"> não implica revogação da oferta</w:t>
      </w:r>
      <w:r w:rsidR="00396BE6" w:rsidRPr="007E77AF">
        <w:t>, mas sua</w:t>
      </w:r>
      <w:r w:rsidR="007B1A19" w:rsidRPr="007E77AF">
        <w:t xml:space="preserve"> </w:t>
      </w:r>
      <w:r w:rsidR="00395FCD" w:rsidRPr="007E77AF">
        <w:t>suspensão</w:t>
      </w:r>
      <w:r w:rsidR="00DC3986" w:rsidRPr="007E77AF">
        <w:t xml:space="preserve">, nos termos dos </w:t>
      </w:r>
      <w:r w:rsidR="00FA2072" w:rsidRPr="007E77AF">
        <w:t xml:space="preserve">§§ </w:t>
      </w:r>
      <w:r w:rsidR="00827412" w:rsidRPr="007E77AF">
        <w:t>2</w:t>
      </w:r>
      <w:r w:rsidR="00FA2072" w:rsidRPr="007E77AF">
        <w:t xml:space="preserve">º e </w:t>
      </w:r>
      <w:r w:rsidR="00827412" w:rsidRPr="007E77AF">
        <w:t>3</w:t>
      </w:r>
      <w:r w:rsidR="00FA2072" w:rsidRPr="007E77AF">
        <w:t>º,</w:t>
      </w:r>
      <w:r w:rsidR="007B1A19" w:rsidRPr="007E77AF">
        <w:t xml:space="preserve"> até que novo contrato de distribuição seja </w:t>
      </w:r>
      <w:r w:rsidR="00A13325" w:rsidRPr="007E77AF">
        <w:t>firmado</w:t>
      </w:r>
      <w:r w:rsidR="00A901C0">
        <w:t>.</w:t>
      </w:r>
    </w:p>
    <w:p w14:paraId="190B780C" w14:textId="328815AB" w:rsidR="00D74986" w:rsidRPr="007E77AF" w:rsidRDefault="009069A1" w:rsidP="001353DC">
      <w:pPr>
        <w:spacing w:before="120" w:after="120" w:line="312" w:lineRule="auto"/>
        <w:ind w:firstLine="567"/>
        <w:jc w:val="both"/>
      </w:pPr>
      <w:bookmarkStart w:id="288" w:name="_Ref464391164"/>
      <w:r w:rsidRPr="007E77AF">
        <w:t xml:space="preserve">Art. </w:t>
      </w:r>
      <w:r w:rsidR="00501E0C">
        <w:t>71</w:t>
      </w:r>
      <w:r w:rsidR="5B4F1D0F" w:rsidRPr="007E77AF">
        <w:t xml:space="preserve">.  O ofertante deve </w:t>
      </w:r>
      <w:r w:rsidR="398182CC" w:rsidRPr="007E77AF">
        <w:t xml:space="preserve">divulgar </w:t>
      </w:r>
      <w:r w:rsidR="7A6E4C54" w:rsidRPr="007E77AF">
        <w:t>imediatamente</w:t>
      </w:r>
      <w:r w:rsidR="00DB50DD" w:rsidRPr="007E77AF">
        <w:t>,</w:t>
      </w:r>
      <w:r w:rsidR="7A6E4C54" w:rsidRPr="007E77AF">
        <w:t xml:space="preserve"> </w:t>
      </w:r>
      <w:r w:rsidR="00707D7D" w:rsidRPr="007E77AF">
        <w:t>por</w:t>
      </w:r>
      <w:r w:rsidR="7A6E4C54" w:rsidRPr="007E77AF">
        <w:t xml:space="preserve"> meios ao menos iguais aos utilizados para a divulgação da oferta</w:t>
      </w:r>
      <w:r w:rsidR="77DE85D9" w:rsidRPr="007E77AF">
        <w:t>,</w:t>
      </w:r>
      <w:r w:rsidR="7A6E4C54" w:rsidRPr="007E77AF">
        <w:t xml:space="preserve"> </w:t>
      </w:r>
      <w:r w:rsidR="398182CC" w:rsidRPr="007E77AF">
        <w:t>comunicado a</w:t>
      </w:r>
      <w:r w:rsidR="001A2A62" w:rsidRPr="007E77AF">
        <w:t>o</w:t>
      </w:r>
      <w:r w:rsidR="398182CC" w:rsidRPr="007E77AF">
        <w:t xml:space="preserve"> mercado informando sobre </w:t>
      </w:r>
      <w:r w:rsidR="20F8A7AA" w:rsidRPr="007E77AF">
        <w:t xml:space="preserve">a suspensão </w:t>
      </w:r>
      <w:r w:rsidR="1AA4C946" w:rsidRPr="007E77AF">
        <w:t>ou o cancelamento</w:t>
      </w:r>
      <w:r w:rsidR="7637ED69" w:rsidRPr="007E77AF">
        <w:t>,</w:t>
      </w:r>
      <w:r w:rsidR="1AA4C946" w:rsidRPr="007E77AF">
        <w:t xml:space="preserve"> bem como </w:t>
      </w:r>
      <w:r w:rsidR="5B4F1D0F" w:rsidRPr="007E77AF">
        <w:t xml:space="preserve">dar conhecimento </w:t>
      </w:r>
      <w:r w:rsidR="74C8724E" w:rsidRPr="007E77AF">
        <w:t xml:space="preserve">de tais eventos </w:t>
      </w:r>
      <w:r w:rsidR="5B4F1D0F" w:rsidRPr="007E77AF">
        <w:t>aos investidores que já tenham aceitado a oferta</w:t>
      </w:r>
      <w:r w:rsidR="73294AB5" w:rsidRPr="007E77AF">
        <w:t xml:space="preserve"> diretamente por correio eletrônico, correspondência física ou qualquer outra forma de comunicação passível de comprovação, </w:t>
      </w:r>
      <w:r w:rsidR="00096B37" w:rsidRPr="007E77AF">
        <w:t>para que</w:t>
      </w:r>
      <w:r w:rsidR="0067570A" w:rsidRPr="007E77AF">
        <w:t>, na hipótese de suspensão,</w:t>
      </w:r>
      <w:r w:rsidR="00096B37" w:rsidRPr="007E77AF">
        <w:t xml:space="preserve"> informem, </w:t>
      </w:r>
      <w:r w:rsidR="73294AB5" w:rsidRPr="007E77AF">
        <w:t xml:space="preserve">no prazo mínimo de 5 (cinco) dias úteis contados </w:t>
      </w:r>
      <w:bookmarkEnd w:id="288"/>
      <w:r w:rsidR="00697411" w:rsidRPr="002C67D2">
        <w:t>da comunicação</w:t>
      </w:r>
      <w:r w:rsidR="00D70120" w:rsidRPr="002C67D2">
        <w:rPr>
          <w:rFonts w:cstheme="minorHAnsi"/>
        </w:rPr>
        <w:t>, eventual decisão de desistir da oferta</w:t>
      </w:r>
      <w:r w:rsidR="73294AB5" w:rsidRPr="007E77AF">
        <w:t>.</w:t>
      </w:r>
    </w:p>
    <w:p w14:paraId="322FFE7D" w14:textId="77777777" w:rsidR="00D74986" w:rsidRPr="007E77AF" w:rsidRDefault="000C1AF3" w:rsidP="00D74986">
      <w:pPr>
        <w:spacing w:before="120" w:after="120" w:line="312" w:lineRule="auto"/>
        <w:ind w:firstLine="567"/>
        <w:jc w:val="both"/>
      </w:pPr>
      <w:r w:rsidRPr="007E77AF">
        <w:t>§</w:t>
      </w:r>
      <w:r w:rsidR="15EBB514" w:rsidRPr="007E77AF">
        <w:t xml:space="preserve"> </w:t>
      </w:r>
      <w:r w:rsidRPr="007E77AF">
        <w:t>1</w:t>
      </w:r>
      <w:proofErr w:type="gramStart"/>
      <w:r w:rsidRPr="007E77AF">
        <w:t>º</w:t>
      </w:r>
      <w:r w:rsidR="00927245" w:rsidRPr="007E77AF">
        <w:t xml:space="preserve">  </w:t>
      </w:r>
      <w:r w:rsidR="000C4DC1" w:rsidRPr="007E77AF">
        <w:t>Têm</w:t>
      </w:r>
      <w:proofErr w:type="gramEnd"/>
      <w:r w:rsidR="00927245" w:rsidRPr="007E77AF">
        <w:t xml:space="preserve"> direito à restituição integral </w:t>
      </w:r>
      <w:bookmarkStart w:id="289" w:name="OLE_LINK6"/>
      <w:r w:rsidR="00927245" w:rsidRPr="007E77AF">
        <w:t>dos valores, bens ou direitos dados em contrapartida aos valores mobiliários ofertados</w:t>
      </w:r>
      <w:bookmarkEnd w:id="289"/>
      <w:r w:rsidR="00927245" w:rsidRPr="007E77AF">
        <w:t>, na forma e condições dos documentos da oferta e do prospecto, nos casos em que é exigida a divulgação deste:</w:t>
      </w:r>
    </w:p>
    <w:p w14:paraId="6708C8CA" w14:textId="77777777" w:rsidR="00D74986" w:rsidRPr="007E77AF" w:rsidRDefault="00927245" w:rsidP="00D74986">
      <w:pPr>
        <w:spacing w:before="120" w:after="120" w:line="312" w:lineRule="auto"/>
        <w:ind w:firstLine="567"/>
        <w:jc w:val="both"/>
      </w:pPr>
      <w:r w:rsidRPr="007E77AF">
        <w:t xml:space="preserve">I </w:t>
      </w:r>
      <w:r w:rsidR="00C93342" w:rsidRPr="007E77AF">
        <w:t>–</w:t>
      </w:r>
      <w:r w:rsidRPr="007E77AF">
        <w:t xml:space="preserve"> </w:t>
      </w:r>
      <w:proofErr w:type="gramStart"/>
      <w:r w:rsidRPr="007E77AF">
        <w:t>todos os</w:t>
      </w:r>
      <w:proofErr w:type="gramEnd"/>
      <w:r w:rsidRPr="007E77AF">
        <w:t xml:space="preserve"> investidores que já tenham aceitado a oferta, na hipótese de seu cancelamento; e</w:t>
      </w:r>
    </w:p>
    <w:p w14:paraId="02E65200" w14:textId="77777777" w:rsidR="00D74986" w:rsidRPr="007E77AF" w:rsidRDefault="00927245" w:rsidP="00D74986">
      <w:pPr>
        <w:spacing w:before="120" w:after="120" w:line="312" w:lineRule="auto"/>
        <w:ind w:firstLine="567"/>
        <w:jc w:val="both"/>
      </w:pPr>
      <w:r w:rsidRPr="007E77AF">
        <w:t xml:space="preserve">II </w:t>
      </w:r>
      <w:r w:rsidR="00C93342" w:rsidRPr="007E77AF">
        <w:t>–</w:t>
      </w:r>
      <w:r w:rsidRPr="007E77AF">
        <w:t xml:space="preserve"> </w:t>
      </w:r>
      <w:proofErr w:type="gramStart"/>
      <w:r w:rsidRPr="007E77AF">
        <w:t>os</w:t>
      </w:r>
      <w:proofErr w:type="gramEnd"/>
      <w:r w:rsidRPr="007E77AF">
        <w:t xml:space="preserve"> investidores que tenham revogado a sua aceitação, na hipótese de suspensão, conforme previsto no </w:t>
      </w:r>
      <w:r w:rsidRPr="007E77AF">
        <w:rPr>
          <w:b/>
        </w:rPr>
        <w:t>caput</w:t>
      </w:r>
      <w:r w:rsidRPr="007E77AF">
        <w:t>.</w:t>
      </w:r>
    </w:p>
    <w:p w14:paraId="587B5F23" w14:textId="0813E5B5" w:rsidR="00D74986" w:rsidRPr="007E77AF" w:rsidRDefault="000C1AF3" w:rsidP="00D74986">
      <w:pPr>
        <w:spacing w:before="120" w:after="120" w:line="312" w:lineRule="auto"/>
        <w:ind w:firstLine="567"/>
        <w:jc w:val="both"/>
      </w:pPr>
      <w:r w:rsidRPr="007E77AF">
        <w:t>§ 2</w:t>
      </w:r>
      <w:proofErr w:type="gramStart"/>
      <w:r w:rsidRPr="007E77AF">
        <w:t>º  A</w:t>
      </w:r>
      <w:proofErr w:type="gramEnd"/>
      <w:r w:rsidRPr="007E77AF">
        <w:t xml:space="preserve"> documentação referente ao disposto neste artigo deve ser mantida à disposição da CVM nos termos do inciso </w:t>
      </w:r>
      <w:r w:rsidR="0086760A" w:rsidRPr="007E77AF">
        <w:t>XV</w:t>
      </w:r>
      <w:r w:rsidRPr="007E77AF">
        <w:t xml:space="preserve"> do art. </w:t>
      </w:r>
      <w:r w:rsidR="004A5EF3" w:rsidRPr="007E77AF">
        <w:t>8</w:t>
      </w:r>
      <w:r w:rsidR="004A5EF3">
        <w:t>3</w:t>
      </w:r>
      <w:r w:rsidRPr="007E77AF">
        <w:t>.</w:t>
      </w:r>
    </w:p>
    <w:p w14:paraId="7FD63BE1" w14:textId="1C6D3099" w:rsidR="00D74986" w:rsidRPr="007E77AF" w:rsidRDefault="00002143" w:rsidP="006B018B">
      <w:pPr>
        <w:pStyle w:val="Seo"/>
      </w:pPr>
      <w:bookmarkStart w:id="290" w:name="_Toc467256295"/>
      <w:bookmarkStart w:id="291" w:name="_Toc476216345"/>
      <w:bookmarkStart w:id="292" w:name="_Toc108516066"/>
      <w:bookmarkStart w:id="293" w:name="_Toc108203097"/>
      <w:bookmarkStart w:id="294" w:name="_Toc136502837"/>
      <w:r w:rsidRPr="007E77AF">
        <w:t xml:space="preserve">Seção </w:t>
      </w:r>
      <w:r w:rsidR="002F429B" w:rsidRPr="007E77AF">
        <w:t xml:space="preserve">XIII </w:t>
      </w:r>
      <w:r w:rsidR="0051636E" w:rsidRPr="007E77AF">
        <w:t>–</w:t>
      </w:r>
      <w:r w:rsidRPr="007E77AF">
        <w:t xml:space="preserve"> Revogação da </w:t>
      </w:r>
      <w:bookmarkEnd w:id="290"/>
      <w:r w:rsidR="681ABEBE" w:rsidRPr="007E77AF">
        <w:t>A</w:t>
      </w:r>
      <w:r w:rsidRPr="007E77AF">
        <w:t>ceitação</w:t>
      </w:r>
      <w:bookmarkEnd w:id="291"/>
      <w:bookmarkEnd w:id="292"/>
      <w:bookmarkEnd w:id="293"/>
      <w:bookmarkEnd w:id="294"/>
    </w:p>
    <w:p w14:paraId="53C5AC68" w14:textId="067AFFC2" w:rsidR="00D74986" w:rsidRPr="007E77AF" w:rsidRDefault="009069A1" w:rsidP="001353DC">
      <w:pPr>
        <w:spacing w:before="120" w:after="120" w:line="312" w:lineRule="auto"/>
        <w:ind w:firstLine="567"/>
        <w:jc w:val="both"/>
      </w:pPr>
      <w:r w:rsidRPr="007E77AF">
        <w:t xml:space="preserve">Art. </w:t>
      </w:r>
      <w:r w:rsidR="00501E0C">
        <w:t>72</w:t>
      </w:r>
      <w:r w:rsidR="5C6DFD8F" w:rsidRPr="007E77AF">
        <w:t xml:space="preserve">.  A aceitação da oferta somente pode ser revogada pelos investidores se tal hipótese estiver expressamente prevista </w:t>
      </w:r>
      <w:r w:rsidR="4C866730" w:rsidRPr="007E77AF">
        <w:t>nos documentos da oferta e no prospecto</w:t>
      </w:r>
      <w:r w:rsidR="5C6DFD8F" w:rsidRPr="007E77AF">
        <w:t xml:space="preserve">, ressalvadas as hipóteses previstas nos </w:t>
      </w:r>
      <w:proofErr w:type="spellStart"/>
      <w:r w:rsidR="5127E7F0" w:rsidRPr="007E77AF">
        <w:t>arts</w:t>
      </w:r>
      <w:proofErr w:type="spellEnd"/>
      <w:r w:rsidR="5127E7F0" w:rsidRPr="007E77AF">
        <w:t xml:space="preserve">. </w:t>
      </w:r>
      <w:r w:rsidR="00DB6CF1">
        <w:t>69</w:t>
      </w:r>
      <w:r w:rsidR="00DB6CF1" w:rsidRPr="007E77AF">
        <w:t xml:space="preserve"> </w:t>
      </w:r>
      <w:r w:rsidR="5127E7F0" w:rsidRPr="007E77AF">
        <w:t>e</w:t>
      </w:r>
      <w:r w:rsidR="00D9341C" w:rsidRPr="007E77AF">
        <w:t xml:space="preserve"> </w:t>
      </w:r>
      <w:r w:rsidR="00DB6CF1">
        <w:t>71</w:t>
      </w:r>
      <w:r w:rsidR="5C6DFD8F" w:rsidRPr="007E77AF">
        <w:t>, as quais são inafastáveis.</w:t>
      </w:r>
    </w:p>
    <w:p w14:paraId="648110AC" w14:textId="23EE2404" w:rsidR="00D74986" w:rsidRPr="007E77AF" w:rsidRDefault="00002143" w:rsidP="006B018B">
      <w:pPr>
        <w:pStyle w:val="Seo"/>
      </w:pPr>
      <w:bookmarkStart w:id="295" w:name="_Toc467256296"/>
      <w:bookmarkStart w:id="296" w:name="_Toc476216346"/>
      <w:bookmarkStart w:id="297" w:name="_Toc108516067"/>
      <w:bookmarkStart w:id="298" w:name="_Toc108203098"/>
      <w:bookmarkStart w:id="299" w:name="_Toc136502838"/>
      <w:r w:rsidRPr="007E77AF">
        <w:t xml:space="preserve">Seção </w:t>
      </w:r>
      <w:r w:rsidR="009303EE" w:rsidRPr="007E77AF">
        <w:t>X</w:t>
      </w:r>
      <w:r w:rsidR="002F429B" w:rsidRPr="007E77AF">
        <w:t>IV</w:t>
      </w:r>
      <w:r w:rsidRPr="007E77AF">
        <w:t xml:space="preserve"> </w:t>
      </w:r>
      <w:r w:rsidR="0051636E" w:rsidRPr="007E77AF">
        <w:t>–</w:t>
      </w:r>
      <w:r w:rsidRPr="007E77AF">
        <w:t xml:space="preserve"> Distribuição </w:t>
      </w:r>
      <w:r w:rsidR="00807352" w:rsidRPr="007E77AF">
        <w:t>P</w:t>
      </w:r>
      <w:r w:rsidRPr="007E77AF">
        <w:t>arcial</w:t>
      </w:r>
      <w:bookmarkEnd w:id="295"/>
      <w:bookmarkEnd w:id="296"/>
      <w:bookmarkEnd w:id="297"/>
      <w:bookmarkEnd w:id="298"/>
      <w:bookmarkEnd w:id="299"/>
    </w:p>
    <w:p w14:paraId="653545FF" w14:textId="29B4035C" w:rsidR="00D74986" w:rsidRPr="007E77AF" w:rsidRDefault="009069A1" w:rsidP="001353DC">
      <w:pPr>
        <w:keepNext/>
        <w:spacing w:before="120" w:after="120" w:line="312" w:lineRule="auto"/>
        <w:ind w:firstLine="567"/>
        <w:jc w:val="both"/>
      </w:pPr>
      <w:bookmarkStart w:id="300" w:name="_Ref464391179"/>
      <w:bookmarkStart w:id="301" w:name="_Ref460498818"/>
      <w:r w:rsidRPr="007E77AF">
        <w:t xml:space="preserve">Art. </w:t>
      </w:r>
      <w:r w:rsidR="00501E0C">
        <w:t>73</w:t>
      </w:r>
      <w:r w:rsidR="4C4116BE" w:rsidRPr="007E77AF">
        <w:t xml:space="preserve">.  O ato que deliberar sobre a oferta pública deve dispor sobre o tratamento a ser dado no caso de não haver a distribuição total dos valores mobiliários previstos para a oferta pública ou a captação </w:t>
      </w:r>
      <w:r w:rsidR="589D865B" w:rsidRPr="007E77AF">
        <w:lastRenderedPageBreak/>
        <w:t xml:space="preserve">integral </w:t>
      </w:r>
      <w:r w:rsidR="4C4116BE" w:rsidRPr="007E77AF">
        <w:t xml:space="preserve">do montante previsto para a oferta pública, especificando, se </w:t>
      </w:r>
      <w:r w:rsidR="00C43B09" w:rsidRPr="007E77AF">
        <w:t>houver previsão de distribuição parcial</w:t>
      </w:r>
      <w:r w:rsidR="4C4116BE" w:rsidRPr="007E77AF">
        <w:t>, a quantidade mínima de valores mobiliários ou o montante mínimo de recursos para os quais será mantida a oferta pública.</w:t>
      </w:r>
      <w:bookmarkEnd w:id="300"/>
      <w:bookmarkEnd w:id="301"/>
    </w:p>
    <w:p w14:paraId="00956774" w14:textId="322FBA06" w:rsidR="00D74986" w:rsidRPr="007E77AF" w:rsidRDefault="002B508F" w:rsidP="00D74986">
      <w:pPr>
        <w:spacing w:before="120" w:after="120" w:line="312" w:lineRule="auto"/>
        <w:ind w:firstLine="567"/>
        <w:jc w:val="both"/>
      </w:pPr>
      <w:r w:rsidRPr="007E77AF">
        <w:t>§</w:t>
      </w:r>
      <w:r w:rsidR="2DA5A176" w:rsidRPr="007E77AF">
        <w:t xml:space="preserve"> </w:t>
      </w:r>
      <w:r w:rsidRPr="007E77AF">
        <w:t>1</w:t>
      </w:r>
      <w:proofErr w:type="gramStart"/>
      <w:r w:rsidRPr="007E77AF">
        <w:t xml:space="preserve">º  </w:t>
      </w:r>
      <w:r w:rsidR="00D141F3" w:rsidRPr="007E77AF">
        <w:t>O</w:t>
      </w:r>
      <w:proofErr w:type="gramEnd"/>
      <w:r w:rsidR="00D141F3" w:rsidRPr="007E77AF">
        <w:t xml:space="preserve"> prospecto </w:t>
      </w:r>
      <w:r w:rsidR="0038736D">
        <w:t xml:space="preserve">ou, nos casos em </w:t>
      </w:r>
      <w:r w:rsidR="009C7DE0" w:rsidRPr="007E77AF">
        <w:t>que a divulgação de um prospecto é dispensada</w:t>
      </w:r>
      <w:r w:rsidR="009C7DE0">
        <w:t xml:space="preserve">, os </w:t>
      </w:r>
      <w:r w:rsidR="00880973">
        <w:t xml:space="preserve">demais </w:t>
      </w:r>
      <w:r w:rsidR="009C7DE0">
        <w:t>documentos da oferta,</w:t>
      </w:r>
      <w:r w:rsidR="009C7DE0" w:rsidRPr="007E77AF">
        <w:t xml:space="preserve"> </w:t>
      </w:r>
      <w:r w:rsidRPr="007E77AF">
        <w:t xml:space="preserve">deve conter seção específica </w:t>
      </w:r>
      <w:r w:rsidR="00D62A9E" w:rsidRPr="007E77AF">
        <w:t xml:space="preserve">nos termos e condições da oferta </w:t>
      </w:r>
      <w:r w:rsidRPr="007E77AF">
        <w:t>tratando da destinação dos recursos conforme a quantidade de valores mobiliários a ser distribuída ou o montante de recursos que se pretende captar, bem como a eventual fonte alternativa de recursos, caso seja admitida a distribuição ou a captação parcial.</w:t>
      </w:r>
    </w:p>
    <w:p w14:paraId="08737386" w14:textId="28772A90" w:rsidR="00D74986" w:rsidRPr="007E77AF" w:rsidRDefault="002B508F" w:rsidP="00D74986">
      <w:pPr>
        <w:spacing w:before="120" w:after="120" w:line="312" w:lineRule="auto"/>
        <w:ind w:firstLine="567"/>
        <w:jc w:val="both"/>
      </w:pPr>
      <w:r w:rsidRPr="007E77AF">
        <w:t>§</w:t>
      </w:r>
      <w:r w:rsidR="43BAE6A3" w:rsidRPr="007E77AF">
        <w:t xml:space="preserve"> </w:t>
      </w:r>
      <w:r w:rsidRPr="007E77AF">
        <w:t>2</w:t>
      </w:r>
      <w:proofErr w:type="gramStart"/>
      <w:r w:rsidRPr="007E77AF">
        <w:t>º  Exceto</w:t>
      </w:r>
      <w:proofErr w:type="gramEnd"/>
      <w:r w:rsidRPr="007E77AF">
        <w:t xml:space="preserve"> quando contrariamente dispuserem a lei ou os termos </w:t>
      </w:r>
      <w:r w:rsidR="00941E80" w:rsidRPr="007E77AF">
        <w:t xml:space="preserve">e condições </w:t>
      </w:r>
      <w:r w:rsidRPr="007E77AF">
        <w:t xml:space="preserve">da oferta, em nada </w:t>
      </w:r>
      <w:r w:rsidR="005F39F0" w:rsidRPr="007E77AF">
        <w:t xml:space="preserve">são </w:t>
      </w:r>
      <w:r w:rsidRPr="007E77AF">
        <w:t>afetada</w:t>
      </w:r>
      <w:r w:rsidR="005F39F0" w:rsidRPr="007E77AF">
        <w:t>s</w:t>
      </w:r>
      <w:r w:rsidRPr="007E77AF">
        <w:t xml:space="preserve"> a subscrição ou a aquisição dos valores mobiliários </w:t>
      </w:r>
      <w:r w:rsidR="001A2A62" w:rsidRPr="007E77AF">
        <w:t xml:space="preserve">ocorridas </w:t>
      </w:r>
      <w:r w:rsidRPr="007E77AF">
        <w:t xml:space="preserve">em uma oferta pública com distribuição ou captação parcial, desde que autorizada pelo órgão competente </w:t>
      </w:r>
      <w:r w:rsidR="001A2A62" w:rsidRPr="007E77AF">
        <w:t>do emissor</w:t>
      </w:r>
      <w:r w:rsidRPr="007E77AF">
        <w:t xml:space="preserve"> e realizada dentro do valor mínimo previsto no </w:t>
      </w:r>
      <w:r w:rsidR="00E00A37" w:rsidRPr="007E77AF">
        <w:rPr>
          <w:b/>
          <w:bCs/>
        </w:rPr>
        <w:t>caput</w:t>
      </w:r>
      <w:r w:rsidRPr="007E77AF">
        <w:t>.</w:t>
      </w:r>
    </w:p>
    <w:p w14:paraId="12278D27" w14:textId="6C00358B" w:rsidR="00D74986" w:rsidRPr="007E77AF" w:rsidRDefault="002B508F" w:rsidP="00D74986">
      <w:pPr>
        <w:spacing w:before="120" w:after="120" w:line="312" w:lineRule="auto"/>
        <w:ind w:firstLine="567"/>
        <w:jc w:val="both"/>
      </w:pPr>
      <w:r w:rsidRPr="007E77AF">
        <w:t>§</w:t>
      </w:r>
      <w:r w:rsidR="794AB0A8" w:rsidRPr="007E77AF">
        <w:t xml:space="preserve"> </w:t>
      </w:r>
      <w:r w:rsidRPr="007E77AF">
        <w:t xml:space="preserve">3º  Na hipótese de não terem sido distribuídos integralmente os valores mobiliários objeto da oferta e não tendo sido autorizada a distribuição parcial, </w:t>
      </w:r>
      <w:r w:rsidR="008314BF" w:rsidRPr="007E77AF">
        <w:t xml:space="preserve">ou, caso tenha sido autorizada a distribuição parcial e não tenha havido o atingimento do montante mínimo, </w:t>
      </w:r>
      <w:r w:rsidRPr="007E77AF">
        <w:t xml:space="preserve">nos termos do </w:t>
      </w:r>
      <w:r w:rsidR="00E00A37" w:rsidRPr="007E77AF">
        <w:rPr>
          <w:b/>
          <w:bCs/>
        </w:rPr>
        <w:t>caput</w:t>
      </w:r>
      <w:r w:rsidRPr="007E77AF">
        <w:t xml:space="preserve">, os valores, bens ou direitos dados em contrapartida aos valores mobiliários ofertados </w:t>
      </w:r>
      <w:r w:rsidR="2879AB68" w:rsidRPr="007E77AF">
        <w:t>devem</w:t>
      </w:r>
      <w:r w:rsidRPr="007E77AF">
        <w:t xml:space="preserve"> ser integralmente restituídos aos investidores, na forma </w:t>
      </w:r>
      <w:r w:rsidR="00D62A9E" w:rsidRPr="007E77AF">
        <w:t xml:space="preserve">dos termos e </w:t>
      </w:r>
      <w:r w:rsidRPr="007E77AF">
        <w:t xml:space="preserve">condições </w:t>
      </w:r>
      <w:r w:rsidR="00F45A61" w:rsidRPr="007E77AF">
        <w:t>constantes dos documentos da oferta e do</w:t>
      </w:r>
      <w:r w:rsidRPr="007E77AF">
        <w:t xml:space="preserve"> </w:t>
      </w:r>
      <w:r w:rsidR="00F45A61" w:rsidRPr="007E77AF">
        <w:t>p</w:t>
      </w:r>
      <w:r w:rsidRPr="007E77AF">
        <w:t>rospecto.</w:t>
      </w:r>
    </w:p>
    <w:p w14:paraId="6DEA99B4" w14:textId="77777777" w:rsidR="00D74986" w:rsidRPr="007E77AF" w:rsidRDefault="002B508F" w:rsidP="00D74986">
      <w:pPr>
        <w:spacing w:before="120" w:after="120" w:line="312" w:lineRule="auto"/>
        <w:ind w:firstLine="567"/>
        <w:jc w:val="both"/>
      </w:pPr>
      <w:r w:rsidRPr="007E77AF">
        <w:t>§</w:t>
      </w:r>
      <w:r w:rsidR="7824B8A3" w:rsidRPr="007E77AF">
        <w:t xml:space="preserve"> </w:t>
      </w:r>
      <w:r w:rsidRPr="007E77AF">
        <w:t>4</w:t>
      </w:r>
      <w:proofErr w:type="gramStart"/>
      <w:r w:rsidRPr="007E77AF">
        <w:t>º  O</w:t>
      </w:r>
      <w:proofErr w:type="gramEnd"/>
      <w:r w:rsidRPr="007E77AF">
        <w:t xml:space="preserve"> disposto no § 3º aplica-se à devolução dos valores, bens ou direitos dados em contrapartida aos valores mobiliários ofertados aos investidores que tenham condicionado sua adesão à distribuição total dos valores mobiliários.</w:t>
      </w:r>
    </w:p>
    <w:p w14:paraId="4AF1C414" w14:textId="71D33631" w:rsidR="00D74986" w:rsidRPr="007E77AF" w:rsidRDefault="002B508F" w:rsidP="00D74986">
      <w:pPr>
        <w:spacing w:before="120" w:after="120" w:line="312" w:lineRule="auto"/>
        <w:ind w:firstLine="567"/>
        <w:jc w:val="both"/>
      </w:pPr>
      <w:r w:rsidRPr="007E77AF">
        <w:t>§ 5</w:t>
      </w:r>
      <w:proofErr w:type="gramStart"/>
      <w:r w:rsidRPr="007E77AF">
        <w:t>º  Não</w:t>
      </w:r>
      <w:proofErr w:type="gramEnd"/>
      <w:r w:rsidRPr="007E77AF">
        <w:t xml:space="preserve"> se sujeitam às regras deste artigo as ofertas públicas secundária</w:t>
      </w:r>
      <w:r w:rsidR="037624B3" w:rsidRPr="007E77AF">
        <w:t>s</w:t>
      </w:r>
      <w:r w:rsidRPr="007E77AF">
        <w:t xml:space="preserve"> de valores mobiliários</w:t>
      </w:r>
      <w:r w:rsidR="0B5DD4A4" w:rsidRPr="007E77AF">
        <w:t>,</w:t>
      </w:r>
      <w:r w:rsidRPr="007E77AF">
        <w:t xml:space="preserve"> que </w:t>
      </w:r>
      <w:r w:rsidR="0521124D" w:rsidRPr="007E77AF">
        <w:t>obedecem</w:t>
      </w:r>
      <w:r w:rsidRPr="007E77AF">
        <w:t xml:space="preserve"> às regras de distribuição parcial que forem previstas nos atos do ofertante e </w:t>
      </w:r>
      <w:r w:rsidR="00D62A9E" w:rsidRPr="007E77AF">
        <w:t>nos termos e condições constantes dos documentos da oferta</w:t>
      </w:r>
      <w:r w:rsidR="00E21A10" w:rsidRPr="007E77AF">
        <w:t>,</w:t>
      </w:r>
      <w:r w:rsidR="00D62A9E" w:rsidRPr="007E77AF">
        <w:t xml:space="preserve"> </w:t>
      </w:r>
      <w:r w:rsidR="00E21A10" w:rsidRPr="007E77AF">
        <w:t xml:space="preserve">inclusive </w:t>
      </w:r>
      <w:r w:rsidR="00D62A9E" w:rsidRPr="007E77AF">
        <w:t>do prospecto</w:t>
      </w:r>
      <w:r w:rsidRPr="007E77AF">
        <w:t>.</w:t>
      </w:r>
    </w:p>
    <w:p w14:paraId="7CB16256" w14:textId="78D8757F" w:rsidR="00D74986" w:rsidRPr="007E77AF" w:rsidRDefault="009069A1" w:rsidP="001353DC">
      <w:pPr>
        <w:spacing w:before="120" w:after="120" w:line="312" w:lineRule="auto"/>
        <w:ind w:firstLine="567"/>
        <w:jc w:val="both"/>
      </w:pPr>
      <w:r w:rsidRPr="007E77AF">
        <w:t xml:space="preserve">Art. </w:t>
      </w:r>
      <w:r w:rsidR="00501E0C">
        <w:t>74</w:t>
      </w:r>
      <w:r w:rsidR="4C4116BE" w:rsidRPr="007E77AF">
        <w:t xml:space="preserve">.  Havendo a possibilidade de distribuição parcial, </w:t>
      </w:r>
      <w:r w:rsidR="00B71C5C" w:rsidRPr="002C67D2">
        <w:rPr>
          <w:rFonts w:cstheme="minorHAnsi"/>
        </w:rPr>
        <w:t xml:space="preserve">deve ser dada a opção ao </w:t>
      </w:r>
      <w:r w:rsidR="00B71C5C" w:rsidRPr="002C67D2">
        <w:t xml:space="preserve">investidor </w:t>
      </w:r>
      <w:r w:rsidR="00B71C5C" w:rsidRPr="002C67D2">
        <w:rPr>
          <w:rFonts w:cstheme="minorHAnsi"/>
        </w:rPr>
        <w:t>de</w:t>
      </w:r>
      <w:r w:rsidR="4C4116BE" w:rsidRPr="007E77AF">
        <w:t xml:space="preserve">, </w:t>
      </w:r>
      <w:r w:rsidR="3E48451E" w:rsidRPr="007E77AF">
        <w:t>por meio</w:t>
      </w:r>
      <w:r w:rsidR="480EE999" w:rsidRPr="007E77AF">
        <w:t xml:space="preserve"> </w:t>
      </w:r>
      <w:r w:rsidR="324EE1D4" w:rsidRPr="007E77AF">
        <w:rPr>
          <w:rStyle w:val="normaltextrun"/>
          <w:rFonts w:ascii="Calibri" w:hAnsi="Calibri" w:cs="Calibri"/>
          <w:shd w:val="clear" w:color="auto" w:fill="FFFFFF"/>
        </w:rPr>
        <w:t xml:space="preserve">do </w:t>
      </w:r>
      <w:r w:rsidR="324EE1D4" w:rsidRPr="007E77AF" w:rsidDel="00B71C5C">
        <w:rPr>
          <w:rStyle w:val="normaltextrun"/>
          <w:rFonts w:ascii="Calibri" w:hAnsi="Calibri" w:cs="Calibri"/>
          <w:shd w:val="clear" w:color="auto" w:fill="FFFFFF"/>
        </w:rPr>
        <w:t xml:space="preserve">documento </w:t>
      </w:r>
      <w:r w:rsidR="324EE1D4" w:rsidRPr="007E77AF">
        <w:rPr>
          <w:rStyle w:val="normaltextrun"/>
          <w:rFonts w:ascii="Calibri" w:hAnsi="Calibri" w:cs="Calibri"/>
          <w:shd w:val="clear" w:color="auto" w:fill="FFFFFF"/>
        </w:rPr>
        <w:t>de aceitação</w:t>
      </w:r>
      <w:r w:rsidR="00CB77E1">
        <w:rPr>
          <w:rStyle w:val="normaltextrun"/>
          <w:rFonts w:ascii="Calibri" w:hAnsi="Calibri" w:cs="Calibri"/>
          <w:shd w:val="clear" w:color="auto" w:fill="FFFFFF"/>
        </w:rPr>
        <w:t xml:space="preserve"> </w:t>
      </w:r>
      <w:r w:rsidR="324EE1D4" w:rsidRPr="007E77AF">
        <w:rPr>
          <w:rStyle w:val="normaltextrun"/>
          <w:rFonts w:ascii="Calibri" w:hAnsi="Calibri" w:cs="Calibri"/>
          <w:shd w:val="clear" w:color="auto" w:fill="FFFFFF"/>
        </w:rPr>
        <w:t>da oferta</w:t>
      </w:r>
      <w:r w:rsidR="4C4116BE" w:rsidRPr="007E77AF">
        <w:t>, condicionar sua adesão a que haja distribuição:</w:t>
      </w:r>
    </w:p>
    <w:p w14:paraId="5832D852" w14:textId="56827E3C" w:rsidR="00D74986" w:rsidRPr="007E77AF" w:rsidRDefault="009069A1" w:rsidP="001353DC">
      <w:pPr>
        <w:spacing w:before="120" w:after="120" w:line="312" w:lineRule="auto"/>
        <w:ind w:firstLine="567"/>
        <w:jc w:val="both"/>
      </w:pPr>
      <w:r w:rsidRPr="007E77AF">
        <w:t>I</w:t>
      </w:r>
      <w:r w:rsidR="4C4116BE" w:rsidRPr="007E77AF">
        <w:t xml:space="preserve"> </w:t>
      </w:r>
      <w:r w:rsidR="10829669" w:rsidRPr="007E77AF">
        <w:t>–</w:t>
      </w:r>
      <w:r w:rsidR="4C4116BE" w:rsidRPr="007E77AF">
        <w:t xml:space="preserve"> </w:t>
      </w:r>
      <w:proofErr w:type="gramStart"/>
      <w:r w:rsidR="4C4116BE" w:rsidRPr="007E77AF">
        <w:t>da</w:t>
      </w:r>
      <w:proofErr w:type="gramEnd"/>
      <w:r w:rsidR="4C4116BE" w:rsidRPr="007E77AF">
        <w:t xml:space="preserve"> totalidade dos valores mobiliários ofertados; ou</w:t>
      </w:r>
    </w:p>
    <w:p w14:paraId="330581CD" w14:textId="6FEAD969" w:rsidR="00D74986" w:rsidRPr="007E77AF" w:rsidRDefault="009069A1" w:rsidP="001353DC">
      <w:pPr>
        <w:spacing w:before="120" w:after="120" w:line="312" w:lineRule="auto"/>
        <w:ind w:firstLine="567"/>
        <w:jc w:val="both"/>
      </w:pPr>
      <w:r w:rsidRPr="007E77AF">
        <w:t>II</w:t>
      </w:r>
      <w:r w:rsidR="4C4116BE" w:rsidRPr="007E77AF">
        <w:t xml:space="preserve"> </w:t>
      </w:r>
      <w:r w:rsidR="0BA6AB3E" w:rsidRPr="007E77AF">
        <w:t xml:space="preserve">– </w:t>
      </w:r>
      <w:proofErr w:type="gramStart"/>
      <w:r w:rsidR="0BA6AB3E" w:rsidRPr="007E77AF">
        <w:t>de</w:t>
      </w:r>
      <w:proofErr w:type="gramEnd"/>
      <w:r w:rsidR="0BA6AB3E" w:rsidRPr="007E77AF">
        <w:t xml:space="preserve"> uma quantidade </w:t>
      </w:r>
      <w:r w:rsidR="00AF6653" w:rsidRPr="002C67D2">
        <w:rPr>
          <w:rFonts w:cstheme="minorHAnsi"/>
        </w:rPr>
        <w:t>ou montante</w:t>
      </w:r>
      <w:r w:rsidR="00AF6653" w:rsidRPr="007E77AF">
        <w:rPr>
          <w:rFonts w:cstheme="minorHAnsi"/>
        </w:rPr>
        <w:t xml:space="preserve"> </w:t>
      </w:r>
      <w:r w:rsidR="00475336" w:rsidRPr="007E77AF">
        <w:rPr>
          <w:rFonts w:cstheme="minorHAnsi"/>
        </w:rPr>
        <w:t xml:space="preserve">financeiro </w:t>
      </w:r>
      <w:r w:rsidR="0BA6AB3E" w:rsidRPr="007E77AF">
        <w:t xml:space="preserve">maior ou igual ao mínimo previsto pelo ofertante e menor que </w:t>
      </w:r>
      <w:r w:rsidR="008728AB" w:rsidRPr="002C67D2">
        <w:rPr>
          <w:rFonts w:cstheme="minorHAnsi"/>
        </w:rPr>
        <w:t>a totalidade</w:t>
      </w:r>
      <w:r w:rsidR="008728AB" w:rsidRPr="007E77AF">
        <w:rPr>
          <w:rFonts w:cstheme="minorHAnsi"/>
        </w:rPr>
        <w:t xml:space="preserve"> </w:t>
      </w:r>
      <w:r w:rsidR="000D7268" w:rsidRPr="007E77AF">
        <w:rPr>
          <w:rFonts w:cstheme="minorHAnsi"/>
        </w:rPr>
        <w:t>d</w:t>
      </w:r>
      <w:r w:rsidR="0BA6AB3E" w:rsidRPr="007E77AF">
        <w:t>os valores mobiliários originalmente objeto da oferta</w:t>
      </w:r>
      <w:r w:rsidR="00F74F25" w:rsidRPr="007E77AF">
        <w:t xml:space="preserve"> ou d</w:t>
      </w:r>
      <w:r w:rsidR="00FB693B" w:rsidRPr="007E77AF">
        <w:t xml:space="preserve">a captação integral </w:t>
      </w:r>
      <w:r w:rsidR="00E23B76" w:rsidRPr="007E77AF">
        <w:t>prevista</w:t>
      </w:r>
      <w:r w:rsidR="0BA6AB3E" w:rsidRPr="007E77AF">
        <w:t>.</w:t>
      </w:r>
    </w:p>
    <w:p w14:paraId="3A6893E8" w14:textId="2AB6A171" w:rsidR="00D74986" w:rsidRPr="007E77AF" w:rsidRDefault="00FF4816" w:rsidP="00D74986">
      <w:pPr>
        <w:spacing w:before="120" w:after="120" w:line="312" w:lineRule="auto"/>
        <w:ind w:firstLine="567"/>
        <w:jc w:val="both"/>
      </w:pPr>
      <w:r w:rsidRPr="007E77AF">
        <w:lastRenderedPageBreak/>
        <w:t>Parágrafo único.</w:t>
      </w:r>
      <w:r w:rsidR="002B508F" w:rsidRPr="007E77AF">
        <w:t xml:space="preserve">  Para os fins deste artigo, entende-se como valores mobiliários efetivamente distribuídos todos os valores mobiliários objeto de subscrição ou aquisição, conforme o caso, inclusive aqueles sujeitos às condições previstas nos incisos </w:t>
      </w:r>
      <w:r w:rsidR="00E26865" w:rsidRPr="007E77AF">
        <w:t xml:space="preserve">I e II do </w:t>
      </w:r>
      <w:r w:rsidR="00E26865" w:rsidRPr="007E77AF">
        <w:rPr>
          <w:b/>
          <w:bCs/>
        </w:rPr>
        <w:t>caput</w:t>
      </w:r>
      <w:r w:rsidR="002B508F" w:rsidRPr="007E77AF">
        <w:t>.</w:t>
      </w:r>
    </w:p>
    <w:p w14:paraId="1E2A9105" w14:textId="79353C7C" w:rsidR="00D74986" w:rsidRPr="007E77AF" w:rsidRDefault="009069A1" w:rsidP="001353DC">
      <w:pPr>
        <w:spacing w:before="120" w:after="120" w:line="312" w:lineRule="auto"/>
        <w:ind w:firstLine="567"/>
        <w:jc w:val="both"/>
      </w:pPr>
      <w:r w:rsidRPr="007E77AF">
        <w:t xml:space="preserve">Art. </w:t>
      </w:r>
      <w:r w:rsidR="00501E0C">
        <w:t>75</w:t>
      </w:r>
      <w:r w:rsidR="76FA8740" w:rsidRPr="007E77AF">
        <w:t>.  Esta seção não se aplica em caso de oferta destinada exclusivamente a investidores profissionais</w:t>
      </w:r>
      <w:r w:rsidR="3F021992" w:rsidRPr="007E77AF">
        <w:t>, exceto se disposto de modo diferente nos documentos da oferta</w:t>
      </w:r>
      <w:r w:rsidR="76FA8740" w:rsidRPr="007E77AF">
        <w:t>.</w:t>
      </w:r>
    </w:p>
    <w:p w14:paraId="184AFC9B" w14:textId="01E87D68" w:rsidR="00D74986" w:rsidRPr="007E77AF" w:rsidRDefault="009303EE" w:rsidP="006B018B">
      <w:pPr>
        <w:pStyle w:val="Seo"/>
      </w:pPr>
      <w:bookmarkStart w:id="302" w:name="_Toc467256297"/>
      <w:bookmarkStart w:id="303" w:name="_Toc476216347"/>
      <w:bookmarkStart w:id="304" w:name="_Toc108516068"/>
      <w:bookmarkStart w:id="305" w:name="_Toc108203099"/>
      <w:bookmarkStart w:id="306" w:name="_Toc136502839"/>
      <w:r w:rsidRPr="007E77AF">
        <w:t xml:space="preserve">Seção </w:t>
      </w:r>
      <w:r w:rsidR="002F429B" w:rsidRPr="007E77AF">
        <w:t xml:space="preserve">XV </w:t>
      </w:r>
      <w:r w:rsidR="0051636E" w:rsidRPr="007E77AF">
        <w:t>–</w:t>
      </w:r>
      <w:r w:rsidR="00002143" w:rsidRPr="007E77AF">
        <w:t xml:space="preserve"> </w:t>
      </w:r>
      <w:r w:rsidR="6A3013D9" w:rsidRPr="007E77AF">
        <w:t xml:space="preserve">Encerramento e </w:t>
      </w:r>
      <w:r w:rsidR="00002143" w:rsidRPr="007E77AF">
        <w:t xml:space="preserve">Resultado da </w:t>
      </w:r>
      <w:r w:rsidR="005600F7" w:rsidRPr="007E77AF">
        <w:t>O</w:t>
      </w:r>
      <w:r w:rsidR="00002143" w:rsidRPr="007E77AF">
        <w:t>ferta</w:t>
      </w:r>
      <w:bookmarkEnd w:id="302"/>
      <w:bookmarkEnd w:id="303"/>
      <w:bookmarkEnd w:id="304"/>
      <w:bookmarkEnd w:id="305"/>
      <w:bookmarkEnd w:id="306"/>
    </w:p>
    <w:p w14:paraId="2064AFF1" w14:textId="6369531D" w:rsidR="00BA4F87" w:rsidRPr="007E77AF" w:rsidRDefault="009069A1" w:rsidP="009069A1">
      <w:pPr>
        <w:spacing w:before="120" w:after="120" w:line="312" w:lineRule="auto"/>
        <w:ind w:firstLine="567"/>
        <w:jc w:val="both"/>
        <w:rPr>
          <w:rFonts w:eastAsiaTheme="minorEastAsia" w:cstheme="minorBidi"/>
        </w:rPr>
      </w:pPr>
      <w:r w:rsidRPr="007E77AF">
        <w:rPr>
          <w:rFonts w:eastAsiaTheme="minorEastAsia" w:cstheme="minorBidi"/>
        </w:rPr>
        <w:t xml:space="preserve">Art. </w:t>
      </w:r>
      <w:r w:rsidR="00501E0C">
        <w:rPr>
          <w:rFonts w:eastAsiaTheme="minorEastAsia" w:cstheme="minorBidi"/>
        </w:rPr>
        <w:t>76</w:t>
      </w:r>
      <w:r w:rsidR="2AD288EE" w:rsidRPr="007E77AF">
        <w:t>.  O resultado da oferta deve ser divulgado</w:t>
      </w:r>
      <w:r w:rsidR="679DF95D" w:rsidRPr="007E77AF">
        <w:t xml:space="preserve"> no anúncio de encerramento da distribuição</w:t>
      </w:r>
      <w:r w:rsidR="2AD288EE" w:rsidRPr="007E77AF">
        <w:t xml:space="preserve">, nos termos do Anexo </w:t>
      </w:r>
      <w:r w:rsidR="00E663C3">
        <w:t>M</w:t>
      </w:r>
      <w:r w:rsidR="00E663C3" w:rsidRPr="007E77AF">
        <w:t xml:space="preserve"> </w:t>
      </w:r>
      <w:r w:rsidR="305B0A50" w:rsidRPr="007E77AF">
        <w:t>a esta Resolução</w:t>
      </w:r>
      <w:r w:rsidR="2AD288EE" w:rsidRPr="007E77AF">
        <w:t xml:space="preserve">, tão logo </w:t>
      </w:r>
      <w:r w:rsidR="00927DC3" w:rsidRPr="007E77AF">
        <w:t>se verifique o primeiro entre os seguintes eventos:</w:t>
      </w:r>
    </w:p>
    <w:p w14:paraId="787E0227" w14:textId="321A0F19" w:rsidR="00334FA3" w:rsidRPr="007E77AF" w:rsidRDefault="003677C6" w:rsidP="00C67B81">
      <w:pPr>
        <w:spacing w:before="120" w:after="120" w:line="312" w:lineRule="auto"/>
        <w:ind w:firstLine="567"/>
        <w:jc w:val="both"/>
      </w:pPr>
      <w:r w:rsidRPr="007E77AF">
        <w:t xml:space="preserve">I </w:t>
      </w:r>
      <w:r w:rsidR="00BC1FE0" w:rsidRPr="007E77AF">
        <w:t>–</w:t>
      </w:r>
      <w:r w:rsidRPr="007E77AF">
        <w:t xml:space="preserve"> </w:t>
      </w:r>
      <w:proofErr w:type="gramStart"/>
      <w:r w:rsidR="008E423C" w:rsidRPr="007E77AF">
        <w:t>encerramento</w:t>
      </w:r>
      <w:proofErr w:type="gramEnd"/>
      <w:r w:rsidR="008E423C" w:rsidRPr="007E77AF">
        <w:t xml:space="preserve"> </w:t>
      </w:r>
      <w:r w:rsidR="003463E0" w:rsidRPr="007E77AF">
        <w:t>d</w:t>
      </w:r>
      <w:r w:rsidR="2AD288EE" w:rsidRPr="007E77AF">
        <w:t xml:space="preserve">o prazo estipulado </w:t>
      </w:r>
      <w:r w:rsidR="002A03B8" w:rsidRPr="007E77AF">
        <w:t xml:space="preserve">para a oferta; </w:t>
      </w:r>
      <w:r w:rsidR="2AD288EE" w:rsidRPr="007E77AF">
        <w:t>ou</w:t>
      </w:r>
    </w:p>
    <w:p w14:paraId="1D6E03F0" w14:textId="2CC1F080" w:rsidR="00D74986" w:rsidRPr="007E77AF" w:rsidRDefault="00334FA3" w:rsidP="00C67B81">
      <w:pPr>
        <w:spacing w:before="120" w:after="120" w:line="312" w:lineRule="auto"/>
        <w:ind w:firstLine="567"/>
        <w:jc w:val="both"/>
        <w:rPr>
          <w:rFonts w:eastAsiaTheme="minorEastAsia" w:cstheme="minorBidi"/>
        </w:rPr>
      </w:pPr>
      <w:r w:rsidRPr="007E77AF">
        <w:t>II –</w:t>
      </w:r>
      <w:r w:rsidR="00AF3B3E" w:rsidRPr="007E77AF">
        <w:t xml:space="preserve"> </w:t>
      </w:r>
      <w:proofErr w:type="gramStart"/>
      <w:r w:rsidR="2AD288EE" w:rsidRPr="007E77AF">
        <w:t>distribuição</w:t>
      </w:r>
      <w:proofErr w:type="gramEnd"/>
      <w:r w:rsidR="2AD288EE" w:rsidRPr="007E77AF">
        <w:t xml:space="preserve"> da totalidade dos valores mobiliários objeto</w:t>
      </w:r>
      <w:r w:rsidR="00E21A10" w:rsidRPr="007E77AF">
        <w:t xml:space="preserve"> da oferta</w:t>
      </w:r>
      <w:r w:rsidR="2CECF21E" w:rsidRPr="007E77AF">
        <w:t>, inclusive daqueles constantes do lote adicional, assim como o eventual exercício da opção de distribuição do lote suplementar</w:t>
      </w:r>
      <w:r w:rsidR="2AD288EE" w:rsidRPr="007E77AF">
        <w:t>.</w:t>
      </w:r>
    </w:p>
    <w:p w14:paraId="24DCE9A1" w14:textId="77777777" w:rsidR="00D74986" w:rsidRPr="007E77AF" w:rsidRDefault="000807D0" w:rsidP="006B018B">
      <w:pPr>
        <w:pStyle w:val="Captulo"/>
      </w:pPr>
      <w:bookmarkStart w:id="307" w:name="_Toc467256298"/>
      <w:bookmarkStart w:id="308" w:name="_Toc476216348"/>
      <w:bookmarkStart w:id="309" w:name="_Toc108516069"/>
      <w:bookmarkStart w:id="310" w:name="_Toc108203100"/>
      <w:bookmarkStart w:id="311" w:name="_Toc136502840"/>
      <w:r w:rsidRPr="007E77AF">
        <w:t>CAPÍTULO VI – INSTITUIÇÕES INTERMEDIÁRIAS</w:t>
      </w:r>
      <w:bookmarkEnd w:id="307"/>
      <w:bookmarkEnd w:id="308"/>
      <w:bookmarkEnd w:id="309"/>
      <w:bookmarkEnd w:id="310"/>
      <w:bookmarkEnd w:id="311"/>
    </w:p>
    <w:p w14:paraId="2A2ED3E9" w14:textId="23207064" w:rsidR="00D74986" w:rsidRPr="007E77AF" w:rsidRDefault="009069A1" w:rsidP="001353DC">
      <w:pPr>
        <w:keepNext/>
        <w:spacing w:before="120" w:after="120" w:line="312" w:lineRule="auto"/>
        <w:ind w:firstLine="567"/>
        <w:jc w:val="both"/>
      </w:pPr>
      <w:bookmarkStart w:id="312" w:name="_Ref464391218"/>
      <w:r w:rsidRPr="007E77AF">
        <w:t xml:space="preserve">Art. </w:t>
      </w:r>
      <w:r w:rsidR="00501E0C">
        <w:t>77</w:t>
      </w:r>
      <w:r w:rsidR="5EE1C68E" w:rsidRPr="007E77AF">
        <w:t>.  O rela</w:t>
      </w:r>
      <w:r w:rsidR="641718F3" w:rsidRPr="007E77AF">
        <w:t>cionamento do ofertante com as instituições i</w:t>
      </w:r>
      <w:r w:rsidR="5EE1C68E" w:rsidRPr="007E77AF">
        <w:t xml:space="preserve">ntermediárias deve ser formalizado mediante contrato de distribuição de valores mobiliários que </w:t>
      </w:r>
      <w:r w:rsidR="54FDB771" w:rsidRPr="007E77AF">
        <w:t>cont</w:t>
      </w:r>
      <w:r w:rsidR="00EFDE46" w:rsidRPr="007E77AF">
        <w:t>enha</w:t>
      </w:r>
      <w:r w:rsidR="54FDB771" w:rsidRPr="007E77AF">
        <w:t xml:space="preserve"> </w:t>
      </w:r>
      <w:r w:rsidR="5EE1C68E" w:rsidRPr="007E77AF">
        <w:t>obrigatoriamente as cláusulas constantes do Anexo</w:t>
      </w:r>
      <w:r w:rsidR="49EF7977" w:rsidRPr="007E77AF">
        <w:t xml:space="preserve"> </w:t>
      </w:r>
      <w:bookmarkEnd w:id="312"/>
      <w:r w:rsidR="00D84551">
        <w:t>K</w:t>
      </w:r>
      <w:r w:rsidR="00D84551" w:rsidRPr="007E77AF">
        <w:t xml:space="preserve"> </w:t>
      </w:r>
      <w:r w:rsidR="0C0A746E" w:rsidRPr="007E77AF">
        <w:t>a esta Resolução.</w:t>
      </w:r>
    </w:p>
    <w:p w14:paraId="7B1F41BE" w14:textId="291C9F56" w:rsidR="00D74986" w:rsidRPr="007E77AF" w:rsidRDefault="00E70EA3" w:rsidP="00D74986">
      <w:pPr>
        <w:spacing w:before="120" w:after="120" w:line="312" w:lineRule="auto"/>
        <w:ind w:firstLine="567"/>
        <w:jc w:val="both"/>
      </w:pPr>
      <w:r w:rsidRPr="007E77AF">
        <w:t>Parágrafo único.</w:t>
      </w:r>
      <w:r w:rsidR="000807D0" w:rsidRPr="007E77AF" w:rsidDel="00140A68">
        <w:t xml:space="preserve">  </w:t>
      </w:r>
      <w:r w:rsidR="000807D0" w:rsidRPr="007E77AF">
        <w:t xml:space="preserve">Na hipótese de vinculação societária, direta ou indireta, entre o ofertante ou seu acionista controlador e </w:t>
      </w:r>
      <w:r w:rsidR="003A3BE7">
        <w:t>os</w:t>
      </w:r>
      <w:r w:rsidR="00D316FA">
        <w:t xml:space="preserve"> coordenadores</w:t>
      </w:r>
      <w:r w:rsidR="000807D0" w:rsidRPr="007E77AF">
        <w:t xml:space="preserve"> ou seu</w:t>
      </w:r>
      <w:r w:rsidR="00D316FA">
        <w:t>s</w:t>
      </w:r>
      <w:r w:rsidR="000807D0" w:rsidRPr="007E77AF">
        <w:t xml:space="preserve"> acionista</w:t>
      </w:r>
      <w:r w:rsidR="00D316FA">
        <w:t>s</w:t>
      </w:r>
      <w:r w:rsidR="000807D0" w:rsidRPr="007E77AF">
        <w:t xml:space="preserve"> controlador</w:t>
      </w:r>
      <w:r w:rsidR="00D316FA">
        <w:t>es</w:t>
      </w:r>
      <w:r w:rsidR="000807D0" w:rsidRPr="007E77AF">
        <w:t>, tal fato deve ser informado com destaque no</w:t>
      </w:r>
      <w:r w:rsidR="00C9540D" w:rsidRPr="007E77AF">
        <w:t xml:space="preserve">s termos do </w:t>
      </w:r>
      <w:r w:rsidR="00690ABA">
        <w:t xml:space="preserve">inciso I do </w:t>
      </w:r>
      <w:r w:rsidR="00C9540D" w:rsidRPr="007E77AF">
        <w:t>parágrafo único do art.</w:t>
      </w:r>
      <w:r w:rsidR="00F61872" w:rsidRPr="007E77AF">
        <w:t xml:space="preserve"> </w:t>
      </w:r>
      <w:r w:rsidR="004A5EF3" w:rsidRPr="007E77AF">
        <w:t>5</w:t>
      </w:r>
      <w:r w:rsidR="004A5EF3">
        <w:t>8</w:t>
      </w:r>
      <w:r w:rsidR="000807D0" w:rsidRPr="007E77AF">
        <w:t>.</w:t>
      </w:r>
    </w:p>
    <w:p w14:paraId="6517B747" w14:textId="17B5A572" w:rsidR="00D74986" w:rsidRPr="007E77AF" w:rsidRDefault="009069A1" w:rsidP="001353DC">
      <w:pPr>
        <w:keepNext/>
        <w:spacing w:before="120" w:after="120" w:line="312" w:lineRule="auto"/>
        <w:ind w:firstLine="567"/>
        <w:jc w:val="both"/>
      </w:pPr>
      <w:bookmarkStart w:id="313" w:name="_Ref467232903"/>
      <w:r w:rsidRPr="007E77AF">
        <w:t xml:space="preserve">Art. </w:t>
      </w:r>
      <w:r w:rsidR="00501E0C">
        <w:t>78</w:t>
      </w:r>
      <w:r w:rsidR="00B6386E" w:rsidRPr="007E77AF">
        <w:t>.  Todas as formas de remuneração</w:t>
      </w:r>
      <w:r w:rsidR="30CF5DD9" w:rsidRPr="007E77AF">
        <w:t>, ainda que indiretas,</w:t>
      </w:r>
      <w:r w:rsidR="00B6386E" w:rsidRPr="007E77AF">
        <w:t xml:space="preserve"> devidas pelo ofertante</w:t>
      </w:r>
      <w:r w:rsidR="73C45334" w:rsidRPr="007E77AF">
        <w:t xml:space="preserve"> às instituições </w:t>
      </w:r>
      <w:r w:rsidR="00C439AE">
        <w:t>participantes do consórcio de distribuição</w:t>
      </w:r>
      <w:r w:rsidR="00543C14">
        <w:t xml:space="preserve"> </w:t>
      </w:r>
      <w:r w:rsidR="00B6386E" w:rsidRPr="007E77AF">
        <w:t>devem ser explícitas e divulgadas no prospecto ou nos documentos da oferta, neste caso, quando a divulgação de um prospecto é dispensada, incluindo qualquer outra forma de pagamento, benefício ou direito.</w:t>
      </w:r>
      <w:bookmarkEnd w:id="313"/>
    </w:p>
    <w:p w14:paraId="02F5CA5C" w14:textId="2DEE066D" w:rsidR="00D74986" w:rsidRPr="007E77AF" w:rsidRDefault="009069A1" w:rsidP="001353DC">
      <w:pPr>
        <w:spacing w:before="120" w:after="120" w:line="312" w:lineRule="auto"/>
        <w:ind w:firstLine="567"/>
        <w:jc w:val="both"/>
      </w:pPr>
      <w:r w:rsidRPr="007E77AF">
        <w:t xml:space="preserve">Art. </w:t>
      </w:r>
      <w:r w:rsidR="00501E0C">
        <w:t>79</w:t>
      </w:r>
      <w:r w:rsidR="5EE1C68E" w:rsidRPr="007E77AF">
        <w:t xml:space="preserve">.  As </w:t>
      </w:r>
      <w:r w:rsidR="7669E955" w:rsidRPr="007E77AF">
        <w:t>i</w:t>
      </w:r>
      <w:r w:rsidR="5EE1C68E" w:rsidRPr="007E77AF">
        <w:t xml:space="preserve">nstituições </w:t>
      </w:r>
      <w:r w:rsidR="0F88C348" w:rsidRPr="007E77AF">
        <w:t>i</w:t>
      </w:r>
      <w:r w:rsidR="5EE1C68E" w:rsidRPr="007E77AF">
        <w:t xml:space="preserve">ntermediárias </w:t>
      </w:r>
      <w:r w:rsidR="54FDB771" w:rsidRPr="007E77AF">
        <w:t xml:space="preserve">podem </w:t>
      </w:r>
      <w:r w:rsidR="5EE1C68E" w:rsidRPr="007E77AF">
        <w:t xml:space="preserve">se organizar sob a forma de consórcio com o fim específico de distribuir os valores mobiliários no mercado </w:t>
      </w:r>
      <w:r w:rsidR="00043649" w:rsidRPr="002C67D2">
        <w:rPr>
          <w:u w:color="0070C0"/>
        </w:rPr>
        <w:t>ou</w:t>
      </w:r>
      <w:r w:rsidR="5EE1C68E" w:rsidRPr="007E77AF">
        <w:t xml:space="preserve"> garantir a subscrição da emissão.</w:t>
      </w:r>
    </w:p>
    <w:p w14:paraId="2777ABA0" w14:textId="0E02635D" w:rsidR="00D74986" w:rsidRPr="007E77AF" w:rsidRDefault="5EE1C68E" w:rsidP="00D74986">
      <w:pPr>
        <w:spacing w:before="120" w:after="120" w:line="312" w:lineRule="auto"/>
        <w:ind w:firstLine="567"/>
        <w:jc w:val="both"/>
      </w:pPr>
      <w:r w:rsidRPr="007E77AF">
        <w:t>§</w:t>
      </w:r>
      <w:r w:rsidR="148E8EA7" w:rsidRPr="007E77AF">
        <w:t xml:space="preserve"> </w:t>
      </w:r>
      <w:r w:rsidRPr="007E77AF">
        <w:t>1</w:t>
      </w:r>
      <w:proofErr w:type="gramStart"/>
      <w:r w:rsidRPr="007E77AF">
        <w:t>º  As</w:t>
      </w:r>
      <w:proofErr w:type="gramEnd"/>
      <w:r w:rsidRPr="007E77AF">
        <w:t xml:space="preserve"> cláusulas relativas ao consórcio </w:t>
      </w:r>
      <w:r w:rsidR="54FDB771" w:rsidRPr="007E77AF">
        <w:t xml:space="preserve">devem </w:t>
      </w:r>
      <w:r w:rsidRPr="007E77AF">
        <w:t xml:space="preserve">ser formalizadas no mesmo instrumento do contrato de distribuição, </w:t>
      </w:r>
      <w:r w:rsidR="00EC1266" w:rsidRPr="007E77AF">
        <w:t>no qual</w:t>
      </w:r>
      <w:r w:rsidRPr="007E77AF">
        <w:t xml:space="preserve"> deve constar a outorga d</w:t>
      </w:r>
      <w:r w:rsidR="10829669" w:rsidRPr="007E77AF">
        <w:t xml:space="preserve">e poderes de representação das instituições </w:t>
      </w:r>
      <w:r w:rsidR="002D3C3B">
        <w:t>participantes do consórcio de distribuição</w:t>
      </w:r>
      <w:r w:rsidR="002D3C3B" w:rsidRPr="007E77AF">
        <w:t xml:space="preserve"> </w:t>
      </w:r>
      <w:r w:rsidR="002A2769">
        <w:t>ao</w:t>
      </w:r>
      <w:r w:rsidR="002A2769" w:rsidRPr="007E77AF">
        <w:t xml:space="preserve"> </w:t>
      </w:r>
      <w:r w:rsidR="008F489E">
        <w:t>coordenador líder</w:t>
      </w:r>
      <w:r w:rsidRPr="007E77AF">
        <w:t xml:space="preserve"> e, se for o caso, as condições e os limites de coobrigação de cada instituição participante.</w:t>
      </w:r>
    </w:p>
    <w:p w14:paraId="4A18800F" w14:textId="2F1BB376" w:rsidR="00D74986" w:rsidRPr="007E77AF" w:rsidRDefault="5EE1C68E" w:rsidP="00D74986">
      <w:pPr>
        <w:spacing w:before="120" w:after="120" w:line="312" w:lineRule="auto"/>
        <w:ind w:firstLine="567"/>
        <w:jc w:val="both"/>
      </w:pPr>
      <w:r w:rsidRPr="007E77AF">
        <w:lastRenderedPageBreak/>
        <w:t>§</w:t>
      </w:r>
      <w:r w:rsidR="47EEF5D9" w:rsidRPr="007E77AF">
        <w:t xml:space="preserve"> </w:t>
      </w:r>
      <w:r w:rsidRPr="007E77AF">
        <w:t>2</w:t>
      </w:r>
      <w:proofErr w:type="gramStart"/>
      <w:r w:rsidRPr="007E77AF">
        <w:t>º  À</w:t>
      </w:r>
      <w:proofErr w:type="gramEnd"/>
      <w:r w:rsidRPr="007E77AF">
        <w:t xml:space="preserve"> instituição que não celebrou o instrumento referido no </w:t>
      </w:r>
      <w:r w:rsidR="3B2E2666" w:rsidRPr="007E77AF">
        <w:rPr>
          <w:b/>
          <w:bCs/>
        </w:rPr>
        <w:t>caput</w:t>
      </w:r>
      <w:r w:rsidRPr="007E77AF">
        <w:t xml:space="preserve"> </w:t>
      </w:r>
      <w:r w:rsidR="4FD1ABFB" w:rsidRPr="007E77AF">
        <w:t xml:space="preserve">é </w:t>
      </w:r>
      <w:r w:rsidRPr="007E77AF">
        <w:t xml:space="preserve">permitida a adesão </w:t>
      </w:r>
      <w:r w:rsidR="39621FCA" w:rsidRPr="007E77AF">
        <w:t>por meio</w:t>
      </w:r>
      <w:r w:rsidRPr="007E77AF">
        <w:t xml:space="preserve"> da celebração, com </w:t>
      </w:r>
      <w:r w:rsidR="0007634A">
        <w:t>o</w:t>
      </w:r>
      <w:r w:rsidR="0007634A" w:rsidRPr="007E77AF">
        <w:t xml:space="preserve"> </w:t>
      </w:r>
      <w:r w:rsidR="008F489E">
        <w:rPr>
          <w:rFonts w:ascii="Calibri" w:eastAsia="Calibri" w:hAnsi="Calibri" w:cs="Calibri"/>
        </w:rPr>
        <w:t xml:space="preserve">coordenador </w:t>
      </w:r>
      <w:r w:rsidR="008F489E" w:rsidRPr="00C67B81">
        <w:rPr>
          <w:rFonts w:ascii="Calibri" w:eastAsia="Calibri" w:hAnsi="Calibri"/>
        </w:rPr>
        <w:t>líder</w:t>
      </w:r>
      <w:r w:rsidRPr="007E77AF">
        <w:t>, do termo</w:t>
      </w:r>
      <w:r w:rsidR="6AC20ACF" w:rsidRPr="007E77AF">
        <w:t xml:space="preserve"> específico</w:t>
      </w:r>
      <w:r w:rsidRPr="007E77AF">
        <w:t>.</w:t>
      </w:r>
    </w:p>
    <w:p w14:paraId="163B9C42" w14:textId="1714CA28" w:rsidR="00D74986" w:rsidRPr="007E77AF" w:rsidRDefault="00C9540D" w:rsidP="00D74986">
      <w:pPr>
        <w:spacing w:before="120" w:after="120" w:line="312" w:lineRule="auto"/>
        <w:ind w:firstLine="567"/>
        <w:jc w:val="both"/>
      </w:pPr>
      <w:r w:rsidRPr="007E77AF">
        <w:t>§</w:t>
      </w:r>
      <w:r w:rsidR="63939757" w:rsidRPr="007E77AF">
        <w:t xml:space="preserve"> </w:t>
      </w:r>
      <w:r w:rsidR="00501E0C">
        <w:t>3</w:t>
      </w:r>
      <w:proofErr w:type="gramStart"/>
      <w:r w:rsidR="00501E0C" w:rsidRPr="007E77AF">
        <w:t xml:space="preserve">º  </w:t>
      </w:r>
      <w:r w:rsidR="0007634A">
        <w:t>Os</w:t>
      </w:r>
      <w:proofErr w:type="gramEnd"/>
      <w:r w:rsidR="0007634A">
        <w:t xml:space="preserve"> coordenadores</w:t>
      </w:r>
      <w:r w:rsidRPr="007E77AF">
        <w:t xml:space="preserve"> deve</w:t>
      </w:r>
      <w:r w:rsidR="0007634A">
        <w:t>m</w:t>
      </w:r>
      <w:r w:rsidRPr="007E77AF">
        <w:t xml:space="preserve"> garantir que os representantes de venda das instituições participantes do consórcio de distribuição recebam previamente exemplar</w:t>
      </w:r>
      <w:r w:rsidR="003B2ED4" w:rsidRPr="007E77AF">
        <w:t>es</w:t>
      </w:r>
      <w:r w:rsidRPr="007E77AF">
        <w:t xml:space="preserve"> </w:t>
      </w:r>
      <w:r w:rsidR="00B70968" w:rsidRPr="007E77AF">
        <w:t>dos documentos da oferta</w:t>
      </w:r>
      <w:r w:rsidR="001055A2" w:rsidRPr="007E77AF">
        <w:t>,</w:t>
      </w:r>
      <w:r w:rsidR="00B70968" w:rsidRPr="007E77AF">
        <w:t xml:space="preserve"> </w:t>
      </w:r>
      <w:r w:rsidR="001055A2" w:rsidRPr="007E77AF">
        <w:t xml:space="preserve">inclusive </w:t>
      </w:r>
      <w:r w:rsidRPr="007E77AF">
        <w:t>do prospecto</w:t>
      </w:r>
      <w:r w:rsidR="001055A2" w:rsidRPr="007E77AF">
        <w:t>,</w:t>
      </w:r>
      <w:r w:rsidRPr="007E77AF">
        <w:t xml:space="preserve"> para leitura obrigatória e que </w:t>
      </w:r>
      <w:r w:rsidR="001055A2" w:rsidRPr="007E77AF">
        <w:t xml:space="preserve">eventuais </w:t>
      </w:r>
      <w:r w:rsidRPr="007E77AF">
        <w:t>dúvidas possam ser esclarecidas por pessoa designada tempestivamente</w:t>
      </w:r>
      <w:r w:rsidR="001055A2" w:rsidRPr="007E77AF">
        <w:t xml:space="preserve"> </w:t>
      </w:r>
      <w:r w:rsidR="008967B5">
        <w:t>pelos coordenadores</w:t>
      </w:r>
      <w:r w:rsidRPr="007E77AF">
        <w:t>.</w:t>
      </w:r>
    </w:p>
    <w:p w14:paraId="74FB33A8" w14:textId="23D0ABE2" w:rsidR="00D74986" w:rsidRPr="007E77AF" w:rsidRDefault="00770A66" w:rsidP="00D74986">
      <w:pPr>
        <w:spacing w:before="120" w:after="120" w:line="312" w:lineRule="auto"/>
        <w:ind w:firstLine="567"/>
        <w:jc w:val="both"/>
      </w:pPr>
      <w:r w:rsidRPr="007E77AF">
        <w:t xml:space="preserve">§ </w:t>
      </w:r>
      <w:r w:rsidR="00501E0C">
        <w:t>4</w:t>
      </w:r>
      <w:proofErr w:type="gramStart"/>
      <w:r w:rsidR="00501E0C" w:rsidRPr="007E77AF">
        <w:t xml:space="preserve">º  </w:t>
      </w:r>
      <w:r w:rsidR="00822778">
        <w:t>O</w:t>
      </w:r>
      <w:proofErr w:type="gramEnd"/>
      <w:r w:rsidR="00822778" w:rsidRPr="007E77AF">
        <w:t xml:space="preserve"> </w:t>
      </w:r>
      <w:r w:rsidR="008F489E">
        <w:t>coordenador líder</w:t>
      </w:r>
      <w:r w:rsidRPr="007E77AF">
        <w:t xml:space="preserve"> deve manter à disposição da CVM </w:t>
      </w:r>
      <w:r w:rsidR="00246B36" w:rsidRPr="007E77AF">
        <w:t>outros contratos relativos à emissão ou subscrição, inclusive no que toca à distribuição de lote suplementar, se houver</w:t>
      </w:r>
      <w:r w:rsidRPr="007E77AF">
        <w:t xml:space="preserve">, nos termos do </w:t>
      </w:r>
      <w:r w:rsidR="00563F5F" w:rsidRPr="007E77AF">
        <w:t xml:space="preserve">inciso </w:t>
      </w:r>
      <w:r w:rsidR="00B243CE">
        <w:t>XV</w:t>
      </w:r>
      <w:r w:rsidR="00B243CE" w:rsidRPr="007E77AF">
        <w:t xml:space="preserve"> </w:t>
      </w:r>
      <w:r w:rsidR="00563F5F" w:rsidRPr="007E77AF">
        <w:t xml:space="preserve">do </w:t>
      </w:r>
      <w:r w:rsidRPr="007E77AF">
        <w:t xml:space="preserve">art. </w:t>
      </w:r>
      <w:r w:rsidR="00B243CE">
        <w:t>83</w:t>
      </w:r>
      <w:r w:rsidRPr="007E77AF">
        <w:t>.</w:t>
      </w:r>
      <w:r w:rsidR="00246B36" w:rsidRPr="007E77AF">
        <w:t xml:space="preserve"> </w:t>
      </w:r>
    </w:p>
    <w:p w14:paraId="241D4590" w14:textId="0CAA99D1" w:rsidR="00C70DAF" w:rsidRPr="007E77AF" w:rsidRDefault="00C70DAF" w:rsidP="00D74986">
      <w:pPr>
        <w:spacing w:before="120" w:after="120" w:line="312" w:lineRule="auto"/>
        <w:ind w:firstLine="567"/>
        <w:jc w:val="both"/>
      </w:pPr>
      <w:r w:rsidRPr="007E77AF">
        <w:t>§</w:t>
      </w:r>
      <w:r w:rsidR="00EF2645" w:rsidRPr="007E77AF">
        <w:t xml:space="preserve"> </w:t>
      </w:r>
      <w:r w:rsidR="00501E0C">
        <w:t>5</w:t>
      </w:r>
      <w:proofErr w:type="gramStart"/>
      <w:r w:rsidR="00501E0C" w:rsidRPr="007E77AF">
        <w:t xml:space="preserve">º </w:t>
      </w:r>
      <w:r w:rsidR="00140A68">
        <w:t xml:space="preserve"> </w:t>
      </w:r>
      <w:r w:rsidRPr="007E77AF">
        <w:t>Não</w:t>
      </w:r>
      <w:proofErr w:type="gramEnd"/>
      <w:r w:rsidRPr="007E77AF">
        <w:t xml:space="preserve"> </w:t>
      </w:r>
      <w:r w:rsidR="00B667BC" w:rsidRPr="007E77AF">
        <w:t>é</w:t>
      </w:r>
      <w:r w:rsidRPr="007E77AF">
        <w:t xml:space="preserve"> considerada participante da oferta </w:t>
      </w:r>
      <w:r w:rsidR="00EF7758" w:rsidRPr="007E77AF">
        <w:t xml:space="preserve">a </w:t>
      </w:r>
      <w:r w:rsidRPr="007E77AF">
        <w:t>instituição que realiz</w:t>
      </w:r>
      <w:r w:rsidR="00931543" w:rsidRPr="007E77AF">
        <w:t>a</w:t>
      </w:r>
      <w:r w:rsidRPr="007E77AF">
        <w:t xml:space="preserve"> apenas a liquidação financeira de ordem a pedido de instituição </w:t>
      </w:r>
      <w:r w:rsidR="000C21DD">
        <w:t>participante</w:t>
      </w:r>
      <w:r w:rsidRPr="007E77AF">
        <w:t xml:space="preserve"> do consórcio de distribuição, desde que orientada nesse sentido por seus clientes.</w:t>
      </w:r>
    </w:p>
    <w:p w14:paraId="01326922" w14:textId="07DB8ECB" w:rsidR="00D74986" w:rsidRPr="007E77AF" w:rsidRDefault="009069A1" w:rsidP="001353DC">
      <w:pPr>
        <w:spacing w:before="120" w:after="120" w:line="312" w:lineRule="auto"/>
        <w:ind w:firstLine="567"/>
        <w:jc w:val="both"/>
      </w:pPr>
      <w:bookmarkStart w:id="314" w:name="_Ref464391242"/>
      <w:r w:rsidRPr="007E77AF">
        <w:t xml:space="preserve">Art. </w:t>
      </w:r>
      <w:r w:rsidR="00501E0C">
        <w:t>80</w:t>
      </w:r>
      <w:r w:rsidR="5EE1C68E" w:rsidRPr="007E77AF">
        <w:t xml:space="preserve">.  </w:t>
      </w:r>
      <w:r w:rsidR="00864691" w:rsidRPr="007E77AF">
        <w:t xml:space="preserve">Exceto nas ofertas </w:t>
      </w:r>
      <w:r w:rsidR="00A01F1F" w:rsidRPr="007E77AF">
        <w:t>sujeitas ao rito de registro automático</w:t>
      </w:r>
      <w:r w:rsidR="00864691" w:rsidRPr="007E77AF">
        <w:t>, a</w:t>
      </w:r>
      <w:r w:rsidR="5EE1C68E" w:rsidRPr="007E77AF">
        <w:t xml:space="preserve">pós o início da distribuição, o contrato de distribuição firmado entre o ofertante e </w:t>
      </w:r>
      <w:r w:rsidR="00301D08">
        <w:t>os coordenadores</w:t>
      </w:r>
      <w:r w:rsidR="5EE1C68E" w:rsidRPr="007E77AF">
        <w:t xml:space="preserve"> pode ser alterado mediante prévia autorização da CVM</w:t>
      </w:r>
      <w:r w:rsidR="00E6058F" w:rsidRPr="007E77AF">
        <w:t>.</w:t>
      </w:r>
      <w:bookmarkEnd w:id="314"/>
    </w:p>
    <w:p w14:paraId="460375C6" w14:textId="1375B5B2" w:rsidR="00D74986" w:rsidRPr="007E77AF" w:rsidRDefault="009069A1" w:rsidP="001353DC">
      <w:pPr>
        <w:spacing w:before="120" w:after="120" w:line="312" w:lineRule="auto"/>
        <w:ind w:firstLine="567"/>
        <w:jc w:val="both"/>
      </w:pPr>
      <w:bookmarkStart w:id="315" w:name="_Ref460498929"/>
      <w:r w:rsidRPr="007E77AF">
        <w:t xml:space="preserve">Art. </w:t>
      </w:r>
      <w:r w:rsidR="00501E0C">
        <w:t>81</w:t>
      </w:r>
      <w:r w:rsidR="5EE1C68E" w:rsidRPr="007E77AF">
        <w:t xml:space="preserve">.  Sem prejuízo da garantia firme de colocação prestada ao ofertante, </w:t>
      </w:r>
      <w:r w:rsidR="54FDB771" w:rsidRPr="007E77AF">
        <w:t xml:space="preserve">podem </w:t>
      </w:r>
      <w:r w:rsidR="5EE1C68E" w:rsidRPr="007E77AF">
        <w:t xml:space="preserve">ser realizadas realocações entre </w:t>
      </w:r>
      <w:r w:rsidR="003A3923">
        <w:t>o</w:t>
      </w:r>
      <w:r w:rsidR="003A3923" w:rsidRPr="007E77AF">
        <w:t xml:space="preserve"> </w:t>
      </w:r>
      <w:r w:rsidR="008F489E">
        <w:t>coordenador líder</w:t>
      </w:r>
      <w:r w:rsidR="00583EDF">
        <w:t xml:space="preserve"> </w:t>
      </w:r>
      <w:r w:rsidR="10829669" w:rsidRPr="007E77AF">
        <w:t xml:space="preserve">e as demais instituições </w:t>
      </w:r>
      <w:r w:rsidR="5EE1C68E" w:rsidRPr="007E77AF">
        <w:t>participantes do consórcio</w:t>
      </w:r>
      <w:r w:rsidR="00CB30A1" w:rsidRPr="00CB30A1">
        <w:t xml:space="preserve"> </w:t>
      </w:r>
      <w:r w:rsidR="00CB30A1">
        <w:t>de distribuição</w:t>
      </w:r>
      <w:r w:rsidR="5EE1C68E" w:rsidRPr="007E77AF">
        <w:t>, desde que previstas no contrato de distribuição e divulgadas no</w:t>
      </w:r>
      <w:r w:rsidR="10829669" w:rsidRPr="007E77AF">
        <w:t>s termos do parágrafo único do art.</w:t>
      </w:r>
      <w:r w:rsidR="00872520" w:rsidRPr="007E77AF">
        <w:t xml:space="preserve"> </w:t>
      </w:r>
      <w:r w:rsidR="00813918" w:rsidRPr="007E77AF">
        <w:t>5</w:t>
      </w:r>
      <w:r w:rsidR="00813918">
        <w:t>8</w:t>
      </w:r>
      <w:r w:rsidR="5EE1C68E" w:rsidRPr="007E77AF">
        <w:t>.</w:t>
      </w:r>
      <w:bookmarkEnd w:id="315"/>
    </w:p>
    <w:p w14:paraId="34E7B9F6" w14:textId="37CF40AE" w:rsidR="00D74986" w:rsidRDefault="000807D0" w:rsidP="00D74986">
      <w:pPr>
        <w:spacing w:before="120" w:after="120" w:line="312" w:lineRule="auto"/>
        <w:ind w:firstLine="567"/>
        <w:jc w:val="both"/>
      </w:pPr>
      <w:r w:rsidRPr="007E77AF">
        <w:t xml:space="preserve">Parágrafo único.  </w:t>
      </w:r>
      <w:r w:rsidR="00657592" w:rsidRPr="007E77AF">
        <w:t>O</w:t>
      </w:r>
      <w:r w:rsidRPr="007E77AF">
        <w:t xml:space="preserve"> disposto no </w:t>
      </w:r>
      <w:r w:rsidR="00E00A37" w:rsidRPr="007E77AF">
        <w:rPr>
          <w:b/>
        </w:rPr>
        <w:t>caput</w:t>
      </w:r>
      <w:r w:rsidR="00657592" w:rsidRPr="007E77AF">
        <w:rPr>
          <w:b/>
        </w:rPr>
        <w:t xml:space="preserve"> </w:t>
      </w:r>
      <w:r w:rsidR="00657592" w:rsidRPr="007E77AF">
        <w:t>não afasta</w:t>
      </w:r>
      <w:r w:rsidRPr="007E77AF">
        <w:t xml:space="preserve"> a responsabilidade </w:t>
      </w:r>
      <w:r w:rsidR="005012DC">
        <w:t>dos coordenadores</w:t>
      </w:r>
      <w:r w:rsidR="009764D1" w:rsidRPr="007E77AF">
        <w:t xml:space="preserve"> </w:t>
      </w:r>
      <w:r w:rsidR="000F6C33" w:rsidRPr="007E77AF">
        <w:t>perante o ofertante</w:t>
      </w:r>
      <w:r w:rsidR="00C7621E" w:rsidRPr="007E77AF">
        <w:t xml:space="preserve"> pela prestação de garantia</w:t>
      </w:r>
      <w:r w:rsidRPr="007E77AF">
        <w:t>, respeitadas as condições especificadas no contrato de distribuição.</w:t>
      </w:r>
    </w:p>
    <w:p w14:paraId="5060A964" w14:textId="21C1B045" w:rsidR="00D219AE" w:rsidRDefault="00D219AE" w:rsidP="00D74986">
      <w:pPr>
        <w:spacing w:before="120" w:after="120" w:line="312" w:lineRule="auto"/>
        <w:ind w:firstLine="567"/>
        <w:jc w:val="both"/>
        <w:rPr>
          <w:strike/>
        </w:rPr>
      </w:pPr>
      <w:r w:rsidRPr="00E04F47">
        <w:rPr>
          <w:strike/>
        </w:rPr>
        <w:t xml:space="preserve">Art. </w:t>
      </w:r>
      <w:r w:rsidR="00501E0C" w:rsidRPr="00E04F47">
        <w:rPr>
          <w:strike/>
        </w:rPr>
        <w:t>82</w:t>
      </w:r>
      <w:r w:rsidR="00ED30A6" w:rsidRPr="00E04F47">
        <w:rPr>
          <w:strike/>
        </w:rPr>
        <w:t xml:space="preserve">.  </w:t>
      </w:r>
      <w:r w:rsidR="006C14AE" w:rsidRPr="00E04F47">
        <w:rPr>
          <w:strike/>
        </w:rPr>
        <w:t>O</w:t>
      </w:r>
      <w:r w:rsidR="00FD1591" w:rsidRPr="00E04F47">
        <w:rPr>
          <w:strike/>
        </w:rPr>
        <w:t xml:space="preserve"> coordenador líder, o</w:t>
      </w:r>
      <w:r w:rsidR="006C14AE" w:rsidRPr="00E04F47">
        <w:rPr>
          <w:strike/>
        </w:rPr>
        <w:t xml:space="preserve">s </w:t>
      </w:r>
      <w:r w:rsidR="00F92E32" w:rsidRPr="00E04F47">
        <w:rPr>
          <w:strike/>
        </w:rPr>
        <w:t xml:space="preserve">demais </w:t>
      </w:r>
      <w:r w:rsidR="00D75E1C" w:rsidRPr="00E04F47">
        <w:rPr>
          <w:strike/>
        </w:rPr>
        <w:t>coordenadores e as demais instituições pa</w:t>
      </w:r>
      <w:r w:rsidR="00270511" w:rsidRPr="00E04F47">
        <w:rPr>
          <w:strike/>
        </w:rPr>
        <w:t xml:space="preserve">rticipantes </w:t>
      </w:r>
      <w:r w:rsidR="00E330B5" w:rsidRPr="00E04F47">
        <w:rPr>
          <w:strike/>
        </w:rPr>
        <w:t xml:space="preserve">do consórcio </w:t>
      </w:r>
      <w:r w:rsidR="00CB30A1" w:rsidRPr="00E04F47">
        <w:rPr>
          <w:strike/>
        </w:rPr>
        <w:t xml:space="preserve">de distribuição </w:t>
      </w:r>
      <w:r w:rsidR="00E330B5" w:rsidRPr="00E04F47">
        <w:rPr>
          <w:strike/>
        </w:rPr>
        <w:t>devem</w:t>
      </w:r>
      <w:r w:rsidR="00DA3A52" w:rsidRPr="00E04F47">
        <w:rPr>
          <w:strike/>
        </w:rPr>
        <w:t xml:space="preserve"> zelar para </w:t>
      </w:r>
      <w:r w:rsidR="00685954" w:rsidRPr="00E04F47">
        <w:rPr>
          <w:strike/>
        </w:rPr>
        <w:t>que</w:t>
      </w:r>
      <w:r w:rsidR="00E7037E" w:rsidRPr="00E04F47">
        <w:rPr>
          <w:strike/>
        </w:rPr>
        <w:t xml:space="preserve"> as informações divulgadas e a alocação da oferta não privilegiem partes relacionadas, em detrimento </w:t>
      </w:r>
      <w:r w:rsidR="007274A3" w:rsidRPr="00E04F47">
        <w:rPr>
          <w:strike/>
        </w:rPr>
        <w:t xml:space="preserve">de </w:t>
      </w:r>
      <w:r w:rsidR="00E7037E" w:rsidRPr="00E04F47">
        <w:rPr>
          <w:strike/>
        </w:rPr>
        <w:t>partes não relacionadas.</w:t>
      </w:r>
    </w:p>
    <w:p w14:paraId="1E93FAFE" w14:textId="16DA797E" w:rsidR="003245CE" w:rsidRPr="003245CE" w:rsidRDefault="003245CE" w:rsidP="00D74986">
      <w:pPr>
        <w:spacing w:before="120" w:after="120" w:line="312" w:lineRule="auto"/>
        <w:ind w:firstLine="567"/>
        <w:jc w:val="both"/>
      </w:pPr>
      <w:r w:rsidRPr="00DE744E">
        <w:t>Art. 82. O coordenador líder, os demais coordenadores e as demais instituições participantes do consórcio de distribuição devem zelar para que as informações divulgadas e a alocação da oferta não privilegiem pessoas vinculadas, em detrimento de pessoas não vinculadas</w:t>
      </w:r>
      <w:r w:rsidR="00DE744E" w:rsidRPr="00DE744E">
        <w:t>.</w:t>
      </w:r>
    </w:p>
    <w:p w14:paraId="02F9CEE2" w14:textId="6CF1F2A8" w:rsidR="00E04F47" w:rsidRPr="00025DC1" w:rsidRDefault="00E04F47" w:rsidP="00E04F47">
      <w:pPr>
        <w:pStyle w:val="PargrafodaLista"/>
        <w:numPr>
          <w:ilvl w:val="0"/>
          <w:numId w:val="53"/>
        </w:numPr>
        <w:tabs>
          <w:tab w:val="left" w:pos="993"/>
        </w:tabs>
        <w:spacing w:line="312" w:lineRule="auto"/>
        <w:ind w:left="709" w:hanging="142"/>
        <w:contextualSpacing/>
        <w:jc w:val="both"/>
        <w:rPr>
          <w:b/>
          <w:i/>
        </w:rPr>
      </w:pPr>
      <w:r>
        <w:rPr>
          <w:b/>
          <w:i/>
        </w:rPr>
        <w:t xml:space="preserve">Art. 82 com redação dada pela </w:t>
      </w:r>
      <w:r w:rsidRPr="00025DC1">
        <w:rPr>
          <w:b/>
          <w:i/>
        </w:rPr>
        <w:t xml:space="preserve">Resolução CVM nº </w:t>
      </w:r>
      <w:r>
        <w:rPr>
          <w:b/>
          <w:i/>
        </w:rPr>
        <w:t>173</w:t>
      </w:r>
      <w:r w:rsidRPr="00025DC1">
        <w:rPr>
          <w:b/>
          <w:i/>
        </w:rPr>
        <w:t>, de 2</w:t>
      </w:r>
      <w:r>
        <w:rPr>
          <w:b/>
          <w:i/>
        </w:rPr>
        <w:t>9</w:t>
      </w:r>
      <w:r w:rsidRPr="00025DC1">
        <w:rPr>
          <w:b/>
          <w:i/>
        </w:rPr>
        <w:t xml:space="preserve"> de </w:t>
      </w:r>
      <w:r>
        <w:rPr>
          <w:b/>
          <w:i/>
        </w:rPr>
        <w:t>novembro de 2022</w:t>
      </w:r>
      <w:r w:rsidRPr="00025DC1">
        <w:rPr>
          <w:b/>
          <w:i/>
        </w:rPr>
        <w:t>.</w:t>
      </w:r>
    </w:p>
    <w:p w14:paraId="626998B6" w14:textId="1079E3B0" w:rsidR="00D74986" w:rsidRPr="007E77AF" w:rsidRDefault="009069A1" w:rsidP="001353DC">
      <w:pPr>
        <w:spacing w:before="120" w:after="120" w:line="312" w:lineRule="auto"/>
        <w:ind w:firstLine="567"/>
        <w:jc w:val="both"/>
      </w:pPr>
      <w:bookmarkStart w:id="316" w:name="_Ref460489957"/>
      <w:r w:rsidRPr="007E77AF">
        <w:t xml:space="preserve">Art. </w:t>
      </w:r>
      <w:r w:rsidR="00501E0C">
        <w:t>83</w:t>
      </w:r>
      <w:r w:rsidR="5EE1C68E" w:rsidRPr="007E77AF">
        <w:t xml:space="preserve">.  </w:t>
      </w:r>
      <w:r w:rsidR="004812DF">
        <w:t>Ao</w:t>
      </w:r>
      <w:r w:rsidR="004812DF" w:rsidRPr="007E77AF">
        <w:t xml:space="preserve"> </w:t>
      </w:r>
      <w:r w:rsidR="008F489E">
        <w:t>coordenador líder</w:t>
      </w:r>
      <w:r w:rsidR="5EE1C68E" w:rsidRPr="007E77AF">
        <w:t xml:space="preserve"> cabem as seguintes obrigações:</w:t>
      </w:r>
      <w:bookmarkEnd w:id="316"/>
    </w:p>
    <w:p w14:paraId="56A7B45F" w14:textId="0B504665" w:rsidR="00D74986" w:rsidRPr="007E77AF" w:rsidRDefault="009069A1" w:rsidP="001353DC">
      <w:pPr>
        <w:spacing w:before="120" w:after="120" w:line="312" w:lineRule="auto"/>
        <w:ind w:firstLine="567"/>
        <w:jc w:val="both"/>
      </w:pPr>
      <w:r w:rsidRPr="007E77AF">
        <w:t>I</w:t>
      </w:r>
      <w:r w:rsidR="5EE1C68E" w:rsidRPr="007E77AF">
        <w:t xml:space="preserve"> </w:t>
      </w:r>
      <w:r w:rsidR="10829669" w:rsidRPr="007E77AF">
        <w:t>–</w:t>
      </w:r>
      <w:r w:rsidR="5EE1C68E" w:rsidRPr="007E77AF">
        <w:t xml:space="preserve"> </w:t>
      </w:r>
      <w:proofErr w:type="gramStart"/>
      <w:r w:rsidR="5EE1C68E" w:rsidRPr="007E77AF">
        <w:t>avaliar</w:t>
      </w:r>
      <w:proofErr w:type="gramEnd"/>
      <w:r w:rsidR="5EE1C68E" w:rsidRPr="007E77AF">
        <w:t>, em conjunto com o ofertante, a viabilidade da distribuição, suas condições e o tipo de contrato de distribuição a ser celebrado;</w:t>
      </w:r>
    </w:p>
    <w:p w14:paraId="203C60DC" w14:textId="652E6750" w:rsidR="00D74986" w:rsidRPr="007E77AF" w:rsidRDefault="009069A1" w:rsidP="001353DC">
      <w:pPr>
        <w:spacing w:before="120" w:after="120" w:line="312" w:lineRule="auto"/>
        <w:ind w:firstLine="567"/>
        <w:jc w:val="both"/>
      </w:pPr>
      <w:r w:rsidRPr="007E77AF">
        <w:lastRenderedPageBreak/>
        <w:t>II</w:t>
      </w:r>
      <w:r w:rsidR="5EE1C68E" w:rsidRPr="007E77AF">
        <w:t xml:space="preserve"> </w:t>
      </w:r>
      <w:r w:rsidR="10829669" w:rsidRPr="007E77AF">
        <w:t>–</w:t>
      </w:r>
      <w:r w:rsidR="5EE1C68E" w:rsidRPr="007E77AF">
        <w:t xml:space="preserve"> </w:t>
      </w:r>
      <w:proofErr w:type="gramStart"/>
      <w:r w:rsidR="5EE1C68E" w:rsidRPr="007E77AF">
        <w:t>solicitar</w:t>
      </w:r>
      <w:proofErr w:type="gramEnd"/>
      <w:r w:rsidR="5EE1C68E" w:rsidRPr="007E77AF">
        <w:t xml:space="preserve">, juntamente com o ofertante, o registro de </w:t>
      </w:r>
      <w:r w:rsidR="340CFB36" w:rsidRPr="007E77AF">
        <w:t xml:space="preserve">oferta pública de </w:t>
      </w:r>
      <w:r w:rsidR="5EE1C68E" w:rsidRPr="007E77AF">
        <w:t>distribuição devidamente instruído, assessorando-o em todas as etapas da distribuição;</w:t>
      </w:r>
    </w:p>
    <w:p w14:paraId="0BEF9245" w14:textId="293E68CE" w:rsidR="00D74986" w:rsidRPr="007E77AF" w:rsidRDefault="009069A1" w:rsidP="001353DC">
      <w:pPr>
        <w:spacing w:before="120" w:after="120" w:line="312" w:lineRule="auto"/>
        <w:ind w:firstLine="567"/>
        <w:jc w:val="both"/>
      </w:pPr>
      <w:r w:rsidRPr="007E77AF">
        <w:t>III</w:t>
      </w:r>
      <w:r w:rsidR="5EE1C68E" w:rsidRPr="007E77AF">
        <w:t xml:space="preserve"> </w:t>
      </w:r>
      <w:r w:rsidR="10829669" w:rsidRPr="007E77AF">
        <w:t>–</w:t>
      </w:r>
      <w:r w:rsidR="5EE1C68E" w:rsidRPr="007E77AF">
        <w:t xml:space="preserve"> formar o consórcio de distribuição, se for o caso;</w:t>
      </w:r>
    </w:p>
    <w:p w14:paraId="557C2B95" w14:textId="109E1349" w:rsidR="00D74986" w:rsidRPr="007E77AF" w:rsidRDefault="009069A1" w:rsidP="001353DC">
      <w:pPr>
        <w:spacing w:before="120" w:after="120" w:line="312" w:lineRule="auto"/>
        <w:ind w:firstLine="567"/>
        <w:jc w:val="both"/>
      </w:pPr>
      <w:r w:rsidRPr="007E77AF">
        <w:t>IV</w:t>
      </w:r>
      <w:r w:rsidR="5EE1C68E" w:rsidRPr="007E77AF">
        <w:t xml:space="preserve"> </w:t>
      </w:r>
      <w:r w:rsidR="10829669" w:rsidRPr="007E77AF">
        <w:t>–</w:t>
      </w:r>
      <w:r w:rsidR="5EE1C68E" w:rsidRPr="007E77AF">
        <w:t xml:space="preserve"> </w:t>
      </w:r>
      <w:proofErr w:type="gramStart"/>
      <w:r w:rsidR="00864691" w:rsidRPr="007E77AF">
        <w:t>nas</w:t>
      </w:r>
      <w:proofErr w:type="gramEnd"/>
      <w:r w:rsidR="00864691" w:rsidRPr="007E77AF">
        <w:t xml:space="preserve"> ofertas submetidas ao </w:t>
      </w:r>
      <w:r w:rsidR="002F16A3" w:rsidRPr="007E77AF">
        <w:t>rito de registro</w:t>
      </w:r>
      <w:r w:rsidR="00864691" w:rsidRPr="007E77AF">
        <w:t xml:space="preserve"> ordinário, </w:t>
      </w:r>
      <w:r w:rsidR="5EE1C68E" w:rsidRPr="007E77AF">
        <w:t xml:space="preserve">informar à </w:t>
      </w:r>
      <w:r w:rsidR="574B9482" w:rsidRPr="007E77AF">
        <w:t>SRE</w:t>
      </w:r>
      <w:r w:rsidR="5EE1C68E" w:rsidRPr="007E77AF">
        <w:t>, até a obtenção do registro, os participantes do consórcio, discriminando por tipo, espécie e classe a quantidade de valores mobiliários inicialmente atribuída a cada um;</w:t>
      </w:r>
    </w:p>
    <w:p w14:paraId="15BF4A29" w14:textId="4BCE43A2" w:rsidR="00D74986" w:rsidRPr="007E77AF" w:rsidRDefault="009069A1" w:rsidP="001353DC">
      <w:pPr>
        <w:spacing w:before="120" w:after="120" w:line="312" w:lineRule="auto"/>
        <w:ind w:firstLine="567"/>
        <w:jc w:val="both"/>
      </w:pPr>
      <w:r w:rsidRPr="007E77AF">
        <w:t>V</w:t>
      </w:r>
      <w:r w:rsidR="5EE1C68E" w:rsidRPr="007E77AF">
        <w:t xml:space="preserve"> </w:t>
      </w:r>
      <w:r w:rsidR="10829669" w:rsidRPr="007E77AF">
        <w:t>–</w:t>
      </w:r>
      <w:r w:rsidR="5EE1C68E" w:rsidRPr="007E77AF">
        <w:t xml:space="preserve"> </w:t>
      </w:r>
      <w:proofErr w:type="gramStart"/>
      <w:r w:rsidR="5EE1C68E" w:rsidRPr="007E77AF">
        <w:t>comunicar</w:t>
      </w:r>
      <w:proofErr w:type="gramEnd"/>
      <w:r w:rsidR="5EE1C68E" w:rsidRPr="007E77AF">
        <w:t xml:space="preserve"> imediatamente à </w:t>
      </w:r>
      <w:r w:rsidR="574B9482" w:rsidRPr="007E77AF">
        <w:t xml:space="preserve">SRE </w:t>
      </w:r>
      <w:r w:rsidR="5EE1C68E" w:rsidRPr="007E77AF">
        <w:t>qualquer eventual alteração no contrato de distribuição, ou a sua rescisão;</w:t>
      </w:r>
    </w:p>
    <w:p w14:paraId="67ABEBA4" w14:textId="73081888" w:rsidR="00D74986" w:rsidRPr="007E77AF" w:rsidRDefault="009069A1" w:rsidP="001353DC">
      <w:pPr>
        <w:spacing w:before="120" w:after="120" w:line="312" w:lineRule="auto"/>
        <w:ind w:firstLine="567"/>
        <w:jc w:val="both"/>
      </w:pPr>
      <w:r w:rsidRPr="007E77AF">
        <w:t>VI</w:t>
      </w:r>
      <w:r w:rsidR="5EE1C68E" w:rsidRPr="007E77AF">
        <w:t xml:space="preserve"> </w:t>
      </w:r>
      <w:r w:rsidR="10829669" w:rsidRPr="007E77AF">
        <w:t>–</w:t>
      </w:r>
      <w:r w:rsidR="5EE1C68E" w:rsidRPr="007E77AF">
        <w:t xml:space="preserve"> </w:t>
      </w:r>
      <w:proofErr w:type="gramStart"/>
      <w:r w:rsidR="5EE1C68E" w:rsidRPr="007E77AF">
        <w:t>remeter</w:t>
      </w:r>
      <w:proofErr w:type="gramEnd"/>
      <w:r w:rsidR="5EE1C68E" w:rsidRPr="007E77AF">
        <w:t xml:space="preserve"> mensalmente à CVM, no prazo de 15 (quinze) dias após o encerramento do mês, a partir da divulgação do </w:t>
      </w:r>
      <w:r w:rsidR="16A054F0" w:rsidRPr="007E77AF">
        <w:t>a</w:t>
      </w:r>
      <w:r w:rsidR="5EE1C68E" w:rsidRPr="007E77AF">
        <w:t xml:space="preserve">núncio de </w:t>
      </w:r>
      <w:r w:rsidR="6E5DF470" w:rsidRPr="007E77AF">
        <w:t>i</w:t>
      </w:r>
      <w:r w:rsidR="5EE1C68E" w:rsidRPr="007E77AF">
        <w:t xml:space="preserve">nício de </w:t>
      </w:r>
      <w:r w:rsidR="5458EE8F" w:rsidRPr="007E77AF">
        <w:t>d</w:t>
      </w:r>
      <w:r w:rsidR="5EE1C68E" w:rsidRPr="007E77AF">
        <w:t>istribuição, relatório indicativo do movimento consolidado de distribuição de valores mobiliários</w:t>
      </w:r>
      <w:r w:rsidR="36F158F7" w:rsidRPr="007E77AF">
        <w:t xml:space="preserve"> (Resumo Mensal da Distribuição)</w:t>
      </w:r>
      <w:r w:rsidR="53AEBD97" w:rsidRPr="007E77AF">
        <w:t>,</w:t>
      </w:r>
      <w:r w:rsidR="5EE1C68E" w:rsidRPr="007E77AF">
        <w:t xml:space="preserve"> conforme modelo do Anexo</w:t>
      </w:r>
      <w:r w:rsidR="337AE99C" w:rsidRPr="007E77AF">
        <w:t xml:space="preserve"> </w:t>
      </w:r>
      <w:r w:rsidR="00D84551">
        <w:t>N</w:t>
      </w:r>
      <w:r w:rsidR="00D84551" w:rsidRPr="007E77AF">
        <w:t xml:space="preserve"> </w:t>
      </w:r>
      <w:r w:rsidR="7EB6110A" w:rsidRPr="007E77AF">
        <w:t>a esta Resolução;</w:t>
      </w:r>
    </w:p>
    <w:p w14:paraId="7C2CD285" w14:textId="458D0A2A" w:rsidR="00D74986" w:rsidRPr="007E77AF" w:rsidRDefault="009069A1" w:rsidP="001353DC">
      <w:pPr>
        <w:spacing w:before="120" w:after="120" w:line="312" w:lineRule="auto"/>
        <w:ind w:firstLine="567"/>
        <w:jc w:val="both"/>
      </w:pPr>
      <w:r w:rsidRPr="007E77AF">
        <w:t>VII</w:t>
      </w:r>
      <w:r w:rsidR="5EE1C68E" w:rsidRPr="007E77AF">
        <w:t xml:space="preserve"> </w:t>
      </w:r>
      <w:r w:rsidR="10829669" w:rsidRPr="007E77AF">
        <w:t>–</w:t>
      </w:r>
      <w:r w:rsidR="5EE1C68E" w:rsidRPr="007E77AF">
        <w:t xml:space="preserve"> participar ativamente, em conjunto com o ofertante</w:t>
      </w:r>
      <w:r w:rsidR="00162513">
        <w:t xml:space="preserve"> e demais coordenadores</w:t>
      </w:r>
      <w:r w:rsidR="5EE1C68E" w:rsidRPr="007E77AF">
        <w:t xml:space="preserve">, na elaboração do </w:t>
      </w:r>
      <w:r w:rsidR="54FDB771" w:rsidRPr="007E77AF">
        <w:t xml:space="preserve">prospecto </w:t>
      </w:r>
      <w:r w:rsidR="5EE1C68E" w:rsidRPr="007E77AF">
        <w:t xml:space="preserve">e na verificação da </w:t>
      </w:r>
      <w:r w:rsidR="574B9482" w:rsidRPr="007E77AF">
        <w:t xml:space="preserve">suficiência, veracidade, precisão, </w:t>
      </w:r>
      <w:r w:rsidR="5EE1C68E" w:rsidRPr="007E77AF">
        <w:t xml:space="preserve">consistência </w:t>
      </w:r>
      <w:r w:rsidR="574B9482" w:rsidRPr="007E77AF">
        <w:t>e atualidade</w:t>
      </w:r>
      <w:r w:rsidR="337AE99C" w:rsidRPr="007E77AF">
        <w:t xml:space="preserve"> </w:t>
      </w:r>
      <w:r w:rsidR="5EE1C68E" w:rsidRPr="007E77AF">
        <w:t>das informações dele constantes, ficando responsável</w:t>
      </w:r>
      <w:r w:rsidR="00465DF8" w:rsidRPr="007E77AF">
        <w:t>,</w:t>
      </w:r>
      <w:r w:rsidR="5EE1C68E" w:rsidRPr="007E77AF">
        <w:t xml:space="preserve"> </w:t>
      </w:r>
      <w:r w:rsidR="00465DF8" w:rsidRPr="007E77AF">
        <w:t xml:space="preserve">nos termos do § 1º do art. </w:t>
      </w:r>
      <w:r w:rsidR="0086760A" w:rsidRPr="007E77AF">
        <w:t>24</w:t>
      </w:r>
      <w:r w:rsidR="00465DF8" w:rsidRPr="007E77AF">
        <w:t xml:space="preserve">, </w:t>
      </w:r>
      <w:r w:rsidR="5EE1C68E" w:rsidRPr="007E77AF">
        <w:t>pelas informações prestadas;</w:t>
      </w:r>
    </w:p>
    <w:p w14:paraId="6D13800D" w14:textId="18A20F7F" w:rsidR="00D74986" w:rsidRPr="007E77AF" w:rsidRDefault="009069A1" w:rsidP="001353DC">
      <w:pPr>
        <w:spacing w:before="120" w:after="120" w:line="312" w:lineRule="auto"/>
        <w:ind w:firstLine="567"/>
        <w:jc w:val="both"/>
      </w:pPr>
      <w:r w:rsidRPr="007E77AF">
        <w:t>VIII</w:t>
      </w:r>
      <w:r w:rsidR="673DB62A" w:rsidRPr="007E77AF">
        <w:t xml:space="preserve"> – adotar diligências para verificar o atendimento às condições impostas por esta Resolução para a realização da oferta</w:t>
      </w:r>
      <w:r w:rsidR="0002619D" w:rsidRPr="007E77AF">
        <w:t xml:space="preserve">, inclusive </w:t>
      </w:r>
      <w:r w:rsidR="00E26E1A" w:rsidRPr="007E77AF">
        <w:t xml:space="preserve">o público-alvo da oferta, observado o art. </w:t>
      </w:r>
      <w:r w:rsidR="00813918" w:rsidRPr="007E77AF">
        <w:t>6</w:t>
      </w:r>
      <w:r w:rsidR="00813918">
        <w:t>4</w:t>
      </w:r>
      <w:r w:rsidR="673DB62A" w:rsidRPr="007E77AF">
        <w:t>;</w:t>
      </w:r>
    </w:p>
    <w:p w14:paraId="77CD2A5E" w14:textId="07300E20" w:rsidR="00D74986" w:rsidRPr="007E77AF" w:rsidRDefault="009069A1" w:rsidP="001353DC">
      <w:pPr>
        <w:spacing w:before="120" w:after="120" w:line="312" w:lineRule="auto"/>
        <w:ind w:firstLine="567"/>
        <w:jc w:val="both"/>
      </w:pPr>
      <w:r w:rsidRPr="007E77AF">
        <w:t>IX</w:t>
      </w:r>
      <w:r w:rsidR="5EE1C68E" w:rsidRPr="007E77AF">
        <w:t xml:space="preserve"> – </w:t>
      </w:r>
      <w:proofErr w:type="gramStart"/>
      <w:r w:rsidR="5EE1C68E" w:rsidRPr="007E77AF">
        <w:t>divulgar</w:t>
      </w:r>
      <w:proofErr w:type="gramEnd"/>
      <w:r w:rsidR="5EE1C68E" w:rsidRPr="007E77AF">
        <w:t xml:space="preserve">, quando exigido por esta </w:t>
      </w:r>
      <w:r w:rsidR="0EC0FFCD" w:rsidRPr="007E77AF">
        <w:t>Resolução</w:t>
      </w:r>
      <w:r w:rsidR="5EE1C68E" w:rsidRPr="007E77AF">
        <w:t>, os avisos nela previstos;</w:t>
      </w:r>
    </w:p>
    <w:p w14:paraId="2C478CF8" w14:textId="4568983A" w:rsidR="00D74986" w:rsidRPr="007E77AF" w:rsidRDefault="009069A1" w:rsidP="001353DC">
      <w:pPr>
        <w:spacing w:before="120" w:after="120" w:line="312" w:lineRule="auto"/>
        <w:ind w:firstLine="567"/>
        <w:jc w:val="both"/>
      </w:pPr>
      <w:r w:rsidRPr="007E77AF">
        <w:t>X</w:t>
      </w:r>
      <w:r w:rsidR="5EE1C68E" w:rsidRPr="007E77AF">
        <w:t xml:space="preserve"> </w:t>
      </w:r>
      <w:r w:rsidR="10829669" w:rsidRPr="007E77AF">
        <w:t>–</w:t>
      </w:r>
      <w:r w:rsidR="5EE1C68E" w:rsidRPr="007E77AF">
        <w:t xml:space="preserve"> </w:t>
      </w:r>
      <w:proofErr w:type="gramStart"/>
      <w:r w:rsidR="5EE1C68E" w:rsidRPr="007E77AF">
        <w:t>acompanhar e controlar</w:t>
      </w:r>
      <w:proofErr w:type="gramEnd"/>
      <w:r w:rsidR="5EE1C68E" w:rsidRPr="007E77AF">
        <w:t xml:space="preserve"> o plano de distribuição da oferta;</w:t>
      </w:r>
    </w:p>
    <w:p w14:paraId="2398836B" w14:textId="1B568022" w:rsidR="00D74986" w:rsidRPr="007E77AF" w:rsidRDefault="009069A1" w:rsidP="001353DC">
      <w:pPr>
        <w:spacing w:before="120" w:after="120" w:line="312" w:lineRule="auto"/>
        <w:ind w:firstLine="567"/>
        <w:jc w:val="both"/>
      </w:pPr>
      <w:r w:rsidRPr="007E77AF">
        <w:t>XI</w:t>
      </w:r>
      <w:r w:rsidR="5EE1C68E" w:rsidRPr="007E77AF">
        <w:t xml:space="preserve"> </w:t>
      </w:r>
      <w:r w:rsidR="10829669" w:rsidRPr="007E77AF">
        <w:t>–</w:t>
      </w:r>
      <w:r w:rsidR="5EE1C68E" w:rsidRPr="007E77AF">
        <w:t xml:space="preserve"> controlar</w:t>
      </w:r>
      <w:r w:rsidR="1DC3950C" w:rsidRPr="007E77AF">
        <w:t xml:space="preserve"> os atos de subscrição</w:t>
      </w:r>
      <w:r w:rsidR="004D207C" w:rsidRPr="007E77AF">
        <w:t>,</w:t>
      </w:r>
      <w:r w:rsidR="00E6574F" w:rsidRPr="007E77AF">
        <w:t xml:space="preserve"> em conjunto </w:t>
      </w:r>
      <w:r w:rsidR="00B63EAC" w:rsidRPr="007E77AF">
        <w:t>com as demais instituições</w:t>
      </w:r>
      <w:r w:rsidR="00297E1F" w:rsidRPr="007E77AF">
        <w:t xml:space="preserve"> </w:t>
      </w:r>
      <w:r w:rsidR="00465CF6">
        <w:t>participantes do consórcio de distribuição</w:t>
      </w:r>
      <w:r w:rsidR="1DC3950C" w:rsidRPr="007E77AF">
        <w:t>;</w:t>
      </w:r>
    </w:p>
    <w:p w14:paraId="7F6656F4" w14:textId="5A44FD1E" w:rsidR="00D74986" w:rsidRPr="007E77AF" w:rsidRDefault="009069A1" w:rsidP="001353DC">
      <w:pPr>
        <w:spacing w:before="120" w:after="120" w:line="312" w:lineRule="auto"/>
        <w:ind w:firstLine="567"/>
        <w:jc w:val="both"/>
      </w:pPr>
      <w:r w:rsidRPr="007E77AF">
        <w:t>XII</w:t>
      </w:r>
      <w:r w:rsidR="5EE1C68E" w:rsidRPr="007E77AF">
        <w:t xml:space="preserve"> </w:t>
      </w:r>
      <w:r w:rsidR="10829669" w:rsidRPr="007E77AF">
        <w:t>–</w:t>
      </w:r>
      <w:r w:rsidR="5EE1C68E" w:rsidRPr="007E77AF">
        <w:t xml:space="preserve"> suspender a </w:t>
      </w:r>
      <w:r w:rsidR="00D10B91" w:rsidRPr="007E77AF">
        <w:t xml:space="preserve">oferta </w:t>
      </w:r>
      <w:r w:rsidR="5EE1C68E" w:rsidRPr="007E77AF">
        <w:t>na ocorrência de qualquer fato ou irregularidade, inclusive após a obtenção do registro, que venha a justificar a suspensão ou o cancelamento do registro</w:t>
      </w:r>
      <w:r w:rsidR="1D0D6B01" w:rsidRPr="007E77AF">
        <w:t xml:space="preserve">, </w:t>
      </w:r>
      <w:r w:rsidR="6C6C1121" w:rsidRPr="007E77AF">
        <w:t xml:space="preserve">durante </w:t>
      </w:r>
      <w:r w:rsidR="56954914" w:rsidRPr="007E77AF">
        <w:t xml:space="preserve">o </w:t>
      </w:r>
      <w:r w:rsidR="6C6C1121" w:rsidRPr="007E77AF">
        <w:t>prazo</w:t>
      </w:r>
      <w:r w:rsidR="409435E2" w:rsidRPr="007E77AF">
        <w:t xml:space="preserve"> máximo </w:t>
      </w:r>
      <w:r w:rsidR="63B98A6F" w:rsidRPr="007E77AF">
        <w:t xml:space="preserve">citado no </w:t>
      </w:r>
      <w:r w:rsidR="32259836" w:rsidRPr="007E77AF">
        <w:rPr>
          <w:rFonts w:ascii="Calibri" w:hAnsi="Calibri" w:cs="Calibri"/>
          <w:shd w:val="clear" w:color="auto" w:fill="FFFFFF"/>
        </w:rPr>
        <w:t>§</w:t>
      </w:r>
      <w:r w:rsidR="006E19AD" w:rsidRPr="007E77AF">
        <w:rPr>
          <w:rFonts w:ascii="Calibri" w:hAnsi="Calibri" w:cs="Calibri"/>
          <w:shd w:val="clear" w:color="auto" w:fill="FFFFFF"/>
        </w:rPr>
        <w:t xml:space="preserve"> </w:t>
      </w:r>
      <w:r w:rsidR="32259836" w:rsidRPr="007E77AF">
        <w:rPr>
          <w:rFonts w:ascii="Calibri" w:hAnsi="Calibri" w:cs="Calibri"/>
          <w:shd w:val="clear" w:color="auto" w:fill="FFFFFF"/>
        </w:rPr>
        <w:t xml:space="preserve">2º do art. </w:t>
      </w:r>
      <w:r w:rsidR="00813918">
        <w:rPr>
          <w:rFonts w:ascii="Calibri" w:hAnsi="Calibri" w:cs="Calibri"/>
          <w:shd w:val="clear" w:color="auto" w:fill="FFFFFF"/>
        </w:rPr>
        <w:t>70</w:t>
      </w:r>
      <w:r w:rsidR="32259836" w:rsidRPr="007E77AF">
        <w:rPr>
          <w:rFonts w:ascii="Calibri" w:hAnsi="Calibri" w:cs="Calibri"/>
          <w:shd w:val="clear" w:color="auto" w:fill="FFFFFF"/>
        </w:rPr>
        <w:t xml:space="preserve">, aplicando-se ainda o procedimento </w:t>
      </w:r>
      <w:r w:rsidR="3624364F" w:rsidRPr="007E77AF">
        <w:rPr>
          <w:rFonts w:ascii="Calibri" w:hAnsi="Calibri" w:cs="Calibri"/>
          <w:shd w:val="clear" w:color="auto" w:fill="FFFFFF"/>
        </w:rPr>
        <w:t xml:space="preserve">previsto no art. </w:t>
      </w:r>
      <w:r w:rsidR="00813918">
        <w:rPr>
          <w:rFonts w:ascii="Calibri" w:hAnsi="Calibri" w:cs="Calibri"/>
          <w:shd w:val="clear" w:color="auto" w:fill="FFFFFF"/>
        </w:rPr>
        <w:t>71</w:t>
      </w:r>
      <w:r w:rsidR="5EE1C68E" w:rsidRPr="007E77AF">
        <w:t>;</w:t>
      </w:r>
    </w:p>
    <w:p w14:paraId="73FE60FB" w14:textId="23AF5047" w:rsidR="009140C2" w:rsidRPr="007E77AF" w:rsidRDefault="00501E0C" w:rsidP="009069A1">
      <w:pPr>
        <w:spacing w:before="120" w:after="120" w:line="312" w:lineRule="auto"/>
        <w:ind w:firstLine="567"/>
        <w:jc w:val="both"/>
      </w:pPr>
      <w:r>
        <w:t>XIII</w:t>
      </w:r>
      <w:r w:rsidR="00A11BE6" w:rsidRPr="007E77AF">
        <w:t xml:space="preserve"> – na hipótese de que trata o inciso XII, em se tratando de </w:t>
      </w:r>
      <w:r w:rsidR="00950B5B" w:rsidRPr="007E77AF">
        <w:t>oferta sujeita ao rito de registro automático</w:t>
      </w:r>
      <w:r w:rsidR="00556BB1" w:rsidRPr="007E77AF">
        <w:t xml:space="preserve">, </w:t>
      </w:r>
      <w:r w:rsidR="0052667A" w:rsidRPr="007E77AF">
        <w:t xml:space="preserve">cancelar </w:t>
      </w:r>
      <w:r w:rsidR="00A269CF" w:rsidRPr="007E77AF">
        <w:t xml:space="preserve">a respectiva oferta </w:t>
      </w:r>
      <w:r w:rsidR="00504951" w:rsidRPr="007E77AF">
        <w:t xml:space="preserve">caso </w:t>
      </w:r>
      <w:r w:rsidR="00EB383F" w:rsidRPr="007E77AF">
        <w:t xml:space="preserve">o fato ou irregularidade que tenha </w:t>
      </w:r>
      <w:r w:rsidR="00D43CB0" w:rsidRPr="007E77AF">
        <w:t>levado à suspensão da oferta não tenha</w:t>
      </w:r>
      <w:r w:rsidR="006B0B13" w:rsidRPr="007E77AF">
        <w:t xml:space="preserve"> sido sanado;</w:t>
      </w:r>
    </w:p>
    <w:p w14:paraId="23CB774E" w14:textId="0C56F20F" w:rsidR="00D74986" w:rsidRPr="007E77AF" w:rsidRDefault="00501E0C" w:rsidP="001353DC">
      <w:pPr>
        <w:spacing w:before="120" w:after="120" w:line="312" w:lineRule="auto"/>
        <w:ind w:firstLine="567"/>
        <w:jc w:val="both"/>
      </w:pPr>
      <w:r>
        <w:lastRenderedPageBreak/>
        <w:t>XIV</w:t>
      </w:r>
      <w:r w:rsidRPr="007E77AF">
        <w:t xml:space="preserve"> </w:t>
      </w:r>
      <w:r w:rsidR="10829669" w:rsidRPr="007E77AF">
        <w:t>–</w:t>
      </w:r>
      <w:r w:rsidR="5EE1C68E" w:rsidRPr="007E77AF">
        <w:t xml:space="preserve"> sem prejuízo do disposto no inciso </w:t>
      </w:r>
      <w:r w:rsidR="177B8936" w:rsidRPr="007E77AF">
        <w:t>X</w:t>
      </w:r>
      <w:r w:rsidR="2A504B18" w:rsidRPr="007E77AF">
        <w:t>I</w:t>
      </w:r>
      <w:r w:rsidR="177B8936" w:rsidRPr="007E77AF">
        <w:t>I</w:t>
      </w:r>
      <w:r w:rsidR="5EE1C68E" w:rsidRPr="007E77AF">
        <w:t xml:space="preserve">, comunicar imediatamente a ocorrência do ato ou irregularidade ali mencionados à </w:t>
      </w:r>
      <w:r w:rsidR="003A1C09" w:rsidRPr="007E77AF">
        <w:t>SRE</w:t>
      </w:r>
      <w:r w:rsidR="5EE1C68E" w:rsidRPr="007E77AF">
        <w:t xml:space="preserve">, que </w:t>
      </w:r>
      <w:r w:rsidR="00666219" w:rsidRPr="007E77AF">
        <w:t xml:space="preserve">deve </w:t>
      </w:r>
      <w:r w:rsidR="5EE1C68E" w:rsidRPr="007E77AF">
        <w:t>verifica</w:t>
      </w:r>
      <w:r w:rsidR="003A72D3" w:rsidRPr="007E77AF">
        <w:t>r</w:t>
      </w:r>
      <w:r w:rsidR="5EE1C68E" w:rsidRPr="007E77AF">
        <w:t xml:space="preserve"> se a ocorrência do fato ou da irregularidade </w:t>
      </w:r>
      <w:r w:rsidR="000237E3" w:rsidRPr="007E77AF">
        <w:t>é sanável</w:t>
      </w:r>
      <w:r w:rsidR="5EE1C68E" w:rsidRPr="007E77AF">
        <w:t xml:space="preserve">, nos termos do </w:t>
      </w:r>
      <w:r w:rsidR="236F51A0" w:rsidRPr="007E77AF">
        <w:t xml:space="preserve">art. </w:t>
      </w:r>
      <w:r w:rsidR="00813918">
        <w:t>70</w:t>
      </w:r>
      <w:r w:rsidR="5EE1C68E" w:rsidRPr="007E77AF">
        <w:t>;</w:t>
      </w:r>
    </w:p>
    <w:p w14:paraId="171EBD41" w14:textId="19DF3A96" w:rsidR="00D74986" w:rsidRPr="007E77AF" w:rsidRDefault="00501E0C" w:rsidP="001353DC">
      <w:pPr>
        <w:spacing w:before="120" w:after="120" w:line="312" w:lineRule="auto"/>
        <w:ind w:firstLine="567"/>
        <w:jc w:val="both"/>
      </w:pPr>
      <w:r>
        <w:t>XV</w:t>
      </w:r>
      <w:r w:rsidRPr="007E77AF">
        <w:t xml:space="preserve"> </w:t>
      </w:r>
      <w:r w:rsidR="10829669" w:rsidRPr="007E77AF">
        <w:t>–</w:t>
      </w:r>
      <w:r w:rsidR="5EE1C68E" w:rsidRPr="007E77AF">
        <w:t xml:space="preserve"> </w:t>
      </w:r>
      <w:proofErr w:type="gramStart"/>
      <w:r w:rsidR="00AF25AC" w:rsidRPr="007E77AF">
        <w:t>manter</w:t>
      </w:r>
      <w:proofErr w:type="gramEnd"/>
      <w:r w:rsidR="00354626" w:rsidRPr="007E77AF">
        <w:t xml:space="preserve"> à disposição da CVM</w:t>
      </w:r>
      <w:r w:rsidR="0053731D" w:rsidRPr="007E77AF">
        <w:t>,</w:t>
      </w:r>
      <w:r w:rsidR="5EE1C68E" w:rsidRPr="007E77AF">
        <w:t xml:space="preserve"> </w:t>
      </w:r>
      <w:r w:rsidR="009D44A1" w:rsidRPr="007E77AF">
        <w:t>pelo prazo</w:t>
      </w:r>
      <w:r w:rsidR="00536F4F" w:rsidRPr="007E77AF">
        <w:t xml:space="preserve"> de</w:t>
      </w:r>
      <w:r w:rsidR="00D51768" w:rsidRPr="007E77AF">
        <w:t xml:space="preserve"> </w:t>
      </w:r>
      <w:r w:rsidR="007730CF" w:rsidRPr="007E77AF">
        <w:t>5 (cinco) anos</w:t>
      </w:r>
      <w:r w:rsidR="00922306" w:rsidRPr="007E77AF">
        <w:t xml:space="preserve"> </w:t>
      </w:r>
      <w:r w:rsidR="00536F4F" w:rsidRPr="007E77AF">
        <w:t>após o encerramento da oferta</w:t>
      </w:r>
      <w:r w:rsidR="00A972C0" w:rsidRPr="007E77AF">
        <w:t>,</w:t>
      </w:r>
      <w:r w:rsidR="00536F4F" w:rsidRPr="007E77AF">
        <w:t xml:space="preserve"> </w:t>
      </w:r>
      <w:r w:rsidR="5EE1C68E" w:rsidRPr="007E77AF">
        <w:t>toda a documentação relativa ao processo de registro de distribuição pública</w:t>
      </w:r>
      <w:r w:rsidR="29891C1A" w:rsidRPr="007E77AF">
        <w:t>,</w:t>
      </w:r>
      <w:r w:rsidR="5EE1C68E" w:rsidRPr="007E77AF">
        <w:t xml:space="preserve"> </w:t>
      </w:r>
      <w:r w:rsidR="29891C1A" w:rsidRPr="007E77AF">
        <w:t>d</w:t>
      </w:r>
      <w:r w:rsidR="5EE1C68E" w:rsidRPr="007E77AF">
        <w:t xml:space="preserve">e elaboração do </w:t>
      </w:r>
      <w:r w:rsidR="54FDB771" w:rsidRPr="007E77AF">
        <w:t>prospecto</w:t>
      </w:r>
      <w:r w:rsidR="29891C1A" w:rsidRPr="007E77AF">
        <w:t xml:space="preserve"> e demais documentos requeridos por esta Resolução</w:t>
      </w:r>
      <w:r w:rsidR="00AF25AC" w:rsidRPr="007E77AF">
        <w:t xml:space="preserve">, nos termos da regulamentação específica que dispõe sobre o registro de </w:t>
      </w:r>
      <w:r w:rsidR="00D16AC7">
        <w:t>coordenadores</w:t>
      </w:r>
      <w:r w:rsidR="00AF25AC" w:rsidRPr="007E77AF">
        <w:t xml:space="preserve"> de ofertas públicas de </w:t>
      </w:r>
      <w:r w:rsidR="00D16AC7">
        <w:t xml:space="preserve">distribuição de </w:t>
      </w:r>
      <w:r w:rsidR="00AF25AC" w:rsidRPr="007E77AF">
        <w:t>valores mobiliários</w:t>
      </w:r>
      <w:r w:rsidR="551E9CC8" w:rsidRPr="007E77AF">
        <w:t>;</w:t>
      </w:r>
      <w:bookmarkStart w:id="317" w:name="_Ref467239287"/>
      <w:bookmarkEnd w:id="317"/>
    </w:p>
    <w:p w14:paraId="6A9A20E0" w14:textId="70F6E183" w:rsidR="00D74986" w:rsidRPr="007E77AF" w:rsidRDefault="009069A1" w:rsidP="001353DC">
      <w:pPr>
        <w:spacing w:before="120" w:after="120" w:line="312" w:lineRule="auto"/>
        <w:ind w:firstLine="567"/>
        <w:jc w:val="both"/>
      </w:pPr>
      <w:r w:rsidRPr="007E77AF">
        <w:t>XV</w:t>
      </w:r>
      <w:r w:rsidR="00501E0C">
        <w:t>I</w:t>
      </w:r>
      <w:r w:rsidR="0051439F" w:rsidRPr="007E77AF">
        <w:t xml:space="preserve"> </w:t>
      </w:r>
      <w:r w:rsidR="5CEA557E" w:rsidRPr="007E77AF">
        <w:t xml:space="preserve">– certificar-se da adoção das providências necessárias para o </w:t>
      </w:r>
      <w:r w:rsidR="30D99AFE" w:rsidRPr="007E77AF">
        <w:t>bloqueio</w:t>
      </w:r>
      <w:r w:rsidR="0087442E" w:rsidRPr="007E77AF">
        <w:t xml:space="preserve"> ou restrição</w:t>
      </w:r>
      <w:r w:rsidR="5CEA557E" w:rsidRPr="007E77AF">
        <w:t xml:space="preserve"> </w:t>
      </w:r>
      <w:r w:rsidR="605EDDAD" w:rsidRPr="007E77AF">
        <w:t xml:space="preserve">à negociação </w:t>
      </w:r>
      <w:r w:rsidR="5CEA557E" w:rsidRPr="007E77AF">
        <w:t>nos casos desta exigência</w:t>
      </w:r>
      <w:r w:rsidR="66793DB7" w:rsidRPr="007E77AF">
        <w:t xml:space="preserve"> </w:t>
      </w:r>
      <w:r w:rsidR="0F3CE6E4" w:rsidRPr="007E77AF">
        <w:t>(</w:t>
      </w:r>
      <w:r w:rsidR="000746FB" w:rsidRPr="007E77AF">
        <w:t xml:space="preserve">Capítulo </w:t>
      </w:r>
      <w:r w:rsidR="0F3CE6E4" w:rsidRPr="007E77AF">
        <w:t>VII)</w:t>
      </w:r>
      <w:r w:rsidR="0438044E" w:rsidRPr="007E77AF">
        <w:t>; e</w:t>
      </w:r>
    </w:p>
    <w:p w14:paraId="3A2882F1" w14:textId="1647818A" w:rsidR="00D74986" w:rsidRPr="007E77AF" w:rsidRDefault="00A615E6" w:rsidP="0086760A">
      <w:pPr>
        <w:spacing w:before="120" w:after="120" w:line="312" w:lineRule="auto"/>
        <w:ind w:firstLine="567"/>
        <w:jc w:val="both"/>
      </w:pPr>
      <w:r w:rsidRPr="007E77AF">
        <w:t>XVI</w:t>
      </w:r>
      <w:r w:rsidR="00501E0C">
        <w:t>I</w:t>
      </w:r>
      <w:r w:rsidR="0438044E" w:rsidRPr="007E77AF">
        <w:t xml:space="preserve"> </w:t>
      </w:r>
      <w:r w:rsidR="3EB285F5" w:rsidRPr="007E77AF">
        <w:t>–</w:t>
      </w:r>
      <w:r w:rsidR="0438044E" w:rsidRPr="007E77AF">
        <w:t xml:space="preserve"> informar à CVM, até o dia posterior ao do exercício da opção de distribuição de lote suplementar, a data do respectivo exercício e a quantidade de valores mobiliários envolvidos.</w:t>
      </w:r>
    </w:p>
    <w:p w14:paraId="78D98321" w14:textId="504A770D" w:rsidR="0086760A" w:rsidRPr="007E77AF" w:rsidRDefault="0086760A" w:rsidP="0086760A">
      <w:pPr>
        <w:spacing w:before="120" w:after="120" w:line="312" w:lineRule="auto"/>
        <w:ind w:firstLine="567"/>
        <w:jc w:val="both"/>
      </w:pPr>
      <w:r w:rsidRPr="007E77AF">
        <w:t>§ 1</w:t>
      </w:r>
      <w:proofErr w:type="gramStart"/>
      <w:r w:rsidRPr="007E77AF">
        <w:t>º</w:t>
      </w:r>
      <w:r w:rsidR="00E10249">
        <w:t xml:space="preserve"> </w:t>
      </w:r>
      <w:r w:rsidRPr="007E77AF">
        <w:t xml:space="preserve"> </w:t>
      </w:r>
      <w:r w:rsidR="0029377F" w:rsidRPr="007E77AF">
        <w:t>Para</w:t>
      </w:r>
      <w:proofErr w:type="gramEnd"/>
      <w:r w:rsidR="0029377F" w:rsidRPr="007E77AF">
        <w:t xml:space="preserve"> fins do cumprimento do inciso XIV, a</w:t>
      </w:r>
      <w:r w:rsidRPr="007E77AF">
        <w:t>s</w:t>
      </w:r>
      <w:r w:rsidR="00E10249">
        <w:t xml:space="preserve"> </w:t>
      </w:r>
      <w:r w:rsidRPr="007E77AF">
        <w:t>imagens digitalizadas são admitidas em substituição aos documentos originais requeridos po</w:t>
      </w:r>
      <w:r w:rsidR="00D85404" w:rsidRPr="007E77AF">
        <w:t>r</w:t>
      </w:r>
      <w:r w:rsidRPr="007E77AF">
        <w:t xml:space="preserve"> esta Resolução, desde que o processo seja realizado de acordo com a </w:t>
      </w:r>
      <w:r w:rsidR="009D5C2C" w:rsidRPr="007E77AF">
        <w:t>legislação federal</w:t>
      </w:r>
      <w:r w:rsidRPr="007E77AF">
        <w:t xml:space="preserve"> que dispõe sobre a elaboração e o arquivamento de documentos públicos e privados em meios eletromagnéticos, e com </w:t>
      </w:r>
      <w:r w:rsidR="009D5C2C" w:rsidRPr="007E77AF">
        <w:t xml:space="preserve">a regulamentação federal </w:t>
      </w:r>
      <w:r w:rsidRPr="007E77AF">
        <w:t>que estabelece a técnica e os requisitos para a digitalização desses documentos.</w:t>
      </w:r>
    </w:p>
    <w:p w14:paraId="78A78225" w14:textId="6E1D1C7E" w:rsidR="00DF491B" w:rsidRPr="007E77AF" w:rsidRDefault="0086760A" w:rsidP="003779E5">
      <w:pPr>
        <w:spacing w:before="120" w:after="120" w:line="312" w:lineRule="auto"/>
        <w:ind w:firstLine="567"/>
        <w:jc w:val="both"/>
      </w:pPr>
      <w:r w:rsidRPr="007E77AF">
        <w:t>§ 2</w:t>
      </w:r>
      <w:proofErr w:type="gramStart"/>
      <w:r w:rsidRPr="007E77AF">
        <w:t>º</w:t>
      </w:r>
      <w:r w:rsidR="00D942EE">
        <w:t xml:space="preserve"> </w:t>
      </w:r>
      <w:r w:rsidRPr="007E77AF">
        <w:t xml:space="preserve"> O</w:t>
      </w:r>
      <w:proofErr w:type="gramEnd"/>
      <w:r w:rsidR="00D942EE">
        <w:t xml:space="preserve"> </w:t>
      </w:r>
      <w:r w:rsidRPr="007E77AF">
        <w:t>documento de origem pode ser descartado após sua digitalização, exceto se apresentar danos materiais que prejudiquem sua legibilidade.</w:t>
      </w:r>
    </w:p>
    <w:p w14:paraId="6D9D3740" w14:textId="6DDAFCAA" w:rsidR="00031B6F" w:rsidRPr="007E77AF" w:rsidRDefault="00E04E94" w:rsidP="00823812">
      <w:pPr>
        <w:spacing w:before="120" w:after="120" w:line="312" w:lineRule="auto"/>
        <w:ind w:firstLine="567"/>
        <w:jc w:val="both"/>
      </w:pPr>
      <w:r w:rsidRPr="007E77AF">
        <w:t>§ 3</w:t>
      </w:r>
      <w:proofErr w:type="gramStart"/>
      <w:r w:rsidRPr="007E77AF">
        <w:t>º</w:t>
      </w:r>
      <w:r w:rsidR="00003A51" w:rsidRPr="007E77AF">
        <w:t xml:space="preserve">  </w:t>
      </w:r>
      <w:r w:rsidR="006B0400" w:rsidRPr="007E77AF">
        <w:t>O</w:t>
      </w:r>
      <w:proofErr w:type="gramEnd"/>
      <w:r w:rsidR="006B0400" w:rsidRPr="007E77AF">
        <w:t xml:space="preserve"> disposto neste artigo não afasta a responsabilidade</w:t>
      </w:r>
      <w:r w:rsidR="009A2C47" w:rsidRPr="007E77AF">
        <w:t xml:space="preserve"> das demais instituições </w:t>
      </w:r>
      <w:r w:rsidR="00A33C4F">
        <w:t>participantes do consórcio de distribuição</w:t>
      </w:r>
      <w:r w:rsidR="00A33C4F" w:rsidRPr="007E77AF" w:rsidDel="00A33C4F">
        <w:t xml:space="preserve"> </w:t>
      </w:r>
      <w:r w:rsidR="009A2C47" w:rsidRPr="007E77AF">
        <w:t>p</w:t>
      </w:r>
      <w:r w:rsidR="00E07885" w:rsidRPr="007E77AF">
        <w:t xml:space="preserve">or eventuais </w:t>
      </w:r>
      <w:r w:rsidR="006A3D37" w:rsidRPr="007E77AF">
        <w:t>infrações</w:t>
      </w:r>
      <w:r w:rsidR="00E07885" w:rsidRPr="007E77AF">
        <w:t xml:space="preserve"> </w:t>
      </w:r>
      <w:r w:rsidR="005B14CE" w:rsidRPr="007E77AF">
        <w:t xml:space="preserve">às obrigações previstas no </w:t>
      </w:r>
      <w:r w:rsidR="005B14CE" w:rsidRPr="007E77AF">
        <w:rPr>
          <w:b/>
          <w:bCs/>
        </w:rPr>
        <w:t>caput</w:t>
      </w:r>
      <w:r w:rsidR="005B14CE" w:rsidRPr="007E77AF">
        <w:t xml:space="preserve"> </w:t>
      </w:r>
      <w:r w:rsidR="00E07885" w:rsidRPr="007E77AF">
        <w:t>a que</w:t>
      </w:r>
      <w:r w:rsidR="00E11CB5" w:rsidRPr="007E77AF">
        <w:t xml:space="preserve"> deem causa</w:t>
      </w:r>
      <w:r w:rsidR="002879CE" w:rsidRPr="007E77AF">
        <w:t>.</w:t>
      </w:r>
      <w:bookmarkStart w:id="318" w:name="_Toc467256299"/>
      <w:bookmarkStart w:id="319" w:name="_Toc476216349"/>
    </w:p>
    <w:p w14:paraId="6C0F6292" w14:textId="039105EE" w:rsidR="00D74986" w:rsidRPr="007E77AF" w:rsidRDefault="09514106" w:rsidP="00956796">
      <w:pPr>
        <w:pStyle w:val="Captulo"/>
      </w:pPr>
      <w:bookmarkStart w:id="320" w:name="_Toc108516070"/>
      <w:bookmarkStart w:id="321" w:name="_Toc108203101"/>
      <w:bookmarkStart w:id="322" w:name="_Toc136502841"/>
      <w:r w:rsidRPr="007E77AF">
        <w:t xml:space="preserve">CAPÍTULO VII </w:t>
      </w:r>
      <w:r w:rsidR="3CF1C50D" w:rsidRPr="007E77AF">
        <w:t xml:space="preserve">– RESTRIÇÕES </w:t>
      </w:r>
      <w:r w:rsidR="4D712F48" w:rsidRPr="007E77AF">
        <w:t>À</w:t>
      </w:r>
      <w:r w:rsidR="3CF1C50D" w:rsidRPr="007E77AF">
        <w:t xml:space="preserve"> NEGOCIAÇÃO DOS VALORES MOBILIÁRIOS EM MERCADO REGULAMENTADO</w:t>
      </w:r>
      <w:bookmarkEnd w:id="318"/>
      <w:bookmarkEnd w:id="319"/>
      <w:bookmarkEnd w:id="320"/>
      <w:bookmarkEnd w:id="321"/>
      <w:bookmarkEnd w:id="322"/>
    </w:p>
    <w:p w14:paraId="0C852C9A" w14:textId="504159E2" w:rsidR="00D74986" w:rsidRPr="007E77AF" w:rsidRDefault="009069A1" w:rsidP="001353DC">
      <w:pPr>
        <w:spacing w:before="120" w:after="120" w:line="312" w:lineRule="auto"/>
        <w:ind w:firstLine="567"/>
        <w:jc w:val="both"/>
      </w:pPr>
      <w:bookmarkStart w:id="323" w:name="_Ref460490323"/>
      <w:r w:rsidRPr="007E77AF">
        <w:t xml:space="preserve">Art. </w:t>
      </w:r>
      <w:r w:rsidR="00501E0C" w:rsidRPr="007E77AF">
        <w:t>8</w:t>
      </w:r>
      <w:r w:rsidR="00501E0C">
        <w:t>4</w:t>
      </w:r>
      <w:r w:rsidR="34570957" w:rsidRPr="007E77AF">
        <w:t xml:space="preserve">.  A negociação em mercados regulamentados de valores mobiliários </w:t>
      </w:r>
      <w:r w:rsidR="00AB31BF" w:rsidRPr="007E77AF">
        <w:t xml:space="preserve">de emissores em fase pré-operacional que não sejam </w:t>
      </w:r>
      <w:proofErr w:type="spellStart"/>
      <w:r w:rsidR="00AB31BF" w:rsidRPr="007E77AF">
        <w:t>SPAC</w:t>
      </w:r>
      <w:r w:rsidR="007337B9" w:rsidRPr="007E77AF">
        <w:t>s</w:t>
      </w:r>
      <w:proofErr w:type="spellEnd"/>
      <w:r w:rsidR="34570957" w:rsidRPr="007E77AF">
        <w:rPr>
          <w:b/>
          <w:bCs/>
        </w:rPr>
        <w:t xml:space="preserve"> </w:t>
      </w:r>
      <w:r w:rsidR="34570957" w:rsidRPr="007E77AF">
        <w:t>somente pode ser realizada entre investidores qualificados, cessando tal restrição a partir da data em que, cumulativamente:</w:t>
      </w:r>
      <w:bookmarkEnd w:id="323"/>
    </w:p>
    <w:p w14:paraId="5CDC9830" w14:textId="1238709F" w:rsidR="00D74986" w:rsidRPr="007E77AF" w:rsidRDefault="009069A1" w:rsidP="001353DC">
      <w:pPr>
        <w:spacing w:before="120" w:after="120" w:line="312" w:lineRule="auto"/>
        <w:ind w:firstLine="567"/>
        <w:jc w:val="both"/>
      </w:pPr>
      <w:r w:rsidRPr="007E77AF">
        <w:t>I</w:t>
      </w:r>
      <w:r w:rsidR="34570957" w:rsidRPr="007E77AF">
        <w:t xml:space="preserve"> – </w:t>
      </w:r>
      <w:proofErr w:type="gramStart"/>
      <w:r w:rsidR="7A9A14BD" w:rsidRPr="007E77AF">
        <w:t>o</w:t>
      </w:r>
      <w:proofErr w:type="gramEnd"/>
      <w:r w:rsidR="34570957" w:rsidRPr="007E77AF">
        <w:t xml:space="preserve"> emissor se tornar operacional;</w:t>
      </w:r>
    </w:p>
    <w:p w14:paraId="432255E9" w14:textId="5C297F0E" w:rsidR="00D74986" w:rsidRPr="007E77AF" w:rsidRDefault="009069A1" w:rsidP="001353DC">
      <w:pPr>
        <w:spacing w:before="120" w:after="120" w:line="312" w:lineRule="auto"/>
        <w:ind w:firstLine="567"/>
        <w:jc w:val="both"/>
      </w:pPr>
      <w:r w:rsidRPr="007E77AF">
        <w:t>II</w:t>
      </w:r>
      <w:r w:rsidR="34570957" w:rsidRPr="007E77AF">
        <w:t xml:space="preserve"> – </w:t>
      </w:r>
      <w:proofErr w:type="gramStart"/>
      <w:r w:rsidR="34570957" w:rsidRPr="007E77AF">
        <w:t>tenham</w:t>
      </w:r>
      <w:proofErr w:type="gramEnd"/>
      <w:r w:rsidR="34570957" w:rsidRPr="007E77AF">
        <w:t xml:space="preserve"> decorrido 18 (dezoito) meses seguintes ao encerramento da oferta pública inicial; e</w:t>
      </w:r>
    </w:p>
    <w:p w14:paraId="0E0A94A4" w14:textId="4BEF820F" w:rsidR="00983C1A" w:rsidRPr="007E77AF" w:rsidRDefault="009069A1" w:rsidP="001353DC">
      <w:pPr>
        <w:spacing w:before="120" w:after="120" w:line="312" w:lineRule="auto"/>
        <w:ind w:firstLine="567"/>
        <w:jc w:val="both"/>
      </w:pPr>
      <w:r w:rsidRPr="007E77AF">
        <w:t>III</w:t>
      </w:r>
      <w:r w:rsidR="34570957" w:rsidRPr="007E77AF">
        <w:t xml:space="preserve"> – tenham decorrido 18 (dezoito) meses da admissão à negociação do valor mobiliário em bolsa de valores.</w:t>
      </w:r>
    </w:p>
    <w:p w14:paraId="7B36636E" w14:textId="051BFF5F" w:rsidR="00D6514A" w:rsidRPr="007E77AF" w:rsidRDefault="00983C1A" w:rsidP="009069A1">
      <w:pPr>
        <w:spacing w:before="120" w:after="120" w:line="312" w:lineRule="auto"/>
        <w:ind w:firstLine="567"/>
        <w:jc w:val="both"/>
      </w:pPr>
      <w:r w:rsidRPr="007E77AF">
        <w:lastRenderedPageBreak/>
        <w:t xml:space="preserve">Art. </w:t>
      </w:r>
      <w:r w:rsidR="00501E0C">
        <w:t>85</w:t>
      </w:r>
      <w:r w:rsidRPr="007E77AF">
        <w:t xml:space="preserve">. </w:t>
      </w:r>
      <w:r w:rsidR="00A55B07" w:rsidRPr="007E77AF" w:rsidDel="007E1C87">
        <w:t xml:space="preserve"> </w:t>
      </w:r>
      <w:r w:rsidRPr="007E77AF">
        <w:t xml:space="preserve">A negociação em mercados regulamentados de valores mobiliários emitidos por </w:t>
      </w:r>
      <w:proofErr w:type="spellStart"/>
      <w:r w:rsidRPr="007E77AF">
        <w:t>SPACs</w:t>
      </w:r>
      <w:proofErr w:type="spellEnd"/>
      <w:r w:rsidRPr="007E77AF">
        <w:rPr>
          <w:b/>
          <w:bCs/>
        </w:rPr>
        <w:t xml:space="preserve"> </w:t>
      </w:r>
      <w:r w:rsidRPr="007E77AF">
        <w:t xml:space="preserve">somente pode ser realizada entre investidores qualificados, cessando tal restrição </w:t>
      </w:r>
      <w:r w:rsidR="009D3190" w:rsidRPr="007E77AF">
        <w:t>quando decorridos 6 (seis) meses</w:t>
      </w:r>
      <w:r w:rsidR="000B6B7C" w:rsidRPr="007E77AF">
        <w:t xml:space="preserve"> </w:t>
      </w:r>
      <w:r w:rsidR="00CB00C1" w:rsidRPr="007E77AF">
        <w:t xml:space="preserve">da </w:t>
      </w:r>
      <w:r w:rsidR="007C4CA8" w:rsidRPr="007E77AF">
        <w:t xml:space="preserve">operação </w:t>
      </w:r>
      <w:r w:rsidR="00DF6B25" w:rsidRPr="007E77AF">
        <w:t>societária que resulte na</w:t>
      </w:r>
      <w:r w:rsidR="007C4CA8" w:rsidRPr="007E77AF">
        <w:t xml:space="preserve"> combinação de negócios entre</w:t>
      </w:r>
      <w:r w:rsidR="00B50067" w:rsidRPr="007E77AF">
        <w:t xml:space="preserve"> a SPAC e sociedade</w:t>
      </w:r>
      <w:r w:rsidR="00C0499B" w:rsidRPr="007E77AF">
        <w:t xml:space="preserve"> operacional</w:t>
      </w:r>
      <w:r w:rsidR="003C1E50" w:rsidRPr="007E77AF">
        <w:t>.</w:t>
      </w:r>
    </w:p>
    <w:p w14:paraId="217D485E" w14:textId="22F2F549" w:rsidR="008F21A5" w:rsidRPr="007E77AF" w:rsidRDefault="008F21A5" w:rsidP="009069A1">
      <w:pPr>
        <w:spacing w:before="120" w:after="120" w:line="312" w:lineRule="auto"/>
        <w:ind w:firstLine="567"/>
        <w:jc w:val="both"/>
      </w:pPr>
      <w:r w:rsidRPr="007E77AF">
        <w:t xml:space="preserve">Parágrafo único.  O prazo de que trata o </w:t>
      </w:r>
      <w:r w:rsidRPr="007E77AF">
        <w:rPr>
          <w:b/>
          <w:bCs/>
        </w:rPr>
        <w:t>caput</w:t>
      </w:r>
      <w:r w:rsidRPr="007E77AF">
        <w:t xml:space="preserve"> não começa a fluir enquanto pendentes </w:t>
      </w:r>
      <w:r w:rsidR="001C5B2B" w:rsidRPr="007E77AF">
        <w:t>condições</w:t>
      </w:r>
      <w:r w:rsidR="00A25996" w:rsidRPr="007E77AF">
        <w:t xml:space="preserve"> suspensivas </w:t>
      </w:r>
      <w:r w:rsidR="00A47ABD" w:rsidRPr="007E77AF">
        <w:t>ou quaisquer outras limitações à eficácia da</w:t>
      </w:r>
      <w:r w:rsidR="002569B5" w:rsidRPr="007E77AF">
        <w:t xml:space="preserve"> combinação de </w:t>
      </w:r>
      <w:r w:rsidR="00A47ABD" w:rsidRPr="007E77AF">
        <w:t>negócios.</w:t>
      </w:r>
    </w:p>
    <w:p w14:paraId="70917D6D" w14:textId="1E208B7F" w:rsidR="00C15E84" w:rsidRPr="007E77AF" w:rsidRDefault="009069A1" w:rsidP="001353DC">
      <w:pPr>
        <w:spacing w:before="120" w:after="120" w:line="312" w:lineRule="auto"/>
        <w:ind w:firstLine="567"/>
        <w:jc w:val="both"/>
      </w:pPr>
      <w:bookmarkStart w:id="324" w:name="_Ref467254929"/>
      <w:bookmarkStart w:id="325" w:name="_Ref460499261"/>
      <w:r w:rsidRPr="007E77AF">
        <w:t xml:space="preserve">Art. </w:t>
      </w:r>
      <w:r w:rsidR="00A65EBD">
        <w:t>86</w:t>
      </w:r>
      <w:r w:rsidR="4ACD4B22" w:rsidRPr="007E77AF">
        <w:t>.  A negociação dos ativos em mercados regulamentado</w:t>
      </w:r>
      <w:r w:rsidR="071EAE86" w:rsidRPr="007E77AF">
        <w:t>s</w:t>
      </w:r>
      <w:r w:rsidR="4ACD4B22" w:rsidRPr="007E77AF">
        <w:t xml:space="preserve"> quando adquiridos nas ofertas registradas nos termos do</w:t>
      </w:r>
      <w:r w:rsidR="071EAE86" w:rsidRPr="007E77AF">
        <w:t xml:space="preserve">s incisos do </w:t>
      </w:r>
      <w:r w:rsidR="3B2E2666" w:rsidRPr="007E77AF">
        <w:rPr>
          <w:b/>
          <w:bCs/>
        </w:rPr>
        <w:t>caput</w:t>
      </w:r>
      <w:r w:rsidR="071EAE86" w:rsidRPr="007E77AF">
        <w:t xml:space="preserve"> do</w:t>
      </w:r>
      <w:r w:rsidR="4ACD4B22" w:rsidRPr="007E77AF">
        <w:t xml:space="preserve"> art. </w:t>
      </w:r>
      <w:r w:rsidR="0086760A" w:rsidRPr="007E77AF">
        <w:t>26</w:t>
      </w:r>
      <w:r w:rsidR="4ACD4B22" w:rsidRPr="007E77AF">
        <w:t xml:space="preserve"> desta </w:t>
      </w:r>
      <w:r w:rsidR="0EC0FFCD" w:rsidRPr="007E77AF">
        <w:t>Resolução</w:t>
      </w:r>
      <w:r w:rsidR="4ACD4B22" w:rsidRPr="007E77AF">
        <w:t xml:space="preserve"> </w:t>
      </w:r>
      <w:r w:rsidR="0CA39184" w:rsidRPr="007E77AF">
        <w:t>obedece às</w:t>
      </w:r>
      <w:r w:rsidR="4ACD4B22" w:rsidRPr="007E77AF">
        <w:t xml:space="preserve"> seguintes restrições:</w:t>
      </w:r>
      <w:bookmarkEnd w:id="324"/>
      <w:bookmarkEnd w:id="325"/>
    </w:p>
    <w:p w14:paraId="33F1AE35" w14:textId="77777777" w:rsidR="00C93DC7" w:rsidRDefault="009069A1" w:rsidP="001353DC">
      <w:pPr>
        <w:spacing w:before="120" w:after="120" w:line="312" w:lineRule="auto"/>
        <w:ind w:firstLine="567"/>
        <w:jc w:val="both"/>
      </w:pPr>
      <w:r w:rsidRPr="007E77AF">
        <w:t>I</w:t>
      </w:r>
      <w:r w:rsidR="4ACD4B22" w:rsidRPr="007E77AF">
        <w:t xml:space="preserve"> </w:t>
      </w:r>
      <w:bookmarkStart w:id="326" w:name="_Ref467254957"/>
      <w:r w:rsidR="4ACD4B22" w:rsidRPr="007E77AF">
        <w:t xml:space="preserve">– </w:t>
      </w:r>
      <w:proofErr w:type="gramStart"/>
      <w:r w:rsidR="00B00999" w:rsidRPr="007E77AF">
        <w:t>na</w:t>
      </w:r>
      <w:r w:rsidR="00520E40" w:rsidRPr="007E77AF">
        <w:t>s</w:t>
      </w:r>
      <w:proofErr w:type="gramEnd"/>
      <w:r w:rsidR="00B00999" w:rsidRPr="007E77AF">
        <w:t xml:space="preserve"> oferta</w:t>
      </w:r>
      <w:r w:rsidR="00520E40" w:rsidRPr="007E77AF">
        <w:t>s</w:t>
      </w:r>
      <w:r w:rsidR="00B00999" w:rsidRPr="007E77AF">
        <w:t xml:space="preserve"> </w:t>
      </w:r>
      <w:r w:rsidR="00520E40" w:rsidRPr="007E77AF">
        <w:t xml:space="preserve">destinadas exclusivamente a investidores profissionais </w:t>
      </w:r>
      <w:r w:rsidR="00B00999" w:rsidRPr="007E77AF">
        <w:t xml:space="preserve">elencada no inciso </w:t>
      </w:r>
      <w:r w:rsidR="0086760A" w:rsidRPr="007E77AF">
        <w:t>IV</w:t>
      </w:r>
      <w:r w:rsidR="00B00999" w:rsidRPr="007E77AF">
        <w:t xml:space="preserve">, alínea "a", do </w:t>
      </w:r>
      <w:r w:rsidR="00B00999" w:rsidRPr="007E77AF">
        <w:rPr>
          <w:b/>
          <w:bCs/>
        </w:rPr>
        <w:t>caput</w:t>
      </w:r>
      <w:r w:rsidR="00B00999" w:rsidRPr="007E77AF">
        <w:t xml:space="preserve"> do art. </w:t>
      </w:r>
      <w:r w:rsidR="0086760A" w:rsidRPr="007E77AF">
        <w:t>26</w:t>
      </w:r>
      <w:r w:rsidR="00A615E6" w:rsidRPr="007E77AF">
        <w:t xml:space="preserve"> (debêntures simples de emissor frequente de dívida)</w:t>
      </w:r>
      <w:r w:rsidR="00B00999" w:rsidRPr="007E77AF">
        <w:t>, a revenda somente pode ser destinada</w:t>
      </w:r>
      <w:r w:rsidR="00504DA7">
        <w:t>:</w:t>
      </w:r>
    </w:p>
    <w:p w14:paraId="5DAC1F43" w14:textId="04B35392" w:rsidR="00777956" w:rsidRDefault="00C93DC7" w:rsidP="001353DC">
      <w:pPr>
        <w:spacing w:before="120" w:after="120" w:line="312" w:lineRule="auto"/>
        <w:ind w:firstLine="567"/>
        <w:jc w:val="both"/>
      </w:pPr>
      <w:r>
        <w:t>a)</w:t>
      </w:r>
      <w:r w:rsidR="00B00999" w:rsidRPr="007E77AF">
        <w:t xml:space="preserve"> </w:t>
      </w:r>
      <w:r w:rsidR="00465780">
        <w:t>a investidores qualificados</w:t>
      </w:r>
      <w:r w:rsidR="00777956">
        <w:t xml:space="preserve"> após decorridos 3 (três) meses</w:t>
      </w:r>
      <w:r w:rsidR="00777956" w:rsidRPr="00777956">
        <w:t xml:space="preserve"> </w:t>
      </w:r>
      <w:r w:rsidR="00777956" w:rsidRPr="007E77AF">
        <w:t>da data de encerramento da oferta</w:t>
      </w:r>
      <w:r>
        <w:t>;</w:t>
      </w:r>
      <w:r w:rsidR="00465780">
        <w:t xml:space="preserve"> e</w:t>
      </w:r>
    </w:p>
    <w:p w14:paraId="2D999B03" w14:textId="24130672" w:rsidR="00B00999" w:rsidRPr="007E77AF" w:rsidRDefault="00777956" w:rsidP="001353DC">
      <w:pPr>
        <w:spacing w:before="120" w:after="120" w:line="312" w:lineRule="auto"/>
        <w:ind w:firstLine="567"/>
        <w:jc w:val="both"/>
      </w:pPr>
      <w:r>
        <w:t>b)</w:t>
      </w:r>
      <w:r w:rsidR="00B00999" w:rsidRPr="007E77AF">
        <w:t xml:space="preserve"> ao público investidor em geral após decorridos 6 (seis) meses da data de encerramento da oferta;</w:t>
      </w:r>
    </w:p>
    <w:p w14:paraId="2B98E341" w14:textId="7D37C1C9" w:rsidR="003B6F6E" w:rsidRDefault="009069A1" w:rsidP="001353DC">
      <w:pPr>
        <w:spacing w:before="120" w:after="120" w:line="312" w:lineRule="auto"/>
        <w:ind w:firstLine="567"/>
        <w:jc w:val="both"/>
        <w:rPr>
          <w:strike/>
        </w:rPr>
      </w:pPr>
      <w:r w:rsidRPr="004511EB">
        <w:rPr>
          <w:rFonts w:eastAsiaTheme="minorEastAsia" w:cstheme="minorBidi"/>
          <w:strike/>
        </w:rPr>
        <w:t>II</w:t>
      </w:r>
      <w:r w:rsidR="003B6F6E" w:rsidRPr="004511EB">
        <w:rPr>
          <w:strike/>
        </w:rPr>
        <w:t xml:space="preserve"> </w:t>
      </w:r>
      <w:bookmarkStart w:id="327" w:name="_Ref473446831"/>
      <w:r w:rsidR="003B6F6E" w:rsidRPr="004511EB">
        <w:rPr>
          <w:strike/>
        </w:rPr>
        <w:t xml:space="preserve">– </w:t>
      </w:r>
      <w:proofErr w:type="gramStart"/>
      <w:r w:rsidR="7E7842EF" w:rsidRPr="004511EB">
        <w:rPr>
          <w:strike/>
        </w:rPr>
        <w:t>nas</w:t>
      </w:r>
      <w:proofErr w:type="gramEnd"/>
      <w:r w:rsidR="003B6F6E" w:rsidRPr="004511EB">
        <w:rPr>
          <w:strike/>
        </w:rPr>
        <w:t xml:space="preserve"> </w:t>
      </w:r>
      <w:r w:rsidR="4ACD4B22" w:rsidRPr="004511EB">
        <w:rPr>
          <w:strike/>
        </w:rPr>
        <w:t>ofertas</w:t>
      </w:r>
      <w:r w:rsidR="00D528D4" w:rsidRPr="004511EB">
        <w:rPr>
          <w:strike/>
        </w:rPr>
        <w:t xml:space="preserve"> destinadas </w:t>
      </w:r>
      <w:r w:rsidR="007D22F5" w:rsidRPr="004511EB">
        <w:rPr>
          <w:strike/>
        </w:rPr>
        <w:t>exclusivamente a investidores profissionais</w:t>
      </w:r>
      <w:r w:rsidR="4ACD4B22" w:rsidRPr="004511EB">
        <w:rPr>
          <w:strike/>
        </w:rPr>
        <w:t xml:space="preserve"> elencadas nos incisos </w:t>
      </w:r>
      <w:r w:rsidR="0086760A" w:rsidRPr="004511EB">
        <w:rPr>
          <w:strike/>
        </w:rPr>
        <w:t>V</w:t>
      </w:r>
      <w:r w:rsidR="4ACD4B22" w:rsidRPr="004511EB">
        <w:rPr>
          <w:strike/>
        </w:rPr>
        <w:t xml:space="preserve">, alínea </w:t>
      </w:r>
      <w:r w:rsidR="42857E4F" w:rsidRPr="004511EB">
        <w:rPr>
          <w:strike/>
        </w:rPr>
        <w:t>"</w:t>
      </w:r>
      <w:r w:rsidR="4ACD4B22" w:rsidRPr="004511EB">
        <w:rPr>
          <w:strike/>
        </w:rPr>
        <w:t>a</w:t>
      </w:r>
      <w:r w:rsidR="6AAE20BE" w:rsidRPr="004511EB">
        <w:rPr>
          <w:strike/>
        </w:rPr>
        <w:t>"</w:t>
      </w:r>
      <w:r w:rsidR="00545AB5" w:rsidRPr="004511EB">
        <w:rPr>
          <w:strike/>
        </w:rPr>
        <w:t xml:space="preserve"> (debêntures simples)</w:t>
      </w:r>
      <w:r w:rsidR="4ACD4B22" w:rsidRPr="004511EB">
        <w:rPr>
          <w:strike/>
        </w:rPr>
        <w:t xml:space="preserve">, </w:t>
      </w:r>
      <w:r w:rsidR="0086760A" w:rsidRPr="004511EB">
        <w:rPr>
          <w:strike/>
        </w:rPr>
        <w:t>VI</w:t>
      </w:r>
      <w:r w:rsidR="4ACD4B22" w:rsidRPr="004511EB">
        <w:rPr>
          <w:strike/>
        </w:rPr>
        <w:t xml:space="preserve">, alínea </w:t>
      </w:r>
      <w:r w:rsidR="0A2DBBAD" w:rsidRPr="004511EB">
        <w:rPr>
          <w:strike/>
        </w:rPr>
        <w:t>"</w:t>
      </w:r>
      <w:r w:rsidR="4ACD4B22" w:rsidRPr="004511EB">
        <w:rPr>
          <w:strike/>
        </w:rPr>
        <w:t>a</w:t>
      </w:r>
      <w:r w:rsidR="2EC22B5B" w:rsidRPr="004511EB">
        <w:rPr>
          <w:strike/>
        </w:rPr>
        <w:t>"</w:t>
      </w:r>
      <w:r w:rsidR="00B85FD7" w:rsidRPr="004511EB">
        <w:rPr>
          <w:strike/>
        </w:rPr>
        <w:t xml:space="preserve"> (cotas de fundos fechados)</w:t>
      </w:r>
      <w:r w:rsidR="4ACD4B22" w:rsidRPr="004511EB">
        <w:rPr>
          <w:strike/>
        </w:rPr>
        <w:t xml:space="preserve">, e </w:t>
      </w:r>
      <w:r w:rsidR="0086760A" w:rsidRPr="004511EB">
        <w:rPr>
          <w:strike/>
        </w:rPr>
        <w:t>VIII</w:t>
      </w:r>
      <w:r w:rsidR="4ACD4B22" w:rsidRPr="004511EB">
        <w:rPr>
          <w:strike/>
        </w:rPr>
        <w:t xml:space="preserve">, alínea </w:t>
      </w:r>
      <w:r w:rsidR="1F26341A" w:rsidRPr="004511EB">
        <w:rPr>
          <w:strike/>
        </w:rPr>
        <w:t>"</w:t>
      </w:r>
      <w:r w:rsidR="4ACD4B22" w:rsidRPr="004511EB">
        <w:rPr>
          <w:strike/>
        </w:rPr>
        <w:t>a</w:t>
      </w:r>
      <w:r w:rsidR="2DC80F54" w:rsidRPr="004511EB">
        <w:rPr>
          <w:strike/>
        </w:rPr>
        <w:t>"</w:t>
      </w:r>
      <w:r w:rsidR="00545AB5" w:rsidRPr="004511EB">
        <w:rPr>
          <w:strike/>
        </w:rPr>
        <w:t xml:space="preserve"> (</w:t>
      </w:r>
      <w:r w:rsidR="0073313B" w:rsidRPr="004511EB">
        <w:rPr>
          <w:strike/>
        </w:rPr>
        <w:t>títulos de securitização)</w:t>
      </w:r>
      <w:r w:rsidR="7E7842EF" w:rsidRPr="004511EB">
        <w:rPr>
          <w:strike/>
        </w:rPr>
        <w:t>,</w:t>
      </w:r>
      <w:r w:rsidR="4ACD4B22" w:rsidRPr="004511EB">
        <w:rPr>
          <w:strike/>
        </w:rPr>
        <w:t xml:space="preserve"> </w:t>
      </w:r>
      <w:r w:rsidR="1D4DEF94" w:rsidRPr="004511EB">
        <w:rPr>
          <w:strike/>
        </w:rPr>
        <w:t xml:space="preserve">do </w:t>
      </w:r>
      <w:r w:rsidR="1D4DEF94" w:rsidRPr="004511EB">
        <w:rPr>
          <w:b/>
          <w:bCs/>
          <w:strike/>
        </w:rPr>
        <w:t>caput</w:t>
      </w:r>
      <w:r w:rsidR="1D4DEF94" w:rsidRPr="004511EB">
        <w:rPr>
          <w:strike/>
        </w:rPr>
        <w:t xml:space="preserve"> </w:t>
      </w:r>
      <w:r w:rsidR="7E7842EF" w:rsidRPr="004511EB">
        <w:rPr>
          <w:strike/>
        </w:rPr>
        <w:t xml:space="preserve">do art. </w:t>
      </w:r>
      <w:r w:rsidR="0086760A" w:rsidRPr="004511EB">
        <w:rPr>
          <w:strike/>
        </w:rPr>
        <w:t>26</w:t>
      </w:r>
      <w:r w:rsidR="1D4DEF94" w:rsidRPr="004511EB">
        <w:rPr>
          <w:strike/>
        </w:rPr>
        <w:t>,</w:t>
      </w:r>
      <w:r w:rsidR="7E7842EF" w:rsidRPr="004511EB">
        <w:rPr>
          <w:strike/>
        </w:rPr>
        <w:t xml:space="preserve"> </w:t>
      </w:r>
      <w:r w:rsidR="4ACD4B22" w:rsidRPr="004511EB">
        <w:rPr>
          <w:strike/>
        </w:rPr>
        <w:t>a revenda somente pode ser destinada</w:t>
      </w:r>
      <w:r w:rsidR="003B6F6E" w:rsidRPr="004511EB">
        <w:rPr>
          <w:strike/>
        </w:rPr>
        <w:t>:</w:t>
      </w:r>
      <w:bookmarkEnd w:id="327"/>
    </w:p>
    <w:p w14:paraId="613558A3" w14:textId="77777777" w:rsidR="004511EB" w:rsidRPr="004511EB" w:rsidRDefault="004511EB" w:rsidP="004511EB">
      <w:pPr>
        <w:spacing w:before="120" w:after="120" w:line="312" w:lineRule="auto"/>
        <w:ind w:firstLine="567"/>
        <w:jc w:val="both"/>
      </w:pPr>
      <w:r w:rsidRPr="004511EB">
        <w:t xml:space="preserve">II – </w:t>
      </w:r>
      <w:proofErr w:type="gramStart"/>
      <w:r w:rsidRPr="004511EB">
        <w:t>nas</w:t>
      </w:r>
      <w:proofErr w:type="gramEnd"/>
      <w:r w:rsidRPr="004511EB">
        <w:t xml:space="preserve"> ofertas destinadas exclusivamente a investidores profissionais elencadas nos incisos V, alínea "a" (debêntures simples), VI, alínea "a" (inicial de cotas de fundos fechados), VII, alínea “a” (subsequente de cotas de fundos fechados”) e VIII, alínea "a" (títulos de securitização), do </w:t>
      </w:r>
      <w:r w:rsidRPr="004511EB">
        <w:rPr>
          <w:b/>
        </w:rPr>
        <w:t>caput</w:t>
      </w:r>
      <w:r w:rsidRPr="004511EB">
        <w:t xml:space="preserve"> do art. 26, a revenda somente pode ser destinada:</w:t>
      </w:r>
    </w:p>
    <w:p w14:paraId="5F124416" w14:textId="5F84EF77" w:rsidR="004511EB" w:rsidRPr="004511EB" w:rsidRDefault="004511EB" w:rsidP="004511EB">
      <w:pPr>
        <w:pStyle w:val="PargrafodaLista"/>
        <w:numPr>
          <w:ilvl w:val="0"/>
          <w:numId w:val="53"/>
        </w:numPr>
        <w:tabs>
          <w:tab w:val="left" w:pos="993"/>
        </w:tabs>
        <w:spacing w:line="312" w:lineRule="auto"/>
        <w:ind w:left="709" w:hanging="142"/>
        <w:contextualSpacing/>
        <w:jc w:val="both"/>
        <w:rPr>
          <w:b/>
          <w:i/>
        </w:rPr>
      </w:pPr>
      <w:r>
        <w:rPr>
          <w:b/>
          <w:bCs/>
          <w:i/>
          <w:iCs/>
        </w:rPr>
        <w:t>Inciso II</w:t>
      </w:r>
      <w:r w:rsidRPr="000E3D95">
        <w:t xml:space="preserve">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340DF936" w14:textId="0051719D" w:rsidR="00D74986" w:rsidRPr="007E77AF" w:rsidRDefault="003B6F6E" w:rsidP="491E246D">
      <w:pPr>
        <w:spacing w:before="120" w:after="120" w:line="312" w:lineRule="auto"/>
        <w:ind w:firstLine="567"/>
        <w:jc w:val="both"/>
        <w:rPr>
          <w:rFonts w:eastAsiaTheme="minorEastAsia" w:cstheme="minorBidi"/>
        </w:rPr>
      </w:pPr>
      <w:r w:rsidRPr="007E77AF">
        <w:t>a)</w:t>
      </w:r>
      <w:r w:rsidR="4ACD4B22" w:rsidRPr="007E77AF">
        <w:t xml:space="preserve"> a investidores qualificados após decorridos 6 (seis) meses da</w:t>
      </w:r>
      <w:r w:rsidR="071EAE86" w:rsidRPr="007E77AF">
        <w:t xml:space="preserve"> data de encerramento da oferta;</w:t>
      </w:r>
      <w:bookmarkEnd w:id="326"/>
      <w:r w:rsidR="00953A11" w:rsidRPr="007E77AF">
        <w:t xml:space="preserve"> </w:t>
      </w:r>
      <w:r w:rsidR="008F1AC1" w:rsidRPr="007E77AF">
        <w:t>e</w:t>
      </w:r>
    </w:p>
    <w:p w14:paraId="2C5E9DF5" w14:textId="61945283" w:rsidR="00D74986" w:rsidRPr="007E77AF" w:rsidRDefault="003B6F6E" w:rsidP="0036351A">
      <w:pPr>
        <w:spacing w:before="120" w:after="120" w:line="312" w:lineRule="auto"/>
        <w:ind w:firstLine="567"/>
        <w:jc w:val="both"/>
      </w:pPr>
      <w:r w:rsidRPr="007E77AF">
        <w:t xml:space="preserve">b) </w:t>
      </w:r>
      <w:bookmarkStart w:id="328" w:name="_Ref467255039"/>
      <w:r w:rsidR="4ACD4B22" w:rsidRPr="007E77AF">
        <w:t xml:space="preserve">ao público </w:t>
      </w:r>
      <w:r w:rsidR="0AD22D0D" w:rsidRPr="007E77AF">
        <w:t xml:space="preserve">investidor </w:t>
      </w:r>
      <w:r w:rsidR="4ACD4B22" w:rsidRPr="007E77AF">
        <w:t>em geral após decorrido 1 (um) ano da data de encerramento da oferta</w:t>
      </w:r>
      <w:bookmarkEnd w:id="328"/>
      <w:r w:rsidR="00D942EE">
        <w:t>;</w:t>
      </w:r>
    </w:p>
    <w:p w14:paraId="463D9A46" w14:textId="7CFE04C9" w:rsidR="00D74986" w:rsidRDefault="009069A1" w:rsidP="001353DC">
      <w:pPr>
        <w:spacing w:before="120" w:after="120" w:line="312" w:lineRule="auto"/>
        <w:ind w:firstLine="567"/>
        <w:jc w:val="both"/>
        <w:rPr>
          <w:strike/>
        </w:rPr>
      </w:pPr>
      <w:r w:rsidRPr="004511EB">
        <w:rPr>
          <w:strike/>
        </w:rPr>
        <w:t>III</w:t>
      </w:r>
      <w:r w:rsidR="593DCD3A" w:rsidRPr="004511EB">
        <w:rPr>
          <w:strike/>
        </w:rPr>
        <w:t xml:space="preserve"> </w:t>
      </w:r>
      <w:bookmarkStart w:id="329" w:name="_Ref467255105"/>
      <w:r w:rsidR="4286FB8B" w:rsidRPr="004511EB">
        <w:rPr>
          <w:strike/>
        </w:rPr>
        <w:t>–</w:t>
      </w:r>
      <w:r w:rsidR="4ACD4B22" w:rsidRPr="004511EB">
        <w:rPr>
          <w:strike/>
        </w:rPr>
        <w:t xml:space="preserve"> </w:t>
      </w:r>
      <w:r w:rsidR="1D4DEF94" w:rsidRPr="004511EB">
        <w:rPr>
          <w:strike/>
        </w:rPr>
        <w:t xml:space="preserve">nas </w:t>
      </w:r>
      <w:r w:rsidR="4ACD4B22" w:rsidRPr="004511EB">
        <w:rPr>
          <w:strike/>
        </w:rPr>
        <w:t>ofertas</w:t>
      </w:r>
      <w:r w:rsidR="003B7A04" w:rsidRPr="004511EB">
        <w:rPr>
          <w:strike/>
        </w:rPr>
        <w:t xml:space="preserve"> destinadas exclusivamente a investidores qualificados</w:t>
      </w:r>
      <w:r w:rsidR="4ACD4B22" w:rsidRPr="004511EB">
        <w:rPr>
          <w:strike/>
        </w:rPr>
        <w:t xml:space="preserve"> elencadas nos incisos </w:t>
      </w:r>
      <w:r w:rsidR="0086760A" w:rsidRPr="004511EB">
        <w:rPr>
          <w:strike/>
        </w:rPr>
        <w:t>V</w:t>
      </w:r>
      <w:r w:rsidR="00DE45FC" w:rsidRPr="004511EB">
        <w:rPr>
          <w:strike/>
        </w:rPr>
        <w:t xml:space="preserve">, </w:t>
      </w:r>
      <w:r w:rsidR="4ACD4B22" w:rsidRPr="004511EB">
        <w:rPr>
          <w:strike/>
        </w:rPr>
        <w:t xml:space="preserve">alínea </w:t>
      </w:r>
      <w:r w:rsidR="3044FB02" w:rsidRPr="004511EB">
        <w:rPr>
          <w:strike/>
        </w:rPr>
        <w:t>"</w:t>
      </w:r>
      <w:r w:rsidR="4ACD4B22" w:rsidRPr="004511EB">
        <w:rPr>
          <w:strike/>
        </w:rPr>
        <w:t>b</w:t>
      </w:r>
      <w:r w:rsidR="3044FB02" w:rsidRPr="004511EB">
        <w:rPr>
          <w:strike/>
        </w:rPr>
        <w:t>"</w:t>
      </w:r>
      <w:r w:rsidR="00E1540B" w:rsidRPr="004511EB">
        <w:rPr>
          <w:strike/>
        </w:rPr>
        <w:t xml:space="preserve"> (deb</w:t>
      </w:r>
      <w:r w:rsidR="000D6FBE" w:rsidRPr="004511EB">
        <w:rPr>
          <w:strike/>
        </w:rPr>
        <w:t>êntures simples)</w:t>
      </w:r>
      <w:r w:rsidR="4ACD4B22" w:rsidRPr="004511EB">
        <w:rPr>
          <w:strike/>
        </w:rPr>
        <w:t>,</w:t>
      </w:r>
      <w:r w:rsidR="00DF0E5C" w:rsidRPr="004511EB">
        <w:rPr>
          <w:strike/>
        </w:rPr>
        <w:t xml:space="preserve"> </w:t>
      </w:r>
      <w:r w:rsidR="0086760A" w:rsidRPr="004511EB">
        <w:rPr>
          <w:strike/>
        </w:rPr>
        <w:t>VI</w:t>
      </w:r>
      <w:r w:rsidR="00DE45FC" w:rsidRPr="004511EB">
        <w:rPr>
          <w:strike/>
        </w:rPr>
        <w:t xml:space="preserve">, </w:t>
      </w:r>
      <w:r w:rsidR="00DF0E5C" w:rsidRPr="004511EB">
        <w:rPr>
          <w:strike/>
        </w:rPr>
        <w:t>alínea “b”</w:t>
      </w:r>
      <w:r w:rsidR="000D6FBE" w:rsidRPr="004511EB">
        <w:rPr>
          <w:strike/>
        </w:rPr>
        <w:t xml:space="preserve"> (cotas de fundos fechados)</w:t>
      </w:r>
      <w:r w:rsidR="00DF0E5C" w:rsidRPr="004511EB">
        <w:rPr>
          <w:strike/>
        </w:rPr>
        <w:t>,</w:t>
      </w:r>
      <w:r w:rsidR="4ACD4B22" w:rsidRPr="004511EB">
        <w:rPr>
          <w:strike/>
        </w:rPr>
        <w:t xml:space="preserve"> </w:t>
      </w:r>
      <w:proofErr w:type="gramStart"/>
      <w:r w:rsidR="0086760A" w:rsidRPr="004511EB">
        <w:rPr>
          <w:strike/>
        </w:rPr>
        <w:t>VIII</w:t>
      </w:r>
      <w:r w:rsidR="00DE45FC" w:rsidRPr="004511EB">
        <w:rPr>
          <w:strike/>
        </w:rPr>
        <w:t xml:space="preserve">, </w:t>
      </w:r>
      <w:r w:rsidR="4ACD4B22" w:rsidRPr="004511EB">
        <w:rPr>
          <w:strike/>
        </w:rPr>
        <w:t xml:space="preserve"> alínea</w:t>
      </w:r>
      <w:proofErr w:type="gramEnd"/>
      <w:r w:rsidR="4ACD4B22" w:rsidRPr="004511EB">
        <w:rPr>
          <w:strike/>
        </w:rPr>
        <w:t xml:space="preserve"> </w:t>
      </w:r>
      <w:r w:rsidR="00DF0E5C" w:rsidRPr="004511EB">
        <w:rPr>
          <w:strike/>
        </w:rPr>
        <w:t>“</w:t>
      </w:r>
      <w:r w:rsidR="4ACD4B22" w:rsidRPr="004511EB">
        <w:rPr>
          <w:strike/>
        </w:rPr>
        <w:t>b</w:t>
      </w:r>
      <w:r w:rsidR="00DF0E5C" w:rsidRPr="004511EB">
        <w:rPr>
          <w:strike/>
        </w:rPr>
        <w:t>”</w:t>
      </w:r>
      <w:r w:rsidR="003818BE" w:rsidRPr="004511EB">
        <w:rPr>
          <w:strike/>
        </w:rPr>
        <w:t xml:space="preserve"> (títulos de securitização)</w:t>
      </w:r>
      <w:r w:rsidR="0076159F" w:rsidRPr="004511EB">
        <w:rPr>
          <w:strike/>
        </w:rPr>
        <w:t>, d</w:t>
      </w:r>
      <w:r w:rsidR="1D4DEF94" w:rsidRPr="004511EB">
        <w:rPr>
          <w:strike/>
        </w:rPr>
        <w:t xml:space="preserve">o </w:t>
      </w:r>
      <w:r w:rsidR="1D4DEF94" w:rsidRPr="004511EB">
        <w:rPr>
          <w:b/>
          <w:bCs/>
          <w:strike/>
        </w:rPr>
        <w:t>caput</w:t>
      </w:r>
      <w:r w:rsidR="1D4DEF94" w:rsidRPr="004511EB">
        <w:rPr>
          <w:strike/>
        </w:rPr>
        <w:t xml:space="preserve"> do art. </w:t>
      </w:r>
      <w:r w:rsidR="0086760A" w:rsidRPr="004511EB">
        <w:rPr>
          <w:strike/>
        </w:rPr>
        <w:t>26</w:t>
      </w:r>
      <w:r w:rsidR="1D4DEF94" w:rsidRPr="004511EB">
        <w:rPr>
          <w:strike/>
        </w:rPr>
        <w:t xml:space="preserve">, </w:t>
      </w:r>
      <w:r w:rsidR="071EAE86" w:rsidRPr="004511EB">
        <w:rPr>
          <w:strike/>
        </w:rPr>
        <w:t>a revenda</w:t>
      </w:r>
      <w:r w:rsidR="4ACD4B22" w:rsidRPr="004511EB">
        <w:rPr>
          <w:strike/>
        </w:rPr>
        <w:t xml:space="preserve"> somente pode ser destinada ao público </w:t>
      </w:r>
      <w:r w:rsidR="62C14D68" w:rsidRPr="004511EB">
        <w:rPr>
          <w:strike/>
        </w:rPr>
        <w:t xml:space="preserve">investidor </w:t>
      </w:r>
      <w:r w:rsidR="4ACD4B22" w:rsidRPr="004511EB">
        <w:rPr>
          <w:strike/>
        </w:rPr>
        <w:t>em geral após decorridos 6 (seis) meses da</w:t>
      </w:r>
      <w:r w:rsidR="071EAE86" w:rsidRPr="004511EB">
        <w:rPr>
          <w:strike/>
        </w:rPr>
        <w:t xml:space="preserve"> data de encerramento da oferta;</w:t>
      </w:r>
      <w:bookmarkEnd w:id="329"/>
    </w:p>
    <w:p w14:paraId="1CD4BB52" w14:textId="77777777" w:rsidR="004511EB" w:rsidRPr="004511EB" w:rsidRDefault="004511EB" w:rsidP="004511EB">
      <w:pPr>
        <w:spacing w:before="120" w:after="120" w:line="312" w:lineRule="auto"/>
        <w:ind w:firstLine="567"/>
        <w:jc w:val="both"/>
      </w:pPr>
      <w:r w:rsidRPr="004511EB">
        <w:t xml:space="preserve">III – nas ofertas destinadas exclusivamente a investidores qualificados elencadas nos incisos V, alínea "b" (debêntures simples), VI, alínea “b” (inicial de cotas de fundos fechados), VII, alínea “b” </w:t>
      </w:r>
      <w:r w:rsidRPr="004511EB">
        <w:lastRenderedPageBreak/>
        <w:t xml:space="preserve">(subsequente de cotas de fundos fechados), VIII, alínea “b” (títulos de securitização), do </w:t>
      </w:r>
      <w:r w:rsidRPr="004511EB">
        <w:rPr>
          <w:b/>
        </w:rPr>
        <w:t>caput</w:t>
      </w:r>
      <w:r w:rsidRPr="004511EB">
        <w:t xml:space="preserve"> do art. 26, a revenda somente pode ser destinada ao público investidor em geral após decorridos 6 (seis) meses da data de encerramento da oferta;</w:t>
      </w:r>
    </w:p>
    <w:p w14:paraId="380A9E76" w14:textId="1ED4FD42" w:rsidR="004511EB" w:rsidRPr="004511EB" w:rsidRDefault="004511EB" w:rsidP="004511EB">
      <w:pPr>
        <w:pStyle w:val="PargrafodaLista"/>
        <w:numPr>
          <w:ilvl w:val="0"/>
          <w:numId w:val="53"/>
        </w:numPr>
        <w:tabs>
          <w:tab w:val="left" w:pos="993"/>
        </w:tabs>
        <w:spacing w:line="312" w:lineRule="auto"/>
        <w:ind w:left="709" w:hanging="142"/>
        <w:contextualSpacing/>
        <w:jc w:val="both"/>
        <w:rPr>
          <w:b/>
          <w:i/>
        </w:rPr>
      </w:pPr>
      <w:r>
        <w:rPr>
          <w:b/>
          <w:bCs/>
          <w:i/>
          <w:iCs/>
        </w:rPr>
        <w:t xml:space="preserve">Inciso III </w:t>
      </w:r>
      <w:r>
        <w:rPr>
          <w:b/>
          <w:i/>
        </w:rPr>
        <w:t xml:space="preserve">com redação dada pela </w:t>
      </w:r>
      <w:r w:rsidRPr="00025DC1">
        <w:rPr>
          <w:b/>
          <w:i/>
        </w:rPr>
        <w:t xml:space="preserve">Resolução CVM nº </w:t>
      </w:r>
      <w:r>
        <w:rPr>
          <w:b/>
          <w:i/>
        </w:rPr>
        <w:t>180</w:t>
      </w:r>
      <w:r w:rsidRPr="00025DC1">
        <w:rPr>
          <w:b/>
          <w:i/>
        </w:rPr>
        <w:t xml:space="preserve">, de </w:t>
      </w:r>
      <w:r>
        <w:rPr>
          <w:b/>
          <w:i/>
        </w:rPr>
        <w:t>22 de março de 2023.</w:t>
      </w:r>
    </w:p>
    <w:p w14:paraId="461AC25C" w14:textId="122E6175"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IV</w:t>
      </w:r>
      <w:r w:rsidR="59D5A940" w:rsidRPr="007E77AF">
        <w:t xml:space="preserve"> </w:t>
      </w:r>
      <w:bookmarkStart w:id="330" w:name="_Ref467255796"/>
      <w:r w:rsidR="59D5A940" w:rsidRPr="007E77AF">
        <w:t>–</w:t>
      </w:r>
      <w:r w:rsidR="278D3135" w:rsidRPr="007E77AF">
        <w:t xml:space="preserve"> </w:t>
      </w:r>
      <w:proofErr w:type="gramStart"/>
      <w:r w:rsidR="278D3135" w:rsidRPr="007E77AF">
        <w:t>nas</w:t>
      </w:r>
      <w:proofErr w:type="gramEnd"/>
      <w:r w:rsidR="278D3135" w:rsidRPr="007E77AF">
        <w:t xml:space="preserve"> ofertas elencadas no inciso </w:t>
      </w:r>
      <w:r w:rsidR="0086760A" w:rsidRPr="007E77AF">
        <w:t>IX</w:t>
      </w:r>
      <w:r w:rsidR="278D3135" w:rsidRPr="007E77AF">
        <w:t xml:space="preserve"> do </w:t>
      </w:r>
      <w:r w:rsidR="278D3135" w:rsidRPr="007E77AF">
        <w:rPr>
          <w:b/>
          <w:bCs/>
        </w:rPr>
        <w:t>caput</w:t>
      </w:r>
      <w:r w:rsidR="278D3135" w:rsidRPr="007E77AF">
        <w:t xml:space="preserve"> </w:t>
      </w:r>
      <w:r w:rsidR="00417799" w:rsidRPr="007E77AF">
        <w:t xml:space="preserve">do </w:t>
      </w:r>
      <w:r w:rsidR="278D3135" w:rsidRPr="007E77AF">
        <w:t xml:space="preserve">art. </w:t>
      </w:r>
      <w:r w:rsidR="0086760A" w:rsidRPr="007E77AF">
        <w:t>26</w:t>
      </w:r>
      <w:r w:rsidR="00914F7E" w:rsidRPr="007E77AF">
        <w:t xml:space="preserve"> (debêntures incentivadas emitidas por SPE)</w:t>
      </w:r>
      <w:r w:rsidR="278D3135" w:rsidRPr="007E77AF">
        <w:t>, a revenda somente pode ser destinada a investidores qualificados</w:t>
      </w:r>
      <w:r w:rsidR="005A7DEA" w:rsidRPr="007E77AF">
        <w:t xml:space="preserve">, sendo requerido adicionalmente que o </w:t>
      </w:r>
      <w:r w:rsidR="005C48B3" w:rsidRPr="007E77AF">
        <w:t xml:space="preserve">emissor cumpra as obrigações previstas no art. </w:t>
      </w:r>
      <w:r w:rsidR="00813918" w:rsidRPr="007E77AF">
        <w:t>8</w:t>
      </w:r>
      <w:r w:rsidR="00813918">
        <w:t>9</w:t>
      </w:r>
      <w:r w:rsidR="278D3135" w:rsidRPr="007E77AF">
        <w:t>;</w:t>
      </w:r>
      <w:bookmarkEnd w:id="330"/>
      <w:r w:rsidR="004E1BCE" w:rsidRPr="007E77AF">
        <w:t xml:space="preserve"> </w:t>
      </w:r>
    </w:p>
    <w:p w14:paraId="0300339D" w14:textId="39679D58" w:rsidR="00D74986" w:rsidRPr="007E77AF" w:rsidRDefault="009069A1" w:rsidP="001353DC">
      <w:pPr>
        <w:spacing w:before="120" w:after="120" w:line="312" w:lineRule="auto"/>
        <w:ind w:firstLine="567"/>
        <w:jc w:val="both"/>
      </w:pPr>
      <w:r w:rsidRPr="007E77AF">
        <w:t>V</w:t>
      </w:r>
      <w:r w:rsidR="4286FB8B" w:rsidRPr="007E77AF">
        <w:t xml:space="preserve"> </w:t>
      </w:r>
      <w:bookmarkStart w:id="331" w:name="_Ref467255938"/>
      <w:r w:rsidR="4286FB8B" w:rsidRPr="007E77AF">
        <w:t xml:space="preserve">– </w:t>
      </w:r>
      <w:proofErr w:type="gramStart"/>
      <w:r w:rsidR="1D4DEF94" w:rsidRPr="007E77AF">
        <w:t>nas</w:t>
      </w:r>
      <w:proofErr w:type="gramEnd"/>
      <w:r w:rsidR="1D4DEF94" w:rsidRPr="007E77AF">
        <w:t xml:space="preserve"> </w:t>
      </w:r>
      <w:r w:rsidR="4286FB8B" w:rsidRPr="007E77AF">
        <w:t>ofertas elencadas no inciso</w:t>
      </w:r>
      <w:r w:rsidR="3C44FE65" w:rsidRPr="007E77AF">
        <w:t xml:space="preserve"> </w:t>
      </w:r>
      <w:r w:rsidR="0086760A" w:rsidRPr="007E77AF">
        <w:t>X</w:t>
      </w:r>
      <w:r w:rsidR="4286FB8B" w:rsidRPr="007E77AF">
        <w:t xml:space="preserve"> </w:t>
      </w:r>
      <w:r w:rsidR="1D4DEF94" w:rsidRPr="007E77AF">
        <w:t xml:space="preserve">do </w:t>
      </w:r>
      <w:r w:rsidR="1D4DEF94" w:rsidRPr="007E77AF">
        <w:rPr>
          <w:b/>
          <w:bCs/>
        </w:rPr>
        <w:t>caput</w:t>
      </w:r>
      <w:r w:rsidR="1D4DEF94" w:rsidRPr="007E77AF">
        <w:t xml:space="preserve"> </w:t>
      </w:r>
      <w:r w:rsidR="00417799" w:rsidRPr="007E77AF">
        <w:t xml:space="preserve">do </w:t>
      </w:r>
      <w:r w:rsidR="1D4DEF94" w:rsidRPr="007E77AF">
        <w:t xml:space="preserve">art. </w:t>
      </w:r>
      <w:r w:rsidR="0086760A" w:rsidRPr="007E77AF">
        <w:t>26</w:t>
      </w:r>
      <w:r w:rsidR="00DF04E7" w:rsidRPr="007E77AF">
        <w:t xml:space="preserve"> </w:t>
      </w:r>
      <w:r w:rsidR="00914F7E" w:rsidRPr="007E77AF">
        <w:t>(dívida de emissor não registrado)</w:t>
      </w:r>
      <w:r w:rsidR="1D4DEF94" w:rsidRPr="007E77AF">
        <w:t xml:space="preserve">, </w:t>
      </w:r>
      <w:r w:rsidR="4286FB8B" w:rsidRPr="007E77AF">
        <w:t>a revenda somente pode ser destinada a investidores profissionais</w:t>
      </w:r>
      <w:r w:rsidR="6AE4E14C" w:rsidRPr="007E77AF">
        <w:t>,</w:t>
      </w:r>
      <w:r w:rsidR="4286FB8B" w:rsidRPr="007E77AF">
        <w:t xml:space="preserve"> sendo requerido adicionalmente que o emissor cumpra as obrigações previstas no art.</w:t>
      </w:r>
      <w:r w:rsidR="20FA558A" w:rsidRPr="007E77AF">
        <w:t xml:space="preserve"> </w:t>
      </w:r>
      <w:r w:rsidR="00813918" w:rsidRPr="007E77AF">
        <w:t>8</w:t>
      </w:r>
      <w:r w:rsidR="00813918">
        <w:t>9</w:t>
      </w:r>
      <w:r w:rsidR="004D7866" w:rsidRPr="007E77AF">
        <w:t>; e</w:t>
      </w:r>
      <w:bookmarkEnd w:id="331"/>
    </w:p>
    <w:p w14:paraId="0E6B147E" w14:textId="44C67CE2" w:rsidR="00D74986" w:rsidRPr="007E77AF" w:rsidRDefault="009069A1" w:rsidP="001353DC">
      <w:pPr>
        <w:spacing w:before="120" w:after="120" w:line="312" w:lineRule="auto"/>
        <w:ind w:firstLine="567"/>
        <w:jc w:val="both"/>
      </w:pPr>
      <w:bookmarkStart w:id="332" w:name="_Ref472935179"/>
      <w:r w:rsidRPr="007E77AF">
        <w:t>VI</w:t>
      </w:r>
      <w:r w:rsidR="004D7866" w:rsidRPr="007E77AF">
        <w:t xml:space="preserve"> </w:t>
      </w:r>
      <w:r w:rsidR="00914F7E" w:rsidRPr="007E77AF">
        <w:t>–</w:t>
      </w:r>
      <w:r w:rsidR="004D7866" w:rsidRPr="007E77AF">
        <w:t xml:space="preserve"> </w:t>
      </w:r>
      <w:proofErr w:type="gramStart"/>
      <w:r w:rsidR="004D7866" w:rsidRPr="007E77AF">
        <w:t>nas</w:t>
      </w:r>
      <w:proofErr w:type="gramEnd"/>
      <w:r w:rsidR="004D7866" w:rsidRPr="007E77AF">
        <w:t xml:space="preserve"> ofertas elencadas no inciso</w:t>
      </w:r>
      <w:r w:rsidR="279CE1E6" w:rsidRPr="007E77AF">
        <w:t xml:space="preserve"> </w:t>
      </w:r>
      <w:r w:rsidR="00BB15F8" w:rsidRPr="007E77AF">
        <w:t>XIV</w:t>
      </w:r>
      <w:r w:rsidR="00872D3D" w:rsidRPr="007E77AF">
        <w:t xml:space="preserve"> do </w:t>
      </w:r>
      <w:r w:rsidR="00872D3D" w:rsidRPr="007E77AF">
        <w:rPr>
          <w:b/>
          <w:bCs/>
        </w:rPr>
        <w:t>caput</w:t>
      </w:r>
      <w:r w:rsidR="00872D3D" w:rsidRPr="007E77AF">
        <w:t xml:space="preserve"> do art</w:t>
      </w:r>
      <w:r w:rsidR="00A85013" w:rsidRPr="007E77AF">
        <w:t>.</w:t>
      </w:r>
      <w:r w:rsidR="00872D3D" w:rsidRPr="007E77AF">
        <w:t xml:space="preserve"> 26</w:t>
      </w:r>
      <w:r w:rsidR="004D7866" w:rsidRPr="007E77AF">
        <w:t xml:space="preserve"> (</w:t>
      </w:r>
      <w:r w:rsidR="5FDB30B3" w:rsidRPr="007E77AF">
        <w:t xml:space="preserve">emissores em </w:t>
      </w:r>
      <w:r w:rsidR="004D7866" w:rsidRPr="007E77AF">
        <w:t>plano de recuperação)</w:t>
      </w:r>
      <w:r w:rsidR="73A63502" w:rsidRPr="007E77AF">
        <w:t>:</w:t>
      </w:r>
    </w:p>
    <w:p w14:paraId="7C53C4BA" w14:textId="509D9CC6" w:rsidR="00D74986" w:rsidRPr="007E77AF" w:rsidRDefault="73A63502" w:rsidP="009F38F9">
      <w:pPr>
        <w:spacing w:before="120" w:after="120" w:line="312" w:lineRule="auto"/>
        <w:ind w:left="207" w:firstLine="360"/>
        <w:jc w:val="both"/>
        <w:rPr>
          <w:rFonts w:eastAsiaTheme="minorEastAsia" w:cstheme="minorBidi"/>
        </w:rPr>
      </w:pPr>
      <w:r w:rsidRPr="007E77AF">
        <w:t>a) tratando-se de emissor registrado a revenda somente pode ser destinada:</w:t>
      </w:r>
    </w:p>
    <w:p w14:paraId="706088E3" w14:textId="47D054DF" w:rsidR="00D74986" w:rsidRPr="007E77AF" w:rsidRDefault="73A63502" w:rsidP="009F38F9">
      <w:pPr>
        <w:spacing w:before="120" w:after="120" w:line="312" w:lineRule="auto"/>
        <w:ind w:left="207" w:firstLine="360"/>
        <w:jc w:val="both"/>
        <w:rPr>
          <w:rFonts w:eastAsiaTheme="minorEastAsia" w:cstheme="minorBidi"/>
        </w:rPr>
      </w:pPr>
      <w:r w:rsidRPr="007E77AF">
        <w:t xml:space="preserve">1. a investidores qualificados após decorridos 6 (seis) meses da data de encerramento da oferta; e </w:t>
      </w:r>
    </w:p>
    <w:p w14:paraId="76A54ED9" w14:textId="1DDB9395" w:rsidR="00D74986" w:rsidRPr="007E77AF" w:rsidRDefault="73A63502" w:rsidP="009F38F9">
      <w:pPr>
        <w:spacing w:before="120" w:after="120" w:line="312" w:lineRule="auto"/>
        <w:ind w:left="207" w:firstLine="360"/>
        <w:jc w:val="both"/>
      </w:pPr>
      <w:r w:rsidRPr="007E77AF">
        <w:t>2. ao público investidor em geral após decorrido 1 (um) ano da data de encerramento da oferta;</w:t>
      </w:r>
      <w:r w:rsidR="00CD6164">
        <w:t xml:space="preserve"> e</w:t>
      </w:r>
    </w:p>
    <w:p w14:paraId="62EB68B7" w14:textId="7CFA2FC3" w:rsidR="00DF04E7" w:rsidRPr="007E77AF" w:rsidRDefault="73A63502" w:rsidP="00713429">
      <w:pPr>
        <w:spacing w:before="120" w:after="120" w:line="312" w:lineRule="auto"/>
        <w:ind w:firstLine="567"/>
        <w:jc w:val="both"/>
      </w:pPr>
      <w:r w:rsidRPr="007E77AF">
        <w:t xml:space="preserve">b) tratando-se de emissor não registrado, a revenda somente pode ser destinada a investidores profissionais, sendo requerido adicionalmente que o emissor cumpra as obrigações previstas no art. </w:t>
      </w:r>
      <w:r w:rsidR="00813918" w:rsidRPr="007E77AF">
        <w:t>8</w:t>
      </w:r>
      <w:r w:rsidR="00813918">
        <w:t>9</w:t>
      </w:r>
      <w:r w:rsidRPr="007E77AF">
        <w:t>.</w:t>
      </w:r>
      <w:bookmarkEnd w:id="332"/>
    </w:p>
    <w:p w14:paraId="294A8650" w14:textId="094B2DC8" w:rsidR="00D74986" w:rsidRPr="007E77AF" w:rsidRDefault="005F5882" w:rsidP="00713429">
      <w:pPr>
        <w:spacing w:before="120" w:after="120" w:line="312" w:lineRule="auto"/>
        <w:ind w:firstLine="567"/>
        <w:jc w:val="both"/>
      </w:pPr>
      <w:r w:rsidRPr="007E77AF">
        <w:t>§ 1</w:t>
      </w:r>
      <w:proofErr w:type="gramStart"/>
      <w:r w:rsidRPr="007E77AF">
        <w:t xml:space="preserve">º </w:t>
      </w:r>
      <w:r w:rsidR="0ECFF07D" w:rsidRPr="007E77AF">
        <w:t xml:space="preserve"> No</w:t>
      </w:r>
      <w:proofErr w:type="gramEnd"/>
      <w:r w:rsidR="0ECFF07D" w:rsidRPr="007E77AF">
        <w:t xml:space="preserve"> caso dos ativos mencionados no inciso </w:t>
      </w:r>
      <w:r w:rsidR="0086760A" w:rsidRPr="007E77AF">
        <w:t>VI</w:t>
      </w:r>
      <w:r w:rsidR="0ECFF07D" w:rsidRPr="007E77AF">
        <w:t xml:space="preserve"> </w:t>
      </w:r>
      <w:r w:rsidR="007B5FFE" w:rsidRPr="007E77AF">
        <w:t>(</w:t>
      </w:r>
      <w:r w:rsidR="00CD6164">
        <w:t xml:space="preserve">cotas de </w:t>
      </w:r>
      <w:r w:rsidR="007B5FFE" w:rsidRPr="007E77AF">
        <w:t xml:space="preserve">fundos fechados) </w:t>
      </w:r>
      <w:r w:rsidR="0ECFF07D" w:rsidRPr="007E77AF">
        <w:t xml:space="preserve">do </w:t>
      </w:r>
      <w:r w:rsidR="00E00A37" w:rsidRPr="007E77AF">
        <w:rPr>
          <w:b/>
          <w:bCs/>
        </w:rPr>
        <w:t>caput</w:t>
      </w:r>
      <w:r w:rsidR="0ECFF07D" w:rsidRPr="007E77AF">
        <w:t xml:space="preserve"> do art. </w:t>
      </w:r>
      <w:r w:rsidR="0086760A" w:rsidRPr="007E77AF">
        <w:t>26</w:t>
      </w:r>
      <w:r w:rsidR="0ECFF07D" w:rsidRPr="007E77AF">
        <w:t xml:space="preserve">, as possibilidades de negociação em mercados regulamentados constantes dos incisos deste artigo </w:t>
      </w:r>
      <w:r w:rsidR="00F42F36" w:rsidRPr="007E77AF">
        <w:t xml:space="preserve">devem </w:t>
      </w:r>
      <w:r w:rsidR="00A030FA" w:rsidRPr="007E77AF">
        <w:t>observar</w:t>
      </w:r>
      <w:r w:rsidR="00FA250C" w:rsidRPr="007E77AF">
        <w:t xml:space="preserve"> adicionalmente </w:t>
      </w:r>
      <w:r w:rsidR="00A030FA" w:rsidRPr="007E77AF">
        <w:t>o público-alvo de cada classe, conforme previsto no regulamento do fundo e na regulamentação aplicável</w:t>
      </w:r>
      <w:r w:rsidR="00746CFF" w:rsidRPr="007E77AF">
        <w:t>.</w:t>
      </w:r>
    </w:p>
    <w:p w14:paraId="495F8C45" w14:textId="2C550A6B" w:rsidR="00D74986" w:rsidRDefault="005F5882" w:rsidP="00713429">
      <w:pPr>
        <w:spacing w:before="120" w:after="120" w:line="312" w:lineRule="auto"/>
        <w:ind w:firstLine="567"/>
        <w:jc w:val="both"/>
        <w:rPr>
          <w:strike/>
        </w:rPr>
      </w:pPr>
      <w:r w:rsidRPr="000F4223">
        <w:rPr>
          <w:strike/>
        </w:rPr>
        <w:t>§ 2</w:t>
      </w:r>
      <w:proofErr w:type="gramStart"/>
      <w:r w:rsidRPr="000F4223">
        <w:rPr>
          <w:strike/>
        </w:rPr>
        <w:t>º  No</w:t>
      </w:r>
      <w:proofErr w:type="gramEnd"/>
      <w:r w:rsidRPr="000F4223">
        <w:rPr>
          <w:strike/>
        </w:rPr>
        <w:t xml:space="preserve"> caso dos ativos mencionados no</w:t>
      </w:r>
      <w:r w:rsidR="00977A82" w:rsidRPr="000F4223">
        <w:rPr>
          <w:strike/>
        </w:rPr>
        <w:t xml:space="preserve"> inciso</w:t>
      </w:r>
      <w:r w:rsidRPr="000F4223">
        <w:rPr>
          <w:strike/>
        </w:rPr>
        <w:t xml:space="preserve"> </w:t>
      </w:r>
      <w:r w:rsidR="0086760A" w:rsidRPr="000F4223">
        <w:rPr>
          <w:strike/>
        </w:rPr>
        <w:t>XI</w:t>
      </w:r>
      <w:r w:rsidR="00914F7E" w:rsidRPr="000F4223">
        <w:rPr>
          <w:strike/>
        </w:rPr>
        <w:t xml:space="preserve"> (BDR Patrocinados)</w:t>
      </w:r>
      <w:r w:rsidR="005E7839" w:rsidRPr="000F4223">
        <w:rPr>
          <w:strike/>
        </w:rPr>
        <w:t xml:space="preserve"> do </w:t>
      </w:r>
      <w:r w:rsidR="005E7839" w:rsidRPr="000F4223">
        <w:rPr>
          <w:b/>
          <w:bCs/>
          <w:strike/>
        </w:rPr>
        <w:t>caput</w:t>
      </w:r>
      <w:r w:rsidR="005E7839" w:rsidRPr="000F4223">
        <w:rPr>
          <w:strike/>
        </w:rPr>
        <w:t xml:space="preserve"> do art. 26</w:t>
      </w:r>
      <w:r w:rsidRPr="000F4223">
        <w:rPr>
          <w:strike/>
        </w:rPr>
        <w:t xml:space="preserve">, as possibilidades de negociação em mercados regulamentados </w:t>
      </w:r>
      <w:r w:rsidR="54F36E86" w:rsidRPr="000F4223">
        <w:rPr>
          <w:strike/>
        </w:rPr>
        <w:t>obedecem a regulamentação</w:t>
      </w:r>
      <w:r w:rsidRPr="000F4223">
        <w:rPr>
          <w:strike/>
        </w:rPr>
        <w:t xml:space="preserve"> específica.</w:t>
      </w:r>
    </w:p>
    <w:p w14:paraId="005EF94A" w14:textId="49A89754" w:rsidR="000F4223" w:rsidRDefault="000F4223" w:rsidP="00713429">
      <w:pPr>
        <w:spacing w:before="120" w:after="120" w:line="312" w:lineRule="auto"/>
        <w:ind w:firstLine="567"/>
        <w:jc w:val="both"/>
        <w:rPr>
          <w:rFonts w:cstheme="minorHAnsi"/>
          <w:iCs/>
        </w:rPr>
      </w:pPr>
      <w:r w:rsidRPr="002C67D2">
        <w:rPr>
          <w:rFonts w:cstheme="minorHAnsi"/>
          <w:iCs/>
        </w:rPr>
        <w:t xml:space="preserve">§ </w:t>
      </w:r>
      <w:r>
        <w:rPr>
          <w:rFonts w:cstheme="minorHAnsi"/>
          <w:iCs/>
        </w:rPr>
        <w:t>2</w:t>
      </w:r>
      <w:r w:rsidRPr="002C67D2">
        <w:rPr>
          <w:rFonts w:cstheme="minorHAnsi"/>
          <w:iCs/>
        </w:rPr>
        <w:t>º</w:t>
      </w:r>
      <w:r>
        <w:rPr>
          <w:rFonts w:cstheme="minorHAnsi"/>
          <w:iCs/>
        </w:rPr>
        <w:t xml:space="preserve"> - REVOGADO</w:t>
      </w:r>
    </w:p>
    <w:p w14:paraId="2F955673" w14:textId="6B4F4947" w:rsidR="000F4223" w:rsidRPr="000F4223" w:rsidRDefault="000F4223" w:rsidP="000F4223">
      <w:pPr>
        <w:pStyle w:val="PargrafodaLista"/>
        <w:numPr>
          <w:ilvl w:val="0"/>
          <w:numId w:val="53"/>
        </w:numPr>
        <w:tabs>
          <w:tab w:val="left" w:pos="993"/>
        </w:tabs>
        <w:spacing w:line="312" w:lineRule="auto"/>
        <w:ind w:left="709" w:hanging="142"/>
        <w:contextualSpacing/>
        <w:jc w:val="both"/>
        <w:rPr>
          <w:b/>
          <w:i/>
        </w:rPr>
      </w:pPr>
      <w:r>
        <w:rPr>
          <w:b/>
          <w:i/>
        </w:rPr>
        <w:t xml:space="preserve"> </w:t>
      </w:r>
      <w:r w:rsidRPr="000F4223">
        <w:rPr>
          <w:rFonts w:cstheme="minorHAnsi"/>
          <w:b/>
          <w:bCs/>
          <w:i/>
        </w:rPr>
        <w:t>§ 2º</w:t>
      </w:r>
      <w:r>
        <w:rPr>
          <w:rFonts w:cstheme="minorHAnsi"/>
          <w:iCs/>
        </w:rPr>
        <w:t xml:space="preserve"> </w:t>
      </w:r>
      <w:r>
        <w:rPr>
          <w:b/>
          <w:i/>
        </w:rPr>
        <w:t xml:space="preserve">revogado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365E4F09" w14:textId="1158C2DA" w:rsidR="008F1AC1" w:rsidRPr="007E77AF" w:rsidRDefault="008F1AC1" w:rsidP="008F1AC1">
      <w:pPr>
        <w:spacing w:before="120" w:after="120" w:line="312" w:lineRule="auto"/>
        <w:ind w:firstLine="567"/>
        <w:jc w:val="both"/>
        <w:rPr>
          <w:iCs/>
        </w:rPr>
      </w:pPr>
      <w:r w:rsidRPr="002C67D2">
        <w:rPr>
          <w:rFonts w:cstheme="minorHAnsi"/>
          <w:iCs/>
        </w:rPr>
        <w:t>§</w:t>
      </w:r>
      <w:r w:rsidR="00E1031D" w:rsidRPr="002C67D2">
        <w:rPr>
          <w:rFonts w:cstheme="minorHAnsi"/>
          <w:iCs/>
        </w:rPr>
        <w:t xml:space="preserve"> 3</w:t>
      </w:r>
      <w:proofErr w:type="gramStart"/>
      <w:r w:rsidR="00E1031D" w:rsidRPr="002C67D2">
        <w:rPr>
          <w:rFonts w:cstheme="minorHAnsi"/>
          <w:iCs/>
        </w:rPr>
        <w:t>º</w:t>
      </w:r>
      <w:r w:rsidRPr="002C67D2">
        <w:rPr>
          <w:rFonts w:cstheme="minorHAnsi"/>
          <w:iCs/>
        </w:rPr>
        <w:t xml:space="preserve"> </w:t>
      </w:r>
      <w:r w:rsidR="00E1031D" w:rsidRPr="002C67D2">
        <w:rPr>
          <w:rFonts w:cstheme="minorHAnsi"/>
          <w:iCs/>
        </w:rPr>
        <w:t xml:space="preserve"> </w:t>
      </w:r>
      <w:r w:rsidR="00E1031D" w:rsidRPr="002C67D2">
        <w:rPr>
          <w:iCs/>
        </w:rPr>
        <w:t>N</w:t>
      </w:r>
      <w:r w:rsidR="008A3046" w:rsidRPr="002C67D2">
        <w:rPr>
          <w:iCs/>
        </w:rPr>
        <w:t>as</w:t>
      </w:r>
      <w:proofErr w:type="gramEnd"/>
      <w:r w:rsidR="008A3046" w:rsidRPr="002C67D2">
        <w:rPr>
          <w:iCs/>
        </w:rPr>
        <w:t xml:space="preserve"> hipóteses dos incisos I, II, III e VI do </w:t>
      </w:r>
      <w:r w:rsidR="008A3046" w:rsidRPr="002C67D2">
        <w:rPr>
          <w:b/>
          <w:bCs/>
          <w:iCs/>
        </w:rPr>
        <w:t>caput</w:t>
      </w:r>
      <w:r w:rsidR="0004293F" w:rsidRPr="002C67D2">
        <w:rPr>
          <w:b/>
          <w:bCs/>
          <w:iCs/>
        </w:rPr>
        <w:t xml:space="preserve"> </w:t>
      </w:r>
      <w:r w:rsidR="0004293F" w:rsidRPr="002C67D2">
        <w:rPr>
          <w:iCs/>
        </w:rPr>
        <w:t>deste artigo</w:t>
      </w:r>
      <w:r w:rsidR="008A3046" w:rsidRPr="002C67D2">
        <w:rPr>
          <w:iCs/>
        </w:rPr>
        <w:t xml:space="preserve">, </w:t>
      </w:r>
      <w:r w:rsidR="00966153" w:rsidRPr="002C67D2">
        <w:rPr>
          <w:iCs/>
        </w:rPr>
        <w:t>e em se tratando</w:t>
      </w:r>
      <w:r w:rsidRPr="002C67D2">
        <w:rPr>
          <w:iCs/>
          <w:u w:color="4472C4"/>
        </w:rPr>
        <w:t xml:space="preserve"> de ofertas subsequentes do mesmo valor mobiliário destinadas ao mesmo público</w:t>
      </w:r>
      <w:r w:rsidR="008404F5" w:rsidRPr="002C67D2">
        <w:rPr>
          <w:iCs/>
          <w:u w:color="4472C4"/>
        </w:rPr>
        <w:t>-alvo d</w:t>
      </w:r>
      <w:r w:rsidR="003511E8" w:rsidRPr="002C67D2">
        <w:rPr>
          <w:iCs/>
          <w:u w:color="4472C4"/>
        </w:rPr>
        <w:t>e</w:t>
      </w:r>
      <w:r w:rsidR="008404F5" w:rsidRPr="002C67D2">
        <w:rPr>
          <w:iCs/>
          <w:u w:color="4472C4"/>
        </w:rPr>
        <w:t xml:space="preserve"> oferta anterior</w:t>
      </w:r>
      <w:r w:rsidRPr="002C67D2">
        <w:rPr>
          <w:iCs/>
          <w:u w:color="4472C4"/>
        </w:rPr>
        <w:t>, o cálculo de período de</w:t>
      </w:r>
      <w:r w:rsidRPr="007E77AF">
        <w:rPr>
          <w:iCs/>
        </w:rPr>
        <w:t xml:space="preserve"> </w:t>
      </w:r>
      <w:r w:rsidRPr="002C67D2">
        <w:rPr>
          <w:iCs/>
          <w:u w:color="4472C4"/>
        </w:rPr>
        <w:t xml:space="preserve">restrição não será </w:t>
      </w:r>
      <w:r w:rsidR="00F61247" w:rsidRPr="002C67D2">
        <w:rPr>
          <w:iCs/>
          <w:u w:color="4472C4"/>
        </w:rPr>
        <w:t>re</w:t>
      </w:r>
      <w:r w:rsidRPr="002C67D2">
        <w:rPr>
          <w:iCs/>
          <w:u w:color="4472C4"/>
        </w:rPr>
        <w:t>iniciado, mantendo</w:t>
      </w:r>
      <w:r w:rsidR="00486F68" w:rsidRPr="002C67D2">
        <w:rPr>
          <w:iCs/>
          <w:u w:color="4472C4"/>
        </w:rPr>
        <w:t>-se</w:t>
      </w:r>
      <w:r w:rsidRPr="002C67D2">
        <w:rPr>
          <w:iCs/>
          <w:u w:color="4472C4"/>
        </w:rPr>
        <w:t xml:space="preserve"> o período de restrição da primeira oferta</w:t>
      </w:r>
      <w:r w:rsidR="00CD6164">
        <w:rPr>
          <w:iCs/>
          <w:u w:color="4472C4"/>
        </w:rPr>
        <w:t>.</w:t>
      </w:r>
    </w:p>
    <w:p w14:paraId="5B4C4A92" w14:textId="1E815493" w:rsidR="00E22E18" w:rsidRPr="007E77AF" w:rsidRDefault="00EF6557" w:rsidP="008F1AC1">
      <w:pPr>
        <w:spacing w:before="120" w:after="120" w:line="312" w:lineRule="auto"/>
        <w:ind w:firstLine="567"/>
        <w:jc w:val="both"/>
      </w:pPr>
      <w:r w:rsidRPr="007E77AF">
        <w:rPr>
          <w:iCs/>
        </w:rPr>
        <w:lastRenderedPageBreak/>
        <w:t>§ 4</w:t>
      </w:r>
      <w:proofErr w:type="gramStart"/>
      <w:r w:rsidRPr="007E77AF">
        <w:rPr>
          <w:iCs/>
        </w:rPr>
        <w:t>º</w:t>
      </w:r>
      <w:r w:rsidR="008F1AC1" w:rsidRPr="007E77AF">
        <w:rPr>
          <w:iCs/>
        </w:rPr>
        <w:t xml:space="preserve"> </w:t>
      </w:r>
      <w:r w:rsidRPr="007E77AF">
        <w:rPr>
          <w:iCs/>
        </w:rPr>
        <w:t xml:space="preserve"> </w:t>
      </w:r>
      <w:r w:rsidR="00680684" w:rsidRPr="002C67D2">
        <w:t>A</w:t>
      </w:r>
      <w:r w:rsidRPr="002C67D2">
        <w:t>s</w:t>
      </w:r>
      <w:proofErr w:type="gramEnd"/>
      <w:r w:rsidR="008F1AC1" w:rsidRPr="002C67D2">
        <w:t xml:space="preserve"> </w:t>
      </w:r>
      <w:r w:rsidR="00A6573A" w:rsidRPr="002C67D2">
        <w:t>restrições à</w:t>
      </w:r>
      <w:r w:rsidR="008F1AC1" w:rsidRPr="002C67D2">
        <w:t xml:space="preserve"> negociação deixam de ser aplicadas caso </w:t>
      </w:r>
      <w:r w:rsidR="00030A5A" w:rsidRPr="002C67D2">
        <w:t xml:space="preserve">o emissor </w:t>
      </w:r>
      <w:r w:rsidR="008F1AC1" w:rsidRPr="002C67D2">
        <w:t xml:space="preserve">seja </w:t>
      </w:r>
      <w:r w:rsidR="00F22813" w:rsidRPr="002C67D2">
        <w:t>registrado</w:t>
      </w:r>
      <w:r w:rsidR="00030A5A" w:rsidRPr="002C67D2">
        <w:t xml:space="preserve"> </w:t>
      </w:r>
      <w:r w:rsidR="00F22813" w:rsidRPr="002C67D2">
        <w:t>como</w:t>
      </w:r>
      <w:r w:rsidR="00224A13" w:rsidRPr="002C67D2">
        <w:t xml:space="preserve"> emissor de valores mobiliários </w:t>
      </w:r>
      <w:r w:rsidR="00030A5A" w:rsidRPr="002C67D2">
        <w:t>e realize</w:t>
      </w:r>
      <w:r w:rsidR="008F1AC1" w:rsidRPr="002C67D2">
        <w:t xml:space="preserve"> oferta subsequente do mesmo valor mobiliário,</w:t>
      </w:r>
      <w:r w:rsidR="008F1AC1" w:rsidRPr="007E77AF">
        <w:rPr>
          <w:iCs/>
        </w:rPr>
        <w:t xml:space="preserve"> </w:t>
      </w:r>
      <w:r w:rsidR="008F1AC1" w:rsidRPr="002C67D2">
        <w:t xml:space="preserve">destinada a público investidor em geral, sujeita </w:t>
      </w:r>
      <w:r w:rsidR="00FC2E75" w:rsidRPr="002C67D2">
        <w:t>ao rito registro</w:t>
      </w:r>
      <w:r w:rsidR="00ED2427" w:rsidRPr="002C67D2">
        <w:t xml:space="preserve"> ordinário</w:t>
      </w:r>
      <w:r w:rsidR="00DB153A" w:rsidRPr="002C67D2">
        <w:t>.</w:t>
      </w:r>
    </w:p>
    <w:p w14:paraId="4662C068" w14:textId="5CD14028" w:rsidR="00D74986" w:rsidRDefault="009069A1" w:rsidP="001353DC">
      <w:pPr>
        <w:spacing w:before="120" w:after="120" w:line="312" w:lineRule="auto"/>
        <w:ind w:firstLine="567"/>
        <w:jc w:val="both"/>
        <w:rPr>
          <w:strike/>
        </w:rPr>
      </w:pPr>
      <w:r w:rsidRPr="00510801">
        <w:rPr>
          <w:strike/>
        </w:rPr>
        <w:t xml:space="preserve">Art. </w:t>
      </w:r>
      <w:r w:rsidR="00A65EBD" w:rsidRPr="00510801">
        <w:rPr>
          <w:strike/>
        </w:rPr>
        <w:t>87</w:t>
      </w:r>
      <w:r w:rsidR="071EAE86" w:rsidRPr="00510801">
        <w:rPr>
          <w:strike/>
        </w:rPr>
        <w:t>.</w:t>
      </w:r>
      <w:r w:rsidR="4ACD4B22" w:rsidRPr="00510801">
        <w:rPr>
          <w:strike/>
        </w:rPr>
        <w:t xml:space="preserve">  Não há restrições à </w:t>
      </w:r>
      <w:r w:rsidR="071EAE86" w:rsidRPr="00510801">
        <w:rPr>
          <w:strike/>
        </w:rPr>
        <w:t>negociação</w:t>
      </w:r>
      <w:r w:rsidR="4ACD4B22" w:rsidRPr="00510801">
        <w:rPr>
          <w:strike/>
        </w:rPr>
        <w:t xml:space="preserve"> em mercado </w:t>
      </w:r>
      <w:r w:rsidR="071EAE86" w:rsidRPr="00510801">
        <w:rPr>
          <w:strike/>
        </w:rPr>
        <w:t>regulamentado</w:t>
      </w:r>
      <w:r w:rsidR="4ACD4B22" w:rsidRPr="00510801">
        <w:rPr>
          <w:strike/>
        </w:rPr>
        <w:t xml:space="preserve"> dos ativos adquiridos nas ofertas elencadas no</w:t>
      </w:r>
      <w:r w:rsidR="64C446A9" w:rsidRPr="00510801">
        <w:rPr>
          <w:strike/>
        </w:rPr>
        <w:t>s</w:t>
      </w:r>
      <w:r w:rsidR="4ACD4B22" w:rsidRPr="00510801">
        <w:rPr>
          <w:strike/>
        </w:rPr>
        <w:t xml:space="preserve"> inciso</w:t>
      </w:r>
      <w:r w:rsidR="64C446A9" w:rsidRPr="00510801">
        <w:rPr>
          <w:strike/>
        </w:rPr>
        <w:t xml:space="preserve">s </w:t>
      </w:r>
      <w:r w:rsidR="0086760A" w:rsidRPr="00510801">
        <w:rPr>
          <w:strike/>
        </w:rPr>
        <w:t>I</w:t>
      </w:r>
      <w:r w:rsidR="00DF0E5C" w:rsidRPr="00510801">
        <w:rPr>
          <w:strike/>
        </w:rPr>
        <w:t xml:space="preserve"> a</w:t>
      </w:r>
      <w:r w:rsidR="4ACD4B22" w:rsidRPr="00510801">
        <w:rPr>
          <w:strike/>
        </w:rPr>
        <w:t xml:space="preserve"> </w:t>
      </w:r>
      <w:r w:rsidR="0086760A" w:rsidRPr="00510801">
        <w:rPr>
          <w:strike/>
        </w:rPr>
        <w:t>III</w:t>
      </w:r>
      <w:r w:rsidR="005600F7" w:rsidRPr="00510801">
        <w:rPr>
          <w:rStyle w:val="Refdenotaderodap"/>
          <w:strike/>
        </w:rPr>
        <w:footnoteReference w:id="2"/>
      </w:r>
      <w:r w:rsidR="00037EBD" w:rsidRPr="00510801">
        <w:rPr>
          <w:strike/>
        </w:rPr>
        <w:t>,</w:t>
      </w:r>
      <w:r w:rsidR="1D4DEF94" w:rsidRPr="00510801">
        <w:rPr>
          <w:strike/>
        </w:rPr>
        <w:t xml:space="preserve"> </w:t>
      </w:r>
      <w:r w:rsidR="002945A4" w:rsidRPr="00510801">
        <w:rPr>
          <w:strike/>
        </w:rPr>
        <w:t xml:space="preserve">inciso </w:t>
      </w:r>
      <w:r w:rsidR="0086760A" w:rsidRPr="00510801">
        <w:rPr>
          <w:strike/>
        </w:rPr>
        <w:t>IV</w:t>
      </w:r>
      <w:r w:rsidR="4ACD4B22" w:rsidRPr="00510801">
        <w:rPr>
          <w:strike/>
        </w:rPr>
        <w:t xml:space="preserve">, alínea </w:t>
      </w:r>
      <w:r w:rsidR="31649C45" w:rsidRPr="00510801">
        <w:rPr>
          <w:strike/>
        </w:rPr>
        <w:t>“</w:t>
      </w:r>
      <w:r w:rsidR="4ACD4B22" w:rsidRPr="00510801">
        <w:rPr>
          <w:strike/>
        </w:rPr>
        <w:t>b</w:t>
      </w:r>
      <w:r w:rsidR="31649C45" w:rsidRPr="00510801">
        <w:rPr>
          <w:strike/>
        </w:rPr>
        <w:t>”</w:t>
      </w:r>
      <w:r w:rsidR="002938E2" w:rsidRPr="00510801">
        <w:rPr>
          <w:rStyle w:val="Refdenotaderodap"/>
          <w:strike/>
        </w:rPr>
        <w:footnoteReference w:id="3"/>
      </w:r>
      <w:r w:rsidR="4ACD4B22" w:rsidRPr="00510801">
        <w:rPr>
          <w:strike/>
        </w:rPr>
        <w:t xml:space="preserve">, </w:t>
      </w:r>
      <w:r w:rsidR="002945A4" w:rsidRPr="00510801">
        <w:rPr>
          <w:strike/>
        </w:rPr>
        <w:t xml:space="preserve">inciso </w:t>
      </w:r>
      <w:r w:rsidR="0086760A" w:rsidRPr="00510801">
        <w:rPr>
          <w:strike/>
        </w:rPr>
        <w:t>V</w:t>
      </w:r>
      <w:r w:rsidR="4ACD4B22" w:rsidRPr="00510801">
        <w:rPr>
          <w:strike/>
        </w:rPr>
        <w:t xml:space="preserve"> alínea </w:t>
      </w:r>
      <w:r w:rsidR="4315D074" w:rsidRPr="00510801">
        <w:rPr>
          <w:strike/>
        </w:rPr>
        <w:t>"</w:t>
      </w:r>
      <w:r w:rsidR="4ACD4B22" w:rsidRPr="00510801">
        <w:rPr>
          <w:strike/>
        </w:rPr>
        <w:t>c</w:t>
      </w:r>
      <w:r w:rsidR="58A518C5" w:rsidRPr="00510801">
        <w:rPr>
          <w:strike/>
        </w:rPr>
        <w:t>"</w:t>
      </w:r>
      <w:r w:rsidR="00BD0A1E" w:rsidRPr="00510801">
        <w:rPr>
          <w:rStyle w:val="Refdenotaderodap"/>
          <w:strike/>
        </w:rPr>
        <w:footnoteReference w:id="4"/>
      </w:r>
      <w:r w:rsidR="00DA292A" w:rsidRPr="00510801">
        <w:rPr>
          <w:strike/>
        </w:rPr>
        <w:t>, inciso VI, alínea “c</w:t>
      </w:r>
      <w:r w:rsidR="4ACD4B22" w:rsidRPr="00510801">
        <w:rPr>
          <w:strike/>
        </w:rPr>
        <w:t xml:space="preserve">, </w:t>
      </w:r>
      <w:r w:rsidR="002945A4" w:rsidRPr="00510801">
        <w:rPr>
          <w:strike/>
        </w:rPr>
        <w:t xml:space="preserve">inciso </w:t>
      </w:r>
      <w:r w:rsidR="0086760A" w:rsidRPr="00510801">
        <w:rPr>
          <w:strike/>
        </w:rPr>
        <w:t>VII</w:t>
      </w:r>
      <w:r w:rsidR="00BD0A1E" w:rsidRPr="00510801">
        <w:rPr>
          <w:rStyle w:val="Refdenotaderodap"/>
          <w:strike/>
        </w:rPr>
        <w:footnoteReference w:id="5"/>
      </w:r>
      <w:r w:rsidR="4ACD4B22" w:rsidRPr="00510801">
        <w:rPr>
          <w:strike/>
        </w:rPr>
        <w:t xml:space="preserve">, </w:t>
      </w:r>
      <w:r w:rsidR="002945A4" w:rsidRPr="00510801">
        <w:rPr>
          <w:strike/>
        </w:rPr>
        <w:t xml:space="preserve">inciso </w:t>
      </w:r>
      <w:r w:rsidR="0086760A" w:rsidRPr="00510801">
        <w:rPr>
          <w:strike/>
        </w:rPr>
        <w:t>VIII</w:t>
      </w:r>
      <w:r w:rsidR="4ACD4B22" w:rsidRPr="00510801">
        <w:rPr>
          <w:strike/>
        </w:rPr>
        <w:t xml:space="preserve">, alínea </w:t>
      </w:r>
      <w:r w:rsidR="07DDD5D1" w:rsidRPr="00510801">
        <w:rPr>
          <w:strike/>
        </w:rPr>
        <w:t>"</w:t>
      </w:r>
      <w:r w:rsidR="4ACD4B22" w:rsidRPr="00510801">
        <w:rPr>
          <w:strike/>
        </w:rPr>
        <w:t>c</w:t>
      </w:r>
      <w:r w:rsidR="07DDD5D1" w:rsidRPr="00510801">
        <w:rPr>
          <w:strike/>
        </w:rPr>
        <w:t>"</w:t>
      </w:r>
      <w:r w:rsidR="00EF1006" w:rsidRPr="00510801">
        <w:rPr>
          <w:rStyle w:val="Refdenotaderodap"/>
          <w:strike/>
        </w:rPr>
        <w:footnoteReference w:id="6"/>
      </w:r>
      <w:r w:rsidR="60DFCAAA" w:rsidRPr="00510801">
        <w:rPr>
          <w:strike/>
        </w:rPr>
        <w:t>,</w:t>
      </w:r>
      <w:r w:rsidR="00CC6702" w:rsidRPr="00510801">
        <w:rPr>
          <w:strike/>
        </w:rPr>
        <w:t xml:space="preserve"> </w:t>
      </w:r>
      <w:r w:rsidR="00E960F7" w:rsidRPr="00510801">
        <w:rPr>
          <w:strike/>
        </w:rPr>
        <w:t>inciso</w:t>
      </w:r>
      <w:r w:rsidR="000F13EA" w:rsidRPr="00510801">
        <w:rPr>
          <w:strike/>
        </w:rPr>
        <w:t xml:space="preserve"> </w:t>
      </w:r>
      <w:r w:rsidR="0086760A" w:rsidRPr="00510801">
        <w:rPr>
          <w:strike/>
        </w:rPr>
        <w:t>XII</w:t>
      </w:r>
      <w:r w:rsidR="005374DA" w:rsidRPr="00510801">
        <w:rPr>
          <w:rStyle w:val="Refdenotaderodap"/>
          <w:strike/>
        </w:rPr>
        <w:footnoteReference w:id="7"/>
      </w:r>
      <w:r w:rsidR="00CC6702" w:rsidRPr="00510801">
        <w:rPr>
          <w:strike/>
        </w:rPr>
        <w:t>, e</w:t>
      </w:r>
      <w:r w:rsidR="4ACD4B22" w:rsidRPr="00510801">
        <w:rPr>
          <w:strike/>
        </w:rPr>
        <w:t xml:space="preserve"> </w:t>
      </w:r>
      <w:r w:rsidR="000F13EA" w:rsidRPr="00510801">
        <w:rPr>
          <w:strike/>
        </w:rPr>
        <w:t xml:space="preserve">inciso </w:t>
      </w:r>
      <w:r w:rsidR="0086760A" w:rsidRPr="00510801">
        <w:rPr>
          <w:strike/>
        </w:rPr>
        <w:t>XIII</w:t>
      </w:r>
      <w:r w:rsidR="005374DA" w:rsidRPr="00510801">
        <w:rPr>
          <w:rStyle w:val="Refdenotaderodap"/>
          <w:strike/>
        </w:rPr>
        <w:footnoteReference w:id="8"/>
      </w:r>
      <w:r w:rsidR="0A27351F" w:rsidRPr="00510801">
        <w:rPr>
          <w:strike/>
        </w:rPr>
        <w:t>,</w:t>
      </w:r>
      <w:r w:rsidR="64C446A9" w:rsidRPr="00510801">
        <w:rPr>
          <w:strike/>
        </w:rPr>
        <w:t xml:space="preserve"> todos</w:t>
      </w:r>
      <w:r w:rsidR="60DFCAAA" w:rsidRPr="00510801">
        <w:rPr>
          <w:strike/>
        </w:rPr>
        <w:t xml:space="preserve"> </w:t>
      </w:r>
      <w:r w:rsidR="4ACD4B22" w:rsidRPr="00510801">
        <w:rPr>
          <w:strike/>
        </w:rPr>
        <w:t xml:space="preserve">do </w:t>
      </w:r>
      <w:r w:rsidR="3B2E2666" w:rsidRPr="00510801">
        <w:rPr>
          <w:b/>
          <w:bCs/>
          <w:strike/>
        </w:rPr>
        <w:t>caput</w:t>
      </w:r>
      <w:r w:rsidR="071EAE86" w:rsidRPr="00510801">
        <w:rPr>
          <w:strike/>
        </w:rPr>
        <w:t xml:space="preserve"> do art. </w:t>
      </w:r>
      <w:r w:rsidR="00942DC5" w:rsidRPr="00510801">
        <w:rPr>
          <w:strike/>
        </w:rPr>
        <w:t>26</w:t>
      </w:r>
      <w:r w:rsidR="005712E2" w:rsidRPr="00510801">
        <w:rPr>
          <w:strike/>
        </w:rPr>
        <w:t>.</w:t>
      </w:r>
    </w:p>
    <w:p w14:paraId="62972FE5" w14:textId="137D9A3F" w:rsidR="00510801" w:rsidRPr="007C5418" w:rsidRDefault="00510801" w:rsidP="001353DC">
      <w:pPr>
        <w:spacing w:before="120" w:after="120" w:line="312" w:lineRule="auto"/>
        <w:ind w:firstLine="567"/>
        <w:jc w:val="both"/>
        <w:rPr>
          <w:strike/>
        </w:rPr>
      </w:pPr>
      <w:r w:rsidRPr="007C5418">
        <w:rPr>
          <w:strike/>
        </w:rPr>
        <w:t>Art. 87.  Não há restrições à negociação em mercado regulamentado dos ativos adquiridos nas ofertas elencadas nos incisos I a III</w:t>
      </w:r>
      <w:r w:rsidRPr="007C5418">
        <w:rPr>
          <w:rStyle w:val="Refdenotaderodap"/>
          <w:strike/>
        </w:rPr>
        <w:footnoteReference w:id="9"/>
      </w:r>
      <w:r w:rsidRPr="007C5418">
        <w:rPr>
          <w:strike/>
        </w:rPr>
        <w:t>, inciso IV, alínea “b”</w:t>
      </w:r>
      <w:r w:rsidRPr="007C5418">
        <w:rPr>
          <w:rStyle w:val="Refdenotaderodap"/>
          <w:strike/>
        </w:rPr>
        <w:footnoteReference w:id="10"/>
      </w:r>
      <w:r w:rsidRPr="007C5418">
        <w:rPr>
          <w:strike/>
        </w:rPr>
        <w:t>, inciso V, alínea “c”</w:t>
      </w:r>
      <w:r w:rsidRPr="007C5418">
        <w:rPr>
          <w:rStyle w:val="Refdenotaderodap"/>
          <w:strike/>
        </w:rPr>
        <w:footnoteReference w:id="11"/>
      </w:r>
      <w:r w:rsidRPr="007C5418">
        <w:rPr>
          <w:strike/>
        </w:rPr>
        <w:t>, inciso VI, alínea “c”</w:t>
      </w:r>
      <w:r w:rsidRPr="007C5418">
        <w:rPr>
          <w:rStyle w:val="Refdenotaderodap"/>
          <w:strike/>
        </w:rPr>
        <w:footnoteReference w:id="12"/>
      </w:r>
      <w:r w:rsidRPr="007C5418">
        <w:rPr>
          <w:strike/>
        </w:rPr>
        <w:t>, inciso VII, alíneas “c”</w:t>
      </w:r>
      <w:r w:rsidRPr="007C5418">
        <w:rPr>
          <w:rStyle w:val="Refdenotaderodap"/>
          <w:strike/>
        </w:rPr>
        <w:footnoteReference w:id="13"/>
      </w:r>
      <w:r w:rsidRPr="007C5418">
        <w:rPr>
          <w:strike/>
        </w:rPr>
        <w:t xml:space="preserve"> e “d”</w:t>
      </w:r>
      <w:r w:rsidRPr="007C5418">
        <w:rPr>
          <w:rStyle w:val="Refdenotaderodap"/>
          <w:strike/>
        </w:rPr>
        <w:footnoteReference w:id="14"/>
      </w:r>
      <w:r w:rsidRPr="007C5418">
        <w:rPr>
          <w:strike/>
        </w:rPr>
        <w:t>, inciso VIII, alínea “c”</w:t>
      </w:r>
      <w:r w:rsidRPr="007C5418">
        <w:rPr>
          <w:rStyle w:val="Refdenotaderodap"/>
          <w:strike/>
        </w:rPr>
        <w:footnoteReference w:id="15"/>
      </w:r>
      <w:r w:rsidRPr="007C5418">
        <w:rPr>
          <w:strike/>
        </w:rPr>
        <w:t>, inciso XII</w:t>
      </w:r>
      <w:r w:rsidRPr="007C5418">
        <w:rPr>
          <w:rStyle w:val="Refdenotaderodap"/>
          <w:strike/>
        </w:rPr>
        <w:footnoteReference w:id="16"/>
      </w:r>
      <w:r w:rsidRPr="007C5418">
        <w:rPr>
          <w:strike/>
        </w:rPr>
        <w:t xml:space="preserve"> e inciso XIII</w:t>
      </w:r>
      <w:r w:rsidRPr="007C5418">
        <w:rPr>
          <w:rStyle w:val="Refdenotaderodap"/>
          <w:strike/>
        </w:rPr>
        <w:footnoteReference w:id="17"/>
      </w:r>
      <w:r w:rsidRPr="007C5418">
        <w:rPr>
          <w:strike/>
        </w:rPr>
        <w:t xml:space="preserve">, todos do </w:t>
      </w:r>
      <w:r w:rsidRPr="007C5418">
        <w:rPr>
          <w:b/>
          <w:bCs/>
          <w:strike/>
        </w:rPr>
        <w:t>caput</w:t>
      </w:r>
      <w:r w:rsidRPr="007C5418">
        <w:rPr>
          <w:strike/>
        </w:rPr>
        <w:t xml:space="preserve"> do art. 26.</w:t>
      </w:r>
    </w:p>
    <w:p w14:paraId="549314CA" w14:textId="65F065B9" w:rsidR="00510801" w:rsidRDefault="00510801" w:rsidP="00510801">
      <w:pPr>
        <w:pStyle w:val="PargrafodaLista"/>
        <w:numPr>
          <w:ilvl w:val="0"/>
          <w:numId w:val="53"/>
        </w:numPr>
        <w:tabs>
          <w:tab w:val="left" w:pos="993"/>
        </w:tabs>
        <w:spacing w:line="312" w:lineRule="auto"/>
        <w:ind w:left="709" w:hanging="142"/>
        <w:contextualSpacing/>
        <w:jc w:val="both"/>
        <w:rPr>
          <w:b/>
          <w:i/>
          <w:strike/>
        </w:rPr>
      </w:pPr>
      <w:r w:rsidRPr="007C5418">
        <w:rPr>
          <w:b/>
          <w:bCs/>
          <w:i/>
          <w:iCs/>
          <w:strike/>
        </w:rPr>
        <w:t xml:space="preserve">Art.87 </w:t>
      </w:r>
      <w:r w:rsidRPr="007C5418">
        <w:rPr>
          <w:b/>
          <w:i/>
          <w:strike/>
        </w:rPr>
        <w:t>com redação dada pela Resolução CVM nº 180, de 22 de março de 2023.</w:t>
      </w:r>
    </w:p>
    <w:p w14:paraId="72C28162" w14:textId="77777777" w:rsidR="007C5418" w:rsidRDefault="007C5418" w:rsidP="007C5418">
      <w:pPr>
        <w:pStyle w:val="NormaAlterada"/>
      </w:pPr>
      <w:r>
        <w:t>Art. 87.</w:t>
      </w:r>
      <w:r w:rsidRPr="00E414E4">
        <w:t xml:space="preserve"> </w:t>
      </w:r>
      <w:r>
        <w:t xml:space="preserve"> </w:t>
      </w:r>
      <w:r w:rsidRPr="007E77AF">
        <w:t>Não há restrições à negociação em mercado regulamentado dos ativos adquiridos</w:t>
      </w:r>
      <w:r>
        <w:t>:</w:t>
      </w:r>
    </w:p>
    <w:p w14:paraId="2AEA6FCF" w14:textId="77777777" w:rsidR="007C5418" w:rsidRDefault="007C5418" w:rsidP="007C5418">
      <w:pPr>
        <w:pStyle w:val="NormaAlterada"/>
        <w:ind w:left="0" w:firstLine="567"/>
      </w:pPr>
      <w:r>
        <w:t>I –</w:t>
      </w:r>
      <w:r w:rsidRPr="007E77AF">
        <w:t xml:space="preserve"> </w:t>
      </w:r>
      <w:proofErr w:type="gramStart"/>
      <w:r w:rsidRPr="007E77AF">
        <w:t>nas</w:t>
      </w:r>
      <w:proofErr w:type="gramEnd"/>
      <w:r w:rsidRPr="007E77AF">
        <w:t xml:space="preserve"> ofertas elencadas nos incisos I a III</w:t>
      </w:r>
      <w:r>
        <w:t>-A</w:t>
      </w:r>
      <w:r w:rsidRPr="007E77AF">
        <w:rPr>
          <w:rStyle w:val="Refdenotaderodap"/>
        </w:rPr>
        <w:footnoteReference w:id="18"/>
      </w:r>
      <w:r w:rsidRPr="007E77AF">
        <w:t>, inciso IV, alínea “b”</w:t>
      </w:r>
      <w:r w:rsidRPr="007E77AF">
        <w:rPr>
          <w:rStyle w:val="Refdenotaderodap"/>
        </w:rPr>
        <w:footnoteReference w:id="19"/>
      </w:r>
      <w:r w:rsidRPr="007E77AF">
        <w:t xml:space="preserve">, inciso V alínea </w:t>
      </w:r>
      <w:r>
        <w:t>“</w:t>
      </w:r>
      <w:r w:rsidRPr="007E77AF">
        <w:t>c</w:t>
      </w:r>
      <w:r>
        <w:t>”</w:t>
      </w:r>
      <w:r w:rsidRPr="007E77AF">
        <w:rPr>
          <w:rStyle w:val="Refdenotaderodap"/>
        </w:rPr>
        <w:footnoteReference w:id="20"/>
      </w:r>
      <w:r w:rsidRPr="007E77AF">
        <w:t xml:space="preserve">, </w:t>
      </w:r>
      <w:r>
        <w:t>inciso V-A</w:t>
      </w:r>
      <w:r>
        <w:rPr>
          <w:rStyle w:val="Refdenotaderodap"/>
        </w:rPr>
        <w:footnoteReference w:id="21"/>
      </w:r>
      <w:r>
        <w:t xml:space="preserve">, </w:t>
      </w:r>
      <w:r w:rsidRPr="007E77AF">
        <w:t>inciso VI, alínea “c</w:t>
      </w:r>
      <w:r>
        <w:t>”</w:t>
      </w:r>
      <w:r w:rsidRPr="007E77AF">
        <w:t>, inciso VII</w:t>
      </w:r>
      <w:r w:rsidRPr="007E77AF">
        <w:rPr>
          <w:rStyle w:val="Refdenotaderodap"/>
        </w:rPr>
        <w:footnoteReference w:id="22"/>
      </w:r>
      <w:r w:rsidRPr="007E77AF">
        <w:t xml:space="preserve">, inciso VIII, alínea </w:t>
      </w:r>
      <w:r>
        <w:t>“</w:t>
      </w:r>
      <w:r w:rsidRPr="007E77AF">
        <w:t>c</w:t>
      </w:r>
      <w:r>
        <w:t>”</w:t>
      </w:r>
      <w:r w:rsidRPr="007E77AF">
        <w:rPr>
          <w:rStyle w:val="Refdenotaderodap"/>
        </w:rPr>
        <w:footnoteReference w:id="23"/>
      </w:r>
      <w:r w:rsidRPr="007E77AF">
        <w:t>, e inciso XIII</w:t>
      </w:r>
      <w:r w:rsidRPr="007E77AF">
        <w:rPr>
          <w:rStyle w:val="Refdenotaderodap"/>
        </w:rPr>
        <w:footnoteReference w:id="24"/>
      </w:r>
      <w:r w:rsidRPr="007E77AF">
        <w:t xml:space="preserve">, todos do </w:t>
      </w:r>
      <w:r w:rsidRPr="007E77AF">
        <w:rPr>
          <w:b/>
          <w:bCs/>
        </w:rPr>
        <w:t>caput</w:t>
      </w:r>
      <w:r w:rsidRPr="007E77AF">
        <w:t xml:space="preserve"> do art. 26</w:t>
      </w:r>
      <w:r>
        <w:t>; e</w:t>
      </w:r>
    </w:p>
    <w:p w14:paraId="7ED01E8E" w14:textId="77777777" w:rsidR="007C5418" w:rsidRPr="007E77AF" w:rsidRDefault="007C5418" w:rsidP="007C5418">
      <w:pPr>
        <w:pStyle w:val="NormaAlterada"/>
        <w:ind w:left="0" w:firstLine="567"/>
      </w:pPr>
      <w:r>
        <w:lastRenderedPageBreak/>
        <w:t xml:space="preserve">II – </w:t>
      </w:r>
      <w:proofErr w:type="gramStart"/>
      <w:r>
        <w:t>em</w:t>
      </w:r>
      <w:proofErr w:type="gramEnd"/>
      <w:r>
        <w:t xml:space="preserve"> operações envolvendo valores mobiliários de renda fixa, quando realizadas mediante operações com compromissos conjugados de recompra pelo vendedor e de revenda pelo comprador, com vencimento em data futura, anterior ou igual à do vencimento dos títulos objeto da operação, realizadas com rentabilidade ou parâmetros de remuneração predefinidos, desde que não seja admitida a livre movimentação dos títulos.</w:t>
      </w:r>
    </w:p>
    <w:p w14:paraId="11311CEF" w14:textId="77777777" w:rsidR="007C5418" w:rsidRDefault="007C5418" w:rsidP="007C5418">
      <w:pPr>
        <w:pStyle w:val="NormaAlterada"/>
        <w:ind w:left="0" w:firstLine="567"/>
      </w:pPr>
      <w:r>
        <w:t>§ 1</w:t>
      </w:r>
      <w:proofErr w:type="gramStart"/>
      <w:r>
        <w:t>º  O</w:t>
      </w:r>
      <w:proofErr w:type="gramEnd"/>
      <w:r>
        <w:t xml:space="preserve"> disposto neste artigo não afasta as restrições à negociação em mercado regulamentado previstas em regulamentação específica aplicável a certificados de depósitos com lastro em ações ou valores mobiliários representativos de dívida emitidos no exterior (BDR).</w:t>
      </w:r>
    </w:p>
    <w:p w14:paraId="455ADCBD" w14:textId="242FAD4E" w:rsidR="007C5418" w:rsidRDefault="007C5418" w:rsidP="007C5418">
      <w:pPr>
        <w:pStyle w:val="PargrafodaLista"/>
        <w:tabs>
          <w:tab w:val="left" w:pos="993"/>
        </w:tabs>
        <w:spacing w:line="312" w:lineRule="auto"/>
        <w:ind w:left="0" w:firstLine="567"/>
        <w:contextualSpacing/>
        <w:jc w:val="both"/>
      </w:pPr>
      <w:r>
        <w:t>§ 2</w:t>
      </w:r>
      <w:proofErr w:type="gramStart"/>
      <w:r>
        <w:t>º  No</w:t>
      </w:r>
      <w:proofErr w:type="gramEnd"/>
      <w:r>
        <w:t xml:space="preserve"> caso de transferência do ativo lastro da operação compromissada em decorrência de inadimplemento do compromisso de recompra de que trata o inciso II do </w:t>
      </w:r>
      <w:r>
        <w:rPr>
          <w:b/>
          <w:bCs/>
        </w:rPr>
        <w:t>caput</w:t>
      </w:r>
      <w:r>
        <w:t>, é permitido ao adquirente alienar os ativos recebidos a outros investidores, observadas as restrições de prazos e tipo de investidor previstas no art. 86.</w:t>
      </w:r>
    </w:p>
    <w:p w14:paraId="77285657" w14:textId="0500F4BC" w:rsidR="007C5418" w:rsidRPr="007C5418" w:rsidRDefault="007C5418" w:rsidP="007C5418">
      <w:pPr>
        <w:pStyle w:val="PargrafodaLista"/>
        <w:numPr>
          <w:ilvl w:val="0"/>
          <w:numId w:val="53"/>
        </w:numPr>
        <w:tabs>
          <w:tab w:val="left" w:pos="993"/>
        </w:tabs>
        <w:spacing w:line="312" w:lineRule="auto"/>
        <w:ind w:left="709" w:hanging="142"/>
        <w:contextualSpacing/>
        <w:jc w:val="both"/>
        <w:rPr>
          <w:b/>
          <w:i/>
        </w:rPr>
      </w:pPr>
      <w:r w:rsidRPr="007C5418">
        <w:rPr>
          <w:b/>
          <w:bCs/>
          <w:i/>
          <w:iCs/>
        </w:rPr>
        <w:t>Art. 8</w:t>
      </w:r>
      <w:r>
        <w:rPr>
          <w:b/>
          <w:bCs/>
          <w:i/>
          <w:iCs/>
        </w:rPr>
        <w:t>7</w:t>
      </w:r>
      <w:r>
        <w:rPr>
          <w:b/>
          <w:i/>
        </w:rPr>
        <w:t xml:space="preserve"> com redação dada </w:t>
      </w:r>
      <w:r w:rsidRPr="00AF3F0B">
        <w:rPr>
          <w:b/>
          <w:i/>
        </w:rPr>
        <w:t xml:space="preserve">pela Resolução CVM nº </w:t>
      </w:r>
      <w:r>
        <w:rPr>
          <w:b/>
          <w:i/>
        </w:rPr>
        <w:t>183</w:t>
      </w:r>
      <w:r w:rsidRPr="00AF3F0B">
        <w:rPr>
          <w:b/>
          <w:i/>
        </w:rPr>
        <w:t xml:space="preserve">, de </w:t>
      </w:r>
      <w:r>
        <w:rPr>
          <w:b/>
          <w:i/>
        </w:rPr>
        <w:t>11 de maio de 2023</w:t>
      </w:r>
      <w:r w:rsidRPr="00AF3F0B">
        <w:rPr>
          <w:b/>
          <w:i/>
        </w:rPr>
        <w:t>.</w:t>
      </w:r>
    </w:p>
    <w:p w14:paraId="7D523186" w14:textId="02F90649" w:rsidR="00D74986" w:rsidRPr="007E77AF" w:rsidRDefault="009069A1" w:rsidP="001353DC">
      <w:pPr>
        <w:spacing w:before="120" w:after="120" w:line="312" w:lineRule="auto"/>
        <w:ind w:firstLine="567"/>
        <w:jc w:val="both"/>
      </w:pPr>
      <w:bookmarkStart w:id="333" w:name="_Ref464391293"/>
      <w:r w:rsidRPr="007E77AF">
        <w:t xml:space="preserve">Art. </w:t>
      </w:r>
      <w:r w:rsidR="00A65EBD">
        <w:t>88</w:t>
      </w:r>
      <w:r w:rsidR="30D99AFE" w:rsidRPr="007E77AF">
        <w:t>.</w:t>
      </w:r>
      <w:r w:rsidR="7038F14C" w:rsidRPr="007E77AF">
        <w:t xml:space="preserve">  Os valores mobiliários adquiridos nas ofertas registradas nos termos dos incisos</w:t>
      </w:r>
      <w:r w:rsidR="1A8BC45A" w:rsidRPr="007E77AF">
        <w:t xml:space="preserve"> </w:t>
      </w:r>
      <w:r w:rsidR="0086760A" w:rsidRPr="007E77AF">
        <w:t>IX</w:t>
      </w:r>
      <w:r w:rsidR="00EB53C7" w:rsidRPr="007E77AF">
        <w:t xml:space="preserve"> (debêntures incentivadas emitidas por SPE)</w:t>
      </w:r>
      <w:r w:rsidR="72BE2758" w:rsidRPr="007E77AF">
        <w:t>,</w:t>
      </w:r>
      <w:r w:rsidR="1A8BC45A" w:rsidRPr="007E77AF">
        <w:t xml:space="preserve"> </w:t>
      </w:r>
      <w:r w:rsidR="003E1A9D" w:rsidRPr="007E77AF">
        <w:t xml:space="preserve">e </w:t>
      </w:r>
      <w:r w:rsidR="0086760A" w:rsidRPr="007E77AF">
        <w:t>X</w:t>
      </w:r>
      <w:r w:rsidR="00EB53C7" w:rsidRPr="007E77AF">
        <w:t xml:space="preserve"> (dívida de emissor não registrado)</w:t>
      </w:r>
      <w:r w:rsidR="003501F5" w:rsidRPr="007E77AF">
        <w:t xml:space="preserve"> do </w:t>
      </w:r>
      <w:r w:rsidR="003501F5" w:rsidRPr="007E77AF">
        <w:rPr>
          <w:b/>
          <w:bCs/>
        </w:rPr>
        <w:t>caput</w:t>
      </w:r>
      <w:r w:rsidR="003501F5" w:rsidRPr="007E77AF">
        <w:t xml:space="preserve"> do art. </w:t>
      </w:r>
      <w:r w:rsidR="0086760A" w:rsidRPr="007E77AF">
        <w:t>26</w:t>
      </w:r>
      <w:r w:rsidR="12FB2A2D" w:rsidRPr="007E77AF">
        <w:t>,</w:t>
      </w:r>
      <w:r w:rsidR="7038F14C" w:rsidRPr="007E77AF">
        <w:t xml:space="preserve"> </w:t>
      </w:r>
      <w:r w:rsidR="54FDB771" w:rsidRPr="007E77AF">
        <w:t xml:space="preserve">podem </w:t>
      </w:r>
      <w:r w:rsidR="7038F14C" w:rsidRPr="007E77AF">
        <w:t>ser negociados nos mercados de balcão organizado e não-organizado, mas não em bolsa, sem que o emissor possua o registro de que trata o art. 21 da Lei nº 6.385, de 1976.</w:t>
      </w:r>
      <w:bookmarkStart w:id="334" w:name="_DV_C44"/>
      <w:bookmarkStart w:id="335" w:name="_DV_M64"/>
      <w:bookmarkEnd w:id="333"/>
      <w:bookmarkEnd w:id="334"/>
      <w:bookmarkEnd w:id="335"/>
    </w:p>
    <w:p w14:paraId="6359549B" w14:textId="536C899B" w:rsidR="00D74986" w:rsidRPr="007E77AF" w:rsidRDefault="3FC8EE8A" w:rsidP="00D74986">
      <w:pPr>
        <w:spacing w:before="120" w:after="120" w:line="312" w:lineRule="auto"/>
        <w:ind w:firstLine="567"/>
        <w:jc w:val="both"/>
      </w:pPr>
      <w:r w:rsidRPr="007E77AF">
        <w:t>Parágrafo único.</w:t>
      </w:r>
      <w:r w:rsidR="00761261" w:rsidRPr="007E77AF">
        <w:t xml:space="preserve">  Caso os valores mobiliários ofertados sejam cotas de fundos de investimento, sua negociação nos mercados de balcão organizado e não organizado só </w:t>
      </w:r>
      <w:r w:rsidR="00D415DD" w:rsidRPr="007E77AF">
        <w:t xml:space="preserve">é </w:t>
      </w:r>
      <w:r w:rsidR="00761261" w:rsidRPr="007E77AF">
        <w:t>admitida se o fundo estiver registrado para funcionamento na CVM.</w:t>
      </w:r>
    </w:p>
    <w:p w14:paraId="47C2064E" w14:textId="45F3DD55" w:rsidR="00D74986" w:rsidRPr="007E77AF" w:rsidRDefault="009069A1" w:rsidP="001353DC">
      <w:pPr>
        <w:spacing w:before="120" w:after="120" w:line="312" w:lineRule="auto"/>
        <w:ind w:firstLine="567"/>
        <w:jc w:val="both"/>
      </w:pPr>
      <w:bookmarkStart w:id="336" w:name="_Ref460499193"/>
      <w:r w:rsidRPr="007E77AF">
        <w:t xml:space="preserve">Art. </w:t>
      </w:r>
      <w:r w:rsidR="00954E28">
        <w:t>89</w:t>
      </w:r>
      <w:r w:rsidR="4286FB8B" w:rsidRPr="007E77AF">
        <w:t>.</w:t>
      </w:r>
      <w:r w:rsidR="4ACD4B22" w:rsidRPr="007E77AF">
        <w:t xml:space="preserve">  </w:t>
      </w:r>
      <w:r w:rsidR="4286FB8B" w:rsidRPr="007E77AF">
        <w:t xml:space="preserve">Sem prejuízo do disposto em regulamentação específica, são obrigações do emissor dos valores mobiliários admitidos à negociação </w:t>
      </w:r>
      <w:r w:rsidR="00BC5F82" w:rsidRPr="007E77AF">
        <w:t xml:space="preserve">em mercados regulamentados de valores mobiliários, </w:t>
      </w:r>
      <w:r w:rsidR="4286FB8B" w:rsidRPr="007E77AF">
        <w:t xml:space="preserve">nos termos do art. </w:t>
      </w:r>
      <w:r w:rsidR="00FE2E0E" w:rsidRPr="007E77AF">
        <w:t>8</w:t>
      </w:r>
      <w:r w:rsidR="00FE2E0E">
        <w:t>6</w:t>
      </w:r>
      <w:r w:rsidR="47837B89" w:rsidRPr="007E77AF">
        <w:t xml:space="preserve">, incisos </w:t>
      </w:r>
      <w:r w:rsidR="008B643C" w:rsidRPr="007E77AF">
        <w:t>I</w:t>
      </w:r>
      <w:r w:rsidR="47837B89" w:rsidRPr="007E77AF">
        <w:t>V</w:t>
      </w:r>
      <w:r w:rsidR="00EF62EA" w:rsidRPr="007E77AF">
        <w:t>,</w:t>
      </w:r>
      <w:r w:rsidR="47837B89" w:rsidRPr="007E77AF">
        <w:t xml:space="preserve"> V</w:t>
      </w:r>
      <w:r w:rsidR="00EF62EA" w:rsidRPr="007E77AF">
        <w:t xml:space="preserve"> e VI</w:t>
      </w:r>
      <w:r w:rsidR="00287406" w:rsidRPr="007E77AF">
        <w:t xml:space="preserve"> al</w:t>
      </w:r>
      <w:r w:rsidR="00A0284C" w:rsidRPr="007E77AF">
        <w:t>í</w:t>
      </w:r>
      <w:r w:rsidR="00287406" w:rsidRPr="007E77AF">
        <w:t>nea</w:t>
      </w:r>
      <w:r w:rsidR="00BD36DA" w:rsidRPr="007E77AF">
        <w:t xml:space="preserve"> </w:t>
      </w:r>
      <w:r w:rsidR="00582AEC">
        <w:t>“</w:t>
      </w:r>
      <w:r w:rsidR="00BD36DA" w:rsidRPr="007E77AF">
        <w:t>b</w:t>
      </w:r>
      <w:r w:rsidR="00582AEC">
        <w:t>”</w:t>
      </w:r>
      <w:r w:rsidR="5FC517D9" w:rsidRPr="007E77AF">
        <w:t xml:space="preserve"> </w:t>
      </w:r>
      <w:r w:rsidR="7038F14C" w:rsidRPr="007E77AF">
        <w:t xml:space="preserve">desta </w:t>
      </w:r>
      <w:r w:rsidR="0EC0FFCD" w:rsidRPr="007E77AF">
        <w:t>Resolução</w:t>
      </w:r>
      <w:r w:rsidR="4286FB8B" w:rsidRPr="007E77AF">
        <w:t>:</w:t>
      </w:r>
      <w:bookmarkEnd w:id="336"/>
    </w:p>
    <w:p w14:paraId="1845DCDA" w14:textId="3BD3347A" w:rsidR="00D74986" w:rsidRPr="007E77AF" w:rsidRDefault="009069A1" w:rsidP="001353DC">
      <w:pPr>
        <w:spacing w:before="120" w:after="120" w:line="312" w:lineRule="auto"/>
        <w:ind w:firstLine="567"/>
        <w:jc w:val="both"/>
      </w:pPr>
      <w:r w:rsidRPr="007E77AF">
        <w:t>I</w:t>
      </w:r>
      <w:r w:rsidR="4286FB8B" w:rsidRPr="007E77AF">
        <w:t xml:space="preserve"> – </w:t>
      </w:r>
      <w:proofErr w:type="gramStart"/>
      <w:r w:rsidR="4286FB8B" w:rsidRPr="007E77AF">
        <w:t>preparar</w:t>
      </w:r>
      <w:proofErr w:type="gramEnd"/>
      <w:r w:rsidR="4286FB8B" w:rsidRPr="007E77AF">
        <w:t xml:space="preserve"> demonstrações financeiras de encerramento de exercício e, se for o caso, demonstrações consolidadas, em conformidade com a Lei nº 6.404, de 1976, e com as regras emitidas pela CVM;</w:t>
      </w:r>
    </w:p>
    <w:p w14:paraId="53DE0D98" w14:textId="377EDA79" w:rsidR="00D74986" w:rsidRPr="007E77AF" w:rsidRDefault="009069A1" w:rsidP="001353DC">
      <w:pPr>
        <w:spacing w:before="120" w:after="120" w:line="312" w:lineRule="auto"/>
        <w:ind w:firstLine="567"/>
        <w:jc w:val="both"/>
      </w:pPr>
      <w:r w:rsidRPr="007E77AF">
        <w:t>II</w:t>
      </w:r>
      <w:r w:rsidR="4286FB8B" w:rsidRPr="007E77AF">
        <w:t xml:space="preserve"> – </w:t>
      </w:r>
      <w:proofErr w:type="gramStart"/>
      <w:r w:rsidR="4286FB8B" w:rsidRPr="007E77AF">
        <w:t>submeter</w:t>
      </w:r>
      <w:proofErr w:type="gramEnd"/>
      <w:r w:rsidR="4286FB8B" w:rsidRPr="007E77AF">
        <w:t xml:space="preserve"> suas demonstrações financeiras a auditoria, por auditor registrado na CVM;</w:t>
      </w:r>
    </w:p>
    <w:p w14:paraId="4883F542" w14:textId="5143E9E4" w:rsidR="00D74986" w:rsidRPr="007E77AF" w:rsidRDefault="009069A1" w:rsidP="001353DC">
      <w:pPr>
        <w:spacing w:before="120" w:after="120" w:line="312" w:lineRule="auto"/>
        <w:ind w:firstLine="567"/>
        <w:jc w:val="both"/>
      </w:pPr>
      <w:r w:rsidRPr="007E77AF">
        <w:t>III</w:t>
      </w:r>
      <w:r w:rsidR="4286FB8B" w:rsidRPr="007E77AF">
        <w:t xml:space="preserve"> – divulgar, até o dia anterior ao início das negociações, as demonstrações financeiras, acompanhadas de notas explicativas e do relatório dos auditores independentes, relativas aos 3 (três) últimos exercícios sociais encerrados, exceto quando o emissor não as possua por não ter iniciado suas atividades previamente ao referido período;</w:t>
      </w:r>
    </w:p>
    <w:p w14:paraId="639BF757" w14:textId="10F65BCD" w:rsidR="00D74986" w:rsidRPr="007E77AF" w:rsidRDefault="009069A1" w:rsidP="001353DC">
      <w:pPr>
        <w:spacing w:before="120" w:after="120" w:line="312" w:lineRule="auto"/>
        <w:ind w:firstLine="567"/>
        <w:jc w:val="both"/>
      </w:pPr>
      <w:r w:rsidRPr="007E77AF">
        <w:lastRenderedPageBreak/>
        <w:t>IV</w:t>
      </w:r>
      <w:r w:rsidR="4286FB8B" w:rsidRPr="007E77AF">
        <w:t xml:space="preserve"> – </w:t>
      </w:r>
      <w:proofErr w:type="gramStart"/>
      <w:r w:rsidR="4286FB8B" w:rsidRPr="007E77AF">
        <w:t>divulgar</w:t>
      </w:r>
      <w:proofErr w:type="gramEnd"/>
      <w:r w:rsidR="4286FB8B" w:rsidRPr="007E77AF">
        <w:t xml:space="preserve"> as demonstrações financeiras subsequentes, acompanhadas de notas explicativas e relatório dos auditores independentes dentro de 3 (três) meses contados do encerramento do exercício social;</w:t>
      </w:r>
    </w:p>
    <w:p w14:paraId="44AC3340" w14:textId="18903092" w:rsidR="00D74986" w:rsidRPr="007E77AF" w:rsidRDefault="009069A1" w:rsidP="001353DC">
      <w:pPr>
        <w:spacing w:before="120" w:after="120" w:line="312" w:lineRule="auto"/>
        <w:ind w:firstLine="567"/>
        <w:jc w:val="both"/>
      </w:pPr>
      <w:r w:rsidRPr="007E77AF">
        <w:t>V</w:t>
      </w:r>
      <w:r w:rsidR="4286FB8B" w:rsidRPr="007E77AF">
        <w:t xml:space="preserve"> – </w:t>
      </w:r>
      <w:proofErr w:type="gramStart"/>
      <w:r w:rsidR="4286FB8B" w:rsidRPr="007E77AF">
        <w:t>observar</w:t>
      </w:r>
      <w:proofErr w:type="gramEnd"/>
      <w:r w:rsidR="4286FB8B" w:rsidRPr="007E77AF">
        <w:t xml:space="preserve"> as disposições da </w:t>
      </w:r>
      <w:r w:rsidR="56606681" w:rsidRPr="007E77AF">
        <w:t xml:space="preserve">regulamentação específica da </w:t>
      </w:r>
      <w:r w:rsidR="4286FB8B" w:rsidRPr="007E77AF">
        <w:t>CVM no tocante a dever de sigilo e vedações à negociação;</w:t>
      </w:r>
    </w:p>
    <w:p w14:paraId="4DF6CBA9" w14:textId="1355CF82" w:rsidR="00D74986" w:rsidRPr="007E77AF" w:rsidRDefault="009069A1" w:rsidP="001353DC">
      <w:pPr>
        <w:spacing w:before="120" w:after="120" w:line="312" w:lineRule="auto"/>
        <w:ind w:firstLine="567"/>
        <w:jc w:val="both"/>
      </w:pPr>
      <w:r w:rsidRPr="007E77AF">
        <w:t>VI</w:t>
      </w:r>
      <w:r w:rsidR="4286FB8B" w:rsidRPr="007E77AF">
        <w:t xml:space="preserve"> – </w:t>
      </w:r>
      <w:proofErr w:type="gramStart"/>
      <w:r w:rsidR="4286FB8B" w:rsidRPr="007E77AF">
        <w:t>divulgar</w:t>
      </w:r>
      <w:proofErr w:type="gramEnd"/>
      <w:r w:rsidR="4286FB8B" w:rsidRPr="007E77AF">
        <w:t xml:space="preserve"> a ocorrência de fato relevante conforme definido </w:t>
      </w:r>
      <w:r w:rsidR="56606681" w:rsidRPr="007E77AF">
        <w:t>na regulamentação específica da</w:t>
      </w:r>
      <w:r w:rsidR="4286FB8B" w:rsidRPr="007E77AF">
        <w:t xml:space="preserve"> CVM;</w:t>
      </w:r>
      <w:r w:rsidR="605EDDAD" w:rsidRPr="007E77AF">
        <w:t xml:space="preserve"> e</w:t>
      </w:r>
    </w:p>
    <w:p w14:paraId="5B59F6A3" w14:textId="67CB3512" w:rsidR="00D74986" w:rsidRPr="007E77AF" w:rsidRDefault="009069A1" w:rsidP="001353DC">
      <w:pPr>
        <w:spacing w:before="120" w:after="120" w:line="312" w:lineRule="auto"/>
        <w:ind w:firstLine="567"/>
        <w:jc w:val="both"/>
      </w:pPr>
      <w:r w:rsidRPr="007E77AF">
        <w:t>VII</w:t>
      </w:r>
      <w:r w:rsidR="4286FB8B" w:rsidRPr="007E77AF">
        <w:t xml:space="preserve"> – divulgar em sua página na rede mundial de computadores o relatório anual e demais comunicações enviadas pelo agente de notas promissórias de longo prazo e pelo agente fiduciário na mesma data do seu recebimento, observado ainda o disposto no inciso IV </w:t>
      </w:r>
      <w:r w:rsidR="56606681" w:rsidRPr="007E77AF">
        <w:t xml:space="preserve">do </w:t>
      </w:r>
      <w:r w:rsidR="3B2E2666" w:rsidRPr="007E77AF">
        <w:rPr>
          <w:b/>
          <w:bCs/>
        </w:rPr>
        <w:t>caput</w:t>
      </w:r>
      <w:r w:rsidR="56606681" w:rsidRPr="007E77AF">
        <w:t xml:space="preserve"> </w:t>
      </w:r>
      <w:r w:rsidR="4286FB8B" w:rsidRPr="007E77AF">
        <w:t>deste artigo.</w:t>
      </w:r>
    </w:p>
    <w:p w14:paraId="6B75254C" w14:textId="77777777" w:rsidR="00D74986" w:rsidRPr="007E77AF" w:rsidRDefault="002D13A6" w:rsidP="00D74986">
      <w:pPr>
        <w:spacing w:before="120" w:after="120" w:line="312" w:lineRule="auto"/>
        <w:ind w:firstLine="567"/>
        <w:jc w:val="both"/>
      </w:pPr>
      <w:r w:rsidRPr="007E77AF">
        <w:t>§</w:t>
      </w:r>
      <w:r w:rsidR="3D24F41E" w:rsidRPr="007E77AF">
        <w:t xml:space="preserve"> </w:t>
      </w:r>
      <w:r w:rsidRPr="007E77AF">
        <w:t>1</w:t>
      </w:r>
      <w:proofErr w:type="gramStart"/>
      <w:r w:rsidRPr="007E77AF">
        <w:t>º  Somente</w:t>
      </w:r>
      <w:proofErr w:type="gramEnd"/>
      <w:r w:rsidRPr="007E77AF">
        <w:t xml:space="preserve"> </w:t>
      </w:r>
      <w:r w:rsidR="00D415DD" w:rsidRPr="007E77AF">
        <w:t xml:space="preserve">podem </w:t>
      </w:r>
      <w:r w:rsidRPr="007E77AF">
        <w:t xml:space="preserve">ser negociados em mercados regulamentados os valores mobiliários </w:t>
      </w:r>
      <w:r w:rsidR="3BFCEF45" w:rsidRPr="007E77AF">
        <w:t>regidos por</w:t>
      </w:r>
      <w:r w:rsidRPr="007E77AF">
        <w:t xml:space="preserve"> instrumentos jurídicos </w:t>
      </w:r>
      <w:r w:rsidR="2CBD6820" w:rsidRPr="007E77AF">
        <w:t>que imponham ao</w:t>
      </w:r>
      <w:r w:rsidRPr="007E77AF">
        <w:t xml:space="preserve"> emissor </w:t>
      </w:r>
      <w:r w:rsidR="1D7DE0FB" w:rsidRPr="007E77AF">
        <w:t xml:space="preserve">as obrigações </w:t>
      </w:r>
      <w:r w:rsidRPr="007E77AF">
        <w:t>previstas neste artigo.</w:t>
      </w:r>
    </w:p>
    <w:p w14:paraId="4600A9B2" w14:textId="475BEAD6" w:rsidR="00D74986" w:rsidRPr="007E77AF" w:rsidRDefault="002D13A6" w:rsidP="00D74986">
      <w:pPr>
        <w:spacing w:before="120" w:after="120" w:line="312" w:lineRule="auto"/>
        <w:ind w:firstLine="567"/>
        <w:jc w:val="both"/>
      </w:pPr>
      <w:r w:rsidRPr="007E77AF">
        <w:t>§ 2</w:t>
      </w:r>
      <w:proofErr w:type="gramStart"/>
      <w:r w:rsidRPr="007E77AF">
        <w:t>º  As</w:t>
      </w:r>
      <w:proofErr w:type="gramEnd"/>
      <w:r w:rsidRPr="007E77AF">
        <w:t xml:space="preserve"> obrigações previstas neste artigo não se aplicam a</w:t>
      </w:r>
      <w:r w:rsidR="00DD52EA" w:rsidRPr="007E77AF">
        <w:t xml:space="preserve"> fundos de investimento.</w:t>
      </w:r>
    </w:p>
    <w:p w14:paraId="79296E97" w14:textId="77777777" w:rsidR="00D74986" w:rsidRPr="007E77AF" w:rsidRDefault="002D13A6" w:rsidP="00D74986">
      <w:pPr>
        <w:spacing w:before="120" w:after="120" w:line="312" w:lineRule="auto"/>
        <w:ind w:firstLine="567"/>
        <w:jc w:val="both"/>
      </w:pPr>
      <w:r w:rsidRPr="007E77AF">
        <w:t>§ 3</w:t>
      </w:r>
      <w:proofErr w:type="gramStart"/>
      <w:r w:rsidRPr="007E77AF">
        <w:t>º  O</w:t>
      </w:r>
      <w:proofErr w:type="gramEnd"/>
      <w:r w:rsidRPr="007E77AF">
        <w:t xml:space="preserve"> emissor deve divulgar as informações referidas nos incisos III, IV e VI do </w:t>
      </w:r>
      <w:r w:rsidR="00E00A37" w:rsidRPr="007E77AF">
        <w:rPr>
          <w:b/>
        </w:rPr>
        <w:t>caput</w:t>
      </w:r>
      <w:r w:rsidRPr="007E77AF">
        <w:t xml:space="preserve"> deste artigo:</w:t>
      </w:r>
    </w:p>
    <w:p w14:paraId="7E7154BD" w14:textId="77777777" w:rsidR="00D74986" w:rsidRPr="007E77AF" w:rsidRDefault="002D13A6" w:rsidP="00D74986">
      <w:pPr>
        <w:spacing w:before="120" w:after="120" w:line="312" w:lineRule="auto"/>
        <w:ind w:firstLine="567"/>
        <w:jc w:val="both"/>
      </w:pPr>
      <w:r w:rsidRPr="007E77AF">
        <w:t xml:space="preserve">I – </w:t>
      </w:r>
      <w:proofErr w:type="gramStart"/>
      <w:r w:rsidRPr="007E77AF">
        <w:t>em</w:t>
      </w:r>
      <w:proofErr w:type="gramEnd"/>
      <w:r w:rsidRPr="007E77AF">
        <w:t xml:space="preserve"> sua página na rede mundial de computadores, mantendo-as disponíveis pelo período de 3 (três) anos; e</w:t>
      </w:r>
    </w:p>
    <w:p w14:paraId="6DBC0347" w14:textId="2C4CEB56" w:rsidR="00D74986" w:rsidRPr="007E77AF" w:rsidRDefault="002D13A6" w:rsidP="00D74986">
      <w:pPr>
        <w:spacing w:before="120" w:after="120" w:line="312" w:lineRule="auto"/>
        <w:ind w:firstLine="567"/>
        <w:jc w:val="both"/>
      </w:pPr>
      <w:r w:rsidRPr="007E77AF">
        <w:t xml:space="preserve">II – </w:t>
      </w:r>
      <w:proofErr w:type="gramStart"/>
      <w:r w:rsidRPr="007E77AF">
        <w:t>em</w:t>
      </w:r>
      <w:proofErr w:type="gramEnd"/>
      <w:r w:rsidRPr="007E77AF">
        <w:t xml:space="preserve"> sistema disponibilizado pela entidade administradora de mercados organizados </w:t>
      </w:r>
      <w:r w:rsidR="00EC1266" w:rsidRPr="007E77AF">
        <w:t>no qual</w:t>
      </w:r>
      <w:r w:rsidRPr="007E77AF">
        <w:t xml:space="preserve"> os valores mobiliários estão admitidos à negociação.</w:t>
      </w:r>
    </w:p>
    <w:p w14:paraId="17B8548B" w14:textId="77777777" w:rsidR="00D74986" w:rsidRPr="007E77AF" w:rsidRDefault="002D13A6" w:rsidP="00D74986">
      <w:pPr>
        <w:spacing w:before="120" w:after="120" w:line="312" w:lineRule="auto"/>
        <w:ind w:firstLine="567"/>
        <w:jc w:val="both"/>
      </w:pPr>
      <w:r w:rsidRPr="007E77AF">
        <w:t>§</w:t>
      </w:r>
      <w:r w:rsidR="06AA5DDB" w:rsidRPr="007E77AF">
        <w:t xml:space="preserve"> </w:t>
      </w:r>
      <w:r w:rsidRPr="007E77AF">
        <w:t>4</w:t>
      </w:r>
      <w:proofErr w:type="gramStart"/>
      <w:r w:rsidRPr="007E77AF">
        <w:t>º  Os</w:t>
      </w:r>
      <w:proofErr w:type="gramEnd"/>
      <w:r w:rsidRPr="007E77AF">
        <w:t xml:space="preserve"> controladores e administradores do emissor são responsáveis pelo cumprimento das obrigações previstas neste artigo</w:t>
      </w:r>
      <w:r w:rsidR="006A074C" w:rsidRPr="007E77AF">
        <w:t>.</w:t>
      </w:r>
    </w:p>
    <w:p w14:paraId="70B794E8" w14:textId="3DF1183D" w:rsidR="00D74986" w:rsidRPr="007E77AF" w:rsidRDefault="009069A1" w:rsidP="001353DC">
      <w:pPr>
        <w:spacing w:before="120" w:after="120" w:line="312" w:lineRule="auto"/>
        <w:ind w:firstLine="567"/>
        <w:jc w:val="both"/>
      </w:pPr>
      <w:r w:rsidRPr="007E77AF">
        <w:t xml:space="preserve">Art. </w:t>
      </w:r>
      <w:r w:rsidR="00954E28">
        <w:t>90</w:t>
      </w:r>
      <w:r w:rsidR="1B8C85C6" w:rsidRPr="007E77AF">
        <w:t xml:space="preserve">.  Os intermediários das negociações em mercados regulamentados são responsáveis pela verificação do cumprimento das regras previstas </w:t>
      </w:r>
      <w:r w:rsidR="00E00528">
        <w:t xml:space="preserve">no art. 8º, § 4º, e </w:t>
      </w:r>
      <w:r w:rsidR="00053B91" w:rsidRPr="007E77AF">
        <w:t xml:space="preserve">nos </w:t>
      </w:r>
      <w:proofErr w:type="spellStart"/>
      <w:r w:rsidR="00053B91" w:rsidRPr="007E77AF">
        <w:t>arts</w:t>
      </w:r>
      <w:proofErr w:type="spellEnd"/>
      <w:r w:rsidR="00053B91" w:rsidRPr="007E77AF">
        <w:t xml:space="preserve">. </w:t>
      </w:r>
      <w:r w:rsidR="0079064B">
        <w:t>84 a 88</w:t>
      </w:r>
      <w:r w:rsidR="1B8C85C6" w:rsidRPr="007E77AF">
        <w:t>.</w:t>
      </w:r>
    </w:p>
    <w:p w14:paraId="7A0136CE" w14:textId="77777777" w:rsidR="00D74986" w:rsidRPr="007E77AF" w:rsidRDefault="002C5303" w:rsidP="00C64048">
      <w:pPr>
        <w:pStyle w:val="Captulo"/>
      </w:pPr>
      <w:bookmarkStart w:id="337" w:name="_Toc467256300"/>
      <w:bookmarkStart w:id="338" w:name="_Toc476216350"/>
      <w:bookmarkStart w:id="339" w:name="_Toc108516071"/>
      <w:bookmarkStart w:id="340" w:name="_Toc108203102"/>
      <w:bookmarkStart w:id="341" w:name="_Toc136502842"/>
      <w:r w:rsidRPr="007E77AF">
        <w:t xml:space="preserve">CAPÍTULO </w:t>
      </w:r>
      <w:r w:rsidR="002F429B" w:rsidRPr="007E77AF">
        <w:t xml:space="preserve">VIII </w:t>
      </w:r>
      <w:r w:rsidRPr="007E77AF">
        <w:t>– RESPONSABILIDADE DOS ADMINISTRADORES</w:t>
      </w:r>
      <w:bookmarkEnd w:id="337"/>
      <w:bookmarkEnd w:id="338"/>
      <w:bookmarkEnd w:id="339"/>
      <w:bookmarkEnd w:id="340"/>
      <w:bookmarkEnd w:id="341"/>
    </w:p>
    <w:p w14:paraId="366C2280" w14:textId="651477AD" w:rsidR="00CF1DEB" w:rsidRPr="007E77AF" w:rsidRDefault="009069A1" w:rsidP="001353DC">
      <w:pPr>
        <w:spacing w:before="120" w:after="120" w:line="312" w:lineRule="auto"/>
        <w:ind w:firstLine="567"/>
        <w:jc w:val="both"/>
      </w:pPr>
      <w:r w:rsidRPr="007E77AF">
        <w:t xml:space="preserve">Art. </w:t>
      </w:r>
      <w:r w:rsidR="00954E28">
        <w:t>91</w:t>
      </w:r>
      <w:r w:rsidR="45A711D4" w:rsidRPr="007E77AF">
        <w:t xml:space="preserve">.  Os administradores do ofertante, dentro de suas competências legais e estatutárias, são responsáveis pelo cumprimento das obrigações impostas ao ofertante por esta </w:t>
      </w:r>
      <w:r w:rsidR="0EC0FFCD" w:rsidRPr="007E77AF">
        <w:t>Resolução</w:t>
      </w:r>
      <w:r w:rsidR="45A711D4" w:rsidRPr="007E77AF">
        <w:t>.</w:t>
      </w:r>
    </w:p>
    <w:p w14:paraId="55EAB6CC" w14:textId="653BA6A3" w:rsidR="00CF1DE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 xml:space="preserve">Art. </w:t>
      </w:r>
      <w:r w:rsidR="00954E28">
        <w:rPr>
          <w:rFonts w:eastAsiaTheme="minorEastAsia" w:cstheme="minorBidi"/>
        </w:rPr>
        <w:t>92</w:t>
      </w:r>
      <w:r w:rsidR="45A711D4" w:rsidRPr="007E77AF">
        <w:t xml:space="preserve">.  Os administradores </w:t>
      </w:r>
      <w:r w:rsidR="0CCED63E" w:rsidRPr="007E77AF">
        <w:t>d</w:t>
      </w:r>
      <w:r w:rsidR="20B3C849" w:rsidRPr="007E77AF">
        <w:t>o</w:t>
      </w:r>
      <w:r w:rsidR="0CCED63E" w:rsidRPr="007E77AF">
        <w:t xml:space="preserve"> emissor</w:t>
      </w:r>
      <w:r w:rsidR="45A711D4" w:rsidRPr="007E77AF">
        <w:t xml:space="preserve">, dentro de suas competências legais e estatutárias, são responsáveis pelo cumprimento das obrigações impostas </w:t>
      </w:r>
      <w:r w:rsidR="239FE45E" w:rsidRPr="007E77AF">
        <w:t>ao</w:t>
      </w:r>
      <w:r w:rsidR="0CCED63E" w:rsidRPr="007E77AF">
        <w:t xml:space="preserve"> emissor</w:t>
      </w:r>
      <w:r w:rsidR="45A711D4" w:rsidRPr="007E77AF">
        <w:t xml:space="preserve"> por esta </w:t>
      </w:r>
      <w:r w:rsidR="0EC0FFCD" w:rsidRPr="007E77AF">
        <w:t>Resolução</w:t>
      </w:r>
      <w:r w:rsidR="45A711D4" w:rsidRPr="007E77AF">
        <w:t>.</w:t>
      </w:r>
    </w:p>
    <w:p w14:paraId="43A31E6B" w14:textId="000E3AC1" w:rsidR="00CF1DEB" w:rsidRPr="007E77AF" w:rsidRDefault="009069A1" w:rsidP="001353DC">
      <w:pPr>
        <w:spacing w:before="120" w:after="120" w:line="312" w:lineRule="auto"/>
        <w:ind w:firstLine="567"/>
        <w:jc w:val="both"/>
      </w:pPr>
      <w:r w:rsidRPr="007E77AF">
        <w:lastRenderedPageBreak/>
        <w:t xml:space="preserve">Art. </w:t>
      </w:r>
      <w:r w:rsidR="00954E28">
        <w:t>93</w:t>
      </w:r>
      <w:r w:rsidR="00CF1DEB" w:rsidRPr="007E77AF">
        <w:t xml:space="preserve">.  Os </w:t>
      </w:r>
      <w:r w:rsidR="00336282" w:rsidRPr="007E77AF">
        <w:t xml:space="preserve">administradores </w:t>
      </w:r>
      <w:r w:rsidR="00A648B5" w:rsidRPr="007E77AF">
        <w:t>dos</w:t>
      </w:r>
      <w:r w:rsidR="0093007F" w:rsidRPr="007E77AF">
        <w:t xml:space="preserve"> coordenadores</w:t>
      </w:r>
      <w:r w:rsidR="00CF1DEB" w:rsidRPr="007E77AF">
        <w:t xml:space="preserve"> </w:t>
      </w:r>
      <w:r w:rsidR="00AE7F1D" w:rsidRPr="007E77AF">
        <w:t>d</w:t>
      </w:r>
      <w:r w:rsidR="00CF1DEB" w:rsidRPr="007E77AF">
        <w:t xml:space="preserve">a oferta, dentro de suas competências legais e estatutárias, são responsáveis pelo cumprimento das obrigações impostas </w:t>
      </w:r>
      <w:r w:rsidR="00A648B5" w:rsidRPr="007E77AF">
        <w:t xml:space="preserve">aos coordenadores </w:t>
      </w:r>
      <w:r w:rsidR="00CF1DEB" w:rsidRPr="007E77AF">
        <w:t>por esta Resolução.</w:t>
      </w:r>
    </w:p>
    <w:p w14:paraId="36E8521C" w14:textId="551B9536" w:rsidR="00D16086" w:rsidRPr="007E77AF" w:rsidRDefault="0025054D" w:rsidP="00D16086">
      <w:pPr>
        <w:spacing w:line="360" w:lineRule="auto"/>
        <w:ind w:firstLine="567"/>
        <w:jc w:val="both"/>
      </w:pPr>
      <w:r w:rsidRPr="007E77AF">
        <w:t xml:space="preserve">Parágrafo único.  A responsabilidade de que trata o </w:t>
      </w:r>
      <w:r w:rsidRPr="007E77AF">
        <w:rPr>
          <w:b/>
        </w:rPr>
        <w:t>caput</w:t>
      </w:r>
      <w:r w:rsidRPr="007E77AF">
        <w:t xml:space="preserve"> </w:t>
      </w:r>
      <w:r w:rsidR="008969AD" w:rsidRPr="007E77AF">
        <w:t xml:space="preserve">deve </w:t>
      </w:r>
      <w:r w:rsidRPr="007E77AF">
        <w:t xml:space="preserve">ser atribuída </w:t>
      </w:r>
      <w:r w:rsidR="00765664" w:rsidRPr="007E77AF">
        <w:t>a</w:t>
      </w:r>
      <w:r w:rsidRPr="007E77AF">
        <w:t xml:space="preserve"> administrador </w:t>
      </w:r>
      <w:r w:rsidR="32183C43" w:rsidRPr="007E77AF">
        <w:t xml:space="preserve">indicado como </w:t>
      </w:r>
      <w:r w:rsidRPr="007E77AF">
        <w:t>coordena</w:t>
      </w:r>
      <w:r w:rsidR="1C878832" w:rsidRPr="007E77AF">
        <w:t>dor</w:t>
      </w:r>
      <w:r w:rsidRPr="007E77AF">
        <w:t xml:space="preserve"> de determinada oferta pública</w:t>
      </w:r>
      <w:r w:rsidR="42DE5357" w:rsidRPr="007E77AF">
        <w:t xml:space="preserve"> no </w:t>
      </w:r>
      <w:r w:rsidR="2E441E70" w:rsidRPr="007E77AF">
        <w:t>f</w:t>
      </w:r>
      <w:r w:rsidR="008969AD" w:rsidRPr="007E77AF">
        <w:t xml:space="preserve">ormulário </w:t>
      </w:r>
      <w:r w:rsidR="26209566" w:rsidRPr="007E77AF">
        <w:t>e</w:t>
      </w:r>
      <w:r w:rsidR="008969AD" w:rsidRPr="007E77AF">
        <w:t xml:space="preserve">letrônico da </w:t>
      </w:r>
      <w:r w:rsidR="5261B5BC" w:rsidRPr="007E77AF">
        <w:t>o</w:t>
      </w:r>
      <w:r w:rsidR="008969AD" w:rsidRPr="007E77AF">
        <w:t>ferta</w:t>
      </w:r>
      <w:r w:rsidR="67756528" w:rsidRPr="007E77AF">
        <w:t>.</w:t>
      </w:r>
    </w:p>
    <w:p w14:paraId="57BDE2E9" w14:textId="01A7D0BA" w:rsidR="00D74986" w:rsidRPr="007E77AF" w:rsidRDefault="009F22BF" w:rsidP="00C64048">
      <w:pPr>
        <w:pStyle w:val="Captulo"/>
      </w:pPr>
      <w:bookmarkStart w:id="342" w:name="_Toc467256301"/>
      <w:bookmarkStart w:id="343" w:name="_Toc476216351"/>
      <w:bookmarkStart w:id="344" w:name="_Toc108516072"/>
      <w:bookmarkStart w:id="345" w:name="_Toc108203103"/>
      <w:bookmarkStart w:id="346" w:name="_Toc136502843"/>
      <w:r w:rsidRPr="007E77AF">
        <w:t xml:space="preserve">CAPÍTULO </w:t>
      </w:r>
      <w:r w:rsidR="002F429B" w:rsidRPr="007E77AF">
        <w:t>I</w:t>
      </w:r>
      <w:r w:rsidRPr="007E77AF">
        <w:t>X – ANÁLISE PRÉVIA POR ENTIDADE AUTORREGULADORA</w:t>
      </w:r>
      <w:bookmarkEnd w:id="342"/>
      <w:bookmarkEnd w:id="343"/>
      <w:bookmarkEnd w:id="344"/>
      <w:bookmarkEnd w:id="345"/>
      <w:bookmarkEnd w:id="346"/>
      <w:r w:rsidRPr="007E77AF">
        <w:t xml:space="preserve"> </w:t>
      </w:r>
    </w:p>
    <w:p w14:paraId="2F5CDFEC" w14:textId="3C74AA2F" w:rsidR="00D74986" w:rsidRPr="007E77AF" w:rsidRDefault="009069A1" w:rsidP="001353DC">
      <w:pPr>
        <w:spacing w:before="120" w:after="120" w:line="312" w:lineRule="auto"/>
        <w:ind w:firstLine="567"/>
        <w:jc w:val="both"/>
      </w:pPr>
      <w:r w:rsidRPr="007E77AF">
        <w:t xml:space="preserve">Art. </w:t>
      </w:r>
      <w:r w:rsidR="00954E28">
        <w:t>94</w:t>
      </w:r>
      <w:r w:rsidR="75480F23" w:rsidRPr="007E77AF">
        <w:t xml:space="preserve">. </w:t>
      </w:r>
      <w:r w:rsidR="00414E01" w:rsidRPr="007E77AF">
        <w:t xml:space="preserve"> </w:t>
      </w:r>
      <w:r w:rsidR="2AD8F8D7" w:rsidRPr="007E77AF">
        <w:t xml:space="preserve">Nos casos previstos nesta </w:t>
      </w:r>
      <w:r w:rsidR="0EC0FFCD" w:rsidRPr="007E77AF">
        <w:t>Resolução</w:t>
      </w:r>
      <w:r w:rsidR="2AD8F8D7" w:rsidRPr="007E77AF">
        <w:t xml:space="preserve">, é </w:t>
      </w:r>
      <w:r w:rsidR="75480F23" w:rsidRPr="007E77AF">
        <w:t xml:space="preserve">facultado aos ofertantes formular </w:t>
      </w:r>
      <w:r w:rsidR="50638921" w:rsidRPr="007E77AF">
        <w:t>requerimento</w:t>
      </w:r>
      <w:r w:rsidR="561C7DDA" w:rsidRPr="007E77AF">
        <w:t xml:space="preserve"> a entidades autorreguladoras autorizadas pela CVM para</w:t>
      </w:r>
      <w:r w:rsidR="00F2735C" w:rsidRPr="007E77AF">
        <w:t>, sob a supervisão da CVM e nos termos por ela estabelecidos,</w:t>
      </w:r>
      <w:r w:rsidR="561C7DDA" w:rsidRPr="007E77AF">
        <w:t xml:space="preserve"> </w:t>
      </w:r>
      <w:r w:rsidR="00F2735C" w:rsidRPr="007E77AF">
        <w:t>conduzir</w:t>
      </w:r>
      <w:r w:rsidR="561C7DDA" w:rsidRPr="007E77AF">
        <w:t xml:space="preserve"> </w:t>
      </w:r>
      <w:r w:rsidR="00F2735C" w:rsidRPr="007E77AF">
        <w:t>a</w:t>
      </w:r>
      <w:r w:rsidR="561C7DDA" w:rsidRPr="007E77AF">
        <w:t xml:space="preserve"> análise do requerimento de registro de oferta pública de distribuição.</w:t>
      </w:r>
    </w:p>
    <w:p w14:paraId="04A797D3" w14:textId="78586558" w:rsidR="00D74986" w:rsidRPr="007E77AF" w:rsidRDefault="009069A1" w:rsidP="001353DC">
      <w:pPr>
        <w:spacing w:before="120" w:after="120" w:line="312" w:lineRule="auto"/>
        <w:ind w:firstLine="567"/>
        <w:jc w:val="both"/>
      </w:pPr>
      <w:r w:rsidRPr="007E77AF">
        <w:t xml:space="preserve">Art. </w:t>
      </w:r>
      <w:r w:rsidR="00954E28">
        <w:t>95</w:t>
      </w:r>
      <w:r w:rsidR="0E72191A" w:rsidRPr="007E77AF">
        <w:t xml:space="preserve">.  A CVM pode celebrar convênios para </w:t>
      </w:r>
      <w:r w:rsidR="7162D016" w:rsidRPr="007E77AF">
        <w:t xml:space="preserve">a autorização da </w:t>
      </w:r>
      <w:r w:rsidR="0E72191A" w:rsidRPr="007E77AF">
        <w:t xml:space="preserve">adoção do procedimento de análise do requerimento de registro com entidades autorreguladoras que, a juízo da Autarquia, comprovem ter estrutura adequada e capacidade técnica para o cumprimento das obrigações previstas na presente </w:t>
      </w:r>
      <w:r w:rsidR="0EC0FFCD" w:rsidRPr="007E77AF">
        <w:t>Resolução</w:t>
      </w:r>
      <w:r w:rsidR="0E72191A" w:rsidRPr="007E77AF">
        <w:t>.</w:t>
      </w:r>
    </w:p>
    <w:p w14:paraId="29BC9031" w14:textId="77777777" w:rsidR="00D74986" w:rsidRPr="007E77AF" w:rsidRDefault="009F22BF" w:rsidP="00D74986">
      <w:pPr>
        <w:spacing w:before="120" w:after="120" w:line="312" w:lineRule="auto"/>
        <w:ind w:firstLine="567"/>
        <w:jc w:val="both"/>
      </w:pPr>
      <w:r w:rsidRPr="007E77AF">
        <w:t xml:space="preserve">Parágrafo único.  Os convênios de que trata o </w:t>
      </w:r>
      <w:r w:rsidRPr="007E77AF">
        <w:rPr>
          <w:b/>
        </w:rPr>
        <w:t>caput</w:t>
      </w:r>
      <w:r w:rsidRPr="007E77AF">
        <w:t xml:space="preserve"> devem estabelecer regras que tratem, no mínimo, sobre:</w:t>
      </w:r>
    </w:p>
    <w:p w14:paraId="0FEB41BB" w14:textId="77777777" w:rsidR="00D74986" w:rsidRPr="007E77AF" w:rsidRDefault="009F22BF" w:rsidP="00D74986">
      <w:pPr>
        <w:spacing w:before="120" w:after="120" w:line="312" w:lineRule="auto"/>
        <w:ind w:firstLine="567"/>
        <w:jc w:val="both"/>
      </w:pPr>
      <w:r w:rsidRPr="007E77AF">
        <w:t xml:space="preserve">I – </w:t>
      </w:r>
      <w:proofErr w:type="gramStart"/>
      <w:r w:rsidRPr="007E77AF">
        <w:t>a</w:t>
      </w:r>
      <w:proofErr w:type="gramEnd"/>
      <w:r w:rsidRPr="007E77AF">
        <w:t xml:space="preserve"> definição dos valores mobiliários sobre os quais a entidade autorreguladora pode conduzir análises prévias e produzir relatórios técnicos, para os efeitos desta </w:t>
      </w:r>
      <w:r w:rsidR="002109AE" w:rsidRPr="007E77AF">
        <w:t>Resolução</w:t>
      </w:r>
      <w:r w:rsidRPr="007E77AF">
        <w:t>;</w:t>
      </w:r>
    </w:p>
    <w:p w14:paraId="7ED7A7CF" w14:textId="50C291EF" w:rsidR="00D74986" w:rsidRPr="007E77AF" w:rsidRDefault="009F22BF" w:rsidP="00D74986">
      <w:pPr>
        <w:spacing w:before="120" w:after="120" w:line="312" w:lineRule="auto"/>
        <w:ind w:firstLine="567"/>
        <w:jc w:val="both"/>
      </w:pPr>
      <w:r w:rsidRPr="007E77AF">
        <w:t xml:space="preserve">II – </w:t>
      </w:r>
      <w:proofErr w:type="gramStart"/>
      <w:r w:rsidRPr="007E77AF">
        <w:t>os</w:t>
      </w:r>
      <w:proofErr w:type="gramEnd"/>
      <w:r w:rsidRPr="007E77AF">
        <w:t xml:space="preserve"> critérios para condução da análise;</w:t>
      </w:r>
    </w:p>
    <w:p w14:paraId="3AD3FF8E" w14:textId="77777777" w:rsidR="00D74986" w:rsidRPr="007E77AF" w:rsidRDefault="009F22BF" w:rsidP="00D74986">
      <w:pPr>
        <w:spacing w:before="120" w:after="120" w:line="312" w:lineRule="auto"/>
        <w:ind w:firstLine="567"/>
        <w:jc w:val="both"/>
      </w:pPr>
      <w:r w:rsidRPr="007E77AF">
        <w:t>III – o conteúdo mínimo do relatório técnico a ser encaminhado à CVM;</w:t>
      </w:r>
    </w:p>
    <w:p w14:paraId="694CF125" w14:textId="77777777" w:rsidR="00D74986" w:rsidRPr="007E77AF" w:rsidRDefault="009F22BF" w:rsidP="00D74986">
      <w:pPr>
        <w:spacing w:before="120" w:after="120" w:line="312" w:lineRule="auto"/>
        <w:ind w:firstLine="567"/>
        <w:jc w:val="both"/>
      </w:pPr>
      <w:r w:rsidRPr="007E77AF">
        <w:t xml:space="preserve">IV – </w:t>
      </w:r>
      <w:proofErr w:type="gramStart"/>
      <w:r w:rsidRPr="007E77AF">
        <w:t>as</w:t>
      </w:r>
      <w:proofErr w:type="gramEnd"/>
      <w:r w:rsidRPr="007E77AF">
        <w:t xml:space="preserve"> obrigações da entidade autorreguladora, inclusive em relação a:</w:t>
      </w:r>
    </w:p>
    <w:p w14:paraId="221B3EF0" w14:textId="7234E7FD" w:rsidR="00D74986" w:rsidRPr="007E77AF" w:rsidRDefault="009F22BF" w:rsidP="00D74986">
      <w:pPr>
        <w:spacing w:before="120" w:after="120" w:line="312" w:lineRule="auto"/>
        <w:ind w:firstLine="567"/>
        <w:jc w:val="both"/>
      </w:pPr>
      <w:r w:rsidRPr="007E77AF">
        <w:t xml:space="preserve">a) verificação diligente do atendimento, pelas ofertantes e </w:t>
      </w:r>
      <w:r w:rsidRPr="007E77AF" w:rsidDel="002716A8">
        <w:t xml:space="preserve">pelos </w:t>
      </w:r>
      <w:r w:rsidR="008D373A">
        <w:t>coordenadores</w:t>
      </w:r>
      <w:r w:rsidRPr="007E77AF">
        <w:t>, das leis e normas relativas ao registro pretendido;</w:t>
      </w:r>
    </w:p>
    <w:p w14:paraId="3A749CF2" w14:textId="398875CC" w:rsidR="00D74986" w:rsidRPr="007E77AF" w:rsidRDefault="009F22BF" w:rsidP="00D74986">
      <w:pPr>
        <w:spacing w:before="120" w:after="120" w:line="312" w:lineRule="auto"/>
        <w:ind w:firstLine="567"/>
        <w:jc w:val="both"/>
      </w:pPr>
      <w:r w:rsidRPr="007E77AF">
        <w:t>b) elaboração e divulgação de regras internas sobre os procedimentos e critérios de análise prévia e produção de relatório técnico;</w:t>
      </w:r>
    </w:p>
    <w:p w14:paraId="2C16591F" w14:textId="431BD6D8" w:rsidR="00D74986" w:rsidRPr="007E77AF" w:rsidRDefault="009F22BF" w:rsidP="00D74986">
      <w:pPr>
        <w:spacing w:before="120" w:after="120" w:line="312" w:lineRule="auto"/>
        <w:ind w:firstLine="567"/>
        <w:jc w:val="both"/>
      </w:pPr>
      <w:r w:rsidRPr="007E77AF">
        <w:t>c) qualificação técnica e treinamento dos prepostos que conduzirão as análises e produzirão os relatórios técnicos;</w:t>
      </w:r>
    </w:p>
    <w:p w14:paraId="0FD3A5D8" w14:textId="62B1A749" w:rsidR="00D74986" w:rsidRPr="007E77AF" w:rsidRDefault="009F22BF" w:rsidP="00D74986">
      <w:pPr>
        <w:spacing w:before="120" w:after="120" w:line="312" w:lineRule="auto"/>
        <w:ind w:firstLine="567"/>
        <w:jc w:val="both"/>
      </w:pPr>
      <w:r w:rsidRPr="007E77AF">
        <w:t xml:space="preserve">d) indenização por prejuízos causados à CVM por atos ou omissões praticados pela entidade autorreguladora ou seus prepostos no cumprimento do disposto no convênio e nesta </w:t>
      </w:r>
      <w:r w:rsidR="002109AE" w:rsidRPr="007E77AF">
        <w:t>Resolução</w:t>
      </w:r>
      <w:r w:rsidRPr="007E77AF">
        <w:t>;</w:t>
      </w:r>
    </w:p>
    <w:p w14:paraId="47239C80" w14:textId="1E610480" w:rsidR="00D74986" w:rsidRPr="007E77AF" w:rsidRDefault="009F22BF" w:rsidP="00D74986">
      <w:pPr>
        <w:spacing w:before="120" w:after="120" w:line="312" w:lineRule="auto"/>
        <w:ind w:firstLine="567"/>
        <w:jc w:val="both"/>
      </w:pPr>
      <w:r w:rsidRPr="007E77AF">
        <w:lastRenderedPageBreak/>
        <w:t>e) produção de relatórios periódicos sobre as suas atividades de análise e produção de relatórios técnicos</w:t>
      </w:r>
      <w:r w:rsidR="00894DAC" w:rsidRPr="007E77AF">
        <w:t>;</w:t>
      </w:r>
      <w:r w:rsidR="00423A18" w:rsidRPr="007E77AF">
        <w:t xml:space="preserve"> e</w:t>
      </w:r>
    </w:p>
    <w:p w14:paraId="1B3BB5B7" w14:textId="546B9008" w:rsidR="006B75A8" w:rsidRPr="007E77AF" w:rsidRDefault="00D7671D" w:rsidP="00D74986">
      <w:pPr>
        <w:spacing w:before="120" w:after="120" w:line="312" w:lineRule="auto"/>
        <w:ind w:firstLine="567"/>
        <w:jc w:val="both"/>
      </w:pPr>
      <w:r w:rsidRPr="007E77AF">
        <w:t xml:space="preserve">f) </w:t>
      </w:r>
      <w:r w:rsidR="007075B5" w:rsidRPr="007E77AF">
        <w:t>observância</w:t>
      </w:r>
      <w:r w:rsidRPr="007E77AF">
        <w:t xml:space="preserve"> dos prazos </w:t>
      </w:r>
      <w:r w:rsidR="00FB4811" w:rsidRPr="007E77AF">
        <w:t>estabelecidos pelas</w:t>
      </w:r>
      <w:r w:rsidR="00E0362B" w:rsidRPr="007E77AF">
        <w:t xml:space="preserve"> </w:t>
      </w:r>
      <w:r w:rsidR="00E0362B" w:rsidRPr="007E77AF">
        <w:rPr>
          <w:rStyle w:val="normaltextrun"/>
          <w:rFonts w:ascii="Calibri" w:hAnsi="Calibri" w:cs="Calibri"/>
          <w:bdr w:val="none" w:sz="0" w:space="0" w:color="auto" w:frame="1"/>
        </w:rPr>
        <w:t>entidades administradoras de mercados organizados</w:t>
      </w:r>
      <w:r w:rsidR="00F25168" w:rsidRPr="007E77AF">
        <w:rPr>
          <w:rStyle w:val="normaltextrun"/>
          <w:rFonts w:ascii="Calibri" w:hAnsi="Calibri" w:cs="Calibri"/>
          <w:bdr w:val="none" w:sz="0" w:space="0" w:color="auto" w:frame="1"/>
        </w:rPr>
        <w:t xml:space="preserve"> </w:t>
      </w:r>
      <w:r w:rsidR="00F554C9" w:rsidRPr="007E77AF">
        <w:rPr>
          <w:rStyle w:val="normaltextrun"/>
          <w:rFonts w:ascii="Calibri" w:hAnsi="Calibri" w:cs="Calibri"/>
          <w:bdr w:val="none" w:sz="0" w:space="0" w:color="auto" w:frame="1"/>
        </w:rPr>
        <w:t xml:space="preserve">para </w:t>
      </w:r>
      <w:r w:rsidR="00CC7C36" w:rsidRPr="007E77AF">
        <w:rPr>
          <w:rStyle w:val="normaltextrun"/>
          <w:rFonts w:ascii="Calibri" w:hAnsi="Calibri" w:cs="Calibri"/>
          <w:bdr w:val="none" w:sz="0" w:space="0" w:color="auto" w:frame="1"/>
        </w:rPr>
        <w:t xml:space="preserve">enquadramento das condições da distribuição </w:t>
      </w:r>
      <w:r w:rsidR="00920068" w:rsidRPr="007E77AF">
        <w:rPr>
          <w:rStyle w:val="normaltextrun"/>
          <w:rFonts w:ascii="Calibri" w:hAnsi="Calibri" w:cs="Calibri"/>
          <w:bdr w:val="none" w:sz="0" w:space="0" w:color="auto" w:frame="1"/>
        </w:rPr>
        <w:t>e</w:t>
      </w:r>
      <w:r w:rsidR="00CC7C36" w:rsidRPr="007E77AF">
        <w:rPr>
          <w:rStyle w:val="normaltextrun"/>
          <w:rFonts w:ascii="Calibri" w:hAnsi="Calibri" w:cs="Calibri"/>
          <w:bdr w:val="none" w:sz="0" w:space="0" w:color="auto" w:frame="1"/>
        </w:rPr>
        <w:t xml:space="preserve"> </w:t>
      </w:r>
      <w:r w:rsidR="00582B5E" w:rsidRPr="007E77AF">
        <w:rPr>
          <w:rStyle w:val="normaltextrun"/>
          <w:rFonts w:ascii="Calibri" w:hAnsi="Calibri" w:cs="Calibri"/>
          <w:bdr w:val="none" w:sz="0" w:space="0" w:color="auto" w:frame="1"/>
        </w:rPr>
        <w:t>deferimento do pedido de admissão à negociação do valor mobiliário</w:t>
      </w:r>
      <w:r w:rsidR="00E613A0">
        <w:rPr>
          <w:rStyle w:val="normaltextrun"/>
          <w:rFonts w:ascii="Calibri" w:hAnsi="Calibri" w:cs="Calibri"/>
          <w:bdr w:val="none" w:sz="0" w:space="0" w:color="auto" w:frame="1"/>
        </w:rPr>
        <w:t>;</w:t>
      </w:r>
    </w:p>
    <w:p w14:paraId="362BBE60" w14:textId="77777777" w:rsidR="00D74986" w:rsidRPr="007E77AF" w:rsidRDefault="009F22BF" w:rsidP="00D74986">
      <w:pPr>
        <w:spacing w:before="120" w:after="120" w:line="312" w:lineRule="auto"/>
        <w:ind w:firstLine="567"/>
        <w:jc w:val="both"/>
      </w:pPr>
      <w:r w:rsidRPr="007E77AF">
        <w:t xml:space="preserve">V – </w:t>
      </w:r>
      <w:proofErr w:type="gramStart"/>
      <w:r w:rsidRPr="007E77AF">
        <w:t>a</w:t>
      </w:r>
      <w:proofErr w:type="gramEnd"/>
      <w:r w:rsidRPr="007E77AF">
        <w:t xml:space="preserve"> possibilidade de fiscalização, pela CVM, da atuação da entidade autorreguladora e de seus prepostos no cumprimento do disposto no convênio e nesta </w:t>
      </w:r>
      <w:r w:rsidR="002109AE" w:rsidRPr="007E77AF">
        <w:t>Resolução</w:t>
      </w:r>
      <w:r w:rsidRPr="007E77AF">
        <w:t>; e</w:t>
      </w:r>
    </w:p>
    <w:p w14:paraId="6242711E" w14:textId="77777777" w:rsidR="00D74986" w:rsidRPr="007E77AF" w:rsidRDefault="009F22BF" w:rsidP="00D74986">
      <w:pPr>
        <w:spacing w:before="120" w:after="120" w:line="312" w:lineRule="auto"/>
        <w:ind w:firstLine="567"/>
        <w:jc w:val="both"/>
      </w:pPr>
      <w:r w:rsidRPr="007E77AF">
        <w:t xml:space="preserve">VI – </w:t>
      </w:r>
      <w:proofErr w:type="gramStart"/>
      <w:r w:rsidRPr="007E77AF">
        <w:t>as</w:t>
      </w:r>
      <w:proofErr w:type="gramEnd"/>
      <w:r w:rsidRPr="007E77AF">
        <w:t xml:space="preserve"> consequências do descumprimento do convênio pela entidade autorreguladora.</w:t>
      </w:r>
    </w:p>
    <w:p w14:paraId="348E069D" w14:textId="77777777" w:rsidR="00D74986" w:rsidRPr="007E77AF" w:rsidRDefault="002C5303" w:rsidP="00C64048">
      <w:pPr>
        <w:pStyle w:val="Captulo"/>
      </w:pPr>
      <w:bookmarkStart w:id="347" w:name="_Toc58111915"/>
      <w:bookmarkStart w:id="348" w:name="_Toc467256302"/>
      <w:bookmarkStart w:id="349" w:name="_Toc476216352"/>
      <w:bookmarkStart w:id="350" w:name="_Toc108516073"/>
      <w:bookmarkStart w:id="351" w:name="_Toc108203104"/>
      <w:bookmarkStart w:id="352" w:name="_Toc136502844"/>
      <w:r w:rsidRPr="007E77AF">
        <w:t>CAPÍTULO X – INFRAÇÃO GRAVE</w:t>
      </w:r>
      <w:bookmarkEnd w:id="347"/>
      <w:bookmarkEnd w:id="348"/>
      <w:bookmarkEnd w:id="349"/>
      <w:bookmarkEnd w:id="350"/>
      <w:bookmarkEnd w:id="351"/>
      <w:bookmarkEnd w:id="352"/>
    </w:p>
    <w:p w14:paraId="26CF1B29" w14:textId="3D816E0E" w:rsidR="00D74986" w:rsidRPr="007E77AF" w:rsidRDefault="009069A1" w:rsidP="001353DC">
      <w:pPr>
        <w:keepNext/>
        <w:spacing w:before="120" w:after="120" w:line="312" w:lineRule="auto"/>
        <w:ind w:firstLine="567"/>
        <w:jc w:val="both"/>
      </w:pPr>
      <w:r w:rsidRPr="007E77AF">
        <w:t xml:space="preserve">Art. </w:t>
      </w:r>
      <w:r w:rsidR="00954E28">
        <w:t>96</w:t>
      </w:r>
      <w:r w:rsidR="45A711D4" w:rsidRPr="007E77AF">
        <w:t xml:space="preserve">.  Considera-se infração grave, para os efeitos do § 3º do </w:t>
      </w:r>
      <w:r w:rsidR="005E051B" w:rsidRPr="007E77AF">
        <w:t>art</w:t>
      </w:r>
      <w:r w:rsidR="45A711D4" w:rsidRPr="007E77AF">
        <w:t xml:space="preserve">. 11 da Lei nº 6.385, de 1976, sem prejuízo da multa de que trata o § 1º do mesmo artigo, a </w:t>
      </w:r>
      <w:r w:rsidR="57F18729" w:rsidRPr="007E77AF">
        <w:t>oferta</w:t>
      </w:r>
      <w:r w:rsidR="00C64048" w:rsidRPr="007E77AF">
        <w:t xml:space="preserve"> pública</w:t>
      </w:r>
      <w:r w:rsidR="45A711D4" w:rsidRPr="007E77AF">
        <w:t>:</w:t>
      </w:r>
      <w:bookmarkStart w:id="353" w:name="OLE_LINK1"/>
      <w:bookmarkEnd w:id="353"/>
    </w:p>
    <w:p w14:paraId="15E58598" w14:textId="7B71AF4E" w:rsidR="006602A7" w:rsidRPr="007E77AF" w:rsidRDefault="009069A1" w:rsidP="001353DC">
      <w:pPr>
        <w:spacing w:before="120" w:after="120" w:line="312" w:lineRule="auto"/>
        <w:ind w:firstLine="567"/>
        <w:jc w:val="both"/>
      </w:pPr>
      <w:r w:rsidRPr="007E77AF">
        <w:t>I</w:t>
      </w:r>
      <w:r w:rsidR="45A711D4" w:rsidRPr="007E77AF">
        <w:t xml:space="preserve"> – </w:t>
      </w:r>
      <w:proofErr w:type="gramStart"/>
      <w:r w:rsidR="006602A7" w:rsidRPr="007E77AF">
        <w:t>realizada</w:t>
      </w:r>
      <w:proofErr w:type="gramEnd"/>
      <w:r w:rsidR="006602A7" w:rsidRPr="007E77AF">
        <w:t xml:space="preserve"> sem prévio registro ou dispensa da CVM;</w:t>
      </w:r>
    </w:p>
    <w:p w14:paraId="38674C85" w14:textId="2354F860" w:rsidR="006602A7" w:rsidRPr="007E77AF" w:rsidRDefault="009069A1" w:rsidP="001353DC">
      <w:pPr>
        <w:spacing w:before="120" w:after="120" w:line="312" w:lineRule="auto"/>
        <w:ind w:firstLine="567"/>
        <w:jc w:val="both"/>
      </w:pPr>
      <w:r w:rsidRPr="007E77AF">
        <w:t>II</w:t>
      </w:r>
      <w:r w:rsidR="006602A7" w:rsidRPr="007E77AF">
        <w:t xml:space="preserve"> – </w:t>
      </w:r>
      <w:proofErr w:type="gramStart"/>
      <w:r w:rsidR="006602A7" w:rsidRPr="007E77AF">
        <w:t>realizada</w:t>
      </w:r>
      <w:proofErr w:type="gramEnd"/>
      <w:r w:rsidR="006602A7" w:rsidRPr="007E77AF">
        <w:t xml:space="preserve"> por meio de </w:t>
      </w:r>
      <w:r w:rsidR="002F16A3" w:rsidRPr="007E77AF">
        <w:t>rito de registro</w:t>
      </w:r>
      <w:r w:rsidR="006602A7" w:rsidRPr="007E77AF">
        <w:t xml:space="preserve"> automático sem atendimento das condições impostas por esta Resolução;</w:t>
      </w:r>
    </w:p>
    <w:p w14:paraId="1037CB50" w14:textId="2967DF30" w:rsidR="00D74986" w:rsidRPr="007E77AF" w:rsidRDefault="009069A1" w:rsidP="001353DC">
      <w:pPr>
        <w:spacing w:before="120" w:after="120" w:line="312" w:lineRule="auto"/>
        <w:ind w:firstLine="567"/>
        <w:jc w:val="both"/>
      </w:pPr>
      <w:r w:rsidRPr="007E77AF">
        <w:t>III</w:t>
      </w:r>
      <w:r w:rsidR="006602A7" w:rsidRPr="007E77AF">
        <w:t xml:space="preserve"> – </w:t>
      </w:r>
      <w:r w:rsidR="45A711D4" w:rsidRPr="007E77AF">
        <w:t>que se esteja processando em condições diversas das constantes no registro</w:t>
      </w:r>
      <w:r w:rsidR="00090A96" w:rsidRPr="007E77AF">
        <w:t xml:space="preserve"> </w:t>
      </w:r>
      <w:r w:rsidR="00BC0486" w:rsidRPr="007E77AF">
        <w:t>ou que deixem</w:t>
      </w:r>
      <w:r w:rsidR="00927D50" w:rsidRPr="007E77AF">
        <w:t xml:space="preserve"> de </w:t>
      </w:r>
      <w:r w:rsidR="00A866E7" w:rsidRPr="007E77AF">
        <w:t xml:space="preserve">observar </w:t>
      </w:r>
      <w:r w:rsidR="00927D50" w:rsidRPr="007E77AF">
        <w:t>condições constantes no registro que permaneçam válidas mesmo após encerrada a oferta</w:t>
      </w:r>
      <w:r w:rsidR="45A711D4" w:rsidRPr="007E77AF">
        <w:t>;</w:t>
      </w:r>
      <w:r w:rsidR="57F18729" w:rsidRPr="007E77AF">
        <w:t xml:space="preserve"> </w:t>
      </w:r>
      <w:r w:rsidR="00E613A0">
        <w:t>e</w:t>
      </w:r>
    </w:p>
    <w:p w14:paraId="2479BFDC" w14:textId="3B29AC7B" w:rsidR="00D74986" w:rsidRPr="00C67B81" w:rsidRDefault="00914F7E" w:rsidP="00C67B81">
      <w:pPr>
        <w:spacing w:before="120" w:after="120" w:line="312" w:lineRule="auto"/>
        <w:ind w:firstLine="567"/>
        <w:jc w:val="both"/>
        <w:rPr>
          <w:highlight w:val="yellow"/>
        </w:rPr>
      </w:pPr>
      <w:r w:rsidRPr="007E77AF">
        <w:t xml:space="preserve">IV </w:t>
      </w:r>
      <w:r w:rsidR="45A711D4" w:rsidRPr="007E77AF">
        <w:t xml:space="preserve">– </w:t>
      </w:r>
      <w:proofErr w:type="gramStart"/>
      <w:r w:rsidR="57F18729" w:rsidRPr="007E77AF">
        <w:t>realizada</w:t>
      </w:r>
      <w:proofErr w:type="gramEnd"/>
      <w:r w:rsidR="57F18729" w:rsidRPr="007E77AF">
        <w:t xml:space="preserve"> </w:t>
      </w:r>
      <w:r w:rsidR="45A711D4" w:rsidRPr="007E77AF">
        <w:t>em inobservância ao disposto no</w:t>
      </w:r>
      <w:r w:rsidR="704C2B6E" w:rsidRPr="007E77AF">
        <w:t>s</w:t>
      </w:r>
      <w:r w:rsidR="45A711D4" w:rsidRPr="007E77AF">
        <w:t xml:space="preserve"> </w:t>
      </w:r>
      <w:proofErr w:type="spellStart"/>
      <w:r w:rsidR="45A711D4" w:rsidRPr="007E77AF">
        <w:t>art</w:t>
      </w:r>
      <w:r w:rsidR="704C2B6E" w:rsidRPr="007E77AF">
        <w:t>s</w:t>
      </w:r>
      <w:proofErr w:type="spellEnd"/>
      <w:r w:rsidR="45A711D4" w:rsidRPr="007E77AF">
        <w:t>.</w:t>
      </w:r>
      <w:r w:rsidR="57F18729" w:rsidRPr="007E77AF">
        <w:t xml:space="preserve"> </w:t>
      </w:r>
      <w:r w:rsidR="0086760A" w:rsidRPr="007E77AF">
        <w:t>4</w:t>
      </w:r>
      <w:r w:rsidR="4682D833" w:rsidRPr="007E77AF">
        <w:t>º</w:t>
      </w:r>
      <w:r w:rsidR="57F18729" w:rsidRPr="007E77AF">
        <w:t xml:space="preserve">, </w:t>
      </w:r>
      <w:r w:rsidR="0086760A" w:rsidRPr="007E77AF">
        <w:t>5</w:t>
      </w:r>
      <w:r w:rsidR="4682D833" w:rsidRPr="007E77AF">
        <w:t>º</w:t>
      </w:r>
      <w:r w:rsidR="57F18729" w:rsidRPr="007E77AF">
        <w:t xml:space="preserve">, </w:t>
      </w:r>
      <w:r w:rsidR="0086760A" w:rsidRPr="007E77AF">
        <w:t>6</w:t>
      </w:r>
      <w:r w:rsidR="4682D833" w:rsidRPr="007E77AF">
        <w:t>º</w:t>
      </w:r>
      <w:r w:rsidR="57F18729" w:rsidRPr="007E77AF">
        <w:t>, §§ 2</w:t>
      </w:r>
      <w:r w:rsidR="4682D833" w:rsidRPr="007E77AF">
        <w:t>º</w:t>
      </w:r>
      <w:r w:rsidR="57F18729" w:rsidRPr="007E77AF">
        <w:t xml:space="preserve"> e 4</w:t>
      </w:r>
      <w:r w:rsidR="4682D833" w:rsidRPr="007E77AF">
        <w:t>º</w:t>
      </w:r>
      <w:r w:rsidR="57F18729" w:rsidRPr="007E77AF">
        <w:t>,</w:t>
      </w:r>
      <w:r w:rsidR="00B87582" w:rsidRPr="007E77AF">
        <w:t xml:space="preserve"> </w:t>
      </w:r>
      <w:r w:rsidR="0086760A" w:rsidRPr="007E77AF">
        <w:t>7</w:t>
      </w:r>
      <w:r w:rsidR="00B87582" w:rsidRPr="007E77AF">
        <w:t>º</w:t>
      </w:r>
      <w:r w:rsidR="57F18729" w:rsidRPr="007E77AF">
        <w:t xml:space="preserve">, </w:t>
      </w:r>
      <w:r w:rsidR="0086760A" w:rsidRPr="007E77AF">
        <w:t>9</w:t>
      </w:r>
      <w:r w:rsidR="00127439" w:rsidRPr="007E77AF">
        <w:t>º</w:t>
      </w:r>
      <w:r w:rsidR="00F94478" w:rsidRPr="007E77AF">
        <w:t xml:space="preserve">, </w:t>
      </w:r>
      <w:r w:rsidR="0086760A" w:rsidRPr="007E77AF">
        <w:t>11</w:t>
      </w:r>
      <w:r w:rsidR="00F94478" w:rsidRPr="007E77AF">
        <w:t xml:space="preserve"> a </w:t>
      </w:r>
      <w:r w:rsidR="0086760A" w:rsidRPr="007E77AF">
        <w:t>13</w:t>
      </w:r>
      <w:r w:rsidR="00F94478" w:rsidRPr="007E77AF">
        <w:t xml:space="preserve">, </w:t>
      </w:r>
      <w:r w:rsidR="0086760A" w:rsidRPr="007E77AF">
        <w:t>16</w:t>
      </w:r>
      <w:r w:rsidR="00F94478" w:rsidRPr="007E77AF">
        <w:t xml:space="preserve">, </w:t>
      </w:r>
      <w:r w:rsidR="0086760A" w:rsidRPr="007E77AF">
        <w:t>17</w:t>
      </w:r>
      <w:r w:rsidR="00A75CED" w:rsidRPr="007E77AF">
        <w:t>,</w:t>
      </w:r>
      <w:r w:rsidR="00F94478" w:rsidRPr="007E77AF">
        <w:t xml:space="preserve"> </w:t>
      </w:r>
      <w:r w:rsidR="00F94478" w:rsidRPr="007E77AF">
        <w:rPr>
          <w:b/>
        </w:rPr>
        <w:t>caput</w:t>
      </w:r>
      <w:r w:rsidR="00F94478" w:rsidRPr="007E77AF">
        <w:t xml:space="preserve">, incisos I a VII, §§ 4º, 6º, e </w:t>
      </w:r>
      <w:r w:rsidR="003868A0" w:rsidRPr="007E77AF">
        <w:t>8</w:t>
      </w:r>
      <w:r w:rsidR="00F94478" w:rsidRPr="007E77AF">
        <w:t xml:space="preserve">º, </w:t>
      </w:r>
      <w:r w:rsidR="0086760A" w:rsidRPr="007E77AF">
        <w:t>18</w:t>
      </w:r>
      <w:r w:rsidR="00F94478" w:rsidRPr="007E77AF">
        <w:t xml:space="preserve"> a </w:t>
      </w:r>
      <w:r w:rsidR="0086760A" w:rsidRPr="007E77AF">
        <w:t>22</w:t>
      </w:r>
      <w:r w:rsidR="00F94478" w:rsidRPr="007E77AF">
        <w:t xml:space="preserve">, </w:t>
      </w:r>
      <w:r w:rsidR="0086760A" w:rsidRPr="007E77AF">
        <w:t>23</w:t>
      </w:r>
      <w:r w:rsidR="00F94478" w:rsidRPr="007E77AF">
        <w:t xml:space="preserve">, §§ 2º a 4º, </w:t>
      </w:r>
      <w:r w:rsidR="0086760A" w:rsidRPr="007E77AF">
        <w:t>24</w:t>
      </w:r>
      <w:r w:rsidR="00F94478" w:rsidRPr="007E77AF">
        <w:t xml:space="preserve">, </w:t>
      </w:r>
      <w:r w:rsidR="00F94478" w:rsidRPr="007E77AF">
        <w:rPr>
          <w:b/>
        </w:rPr>
        <w:t>caput</w:t>
      </w:r>
      <w:r w:rsidR="00F94478" w:rsidRPr="007E77AF">
        <w:t xml:space="preserve">, §§ 1º e 3º, </w:t>
      </w:r>
      <w:r w:rsidR="0086760A" w:rsidRPr="007E77AF">
        <w:t>27</w:t>
      </w:r>
      <w:r w:rsidR="00F94478" w:rsidRPr="007E77AF">
        <w:t xml:space="preserve">, §§ 6º e </w:t>
      </w:r>
      <w:r w:rsidR="00597656" w:rsidRPr="007E77AF">
        <w:t>8</w:t>
      </w:r>
      <w:r w:rsidR="00F94478" w:rsidRPr="007E77AF">
        <w:t xml:space="preserve">º, </w:t>
      </w:r>
      <w:r w:rsidR="0086760A" w:rsidRPr="007E77AF">
        <w:t>35</w:t>
      </w:r>
      <w:r w:rsidR="00A75CED" w:rsidRPr="007E77AF">
        <w:t xml:space="preserve">, </w:t>
      </w:r>
      <w:r w:rsidR="00A75CED" w:rsidRPr="007E77AF">
        <w:rPr>
          <w:b/>
        </w:rPr>
        <w:t>caput</w:t>
      </w:r>
      <w:r w:rsidR="00CE5BEB" w:rsidRPr="007E77AF">
        <w:t xml:space="preserve">, </w:t>
      </w:r>
      <w:r w:rsidR="0086760A" w:rsidRPr="007E77AF">
        <w:t>45</w:t>
      </w:r>
      <w:r w:rsidR="00F94478" w:rsidRPr="007E77AF">
        <w:t xml:space="preserve">, </w:t>
      </w:r>
      <w:r w:rsidR="0086760A" w:rsidRPr="007E77AF">
        <w:t>49</w:t>
      </w:r>
      <w:r w:rsidR="57F18729" w:rsidRPr="007E77AF">
        <w:t xml:space="preserve">, </w:t>
      </w:r>
      <w:r w:rsidR="00C73828" w:rsidRPr="007E77AF">
        <w:t>p</w:t>
      </w:r>
      <w:r w:rsidR="00AF21FF" w:rsidRPr="007E77AF">
        <w:t>arágrafo único</w:t>
      </w:r>
      <w:r w:rsidR="57F18729" w:rsidRPr="007E77AF">
        <w:t xml:space="preserve">, </w:t>
      </w:r>
      <w:r w:rsidR="0086760A" w:rsidRPr="007E77AF">
        <w:t>50</w:t>
      </w:r>
      <w:r w:rsidR="00F94478" w:rsidRPr="007E77AF">
        <w:t xml:space="preserve">, </w:t>
      </w:r>
      <w:r w:rsidR="0086760A" w:rsidRPr="007E77AF">
        <w:t>51</w:t>
      </w:r>
      <w:r w:rsidR="00F94478" w:rsidRPr="007E77AF">
        <w:t>,</w:t>
      </w:r>
      <w:r w:rsidR="00D60A61" w:rsidRPr="007E77AF">
        <w:t xml:space="preserve"> </w:t>
      </w:r>
      <w:r w:rsidR="0086760A" w:rsidRPr="007E77AF">
        <w:t>53</w:t>
      </w:r>
      <w:r w:rsidR="00F94478" w:rsidRPr="007E77AF">
        <w:t xml:space="preserve">, </w:t>
      </w:r>
      <w:r w:rsidR="00A95AC3" w:rsidRPr="007E77AF">
        <w:t>5</w:t>
      </w:r>
      <w:r w:rsidR="00A95AC3">
        <w:t>4</w:t>
      </w:r>
      <w:r w:rsidR="00F94478" w:rsidRPr="007E77AF">
        <w:t xml:space="preserve">, </w:t>
      </w:r>
      <w:r w:rsidR="0086760A" w:rsidRPr="007E77AF">
        <w:t>56</w:t>
      </w:r>
      <w:r w:rsidR="00F94478" w:rsidRPr="007E77AF">
        <w:t xml:space="preserve">, </w:t>
      </w:r>
      <w:r w:rsidR="00A95AC3" w:rsidRPr="007E77AF">
        <w:t>5</w:t>
      </w:r>
      <w:r w:rsidR="00A95AC3">
        <w:t>7</w:t>
      </w:r>
      <w:r w:rsidR="00F94478" w:rsidRPr="007E77AF">
        <w:t xml:space="preserve">, §§ 2º a 4º, </w:t>
      </w:r>
      <w:r w:rsidR="0086760A" w:rsidRPr="007E77AF">
        <w:t>58</w:t>
      </w:r>
      <w:r w:rsidR="4682D833" w:rsidRPr="007E77AF">
        <w:t xml:space="preserve">, </w:t>
      </w:r>
      <w:r w:rsidR="0086760A" w:rsidRPr="007E77AF">
        <w:t>59</w:t>
      </w:r>
      <w:r w:rsidR="4682D833" w:rsidRPr="007E77AF">
        <w:t>,</w:t>
      </w:r>
      <w:r w:rsidR="005A7A96" w:rsidRPr="007E77AF">
        <w:t xml:space="preserve"> </w:t>
      </w:r>
      <w:r w:rsidR="0086760A" w:rsidRPr="007E77AF">
        <w:t>60</w:t>
      </w:r>
      <w:r w:rsidR="005A7A96" w:rsidRPr="007E77AF">
        <w:t xml:space="preserve">, </w:t>
      </w:r>
      <w:r w:rsidR="00A95AC3" w:rsidRPr="007E77AF">
        <w:t>6</w:t>
      </w:r>
      <w:r w:rsidR="00A95AC3">
        <w:t>1</w:t>
      </w:r>
      <w:r w:rsidR="005A7A96" w:rsidRPr="007E77AF">
        <w:t xml:space="preserve">, </w:t>
      </w:r>
      <w:r w:rsidR="005A7A96" w:rsidRPr="007E77AF">
        <w:rPr>
          <w:b/>
        </w:rPr>
        <w:t>caput</w:t>
      </w:r>
      <w:r w:rsidR="005A7A96" w:rsidRPr="007E77AF">
        <w:t>,</w:t>
      </w:r>
      <w:r w:rsidR="00536105" w:rsidRPr="007E77AF">
        <w:t xml:space="preserve"> </w:t>
      </w:r>
      <w:r w:rsidR="0086760A" w:rsidRPr="007E77AF">
        <w:t>62</w:t>
      </w:r>
      <w:r w:rsidR="4682D833" w:rsidRPr="007E77AF">
        <w:t xml:space="preserve">, </w:t>
      </w:r>
      <w:r w:rsidR="0086760A" w:rsidRPr="007E77AF">
        <w:t>63</w:t>
      </w:r>
      <w:r w:rsidR="4682D833" w:rsidRPr="007E77AF">
        <w:t>,</w:t>
      </w:r>
      <w:r w:rsidR="00F3730A" w:rsidRPr="007E77AF">
        <w:t xml:space="preserve"> </w:t>
      </w:r>
      <w:r w:rsidR="00224B0E" w:rsidRPr="007E77AF">
        <w:t>6</w:t>
      </w:r>
      <w:r w:rsidR="00224B0E">
        <w:t>4</w:t>
      </w:r>
      <w:r w:rsidR="4682D833" w:rsidRPr="007E77AF">
        <w:t xml:space="preserve">, </w:t>
      </w:r>
      <w:r w:rsidR="00224B0E" w:rsidRPr="007E77AF">
        <w:t>6</w:t>
      </w:r>
      <w:r w:rsidR="00224B0E">
        <w:t>5</w:t>
      </w:r>
      <w:r w:rsidR="4682D833" w:rsidRPr="007E77AF">
        <w:t>,</w:t>
      </w:r>
      <w:r w:rsidR="00F3730A" w:rsidRPr="007E77AF">
        <w:t xml:space="preserve"> </w:t>
      </w:r>
      <w:r w:rsidR="00224B0E" w:rsidRPr="007E77AF">
        <w:t>6</w:t>
      </w:r>
      <w:r w:rsidR="00224B0E">
        <w:t>8</w:t>
      </w:r>
      <w:r w:rsidR="4682D833" w:rsidRPr="007E77AF">
        <w:t xml:space="preserve">, </w:t>
      </w:r>
      <w:r w:rsidR="0086760A" w:rsidRPr="007E77AF">
        <w:t>69</w:t>
      </w:r>
      <w:r w:rsidR="4682D833" w:rsidRPr="007E77AF">
        <w:t xml:space="preserve">, </w:t>
      </w:r>
      <w:r w:rsidR="0086760A" w:rsidRPr="007E77AF">
        <w:t>71</w:t>
      </w:r>
      <w:r w:rsidR="00256800" w:rsidRPr="007E77AF">
        <w:t>,</w:t>
      </w:r>
      <w:r w:rsidR="4682D833" w:rsidRPr="007E77AF">
        <w:t xml:space="preserve"> </w:t>
      </w:r>
      <w:r w:rsidR="00224B0E" w:rsidRPr="007E77AF">
        <w:t>7</w:t>
      </w:r>
      <w:r w:rsidR="00224B0E">
        <w:t>3</w:t>
      </w:r>
      <w:r w:rsidR="00256800" w:rsidRPr="007E77AF">
        <w:t>,</w:t>
      </w:r>
      <w:r w:rsidR="4682D833" w:rsidRPr="007E77AF">
        <w:t xml:space="preserve"> </w:t>
      </w:r>
      <w:r w:rsidR="4682D833" w:rsidRPr="007E77AF">
        <w:rPr>
          <w:b/>
        </w:rPr>
        <w:t>caput</w:t>
      </w:r>
      <w:r w:rsidR="4682D833" w:rsidRPr="007E77AF">
        <w:t xml:space="preserve"> e §§ 1º e 3º, </w:t>
      </w:r>
      <w:r w:rsidR="00A95AC3" w:rsidRPr="007E77AF">
        <w:t>7</w:t>
      </w:r>
      <w:r w:rsidR="00A95AC3">
        <w:t>7</w:t>
      </w:r>
      <w:r w:rsidR="4682D833" w:rsidRPr="007E77AF">
        <w:t xml:space="preserve">, </w:t>
      </w:r>
      <w:r w:rsidR="00A95AC3">
        <w:t>parágrafo único</w:t>
      </w:r>
      <w:r w:rsidR="00F94478" w:rsidRPr="007E77AF">
        <w:t xml:space="preserve">, </w:t>
      </w:r>
      <w:r w:rsidR="0086760A" w:rsidRPr="007E77AF">
        <w:t>78</w:t>
      </w:r>
      <w:r w:rsidR="4682D833" w:rsidRPr="007E77AF">
        <w:t xml:space="preserve">, </w:t>
      </w:r>
      <w:r w:rsidR="0086760A" w:rsidRPr="007E77AF">
        <w:t>80</w:t>
      </w:r>
      <w:r w:rsidR="4682D833" w:rsidRPr="007E77AF">
        <w:t>,</w:t>
      </w:r>
      <w:r w:rsidR="009F38F9" w:rsidRPr="007E77AF">
        <w:t xml:space="preserve"> </w:t>
      </w:r>
      <w:r w:rsidR="00A95AC3" w:rsidRPr="007E77AF">
        <w:t>8</w:t>
      </w:r>
      <w:r w:rsidR="00A95AC3">
        <w:t>3</w:t>
      </w:r>
      <w:r w:rsidR="00CA719E" w:rsidRPr="007E77AF">
        <w:t xml:space="preserve">, </w:t>
      </w:r>
      <w:r w:rsidR="0086760A" w:rsidRPr="007E77AF">
        <w:t>84</w:t>
      </w:r>
      <w:r w:rsidR="009F38F9" w:rsidRPr="007E77AF">
        <w:t>,</w:t>
      </w:r>
      <w:r w:rsidR="4682D833" w:rsidRPr="007E77AF">
        <w:t xml:space="preserve"> </w:t>
      </w:r>
      <w:r w:rsidR="00A95AC3" w:rsidRPr="007E77AF">
        <w:t>8</w:t>
      </w:r>
      <w:r w:rsidR="00A95AC3">
        <w:t>6</w:t>
      </w:r>
      <w:r w:rsidR="00CA719E" w:rsidRPr="007E77AF">
        <w:t xml:space="preserve">, </w:t>
      </w:r>
      <w:r w:rsidR="00A95AC3" w:rsidRPr="007E77AF">
        <w:t>8</w:t>
      </w:r>
      <w:r w:rsidR="00A95AC3">
        <w:t>8</w:t>
      </w:r>
      <w:r w:rsidR="4682D833" w:rsidRPr="007E77AF">
        <w:t xml:space="preserve"> e </w:t>
      </w:r>
      <w:r w:rsidR="00A95AC3" w:rsidRPr="007E77AF">
        <w:t>8</w:t>
      </w:r>
      <w:r w:rsidR="00A95AC3">
        <w:t>9</w:t>
      </w:r>
      <w:r w:rsidR="4682D833" w:rsidRPr="007E77AF">
        <w:t>.</w:t>
      </w:r>
    </w:p>
    <w:p w14:paraId="42F2EF9A" w14:textId="5FD8FB68" w:rsidR="00D74986" w:rsidRPr="007E77AF" w:rsidRDefault="00A253DB" w:rsidP="00C64048">
      <w:pPr>
        <w:pStyle w:val="Captulo"/>
      </w:pPr>
      <w:bookmarkStart w:id="354" w:name="_Toc58111916"/>
      <w:bookmarkStart w:id="355" w:name="_Toc467256303"/>
      <w:bookmarkStart w:id="356" w:name="_Toc476216353"/>
      <w:bookmarkStart w:id="357" w:name="_Toc108203105"/>
      <w:bookmarkStart w:id="358" w:name="_Toc108516074"/>
      <w:bookmarkStart w:id="359" w:name="_Toc136502845"/>
      <w:r w:rsidRPr="007E77AF">
        <w:t>CAPÍTULO XI - DISPOSIÇÕES FINAIS</w:t>
      </w:r>
      <w:bookmarkEnd w:id="354"/>
      <w:bookmarkEnd w:id="355"/>
      <w:bookmarkEnd w:id="356"/>
      <w:bookmarkEnd w:id="357"/>
      <w:r w:rsidR="00161088">
        <w:t xml:space="preserve"> e transitórias</w:t>
      </w:r>
      <w:bookmarkEnd w:id="358"/>
      <w:bookmarkEnd w:id="359"/>
    </w:p>
    <w:p w14:paraId="77C54621" w14:textId="329893AB" w:rsidR="00506DAF" w:rsidRDefault="00506DAF" w:rsidP="001353DC">
      <w:pPr>
        <w:keepNext/>
        <w:spacing w:before="120" w:after="120" w:line="312" w:lineRule="auto"/>
        <w:ind w:firstLine="567"/>
        <w:jc w:val="both"/>
      </w:pPr>
      <w:r>
        <w:t xml:space="preserve">Art. </w:t>
      </w:r>
      <w:r w:rsidR="00A9618D">
        <w:t>97</w:t>
      </w:r>
      <w:r>
        <w:t xml:space="preserve">.  </w:t>
      </w:r>
      <w:r w:rsidR="008D55B0">
        <w:rPr>
          <w:rFonts w:ascii="Calibri" w:hAnsi="Calibri" w:cs="Calibri"/>
          <w:color w:val="000000"/>
          <w:shd w:val="clear" w:color="auto" w:fill="FFFFFF"/>
        </w:rPr>
        <w:t>Nos casos de ofertas de valores mobiliários cujo registro, nos termos da norma específica que estabelece o regimento interno da CVM, caiba a superintendência diversa da SRE, as menções desta resolução à SRE aplicam-se à superintendência competente para analisar a oferta.</w:t>
      </w:r>
    </w:p>
    <w:p w14:paraId="25053F29" w14:textId="7A9F79D6" w:rsidR="00822CCB" w:rsidRPr="007E77AF" w:rsidRDefault="009069A1" w:rsidP="001353DC">
      <w:pPr>
        <w:keepNext/>
        <w:spacing w:before="120" w:after="120" w:line="312" w:lineRule="auto"/>
        <w:ind w:firstLine="567"/>
        <w:jc w:val="both"/>
      </w:pPr>
      <w:r w:rsidRPr="007E77AF">
        <w:t xml:space="preserve">Art. </w:t>
      </w:r>
      <w:r w:rsidR="00A9618D">
        <w:t>98</w:t>
      </w:r>
      <w:r w:rsidR="78C5BE88" w:rsidRPr="007E77AF">
        <w:t xml:space="preserve">.  </w:t>
      </w:r>
      <w:r w:rsidR="00822CCB" w:rsidRPr="007E77AF">
        <w:t>Ficam revogadas as seguintes instruções:</w:t>
      </w:r>
    </w:p>
    <w:p w14:paraId="4C845E8F" w14:textId="5311FBA1" w:rsidR="00580191" w:rsidRPr="007E77AF" w:rsidRDefault="003D678E" w:rsidP="001353DC">
      <w:pPr>
        <w:spacing w:before="120" w:after="120" w:line="312" w:lineRule="auto"/>
        <w:ind w:firstLine="567"/>
        <w:jc w:val="both"/>
      </w:pPr>
      <w:r w:rsidRPr="007E77AF">
        <w:t>I</w:t>
      </w:r>
      <w:r w:rsidR="00580191" w:rsidRPr="007E77AF">
        <w:t xml:space="preserve"> </w:t>
      </w:r>
      <w:r w:rsidR="00C64048" w:rsidRPr="007E77AF">
        <w:t>–</w:t>
      </w:r>
      <w:r w:rsidR="78C5BE88" w:rsidRPr="007E77AF">
        <w:t xml:space="preserve"> </w:t>
      </w:r>
      <w:r w:rsidR="00580191" w:rsidRPr="007E77AF">
        <w:t xml:space="preserve">Instrução </w:t>
      </w:r>
      <w:r w:rsidR="78C5BE88" w:rsidRPr="007E77AF">
        <w:t>CVM nº 400, de 29 de dezembro de 2003</w:t>
      </w:r>
      <w:r w:rsidR="00C64048" w:rsidRPr="007E77AF">
        <w:t>;</w:t>
      </w:r>
    </w:p>
    <w:p w14:paraId="30738F15" w14:textId="73EF371C" w:rsidR="00580191" w:rsidRPr="007E77AF" w:rsidRDefault="003D678E" w:rsidP="001353DC">
      <w:pPr>
        <w:spacing w:before="120" w:after="120" w:line="312" w:lineRule="auto"/>
        <w:ind w:firstLine="567"/>
        <w:jc w:val="both"/>
      </w:pPr>
      <w:r w:rsidRPr="007E77AF">
        <w:t>II</w:t>
      </w:r>
      <w:r w:rsidR="00580191" w:rsidRPr="007E77AF">
        <w:t xml:space="preserve"> </w:t>
      </w:r>
      <w:r w:rsidR="00C64048" w:rsidRPr="007E77AF">
        <w:t>–</w:t>
      </w:r>
      <w:r w:rsidR="00580191" w:rsidRPr="007E77AF">
        <w:t xml:space="preserve"> Instrução </w:t>
      </w:r>
      <w:r w:rsidR="1112F058" w:rsidRPr="007E77AF">
        <w:t>CVM nº 471, de 8 de agosto de 2008</w:t>
      </w:r>
    </w:p>
    <w:p w14:paraId="1834B5C3" w14:textId="3B223564" w:rsidR="00580191" w:rsidRPr="007E77AF" w:rsidRDefault="00596EA8" w:rsidP="001353DC">
      <w:pPr>
        <w:spacing w:before="120" w:after="120" w:line="312" w:lineRule="auto"/>
        <w:ind w:firstLine="567"/>
        <w:jc w:val="both"/>
      </w:pPr>
      <w:r w:rsidRPr="007E77AF">
        <w:lastRenderedPageBreak/>
        <w:t>III</w:t>
      </w:r>
      <w:r w:rsidR="00580191" w:rsidRPr="007E77AF">
        <w:t xml:space="preserve"> </w:t>
      </w:r>
      <w:r w:rsidR="00C64048" w:rsidRPr="007E77AF">
        <w:t>–</w:t>
      </w:r>
      <w:r w:rsidR="00580191" w:rsidRPr="007E77AF">
        <w:t xml:space="preserve"> Instrução CVM nº 476, de 16 de janeiro de 2009</w:t>
      </w:r>
      <w:r w:rsidR="000B462A" w:rsidRPr="007E77AF">
        <w:t>;</w:t>
      </w:r>
      <w:r w:rsidR="00821B67" w:rsidRPr="007E77AF">
        <w:t xml:space="preserve"> e</w:t>
      </w:r>
    </w:p>
    <w:p w14:paraId="0D3BDDC3" w14:textId="64D6ED33" w:rsidR="008A575B" w:rsidRPr="007E77AF" w:rsidRDefault="00596EA8" w:rsidP="00AF6DDB">
      <w:pPr>
        <w:pStyle w:val="PargrafodaLista"/>
        <w:spacing w:before="120" w:after="120" w:line="312" w:lineRule="auto"/>
        <w:ind w:left="567"/>
        <w:jc w:val="both"/>
      </w:pPr>
      <w:r w:rsidRPr="007E77AF">
        <w:t>IV</w:t>
      </w:r>
      <w:r w:rsidR="00291399" w:rsidRPr="007E77AF">
        <w:t xml:space="preserve"> – Instrução CVM nº</w:t>
      </w:r>
      <w:r w:rsidR="00456BF5" w:rsidRPr="007E77AF">
        <w:t xml:space="preserve"> </w:t>
      </w:r>
      <w:r w:rsidR="00310928" w:rsidRPr="007E77AF">
        <w:t>530,</w:t>
      </w:r>
      <w:r w:rsidR="00456BF5" w:rsidRPr="007E77AF">
        <w:t xml:space="preserve"> de </w:t>
      </w:r>
      <w:r w:rsidR="00833A4E" w:rsidRPr="007E77AF">
        <w:t>22 de novembro de 2012</w:t>
      </w:r>
      <w:r w:rsidR="00546875" w:rsidRPr="007E77AF">
        <w:t>.</w:t>
      </w:r>
    </w:p>
    <w:p w14:paraId="64B79495" w14:textId="2265E84E" w:rsidR="00580191" w:rsidRPr="007E77AF" w:rsidRDefault="009069A1" w:rsidP="001353DC">
      <w:pPr>
        <w:keepNext/>
        <w:spacing w:before="120" w:after="120" w:line="312" w:lineRule="auto"/>
        <w:ind w:firstLine="567"/>
        <w:jc w:val="both"/>
      </w:pPr>
      <w:r w:rsidRPr="007E77AF">
        <w:t xml:space="preserve">Art. </w:t>
      </w:r>
      <w:r w:rsidR="00A9618D">
        <w:t>99</w:t>
      </w:r>
      <w:r w:rsidR="00AD5B2E" w:rsidRPr="007E77AF">
        <w:t xml:space="preserve">. </w:t>
      </w:r>
      <w:r w:rsidR="00580191" w:rsidRPr="007E77AF">
        <w:t xml:space="preserve"> Ficam revogadas as seguintes deliberações:</w:t>
      </w:r>
    </w:p>
    <w:p w14:paraId="210B0C4E" w14:textId="109F872D" w:rsidR="00580191" w:rsidRPr="007E77AF" w:rsidRDefault="00A4782C" w:rsidP="001353DC">
      <w:pPr>
        <w:spacing w:before="120" w:after="120" w:line="312" w:lineRule="auto"/>
        <w:ind w:firstLine="567"/>
        <w:jc w:val="both"/>
      </w:pPr>
      <w:r w:rsidRPr="007E77AF">
        <w:t>I</w:t>
      </w:r>
      <w:r w:rsidR="00580191" w:rsidRPr="007E77AF">
        <w:t xml:space="preserve"> </w:t>
      </w:r>
      <w:proofErr w:type="gramStart"/>
      <w:r w:rsidR="00C64048" w:rsidRPr="007E77AF">
        <w:t>–</w:t>
      </w:r>
      <w:r w:rsidR="00580191" w:rsidRPr="007E77AF">
        <w:t xml:space="preserve"> </w:t>
      </w:r>
      <w:r w:rsidR="1112F058" w:rsidRPr="007E77AF">
        <w:t xml:space="preserve"> Deliberaç</w:t>
      </w:r>
      <w:r w:rsidR="00580191" w:rsidRPr="007E77AF">
        <w:t>ão</w:t>
      </w:r>
      <w:proofErr w:type="gramEnd"/>
      <w:r w:rsidR="1112F058" w:rsidRPr="007E77AF">
        <w:t xml:space="preserve"> CVM </w:t>
      </w:r>
      <w:r w:rsidR="4BF9F4D7" w:rsidRPr="007E77AF">
        <w:t>nº 476, de 25 de janeiro de 2005</w:t>
      </w:r>
      <w:r w:rsidR="00C64048" w:rsidRPr="007E77AF">
        <w:t xml:space="preserve">; </w:t>
      </w:r>
    </w:p>
    <w:p w14:paraId="3E4FEB31" w14:textId="401E1439" w:rsidR="00C21FBB" w:rsidRPr="007E77AF" w:rsidRDefault="00A4782C" w:rsidP="00A4782C">
      <w:pPr>
        <w:spacing w:before="120" w:after="120" w:line="312" w:lineRule="auto"/>
        <w:ind w:firstLine="567"/>
        <w:jc w:val="both"/>
      </w:pPr>
      <w:r w:rsidRPr="007E77AF">
        <w:t>II</w:t>
      </w:r>
      <w:r w:rsidR="00C21FBB" w:rsidRPr="007E77AF">
        <w:t xml:space="preserve"> - Deliberação CVM nº</w:t>
      </w:r>
      <w:r w:rsidR="00BA3BFC" w:rsidRPr="007E77AF">
        <w:t xml:space="preserve"> </w:t>
      </w:r>
      <w:r w:rsidR="0026022C" w:rsidRPr="007E77AF">
        <w:t>533</w:t>
      </w:r>
      <w:r w:rsidR="00E36822" w:rsidRPr="007E77AF">
        <w:t>,</w:t>
      </w:r>
      <w:r w:rsidR="00FE1DAB" w:rsidRPr="007E77AF">
        <w:t xml:space="preserve"> de 29 de </w:t>
      </w:r>
      <w:r w:rsidR="00673E0D" w:rsidRPr="007E77AF">
        <w:t>janeiro de 2008;</w:t>
      </w:r>
    </w:p>
    <w:p w14:paraId="0C2DB9A6" w14:textId="33C43FB7" w:rsidR="00580191" w:rsidRPr="007E77AF" w:rsidRDefault="00A4782C" w:rsidP="001353DC">
      <w:pPr>
        <w:spacing w:before="120" w:after="120" w:line="312" w:lineRule="auto"/>
        <w:ind w:firstLine="567"/>
        <w:jc w:val="both"/>
      </w:pPr>
      <w:r w:rsidRPr="007E77AF">
        <w:t>III</w:t>
      </w:r>
      <w:r w:rsidR="00580191" w:rsidRPr="007E77AF">
        <w:t xml:space="preserve"> – Deliberação </w:t>
      </w:r>
      <w:r w:rsidR="334F9A6A" w:rsidRPr="007E77AF">
        <w:t>CVM</w:t>
      </w:r>
      <w:r w:rsidR="4BF9F4D7" w:rsidRPr="007E77AF">
        <w:t xml:space="preserve"> nº 809, 19 de fevereiro de 2019</w:t>
      </w:r>
      <w:r w:rsidR="00C64048" w:rsidRPr="007E77AF">
        <w:t xml:space="preserve">; </w:t>
      </w:r>
    </w:p>
    <w:p w14:paraId="4DAAA565" w14:textId="0ACD0D60" w:rsidR="00F36E76" w:rsidRPr="007E77AF" w:rsidRDefault="00A4782C" w:rsidP="001353DC">
      <w:pPr>
        <w:spacing w:before="120" w:after="120" w:line="312" w:lineRule="auto"/>
        <w:ind w:firstLine="567"/>
        <w:jc w:val="both"/>
      </w:pPr>
      <w:r w:rsidRPr="007E77AF">
        <w:t>IV</w:t>
      </w:r>
      <w:r w:rsidR="00580191" w:rsidRPr="007E77AF">
        <w:t xml:space="preserve"> – Deliberação </w:t>
      </w:r>
      <w:r w:rsidR="00CE5BEB" w:rsidRPr="007E77AF">
        <w:t>CVM nº 818, de 30 de abril de 2019</w:t>
      </w:r>
      <w:r w:rsidR="00AD5B2E" w:rsidRPr="007E77AF">
        <w:t>;</w:t>
      </w:r>
      <w:r w:rsidR="00EB5281" w:rsidRPr="007E77AF">
        <w:t xml:space="preserve"> e</w:t>
      </w:r>
    </w:p>
    <w:p w14:paraId="44585BA2" w14:textId="51BFC835" w:rsidR="00F7246E" w:rsidRPr="007E77AF" w:rsidRDefault="00A4782C" w:rsidP="00A4782C">
      <w:pPr>
        <w:spacing w:before="120" w:after="120" w:line="312" w:lineRule="auto"/>
        <w:ind w:firstLine="567"/>
        <w:jc w:val="both"/>
      </w:pPr>
      <w:r w:rsidRPr="007E77AF">
        <w:t>V</w:t>
      </w:r>
      <w:r w:rsidR="00F7246E" w:rsidRPr="007E77AF">
        <w:t xml:space="preserve"> - Deliberação CVM nº 850, </w:t>
      </w:r>
      <w:r w:rsidR="00456BF5" w:rsidRPr="007E77AF">
        <w:t xml:space="preserve">de </w:t>
      </w:r>
      <w:r w:rsidR="008A04BD" w:rsidRPr="007E77AF">
        <w:t>7 de abril de 2020</w:t>
      </w:r>
      <w:r w:rsidR="00EB5281" w:rsidRPr="007E77AF">
        <w:t>.</w:t>
      </w:r>
    </w:p>
    <w:p w14:paraId="3BA56233" w14:textId="6B67AF4A" w:rsidR="00BD5FF4" w:rsidRPr="007E77AF" w:rsidRDefault="009069A1" w:rsidP="00155A52">
      <w:pPr>
        <w:spacing w:before="120" w:after="120" w:line="312" w:lineRule="auto"/>
        <w:ind w:left="74" w:firstLine="567"/>
        <w:jc w:val="both"/>
      </w:pPr>
      <w:r w:rsidRPr="007E77AF">
        <w:t xml:space="preserve">Art. </w:t>
      </w:r>
      <w:r w:rsidR="00A9618D">
        <w:t>100</w:t>
      </w:r>
      <w:r w:rsidR="20FA558A" w:rsidRPr="007E77AF">
        <w:t>.</w:t>
      </w:r>
      <w:r w:rsidR="16AA4D54" w:rsidRPr="007E77AF">
        <w:t xml:space="preserve">  Esta </w:t>
      </w:r>
      <w:r w:rsidR="0EC0FFCD" w:rsidRPr="007E77AF">
        <w:t>Resolução</w:t>
      </w:r>
      <w:r w:rsidR="16AA4D54" w:rsidRPr="007E77AF">
        <w:t xml:space="preserve"> entra em vigor em </w:t>
      </w:r>
      <w:r w:rsidR="001547DA" w:rsidRPr="007E77AF">
        <w:t>2 de janeiro de 20</w:t>
      </w:r>
      <w:r w:rsidR="004C5A89" w:rsidRPr="007E77AF">
        <w:t>23</w:t>
      </w:r>
      <w:r w:rsidR="00221183">
        <w:t>, observado, em relação às revogações referidas</w:t>
      </w:r>
      <w:r w:rsidR="00766C24">
        <w:t xml:space="preserve"> nos </w:t>
      </w:r>
      <w:proofErr w:type="spellStart"/>
      <w:r w:rsidR="00766C24">
        <w:t>art</w:t>
      </w:r>
      <w:r w:rsidR="00037DDA">
        <w:t>s</w:t>
      </w:r>
      <w:proofErr w:type="spellEnd"/>
      <w:r w:rsidR="00037DDA">
        <w:t>. 98 e 99, o disposto no parágrafo único</w:t>
      </w:r>
      <w:r w:rsidR="003E398A">
        <w:t xml:space="preserve"> deste artigo</w:t>
      </w:r>
      <w:r w:rsidR="16AA4D54" w:rsidRPr="007E77AF">
        <w:t>.</w:t>
      </w:r>
    </w:p>
    <w:p w14:paraId="38210E50" w14:textId="58593C02" w:rsidR="009C4929" w:rsidRPr="007E77AF" w:rsidRDefault="001B4343" w:rsidP="009C4929">
      <w:pPr>
        <w:spacing w:before="120" w:after="120" w:line="312" w:lineRule="auto"/>
        <w:ind w:left="74" w:firstLine="567"/>
        <w:jc w:val="both"/>
      </w:pPr>
      <w:r w:rsidRPr="007E77AF">
        <w:t>Parágrafo único.</w:t>
      </w:r>
      <w:r w:rsidR="009C4929" w:rsidRPr="007E77AF">
        <w:t xml:space="preserve">  As ofertas em curso na data de entrada em vigor desta resolução serão regidas</w:t>
      </w:r>
      <w:r w:rsidR="006C05DF" w:rsidRPr="007E77AF">
        <w:t>, inclusive no que tan</w:t>
      </w:r>
      <w:r w:rsidRPr="007E77AF">
        <w:t>ge às restrições à negociação em mercado secundário dos valores mobiliários ofertados,</w:t>
      </w:r>
      <w:r w:rsidR="009C4929" w:rsidRPr="007E77AF">
        <w:t xml:space="preserve"> pelas normas vigentes:</w:t>
      </w:r>
    </w:p>
    <w:p w14:paraId="672EDA3E" w14:textId="34EDC937" w:rsidR="009C4929" w:rsidRPr="007E77AF" w:rsidRDefault="009C4929" w:rsidP="009C4929">
      <w:pPr>
        <w:spacing w:before="120" w:after="120" w:line="312" w:lineRule="auto"/>
        <w:ind w:left="74" w:firstLine="567"/>
        <w:jc w:val="both"/>
      </w:pPr>
      <w:r w:rsidRPr="007E77AF">
        <w:t>I –</w:t>
      </w:r>
      <w:r w:rsidR="000747C6" w:rsidRPr="007E77AF">
        <w:t xml:space="preserve"> </w:t>
      </w:r>
      <w:proofErr w:type="gramStart"/>
      <w:r w:rsidRPr="007E77AF">
        <w:t>na</w:t>
      </w:r>
      <w:proofErr w:type="gramEnd"/>
      <w:r w:rsidRPr="007E77AF">
        <w:t xml:space="preserve"> data do protocolo do </w:t>
      </w:r>
      <w:r w:rsidR="00300F7E" w:rsidRPr="007E77AF">
        <w:t>requerimento</w:t>
      </w:r>
      <w:r w:rsidRPr="007E77AF">
        <w:t xml:space="preserve"> de registro; ou</w:t>
      </w:r>
    </w:p>
    <w:p w14:paraId="0B776BCC" w14:textId="77777777" w:rsidR="009C4929" w:rsidRPr="007E77AF" w:rsidRDefault="009C4929" w:rsidP="009C4929">
      <w:pPr>
        <w:spacing w:before="120" w:after="120" w:line="312" w:lineRule="auto"/>
        <w:ind w:left="74" w:firstLine="567"/>
        <w:jc w:val="both"/>
      </w:pPr>
      <w:r w:rsidRPr="007E77AF">
        <w:t xml:space="preserve">II – </w:t>
      </w:r>
      <w:proofErr w:type="gramStart"/>
      <w:r w:rsidRPr="007E77AF">
        <w:t>na</w:t>
      </w:r>
      <w:proofErr w:type="gramEnd"/>
      <w:r w:rsidRPr="007E77AF">
        <w:t xml:space="preserve"> data em que informado o início da oferta, no caso de ofertas isentas de registro.</w:t>
      </w:r>
    </w:p>
    <w:p w14:paraId="129C55AB" w14:textId="3C2057BD" w:rsidR="00CD08FD" w:rsidRPr="007E77AF" w:rsidRDefault="6D8A1AF7" w:rsidP="00F74CAE">
      <w:pPr>
        <w:spacing w:before="120" w:line="312" w:lineRule="auto"/>
        <w:jc w:val="center"/>
        <w:rPr>
          <w:i/>
          <w:iCs/>
        </w:rPr>
      </w:pPr>
      <w:r w:rsidRPr="007E77AF">
        <w:rPr>
          <w:i/>
          <w:iCs/>
        </w:rPr>
        <w:t>Assinado eletronicamente por</w:t>
      </w:r>
    </w:p>
    <w:p w14:paraId="72616139" w14:textId="0FD01EDE" w:rsidR="6D8A1AF7" w:rsidRPr="007E77AF" w:rsidRDefault="6D8A1AF7" w:rsidP="00F74CAE">
      <w:pPr>
        <w:spacing w:line="312" w:lineRule="auto"/>
        <w:jc w:val="center"/>
        <w:rPr>
          <w:b/>
          <w:bCs/>
        </w:rPr>
      </w:pPr>
      <w:r w:rsidRPr="007E77AF">
        <w:rPr>
          <w:b/>
          <w:bCs/>
        </w:rPr>
        <w:t>MARCELO BARBOSA</w:t>
      </w:r>
    </w:p>
    <w:p w14:paraId="2EDEE9E2" w14:textId="6B5AB635" w:rsidR="00AF25AC" w:rsidRDefault="6D8A1AF7" w:rsidP="00E4109B">
      <w:pPr>
        <w:jc w:val="center"/>
        <w:rPr>
          <w:b/>
          <w:bCs/>
        </w:rPr>
      </w:pPr>
      <w:r w:rsidRPr="007E77AF">
        <w:rPr>
          <w:b/>
          <w:bCs/>
        </w:rPr>
        <w:t>Presidente</w:t>
      </w:r>
    </w:p>
    <w:p w14:paraId="5CCA67C7" w14:textId="40C65A9B" w:rsidR="00374678" w:rsidRDefault="00374678">
      <w:pPr>
        <w:rPr>
          <w:b/>
          <w:bCs/>
        </w:rPr>
      </w:pPr>
      <w:r>
        <w:rPr>
          <w:b/>
          <w:bCs/>
        </w:rPr>
        <w:br w:type="page"/>
      </w:r>
    </w:p>
    <w:p w14:paraId="6D4A954A" w14:textId="77777777" w:rsidR="009A242A" w:rsidRPr="007E77AF" w:rsidRDefault="009A242A" w:rsidP="00F03B7F">
      <w:pPr>
        <w:pStyle w:val="Ttulo1"/>
      </w:pPr>
      <w:bookmarkStart w:id="360" w:name="_Toc476216354"/>
      <w:bookmarkStart w:id="361" w:name="_Toc108516075"/>
      <w:bookmarkStart w:id="362" w:name="_Toc108203106"/>
      <w:bookmarkStart w:id="363" w:name="_Hlk59203789"/>
      <w:bookmarkStart w:id="364" w:name="_Toc136502846"/>
      <w:r w:rsidRPr="007E77AF">
        <w:lastRenderedPageBreak/>
        <w:t>ANEXO A – PROSPECTO DE AÇÕES</w:t>
      </w:r>
      <w:bookmarkEnd w:id="360"/>
      <w:bookmarkEnd w:id="361"/>
      <w:bookmarkEnd w:id="362"/>
      <w:bookmarkEnd w:id="364"/>
    </w:p>
    <w:p w14:paraId="614E274D" w14:textId="77777777" w:rsidR="009A242A" w:rsidRPr="007E77AF" w:rsidRDefault="009A242A" w:rsidP="00025B5B">
      <w:pPr>
        <w:spacing w:after="160" w:line="259" w:lineRule="auto"/>
        <w:jc w:val="center"/>
        <w:rPr>
          <w:rFonts w:cstheme="minorBidi"/>
          <w:b/>
          <w:bCs/>
        </w:rPr>
      </w:pPr>
    </w:p>
    <w:p w14:paraId="0E4692B6" w14:textId="30DA4330" w:rsidR="009A242A" w:rsidRPr="007E77AF" w:rsidRDefault="009A242A" w:rsidP="00025B5B">
      <w:pPr>
        <w:spacing w:line="312" w:lineRule="auto"/>
        <w:ind w:firstLine="709"/>
        <w:jc w:val="center"/>
        <w:rPr>
          <w:i/>
        </w:rPr>
      </w:pPr>
      <w:r w:rsidRPr="007E77AF">
        <w:rPr>
          <w:rFonts w:cstheme="minorBidi"/>
          <w:i/>
          <w:iCs/>
        </w:rPr>
        <w:t>Conteúdo</w:t>
      </w:r>
      <w:r w:rsidRPr="007E77AF">
        <w:rPr>
          <w:i/>
        </w:rPr>
        <w:t xml:space="preserve"> do prospecto aplicável à oferta pública inicial ou subsequente de distribuição de ações, bônus de subscrição, e de certificados de depósito sobre estes valores mobiliários, conforme inciso I do § 1º do art. </w:t>
      </w:r>
      <w:r w:rsidRPr="007E77AF">
        <w:rPr>
          <w:rFonts w:cstheme="minorBidi"/>
          <w:i/>
          <w:iCs/>
        </w:rPr>
        <w:t>17</w:t>
      </w:r>
      <w:r w:rsidRPr="007E77AF">
        <w:rPr>
          <w:i/>
        </w:rPr>
        <w:t xml:space="preserve"> da Resolução </w:t>
      </w:r>
      <w:r>
        <w:rPr>
          <w:i/>
        </w:rPr>
        <w:t>nº 160, de 2022</w:t>
      </w:r>
      <w:r w:rsidRPr="007E77AF">
        <w:rPr>
          <w:i/>
        </w:rPr>
        <w:t>.</w:t>
      </w:r>
    </w:p>
    <w:p w14:paraId="44770C82" w14:textId="77777777" w:rsidR="009A242A" w:rsidRPr="007E77AF" w:rsidRDefault="009A242A" w:rsidP="00025B5B">
      <w:pPr>
        <w:spacing w:after="160" w:line="259" w:lineRule="auto"/>
        <w:jc w:val="center"/>
        <w:rPr>
          <w:rFonts w:cstheme="minorBidi"/>
          <w:i/>
          <w:iCs/>
        </w:rPr>
      </w:pPr>
    </w:p>
    <w:p w14:paraId="2627C081" w14:textId="77777777" w:rsidR="009A242A" w:rsidRPr="007E77AF" w:rsidRDefault="009A242A" w:rsidP="00F27F61">
      <w:pPr>
        <w:spacing w:after="160" w:line="259" w:lineRule="auto"/>
        <w:jc w:val="center"/>
        <w:rPr>
          <w:rFonts w:cstheme="minorBidi"/>
          <w:b/>
          <w:bCs/>
        </w:rPr>
      </w:pPr>
      <w:r w:rsidRPr="007E77AF">
        <w:rPr>
          <w:rFonts w:cstheme="minorBidi"/>
          <w:b/>
          <w:bCs/>
        </w:rPr>
        <w:t>Informações da Capa do Prospecto</w:t>
      </w:r>
    </w:p>
    <w:p w14:paraId="5E10D034" w14:textId="77777777" w:rsidR="009A242A" w:rsidRPr="007E77AF" w:rsidRDefault="009A242A" w:rsidP="00F27F61">
      <w:pPr>
        <w:spacing w:after="160" w:line="259" w:lineRule="auto"/>
        <w:rPr>
          <w:rFonts w:cstheme="minorBidi"/>
          <w:b/>
          <w:bCs/>
        </w:rPr>
      </w:pPr>
    </w:p>
    <w:p w14:paraId="461055B3" w14:textId="77777777" w:rsidR="009A242A" w:rsidRPr="007E77AF" w:rsidRDefault="009A242A" w:rsidP="00D90473">
      <w:pPr>
        <w:pStyle w:val="PargrafodaLista"/>
        <w:numPr>
          <w:ilvl w:val="0"/>
          <w:numId w:val="8"/>
        </w:numPr>
        <w:spacing w:before="120" w:after="120" w:line="312" w:lineRule="auto"/>
        <w:ind w:left="709" w:hanging="709"/>
        <w:jc w:val="both"/>
        <w:rPr>
          <w:rFonts w:cstheme="minorBidi"/>
          <w:b/>
          <w:bCs/>
        </w:rPr>
      </w:pPr>
      <w:r w:rsidRPr="007E77AF">
        <w:rPr>
          <w:rFonts w:cstheme="minorBidi"/>
          <w:b/>
          <w:bCs/>
        </w:rPr>
        <w:t>Identificação do emissor ou do ofertante</w:t>
      </w:r>
    </w:p>
    <w:p w14:paraId="7BB482B3"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Denominação social;</w:t>
      </w:r>
    </w:p>
    <w:p w14:paraId="57070297"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CNPJ; e</w:t>
      </w:r>
    </w:p>
    <w:p w14:paraId="42FB348B"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Endereço da sede.</w:t>
      </w:r>
    </w:p>
    <w:p w14:paraId="3A1BA298" w14:textId="77777777" w:rsidR="009A242A" w:rsidRPr="007E77AF" w:rsidRDefault="009A242A" w:rsidP="00D90473">
      <w:pPr>
        <w:numPr>
          <w:ilvl w:val="0"/>
          <w:numId w:val="8"/>
        </w:numPr>
        <w:tabs>
          <w:tab w:val="num" w:pos="709"/>
        </w:tabs>
        <w:spacing w:before="120" w:after="120" w:line="312" w:lineRule="auto"/>
        <w:ind w:left="709" w:hanging="709"/>
        <w:jc w:val="both"/>
        <w:rPr>
          <w:rFonts w:cstheme="minorBidi"/>
          <w:b/>
          <w:bCs/>
        </w:rPr>
      </w:pPr>
      <w:r w:rsidRPr="007E77AF">
        <w:rPr>
          <w:rFonts w:cstheme="minorBidi"/>
          <w:b/>
          <w:bCs/>
        </w:rPr>
        <w:t>Dados da oferta pública de distribuição</w:t>
      </w:r>
    </w:p>
    <w:p w14:paraId="513982D9"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Descrição do tipo de ação;</w:t>
      </w:r>
    </w:p>
    <w:p w14:paraId="265DB2AC"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Código ISIN;</w:t>
      </w:r>
    </w:p>
    <w:p w14:paraId="739C4347"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Quantidade;</w:t>
      </w:r>
    </w:p>
    <w:p w14:paraId="4CCDEFFB"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Preço unitário;</w:t>
      </w:r>
    </w:p>
    <w:p w14:paraId="137C4D53" w14:textId="25754D5D"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Valor da oferta pública;</w:t>
      </w:r>
    </w:p>
    <w:p w14:paraId="22AF142A" w14:textId="2025B404"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Mercado e segmento em que a ação será negociada;</w:t>
      </w:r>
    </w:p>
    <w:p w14:paraId="31A54CC6"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Data de registro da oferta pública na CVM; e</w:t>
      </w:r>
    </w:p>
    <w:p w14:paraId="2D7F26A4"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Tabela com o seguinte conteúdo:</w:t>
      </w:r>
    </w:p>
    <w:tbl>
      <w:tblPr>
        <w:tblStyle w:val="TableGridLight1"/>
        <w:tblW w:w="8647" w:type="dxa"/>
        <w:tblLook w:val="04A0" w:firstRow="1" w:lastRow="0" w:firstColumn="1" w:lastColumn="0" w:noHBand="0" w:noVBand="1"/>
      </w:tblPr>
      <w:tblGrid>
        <w:gridCol w:w="1985"/>
        <w:gridCol w:w="2126"/>
        <w:gridCol w:w="2126"/>
        <w:gridCol w:w="2410"/>
      </w:tblGrid>
      <w:tr w:rsidR="009A242A" w:rsidRPr="007E77AF" w14:paraId="372A59AD" w14:textId="77777777" w:rsidTr="00EB06C9">
        <w:tc>
          <w:tcPr>
            <w:tcW w:w="1985" w:type="dxa"/>
          </w:tcPr>
          <w:p w14:paraId="01FA2BD6" w14:textId="77777777" w:rsidR="009A242A" w:rsidRPr="007E77AF" w:rsidRDefault="009A242A" w:rsidP="00F26C28">
            <w:pPr>
              <w:jc w:val="both"/>
            </w:pPr>
          </w:p>
        </w:tc>
        <w:tc>
          <w:tcPr>
            <w:tcW w:w="2126" w:type="dxa"/>
          </w:tcPr>
          <w:p w14:paraId="75706471" w14:textId="77777777" w:rsidR="009A242A" w:rsidRPr="007E77AF" w:rsidRDefault="009A242A" w:rsidP="00F26C28">
            <w:pPr>
              <w:jc w:val="center"/>
              <w:rPr>
                <w:rFonts w:cstheme="minorHAnsi"/>
              </w:rPr>
            </w:pPr>
            <w:r w:rsidRPr="007E77AF">
              <w:rPr>
                <w:rFonts w:cstheme="minorHAnsi"/>
              </w:rPr>
              <w:t>Preço (R$)</w:t>
            </w:r>
          </w:p>
        </w:tc>
        <w:tc>
          <w:tcPr>
            <w:tcW w:w="2126" w:type="dxa"/>
          </w:tcPr>
          <w:p w14:paraId="73CA29A1" w14:textId="77777777" w:rsidR="009A242A" w:rsidRPr="007E77AF" w:rsidRDefault="009A242A" w:rsidP="00F26C28">
            <w:pPr>
              <w:jc w:val="center"/>
              <w:rPr>
                <w:rFonts w:cstheme="minorHAnsi"/>
              </w:rPr>
            </w:pPr>
            <w:r w:rsidRPr="007E77AF">
              <w:rPr>
                <w:rFonts w:cstheme="minorHAnsi"/>
              </w:rPr>
              <w:t>Comissões (R$)</w:t>
            </w:r>
          </w:p>
        </w:tc>
        <w:tc>
          <w:tcPr>
            <w:tcW w:w="2410" w:type="dxa"/>
          </w:tcPr>
          <w:p w14:paraId="2DABE985" w14:textId="77777777" w:rsidR="009A242A" w:rsidRPr="007E77AF" w:rsidRDefault="009A242A" w:rsidP="00F26C28">
            <w:pPr>
              <w:jc w:val="center"/>
              <w:rPr>
                <w:rFonts w:cstheme="minorHAnsi"/>
              </w:rPr>
            </w:pPr>
            <w:r w:rsidRPr="007E77AF">
              <w:rPr>
                <w:rFonts w:cstheme="minorHAnsi"/>
              </w:rPr>
              <w:t>Recursos Líquidos (R$)</w:t>
            </w:r>
          </w:p>
        </w:tc>
      </w:tr>
      <w:tr w:rsidR="009A242A" w:rsidRPr="007E77AF" w14:paraId="5766D940" w14:textId="77777777" w:rsidTr="00EB06C9">
        <w:tc>
          <w:tcPr>
            <w:tcW w:w="1985" w:type="dxa"/>
          </w:tcPr>
          <w:p w14:paraId="6EBF0AD3" w14:textId="77777777" w:rsidR="009A242A" w:rsidRPr="007E77AF" w:rsidRDefault="009A242A" w:rsidP="00F26C28">
            <w:pPr>
              <w:jc w:val="both"/>
              <w:rPr>
                <w:rFonts w:cstheme="minorHAnsi"/>
              </w:rPr>
            </w:pPr>
            <w:r w:rsidRPr="007E77AF">
              <w:rPr>
                <w:rFonts w:cstheme="minorHAnsi"/>
                <w:i/>
                <w:iCs/>
              </w:rPr>
              <w:t>Preço por ação</w:t>
            </w:r>
          </w:p>
        </w:tc>
        <w:tc>
          <w:tcPr>
            <w:tcW w:w="2126" w:type="dxa"/>
          </w:tcPr>
          <w:p w14:paraId="320F3DB5" w14:textId="77777777" w:rsidR="009A242A" w:rsidRPr="007E77AF" w:rsidRDefault="009A242A" w:rsidP="00F26C28">
            <w:pPr>
              <w:jc w:val="both"/>
              <w:rPr>
                <w:rFonts w:cstheme="minorHAnsi"/>
              </w:rPr>
            </w:pPr>
          </w:p>
        </w:tc>
        <w:tc>
          <w:tcPr>
            <w:tcW w:w="2126" w:type="dxa"/>
          </w:tcPr>
          <w:p w14:paraId="0DBF28BE" w14:textId="77777777" w:rsidR="009A242A" w:rsidRPr="007E77AF" w:rsidRDefault="009A242A" w:rsidP="00F26C28">
            <w:pPr>
              <w:jc w:val="both"/>
              <w:rPr>
                <w:rFonts w:cstheme="minorHAnsi"/>
              </w:rPr>
            </w:pPr>
          </w:p>
        </w:tc>
        <w:tc>
          <w:tcPr>
            <w:tcW w:w="2410" w:type="dxa"/>
          </w:tcPr>
          <w:p w14:paraId="798AA848" w14:textId="77777777" w:rsidR="009A242A" w:rsidRPr="007E77AF" w:rsidRDefault="009A242A" w:rsidP="00F26C28">
            <w:pPr>
              <w:jc w:val="both"/>
              <w:rPr>
                <w:rFonts w:cstheme="minorHAnsi"/>
              </w:rPr>
            </w:pPr>
          </w:p>
        </w:tc>
      </w:tr>
      <w:tr w:rsidR="009A242A" w:rsidRPr="007E77AF" w14:paraId="2BF126F1" w14:textId="77777777" w:rsidTr="00EB06C9">
        <w:tc>
          <w:tcPr>
            <w:tcW w:w="1985" w:type="dxa"/>
          </w:tcPr>
          <w:p w14:paraId="1FA95946" w14:textId="77777777" w:rsidR="009A242A" w:rsidRPr="007E77AF" w:rsidRDefault="009A242A" w:rsidP="00F26C28">
            <w:pPr>
              <w:jc w:val="both"/>
              <w:rPr>
                <w:rFonts w:cstheme="minorHAnsi"/>
              </w:rPr>
            </w:pPr>
            <w:r w:rsidRPr="007E77AF">
              <w:rPr>
                <w:rFonts w:cstheme="minorHAnsi"/>
                <w:i/>
                <w:iCs/>
              </w:rPr>
              <w:t>Oferta Primária</w:t>
            </w:r>
          </w:p>
        </w:tc>
        <w:tc>
          <w:tcPr>
            <w:tcW w:w="2126" w:type="dxa"/>
          </w:tcPr>
          <w:p w14:paraId="3ED290EC" w14:textId="77777777" w:rsidR="009A242A" w:rsidRPr="007E77AF" w:rsidRDefault="009A242A" w:rsidP="00F26C28">
            <w:pPr>
              <w:jc w:val="both"/>
              <w:rPr>
                <w:rFonts w:cstheme="minorHAnsi"/>
              </w:rPr>
            </w:pPr>
          </w:p>
        </w:tc>
        <w:tc>
          <w:tcPr>
            <w:tcW w:w="2126" w:type="dxa"/>
          </w:tcPr>
          <w:p w14:paraId="2F0E73F2" w14:textId="77777777" w:rsidR="009A242A" w:rsidRPr="007E77AF" w:rsidRDefault="009A242A" w:rsidP="00F26C28">
            <w:pPr>
              <w:jc w:val="both"/>
              <w:rPr>
                <w:rFonts w:cstheme="minorHAnsi"/>
              </w:rPr>
            </w:pPr>
          </w:p>
        </w:tc>
        <w:tc>
          <w:tcPr>
            <w:tcW w:w="2410" w:type="dxa"/>
          </w:tcPr>
          <w:p w14:paraId="5882C5F5" w14:textId="77777777" w:rsidR="009A242A" w:rsidRPr="007E77AF" w:rsidRDefault="009A242A" w:rsidP="00F26C28">
            <w:pPr>
              <w:jc w:val="both"/>
              <w:rPr>
                <w:rFonts w:cstheme="minorHAnsi"/>
              </w:rPr>
            </w:pPr>
          </w:p>
        </w:tc>
      </w:tr>
      <w:tr w:rsidR="009A242A" w:rsidRPr="007E77AF" w14:paraId="346CAFB0" w14:textId="77777777" w:rsidTr="00EB06C9">
        <w:tc>
          <w:tcPr>
            <w:tcW w:w="1985" w:type="dxa"/>
          </w:tcPr>
          <w:p w14:paraId="5D6FA458" w14:textId="77777777" w:rsidR="009A242A" w:rsidRPr="007E77AF" w:rsidRDefault="009A242A" w:rsidP="00F26C28">
            <w:pPr>
              <w:jc w:val="both"/>
              <w:rPr>
                <w:rFonts w:cstheme="minorHAnsi"/>
              </w:rPr>
            </w:pPr>
            <w:r w:rsidRPr="007E77AF">
              <w:rPr>
                <w:rFonts w:cstheme="minorHAnsi"/>
                <w:i/>
                <w:iCs/>
              </w:rPr>
              <w:t>Oferta Secundária</w:t>
            </w:r>
          </w:p>
        </w:tc>
        <w:tc>
          <w:tcPr>
            <w:tcW w:w="2126" w:type="dxa"/>
          </w:tcPr>
          <w:p w14:paraId="1F00B809" w14:textId="77777777" w:rsidR="009A242A" w:rsidRPr="007E77AF" w:rsidRDefault="009A242A" w:rsidP="00F26C28">
            <w:pPr>
              <w:jc w:val="both"/>
              <w:rPr>
                <w:rFonts w:cstheme="minorHAnsi"/>
              </w:rPr>
            </w:pPr>
          </w:p>
        </w:tc>
        <w:tc>
          <w:tcPr>
            <w:tcW w:w="2126" w:type="dxa"/>
          </w:tcPr>
          <w:p w14:paraId="79A0F29B" w14:textId="77777777" w:rsidR="009A242A" w:rsidRPr="007E77AF" w:rsidRDefault="009A242A" w:rsidP="00F26C28">
            <w:pPr>
              <w:jc w:val="both"/>
              <w:rPr>
                <w:rFonts w:cstheme="minorHAnsi"/>
              </w:rPr>
            </w:pPr>
          </w:p>
        </w:tc>
        <w:tc>
          <w:tcPr>
            <w:tcW w:w="2410" w:type="dxa"/>
          </w:tcPr>
          <w:p w14:paraId="2E880D22" w14:textId="77777777" w:rsidR="009A242A" w:rsidRPr="007E77AF" w:rsidRDefault="009A242A" w:rsidP="00F26C28">
            <w:pPr>
              <w:jc w:val="both"/>
              <w:rPr>
                <w:rFonts w:cstheme="minorHAnsi"/>
              </w:rPr>
            </w:pPr>
          </w:p>
        </w:tc>
      </w:tr>
      <w:tr w:rsidR="009A242A" w:rsidRPr="007E77AF" w14:paraId="77F41BD4" w14:textId="77777777" w:rsidTr="00EB06C9">
        <w:tc>
          <w:tcPr>
            <w:tcW w:w="1985" w:type="dxa"/>
          </w:tcPr>
          <w:p w14:paraId="489CC0B6" w14:textId="77777777" w:rsidR="009A242A" w:rsidRPr="007E77AF" w:rsidRDefault="009A242A" w:rsidP="00F26C28">
            <w:pPr>
              <w:jc w:val="both"/>
              <w:rPr>
                <w:rFonts w:cstheme="minorHAnsi"/>
              </w:rPr>
            </w:pPr>
            <w:r w:rsidRPr="007E77AF">
              <w:rPr>
                <w:rFonts w:cstheme="minorHAnsi"/>
                <w:i/>
                <w:iCs/>
              </w:rPr>
              <w:t>Total</w:t>
            </w:r>
          </w:p>
        </w:tc>
        <w:tc>
          <w:tcPr>
            <w:tcW w:w="2126" w:type="dxa"/>
          </w:tcPr>
          <w:p w14:paraId="4099F4C9" w14:textId="77777777" w:rsidR="009A242A" w:rsidRPr="007E77AF" w:rsidRDefault="009A242A" w:rsidP="00F26C28">
            <w:pPr>
              <w:jc w:val="both"/>
              <w:rPr>
                <w:rFonts w:cstheme="minorHAnsi"/>
              </w:rPr>
            </w:pPr>
          </w:p>
        </w:tc>
        <w:tc>
          <w:tcPr>
            <w:tcW w:w="2126" w:type="dxa"/>
          </w:tcPr>
          <w:p w14:paraId="6D50A7B9" w14:textId="77777777" w:rsidR="009A242A" w:rsidRPr="007E77AF" w:rsidRDefault="009A242A" w:rsidP="00F26C28">
            <w:pPr>
              <w:jc w:val="both"/>
              <w:rPr>
                <w:rFonts w:cstheme="minorHAnsi"/>
              </w:rPr>
            </w:pPr>
          </w:p>
        </w:tc>
        <w:tc>
          <w:tcPr>
            <w:tcW w:w="2410" w:type="dxa"/>
          </w:tcPr>
          <w:p w14:paraId="4A3F42D7" w14:textId="77777777" w:rsidR="009A242A" w:rsidRPr="007E77AF" w:rsidRDefault="009A242A" w:rsidP="00F26C28">
            <w:pPr>
              <w:jc w:val="both"/>
              <w:rPr>
                <w:rFonts w:cstheme="minorHAnsi"/>
              </w:rPr>
            </w:pPr>
          </w:p>
        </w:tc>
      </w:tr>
    </w:tbl>
    <w:p w14:paraId="6ADC792B" w14:textId="77777777" w:rsidR="009A242A" w:rsidRDefault="009A242A" w:rsidP="00F27F61">
      <w:pPr>
        <w:spacing w:before="120" w:after="120" w:line="312" w:lineRule="auto"/>
        <w:jc w:val="both"/>
        <w:rPr>
          <w:rFonts w:cstheme="minorBidi"/>
        </w:rPr>
      </w:pPr>
    </w:p>
    <w:p w14:paraId="272148DB" w14:textId="77777777" w:rsidR="009A242A" w:rsidRPr="007E77AF" w:rsidRDefault="009A242A" w:rsidP="00F27F61">
      <w:pPr>
        <w:spacing w:before="120" w:after="120" w:line="312" w:lineRule="auto"/>
        <w:jc w:val="both"/>
        <w:rPr>
          <w:rFonts w:cstheme="minorBidi"/>
        </w:rPr>
      </w:pPr>
    </w:p>
    <w:p w14:paraId="42F4B221" w14:textId="77777777" w:rsidR="009A242A" w:rsidRPr="007E77AF" w:rsidRDefault="009A242A" w:rsidP="00D90473">
      <w:pPr>
        <w:numPr>
          <w:ilvl w:val="0"/>
          <w:numId w:val="8"/>
        </w:numPr>
        <w:tabs>
          <w:tab w:val="num" w:pos="709"/>
        </w:tabs>
        <w:spacing w:before="120" w:after="120" w:line="312" w:lineRule="auto"/>
        <w:ind w:left="709" w:hanging="709"/>
        <w:jc w:val="both"/>
        <w:rPr>
          <w:rFonts w:cstheme="minorBidi"/>
          <w:b/>
          <w:bCs/>
        </w:rPr>
      </w:pPr>
      <w:r w:rsidRPr="007E77AF">
        <w:rPr>
          <w:rFonts w:cstheme="minorBidi"/>
          <w:b/>
          <w:bCs/>
        </w:rPr>
        <w:lastRenderedPageBreak/>
        <w:t>Alertas:</w:t>
      </w:r>
    </w:p>
    <w:p w14:paraId="40627B26"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 xml:space="preserve">Fatores de risco: “Os investidores devem ler a seção fatores de risco, nas páginas [●] </w:t>
      </w:r>
      <w:proofErr w:type="gramStart"/>
      <w:r w:rsidRPr="007E77AF">
        <w:rPr>
          <w:rFonts w:cstheme="minorBidi"/>
        </w:rPr>
        <w:t>a  [</w:t>
      </w:r>
      <w:proofErr w:type="gramEnd"/>
      <w:r w:rsidRPr="007E77AF">
        <w:rPr>
          <w:rFonts w:cstheme="minorBidi"/>
        </w:rPr>
        <w:t>●].”</w:t>
      </w:r>
    </w:p>
    <w:p w14:paraId="1D1B2E82"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Responsabilidade da CVM: “O registro da presente oferta pública de distribuição não implica, por parte da CVM, garantia de veracidade das informações prestadas ou julgamento sobre a qualidade da companhia emissora, bem como sobre os/as [valores mobiliários] a serem distribuídos/as.”</w:t>
      </w:r>
    </w:p>
    <w:p w14:paraId="36D3F291"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Transparência de negociação, caso aplicável: “As ações objeto da presente oferta não serão negociadas em mercados organizados de bolsa ou de balcão, não podendo ser assegurada a disponibilidade de informações sobre os preços praticados ou sobre os negócios realizados.”; e</w:t>
      </w:r>
    </w:p>
    <w:p w14:paraId="7C0D6722" w14:textId="40505E75"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No caso de oferta com registro automático: “A CVM não realizou análise prévia do conteúdo do prospecto, nem dos documentos da oferta.” e caso aplicável: “Existem restrições que se aplicam à revenda dos valores mobiliários conforme descritas no item 2.10.”</w:t>
      </w:r>
    </w:p>
    <w:p w14:paraId="293A87FA" w14:textId="77777777" w:rsidR="009A242A" w:rsidRPr="007E77AF" w:rsidRDefault="009A242A" w:rsidP="00F27F61">
      <w:pPr>
        <w:spacing w:before="120" w:after="120" w:line="312" w:lineRule="auto"/>
        <w:ind w:left="450"/>
        <w:jc w:val="both"/>
        <w:rPr>
          <w:rFonts w:cstheme="minorBidi"/>
          <w:b/>
          <w:bCs/>
        </w:rPr>
      </w:pPr>
      <w:r w:rsidRPr="007E77AF">
        <w:rPr>
          <w:rFonts w:cstheme="minorBidi"/>
          <w:b/>
          <w:bCs/>
        </w:rPr>
        <w:br w:type="page"/>
      </w:r>
    </w:p>
    <w:p w14:paraId="457F48C7" w14:textId="77777777" w:rsidR="009A242A" w:rsidRPr="007E77AF" w:rsidRDefault="009A242A" w:rsidP="00025B5B">
      <w:pPr>
        <w:spacing w:after="160" w:line="259" w:lineRule="auto"/>
        <w:jc w:val="center"/>
        <w:rPr>
          <w:rFonts w:cstheme="minorBidi"/>
          <w:b/>
          <w:bCs/>
        </w:rPr>
      </w:pPr>
    </w:p>
    <w:p w14:paraId="3F17D4A8" w14:textId="77777777" w:rsidR="009A242A" w:rsidRPr="007E77AF" w:rsidRDefault="009A242A" w:rsidP="00025B5B">
      <w:pPr>
        <w:spacing w:after="160" w:line="259" w:lineRule="auto"/>
        <w:jc w:val="center"/>
        <w:rPr>
          <w:rFonts w:cstheme="minorBidi"/>
          <w:b/>
          <w:bCs/>
        </w:rPr>
      </w:pPr>
      <w:r w:rsidRPr="007E77AF">
        <w:rPr>
          <w:rFonts w:cstheme="minorBidi"/>
          <w:b/>
          <w:bCs/>
        </w:rPr>
        <w:t>Informações do Prospecto</w:t>
      </w:r>
    </w:p>
    <w:p w14:paraId="10460D1F" w14:textId="77777777" w:rsidR="009A242A" w:rsidRPr="007E77AF" w:rsidRDefault="009A242A" w:rsidP="00025B5B">
      <w:pPr>
        <w:spacing w:before="120" w:after="120" w:line="312" w:lineRule="auto"/>
        <w:ind w:left="450"/>
        <w:jc w:val="both"/>
        <w:rPr>
          <w:rFonts w:cstheme="minorBidi"/>
          <w:b/>
          <w:bCs/>
        </w:rPr>
      </w:pPr>
    </w:p>
    <w:p w14:paraId="6A721ACD" w14:textId="77777777" w:rsidR="009A242A" w:rsidRPr="007E77AF" w:rsidRDefault="009A242A" w:rsidP="001353DC">
      <w:pPr>
        <w:tabs>
          <w:tab w:val="left" w:pos="709"/>
        </w:tabs>
        <w:spacing w:before="120" w:after="120" w:line="312" w:lineRule="auto"/>
        <w:ind w:left="709" w:hanging="709"/>
        <w:jc w:val="both"/>
        <w:rPr>
          <w:b/>
          <w:bCs/>
        </w:rPr>
      </w:pPr>
      <w:r w:rsidRPr="007E77AF">
        <w:rPr>
          <w:b/>
          <w:bCs/>
        </w:rPr>
        <w:t>1.</w:t>
      </w:r>
      <w:r w:rsidRPr="007E77AF">
        <w:rPr>
          <w:b/>
          <w:bCs/>
        </w:rPr>
        <w:tab/>
      </w:r>
      <w:r w:rsidRPr="007E77AF">
        <w:rPr>
          <w:rFonts w:cstheme="minorBidi"/>
          <w:b/>
          <w:bCs/>
        </w:rPr>
        <w:t>Índice</w:t>
      </w:r>
    </w:p>
    <w:p w14:paraId="367B21AF" w14:textId="77777777" w:rsidR="009A242A" w:rsidRPr="007E77AF" w:rsidRDefault="009A242A" w:rsidP="001353DC">
      <w:pPr>
        <w:tabs>
          <w:tab w:val="left" w:pos="709"/>
        </w:tabs>
        <w:spacing w:before="120" w:after="120" w:line="312" w:lineRule="auto"/>
        <w:ind w:left="709" w:hanging="709"/>
        <w:jc w:val="both"/>
        <w:rPr>
          <w:rFonts w:cstheme="minorBidi"/>
          <w:b/>
          <w:bCs/>
        </w:rPr>
      </w:pPr>
      <w:r w:rsidRPr="007E77AF">
        <w:rPr>
          <w:rFonts w:cstheme="minorBidi"/>
          <w:b/>
          <w:bCs/>
        </w:rPr>
        <w:t>2.</w:t>
      </w:r>
      <w:r w:rsidRPr="007E77AF">
        <w:rPr>
          <w:rFonts w:cstheme="minorBidi"/>
          <w:b/>
          <w:bCs/>
        </w:rPr>
        <w:tab/>
        <w:t>Principais características da oferta</w:t>
      </w:r>
    </w:p>
    <w:p w14:paraId="2CC8100A"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2.1</w:t>
      </w:r>
      <w:r>
        <w:rPr>
          <w:rFonts w:cstheme="minorHAnsi"/>
        </w:rPr>
        <w:t>.</w:t>
      </w:r>
      <w:r w:rsidRPr="007E77AF">
        <w:rPr>
          <w:rFonts w:cstheme="minorHAnsi"/>
        </w:rPr>
        <w:tab/>
        <w:t>Breve descrição da oferta;</w:t>
      </w:r>
    </w:p>
    <w:p w14:paraId="121C24D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2.2</w:t>
      </w:r>
      <w:r>
        <w:rPr>
          <w:rFonts w:cstheme="minorHAnsi"/>
        </w:rPr>
        <w:t>.</w:t>
      </w:r>
      <w:r w:rsidRPr="007E77AF">
        <w:rPr>
          <w:rFonts w:cstheme="minorHAnsi"/>
        </w:rPr>
        <w:tab/>
        <w:t>Apresentação do emissor, com as informações que o ofertante deseja destacar em relação àquelas contidas no formulário de referência;</w:t>
      </w:r>
    </w:p>
    <w:p w14:paraId="5CBDA0A5" w14:textId="6177BF03"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2.3</w:t>
      </w:r>
      <w:r>
        <w:rPr>
          <w:rFonts w:cstheme="minorHAnsi"/>
        </w:rPr>
        <w:t>.</w:t>
      </w:r>
      <w:r w:rsidRPr="007E77AF">
        <w:rPr>
          <w:rFonts w:cstheme="minorHAnsi"/>
        </w:rPr>
        <w:tab/>
        <w:t>Identificação do público-alvo;</w:t>
      </w:r>
    </w:p>
    <w:p w14:paraId="71C8CCA7" w14:textId="49E7D3D2"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2.4</w:t>
      </w:r>
      <w:r>
        <w:rPr>
          <w:rFonts w:cstheme="minorHAnsi"/>
        </w:rPr>
        <w:t>.</w:t>
      </w:r>
      <w:r w:rsidRPr="007E77AF">
        <w:rPr>
          <w:rFonts w:cstheme="minorHAnsi"/>
        </w:rPr>
        <w:tab/>
        <w:t>Indicação sobre a admissão à negociação em mercados organizados de bolsa ou de balcão;</w:t>
      </w:r>
    </w:p>
    <w:p w14:paraId="3F60266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2.5</w:t>
      </w:r>
      <w:r>
        <w:rPr>
          <w:rFonts w:cstheme="minorHAnsi"/>
        </w:rPr>
        <w:t>.</w:t>
      </w:r>
      <w:r w:rsidRPr="007E77AF">
        <w:rPr>
          <w:rFonts w:cstheme="minorHAnsi"/>
        </w:rPr>
        <w:tab/>
        <w:t>Preço por ação;</w:t>
      </w:r>
    </w:p>
    <w:p w14:paraId="66ADB0C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2.6</w:t>
      </w:r>
      <w:r>
        <w:rPr>
          <w:rFonts w:cstheme="minorHAnsi"/>
        </w:rPr>
        <w:t>.</w:t>
      </w:r>
      <w:r w:rsidRPr="007E77AF">
        <w:rPr>
          <w:rFonts w:cstheme="minorHAnsi"/>
        </w:rPr>
        <w:tab/>
        <w:t>Montante da oferta;</w:t>
      </w:r>
    </w:p>
    <w:p w14:paraId="3062C19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2.7</w:t>
      </w:r>
      <w:r>
        <w:rPr>
          <w:rFonts w:cstheme="minorHAnsi"/>
        </w:rPr>
        <w:t>.</w:t>
      </w:r>
      <w:r w:rsidRPr="007E77AF">
        <w:rPr>
          <w:rFonts w:cstheme="minorHAnsi"/>
        </w:rPr>
        <w:tab/>
        <w:t>Montante da oferta base;</w:t>
      </w:r>
    </w:p>
    <w:p w14:paraId="57A8AF44" w14:textId="5DB5F12F"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2.8</w:t>
      </w:r>
      <w:r>
        <w:rPr>
          <w:rFonts w:cstheme="minorHAnsi"/>
        </w:rPr>
        <w:t>.</w:t>
      </w:r>
      <w:r w:rsidRPr="007E77AF">
        <w:rPr>
          <w:rFonts w:cstheme="minorHAnsi"/>
        </w:rPr>
        <w:tab/>
        <w:t>Montante da distribuição das ações objeto de lote adicional, se houver;</w:t>
      </w:r>
    </w:p>
    <w:p w14:paraId="7D58AA80"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2.9</w:t>
      </w:r>
      <w:r>
        <w:rPr>
          <w:rFonts w:cstheme="minorHAnsi"/>
        </w:rPr>
        <w:t>.</w:t>
      </w:r>
      <w:r w:rsidRPr="007E77AF">
        <w:rPr>
          <w:rFonts w:cstheme="minorHAnsi"/>
        </w:rPr>
        <w:tab/>
        <w:t>Montante da distribuição das ações objeto de lote suplementar; e</w:t>
      </w:r>
    </w:p>
    <w:p w14:paraId="4D91F8CB" w14:textId="27F2865F"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2.10</w:t>
      </w:r>
      <w:r>
        <w:rPr>
          <w:rFonts w:cstheme="minorHAnsi"/>
        </w:rPr>
        <w:t>.</w:t>
      </w:r>
      <w:r w:rsidRPr="007E77AF">
        <w:rPr>
          <w:rFonts w:cstheme="minorHAnsi"/>
        </w:rPr>
        <w:tab/>
        <w:t>Restrição à venda de ações.</w:t>
      </w:r>
    </w:p>
    <w:p w14:paraId="74026D2B" w14:textId="6B720932"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3.</w:t>
      </w:r>
      <w:r w:rsidRPr="007E77AF">
        <w:rPr>
          <w:rFonts w:cstheme="minorHAnsi"/>
          <w:b/>
          <w:bCs/>
        </w:rPr>
        <w:tab/>
        <w:t>Destinação de recursos</w:t>
      </w:r>
      <w:r>
        <w:rPr>
          <w:rStyle w:val="Refdenotaderodap"/>
          <w:rFonts w:cstheme="minorHAnsi"/>
          <w:b/>
          <w:bCs/>
        </w:rPr>
        <w:footnoteReference w:id="25"/>
      </w:r>
    </w:p>
    <w:p w14:paraId="1C22FA4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3.1</w:t>
      </w:r>
      <w:r>
        <w:rPr>
          <w:rFonts w:cstheme="minorHAnsi"/>
        </w:rPr>
        <w:t>.</w:t>
      </w:r>
      <w:r w:rsidRPr="007E77AF">
        <w:rPr>
          <w:rFonts w:cstheme="minorHAnsi"/>
        </w:rPr>
        <w:tab/>
        <w:t>Exposição clara e objetiva do destino dos recursos provenientes da emissão, bem como seu impacto na situação patrimonial e nos resultados do emissor;</w:t>
      </w:r>
    </w:p>
    <w:p w14:paraId="04E7CF0F"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3.2</w:t>
      </w:r>
      <w:r>
        <w:rPr>
          <w:rFonts w:cstheme="minorHAnsi"/>
        </w:rPr>
        <w:t>.</w:t>
      </w:r>
      <w:r w:rsidRPr="007E77AF">
        <w:rPr>
          <w:rFonts w:cstheme="minorHAnsi"/>
        </w:rPr>
        <w:tab/>
        <w:t>Se os recursos forem, direta ou indiretamente, utilizados na aquisição de ativos, à exceção daqueles adquiridos no curso regular dos negócios, descrição sumária desses ativos e seus custos, se tais ativos e seus custos já puderem ser identificados e divulgados. Se forem adquiridos de partes relacionadas, indicação de quem serão comprados e como o custo será determinado;</w:t>
      </w:r>
    </w:p>
    <w:p w14:paraId="4BFF2972"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3.3</w:t>
      </w:r>
      <w:r>
        <w:rPr>
          <w:rFonts w:cstheme="minorHAnsi"/>
        </w:rPr>
        <w:t>.</w:t>
      </w:r>
      <w:r w:rsidRPr="007E77AF">
        <w:rPr>
          <w:rFonts w:cstheme="minorHAnsi"/>
        </w:rPr>
        <w:tab/>
        <w:t xml:space="preserve">Se os recursos forem utilizados para adquirir outros negócios, descrição sumária desses negócios e o estágio das aquisições se tais negócios já puderem ser identificados e divulgados. Se forem </w:t>
      </w:r>
      <w:r w:rsidRPr="007E77AF">
        <w:rPr>
          <w:rFonts w:cstheme="minorHAnsi"/>
        </w:rPr>
        <w:lastRenderedPageBreak/>
        <w:t>adquiridos de partes relacionadas, indicação de quem serão comprados e como o custo será determinado;</w:t>
      </w:r>
    </w:p>
    <w:p w14:paraId="16E5E0B2" w14:textId="1E19AC60" w:rsidR="009A242A" w:rsidRPr="007E77AF" w:rsidRDefault="009A242A" w:rsidP="001353DC">
      <w:pPr>
        <w:tabs>
          <w:tab w:val="left" w:pos="709"/>
        </w:tabs>
        <w:spacing w:before="120" w:after="120" w:line="312" w:lineRule="auto"/>
        <w:ind w:left="709" w:hanging="709"/>
        <w:jc w:val="both"/>
        <w:rPr>
          <w:rFonts w:eastAsiaTheme="minorEastAsia" w:cstheme="minorHAnsi"/>
        </w:rPr>
      </w:pPr>
      <w:r w:rsidRPr="007E77AF">
        <w:rPr>
          <w:rFonts w:eastAsiaTheme="minorEastAsia" w:cstheme="minorHAnsi"/>
        </w:rPr>
        <w:t>3.4</w:t>
      </w:r>
      <w:r>
        <w:rPr>
          <w:rFonts w:eastAsiaTheme="minorEastAsia" w:cstheme="minorHAnsi"/>
        </w:rPr>
        <w:t>.</w:t>
      </w:r>
      <w:r w:rsidRPr="007E77AF">
        <w:rPr>
          <w:rFonts w:eastAsiaTheme="minorEastAsia" w:cstheme="minorHAnsi"/>
        </w:rPr>
        <w:tab/>
      </w:r>
      <w:r w:rsidRPr="007E77AF">
        <w:rPr>
          <w:rFonts w:cstheme="minorHAnsi"/>
        </w:rPr>
        <w:t>Se parte significativa dos recursos for utilizada para abater dívidas, indicação da taxa de juros e prazo dessas dívidas e, para aquelas incorridas a partir do ano anterior, apresentar a destinação daqueles recursos, nos termos dos itens 3.2 e 3.3;</w:t>
      </w:r>
    </w:p>
    <w:p w14:paraId="0BE9BDD2"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3.5</w:t>
      </w:r>
      <w:r>
        <w:rPr>
          <w:rFonts w:cstheme="minorHAnsi"/>
        </w:rPr>
        <w:t>.</w:t>
      </w:r>
      <w:r w:rsidRPr="007E77AF">
        <w:rPr>
          <w:rFonts w:cstheme="minorHAnsi"/>
        </w:rPr>
        <w:tab/>
        <w:t>No caso de parte dos recursos serem destinados a pagamentos a serem efetuados a partes relacionadas ou a coordenadores da oferta, por conta de transações já realizadas ou cuja celebração seja esperada, indicação do montante e dos beneficiários do pagamento;</w:t>
      </w:r>
    </w:p>
    <w:p w14:paraId="2123DAC3"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3.6</w:t>
      </w:r>
      <w:r>
        <w:rPr>
          <w:rFonts w:cstheme="minorHAnsi"/>
        </w:rPr>
        <w:t>.</w:t>
      </w:r>
      <w:r w:rsidRPr="007E77AF">
        <w:rPr>
          <w:rFonts w:cstheme="minorHAnsi"/>
        </w:rPr>
        <w:tab/>
        <w:t>No caso de apenas parte dos recursos almejados com a oferta vir a ser obtida, especificação dos objetivos prioritários e se há outras formas de captação previstas para atingir todos os objetivos originais do ofertante; e</w:t>
      </w:r>
    </w:p>
    <w:p w14:paraId="778C2A87"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3.7</w:t>
      </w:r>
      <w:r>
        <w:rPr>
          <w:rFonts w:cstheme="minorHAnsi"/>
        </w:rPr>
        <w:t>.</w:t>
      </w:r>
      <w:r w:rsidRPr="007E77AF">
        <w:rPr>
          <w:rFonts w:cstheme="minorHAnsi"/>
        </w:rPr>
        <w:tab/>
        <w:t>Outras fontes de recursos: se aplicável, especificação de outras fontes de recursos que terão destinação associada àquela relativa à distribuição pública.</w:t>
      </w:r>
    </w:p>
    <w:p w14:paraId="57486604" w14:textId="59F6ABC0" w:rsidR="009A242A" w:rsidRPr="007E77AF" w:rsidRDefault="009A242A" w:rsidP="001353DC">
      <w:pPr>
        <w:tabs>
          <w:tab w:val="left" w:pos="709"/>
        </w:tabs>
        <w:spacing w:before="120" w:after="120" w:line="312" w:lineRule="auto"/>
        <w:ind w:left="709" w:hanging="709"/>
        <w:jc w:val="both"/>
        <w:rPr>
          <w:rFonts w:eastAsiaTheme="minorBidi" w:cstheme="minorHAnsi"/>
          <w:b/>
          <w:bCs/>
        </w:rPr>
      </w:pPr>
      <w:r w:rsidRPr="007E77AF">
        <w:rPr>
          <w:rFonts w:eastAsiaTheme="minorBidi" w:cstheme="minorHAnsi"/>
          <w:b/>
          <w:bCs/>
        </w:rPr>
        <w:t>4.</w:t>
      </w:r>
      <w:r w:rsidRPr="007E77AF">
        <w:rPr>
          <w:rFonts w:eastAsiaTheme="minorBidi" w:cstheme="minorHAnsi"/>
          <w:b/>
          <w:bCs/>
        </w:rPr>
        <w:tab/>
      </w:r>
      <w:r w:rsidRPr="007E77AF">
        <w:rPr>
          <w:rFonts w:cstheme="minorHAnsi"/>
          <w:b/>
          <w:bCs/>
        </w:rPr>
        <w:t>Fatores de risco:</w:t>
      </w:r>
    </w:p>
    <w:p w14:paraId="0F7E93BA"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4.1</w:t>
      </w:r>
      <w:r>
        <w:rPr>
          <w:rFonts w:cstheme="minorHAnsi"/>
        </w:rPr>
        <w:t>.</w:t>
      </w:r>
      <w:r w:rsidRPr="007E77AF">
        <w:rPr>
          <w:rFonts w:cstheme="minorHAnsi"/>
        </w:rPr>
        <w:tab/>
        <w:t>Em ordem decrescente de relevância,</w:t>
      </w:r>
      <w:r w:rsidRPr="007E77AF">
        <w:t xml:space="preserve"> </w:t>
      </w:r>
      <w:r w:rsidRPr="007E77AF">
        <w:rPr>
          <w:rFonts w:cstheme="minorHAnsi"/>
        </w:rPr>
        <w:t>os principais fatores de risco associados à oferta e ao emissor.</w:t>
      </w:r>
    </w:p>
    <w:p w14:paraId="05F60C1C" w14:textId="77777777" w:rsidR="009A242A" w:rsidRPr="007E77AF" w:rsidRDefault="009A242A" w:rsidP="001353DC">
      <w:pPr>
        <w:tabs>
          <w:tab w:val="left" w:pos="709"/>
        </w:tabs>
        <w:spacing w:before="120" w:after="120" w:line="312" w:lineRule="auto"/>
        <w:ind w:left="709" w:hanging="733"/>
        <w:jc w:val="both"/>
        <w:rPr>
          <w:rFonts w:cstheme="minorHAnsi"/>
          <w:b/>
          <w:bCs/>
        </w:rPr>
      </w:pPr>
      <w:r w:rsidRPr="007E77AF">
        <w:rPr>
          <w:rFonts w:cstheme="minorHAnsi"/>
          <w:b/>
          <w:bCs/>
        </w:rPr>
        <w:t>5.</w:t>
      </w:r>
      <w:r w:rsidRPr="007E77AF">
        <w:rPr>
          <w:rFonts w:cstheme="minorHAnsi"/>
          <w:b/>
          <w:bCs/>
        </w:rPr>
        <w:tab/>
        <w:t>Cronograma</w:t>
      </w:r>
    </w:p>
    <w:p w14:paraId="4B3B30DD" w14:textId="77777777" w:rsidR="009A242A" w:rsidRPr="007E77AF" w:rsidRDefault="009A242A" w:rsidP="001353DC">
      <w:pPr>
        <w:tabs>
          <w:tab w:val="left" w:pos="709"/>
        </w:tabs>
        <w:spacing w:before="120" w:after="120" w:line="312" w:lineRule="auto"/>
        <w:ind w:left="709" w:hanging="733"/>
        <w:jc w:val="both"/>
        <w:rPr>
          <w:rFonts w:cstheme="minorHAnsi"/>
        </w:rPr>
      </w:pPr>
      <w:r w:rsidRPr="007E77AF">
        <w:rPr>
          <w:rFonts w:cstheme="minorHAnsi"/>
        </w:rPr>
        <w:t>5.1</w:t>
      </w:r>
      <w:r>
        <w:rPr>
          <w:rFonts w:cstheme="minorHAnsi"/>
        </w:rPr>
        <w:t>.</w:t>
      </w:r>
      <w:r w:rsidRPr="007E77AF">
        <w:rPr>
          <w:rFonts w:cstheme="minorHAnsi"/>
        </w:rPr>
        <w:tab/>
        <w:t>Cronograma das etapas da oferta, destacando, no mínimo</w:t>
      </w:r>
      <w:r w:rsidRPr="007E77AF">
        <w:rPr>
          <w:rFonts w:cstheme="minorHAnsi"/>
          <w:b/>
          <w:bCs/>
        </w:rPr>
        <w:t>:</w:t>
      </w:r>
    </w:p>
    <w:p w14:paraId="38CE6BF2"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a)</w:t>
      </w:r>
      <w:r w:rsidRPr="007E77AF">
        <w:rPr>
          <w:rFonts w:cstheme="minorHAnsi"/>
        </w:rPr>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620FFEB3" w14:textId="10D7A4A6" w:rsidR="009A242A" w:rsidRPr="007E77AF" w:rsidRDefault="009A242A" w:rsidP="001353DC">
      <w:pPr>
        <w:spacing w:before="120" w:after="120" w:line="312" w:lineRule="auto"/>
        <w:ind w:left="1069" w:hanging="360"/>
        <w:jc w:val="both"/>
        <w:rPr>
          <w:rFonts w:cstheme="minorHAnsi"/>
        </w:rPr>
      </w:pPr>
      <w:r w:rsidRPr="007E77AF">
        <w:rPr>
          <w:rFonts w:cstheme="minorHAnsi"/>
        </w:rPr>
        <w:t>b)</w:t>
      </w:r>
      <w:r w:rsidRPr="007E77AF">
        <w:rPr>
          <w:rFonts w:cstheme="minorHAnsi"/>
        </w:rPr>
        <w:tab/>
        <w:t>os prazos, condições e forma para: (i) manifestações de aceitação dos investidores interessados e de revogação da aceitação, (</w:t>
      </w:r>
      <w:proofErr w:type="spellStart"/>
      <w:r w:rsidRPr="007E77AF">
        <w:rPr>
          <w:rFonts w:cstheme="minorHAnsi"/>
        </w:rPr>
        <w:t>ii</w:t>
      </w:r>
      <w:proofErr w:type="spellEnd"/>
      <w:r w:rsidRPr="007E77AF">
        <w:rPr>
          <w:rFonts w:cstheme="minorHAnsi"/>
        </w:rPr>
        <w:t>) subscrição, integralização e entrega de respectivos certificados, conforme o caso, (</w:t>
      </w:r>
      <w:proofErr w:type="spellStart"/>
      <w:r w:rsidRPr="007E77AF">
        <w:rPr>
          <w:rFonts w:cstheme="minorHAnsi"/>
        </w:rPr>
        <w:t>iii</w:t>
      </w:r>
      <w:proofErr w:type="spellEnd"/>
      <w:r w:rsidRPr="007E77AF">
        <w:rPr>
          <w:rFonts w:cstheme="minorHAnsi"/>
        </w:rPr>
        <w:t>) distribuição junto ao público investidor em geral, (</w:t>
      </w:r>
      <w:proofErr w:type="spellStart"/>
      <w:r w:rsidRPr="007E77AF">
        <w:rPr>
          <w:rFonts w:cstheme="minorHAnsi"/>
        </w:rPr>
        <w:t>iv</w:t>
      </w:r>
      <w:proofErr w:type="spellEnd"/>
      <w:r w:rsidRPr="007E77AF">
        <w:rPr>
          <w:rFonts w:cstheme="minorHAnsi"/>
        </w:rPr>
        <w:t xml:space="preserve">) posterior alienação dos valores mobiliários adquiridos </w:t>
      </w:r>
      <w:r>
        <w:rPr>
          <w:rFonts w:cstheme="minorHAnsi"/>
        </w:rPr>
        <w:t>pelos coordenadores</w:t>
      </w:r>
      <w:r w:rsidRPr="007E77AF">
        <w:rPr>
          <w:rFonts w:cstheme="minorHAnsi"/>
        </w:rPr>
        <w:t xml:space="preserve"> em decorrência da prestação de garantia, (v) devolução e reembolso aos investidores, se for o caso, e (vi) quaisquer outras datas relativas à oferta pública de interesse para os investidores ou ao mercado em geral.</w:t>
      </w:r>
    </w:p>
    <w:p w14:paraId="1AAB066D" w14:textId="77777777" w:rsidR="009A242A" w:rsidRPr="007E77AF" w:rsidRDefault="009A242A" w:rsidP="001353DC">
      <w:pPr>
        <w:keepNext/>
        <w:spacing w:before="120" w:after="120" w:line="312" w:lineRule="auto"/>
        <w:ind w:left="709" w:hanging="709"/>
        <w:jc w:val="both"/>
        <w:rPr>
          <w:rFonts w:cstheme="minorHAnsi"/>
          <w:b/>
          <w:bCs/>
        </w:rPr>
      </w:pPr>
      <w:r w:rsidRPr="007E77AF">
        <w:rPr>
          <w:rFonts w:cstheme="minorHAnsi"/>
          <w:b/>
          <w:bCs/>
        </w:rPr>
        <w:lastRenderedPageBreak/>
        <w:t>6.</w:t>
      </w:r>
      <w:r w:rsidRPr="007E77AF">
        <w:rPr>
          <w:rFonts w:cstheme="minorHAnsi"/>
          <w:b/>
          <w:bCs/>
        </w:rPr>
        <w:tab/>
        <w:t xml:space="preserve">Composição do capital social </w:t>
      </w:r>
    </w:p>
    <w:p w14:paraId="2E223E91" w14:textId="77777777" w:rsidR="009A242A" w:rsidRPr="007E77AF" w:rsidRDefault="009A242A" w:rsidP="001353DC">
      <w:pPr>
        <w:spacing w:before="120" w:after="120" w:line="312" w:lineRule="auto"/>
        <w:ind w:left="709" w:hanging="709"/>
        <w:jc w:val="both"/>
        <w:rPr>
          <w:rFonts w:cstheme="minorHAnsi"/>
        </w:rPr>
      </w:pPr>
      <w:r w:rsidRPr="007E77AF">
        <w:rPr>
          <w:rFonts w:cstheme="minorHAnsi"/>
        </w:rPr>
        <w:t>6.1</w:t>
      </w:r>
      <w:r>
        <w:rPr>
          <w:rFonts w:cstheme="minorHAnsi"/>
        </w:rPr>
        <w:t>.</w:t>
      </w:r>
      <w:r w:rsidRPr="007E77AF">
        <w:rPr>
          <w:rFonts w:cstheme="minorHAnsi"/>
        </w:rPr>
        <w:tab/>
        <w:t>Capital social atual, incluindo a identificação e as respectivas participações acionárias dos acionistas que detenham mais de 5% (cinco por cento) do capital social, por participação total e por espécie e classe, ajustado para quaisquer eventos subsequentes ocorridos em relação à última informação contábil disponível (resgate de ações, aumento de capital etc.);</w:t>
      </w:r>
    </w:p>
    <w:p w14:paraId="72C718A4" w14:textId="77777777" w:rsidR="009A242A" w:rsidRPr="007E77AF" w:rsidRDefault="009A242A" w:rsidP="001353DC">
      <w:pPr>
        <w:spacing w:before="120" w:after="120" w:line="312" w:lineRule="auto"/>
        <w:ind w:left="709" w:hanging="709"/>
        <w:jc w:val="both"/>
        <w:rPr>
          <w:rFonts w:eastAsiaTheme="minorBidi" w:cstheme="minorHAnsi"/>
        </w:rPr>
      </w:pPr>
      <w:r w:rsidRPr="007E77AF">
        <w:rPr>
          <w:rFonts w:eastAsiaTheme="minorBidi" w:cstheme="minorHAnsi"/>
        </w:rPr>
        <w:t>6.2</w:t>
      </w:r>
      <w:r>
        <w:rPr>
          <w:rFonts w:eastAsiaTheme="minorBidi" w:cstheme="minorHAnsi"/>
        </w:rPr>
        <w:t>.</w:t>
      </w:r>
      <w:r w:rsidRPr="007E77AF">
        <w:rPr>
          <w:rFonts w:eastAsiaTheme="minorBidi" w:cstheme="minorHAnsi"/>
        </w:rPr>
        <w:tab/>
      </w:r>
      <w:r w:rsidRPr="007E77AF">
        <w:rPr>
          <w:rFonts w:cstheme="minorHAnsi"/>
        </w:rPr>
        <w:t>Capital social após o aumento, se for o caso;</w:t>
      </w:r>
    </w:p>
    <w:p w14:paraId="5B092EDB" w14:textId="77777777" w:rsidR="009A242A" w:rsidRPr="007E77AF" w:rsidRDefault="009A242A" w:rsidP="001353DC">
      <w:pPr>
        <w:spacing w:before="120" w:after="120" w:line="312" w:lineRule="auto"/>
        <w:ind w:left="709" w:hanging="709"/>
        <w:jc w:val="both"/>
        <w:rPr>
          <w:rFonts w:cstheme="minorHAnsi"/>
        </w:rPr>
      </w:pPr>
      <w:r w:rsidRPr="007E77AF">
        <w:rPr>
          <w:rFonts w:cstheme="minorHAnsi"/>
        </w:rPr>
        <w:t>6.3</w:t>
      </w:r>
      <w:r>
        <w:rPr>
          <w:rFonts w:cstheme="minorHAnsi"/>
        </w:rPr>
        <w:t>.</w:t>
      </w:r>
      <w:r w:rsidRPr="007E77AF">
        <w:rPr>
          <w:rFonts w:cstheme="minorHAnsi"/>
        </w:rPr>
        <w:tab/>
        <w:t>Descrição das ações a serem emitidas ou alienadas, incluindo, no mínimo, informações relativas:</w:t>
      </w:r>
    </w:p>
    <w:p w14:paraId="0A577B54"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a)</w:t>
      </w:r>
      <w:r w:rsidRPr="007E77AF">
        <w:rPr>
          <w:rFonts w:cstheme="minorHAnsi"/>
        </w:rPr>
        <w:tab/>
        <w:t>à quantidade de ações a serem emitidas de cada espécie e classe e aos seus direitos, vantagens e restrições, submissão a direito de preferência, especificando, ainda, aqueles direitos, vantagens e restrições decorrentes de eventuais decisões da assembleia ou do conselho de administração que deliberou o aumento, conforme descrito no estatuto do emissor;</w:t>
      </w:r>
    </w:p>
    <w:p w14:paraId="5922EAFB"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b)</w:t>
      </w:r>
      <w:r w:rsidRPr="007E77AF">
        <w:rPr>
          <w:rFonts w:cstheme="minorHAnsi"/>
        </w:rPr>
        <w:tab/>
        <w:t>ao valor total de emissão;</w:t>
      </w:r>
    </w:p>
    <w:p w14:paraId="2B9D7221"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c)</w:t>
      </w:r>
      <w:r w:rsidRPr="007E77AF">
        <w:rPr>
          <w:rFonts w:cstheme="minorHAnsi"/>
        </w:rPr>
        <w:tab/>
        <w:t>às autorizações societárias necessárias à emissão ou à distribuição das ações, identificando os órgãos deliberativos responsáveis e as respectivas reuniões em que a oferta foi aprovada;</w:t>
      </w:r>
    </w:p>
    <w:p w14:paraId="523038C0"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d)</w:t>
      </w:r>
      <w:r w:rsidRPr="007E77AF">
        <w:rPr>
          <w:rFonts w:cstheme="minorHAnsi"/>
        </w:rPr>
        <w:tab/>
        <w:t>à cotação em bolsa de valores ou mercado de balcão dos valores mobiliários a serem distribuídos, inclusive no exterior, identificando (i) cotação mínima, média e máxima de cada ano, nos últimos 5 (cinco) anos; cotação mínima, média e máxima de cada trimestre, nos últimos 2 (dois) anos; e cotação mínima, média e máxima de cada mês, nos últimos 6 (seis) meses; informando ainda, caso tenha ocorrido aumento de capital ou distribuição de dividendos nos últimos 5 (cinco) anos, as datas em que foram iniciadas as negociações “</w:t>
      </w:r>
      <w:proofErr w:type="spellStart"/>
      <w:r w:rsidRPr="007E77AF">
        <w:rPr>
          <w:rFonts w:cstheme="minorHAnsi"/>
        </w:rPr>
        <w:t>ex-direitos</w:t>
      </w:r>
      <w:proofErr w:type="spellEnd"/>
      <w:r w:rsidRPr="007E77AF">
        <w:rPr>
          <w:rFonts w:cstheme="minorHAnsi"/>
        </w:rPr>
        <w:t>”; e</w:t>
      </w:r>
    </w:p>
    <w:p w14:paraId="1EFDF2A5"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e)</w:t>
      </w:r>
      <w:r w:rsidRPr="007E77AF">
        <w:rPr>
          <w:rFonts w:cstheme="minorHAnsi"/>
        </w:rPr>
        <w:tab/>
        <w:t>justificativa do preço de emissão dos valores mobiliários a serem distribuídos, bem como do critério adotado para a sua fixação;</w:t>
      </w:r>
    </w:p>
    <w:p w14:paraId="0F52761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6.4</w:t>
      </w:r>
      <w:r>
        <w:rPr>
          <w:rFonts w:cstheme="minorHAnsi"/>
        </w:rPr>
        <w:t>.</w:t>
      </w:r>
      <w:r w:rsidRPr="007E77AF">
        <w:rPr>
          <w:rFonts w:cstheme="minorHAnsi"/>
        </w:rPr>
        <w:tab/>
        <w:t>Indicação da diferença entre o preço das ações ofertadas e o seu valor patrimonial, com base na última informação contábil disponível, já incorporando a oferta</w:t>
      </w:r>
      <w:r w:rsidRPr="007E77AF" w:rsidDel="3F8742B5">
        <w:rPr>
          <w:rFonts w:cstheme="minorHAnsi"/>
        </w:rPr>
        <w:t xml:space="preserve"> e </w:t>
      </w:r>
      <w:r w:rsidRPr="007E77AF" w:rsidDel="1A6ADD27">
        <w:rPr>
          <w:rFonts w:cstheme="minorHAnsi"/>
        </w:rPr>
        <w:t xml:space="preserve">ainda </w:t>
      </w:r>
      <w:r w:rsidRPr="007E77AF" w:rsidDel="3F8742B5">
        <w:rPr>
          <w:rFonts w:cstheme="minorHAnsi"/>
        </w:rPr>
        <w:t>eventuais ajustes subsequentes</w:t>
      </w:r>
      <w:r w:rsidRPr="007E77AF">
        <w:rPr>
          <w:rFonts w:cstheme="minorHAnsi"/>
        </w:rPr>
        <w:t>;</w:t>
      </w:r>
    </w:p>
    <w:p w14:paraId="698820A5"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6.5</w:t>
      </w:r>
      <w:r>
        <w:rPr>
          <w:rFonts w:cstheme="minorHAnsi"/>
        </w:rPr>
        <w:t>.</w:t>
      </w:r>
      <w:r w:rsidRPr="007E77AF">
        <w:rPr>
          <w:rFonts w:cstheme="minorHAnsi"/>
        </w:rPr>
        <w:tab/>
        <w:t>Indicação da diluição econômica imediata dos acionistas que não subscreverem as ações emitidas, calculada pela divisão da quantidade de novas ações a serem emitidas pela soma dessa quantidade com a quantidade inicial de ações antes do aumento do capital, multiplicando o quociente obtido por 100 (cem); e</w:t>
      </w:r>
    </w:p>
    <w:p w14:paraId="26595C2B"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lastRenderedPageBreak/>
        <w:t>6.6</w:t>
      </w:r>
      <w:r>
        <w:rPr>
          <w:rFonts w:cstheme="minorHAnsi"/>
        </w:rPr>
        <w:t>.</w:t>
      </w:r>
      <w:r w:rsidRPr="007E77AF">
        <w:rPr>
          <w:rFonts w:cstheme="minorHAnsi"/>
        </w:rPr>
        <w:tab/>
        <w:t>Descrição comparativa entre o preço de emissão e o preço pago por administradores, controladores ou detentores de opções em aquisições de ações nos últimos cinco anos.</w:t>
      </w:r>
    </w:p>
    <w:p w14:paraId="4D31AB9F" w14:textId="77777777"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7.</w:t>
      </w:r>
      <w:r w:rsidRPr="007E77AF">
        <w:rPr>
          <w:rFonts w:cstheme="minorHAnsi"/>
          <w:b/>
          <w:bCs/>
        </w:rPr>
        <w:tab/>
        <w:t>Restrições a direitos dos investidores no contexto da oferta</w:t>
      </w:r>
    </w:p>
    <w:p w14:paraId="0591CFFA" w14:textId="77777777" w:rsidR="009A242A" w:rsidRPr="007E77AF" w:rsidRDefault="009A242A" w:rsidP="002B04DB">
      <w:pPr>
        <w:tabs>
          <w:tab w:val="left" w:pos="709"/>
        </w:tabs>
        <w:spacing w:before="120" w:after="120" w:line="312" w:lineRule="auto"/>
        <w:ind w:left="709" w:hanging="709"/>
        <w:jc w:val="both"/>
        <w:rPr>
          <w:rFonts w:eastAsiaTheme="minorBidi"/>
        </w:rPr>
      </w:pPr>
      <w:r w:rsidRPr="007E77AF">
        <w:rPr>
          <w:rFonts w:eastAsiaTheme="minorBidi" w:cstheme="minorHAnsi"/>
        </w:rPr>
        <w:t>7.1</w:t>
      </w:r>
      <w:r>
        <w:rPr>
          <w:rFonts w:eastAsiaTheme="minorBidi" w:cstheme="minorHAnsi"/>
        </w:rPr>
        <w:t>.</w:t>
      </w:r>
      <w:r w:rsidRPr="007E77AF">
        <w:rPr>
          <w:rFonts w:eastAsiaTheme="minorBidi" w:cstheme="minorHAnsi"/>
        </w:rPr>
        <w:tab/>
      </w:r>
      <w:r w:rsidRPr="007E77AF">
        <w:t>Declaração em destaque da inadequação do investimento, caso aplicável, especificando os tipos de investidores para os quais o investimento é considerado inadequado; e</w:t>
      </w:r>
    </w:p>
    <w:p w14:paraId="45E45BCC" w14:textId="7CDE2078" w:rsidR="009A242A" w:rsidRPr="00C67B81" w:rsidRDefault="009A242A" w:rsidP="00C67B81">
      <w:pPr>
        <w:tabs>
          <w:tab w:val="left" w:pos="709"/>
        </w:tabs>
        <w:spacing w:before="120" w:after="120" w:line="312" w:lineRule="auto"/>
        <w:ind w:left="709" w:hanging="709"/>
        <w:jc w:val="both"/>
        <w:rPr>
          <w:rFonts w:eastAsiaTheme="minorBidi"/>
        </w:rPr>
      </w:pPr>
      <w:r w:rsidRPr="00C67B81">
        <w:rPr>
          <w:rFonts w:eastAsiaTheme="minorBidi"/>
        </w:rPr>
        <w:t>7.2</w:t>
      </w:r>
      <w:r>
        <w:rPr>
          <w:rFonts w:eastAsiaTheme="minorBidi"/>
        </w:rPr>
        <w:t>.</w:t>
      </w:r>
      <w:r w:rsidRPr="00C67B81">
        <w:rPr>
          <w:rFonts w:eastAsiaTheme="minorBidi"/>
        </w:rPr>
        <w:tab/>
        <w:t xml:space="preserve">Esclarecimento sobre os procedimentos previstos nos </w:t>
      </w:r>
      <w:proofErr w:type="spellStart"/>
      <w:r w:rsidRPr="00C67B81">
        <w:rPr>
          <w:rFonts w:eastAsiaTheme="minorBidi"/>
        </w:rPr>
        <w:t>arts</w:t>
      </w:r>
      <w:proofErr w:type="spellEnd"/>
      <w:r w:rsidRPr="00C67B81">
        <w:rPr>
          <w:rFonts w:eastAsiaTheme="minorBidi"/>
        </w:rPr>
        <w:t xml:space="preserve">. </w:t>
      </w:r>
      <w:r w:rsidR="00E65A0A">
        <w:rPr>
          <w:rFonts w:eastAsiaTheme="minorBidi"/>
        </w:rPr>
        <w:t>70</w:t>
      </w:r>
      <w:r w:rsidRPr="00C67B81">
        <w:rPr>
          <w:rFonts w:eastAsiaTheme="minorBidi"/>
        </w:rPr>
        <w:t xml:space="preserve"> e </w:t>
      </w:r>
      <w:r w:rsidR="00E65A0A">
        <w:rPr>
          <w:rFonts w:eastAsiaTheme="minorBidi"/>
        </w:rPr>
        <w:t>71</w:t>
      </w:r>
      <w:r w:rsidRPr="00C67B81">
        <w:rPr>
          <w:rFonts w:eastAsiaTheme="minorBidi"/>
        </w:rPr>
        <w:t xml:space="preserve"> da Resolução a respeito da eventual modificação da oferta, notadamente quanto aos efeitos do silêncio do investidor.</w:t>
      </w:r>
    </w:p>
    <w:p w14:paraId="64A280DE"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8.</w:t>
      </w:r>
      <w:r w:rsidRPr="007E77AF">
        <w:rPr>
          <w:rFonts w:cstheme="minorHAnsi"/>
          <w:b/>
          <w:bCs/>
        </w:rPr>
        <w:tab/>
      </w:r>
      <w:r w:rsidRPr="007E77AF">
        <w:rPr>
          <w:rFonts w:eastAsia="Calibri"/>
          <w:b/>
        </w:rPr>
        <w:t>Outras características da oferta</w:t>
      </w:r>
    </w:p>
    <w:p w14:paraId="4936A3BB" w14:textId="70909C18"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8.1</w:t>
      </w:r>
      <w:r>
        <w:rPr>
          <w:rFonts w:eastAsiaTheme="minorEastAsia" w:cstheme="minorHAnsi"/>
        </w:rPr>
        <w:t>.</w:t>
      </w:r>
      <w:r w:rsidRPr="007E77AF">
        <w:rPr>
          <w:rFonts w:eastAsiaTheme="minorEastAsia" w:cstheme="minorHAnsi"/>
        </w:rPr>
        <w:tab/>
      </w:r>
      <w:r w:rsidRPr="007E77AF">
        <w:rPr>
          <w:rFonts w:eastAsia="Calibri"/>
        </w:rPr>
        <w:t>Eventuais condições a que a oferta pública esteja submetida;</w:t>
      </w:r>
    </w:p>
    <w:p w14:paraId="50342A07" w14:textId="77777777" w:rsidR="009A242A" w:rsidRPr="007E77AF" w:rsidRDefault="009A242A" w:rsidP="001353DC">
      <w:pPr>
        <w:tabs>
          <w:tab w:val="left" w:pos="709"/>
        </w:tabs>
        <w:spacing w:before="120" w:beforeAutospacing="1" w:after="120" w:afterAutospacing="1" w:line="312" w:lineRule="auto"/>
        <w:ind w:left="709" w:hanging="709"/>
        <w:jc w:val="both"/>
      </w:pPr>
      <w:r w:rsidRPr="007E77AF">
        <w:rPr>
          <w:rFonts w:cstheme="minorBidi"/>
        </w:rPr>
        <w:t>8.2</w:t>
      </w:r>
      <w:r>
        <w:rPr>
          <w:rFonts w:cstheme="minorBidi"/>
        </w:rPr>
        <w:t>.</w:t>
      </w:r>
      <w:r w:rsidRPr="007E77AF">
        <w:rPr>
          <w:rFonts w:cstheme="minorBidi"/>
        </w:rPr>
        <w:tab/>
      </w:r>
      <w:r w:rsidRPr="007E77AF">
        <w:t>Eventual destinação da oferta pública ou partes da oferta pública a investidores específicos e a descrição destes investidores;</w:t>
      </w:r>
    </w:p>
    <w:p w14:paraId="7C3D3A5D"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8.3</w:t>
      </w:r>
      <w:r>
        <w:rPr>
          <w:rFonts w:eastAsiaTheme="minorEastAsia" w:cstheme="minorHAnsi"/>
        </w:rPr>
        <w:t>.</w:t>
      </w:r>
      <w:r w:rsidRPr="007E77AF">
        <w:rPr>
          <w:rFonts w:eastAsiaTheme="minorEastAsia" w:cstheme="minorHAnsi"/>
        </w:rPr>
        <w:tab/>
      </w:r>
      <w:r w:rsidRPr="007E77AF">
        <w:rPr>
          <w:rFonts w:eastAsia="Calibri"/>
        </w:rPr>
        <w:t xml:space="preserve">Autorizações societárias necessárias à emissão ou distribuição dos </w:t>
      </w:r>
      <w:r w:rsidRPr="007E77AF">
        <w:rPr>
          <w:rFonts w:eastAsia="Calibri" w:cstheme="minorHAnsi"/>
        </w:rPr>
        <w:t>valores mobiliários</w:t>
      </w:r>
      <w:r w:rsidRPr="007E77AF">
        <w:rPr>
          <w:rFonts w:eastAsia="Calibri"/>
        </w:rPr>
        <w:t>, identificando os órgãos deliberativos responsáveis e as respectivas reuniões em que foi aprovada a operação;</w:t>
      </w:r>
    </w:p>
    <w:p w14:paraId="53F4EA3C"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8.4</w:t>
      </w:r>
      <w:r>
        <w:rPr>
          <w:rFonts w:eastAsiaTheme="minorEastAsia" w:cstheme="minorHAnsi"/>
        </w:rPr>
        <w:t>.</w:t>
      </w:r>
      <w:r w:rsidRPr="007E77AF">
        <w:rPr>
          <w:rFonts w:eastAsiaTheme="minorEastAsia" w:cstheme="minorHAnsi"/>
        </w:rPr>
        <w:tab/>
      </w:r>
      <w:r w:rsidRPr="007E77AF">
        <w:rPr>
          <w:rFonts w:eastAsia="Calibri"/>
        </w:rPr>
        <w:t>Regime de distribuição;</w:t>
      </w:r>
    </w:p>
    <w:p w14:paraId="75CAE1BA"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8.5</w:t>
      </w:r>
      <w:r>
        <w:rPr>
          <w:rFonts w:eastAsiaTheme="minorEastAsia" w:cstheme="minorHAnsi"/>
        </w:rPr>
        <w:t>.</w:t>
      </w:r>
      <w:r w:rsidRPr="007E77AF">
        <w:rPr>
          <w:rFonts w:eastAsiaTheme="minorEastAsia" w:cstheme="minorHAnsi"/>
        </w:rPr>
        <w:tab/>
      </w:r>
      <w:r w:rsidRPr="007E77AF">
        <w:rPr>
          <w:rFonts w:eastAsia="Calibri"/>
        </w:rPr>
        <w:t>Dinâmica de coleta de intenções de investimento e determinação do preço ou taxa;</w:t>
      </w:r>
    </w:p>
    <w:p w14:paraId="034285EC"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8.6</w:t>
      </w:r>
      <w:r>
        <w:rPr>
          <w:rFonts w:eastAsiaTheme="minorEastAsia" w:cstheme="minorHAnsi"/>
        </w:rPr>
        <w:t>.</w:t>
      </w:r>
      <w:r w:rsidRPr="007E77AF">
        <w:rPr>
          <w:rFonts w:eastAsiaTheme="minorEastAsia" w:cstheme="minorHAnsi"/>
        </w:rPr>
        <w:tab/>
      </w:r>
      <w:r w:rsidRPr="007E77AF">
        <w:rPr>
          <w:rFonts w:eastAsia="Calibri"/>
        </w:rPr>
        <w:t>Formador de mercado;</w:t>
      </w:r>
    </w:p>
    <w:p w14:paraId="2A187133"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8.7</w:t>
      </w:r>
      <w:r>
        <w:rPr>
          <w:rFonts w:eastAsiaTheme="minorEastAsia" w:cstheme="minorHAnsi"/>
        </w:rPr>
        <w:t>.</w:t>
      </w:r>
      <w:r w:rsidRPr="007E77AF">
        <w:rPr>
          <w:rFonts w:eastAsiaTheme="minorEastAsia" w:cstheme="minorHAnsi"/>
        </w:rPr>
        <w:tab/>
      </w:r>
      <w:r w:rsidRPr="007E77AF">
        <w:rPr>
          <w:rFonts w:eastAsia="Calibri"/>
        </w:rPr>
        <w:t>Fundo de liquidez e estabilização, se houver; e</w:t>
      </w:r>
    </w:p>
    <w:p w14:paraId="06BB696E"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8.8</w:t>
      </w:r>
      <w:r>
        <w:rPr>
          <w:rFonts w:cstheme="minorHAnsi"/>
        </w:rPr>
        <w:t>.</w:t>
      </w:r>
      <w:r w:rsidRPr="007E77AF">
        <w:rPr>
          <w:rFonts w:cstheme="minorHAnsi"/>
        </w:rPr>
        <w:tab/>
      </w:r>
      <w:r w:rsidRPr="007E77AF">
        <w:rPr>
          <w:rFonts w:eastAsia="Calibri"/>
        </w:rPr>
        <w:t>Requisitos ou exigências mínimas de investimento, caso existam.</w:t>
      </w:r>
    </w:p>
    <w:p w14:paraId="5EC85868" w14:textId="77777777"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9.</w:t>
      </w:r>
      <w:r w:rsidRPr="007E77AF">
        <w:rPr>
          <w:rFonts w:cstheme="minorHAnsi"/>
          <w:b/>
          <w:bCs/>
        </w:rPr>
        <w:tab/>
        <w:t>Viabilidade econômico-financeira</w:t>
      </w:r>
      <w:r w:rsidRPr="007E77AF">
        <w:rPr>
          <w:rStyle w:val="Refdenotaderodap"/>
          <w:rFonts w:cstheme="minorHAnsi"/>
          <w:b/>
          <w:bCs/>
        </w:rPr>
        <w:footnoteReference w:id="26"/>
      </w:r>
    </w:p>
    <w:p w14:paraId="46F47781"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9.1</w:t>
      </w:r>
      <w:r>
        <w:rPr>
          <w:rFonts w:cstheme="minorHAnsi"/>
        </w:rPr>
        <w:t>.</w:t>
      </w:r>
      <w:r w:rsidRPr="007E77AF">
        <w:rPr>
          <w:rFonts w:cstheme="minorHAnsi"/>
        </w:rPr>
        <w:tab/>
        <w:t>Estudo de viabilidade econômico-financeira que contemple, no mínimo:</w:t>
      </w:r>
    </w:p>
    <w:p w14:paraId="2B997505" w14:textId="77777777" w:rsidR="009A242A" w:rsidRPr="007E77AF" w:rsidRDefault="009A242A" w:rsidP="000B7BF6">
      <w:pPr>
        <w:spacing w:before="120" w:after="120" w:line="312" w:lineRule="auto"/>
        <w:ind w:left="1069" w:hanging="360"/>
        <w:jc w:val="both"/>
        <w:rPr>
          <w:rFonts w:cstheme="minorHAnsi"/>
        </w:rPr>
      </w:pPr>
      <w:r w:rsidRPr="007E77AF">
        <w:rPr>
          <w:rFonts w:cstheme="minorHAnsi"/>
        </w:rPr>
        <w:lastRenderedPageBreak/>
        <w:t>a)</w:t>
      </w:r>
      <w:r w:rsidRPr="007E77AF">
        <w:rPr>
          <w:rFonts w:cstheme="minorHAnsi"/>
        </w:rPr>
        <w:tab/>
        <w:t>análise de demanda das principais linhas de produtos e serviços do emissor que representem uma percentagem substancial de seu volume global de receitas; e</w:t>
      </w:r>
    </w:p>
    <w:p w14:paraId="392AFC89" w14:textId="77777777" w:rsidR="009A242A" w:rsidRPr="007E77AF" w:rsidRDefault="009A242A" w:rsidP="000B7BF6">
      <w:pPr>
        <w:spacing w:before="120" w:after="120" w:line="312" w:lineRule="auto"/>
        <w:ind w:left="1069" w:hanging="360"/>
        <w:jc w:val="both"/>
        <w:rPr>
          <w:rFonts w:cstheme="minorHAnsi"/>
        </w:rPr>
      </w:pPr>
      <w:r w:rsidRPr="007E77AF">
        <w:rPr>
          <w:rFonts w:cstheme="minorHAnsi"/>
        </w:rPr>
        <w:t>b)</w:t>
      </w:r>
      <w:r w:rsidRPr="007E77AF">
        <w:rPr>
          <w:rFonts w:cstheme="minorHAnsi"/>
        </w:rPr>
        <w:tab/>
        <w:t>retorno do investimento, expondo clara e objetivamente cada uma das premissas adotadas para a sua elaboração.</w:t>
      </w:r>
    </w:p>
    <w:p w14:paraId="4126E4B1"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10.</w:t>
      </w:r>
      <w:r w:rsidRPr="007E77AF">
        <w:rPr>
          <w:rFonts w:cstheme="minorHAnsi"/>
          <w:b/>
          <w:bCs/>
        </w:rPr>
        <w:tab/>
      </w:r>
      <w:r w:rsidRPr="007E77AF">
        <w:rPr>
          <w:b/>
        </w:rPr>
        <w:t>Relacionamentos e conflito de interesses</w:t>
      </w:r>
    </w:p>
    <w:p w14:paraId="0C203ABD" w14:textId="23528AC2" w:rsidR="009A242A" w:rsidRPr="007E77AF" w:rsidRDefault="009A242A" w:rsidP="00E8430F">
      <w:pPr>
        <w:tabs>
          <w:tab w:val="left" w:pos="709"/>
        </w:tabs>
        <w:spacing w:before="120" w:after="120" w:line="312" w:lineRule="auto"/>
        <w:ind w:left="709" w:hanging="709"/>
        <w:jc w:val="both"/>
        <w:rPr>
          <w:rFonts w:cstheme="minorBidi"/>
        </w:rPr>
      </w:pPr>
      <w:r w:rsidRPr="007E77AF">
        <w:rPr>
          <w:rFonts w:eastAsiaTheme="minorBidi" w:cstheme="minorBidi"/>
        </w:rPr>
        <w:t>10.1</w:t>
      </w:r>
      <w:r>
        <w:rPr>
          <w:rFonts w:eastAsiaTheme="minorBidi" w:cstheme="minorBidi"/>
        </w:rPr>
        <w:t>.</w:t>
      </w:r>
      <w:r w:rsidRPr="007E77AF">
        <w:rPr>
          <w:rFonts w:eastAsiaTheme="minorBidi" w:cstheme="minorBidi"/>
        </w:rPr>
        <w:tab/>
      </w:r>
      <w:r w:rsidRPr="007E77AF">
        <w:t xml:space="preserve">Descrição </w:t>
      </w:r>
      <w:r>
        <w:t xml:space="preserve">dos relacionamentos relevantes </w:t>
      </w:r>
      <w:r w:rsidRPr="007E77AF">
        <w:t xml:space="preserve">existentes entre coordenadores e sociedades do seu grupo econômico e cada um dos ofertantes e sociedades do seu grupo econômico, </w:t>
      </w:r>
      <w:r>
        <w:t>contemplando</w:t>
      </w:r>
      <w:r w:rsidRPr="007E77AF">
        <w:rPr>
          <w:rFonts w:cstheme="minorBidi"/>
        </w:rPr>
        <w:t>:</w:t>
      </w:r>
    </w:p>
    <w:p w14:paraId="4B7A0F5E" w14:textId="77777777" w:rsidR="009A242A" w:rsidRDefault="009A242A" w:rsidP="00E8430F">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24AC7785" w14:textId="76C13256" w:rsidR="009A242A" w:rsidRPr="007E77AF" w:rsidRDefault="009A242A" w:rsidP="00E8430F">
      <w:pPr>
        <w:tabs>
          <w:tab w:val="left" w:pos="709"/>
        </w:tabs>
        <w:spacing w:before="120" w:after="120" w:line="312" w:lineRule="auto"/>
        <w:ind w:left="709" w:hanging="709"/>
        <w:jc w:val="both"/>
        <w:rPr>
          <w:rFonts w:cstheme="minorBidi"/>
        </w:rPr>
      </w:pPr>
      <w:r>
        <w:rPr>
          <w:rFonts w:cstheme="minorBidi"/>
        </w:rPr>
        <w:tab/>
        <w:t xml:space="preserve">b) </w:t>
      </w:r>
      <w:r w:rsidRPr="007E77AF">
        <w:rPr>
          <w:rFonts w:cstheme="minorBidi"/>
        </w:rPr>
        <w:t>financiamento</w:t>
      </w:r>
      <w:r>
        <w:rPr>
          <w:rFonts w:cstheme="minorBidi"/>
        </w:rPr>
        <w:t>s,</w:t>
      </w:r>
      <w:r w:rsidRPr="007E77AF">
        <w:rPr>
          <w:rFonts w:cstheme="minorBidi"/>
        </w:rPr>
        <w:t xml:space="preserve"> </w:t>
      </w:r>
      <w:r>
        <w:rPr>
          <w:rFonts w:cstheme="minorBidi"/>
        </w:rPr>
        <w:t>existentes ou que tenham sido liquidados nos 12 (doze) meses anteriores, e que tenham influenciado na contratação dos coordenadores para atuarem na oferta</w:t>
      </w:r>
      <w:r w:rsidRPr="007E77AF">
        <w:rPr>
          <w:rFonts w:cstheme="minorBidi"/>
        </w:rPr>
        <w:t>;</w:t>
      </w:r>
    </w:p>
    <w:p w14:paraId="0771F227" w14:textId="6CB5038D" w:rsidR="009A242A" w:rsidRPr="007E77AF" w:rsidRDefault="009A242A" w:rsidP="001353DC">
      <w:pPr>
        <w:tabs>
          <w:tab w:val="left" w:pos="709"/>
        </w:tabs>
        <w:spacing w:before="120" w:after="120" w:line="312" w:lineRule="auto"/>
        <w:ind w:left="709" w:hanging="709"/>
        <w:jc w:val="both"/>
        <w:rPr>
          <w:rFonts w:eastAsiaTheme="minorBidi"/>
        </w:rPr>
      </w:pPr>
      <w:r w:rsidRPr="007E77AF">
        <w:rPr>
          <w:rFonts w:cstheme="minorBidi"/>
        </w:rPr>
        <w:tab/>
      </w:r>
      <w:r>
        <w:rPr>
          <w:rFonts w:cstheme="minorBidi"/>
        </w:rPr>
        <w:t>c</w:t>
      </w:r>
      <w:r w:rsidRPr="007E77AF">
        <w:rPr>
          <w:rFonts w:cstheme="minorBidi"/>
        </w:rPr>
        <w:t>)</w:t>
      </w:r>
      <w:r w:rsidRPr="007E77AF">
        <w:t xml:space="preserve"> </w:t>
      </w:r>
      <w:r>
        <w:t>indicação sucinta das transações comerciais vigentes nos 12 (doze) meses anteriores e o montante agregado envolvido nessas transações</w:t>
      </w:r>
      <w:r w:rsidR="00293724">
        <w:rPr>
          <w:rFonts w:cstheme="minorBidi"/>
        </w:rPr>
        <w:t>.</w:t>
      </w:r>
    </w:p>
    <w:p w14:paraId="3515AA1A" w14:textId="034E5759" w:rsidR="009A242A" w:rsidRPr="007E77AF" w:rsidRDefault="009A242A" w:rsidP="001353DC">
      <w:pPr>
        <w:tabs>
          <w:tab w:val="left" w:pos="709"/>
        </w:tabs>
        <w:spacing w:before="120" w:after="120" w:line="312" w:lineRule="auto"/>
        <w:ind w:left="709" w:hanging="709"/>
        <w:jc w:val="both"/>
        <w:rPr>
          <w:rFonts w:eastAsiaTheme="minorBidi"/>
        </w:rPr>
      </w:pPr>
      <w:r w:rsidRPr="007E77AF">
        <w:rPr>
          <w:rFonts w:eastAsiaTheme="minorBidi" w:cstheme="minorBidi"/>
        </w:rPr>
        <w:t>10.</w:t>
      </w:r>
      <w:r>
        <w:rPr>
          <w:rFonts w:eastAsiaTheme="minorBidi" w:cstheme="minorBidi"/>
        </w:rPr>
        <w:t>2.</w:t>
      </w:r>
      <w:r w:rsidRPr="007E77AF">
        <w:rPr>
          <w:rFonts w:eastAsiaTheme="minorBidi" w:cstheme="minorBidi"/>
        </w:rPr>
        <w:tab/>
      </w:r>
      <w:r w:rsidRPr="007E77AF">
        <w:t>Em relação ao item 3.5, quando aplicável, apresentação: (i) das razões que justificam a operação; e (</w:t>
      </w:r>
      <w:proofErr w:type="spellStart"/>
      <w:r w:rsidRPr="007E77AF">
        <w:t>ii</w:t>
      </w:r>
      <w:proofErr w:type="spellEnd"/>
      <w:r w:rsidRPr="007E77AF">
        <w:t>) da manifestação do credor acerca de potencial conflito de interesse decorrente de sua participação na oferta.</w:t>
      </w:r>
    </w:p>
    <w:p w14:paraId="1B2B6D5B" w14:textId="77777777" w:rsidR="009A242A" w:rsidRPr="007E77AF" w:rsidRDefault="009A242A" w:rsidP="001353DC">
      <w:pPr>
        <w:tabs>
          <w:tab w:val="left" w:pos="709"/>
        </w:tabs>
        <w:spacing w:before="120" w:after="120" w:line="312" w:lineRule="auto"/>
        <w:ind w:left="709" w:hanging="709"/>
        <w:jc w:val="both"/>
        <w:rPr>
          <w:rFonts w:eastAsiaTheme="minorBidi"/>
          <w:b/>
        </w:rPr>
      </w:pPr>
      <w:r w:rsidRPr="007E77AF">
        <w:rPr>
          <w:rFonts w:eastAsiaTheme="minorBidi" w:cstheme="minorHAnsi"/>
          <w:b/>
        </w:rPr>
        <w:t>11.</w:t>
      </w:r>
      <w:r w:rsidRPr="007E77AF">
        <w:rPr>
          <w:rFonts w:eastAsiaTheme="minorBidi" w:cstheme="minorHAnsi"/>
          <w:b/>
        </w:rPr>
        <w:tab/>
      </w:r>
      <w:r w:rsidRPr="007E77AF">
        <w:rPr>
          <w:b/>
        </w:rPr>
        <w:t>Contrato de distribuição de valores mobiliários</w:t>
      </w:r>
    </w:p>
    <w:p w14:paraId="6C0F0197" w14:textId="7E09454B" w:rsidR="009A242A" w:rsidRPr="007E77AF" w:rsidRDefault="009A242A" w:rsidP="001353DC">
      <w:pPr>
        <w:tabs>
          <w:tab w:val="left" w:pos="709"/>
        </w:tabs>
        <w:spacing w:before="120" w:after="120" w:line="312" w:lineRule="auto"/>
        <w:ind w:left="709" w:hanging="709"/>
        <w:jc w:val="both"/>
      </w:pPr>
      <w:r w:rsidRPr="007E77AF">
        <w:rPr>
          <w:rFonts w:cstheme="minorHAnsi"/>
        </w:rPr>
        <w:t>11.1</w:t>
      </w:r>
      <w:r>
        <w:rPr>
          <w:rFonts w:cstheme="minorHAnsi"/>
        </w:rPr>
        <w:t>.</w:t>
      </w:r>
      <w:r w:rsidRPr="007E77AF">
        <w:rPr>
          <w:rFonts w:cstheme="minorHAnsi"/>
        </w:rPr>
        <w:tab/>
      </w:r>
      <w:r w:rsidRPr="007E77AF">
        <w:t xml:space="preserve">Condições do contrato de distribuição no que concerne à distribuição dos valores mobiliários junto ao público investidor em geral e eventual garantia de subscrição prestada </w:t>
      </w:r>
      <w:r>
        <w:t>pelos coordenadores</w:t>
      </w:r>
      <w:r w:rsidRPr="007E77AF">
        <w:t xml:space="preserve"> e </w:t>
      </w:r>
      <w:r w:rsidR="002E60FA">
        <w:t xml:space="preserve">demais </w:t>
      </w:r>
      <w:r w:rsidRPr="00484843">
        <w:t>consorciados</w:t>
      </w:r>
      <w:r w:rsidRPr="007E77AF">
        <w:t>, especificando a quantidade que cabe a cada um, se for o caso, além de outras cláusulas consideradas de relevância para o investidor, indicando o local onde a cópia do contrato está disponível para consulta ou reprodução;</w:t>
      </w:r>
    </w:p>
    <w:p w14:paraId="16BCED47"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11.2</w:t>
      </w:r>
      <w:r>
        <w:rPr>
          <w:rFonts w:cstheme="minorHAnsi"/>
        </w:rPr>
        <w:t>.</w:t>
      </w:r>
      <w:r w:rsidRPr="007E77AF">
        <w:rPr>
          <w:rFonts w:cstheme="minorHAnsi"/>
        </w:rPr>
        <w:tab/>
      </w:r>
      <w:r w:rsidRPr="007E77AF">
        <w:t>Demonstrativo do custo da distribuição, discriminando:</w:t>
      </w:r>
    </w:p>
    <w:p w14:paraId="68E7742A"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 xml:space="preserve">a porcentagem em relação ao preço unitário de </w:t>
      </w:r>
      <w:r w:rsidRPr="007E77AF">
        <w:rPr>
          <w:rFonts w:cstheme="minorHAnsi"/>
        </w:rPr>
        <w:t>distribuição</w:t>
      </w:r>
      <w:r w:rsidRPr="007E77AF">
        <w:t>;</w:t>
      </w:r>
    </w:p>
    <w:p w14:paraId="12605204"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1437265E"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22C79F7E"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a comissão de garantia de subscrição;</w:t>
      </w:r>
    </w:p>
    <w:p w14:paraId="5F3E7937"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7ABD2804" w14:textId="7756313B"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 xml:space="preserve">os tributos incidentes sobre as comissões, caso </w:t>
      </w:r>
      <w:r w:rsidRPr="007E77AF">
        <w:rPr>
          <w:rFonts w:cstheme="minorHAnsi"/>
        </w:rPr>
        <w:t>eles</w:t>
      </w:r>
      <w:r w:rsidRPr="007E77AF">
        <w:t xml:space="preserve"> sejam arcados </w:t>
      </w:r>
      <w:r w:rsidRPr="007E77AF">
        <w:rPr>
          <w:rFonts w:cstheme="minorHAnsi"/>
        </w:rPr>
        <w:t>pelo ofertante</w:t>
      </w:r>
      <w:r w:rsidRPr="007E77AF">
        <w:t>;</w:t>
      </w:r>
    </w:p>
    <w:p w14:paraId="45B51704" w14:textId="77777777" w:rsidR="009A242A" w:rsidRPr="007E77AF" w:rsidRDefault="009A242A" w:rsidP="001353DC">
      <w:pPr>
        <w:spacing w:before="120" w:after="120" w:line="312" w:lineRule="auto"/>
        <w:ind w:left="1069" w:hanging="360"/>
        <w:jc w:val="both"/>
      </w:pPr>
      <w:r w:rsidRPr="007E77AF">
        <w:rPr>
          <w:rFonts w:cstheme="minorHAnsi"/>
        </w:rPr>
        <w:lastRenderedPageBreak/>
        <w:t>g)</w:t>
      </w:r>
      <w:r w:rsidRPr="007E77AF">
        <w:rPr>
          <w:rFonts w:cstheme="minorHAnsi"/>
        </w:rPr>
        <w:tab/>
      </w:r>
      <w:r w:rsidRPr="007E77AF">
        <w:t>o custo unitário de distribuição;</w:t>
      </w:r>
    </w:p>
    <w:p w14:paraId="4F40CE24"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as despesas decorrentes do registro de distribuição; e</w:t>
      </w:r>
    </w:p>
    <w:p w14:paraId="0431252E" w14:textId="77777777" w:rsidR="009A242A" w:rsidRPr="007E77AF" w:rsidRDefault="009A242A" w:rsidP="001353DC">
      <w:pPr>
        <w:spacing w:before="120" w:after="120" w:line="312" w:lineRule="auto"/>
        <w:ind w:left="1069" w:hanging="360"/>
        <w:jc w:val="both"/>
      </w:pPr>
      <w:r w:rsidRPr="007E77AF">
        <w:rPr>
          <w:rFonts w:cstheme="minorHAnsi"/>
        </w:rPr>
        <w:t>i)</w:t>
      </w:r>
      <w:r w:rsidRPr="007E77AF">
        <w:rPr>
          <w:rFonts w:cstheme="minorHAnsi"/>
        </w:rPr>
        <w:tab/>
      </w:r>
      <w:r w:rsidRPr="007E77AF">
        <w:t>outros custos relacionados.</w:t>
      </w:r>
    </w:p>
    <w:p w14:paraId="6C6C10FA"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12.</w:t>
      </w:r>
      <w:r w:rsidRPr="007E77AF">
        <w:rPr>
          <w:rFonts w:cstheme="minorHAnsi"/>
          <w:b/>
          <w:bCs/>
        </w:rPr>
        <w:tab/>
      </w:r>
      <w:r w:rsidRPr="007E77AF">
        <w:rPr>
          <w:b/>
        </w:rPr>
        <w:t xml:space="preserve">Informações </w:t>
      </w:r>
      <w:r w:rsidRPr="007E77AF">
        <w:rPr>
          <w:rFonts w:cstheme="minorHAnsi"/>
          <w:b/>
          <w:bCs/>
        </w:rPr>
        <w:t>a serem prestadas na hipótese</w:t>
      </w:r>
      <w:r w:rsidRPr="007E77AF">
        <w:rPr>
          <w:b/>
        </w:rPr>
        <w:t xml:space="preserve"> de </w:t>
      </w:r>
      <w:r w:rsidRPr="007E77AF">
        <w:rPr>
          <w:rFonts w:cstheme="minorHAnsi"/>
          <w:b/>
          <w:bCs/>
        </w:rPr>
        <w:t>constituição de companhia:</w:t>
      </w:r>
    </w:p>
    <w:p w14:paraId="08D43AAA"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12.1</w:t>
      </w:r>
      <w:r>
        <w:rPr>
          <w:rFonts w:cstheme="minorHAnsi"/>
        </w:rPr>
        <w:t>.</w:t>
      </w:r>
      <w:r w:rsidRPr="007E77AF">
        <w:rPr>
          <w:rFonts w:cstheme="minorHAnsi"/>
        </w:rPr>
        <w:tab/>
        <w:t>Existência ou não de autorização para aumento de capital, independentemente de reforma estatutária;</w:t>
      </w:r>
    </w:p>
    <w:p w14:paraId="50DB3857"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12.2</w:t>
      </w:r>
      <w:r>
        <w:rPr>
          <w:rFonts w:cstheme="minorHAnsi"/>
        </w:rPr>
        <w:t>.</w:t>
      </w:r>
      <w:r w:rsidRPr="007E77AF">
        <w:rPr>
          <w:rFonts w:cstheme="minorHAnsi"/>
        </w:rPr>
        <w:tab/>
        <w:t>Obrigações assumidas pelos fundadores, os contratos assinados no interesse da futura companhia e as quantias despendidas e por despender;</w:t>
      </w:r>
    </w:p>
    <w:p w14:paraId="050D3E5F"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12.3</w:t>
      </w:r>
      <w:r>
        <w:rPr>
          <w:rFonts w:cstheme="minorHAnsi"/>
        </w:rPr>
        <w:t>.</w:t>
      </w:r>
      <w:r w:rsidRPr="007E77AF">
        <w:rPr>
          <w:rFonts w:cstheme="minorHAnsi"/>
        </w:rPr>
        <w:tab/>
        <w:t>Vantagens particulares a que terão direito os fundadores ou terceiros, e o dispositivo do projeto do estatuto que os regula;</w:t>
      </w:r>
    </w:p>
    <w:p w14:paraId="681E710A"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12.4</w:t>
      </w:r>
      <w:r>
        <w:rPr>
          <w:rFonts w:cstheme="minorHAnsi"/>
        </w:rPr>
        <w:t>.</w:t>
      </w:r>
      <w:r w:rsidRPr="007E77AF">
        <w:rPr>
          <w:rFonts w:cstheme="minorHAnsi"/>
        </w:rPr>
        <w:tab/>
        <w:t>Autorização governamental para constituir-se a companhia, se necessária;</w:t>
      </w:r>
    </w:p>
    <w:p w14:paraId="72E3851D"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12.5</w:t>
      </w:r>
      <w:r>
        <w:rPr>
          <w:rFonts w:cstheme="minorHAnsi"/>
        </w:rPr>
        <w:t>.</w:t>
      </w:r>
      <w:r w:rsidRPr="007E77AF">
        <w:rPr>
          <w:rFonts w:cstheme="minorHAnsi"/>
        </w:rPr>
        <w:tab/>
        <w:t>Instituições autorizadas a receber as entradas;</w:t>
      </w:r>
    </w:p>
    <w:p w14:paraId="1D76ACBD"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12.6</w:t>
      </w:r>
      <w:r>
        <w:rPr>
          <w:rFonts w:cstheme="minorHAnsi"/>
        </w:rPr>
        <w:t>.</w:t>
      </w:r>
      <w:r w:rsidRPr="007E77AF">
        <w:rPr>
          <w:rFonts w:cstheme="minorHAnsi"/>
        </w:rPr>
        <w:tab/>
        <w:t>Solução prevista para o caso de excesso de subscrição;</w:t>
      </w:r>
    </w:p>
    <w:p w14:paraId="6CCD843B"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12.7</w:t>
      </w:r>
      <w:r>
        <w:rPr>
          <w:rFonts w:cstheme="minorHAnsi"/>
        </w:rPr>
        <w:t>.</w:t>
      </w:r>
      <w:r w:rsidRPr="007E77AF">
        <w:rPr>
          <w:rFonts w:cstheme="minorHAnsi"/>
        </w:rPr>
        <w:tab/>
        <w:t>Prazo dentro do qual deve realizar-se a assembleia de constituição da companhia, ou a preliminar para avaliação de bens, se for o caso;</w:t>
      </w:r>
    </w:p>
    <w:p w14:paraId="2356C6C5"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12.8</w:t>
      </w:r>
      <w:r>
        <w:rPr>
          <w:rFonts w:cstheme="minorHAnsi"/>
        </w:rPr>
        <w:t>.</w:t>
      </w:r>
      <w:r w:rsidRPr="007E77AF">
        <w:rPr>
          <w:rFonts w:cstheme="minorHAnsi"/>
        </w:rPr>
        <w:tab/>
        <w:t>Nome, nacionalidade, estado civil, profissão e residência dos fundadores, ou, se pessoa jurídica, a firma ou denominação, nacionalidade e sede, bem como o número e espécie de ações que cada um houver subscrito; e</w:t>
      </w:r>
    </w:p>
    <w:p w14:paraId="53142671" w14:textId="43C402AC"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12.9</w:t>
      </w:r>
      <w:r>
        <w:rPr>
          <w:rFonts w:cstheme="minorHAnsi"/>
        </w:rPr>
        <w:t>.</w:t>
      </w:r>
      <w:r w:rsidRPr="007E77AF">
        <w:rPr>
          <w:rFonts w:cstheme="minorHAnsi"/>
        </w:rPr>
        <w:tab/>
      </w:r>
      <w:r>
        <w:rPr>
          <w:rFonts w:cstheme="minorHAnsi"/>
        </w:rPr>
        <w:t>Coordenador</w:t>
      </w:r>
      <w:r w:rsidRPr="007E77AF">
        <w:rPr>
          <w:rFonts w:cstheme="minorHAnsi"/>
        </w:rPr>
        <w:t xml:space="preserve"> líder da distribuição, em cujo poder ficarão depositados os originais do prospecto e do projeto de estatuto, com os documentos a que fizeram menção, para exame de qualquer interessado.</w:t>
      </w:r>
    </w:p>
    <w:p w14:paraId="4713A3B4"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13.</w:t>
      </w:r>
      <w:r w:rsidRPr="007E77AF">
        <w:rPr>
          <w:rFonts w:cstheme="minorHAnsi"/>
          <w:b/>
          <w:bCs/>
        </w:rPr>
        <w:tab/>
      </w:r>
      <w:r w:rsidRPr="007E77AF">
        <w:rPr>
          <w:b/>
        </w:rPr>
        <w:t xml:space="preserve">Documentos </w:t>
      </w:r>
      <w:r w:rsidRPr="007E77AF">
        <w:rPr>
          <w:rFonts w:cstheme="minorHAnsi"/>
          <w:b/>
          <w:bCs/>
        </w:rPr>
        <w:t>e</w:t>
      </w:r>
      <w:r w:rsidRPr="007E77AF">
        <w:rPr>
          <w:b/>
        </w:rPr>
        <w:t xml:space="preserve"> informações incorporados ao prospecto por referência</w:t>
      </w:r>
      <w:r w:rsidRPr="007E77AF">
        <w:rPr>
          <w:rStyle w:val="Refdenotaderodap"/>
          <w:rFonts w:cstheme="minorHAnsi"/>
          <w:b/>
          <w:bCs/>
        </w:rPr>
        <w:footnoteReference w:id="27"/>
      </w:r>
      <w:r w:rsidRPr="007E77AF">
        <w:rPr>
          <w:b/>
        </w:rPr>
        <w:t xml:space="preserve"> ou como anexos</w:t>
      </w:r>
    </w:p>
    <w:p w14:paraId="577C0462"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13.1</w:t>
      </w:r>
      <w:r>
        <w:rPr>
          <w:rFonts w:cstheme="minorHAnsi"/>
        </w:rPr>
        <w:t>.</w:t>
      </w:r>
      <w:r w:rsidRPr="007E77AF">
        <w:rPr>
          <w:rFonts w:cstheme="minorHAnsi"/>
        </w:rPr>
        <w:tab/>
      </w:r>
      <w:r w:rsidRPr="007E77AF">
        <w:t>Último</w:t>
      </w:r>
      <w:r w:rsidRPr="007E77AF">
        <w:rPr>
          <w:rFonts w:cstheme="minorHAnsi"/>
        </w:rPr>
        <w:t xml:space="preserve"> </w:t>
      </w:r>
      <w:r w:rsidRPr="007E77AF">
        <w:t>formulário de referência</w:t>
      </w:r>
      <w:r w:rsidRPr="007E77AF">
        <w:rPr>
          <w:rFonts w:cstheme="minorHAnsi"/>
        </w:rPr>
        <w:t xml:space="preserve"> </w:t>
      </w:r>
      <w:r w:rsidRPr="007E77AF">
        <w:t>entregue pelo emissor;</w:t>
      </w:r>
    </w:p>
    <w:p w14:paraId="4BC11531"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13.2</w:t>
      </w:r>
      <w:r>
        <w:rPr>
          <w:rFonts w:cstheme="minorHAnsi"/>
        </w:rPr>
        <w:t>.</w:t>
      </w:r>
      <w:r w:rsidRPr="007E77AF">
        <w:rPr>
          <w:rFonts w:cstheme="minorHAnsi"/>
        </w:rPr>
        <w:tab/>
      </w:r>
      <w:r w:rsidRPr="007E77AF">
        <w:t>Últimas informações trimestrais,</w:t>
      </w:r>
      <w:r w:rsidRPr="007E77AF">
        <w:rPr>
          <w:rFonts w:cstheme="minorHAnsi"/>
        </w:rPr>
        <w:t xml:space="preserve"> </w:t>
      </w:r>
      <w:r w:rsidRPr="007E77AF">
        <w:t>demonstrações financeiras</w:t>
      </w:r>
      <w:r w:rsidRPr="007E77AF">
        <w:rPr>
          <w:rFonts w:cstheme="minorHAnsi"/>
        </w:rPr>
        <w:t xml:space="preserve"> </w:t>
      </w:r>
      <w:r w:rsidRPr="007E77AF">
        <w:t>relativas aos 3 (três) últimos exercícios sociais encerrados,</w:t>
      </w:r>
      <w:r w:rsidRPr="007E77AF">
        <w:rPr>
          <w:rFonts w:cstheme="minorHAnsi"/>
        </w:rPr>
        <w:t xml:space="preserve"> </w:t>
      </w:r>
      <w:r w:rsidRPr="007E77AF">
        <w:t>com os respectivos pareceres dos auditores independentes</w:t>
      </w:r>
      <w:r w:rsidRPr="007E77AF">
        <w:rPr>
          <w:rFonts w:cstheme="minorHAnsi"/>
        </w:rPr>
        <w:t xml:space="preserve"> </w:t>
      </w:r>
      <w:r w:rsidRPr="007E77AF">
        <w:t xml:space="preserve">e </w:t>
      </w:r>
      <w:r w:rsidRPr="007E77AF">
        <w:lastRenderedPageBreak/>
        <w:t>eventos subsequentes, exceto quando o emissor não as possua por não ter iniciado suas atividades previamente ao referido período;</w:t>
      </w:r>
    </w:p>
    <w:p w14:paraId="4956E0BA"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13.3</w:t>
      </w:r>
      <w:r>
        <w:rPr>
          <w:rFonts w:cstheme="minorHAnsi"/>
        </w:rPr>
        <w:t>.</w:t>
      </w:r>
      <w:r w:rsidRPr="007E77AF">
        <w:rPr>
          <w:rFonts w:cstheme="minorHAnsi"/>
        </w:rPr>
        <w:tab/>
      </w:r>
      <w:r w:rsidRPr="007E77AF">
        <w:t>Ata da assembleia geral extraordinária ou da reunião do conselho de administração que deliberou a emissão;</w:t>
      </w:r>
      <w:r w:rsidRPr="007E77AF">
        <w:rPr>
          <w:rFonts w:cstheme="minorHAnsi"/>
        </w:rPr>
        <w:t xml:space="preserve"> e</w:t>
      </w:r>
    </w:p>
    <w:p w14:paraId="24F816F0"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13.4</w:t>
      </w:r>
      <w:r>
        <w:rPr>
          <w:rFonts w:cstheme="minorHAnsi"/>
        </w:rPr>
        <w:t>.</w:t>
      </w:r>
      <w:r w:rsidRPr="007E77AF">
        <w:rPr>
          <w:rFonts w:cstheme="minorHAnsi"/>
        </w:rPr>
        <w:tab/>
        <w:t xml:space="preserve"> </w:t>
      </w:r>
      <w:r w:rsidRPr="007E77AF">
        <w:t>Estatuto social atualizado do emissor</w:t>
      </w:r>
      <w:r w:rsidRPr="007E77AF">
        <w:rPr>
          <w:rFonts w:cstheme="minorHAnsi"/>
        </w:rPr>
        <w:t>.</w:t>
      </w:r>
    </w:p>
    <w:p w14:paraId="5C94C715"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Bidi"/>
          <w:b/>
          <w:bCs/>
        </w:rPr>
        <w:t>14.</w:t>
      </w:r>
      <w:r w:rsidRPr="007E77AF">
        <w:rPr>
          <w:rFonts w:cstheme="minorBidi"/>
          <w:b/>
          <w:bCs/>
        </w:rPr>
        <w:tab/>
      </w:r>
      <w:r w:rsidRPr="007E77AF">
        <w:rPr>
          <w:b/>
        </w:rPr>
        <w:t>Identificação das pessoas envolvidas</w:t>
      </w:r>
    </w:p>
    <w:p w14:paraId="52A65EEC"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14.1</w:t>
      </w:r>
      <w:r>
        <w:rPr>
          <w:rFonts w:cstheme="minorHAnsi"/>
        </w:rPr>
        <w:t>.</w:t>
      </w:r>
      <w:r w:rsidRPr="007E77AF">
        <w:rPr>
          <w:rFonts w:cstheme="minorHAnsi"/>
        </w:rPr>
        <w:tab/>
      </w:r>
      <w:r w:rsidRPr="007E77AF">
        <w:t>Denominação social, endereço comercial, endereço eletrônico e telefones de contato do ofertante;</w:t>
      </w:r>
    </w:p>
    <w:p w14:paraId="53946BF5"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14.2</w:t>
      </w:r>
      <w:r>
        <w:rPr>
          <w:rFonts w:cstheme="minorHAnsi"/>
        </w:rPr>
        <w:t>.</w:t>
      </w:r>
      <w:r w:rsidRPr="007E77AF">
        <w:rPr>
          <w:rFonts w:cstheme="minorHAnsi"/>
        </w:rPr>
        <w:tab/>
      </w:r>
      <w:r w:rsidRPr="007E77AF">
        <w:t>Nome, endereço comercial, endereço eletrônico e telefones de contato dos administradores que podem prestar esclarecimentos sobre a oferta;</w:t>
      </w:r>
    </w:p>
    <w:p w14:paraId="7FFE893D"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14.3</w:t>
      </w:r>
      <w:r>
        <w:rPr>
          <w:rFonts w:cstheme="minorHAnsi"/>
        </w:rPr>
        <w:t>.</w:t>
      </w:r>
      <w:r w:rsidRPr="007E77AF">
        <w:rPr>
          <w:rFonts w:cstheme="minorHAnsi"/>
        </w:rPr>
        <w:tab/>
        <w:t xml:space="preserve">Nome, endereço comercial e telefones dos assessores (financeiros, </w:t>
      </w:r>
      <w:proofErr w:type="gramStart"/>
      <w:r w:rsidRPr="007E77AF">
        <w:rPr>
          <w:rFonts w:cstheme="minorHAnsi"/>
        </w:rPr>
        <w:t>jurídicos, etc.</w:t>
      </w:r>
      <w:proofErr w:type="gramEnd"/>
      <w:r w:rsidRPr="007E77AF">
        <w:rPr>
          <w:rFonts w:cstheme="minorHAnsi"/>
        </w:rPr>
        <w:t>) envolvidos na oferta e responsáveis por fatos ou documentos citados no prospecto;</w:t>
      </w:r>
    </w:p>
    <w:p w14:paraId="62E3F74C"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14.4</w:t>
      </w:r>
      <w:r>
        <w:rPr>
          <w:rFonts w:cstheme="minorHAnsi"/>
        </w:rPr>
        <w:t>.</w:t>
      </w:r>
      <w:r w:rsidRPr="007E77AF">
        <w:rPr>
          <w:rFonts w:cstheme="minorHAnsi"/>
        </w:rPr>
        <w:tab/>
      </w:r>
      <w:r w:rsidRPr="007E77AF">
        <w:t>Nome, endereço comercial e telefones dos auditores responsáveis por auditar as demonstrações financeiras dos 3 (três) últimos exercícios sociais;</w:t>
      </w:r>
    </w:p>
    <w:p w14:paraId="5E930E7A" w14:textId="40AB8BC3" w:rsidR="009A242A" w:rsidRPr="007E77AF" w:rsidRDefault="009A242A" w:rsidP="001353DC">
      <w:pPr>
        <w:tabs>
          <w:tab w:val="left" w:pos="709"/>
        </w:tabs>
        <w:spacing w:before="120" w:after="120" w:line="312" w:lineRule="auto"/>
        <w:ind w:left="709" w:hanging="709"/>
        <w:jc w:val="both"/>
      </w:pPr>
      <w:r w:rsidRPr="007E77AF">
        <w:rPr>
          <w:rFonts w:cstheme="minorHAnsi"/>
        </w:rPr>
        <w:t>14.5</w:t>
      </w:r>
      <w:r>
        <w:rPr>
          <w:rFonts w:cstheme="minorHAnsi"/>
        </w:rPr>
        <w:t>.</w:t>
      </w:r>
      <w:r w:rsidRPr="007E77AF">
        <w:rPr>
          <w:rFonts w:cstheme="minorHAnsi"/>
        </w:rPr>
        <w:tab/>
      </w:r>
      <w:r w:rsidRPr="007E77AF">
        <w:t xml:space="preserve">Declaração de que quaisquer outras informações ou esclarecimentos sobre a companhia e a distribuição em questão podem ser obtidas junto ao </w:t>
      </w:r>
      <w:r>
        <w:t xml:space="preserve">coordenador </w:t>
      </w:r>
      <w:r w:rsidRPr="007E77AF">
        <w:t>líder</w:t>
      </w:r>
      <w:r>
        <w:t>,</w:t>
      </w:r>
      <w:r w:rsidRPr="007E77AF">
        <w:t xml:space="preserve"> </w:t>
      </w:r>
      <w:r w:rsidR="00662DEE">
        <w:t xml:space="preserve">aos demais </w:t>
      </w:r>
      <w:r w:rsidRPr="007E77AF">
        <w:t xml:space="preserve">consorciados e </w:t>
      </w:r>
      <w:r>
        <w:t>à</w:t>
      </w:r>
      <w:r w:rsidRPr="007E77AF">
        <w:rPr>
          <w:rFonts w:cstheme="minorHAnsi"/>
        </w:rPr>
        <w:t xml:space="preserve"> </w:t>
      </w:r>
      <w:r w:rsidRPr="007E77AF">
        <w:t>CVM;</w:t>
      </w:r>
    </w:p>
    <w:p w14:paraId="4A9F3F6D" w14:textId="101D7DE7" w:rsidR="009A242A" w:rsidRPr="007E77AF" w:rsidRDefault="009A242A" w:rsidP="000B7BF6">
      <w:pPr>
        <w:tabs>
          <w:tab w:val="left" w:pos="709"/>
        </w:tabs>
        <w:spacing w:before="120" w:after="120" w:line="312" w:lineRule="auto"/>
        <w:ind w:left="709" w:hanging="709"/>
        <w:jc w:val="both"/>
        <w:rPr>
          <w:rFonts w:cstheme="minorHAnsi"/>
        </w:rPr>
      </w:pPr>
      <w:r>
        <w:rPr>
          <w:rFonts w:cstheme="minorHAnsi"/>
        </w:rPr>
        <w:t>14.6.</w:t>
      </w:r>
      <w:r w:rsidRPr="007E77AF">
        <w:rPr>
          <w:rFonts w:cstheme="minorHAnsi"/>
        </w:rPr>
        <w:tab/>
        <w:t xml:space="preserve">No caso de oferta de emissor registrado, declaração de que o registro de emissor </w:t>
      </w:r>
      <w:proofErr w:type="gramStart"/>
      <w:r w:rsidRPr="007E77AF">
        <w:rPr>
          <w:rFonts w:cstheme="minorHAnsi"/>
        </w:rPr>
        <w:t>encontra-se</w:t>
      </w:r>
      <w:proofErr w:type="gramEnd"/>
      <w:r w:rsidRPr="007E77AF">
        <w:rPr>
          <w:rFonts w:cstheme="minorHAnsi"/>
        </w:rPr>
        <w:t xml:space="preserve"> atualizado; e</w:t>
      </w:r>
    </w:p>
    <w:p w14:paraId="5A512205" w14:textId="239B88AE" w:rsidR="009A242A" w:rsidRPr="007E77AF" w:rsidRDefault="009A242A" w:rsidP="001353DC">
      <w:pPr>
        <w:tabs>
          <w:tab w:val="left" w:pos="709"/>
        </w:tabs>
        <w:spacing w:before="120" w:after="120" w:line="312" w:lineRule="auto"/>
        <w:ind w:left="709" w:hanging="709"/>
        <w:jc w:val="both"/>
      </w:pPr>
      <w:r w:rsidRPr="007E77AF">
        <w:rPr>
          <w:rFonts w:cstheme="minorHAnsi"/>
        </w:rPr>
        <w:t>14.</w:t>
      </w:r>
      <w:r>
        <w:rPr>
          <w:rFonts w:cstheme="minorHAnsi"/>
        </w:rPr>
        <w:t>7.</w:t>
      </w:r>
      <w:r w:rsidRPr="007E77AF">
        <w:rPr>
          <w:rFonts w:cstheme="minorHAnsi"/>
        </w:rPr>
        <w:tab/>
      </w:r>
      <w:r w:rsidRPr="007E77AF">
        <w:t>Declaração, nos termos do art. 24</w:t>
      </w:r>
      <w:r>
        <w:t xml:space="preserve"> da Resolução</w:t>
      </w:r>
      <w:r w:rsidRPr="007E77AF">
        <w:t>, atestando a veracidade das informações contidas no prospecto.</w:t>
      </w:r>
    </w:p>
    <w:p w14:paraId="75930975" w14:textId="77777777"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15.</w:t>
      </w:r>
      <w:r w:rsidRPr="007E77AF">
        <w:rPr>
          <w:rFonts w:cstheme="minorHAnsi"/>
          <w:b/>
          <w:bCs/>
        </w:rPr>
        <w:tab/>
        <w:t>Outros documentos e informações que a CVM julgar necessários</w:t>
      </w:r>
      <w:r>
        <w:rPr>
          <w:rFonts w:cstheme="minorHAnsi"/>
          <w:b/>
          <w:bCs/>
        </w:rPr>
        <w:t>.</w:t>
      </w:r>
    </w:p>
    <w:p w14:paraId="24DEC012" w14:textId="77777777" w:rsidR="009A242A" w:rsidRPr="007E77AF" w:rsidRDefault="009A242A">
      <w:pPr>
        <w:rPr>
          <w:rFonts w:cstheme="minorHAnsi"/>
          <w:b/>
          <w:bCs/>
        </w:rPr>
      </w:pPr>
      <w:r w:rsidRPr="007E77AF">
        <w:rPr>
          <w:rFonts w:cstheme="minorHAnsi"/>
          <w:b/>
          <w:bCs/>
        </w:rPr>
        <w:br w:type="page"/>
      </w:r>
    </w:p>
    <w:p w14:paraId="107B420B" w14:textId="77777777" w:rsidR="009A242A" w:rsidRPr="007E77AF" w:rsidRDefault="009A242A" w:rsidP="00F03B7F">
      <w:pPr>
        <w:pStyle w:val="Ttulo1"/>
        <w:rPr>
          <w:rStyle w:val="normaltextrun"/>
          <w:rFonts w:eastAsiaTheme="minorEastAsia"/>
        </w:rPr>
      </w:pPr>
      <w:bookmarkStart w:id="365" w:name="_Toc476216355"/>
      <w:bookmarkStart w:id="366" w:name="_Toc108516076"/>
      <w:bookmarkStart w:id="367" w:name="_Toc108203107"/>
      <w:bookmarkStart w:id="368" w:name="_Toc136502847"/>
      <w:r w:rsidRPr="007E77AF">
        <w:lastRenderedPageBreak/>
        <w:t>ANEXO B – PROSPECTO DE DÍVIDA</w:t>
      </w:r>
      <w:bookmarkEnd w:id="365"/>
      <w:bookmarkEnd w:id="366"/>
      <w:bookmarkEnd w:id="367"/>
      <w:bookmarkEnd w:id="368"/>
    </w:p>
    <w:p w14:paraId="63A148C1" w14:textId="77777777" w:rsidR="009A242A" w:rsidRPr="007E77AF" w:rsidRDefault="009A242A" w:rsidP="00F27F61">
      <w:pPr>
        <w:spacing w:after="160" w:line="259" w:lineRule="auto"/>
        <w:jc w:val="center"/>
        <w:rPr>
          <w:rFonts w:cstheme="minorBidi"/>
          <w:b/>
          <w:bCs/>
        </w:rPr>
      </w:pPr>
    </w:p>
    <w:p w14:paraId="3D710D1F" w14:textId="0724A7AE" w:rsidR="009A242A" w:rsidRPr="007E77AF" w:rsidRDefault="009A242A" w:rsidP="00F27F61">
      <w:pPr>
        <w:spacing w:line="312" w:lineRule="auto"/>
        <w:ind w:firstLine="709"/>
        <w:jc w:val="center"/>
        <w:rPr>
          <w:i/>
        </w:rPr>
      </w:pPr>
      <w:r w:rsidRPr="007E77AF">
        <w:rPr>
          <w:rFonts w:cstheme="minorBidi"/>
          <w:i/>
          <w:iCs/>
        </w:rPr>
        <w:t>Conteúdo</w:t>
      </w:r>
      <w:r w:rsidRPr="007E77AF">
        <w:rPr>
          <w:i/>
        </w:rPr>
        <w:t xml:space="preserve"> do prospecto aplicável à oferta pública de distribuição de debêntures ou de outros tipos de valores mobiliários representativos de dívida</w:t>
      </w:r>
      <w:r w:rsidRPr="007E77AF">
        <w:rPr>
          <w:i/>
          <w:iCs/>
        </w:rPr>
        <w:t>, inclusive conversíveis ou permutáveis em ações,</w:t>
      </w:r>
      <w:r w:rsidRPr="007E77AF">
        <w:rPr>
          <w:i/>
        </w:rPr>
        <w:t xml:space="preserve"> de emissor registrado nas Categorias A e B, conforme inciso II do § 1º do art. </w:t>
      </w:r>
      <w:r w:rsidRPr="007E77AF">
        <w:rPr>
          <w:rFonts w:cstheme="minorBidi"/>
          <w:i/>
          <w:iCs/>
        </w:rPr>
        <w:t>17</w:t>
      </w:r>
      <w:r w:rsidRPr="007E77AF">
        <w:rPr>
          <w:i/>
        </w:rPr>
        <w:t xml:space="preserve"> da Resolução </w:t>
      </w:r>
      <w:r>
        <w:rPr>
          <w:i/>
        </w:rPr>
        <w:t>nº 160, de 2022</w:t>
      </w:r>
      <w:r w:rsidRPr="007E77AF">
        <w:rPr>
          <w:i/>
        </w:rPr>
        <w:t>.</w:t>
      </w:r>
    </w:p>
    <w:p w14:paraId="35114584" w14:textId="77777777" w:rsidR="009A242A" w:rsidRPr="007E77AF" w:rsidRDefault="009A242A" w:rsidP="00F74CAE">
      <w:pPr>
        <w:jc w:val="center"/>
      </w:pPr>
    </w:p>
    <w:p w14:paraId="72A497F7" w14:textId="77777777" w:rsidR="009A242A" w:rsidRPr="007E77AF" w:rsidRDefault="009A242A" w:rsidP="00F27F61">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2F66D5B8"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t>Identificação do emissor</w:t>
      </w:r>
    </w:p>
    <w:p w14:paraId="1721B868"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1.1.</w:t>
      </w:r>
      <w:r w:rsidRPr="007E77AF">
        <w:rPr>
          <w:rStyle w:val="normaltextrun"/>
          <w:rFonts w:eastAsiaTheme="minorEastAsia"/>
          <w:lang w:val="pt-BR"/>
        </w:rPr>
        <w:tab/>
        <w:t>Denominação social;</w:t>
      </w:r>
    </w:p>
    <w:p w14:paraId="03AC28FB"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1.2.</w:t>
      </w:r>
      <w:r w:rsidRPr="007E77AF">
        <w:rPr>
          <w:rStyle w:val="normaltextrun"/>
          <w:rFonts w:eastAsiaTheme="minorEastAsia"/>
          <w:lang w:val="pt-BR"/>
        </w:rPr>
        <w:tab/>
        <w:t>CNPJ; e</w:t>
      </w:r>
    </w:p>
    <w:p w14:paraId="7EACC553"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1.3.</w:t>
      </w:r>
      <w:r w:rsidRPr="007E77AF">
        <w:rPr>
          <w:rStyle w:val="normaltextrun"/>
          <w:rFonts w:eastAsiaTheme="minorEastAsia"/>
          <w:lang w:val="pt-BR"/>
        </w:rPr>
        <w:tab/>
        <w:t>Endereço da sede.</w:t>
      </w:r>
    </w:p>
    <w:p w14:paraId="451AFE6F"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cstheme="minorBidi"/>
          <w:b/>
          <w:lang w:val="pt-BR"/>
        </w:rPr>
      </w:pPr>
      <w:r w:rsidRPr="007E77AF">
        <w:rPr>
          <w:rStyle w:val="normaltextrun"/>
          <w:rFonts w:eastAsiaTheme="minorEastAsia" w:cstheme="minorBidi"/>
          <w:b/>
          <w:lang w:val="pt-BR"/>
        </w:rPr>
        <w:t>2.</w:t>
      </w:r>
      <w:r w:rsidRPr="007E77AF">
        <w:rPr>
          <w:rStyle w:val="normaltextrun"/>
          <w:rFonts w:eastAsiaTheme="minorEastAsia" w:cstheme="minorBidi"/>
          <w:b/>
          <w:lang w:val="pt-BR"/>
        </w:rPr>
        <w:tab/>
        <w:t>Dados da oferta pública de distribuição</w:t>
      </w:r>
    </w:p>
    <w:p w14:paraId="379FB6C6"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2.1.</w:t>
      </w:r>
      <w:r w:rsidRPr="007E77AF">
        <w:rPr>
          <w:rStyle w:val="normaltextrun"/>
          <w:rFonts w:eastAsiaTheme="minorEastAsia" w:cstheme="minorBidi"/>
          <w:lang w:val="pt-BR"/>
        </w:rPr>
        <w:tab/>
        <w:t>Em relação a cada série, classe e espécie, informar:</w:t>
      </w:r>
    </w:p>
    <w:p w14:paraId="0533AA97" w14:textId="77777777" w:rsidR="009A242A" w:rsidRPr="007E77AF" w:rsidRDefault="009A242A" w:rsidP="001A5EBB">
      <w:pPr>
        <w:spacing w:before="120" w:after="120" w:line="312" w:lineRule="auto"/>
        <w:ind w:left="1069" w:hanging="360"/>
        <w:jc w:val="both"/>
        <w:rPr>
          <w:rFonts w:cstheme="minorHAnsi"/>
        </w:rPr>
      </w:pPr>
      <w:r w:rsidRPr="007E77AF">
        <w:rPr>
          <w:rStyle w:val="normaltextrun"/>
          <w:rFonts w:eastAsiaTheme="minorEastAsia" w:cstheme="minorBidi"/>
        </w:rPr>
        <w:t>a)</w:t>
      </w:r>
      <w:r w:rsidRPr="007E77AF">
        <w:rPr>
          <w:rStyle w:val="normaltextrun"/>
          <w:rFonts w:eastAsiaTheme="minorEastAsia" w:cstheme="minorBidi"/>
        </w:rPr>
        <w:tab/>
      </w:r>
      <w:r w:rsidRPr="007E77AF">
        <w:rPr>
          <w:rFonts w:cstheme="minorHAnsi"/>
        </w:rPr>
        <w:t>código ISIN;</w:t>
      </w:r>
    </w:p>
    <w:p w14:paraId="2A242279"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classificação de risco;</w:t>
      </w:r>
    </w:p>
    <w:p w14:paraId="474B379A"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c)</w:t>
      </w:r>
      <w:r w:rsidRPr="007E77AF">
        <w:rPr>
          <w:rFonts w:cstheme="minorHAnsi"/>
        </w:rPr>
        <w:tab/>
        <w:t>quantidade;</w:t>
      </w:r>
    </w:p>
    <w:p w14:paraId="2BA0D8E7"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d)</w:t>
      </w:r>
      <w:r w:rsidRPr="007E77AF">
        <w:rPr>
          <w:rFonts w:cstheme="minorHAnsi"/>
        </w:rPr>
        <w:tab/>
        <w:t>preço unitário de subscrição e valor nominal unitário;</w:t>
      </w:r>
    </w:p>
    <w:p w14:paraId="54ADD41C"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e)</w:t>
      </w:r>
      <w:r w:rsidRPr="007E77AF">
        <w:rPr>
          <w:rFonts w:cstheme="minorHAnsi"/>
        </w:rPr>
        <w:tab/>
        <w:t>data de vencimento;</w:t>
      </w:r>
    </w:p>
    <w:p w14:paraId="2BAF06DF"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f)</w:t>
      </w:r>
      <w:r w:rsidRPr="007E77AF">
        <w:rPr>
          <w:rFonts w:cstheme="minorHAnsi"/>
        </w:rPr>
        <w:tab/>
        <w:t>juros remuneratórios e atualização monetária;</w:t>
      </w:r>
    </w:p>
    <w:p w14:paraId="74A76489"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g)</w:t>
      </w:r>
      <w:r w:rsidRPr="007E77AF">
        <w:rPr>
          <w:rFonts w:cstheme="minorHAnsi"/>
        </w:rPr>
        <w:tab/>
        <w:t>garantias; e</w:t>
      </w:r>
    </w:p>
    <w:p w14:paraId="54C8DF91"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h)</w:t>
      </w:r>
      <w:r w:rsidRPr="007E77AF">
        <w:rPr>
          <w:rFonts w:cstheme="minorHAnsi"/>
        </w:rPr>
        <w:tab/>
        <w:t>agente fiduciário.</w:t>
      </w:r>
    </w:p>
    <w:p w14:paraId="3935AAFF" w14:textId="5673B406"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2.2.</w:t>
      </w:r>
      <w:r w:rsidRPr="007E77AF">
        <w:rPr>
          <w:rStyle w:val="normaltextrun"/>
          <w:rFonts w:eastAsiaTheme="minorEastAsia" w:cstheme="minorBidi"/>
          <w:lang w:val="pt-BR"/>
        </w:rPr>
        <w:tab/>
        <w:t>Valor total da oferta, ou forma de cálculo do valor total da oferta;</w:t>
      </w:r>
    </w:p>
    <w:p w14:paraId="5AEDD300" w14:textId="2FCE315B"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2.3.</w:t>
      </w:r>
      <w:r w:rsidRPr="007E77AF">
        <w:rPr>
          <w:rStyle w:val="normaltextrun"/>
          <w:rFonts w:eastAsiaTheme="minorEastAsia" w:cstheme="minorBidi"/>
          <w:lang w:val="pt-BR"/>
        </w:rPr>
        <w:tab/>
        <w:t>Mercados em que os títulos serão negociados e, caso sejam conversíveis ou permutáveis em ações, o mercado e o segmento em que as ações serão negociadas;</w:t>
      </w:r>
    </w:p>
    <w:p w14:paraId="70C48316"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2.4.</w:t>
      </w:r>
      <w:r w:rsidRPr="007E77AF">
        <w:rPr>
          <w:rStyle w:val="normaltextrun"/>
          <w:rFonts w:eastAsiaTheme="minorEastAsia" w:cstheme="minorBidi"/>
          <w:lang w:val="pt-BR"/>
        </w:rPr>
        <w:tab/>
        <w:t>Data de registro da oferta pública na CVM; e</w:t>
      </w:r>
    </w:p>
    <w:p w14:paraId="3DE5C5E6" w14:textId="24417702"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lastRenderedPageBreak/>
        <w:t>2.5.</w:t>
      </w:r>
      <w:r w:rsidRPr="007E77AF">
        <w:rPr>
          <w:rStyle w:val="normaltextrun"/>
          <w:rFonts w:eastAsiaTheme="minorEastAsia" w:cstheme="minorBidi"/>
          <w:lang w:val="pt-BR"/>
        </w:rPr>
        <w:tab/>
        <w:t xml:space="preserve">Informação se o título é qualificado pelo emissor como “verde”, “social”, “sustentável” ou </w:t>
      </w:r>
      <w:r>
        <w:rPr>
          <w:rStyle w:val="normaltextrun"/>
          <w:rFonts w:eastAsiaTheme="minorEastAsia" w:cstheme="minorBidi"/>
          <w:lang w:val="pt-BR"/>
        </w:rPr>
        <w:t>termos correlatos</w:t>
      </w:r>
      <w:r w:rsidRPr="007E77AF">
        <w:rPr>
          <w:rStyle w:val="normaltextrun"/>
          <w:rFonts w:eastAsiaTheme="minorEastAsia" w:cstheme="minorBidi"/>
          <w:lang w:val="pt-BR"/>
        </w:rPr>
        <w:t>.</w:t>
      </w:r>
    </w:p>
    <w:p w14:paraId="32E5D967"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3.</w:t>
      </w:r>
      <w:r w:rsidRPr="007E77AF">
        <w:rPr>
          <w:rStyle w:val="normaltextrun"/>
          <w:rFonts w:eastAsiaTheme="minorEastAsia"/>
          <w:b/>
          <w:lang w:val="pt-BR"/>
        </w:rPr>
        <w:tab/>
        <w:t>Alertas</w:t>
      </w:r>
    </w:p>
    <w:p w14:paraId="36D21DE2"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
    <w:p w14:paraId="35D13C4C"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3.2.</w:t>
      </w:r>
      <w:r w:rsidRPr="007E77AF">
        <w:rPr>
          <w:rStyle w:val="normaltextrun"/>
          <w:rFonts w:eastAsiaTheme="minorEastAsia" w:cstheme="minorBidi"/>
          <w:lang w:val="pt-BR"/>
        </w:rPr>
        <w:tab/>
        <w:t>Responsabilidade da CVM: “O registro da presente oferta pública de distribuição não implica, por parte da CVM, garantia de veracidade das informações prestadas ou julgamento sobre a qualidade [da companhia emissora], bem como sobre [nome do título de dívida] a serem distribuídos.”</w:t>
      </w:r>
    </w:p>
    <w:p w14:paraId="3702F73E"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3.3.</w:t>
      </w:r>
      <w:r w:rsidRPr="007E77AF">
        <w:rPr>
          <w:rStyle w:val="normaltextrun"/>
          <w:rFonts w:eastAsiaTheme="minorEastAsia" w:cstheme="minorBidi"/>
          <w:lang w:val="pt-BR"/>
        </w:rPr>
        <w:tab/>
        <w:t>Transparência de negociação, caso aplicável: “Os títulos objeto da presente oferta não serão negociados em mercados organizados de bolsa ou balcão, não podendo ser assegurada a disponibilidade de informações sobre os preços praticados ou sobre os negócios realizados.”</w:t>
      </w:r>
    </w:p>
    <w:p w14:paraId="07D3D1E1" w14:textId="77777777" w:rsidR="009A242A" w:rsidRPr="007E77AF" w:rsidRDefault="009A242A" w:rsidP="001353DC">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3.4.</w:t>
      </w:r>
      <w:r w:rsidRPr="007E77AF">
        <w:rPr>
          <w:rStyle w:val="normaltextrun"/>
          <w:rFonts w:eastAsiaTheme="minorEastAsia" w:cstheme="minorBidi"/>
          <w:lang w:val="pt-BR"/>
        </w:rPr>
        <w:tab/>
        <w:t>No caso de oferta com registro automático: “A CVM não realizou análise prévia do conteúdo do prospecto nem dos documentos da oferta.” e caso aplicável: “Existem restrições que se aplicam à revenda dos valores mobiliários conforme descritas no item 6.1.”</w:t>
      </w:r>
    </w:p>
    <w:p w14:paraId="64275BBC" w14:textId="77777777" w:rsidR="009A242A" w:rsidRPr="002C67D2" w:rsidRDefault="009A242A" w:rsidP="00F27F61">
      <w:pPr>
        <w:spacing w:after="160" w:line="259" w:lineRule="auto"/>
        <w:rPr>
          <w:rStyle w:val="normaltextrun"/>
          <w:rFonts w:ascii="Calibri" w:hAnsi="Calibri" w:cs="Calibri"/>
          <w:b/>
          <w:bCs/>
        </w:rPr>
      </w:pPr>
      <w:r w:rsidRPr="002C67D2">
        <w:rPr>
          <w:rStyle w:val="normaltextrun"/>
          <w:rFonts w:ascii="Calibri" w:hAnsi="Calibri" w:cs="Calibri"/>
          <w:b/>
          <w:bCs/>
        </w:rPr>
        <w:br w:type="page"/>
      </w:r>
    </w:p>
    <w:p w14:paraId="54F72193" w14:textId="77777777" w:rsidR="009A242A" w:rsidRPr="007E77AF" w:rsidRDefault="009A242A" w:rsidP="00F27F61">
      <w:pPr>
        <w:spacing w:after="160" w:line="259" w:lineRule="auto"/>
        <w:jc w:val="center"/>
        <w:rPr>
          <w:rStyle w:val="normaltextrun"/>
          <w:b/>
          <w:bCs/>
        </w:rPr>
      </w:pPr>
      <w:r w:rsidRPr="007E77AF">
        <w:rPr>
          <w:rStyle w:val="normaltextrun"/>
          <w:rFonts w:ascii="Calibri" w:hAnsi="Calibri" w:cs="Calibri"/>
          <w:b/>
          <w:bCs/>
        </w:rPr>
        <w:lastRenderedPageBreak/>
        <w:t xml:space="preserve">Informações do </w:t>
      </w:r>
      <w:r w:rsidRPr="007E77AF">
        <w:rPr>
          <w:b/>
          <w:bCs/>
        </w:rPr>
        <w:t>Prospecto</w:t>
      </w:r>
    </w:p>
    <w:p w14:paraId="27CFDBEC"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ascii="Calibri" w:hAnsi="Calibri"/>
          <w:b/>
          <w:lang w:val="pt-BR"/>
        </w:rPr>
        <w:t>Índice</w:t>
      </w:r>
    </w:p>
    <w:p w14:paraId="6C34A634"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eastAsiaTheme="minorEastAsia" w:hAnsi="Calibri"/>
          <w:b/>
          <w:lang w:val="pt-BR"/>
        </w:rPr>
      </w:pPr>
      <w:r w:rsidRPr="007E77AF">
        <w:rPr>
          <w:rStyle w:val="normaltextrun"/>
          <w:rFonts w:ascii="Calibri" w:eastAsiaTheme="minorEastAsia" w:hAnsi="Calibri"/>
          <w:b/>
          <w:lang w:val="pt-BR"/>
        </w:rPr>
        <w:t>2.</w:t>
      </w:r>
      <w:r w:rsidRPr="007E77AF">
        <w:rPr>
          <w:rStyle w:val="normaltextrun"/>
          <w:rFonts w:ascii="Calibri" w:eastAsiaTheme="minorEastAsia" w:hAnsi="Calibri"/>
          <w:b/>
          <w:lang w:val="pt-BR"/>
        </w:rPr>
        <w:tab/>
      </w:r>
      <w:r w:rsidRPr="007E77AF">
        <w:rPr>
          <w:rStyle w:val="normaltextrun"/>
          <w:rFonts w:ascii="Calibri" w:hAnsi="Calibri"/>
          <w:b/>
          <w:lang w:val="pt-BR"/>
        </w:rPr>
        <w:t xml:space="preserve">Principais </w:t>
      </w:r>
      <w:r w:rsidRPr="007E77AF">
        <w:rPr>
          <w:rStyle w:val="normaltextrun"/>
          <w:rFonts w:ascii="Calibri" w:hAnsi="Calibri" w:cs="Calibri"/>
          <w:b/>
          <w:bCs/>
          <w:lang w:val="pt-BR"/>
        </w:rPr>
        <w:t>características</w:t>
      </w:r>
      <w:r w:rsidRPr="007E77AF">
        <w:rPr>
          <w:rStyle w:val="normaltextrun"/>
          <w:rFonts w:ascii="Calibri" w:hAnsi="Calibri"/>
          <w:b/>
          <w:lang w:val="pt-BR"/>
        </w:rPr>
        <w:t xml:space="preserve"> da </w:t>
      </w:r>
      <w:r w:rsidRPr="007E77AF">
        <w:rPr>
          <w:rStyle w:val="normaltextrun"/>
          <w:rFonts w:ascii="Calibri" w:hAnsi="Calibri" w:cs="Calibri"/>
          <w:b/>
          <w:bCs/>
          <w:lang w:val="pt-BR"/>
        </w:rPr>
        <w:t>oferta</w:t>
      </w:r>
    </w:p>
    <w:p w14:paraId="3AD8FEF2" w14:textId="34F7265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2.1.</w:t>
      </w:r>
      <w:r w:rsidRPr="007E77AF">
        <w:rPr>
          <w:rStyle w:val="normaltextrun"/>
          <w:rFonts w:ascii="Calibri" w:hAnsi="Calibri"/>
          <w:lang w:val="pt-BR"/>
        </w:rPr>
        <w:tab/>
        <w:t>Breve descrição da</w:t>
      </w:r>
      <w:r w:rsidR="004076C2">
        <w:rPr>
          <w:rStyle w:val="normaltextrun"/>
          <w:rFonts w:ascii="Calibri" w:hAnsi="Calibri"/>
          <w:lang w:val="pt-BR"/>
        </w:rPr>
        <w:t xml:space="preserve"> </w:t>
      </w:r>
      <w:r w:rsidRPr="007E77AF">
        <w:rPr>
          <w:rStyle w:val="normaltextrun"/>
          <w:rFonts w:ascii="Calibri" w:hAnsi="Calibri"/>
          <w:lang w:val="pt-BR"/>
        </w:rPr>
        <w:t>oferta;</w:t>
      </w:r>
    </w:p>
    <w:p w14:paraId="31B94CAD" w14:textId="08869BCB"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2.2.</w:t>
      </w:r>
      <w:r w:rsidRPr="007E77AF">
        <w:rPr>
          <w:rStyle w:val="normaltextrun"/>
          <w:rFonts w:ascii="Calibri" w:hAnsi="Calibri" w:cs="Calibri"/>
          <w:lang w:val="pt-BR"/>
        </w:rPr>
        <w:tab/>
        <w:t>Apresentação do emissor, com as informações que o ofertante deseja destacar em relação àquelas contidas no formulário de referência;</w:t>
      </w:r>
    </w:p>
    <w:p w14:paraId="2CBF5C9E" w14:textId="2F137976"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2.3.</w:t>
      </w:r>
      <w:r w:rsidRPr="007E77AF">
        <w:rPr>
          <w:rStyle w:val="normaltextrun"/>
          <w:rFonts w:ascii="Calibri" w:hAnsi="Calibri"/>
          <w:lang w:val="pt-BR"/>
        </w:rPr>
        <w:tab/>
        <w:t>Identificação do público-alvo;</w:t>
      </w:r>
    </w:p>
    <w:p w14:paraId="4450F61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2.4.</w:t>
      </w:r>
      <w:r w:rsidRPr="007E77AF">
        <w:rPr>
          <w:rStyle w:val="normaltextrun"/>
          <w:rFonts w:ascii="Calibri" w:hAnsi="Calibri" w:cs="Calibri"/>
          <w:lang w:val="pt-BR"/>
        </w:rPr>
        <w:tab/>
        <w:t>Indicação sobre a admissão à negociação em mercados organizados de bolsa e balcão;</w:t>
      </w:r>
    </w:p>
    <w:p w14:paraId="70FD77E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2.5.</w:t>
      </w:r>
      <w:r w:rsidRPr="007E77AF">
        <w:rPr>
          <w:rStyle w:val="normaltextrun"/>
          <w:rFonts w:ascii="Calibri" w:hAnsi="Calibri"/>
          <w:lang w:val="pt-BR"/>
        </w:rPr>
        <w:tab/>
        <w:t>Valor total da oferta;</w:t>
      </w:r>
    </w:p>
    <w:p w14:paraId="46EE489D"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2.6.</w:t>
      </w:r>
      <w:r w:rsidRPr="007E77AF">
        <w:rPr>
          <w:rStyle w:val="normaltextrun"/>
          <w:rFonts w:ascii="Calibri" w:hAnsi="Calibri" w:cs="Calibri"/>
          <w:lang w:val="pt-BR"/>
        </w:rPr>
        <w:tab/>
        <w:t>Em relação a cada série, classe e espécie do título ofertado:</w:t>
      </w:r>
    </w:p>
    <w:p w14:paraId="3E648B92"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valor nominal unitário;</w:t>
      </w:r>
    </w:p>
    <w:p w14:paraId="324B4664"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preço unitário de subscrição;</w:t>
      </w:r>
    </w:p>
    <w:p w14:paraId="0CD848D1" w14:textId="77777777" w:rsidR="009A242A" w:rsidRPr="007E77AF" w:rsidRDefault="009A242A" w:rsidP="001A5EBB">
      <w:pPr>
        <w:spacing w:before="120" w:after="120" w:line="312" w:lineRule="auto"/>
        <w:ind w:left="1069" w:hanging="360"/>
        <w:jc w:val="both"/>
        <w:rPr>
          <w:rFonts w:cstheme="minorHAnsi"/>
        </w:rPr>
      </w:pPr>
      <w:r w:rsidRPr="007E77AF">
        <w:t>c)</w:t>
      </w:r>
      <w:r w:rsidRPr="007E77AF">
        <w:tab/>
      </w:r>
      <w:r w:rsidRPr="007E77AF">
        <w:rPr>
          <w:rFonts w:cstheme="minorHAnsi"/>
        </w:rPr>
        <w:t>quantidade;</w:t>
      </w:r>
    </w:p>
    <w:p w14:paraId="606E2F46" w14:textId="77777777"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7E77AF">
        <w:rPr>
          <w:rFonts w:cstheme="minorHAnsi"/>
        </w:rPr>
        <w:t>opção de lote adicional;</w:t>
      </w:r>
    </w:p>
    <w:p w14:paraId="7E1876DA" w14:textId="77777777" w:rsidR="009A242A" w:rsidRPr="007E77AF" w:rsidRDefault="009A242A" w:rsidP="001A5EBB">
      <w:pPr>
        <w:spacing w:before="120" w:after="120" w:line="312" w:lineRule="auto"/>
        <w:ind w:left="1069" w:hanging="360"/>
        <w:jc w:val="both"/>
        <w:rPr>
          <w:rFonts w:cstheme="minorHAnsi"/>
        </w:rPr>
      </w:pPr>
      <w:r w:rsidRPr="007E77AF">
        <w:t>e)</w:t>
      </w:r>
      <w:r w:rsidRPr="007E77AF">
        <w:tab/>
      </w:r>
      <w:r w:rsidRPr="007E77AF">
        <w:rPr>
          <w:rFonts w:cstheme="minorHAnsi"/>
        </w:rPr>
        <w:t>código ISIN</w:t>
      </w:r>
    </w:p>
    <w:p w14:paraId="0B949504" w14:textId="77777777" w:rsidR="009A242A" w:rsidRPr="007E77AF" w:rsidRDefault="009A242A" w:rsidP="001A5EBB">
      <w:pPr>
        <w:spacing w:before="120" w:after="120" w:line="312" w:lineRule="auto"/>
        <w:ind w:left="1069" w:hanging="360"/>
        <w:jc w:val="both"/>
        <w:rPr>
          <w:rFonts w:cstheme="minorHAnsi"/>
        </w:rPr>
      </w:pPr>
      <w:r w:rsidRPr="007E77AF">
        <w:t>f)</w:t>
      </w:r>
      <w:r w:rsidRPr="007E77AF">
        <w:tab/>
      </w:r>
      <w:r w:rsidRPr="007E77AF">
        <w:rPr>
          <w:rFonts w:cstheme="minorHAnsi"/>
        </w:rPr>
        <w:t>classificação de risco;</w:t>
      </w:r>
    </w:p>
    <w:p w14:paraId="5E256BD4" w14:textId="77777777" w:rsidR="009A242A" w:rsidRPr="007E77AF" w:rsidRDefault="009A242A" w:rsidP="001A5EBB">
      <w:pPr>
        <w:spacing w:before="120" w:after="120" w:line="312" w:lineRule="auto"/>
        <w:ind w:left="1069" w:hanging="360"/>
        <w:jc w:val="both"/>
        <w:rPr>
          <w:rFonts w:cstheme="minorHAnsi"/>
        </w:rPr>
      </w:pPr>
      <w:r w:rsidRPr="007E77AF">
        <w:t>g)</w:t>
      </w:r>
      <w:r w:rsidRPr="007E77AF">
        <w:tab/>
      </w:r>
      <w:r w:rsidRPr="007E77AF">
        <w:rPr>
          <w:rFonts w:cstheme="minorHAnsi"/>
        </w:rPr>
        <w:t>data de emissão;</w:t>
      </w:r>
    </w:p>
    <w:p w14:paraId="5CA698C1" w14:textId="77777777" w:rsidR="009A242A" w:rsidRPr="007E77AF" w:rsidRDefault="009A242A" w:rsidP="001A5EBB">
      <w:pPr>
        <w:spacing w:before="120" w:after="120" w:line="312" w:lineRule="auto"/>
        <w:ind w:left="1069" w:hanging="360"/>
        <w:jc w:val="both"/>
        <w:rPr>
          <w:rFonts w:cstheme="minorHAnsi"/>
        </w:rPr>
      </w:pPr>
      <w:r w:rsidRPr="007E77AF">
        <w:t>h)</w:t>
      </w:r>
      <w:r w:rsidRPr="007E77AF">
        <w:tab/>
      </w:r>
      <w:r w:rsidRPr="007E77AF">
        <w:rPr>
          <w:rFonts w:cstheme="minorHAnsi"/>
        </w:rPr>
        <w:t>prazo e data de vencimento;</w:t>
      </w:r>
    </w:p>
    <w:p w14:paraId="7E3EFDCD" w14:textId="77777777" w:rsidR="009A242A" w:rsidRPr="007E77AF" w:rsidRDefault="009A242A" w:rsidP="001A5EBB">
      <w:pPr>
        <w:spacing w:before="120" w:after="120" w:line="312" w:lineRule="auto"/>
        <w:ind w:left="1069" w:hanging="360"/>
        <w:jc w:val="both"/>
        <w:rPr>
          <w:rFonts w:cstheme="minorHAnsi"/>
        </w:rPr>
      </w:pPr>
      <w:r w:rsidRPr="007E77AF">
        <w:t>i)</w:t>
      </w:r>
      <w:r w:rsidRPr="007E77AF">
        <w:tab/>
      </w:r>
      <w:r w:rsidRPr="007E77AF">
        <w:rPr>
          <w:rFonts w:cstheme="minorHAnsi"/>
        </w:rPr>
        <w:t>juros remuneratórios e atualização monetária – forma, índice e base de cálculo;</w:t>
      </w:r>
    </w:p>
    <w:p w14:paraId="519B8B92" w14:textId="77777777" w:rsidR="009A242A" w:rsidRPr="007E77AF" w:rsidRDefault="009A242A" w:rsidP="001A5EBB">
      <w:pPr>
        <w:spacing w:before="120" w:after="120" w:line="312" w:lineRule="auto"/>
        <w:ind w:left="1069" w:hanging="360"/>
        <w:jc w:val="both"/>
        <w:rPr>
          <w:rFonts w:cstheme="minorHAnsi"/>
        </w:rPr>
      </w:pPr>
      <w:r w:rsidRPr="007E77AF">
        <w:t>j)</w:t>
      </w:r>
      <w:r w:rsidRPr="007E77AF">
        <w:tab/>
      </w:r>
      <w:r w:rsidRPr="007E77AF">
        <w:rPr>
          <w:rFonts w:cstheme="minorHAnsi"/>
        </w:rPr>
        <w:t>pagamento da remuneração – periodicidade e data de pagamentos;</w:t>
      </w:r>
    </w:p>
    <w:p w14:paraId="574641AB" w14:textId="77777777" w:rsidR="009A242A" w:rsidRPr="007E77AF" w:rsidRDefault="009A242A" w:rsidP="001A5EBB">
      <w:pPr>
        <w:spacing w:before="120" w:after="120" w:line="312" w:lineRule="auto"/>
        <w:ind w:left="1069" w:hanging="360"/>
        <w:jc w:val="both"/>
        <w:rPr>
          <w:rFonts w:cstheme="minorHAnsi"/>
        </w:rPr>
      </w:pPr>
      <w:r w:rsidRPr="007E77AF">
        <w:t>k)</w:t>
      </w:r>
      <w:r w:rsidRPr="007E77AF">
        <w:tab/>
      </w:r>
      <w:r w:rsidRPr="007E77AF">
        <w:rPr>
          <w:rFonts w:cstheme="minorHAnsi"/>
        </w:rPr>
        <w:t>repactuação;</w:t>
      </w:r>
    </w:p>
    <w:p w14:paraId="3D5230F6" w14:textId="77777777" w:rsidR="009A242A" w:rsidRPr="007E77AF" w:rsidRDefault="009A242A" w:rsidP="001A5EBB">
      <w:pPr>
        <w:spacing w:before="120" w:after="120" w:line="312" w:lineRule="auto"/>
        <w:ind w:left="1069" w:hanging="360"/>
        <w:jc w:val="both"/>
        <w:rPr>
          <w:rFonts w:cstheme="minorHAnsi"/>
        </w:rPr>
      </w:pPr>
      <w:r w:rsidRPr="007E77AF">
        <w:t>l)</w:t>
      </w:r>
      <w:r w:rsidRPr="007E77AF">
        <w:tab/>
      </w:r>
      <w:r w:rsidRPr="007E77AF">
        <w:rPr>
          <w:rFonts w:cstheme="minorHAnsi"/>
        </w:rPr>
        <w:t>amortização e hipóteses de resgate antecipado – existência, datas e condições;</w:t>
      </w:r>
    </w:p>
    <w:p w14:paraId="152D202A" w14:textId="77777777" w:rsidR="009A242A" w:rsidRPr="007E77AF" w:rsidRDefault="009A242A" w:rsidP="001A5EBB">
      <w:pPr>
        <w:spacing w:before="120" w:after="120" w:line="312" w:lineRule="auto"/>
        <w:ind w:left="1069" w:hanging="360"/>
        <w:jc w:val="both"/>
        <w:rPr>
          <w:rFonts w:cstheme="minorHAnsi"/>
        </w:rPr>
      </w:pPr>
      <w:r w:rsidRPr="007E77AF">
        <w:t>m)</w:t>
      </w:r>
      <w:r w:rsidRPr="007E77AF">
        <w:tab/>
      </w:r>
      <w:r w:rsidRPr="007E77AF">
        <w:rPr>
          <w:rFonts w:cstheme="minorHAnsi"/>
        </w:rPr>
        <w:t>aquisição facultativa;</w:t>
      </w:r>
    </w:p>
    <w:p w14:paraId="7F37BA14" w14:textId="77777777" w:rsidR="009A242A" w:rsidRPr="007E77AF" w:rsidRDefault="009A242A" w:rsidP="001A5EBB">
      <w:pPr>
        <w:spacing w:before="120" w:after="120" w:line="312" w:lineRule="auto"/>
        <w:ind w:left="1069" w:hanging="360"/>
        <w:jc w:val="both"/>
        <w:rPr>
          <w:rFonts w:cstheme="minorHAnsi"/>
        </w:rPr>
      </w:pPr>
      <w:r w:rsidRPr="007E77AF">
        <w:t>n)</w:t>
      </w:r>
      <w:r w:rsidRPr="007E77AF">
        <w:tab/>
      </w:r>
      <w:r w:rsidRPr="007E77AF">
        <w:rPr>
          <w:rFonts w:cstheme="minorHAnsi"/>
        </w:rPr>
        <w:t>garantias – tipo, forma e descrição;</w:t>
      </w:r>
    </w:p>
    <w:p w14:paraId="17EA94C4" w14:textId="77777777" w:rsidR="009A242A" w:rsidRPr="007E77AF" w:rsidRDefault="009A242A" w:rsidP="001A5EBB">
      <w:pPr>
        <w:spacing w:before="120" w:after="120" w:line="312" w:lineRule="auto"/>
        <w:ind w:left="1069" w:hanging="360"/>
        <w:jc w:val="both"/>
        <w:rPr>
          <w:rFonts w:cstheme="minorHAnsi"/>
        </w:rPr>
      </w:pPr>
      <w:r w:rsidRPr="007E77AF">
        <w:t>o)</w:t>
      </w:r>
      <w:r w:rsidRPr="007E77AF">
        <w:tab/>
      </w:r>
      <w:r w:rsidRPr="007E77AF">
        <w:rPr>
          <w:rFonts w:cstheme="minorHAnsi"/>
        </w:rPr>
        <w:t>direito de preferência;</w:t>
      </w:r>
    </w:p>
    <w:p w14:paraId="1D59F4A7" w14:textId="77777777" w:rsidR="009A242A" w:rsidRPr="007E77AF" w:rsidRDefault="009A242A" w:rsidP="001A5EBB">
      <w:pPr>
        <w:spacing w:before="120" w:after="120" w:line="312" w:lineRule="auto"/>
        <w:ind w:left="1069" w:hanging="360"/>
        <w:jc w:val="both"/>
        <w:rPr>
          <w:rFonts w:cstheme="minorHAnsi"/>
        </w:rPr>
      </w:pPr>
      <w:r w:rsidRPr="007E77AF">
        <w:t>p)</w:t>
      </w:r>
      <w:r w:rsidRPr="007E77AF">
        <w:tab/>
      </w:r>
      <w:r w:rsidRPr="007E77AF">
        <w:rPr>
          <w:rFonts w:cstheme="minorHAnsi"/>
        </w:rPr>
        <w:t>tratamento tributário;</w:t>
      </w:r>
    </w:p>
    <w:p w14:paraId="1F0B6F28" w14:textId="19277EFC" w:rsidR="009A242A" w:rsidRPr="007E77AF" w:rsidRDefault="009A242A" w:rsidP="001A5EBB">
      <w:pPr>
        <w:spacing w:before="120" w:after="120" w:line="312" w:lineRule="auto"/>
        <w:ind w:left="1069" w:hanging="360"/>
        <w:jc w:val="both"/>
        <w:rPr>
          <w:rFonts w:cstheme="minorHAnsi"/>
        </w:rPr>
      </w:pPr>
      <w:r w:rsidRPr="007E77AF">
        <w:lastRenderedPageBreak/>
        <w:t>q)</w:t>
      </w:r>
      <w:r w:rsidRPr="007E77AF">
        <w:tab/>
      </w:r>
      <w:proofErr w:type="spellStart"/>
      <w:r w:rsidRPr="007E77AF">
        <w:rPr>
          <w:rFonts w:cstheme="minorHAnsi"/>
          <w:b/>
          <w:bCs/>
        </w:rPr>
        <w:t>covenants</w:t>
      </w:r>
      <w:proofErr w:type="spellEnd"/>
      <w:r w:rsidRPr="007E77AF">
        <w:rPr>
          <w:rFonts w:cstheme="minorHAnsi"/>
        </w:rPr>
        <w:t xml:space="preserve"> financeiros, se houver;</w:t>
      </w:r>
    </w:p>
    <w:p w14:paraId="14B405C2" w14:textId="77777777" w:rsidR="009A242A" w:rsidRPr="007E77AF" w:rsidRDefault="009A242A" w:rsidP="001A5EBB">
      <w:pPr>
        <w:spacing w:before="120" w:after="120" w:line="312" w:lineRule="auto"/>
        <w:ind w:left="1069" w:hanging="360"/>
        <w:jc w:val="both"/>
        <w:rPr>
          <w:rFonts w:cstheme="minorHAnsi"/>
        </w:rPr>
      </w:pPr>
      <w:r w:rsidRPr="007E77AF">
        <w:t>r)</w:t>
      </w:r>
      <w:r w:rsidRPr="007E77AF">
        <w:tab/>
      </w:r>
      <w:r w:rsidRPr="007E77AF">
        <w:rPr>
          <w:rFonts w:cstheme="minorHAnsi"/>
        </w:rPr>
        <w:t>eventos de vencimento antecipado;</w:t>
      </w:r>
    </w:p>
    <w:p w14:paraId="594DAE1B" w14:textId="77777777" w:rsidR="009A242A" w:rsidRPr="007E77AF" w:rsidRDefault="009A242A" w:rsidP="001A5EBB">
      <w:pPr>
        <w:spacing w:before="120" w:after="120" w:line="312" w:lineRule="auto"/>
        <w:ind w:left="1069" w:hanging="360"/>
        <w:jc w:val="both"/>
        <w:rPr>
          <w:rFonts w:cstheme="minorHAnsi"/>
        </w:rPr>
      </w:pPr>
      <w:r w:rsidRPr="007E77AF">
        <w:t>s)</w:t>
      </w:r>
      <w:r w:rsidRPr="007E77AF">
        <w:tab/>
      </w:r>
      <w:r w:rsidRPr="007E77AF">
        <w:rPr>
          <w:rFonts w:cstheme="minorHAnsi"/>
        </w:rPr>
        <w:t>conversibilidade em outros valores mobiliários;</w:t>
      </w:r>
    </w:p>
    <w:p w14:paraId="141D185B" w14:textId="77777777" w:rsidR="009A242A" w:rsidRPr="007E77AF" w:rsidRDefault="009A242A" w:rsidP="001A5EBB">
      <w:pPr>
        <w:spacing w:before="120" w:after="120" w:line="312" w:lineRule="auto"/>
        <w:ind w:left="1069" w:hanging="360"/>
        <w:jc w:val="both"/>
        <w:rPr>
          <w:rFonts w:cstheme="minorHAnsi"/>
        </w:rPr>
      </w:pPr>
      <w:r w:rsidRPr="007E77AF">
        <w:t>t)</w:t>
      </w:r>
      <w:r w:rsidRPr="007E77AF">
        <w:tab/>
      </w:r>
      <w:r w:rsidRPr="007E77AF">
        <w:rPr>
          <w:rFonts w:cstheme="minorHAnsi"/>
        </w:rPr>
        <w:t>agente fiduciário; e</w:t>
      </w:r>
    </w:p>
    <w:p w14:paraId="3B3C06AB" w14:textId="77777777" w:rsidR="009A242A" w:rsidRPr="007E77AF" w:rsidRDefault="009A242A" w:rsidP="001A5EBB">
      <w:pPr>
        <w:spacing w:before="120" w:after="120" w:line="312" w:lineRule="auto"/>
        <w:ind w:left="1069" w:hanging="360"/>
        <w:jc w:val="both"/>
        <w:rPr>
          <w:rFonts w:cstheme="minorHAnsi"/>
        </w:rPr>
      </w:pPr>
      <w:r w:rsidRPr="007E77AF">
        <w:t>u)</w:t>
      </w:r>
      <w:r w:rsidRPr="007E77AF">
        <w:tab/>
      </w:r>
      <w:r w:rsidRPr="007E77AF">
        <w:rPr>
          <w:rFonts w:cstheme="minorHAnsi"/>
        </w:rPr>
        <w:t>outros direitos, vantagens e restrições.</w:t>
      </w:r>
    </w:p>
    <w:p w14:paraId="08D89D06"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3.</w:t>
      </w:r>
      <w:r w:rsidRPr="007E77AF">
        <w:rPr>
          <w:rStyle w:val="normaltextrun"/>
          <w:rFonts w:ascii="Calibri" w:hAnsi="Calibri"/>
          <w:b/>
          <w:lang w:val="pt-BR"/>
        </w:rPr>
        <w:tab/>
        <w:t xml:space="preserve">Destinação de recursos </w:t>
      </w:r>
      <w:r>
        <w:rPr>
          <w:rStyle w:val="Refdenotaderodap"/>
          <w:rFonts w:ascii="Calibri" w:hAnsi="Calibri"/>
          <w:b/>
          <w:lang w:val="pt-BR"/>
        </w:rPr>
        <w:footnoteReference w:id="28"/>
      </w:r>
    </w:p>
    <w:p w14:paraId="790CACE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3.1.</w:t>
      </w:r>
      <w:r w:rsidRPr="007E77AF">
        <w:rPr>
          <w:rStyle w:val="normaltextrun"/>
          <w:rFonts w:ascii="Calibri" w:hAnsi="Calibri" w:cs="Calibri"/>
          <w:lang w:val="pt-BR"/>
        </w:rPr>
        <w:tab/>
        <w:t>Exposição clara e objetiva do destino dos recursos provenientes da emissão, bem como seu impacto na situação patrimonial e nos resultados do emissor;</w:t>
      </w:r>
    </w:p>
    <w:p w14:paraId="7652A6FC"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3.2.</w:t>
      </w:r>
      <w:r w:rsidRPr="007E77AF">
        <w:rPr>
          <w:rStyle w:val="normaltextrun"/>
          <w:rFonts w:ascii="Calibri" w:hAnsi="Calibri" w:cs="Calibri"/>
          <w:lang w:val="pt-BR"/>
        </w:rPr>
        <w:tab/>
        <w:t>Se os recursos forem, direta ou indiretamente, utilizados na aquisição de ativos, à exceção daqueles adquiridos no curso regular dos negócios, descrever sumariamente esses ativos e seus custos. Se forem adquiridos de partes relacionadas, informar de quem serão comprados e como o custo será determinado;</w:t>
      </w:r>
    </w:p>
    <w:p w14:paraId="5BDCF5E0"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3.3.</w:t>
      </w:r>
      <w:r w:rsidRPr="007E77AF">
        <w:rPr>
          <w:rStyle w:val="normaltextrun"/>
          <w:rFonts w:ascii="Calibri" w:hAnsi="Calibri" w:cs="Calibri"/>
          <w:lang w:val="pt-BR"/>
        </w:rPr>
        <w:tab/>
        <w:t>Se os recursos forem utilizados para adquirir outros negócios, apresentar descrição sumária desses negócios e o estágio das aquisições. Se forem adquiridos de partes relacionadas, informar de quem serão comprados e como o custo será determinado;</w:t>
      </w:r>
    </w:p>
    <w:p w14:paraId="46D1749B" w14:textId="77777777" w:rsidR="009A242A" w:rsidRPr="007E77AF" w:rsidRDefault="009A242A" w:rsidP="00C727D0">
      <w:pPr>
        <w:pStyle w:val="paragraph"/>
        <w:spacing w:before="120" w:beforeAutospacing="0" w:after="120" w:afterAutospacing="0" w:line="312" w:lineRule="auto"/>
        <w:ind w:left="709" w:hanging="709"/>
        <w:jc w:val="both"/>
        <w:textAlignment w:val="baseline"/>
        <w:rPr>
          <w:rFonts w:ascii="Calibri" w:hAnsi="Calibri" w:cs="Calibri"/>
          <w:lang w:val="pt-BR"/>
        </w:rPr>
      </w:pPr>
      <w:r w:rsidRPr="007E77AF">
        <w:rPr>
          <w:rStyle w:val="normaltextrun"/>
          <w:rFonts w:ascii="Calibri" w:hAnsi="Calibri" w:cs="Calibri"/>
          <w:lang w:val="pt-BR"/>
        </w:rPr>
        <w:t>3.4.</w:t>
      </w:r>
      <w:r w:rsidRPr="007E77AF">
        <w:rPr>
          <w:rStyle w:val="normaltextrun"/>
          <w:rFonts w:ascii="Calibri" w:hAnsi="Calibri" w:cs="Calibri"/>
          <w:lang w:val="pt-BR"/>
        </w:rPr>
        <w:tab/>
        <w:t>Se parte significativa dos recursos for utilizada para abater dívidas, descrever taxa de juros e prazo dessas dívidas e, para aquelas incorridas a partir do ano anterior, apresentar a destinação daqueles recursos;</w:t>
      </w:r>
    </w:p>
    <w:p w14:paraId="6C733D2A" w14:textId="1B3F383B" w:rsidR="009A242A" w:rsidRPr="007E77AF" w:rsidRDefault="009A242A" w:rsidP="00AB1251">
      <w:pPr>
        <w:spacing w:before="120" w:after="120" w:line="312" w:lineRule="auto"/>
        <w:ind w:left="792" w:hanging="792"/>
        <w:jc w:val="both"/>
      </w:pPr>
      <w:r w:rsidRPr="007E77AF">
        <w:t>3.5.</w:t>
      </w:r>
      <w:r w:rsidRPr="007E77AF">
        <w:tab/>
        <w:t>No caso de parte dos recursos serem destinados a pagamentos a serem efetuados a partes relacionadas ou a coordenadores da oferta, por conta de transações já realizadas ou cuja celebração seja esperada, indicação do montante e dos beneficiários do pagamento;</w:t>
      </w:r>
    </w:p>
    <w:p w14:paraId="1BFE72D0" w14:textId="635CE920"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3.6.</w:t>
      </w:r>
      <w:r w:rsidRPr="007E77AF">
        <w:rPr>
          <w:rStyle w:val="normaltextrun"/>
          <w:rFonts w:ascii="Calibri" w:hAnsi="Calibri" w:cs="Calibri"/>
          <w:lang w:val="pt-BR"/>
        </w:rPr>
        <w:tab/>
        <w:t>No caso de apenas parte dos recursos almejados com a oferta vir a ser obtida por meio da distribuição, especificação dos objetivos prioritários e se há outras formas de captação previstas para atingir todos os objetivos originais do ofertante;</w:t>
      </w:r>
    </w:p>
    <w:p w14:paraId="0B87677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3.7.</w:t>
      </w:r>
      <w:r w:rsidRPr="007E77AF">
        <w:rPr>
          <w:rStyle w:val="normaltextrun"/>
          <w:rFonts w:ascii="Calibri" w:hAnsi="Calibri" w:cs="Calibri"/>
          <w:lang w:val="pt-BR"/>
        </w:rPr>
        <w:tab/>
        <w:t>Outras fontes de recursos: se aplicável, discriminar outras fontes de recursos que terão destinação associada àquela relativa à distribuição pública;</w:t>
      </w:r>
    </w:p>
    <w:p w14:paraId="6498E1CC" w14:textId="7E7F556C" w:rsidR="009A242A" w:rsidRPr="007E77AF" w:rsidRDefault="009A242A" w:rsidP="00AB1251">
      <w:pPr>
        <w:pStyle w:val="paragraph"/>
        <w:spacing w:before="120" w:beforeAutospacing="0" w:after="120" w:afterAutospacing="0" w:line="312" w:lineRule="auto"/>
        <w:ind w:left="709" w:hanging="709"/>
        <w:jc w:val="both"/>
        <w:textAlignment w:val="baseline"/>
        <w:rPr>
          <w:rFonts w:ascii="Calibri" w:hAnsi="Calibri" w:cs="Calibri"/>
          <w:lang w:val="pt-BR"/>
        </w:rPr>
      </w:pPr>
      <w:r w:rsidRPr="007E77AF">
        <w:rPr>
          <w:rFonts w:ascii="Calibri" w:hAnsi="Calibri" w:cs="Calibri"/>
          <w:lang w:val="pt-BR"/>
        </w:rPr>
        <w:lastRenderedPageBreak/>
        <w:t>3.8.</w:t>
      </w:r>
      <w:r w:rsidRPr="007E77AF">
        <w:rPr>
          <w:rFonts w:ascii="Calibri" w:hAnsi="Calibri" w:cs="Calibr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pelo emissor como “verde”, “social”, “sustentável” ou </w:t>
      </w:r>
      <w:r>
        <w:rPr>
          <w:rFonts w:ascii="Calibri" w:hAnsi="Calibri" w:cs="Calibri"/>
          <w:lang w:val="pt-BR"/>
        </w:rPr>
        <w:t>termos correlatos</w:t>
      </w:r>
      <w:r w:rsidRPr="007E77AF">
        <w:rPr>
          <w:rFonts w:ascii="Calibri" w:hAnsi="Calibri" w:cs="Calibri"/>
          <w:lang w:val="pt-BR"/>
        </w:rPr>
        <w:t>, informar:</w:t>
      </w:r>
    </w:p>
    <w:p w14:paraId="581B3755" w14:textId="7E686B94" w:rsidR="009A242A" w:rsidRPr="007E77AF" w:rsidRDefault="009A242A" w:rsidP="001A5EBB">
      <w:pPr>
        <w:spacing w:before="120" w:after="120" w:line="312" w:lineRule="auto"/>
        <w:ind w:left="1069" w:hanging="360"/>
        <w:jc w:val="both"/>
        <w:rPr>
          <w:rFonts w:cstheme="minorHAnsi"/>
        </w:rPr>
      </w:pPr>
      <w:r w:rsidRPr="007E77AF">
        <w:rPr>
          <w:rFonts w:cstheme="minorHAnsi"/>
        </w:rPr>
        <w:t>a)</w:t>
      </w:r>
      <w:r w:rsidRPr="007E77AF">
        <w:rPr>
          <w:rFonts w:cstheme="minorHAnsi"/>
        </w:rPr>
        <w:tab/>
        <w:t xml:space="preserve">quais metodologias, princípios ou diretrizes </w:t>
      </w:r>
      <w:r>
        <w:rPr>
          <w:rFonts w:cstheme="minorHAnsi"/>
        </w:rPr>
        <w:t>amplamente</w:t>
      </w:r>
      <w:r w:rsidRPr="007E77AF">
        <w:rPr>
          <w:rFonts w:cstheme="minorHAnsi"/>
        </w:rPr>
        <w:t xml:space="preserve"> reconhecidos foram seguidos para qualificação da oferta conforme item acima;</w:t>
      </w:r>
    </w:p>
    <w:p w14:paraId="2726AB1F" w14:textId="06F40FBE"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qual a entidade independente responsável pela averiguação acima citada e tipo de avaliação envolvida;</w:t>
      </w:r>
    </w:p>
    <w:p w14:paraId="117F85AD" w14:textId="5C0CB2FB" w:rsidR="009A242A" w:rsidRPr="007E77AF" w:rsidRDefault="009A242A" w:rsidP="001A5EBB">
      <w:pPr>
        <w:spacing w:before="120" w:after="120" w:line="312" w:lineRule="auto"/>
        <w:ind w:left="1069" w:hanging="360"/>
        <w:jc w:val="both"/>
        <w:rPr>
          <w:rFonts w:cstheme="minorHAnsi"/>
        </w:rPr>
      </w:pPr>
      <w:r w:rsidRPr="007E77AF">
        <w:rPr>
          <w:rFonts w:cstheme="minorHAnsi"/>
        </w:rPr>
        <w:t>c)</w:t>
      </w:r>
      <w:r w:rsidRPr="007E77AF">
        <w:rPr>
          <w:rFonts w:cstheme="minorHAnsi"/>
        </w:rPr>
        <w:tab/>
      </w:r>
      <w:r>
        <w:rPr>
          <w:rFonts w:cstheme="minorHAnsi"/>
        </w:rPr>
        <w:t>obrigações que a oferta impõe quanto à persecução de objetivos “verdes”, “sociais”, “sustentáveis” ou termos correlatos, conforme metodologias, princípios ou diretrizes amplamente reconhecidos</w:t>
      </w:r>
      <w:r w:rsidRPr="007E77AF">
        <w:rPr>
          <w:rFonts w:cstheme="minorHAnsi"/>
        </w:rPr>
        <w:t>; e</w:t>
      </w:r>
    </w:p>
    <w:p w14:paraId="64380747" w14:textId="2D2B1105"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rsidRPr="007E77AF">
        <w:rPr>
          <w:rFonts w:cstheme="minorHAnsi"/>
        </w:rPr>
        <w:t>.</w:t>
      </w:r>
    </w:p>
    <w:p w14:paraId="547C08EE"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4.</w:t>
      </w:r>
      <w:r w:rsidRPr="007E77AF">
        <w:rPr>
          <w:rStyle w:val="normaltextrun"/>
          <w:rFonts w:ascii="Calibri" w:hAnsi="Calibri"/>
          <w:b/>
          <w:lang w:val="pt-BR"/>
        </w:rPr>
        <w:tab/>
        <w:t xml:space="preserve">Fatores de risco </w:t>
      </w:r>
    </w:p>
    <w:p w14:paraId="356F8002" w14:textId="6E3B218B"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Fonts w:cstheme="minorBidi"/>
          <w:lang w:val="pt-BR"/>
        </w:rPr>
        <w:t>Em ordem decrescente de relevância,</w:t>
      </w:r>
      <w:r w:rsidRPr="007E77AF">
        <w:rPr>
          <w:rStyle w:val="normaltextrun"/>
          <w:rFonts w:cstheme="minorBidi"/>
          <w:shd w:val="clear" w:color="auto" w:fill="FFFFFF"/>
          <w:lang w:val="pt-BR"/>
        </w:rPr>
        <w:t xml:space="preserve"> </w:t>
      </w:r>
      <w:r w:rsidRPr="007E77AF">
        <w:rPr>
          <w:rFonts w:cstheme="minorBidi"/>
          <w:lang w:val="pt-BR"/>
        </w:rPr>
        <w:t>os principais fatores de risco associados à oferta e ao emissor, incluindo</w:t>
      </w:r>
      <w:r w:rsidRPr="007E77AF">
        <w:rPr>
          <w:rStyle w:val="normaltextrun"/>
          <w:rFonts w:cstheme="minorBidi"/>
          <w:shd w:val="clear" w:color="auto" w:fill="FFFFFF"/>
          <w:lang w:val="pt-BR"/>
        </w:rPr>
        <w:t>:</w:t>
      </w:r>
    </w:p>
    <w:p w14:paraId="118E95A3"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os riscos associados a títulos quirografários, sem preferência ou subordinados, caso aplicável, e ao consequente impacto nos pagamentos aos investidores em caso de insolvência; e</w:t>
      </w:r>
    </w:p>
    <w:p w14:paraId="260F3794"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os riscos relacionados com o agente garantidor da dívida, se houver, na medida em que sejam relevantes para a sua capacidade de cumprir o seu compromisso nos termos da garantia.</w:t>
      </w:r>
    </w:p>
    <w:p w14:paraId="30D3E66F"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5.</w:t>
      </w:r>
      <w:r w:rsidRPr="007E77AF">
        <w:rPr>
          <w:rStyle w:val="normaltextrun"/>
          <w:rFonts w:ascii="Calibri" w:hAnsi="Calibri" w:cs="Calibri"/>
          <w:b/>
          <w:bCs/>
          <w:lang w:val="pt-BR"/>
        </w:rPr>
        <w:tab/>
      </w:r>
      <w:r w:rsidRPr="007E77AF">
        <w:rPr>
          <w:rStyle w:val="normaltextrun"/>
          <w:rFonts w:ascii="Calibri" w:hAnsi="Calibri"/>
          <w:b/>
          <w:lang w:val="pt-BR"/>
        </w:rPr>
        <w:t>Cronograma</w:t>
      </w:r>
      <w:r w:rsidRPr="007E77AF">
        <w:rPr>
          <w:rStyle w:val="normaltextrun"/>
          <w:rFonts w:ascii="Calibri" w:hAnsi="Calibri" w:cs="Calibri"/>
          <w:b/>
          <w:bCs/>
          <w:lang w:val="pt-BR"/>
        </w:rPr>
        <w:t xml:space="preserve"> </w:t>
      </w:r>
    </w:p>
    <w:p w14:paraId="4C3BF69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5.1.</w:t>
      </w:r>
      <w:r w:rsidRPr="007E77AF">
        <w:rPr>
          <w:rStyle w:val="normaltextrun"/>
          <w:rFonts w:ascii="Calibri" w:hAnsi="Calibri" w:cs="Calibri"/>
          <w:lang w:val="pt-BR"/>
        </w:rPr>
        <w:tab/>
        <w:t>Cronograma das etapas da oferta, destacando, no mínimo:</w:t>
      </w:r>
    </w:p>
    <w:p w14:paraId="337080AF" w14:textId="77777777" w:rsidR="009A242A" w:rsidRPr="007E77AF" w:rsidRDefault="009A242A" w:rsidP="001A5EBB">
      <w:pPr>
        <w:spacing w:before="120" w:after="120" w:line="312" w:lineRule="auto"/>
        <w:ind w:left="1069" w:hanging="360"/>
        <w:jc w:val="both"/>
        <w:rPr>
          <w:rFonts w:cstheme="minorHAnsi"/>
        </w:rPr>
      </w:pPr>
      <w:r w:rsidRPr="007E77AF">
        <w:rPr>
          <w:rStyle w:val="normaltextrun"/>
          <w:rFonts w:cstheme="minorHAnsi"/>
        </w:rPr>
        <w:t>a)</w:t>
      </w:r>
      <w:r w:rsidRPr="007E77AF">
        <w:rPr>
          <w:rStyle w:val="normaltextrun"/>
          <w:rFonts w:cstheme="minorHAnsi"/>
        </w:rPr>
        <w:tab/>
      </w:r>
      <w:r w:rsidRPr="007E77AF">
        <w:rPr>
          <w:rFonts w:cstheme="minorHAnsi"/>
        </w:rPr>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7E059462" w14:textId="4F09CDE5"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os prazos, condições e forma para: (i) manifestações de aceitação dos investidores interessados e de revogação da aceitação, (</w:t>
      </w:r>
      <w:proofErr w:type="spellStart"/>
      <w:r w:rsidRPr="007E77AF">
        <w:rPr>
          <w:rFonts w:cstheme="minorHAnsi"/>
        </w:rPr>
        <w:t>ii</w:t>
      </w:r>
      <w:proofErr w:type="spellEnd"/>
      <w:r w:rsidRPr="007E77AF">
        <w:rPr>
          <w:rFonts w:cstheme="minorHAnsi"/>
        </w:rPr>
        <w:t>) subscrição, integralização e entrega de respectivos certificados, conforme o caso, (</w:t>
      </w:r>
      <w:proofErr w:type="spellStart"/>
      <w:r w:rsidRPr="007E77AF">
        <w:rPr>
          <w:rFonts w:cstheme="minorHAnsi"/>
        </w:rPr>
        <w:t>iii</w:t>
      </w:r>
      <w:proofErr w:type="spellEnd"/>
      <w:r w:rsidRPr="007E77AF">
        <w:rPr>
          <w:rFonts w:cstheme="minorHAnsi"/>
        </w:rPr>
        <w:t xml:space="preserve">) distribuição junto ao público investidor em geral, </w:t>
      </w:r>
      <w:r w:rsidRPr="007E77AF">
        <w:rPr>
          <w:rFonts w:cstheme="minorHAnsi"/>
        </w:rPr>
        <w:lastRenderedPageBreak/>
        <w:t>(</w:t>
      </w:r>
      <w:proofErr w:type="spellStart"/>
      <w:r w:rsidRPr="007E77AF">
        <w:rPr>
          <w:rFonts w:cstheme="minorHAnsi"/>
        </w:rPr>
        <w:t>iv</w:t>
      </w:r>
      <w:proofErr w:type="spellEnd"/>
      <w:r w:rsidRPr="007E77AF">
        <w:rPr>
          <w:rFonts w:cstheme="minorHAnsi"/>
        </w:rPr>
        <w:t xml:space="preserve">) posterior alienação dos valores mobiliários adquiridos </w:t>
      </w:r>
      <w:r>
        <w:rPr>
          <w:rFonts w:cstheme="minorHAnsi"/>
        </w:rPr>
        <w:t>pelos coordenadores</w:t>
      </w:r>
      <w:r w:rsidRPr="007E77AF">
        <w:rPr>
          <w:rFonts w:cstheme="minorHAnsi"/>
        </w:rPr>
        <w:t xml:space="preserve"> em decorrência da prestação de garantia, (v) devolução e reembolso aos investidores, se for o caso, e (vi) quaisquer outras datas relativas à oferta pública de interesse para os investidores ou ao mercado em geral.</w:t>
      </w:r>
    </w:p>
    <w:p w14:paraId="371A798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6.</w:t>
      </w:r>
      <w:r w:rsidRPr="007E77AF">
        <w:rPr>
          <w:rStyle w:val="normaltextrun"/>
          <w:rFonts w:ascii="Calibri" w:hAnsi="Calibri" w:cs="Calibri"/>
          <w:b/>
          <w:bCs/>
          <w:lang w:val="pt-BR"/>
        </w:rPr>
        <w:tab/>
        <w:t>Restrições a direitos de investidores no contexto da oferta</w:t>
      </w:r>
    </w:p>
    <w:p w14:paraId="0DB3EDC2"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6.1.</w:t>
      </w:r>
      <w:r w:rsidRPr="007E77AF">
        <w:rPr>
          <w:rStyle w:val="normaltextrun"/>
          <w:rFonts w:ascii="Calibri" w:hAnsi="Calibri" w:cs="Calibri"/>
          <w:lang w:val="pt-BR"/>
        </w:rPr>
        <w:tab/>
        <w:t>Descrição de eventuais restrições à transferência dos títulos;</w:t>
      </w:r>
    </w:p>
    <w:p w14:paraId="4AB4DF2D"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6.2.</w:t>
      </w:r>
      <w:r w:rsidRPr="007E77AF">
        <w:rPr>
          <w:rStyle w:val="normaltextrun"/>
          <w:rFonts w:ascii="Calibri" w:hAnsi="Calibri" w:cs="Calibri"/>
          <w:lang w:val="pt-BR"/>
        </w:rPr>
        <w:tab/>
        <w:t>Declaração em destaque da inadequação do investimento, caso aplicável, especificando os tipos de investidores para os quais o investimento é considerado inadequado; e</w:t>
      </w:r>
    </w:p>
    <w:p w14:paraId="17E2A7ED" w14:textId="3952DBF1"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6.3.</w:t>
      </w:r>
      <w:r w:rsidRPr="007E77AF">
        <w:rPr>
          <w:rStyle w:val="normaltextrun"/>
          <w:rFonts w:eastAsiaTheme="minorEastAsia" w:cstheme="minorBidi"/>
          <w:lang w:val="pt-BR"/>
        </w:rPr>
        <w:tab/>
      </w:r>
      <w:r w:rsidRPr="007E77AF">
        <w:rPr>
          <w:rStyle w:val="normaltextrun"/>
          <w:rFonts w:ascii="Calibri" w:hAnsi="Calibri"/>
          <w:lang w:val="pt-BR"/>
        </w:rPr>
        <w:t xml:space="preserve">Esclarecimento sobre os procedimentos previstos nos </w:t>
      </w:r>
      <w:proofErr w:type="spellStart"/>
      <w:r w:rsidRPr="007E77AF">
        <w:rPr>
          <w:rStyle w:val="normaltextrun"/>
          <w:rFonts w:ascii="Calibri" w:hAnsi="Calibri"/>
          <w:lang w:val="pt-BR"/>
        </w:rPr>
        <w:t>arts</w:t>
      </w:r>
      <w:proofErr w:type="spellEnd"/>
      <w:r w:rsidRPr="007E77AF">
        <w:rPr>
          <w:rStyle w:val="normaltextrun"/>
          <w:rFonts w:ascii="Calibri" w:hAnsi="Calibri"/>
          <w:lang w:val="pt-BR"/>
        </w:rPr>
        <w:t xml:space="preserve">. </w:t>
      </w:r>
      <w:r w:rsidR="002576C5">
        <w:rPr>
          <w:rStyle w:val="normaltextrun"/>
          <w:rFonts w:ascii="Calibri" w:hAnsi="Calibri"/>
          <w:lang w:val="pt-BR"/>
        </w:rPr>
        <w:t>70</w:t>
      </w:r>
      <w:r w:rsidR="002576C5" w:rsidRPr="007E77AF">
        <w:rPr>
          <w:rStyle w:val="normaltextrun"/>
          <w:rFonts w:ascii="Calibri" w:hAnsi="Calibri"/>
          <w:lang w:val="pt-BR"/>
        </w:rPr>
        <w:t xml:space="preserve"> </w:t>
      </w:r>
      <w:r w:rsidRPr="007E77AF">
        <w:rPr>
          <w:rStyle w:val="normaltextrun"/>
          <w:rFonts w:ascii="Calibri" w:hAnsi="Calibri"/>
          <w:lang w:val="pt-BR"/>
        </w:rPr>
        <w:t xml:space="preserve">e </w:t>
      </w:r>
      <w:r w:rsidR="002576C5">
        <w:rPr>
          <w:rStyle w:val="normaltextrun"/>
          <w:rFonts w:ascii="Calibri" w:hAnsi="Calibri"/>
          <w:lang w:val="pt-BR"/>
        </w:rPr>
        <w:t>71</w:t>
      </w:r>
      <w:r w:rsidRPr="007E77AF">
        <w:rPr>
          <w:rStyle w:val="normaltextrun"/>
          <w:rFonts w:ascii="Calibri" w:hAnsi="Calibri"/>
          <w:lang w:val="pt-BR"/>
        </w:rPr>
        <w:t xml:space="preserve"> da Resolução a respeito da eventual modificação da oferta, notadamente quanto aos efeitos do silêncio do investidor.</w:t>
      </w:r>
    </w:p>
    <w:p w14:paraId="6D50FC1F"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7.</w:t>
      </w:r>
      <w:r w:rsidRPr="007E77AF">
        <w:rPr>
          <w:rStyle w:val="normaltextrun"/>
          <w:rFonts w:ascii="Calibri" w:hAnsi="Calibri"/>
          <w:b/>
          <w:lang w:val="pt-BR"/>
        </w:rPr>
        <w:tab/>
        <w:t>Outras características da oferta</w:t>
      </w:r>
    </w:p>
    <w:p w14:paraId="56E526F9" w14:textId="77777777" w:rsidR="009A242A" w:rsidRPr="007E77AF" w:rsidRDefault="009A242A" w:rsidP="00AB1251">
      <w:pPr>
        <w:pStyle w:val="paragraph"/>
        <w:spacing w:before="120" w:beforeAutospacing="0" w:after="120" w:afterAutospacing="0" w:line="312" w:lineRule="auto"/>
        <w:ind w:left="709" w:hanging="709"/>
        <w:jc w:val="both"/>
        <w:rPr>
          <w:rStyle w:val="normaltextrun"/>
          <w:lang w:val="pt-BR"/>
        </w:rPr>
      </w:pPr>
      <w:r w:rsidRPr="007E77AF">
        <w:rPr>
          <w:rStyle w:val="normaltextrun"/>
          <w:lang w:val="pt-BR"/>
        </w:rPr>
        <w:t>7.1.</w:t>
      </w:r>
      <w:r w:rsidRPr="007E77AF">
        <w:rPr>
          <w:rStyle w:val="normaltextrun"/>
          <w:lang w:val="pt-BR"/>
        </w:rPr>
        <w:tab/>
      </w:r>
      <w:r w:rsidRPr="007E77AF">
        <w:rPr>
          <w:rStyle w:val="normaltextrun"/>
          <w:rFonts w:cstheme="minorBidi"/>
          <w:lang w:val="pt-BR"/>
        </w:rPr>
        <w:t>Caso os títulos sejam conversíveis ou permutáveis em ações, incluir as informações dos itens 6 e 9 do Anexo A, quando aplicáveis.</w:t>
      </w:r>
    </w:p>
    <w:p w14:paraId="30150616" w14:textId="3ACC7E00"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7.2.</w:t>
      </w:r>
      <w:r w:rsidRPr="007E77AF">
        <w:rPr>
          <w:rStyle w:val="normaltextrun"/>
          <w:rFonts w:cstheme="minorBidi"/>
          <w:lang w:val="pt-BR"/>
        </w:rPr>
        <w:tab/>
        <w:t>Eventuais condições a que a oferta pública esteja submetida;</w:t>
      </w:r>
    </w:p>
    <w:p w14:paraId="3197357D" w14:textId="77777777" w:rsidR="009A242A" w:rsidRPr="007E77AF" w:rsidRDefault="009A242A" w:rsidP="00AB1251">
      <w:pPr>
        <w:pStyle w:val="paragraph"/>
        <w:spacing w:before="120" w:beforeAutospacing="0" w:after="120" w:afterAutospacing="0" w:line="312" w:lineRule="auto"/>
        <w:ind w:left="709" w:hanging="709"/>
        <w:jc w:val="both"/>
        <w:rPr>
          <w:rFonts w:eastAsiaTheme="minorEastAsia"/>
          <w:lang w:val="pt-BR"/>
        </w:rPr>
      </w:pPr>
      <w:r w:rsidRPr="007E77AF">
        <w:rPr>
          <w:rFonts w:eastAsiaTheme="minorEastAsia"/>
          <w:lang w:val="pt-BR"/>
        </w:rPr>
        <w:t>7.3.</w:t>
      </w:r>
      <w:r w:rsidRPr="007E77AF">
        <w:rPr>
          <w:rFonts w:eastAsiaTheme="minorEastAsia"/>
          <w:lang w:val="pt-BR"/>
        </w:rPr>
        <w:tab/>
      </w:r>
      <w:r w:rsidRPr="007E77AF">
        <w:rPr>
          <w:lang w:val="pt-BR"/>
        </w:rPr>
        <w:t>Eventual destinação da oferta pública ou partes da oferta pública a investidores específicos e a descrição destes investidores;</w:t>
      </w:r>
    </w:p>
    <w:p w14:paraId="10EBB86E"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7.4.</w:t>
      </w:r>
      <w:r w:rsidRPr="007E77AF">
        <w:rPr>
          <w:rStyle w:val="normaltextrun"/>
          <w:rFonts w:cstheme="minorBidi"/>
          <w:lang w:val="pt-BR"/>
        </w:rPr>
        <w:tab/>
        <w:t>Autorizações societárias necessárias à emissão ou distribuição dos títulos, identificando os órgãos deliberativos responsáveis e as respectivas reuniões em que foi aprovada a operação;</w:t>
      </w:r>
    </w:p>
    <w:p w14:paraId="3E0F1A6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7.5.</w:t>
      </w:r>
      <w:r w:rsidRPr="007E77AF">
        <w:rPr>
          <w:rStyle w:val="normaltextrun"/>
          <w:lang w:val="pt-BR"/>
        </w:rPr>
        <w:tab/>
        <w:t>Regime de distribuição;</w:t>
      </w:r>
    </w:p>
    <w:p w14:paraId="647464A3"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7.6.</w:t>
      </w:r>
      <w:r w:rsidRPr="007E77AF">
        <w:rPr>
          <w:rStyle w:val="normaltextrun"/>
          <w:rFonts w:cstheme="minorBidi"/>
          <w:lang w:val="pt-BR"/>
        </w:rPr>
        <w:tab/>
        <w:t>Dinâmica de coleta de intenções de investimento e determinação do preço ou taxa;</w:t>
      </w:r>
    </w:p>
    <w:p w14:paraId="6045BA2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7.7.</w:t>
      </w:r>
      <w:r w:rsidRPr="007E77AF">
        <w:rPr>
          <w:rStyle w:val="normaltextrun"/>
          <w:rFonts w:cstheme="minorBidi"/>
          <w:lang w:val="pt-BR"/>
        </w:rPr>
        <w:tab/>
        <w:t>Admissão à negociação em mercado organizado de bolsa ou balcão;</w:t>
      </w:r>
    </w:p>
    <w:p w14:paraId="6E03241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7.8.</w:t>
      </w:r>
      <w:r w:rsidRPr="007E77AF">
        <w:rPr>
          <w:rStyle w:val="normaltextrun"/>
          <w:lang w:val="pt-BR"/>
        </w:rPr>
        <w:tab/>
        <w:t>Formador de mercado;</w:t>
      </w:r>
    </w:p>
    <w:p w14:paraId="098C497F"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7.9.</w:t>
      </w:r>
      <w:r w:rsidRPr="007E77AF">
        <w:rPr>
          <w:rStyle w:val="normaltextrun"/>
          <w:rFonts w:eastAsiaTheme="minorEastAsia" w:cstheme="minorBidi"/>
          <w:lang w:val="pt-BR"/>
        </w:rPr>
        <w:tab/>
      </w:r>
      <w:r w:rsidRPr="007E77AF">
        <w:rPr>
          <w:rStyle w:val="normaltextrun"/>
          <w:rFonts w:cstheme="minorBidi"/>
          <w:lang w:val="pt-BR"/>
        </w:rPr>
        <w:t>Fundo de liquidez e estabilização, se houver; e</w:t>
      </w:r>
    </w:p>
    <w:p w14:paraId="65EC370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7.10.</w:t>
      </w:r>
      <w:r w:rsidRPr="007E77AF">
        <w:rPr>
          <w:rStyle w:val="normaltextrun"/>
          <w:rFonts w:cstheme="minorBidi"/>
          <w:lang w:val="pt-BR"/>
        </w:rPr>
        <w:tab/>
      </w:r>
      <w:r w:rsidRPr="007E77AF">
        <w:rPr>
          <w:rStyle w:val="normaltextrun"/>
          <w:rFonts w:eastAsia="Calibri" w:cstheme="minorBidi"/>
          <w:lang w:val="pt-BR"/>
        </w:rPr>
        <w:t>Requisitos ou exigências mínimas de investimento, caso existam.</w:t>
      </w:r>
    </w:p>
    <w:p w14:paraId="3207A943"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8.</w:t>
      </w:r>
      <w:r w:rsidRPr="007E77AF">
        <w:rPr>
          <w:rStyle w:val="normaltextrun"/>
          <w:rFonts w:ascii="Calibri" w:hAnsi="Calibri"/>
          <w:b/>
          <w:lang w:val="pt-BR"/>
        </w:rPr>
        <w:tab/>
        <w:t>Relacionamentos e conflito de interesses</w:t>
      </w:r>
    </w:p>
    <w:p w14:paraId="6AF53F23" w14:textId="7C2DB0E0" w:rsidR="009A242A" w:rsidRPr="00C67B81" w:rsidRDefault="009A242A" w:rsidP="00C67B81">
      <w:pPr>
        <w:tabs>
          <w:tab w:val="left" w:pos="709"/>
        </w:tabs>
        <w:spacing w:before="120" w:after="120" w:line="312" w:lineRule="auto"/>
        <w:ind w:left="709" w:hanging="709"/>
        <w:jc w:val="both"/>
      </w:pPr>
      <w:r w:rsidRPr="001506B1">
        <w:rPr>
          <w:rStyle w:val="normaltextrun"/>
          <w:rFonts w:eastAsia="Calibri"/>
        </w:rPr>
        <w:t>8.1.</w:t>
      </w:r>
      <w:r w:rsidRPr="001506B1">
        <w:rPr>
          <w:rStyle w:val="normaltextrun"/>
          <w:rFonts w:eastAsia="Calibri"/>
        </w:rPr>
        <w:tab/>
      </w:r>
      <w:r w:rsidRPr="00C67B81">
        <w:t xml:space="preserve">Descrição </w:t>
      </w:r>
      <w:r>
        <w:t>dos relacionamentos relevantes</w:t>
      </w:r>
      <w:r w:rsidRPr="00C67B81">
        <w:t xml:space="preserve"> existentes entre coordenadores e sociedades do seu grupo econômico e cada um dos ofertantes e sociedades do seu grupo econômico, </w:t>
      </w:r>
      <w:r>
        <w:t>contemplando</w:t>
      </w:r>
      <w:r w:rsidRPr="00C67B81">
        <w:t>:</w:t>
      </w:r>
    </w:p>
    <w:p w14:paraId="5D840CB6" w14:textId="6E630818" w:rsidR="009A242A" w:rsidRDefault="009A242A" w:rsidP="00584856">
      <w:pPr>
        <w:tabs>
          <w:tab w:val="left" w:pos="709"/>
        </w:tabs>
        <w:spacing w:before="120" w:after="120" w:line="312" w:lineRule="auto"/>
        <w:ind w:left="709" w:hanging="709"/>
        <w:jc w:val="both"/>
        <w:rPr>
          <w:rFonts w:cstheme="minorBidi"/>
        </w:rPr>
      </w:pPr>
      <w:r w:rsidRPr="007E77AF">
        <w:rPr>
          <w:rFonts w:cstheme="minorBidi"/>
        </w:rPr>
        <w:lastRenderedPageBreak/>
        <w:tab/>
      </w:r>
      <w:r w:rsidRPr="00C67B81">
        <w:t xml:space="preserve">a) </w:t>
      </w:r>
      <w:r>
        <w:rPr>
          <w:rFonts w:cstheme="minorBidi"/>
        </w:rPr>
        <w:t>vínculos societários existentes;</w:t>
      </w:r>
    </w:p>
    <w:p w14:paraId="2DE88AA5" w14:textId="520A8A7C" w:rsidR="009A242A" w:rsidRPr="00C67B81" w:rsidRDefault="009A242A" w:rsidP="00C67B81">
      <w:pPr>
        <w:tabs>
          <w:tab w:val="left" w:pos="709"/>
        </w:tabs>
        <w:spacing w:before="120" w:after="120" w:line="312" w:lineRule="auto"/>
        <w:ind w:left="709" w:hanging="709"/>
        <w:jc w:val="both"/>
      </w:pPr>
      <w:r>
        <w:rPr>
          <w:rFonts w:cstheme="minorBidi"/>
        </w:rPr>
        <w:tab/>
        <w:t xml:space="preserve">b) </w:t>
      </w:r>
      <w:r w:rsidRPr="007E77AF">
        <w:rPr>
          <w:rFonts w:cstheme="minorBidi"/>
        </w:rPr>
        <w:t>financiamento</w:t>
      </w:r>
      <w:r>
        <w:rPr>
          <w:rFonts w:cstheme="minorBidi"/>
        </w:rPr>
        <w:t>s,</w:t>
      </w:r>
      <w:r w:rsidRPr="007E77AF">
        <w:rPr>
          <w:rFonts w:cstheme="minorBidi"/>
        </w:rPr>
        <w:t xml:space="preserve"> </w:t>
      </w:r>
      <w:r>
        <w:rPr>
          <w:rFonts w:cstheme="minorBidi"/>
        </w:rPr>
        <w:t>existentes</w:t>
      </w:r>
      <w:r w:rsidRPr="00C67B81">
        <w:t xml:space="preserve"> ou</w:t>
      </w:r>
      <w:r>
        <w:rPr>
          <w:rFonts w:cstheme="minorBidi"/>
        </w:rPr>
        <w:t xml:space="preserve"> que tenham sido liquidados nos 12 (doze) meses anteriores, e que tenham influenciado na contratação dos coordenadores para atuarem na oferta</w:t>
      </w:r>
      <w:r w:rsidRPr="007E77AF">
        <w:rPr>
          <w:rFonts w:cstheme="minorBidi"/>
        </w:rPr>
        <w:t xml:space="preserve">; </w:t>
      </w:r>
      <w:r w:rsidR="00E406F5">
        <w:rPr>
          <w:rFonts w:cstheme="minorBidi"/>
        </w:rPr>
        <w:t>e</w:t>
      </w:r>
    </w:p>
    <w:p w14:paraId="4D1B9E54" w14:textId="35A053B6" w:rsidR="009A242A" w:rsidRDefault="009A242A" w:rsidP="00AB1251">
      <w:pPr>
        <w:pStyle w:val="paragraph"/>
        <w:spacing w:before="120" w:beforeAutospacing="0" w:after="120" w:afterAutospacing="0" w:line="312" w:lineRule="auto"/>
        <w:ind w:left="709" w:hanging="709"/>
        <w:jc w:val="both"/>
        <w:textAlignment w:val="baseline"/>
        <w:rPr>
          <w:lang w:val="pt-BR"/>
        </w:rPr>
      </w:pPr>
      <w:r w:rsidRPr="00E768E4">
        <w:rPr>
          <w:rFonts w:cstheme="minorBidi"/>
          <w:lang w:val="pt-BR"/>
        </w:rPr>
        <w:tab/>
        <w:t>c)</w:t>
      </w:r>
      <w:r w:rsidRPr="00E768E4">
        <w:rPr>
          <w:lang w:val="pt-BR"/>
        </w:rPr>
        <w:t xml:space="preserve"> indicação sucinta das transações comerciais vigentes nos 12 (doze) meses anteriores e o montante agregado envolvido nessas transações</w:t>
      </w:r>
      <w:r w:rsidR="0016373A">
        <w:rPr>
          <w:lang w:val="pt-BR"/>
        </w:rPr>
        <w:t>.</w:t>
      </w:r>
    </w:p>
    <w:p w14:paraId="3795D3CF" w14:textId="1EAF7522"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Calibri" w:cstheme="minorBidi"/>
          <w:lang w:val="pt-BR"/>
        </w:rPr>
      </w:pPr>
      <w:r w:rsidRPr="007E77AF">
        <w:rPr>
          <w:rStyle w:val="normaltextrun"/>
          <w:rFonts w:eastAsia="Calibri" w:cstheme="minorBidi"/>
          <w:lang w:val="pt-BR"/>
        </w:rPr>
        <w:t>8.</w:t>
      </w:r>
      <w:r>
        <w:rPr>
          <w:rStyle w:val="normaltextrun"/>
          <w:rFonts w:eastAsia="Calibri" w:cstheme="minorBidi"/>
          <w:lang w:val="pt-BR"/>
        </w:rPr>
        <w:t>2</w:t>
      </w:r>
      <w:r w:rsidRPr="007E77AF">
        <w:rPr>
          <w:rStyle w:val="normaltextrun"/>
          <w:rFonts w:eastAsia="Calibri" w:cstheme="minorBidi"/>
          <w:lang w:val="pt-BR"/>
        </w:rPr>
        <w:t>.</w:t>
      </w:r>
      <w:r w:rsidRPr="007E77AF">
        <w:rPr>
          <w:rStyle w:val="normaltextrun"/>
          <w:rFonts w:eastAsia="Calibri" w:cstheme="minorBidi"/>
          <w:lang w:val="pt-BR"/>
        </w:rPr>
        <w:tab/>
      </w:r>
      <w:r w:rsidRPr="007E77AF">
        <w:rPr>
          <w:rStyle w:val="normaltextrun"/>
          <w:rFonts w:eastAsia="Calibri"/>
          <w:lang w:val="pt-BR"/>
        </w:rPr>
        <w:t>Em relação ao item 3.5, quando aplicável, apresentação: (i) das razões que justificam a operação; e (</w:t>
      </w:r>
      <w:proofErr w:type="spellStart"/>
      <w:r w:rsidRPr="007E77AF">
        <w:rPr>
          <w:rStyle w:val="normaltextrun"/>
          <w:rFonts w:eastAsia="Calibri"/>
          <w:lang w:val="pt-BR"/>
        </w:rPr>
        <w:t>ii</w:t>
      </w:r>
      <w:proofErr w:type="spellEnd"/>
      <w:r w:rsidRPr="007E77AF">
        <w:rPr>
          <w:rStyle w:val="normaltextrun"/>
          <w:rFonts w:eastAsia="Calibri"/>
          <w:lang w:val="pt-BR"/>
        </w:rPr>
        <w:t>) da manifestação do credor acerca de potencial conflito de interesse decorrente de sua participação na oferta.</w:t>
      </w:r>
    </w:p>
    <w:p w14:paraId="09EB7722"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9.</w:t>
      </w:r>
      <w:r w:rsidRPr="007E77AF">
        <w:rPr>
          <w:rStyle w:val="normaltextrun"/>
          <w:rFonts w:ascii="Calibri" w:hAnsi="Calibri" w:cs="Calibri"/>
          <w:b/>
          <w:bCs/>
          <w:lang w:val="pt-BR"/>
        </w:rPr>
        <w:tab/>
        <w:t>Contrato de distribuição de valores mobiliários</w:t>
      </w:r>
    </w:p>
    <w:p w14:paraId="2945F90B" w14:textId="6C1E6EFA"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9.1.</w:t>
      </w:r>
      <w:r w:rsidRPr="007E77AF">
        <w:rPr>
          <w:rStyle w:val="normaltextrun"/>
          <w:rFonts w:ascii="Calibri" w:hAnsi="Calibri" w:cs="Calibri"/>
          <w:lang w:val="pt-BR"/>
        </w:rPr>
        <w:tab/>
        <w:t>Condições do contrato de distribuição no que concerne à distribuição dos valores mobiliários junto ao público investidor em geral e eventual garantia de subscrição prestada pelo</w:t>
      </w:r>
      <w:r>
        <w:rPr>
          <w:rStyle w:val="normaltextrun"/>
          <w:rFonts w:ascii="Calibri" w:hAnsi="Calibri" w:cs="Calibri"/>
          <w:lang w:val="pt-BR"/>
        </w:rPr>
        <w:t>s coordenadores</w:t>
      </w:r>
      <w:r w:rsidRPr="007E77AF">
        <w:rPr>
          <w:rStyle w:val="normaltextrun"/>
          <w:rFonts w:ascii="Calibri" w:hAnsi="Calibri" w:cs="Calibri"/>
          <w:lang w:val="pt-BR"/>
        </w:rPr>
        <w:t xml:space="preserve"> e </w:t>
      </w:r>
      <w:r w:rsidR="004D2620">
        <w:rPr>
          <w:rStyle w:val="normaltextrun"/>
          <w:rFonts w:ascii="Calibri" w:hAnsi="Calibri" w:cs="Calibri"/>
          <w:lang w:val="pt-BR"/>
        </w:rPr>
        <w:t xml:space="preserve">demais </w:t>
      </w:r>
      <w:r w:rsidRPr="007E77AF">
        <w:rPr>
          <w:rStyle w:val="normaltextrun"/>
          <w:rFonts w:ascii="Calibri" w:hAnsi="Calibri" w:cs="Calibr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7C6FDC7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9.2.</w:t>
      </w:r>
      <w:r w:rsidRPr="007E77AF">
        <w:rPr>
          <w:rStyle w:val="normaltextrun"/>
          <w:rFonts w:ascii="Calibri" w:hAnsi="Calibri" w:cs="Calibri"/>
          <w:lang w:val="pt-BR"/>
        </w:rPr>
        <w:tab/>
        <w:t>Demonstrativo do custo da distribuição, discriminando:</w:t>
      </w:r>
    </w:p>
    <w:p w14:paraId="6A6A5171"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a porcentagem em relação ao preço unitário de subscrição;</w:t>
      </w:r>
    </w:p>
    <w:p w14:paraId="0BC35883"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a comissão de coordenação;</w:t>
      </w:r>
    </w:p>
    <w:p w14:paraId="602741C0" w14:textId="77777777" w:rsidR="009A242A" w:rsidRPr="007E77AF" w:rsidRDefault="009A242A" w:rsidP="001A5EBB">
      <w:pPr>
        <w:spacing w:before="120" w:after="120" w:line="312" w:lineRule="auto"/>
        <w:ind w:left="1069" w:hanging="360"/>
        <w:jc w:val="both"/>
        <w:rPr>
          <w:rFonts w:cstheme="minorHAnsi"/>
        </w:rPr>
      </w:pPr>
      <w:r w:rsidRPr="007E77AF">
        <w:t>c)</w:t>
      </w:r>
      <w:r w:rsidRPr="007E77AF">
        <w:tab/>
      </w:r>
      <w:r w:rsidRPr="007E77AF">
        <w:rPr>
          <w:rFonts w:cstheme="minorHAnsi"/>
        </w:rPr>
        <w:t>a comissão de distribuição;</w:t>
      </w:r>
    </w:p>
    <w:p w14:paraId="5D124A60" w14:textId="77777777"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7E77AF">
        <w:rPr>
          <w:rFonts w:cstheme="minorHAnsi"/>
        </w:rPr>
        <w:t>a comissão de garantia de subscrição;</w:t>
      </w:r>
    </w:p>
    <w:p w14:paraId="21BC26BC" w14:textId="77777777" w:rsidR="009A242A" w:rsidRPr="007E77AF" w:rsidRDefault="009A242A" w:rsidP="001A5EBB">
      <w:pPr>
        <w:spacing w:before="120" w:after="120" w:line="312" w:lineRule="auto"/>
        <w:ind w:left="1069" w:hanging="360"/>
        <w:jc w:val="both"/>
        <w:rPr>
          <w:rFonts w:cstheme="minorHAnsi"/>
        </w:rPr>
      </w:pPr>
      <w:r w:rsidRPr="007E77AF">
        <w:t>e)</w:t>
      </w:r>
      <w:r w:rsidRPr="007E77AF">
        <w:tab/>
      </w:r>
      <w:r w:rsidRPr="007E77AF">
        <w:rPr>
          <w:rFonts w:cstheme="minorHAnsi"/>
        </w:rPr>
        <w:t>outras comissões (especificar);</w:t>
      </w:r>
    </w:p>
    <w:p w14:paraId="4A26B650" w14:textId="796F91A2" w:rsidR="009A242A" w:rsidRPr="007E77AF" w:rsidRDefault="009A242A" w:rsidP="001A5EBB">
      <w:pPr>
        <w:spacing w:before="120" w:after="120" w:line="312" w:lineRule="auto"/>
        <w:ind w:left="1069" w:hanging="360"/>
        <w:jc w:val="both"/>
        <w:rPr>
          <w:rFonts w:cstheme="minorHAnsi"/>
        </w:rPr>
      </w:pPr>
      <w:r w:rsidRPr="007E77AF">
        <w:t>f)</w:t>
      </w:r>
      <w:r w:rsidRPr="007E77AF">
        <w:tab/>
      </w:r>
      <w:r w:rsidRPr="007E77AF">
        <w:rPr>
          <w:rFonts w:cstheme="minorHAnsi"/>
        </w:rPr>
        <w:t>os tributos incidentes sobre as comissões, caso estes sejam arcados pela companhia emissora;</w:t>
      </w:r>
    </w:p>
    <w:p w14:paraId="4A2D07DC" w14:textId="77777777" w:rsidR="009A242A" w:rsidRPr="007E77AF" w:rsidRDefault="009A242A" w:rsidP="001A5EBB">
      <w:pPr>
        <w:spacing w:before="120" w:after="120" w:line="312" w:lineRule="auto"/>
        <w:ind w:left="1069" w:hanging="360"/>
        <w:jc w:val="both"/>
        <w:rPr>
          <w:rFonts w:cstheme="minorHAnsi"/>
        </w:rPr>
      </w:pPr>
      <w:r w:rsidRPr="007E77AF">
        <w:t>g)</w:t>
      </w:r>
      <w:r w:rsidRPr="007E77AF">
        <w:tab/>
      </w:r>
      <w:r w:rsidRPr="007E77AF">
        <w:rPr>
          <w:rFonts w:cstheme="minorHAnsi"/>
        </w:rPr>
        <w:t>o custo unitário de distribuição;</w:t>
      </w:r>
    </w:p>
    <w:p w14:paraId="3C9352DF" w14:textId="77777777" w:rsidR="009A242A" w:rsidRPr="007E77AF" w:rsidRDefault="009A242A" w:rsidP="001A5EBB">
      <w:pPr>
        <w:spacing w:before="120" w:after="120" w:line="312" w:lineRule="auto"/>
        <w:ind w:left="1069" w:hanging="360"/>
        <w:jc w:val="both"/>
        <w:rPr>
          <w:rFonts w:cstheme="minorHAnsi"/>
        </w:rPr>
      </w:pPr>
      <w:r w:rsidRPr="007E77AF">
        <w:t>h)</w:t>
      </w:r>
      <w:r w:rsidRPr="007E77AF">
        <w:tab/>
      </w:r>
      <w:r w:rsidRPr="007E77AF">
        <w:rPr>
          <w:rFonts w:cstheme="minorHAnsi"/>
        </w:rPr>
        <w:t>as despesas decorrentes do registro de distribuição; e</w:t>
      </w:r>
    </w:p>
    <w:p w14:paraId="7ADF0794" w14:textId="77777777" w:rsidR="009A242A" w:rsidRPr="007E77AF" w:rsidRDefault="009A242A" w:rsidP="001A5EBB">
      <w:pPr>
        <w:spacing w:before="120" w:after="120" w:line="312" w:lineRule="auto"/>
        <w:ind w:left="1069" w:hanging="360"/>
        <w:jc w:val="both"/>
        <w:rPr>
          <w:rFonts w:cstheme="minorHAnsi"/>
        </w:rPr>
      </w:pPr>
      <w:r w:rsidRPr="007E77AF">
        <w:t>i)</w:t>
      </w:r>
      <w:r w:rsidRPr="007E77AF">
        <w:tab/>
      </w:r>
      <w:r w:rsidRPr="007E77AF">
        <w:rPr>
          <w:rFonts w:cstheme="minorHAnsi"/>
        </w:rPr>
        <w:t>outros custos relacionados.</w:t>
      </w:r>
    </w:p>
    <w:p w14:paraId="5932BF69"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10.</w:t>
      </w:r>
      <w:r w:rsidRPr="007E77AF">
        <w:rPr>
          <w:rStyle w:val="normaltextrun"/>
          <w:rFonts w:ascii="Calibri" w:hAnsi="Calibri" w:cs="Calibri"/>
          <w:b/>
          <w:bCs/>
          <w:lang w:val="pt-BR"/>
        </w:rPr>
        <w:tab/>
        <w:t>Informações relativas ao terceiro prestador de garantia</w:t>
      </w:r>
    </w:p>
    <w:p w14:paraId="0AE608B9"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10.1.</w:t>
      </w:r>
      <w:r w:rsidRPr="007E77AF">
        <w:rPr>
          <w:rStyle w:val="normaltextrun"/>
          <w:rFonts w:ascii="Calibri" w:hAnsi="Calibri" w:cs="Calibri"/>
          <w:lang w:val="pt-BR"/>
        </w:rPr>
        <w:tab/>
        <w:t>Denominação social, CNPJ, sede e objeto social; e</w:t>
      </w:r>
    </w:p>
    <w:p w14:paraId="35E95210"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lastRenderedPageBreak/>
        <w:t>10.2.</w:t>
      </w:r>
      <w:r w:rsidRPr="007E77AF">
        <w:rPr>
          <w:rStyle w:val="normaltextrun"/>
          <w:rFonts w:eastAsiaTheme="minorEastAsia" w:cstheme="minorBidi"/>
          <w:lang w:val="pt-BR"/>
        </w:rPr>
        <w:tab/>
      </w:r>
      <w:r w:rsidRPr="007E77AF">
        <w:rPr>
          <w:rStyle w:val="normaltextrun"/>
          <w:rFonts w:ascii="Calibri" w:hAnsi="Calibri" w:cs="Calibri"/>
          <w:lang w:val="pt-BR"/>
        </w:rPr>
        <w:t xml:space="preserve">Informações descritas nos </w:t>
      </w:r>
      <w:proofErr w:type="gramStart"/>
      <w:r w:rsidRPr="007E77AF">
        <w:rPr>
          <w:rStyle w:val="normaltextrun"/>
          <w:rFonts w:ascii="Calibri" w:hAnsi="Calibri" w:cs="Calibri"/>
          <w:lang w:val="pt-BR"/>
        </w:rPr>
        <w:t>itens  1.1</w:t>
      </w:r>
      <w:proofErr w:type="gramEnd"/>
      <w:r w:rsidRPr="007E77AF">
        <w:rPr>
          <w:rStyle w:val="normaltextrun"/>
          <w:rFonts w:ascii="Calibri" w:hAnsi="Calibri" w:cs="Calibri"/>
          <w:lang w:val="pt-BR"/>
        </w:rPr>
        <w:t>, 1.2, 1.11, 1.14, 6.1, 7.1, 8.2, 11.2, 12.1 e 12.3 do formulário de referência.</w:t>
      </w:r>
      <w:bookmarkStart w:id="369" w:name="_DV_M779"/>
      <w:bookmarkEnd w:id="369"/>
    </w:p>
    <w:p w14:paraId="52FDF3C6"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11.</w:t>
      </w:r>
      <w:r w:rsidRPr="007E77AF">
        <w:rPr>
          <w:rStyle w:val="normaltextrun"/>
          <w:rFonts w:ascii="Calibri" w:hAnsi="Calibri" w:cs="Calibri"/>
          <w:b/>
          <w:bCs/>
          <w:lang w:val="pt-BR"/>
        </w:rPr>
        <w:tab/>
        <w:t>Documentos ou informações incorporados ao prospecto por referência ou como anexos</w:t>
      </w:r>
    </w:p>
    <w:p w14:paraId="737DC31A" w14:textId="63820902"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11.1.</w:t>
      </w:r>
      <w:r w:rsidRPr="007E77AF">
        <w:rPr>
          <w:rStyle w:val="normaltextrun"/>
          <w:rFonts w:ascii="Calibri" w:hAnsi="Calibri" w:cs="Calibri"/>
          <w:lang w:val="pt-BR"/>
        </w:rPr>
        <w:tab/>
        <w:t>Último</w:t>
      </w:r>
      <w:r w:rsidR="00597742">
        <w:rPr>
          <w:rStyle w:val="normaltextrun"/>
          <w:rFonts w:ascii="Calibri" w:hAnsi="Calibri" w:cs="Calibri"/>
          <w:lang w:val="pt-BR"/>
        </w:rPr>
        <w:t xml:space="preserve"> </w:t>
      </w:r>
      <w:r w:rsidRPr="007E77AF">
        <w:rPr>
          <w:rStyle w:val="normaltextrun"/>
          <w:rFonts w:ascii="Calibri" w:hAnsi="Calibri" w:cs="Calibri"/>
          <w:lang w:val="pt-BR"/>
        </w:rPr>
        <w:t>formulário de referência</w:t>
      </w:r>
      <w:r w:rsidR="00597742">
        <w:rPr>
          <w:rStyle w:val="normaltextrun"/>
          <w:rFonts w:ascii="Calibri" w:hAnsi="Calibri" w:cs="Calibri"/>
          <w:lang w:val="pt-BR"/>
        </w:rPr>
        <w:t xml:space="preserve"> </w:t>
      </w:r>
      <w:r w:rsidRPr="007E77AF">
        <w:rPr>
          <w:rStyle w:val="normaltextrun"/>
          <w:rFonts w:ascii="Calibri" w:hAnsi="Calibri" w:cs="Calibri"/>
          <w:lang w:val="pt-BR"/>
        </w:rPr>
        <w:t>entregue pelo emissor;</w:t>
      </w:r>
    </w:p>
    <w:p w14:paraId="3AB2A3EC" w14:textId="262F1FF6"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11.2.</w:t>
      </w:r>
      <w:r w:rsidRPr="007E77AF">
        <w:rPr>
          <w:rStyle w:val="normaltextrun"/>
          <w:rFonts w:ascii="Calibri" w:hAnsi="Calibri" w:cs="Calibri"/>
          <w:lang w:val="pt-BR"/>
        </w:rPr>
        <w:tab/>
        <w:t>Últimas informações trimestrais,</w:t>
      </w:r>
      <w:r w:rsidR="00597742">
        <w:rPr>
          <w:rStyle w:val="normaltextrun"/>
          <w:rFonts w:ascii="Calibri" w:hAnsi="Calibri" w:cs="Calibri"/>
          <w:lang w:val="pt-BR"/>
        </w:rPr>
        <w:t xml:space="preserve"> </w:t>
      </w:r>
      <w:r w:rsidRPr="007E77AF">
        <w:rPr>
          <w:rStyle w:val="normaltextrun"/>
          <w:rFonts w:ascii="Calibri" w:hAnsi="Calibri" w:cs="Calibri"/>
          <w:lang w:val="pt-BR"/>
        </w:rPr>
        <w:t>demonstrações financeiras</w:t>
      </w:r>
      <w:r w:rsidR="00597742">
        <w:rPr>
          <w:rStyle w:val="normaltextrun"/>
          <w:rFonts w:ascii="Calibri" w:hAnsi="Calibri" w:cs="Calibri"/>
          <w:lang w:val="pt-BR"/>
        </w:rPr>
        <w:t xml:space="preserve"> </w:t>
      </w:r>
      <w:r w:rsidRPr="007E77AF">
        <w:rPr>
          <w:rStyle w:val="normaltextrun"/>
          <w:rFonts w:ascii="Calibri" w:hAnsi="Calibri" w:cs="Calibri"/>
          <w:lang w:val="pt-BR"/>
        </w:rPr>
        <w:t>relativas aos 3 (três) últimos exercícios sociais encerrados,</w:t>
      </w:r>
      <w:r w:rsidR="00597742">
        <w:rPr>
          <w:rStyle w:val="normaltextrun"/>
          <w:rFonts w:ascii="Calibri" w:hAnsi="Calibri" w:cs="Calibri"/>
          <w:lang w:val="pt-BR"/>
        </w:rPr>
        <w:t xml:space="preserve"> </w:t>
      </w:r>
      <w:r w:rsidRPr="007E77AF">
        <w:rPr>
          <w:rStyle w:val="normaltextrun"/>
          <w:rFonts w:ascii="Calibri" w:hAnsi="Calibri" w:cs="Calibri"/>
          <w:lang w:val="pt-BR"/>
        </w:rPr>
        <w:t>com os respectivos pareceres dos auditores independentes</w:t>
      </w:r>
      <w:r w:rsidR="00597742">
        <w:rPr>
          <w:rStyle w:val="normaltextrun"/>
          <w:rFonts w:ascii="Calibri" w:hAnsi="Calibri" w:cs="Calibri"/>
          <w:lang w:val="pt-BR"/>
        </w:rPr>
        <w:t xml:space="preserve"> </w:t>
      </w:r>
      <w:r w:rsidRPr="007E77AF">
        <w:rPr>
          <w:rStyle w:val="normaltextrun"/>
          <w:rFonts w:ascii="Calibri" w:hAnsi="Calibri" w:cs="Calibri"/>
          <w:lang w:val="pt-BR"/>
        </w:rPr>
        <w:t>e eventos subsequentes</w:t>
      </w:r>
      <w:r w:rsidRPr="007E77AF">
        <w:rPr>
          <w:lang w:val="pt-BR"/>
        </w:rPr>
        <w:t>, exceto quando o emissor não as possua por não ter iniciado suas atividades previamente ao referido período</w:t>
      </w:r>
      <w:r w:rsidRPr="007E77AF">
        <w:rPr>
          <w:rStyle w:val="normaltextrun"/>
          <w:rFonts w:ascii="Calibri" w:hAnsi="Calibri" w:cs="Calibri"/>
          <w:lang w:val="pt-BR"/>
        </w:rPr>
        <w:t>;</w:t>
      </w:r>
    </w:p>
    <w:p w14:paraId="724768B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11.3.</w:t>
      </w:r>
      <w:r w:rsidRPr="007E77AF">
        <w:rPr>
          <w:rStyle w:val="normaltextrun"/>
          <w:rFonts w:ascii="Calibri" w:hAnsi="Calibri" w:cs="Calibri"/>
          <w:lang w:val="pt-BR"/>
        </w:rPr>
        <w:tab/>
        <w:t>Ata da assembleia geral extraordinária ou da reunião do conselho de administração que deliberou a emissão;</w:t>
      </w:r>
    </w:p>
    <w:p w14:paraId="3889992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11.4.</w:t>
      </w:r>
      <w:r w:rsidRPr="007E77AF">
        <w:rPr>
          <w:rStyle w:val="normaltextrun"/>
          <w:rFonts w:ascii="Calibri" w:hAnsi="Calibri" w:cs="Calibri"/>
          <w:lang w:val="pt-BR"/>
        </w:rPr>
        <w:tab/>
        <w:t>Estatuto social atualizado do emissor; e</w:t>
      </w:r>
    </w:p>
    <w:p w14:paraId="11C5A1D3"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11.5.</w:t>
      </w:r>
      <w:r w:rsidRPr="007E77AF">
        <w:rPr>
          <w:rStyle w:val="normaltextrun"/>
          <w:rFonts w:ascii="Calibri" w:hAnsi="Calibri"/>
          <w:lang w:val="pt-BR"/>
        </w:rPr>
        <w:tab/>
        <w:t>Escritura de emissão.</w:t>
      </w:r>
    </w:p>
    <w:p w14:paraId="65DDCCA7"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12.</w:t>
      </w:r>
      <w:r w:rsidRPr="007E77AF">
        <w:rPr>
          <w:rStyle w:val="normaltextrun"/>
          <w:rFonts w:ascii="Calibri" w:hAnsi="Calibri"/>
          <w:b/>
          <w:lang w:val="pt-BR"/>
        </w:rPr>
        <w:tab/>
        <w:t>Identificação das pessoas envolvidas</w:t>
      </w:r>
    </w:p>
    <w:p w14:paraId="09011AEE"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12.1.</w:t>
      </w:r>
      <w:r w:rsidRPr="007E77AF">
        <w:rPr>
          <w:rStyle w:val="normaltextrun"/>
          <w:rFonts w:ascii="Calibri" w:hAnsi="Calibri" w:cs="Calibri"/>
          <w:lang w:val="pt-BR"/>
        </w:rPr>
        <w:tab/>
        <w:t>Denominação social, endereço comercial, endereço eletrônico e telefones de contato do ofertante;</w:t>
      </w:r>
    </w:p>
    <w:p w14:paraId="0A72E46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12.2.</w:t>
      </w:r>
      <w:r w:rsidRPr="007E77AF">
        <w:rPr>
          <w:rStyle w:val="normaltextrun"/>
          <w:rFonts w:ascii="Calibri" w:hAnsi="Calibri" w:cs="Calibri"/>
          <w:lang w:val="pt-BR"/>
        </w:rPr>
        <w:tab/>
        <w:t>Nome, endereço comercial, endereço eletrônico e telefones de contato dos administradores que podem prestar esclarecimentos sobre a oferta;</w:t>
      </w:r>
    </w:p>
    <w:p w14:paraId="74B0B88D"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12.3.</w:t>
      </w:r>
      <w:r w:rsidRPr="007E77AF">
        <w:rPr>
          <w:rStyle w:val="normaltextrun"/>
          <w:rFonts w:ascii="Calibri" w:hAnsi="Calibri" w:cs="Calibri"/>
          <w:lang w:val="pt-BR"/>
        </w:rPr>
        <w:tab/>
        <w:t>Nome, endereço comercial, endereço eletrônico e telefones dos assessores (financeiros, jurídicos etc.) envolvidos na oferta e responsáveis por fatos ou documentos citados no prospecto;</w:t>
      </w:r>
    </w:p>
    <w:p w14:paraId="3AA4EC77"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12.4.</w:t>
      </w:r>
      <w:r w:rsidRPr="007E77AF">
        <w:rPr>
          <w:rStyle w:val="normaltextrun"/>
          <w:rFonts w:ascii="Calibri" w:hAnsi="Calibri" w:cs="Calibri"/>
          <w:lang w:val="pt-BR"/>
        </w:rPr>
        <w:tab/>
        <w:t>Nome, endereço comercial, endereço eletrônico e telefones dos auditores responsáveis por auditar as demonstrações financeiras dos 3 (três) últimos exercícios sociais;</w:t>
      </w:r>
    </w:p>
    <w:p w14:paraId="641052C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12.5.</w:t>
      </w:r>
      <w:r w:rsidRPr="007E77AF">
        <w:rPr>
          <w:rStyle w:val="normaltextrun"/>
          <w:rFonts w:ascii="Calibri" w:hAnsi="Calibri" w:cs="Calibri"/>
          <w:lang w:val="pt-BR"/>
        </w:rPr>
        <w:tab/>
        <w:t>Nome, endereço comercial, endereço eletrônico e telefones do agente fiduciário;</w:t>
      </w:r>
    </w:p>
    <w:p w14:paraId="61450D1C" w14:textId="3F00652A"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12.6.</w:t>
      </w:r>
      <w:r w:rsidRPr="007E77AF">
        <w:rPr>
          <w:rStyle w:val="normaltextrun"/>
          <w:rFonts w:ascii="Calibri" w:hAnsi="Calibri" w:cs="Calibri"/>
          <w:lang w:val="pt-BR"/>
        </w:rPr>
        <w:tab/>
        <w:t xml:space="preserve">Declaração de que quaisquer outras informações ou esclarecimentos sobre a companhia e a distribuição em questão podem ser obtidas junto ao </w:t>
      </w:r>
      <w:r>
        <w:rPr>
          <w:rStyle w:val="normaltextrun"/>
          <w:rFonts w:ascii="Calibri" w:hAnsi="Calibri" w:cs="Calibri"/>
          <w:lang w:val="pt-BR"/>
        </w:rPr>
        <w:t xml:space="preserve">coordenador </w:t>
      </w:r>
      <w:r w:rsidRPr="007E77AF">
        <w:rPr>
          <w:rStyle w:val="normaltextrun"/>
          <w:rFonts w:ascii="Calibri" w:hAnsi="Calibri" w:cs="Calibri"/>
          <w:lang w:val="pt-BR"/>
        </w:rPr>
        <w:t>líder e/ou consorciados e na</w:t>
      </w:r>
      <w:r w:rsidR="00597742">
        <w:rPr>
          <w:rStyle w:val="normaltextrun"/>
          <w:rFonts w:ascii="Calibri" w:hAnsi="Calibri" w:cs="Calibri"/>
          <w:lang w:val="pt-BR"/>
        </w:rPr>
        <w:t xml:space="preserve"> </w:t>
      </w:r>
      <w:r w:rsidRPr="007E77AF">
        <w:rPr>
          <w:rStyle w:val="normaltextrun"/>
          <w:rFonts w:ascii="Calibri" w:hAnsi="Calibri" w:cs="Calibri"/>
          <w:lang w:val="pt-BR"/>
        </w:rPr>
        <w:t>CVM;</w:t>
      </w:r>
    </w:p>
    <w:p w14:paraId="3114E36F" w14:textId="0C0E7A9D"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w:t>
      </w:r>
      <w:r>
        <w:rPr>
          <w:rStyle w:val="normaltextrun"/>
          <w:rFonts w:ascii="Calibri" w:hAnsi="Calibri" w:cs="Calibri"/>
          <w:lang w:val="pt-BR"/>
        </w:rPr>
        <w:t>7</w:t>
      </w:r>
      <w:r w:rsidRPr="007E77AF">
        <w:rPr>
          <w:rStyle w:val="normaltextrun"/>
          <w:rFonts w:ascii="Calibri" w:hAnsi="Calibri" w:cs="Calibri"/>
          <w:lang w:val="pt-BR"/>
        </w:rPr>
        <w:tab/>
      </w:r>
      <w:r w:rsidRPr="007E77AF">
        <w:rPr>
          <w:rFonts w:cstheme="minorHAnsi"/>
          <w:lang w:val="pt-BR"/>
        </w:rPr>
        <w:t xml:space="preserve">No caso de oferta de emissor registrado, 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0965E142" w14:textId="2282978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cs="Calibri"/>
          <w:lang w:val="pt-BR"/>
        </w:rPr>
        <w:lastRenderedPageBreak/>
        <w:t>12.</w:t>
      </w:r>
      <w:r>
        <w:rPr>
          <w:rStyle w:val="normaltextrun"/>
          <w:rFonts w:ascii="Calibri" w:hAnsi="Calibri" w:cs="Calibri"/>
          <w:lang w:val="pt-BR"/>
        </w:rPr>
        <w:t>8</w:t>
      </w:r>
      <w:r w:rsidRPr="007E77AF">
        <w:rPr>
          <w:rStyle w:val="normaltextrun"/>
          <w:rFonts w:ascii="Calibri" w:hAnsi="Calibri" w:cs="Calibri"/>
          <w:lang w:val="pt-BR"/>
        </w:rPr>
        <w:t>.</w:t>
      </w:r>
      <w:r w:rsidRPr="007E77AF">
        <w:rPr>
          <w:rStyle w:val="normaltextrun"/>
          <w:rFonts w:ascii="Calibri" w:hAnsi="Calibri" w:cs="Calibri"/>
          <w:lang w:val="pt-BR"/>
        </w:rPr>
        <w:tab/>
      </w:r>
      <w:r w:rsidRPr="007E77AF">
        <w:rPr>
          <w:rStyle w:val="normaltextrun"/>
          <w:rFonts w:ascii="Calibri" w:hAnsi="Calibri"/>
          <w:lang w:val="pt-BR"/>
        </w:rPr>
        <w:t>Declaração, nos termos do art. 24</w:t>
      </w:r>
      <w:r>
        <w:rPr>
          <w:rStyle w:val="normaltextrun"/>
          <w:rFonts w:ascii="Calibri" w:hAnsi="Calibri"/>
          <w:lang w:val="pt-BR"/>
        </w:rPr>
        <w:t xml:space="preserve"> da Resolução</w:t>
      </w:r>
      <w:r w:rsidRPr="007E77AF">
        <w:rPr>
          <w:rStyle w:val="normaltextrun"/>
          <w:rFonts w:ascii="Calibri" w:hAnsi="Calibri"/>
          <w:lang w:val="pt-BR"/>
        </w:rPr>
        <w:t>, atestando a veracidade das informações contidas no prospecto.</w:t>
      </w:r>
    </w:p>
    <w:p w14:paraId="247F62D7"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13.</w:t>
      </w:r>
      <w:r w:rsidRPr="007E77AF">
        <w:rPr>
          <w:rStyle w:val="normaltextrun"/>
          <w:rFonts w:ascii="Calibri" w:hAnsi="Calibri" w:cs="Calibri"/>
          <w:b/>
          <w:bCs/>
          <w:lang w:val="pt-BR"/>
        </w:rPr>
        <w:tab/>
        <w:t>Outros documentos e informações que a CVM julgar necessários</w:t>
      </w:r>
      <w:r>
        <w:rPr>
          <w:rStyle w:val="normaltextrun"/>
          <w:rFonts w:ascii="Calibri" w:hAnsi="Calibri" w:cs="Calibri"/>
          <w:b/>
          <w:bCs/>
          <w:lang w:val="pt-BR"/>
        </w:rPr>
        <w:t>.</w:t>
      </w:r>
    </w:p>
    <w:p w14:paraId="45FF9EFB" w14:textId="77777777" w:rsidR="009A242A" w:rsidRPr="007E77AF" w:rsidRDefault="009A242A">
      <w:r w:rsidRPr="007E77AF">
        <w:br w:type="page"/>
      </w:r>
    </w:p>
    <w:p w14:paraId="7A82EAF5" w14:textId="77777777" w:rsidR="009A242A" w:rsidRPr="007E77AF" w:rsidRDefault="009A242A" w:rsidP="004562DE">
      <w:pPr>
        <w:pStyle w:val="Ttulo1"/>
      </w:pPr>
      <w:bookmarkStart w:id="370" w:name="_Toc63639359"/>
      <w:bookmarkStart w:id="371" w:name="_Toc476216356"/>
      <w:bookmarkStart w:id="372" w:name="_Toc108516077"/>
      <w:bookmarkStart w:id="373" w:name="_Toc108203108"/>
      <w:bookmarkStart w:id="374" w:name="_Toc136502848"/>
      <w:r w:rsidRPr="007E77AF">
        <w:lastRenderedPageBreak/>
        <w:t>ANEXO C – PROSPECTO DE FUNDOS FECHADOS</w:t>
      </w:r>
      <w:bookmarkEnd w:id="370"/>
      <w:bookmarkEnd w:id="371"/>
      <w:bookmarkEnd w:id="372"/>
      <w:bookmarkEnd w:id="373"/>
      <w:bookmarkEnd w:id="374"/>
    </w:p>
    <w:p w14:paraId="0B7CA8CD" w14:textId="77777777" w:rsidR="009A242A" w:rsidRPr="007E77AF" w:rsidRDefault="009A242A" w:rsidP="004562DE">
      <w:pPr>
        <w:spacing w:after="160" w:line="259" w:lineRule="auto"/>
        <w:jc w:val="center"/>
        <w:rPr>
          <w:rFonts w:cstheme="minorHAnsi"/>
          <w:b/>
          <w:bCs/>
        </w:rPr>
      </w:pPr>
    </w:p>
    <w:p w14:paraId="4864743F" w14:textId="073D64A9" w:rsidR="009A242A" w:rsidRPr="007E77AF" w:rsidRDefault="009A242A" w:rsidP="004562DE">
      <w:pPr>
        <w:spacing w:line="312" w:lineRule="auto"/>
        <w:ind w:firstLine="709"/>
        <w:jc w:val="center"/>
        <w:rPr>
          <w:rFonts w:cstheme="minorHAnsi"/>
          <w:i/>
        </w:rPr>
      </w:pPr>
      <w:r w:rsidRPr="007E77AF">
        <w:rPr>
          <w:rFonts w:cstheme="minorHAnsi"/>
          <w:i/>
          <w:iCs/>
        </w:rPr>
        <w:t>Conteúdo</w:t>
      </w:r>
      <w:r w:rsidRPr="007E77AF">
        <w:rPr>
          <w:rFonts w:cstheme="minorHAnsi"/>
          <w:i/>
        </w:rPr>
        <w:t xml:space="preserve"> do prospecto aplicável para </w:t>
      </w:r>
      <w:r w:rsidRPr="007E77AF">
        <w:rPr>
          <w:i/>
        </w:rPr>
        <w:t xml:space="preserve">oferta pública inicial ou subsequente de distribuição de classes de cotas de fundos de investimento fechados, exceto as classes de cotas os fundos de investimento em direitos creditórios </w:t>
      </w:r>
      <w:r w:rsidRPr="007E77AF">
        <w:t>–</w:t>
      </w:r>
      <w:r w:rsidRPr="007E77AF">
        <w:rPr>
          <w:i/>
        </w:rPr>
        <w:t xml:space="preserve"> FIDC</w:t>
      </w:r>
      <w:r w:rsidRPr="007E77AF">
        <w:rPr>
          <w:rFonts w:cstheme="minorHAnsi"/>
          <w:i/>
        </w:rPr>
        <w:t>, conforme inciso III do § 1º do art. 17 da Resolução</w:t>
      </w:r>
      <w:r>
        <w:rPr>
          <w:rFonts w:cstheme="minorHAnsi"/>
          <w:i/>
        </w:rPr>
        <w:t xml:space="preserve"> </w:t>
      </w:r>
      <w:r>
        <w:rPr>
          <w:i/>
        </w:rPr>
        <w:t>nº 160, de 2022</w:t>
      </w:r>
      <w:r w:rsidRPr="007E77AF">
        <w:rPr>
          <w:rFonts w:cstheme="minorHAnsi"/>
          <w:i/>
        </w:rPr>
        <w:t>.</w:t>
      </w:r>
    </w:p>
    <w:p w14:paraId="50CC826E" w14:textId="77777777" w:rsidR="009A242A" w:rsidRPr="007E77AF" w:rsidRDefault="009A242A" w:rsidP="004562DE">
      <w:pPr>
        <w:spacing w:line="312" w:lineRule="auto"/>
        <w:ind w:firstLine="709"/>
        <w:jc w:val="center"/>
        <w:rPr>
          <w:rFonts w:cstheme="minorHAnsi"/>
          <w:i/>
        </w:rPr>
      </w:pPr>
    </w:p>
    <w:p w14:paraId="50B4A53B" w14:textId="77777777" w:rsidR="009A242A" w:rsidRPr="007E77AF" w:rsidRDefault="009A242A" w:rsidP="004562DE">
      <w:pPr>
        <w:pStyle w:val="paragraph"/>
        <w:spacing w:before="120" w:after="120" w:line="312" w:lineRule="auto"/>
        <w:jc w:val="center"/>
        <w:rPr>
          <w:rStyle w:val="normaltextrun"/>
          <w:rFonts w:eastAsiaTheme="minorHAnsi"/>
          <w:b/>
          <w:lang w:val="pt-BR"/>
        </w:rPr>
      </w:pPr>
      <w:r w:rsidRPr="007E77AF">
        <w:rPr>
          <w:rStyle w:val="normaltextrun"/>
          <w:b/>
          <w:lang w:val="pt-BR"/>
        </w:rPr>
        <w:t>Informações da Capa do Prospecto</w:t>
      </w:r>
    </w:p>
    <w:p w14:paraId="3D33982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ascii="Calibri" w:hAnsi="Calibri"/>
          <w:b/>
          <w:lang w:val="pt-BR"/>
        </w:rPr>
        <w:t>Indicação do fundo de investimento</w:t>
      </w:r>
    </w:p>
    <w:p w14:paraId="7F611A8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1.1.</w:t>
      </w:r>
      <w:r w:rsidRPr="007E77AF">
        <w:rPr>
          <w:rStyle w:val="normaltextrun"/>
          <w:rFonts w:eastAsiaTheme="minorEastAsia"/>
          <w:lang w:val="pt-BR"/>
        </w:rPr>
        <w:tab/>
      </w:r>
      <w:r w:rsidRPr="007E77AF">
        <w:rPr>
          <w:rStyle w:val="normaltextrun"/>
          <w:lang w:val="pt-BR"/>
        </w:rPr>
        <w:t>Denominação social; e</w:t>
      </w:r>
    </w:p>
    <w:p w14:paraId="4B44CC9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lang w:val="pt-BR"/>
        </w:rPr>
      </w:pPr>
      <w:r w:rsidRPr="007E77AF">
        <w:rPr>
          <w:rStyle w:val="normaltextrun"/>
          <w:lang w:val="pt-BR"/>
        </w:rPr>
        <w:t>1.2.</w:t>
      </w:r>
      <w:r w:rsidRPr="007E77AF">
        <w:rPr>
          <w:rStyle w:val="normaltextrun"/>
          <w:lang w:val="pt-BR"/>
        </w:rPr>
        <w:tab/>
        <w:t>CNPJ.</w:t>
      </w:r>
    </w:p>
    <w:p w14:paraId="2969CBB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eastAsiaTheme="minorEastAsia" w:hAnsi="Calibri"/>
          <w:b/>
          <w:lang w:val="pt-BR"/>
        </w:rPr>
      </w:pPr>
      <w:r w:rsidRPr="007E77AF">
        <w:rPr>
          <w:rStyle w:val="normaltextrun"/>
          <w:rFonts w:ascii="Calibri" w:eastAsiaTheme="minorEastAsia" w:hAnsi="Calibri"/>
          <w:b/>
          <w:lang w:val="pt-BR"/>
        </w:rPr>
        <w:t>2.</w:t>
      </w:r>
      <w:r w:rsidRPr="007E77AF">
        <w:rPr>
          <w:rStyle w:val="normaltextrun"/>
          <w:rFonts w:ascii="Calibri" w:eastAsiaTheme="minorEastAsia" w:hAnsi="Calibri"/>
          <w:b/>
          <w:lang w:val="pt-BR"/>
        </w:rPr>
        <w:tab/>
        <w:t>Identificação dos Prestadores de Serviços Essenciais do Fundo</w:t>
      </w:r>
    </w:p>
    <w:p w14:paraId="5ABA20C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2.1.</w:t>
      </w:r>
      <w:r w:rsidRPr="007E77AF">
        <w:rPr>
          <w:rStyle w:val="normaltextrun"/>
          <w:rFonts w:eastAsiaTheme="minorEastAsia"/>
          <w:lang w:val="pt-BR"/>
        </w:rPr>
        <w:tab/>
        <w:t>Denominação social do administrador;</w:t>
      </w:r>
    </w:p>
    <w:p w14:paraId="3188233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2.2.</w:t>
      </w:r>
      <w:r w:rsidRPr="007E77AF">
        <w:rPr>
          <w:rStyle w:val="normaltextrun"/>
          <w:rFonts w:eastAsiaTheme="minorEastAsia"/>
          <w:lang w:val="pt-BR"/>
        </w:rPr>
        <w:tab/>
        <w:t>CNPJ do administrador;</w:t>
      </w:r>
    </w:p>
    <w:p w14:paraId="4EBC0CA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2.3.</w:t>
      </w:r>
      <w:r w:rsidRPr="007E77AF">
        <w:rPr>
          <w:rStyle w:val="normaltextrun"/>
          <w:rFonts w:eastAsiaTheme="minorBidi"/>
          <w:lang w:val="pt-BR"/>
        </w:rPr>
        <w:tab/>
      </w:r>
      <w:r w:rsidRPr="007E77AF">
        <w:rPr>
          <w:rStyle w:val="normaltextrun"/>
          <w:rFonts w:eastAsiaTheme="minorEastAsia"/>
          <w:lang w:val="pt-BR"/>
        </w:rPr>
        <w:t>Endereço da sede do administrador;</w:t>
      </w:r>
    </w:p>
    <w:p w14:paraId="1F3D954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2.4.</w:t>
      </w:r>
      <w:r w:rsidRPr="007E77AF">
        <w:rPr>
          <w:rStyle w:val="normaltextrun"/>
          <w:rFonts w:eastAsiaTheme="minorBidi"/>
          <w:lang w:val="pt-BR"/>
        </w:rPr>
        <w:tab/>
      </w:r>
      <w:r w:rsidRPr="007E77AF">
        <w:rPr>
          <w:rStyle w:val="normaltextrun"/>
          <w:rFonts w:eastAsiaTheme="minorEastAsia"/>
          <w:lang w:val="pt-BR"/>
        </w:rPr>
        <w:t>Denominação social do gestor;</w:t>
      </w:r>
    </w:p>
    <w:p w14:paraId="1894398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2.5.</w:t>
      </w:r>
      <w:r w:rsidRPr="007E77AF">
        <w:rPr>
          <w:rStyle w:val="normaltextrun"/>
          <w:rFonts w:eastAsiaTheme="minorBidi"/>
          <w:lang w:val="pt-BR"/>
        </w:rPr>
        <w:tab/>
      </w:r>
      <w:r w:rsidRPr="007E77AF">
        <w:rPr>
          <w:rStyle w:val="normaltextrun"/>
          <w:rFonts w:eastAsiaTheme="minorEastAsia"/>
          <w:lang w:val="pt-BR"/>
        </w:rPr>
        <w:t>CNPJ do gestor; e</w:t>
      </w:r>
    </w:p>
    <w:p w14:paraId="0970CCF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2.6.</w:t>
      </w:r>
      <w:r w:rsidRPr="007E77AF">
        <w:rPr>
          <w:rStyle w:val="normaltextrun"/>
          <w:rFonts w:eastAsiaTheme="minorBidi"/>
          <w:lang w:val="pt-BR"/>
        </w:rPr>
        <w:tab/>
      </w:r>
      <w:r w:rsidRPr="007E77AF">
        <w:rPr>
          <w:rStyle w:val="normaltextrun"/>
          <w:rFonts w:eastAsiaTheme="minorEastAsia"/>
          <w:lang w:val="pt-BR"/>
        </w:rPr>
        <w:t>Endereço da sede do gestor.</w:t>
      </w:r>
    </w:p>
    <w:p w14:paraId="4774B59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eastAsiaTheme="minorEastAsia" w:hAnsi="Calibri"/>
          <w:b/>
          <w:lang w:val="pt-BR"/>
        </w:rPr>
      </w:pPr>
      <w:r w:rsidRPr="007E77AF">
        <w:rPr>
          <w:rStyle w:val="normaltextrun"/>
          <w:rFonts w:ascii="Calibri" w:eastAsiaTheme="minorEastAsia" w:hAnsi="Calibri"/>
          <w:b/>
          <w:lang w:val="pt-BR"/>
        </w:rPr>
        <w:t>3.</w:t>
      </w:r>
      <w:r w:rsidRPr="007E77AF">
        <w:rPr>
          <w:rStyle w:val="normaltextrun"/>
          <w:rFonts w:ascii="Calibri" w:eastAsiaTheme="minorEastAsia" w:hAnsi="Calibri"/>
          <w:b/>
          <w:lang w:val="pt-BR"/>
        </w:rPr>
        <w:tab/>
      </w:r>
      <w:r w:rsidRPr="007E77AF">
        <w:rPr>
          <w:rStyle w:val="normaltextrun"/>
          <w:rFonts w:ascii="Calibri" w:hAnsi="Calibri"/>
          <w:b/>
          <w:lang w:val="pt-BR"/>
        </w:rPr>
        <w:t xml:space="preserve">Dados da oferta pública </w:t>
      </w:r>
      <w:r w:rsidRPr="007E77AF">
        <w:rPr>
          <w:rStyle w:val="normaltextrun"/>
          <w:rFonts w:ascii="Calibri" w:eastAsiaTheme="minorEastAsia" w:hAnsi="Calibri"/>
          <w:b/>
          <w:lang w:val="pt-BR"/>
        </w:rPr>
        <w:t>de</w:t>
      </w:r>
      <w:r w:rsidRPr="007E77AF">
        <w:rPr>
          <w:rStyle w:val="normaltextrun"/>
          <w:rFonts w:ascii="Calibri" w:hAnsi="Calibri"/>
          <w:b/>
          <w:lang w:val="pt-BR"/>
        </w:rPr>
        <w:t xml:space="preserve"> distribuição</w:t>
      </w:r>
    </w:p>
    <w:p w14:paraId="6366433B"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eastAsia="pt-BR"/>
        </w:rPr>
      </w:pPr>
      <w:r w:rsidRPr="007E77AF">
        <w:rPr>
          <w:rStyle w:val="normaltextrun"/>
          <w:rFonts w:cstheme="minorBidi"/>
          <w:lang w:val="pt-BR" w:eastAsia="pt-BR"/>
        </w:rPr>
        <w:t>3.1.</w:t>
      </w:r>
      <w:r w:rsidRPr="007E77AF">
        <w:rPr>
          <w:rStyle w:val="normaltextrun"/>
          <w:rFonts w:cstheme="minorBidi"/>
          <w:lang w:val="pt-BR" w:eastAsia="pt-BR"/>
        </w:rPr>
        <w:tab/>
      </w:r>
      <w:r w:rsidRPr="007E77AF">
        <w:rPr>
          <w:rStyle w:val="normaltextrun"/>
          <w:rFonts w:cstheme="minorBidi"/>
          <w:lang w:val="pt-BR"/>
        </w:rPr>
        <w:t>Em relação a cada classe de cota ou subclasse, caso aplicável:</w:t>
      </w:r>
    </w:p>
    <w:p w14:paraId="652E1A2E" w14:textId="77777777" w:rsidR="009A242A" w:rsidRPr="007E77AF" w:rsidRDefault="009A242A" w:rsidP="001353DC">
      <w:pPr>
        <w:spacing w:before="120" w:after="120" w:line="312" w:lineRule="auto"/>
        <w:ind w:left="1069" w:hanging="360"/>
        <w:jc w:val="both"/>
      </w:pPr>
      <w:r w:rsidRPr="007E77AF">
        <w:rPr>
          <w:rFonts w:cstheme="minorHAnsi"/>
        </w:rPr>
        <w:t>a)</w:t>
      </w:r>
      <w:r w:rsidRPr="007E77AF">
        <w:tab/>
        <w:t>Código ISIN;</w:t>
      </w:r>
    </w:p>
    <w:p w14:paraId="34AF3832" w14:textId="77777777" w:rsidR="009A242A" w:rsidRPr="007E77AF" w:rsidRDefault="009A242A" w:rsidP="001353DC">
      <w:pPr>
        <w:spacing w:before="120" w:after="120" w:line="312" w:lineRule="auto"/>
        <w:ind w:left="1069" w:hanging="360"/>
        <w:jc w:val="both"/>
      </w:pPr>
      <w:r w:rsidRPr="007E77AF">
        <w:rPr>
          <w:rFonts w:cstheme="minorHAnsi"/>
        </w:rPr>
        <w:t>b)</w:t>
      </w:r>
      <w:r w:rsidRPr="007E77AF">
        <w:tab/>
        <w:t>Quantidade;</w:t>
      </w:r>
    </w:p>
    <w:p w14:paraId="410B95B4" w14:textId="77777777" w:rsidR="009A242A" w:rsidRPr="007E77AF" w:rsidRDefault="009A242A" w:rsidP="001353DC">
      <w:pPr>
        <w:spacing w:before="120" w:after="120" w:line="312" w:lineRule="auto"/>
        <w:ind w:left="1069" w:hanging="360"/>
        <w:jc w:val="both"/>
      </w:pPr>
      <w:r w:rsidRPr="007E77AF">
        <w:rPr>
          <w:rFonts w:cstheme="minorHAnsi"/>
        </w:rPr>
        <w:t>c)</w:t>
      </w:r>
      <w:r w:rsidRPr="007E77AF">
        <w:tab/>
        <w:t>Valor nominal unitário</w:t>
      </w:r>
      <w:r w:rsidRPr="007E77AF">
        <w:rPr>
          <w:rFonts w:cstheme="minorHAnsi"/>
        </w:rPr>
        <w:t xml:space="preserve"> e custo unitário de distribuição</w:t>
      </w:r>
      <w:r w:rsidRPr="007E77AF">
        <w:t>;</w:t>
      </w:r>
    </w:p>
    <w:p w14:paraId="747AF56D" w14:textId="0D35D859" w:rsidR="009A242A" w:rsidRPr="007E77AF" w:rsidRDefault="009A242A" w:rsidP="001353DC">
      <w:pPr>
        <w:spacing w:before="120" w:after="120" w:line="312" w:lineRule="auto"/>
        <w:ind w:left="1069" w:hanging="360"/>
        <w:jc w:val="both"/>
      </w:pPr>
      <w:r w:rsidRPr="007E77AF">
        <w:rPr>
          <w:rFonts w:cstheme="minorHAnsi"/>
        </w:rPr>
        <w:t>d)</w:t>
      </w:r>
      <w:r w:rsidRPr="007E77AF">
        <w:tab/>
        <w:t>Valor total da oferta;</w:t>
      </w:r>
    </w:p>
    <w:p w14:paraId="2C264B0A" w14:textId="77777777" w:rsidR="009A242A" w:rsidRPr="007E77AF" w:rsidRDefault="009A242A" w:rsidP="001353DC">
      <w:pPr>
        <w:spacing w:before="120" w:after="120" w:line="312" w:lineRule="auto"/>
        <w:ind w:left="1069" w:hanging="360"/>
        <w:jc w:val="both"/>
      </w:pPr>
      <w:r w:rsidRPr="007E77AF">
        <w:rPr>
          <w:rFonts w:cstheme="minorHAnsi"/>
        </w:rPr>
        <w:t>e)</w:t>
      </w:r>
      <w:r w:rsidRPr="007E77AF">
        <w:tab/>
        <w:t>Mercado organizado em que as cotas serão negociadas, se for o caso; e</w:t>
      </w:r>
    </w:p>
    <w:p w14:paraId="54197C99" w14:textId="77777777" w:rsidR="009A242A" w:rsidRPr="007E77AF" w:rsidRDefault="009A242A" w:rsidP="001353DC">
      <w:pPr>
        <w:spacing w:before="120" w:after="120" w:line="312" w:lineRule="auto"/>
        <w:ind w:left="1069" w:hanging="360"/>
        <w:jc w:val="both"/>
      </w:pPr>
      <w:r w:rsidRPr="007E77AF">
        <w:rPr>
          <w:rFonts w:cstheme="minorHAnsi"/>
        </w:rPr>
        <w:t>f)</w:t>
      </w:r>
      <w:r w:rsidRPr="007E77AF">
        <w:tab/>
        <w:t>Data de registro da oferta pública na CVM.</w:t>
      </w:r>
    </w:p>
    <w:p w14:paraId="70CDDBBC"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hAnsi="Calibri"/>
          <w:b/>
          <w:lang w:val="pt-BR"/>
        </w:rPr>
      </w:pPr>
      <w:r w:rsidRPr="007E77AF">
        <w:rPr>
          <w:rStyle w:val="normaltextrun"/>
          <w:rFonts w:ascii="Calibri" w:hAnsi="Calibri"/>
          <w:b/>
          <w:lang w:val="pt-BR"/>
        </w:rPr>
        <w:lastRenderedPageBreak/>
        <w:t>4.</w:t>
      </w:r>
      <w:r w:rsidRPr="007E77AF">
        <w:rPr>
          <w:rStyle w:val="normaltextrun"/>
          <w:rFonts w:ascii="Calibri" w:hAnsi="Calibri"/>
          <w:b/>
          <w:lang w:val="pt-BR"/>
        </w:rPr>
        <w:tab/>
        <w:t>Alertas</w:t>
      </w:r>
    </w:p>
    <w:p w14:paraId="2473B98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4.1.</w:t>
      </w:r>
      <w:r w:rsidRPr="007E77AF">
        <w:rPr>
          <w:rStyle w:val="normaltextrun"/>
          <w:rFonts w:eastAsiaTheme="minorEastAsia" w:cstheme="minorBidi"/>
          <w:lang w:val="pt-BR"/>
        </w:rPr>
        <w:tab/>
        <w:t>Caso a responsabilidade do cotista não esteja limitada ao valor por ele subscrito: “A responsabilidade do cotista é ilimitada, de forma que ele pode ser chamado a cobrir um eventual patrimônio líquido negativo do fundo”.</w:t>
      </w:r>
    </w:p>
    <w:p w14:paraId="06A2329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4.2.</w:t>
      </w:r>
      <w:r w:rsidRPr="007E77AF">
        <w:rPr>
          <w:rStyle w:val="normaltextrun"/>
          <w:rFonts w:eastAsiaTheme="minorEastAsia" w:cstheme="minorBidi"/>
          <w:lang w:val="pt-BR"/>
        </w:rPr>
        <w:tab/>
      </w:r>
      <w:r w:rsidRPr="007E77AF">
        <w:rPr>
          <w:rStyle w:val="normaltextrun"/>
          <w:rFonts w:cstheme="minorBidi"/>
          <w:lang w:val="pt-BR"/>
        </w:rPr>
        <w:t>Fatores de risco: “Os investidores devem ler a seção de fatores de risco, nas páginas [</w:t>
      </w:r>
      <w:r w:rsidRPr="007E77AF">
        <w:rPr>
          <w:rStyle w:val="normaltextrun"/>
          <w:rFonts w:eastAsia="Calibri"/>
          <w:lang w:val="pt-BR"/>
        </w:rPr>
        <w:t>●</w:t>
      </w:r>
      <w:r w:rsidRPr="007E77AF">
        <w:rPr>
          <w:rStyle w:val="normaltextrun"/>
          <w:rFonts w:cstheme="minorBidi"/>
          <w:lang w:val="pt-BR"/>
        </w:rPr>
        <w:t>] a [</w:t>
      </w:r>
      <w:r w:rsidRPr="007E77AF">
        <w:rPr>
          <w:rStyle w:val="normaltextrun"/>
          <w:rFonts w:eastAsia="Calibri"/>
          <w:lang w:val="pt-BR"/>
        </w:rPr>
        <w:t>●</w:t>
      </w:r>
      <w:r w:rsidRPr="007E77AF">
        <w:rPr>
          <w:rStyle w:val="normaltextrun"/>
          <w:rFonts w:cstheme="minorBidi"/>
          <w:lang w:val="pt-BR"/>
        </w:rPr>
        <w:t>].”</w:t>
      </w:r>
    </w:p>
    <w:p w14:paraId="177C6317"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t>Responsabilidade da CVM: “O registro da presente oferta pública de distribuição não implica, por parte da CVM, garantia de veracidade das informações prestadas ou julgamento sobre a qualidade do emissor, bem como sobre as cotas a serem distribuídas.”</w:t>
      </w:r>
    </w:p>
    <w:p w14:paraId="19F229B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t>Transparência de negociação, caso aplicável: “Os valores mobiliários objeto da presente oferta não serão negociados em mercados organizados de bolsa ou balcão, não podendo ser assegurada a disponibilidade de informações sobre preços praticados ou sobre os negócios realizados.”</w:t>
      </w:r>
    </w:p>
    <w:p w14:paraId="7A3752C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4.5.</w:t>
      </w:r>
      <w:r w:rsidRPr="007E77AF">
        <w:rPr>
          <w:rStyle w:val="normaltextrun"/>
          <w:rFonts w:cstheme="minorBidi"/>
          <w:lang w:val="pt-BR"/>
        </w:rPr>
        <w:tab/>
        <w:t xml:space="preserve">No caso de oferta com registro automático: “A CVM não realizou análise prévia do conteúdo do prospecto nem dos documentos da oferta.” e caso aplicável: “Existem restrições que se aplicam à </w:t>
      </w:r>
      <w:r w:rsidRPr="007E77AF">
        <w:rPr>
          <w:lang w:val="pt-BR"/>
        </w:rPr>
        <w:t xml:space="preserve">transferência das </w:t>
      </w:r>
      <w:proofErr w:type="gramStart"/>
      <w:r w:rsidRPr="007E77AF">
        <w:rPr>
          <w:lang w:val="pt-BR"/>
        </w:rPr>
        <w:t>cotas</w:t>
      </w:r>
      <w:r w:rsidRPr="007E77AF" w:rsidDel="0093235A">
        <w:rPr>
          <w:rStyle w:val="normaltextrun"/>
          <w:rFonts w:cstheme="minorBidi"/>
          <w:lang w:val="pt-BR"/>
        </w:rPr>
        <w:t xml:space="preserve"> </w:t>
      </w:r>
      <w:r w:rsidRPr="007E77AF">
        <w:rPr>
          <w:rStyle w:val="normaltextrun"/>
          <w:rFonts w:cstheme="minorBidi"/>
          <w:lang w:val="pt-BR"/>
        </w:rPr>
        <w:t>,</w:t>
      </w:r>
      <w:proofErr w:type="gramEnd"/>
      <w:r w:rsidRPr="007E77AF">
        <w:rPr>
          <w:rStyle w:val="normaltextrun"/>
          <w:rFonts w:cstheme="minorBidi"/>
          <w:lang w:val="pt-BR"/>
        </w:rPr>
        <w:t xml:space="preserve"> conforme descritas no item 7.1.”</w:t>
      </w:r>
    </w:p>
    <w:p w14:paraId="3770964F" w14:textId="77777777" w:rsidR="009A242A" w:rsidRPr="007E77AF" w:rsidRDefault="009A242A" w:rsidP="004562DE">
      <w:pPr>
        <w:pStyle w:val="paragraph"/>
        <w:spacing w:before="120" w:after="120" w:line="312" w:lineRule="auto"/>
        <w:ind w:left="1080"/>
        <w:rPr>
          <w:rStyle w:val="normaltextrun"/>
          <w:rFonts w:cstheme="minorHAnsi"/>
          <w:b/>
          <w:bCs/>
          <w:lang w:val="pt-BR"/>
        </w:rPr>
      </w:pPr>
    </w:p>
    <w:p w14:paraId="754316B5" w14:textId="77777777" w:rsidR="009A242A" w:rsidRPr="007E77AF" w:rsidRDefault="009A242A" w:rsidP="004562DE">
      <w:pPr>
        <w:rPr>
          <w:rFonts w:cstheme="minorHAnsi"/>
        </w:rPr>
      </w:pPr>
      <w:r w:rsidRPr="007E77AF">
        <w:rPr>
          <w:rFonts w:cstheme="minorHAnsi"/>
        </w:rPr>
        <w:br w:type="page"/>
      </w:r>
    </w:p>
    <w:p w14:paraId="29CB1EEF" w14:textId="77777777" w:rsidR="009A242A" w:rsidRPr="007E77AF" w:rsidRDefault="009A242A" w:rsidP="004562DE">
      <w:pPr>
        <w:pStyle w:val="paragraph"/>
        <w:spacing w:before="120" w:after="120" w:line="312" w:lineRule="auto"/>
        <w:jc w:val="center"/>
        <w:rPr>
          <w:rStyle w:val="normaltextrun"/>
          <w:b/>
          <w:lang w:val="pt-BR"/>
        </w:rPr>
      </w:pPr>
      <w:r w:rsidRPr="007E77AF">
        <w:rPr>
          <w:rStyle w:val="normaltextrun"/>
          <w:b/>
          <w:lang w:val="pt-BR"/>
        </w:rPr>
        <w:lastRenderedPageBreak/>
        <w:t>Informações do Prospecto</w:t>
      </w:r>
    </w:p>
    <w:p w14:paraId="706E6FF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sidRPr="007E77AF">
        <w:rPr>
          <w:rStyle w:val="normaltextrun"/>
          <w:b/>
          <w:lang w:val="pt-BR"/>
        </w:rPr>
        <w:tab/>
        <w:t>Índice</w:t>
      </w:r>
    </w:p>
    <w:p w14:paraId="57CB53D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2.</w:t>
      </w:r>
      <w:r w:rsidRPr="007E77AF">
        <w:rPr>
          <w:rStyle w:val="normaltextrun"/>
          <w:b/>
          <w:lang w:val="pt-BR"/>
        </w:rPr>
        <w:tab/>
      </w:r>
      <w:r w:rsidRPr="007E77AF">
        <w:rPr>
          <w:rStyle w:val="normaltextrun"/>
          <w:rFonts w:cstheme="minorHAnsi"/>
          <w:b/>
          <w:bCs/>
          <w:lang w:val="pt-BR"/>
        </w:rPr>
        <w:t>Principais</w:t>
      </w:r>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2E5B4C2C"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2.1.</w:t>
      </w:r>
      <w:r w:rsidRPr="007E77AF">
        <w:rPr>
          <w:rStyle w:val="normaltextrun"/>
          <w:lang w:val="pt-BR"/>
        </w:rPr>
        <w:tab/>
        <w:t>Breve descrição da oferta;</w:t>
      </w:r>
    </w:p>
    <w:p w14:paraId="7F86064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2.2.</w:t>
      </w:r>
      <w:r w:rsidRPr="007E77AF">
        <w:rPr>
          <w:rStyle w:val="normaltextrun"/>
          <w:lang w:val="pt-BR"/>
        </w:rPr>
        <w:tab/>
        <w:t>Apresentação da classe ou subclasse de cotas, conforme o caso, com as informações que o administrador deseja destacar em relação àquelas contidas no regulamento;</w:t>
      </w:r>
    </w:p>
    <w:p w14:paraId="53AAD66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2.3.</w:t>
      </w:r>
      <w:r w:rsidRPr="007E77AF">
        <w:rPr>
          <w:rStyle w:val="normaltextrun"/>
          <w:lang w:val="pt-BR"/>
        </w:rPr>
        <w:tab/>
        <w:t>Identificação do público-alvo;</w:t>
      </w:r>
    </w:p>
    <w:p w14:paraId="5BEF67A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sidRPr="007E77AF">
        <w:rPr>
          <w:rStyle w:val="normaltextrun"/>
          <w:lang w:val="pt-BR"/>
        </w:rPr>
        <w:tab/>
        <w:t>Indicação sobre a admissão à negociação em mercados organizados;</w:t>
      </w:r>
    </w:p>
    <w:p w14:paraId="0A68941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sidRPr="007E77AF">
        <w:rPr>
          <w:rStyle w:val="normaltextrun"/>
          <w:lang w:val="pt-BR"/>
        </w:rPr>
        <w:tab/>
      </w:r>
      <w:r w:rsidRPr="007E77AF">
        <w:rPr>
          <w:rStyle w:val="normaltextrun"/>
          <w:rFonts w:cstheme="minorHAnsi"/>
          <w:lang w:val="pt-BR"/>
        </w:rPr>
        <w:t>Valor nominal unitário de cada cota e custo unitário de distribuição;</w:t>
      </w:r>
    </w:p>
    <w:p w14:paraId="6906EE9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2.6.</w:t>
      </w:r>
      <w:r w:rsidRPr="007E77AF">
        <w:rPr>
          <w:rStyle w:val="normaltextrun"/>
          <w:lang w:val="pt-BR"/>
        </w:rPr>
        <w:tab/>
        <w:t>Valor total da oferta e valor mínimo da oferta; e</w:t>
      </w:r>
    </w:p>
    <w:p w14:paraId="49FB9FF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2.7.</w:t>
      </w:r>
      <w:r w:rsidRPr="007E77AF">
        <w:rPr>
          <w:rStyle w:val="normaltextrun"/>
          <w:lang w:val="pt-BR"/>
        </w:rPr>
        <w:tab/>
      </w:r>
      <w:r w:rsidRPr="007E77AF">
        <w:rPr>
          <w:rStyle w:val="normaltextrun"/>
          <w:rFonts w:cstheme="minorHAnsi"/>
          <w:lang w:val="pt-BR"/>
        </w:rPr>
        <w:t>Quantidade de cotas a serem ofertadas de cada classe e subclasse, se for o caso</w:t>
      </w:r>
      <w:r w:rsidRPr="007E77AF">
        <w:rPr>
          <w:rStyle w:val="normaltextrun"/>
          <w:lang w:val="pt-BR"/>
        </w:rPr>
        <w:t>.</w:t>
      </w:r>
    </w:p>
    <w:p w14:paraId="5535D99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3.</w:t>
      </w:r>
      <w:r w:rsidRPr="007E77AF">
        <w:rPr>
          <w:rStyle w:val="normaltextrun"/>
          <w:rFonts w:cstheme="minorHAnsi"/>
          <w:b/>
          <w:bCs/>
          <w:lang w:val="pt-BR"/>
        </w:rPr>
        <w:tab/>
        <w:t>Destinação de recursos</w:t>
      </w:r>
      <w:r>
        <w:rPr>
          <w:rStyle w:val="normaltextrun"/>
          <w:rFonts w:cstheme="minorHAnsi"/>
          <w:b/>
          <w:bCs/>
          <w:lang w:val="pt-BR"/>
        </w:rPr>
        <w:t xml:space="preserve"> </w:t>
      </w:r>
      <w:r>
        <w:rPr>
          <w:rStyle w:val="Refdenotaderodap"/>
          <w:rFonts w:cstheme="minorHAnsi"/>
          <w:b/>
          <w:bCs/>
          <w:lang w:val="pt-BR"/>
        </w:rPr>
        <w:footnoteReference w:id="29"/>
      </w:r>
    </w:p>
    <w:p w14:paraId="0DEA766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3.1.</w:t>
      </w:r>
      <w:r w:rsidRPr="007E77AF">
        <w:rPr>
          <w:rStyle w:val="normaltextrun"/>
          <w:lang w:val="pt-BR"/>
        </w:rPr>
        <w:tab/>
        <w:t>Exposição clara e objetiva do destino dos recursos provenientes da emissão cotejando à luz de sua política de investimento, descrevendo-a sumariamente;</w:t>
      </w:r>
    </w:p>
    <w:p w14:paraId="76CC94B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3.2.</w:t>
      </w:r>
      <w:r w:rsidRPr="007E77AF">
        <w:rPr>
          <w:rStyle w:val="normaltextrun"/>
          <w:lang w:val="pt-BR"/>
        </w:rPr>
        <w:tab/>
        <w:t>Indicar a eventual possibilidade de destinação dos recursos a quaisquer ativos em relação às quais possa haver conflito de interesse, informando as aprovações necessárias existentes e/ou a serem obtidas, incluindo nesse caso nos fatores de risco, explicação objetiva sobre a falta de transparência na formação dos preços destas operações; e</w:t>
      </w:r>
    </w:p>
    <w:p w14:paraId="21715D9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3.3.</w:t>
      </w:r>
      <w:r w:rsidRPr="007E77AF">
        <w:rPr>
          <w:rStyle w:val="normaltextrun"/>
          <w:lang w:val="pt-BR"/>
        </w:rPr>
        <w:tab/>
        <w:t>No</w:t>
      </w:r>
      <w:r w:rsidRPr="007E77AF">
        <w:rPr>
          <w:rStyle w:val="normaltextrun"/>
          <w:rFonts w:eastAsia="Calibri"/>
          <w:lang w:val="pt-BR"/>
        </w:rPr>
        <w:t xml:space="preserve"> caso de apenas parte dos recursos almejados com a oferta vir a ser obtida por meio da distribuição, informar quais objetivos serão prioritários.</w:t>
      </w:r>
    </w:p>
    <w:p w14:paraId="152107B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4.</w:t>
      </w:r>
      <w:r w:rsidRPr="007E77AF">
        <w:rPr>
          <w:rStyle w:val="normaltextrun"/>
          <w:b/>
          <w:lang w:val="pt-BR"/>
        </w:rPr>
        <w:tab/>
        <w:t>Fatores de risco</w:t>
      </w:r>
    </w:p>
    <w:p w14:paraId="2F31830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4.1.</w:t>
      </w:r>
      <w:r w:rsidRPr="007E77AF">
        <w:rPr>
          <w:rStyle w:val="normaltextrun"/>
          <w:lang w:val="pt-BR"/>
        </w:rPr>
        <w:tab/>
        <w:t>Em ordem decrescente de relevância, os principais fatores de risco associados à oferta e ao emissor.</w:t>
      </w:r>
    </w:p>
    <w:p w14:paraId="197C2F9C" w14:textId="77777777"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5.</w:t>
      </w:r>
      <w:r w:rsidRPr="007E77AF">
        <w:rPr>
          <w:rStyle w:val="normaltextrun"/>
          <w:rFonts w:cstheme="minorHAnsi"/>
          <w:b/>
          <w:bCs/>
          <w:lang w:val="pt-BR"/>
        </w:rPr>
        <w:tab/>
        <w:t>Cronograma</w:t>
      </w:r>
    </w:p>
    <w:p w14:paraId="4C3B308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5.1.</w:t>
      </w:r>
      <w:r w:rsidRPr="007E77AF">
        <w:rPr>
          <w:rStyle w:val="normaltextrun"/>
          <w:lang w:val="pt-BR"/>
        </w:rPr>
        <w:tab/>
        <w:t>Cronograma das etapas da oferta, destacando, no mínimo:</w:t>
      </w:r>
    </w:p>
    <w:p w14:paraId="15C0FE50" w14:textId="77777777" w:rsidR="009A242A" w:rsidRPr="007E77AF" w:rsidRDefault="009A242A" w:rsidP="001353DC">
      <w:pPr>
        <w:spacing w:before="120" w:after="120" w:line="312" w:lineRule="auto"/>
        <w:ind w:left="1069" w:hanging="360"/>
        <w:jc w:val="both"/>
      </w:pPr>
      <w:r w:rsidRPr="007E77AF">
        <w:rPr>
          <w:rStyle w:val="normaltextrun"/>
        </w:rPr>
        <w:lastRenderedPageBreak/>
        <w:t>a)</w:t>
      </w:r>
      <w:r w:rsidRPr="007E77AF">
        <w:rPr>
          <w:rStyle w:val="normaltextrun"/>
        </w:rPr>
        <w:tab/>
      </w:r>
      <w:r w:rsidRPr="007E77AF">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informações relacionadas à oferta; e</w:t>
      </w:r>
    </w:p>
    <w:p w14:paraId="27E90C0B" w14:textId="594B5FF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os prazos, condições e forma para: (i) manifestações de aceitação dos investidores interessados e de revogação da aceitação, (</w:t>
      </w:r>
      <w:proofErr w:type="spellStart"/>
      <w:r w:rsidRPr="007E77AF">
        <w:t>ii</w:t>
      </w:r>
      <w:proofErr w:type="spellEnd"/>
      <w:r w:rsidRPr="007E77AF">
        <w:t>) subscrição, integralização e entrega de respectivos certificados, conforme o caso, (</w:t>
      </w:r>
      <w:proofErr w:type="spellStart"/>
      <w:r w:rsidRPr="007E77AF">
        <w:t>iii</w:t>
      </w:r>
      <w:proofErr w:type="spellEnd"/>
      <w:r w:rsidRPr="007E77AF">
        <w:t>) distribuição junto ao público investidor em geral, (</w:t>
      </w:r>
      <w:proofErr w:type="spellStart"/>
      <w:r w:rsidRPr="007E77AF">
        <w:t>iv</w:t>
      </w:r>
      <w:proofErr w:type="spellEnd"/>
      <w:r w:rsidRPr="007E77AF">
        <w:t xml:space="preserve">) posterior alienação dos valores mobiliários adquiridos </w:t>
      </w:r>
      <w:r>
        <w:t>pelos coordenadores</w:t>
      </w:r>
      <w:r w:rsidRPr="007E77AF">
        <w:t xml:space="preserve"> em decorrência da prestação de garantia, (v) devolução e reembolso aos investidores, se for o caso, e (vi) quaisquer outras datas relativas à oferta pública de interesse para os investidores ou ao mercado em geral.</w:t>
      </w:r>
    </w:p>
    <w:p w14:paraId="327FD8B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6.</w:t>
      </w:r>
      <w:r w:rsidRPr="007E77AF">
        <w:rPr>
          <w:rStyle w:val="normaltextrun"/>
          <w:b/>
          <w:lang w:val="pt-BR"/>
        </w:rPr>
        <w:tab/>
        <w:t xml:space="preserve">Informações sobre as cotas negociadas </w:t>
      </w:r>
    </w:p>
    <w:p w14:paraId="6DA8B7D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6.1.</w:t>
      </w:r>
      <w:r w:rsidRPr="007E77AF">
        <w:rPr>
          <w:rStyle w:val="normaltextrun"/>
          <w:rFonts w:cstheme="minorBidi"/>
          <w:lang w:val="pt-BR"/>
        </w:rPr>
        <w:tab/>
        <w:t>Cotação em bolsa de valores ou mercado de balcão dos valores mobiliários a serem distribuídos, inclusive no exterior, identificando: (i) cotação mínima, média e máxima de cada ano, nos últimos 5 (cinco) anos; cotação mínima, média e máxima de cada trimestre, nos últimos 2 (dois) anos; e cotação mínima, média e máxima de cada mês, nos últimos 6 (seis) meses;</w:t>
      </w:r>
    </w:p>
    <w:p w14:paraId="7CA1C67C" w14:textId="3BAD65E4" w:rsidR="009A242A" w:rsidRPr="007E77AF" w:rsidRDefault="009A242A" w:rsidP="00C7153E">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w:t>
      </w:r>
      <w:r>
        <w:rPr>
          <w:rStyle w:val="normaltextrun"/>
          <w:rFonts w:cstheme="minorBidi"/>
          <w:lang w:val="pt-BR"/>
        </w:rPr>
        <w:t>2.</w:t>
      </w:r>
      <w:r w:rsidRPr="007E77AF">
        <w:rPr>
          <w:rStyle w:val="normaltextrun"/>
          <w:rFonts w:cstheme="minorBidi"/>
          <w:lang w:val="pt-BR"/>
        </w:rPr>
        <w:tab/>
        <w:t>Informações sobre a existência de direito de preferência na subscrição de novas cotas;</w:t>
      </w:r>
    </w:p>
    <w:p w14:paraId="65488E56" w14:textId="062AA98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w:t>
      </w:r>
      <w:r>
        <w:rPr>
          <w:rStyle w:val="normaltextrun"/>
          <w:rFonts w:cstheme="minorBidi"/>
          <w:lang w:val="pt-BR"/>
        </w:rPr>
        <w:t>3.</w:t>
      </w:r>
      <w:r w:rsidRPr="007E77AF">
        <w:rPr>
          <w:rStyle w:val="normaltextrun"/>
          <w:rFonts w:cstheme="minorBidi"/>
          <w:lang w:val="pt-BR"/>
        </w:rPr>
        <w:tab/>
        <w:t xml:space="preserve">Indicação da diluição econômica imediata dos cotistas que não subscreverem as cotas ofertadas, calculada pela divisão da quantidade de novas cotas a serem emitidas pela soma dessa quantidade com a quantidade inicial de cotas antes da emissão em questão multiplicando o quociente obtido por 100 (cem); </w:t>
      </w:r>
      <w:r w:rsidRPr="007E77AF">
        <w:rPr>
          <w:rStyle w:val="normaltextrun"/>
          <w:lang w:val="pt-BR"/>
        </w:rPr>
        <w:t>e</w:t>
      </w:r>
    </w:p>
    <w:p w14:paraId="2B896CDC" w14:textId="2DB687BF" w:rsidR="009A242A"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rFonts w:cstheme="minorBidi"/>
          <w:lang w:val="pt-BR"/>
        </w:rPr>
        <w:t>6.</w:t>
      </w:r>
      <w:r>
        <w:rPr>
          <w:rStyle w:val="normaltextrun"/>
          <w:rFonts w:cstheme="minorBidi"/>
          <w:lang w:val="pt-BR"/>
        </w:rPr>
        <w:t>4</w:t>
      </w:r>
      <w:r w:rsidRPr="007E77AF">
        <w:rPr>
          <w:rStyle w:val="normaltextrun"/>
          <w:rFonts w:cstheme="minorBidi"/>
          <w:lang w:val="pt-BR"/>
        </w:rPr>
        <w:t>.</w:t>
      </w:r>
      <w:r w:rsidRPr="007E77AF">
        <w:rPr>
          <w:rStyle w:val="normaltextrun"/>
          <w:rFonts w:cstheme="minorBidi"/>
          <w:lang w:val="pt-BR"/>
        </w:rPr>
        <w:tab/>
      </w:r>
      <w:r w:rsidRPr="007E77AF">
        <w:rPr>
          <w:rStyle w:val="normaltextrun"/>
          <w:lang w:val="pt-BR"/>
        </w:rPr>
        <w:t>Justificativa do preço de emissão das cotas, bem como do critério adotado para sua fixação.</w:t>
      </w:r>
    </w:p>
    <w:p w14:paraId="5221F1D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7.</w:t>
      </w:r>
      <w:r w:rsidRPr="007E77AF">
        <w:rPr>
          <w:rStyle w:val="normaltextrun"/>
          <w:rFonts w:cstheme="minorHAnsi"/>
          <w:b/>
          <w:bCs/>
          <w:lang w:val="pt-BR"/>
        </w:rPr>
        <w:tab/>
        <w:t>Restrições a direitos de investidores no contexto da oferta</w:t>
      </w:r>
    </w:p>
    <w:p w14:paraId="7B4693B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7.1.</w:t>
      </w:r>
      <w:r w:rsidRPr="007E77AF">
        <w:rPr>
          <w:rStyle w:val="normaltextrun"/>
          <w:lang w:val="pt-BR"/>
        </w:rPr>
        <w:tab/>
      </w:r>
      <w:r w:rsidRPr="007E77AF">
        <w:rPr>
          <w:rStyle w:val="normaltextrun"/>
          <w:rFonts w:cstheme="minorHAnsi"/>
          <w:lang w:val="pt-BR"/>
        </w:rPr>
        <w:t>Descrição de eventuais restrições à transferência das cotas;</w:t>
      </w:r>
    </w:p>
    <w:p w14:paraId="5D9F08C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7.2.</w:t>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391FFCC7" w14:textId="65B98ADF"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7.3.</w:t>
      </w:r>
      <w:r w:rsidRPr="007E77AF">
        <w:rPr>
          <w:rStyle w:val="normaltextrun"/>
          <w:lang w:val="pt-BR"/>
        </w:rPr>
        <w:tab/>
        <w:t xml:space="preserve">Esclarecimento sobre os procedimentos previstos nos </w:t>
      </w:r>
      <w:proofErr w:type="spellStart"/>
      <w:r w:rsidRPr="007E77AF">
        <w:rPr>
          <w:rStyle w:val="normaltextrun"/>
          <w:lang w:val="pt-BR"/>
        </w:rPr>
        <w:t>arts</w:t>
      </w:r>
      <w:proofErr w:type="spellEnd"/>
      <w:r w:rsidRPr="007E77AF">
        <w:rPr>
          <w:rStyle w:val="normaltextrun"/>
          <w:lang w:val="pt-BR"/>
        </w:rPr>
        <w:t xml:space="preserve">. </w:t>
      </w:r>
      <w:r w:rsidR="002576C5">
        <w:rPr>
          <w:rStyle w:val="normaltextrun"/>
          <w:lang w:val="pt-BR"/>
        </w:rPr>
        <w:t>70</w:t>
      </w:r>
      <w:r w:rsidR="002576C5" w:rsidRPr="007E77AF">
        <w:rPr>
          <w:rStyle w:val="normaltextrun"/>
          <w:lang w:val="pt-BR"/>
        </w:rPr>
        <w:t xml:space="preserve"> </w:t>
      </w:r>
      <w:r w:rsidRPr="007E77AF">
        <w:rPr>
          <w:rStyle w:val="normaltextrun"/>
          <w:lang w:val="pt-BR"/>
        </w:rPr>
        <w:t xml:space="preserve">e </w:t>
      </w:r>
      <w:r>
        <w:rPr>
          <w:rStyle w:val="normaltextrun"/>
          <w:lang w:val="pt-BR"/>
        </w:rPr>
        <w:t>69</w:t>
      </w:r>
      <w:r w:rsidRPr="007E77AF">
        <w:rPr>
          <w:rStyle w:val="normaltextrun"/>
          <w:lang w:val="pt-BR"/>
        </w:rPr>
        <w:t xml:space="preserve"> da Resolução a respeito da eventual modificação da oferta, notadamente quanto aos efeitos do silêncio do investidor.</w:t>
      </w:r>
    </w:p>
    <w:p w14:paraId="1B31334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8.</w:t>
      </w:r>
      <w:r w:rsidRPr="007E77AF">
        <w:rPr>
          <w:rStyle w:val="normaltextrun"/>
          <w:b/>
          <w:lang w:val="pt-BR"/>
        </w:rPr>
        <w:tab/>
        <w:t>Outras características da oferta</w:t>
      </w:r>
    </w:p>
    <w:p w14:paraId="49886A6E" w14:textId="1A1184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lastRenderedPageBreak/>
        <w:t>8.1.</w:t>
      </w:r>
      <w:r w:rsidRPr="007E77AF">
        <w:rPr>
          <w:rStyle w:val="normaltextrun"/>
          <w:rFonts w:cstheme="minorHAnsi"/>
          <w:lang w:val="pt-BR"/>
        </w:rPr>
        <w:tab/>
        <w:t>Eventuais condições a que a oferta pública esteja submetida;</w:t>
      </w:r>
    </w:p>
    <w:p w14:paraId="1167D6A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HAnsi"/>
          <w:lang w:val="pt-BR"/>
        </w:rPr>
      </w:pPr>
      <w:r w:rsidRPr="007E77AF">
        <w:rPr>
          <w:rStyle w:val="normaltextrun"/>
          <w:rFonts w:cstheme="minorHAnsi"/>
          <w:lang w:val="pt-BR"/>
        </w:rPr>
        <w:t>8.2.</w:t>
      </w:r>
      <w:r w:rsidRPr="007E77AF">
        <w:rPr>
          <w:rStyle w:val="normaltextrun"/>
          <w:rFonts w:cstheme="minorHAnsi"/>
          <w:lang w:val="pt-BR"/>
        </w:rPr>
        <w:tab/>
        <w:t>Eventual destinação da oferta pública ou partes da oferta pública a investidores específicos e a descrição destes investidores;</w:t>
      </w:r>
    </w:p>
    <w:p w14:paraId="57A3871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8.3.</w:t>
      </w:r>
      <w:r w:rsidRPr="007E77AF">
        <w:rPr>
          <w:rStyle w:val="normaltextrun"/>
          <w:rFonts w:cstheme="minorHAnsi"/>
          <w:lang w:val="pt-BR"/>
        </w:rPr>
        <w:tab/>
        <w:t>Autorizações necessárias à emissão ou à distribuição das cotas, indicando a reunião em que foi aprovada a operação;</w:t>
      </w:r>
    </w:p>
    <w:p w14:paraId="3782217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8.4.</w:t>
      </w:r>
      <w:r w:rsidRPr="007E77AF">
        <w:rPr>
          <w:rStyle w:val="normaltextrun"/>
          <w:lang w:val="pt-BR"/>
        </w:rPr>
        <w:tab/>
        <w:t>Regime de distribuição;</w:t>
      </w:r>
    </w:p>
    <w:p w14:paraId="164AE79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8.5.</w:t>
      </w:r>
      <w:r w:rsidRPr="007E77AF">
        <w:rPr>
          <w:rStyle w:val="normaltextrun"/>
          <w:rFonts w:eastAsiaTheme="minorEastAsia"/>
          <w:lang w:val="pt-BR"/>
        </w:rPr>
        <w:tab/>
      </w:r>
      <w:r w:rsidRPr="007E77AF">
        <w:rPr>
          <w:rStyle w:val="normaltextrun"/>
          <w:rFonts w:eastAsia="Calibri"/>
          <w:lang w:val="pt-BR"/>
        </w:rPr>
        <w:t>Dinâmica de coleta de intenções de investimento e determinação do preço ou taxa;</w:t>
      </w:r>
    </w:p>
    <w:p w14:paraId="52A2598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8.6.</w:t>
      </w:r>
      <w:r w:rsidRPr="007E77AF">
        <w:rPr>
          <w:rStyle w:val="normaltextrun"/>
          <w:lang w:val="pt-BR"/>
        </w:rPr>
        <w:tab/>
        <w:t>Admissão à negociação em mercado organizado;</w:t>
      </w:r>
    </w:p>
    <w:p w14:paraId="39515E3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8.7.</w:t>
      </w:r>
      <w:r w:rsidRPr="007E77AF">
        <w:rPr>
          <w:rStyle w:val="normaltextrun"/>
          <w:lang w:val="pt-BR"/>
        </w:rPr>
        <w:tab/>
        <w:t>Formador de mercado;</w:t>
      </w:r>
    </w:p>
    <w:p w14:paraId="019768F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8.8.</w:t>
      </w:r>
      <w:r w:rsidRPr="007E77AF">
        <w:rPr>
          <w:rStyle w:val="normaltextrun"/>
          <w:lang w:val="pt-BR"/>
        </w:rPr>
        <w:tab/>
      </w:r>
      <w:r w:rsidRPr="007E77AF">
        <w:rPr>
          <w:rStyle w:val="normaltextrun"/>
          <w:rFonts w:cstheme="minorBidi"/>
          <w:lang w:val="pt-BR"/>
        </w:rPr>
        <w:t>Contrato</w:t>
      </w:r>
      <w:r w:rsidRPr="007E77AF" w:rsidDel="1861F8F5">
        <w:rPr>
          <w:rStyle w:val="normaltextrun"/>
          <w:rFonts w:cstheme="minorBidi"/>
          <w:lang w:val="pt-BR"/>
        </w:rPr>
        <w:t xml:space="preserve"> </w:t>
      </w:r>
      <w:r w:rsidRPr="007E77AF">
        <w:rPr>
          <w:rStyle w:val="normaltextrun"/>
          <w:rFonts w:cstheme="minorBidi"/>
          <w:lang w:val="pt-BR"/>
        </w:rPr>
        <w:t>de estabilização, quando aplicável;</w:t>
      </w:r>
      <w:r w:rsidRPr="007E77AF">
        <w:rPr>
          <w:rStyle w:val="normaltextrun"/>
          <w:lang w:val="pt-BR"/>
        </w:rPr>
        <w:t xml:space="preserve"> e</w:t>
      </w:r>
    </w:p>
    <w:p w14:paraId="28A2026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8.9.</w:t>
      </w:r>
      <w:r w:rsidRPr="007E77AF">
        <w:rPr>
          <w:rStyle w:val="normaltextrun"/>
          <w:rFonts w:eastAsiaTheme="minorEastAsia" w:cstheme="minorBidi"/>
          <w:lang w:val="pt-BR"/>
        </w:rPr>
        <w:tab/>
      </w:r>
      <w:r w:rsidRPr="007E77AF">
        <w:rPr>
          <w:rStyle w:val="normaltextrun"/>
          <w:rFonts w:eastAsia="Calibri" w:cstheme="minorBidi"/>
          <w:lang w:val="pt-BR"/>
        </w:rPr>
        <w:t>Requisitos ou exigências mínimas de investimento, caso existam.</w:t>
      </w:r>
    </w:p>
    <w:p w14:paraId="6A41FD62" w14:textId="77777777"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b/>
          <w:bCs/>
          <w:lang w:val="pt-BR"/>
        </w:rPr>
      </w:pPr>
      <w:r w:rsidRPr="007E77AF">
        <w:rPr>
          <w:rStyle w:val="normaltextrun"/>
          <w:b/>
          <w:bCs/>
          <w:lang w:val="pt-BR"/>
        </w:rPr>
        <w:t>9.</w:t>
      </w:r>
      <w:r w:rsidRPr="007E77AF">
        <w:rPr>
          <w:rStyle w:val="normaltextrun"/>
          <w:b/>
          <w:bCs/>
          <w:lang w:val="pt-BR"/>
        </w:rPr>
        <w:tab/>
      </w:r>
      <w:r w:rsidRPr="007E77AF">
        <w:rPr>
          <w:rStyle w:val="normaltextrun"/>
          <w:rFonts w:cstheme="minorBidi"/>
          <w:b/>
          <w:bCs/>
          <w:lang w:val="pt-BR"/>
        </w:rPr>
        <w:t>Viabilidade</w:t>
      </w:r>
      <w:r w:rsidRPr="007E77AF">
        <w:rPr>
          <w:rStyle w:val="normaltextrun"/>
          <w:b/>
          <w:bCs/>
          <w:lang w:val="pt-BR"/>
        </w:rPr>
        <w:t xml:space="preserve"> econômico-financeira</w:t>
      </w:r>
      <w:r w:rsidRPr="007E77AF">
        <w:rPr>
          <w:rStyle w:val="Refdenotaderodap"/>
          <w:b/>
          <w:bCs/>
          <w:lang w:val="pt-BR"/>
        </w:rPr>
        <w:footnoteReference w:id="30"/>
      </w:r>
    </w:p>
    <w:p w14:paraId="00A27C26" w14:textId="77777777" w:rsidR="009A242A" w:rsidRPr="007E77AF" w:rsidRDefault="009A242A" w:rsidP="001353DC">
      <w:pPr>
        <w:spacing w:before="120" w:after="120" w:line="312" w:lineRule="auto"/>
        <w:ind w:left="709" w:hanging="709"/>
        <w:jc w:val="both"/>
        <w:rPr>
          <w:rStyle w:val="normaltextrun"/>
        </w:rPr>
      </w:pPr>
      <w:r w:rsidRPr="007E77AF">
        <w:rPr>
          <w:rStyle w:val="normaltextrun"/>
          <w:rFonts w:cstheme="minorHAnsi"/>
        </w:rPr>
        <w:t>9.1.</w:t>
      </w:r>
      <w:r w:rsidRPr="007E77AF">
        <w:rPr>
          <w:rStyle w:val="normaltextrun"/>
          <w:rFonts w:cstheme="minorHAnsi"/>
        </w:rPr>
        <w:tab/>
      </w:r>
      <w:r w:rsidRPr="007E77AF">
        <w:rPr>
          <w:rFonts w:cstheme="minorHAnsi"/>
        </w:rPr>
        <w:t>Estudo</w:t>
      </w:r>
      <w:r w:rsidRPr="007E77AF">
        <w:t xml:space="preserve"> de </w:t>
      </w:r>
      <w:r w:rsidRPr="007E77AF">
        <w:rPr>
          <w:rFonts w:cstheme="minorHAnsi"/>
        </w:rPr>
        <w:t xml:space="preserve">viabilidade técnica, comercial, econômica e financeira do empreendimento imobiliário que contemple, no mínimo, </w:t>
      </w:r>
      <w:r w:rsidRPr="007E77AF">
        <w:rPr>
          <w:rStyle w:val="normaltextrun"/>
          <w:rFonts w:cstheme="minorBidi"/>
        </w:rPr>
        <w:t xml:space="preserve">retorno do </w:t>
      </w:r>
      <w:r w:rsidRPr="007E77AF">
        <w:rPr>
          <w:rStyle w:val="normaltextrun"/>
        </w:rPr>
        <w:t>investimento</w:t>
      </w:r>
      <w:r w:rsidRPr="007E77AF">
        <w:rPr>
          <w:rStyle w:val="normaltextrun"/>
          <w:rFonts w:cstheme="minorBidi"/>
        </w:rPr>
        <w:t>, expondo clara e objetivamente cada uma das premissas adotadas para a sua elaboração.</w:t>
      </w:r>
    </w:p>
    <w:p w14:paraId="74816A0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10.</w:t>
      </w:r>
      <w:r w:rsidRPr="007E77AF">
        <w:rPr>
          <w:rStyle w:val="normaltextrun"/>
          <w:rFonts w:cstheme="minorBidi"/>
          <w:b/>
          <w:bCs/>
          <w:lang w:val="pt-BR"/>
        </w:rPr>
        <w:tab/>
        <w:t>Relacionamento e conflito de interesses</w:t>
      </w:r>
    </w:p>
    <w:p w14:paraId="23CCD56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lang w:val="pt-BR"/>
        </w:rPr>
      </w:pPr>
      <w:r w:rsidRPr="007E77AF">
        <w:rPr>
          <w:lang w:val="pt-BR"/>
        </w:rPr>
        <w:t>10.1.</w:t>
      </w:r>
      <w:r w:rsidRPr="007E77AF">
        <w:rPr>
          <w:lang w:val="pt-BR"/>
        </w:rPr>
        <w:tab/>
        <w:t>Descrição individual das operações que suscitem conflitos de interesse, ainda que potenciais, para o gestor ou administrador do fundo, nos termos da regulamentação aplicável ao tipo de fundo objeto de oferta.</w:t>
      </w:r>
    </w:p>
    <w:p w14:paraId="042292A1" w14:textId="77777777" w:rsidR="009A242A" w:rsidRPr="007E77AF" w:rsidRDefault="009A242A" w:rsidP="001353DC">
      <w:pPr>
        <w:pStyle w:val="paragraph"/>
        <w:tabs>
          <w:tab w:val="left" w:pos="709"/>
        </w:tabs>
        <w:spacing w:before="120" w:beforeAutospacing="0" w:after="120" w:afterAutospacing="0" w:line="312" w:lineRule="auto"/>
        <w:ind w:left="360" w:hanging="360"/>
        <w:jc w:val="both"/>
        <w:textAlignment w:val="baseline"/>
        <w:rPr>
          <w:rStyle w:val="normaltextrun"/>
          <w:rFonts w:eastAsiaTheme="minorEastAsia" w:cstheme="minorBidi"/>
          <w:b/>
          <w:bCs/>
          <w:lang w:val="pt-BR"/>
        </w:rPr>
      </w:pPr>
      <w:r w:rsidRPr="007E77AF">
        <w:rPr>
          <w:rStyle w:val="normaltextrun"/>
          <w:rFonts w:eastAsiaTheme="minorEastAsia" w:cstheme="minorBidi"/>
          <w:b/>
          <w:bCs/>
          <w:lang w:val="pt-BR"/>
        </w:rPr>
        <w:t>11.</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b/>
          <w:bCs/>
          <w:lang w:val="pt-BR"/>
        </w:rPr>
        <w:t>Contrato de distribuição</w:t>
      </w:r>
    </w:p>
    <w:p w14:paraId="3D5FDA4B" w14:textId="184BD1C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11.1.</w:t>
      </w:r>
      <w:r w:rsidRPr="007E77AF">
        <w:rPr>
          <w:rStyle w:val="normaltextrun"/>
          <w:rFonts w:cstheme="minorBidi"/>
          <w:lang w:val="pt-BR"/>
        </w:rPr>
        <w:tab/>
      </w:r>
      <w:r w:rsidRPr="007E77AF">
        <w:rPr>
          <w:rStyle w:val="normaltextrun"/>
          <w:lang w:val="pt-BR"/>
        </w:rPr>
        <w:t>Condições</w:t>
      </w:r>
      <w:r w:rsidRPr="007E77AF">
        <w:rPr>
          <w:rStyle w:val="normaltextrun"/>
          <w:rFonts w:cstheme="minorBidi"/>
          <w:lang w:val="pt-BR"/>
        </w:rPr>
        <w:t xml:space="preserve"> do contrato de distribuição no que concerne à distribuição das cotas junto ao público investidor em geral e eventual garantia de subscrição prestada </w:t>
      </w:r>
      <w:r>
        <w:rPr>
          <w:rStyle w:val="normaltextrun"/>
          <w:rFonts w:cstheme="minorBidi"/>
          <w:lang w:val="pt-BR"/>
        </w:rPr>
        <w:t>pelos coordenadores</w:t>
      </w:r>
      <w:r w:rsidRPr="007E77AF">
        <w:rPr>
          <w:rStyle w:val="normaltextrun"/>
          <w:rFonts w:cstheme="minorBidi"/>
          <w:lang w:val="pt-BR"/>
        </w:rPr>
        <w:t xml:space="preserve"> e </w:t>
      </w:r>
      <w:r w:rsidR="007D5A61">
        <w:rPr>
          <w:rStyle w:val="normaltextrun"/>
          <w:rFonts w:cstheme="minorBidi"/>
          <w:lang w:val="pt-BR"/>
        </w:rPr>
        <w:t xml:space="preserve">demais </w:t>
      </w:r>
      <w:r w:rsidRPr="007E77AF">
        <w:rPr>
          <w:rStyle w:val="normaltextrun"/>
          <w:rFonts w:cstheme="minorBidi"/>
          <w:lang w:val="pt-BR"/>
        </w:rPr>
        <w:t>consorciados, especificando a participação relativa de cada um, se for o caso, além de outras cláusulas consideradas de relevância para o investidor, indicando o local onde a cópia do contrato está disponível para consulta ou reprodução;</w:t>
      </w:r>
    </w:p>
    <w:p w14:paraId="214644B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11.2.</w:t>
      </w:r>
      <w:r w:rsidRPr="007E77AF">
        <w:rPr>
          <w:rStyle w:val="normaltextrun"/>
          <w:rFonts w:cstheme="minorBidi"/>
          <w:lang w:val="pt-BR"/>
        </w:rPr>
        <w:tab/>
        <w:t>Demonstrativo do custo da distribuição, discriminando:</w:t>
      </w:r>
    </w:p>
    <w:p w14:paraId="1FC7EA2B" w14:textId="77777777" w:rsidR="009A242A" w:rsidRPr="007E77AF" w:rsidRDefault="009A242A" w:rsidP="001353DC">
      <w:pPr>
        <w:spacing w:before="120" w:after="120" w:line="312" w:lineRule="auto"/>
        <w:ind w:left="1069" w:hanging="360"/>
        <w:jc w:val="both"/>
      </w:pPr>
      <w:r w:rsidRPr="007E77AF">
        <w:rPr>
          <w:rStyle w:val="normaltextrun"/>
          <w:rFonts w:cstheme="minorBidi"/>
        </w:rPr>
        <w:lastRenderedPageBreak/>
        <w:t>a)</w:t>
      </w:r>
      <w:r w:rsidRPr="007E77AF">
        <w:rPr>
          <w:rStyle w:val="normaltextrun"/>
          <w:rFonts w:cstheme="minorBidi"/>
        </w:rPr>
        <w:tab/>
      </w:r>
      <w:r w:rsidRPr="007E77AF">
        <w:t>a porcentagem em relação ao preço unitário de subscrição;</w:t>
      </w:r>
    </w:p>
    <w:p w14:paraId="536F2F7D"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6B7DAD44"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4F6D0842"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a comissão de garantia de subscrição, se houver;</w:t>
      </w:r>
    </w:p>
    <w:p w14:paraId="24E29DE0"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24CF624F" w14:textId="2D0A582C"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os tributos incidentes sobre as comissões, caso estes sejam arcados pela classe de cotas;</w:t>
      </w:r>
    </w:p>
    <w:p w14:paraId="42FB3290" w14:textId="77777777" w:rsidR="009A242A" w:rsidRPr="007E77AF" w:rsidRDefault="009A242A" w:rsidP="001353DC">
      <w:pPr>
        <w:spacing w:before="120" w:after="120" w:line="312" w:lineRule="auto"/>
        <w:ind w:left="1069" w:hanging="360"/>
        <w:jc w:val="both"/>
      </w:pPr>
      <w:r w:rsidRPr="007E77AF">
        <w:rPr>
          <w:rFonts w:cstheme="minorHAnsi"/>
        </w:rPr>
        <w:t>g)</w:t>
      </w:r>
      <w:r w:rsidRPr="007E77AF">
        <w:rPr>
          <w:rFonts w:cstheme="minorHAnsi"/>
        </w:rPr>
        <w:tab/>
      </w:r>
      <w:r w:rsidRPr="007E77AF">
        <w:t>o custo unitário de distribuição;</w:t>
      </w:r>
    </w:p>
    <w:p w14:paraId="39CF8B31"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as despesas decorrentes do registro de distribuição; e</w:t>
      </w:r>
    </w:p>
    <w:p w14:paraId="6A1B9836" w14:textId="77777777" w:rsidR="009A242A" w:rsidRPr="007E77AF" w:rsidRDefault="009A242A" w:rsidP="001353DC">
      <w:pPr>
        <w:spacing w:before="120" w:after="120" w:line="312" w:lineRule="auto"/>
        <w:ind w:left="1069" w:hanging="360"/>
        <w:jc w:val="both"/>
      </w:pPr>
      <w:r w:rsidRPr="007E77AF">
        <w:rPr>
          <w:rFonts w:cstheme="minorHAnsi"/>
        </w:rPr>
        <w:t>i)</w:t>
      </w:r>
      <w:r w:rsidRPr="007E77AF">
        <w:rPr>
          <w:rFonts w:cstheme="minorHAnsi"/>
        </w:rPr>
        <w:tab/>
      </w:r>
      <w:r w:rsidRPr="007E77AF">
        <w:t>outros custos relacionados.</w:t>
      </w:r>
    </w:p>
    <w:p w14:paraId="3FAB3F6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12.</w:t>
      </w:r>
      <w:r w:rsidRPr="007E77AF">
        <w:rPr>
          <w:rStyle w:val="normaltextrun"/>
          <w:rFonts w:cstheme="minorBidi"/>
          <w:b/>
          <w:bCs/>
          <w:lang w:val="pt-BR"/>
        </w:rPr>
        <w:tab/>
        <w:t>Informações relativas ao destinatário dos recursos</w:t>
      </w:r>
    </w:p>
    <w:p w14:paraId="27AC794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12.1.</w:t>
      </w:r>
      <w:r w:rsidRPr="007E77AF">
        <w:rPr>
          <w:rStyle w:val="normaltextrun"/>
          <w:lang w:val="pt-BR"/>
        </w:rPr>
        <w:tab/>
        <w:t>Quando os recursos forem preponderantemente destinados ao investimento em emissor que não possua registro junto à CVM:</w:t>
      </w:r>
    </w:p>
    <w:p w14:paraId="1EB5ACB4"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denominação social, CNPJ, sede, página eletrônica e objeto social; e</w:t>
      </w:r>
    </w:p>
    <w:p w14:paraId="3AAF3E4C" w14:textId="77777777" w:rsidR="009A242A" w:rsidRPr="007E77AF" w:rsidRDefault="009A242A" w:rsidP="001353DC">
      <w:pPr>
        <w:spacing w:before="120" w:after="120" w:line="312" w:lineRule="auto"/>
        <w:ind w:left="1069" w:hanging="360"/>
        <w:jc w:val="both"/>
        <w:rPr>
          <w:rStyle w:val="normaltextrun"/>
        </w:rPr>
      </w:pPr>
      <w:r w:rsidRPr="007E77AF">
        <w:rPr>
          <w:rFonts w:cstheme="minorHAnsi"/>
        </w:rPr>
        <w:t>b)</w:t>
      </w:r>
      <w:r w:rsidRPr="007E77AF">
        <w:rPr>
          <w:rFonts w:cstheme="minorHAnsi"/>
        </w:rPr>
        <w:tab/>
      </w:r>
      <w:r w:rsidRPr="007E77AF">
        <w:t xml:space="preserve">informações descritas nos itens </w:t>
      </w:r>
      <w:r w:rsidRPr="007E77AF">
        <w:rPr>
          <w:rFonts w:cstheme="minorHAnsi"/>
        </w:rPr>
        <w:t>1.1, 1.2, 1.11, 1.14</w:t>
      </w:r>
      <w:r w:rsidRPr="007E77AF">
        <w:t>, 6.1, 7.1, 8</w:t>
      </w:r>
      <w:r w:rsidRPr="007E77AF">
        <w:rPr>
          <w:rFonts w:cstheme="minorHAnsi"/>
        </w:rPr>
        <w:t>.2, 11.2</w:t>
      </w:r>
      <w:r w:rsidRPr="007E77AF">
        <w:t xml:space="preserve">, 12.1 e </w:t>
      </w:r>
      <w:r w:rsidRPr="007E77AF">
        <w:rPr>
          <w:rFonts w:cstheme="minorHAnsi"/>
        </w:rPr>
        <w:t>12.3</w:t>
      </w:r>
      <w:r w:rsidRPr="007E77AF">
        <w:t xml:space="preserve"> do formulário de referência.</w:t>
      </w:r>
    </w:p>
    <w:p w14:paraId="6FF5B9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13.</w:t>
      </w:r>
      <w:r w:rsidRPr="007E77AF">
        <w:rPr>
          <w:rStyle w:val="normaltextrun"/>
          <w:rFonts w:cstheme="minorBidi"/>
          <w:b/>
          <w:bCs/>
          <w:lang w:val="pt-BR"/>
        </w:rPr>
        <w:tab/>
        <w:t>Documentos e informações incorporados ao prospecto por referência</w:t>
      </w:r>
      <w:r w:rsidRPr="007E77AF">
        <w:rPr>
          <w:rStyle w:val="normaltextrun"/>
          <w:b/>
          <w:bCs/>
          <w:vertAlign w:val="superscript"/>
          <w:lang w:val="pt-BR"/>
        </w:rPr>
        <w:footnoteReference w:id="31"/>
      </w:r>
      <w:r w:rsidRPr="007E77AF">
        <w:rPr>
          <w:rStyle w:val="normaltextrun"/>
          <w:rFonts w:cstheme="minorBidi"/>
          <w:b/>
          <w:bCs/>
          <w:lang w:val="pt-BR"/>
        </w:rPr>
        <w:t xml:space="preserve"> ou como anexos</w:t>
      </w:r>
    </w:p>
    <w:p w14:paraId="40D3D5E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13.1.</w:t>
      </w:r>
      <w:r w:rsidRPr="007E77AF">
        <w:rPr>
          <w:rStyle w:val="normaltextrun"/>
          <w:lang w:val="pt-BR"/>
        </w:rPr>
        <w:tab/>
        <w:t>Regulamento do fundo, contendo corpo principal e anexo da classe de cotas, se for o caso; e</w:t>
      </w:r>
    </w:p>
    <w:p w14:paraId="19C2120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13.2.</w:t>
      </w:r>
      <w:r w:rsidRPr="007E77AF">
        <w:rPr>
          <w:lang w:val="pt-BR"/>
        </w:rPr>
        <w:tab/>
      </w:r>
      <w:r w:rsidRPr="007E77AF">
        <w:rPr>
          <w:rStyle w:val="normaltextrun"/>
          <w:rFonts w:cstheme="minorBidi"/>
          <w:lang w:val="pt-BR"/>
        </w:rPr>
        <w:t>Demonstrações financeiras da classe de cotas, relativas aos 3 (três) últimos exercícios encerrados, com os respectivos pareceres dos auditores independentes e eventos subsequentes</w:t>
      </w:r>
      <w:r w:rsidRPr="007E77AF">
        <w:rPr>
          <w:lang w:val="pt-BR"/>
        </w:rPr>
        <w:t>, exceto quando o emissor não as possua por não ter iniciado suas atividades previamente ao referido período</w:t>
      </w:r>
      <w:r w:rsidRPr="007E77AF">
        <w:rPr>
          <w:rStyle w:val="normaltextrun"/>
          <w:rFonts w:cstheme="minorBidi"/>
          <w:lang w:val="pt-BR"/>
        </w:rPr>
        <w:t>.</w:t>
      </w:r>
    </w:p>
    <w:p w14:paraId="4539795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bCs/>
          <w:lang w:val="pt-BR"/>
        </w:rPr>
      </w:pPr>
      <w:r w:rsidRPr="007E77AF">
        <w:rPr>
          <w:rStyle w:val="normaltextrun"/>
          <w:b/>
          <w:bCs/>
          <w:lang w:val="pt-BR"/>
        </w:rPr>
        <w:t>14.</w:t>
      </w:r>
      <w:r w:rsidRPr="007E77AF">
        <w:rPr>
          <w:rStyle w:val="normaltextrun"/>
          <w:b/>
          <w:bCs/>
          <w:lang w:val="pt-BR"/>
        </w:rPr>
        <w:tab/>
        <w:t>Identificação das Pessoas Envolvidas</w:t>
      </w:r>
    </w:p>
    <w:p w14:paraId="48F0FBA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14.1.</w:t>
      </w:r>
      <w:r w:rsidRPr="007E77AF">
        <w:rPr>
          <w:rStyle w:val="normaltextrun"/>
          <w:rFonts w:cstheme="minorBidi"/>
          <w:lang w:val="pt-BR"/>
        </w:rPr>
        <w:tab/>
        <w:t>Denominação social, endereço comercial, endereço eletrônico e telefones de contato do administrador e do gestor;</w:t>
      </w:r>
    </w:p>
    <w:p w14:paraId="5FF3624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14.2.</w:t>
      </w:r>
      <w:r w:rsidRPr="007E77AF">
        <w:rPr>
          <w:rStyle w:val="normaltextrun"/>
          <w:rFonts w:cstheme="minorBidi"/>
          <w:lang w:val="pt-BR"/>
        </w:rPr>
        <w:tab/>
        <w:t>Nome, endereço comercial e telefones dos assessores (financeiros, jurídicos etc.) envolvidos na oferta e responsáveis por fatos ou documentos citados no prospecto;</w:t>
      </w:r>
    </w:p>
    <w:p w14:paraId="170F10F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lastRenderedPageBreak/>
        <w:t>14.3.</w:t>
      </w:r>
      <w:r w:rsidRPr="007E77AF">
        <w:rPr>
          <w:rStyle w:val="normaltextrun"/>
          <w:rFonts w:cstheme="minorBidi"/>
          <w:lang w:val="pt-BR"/>
        </w:rPr>
        <w:tab/>
        <w:t>Nome, endereço comercial e telefones dos auditores responsáveis por auditar as demonstrações financeiras dos 3 (três) últimos exercícios sociais;</w:t>
      </w:r>
    </w:p>
    <w:p w14:paraId="380BC521" w14:textId="3C51FCC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14.4.</w:t>
      </w:r>
      <w:r w:rsidRPr="007E77AF">
        <w:rPr>
          <w:rStyle w:val="normaltextrun"/>
          <w:rFonts w:cstheme="minorBidi"/>
          <w:lang w:val="pt-BR"/>
        </w:rPr>
        <w:tab/>
        <w:t xml:space="preserve">Declaração de que quaisquer outras informações ou esclarecimentos sobre a classe de cotas e a distribuição em questão podem ser obtidos junto à </w:t>
      </w:r>
      <w:r>
        <w:rPr>
          <w:rStyle w:val="normaltextrun"/>
          <w:rFonts w:cstheme="minorBidi"/>
          <w:lang w:val="pt-BR"/>
        </w:rPr>
        <w:t>coordenador líder</w:t>
      </w:r>
      <w:r w:rsidRPr="007E77AF">
        <w:rPr>
          <w:rStyle w:val="normaltextrun"/>
          <w:rFonts w:cstheme="minorBidi"/>
          <w:lang w:val="pt-BR"/>
        </w:rPr>
        <w:t xml:space="preserve"> e demais instituições consorciadas e na CVM;</w:t>
      </w:r>
    </w:p>
    <w:p w14:paraId="36964932" w14:textId="305BD5C8"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w:t>
      </w:r>
      <w:r>
        <w:rPr>
          <w:rStyle w:val="normaltextrun"/>
          <w:rFonts w:cstheme="minorBidi"/>
          <w:lang w:val="pt-BR"/>
        </w:rPr>
        <w:t>5</w:t>
      </w:r>
      <w:r w:rsidRPr="007E77AF">
        <w:rPr>
          <w:rStyle w:val="normaltextrun"/>
          <w:rFonts w:cstheme="minorBid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3E82E492" w14:textId="4E2531E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w:t>
      </w:r>
      <w:r>
        <w:rPr>
          <w:rStyle w:val="normaltextrun"/>
          <w:rFonts w:cstheme="minorBidi"/>
          <w:lang w:val="pt-BR"/>
        </w:rPr>
        <w:t>6</w:t>
      </w:r>
      <w:r w:rsidRPr="007E77AF">
        <w:rPr>
          <w:rStyle w:val="normaltextrun"/>
          <w:rFonts w:cstheme="minorBidi"/>
          <w:lang w:val="pt-BR"/>
        </w:rPr>
        <w:t>.</w:t>
      </w:r>
      <w:r w:rsidRPr="007E77AF">
        <w:rPr>
          <w:rStyle w:val="normaltextrun"/>
          <w:rFonts w:cstheme="minorBidi"/>
          <w:lang w:val="pt-BR"/>
        </w:rPr>
        <w:tab/>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lang w:val="pt-BR"/>
        </w:rPr>
        <w:t>,</w:t>
      </w:r>
      <w:r w:rsidRPr="007E77AF">
        <w:rPr>
          <w:rStyle w:val="normaltextrun"/>
          <w:rFonts w:cstheme="minorBidi"/>
          <w:lang w:val="pt-BR"/>
        </w:rPr>
        <w:t xml:space="preserve"> atestando a veracidade das informações contidas no prospecto.</w:t>
      </w:r>
    </w:p>
    <w:p w14:paraId="3E8793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lang w:val="pt-BR"/>
        </w:rPr>
      </w:pPr>
      <w:r w:rsidRPr="00C67B81">
        <w:rPr>
          <w:b/>
          <w:lang w:val="pt-BR"/>
        </w:rPr>
        <w:t>15.</w:t>
      </w:r>
      <w:r w:rsidRPr="007E77AF">
        <w:rPr>
          <w:lang w:val="pt-BR"/>
        </w:rPr>
        <w:tab/>
      </w:r>
      <w:r w:rsidRPr="007E77AF">
        <w:rPr>
          <w:rStyle w:val="normaltextrun"/>
          <w:b/>
          <w:bCs/>
          <w:lang w:val="pt-BR"/>
        </w:rPr>
        <w:t>Outros documentos e informações que a CVM julgar necessários.</w:t>
      </w:r>
      <w:r w:rsidRPr="007E77AF">
        <w:rPr>
          <w:lang w:val="pt-BR"/>
        </w:rPr>
        <w:br w:type="page"/>
      </w:r>
      <w:bookmarkStart w:id="375" w:name="_Toc476216357"/>
      <w:bookmarkEnd w:id="363"/>
    </w:p>
    <w:p w14:paraId="7244969D" w14:textId="77777777" w:rsidR="009A242A" w:rsidRPr="007E77AF" w:rsidRDefault="009A242A" w:rsidP="006A0CE1">
      <w:pPr>
        <w:pStyle w:val="Ttulo1"/>
        <w:rPr>
          <w:rFonts w:cstheme="minorBidi"/>
          <w:b/>
          <w:bCs/>
        </w:rPr>
      </w:pPr>
      <w:bookmarkStart w:id="376" w:name="_Toc108516078"/>
      <w:bookmarkStart w:id="377" w:name="_Toc108203109"/>
      <w:bookmarkStart w:id="378" w:name="_Toc136502849"/>
      <w:r w:rsidRPr="007E77AF">
        <w:lastRenderedPageBreak/>
        <w:t>ANEXO D – PROSPECTO DE FUNDOS DE INVESTIMENTO EM DIREITOS CREDITÓRIOS – FIDC</w:t>
      </w:r>
      <w:bookmarkEnd w:id="376"/>
      <w:bookmarkEnd w:id="377"/>
      <w:bookmarkEnd w:id="378"/>
    </w:p>
    <w:p w14:paraId="4C52F919" w14:textId="77777777" w:rsidR="009A242A" w:rsidRPr="007E77AF" w:rsidRDefault="009A242A" w:rsidP="006A0CE1">
      <w:pPr>
        <w:spacing w:after="160" w:line="259" w:lineRule="auto"/>
        <w:jc w:val="center"/>
        <w:rPr>
          <w:rFonts w:cstheme="minorBidi"/>
          <w:b/>
          <w:bCs/>
        </w:rPr>
      </w:pPr>
    </w:p>
    <w:p w14:paraId="262B1BDC" w14:textId="7099C7A2" w:rsidR="009A242A" w:rsidRPr="007E77AF" w:rsidRDefault="009A242A" w:rsidP="006A0CE1">
      <w:pPr>
        <w:spacing w:line="312" w:lineRule="auto"/>
        <w:ind w:firstLine="709"/>
        <w:jc w:val="center"/>
        <w:rPr>
          <w:i/>
        </w:rPr>
      </w:pPr>
      <w:r w:rsidRPr="007E77AF">
        <w:rPr>
          <w:rFonts w:cstheme="minorBidi"/>
          <w:i/>
          <w:iCs/>
        </w:rPr>
        <w:t>Conteúdo</w:t>
      </w:r>
      <w:r w:rsidRPr="007E77AF">
        <w:rPr>
          <w:i/>
        </w:rPr>
        <w:t xml:space="preserve"> do prospecto aplicável para oferta pública de distribuição de valores mobiliários representativos de operações de securitização emitidos por fundos de investimento em direitos creditórios – FIDC, conforme inciso IV do § 1º do art. </w:t>
      </w:r>
      <w:r w:rsidRPr="007E77AF">
        <w:rPr>
          <w:rFonts w:cstheme="minorBidi"/>
          <w:i/>
          <w:iCs/>
        </w:rPr>
        <w:t>17</w:t>
      </w:r>
      <w:r w:rsidRPr="007E77AF">
        <w:rPr>
          <w:i/>
        </w:rPr>
        <w:t xml:space="preserve"> da Resolução</w:t>
      </w:r>
      <w:r>
        <w:rPr>
          <w:i/>
        </w:rPr>
        <w:t xml:space="preserve"> CVM nº 160</w:t>
      </w:r>
      <w:r>
        <w:rPr>
          <w:rFonts w:eastAsia="Times"/>
          <w:i/>
        </w:rPr>
        <w:t>, de 2022</w:t>
      </w:r>
      <w:r w:rsidRPr="007E77AF">
        <w:rPr>
          <w:i/>
        </w:rPr>
        <w:t>.</w:t>
      </w:r>
    </w:p>
    <w:p w14:paraId="5ED8905A" w14:textId="77777777" w:rsidR="009A242A" w:rsidRPr="007E77AF" w:rsidRDefault="009A242A" w:rsidP="006A0CE1">
      <w:pPr>
        <w:jc w:val="center"/>
      </w:pPr>
    </w:p>
    <w:p w14:paraId="3526A6D6" w14:textId="77777777" w:rsidR="009A242A" w:rsidRPr="007E77AF" w:rsidRDefault="009A242A" w:rsidP="006A0CE1">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26DB26ED"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1.</w:t>
      </w:r>
      <w:r w:rsidRPr="007E77AF">
        <w:rPr>
          <w:rStyle w:val="normaltextrun"/>
          <w:rFonts w:eastAsiaTheme="minorEastAsia" w:cstheme="minorBidi"/>
          <w:b/>
          <w:bCs/>
          <w:lang w:val="pt-BR"/>
        </w:rPr>
        <w:tab/>
      </w:r>
      <w:r w:rsidRPr="007E77AF">
        <w:rPr>
          <w:rStyle w:val="normaltextrun"/>
          <w:rFonts w:ascii="Calibri" w:hAnsi="Calibri" w:cs="Calibri"/>
          <w:b/>
          <w:bCs/>
          <w:lang w:val="pt-BR"/>
        </w:rPr>
        <w:t xml:space="preserve">Indicação do fundo </w:t>
      </w:r>
    </w:p>
    <w:p w14:paraId="40711B01" w14:textId="77777777" w:rsidR="009A242A" w:rsidRPr="007E77AF" w:rsidRDefault="009A242A" w:rsidP="001353DC">
      <w:pPr>
        <w:pStyle w:val="paragraph"/>
        <w:tabs>
          <w:tab w:val="left" w:pos="709"/>
        </w:tabs>
        <w:spacing w:before="120" w:beforeAutospacing="0" w:after="120" w:afterAutospacing="0" w:line="312" w:lineRule="auto"/>
        <w:ind w:left="1080" w:hanging="1080"/>
        <w:jc w:val="both"/>
        <w:rPr>
          <w:rStyle w:val="normaltextrun"/>
          <w:rFonts w:ascii="Times New Roman" w:eastAsiaTheme="minorEastAsia" w:hAnsi="Times New Roman"/>
          <w:lang w:val="pt-BR"/>
        </w:rPr>
      </w:pPr>
      <w:r w:rsidRPr="007E77AF">
        <w:rPr>
          <w:rStyle w:val="normaltextrun"/>
          <w:rFonts w:eastAsiaTheme="minorEastAsia" w:cstheme="minorHAnsi"/>
          <w:lang w:val="pt-BR"/>
        </w:rPr>
        <w:t>1.1.</w:t>
      </w:r>
      <w:r w:rsidRPr="007E77AF">
        <w:rPr>
          <w:rStyle w:val="normaltextrun"/>
          <w:rFonts w:eastAsiaTheme="minorEastAsia" w:cstheme="minorHAnsi"/>
          <w:lang w:val="pt-BR"/>
        </w:rPr>
        <w:tab/>
      </w:r>
      <w:r w:rsidRPr="007E77AF">
        <w:rPr>
          <w:rStyle w:val="normaltextrun"/>
          <w:rFonts w:ascii="Calibri" w:hAnsi="Calibri"/>
          <w:lang w:val="pt-BR"/>
        </w:rPr>
        <w:t>Denominação social; e</w:t>
      </w:r>
    </w:p>
    <w:p w14:paraId="4E25C516" w14:textId="568C7F8C" w:rsidR="009A242A" w:rsidRPr="007E77AF" w:rsidRDefault="009A242A" w:rsidP="001353DC">
      <w:pPr>
        <w:pStyle w:val="paragraph"/>
        <w:tabs>
          <w:tab w:val="left" w:pos="709"/>
        </w:tabs>
        <w:spacing w:before="120" w:beforeAutospacing="0" w:after="120" w:afterAutospacing="0" w:line="312" w:lineRule="auto"/>
        <w:ind w:left="1080" w:hanging="1080"/>
        <w:jc w:val="both"/>
        <w:rPr>
          <w:rStyle w:val="normaltextrun"/>
          <w:rFonts w:ascii="Times New Roman" w:hAnsi="Times New Roman"/>
          <w:b/>
          <w:lang w:val="pt-BR"/>
        </w:rPr>
      </w:pPr>
      <w:r w:rsidRPr="007E77AF">
        <w:rPr>
          <w:rStyle w:val="normaltextrun"/>
          <w:rFonts w:cstheme="minorHAnsi"/>
          <w:lang w:val="pt-BR"/>
        </w:rPr>
        <w:t>1.2.</w:t>
      </w:r>
      <w:r w:rsidRPr="007E77AF">
        <w:rPr>
          <w:rStyle w:val="normaltextrun"/>
          <w:rFonts w:cstheme="minorHAnsi"/>
          <w:lang w:val="pt-BR"/>
        </w:rPr>
        <w:tab/>
      </w:r>
      <w:r w:rsidRPr="007E77AF">
        <w:rPr>
          <w:rStyle w:val="normaltextrun"/>
          <w:rFonts w:ascii="Calibri" w:hAnsi="Calibri"/>
          <w:lang w:val="pt-BR"/>
        </w:rPr>
        <w:t>CNPJ</w:t>
      </w:r>
      <w:r w:rsidRPr="007E77AF">
        <w:rPr>
          <w:rStyle w:val="normaltextrun"/>
          <w:rFonts w:ascii="Calibri" w:hAnsi="Calibri" w:cs="Calibri"/>
          <w:lang w:val="pt-BR"/>
        </w:rPr>
        <w:t>.</w:t>
      </w:r>
    </w:p>
    <w:p w14:paraId="1A06C106"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2.</w:t>
      </w:r>
      <w:r w:rsidRPr="007E77AF">
        <w:rPr>
          <w:rStyle w:val="normaltextrun"/>
          <w:rFonts w:eastAsiaTheme="minorEastAsia"/>
          <w:b/>
          <w:lang w:val="pt-BR"/>
        </w:rPr>
        <w:tab/>
      </w:r>
      <w:r w:rsidRPr="007E77AF">
        <w:rPr>
          <w:rStyle w:val="normaltextrun"/>
          <w:rFonts w:ascii="Calibri" w:hAnsi="Calibri" w:cs="Calibri"/>
          <w:b/>
          <w:bCs/>
          <w:lang w:val="pt-BR"/>
        </w:rPr>
        <w:t>Identificação</w:t>
      </w:r>
      <w:r w:rsidRPr="007E77AF">
        <w:rPr>
          <w:rStyle w:val="normaltextrun"/>
          <w:rFonts w:eastAsiaTheme="minorEastAsia"/>
          <w:b/>
          <w:lang w:val="pt-BR"/>
        </w:rPr>
        <w:t xml:space="preserve"> </w:t>
      </w:r>
      <w:r w:rsidRPr="007E77AF">
        <w:rPr>
          <w:rStyle w:val="normaltextrun"/>
          <w:rFonts w:eastAsiaTheme="minorEastAsia" w:cstheme="minorBidi"/>
          <w:b/>
          <w:bCs/>
          <w:lang w:val="pt-BR"/>
        </w:rPr>
        <w:t>dos prestadores de serviços essenciais do fundo</w:t>
      </w:r>
    </w:p>
    <w:p w14:paraId="053ED157" w14:textId="77777777" w:rsidR="009A242A" w:rsidRPr="007E77AF" w:rsidRDefault="009A242A" w:rsidP="001353DC">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2.1.</w:t>
      </w:r>
      <w:r w:rsidRPr="007E77AF">
        <w:rPr>
          <w:rStyle w:val="normaltextrun"/>
          <w:rFonts w:eastAsiaTheme="minorEastAsia"/>
        </w:rPr>
        <w:tab/>
        <w:t>Denominação social do administrador;</w:t>
      </w:r>
    </w:p>
    <w:p w14:paraId="55F1AFC6" w14:textId="6705F4B3" w:rsidR="009A242A" w:rsidRPr="007E77AF" w:rsidRDefault="009A242A" w:rsidP="001353DC">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2.2.</w:t>
      </w:r>
      <w:r w:rsidRPr="007E77AF">
        <w:rPr>
          <w:rStyle w:val="normaltextrun"/>
          <w:rFonts w:eastAsiaTheme="minorEastAsia"/>
        </w:rPr>
        <w:tab/>
        <w:t xml:space="preserve">CNPJ do administrador; </w:t>
      </w:r>
    </w:p>
    <w:p w14:paraId="33F12F79" w14:textId="6A8964DF" w:rsidR="009A242A" w:rsidRPr="007E77AF" w:rsidRDefault="009A242A" w:rsidP="001353DC">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2.3.</w:t>
      </w:r>
      <w:r w:rsidRPr="007E77AF">
        <w:rPr>
          <w:rStyle w:val="normaltextrun"/>
          <w:rFonts w:eastAsiaTheme="minorEastAsia"/>
        </w:rPr>
        <w:tab/>
        <w:t>Endereço da sede</w:t>
      </w:r>
      <w:r>
        <w:rPr>
          <w:rStyle w:val="normaltextrun"/>
          <w:rFonts w:eastAsiaTheme="minorEastAsia"/>
        </w:rPr>
        <w:t>;</w:t>
      </w:r>
    </w:p>
    <w:p w14:paraId="46B7080D" w14:textId="77777777" w:rsidR="009A242A" w:rsidRPr="007E77AF" w:rsidRDefault="009A242A" w:rsidP="003A51D4">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2.4.</w:t>
      </w:r>
      <w:r w:rsidRPr="007E77AF">
        <w:rPr>
          <w:rStyle w:val="normaltextrun"/>
          <w:rFonts w:eastAsiaTheme="minorEastAsia"/>
        </w:rPr>
        <w:tab/>
        <w:t>Denominação social do gestor;</w:t>
      </w:r>
    </w:p>
    <w:p w14:paraId="76BCC56B" w14:textId="77777777" w:rsidR="009A242A" w:rsidRPr="007E77AF" w:rsidRDefault="009A242A" w:rsidP="003A51D4">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2.5.</w:t>
      </w:r>
      <w:r w:rsidRPr="007E77AF">
        <w:rPr>
          <w:rStyle w:val="normaltextrun"/>
          <w:rFonts w:eastAsiaTheme="minorEastAsia"/>
        </w:rPr>
        <w:tab/>
        <w:t>CNPJ do gestor; e</w:t>
      </w:r>
    </w:p>
    <w:p w14:paraId="42EE8CE3" w14:textId="77777777" w:rsidR="009A242A" w:rsidRPr="007E77AF" w:rsidRDefault="009A242A" w:rsidP="003A51D4">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2.6.</w:t>
      </w:r>
      <w:r w:rsidRPr="007E77AF">
        <w:rPr>
          <w:rStyle w:val="normaltextrun"/>
          <w:rFonts w:eastAsiaTheme="minorEastAsia"/>
        </w:rPr>
        <w:tab/>
        <w:t>Endereço da sede do gestor.</w:t>
      </w:r>
    </w:p>
    <w:p w14:paraId="549FB369" w14:textId="77777777" w:rsidR="009A242A" w:rsidRPr="007E77AF" w:rsidRDefault="009A242A" w:rsidP="00DD737D">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3.</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Identificação</w:t>
      </w:r>
      <w:r w:rsidRPr="007E77AF">
        <w:rPr>
          <w:rStyle w:val="normaltextrun"/>
          <w:rFonts w:eastAsiaTheme="minorEastAsia" w:cstheme="minorBidi"/>
          <w:b/>
          <w:bCs/>
          <w:lang w:val="pt-BR"/>
        </w:rPr>
        <w:t xml:space="preserve"> do nível de concentração dos direitos creditórios </w:t>
      </w:r>
    </w:p>
    <w:p w14:paraId="0DB29FE9" w14:textId="16CEFB67"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3.1.</w:t>
      </w:r>
      <w:r w:rsidRPr="007E77AF">
        <w:rPr>
          <w:rStyle w:val="normaltextrun"/>
          <w:rFonts w:eastAsiaTheme="minorEastAsia"/>
          <w:lang w:val="pt-BR"/>
        </w:rPr>
        <w:tab/>
        <w:t>Indicação quanto a tratar-se de direitos creditórios de devedor único ou de múltiplos devedores</w:t>
      </w:r>
      <w:r w:rsidR="00EB7E34">
        <w:rPr>
          <w:rStyle w:val="normaltextrun"/>
          <w:rFonts w:eastAsiaTheme="minorEastAsia"/>
          <w:lang w:val="pt-BR"/>
        </w:rPr>
        <w:t>;</w:t>
      </w:r>
    </w:p>
    <w:p w14:paraId="18AD5C2D" w14:textId="77777777" w:rsidR="009A242A" w:rsidRPr="007E77AF" w:rsidRDefault="009A242A" w:rsidP="00DD737D">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3.2.</w:t>
      </w:r>
      <w:r w:rsidRPr="007E77AF">
        <w:rPr>
          <w:rStyle w:val="normaltextrun"/>
          <w:rFonts w:eastAsiaTheme="minorEastAsia"/>
          <w:lang w:val="pt-BR"/>
        </w:rPr>
        <w:tab/>
        <w:t>Em caso de devedor único, indicar:</w:t>
      </w:r>
    </w:p>
    <w:p w14:paraId="4DB5FC78"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t>denominação</w:t>
      </w:r>
      <w:r w:rsidRPr="007E77AF">
        <w:t xml:space="preserve"> social; e</w:t>
      </w:r>
    </w:p>
    <w:p w14:paraId="59A3646E"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CNPJ.</w:t>
      </w:r>
    </w:p>
    <w:p w14:paraId="6C50ABD2" w14:textId="7702D3C6"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4.</w:t>
      </w:r>
      <w:r w:rsidRPr="007E77AF">
        <w:rPr>
          <w:rStyle w:val="normaltextrun"/>
          <w:rFonts w:eastAsiaTheme="minorEastAsia" w:cstheme="minorBidi"/>
          <w:b/>
          <w:bCs/>
          <w:lang w:val="pt-BR"/>
        </w:rPr>
        <w:tab/>
      </w:r>
      <w:r w:rsidRPr="007E77AF">
        <w:rPr>
          <w:rStyle w:val="normaltextrun"/>
          <w:rFonts w:ascii="Calibri" w:hAnsi="Calibri" w:cs="Calibri"/>
          <w:b/>
          <w:bCs/>
          <w:lang w:val="pt-BR"/>
        </w:rPr>
        <w:t>Dados</w:t>
      </w:r>
      <w:r w:rsidRPr="007E77AF">
        <w:rPr>
          <w:rStyle w:val="normaltextrun"/>
          <w:rFonts w:eastAsiaTheme="minorEastAsia" w:cstheme="minorBidi"/>
          <w:b/>
          <w:bCs/>
          <w:lang w:val="pt-BR"/>
        </w:rPr>
        <w:t xml:space="preserve"> da oferta pública de distribuição</w:t>
      </w:r>
    </w:p>
    <w:p w14:paraId="6DDC8BA6" w14:textId="77777777"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Style w:val="normaltextrun"/>
          <w:rFonts w:eastAsiaTheme="minorEastAsia" w:cstheme="minorBidi"/>
          <w:lang w:val="pt-BR"/>
        </w:rPr>
        <w:t xml:space="preserve">Em relação a cada classe de </w:t>
      </w:r>
      <w:r w:rsidRPr="007E77AF">
        <w:rPr>
          <w:rStyle w:val="normaltextrun"/>
          <w:rFonts w:eastAsiaTheme="minorEastAsia" w:cstheme="minorHAnsi"/>
          <w:lang w:val="pt-BR"/>
        </w:rPr>
        <w:t>cota</w:t>
      </w:r>
      <w:r w:rsidRPr="007E77AF">
        <w:rPr>
          <w:rStyle w:val="normaltextrun"/>
          <w:rFonts w:eastAsiaTheme="minorEastAsia" w:cstheme="minorBidi"/>
          <w:lang w:val="pt-BR"/>
        </w:rPr>
        <w:t>, caso aplicável:</w:t>
      </w:r>
    </w:p>
    <w:p w14:paraId="40E662F4"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código ISIN;</w:t>
      </w:r>
    </w:p>
    <w:p w14:paraId="616F0A06"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classificação de risco;</w:t>
      </w:r>
    </w:p>
    <w:p w14:paraId="7BE06AC8" w14:textId="42835D8C"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quantidade;</w:t>
      </w:r>
    </w:p>
    <w:p w14:paraId="6B6D7C5B" w14:textId="77777777" w:rsidR="009A242A" w:rsidRPr="007E77AF" w:rsidRDefault="009A242A" w:rsidP="001353DC">
      <w:pPr>
        <w:spacing w:before="120" w:after="120" w:line="312" w:lineRule="auto"/>
        <w:ind w:left="1069" w:hanging="360"/>
        <w:jc w:val="both"/>
      </w:pPr>
      <w:r w:rsidRPr="007E77AF">
        <w:rPr>
          <w:rFonts w:cstheme="minorHAnsi"/>
        </w:rPr>
        <w:lastRenderedPageBreak/>
        <w:t>d)</w:t>
      </w:r>
      <w:r w:rsidRPr="007E77AF">
        <w:rPr>
          <w:rFonts w:cstheme="minorHAnsi"/>
        </w:rPr>
        <w:tab/>
      </w:r>
      <w:r w:rsidRPr="007E77AF">
        <w:t>valor nominal unitário;</w:t>
      </w:r>
    </w:p>
    <w:p w14:paraId="62489915"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data de vencimento</w:t>
      </w:r>
      <w:r w:rsidRPr="007E77AF">
        <w:rPr>
          <w:rFonts w:cstheme="minorHAnsi"/>
        </w:rPr>
        <w:t xml:space="preserve"> e cronograma de amortização</w:t>
      </w:r>
      <w:r w:rsidRPr="007E77AF">
        <w:t>;</w:t>
      </w:r>
    </w:p>
    <w:p w14:paraId="1625955F" w14:textId="77777777"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juros remuneratórios e atualização monetária;</w:t>
      </w:r>
    </w:p>
    <w:p w14:paraId="3AE00FB7" w14:textId="32B39C23" w:rsidR="009A242A" w:rsidRPr="007E77AF" w:rsidRDefault="009A242A" w:rsidP="001353DC">
      <w:pPr>
        <w:spacing w:before="120" w:after="120" w:line="312" w:lineRule="auto"/>
        <w:ind w:left="1069" w:hanging="360"/>
        <w:jc w:val="both"/>
      </w:pPr>
      <w:r w:rsidRPr="007E77AF">
        <w:rPr>
          <w:rFonts w:cstheme="minorHAnsi"/>
        </w:rPr>
        <w:t>g)</w:t>
      </w:r>
      <w:r w:rsidRPr="007E77AF">
        <w:rPr>
          <w:rFonts w:cstheme="minorHAnsi"/>
        </w:rPr>
        <w:tab/>
      </w:r>
      <w:r w:rsidRPr="007E77AF">
        <w:t>garantias;</w:t>
      </w:r>
    </w:p>
    <w:p w14:paraId="40C7ADC8" w14:textId="2F79C3E1" w:rsidR="009A242A" w:rsidRPr="007E77AF" w:rsidRDefault="009A242A" w:rsidP="001353DC">
      <w:pPr>
        <w:spacing w:before="120" w:after="120" w:line="312" w:lineRule="auto"/>
        <w:ind w:left="1069" w:hanging="360"/>
        <w:jc w:val="both"/>
      </w:pPr>
      <w:r>
        <w:rPr>
          <w:rFonts w:cstheme="minorBidi"/>
        </w:rPr>
        <w:t>h</w:t>
      </w:r>
      <w:r w:rsidRPr="007E77AF">
        <w:rPr>
          <w:rFonts w:cstheme="minorBidi"/>
        </w:rPr>
        <w:t>)</w:t>
      </w:r>
      <w:r w:rsidRPr="007E77AF">
        <w:tab/>
      </w:r>
      <w:proofErr w:type="gramStart"/>
      <w:r w:rsidRPr="007E77AF">
        <w:t>existência  de</w:t>
      </w:r>
      <w:proofErr w:type="gramEnd"/>
      <w:r w:rsidRPr="007E77AF">
        <w:t xml:space="preserve"> </w:t>
      </w:r>
      <w:r w:rsidRPr="007E77AF">
        <w:rPr>
          <w:rFonts w:cstheme="minorBidi"/>
        </w:rPr>
        <w:t>patrimônio segregado;</w:t>
      </w:r>
    </w:p>
    <w:p w14:paraId="4762A461" w14:textId="499D67F3" w:rsidR="009A242A" w:rsidRPr="007E77AF" w:rsidRDefault="009A242A" w:rsidP="001353DC">
      <w:pPr>
        <w:spacing w:before="120" w:after="120" w:line="312" w:lineRule="auto"/>
        <w:ind w:left="1069" w:hanging="360"/>
        <w:jc w:val="both"/>
      </w:pPr>
      <w:r>
        <w:rPr>
          <w:rFonts w:cstheme="minorHAnsi"/>
        </w:rPr>
        <w:t>i</w:t>
      </w:r>
      <w:r w:rsidRPr="007E77AF">
        <w:rPr>
          <w:rFonts w:cstheme="minorHAnsi"/>
        </w:rPr>
        <w:t>)</w:t>
      </w:r>
      <w:r w:rsidRPr="007E77AF">
        <w:rPr>
          <w:rFonts w:cstheme="minorHAnsi"/>
        </w:rPr>
        <w:tab/>
      </w:r>
      <w:r w:rsidRPr="007E77AF">
        <w:t>mercado organizado em que serão admitidos à negociação</w:t>
      </w:r>
      <w:r w:rsidRPr="007E77AF">
        <w:rPr>
          <w:rFonts w:cstheme="minorHAnsi"/>
        </w:rPr>
        <w:t>; e</w:t>
      </w:r>
    </w:p>
    <w:p w14:paraId="2E48E519" w14:textId="44A89F32" w:rsidR="009A242A" w:rsidRPr="007E77AF" w:rsidRDefault="009A242A" w:rsidP="00F44952">
      <w:pPr>
        <w:spacing w:before="120" w:after="120" w:line="312" w:lineRule="auto"/>
        <w:ind w:left="1069" w:hanging="360"/>
        <w:jc w:val="both"/>
        <w:rPr>
          <w:rFonts w:cstheme="minorHAnsi"/>
        </w:rPr>
      </w:pPr>
      <w:r>
        <w:rPr>
          <w:rFonts w:cstheme="minorHAnsi"/>
        </w:rPr>
        <w:t>j</w:t>
      </w:r>
      <w:r w:rsidRPr="007E77AF">
        <w:rPr>
          <w:rFonts w:cstheme="minorHAnsi"/>
        </w:rPr>
        <w:t>)</w:t>
      </w:r>
      <w:r w:rsidRPr="007E77AF">
        <w:rPr>
          <w:rFonts w:cstheme="minorHAnsi"/>
        </w:rPr>
        <w:tab/>
        <w:t>prioridade de recebimento.</w:t>
      </w:r>
    </w:p>
    <w:p w14:paraId="3D89AAFA" w14:textId="13F02B1E"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4.2.</w:t>
      </w:r>
      <w:r w:rsidRPr="007E77AF">
        <w:rPr>
          <w:rStyle w:val="normaltextrun"/>
          <w:rFonts w:eastAsiaTheme="minorEastAsia"/>
          <w:lang w:val="pt-BR"/>
        </w:rPr>
        <w:tab/>
        <w:t xml:space="preserve">Valor total da oferta; </w:t>
      </w:r>
    </w:p>
    <w:p w14:paraId="657109D1" w14:textId="7FB2CB3A"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r>
      <w:r w:rsidRPr="007E77AF">
        <w:rPr>
          <w:rStyle w:val="normaltextrun"/>
          <w:rFonts w:eastAsiaTheme="minorEastAsia" w:cstheme="minorBidi"/>
          <w:lang w:val="pt-BR"/>
        </w:rPr>
        <w:t>Data de registro da oferta pública na CVM</w:t>
      </w:r>
      <w:r w:rsidR="00EB7E34">
        <w:rPr>
          <w:rStyle w:val="normaltextrun"/>
          <w:rFonts w:eastAsiaTheme="minorEastAsia" w:cstheme="minorBidi"/>
          <w:lang w:val="pt-BR"/>
        </w:rPr>
        <w:t>; e</w:t>
      </w:r>
    </w:p>
    <w:p w14:paraId="3C927E54" w14:textId="0E04FD5A"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t xml:space="preserve"> </w:t>
      </w:r>
      <w:r w:rsidRPr="007E77AF">
        <w:rPr>
          <w:rStyle w:val="normaltextrun"/>
          <w:rFonts w:eastAsiaTheme="minorEastAsia" w:cstheme="minorBidi"/>
          <w:lang w:val="pt-BR"/>
        </w:rPr>
        <w:t xml:space="preserve">Informação se o título é </w:t>
      </w:r>
      <w:r w:rsidRPr="007E77AF">
        <w:rPr>
          <w:rFonts w:ascii="Calibri" w:hAnsi="Calibri" w:cs="Calibri"/>
          <w:lang w:val="pt-BR"/>
        </w:rPr>
        <w:t>qualificado pelo emissor como “verde”, “social”, “sustentável”</w:t>
      </w:r>
      <w:r>
        <w:rPr>
          <w:rFonts w:ascii="Calibri" w:hAnsi="Calibri" w:cs="Calibri"/>
          <w:lang w:val="pt-BR"/>
        </w:rPr>
        <w:t xml:space="preserve"> ou</w:t>
      </w:r>
      <w:r w:rsidRPr="007E77AF">
        <w:rPr>
          <w:rFonts w:ascii="Calibri" w:hAnsi="Calibri" w:cs="Calibri"/>
          <w:lang w:val="pt-BR"/>
        </w:rPr>
        <w:t xml:space="preserve">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w:t>
      </w:r>
    </w:p>
    <w:p w14:paraId="5B052977"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5.</w:t>
      </w:r>
      <w:r w:rsidRPr="007E77AF">
        <w:rPr>
          <w:rStyle w:val="normaltextrun"/>
          <w:rFonts w:eastAsiaTheme="minorEastAsia"/>
          <w:b/>
          <w:lang w:val="pt-BR"/>
        </w:rPr>
        <w:tab/>
      </w:r>
      <w:r w:rsidRPr="007E77AF">
        <w:rPr>
          <w:rStyle w:val="normaltextrun"/>
          <w:rFonts w:ascii="Calibri" w:hAnsi="Calibri" w:cs="Calibri"/>
          <w:b/>
          <w:bCs/>
          <w:lang w:val="pt-BR"/>
        </w:rPr>
        <w:t>Alertas</w:t>
      </w:r>
    </w:p>
    <w:p w14:paraId="7014A8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5.1.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
    <w:p w14:paraId="63A3442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5.2.</w:t>
      </w:r>
      <w:r w:rsidRPr="007E77AF">
        <w:rPr>
          <w:rStyle w:val="normaltextrun"/>
          <w:rFonts w:eastAsiaTheme="minorEastAsia"/>
          <w:lang w:val="pt-BR"/>
        </w:rPr>
        <w:tab/>
        <w:t>Responsabilidade da CVM: “O registro da presente oferta pública de distribuição não implica, por parte da CVM, garantia de veracidade das informações prestadas ou julgamento sobre a qualidade do fundo ou do(s) devedor(es) do lastro dos títulos emitidos.”</w:t>
      </w:r>
    </w:p>
    <w:p w14:paraId="15467866" w14:textId="544EA942" w:rsidR="009A242A" w:rsidRPr="007E77AF" w:rsidRDefault="009A242A" w:rsidP="00FC2867">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5.3.</w:t>
      </w:r>
      <w:r w:rsidRPr="007E77AF">
        <w:rPr>
          <w:rStyle w:val="normaltextrun"/>
          <w:rFonts w:eastAsiaTheme="minorEastAsia"/>
          <w:lang w:val="pt-BR"/>
        </w:rPr>
        <w:tab/>
        <w:t>Transparência de negociação, caso aplicável: “Os valores mobiliários objeto da presente oferta não serão negociados em mercados organizados de bolsa ou balcão, não podendo ser assegurada a disponibilidade de informações sobre os preços praticados ou sobre os negócios realizados.”</w:t>
      </w:r>
    </w:p>
    <w:p w14:paraId="4B85913C" w14:textId="3A29BDF4" w:rsidR="009A242A" w:rsidRPr="007E77AF" w:rsidRDefault="009A242A" w:rsidP="006A0CE1">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w:t>
      </w:r>
      <w:r>
        <w:rPr>
          <w:rStyle w:val="normaltextrun"/>
          <w:rFonts w:eastAsiaTheme="minorEastAsia"/>
          <w:lang w:val="pt-BR"/>
        </w:rPr>
        <w:t>4</w:t>
      </w:r>
      <w:r w:rsidRPr="007E77AF">
        <w:rPr>
          <w:rStyle w:val="normaltextrun"/>
          <w:rFonts w:eastAsiaTheme="minorEastAsia"/>
          <w:lang w:val="pt-BR"/>
        </w:rPr>
        <w:t>.</w:t>
      </w:r>
      <w:r w:rsidRPr="007E77AF">
        <w:rPr>
          <w:rStyle w:val="normaltextrun"/>
          <w:rFonts w:eastAsiaTheme="minorEastAsia"/>
          <w:lang w:val="pt-BR"/>
        </w:rPr>
        <w:tab/>
        <w:t xml:space="preserve">No caso de oferta com registro automático: “A CVM não realizou análise prévia do conteúdo do prospecto nem dos documentos da oferta.” e caso aplicável: “Existem restrições que se aplicam à revenda dos valores mobiliários conforme descritas no item </w:t>
      </w:r>
      <w:r>
        <w:rPr>
          <w:rStyle w:val="normaltextrun"/>
          <w:rFonts w:eastAsiaTheme="minorEastAsia"/>
          <w:lang w:val="pt-BR"/>
        </w:rPr>
        <w:t>6</w:t>
      </w:r>
      <w:r w:rsidRPr="007E77AF">
        <w:rPr>
          <w:rStyle w:val="normaltextrun"/>
          <w:rFonts w:eastAsiaTheme="minorEastAsia"/>
          <w:lang w:val="pt-BR"/>
        </w:rPr>
        <w:t>.1.”</w:t>
      </w:r>
    </w:p>
    <w:p w14:paraId="5E217CC4" w14:textId="77777777" w:rsidR="009A242A" w:rsidRPr="002C67D2" w:rsidRDefault="009A242A" w:rsidP="006A0CE1">
      <w:pPr>
        <w:spacing w:after="160" w:line="259" w:lineRule="auto"/>
        <w:rPr>
          <w:rStyle w:val="normaltextrun"/>
          <w:rFonts w:cstheme="minorHAnsi"/>
          <w:b/>
          <w:bCs/>
        </w:rPr>
      </w:pPr>
      <w:r w:rsidRPr="002C67D2">
        <w:rPr>
          <w:rStyle w:val="normaltextrun"/>
          <w:rFonts w:cstheme="minorHAnsi"/>
          <w:b/>
          <w:bCs/>
        </w:rPr>
        <w:br w:type="page"/>
      </w:r>
    </w:p>
    <w:p w14:paraId="45BC6077" w14:textId="77777777" w:rsidR="009A242A" w:rsidRPr="007E77AF" w:rsidRDefault="009A242A" w:rsidP="006A0CE1">
      <w:pPr>
        <w:pStyle w:val="paragraph"/>
        <w:spacing w:before="120" w:beforeAutospacing="0" w:after="120" w:afterAutospacing="0" w:line="312" w:lineRule="auto"/>
        <w:jc w:val="center"/>
        <w:rPr>
          <w:rStyle w:val="normaltextrun"/>
          <w:b/>
          <w:lang w:val="pt-BR"/>
        </w:rPr>
      </w:pPr>
      <w:r w:rsidRPr="007E77AF">
        <w:rPr>
          <w:rStyle w:val="normaltextrun"/>
          <w:b/>
          <w:lang w:val="pt-BR"/>
        </w:rPr>
        <w:lastRenderedPageBreak/>
        <w:t>Informações do Prospecto</w:t>
      </w:r>
    </w:p>
    <w:p w14:paraId="66CD99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b/>
          <w:lang w:val="pt-BR"/>
        </w:rPr>
        <w:t xml:space="preserve">Índice </w:t>
      </w:r>
    </w:p>
    <w:p w14:paraId="7880457D" w14:textId="092B6C2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2.</w:t>
      </w:r>
      <w:r w:rsidRPr="007E77AF">
        <w:rPr>
          <w:rStyle w:val="normaltextrun"/>
          <w:b/>
          <w:lang w:val="pt-BR"/>
        </w:rPr>
        <w:tab/>
      </w:r>
      <w:r w:rsidRPr="007E77AF">
        <w:rPr>
          <w:rStyle w:val="normaltextrun"/>
          <w:rFonts w:cstheme="minorHAnsi"/>
          <w:b/>
          <w:bCs/>
          <w:lang w:val="pt-BR"/>
        </w:rPr>
        <w:t>Principais</w:t>
      </w:r>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6BF6D706" w14:textId="61E0E63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2.1</w:t>
      </w:r>
      <w:r w:rsidRPr="007E77AF">
        <w:rPr>
          <w:rStyle w:val="normaltextrun"/>
          <w:lang w:val="pt-BR"/>
        </w:rPr>
        <w:tab/>
        <w:t>Breve descrição da</w:t>
      </w:r>
      <w:r w:rsidR="001234C4">
        <w:rPr>
          <w:rStyle w:val="normaltextrun"/>
          <w:lang w:val="pt-BR"/>
        </w:rPr>
        <w:t xml:space="preserve"> </w:t>
      </w:r>
      <w:r w:rsidRPr="007E77AF">
        <w:rPr>
          <w:rStyle w:val="normaltextrun"/>
          <w:lang w:val="pt-BR"/>
        </w:rPr>
        <w:t>oferta;</w:t>
      </w:r>
    </w:p>
    <w:p w14:paraId="77A402E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2.2</w:t>
      </w:r>
      <w:r w:rsidRPr="007E77AF">
        <w:rPr>
          <w:rStyle w:val="normaltextrun"/>
          <w:rFonts w:cstheme="minorBidi"/>
          <w:lang w:val="pt-BR"/>
        </w:rPr>
        <w:tab/>
      </w:r>
      <w:r w:rsidRPr="007E77AF">
        <w:rPr>
          <w:rStyle w:val="normaltextrun"/>
          <w:rFonts w:cstheme="minorHAnsi"/>
          <w:lang w:val="pt-BR"/>
        </w:rPr>
        <w:t>Apresentação dos prestadores de serviços essenciais e do custodiante do fundo;</w:t>
      </w:r>
    </w:p>
    <w:p w14:paraId="6A0F5BC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2.3</w:t>
      </w:r>
      <w:r w:rsidRPr="007E77AF">
        <w:rPr>
          <w:rStyle w:val="normaltextrun"/>
          <w:rFonts w:cstheme="minorBidi"/>
          <w:lang w:val="pt-BR"/>
        </w:rPr>
        <w:tab/>
      </w:r>
      <w:r w:rsidRPr="007E77AF">
        <w:rPr>
          <w:rFonts w:cstheme="minorBidi"/>
          <w:lang w:val="pt-BR"/>
        </w:rPr>
        <w:t xml:space="preserve">Informações sobre o fundo que os </w:t>
      </w:r>
      <w:r w:rsidRPr="007E77AF">
        <w:rPr>
          <w:rStyle w:val="normaltextrun"/>
          <w:rFonts w:cstheme="minorHAnsi"/>
          <w:lang w:val="pt-BR"/>
        </w:rPr>
        <w:t xml:space="preserve">prestadores de serviços essenciais </w:t>
      </w:r>
      <w:r w:rsidRPr="007E77AF">
        <w:rPr>
          <w:rFonts w:cstheme="minorBidi"/>
          <w:lang w:val="pt-BR"/>
        </w:rPr>
        <w:t>desejam destacar em relação àquelas contidas no regulamento</w:t>
      </w:r>
      <w:r w:rsidRPr="007E77AF">
        <w:rPr>
          <w:rStyle w:val="normaltextrun"/>
          <w:rFonts w:cstheme="minorBidi"/>
          <w:lang w:val="pt-BR"/>
        </w:rPr>
        <w:t>;</w:t>
      </w:r>
    </w:p>
    <w:p w14:paraId="6A402293" w14:textId="0BECA1D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sidRPr="007E77AF">
        <w:rPr>
          <w:rStyle w:val="normaltextrun"/>
          <w:lang w:val="pt-BR"/>
        </w:rPr>
        <w:tab/>
        <w:t>Identificação do público-alvo;</w:t>
      </w:r>
    </w:p>
    <w:p w14:paraId="397B60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sidRPr="007E77AF">
        <w:rPr>
          <w:rStyle w:val="normaltextrun"/>
          <w:lang w:val="pt-BR"/>
        </w:rPr>
        <w:tab/>
        <w:t>Valor total da oferta;</w:t>
      </w:r>
    </w:p>
    <w:p w14:paraId="4D2B6B2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2.6</w:t>
      </w:r>
      <w:r w:rsidRPr="007E77AF">
        <w:rPr>
          <w:rStyle w:val="normaltextrun"/>
          <w:rFonts w:cstheme="minorHAnsi"/>
          <w:lang w:val="pt-BR"/>
        </w:rPr>
        <w:tab/>
        <w:t>Em relação a cada classe de cota objeto da oferta, informar, caso aplicável:</w:t>
      </w:r>
    </w:p>
    <w:p w14:paraId="15BB966F" w14:textId="77777777" w:rsidR="009A242A" w:rsidRPr="007E77AF" w:rsidRDefault="009A242A" w:rsidP="001353DC">
      <w:pPr>
        <w:spacing w:before="120" w:after="120" w:line="312" w:lineRule="auto"/>
        <w:ind w:left="1069" w:hanging="360"/>
        <w:jc w:val="both"/>
      </w:pPr>
      <w:r w:rsidRPr="007E77AF">
        <w:t>a)</w:t>
      </w:r>
      <w:r w:rsidRPr="007E77AF">
        <w:tab/>
        <w:t>valor nominal unitário;</w:t>
      </w:r>
    </w:p>
    <w:p w14:paraId="5886E82E" w14:textId="77777777" w:rsidR="009A242A" w:rsidRPr="007E77AF" w:rsidRDefault="009A242A" w:rsidP="001353DC">
      <w:pPr>
        <w:spacing w:before="120" w:after="120" w:line="312" w:lineRule="auto"/>
        <w:ind w:left="1069" w:hanging="360"/>
        <w:jc w:val="both"/>
      </w:pPr>
      <w:r w:rsidRPr="007E77AF">
        <w:t>b)</w:t>
      </w:r>
      <w:r w:rsidRPr="007E77AF">
        <w:tab/>
        <w:t>quantidade;</w:t>
      </w:r>
    </w:p>
    <w:p w14:paraId="4A860DF8" w14:textId="77777777" w:rsidR="009A242A" w:rsidRPr="007E77AF" w:rsidRDefault="009A242A" w:rsidP="001353DC">
      <w:pPr>
        <w:spacing w:before="120" w:after="120" w:line="312" w:lineRule="auto"/>
        <w:ind w:left="1069" w:hanging="360"/>
        <w:jc w:val="both"/>
      </w:pPr>
      <w:r w:rsidRPr="007E77AF">
        <w:t>c)</w:t>
      </w:r>
      <w:r w:rsidRPr="007E77AF">
        <w:tab/>
        <w:t>opção de lote adicional;</w:t>
      </w:r>
    </w:p>
    <w:p w14:paraId="13D2B418" w14:textId="1009E1D2" w:rsidR="009A242A" w:rsidRPr="007E77AF" w:rsidRDefault="009A242A" w:rsidP="001353DC">
      <w:pPr>
        <w:spacing w:before="120" w:after="120" w:line="312" w:lineRule="auto"/>
        <w:ind w:left="1069" w:hanging="360"/>
        <w:jc w:val="both"/>
      </w:pPr>
      <w:r w:rsidRPr="007E77AF">
        <w:t>d)</w:t>
      </w:r>
      <w:r w:rsidRPr="007E77AF">
        <w:tab/>
        <w:t>código ISIN;</w:t>
      </w:r>
    </w:p>
    <w:p w14:paraId="1553BDC2" w14:textId="77777777" w:rsidR="009A242A" w:rsidRPr="007E77AF" w:rsidRDefault="009A242A" w:rsidP="001353DC">
      <w:pPr>
        <w:spacing w:before="120" w:after="120" w:line="312" w:lineRule="auto"/>
        <w:ind w:left="1069" w:hanging="360"/>
        <w:jc w:val="both"/>
      </w:pPr>
      <w:r w:rsidRPr="007E77AF">
        <w:t>e)</w:t>
      </w:r>
      <w:r w:rsidRPr="007E77AF">
        <w:tab/>
        <w:t>classificação de risco;</w:t>
      </w:r>
    </w:p>
    <w:p w14:paraId="48A3886D" w14:textId="77777777" w:rsidR="009A242A" w:rsidRPr="007E77AF" w:rsidRDefault="009A242A" w:rsidP="001353DC">
      <w:pPr>
        <w:spacing w:before="120" w:after="120" w:line="312" w:lineRule="auto"/>
        <w:ind w:left="1069" w:hanging="360"/>
        <w:jc w:val="both"/>
      </w:pPr>
      <w:r w:rsidRPr="007E77AF">
        <w:t>f)</w:t>
      </w:r>
      <w:r w:rsidRPr="007E77AF">
        <w:tab/>
        <w:t>data de emissão;</w:t>
      </w:r>
    </w:p>
    <w:p w14:paraId="44B5AC57" w14:textId="6628DC8D" w:rsidR="009A242A" w:rsidRPr="007E77AF" w:rsidRDefault="009A242A" w:rsidP="001353DC">
      <w:pPr>
        <w:spacing w:before="120" w:after="120" w:line="312" w:lineRule="auto"/>
        <w:ind w:left="1069" w:hanging="360"/>
        <w:jc w:val="both"/>
      </w:pPr>
      <w:r w:rsidRPr="007E77AF">
        <w:t>g)</w:t>
      </w:r>
      <w:r w:rsidRPr="007E77AF">
        <w:tab/>
        <w:t>prazo e data de vencimento;</w:t>
      </w:r>
    </w:p>
    <w:p w14:paraId="08A17148" w14:textId="77777777" w:rsidR="009A242A" w:rsidRPr="007E77AF" w:rsidRDefault="009A242A" w:rsidP="001353DC">
      <w:pPr>
        <w:spacing w:before="120" w:after="120" w:line="312" w:lineRule="auto"/>
        <w:ind w:left="1069" w:hanging="360"/>
        <w:jc w:val="both"/>
      </w:pPr>
      <w:r w:rsidRPr="007E77AF">
        <w:t>h)</w:t>
      </w:r>
      <w:r w:rsidRPr="007E77AF">
        <w:tab/>
        <w:t>indicação sobre a admissão à negociação em mercados organizados de bolsa ou balcão;</w:t>
      </w:r>
    </w:p>
    <w:p w14:paraId="34838B4F" w14:textId="77777777" w:rsidR="009A242A" w:rsidRPr="007E77AF" w:rsidRDefault="009A242A" w:rsidP="001353DC">
      <w:pPr>
        <w:spacing w:before="120" w:after="120" w:line="312" w:lineRule="auto"/>
        <w:ind w:left="1069" w:hanging="360"/>
        <w:jc w:val="both"/>
      </w:pPr>
      <w:r w:rsidRPr="007E77AF">
        <w:t>i)</w:t>
      </w:r>
      <w:r w:rsidRPr="007E77AF">
        <w:tab/>
        <w:t xml:space="preserve">juros remuneratórios e atualização monetária </w:t>
      </w:r>
      <w:proofErr w:type="gramStart"/>
      <w:r w:rsidRPr="007E77AF">
        <w:t>–  índices</w:t>
      </w:r>
      <w:proofErr w:type="gramEnd"/>
      <w:r w:rsidRPr="007E77AF">
        <w:t xml:space="preserve"> e forma de cálculo;</w:t>
      </w:r>
    </w:p>
    <w:p w14:paraId="3584195C" w14:textId="77777777" w:rsidR="009A242A" w:rsidRPr="007E77AF" w:rsidRDefault="009A242A" w:rsidP="001353DC">
      <w:pPr>
        <w:spacing w:before="120" w:after="120" w:line="312" w:lineRule="auto"/>
        <w:ind w:left="1069" w:hanging="360"/>
        <w:jc w:val="both"/>
      </w:pPr>
      <w:r w:rsidRPr="007E77AF">
        <w:t>j)</w:t>
      </w:r>
      <w:r w:rsidRPr="007E77AF">
        <w:tab/>
        <w:t>pagamento da remuneração – periodicidade e data de pagamentos;</w:t>
      </w:r>
    </w:p>
    <w:p w14:paraId="27CDB916" w14:textId="77777777" w:rsidR="009A242A" w:rsidRPr="007E77AF" w:rsidRDefault="009A242A" w:rsidP="001353DC">
      <w:pPr>
        <w:spacing w:before="120" w:after="120" w:line="312" w:lineRule="auto"/>
        <w:ind w:left="1069" w:hanging="360"/>
        <w:jc w:val="both"/>
      </w:pPr>
      <w:r w:rsidRPr="007E77AF">
        <w:t>k)</w:t>
      </w:r>
      <w:r w:rsidRPr="007E77AF">
        <w:tab/>
        <w:t>repactuação;</w:t>
      </w:r>
    </w:p>
    <w:p w14:paraId="1A425297" w14:textId="77777777" w:rsidR="009A242A" w:rsidRPr="007E77AF" w:rsidRDefault="009A242A" w:rsidP="001353DC">
      <w:pPr>
        <w:spacing w:before="120" w:after="120" w:line="312" w:lineRule="auto"/>
        <w:ind w:left="1069" w:hanging="360"/>
        <w:jc w:val="both"/>
      </w:pPr>
      <w:r w:rsidRPr="007E77AF">
        <w:t>l)</w:t>
      </w:r>
      <w:r w:rsidRPr="007E77AF">
        <w:tab/>
        <w:t>amortização e hipóteses de liquidação antecipada – existência, datas e condições;</w:t>
      </w:r>
    </w:p>
    <w:p w14:paraId="7D673D46" w14:textId="77777777" w:rsidR="009A242A" w:rsidRPr="007E77AF" w:rsidRDefault="009A242A" w:rsidP="001353DC">
      <w:pPr>
        <w:spacing w:before="120" w:after="120" w:line="312" w:lineRule="auto"/>
        <w:ind w:left="1069" w:hanging="360"/>
        <w:jc w:val="both"/>
      </w:pPr>
      <w:r w:rsidRPr="007E77AF">
        <w:t>m)</w:t>
      </w:r>
      <w:r w:rsidRPr="007E77AF">
        <w:tab/>
        <w:t>garantias – tipo, forma e descrição;</w:t>
      </w:r>
    </w:p>
    <w:p w14:paraId="7CA69F23" w14:textId="77777777" w:rsidR="009A242A" w:rsidRPr="007E77AF" w:rsidRDefault="009A242A" w:rsidP="001353DC">
      <w:pPr>
        <w:spacing w:before="120" w:after="120" w:line="312" w:lineRule="auto"/>
        <w:ind w:left="1069" w:hanging="360"/>
        <w:jc w:val="both"/>
      </w:pPr>
      <w:r w:rsidRPr="007E77AF">
        <w:t>n)</w:t>
      </w:r>
      <w:r w:rsidRPr="007E77AF">
        <w:tab/>
        <w:t>lastro;</w:t>
      </w:r>
    </w:p>
    <w:p w14:paraId="1F33F389" w14:textId="77777777" w:rsidR="009A242A" w:rsidRPr="007E77AF" w:rsidRDefault="009A242A" w:rsidP="001353DC">
      <w:pPr>
        <w:spacing w:before="120" w:after="120" w:line="312" w:lineRule="auto"/>
        <w:ind w:left="1069" w:hanging="360"/>
        <w:jc w:val="both"/>
      </w:pPr>
      <w:r w:rsidRPr="007E77AF">
        <w:t>o)</w:t>
      </w:r>
      <w:r w:rsidRPr="007E77AF">
        <w:tab/>
        <w:t>existência ou não de patrimônio segregado;</w:t>
      </w:r>
    </w:p>
    <w:p w14:paraId="27127EF3" w14:textId="77777777" w:rsidR="009A242A" w:rsidRPr="007E77AF" w:rsidRDefault="009A242A" w:rsidP="001353DC">
      <w:pPr>
        <w:spacing w:before="120" w:after="120" w:line="312" w:lineRule="auto"/>
        <w:ind w:left="1069" w:hanging="360"/>
        <w:jc w:val="both"/>
      </w:pPr>
      <w:r w:rsidRPr="007E77AF">
        <w:t>p)</w:t>
      </w:r>
      <w:r w:rsidRPr="007E77AF">
        <w:tab/>
        <w:t>eventos de liquidação do patrimônio segregado;</w:t>
      </w:r>
    </w:p>
    <w:p w14:paraId="0B9D0241" w14:textId="48A1EDF4" w:rsidR="009A242A" w:rsidRPr="007E77AF" w:rsidRDefault="009A242A" w:rsidP="001353DC">
      <w:pPr>
        <w:spacing w:before="120" w:after="120" w:line="312" w:lineRule="auto"/>
        <w:ind w:left="1069" w:hanging="360"/>
        <w:jc w:val="both"/>
      </w:pPr>
      <w:r w:rsidRPr="007E77AF">
        <w:lastRenderedPageBreak/>
        <w:t>q)</w:t>
      </w:r>
      <w:r w:rsidRPr="007E77AF">
        <w:tab/>
        <w:t>tratamento tributário;</w:t>
      </w:r>
    </w:p>
    <w:p w14:paraId="216C2027" w14:textId="77777777" w:rsidR="009A242A" w:rsidRPr="007E77AF" w:rsidRDefault="009A242A" w:rsidP="001353DC">
      <w:pPr>
        <w:spacing w:before="120" w:after="120" w:line="312" w:lineRule="auto"/>
        <w:ind w:left="1069" w:hanging="360"/>
        <w:jc w:val="both"/>
      </w:pPr>
      <w:r w:rsidRPr="007E77AF">
        <w:t>r)</w:t>
      </w:r>
      <w:r w:rsidRPr="007E77AF">
        <w:tab/>
        <w:t>outros direitos, vantagens e restrições; e</w:t>
      </w:r>
    </w:p>
    <w:p w14:paraId="4C1A35E9" w14:textId="77777777" w:rsidR="009A242A" w:rsidRPr="007E77AF" w:rsidRDefault="009A242A" w:rsidP="00920D36">
      <w:pPr>
        <w:spacing w:before="120" w:after="120" w:line="312" w:lineRule="auto"/>
        <w:ind w:left="1069" w:hanging="360"/>
        <w:jc w:val="both"/>
      </w:pPr>
      <w:r w:rsidRPr="007E77AF">
        <w:t>s)</w:t>
      </w:r>
      <w:r w:rsidRPr="007E77AF">
        <w:tab/>
        <w:t>índice de subordinação mínima</w:t>
      </w:r>
      <w:r>
        <w:t>.</w:t>
      </w:r>
    </w:p>
    <w:p w14:paraId="2492F8E6" w14:textId="0732969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3.</w:t>
      </w:r>
      <w:r w:rsidRPr="007E77AF">
        <w:rPr>
          <w:rStyle w:val="normaltextrun"/>
          <w:b/>
          <w:lang w:val="pt-BR"/>
        </w:rPr>
        <w:tab/>
        <w:t>Destinação de recursos</w:t>
      </w:r>
    </w:p>
    <w:p w14:paraId="35634D7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3.1</w:t>
      </w:r>
      <w:r>
        <w:rPr>
          <w:rStyle w:val="normaltextrun"/>
          <w:rFonts w:cstheme="minorHAnsi"/>
          <w:lang w:val="pt-BR"/>
        </w:rPr>
        <w:t>.</w:t>
      </w:r>
      <w:r w:rsidRPr="007E77AF">
        <w:rPr>
          <w:rStyle w:val="normaltextrun"/>
          <w:rFonts w:cstheme="minorHAnsi"/>
          <w:lang w:val="pt-BR"/>
        </w:rPr>
        <w:tab/>
        <w:t>Exposição clara e objetiva do destino dos recursos provenientes da oferta;</w:t>
      </w:r>
    </w:p>
    <w:p w14:paraId="147494F6" w14:textId="747DB9F8" w:rsidR="009A242A" w:rsidRPr="001506B1" w:rsidRDefault="009A242A" w:rsidP="002B04DB">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3E4F88">
        <w:rPr>
          <w:rStyle w:val="normaltextrun"/>
          <w:rFonts w:cstheme="minorHAnsi"/>
          <w:lang w:val="pt-BR"/>
        </w:rPr>
        <w:t>3.</w:t>
      </w:r>
      <w:r w:rsidRPr="0084623A">
        <w:rPr>
          <w:rStyle w:val="normaltextrun"/>
          <w:rFonts w:cstheme="minorHAnsi"/>
          <w:lang w:val="pt-BR"/>
        </w:rPr>
        <w:t>2</w:t>
      </w:r>
      <w:r>
        <w:rPr>
          <w:rStyle w:val="normaltextrun"/>
          <w:rFonts w:cstheme="minorHAnsi"/>
          <w:lang w:val="pt-BR"/>
        </w:rPr>
        <w:t>.</w:t>
      </w:r>
      <w:r w:rsidRPr="00C67B81">
        <w:rPr>
          <w:rStyle w:val="normaltextrun"/>
          <w:lang w:val="pt-BR"/>
        </w:rPr>
        <w:tab/>
      </w:r>
      <w:r w:rsidRPr="003E4F88">
        <w:rPr>
          <w:rStyle w:val="normaltextrun"/>
          <w:rFonts w:cstheme="minorHAnsi"/>
          <w:lang w:val="pt-BR"/>
        </w:rPr>
        <w:t xml:space="preserve">Nos casos em que se pretenda utilizar os recursos, direta ou indiretamente, na aquisição de ativos, à exceção daqueles adquiridos no </w:t>
      </w:r>
      <w:r w:rsidRPr="0084623A">
        <w:rPr>
          <w:rStyle w:val="normaltextrun"/>
          <w:rFonts w:cstheme="minorHAnsi"/>
          <w:lang w:val="pt-BR"/>
        </w:rPr>
        <w:t>curso regular dos negócios, descrição sumária desses ativos e seus custos</w:t>
      </w:r>
      <w:r w:rsidRPr="00C67B81">
        <w:rPr>
          <w:rStyle w:val="normaltextrun"/>
          <w:lang w:val="pt-BR"/>
        </w:rPr>
        <w:t>, se tais ativos e seus custos já puderem ser identificados e divulgados</w:t>
      </w:r>
      <w:r w:rsidRPr="003E4F88">
        <w:rPr>
          <w:rStyle w:val="normaltextrun"/>
          <w:rFonts w:cstheme="minorHAnsi"/>
          <w:lang w:val="pt-BR"/>
        </w:rPr>
        <w:t>. Se forem adquiridos de partes relacionadas, indicação de quem serão comprados e como o custo será determinado</w:t>
      </w:r>
      <w:r w:rsidRPr="00513CFA">
        <w:rPr>
          <w:rStyle w:val="normaltextrun"/>
          <w:rFonts w:cstheme="minorHAnsi"/>
          <w:lang w:val="pt-BR"/>
        </w:rPr>
        <w:t>;</w:t>
      </w:r>
    </w:p>
    <w:p w14:paraId="578356F1" w14:textId="3AC7D661"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w:t>
      </w:r>
      <w:r>
        <w:rPr>
          <w:rStyle w:val="normaltextrun"/>
          <w:rFonts w:cstheme="minorHAnsi"/>
          <w:lang w:val="pt-BR"/>
        </w:rPr>
        <w:t>3.</w:t>
      </w:r>
      <w:r w:rsidRPr="007E77AF">
        <w:rPr>
          <w:rStyle w:val="normaltextrun"/>
          <w:rFonts w:cstheme="minorHAnsi"/>
          <w:lang w:val="pt-BR"/>
        </w:rPr>
        <w:tab/>
        <w:t>No caso de apenas parte dos recursos almejados com a oferta vir a ser obtida por meio da distribuição, indicação das providências que serão adotadas;</w:t>
      </w:r>
    </w:p>
    <w:p w14:paraId="64AB3084" w14:textId="64A0601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3.</w:t>
      </w:r>
      <w:r>
        <w:rPr>
          <w:rStyle w:val="normaltextrun"/>
          <w:rFonts w:cstheme="minorBidi"/>
          <w:lang w:val="pt-BR"/>
        </w:rPr>
        <w:t>4.</w:t>
      </w:r>
      <w:r w:rsidRPr="007E77AF">
        <w:rPr>
          <w:lang w:val="pt-BR"/>
        </w:rPr>
        <w:tab/>
      </w:r>
      <w:r w:rsidRPr="007E77AF">
        <w:rPr>
          <w:rStyle w:val="normaltextrun"/>
          <w:rFonts w:cstheme="minorBidi"/>
          <w:lang w:val="pt-BR"/>
        </w:rPr>
        <w:t>Outras fontes de recursos: se aplicável, especificação de outras fontes de recursos que terão destinação associada àquela relativa à distribuição pública</w:t>
      </w:r>
      <w:r>
        <w:rPr>
          <w:rStyle w:val="normaltextrun"/>
          <w:rFonts w:cstheme="minorBidi"/>
          <w:lang w:val="pt-BR"/>
        </w:rPr>
        <w:t>; e</w:t>
      </w:r>
    </w:p>
    <w:p w14:paraId="16713769" w14:textId="5FA3DEE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Fonts w:cstheme="minorHAnsi"/>
          <w:lang w:val="pt-BR"/>
        </w:rPr>
      </w:pPr>
      <w:r w:rsidRPr="007E77AF">
        <w:rPr>
          <w:rFonts w:cstheme="minorHAnsi"/>
          <w:lang w:val="pt-BR"/>
        </w:rPr>
        <w:t>3.</w:t>
      </w:r>
      <w:r>
        <w:rPr>
          <w:rFonts w:cstheme="minorHAnsi"/>
          <w:lang w:val="pt-BR"/>
        </w:rPr>
        <w:t>5.</w:t>
      </w:r>
      <w:r w:rsidRPr="007E77AF">
        <w:rPr>
          <w:rFonts w:cstheme="minorHAns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pelo emissor como “verde”, “social”, “sustentável” ou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 informar:</w:t>
      </w:r>
    </w:p>
    <w:p w14:paraId="10676980" w14:textId="1F781192" w:rsidR="009A242A" w:rsidRPr="007E77AF" w:rsidRDefault="009A242A" w:rsidP="001353DC">
      <w:pPr>
        <w:spacing w:before="120" w:after="120" w:line="312" w:lineRule="auto"/>
        <w:ind w:left="1069" w:hanging="360"/>
        <w:jc w:val="both"/>
      </w:pPr>
      <w:r w:rsidRPr="007E77AF">
        <w:t>a)</w:t>
      </w:r>
      <w:r w:rsidRPr="007E77AF">
        <w:tab/>
        <w:t xml:space="preserve">quais metodologias, princípios ou diretrizes </w:t>
      </w:r>
      <w:r>
        <w:t>amplamente</w:t>
      </w:r>
      <w:r w:rsidRPr="007E77AF">
        <w:t xml:space="preserve"> reconhecidos foram seguidos para qualificação da oferta conforme item acima;</w:t>
      </w:r>
    </w:p>
    <w:p w14:paraId="6A47095F" w14:textId="5C46C8B5" w:rsidR="009A242A" w:rsidRPr="007E77AF" w:rsidRDefault="009A242A" w:rsidP="001353DC">
      <w:pPr>
        <w:spacing w:before="120" w:after="120" w:line="312" w:lineRule="auto"/>
        <w:ind w:left="1069" w:hanging="360"/>
        <w:jc w:val="both"/>
      </w:pPr>
      <w:r w:rsidRPr="007E77AF">
        <w:t>b)</w:t>
      </w:r>
      <w:r w:rsidRPr="007E77AF">
        <w:tab/>
        <w:t>qual a entidade independente responsável pela averiguação acima citada e tipo de avaliação envolvida;</w:t>
      </w:r>
    </w:p>
    <w:p w14:paraId="423F725B" w14:textId="228EAA36" w:rsidR="009A242A" w:rsidRPr="007E77AF" w:rsidRDefault="009A242A" w:rsidP="001353DC">
      <w:pPr>
        <w:spacing w:before="120" w:after="120" w:line="312" w:lineRule="auto"/>
        <w:ind w:left="1069" w:hanging="360"/>
        <w:jc w:val="both"/>
      </w:pPr>
      <w:r w:rsidRPr="007E77AF">
        <w:t>c)</w:t>
      </w:r>
      <w:r w:rsidRPr="007E77AF">
        <w:tab/>
      </w:r>
      <w:r>
        <w:rPr>
          <w:rFonts w:cstheme="minorHAnsi"/>
        </w:rPr>
        <w:t>obrigações que a oferta impõe quanto à persecução de objetivos “verdes”, “sociais”, “sustentáveis” ou termos correlatos, conforme metodologias, princípios ou diretrizes amplamente reconhecidos</w:t>
      </w:r>
      <w:r w:rsidRPr="007E77AF">
        <w:t>; e</w:t>
      </w:r>
    </w:p>
    <w:p w14:paraId="1712D5AB" w14:textId="020560BC" w:rsidR="009A242A" w:rsidRPr="007E77AF" w:rsidRDefault="009A242A" w:rsidP="001353DC">
      <w:pPr>
        <w:spacing w:before="120" w:after="120" w:line="312" w:lineRule="auto"/>
        <w:ind w:left="1069" w:hanging="360"/>
        <w:jc w:val="both"/>
      </w:pPr>
      <w:r w:rsidRPr="007E77AF">
        <w:t>d)</w:t>
      </w:r>
      <w:r w:rsidRPr="007E77AF">
        <w:tab/>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t>.</w:t>
      </w:r>
    </w:p>
    <w:p w14:paraId="489BB4F9" w14:textId="5624A70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4.</w:t>
      </w:r>
      <w:r w:rsidRPr="007E77AF">
        <w:rPr>
          <w:rStyle w:val="normaltextrun"/>
          <w:b/>
          <w:lang w:val="pt-BR"/>
        </w:rPr>
        <w:tab/>
        <w:t>Fatores de risco</w:t>
      </w:r>
    </w:p>
    <w:p w14:paraId="187A829C" w14:textId="572836A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lastRenderedPageBreak/>
        <w:t>4.1</w:t>
      </w:r>
      <w:r>
        <w:rPr>
          <w:rStyle w:val="normaltextrun"/>
          <w:lang w:val="pt-BR"/>
        </w:rPr>
        <w:t>.</w:t>
      </w:r>
      <w:r w:rsidRPr="007E77AF">
        <w:rPr>
          <w:rStyle w:val="normaltextrun"/>
          <w:lang w:val="pt-BR"/>
        </w:rPr>
        <w:tab/>
        <w:t>Em ordem decrescente de relevância, os principais fatores de risco associados à oferta e ao emissor, incluindo:</w:t>
      </w:r>
    </w:p>
    <w:p w14:paraId="2EF15F75" w14:textId="77777777" w:rsidR="009A242A" w:rsidRPr="007E77AF" w:rsidRDefault="009A242A" w:rsidP="001353DC">
      <w:pPr>
        <w:spacing w:before="120" w:after="120" w:line="312" w:lineRule="auto"/>
        <w:ind w:left="1069" w:hanging="360"/>
        <w:jc w:val="both"/>
      </w:pPr>
      <w:r w:rsidRPr="007E77AF">
        <w:t>a)</w:t>
      </w:r>
      <w:r w:rsidRPr="007E77AF">
        <w:tab/>
        <w:t>riscos associados ao nível de subordinação, caso aplicável, e ao consequente impacto nos pagamentos aos investidores em caso de insolvência;</w:t>
      </w:r>
    </w:p>
    <w:p w14:paraId="7CE7DB99" w14:textId="77777777" w:rsidR="009A242A" w:rsidRPr="007E77AF" w:rsidRDefault="009A242A" w:rsidP="001353DC">
      <w:pPr>
        <w:spacing w:before="120" w:after="120" w:line="312" w:lineRule="auto"/>
        <w:ind w:left="1069" w:hanging="360"/>
        <w:jc w:val="both"/>
      </w:pPr>
      <w:r w:rsidRPr="007E77AF">
        <w:t>b)</w:t>
      </w:r>
      <w:r w:rsidRPr="007E77AF">
        <w:tab/>
        <w:t>riscos decorrentes dos critérios adotados pelo originador ou cedente para concessão de crédito;</w:t>
      </w:r>
    </w:p>
    <w:p w14:paraId="65E08373" w14:textId="77777777" w:rsidR="009A242A" w:rsidRPr="007E77AF" w:rsidRDefault="009A242A" w:rsidP="001353DC">
      <w:pPr>
        <w:spacing w:before="120" w:after="120" w:line="312" w:lineRule="auto"/>
        <w:ind w:left="1069" w:hanging="360"/>
        <w:jc w:val="both"/>
      </w:pPr>
      <w:r w:rsidRPr="007E77AF">
        <w:t>c)</w:t>
      </w:r>
      <w:r w:rsidRPr="007E77AF">
        <w:tab/>
        <w:t>eventuais restrições de natureza legal ou regulatória que possam afetar adversamente a validade da constituição e da cessão dos direitos creditórios para o emissor, bem como o comportamento do conjunto dos direitos creditórios cedidos e os fluxos de caixa a serem gerados; e</w:t>
      </w:r>
    </w:p>
    <w:p w14:paraId="711FD12E" w14:textId="77777777" w:rsidR="009A242A" w:rsidRPr="007E77AF" w:rsidRDefault="009A242A" w:rsidP="001353DC">
      <w:pPr>
        <w:spacing w:before="120" w:after="120" w:line="312" w:lineRule="auto"/>
        <w:ind w:left="1069" w:hanging="360"/>
        <w:jc w:val="both"/>
      </w:pPr>
      <w:r w:rsidRPr="007E77AF">
        <w:t>d)</w:t>
      </w:r>
      <w:r w:rsidRPr="007E77AF">
        <w:tab/>
        <w:t>riscos específicos e significativos relacionados com o agente garantidor da dívida, se houver, na medida em que sejam relevantes para a sua capacidade de cumprir o seu compromisso nos termos da garantia.</w:t>
      </w:r>
    </w:p>
    <w:p w14:paraId="6CA8BBF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5.</w:t>
      </w:r>
      <w:r w:rsidRPr="007E77AF">
        <w:rPr>
          <w:rStyle w:val="normaltextrun"/>
          <w:b/>
          <w:lang w:val="pt-BR"/>
        </w:rPr>
        <w:tab/>
        <w:t>Cronograma</w:t>
      </w:r>
    </w:p>
    <w:p w14:paraId="203F95B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5.1</w:t>
      </w:r>
      <w:r>
        <w:rPr>
          <w:rStyle w:val="normaltextrun"/>
          <w:rFonts w:cstheme="minorHAnsi"/>
          <w:lang w:val="pt-BR"/>
        </w:rPr>
        <w:t>.</w:t>
      </w:r>
      <w:r w:rsidRPr="007E77AF">
        <w:rPr>
          <w:rStyle w:val="normaltextrun"/>
          <w:rFonts w:cstheme="minorHAnsi"/>
          <w:lang w:val="pt-BR"/>
        </w:rPr>
        <w:tab/>
        <w:t>Cronograma das etapas da oferta, destacando no mínimo:</w:t>
      </w:r>
    </w:p>
    <w:p w14:paraId="425FAD74" w14:textId="77777777" w:rsidR="009A242A" w:rsidRPr="007E77AF" w:rsidRDefault="009A242A" w:rsidP="001353DC">
      <w:pPr>
        <w:spacing w:before="120" w:after="120" w:line="312" w:lineRule="auto"/>
        <w:ind w:left="1069" w:hanging="360"/>
        <w:jc w:val="both"/>
      </w:pPr>
      <w:r w:rsidRPr="007E77AF">
        <w:t>a)</w:t>
      </w:r>
      <w:r w:rsidRPr="007E77AF">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6B8E0D69" w14:textId="235CCB50" w:rsidR="009A242A" w:rsidRPr="007E77AF" w:rsidRDefault="009A242A" w:rsidP="001353DC">
      <w:pPr>
        <w:spacing w:before="120" w:after="120" w:line="312" w:lineRule="auto"/>
        <w:ind w:left="1069" w:hanging="360"/>
        <w:jc w:val="both"/>
      </w:pPr>
      <w:r w:rsidRPr="007E77AF">
        <w:t>b)</w:t>
      </w:r>
      <w:r w:rsidRPr="007E77AF">
        <w:tab/>
        <w:t>os prazos, condições e forma para: (i) manifestações de aceitação dos investidores interessados e de revogação da aceitação, (</w:t>
      </w:r>
      <w:proofErr w:type="spellStart"/>
      <w:r w:rsidRPr="007E77AF">
        <w:t>ii</w:t>
      </w:r>
      <w:proofErr w:type="spellEnd"/>
      <w:r w:rsidRPr="007E77AF">
        <w:t>) subscrição, integralização e entrega de respectivos certificados, conforme o caso, (</w:t>
      </w:r>
      <w:proofErr w:type="spellStart"/>
      <w:r w:rsidRPr="007E77AF">
        <w:t>iii</w:t>
      </w:r>
      <w:proofErr w:type="spellEnd"/>
      <w:r w:rsidRPr="007E77AF">
        <w:t>) distribuição junto ao público investidor em geral, (</w:t>
      </w:r>
      <w:proofErr w:type="spellStart"/>
      <w:r w:rsidRPr="007E77AF">
        <w:t>iv</w:t>
      </w:r>
      <w:proofErr w:type="spellEnd"/>
      <w:r w:rsidRPr="007E77AF">
        <w:t xml:space="preserve">) posterior alienação dos valores mobiliários adquiridos </w:t>
      </w:r>
      <w:r>
        <w:t>pelos coordenadores</w:t>
      </w:r>
      <w:r w:rsidRPr="007E77AF">
        <w:t xml:space="preserve"> em decorrência da prestação de garantia, (v) pagamento e financiamento, se for o caso, (vi) devolução e reembolso aos investidores, se for o caso, e (</w:t>
      </w:r>
      <w:proofErr w:type="spellStart"/>
      <w:r w:rsidRPr="007E77AF">
        <w:t>vii</w:t>
      </w:r>
      <w:proofErr w:type="spellEnd"/>
      <w:r w:rsidRPr="007E77AF">
        <w:t>) quaisquer outras datas relativas à oferta pública de interesse para os investidores ou ao mercado em geral.</w:t>
      </w:r>
    </w:p>
    <w:p w14:paraId="43A55FEB" w14:textId="39F08CB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6</w:t>
      </w:r>
      <w:r w:rsidRPr="007E77AF">
        <w:rPr>
          <w:rStyle w:val="normaltextrun"/>
          <w:rFonts w:cstheme="minorHAnsi"/>
          <w:b/>
          <w:bCs/>
          <w:lang w:val="pt-BR"/>
        </w:rPr>
        <w:t>.</w:t>
      </w:r>
      <w:r w:rsidRPr="007E77AF">
        <w:rPr>
          <w:rStyle w:val="normaltextrun"/>
          <w:rFonts w:cstheme="minorHAnsi"/>
          <w:b/>
          <w:bCs/>
          <w:lang w:val="pt-BR"/>
        </w:rPr>
        <w:tab/>
        <w:t>Restrições a direitos de investidores no contexto da oferta</w:t>
      </w:r>
    </w:p>
    <w:p w14:paraId="3A5D8E11" w14:textId="5C52178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6</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Descrição de eventuais restrições à transferência dos valores mobiliários;</w:t>
      </w:r>
    </w:p>
    <w:p w14:paraId="321FF7E5" w14:textId="545C61F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6</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0F75DE3E" w14:textId="730B233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6</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 xml:space="preserve">Esclarecimento sobre os procedimentos previstos nos </w:t>
      </w:r>
      <w:proofErr w:type="spellStart"/>
      <w:r w:rsidRPr="007E77AF">
        <w:rPr>
          <w:rStyle w:val="normaltextrun"/>
          <w:rFonts w:cstheme="minorHAnsi"/>
          <w:lang w:val="pt-BR"/>
        </w:rPr>
        <w:t>arts</w:t>
      </w:r>
      <w:proofErr w:type="spellEnd"/>
      <w:r w:rsidRPr="007E77AF">
        <w:rPr>
          <w:rStyle w:val="normaltextrun"/>
          <w:rFonts w:cstheme="minorHAnsi"/>
          <w:lang w:val="pt-BR"/>
        </w:rPr>
        <w:t xml:space="preserve">. </w:t>
      </w:r>
      <w:r w:rsidR="002576C5">
        <w:rPr>
          <w:rStyle w:val="normaltextrun"/>
          <w:rFonts w:cstheme="minorHAnsi"/>
          <w:lang w:val="pt-BR"/>
        </w:rPr>
        <w:t>70</w:t>
      </w:r>
      <w:r w:rsidR="002576C5" w:rsidRPr="007E77AF">
        <w:rPr>
          <w:rStyle w:val="normaltextrun"/>
          <w:rFonts w:cstheme="minorHAnsi"/>
          <w:lang w:val="pt-BR"/>
        </w:rPr>
        <w:t xml:space="preserve"> </w:t>
      </w:r>
      <w:r w:rsidRPr="007E77AF">
        <w:rPr>
          <w:rStyle w:val="normaltextrun"/>
          <w:rFonts w:cstheme="minorHAnsi"/>
          <w:lang w:val="pt-BR"/>
        </w:rPr>
        <w:t xml:space="preserve">e </w:t>
      </w:r>
      <w:r w:rsidR="002576C5">
        <w:rPr>
          <w:rStyle w:val="normaltextrun"/>
          <w:rFonts w:cstheme="minorHAnsi"/>
          <w:lang w:val="pt-BR"/>
        </w:rPr>
        <w:t>71</w:t>
      </w:r>
      <w:r w:rsidRPr="007E77AF">
        <w:rPr>
          <w:rStyle w:val="normaltextrun"/>
          <w:rFonts w:cstheme="minorHAnsi"/>
          <w:lang w:val="pt-BR"/>
        </w:rPr>
        <w:t xml:space="preserve"> da Resolução a respeito da eventual modificação da oferta, notadamente quanto aos efeitos do silêncio do investidor.</w:t>
      </w:r>
    </w:p>
    <w:p w14:paraId="37DBA007" w14:textId="72CD24F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Pr>
          <w:rStyle w:val="normaltextrun"/>
          <w:b/>
          <w:lang w:val="pt-BR"/>
        </w:rPr>
        <w:t>7</w:t>
      </w:r>
      <w:r w:rsidRPr="007E77AF">
        <w:rPr>
          <w:rStyle w:val="normaltextrun"/>
          <w:b/>
          <w:lang w:val="pt-BR"/>
        </w:rPr>
        <w:t>.</w:t>
      </w:r>
      <w:r w:rsidRPr="007E77AF">
        <w:rPr>
          <w:rStyle w:val="normaltextrun"/>
          <w:b/>
          <w:lang w:val="pt-BR"/>
        </w:rPr>
        <w:tab/>
        <w:t>Outras características da oferta</w:t>
      </w:r>
    </w:p>
    <w:p w14:paraId="7F970C86" w14:textId="0D533CF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.1</w:t>
      </w:r>
      <w:r>
        <w:rPr>
          <w:rStyle w:val="normaltextrun"/>
          <w:rFonts w:cstheme="minorBidi"/>
          <w:lang w:val="pt-BR"/>
        </w:rPr>
        <w:t>.</w:t>
      </w:r>
      <w:r w:rsidRPr="007E77AF">
        <w:rPr>
          <w:rStyle w:val="normaltextrun"/>
          <w:rFonts w:cstheme="minorBidi"/>
          <w:lang w:val="pt-BR"/>
        </w:rPr>
        <w:tab/>
        <w:t>Eventuais condições a que a oferta pública esteja submetida;</w:t>
      </w:r>
    </w:p>
    <w:p w14:paraId="60C864AB" w14:textId="4599393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Bidi"/>
          <w:lang w:val="pt-BR"/>
        </w:rPr>
      </w:pPr>
      <w:r>
        <w:rPr>
          <w:rStyle w:val="normaltextrun"/>
          <w:rFonts w:eastAsiaTheme="minorBidi"/>
          <w:lang w:val="pt-BR"/>
        </w:rPr>
        <w:t>7</w:t>
      </w:r>
      <w:r w:rsidRPr="007E77AF">
        <w:rPr>
          <w:rStyle w:val="normaltextrun"/>
          <w:rFonts w:eastAsiaTheme="minorBidi"/>
          <w:lang w:val="pt-BR"/>
        </w:rPr>
        <w:t>.2</w:t>
      </w:r>
      <w:r>
        <w:rPr>
          <w:rStyle w:val="normaltextrun"/>
          <w:rFonts w:eastAsiaTheme="minorBidi"/>
          <w:lang w:val="pt-BR"/>
        </w:rPr>
        <w:t>.</w:t>
      </w:r>
      <w:r w:rsidRPr="007E77AF">
        <w:rPr>
          <w:rStyle w:val="normaltextrun"/>
          <w:rFonts w:eastAsiaTheme="minorBidi"/>
          <w:lang w:val="pt-BR"/>
        </w:rPr>
        <w:tab/>
      </w:r>
      <w:r w:rsidRPr="007E77AF">
        <w:rPr>
          <w:rStyle w:val="normaltextrun"/>
          <w:lang w:val="pt-BR"/>
        </w:rPr>
        <w:t>Eventual destinação da oferta pública ou partes da oferta pública a investidores específicos e a descrição destes investidores;</w:t>
      </w:r>
    </w:p>
    <w:p w14:paraId="02CAD4DC" w14:textId="2235BB2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.3</w:t>
      </w:r>
      <w:r>
        <w:rPr>
          <w:rStyle w:val="normaltextrun"/>
          <w:lang w:val="pt-BR"/>
        </w:rPr>
        <w:t>.</w:t>
      </w:r>
      <w:r w:rsidRPr="007E77AF">
        <w:rPr>
          <w:rStyle w:val="normaltextrun"/>
          <w:lang w:val="pt-BR"/>
        </w:rPr>
        <w:tab/>
      </w:r>
      <w:r w:rsidRPr="007E77AF">
        <w:rPr>
          <w:rStyle w:val="normaltextrun"/>
          <w:rFonts w:cstheme="minorBidi"/>
          <w:lang w:val="pt-BR"/>
        </w:rPr>
        <w:t>Deliberações necessárias à emissão ou distribuição das cotas, identificando os órgãos deliberativos responsáveis e as respectivas reuniões em que foi aprovada a operação;</w:t>
      </w:r>
    </w:p>
    <w:p w14:paraId="3A549C24" w14:textId="025A2A9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.4</w:t>
      </w:r>
      <w:r>
        <w:rPr>
          <w:rStyle w:val="normaltextrun"/>
          <w:lang w:val="pt-BR"/>
        </w:rPr>
        <w:t>.</w:t>
      </w:r>
      <w:r w:rsidRPr="007E77AF">
        <w:rPr>
          <w:rStyle w:val="normaltextrun"/>
          <w:lang w:val="pt-BR"/>
        </w:rPr>
        <w:tab/>
        <w:t>Regime de distribuição;</w:t>
      </w:r>
    </w:p>
    <w:p w14:paraId="5AF6EEF7" w14:textId="58202DF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.5</w:t>
      </w:r>
      <w:r>
        <w:rPr>
          <w:rStyle w:val="normaltextrun"/>
          <w:rFonts w:cstheme="minorBidi"/>
          <w:lang w:val="pt-BR"/>
        </w:rPr>
        <w:t>.</w:t>
      </w:r>
      <w:r w:rsidRPr="007E77AF">
        <w:rPr>
          <w:rStyle w:val="normaltextrun"/>
          <w:rFonts w:cstheme="minorBidi"/>
          <w:lang w:val="pt-BR"/>
        </w:rPr>
        <w:tab/>
        <w:t>Dinâmica de coleta de intenções de investimento e determinação do preço ou taxa;</w:t>
      </w:r>
    </w:p>
    <w:p w14:paraId="4E3A5B10" w14:textId="658FE0B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.6</w:t>
      </w:r>
      <w:r>
        <w:rPr>
          <w:rStyle w:val="normaltextrun"/>
          <w:lang w:val="pt-BR"/>
        </w:rPr>
        <w:t>.</w:t>
      </w:r>
      <w:r w:rsidRPr="007E77AF">
        <w:rPr>
          <w:rStyle w:val="normaltextrun"/>
          <w:lang w:val="pt-BR"/>
        </w:rPr>
        <w:tab/>
        <w:t>Formador de mercado;</w:t>
      </w:r>
    </w:p>
    <w:p w14:paraId="2FC44CC8" w14:textId="5BAC3BE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.7</w:t>
      </w:r>
      <w:r>
        <w:rPr>
          <w:rStyle w:val="normaltextrun"/>
          <w:rFonts w:cstheme="minorBidi"/>
          <w:lang w:val="pt-BR"/>
        </w:rPr>
        <w:t>.</w:t>
      </w:r>
      <w:r w:rsidRPr="007E77AF">
        <w:rPr>
          <w:rStyle w:val="normaltextrun"/>
          <w:rFonts w:cstheme="minorBidi"/>
          <w:lang w:val="pt-BR"/>
        </w:rPr>
        <w:tab/>
        <w:t>Fundo de liquidez e estabilização, se houver; e</w:t>
      </w:r>
    </w:p>
    <w:p w14:paraId="18C25193" w14:textId="7983A11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.8</w:t>
      </w:r>
      <w:r>
        <w:rPr>
          <w:rStyle w:val="normaltextrun"/>
          <w:rFonts w:cstheme="minorBidi"/>
          <w:lang w:val="pt-BR"/>
        </w:rPr>
        <w:t>.</w:t>
      </w:r>
      <w:r w:rsidRPr="007E77AF">
        <w:rPr>
          <w:rStyle w:val="normaltextrun"/>
          <w:rFonts w:cstheme="minorBidi"/>
          <w:lang w:val="pt-BR"/>
        </w:rPr>
        <w:tab/>
        <w:t>Requisitos ou exigências mínimas de investimento, caso existam.</w:t>
      </w:r>
    </w:p>
    <w:p w14:paraId="71C041BA" w14:textId="49C8508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8</w:t>
      </w:r>
      <w:r w:rsidRPr="007E77AF">
        <w:rPr>
          <w:rStyle w:val="normaltextrun"/>
          <w:rFonts w:cstheme="minorHAnsi"/>
          <w:b/>
          <w:bCs/>
          <w:lang w:val="pt-BR"/>
        </w:rPr>
        <w:t>.</w:t>
      </w:r>
      <w:r w:rsidRPr="007E77AF">
        <w:rPr>
          <w:rStyle w:val="normaltextrun"/>
          <w:rFonts w:cstheme="minorHAnsi"/>
          <w:b/>
          <w:bCs/>
          <w:lang w:val="pt-BR"/>
        </w:rPr>
        <w:tab/>
        <w:t>Informações sobre a estrutura da operação</w:t>
      </w:r>
    </w:p>
    <w:p w14:paraId="77A667CA" w14:textId="24C5AB5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.1</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Possibilidade de os direitos creditórios cedidos serem acrescidos, removidos ou substituídos, com indicação das condições em que tais eventos podem ocorrer e dos efeitos que podem ter sobre os fluxos de pagamentos aos titulares dos valores mobiliários ofertados;</w:t>
      </w:r>
    </w:p>
    <w:p w14:paraId="45E8ADE3" w14:textId="4E4B558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e descrição dos reforços de créditos e outras garantias existentes;</w:t>
      </w:r>
    </w:p>
    <w:p w14:paraId="0A63C0E6" w14:textId="4D56A1E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eventual utilização de instrumentos derivativos que possam alterar os fluxos de pagamento previstos para os titulares dos valores mobiliários ofertados;</w:t>
      </w:r>
    </w:p>
    <w:p w14:paraId="2FEBEC75" w14:textId="2792281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.4</w:t>
      </w:r>
      <w:r>
        <w:rPr>
          <w:rStyle w:val="normaltextrun"/>
          <w:rFonts w:eastAsiaTheme="minorEastAsia" w:cstheme="minorHAnsi"/>
          <w:lang w:val="pt-BR"/>
        </w:rPr>
        <w:t>.</w:t>
      </w:r>
      <w:r w:rsidRPr="007E77AF">
        <w:rPr>
          <w:rStyle w:val="normaltextrun"/>
          <w:rFonts w:eastAsiaTheme="minorEastAsia" w:cstheme="minorHAnsi"/>
          <w:lang w:val="pt-BR"/>
        </w:rPr>
        <w:tab/>
        <w:t>Política de investimento, discriminando inclusive os métodos e critérios utilizados para seleção dos ativos</w:t>
      </w:r>
      <w:r>
        <w:rPr>
          <w:rStyle w:val="normaltextrun"/>
          <w:rFonts w:eastAsiaTheme="minorEastAsia" w:cstheme="minorHAnsi"/>
          <w:lang w:val="pt-BR"/>
        </w:rPr>
        <w:t>;</w:t>
      </w:r>
    </w:p>
    <w:p w14:paraId="08DB0120" w14:textId="7F87BA8F"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.5</w:t>
      </w:r>
      <w:r>
        <w:rPr>
          <w:rStyle w:val="normaltextrun"/>
          <w:rFonts w:eastAsiaTheme="minorEastAsia" w:cstheme="minorHAnsi"/>
          <w:lang w:val="pt-BR"/>
        </w:rPr>
        <w:t>.</w:t>
      </w:r>
      <w:r w:rsidRPr="007E77AF">
        <w:rPr>
          <w:rStyle w:val="normaltextrun"/>
          <w:rFonts w:eastAsiaTheme="minorEastAsia" w:cstheme="minorHAnsi"/>
          <w:lang w:val="pt-BR"/>
        </w:rPr>
        <w:tab/>
        <w:t>Os eventos que podem alterar o cronograma ou a prioridade de pagamento e amortização das cotas, como, por exemplo, eventos de avaliação e liquidação</w:t>
      </w:r>
      <w:r>
        <w:rPr>
          <w:rStyle w:val="normaltextrun"/>
          <w:rFonts w:eastAsiaTheme="minorEastAsia" w:cstheme="minorHAnsi"/>
          <w:lang w:val="pt-BR"/>
        </w:rPr>
        <w:t>; e</w:t>
      </w:r>
    </w:p>
    <w:p w14:paraId="54C6DA14" w14:textId="0F8EE4E8"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.6</w:t>
      </w:r>
      <w:r>
        <w:rPr>
          <w:rStyle w:val="normaltextrun"/>
          <w:rFonts w:eastAsiaTheme="minorEastAsia" w:cstheme="minorHAnsi"/>
          <w:lang w:val="pt-BR"/>
        </w:rPr>
        <w:t>.</w:t>
      </w:r>
      <w:r w:rsidRPr="007E77AF">
        <w:rPr>
          <w:rStyle w:val="normaltextrun"/>
          <w:rFonts w:eastAsiaTheme="minorEastAsia" w:cstheme="minorHAnsi"/>
          <w:lang w:val="pt-BR"/>
        </w:rPr>
        <w:tab/>
        <w:t>Descrição dos outros prestadores de serviços contratados em nome do fundo</w:t>
      </w:r>
      <w:r>
        <w:rPr>
          <w:rStyle w:val="normaltextrun"/>
          <w:rFonts w:eastAsiaTheme="minorEastAsia" w:cstheme="minorHAnsi"/>
          <w:lang w:val="pt-BR"/>
        </w:rPr>
        <w:t>.</w:t>
      </w:r>
    </w:p>
    <w:p w14:paraId="6BA9069B" w14:textId="2DF9D36F"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Pr>
          <w:rStyle w:val="normaltextrun"/>
          <w:rFonts w:eastAsiaTheme="minorEastAsia"/>
          <w:b/>
          <w:lang w:val="pt-BR"/>
        </w:rPr>
        <w:t>9</w:t>
      </w:r>
      <w:r w:rsidRPr="007E77AF">
        <w:rPr>
          <w:rStyle w:val="normaltextrun"/>
          <w:rFonts w:eastAsiaTheme="minorEastAsia"/>
          <w:b/>
          <w:lang w:val="pt-BR"/>
        </w:rPr>
        <w:t>.</w:t>
      </w:r>
      <w:r w:rsidRPr="007E77AF">
        <w:rPr>
          <w:rStyle w:val="normaltextrun"/>
          <w:rFonts w:eastAsiaTheme="minorEastAsia"/>
          <w:b/>
          <w:lang w:val="pt-BR"/>
        </w:rPr>
        <w:tab/>
      </w:r>
      <w:r w:rsidRPr="007E77AF">
        <w:rPr>
          <w:rStyle w:val="normaltextrun"/>
          <w:b/>
          <w:lang w:val="pt-BR"/>
        </w:rPr>
        <w:t>Informações sobre os direitos creditórios</w:t>
      </w:r>
    </w:p>
    <w:p w14:paraId="4E6F643D" w14:textId="6431043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9</w:t>
      </w:r>
      <w:r w:rsidRPr="007E77AF">
        <w:rPr>
          <w:rStyle w:val="normaltextrun"/>
          <w:lang w:val="pt-BR"/>
        </w:rPr>
        <w:t>.1</w:t>
      </w:r>
      <w:r>
        <w:rPr>
          <w:rStyle w:val="normaltextrun"/>
          <w:lang w:val="pt-BR"/>
        </w:rPr>
        <w:t>.</w:t>
      </w:r>
      <w:r w:rsidRPr="007E77AF">
        <w:rPr>
          <w:rStyle w:val="normaltextrun"/>
          <w:lang w:val="pt-BR"/>
        </w:rPr>
        <w:tab/>
      </w:r>
      <w:r w:rsidRPr="007E77AF">
        <w:rPr>
          <w:rStyle w:val="normaltextrun"/>
          <w:rFonts w:cstheme="minorHAnsi"/>
          <w:lang w:val="pt-BR"/>
        </w:rPr>
        <w:t>Informações descritivas das características relevantes dos direitos creditórios, tais como:</w:t>
      </w:r>
    </w:p>
    <w:p w14:paraId="226562C9" w14:textId="77777777" w:rsidR="009A242A" w:rsidRPr="007E77AF" w:rsidRDefault="009A242A" w:rsidP="001353DC">
      <w:pPr>
        <w:spacing w:before="120" w:after="120" w:line="312" w:lineRule="auto"/>
        <w:ind w:left="1069" w:hanging="360"/>
        <w:jc w:val="both"/>
      </w:pPr>
      <w:r w:rsidRPr="007E77AF">
        <w:rPr>
          <w:rFonts w:cstheme="minorHAnsi"/>
        </w:rPr>
        <w:lastRenderedPageBreak/>
        <w:t>a)</w:t>
      </w:r>
      <w:r w:rsidRPr="007E77AF">
        <w:rPr>
          <w:rFonts w:cstheme="minorHAnsi"/>
        </w:rPr>
        <w:tab/>
      </w:r>
      <w:r w:rsidRPr="007E77AF">
        <w:t>número de direitos creditórios cedidos e valor total;</w:t>
      </w:r>
    </w:p>
    <w:p w14:paraId="268B7EB4"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taxas de juros ou de retornos incidentes sobre os direitos creditórios cedidos;</w:t>
      </w:r>
    </w:p>
    <w:p w14:paraId="50889662"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prazos de vencimento dos créditos;</w:t>
      </w:r>
    </w:p>
    <w:p w14:paraId="22FE0306"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períodos de amortização;</w:t>
      </w:r>
    </w:p>
    <w:p w14:paraId="05C6B35B"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finalidade dos créditos; e</w:t>
      </w:r>
    </w:p>
    <w:p w14:paraId="32DB6A0C" w14:textId="77777777"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descrição das garantias eventualmente previstas para o conjunto de ativos.</w:t>
      </w:r>
    </w:p>
    <w:p w14:paraId="26802CD9" w14:textId="477BA95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da forma de cessão dos direitos creditórios ao emissor, destacando-se as passagens relevantes de eventuais contratos firmados com este propósito, e indicação acerca do caráter definitivo, ou não, da cessão;</w:t>
      </w:r>
    </w:p>
    <w:p w14:paraId="1E45362F" w14:textId="6E1C5601"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Indicação dos níveis de concentração dos direitos creditórios, por devedor, em relação ao valor total dos créditos que servem de lastro para os valores mobiliários ofertados;</w:t>
      </w:r>
    </w:p>
    <w:p w14:paraId="603C6923" w14:textId="501C57A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.4</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dos critérios adotados pelo originador ou cedente para concessão de crédito;</w:t>
      </w:r>
    </w:p>
    <w:p w14:paraId="089A492C" w14:textId="6A5C76A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.5</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Procedimentos de cobrança e pagamento, abrangendo</w:t>
      </w:r>
      <w:r w:rsidRPr="007E77AF">
        <w:rPr>
          <w:lang w:val="pt-BR"/>
        </w:rPr>
        <w:t xml:space="preserve"> </w:t>
      </w:r>
      <w:r w:rsidRPr="007E77AF">
        <w:rPr>
          <w:rStyle w:val="normaltextrun"/>
          <w:rFonts w:cstheme="minorHAnsi"/>
          <w:lang w:val="pt-BR"/>
        </w:rPr>
        <w:t>o agente responsável pela cobrança, a periodicidade e condições de pagamento;</w:t>
      </w:r>
    </w:p>
    <w:p w14:paraId="21F5CE37" w14:textId="78414A6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.6</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Informações estatísticas sobre inadimplementos, perdas ou pré-pagamento de créditos de mesma natureza dos direitos creditórios que comporão o patrimônio do emissor, compreendendo um período de 3 (três) anos imediatamente anteriores à data da oferta, acompanhadas de exposição da metodologia utilizada para efeito desse cálculo;</w:t>
      </w:r>
    </w:p>
    <w:p w14:paraId="6DF4D46B" w14:textId="60621C9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Se as informações requeridas no item </w:t>
      </w:r>
      <w:r>
        <w:rPr>
          <w:rStyle w:val="normaltextrun"/>
          <w:rFonts w:cstheme="minorHAnsi"/>
          <w:lang w:val="pt-BR"/>
        </w:rPr>
        <w:t>9</w:t>
      </w:r>
      <w:r w:rsidRPr="007E77AF">
        <w:rPr>
          <w:rStyle w:val="normaltextrun"/>
          <w:rFonts w:cstheme="minorHAnsi"/>
          <w:lang w:val="pt-BR"/>
        </w:rPr>
        <w:t xml:space="preserve">.6 supra não forem de conhecimento dos administradores do emissor ou </w:t>
      </w:r>
      <w:r>
        <w:rPr>
          <w:rStyle w:val="normaltextrun"/>
          <w:rFonts w:cstheme="minorHAnsi"/>
          <w:lang w:val="pt-BR"/>
        </w:rPr>
        <w:t>da instituição intermediária</w:t>
      </w:r>
      <w:r w:rsidRPr="007E77AF">
        <w:rPr>
          <w:rStyle w:val="normaltextrun"/>
          <w:rFonts w:cstheme="minorHAnsi"/>
          <w:lang w:val="pt-BR"/>
        </w:rPr>
        <w:t xml:space="preserve"> da oferta, nem possam ser por eles obtidas, tal fato deve ser divulgado, juntamente com declaração de que foram feitos esforços razoáveis para obtê-las. Ainda assim, devem ser divulgadas as informações que o administrador e </w:t>
      </w:r>
      <w:r>
        <w:rPr>
          <w:rStyle w:val="normaltextrun"/>
          <w:rFonts w:cstheme="minorHAnsi"/>
          <w:lang w:val="pt-BR"/>
        </w:rPr>
        <w:t>a instituição intermediária</w:t>
      </w:r>
      <w:r w:rsidRPr="007E77AF">
        <w:rPr>
          <w:rStyle w:val="normaltextrun"/>
          <w:rFonts w:cstheme="minorHAnsi"/>
          <w:lang w:val="pt-BR"/>
        </w:rPr>
        <w:t xml:space="preserve"> tenham a respeito, ainda que parciais;</w:t>
      </w:r>
    </w:p>
    <w:p w14:paraId="6485EECD" w14:textId="2EEF57B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.8</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situações de pré-pagamento dos direitos creditórios, com indicação de possíveis efeitos desse evento sobre a rentabilidade dos valores mobiliários ofertados;</w:t>
      </w:r>
    </w:p>
    <w:p w14:paraId="012717E7" w14:textId="2F0514A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9</w:t>
      </w:r>
      <w:r w:rsidRPr="007E77AF">
        <w:rPr>
          <w:rStyle w:val="normaltextrun"/>
          <w:rFonts w:eastAsiaTheme="minorEastAsia"/>
          <w:lang w:val="pt-BR"/>
        </w:rPr>
        <w:t>.9</w:t>
      </w:r>
      <w:r>
        <w:rPr>
          <w:rStyle w:val="normaltextrun"/>
          <w:rFonts w:eastAsiaTheme="minorEastAsia"/>
          <w:lang w:val="pt-BR"/>
        </w:rPr>
        <w:t>.</w:t>
      </w:r>
      <w:r w:rsidRPr="007E77AF">
        <w:rPr>
          <w:rStyle w:val="normaltextrun"/>
          <w:rFonts w:eastAsiaTheme="minorEastAsia"/>
          <w:lang w:val="pt-BR"/>
        </w:rPr>
        <w:tab/>
      </w:r>
      <w:r w:rsidRPr="007E77AF">
        <w:rPr>
          <w:rStyle w:val="normaltextrun"/>
          <w:rFonts w:cstheme="minorHAnsi"/>
          <w:lang w:val="pt-BR"/>
        </w:rPr>
        <w:t>Identificação de quaisquer eventos, previstos nos contratos firmados para estruturar a operação, que possam acarretar a liquidação ou amortização antecipada dos créditos cedidos ao emissor, bem como quaisquer outros fatos que possam afetar a regularidade dos fluxos de pagamento previstos;</w:t>
      </w:r>
    </w:p>
    <w:p w14:paraId="53CC9BD5" w14:textId="77F049A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9</w:t>
      </w:r>
      <w:r w:rsidRPr="007E77AF">
        <w:rPr>
          <w:rStyle w:val="normaltextrun"/>
          <w:rFonts w:cstheme="minorHAnsi"/>
          <w:lang w:val="pt-BR"/>
        </w:rPr>
        <w:t>.10</w:t>
      </w:r>
      <w:r>
        <w:rPr>
          <w:rStyle w:val="normaltextrun"/>
          <w:rFonts w:cstheme="minorHAnsi"/>
          <w:lang w:val="pt-BR"/>
        </w:rPr>
        <w:t>.</w:t>
      </w:r>
      <w:r w:rsidRPr="007E77AF">
        <w:rPr>
          <w:rStyle w:val="normaltextrun"/>
          <w:rFonts w:cstheme="minorHAnsi"/>
          <w:lang w:val="pt-BR"/>
        </w:rPr>
        <w:tab/>
        <w:t>Descrição das principais disposições contratuais, ou, conforme o caso, do regulamento do fundo, que disciplinem as funções e responsabilidades do custodiante e demais prestadores de serviço, com destaque para:</w:t>
      </w:r>
    </w:p>
    <w:p w14:paraId="6B832CF1" w14:textId="5846A6C5" w:rsidR="009A242A" w:rsidRPr="007E77AF" w:rsidRDefault="009A242A" w:rsidP="001353DC">
      <w:pPr>
        <w:spacing w:before="120" w:after="120" w:line="312" w:lineRule="auto"/>
        <w:ind w:left="1069" w:hanging="360"/>
        <w:jc w:val="both"/>
      </w:pPr>
      <w:r w:rsidRPr="007E77AF">
        <w:t>a)</w:t>
      </w:r>
      <w:r w:rsidRPr="007E77AF">
        <w:tab/>
        <w:t>procedimentos para recebimento e cobrança dos créditos, bem como medidas de segregação dos valores recebidos quando da liquidação dos direitos creditórios;</w:t>
      </w:r>
    </w:p>
    <w:p w14:paraId="22601ACE" w14:textId="77777777" w:rsidR="009A242A" w:rsidRPr="007E77AF" w:rsidRDefault="009A242A" w:rsidP="001353DC">
      <w:pPr>
        <w:spacing w:before="120" w:after="120" w:line="312" w:lineRule="auto"/>
        <w:ind w:left="1069" w:hanging="360"/>
        <w:jc w:val="both"/>
      </w:pPr>
      <w:r w:rsidRPr="007E77AF">
        <w:t>b)</w:t>
      </w:r>
      <w:r w:rsidRPr="007E77AF">
        <w:tab/>
        <w:t>procedimentos do custodiante e de outros prestadores de serviço com relação a inadimplências, perdas, falências, recuperação, incluindo menção quanto a eventual execução de garantias;</w:t>
      </w:r>
    </w:p>
    <w:p w14:paraId="5BF1110C" w14:textId="239A575D" w:rsidR="009A242A" w:rsidRPr="007E77AF" w:rsidRDefault="009A242A" w:rsidP="001353DC">
      <w:pPr>
        <w:spacing w:before="120" w:after="120" w:line="312" w:lineRule="auto"/>
        <w:ind w:left="1069" w:hanging="360"/>
        <w:jc w:val="both"/>
      </w:pPr>
      <w:r w:rsidRPr="007E77AF">
        <w:t>c)</w:t>
      </w:r>
      <w:r w:rsidRPr="007E77AF">
        <w:tab/>
        <w:t xml:space="preserve">procedimentos do custodiante e de outros prestadores de serviço com relação à </w:t>
      </w:r>
      <w:r>
        <w:t xml:space="preserve">validação das condições de cessão dos direitos creditórios e à </w:t>
      </w:r>
      <w:r w:rsidRPr="007E77AF">
        <w:t xml:space="preserve">verificação </w:t>
      </w:r>
      <w:r>
        <w:t>de seu</w:t>
      </w:r>
      <w:r w:rsidRPr="007E77AF">
        <w:t xml:space="preserve"> lastro; e</w:t>
      </w:r>
    </w:p>
    <w:p w14:paraId="4A27ECC0" w14:textId="77777777" w:rsidR="009A242A" w:rsidRPr="007E77AF" w:rsidRDefault="009A242A" w:rsidP="001353DC">
      <w:pPr>
        <w:spacing w:before="120" w:after="120" w:line="312" w:lineRule="auto"/>
        <w:ind w:left="1069" w:hanging="360"/>
        <w:jc w:val="both"/>
      </w:pPr>
      <w:r w:rsidRPr="007E77AF">
        <w:t>d)</w:t>
      </w:r>
      <w:r w:rsidRPr="007E77AF">
        <w:tab/>
        <w:t>procedimentos do custodiante e de outros prestadores de serviço com relação à guarda da documentação relativa aos direitos creditórios.</w:t>
      </w:r>
    </w:p>
    <w:p w14:paraId="78B25119" w14:textId="73164D3E"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9</w:t>
      </w:r>
      <w:r w:rsidRPr="007E77AF">
        <w:rPr>
          <w:rStyle w:val="normaltextrun"/>
          <w:rFonts w:cstheme="minorHAnsi"/>
          <w:lang w:val="pt-BR"/>
        </w:rPr>
        <w:t>.11</w:t>
      </w:r>
      <w:r>
        <w:rPr>
          <w:rStyle w:val="normaltextrun"/>
          <w:rFonts w:cstheme="minorHAnsi"/>
          <w:lang w:val="pt-BR"/>
        </w:rPr>
        <w:t>.</w:t>
      </w:r>
      <w:r w:rsidRPr="007E77AF">
        <w:rPr>
          <w:rStyle w:val="normaltextrun"/>
          <w:rFonts w:cstheme="minorHAnsi"/>
          <w:lang w:val="pt-BR"/>
        </w:rPr>
        <w:tab/>
        <w:t>Informação sobre taxas de desconto praticadas pelos administradores do emissor na aquisição de direitos creditórios.</w:t>
      </w:r>
    </w:p>
    <w:p w14:paraId="6BDE13A1" w14:textId="399E482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Pr>
          <w:rStyle w:val="normaltextrun"/>
          <w:b/>
          <w:lang w:val="pt-BR"/>
        </w:rPr>
        <w:t>0</w:t>
      </w:r>
      <w:r w:rsidRPr="007E77AF">
        <w:rPr>
          <w:rStyle w:val="normaltextrun"/>
          <w:b/>
          <w:lang w:val="pt-BR"/>
        </w:rPr>
        <w:t>.</w:t>
      </w:r>
      <w:r w:rsidRPr="007E77AF">
        <w:rPr>
          <w:rStyle w:val="normaltextrun"/>
          <w:b/>
          <w:lang w:val="pt-BR"/>
        </w:rPr>
        <w:tab/>
        <w:t>Informações sobre originadores</w:t>
      </w:r>
    </w:p>
    <w:p w14:paraId="41A408E4" w14:textId="0842A0C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w:t>
      </w:r>
      <w:r>
        <w:rPr>
          <w:rStyle w:val="normaltextrun"/>
          <w:rFonts w:eastAsiaTheme="minorEastAsia"/>
          <w:lang w:val="pt-BR"/>
        </w:rPr>
        <w:t>0</w:t>
      </w:r>
      <w:r w:rsidRPr="007E77AF">
        <w:rPr>
          <w:rStyle w:val="normaltextrun"/>
          <w:rFonts w:eastAsiaTheme="minorEastAsia"/>
          <w:lang w:val="pt-BR"/>
        </w:rPr>
        <w:t>.1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Identificação dos originadores e cedentes que representem ou possam vir a representar mais de 10% (dez por cento) dos direitos creditórios cedidos ao emissor, devendo ser informado seu tipo societário, e características gerais de seu negócio, e, se for o caso, descrita sua experiência prévia em outras operações de securitização tendo como objeto o mesmo ativo objeto da securitização; e</w:t>
      </w:r>
    </w:p>
    <w:p w14:paraId="4CF5E0FA" w14:textId="449F2DF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Calibri"/>
          <w:lang w:val="pt-BR"/>
        </w:rPr>
      </w:pPr>
      <w:r w:rsidRPr="007E77AF">
        <w:rPr>
          <w:rStyle w:val="normaltextrun"/>
          <w:rFonts w:eastAsia="Calibri"/>
          <w:lang w:val="pt-BR"/>
        </w:rPr>
        <w:t>1</w:t>
      </w:r>
      <w:r>
        <w:rPr>
          <w:rStyle w:val="normaltextrun"/>
          <w:rFonts w:eastAsia="Calibri"/>
          <w:lang w:val="pt-BR"/>
        </w:rPr>
        <w:t>0</w:t>
      </w:r>
      <w:r w:rsidRPr="007E77AF">
        <w:rPr>
          <w:rStyle w:val="normaltextrun"/>
          <w:rFonts w:eastAsia="Calibri"/>
          <w:lang w:val="pt-BR"/>
        </w:rPr>
        <w:t>.2</w:t>
      </w:r>
      <w:r>
        <w:rPr>
          <w:rStyle w:val="normaltextrun"/>
          <w:rFonts w:eastAsia="Calibri"/>
          <w:lang w:val="pt-BR"/>
        </w:rPr>
        <w:t>.</w:t>
      </w:r>
      <w:r w:rsidRPr="007E77AF">
        <w:rPr>
          <w:rStyle w:val="normaltextrun"/>
          <w:rFonts w:eastAsia="Calibri"/>
          <w:lang w:val="pt-BR"/>
        </w:rPr>
        <w:tab/>
        <w:t xml:space="preserve">Em se tratando de originadores responsáveis por mais que 20% (vinte por cento) dos direitos creditórios cedidos ao emissor, quando se tratar dos direitos creditórios originados de </w:t>
      </w:r>
      <w:r w:rsidRPr="007E77AF">
        <w:rPr>
          <w:rStyle w:val="normaltextrun"/>
          <w:rFonts w:eastAsia="Calibri"/>
          <w:b/>
          <w:lang w:val="pt-BR"/>
        </w:rPr>
        <w:t>warrants</w:t>
      </w:r>
      <w:r w:rsidRPr="007E77AF">
        <w:rPr>
          <w:rStyle w:val="normaltextrun"/>
          <w:rFonts w:eastAsia="Calibri"/>
          <w:lang w:val="pt-BR"/>
        </w:rPr>
        <w:t xml:space="preserve"> e de contratos mercantis de compra e venda de produtos, mercadorias ou serviços para entrega ou prestação futura, bem como em títulos ou certificados representativos desses contratos, além das informações previstas no item </w:t>
      </w:r>
      <w:r>
        <w:rPr>
          <w:rStyle w:val="normaltextrun"/>
          <w:rFonts w:eastAsia="Calibri"/>
          <w:lang w:val="pt-BR"/>
        </w:rPr>
        <w:t>10</w:t>
      </w:r>
      <w:r w:rsidRPr="007E77AF">
        <w:rPr>
          <w:rStyle w:val="normaltextrun"/>
          <w:rFonts w:eastAsia="Calibri"/>
          <w:lang w:val="pt-BR"/>
        </w:rPr>
        <w:t>.1, devem ser apresentadas suas demonstrações financeiras de elaboradas em conformidade com a Lei nº 6.404, de 1976, e a regulamentação editada pela CVM, auditadas por auditor independente registrado na CVM, referentes ao último exercício social. Essas informações não serão exigíveis quando os direitos creditórios forem originados por instituições financeiras de demais instituições autorizadas a funcionar pelo Banco Central do Brasil.</w:t>
      </w:r>
    </w:p>
    <w:p w14:paraId="0FC4C1F9" w14:textId="29B3B2C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Pr>
          <w:rStyle w:val="normaltextrun"/>
          <w:b/>
          <w:lang w:val="pt-BR"/>
        </w:rPr>
        <w:t>1</w:t>
      </w:r>
      <w:r w:rsidRPr="007E77AF">
        <w:rPr>
          <w:rStyle w:val="normaltextrun"/>
          <w:b/>
          <w:lang w:val="pt-BR"/>
        </w:rPr>
        <w:t>.</w:t>
      </w:r>
      <w:r w:rsidRPr="007E77AF">
        <w:rPr>
          <w:rStyle w:val="normaltextrun"/>
          <w:b/>
          <w:lang w:val="pt-BR"/>
        </w:rPr>
        <w:tab/>
        <w:t>Informações sobre devedores ou coobrigados</w:t>
      </w:r>
    </w:p>
    <w:p w14:paraId="0A521732" w14:textId="6DDF3A4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lastRenderedPageBreak/>
        <w:t>11</w:t>
      </w:r>
      <w:r w:rsidRPr="007E77AF">
        <w:rPr>
          <w:rStyle w:val="normaltextrun"/>
          <w:rFonts w:eastAsiaTheme="minorEastAsia"/>
          <w:lang w:val="pt-BR"/>
        </w:rPr>
        <w:t>.1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Principais características homogêneas dos devedores dos direitos creditórios;</w:t>
      </w:r>
    </w:p>
    <w:p w14:paraId="0A509350" w14:textId="27CBFE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w:t>
      </w:r>
      <w:r>
        <w:rPr>
          <w:rStyle w:val="normaltextrun"/>
          <w:rFonts w:eastAsiaTheme="minorEastAsia"/>
          <w:lang w:val="pt-BR"/>
        </w:rPr>
        <w:t>1</w:t>
      </w:r>
      <w:r w:rsidRPr="007E77AF">
        <w:rPr>
          <w:rStyle w:val="normaltextrun"/>
          <w:rFonts w:eastAsiaTheme="minorEastAsia"/>
          <w:lang w:val="pt-BR"/>
        </w:rPr>
        <w:t>.2</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Nome do devedor ou do obrigado responsável pelo pagamento ou pela liquidação de mais de 10% (dez por cento) dos ativos que compõem o patrimônio do emissor ou do patrimônio segregado, composto pelos direitos creditórios que lastreiam a operação; tipo societário e características gerais de seu negócio; natureza da concentração dos direitos creditórios cedidos; disposições contratuais relevantes a eles relativas;</w:t>
      </w:r>
    </w:p>
    <w:p w14:paraId="503015BD" w14:textId="57E4CCB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11</w:t>
      </w:r>
      <w:r w:rsidRPr="007E77AF">
        <w:rPr>
          <w:rStyle w:val="normaltextrun"/>
          <w:rFonts w:eastAsiaTheme="minorEastAsia"/>
          <w:lang w:val="pt-BR"/>
        </w:rPr>
        <w:t>.3</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Em se tratando de devedores ou coobrigados responsáveis por mais de 20% (vinte por cento) dos direitos creditórios, demonstrações financeiras, elaboradas em conformidade com a Lei nº 6.404, de 1976, e a regulamentação editada pela CVM, auditadas por auditor independente registrado na CVM, referentes ao último exercício social</w:t>
      </w:r>
      <w:r w:rsidRPr="007E77AF">
        <w:rPr>
          <w:rStyle w:val="Refdenotaderodap"/>
          <w:lang w:val="pt-BR"/>
        </w:rPr>
        <w:footnoteReference w:id="32"/>
      </w:r>
      <w:r w:rsidRPr="007E77AF">
        <w:rPr>
          <w:rStyle w:val="normaltextrun"/>
          <w:rFonts w:eastAsia="Calibri"/>
          <w:lang w:val="pt-BR"/>
        </w:rPr>
        <w:t>;</w:t>
      </w:r>
    </w:p>
    <w:p w14:paraId="3853FCDA" w14:textId="76B8068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11.4.</w:t>
      </w:r>
      <w:r w:rsidRPr="007E77AF">
        <w:rPr>
          <w:rStyle w:val="normaltextrun"/>
          <w:rFonts w:eastAsiaTheme="minorEastAsia"/>
          <w:lang w:val="pt-BR"/>
        </w:rPr>
        <w:tab/>
      </w:r>
      <w:r w:rsidRPr="007E77AF">
        <w:rPr>
          <w:rStyle w:val="normaltextrun"/>
          <w:rFonts w:ascii="Calibri" w:hAnsi="Calibri" w:cs="Calibri"/>
          <w:lang w:val="pt-BR"/>
        </w:rPr>
        <w:t xml:space="preserve">Informações descritas nos itens </w:t>
      </w:r>
      <w:r w:rsidRPr="007E77AF">
        <w:rPr>
          <w:rFonts w:cstheme="minorHAnsi"/>
          <w:lang w:val="pt-BR"/>
        </w:rPr>
        <w:t>1.1, 1.2, 1.11, 1.14</w:t>
      </w:r>
      <w:r w:rsidRPr="007E77AF">
        <w:rPr>
          <w:lang w:val="pt-BR"/>
        </w:rPr>
        <w:t xml:space="preserve">, 6.1, 7.1, 8.2, </w:t>
      </w:r>
      <w:r w:rsidRPr="007E77AF">
        <w:rPr>
          <w:rFonts w:cstheme="minorHAnsi"/>
          <w:lang w:val="pt-BR"/>
        </w:rPr>
        <w:t>11.2, 12</w:t>
      </w:r>
      <w:r w:rsidRPr="007E77AF">
        <w:rPr>
          <w:lang w:val="pt-BR"/>
        </w:rPr>
        <w:t xml:space="preserve">.1 e </w:t>
      </w:r>
      <w:r w:rsidRPr="007E77AF">
        <w:rPr>
          <w:rFonts w:cstheme="minorHAnsi"/>
          <w:lang w:val="pt-BR"/>
        </w:rPr>
        <w:t>12.3</w:t>
      </w:r>
      <w:r w:rsidRPr="007E77AF">
        <w:rPr>
          <w:lang w:val="pt-BR"/>
        </w:rPr>
        <w:t xml:space="preserve"> </w:t>
      </w:r>
      <w:r w:rsidRPr="007E77AF">
        <w:rPr>
          <w:rStyle w:val="normaltextrun"/>
          <w:rFonts w:ascii="Calibri" w:hAnsi="Calibri" w:cs="Calibri"/>
          <w:lang w:val="pt-BR"/>
        </w:rPr>
        <w:t>do formulário de referência, em relação</w:t>
      </w:r>
      <w:r w:rsidRPr="007E77AF">
        <w:rPr>
          <w:rStyle w:val="normaltextrun"/>
          <w:rFonts w:eastAsia="Calibri"/>
          <w:lang w:val="pt-BR"/>
        </w:rPr>
        <w:t xml:space="preserve"> aos devedores responsáveis por mais de 20% (vinte por cento) dos direitos creditórios e que sejam destinatários dos recursos oriundos da emissão, ou aos coobrigados responsáveis por mais de 20% (vinte por cento) dos direitos creditórios</w:t>
      </w:r>
      <w:r w:rsidRPr="007E77AF">
        <w:rPr>
          <w:rStyle w:val="Refdenotaderodap"/>
        </w:rPr>
        <w:footnoteReference w:id="33"/>
      </w:r>
      <w:r w:rsidRPr="007E77AF">
        <w:rPr>
          <w:rStyle w:val="normaltextrun"/>
          <w:rFonts w:eastAsia="Calibri"/>
          <w:lang w:val="pt-BR"/>
        </w:rPr>
        <w:t>.</w:t>
      </w:r>
    </w:p>
    <w:p w14:paraId="0917FC6F" w14:textId="0CE03B3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Pr>
          <w:rStyle w:val="normaltextrun"/>
          <w:b/>
          <w:lang w:val="pt-BR"/>
        </w:rPr>
        <w:t>12</w:t>
      </w:r>
      <w:r w:rsidRPr="007E77AF">
        <w:rPr>
          <w:rStyle w:val="normaltextrun"/>
          <w:b/>
          <w:lang w:val="pt-BR"/>
        </w:rPr>
        <w:t>.</w:t>
      </w:r>
      <w:r w:rsidRPr="007E77AF">
        <w:rPr>
          <w:rStyle w:val="normaltextrun"/>
          <w:b/>
          <w:lang w:val="pt-BR"/>
        </w:rPr>
        <w:tab/>
        <w:t>Relacionamentos e conflito de interesses</w:t>
      </w:r>
    </w:p>
    <w:p w14:paraId="783BDB81" w14:textId="5B3CC3DF" w:rsidR="009A242A" w:rsidRPr="001506B1" w:rsidRDefault="009A242A" w:rsidP="00C67B81">
      <w:pPr>
        <w:tabs>
          <w:tab w:val="left" w:pos="709"/>
        </w:tabs>
        <w:spacing w:before="120" w:after="120" w:line="312" w:lineRule="auto"/>
        <w:ind w:left="709" w:hanging="709"/>
        <w:jc w:val="both"/>
      </w:pPr>
      <w:r>
        <w:rPr>
          <w:rStyle w:val="normaltextrun"/>
          <w:rFonts w:cstheme="minorHAnsi"/>
        </w:rPr>
        <w:t>12</w:t>
      </w:r>
      <w:r w:rsidRPr="001506B1">
        <w:rPr>
          <w:rStyle w:val="normaltextrun"/>
        </w:rPr>
        <w:t>.1</w:t>
      </w:r>
      <w:r>
        <w:rPr>
          <w:rStyle w:val="normaltextrun"/>
          <w:rFonts w:cstheme="minorHAnsi"/>
        </w:rPr>
        <w:t>.</w:t>
      </w:r>
      <w:r w:rsidRPr="001506B1">
        <w:rPr>
          <w:rStyle w:val="normaltextrun"/>
        </w:rPr>
        <w:tab/>
      </w:r>
      <w:r w:rsidRPr="001506B1">
        <w:t xml:space="preserve">Descrição </w:t>
      </w:r>
      <w:r>
        <w:t>dos relacionamentos relevantes</w:t>
      </w:r>
      <w:r w:rsidRPr="001506B1">
        <w:t xml:space="preserve"> existentes entre coordenadores e sociedades do seu grupo econômico e cada um dos prestadores de serviços essenciais ao fundo</w:t>
      </w:r>
      <w:r w:rsidRPr="007E77AF">
        <w:t xml:space="preserve">, </w:t>
      </w:r>
      <w:r>
        <w:t>contemplando</w:t>
      </w:r>
      <w:r w:rsidRPr="001506B1">
        <w:t>:</w:t>
      </w:r>
    </w:p>
    <w:p w14:paraId="2B60D202" w14:textId="378562B7" w:rsidR="009A242A" w:rsidRDefault="009A242A" w:rsidP="00345747">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3C65712A"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1506B1">
        <w:rPr>
          <w:rFonts w:cstheme="minorBidi"/>
          <w:lang w:val="pt-BR"/>
        </w:rPr>
        <w:tab/>
      </w:r>
      <w:r>
        <w:rPr>
          <w:rFonts w:cstheme="minorBidi"/>
          <w:lang w:val="pt-BR"/>
        </w:rPr>
        <w:t>b</w:t>
      </w:r>
      <w:r w:rsidRPr="007E77AF">
        <w:rPr>
          <w:rFonts w:cstheme="minorBidi"/>
          <w:lang w:val="pt-BR"/>
        </w:rPr>
        <w:t xml:space="preserve">) </w:t>
      </w:r>
      <w:r>
        <w:rPr>
          <w:rFonts w:cstheme="minorBidi"/>
          <w:lang w:val="pt-BR"/>
        </w:rPr>
        <w:t>descrição individual de transações que</w:t>
      </w:r>
      <w:r w:rsidRPr="007E77AF">
        <w:rPr>
          <w:rFonts w:cstheme="minorBidi"/>
          <w:lang w:val="pt-BR"/>
        </w:rPr>
        <w:t xml:space="preserve"> tenham valor de referência equivalente a 5% (cinco por cento) ou mais do montante estimado a ser obtido pelo ofertante em decorrência da oferta.</w:t>
      </w:r>
    </w:p>
    <w:p w14:paraId="1AB33B51" w14:textId="1328E05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13</w:t>
      </w:r>
      <w:r w:rsidRPr="007E77AF">
        <w:rPr>
          <w:rStyle w:val="normaltextrun"/>
          <w:rFonts w:cstheme="minorHAnsi"/>
          <w:b/>
          <w:bCs/>
          <w:lang w:val="pt-BR"/>
        </w:rPr>
        <w:t>.</w:t>
      </w:r>
      <w:r w:rsidRPr="007E77AF">
        <w:rPr>
          <w:rStyle w:val="normaltextrun"/>
          <w:rFonts w:cstheme="minorHAnsi"/>
          <w:b/>
          <w:bCs/>
          <w:lang w:val="pt-BR"/>
        </w:rPr>
        <w:tab/>
        <w:t>Contrato de distribuição de valores mobiliários</w:t>
      </w:r>
    </w:p>
    <w:p w14:paraId="68F74AD8" w14:textId="35EBB7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13</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 xml:space="preserve">Condições do contrato de distribuição no que concerne à distribuição dos valores mobiliários junto ao público investidor em geral e eventual garantia de subscrição prestada </w:t>
      </w:r>
      <w:r>
        <w:rPr>
          <w:rStyle w:val="normaltextrun"/>
          <w:rFonts w:cstheme="minorHAnsi"/>
          <w:lang w:val="pt-BR"/>
        </w:rPr>
        <w:t>pelos coordenadores</w:t>
      </w:r>
      <w:r w:rsidRPr="007E77AF">
        <w:rPr>
          <w:rStyle w:val="normaltextrun"/>
          <w:rFonts w:cstheme="minorHAnsi"/>
          <w:lang w:val="pt-BR"/>
        </w:rPr>
        <w:t xml:space="preserve"> e </w:t>
      </w:r>
      <w:r w:rsidR="00BD70B3">
        <w:rPr>
          <w:rStyle w:val="normaltextrun"/>
          <w:rFonts w:cstheme="minorHAnsi"/>
          <w:lang w:val="pt-BR"/>
        </w:rPr>
        <w:t xml:space="preserve">demais </w:t>
      </w:r>
      <w:r w:rsidRPr="007E77AF">
        <w:rPr>
          <w:rStyle w:val="normaltextrun"/>
          <w:rFonts w:cstheme="minorHAns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71FF380D" w14:textId="60CFAD3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13</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Demonstrativo do custo da distribuição, discriminando:</w:t>
      </w:r>
    </w:p>
    <w:p w14:paraId="67164707" w14:textId="77777777" w:rsidR="009A242A" w:rsidRPr="007E77AF" w:rsidRDefault="009A242A" w:rsidP="001353DC">
      <w:pPr>
        <w:spacing w:before="120" w:after="120" w:line="312" w:lineRule="auto"/>
        <w:ind w:left="1069" w:hanging="360"/>
        <w:jc w:val="both"/>
      </w:pPr>
      <w:r w:rsidRPr="007E77AF">
        <w:t>a)</w:t>
      </w:r>
      <w:r w:rsidRPr="007E77AF">
        <w:tab/>
        <w:t>a porcentagem em relação ao preço unitário de subscrição;</w:t>
      </w:r>
    </w:p>
    <w:p w14:paraId="5CAFBE91"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5D2EB783"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6442F993" w14:textId="77777777" w:rsidR="009A242A" w:rsidRPr="007E77AF" w:rsidRDefault="009A242A" w:rsidP="001353DC">
      <w:pPr>
        <w:spacing w:before="120" w:after="120" w:line="312" w:lineRule="auto"/>
        <w:ind w:left="1069" w:hanging="360"/>
        <w:jc w:val="both"/>
      </w:pPr>
      <w:r w:rsidRPr="007E77AF">
        <w:t>d)</w:t>
      </w:r>
      <w:r w:rsidRPr="007E77AF">
        <w:tab/>
        <w:t>a comissão de garantia de subscrição;</w:t>
      </w:r>
    </w:p>
    <w:p w14:paraId="786D6633"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17F69EA7" w14:textId="77777777" w:rsidR="009A242A" w:rsidRPr="007E77AF" w:rsidRDefault="009A242A" w:rsidP="001353DC">
      <w:pPr>
        <w:spacing w:before="120" w:after="120" w:line="312" w:lineRule="auto"/>
        <w:ind w:left="1069" w:hanging="360"/>
        <w:jc w:val="both"/>
      </w:pPr>
      <w:r w:rsidRPr="007E77AF">
        <w:t>f)</w:t>
      </w:r>
      <w:r w:rsidRPr="007E77AF">
        <w:tab/>
        <w:t>o custo unitário de distribuição;</w:t>
      </w:r>
    </w:p>
    <w:p w14:paraId="6B312456" w14:textId="77777777" w:rsidR="009A242A" w:rsidRPr="007E77AF" w:rsidRDefault="009A242A" w:rsidP="001353DC">
      <w:pPr>
        <w:spacing w:before="120" w:after="120" w:line="312" w:lineRule="auto"/>
        <w:ind w:left="1069" w:hanging="360"/>
        <w:jc w:val="both"/>
      </w:pPr>
      <w:r w:rsidRPr="007E77AF">
        <w:t>g)</w:t>
      </w:r>
      <w:r w:rsidRPr="007E77AF">
        <w:tab/>
        <w:t>as despesas decorrentes do registro de distribuição; e</w:t>
      </w:r>
    </w:p>
    <w:p w14:paraId="574BF5DF"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outros custos relacionados.</w:t>
      </w:r>
    </w:p>
    <w:p w14:paraId="182444F4" w14:textId="1A346FA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Pr>
          <w:rStyle w:val="normaltextrun"/>
          <w:rFonts w:cstheme="minorBidi"/>
          <w:b/>
          <w:bCs/>
          <w:lang w:val="pt-BR"/>
        </w:rPr>
        <w:t>14</w:t>
      </w:r>
      <w:r w:rsidRPr="007E77AF">
        <w:rPr>
          <w:rStyle w:val="normaltextrun"/>
          <w:rFonts w:cstheme="minorBidi"/>
          <w:b/>
          <w:bCs/>
          <w:lang w:val="pt-BR"/>
        </w:rPr>
        <w:t>.</w:t>
      </w:r>
      <w:r w:rsidRPr="007E77AF">
        <w:rPr>
          <w:rStyle w:val="normaltextrun"/>
          <w:rFonts w:cstheme="minorBidi"/>
          <w:b/>
          <w:bCs/>
          <w:lang w:val="pt-BR"/>
        </w:rPr>
        <w:tab/>
        <w:t>Documentos ou informações incorporados ao prospecto por referência ou como anexos</w:t>
      </w:r>
    </w:p>
    <w:p w14:paraId="42760F6B" w14:textId="15A1407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Último</w:t>
      </w:r>
      <w:r w:rsidR="007F0754">
        <w:rPr>
          <w:rStyle w:val="normaltextrun"/>
          <w:rFonts w:cstheme="minorHAnsi"/>
          <w:lang w:val="pt-BR"/>
        </w:rPr>
        <w:t xml:space="preserve"> </w:t>
      </w:r>
      <w:r w:rsidRPr="007E77AF">
        <w:rPr>
          <w:rStyle w:val="normaltextrun"/>
          <w:rFonts w:cstheme="minorHAnsi"/>
          <w:lang w:val="pt-BR"/>
        </w:rPr>
        <w:t>formulário de referência</w:t>
      </w:r>
      <w:r w:rsidR="007F0754">
        <w:rPr>
          <w:rStyle w:val="normaltextrun"/>
          <w:rFonts w:cstheme="minorHAnsi"/>
          <w:lang w:val="pt-BR"/>
        </w:rPr>
        <w:t xml:space="preserve"> </w:t>
      </w:r>
      <w:r w:rsidRPr="007E77AF">
        <w:rPr>
          <w:rStyle w:val="normaltextrun"/>
          <w:rFonts w:cstheme="minorHAnsi"/>
          <w:lang w:val="pt-BR"/>
        </w:rPr>
        <w:t xml:space="preserve">entregue por devedores ou coobrigados referidos no item </w:t>
      </w:r>
      <w:r>
        <w:rPr>
          <w:rStyle w:val="normaltextrun"/>
          <w:rFonts w:cstheme="minorHAnsi"/>
          <w:lang w:val="pt-BR"/>
        </w:rPr>
        <w:t>11</w:t>
      </w:r>
      <w:r w:rsidRPr="007E77AF">
        <w:rPr>
          <w:rStyle w:val="normaltextrun"/>
          <w:rFonts w:cstheme="minorHAnsi"/>
          <w:lang w:val="pt-BR"/>
        </w:rPr>
        <w:t>.3 acima, caso sejam companhias abertas;</w:t>
      </w:r>
    </w:p>
    <w:p w14:paraId="463A605A" w14:textId="5483E222"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Regulamento do fundo;</w:t>
      </w:r>
    </w:p>
    <w:p w14:paraId="488F266D" w14:textId="261CDE4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Últimas informações trimestrais,</w:t>
      </w:r>
      <w:r w:rsidR="007F0754">
        <w:rPr>
          <w:rStyle w:val="normaltextrun"/>
          <w:rFonts w:cstheme="minorHAnsi"/>
          <w:lang w:val="pt-BR"/>
        </w:rPr>
        <w:t xml:space="preserve"> </w:t>
      </w:r>
      <w:r w:rsidRPr="007E77AF">
        <w:rPr>
          <w:rStyle w:val="normaltextrun"/>
          <w:rFonts w:cstheme="minorHAnsi"/>
          <w:lang w:val="pt-BR"/>
        </w:rPr>
        <w:t>demonstrações financeiras</w:t>
      </w:r>
      <w:r w:rsidR="007F0754">
        <w:rPr>
          <w:rStyle w:val="normaltextrun"/>
          <w:rFonts w:cstheme="minorHAnsi"/>
          <w:lang w:val="pt-BR"/>
        </w:rPr>
        <w:t xml:space="preserve"> </w:t>
      </w:r>
      <w:r w:rsidRPr="007E77AF">
        <w:rPr>
          <w:rStyle w:val="normaltextrun"/>
          <w:rFonts w:cstheme="minorHAnsi"/>
          <w:lang w:val="pt-BR"/>
        </w:rPr>
        <w:t>relativas aos 3 (três) últimos exercícios sociais encerrados,</w:t>
      </w:r>
      <w:r w:rsidR="007F0754">
        <w:rPr>
          <w:rStyle w:val="normaltextrun"/>
          <w:rFonts w:cstheme="minorHAnsi"/>
          <w:lang w:val="pt-BR"/>
        </w:rPr>
        <w:t xml:space="preserve"> </w:t>
      </w:r>
      <w:r w:rsidRPr="007E77AF">
        <w:rPr>
          <w:rStyle w:val="normaltextrun"/>
          <w:rFonts w:cstheme="minorHAnsi"/>
          <w:lang w:val="pt-BR"/>
        </w:rPr>
        <w:t>com os respectivos pareceres dos auditores independentes</w:t>
      </w:r>
      <w:r w:rsidR="007F0754">
        <w:rPr>
          <w:rStyle w:val="normaltextrun"/>
          <w:rFonts w:cstheme="minorHAnsi"/>
          <w:lang w:val="pt-BR"/>
        </w:rPr>
        <w:t xml:space="preserve"> </w:t>
      </w:r>
      <w:r w:rsidRPr="007E77AF">
        <w:rPr>
          <w:rStyle w:val="normaltextrun"/>
          <w:rFonts w:cstheme="minorHAnsi"/>
          <w:lang w:val="pt-BR"/>
        </w:rPr>
        <w:t>e eventos subsequentes, do emissor</w:t>
      </w:r>
      <w:r w:rsidRPr="007E77AF">
        <w:rPr>
          <w:lang w:val="pt-BR"/>
        </w:rPr>
        <w:t>, exceto quando o emissor não as possua por não ter iniciado suas atividades previamente ao referido período</w:t>
      </w:r>
      <w:r w:rsidRPr="007E77AF">
        <w:rPr>
          <w:rStyle w:val="normaltextrun"/>
          <w:rFonts w:cstheme="minorHAnsi"/>
          <w:lang w:val="pt-BR"/>
        </w:rPr>
        <w:t>;</w:t>
      </w:r>
    </w:p>
    <w:p w14:paraId="36C1F33F" w14:textId="3C88776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.4</w:t>
      </w:r>
      <w:r>
        <w:rPr>
          <w:rStyle w:val="normaltextrun"/>
          <w:rFonts w:cstheme="minorHAnsi"/>
          <w:lang w:val="pt-BR"/>
        </w:rPr>
        <w:t>.</w:t>
      </w:r>
      <w:r w:rsidRPr="007E77AF">
        <w:rPr>
          <w:rStyle w:val="normaltextrun"/>
          <w:rFonts w:cstheme="minorHAnsi"/>
          <w:lang w:val="pt-BR"/>
        </w:rPr>
        <w:tab/>
      </w:r>
      <w:r w:rsidRPr="007E77AF">
        <w:rPr>
          <w:rStyle w:val="normaltextrun"/>
          <w:rFonts w:eastAsia="Calibri"/>
          <w:lang w:val="pt-BR"/>
        </w:rPr>
        <w:t xml:space="preserve">Demonstrações financeiras, elaboradas em conformidade com a Lei nº 6.404, de 1976, e a regulamentação editada pela CVM, auditadas por auditor independente registrado na CVM, referentes ao último exercício social, dos </w:t>
      </w:r>
      <w:r w:rsidRPr="007E77AF">
        <w:rPr>
          <w:rStyle w:val="normaltextrun"/>
          <w:rFonts w:cstheme="minorHAnsi"/>
          <w:lang w:val="pt-BR"/>
        </w:rPr>
        <w:t>devedores ou coobrigados referidos no item 1</w:t>
      </w:r>
      <w:r w:rsidR="007F0754">
        <w:rPr>
          <w:rStyle w:val="normaltextrun"/>
          <w:rFonts w:cstheme="minorHAnsi"/>
          <w:lang w:val="pt-BR"/>
        </w:rPr>
        <w:t>1</w:t>
      </w:r>
      <w:r w:rsidRPr="007E77AF">
        <w:rPr>
          <w:rStyle w:val="normaltextrun"/>
          <w:rFonts w:cstheme="minorHAnsi"/>
          <w:lang w:val="pt-BR"/>
        </w:rPr>
        <w:t>.3 acima;</w:t>
      </w:r>
    </w:p>
    <w:p w14:paraId="499D94F3" w14:textId="5405227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.5</w:t>
      </w:r>
      <w:r>
        <w:rPr>
          <w:rStyle w:val="normaltextrun"/>
          <w:rFonts w:cstheme="minorHAnsi"/>
          <w:lang w:val="pt-BR"/>
        </w:rPr>
        <w:t>.</w:t>
      </w:r>
      <w:r w:rsidRPr="007E77AF">
        <w:rPr>
          <w:rStyle w:val="normaltextrun"/>
          <w:rFonts w:cstheme="minorHAnsi"/>
          <w:lang w:val="pt-BR"/>
        </w:rPr>
        <w:tab/>
        <w:t>Ata da assembleia geral extraordinária ou ato do administrador que deliberou a emissão;</w:t>
      </w:r>
      <w:r>
        <w:rPr>
          <w:rStyle w:val="normaltextrun"/>
          <w:rFonts w:cstheme="minorHAnsi"/>
          <w:lang w:val="pt-BR"/>
        </w:rPr>
        <w:t xml:space="preserve"> e</w:t>
      </w:r>
    </w:p>
    <w:p w14:paraId="3D67F8AE" w14:textId="5A597EF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.6</w:t>
      </w:r>
      <w:r>
        <w:rPr>
          <w:rStyle w:val="normaltextrun"/>
          <w:rFonts w:cstheme="minorHAnsi"/>
          <w:lang w:val="pt-BR"/>
        </w:rPr>
        <w:t>.</w:t>
      </w:r>
      <w:r w:rsidRPr="007E77AF">
        <w:rPr>
          <w:rStyle w:val="normaltextrun"/>
          <w:rFonts w:cstheme="minorHAnsi"/>
          <w:lang w:val="pt-BR"/>
        </w:rPr>
        <w:tab/>
        <w:t xml:space="preserve">Estatuto social atualizado da emissora e dos devedores ou coobrigados referidos no item </w:t>
      </w:r>
      <w:r>
        <w:rPr>
          <w:rStyle w:val="normaltextrun"/>
          <w:rFonts w:cstheme="minorHAnsi"/>
          <w:lang w:val="pt-BR"/>
        </w:rPr>
        <w:t>11</w:t>
      </w:r>
      <w:r w:rsidRPr="007E77AF">
        <w:rPr>
          <w:rStyle w:val="normaltextrun"/>
          <w:rFonts w:cstheme="minorHAnsi"/>
          <w:lang w:val="pt-BR"/>
        </w:rPr>
        <w:t>.3 acima</w:t>
      </w:r>
      <w:r w:rsidR="007F0754">
        <w:rPr>
          <w:rStyle w:val="normaltextrun"/>
          <w:rFonts w:cstheme="minorHAnsi"/>
          <w:lang w:val="pt-BR"/>
        </w:rPr>
        <w:t>.</w:t>
      </w:r>
    </w:p>
    <w:p w14:paraId="40DE4A6B" w14:textId="08FD024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C67B81">
        <w:rPr>
          <w:rStyle w:val="normaltextrun"/>
          <w:b/>
          <w:lang w:val="pt-BR"/>
        </w:rPr>
        <w:t>15</w:t>
      </w:r>
      <w:r w:rsidRPr="007E77AF">
        <w:rPr>
          <w:rStyle w:val="normaltextrun"/>
          <w:b/>
          <w:lang w:val="pt-BR"/>
        </w:rPr>
        <w:t>.</w:t>
      </w:r>
      <w:r w:rsidRPr="007E77AF">
        <w:rPr>
          <w:rStyle w:val="normaltextrun"/>
          <w:b/>
          <w:lang w:val="pt-BR"/>
        </w:rPr>
        <w:tab/>
        <w:t>Identificação das pessoas envolvidas</w:t>
      </w:r>
    </w:p>
    <w:p w14:paraId="2AD9B32E" w14:textId="6D4DE56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Denominação social, endereço comercial, endereço eletrônico e telefones de contato do representante do emissor;</w:t>
      </w:r>
    </w:p>
    <w:p w14:paraId="7CBBAA0C" w14:textId="6066079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15</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Nome, endereço comercial, endereço eletrônico e telefones de contato dos prestadores de serviços essenciais que podem prestar esclarecimentos sobre a oferta;</w:t>
      </w:r>
    </w:p>
    <w:p w14:paraId="4677935B" w14:textId="453F0D9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Nome, endereço comercial, endereço eletrônico e telefones dos assessores (financeiros, jurídicos etc.) envolvidos na oferta e responsáveis por fatos ou documentos citados no prospecto;</w:t>
      </w:r>
    </w:p>
    <w:p w14:paraId="745CF3C8" w14:textId="1EF947D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.4</w:t>
      </w:r>
      <w:r>
        <w:rPr>
          <w:rStyle w:val="normaltextrun"/>
          <w:rFonts w:cstheme="minorHAnsi"/>
          <w:lang w:val="pt-BR"/>
        </w:rPr>
        <w:t>.</w:t>
      </w:r>
      <w:r w:rsidRPr="007E77AF">
        <w:rPr>
          <w:rStyle w:val="normaltextrun"/>
          <w:rFonts w:cstheme="minorHAnsi"/>
          <w:lang w:val="pt-BR"/>
        </w:rPr>
        <w:tab/>
        <w:t>Denominação social, endereço comercial, endereço eletrônico e telefones dos auditores responsáveis por auditar as demonstrações financeiras dos 3 (três) últimos exercícios sociais;</w:t>
      </w:r>
    </w:p>
    <w:p w14:paraId="1FEDFB6F" w14:textId="34719E2E"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15.5.</w:t>
      </w:r>
      <w:r w:rsidRPr="007E77AF">
        <w:rPr>
          <w:rStyle w:val="normaltextrun"/>
          <w:rFonts w:cstheme="minorHAnsi"/>
          <w:lang w:val="pt-BR"/>
        </w:rPr>
        <w:tab/>
        <w:t>Denominação social, endereço comercial, endereço eletrônico dos prestadores de serviços contratados em nome do fundo;</w:t>
      </w:r>
    </w:p>
    <w:p w14:paraId="07D389D3" w14:textId="3E78C075"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15.6.</w:t>
      </w:r>
      <w:r w:rsidRPr="007E77AF">
        <w:rPr>
          <w:rStyle w:val="normaltextrun"/>
          <w:rFonts w:cstheme="minorHAnsi"/>
          <w:lang w:val="pt-BR"/>
        </w:rPr>
        <w:tab/>
        <w:t>Declaração de que quaisquer outras informações ou esclarecimentos sobre o emissor e a distribuição em questão podem ser obtidas junto ao líder e às instituições consorciadas e na</w:t>
      </w:r>
      <w:r w:rsidR="007F0754">
        <w:rPr>
          <w:rStyle w:val="normaltextrun"/>
          <w:rFonts w:cstheme="minorHAnsi"/>
          <w:lang w:val="pt-BR"/>
        </w:rPr>
        <w:t xml:space="preserve"> </w:t>
      </w:r>
      <w:r w:rsidRPr="007E77AF">
        <w:rPr>
          <w:rStyle w:val="normaltextrun"/>
          <w:rFonts w:cstheme="minorHAnsi"/>
          <w:lang w:val="pt-BR"/>
        </w:rPr>
        <w:t>CVM;</w:t>
      </w:r>
    </w:p>
    <w:p w14:paraId="595B157A" w14:textId="6F26F241"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15.7.</w:t>
      </w:r>
      <w:r w:rsidRPr="007E77AF">
        <w:rPr>
          <w:rStyle w:val="normaltextrun"/>
          <w:rFonts w:cstheme="minorHAns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1653E182" w14:textId="44289BE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15.8.</w:t>
      </w:r>
      <w:r w:rsidRPr="007E77AF">
        <w:rPr>
          <w:rStyle w:val="normaltextrun"/>
          <w:rFonts w:cstheme="minorHAnsi"/>
          <w:lang w:val="pt-BR"/>
        </w:rPr>
        <w:tab/>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rFonts w:cstheme="minorBidi"/>
          <w:lang w:val="pt-BR"/>
        </w:rPr>
        <w:t>,</w:t>
      </w:r>
      <w:r w:rsidRPr="007E77AF">
        <w:rPr>
          <w:rStyle w:val="normaltextrun"/>
          <w:rFonts w:cstheme="minorHAnsi"/>
          <w:lang w:val="pt-BR"/>
        </w:rPr>
        <w:t xml:space="preserve"> atestando a veracidade das informações contidas no prospecto.</w:t>
      </w:r>
    </w:p>
    <w:p w14:paraId="2AFEF931" w14:textId="64F1C329"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16</w:t>
      </w:r>
      <w:r w:rsidRPr="007E77AF">
        <w:rPr>
          <w:rStyle w:val="normaltextrun"/>
          <w:rFonts w:cstheme="minorHAnsi"/>
          <w:b/>
          <w:bCs/>
          <w:lang w:val="pt-BR"/>
        </w:rPr>
        <w:t>.</w:t>
      </w:r>
      <w:r w:rsidRPr="007E77AF">
        <w:rPr>
          <w:rStyle w:val="normaltextrun"/>
          <w:rFonts w:cstheme="minorHAnsi"/>
          <w:b/>
          <w:bCs/>
          <w:lang w:val="pt-BR"/>
        </w:rPr>
        <w:tab/>
        <w:t>Outros documentos e informações que a CVM julgar necessários</w:t>
      </w:r>
      <w:r>
        <w:rPr>
          <w:rStyle w:val="normaltextrun"/>
          <w:rFonts w:cstheme="minorHAnsi"/>
          <w:b/>
          <w:bCs/>
          <w:lang w:val="pt-BR"/>
        </w:rPr>
        <w:t>.</w:t>
      </w:r>
    </w:p>
    <w:p w14:paraId="12AA92C9" w14:textId="77777777" w:rsidR="009A242A" w:rsidRPr="007E77AF" w:rsidRDefault="009A242A" w:rsidP="00D17F79">
      <w:r w:rsidRPr="007E77AF">
        <w:br w:type="page"/>
      </w:r>
    </w:p>
    <w:p w14:paraId="34CDF586" w14:textId="397C227E" w:rsidR="009A242A" w:rsidRPr="007E77AF" w:rsidRDefault="009A242A" w:rsidP="00167D4B">
      <w:pPr>
        <w:pStyle w:val="Ttulo1"/>
        <w:rPr>
          <w:rFonts w:cstheme="minorBidi"/>
          <w:b/>
          <w:bCs/>
        </w:rPr>
      </w:pPr>
      <w:bookmarkStart w:id="379" w:name="_Toc108516079"/>
      <w:bookmarkStart w:id="380" w:name="_Toc108203110"/>
      <w:bookmarkStart w:id="381" w:name="_Toc136502850"/>
      <w:r w:rsidRPr="007E77AF">
        <w:lastRenderedPageBreak/>
        <w:t xml:space="preserve">ANEXO </w:t>
      </w:r>
      <w:r>
        <w:t>E</w:t>
      </w:r>
      <w:r w:rsidRPr="007E77AF">
        <w:t xml:space="preserve"> – PROSPECTO DE </w:t>
      </w:r>
      <w:bookmarkEnd w:id="375"/>
      <w:r w:rsidRPr="007E77AF">
        <w:t xml:space="preserve">SECURITIZAÇÃO </w:t>
      </w:r>
      <w:r w:rsidR="00A6425B" w:rsidRPr="007E77AF">
        <w:t>–</w:t>
      </w:r>
      <w:r w:rsidRPr="007E77AF">
        <w:t xml:space="preserve"> SECURITIZADORAS</w:t>
      </w:r>
      <w:bookmarkEnd w:id="379"/>
      <w:bookmarkEnd w:id="380"/>
      <w:bookmarkEnd w:id="381"/>
    </w:p>
    <w:p w14:paraId="5C50DA9D" w14:textId="77777777" w:rsidR="009A242A" w:rsidRPr="007E77AF" w:rsidRDefault="009A242A" w:rsidP="00FF5FC4">
      <w:pPr>
        <w:spacing w:after="160" w:line="259" w:lineRule="auto"/>
        <w:jc w:val="center"/>
        <w:rPr>
          <w:rFonts w:cstheme="minorBidi"/>
          <w:b/>
          <w:bCs/>
        </w:rPr>
      </w:pPr>
    </w:p>
    <w:p w14:paraId="24DF9712" w14:textId="63339204" w:rsidR="009A242A" w:rsidRPr="007E77AF" w:rsidRDefault="009A242A" w:rsidP="00FF5FC4">
      <w:pPr>
        <w:spacing w:line="312" w:lineRule="auto"/>
        <w:ind w:firstLine="709"/>
        <w:jc w:val="center"/>
        <w:rPr>
          <w:i/>
        </w:rPr>
      </w:pPr>
      <w:r w:rsidRPr="007E77AF">
        <w:rPr>
          <w:rFonts w:cstheme="minorBidi"/>
          <w:i/>
          <w:iCs/>
        </w:rPr>
        <w:t>Conteúdo</w:t>
      </w:r>
      <w:r w:rsidRPr="007E77AF">
        <w:rPr>
          <w:i/>
        </w:rPr>
        <w:t xml:space="preserve"> do prospecto aplicável para oferta pública de distribuição de valores mobiliários representativos de operações de securitização emitidos por companhia </w:t>
      </w:r>
      <w:proofErr w:type="spellStart"/>
      <w:r w:rsidRPr="007E77AF">
        <w:rPr>
          <w:i/>
        </w:rPr>
        <w:t>securitizadora</w:t>
      </w:r>
      <w:proofErr w:type="spellEnd"/>
      <w:r w:rsidRPr="007E77AF">
        <w:rPr>
          <w:i/>
        </w:rPr>
        <w:t xml:space="preserve">, conforme inciso V do § 1º do art. </w:t>
      </w:r>
      <w:r w:rsidRPr="007E77AF">
        <w:rPr>
          <w:rFonts w:cstheme="minorBidi"/>
          <w:i/>
          <w:iCs/>
        </w:rPr>
        <w:t>17</w:t>
      </w:r>
      <w:r w:rsidRPr="007E77AF">
        <w:rPr>
          <w:i/>
        </w:rPr>
        <w:t xml:space="preserve"> da Resolução</w:t>
      </w:r>
      <w:r>
        <w:rPr>
          <w:i/>
        </w:rPr>
        <w:t xml:space="preserve"> CVM nº 160, de 2022</w:t>
      </w:r>
      <w:r w:rsidRPr="007E77AF">
        <w:rPr>
          <w:i/>
        </w:rPr>
        <w:t>.</w:t>
      </w:r>
    </w:p>
    <w:p w14:paraId="30B365CE" w14:textId="77777777" w:rsidR="009A242A" w:rsidRPr="007E77AF" w:rsidRDefault="009A242A" w:rsidP="00F74CAE">
      <w:pPr>
        <w:jc w:val="center"/>
      </w:pPr>
    </w:p>
    <w:p w14:paraId="6D5568A0" w14:textId="77777777" w:rsidR="009A242A" w:rsidRPr="007E77AF" w:rsidRDefault="009A242A" w:rsidP="00F26C28">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009BA556" w14:textId="77777777"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1.</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proofErr w:type="gramStart"/>
      <w:r w:rsidRPr="007E77AF">
        <w:rPr>
          <w:rStyle w:val="normaltextrun"/>
          <w:rFonts w:ascii="Calibri" w:hAnsi="Calibri" w:cs="Calibri"/>
          <w:b/>
          <w:bCs/>
          <w:lang w:val="pt-BR"/>
        </w:rPr>
        <w:t>Indicação  do</w:t>
      </w:r>
      <w:proofErr w:type="gramEnd"/>
      <w:r w:rsidRPr="007E77AF">
        <w:rPr>
          <w:rStyle w:val="normaltextrun"/>
          <w:rFonts w:ascii="Calibri" w:hAnsi="Calibri" w:cs="Calibri"/>
          <w:b/>
          <w:bCs/>
          <w:lang w:val="pt-BR"/>
        </w:rPr>
        <w:t xml:space="preserve"> Certificado</w:t>
      </w:r>
    </w:p>
    <w:p w14:paraId="6E22743C" w14:textId="77777777" w:rsidR="009A242A" w:rsidRPr="007E77AF" w:rsidRDefault="009A242A" w:rsidP="001268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cstheme="minorHAnsi"/>
          <w:lang w:val="pt-BR"/>
        </w:rPr>
        <w:t>1.1.</w:t>
      </w:r>
      <w:r w:rsidRPr="007E77AF">
        <w:rPr>
          <w:rStyle w:val="normaltextrun"/>
          <w:rFonts w:eastAsiaTheme="minorEastAsia" w:cstheme="minorHAnsi"/>
          <w:lang w:val="pt-BR"/>
        </w:rPr>
        <w:tab/>
      </w:r>
      <w:r w:rsidRPr="007E77AF">
        <w:rPr>
          <w:rStyle w:val="normaltextrun"/>
          <w:rFonts w:eastAsiaTheme="minorEastAsia"/>
          <w:lang w:val="pt-BR"/>
        </w:rPr>
        <w:t>Denominação social; e</w:t>
      </w:r>
    </w:p>
    <w:p w14:paraId="3AD21124" w14:textId="006F1195" w:rsidR="009A242A" w:rsidRPr="007E77AF" w:rsidRDefault="009A242A" w:rsidP="001268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cstheme="minorHAnsi"/>
          <w:lang w:val="pt-BR"/>
        </w:rPr>
        <w:t>1.2.</w:t>
      </w:r>
      <w:r w:rsidRPr="007E77AF">
        <w:rPr>
          <w:rStyle w:val="normaltextrun"/>
          <w:rFonts w:cstheme="minorHAnsi"/>
          <w:lang w:val="pt-BR"/>
        </w:rPr>
        <w:tab/>
      </w:r>
      <w:r w:rsidRPr="007E77AF">
        <w:rPr>
          <w:rStyle w:val="normaltextrun"/>
          <w:rFonts w:eastAsiaTheme="minorEastAsia"/>
          <w:lang w:val="pt-BR"/>
        </w:rPr>
        <w:t>CNPJ.</w:t>
      </w:r>
    </w:p>
    <w:p w14:paraId="27E87450" w14:textId="4C7582D6"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2.</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rFonts w:ascii="Calibri" w:hAnsi="Calibri" w:cs="Calibri"/>
          <w:b/>
          <w:bCs/>
          <w:lang w:val="pt-BR"/>
        </w:rPr>
        <w:t>Identificação</w:t>
      </w:r>
      <w:r w:rsidRPr="007E77AF">
        <w:rPr>
          <w:rStyle w:val="normaltextrun"/>
          <w:rFonts w:eastAsiaTheme="minorEastAsia"/>
          <w:b/>
          <w:lang w:val="pt-BR"/>
        </w:rPr>
        <w:t xml:space="preserve"> </w:t>
      </w:r>
      <w:r w:rsidRPr="007E77AF">
        <w:rPr>
          <w:rStyle w:val="normaltextrun"/>
          <w:rFonts w:eastAsiaTheme="minorEastAsia" w:cstheme="minorBidi"/>
          <w:b/>
          <w:bCs/>
          <w:lang w:val="pt-BR"/>
        </w:rPr>
        <w:t xml:space="preserve">da companhia </w:t>
      </w:r>
      <w:proofErr w:type="spellStart"/>
      <w:r w:rsidRPr="007E77AF">
        <w:rPr>
          <w:rStyle w:val="normaltextrun"/>
          <w:rFonts w:eastAsiaTheme="minorEastAsia" w:cstheme="minorBidi"/>
          <w:b/>
          <w:bCs/>
          <w:lang w:val="pt-BR"/>
        </w:rPr>
        <w:t>securitizadora</w:t>
      </w:r>
      <w:proofErr w:type="spellEnd"/>
    </w:p>
    <w:p w14:paraId="1BC2D990" w14:textId="77777777" w:rsidR="009A242A" w:rsidRPr="007E77AF" w:rsidRDefault="009A242A" w:rsidP="00637EE8">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2.1.</w:t>
      </w:r>
      <w:r w:rsidRPr="007E77AF">
        <w:rPr>
          <w:rStyle w:val="normaltextrun"/>
          <w:rFonts w:eastAsiaTheme="minorEastAsia"/>
        </w:rPr>
        <w:tab/>
        <w:t>Denominação social;</w:t>
      </w:r>
    </w:p>
    <w:p w14:paraId="1D211B24" w14:textId="77777777" w:rsidR="009A242A" w:rsidRPr="007E77AF" w:rsidRDefault="009A242A" w:rsidP="00637EE8">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2.2.</w:t>
      </w:r>
      <w:r w:rsidRPr="007E77AF">
        <w:rPr>
          <w:rStyle w:val="normaltextrun"/>
          <w:rFonts w:eastAsiaTheme="minorEastAsia"/>
        </w:rPr>
        <w:tab/>
        <w:t>CNPJ; e</w:t>
      </w:r>
    </w:p>
    <w:p w14:paraId="1A1B05E7" w14:textId="77777777" w:rsidR="009A242A" w:rsidRPr="007E77AF" w:rsidRDefault="009A242A" w:rsidP="00637EE8">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2.3.</w:t>
      </w:r>
      <w:r w:rsidRPr="007E77AF">
        <w:rPr>
          <w:rStyle w:val="normaltextrun"/>
          <w:rFonts w:eastAsiaTheme="minorEastAsia"/>
        </w:rPr>
        <w:tab/>
        <w:t>Endereço da sede.</w:t>
      </w:r>
    </w:p>
    <w:p w14:paraId="19BE2FE2" w14:textId="53292E59"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3.</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Identificação</w:t>
      </w:r>
      <w:r w:rsidRPr="007E77AF">
        <w:rPr>
          <w:rStyle w:val="normaltextrun"/>
          <w:rFonts w:eastAsiaTheme="minorEastAsia" w:cstheme="minorBidi"/>
          <w:b/>
          <w:bCs/>
          <w:lang w:val="pt-BR"/>
        </w:rPr>
        <w:t xml:space="preserve"> do nível de concentração dos direitos creditórios</w:t>
      </w:r>
    </w:p>
    <w:p w14:paraId="303FB716"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3.1.</w:t>
      </w:r>
      <w:r w:rsidRPr="007E77AF">
        <w:rPr>
          <w:rStyle w:val="normaltextrun"/>
          <w:rFonts w:eastAsiaTheme="minorEastAsia"/>
          <w:lang w:val="pt-BR"/>
        </w:rPr>
        <w:tab/>
        <w:t>Indicação quanto a tratar-se de direitos creditórios de devedor único ou de múltiplos devedores</w:t>
      </w:r>
      <w:r>
        <w:rPr>
          <w:rStyle w:val="normaltextrun"/>
          <w:rFonts w:eastAsiaTheme="minorEastAsia"/>
          <w:lang w:val="pt-BR"/>
        </w:rPr>
        <w:t>;</w:t>
      </w:r>
    </w:p>
    <w:p w14:paraId="175F937F"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3.2.</w:t>
      </w:r>
      <w:r w:rsidRPr="007E77AF">
        <w:rPr>
          <w:rStyle w:val="normaltextrun"/>
          <w:rFonts w:eastAsiaTheme="minorEastAsia"/>
          <w:lang w:val="pt-BR"/>
        </w:rPr>
        <w:tab/>
        <w:t>Em caso de devedor único, indicar:</w:t>
      </w:r>
    </w:p>
    <w:p w14:paraId="48AA3412" w14:textId="77777777" w:rsidR="009A242A" w:rsidRPr="007E77AF" w:rsidRDefault="009A242A" w:rsidP="00AE5C51">
      <w:pPr>
        <w:spacing w:before="120" w:after="120" w:line="312" w:lineRule="auto"/>
        <w:ind w:left="1069" w:hanging="360"/>
        <w:jc w:val="both"/>
        <w:rPr>
          <w:rFonts w:cstheme="minorHAnsi"/>
        </w:rPr>
      </w:pPr>
      <w:r w:rsidRPr="007E77AF">
        <w:rPr>
          <w:rFonts w:cstheme="minorHAnsi"/>
        </w:rPr>
        <w:t>a)</w:t>
      </w:r>
      <w:r w:rsidRPr="007E77AF">
        <w:rPr>
          <w:rFonts w:cstheme="minorHAnsi"/>
        </w:rPr>
        <w:tab/>
        <w:t>denominação social; e</w:t>
      </w:r>
    </w:p>
    <w:p w14:paraId="449C7493" w14:textId="77777777" w:rsidR="009A242A" w:rsidRPr="007E77AF" w:rsidRDefault="009A242A" w:rsidP="00AE5C51">
      <w:pPr>
        <w:spacing w:before="120" w:after="120" w:line="312" w:lineRule="auto"/>
        <w:ind w:left="1069" w:hanging="360"/>
        <w:jc w:val="both"/>
        <w:rPr>
          <w:rFonts w:cstheme="minorHAnsi"/>
        </w:rPr>
      </w:pPr>
      <w:r w:rsidRPr="007E77AF">
        <w:rPr>
          <w:rFonts w:cstheme="minorHAnsi"/>
        </w:rPr>
        <w:t>b)</w:t>
      </w:r>
      <w:r w:rsidRPr="007E77AF">
        <w:rPr>
          <w:rFonts w:cstheme="minorHAnsi"/>
        </w:rPr>
        <w:tab/>
        <w:t>CNPJ.</w:t>
      </w:r>
    </w:p>
    <w:p w14:paraId="413103AB" w14:textId="6DE3E7AB"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4.</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Dados</w:t>
      </w:r>
      <w:r w:rsidRPr="007E77AF">
        <w:rPr>
          <w:rStyle w:val="normaltextrun"/>
          <w:rFonts w:eastAsiaTheme="minorEastAsia" w:cstheme="minorBidi"/>
          <w:b/>
          <w:bCs/>
          <w:lang w:val="pt-BR"/>
        </w:rPr>
        <w:t xml:space="preserve"> da oferta pública de distribuição</w:t>
      </w:r>
    </w:p>
    <w:p w14:paraId="10668FEA"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Style w:val="normaltextrun"/>
          <w:rFonts w:eastAsiaTheme="minorEastAsia" w:cstheme="minorBidi"/>
          <w:lang w:val="pt-BR"/>
        </w:rPr>
        <w:t>Em relação a cada série de certificado, caso aplicável:</w:t>
      </w:r>
    </w:p>
    <w:p w14:paraId="49ABC0D9"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a)</w:t>
      </w:r>
      <w:r w:rsidRPr="007E77AF">
        <w:rPr>
          <w:rFonts w:cstheme="minorHAnsi"/>
        </w:rPr>
        <w:tab/>
      </w:r>
      <w:r w:rsidRPr="007E77AF">
        <w:t>código</w:t>
      </w:r>
      <w:r w:rsidRPr="007E77AF">
        <w:rPr>
          <w:rFonts w:cstheme="minorHAnsi"/>
        </w:rPr>
        <w:t xml:space="preserve"> ISIN;</w:t>
      </w:r>
    </w:p>
    <w:p w14:paraId="5D12318D"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 xml:space="preserve">classificação </w:t>
      </w:r>
      <w:r w:rsidRPr="007E77AF">
        <w:rPr>
          <w:rFonts w:cstheme="minorHAnsi"/>
        </w:rPr>
        <w:t>de risco;</w:t>
      </w:r>
    </w:p>
    <w:p w14:paraId="1E03DD92" w14:textId="5B3B7512" w:rsidR="009A242A" w:rsidRPr="007E77AF" w:rsidRDefault="009A242A" w:rsidP="00723610">
      <w:pPr>
        <w:spacing w:before="120" w:after="120" w:line="312" w:lineRule="auto"/>
        <w:ind w:left="1069" w:hanging="360"/>
        <w:jc w:val="both"/>
        <w:rPr>
          <w:rFonts w:cstheme="minorHAnsi"/>
        </w:rPr>
      </w:pPr>
      <w:r w:rsidRPr="007E77AF">
        <w:rPr>
          <w:rFonts w:cstheme="minorHAnsi"/>
        </w:rPr>
        <w:t>c)</w:t>
      </w:r>
      <w:r w:rsidRPr="007E77AF">
        <w:rPr>
          <w:rFonts w:cstheme="minorHAnsi"/>
        </w:rPr>
        <w:tab/>
      </w:r>
      <w:r w:rsidRPr="007E77AF">
        <w:t>q</w:t>
      </w:r>
      <w:r w:rsidRPr="007E77AF">
        <w:rPr>
          <w:rFonts w:cstheme="minorHAnsi"/>
        </w:rPr>
        <w:t>uantidade;</w:t>
      </w:r>
    </w:p>
    <w:p w14:paraId="1557DA5F"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d)</w:t>
      </w:r>
      <w:r w:rsidRPr="007E77AF">
        <w:rPr>
          <w:rFonts w:cstheme="minorHAnsi"/>
        </w:rPr>
        <w:tab/>
      </w:r>
      <w:r w:rsidRPr="007E77AF">
        <w:t xml:space="preserve">valor </w:t>
      </w:r>
      <w:r w:rsidRPr="007E77AF">
        <w:rPr>
          <w:rFonts w:cstheme="minorHAnsi"/>
        </w:rPr>
        <w:t>nominal unitário;</w:t>
      </w:r>
    </w:p>
    <w:p w14:paraId="6661280E"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e)</w:t>
      </w:r>
      <w:r w:rsidRPr="007E77AF">
        <w:rPr>
          <w:rFonts w:cstheme="minorHAnsi"/>
        </w:rPr>
        <w:tab/>
      </w:r>
      <w:r w:rsidRPr="007E77AF">
        <w:t xml:space="preserve">data </w:t>
      </w:r>
      <w:r w:rsidRPr="007E77AF">
        <w:rPr>
          <w:rFonts w:cstheme="minorHAnsi"/>
        </w:rPr>
        <w:t>de vencimento;</w:t>
      </w:r>
    </w:p>
    <w:p w14:paraId="384A8E1B"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f)</w:t>
      </w:r>
      <w:r w:rsidRPr="007E77AF">
        <w:rPr>
          <w:rFonts w:cstheme="minorHAnsi"/>
        </w:rPr>
        <w:tab/>
      </w:r>
      <w:r w:rsidRPr="007E77AF">
        <w:t>juros remuneratórios e atualização monetária</w:t>
      </w:r>
      <w:r w:rsidRPr="007E77AF">
        <w:rPr>
          <w:rFonts w:cstheme="minorHAnsi"/>
        </w:rPr>
        <w:t>;</w:t>
      </w:r>
    </w:p>
    <w:p w14:paraId="1F3A86AA"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lastRenderedPageBreak/>
        <w:t>g)</w:t>
      </w:r>
      <w:r w:rsidRPr="007E77AF">
        <w:rPr>
          <w:rFonts w:cstheme="minorHAnsi"/>
        </w:rPr>
        <w:tab/>
      </w:r>
      <w:r w:rsidRPr="007E77AF">
        <w:t>garantias</w:t>
      </w:r>
      <w:r w:rsidRPr="007E77AF">
        <w:rPr>
          <w:rFonts w:cstheme="minorHAnsi"/>
        </w:rPr>
        <w:t>;</w:t>
      </w:r>
    </w:p>
    <w:p w14:paraId="234CEDF8"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h)</w:t>
      </w:r>
      <w:r w:rsidRPr="007E77AF">
        <w:rPr>
          <w:rFonts w:cstheme="minorHAnsi"/>
        </w:rPr>
        <w:tab/>
      </w:r>
      <w:r w:rsidRPr="007E77AF">
        <w:t>a</w:t>
      </w:r>
      <w:r w:rsidRPr="007E77AF">
        <w:rPr>
          <w:rFonts w:cstheme="minorHAnsi"/>
        </w:rPr>
        <w:t>gente fiduciário;</w:t>
      </w:r>
    </w:p>
    <w:p w14:paraId="5951FE23" w14:textId="13070763" w:rsidR="009A242A" w:rsidRPr="007E77AF" w:rsidRDefault="009A242A" w:rsidP="00723610">
      <w:pPr>
        <w:spacing w:before="120" w:after="120" w:line="312" w:lineRule="auto"/>
        <w:ind w:left="1069" w:hanging="360"/>
        <w:jc w:val="both"/>
        <w:rPr>
          <w:rFonts w:cstheme="minorHAnsi"/>
        </w:rPr>
      </w:pPr>
      <w:r w:rsidRPr="007E77AF">
        <w:rPr>
          <w:rFonts w:cstheme="minorHAnsi"/>
        </w:rPr>
        <w:t>i)</w:t>
      </w:r>
      <w:r w:rsidRPr="007E77AF">
        <w:rPr>
          <w:rFonts w:cstheme="minorHAnsi"/>
        </w:rPr>
        <w:tab/>
      </w:r>
      <w:r w:rsidRPr="007E77AF">
        <w:t>e</w:t>
      </w:r>
      <w:r w:rsidRPr="007E77AF">
        <w:rPr>
          <w:rFonts w:cstheme="minorHAnsi"/>
        </w:rPr>
        <w:t>xistência ou não de regime fiduciário;</w:t>
      </w:r>
    </w:p>
    <w:p w14:paraId="398F63A6" w14:textId="2FE82D23" w:rsidR="009A242A" w:rsidRPr="007E77AF" w:rsidRDefault="009A242A" w:rsidP="00723610">
      <w:pPr>
        <w:spacing w:before="120" w:after="120" w:line="312" w:lineRule="auto"/>
        <w:ind w:left="1069" w:hanging="360"/>
        <w:jc w:val="both"/>
        <w:rPr>
          <w:rFonts w:cstheme="minorHAnsi"/>
        </w:rPr>
      </w:pPr>
      <w:r w:rsidRPr="007E77AF">
        <w:rPr>
          <w:rFonts w:cstheme="minorHAnsi"/>
        </w:rPr>
        <w:t>j)</w:t>
      </w:r>
      <w:r w:rsidRPr="007E77AF">
        <w:rPr>
          <w:rFonts w:cstheme="minorHAnsi"/>
        </w:rPr>
        <w:tab/>
      </w:r>
      <w:r w:rsidRPr="007E77AF">
        <w:t>m</w:t>
      </w:r>
      <w:r w:rsidRPr="007E77AF">
        <w:rPr>
          <w:rFonts w:cstheme="minorHAnsi"/>
        </w:rPr>
        <w:t>ercado organizado em que serão admitidos à negociação</w:t>
      </w:r>
      <w:r>
        <w:rPr>
          <w:rFonts w:cstheme="minorHAnsi"/>
        </w:rPr>
        <w:t>; e</w:t>
      </w:r>
    </w:p>
    <w:p w14:paraId="4CEEB677" w14:textId="0FB31E42" w:rsidR="009A242A" w:rsidRPr="007E77AF" w:rsidRDefault="009A242A" w:rsidP="00723610">
      <w:pPr>
        <w:spacing w:before="120" w:after="120" w:line="312" w:lineRule="auto"/>
        <w:ind w:left="1069" w:hanging="360"/>
        <w:jc w:val="both"/>
        <w:rPr>
          <w:rStyle w:val="normaltextrun"/>
          <w:rFonts w:cstheme="minorBidi"/>
        </w:rPr>
      </w:pPr>
      <w:r w:rsidRPr="007E77AF">
        <w:rPr>
          <w:rFonts w:cstheme="minorHAnsi"/>
        </w:rPr>
        <w:t>k)</w:t>
      </w:r>
      <w:r w:rsidRPr="007E77AF">
        <w:rPr>
          <w:rFonts w:cstheme="minorHAnsi"/>
        </w:rPr>
        <w:tab/>
        <w:t>existência de reforços de crédito estruturais ou de terceiros.</w:t>
      </w:r>
    </w:p>
    <w:p w14:paraId="7CDAC0ED" w14:textId="659C93C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4.2.</w:t>
      </w:r>
      <w:r w:rsidRPr="007E77AF">
        <w:rPr>
          <w:rStyle w:val="normaltextrun"/>
          <w:rFonts w:eastAsiaTheme="minorEastAsia"/>
          <w:lang w:val="pt-BR"/>
        </w:rPr>
        <w:tab/>
        <w:t>Valor total da oferta;</w:t>
      </w:r>
    </w:p>
    <w:p w14:paraId="6F285229" w14:textId="39590B4D"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r>
      <w:r w:rsidRPr="007E77AF">
        <w:rPr>
          <w:rStyle w:val="normaltextrun"/>
          <w:rFonts w:eastAsiaTheme="minorEastAsia" w:cstheme="minorBidi"/>
          <w:lang w:val="pt-BR"/>
        </w:rPr>
        <w:t>Data de registro da oferta pública na CVM</w:t>
      </w:r>
      <w:r>
        <w:rPr>
          <w:rStyle w:val="normaltextrun"/>
          <w:rFonts w:eastAsiaTheme="minorEastAsia" w:cstheme="minorBidi"/>
          <w:lang w:val="pt-BR"/>
        </w:rPr>
        <w:t>; e</w:t>
      </w:r>
    </w:p>
    <w:p w14:paraId="78E4D7B7" w14:textId="42DE3646"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r>
      <w:r w:rsidRPr="007E77AF">
        <w:rPr>
          <w:rStyle w:val="normaltextrun"/>
          <w:rFonts w:eastAsiaTheme="minorEastAsia" w:cstheme="minorBidi"/>
          <w:lang w:val="pt-BR"/>
        </w:rPr>
        <w:t xml:space="preserve">Informação se o título é </w:t>
      </w:r>
      <w:r w:rsidRPr="007E77AF">
        <w:rPr>
          <w:rFonts w:ascii="Calibri" w:hAnsi="Calibri" w:cs="Calibri"/>
          <w:lang w:val="pt-BR"/>
        </w:rPr>
        <w:t xml:space="preserve">qualificado pela </w:t>
      </w:r>
      <w:proofErr w:type="spellStart"/>
      <w:r w:rsidRPr="007E77AF">
        <w:rPr>
          <w:rFonts w:ascii="Calibri" w:hAnsi="Calibri" w:cs="Calibri"/>
          <w:lang w:val="pt-BR"/>
        </w:rPr>
        <w:t>securitizadora</w:t>
      </w:r>
      <w:proofErr w:type="spellEnd"/>
      <w:r w:rsidRPr="007E77AF">
        <w:rPr>
          <w:rFonts w:ascii="Calibri" w:hAnsi="Calibri" w:cs="Calibri"/>
          <w:lang w:val="pt-BR"/>
        </w:rPr>
        <w:t xml:space="preserve"> como “verde”, “social”, “sustentável” ou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w:t>
      </w:r>
    </w:p>
    <w:p w14:paraId="7E348C2D" w14:textId="77777777"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5.</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rFonts w:ascii="Calibri" w:hAnsi="Calibri" w:cs="Calibri"/>
          <w:b/>
          <w:bCs/>
          <w:lang w:val="pt-BR"/>
        </w:rPr>
        <w:t>Alertas</w:t>
      </w:r>
    </w:p>
    <w:p w14:paraId="40F28E90"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5.1.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
    <w:p w14:paraId="3453F9AA"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5.2.</w:t>
      </w:r>
      <w:r w:rsidRPr="007E77AF">
        <w:rPr>
          <w:rStyle w:val="normaltextrun"/>
          <w:rFonts w:eastAsiaTheme="minorEastAsia"/>
          <w:lang w:val="pt-BR"/>
        </w:rPr>
        <w:tab/>
        <w:t>Responsabilidade da CVM: “O registro da presente oferta pública de distribuição não implica, por parte da CVM, garantia de veracidade das informações prestadas ou julgamento sobre a qualidade da companhia emissora ou do(s) devedor(es) do lastro dos títulos emitidos.”</w:t>
      </w:r>
    </w:p>
    <w:p w14:paraId="149DAFF3"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5.3.</w:t>
      </w:r>
      <w:r w:rsidRPr="007E77AF">
        <w:rPr>
          <w:rStyle w:val="normaltextrun"/>
          <w:rFonts w:eastAsiaTheme="minorEastAsia"/>
          <w:lang w:val="pt-BR"/>
        </w:rPr>
        <w:tab/>
        <w:t>Transparência de negociação, caso aplicável: “Os valores mobiliários objeto da presente oferta não serão negociados em mercados organizados de bolsa ou balcão, não podendo ser assegurada a disponibilidade de informações sobre os preços praticados ou sobre os negócios realizados.”</w:t>
      </w:r>
    </w:p>
    <w:p w14:paraId="0073B1CE" w14:textId="61D4F45E"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5.4.</w:t>
      </w:r>
      <w:r w:rsidRPr="007E77AF">
        <w:rPr>
          <w:rStyle w:val="normaltextrun"/>
          <w:rFonts w:eastAsiaTheme="minorEastAsia"/>
          <w:lang w:val="pt-BR"/>
        </w:rPr>
        <w:tab/>
        <w:t xml:space="preserve">Identificação do Risco de Crédito: “Os valores mobiliários objeto da presente oferta estão expostos primordialmente ao risco de crédito do(s) devedor(es) dos títulos que compõem seu lastro”, uma vez que foi instituído regime fiduciário sobre os referidos títulos” / “Os valores mobiliários objeto da presente oferta estão expostos primordialmente ao risco de crédito da </w:t>
      </w:r>
      <w:proofErr w:type="spellStart"/>
      <w:r w:rsidRPr="007E77AF">
        <w:rPr>
          <w:rStyle w:val="normaltextrun"/>
          <w:rFonts w:eastAsiaTheme="minorEastAsia"/>
          <w:lang w:val="pt-BR"/>
        </w:rPr>
        <w:t>securitizadora</w:t>
      </w:r>
      <w:proofErr w:type="spellEnd"/>
      <w:r w:rsidRPr="007E77AF">
        <w:rPr>
          <w:rStyle w:val="normaltextrun"/>
          <w:rFonts w:eastAsiaTheme="minorEastAsia"/>
          <w:lang w:val="pt-BR"/>
        </w:rPr>
        <w:t>, uma vez que não foi instituído regime fiduciário sobre os títulos que compõem seu lastro.”</w:t>
      </w:r>
    </w:p>
    <w:p w14:paraId="7178EB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5.5.</w:t>
      </w:r>
      <w:r w:rsidRPr="007E77AF">
        <w:rPr>
          <w:rStyle w:val="normaltextrun"/>
          <w:rFonts w:eastAsiaTheme="minorEastAsia"/>
          <w:lang w:val="pt-BR"/>
        </w:rPr>
        <w:tab/>
        <w:t>No caso de oferta com registro automático: “A CVM não realizou análise prévia do conteúdo do prospecto nem dos documentos da oferta.” e caso aplicável: “Existem restrições que se aplicam à revenda dos valores mobiliários conforme descritas no item 7.1.”</w:t>
      </w:r>
    </w:p>
    <w:p w14:paraId="47019BE1" w14:textId="77777777" w:rsidR="009A242A" w:rsidRPr="002C67D2" w:rsidRDefault="009A242A" w:rsidP="00F26C28">
      <w:pPr>
        <w:spacing w:after="160" w:line="259" w:lineRule="auto"/>
        <w:rPr>
          <w:rStyle w:val="normaltextrun"/>
          <w:rFonts w:cstheme="minorHAnsi"/>
          <w:b/>
          <w:bCs/>
        </w:rPr>
      </w:pPr>
      <w:r w:rsidRPr="002C67D2">
        <w:rPr>
          <w:rStyle w:val="normaltextrun"/>
          <w:rFonts w:cstheme="minorHAnsi"/>
          <w:b/>
          <w:bCs/>
        </w:rPr>
        <w:br w:type="page"/>
      </w:r>
    </w:p>
    <w:p w14:paraId="23C5E5D3" w14:textId="77777777" w:rsidR="009A242A" w:rsidRPr="007E77AF" w:rsidRDefault="009A242A" w:rsidP="00F26C28">
      <w:pPr>
        <w:pStyle w:val="paragraph"/>
        <w:spacing w:before="120" w:beforeAutospacing="0" w:after="120" w:afterAutospacing="0" w:line="312" w:lineRule="auto"/>
        <w:jc w:val="center"/>
        <w:rPr>
          <w:rStyle w:val="normaltextrun"/>
          <w:b/>
          <w:lang w:val="pt-BR"/>
        </w:rPr>
      </w:pPr>
      <w:r w:rsidRPr="007E77AF">
        <w:rPr>
          <w:rStyle w:val="normaltextrun"/>
          <w:b/>
          <w:lang w:val="pt-BR"/>
        </w:rPr>
        <w:lastRenderedPageBreak/>
        <w:t>Informações do Prospecto</w:t>
      </w:r>
    </w:p>
    <w:p w14:paraId="7A0E9662" w14:textId="77777777" w:rsidR="009A242A" w:rsidRPr="007E77AF" w:rsidRDefault="009A242A" w:rsidP="008B0110">
      <w:pPr>
        <w:pStyle w:val="paragraph"/>
        <w:tabs>
          <w:tab w:val="left" w:pos="450"/>
        </w:tabs>
        <w:spacing w:before="120" w:beforeAutospacing="0" w:after="120" w:afterAutospacing="0" w:line="312" w:lineRule="auto"/>
        <w:ind w:left="450" w:hanging="450"/>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b/>
          <w:lang w:val="pt-BR"/>
        </w:rPr>
        <w:t>Índice</w:t>
      </w:r>
      <w:r w:rsidRPr="007E77AF">
        <w:rPr>
          <w:rStyle w:val="normaltextrun"/>
          <w:rFonts w:cstheme="minorBidi"/>
          <w:b/>
          <w:bCs/>
          <w:lang w:val="pt-BR"/>
        </w:rPr>
        <w:t xml:space="preserve"> </w:t>
      </w:r>
    </w:p>
    <w:p w14:paraId="1CAC196D" w14:textId="41AFAB4A"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2.</w:t>
      </w:r>
      <w:r w:rsidRPr="007E77AF">
        <w:rPr>
          <w:rStyle w:val="normaltextrun"/>
          <w:b/>
          <w:lang w:val="pt-BR"/>
        </w:rPr>
        <w:tab/>
      </w:r>
      <w:r w:rsidRPr="007E77AF">
        <w:rPr>
          <w:rStyle w:val="normaltextrun"/>
          <w:b/>
          <w:lang w:val="pt-BR"/>
        </w:rPr>
        <w:tab/>
      </w:r>
      <w:r w:rsidRPr="007E77AF">
        <w:rPr>
          <w:rStyle w:val="normaltextrun"/>
          <w:rFonts w:cstheme="minorHAnsi"/>
          <w:b/>
          <w:bCs/>
          <w:lang w:val="pt-BR"/>
        </w:rPr>
        <w:t>Principais</w:t>
      </w:r>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11582CC3" w14:textId="0B4B1A5D" w:rsidR="009A242A" w:rsidRPr="007E77AF" w:rsidRDefault="009A242A" w:rsidP="00A92CF0">
      <w:pPr>
        <w:pStyle w:val="paragraph"/>
        <w:tabs>
          <w:tab w:val="left" w:pos="709"/>
        </w:tabs>
        <w:spacing w:before="120" w:beforeAutospacing="0" w:after="120" w:afterAutospacing="0" w:line="312" w:lineRule="auto"/>
        <w:ind w:left="709" w:hanging="709"/>
        <w:jc w:val="both"/>
        <w:rPr>
          <w:rStyle w:val="normaltextrun"/>
          <w:lang w:val="pt-BR"/>
        </w:rPr>
      </w:pPr>
      <w:r w:rsidRPr="007E77AF">
        <w:rPr>
          <w:rStyle w:val="normaltextrun"/>
          <w:lang w:val="pt-BR"/>
        </w:rPr>
        <w:t>2.1</w:t>
      </w:r>
      <w:r>
        <w:rPr>
          <w:rStyle w:val="normaltextrun"/>
          <w:lang w:val="pt-BR"/>
        </w:rPr>
        <w:t>.</w:t>
      </w:r>
      <w:r w:rsidRPr="007E77AF">
        <w:rPr>
          <w:rStyle w:val="normaltextrun"/>
          <w:lang w:val="pt-BR"/>
        </w:rPr>
        <w:tab/>
        <w:t>Breve descrição da</w:t>
      </w:r>
      <w:r w:rsidR="00A6425B">
        <w:rPr>
          <w:rStyle w:val="normaltextrun"/>
          <w:lang w:val="pt-BR"/>
        </w:rPr>
        <w:t xml:space="preserve"> </w:t>
      </w:r>
      <w:r w:rsidRPr="007E77AF">
        <w:rPr>
          <w:rStyle w:val="normaltextrun"/>
          <w:lang w:val="pt-BR"/>
        </w:rPr>
        <w:t>oferta;</w:t>
      </w:r>
    </w:p>
    <w:p w14:paraId="7EB9F739"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2.2</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r>
      <w:r w:rsidRPr="007E77AF">
        <w:rPr>
          <w:rStyle w:val="normaltextrun"/>
          <w:rFonts w:cstheme="minorHAnsi"/>
          <w:lang w:val="pt-BR"/>
        </w:rPr>
        <w:t xml:space="preserve">Apresentação da </w:t>
      </w:r>
      <w:proofErr w:type="spellStart"/>
      <w:r w:rsidRPr="007E77AF">
        <w:rPr>
          <w:rStyle w:val="normaltextrun"/>
          <w:rFonts w:cstheme="minorHAnsi"/>
          <w:lang w:val="pt-BR"/>
        </w:rPr>
        <w:t>securitizadoras</w:t>
      </w:r>
      <w:proofErr w:type="spellEnd"/>
      <w:r w:rsidRPr="007E77AF">
        <w:rPr>
          <w:rStyle w:val="normaltextrun"/>
          <w:rFonts w:cstheme="minorHAnsi"/>
          <w:lang w:val="pt-BR"/>
        </w:rPr>
        <w:t>;</w:t>
      </w:r>
    </w:p>
    <w:p w14:paraId="3F4E435D"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2.3</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r>
      <w:r w:rsidRPr="007E77AF">
        <w:rPr>
          <w:rFonts w:cstheme="minorBidi"/>
          <w:lang w:val="pt-BR"/>
        </w:rPr>
        <w:t xml:space="preserve">Informações </w:t>
      </w:r>
      <w:r w:rsidRPr="007E77AF">
        <w:rPr>
          <w:rStyle w:val="normaltextrun"/>
          <w:rFonts w:cstheme="minorBidi"/>
          <w:lang w:val="pt-BR"/>
        </w:rPr>
        <w:t xml:space="preserve">que a administradora deseja destacar sobre os certificados em relação </w:t>
      </w:r>
      <w:r w:rsidRPr="007E77AF">
        <w:rPr>
          <w:rFonts w:cstheme="minorBidi"/>
          <w:lang w:val="pt-BR"/>
        </w:rPr>
        <w:t>àquelas contidas no termo de securitização</w:t>
      </w:r>
      <w:r w:rsidRPr="007E77AF">
        <w:rPr>
          <w:rStyle w:val="normaltextrun"/>
          <w:rFonts w:cstheme="minorBidi"/>
          <w:lang w:val="pt-BR"/>
        </w:rPr>
        <w:t>;</w:t>
      </w:r>
    </w:p>
    <w:p w14:paraId="387B11CA" w14:textId="5B3F2B83"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Pr>
          <w:rStyle w:val="normaltextrun"/>
          <w:lang w:val="pt-BR"/>
        </w:rPr>
        <w:t>.</w:t>
      </w:r>
      <w:r w:rsidRPr="007E77AF">
        <w:rPr>
          <w:rStyle w:val="normaltextrun"/>
          <w:lang w:val="pt-BR"/>
        </w:rPr>
        <w:tab/>
      </w:r>
      <w:r w:rsidRPr="007E77AF">
        <w:rPr>
          <w:rStyle w:val="normaltextrun"/>
          <w:lang w:val="pt-BR"/>
        </w:rPr>
        <w:tab/>
        <w:t>Identificação do público-alvo;</w:t>
      </w:r>
    </w:p>
    <w:p w14:paraId="64664567"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Pr>
          <w:rStyle w:val="normaltextrun"/>
          <w:lang w:val="pt-BR"/>
        </w:rPr>
        <w:t>.</w:t>
      </w:r>
      <w:r w:rsidRPr="007E77AF">
        <w:rPr>
          <w:rStyle w:val="normaltextrun"/>
          <w:lang w:val="pt-BR"/>
        </w:rPr>
        <w:tab/>
      </w:r>
      <w:r w:rsidRPr="007E77AF">
        <w:rPr>
          <w:rStyle w:val="normaltextrun"/>
          <w:lang w:val="pt-BR"/>
        </w:rPr>
        <w:tab/>
        <w:t>Valor total da oferta;</w:t>
      </w:r>
    </w:p>
    <w:p w14:paraId="42816426"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2.6</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Em relação a cada série, informar, caso aplicável:</w:t>
      </w:r>
    </w:p>
    <w:p w14:paraId="78EBD693" w14:textId="77777777" w:rsidR="009A242A" w:rsidRPr="007E77AF" w:rsidRDefault="009A242A" w:rsidP="00A92CF0">
      <w:pPr>
        <w:spacing w:before="120" w:after="120" w:line="312" w:lineRule="auto"/>
        <w:ind w:left="1069" w:hanging="360"/>
        <w:jc w:val="both"/>
        <w:rPr>
          <w:rFonts w:cstheme="minorHAnsi"/>
        </w:rPr>
      </w:pPr>
      <w:r w:rsidRPr="007E77AF">
        <w:rPr>
          <w:rStyle w:val="normaltextrun"/>
        </w:rPr>
        <w:t>a)</w:t>
      </w:r>
      <w:r w:rsidRPr="007E77AF">
        <w:rPr>
          <w:rStyle w:val="normaltextrun"/>
        </w:rPr>
        <w:tab/>
      </w:r>
      <w:r w:rsidRPr="007E77AF">
        <w:t>valor</w:t>
      </w:r>
      <w:r w:rsidRPr="007E77AF">
        <w:rPr>
          <w:rFonts w:cstheme="minorHAnsi"/>
        </w:rPr>
        <w:t xml:space="preserve"> nominal unitário;</w:t>
      </w:r>
    </w:p>
    <w:p w14:paraId="0A93BE44"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quantidade</w:t>
      </w:r>
      <w:r w:rsidRPr="007E77AF">
        <w:rPr>
          <w:rFonts w:cstheme="minorHAnsi"/>
        </w:rPr>
        <w:t>;</w:t>
      </w:r>
    </w:p>
    <w:p w14:paraId="60F6E9BA"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c)</w:t>
      </w:r>
      <w:r w:rsidRPr="007E77AF">
        <w:rPr>
          <w:rFonts w:cstheme="minorHAnsi"/>
        </w:rPr>
        <w:tab/>
      </w:r>
      <w:r w:rsidRPr="007E77AF">
        <w:t>opção</w:t>
      </w:r>
      <w:r w:rsidRPr="007E77AF">
        <w:rPr>
          <w:rFonts w:cstheme="minorHAnsi"/>
        </w:rPr>
        <w:t xml:space="preserve"> de lote adicional;</w:t>
      </w:r>
    </w:p>
    <w:p w14:paraId="7B717928" w14:textId="2175369B" w:rsidR="009A242A" w:rsidRPr="007E77AF" w:rsidRDefault="009A242A" w:rsidP="00A92CF0">
      <w:pPr>
        <w:spacing w:before="120" w:after="120" w:line="312" w:lineRule="auto"/>
        <w:ind w:left="1069" w:hanging="360"/>
        <w:jc w:val="both"/>
        <w:rPr>
          <w:rFonts w:cstheme="minorHAnsi"/>
        </w:rPr>
      </w:pPr>
      <w:r w:rsidRPr="007E77AF">
        <w:rPr>
          <w:rFonts w:cstheme="minorHAnsi"/>
        </w:rPr>
        <w:t>d)</w:t>
      </w:r>
      <w:r w:rsidRPr="007E77AF">
        <w:rPr>
          <w:rFonts w:cstheme="minorHAnsi"/>
        </w:rPr>
        <w:tab/>
      </w:r>
      <w:r w:rsidRPr="007E77AF">
        <w:t>código</w:t>
      </w:r>
      <w:r w:rsidRPr="007E77AF">
        <w:rPr>
          <w:rFonts w:cstheme="minorHAnsi"/>
        </w:rPr>
        <w:t xml:space="preserve"> ISIN;</w:t>
      </w:r>
    </w:p>
    <w:p w14:paraId="4B41E5A6"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e)</w:t>
      </w:r>
      <w:r w:rsidRPr="007E77AF">
        <w:rPr>
          <w:rFonts w:cstheme="minorHAnsi"/>
        </w:rPr>
        <w:tab/>
      </w:r>
      <w:r w:rsidRPr="007E77AF">
        <w:t>classificação</w:t>
      </w:r>
      <w:r w:rsidRPr="007E77AF">
        <w:rPr>
          <w:rFonts w:cstheme="minorHAnsi"/>
        </w:rPr>
        <w:t xml:space="preserve"> de risco;</w:t>
      </w:r>
    </w:p>
    <w:p w14:paraId="3A13DD5C"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f)</w:t>
      </w:r>
      <w:r w:rsidRPr="007E77AF">
        <w:rPr>
          <w:rFonts w:cstheme="minorHAnsi"/>
        </w:rPr>
        <w:tab/>
      </w:r>
      <w:r w:rsidRPr="007E77AF">
        <w:t>data</w:t>
      </w:r>
      <w:r w:rsidRPr="007E77AF">
        <w:rPr>
          <w:rFonts w:cstheme="minorHAnsi"/>
        </w:rPr>
        <w:t xml:space="preserve"> de emissão;</w:t>
      </w:r>
    </w:p>
    <w:p w14:paraId="271FD3E9" w14:textId="28BC8F02" w:rsidR="009A242A" w:rsidRPr="007E77AF" w:rsidRDefault="009A242A" w:rsidP="00A92CF0">
      <w:pPr>
        <w:spacing w:before="120" w:after="120" w:line="312" w:lineRule="auto"/>
        <w:ind w:left="1069" w:hanging="360"/>
        <w:jc w:val="both"/>
        <w:rPr>
          <w:rFonts w:cstheme="minorHAnsi"/>
        </w:rPr>
      </w:pPr>
      <w:r w:rsidRPr="007E77AF">
        <w:rPr>
          <w:rFonts w:cstheme="minorHAnsi"/>
        </w:rPr>
        <w:t>g)</w:t>
      </w:r>
      <w:r w:rsidRPr="007E77AF">
        <w:rPr>
          <w:rFonts w:cstheme="minorHAnsi"/>
        </w:rPr>
        <w:tab/>
      </w:r>
      <w:r w:rsidRPr="007E77AF">
        <w:t>prazo</w:t>
      </w:r>
      <w:r w:rsidRPr="007E77AF">
        <w:rPr>
          <w:rFonts w:cstheme="minorHAnsi"/>
        </w:rPr>
        <w:t xml:space="preserve"> e data de vencimento;</w:t>
      </w:r>
    </w:p>
    <w:p w14:paraId="0B11620C"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h)</w:t>
      </w:r>
      <w:r w:rsidRPr="007E77AF">
        <w:rPr>
          <w:rFonts w:cstheme="minorHAnsi"/>
        </w:rPr>
        <w:tab/>
      </w:r>
      <w:r w:rsidRPr="007E77AF">
        <w:t>indicação</w:t>
      </w:r>
      <w:r w:rsidRPr="007E77AF">
        <w:rPr>
          <w:rFonts w:cstheme="minorHAnsi"/>
        </w:rPr>
        <w:t xml:space="preserve"> sobre a admissão à negociação em mercados organizados de bolsa ou balcão;</w:t>
      </w:r>
    </w:p>
    <w:p w14:paraId="34EB1604"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i)</w:t>
      </w:r>
      <w:r w:rsidRPr="007E77AF">
        <w:rPr>
          <w:rFonts w:cstheme="minorHAnsi"/>
        </w:rPr>
        <w:tab/>
      </w:r>
      <w:r w:rsidRPr="007E77AF">
        <w:t>juros</w:t>
      </w:r>
      <w:r w:rsidRPr="007E77AF">
        <w:rPr>
          <w:rFonts w:cstheme="minorHAnsi"/>
        </w:rPr>
        <w:t xml:space="preserve"> remuneratórios e atualização monetária </w:t>
      </w:r>
      <w:proofErr w:type="gramStart"/>
      <w:r w:rsidRPr="007E77AF">
        <w:rPr>
          <w:rFonts w:cstheme="minorHAnsi"/>
        </w:rPr>
        <w:t>–  índices</w:t>
      </w:r>
      <w:proofErr w:type="gramEnd"/>
      <w:r w:rsidRPr="007E77AF">
        <w:rPr>
          <w:rFonts w:cstheme="minorHAnsi"/>
        </w:rPr>
        <w:t xml:space="preserve"> e forma de cálculo;</w:t>
      </w:r>
    </w:p>
    <w:p w14:paraId="39B85F03"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j)</w:t>
      </w:r>
      <w:r w:rsidRPr="007E77AF">
        <w:rPr>
          <w:rFonts w:cstheme="minorHAnsi"/>
        </w:rPr>
        <w:tab/>
      </w:r>
      <w:r w:rsidRPr="007E77AF">
        <w:t>pagamento</w:t>
      </w:r>
      <w:r w:rsidRPr="007E77AF">
        <w:rPr>
          <w:rFonts w:cstheme="minorHAnsi"/>
        </w:rPr>
        <w:t xml:space="preserve"> da remuneração – periodicidade e data de pagamentos;</w:t>
      </w:r>
    </w:p>
    <w:p w14:paraId="7121BB79"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k)</w:t>
      </w:r>
      <w:r w:rsidRPr="007E77AF">
        <w:rPr>
          <w:rFonts w:cstheme="minorHAnsi"/>
        </w:rPr>
        <w:tab/>
      </w:r>
      <w:r w:rsidRPr="007E77AF">
        <w:t>repactuação</w:t>
      </w:r>
      <w:r w:rsidRPr="007E77AF">
        <w:rPr>
          <w:rFonts w:cstheme="minorHAnsi"/>
        </w:rPr>
        <w:t>;</w:t>
      </w:r>
    </w:p>
    <w:p w14:paraId="3621F271"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l)</w:t>
      </w:r>
      <w:r w:rsidRPr="007E77AF">
        <w:rPr>
          <w:rFonts w:cstheme="minorHAnsi"/>
        </w:rPr>
        <w:tab/>
      </w:r>
      <w:r w:rsidRPr="007E77AF">
        <w:t>amortização</w:t>
      </w:r>
      <w:r w:rsidRPr="007E77AF">
        <w:rPr>
          <w:rFonts w:cstheme="minorHAnsi"/>
        </w:rPr>
        <w:t xml:space="preserve"> e hipóteses de vencimento antecipado – existência, datas e condições;</w:t>
      </w:r>
    </w:p>
    <w:p w14:paraId="4F5E98AA"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m)</w:t>
      </w:r>
      <w:r w:rsidRPr="007E77AF">
        <w:rPr>
          <w:rFonts w:cstheme="minorHAnsi"/>
        </w:rPr>
        <w:tab/>
      </w:r>
      <w:r w:rsidRPr="007E77AF">
        <w:t>garantias</w:t>
      </w:r>
      <w:r w:rsidRPr="007E77AF">
        <w:rPr>
          <w:rFonts w:cstheme="minorHAnsi"/>
        </w:rPr>
        <w:t xml:space="preserve"> – tipo, forma e descrição;</w:t>
      </w:r>
    </w:p>
    <w:p w14:paraId="7B1393C3"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n)</w:t>
      </w:r>
      <w:r w:rsidRPr="007E77AF">
        <w:rPr>
          <w:rFonts w:cstheme="minorHAnsi"/>
        </w:rPr>
        <w:tab/>
      </w:r>
      <w:r w:rsidRPr="007E77AF">
        <w:t>lastro</w:t>
      </w:r>
      <w:r w:rsidRPr="007E77AF">
        <w:rPr>
          <w:rFonts w:cstheme="minorHAnsi"/>
        </w:rPr>
        <w:t>;</w:t>
      </w:r>
    </w:p>
    <w:p w14:paraId="39189028"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o)</w:t>
      </w:r>
      <w:r w:rsidRPr="007E77AF">
        <w:rPr>
          <w:rFonts w:cstheme="minorHAnsi"/>
        </w:rPr>
        <w:tab/>
      </w:r>
      <w:r w:rsidRPr="007E77AF">
        <w:t>existência</w:t>
      </w:r>
      <w:r w:rsidRPr="007E77AF">
        <w:rPr>
          <w:rFonts w:cstheme="minorHAnsi"/>
        </w:rPr>
        <w:t xml:space="preserve"> ou não de regime fiduciário;</w:t>
      </w:r>
    </w:p>
    <w:p w14:paraId="7E5F3328"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p)</w:t>
      </w:r>
      <w:r w:rsidRPr="007E77AF">
        <w:rPr>
          <w:rFonts w:cstheme="minorHAnsi"/>
        </w:rPr>
        <w:tab/>
      </w:r>
      <w:r w:rsidRPr="007E77AF">
        <w:t>eventos</w:t>
      </w:r>
      <w:r w:rsidRPr="007E77AF">
        <w:rPr>
          <w:rFonts w:cstheme="minorHAnsi"/>
        </w:rPr>
        <w:t xml:space="preserve"> de liquidação do patrimônio separado;</w:t>
      </w:r>
    </w:p>
    <w:p w14:paraId="253A8390"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lastRenderedPageBreak/>
        <w:t>q)</w:t>
      </w:r>
      <w:r w:rsidRPr="007E77AF">
        <w:rPr>
          <w:rFonts w:cstheme="minorHAnsi"/>
        </w:rPr>
        <w:tab/>
      </w:r>
      <w:r w:rsidRPr="007E77AF">
        <w:t>tratamento</w:t>
      </w:r>
      <w:r w:rsidRPr="007E77AF">
        <w:rPr>
          <w:rFonts w:cstheme="minorHAnsi"/>
        </w:rPr>
        <w:t xml:space="preserve"> tributário; e</w:t>
      </w:r>
    </w:p>
    <w:p w14:paraId="50D5F2DE"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r)</w:t>
      </w:r>
      <w:r w:rsidRPr="007E77AF">
        <w:rPr>
          <w:rFonts w:cstheme="minorHAnsi"/>
        </w:rPr>
        <w:tab/>
      </w:r>
      <w:r w:rsidRPr="007E77AF">
        <w:t>outros</w:t>
      </w:r>
      <w:r w:rsidRPr="007E77AF">
        <w:rPr>
          <w:rFonts w:cstheme="minorHAnsi"/>
        </w:rPr>
        <w:t xml:space="preserve"> direitos, vantagens e restrições.</w:t>
      </w:r>
    </w:p>
    <w:p w14:paraId="3AD31A65" w14:textId="64C70A21"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3.</w:t>
      </w:r>
      <w:r w:rsidRPr="007E77AF">
        <w:rPr>
          <w:rStyle w:val="normaltextrun"/>
          <w:b/>
          <w:lang w:val="pt-BR"/>
        </w:rPr>
        <w:tab/>
      </w:r>
      <w:r w:rsidRPr="007E77AF">
        <w:rPr>
          <w:rStyle w:val="normaltextrun"/>
          <w:b/>
          <w:lang w:val="pt-BR"/>
        </w:rPr>
        <w:tab/>
        <w:t>Destinação de recursos</w:t>
      </w:r>
    </w:p>
    <w:p w14:paraId="4FA8762C"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Exposição clara e objetiva do destino dos recursos provenientes da oferta;</w:t>
      </w:r>
    </w:p>
    <w:p w14:paraId="0CCA5BE4"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Nos casos em que a destinação de recursos por parte dos devedores do lastro dos valores mobiliários emitidos for um requisito da emissão, informações sobre:</w:t>
      </w:r>
    </w:p>
    <w:p w14:paraId="4A33EE81" w14:textId="77777777" w:rsidR="009A242A" w:rsidRPr="007E77AF" w:rsidRDefault="009A242A" w:rsidP="00A92CF0">
      <w:pPr>
        <w:spacing w:before="120" w:after="120" w:line="312" w:lineRule="auto"/>
        <w:ind w:left="1069" w:hanging="360"/>
        <w:jc w:val="both"/>
      </w:pPr>
      <w:r w:rsidRPr="007E77AF">
        <w:t>a)</w:t>
      </w:r>
      <w:r w:rsidRPr="007E77AF">
        <w:tab/>
        <w:t>os ativos ou atividades para os quais serão destinados os recursos oriundos da emissão;</w:t>
      </w:r>
    </w:p>
    <w:p w14:paraId="455198F0" w14:textId="77777777" w:rsidR="009A242A" w:rsidRPr="007E77AF" w:rsidRDefault="009A242A" w:rsidP="00A92CF0">
      <w:pPr>
        <w:spacing w:before="120" w:after="120" w:line="312" w:lineRule="auto"/>
        <w:ind w:left="1069" w:hanging="360"/>
        <w:jc w:val="both"/>
      </w:pPr>
      <w:r w:rsidRPr="007E77AF">
        <w:t>b)</w:t>
      </w:r>
      <w:r w:rsidRPr="007E77AF">
        <w:tab/>
        <w:t>eventual obrigação do agente fiduciário de acompanhar essa destinação de recursos e a periodicidade desse acompanhamento;</w:t>
      </w:r>
    </w:p>
    <w:p w14:paraId="6665135D" w14:textId="77777777" w:rsidR="009A242A" w:rsidRPr="007E77AF" w:rsidRDefault="009A242A" w:rsidP="00A92CF0">
      <w:pPr>
        <w:spacing w:before="120" w:after="120" w:line="312" w:lineRule="auto"/>
        <w:ind w:left="1069" w:hanging="360"/>
        <w:jc w:val="both"/>
      </w:pPr>
      <w:r w:rsidRPr="007E77AF">
        <w:t>c)</w:t>
      </w:r>
      <w:r w:rsidRPr="007E77AF">
        <w:tab/>
        <w:t>a data limite para que haja essa destinação;</w:t>
      </w:r>
    </w:p>
    <w:p w14:paraId="4EA4D15E" w14:textId="77777777" w:rsidR="009A242A" w:rsidRPr="007E77AF" w:rsidRDefault="009A242A" w:rsidP="00A92CF0">
      <w:pPr>
        <w:spacing w:before="120" w:after="120" w:line="312" w:lineRule="auto"/>
        <w:ind w:left="1069" w:hanging="360"/>
        <w:jc w:val="both"/>
      </w:pPr>
      <w:r w:rsidRPr="007E77AF">
        <w:t>d)</w:t>
      </w:r>
      <w:r w:rsidRPr="007E77AF">
        <w:tab/>
        <w:t>cronograma indicativo da destinação de recursos, com informações no mínimo semestrais, caso haja obrigação de acompanhamento da destinação pelo agente fiduciário; e</w:t>
      </w:r>
    </w:p>
    <w:p w14:paraId="2400E349" w14:textId="77777777" w:rsidR="009A242A" w:rsidRPr="007E77AF" w:rsidRDefault="009A242A" w:rsidP="00A92CF0">
      <w:pPr>
        <w:spacing w:before="120" w:after="120" w:line="312" w:lineRule="auto"/>
        <w:ind w:left="1069" w:hanging="360"/>
        <w:jc w:val="both"/>
      </w:pPr>
      <w:r w:rsidRPr="007E77AF">
        <w:t>e)</w:t>
      </w:r>
      <w:r w:rsidRPr="007E77AF">
        <w:tab/>
        <w:t>a capacidade de destinação de todos os recursos oriundos da emissão dentro do prazo previsto, levando-se em conta, ainda, outras obrigações eventualmente existentes de destinação de recursos para os mesmos ativos ou atividades objeto da presente emissão.</w:t>
      </w:r>
    </w:p>
    <w:p w14:paraId="511C1CB8"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3.3</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Nos casos em que se pretenda utilizar os recursos, direta ou indiretamente, na aquisição de ativos de partes relacionadas, indicação de quem serão comprados e como o custo será determinado;</w:t>
      </w:r>
    </w:p>
    <w:p w14:paraId="3E869756"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3.4</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No caso de apenas parte dos recursos almejados com a oferta vir a ser obtida por meio da distribuição, indicação das providências que serão adotadas; e</w:t>
      </w:r>
    </w:p>
    <w:p w14:paraId="60D92F3E" w14:textId="50A79D65"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Fonts w:cstheme="minorHAnsi"/>
          <w:lang w:val="pt-BR"/>
        </w:rPr>
      </w:pPr>
      <w:r w:rsidRPr="00C67B81">
        <w:rPr>
          <w:lang w:val="pt-BR"/>
        </w:rPr>
        <w:t>3.5</w:t>
      </w:r>
      <w:r>
        <w:rPr>
          <w:rFonts w:cstheme="minorHAnsi"/>
          <w:lang w:val="pt-BR"/>
        </w:rPr>
        <w:t>.</w:t>
      </w:r>
      <w:r w:rsidRPr="007E77AF">
        <w:rPr>
          <w:rFonts w:cstheme="minorHAnsi"/>
          <w:lang w:val="pt-BR"/>
        </w:rPr>
        <w:tab/>
      </w:r>
      <w:r w:rsidRPr="007E77AF">
        <w:rPr>
          <w:rFonts w:cstheme="minorHAns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pela </w:t>
      </w:r>
      <w:proofErr w:type="spellStart"/>
      <w:r w:rsidRPr="007E77AF">
        <w:rPr>
          <w:rFonts w:ascii="Calibri" w:hAnsi="Calibri" w:cs="Calibri"/>
          <w:lang w:val="pt-BR"/>
        </w:rPr>
        <w:t>securitizadora</w:t>
      </w:r>
      <w:proofErr w:type="spellEnd"/>
      <w:r w:rsidRPr="007E77AF">
        <w:rPr>
          <w:rFonts w:ascii="Calibri" w:hAnsi="Calibri" w:cs="Calibri"/>
          <w:lang w:val="pt-BR"/>
        </w:rPr>
        <w:t xml:space="preserve"> como “verde”, “social”, “sustentável” ou </w:t>
      </w:r>
      <w:r w:rsidRPr="00BA2AA4">
        <w:rPr>
          <w:rFonts w:cstheme="minorHAnsi"/>
          <w:lang w:val="pt-BR"/>
        </w:rPr>
        <w:t>termo correlato</w:t>
      </w:r>
      <w:r w:rsidRPr="007E77AF">
        <w:rPr>
          <w:rFonts w:ascii="Calibri" w:hAnsi="Calibri" w:cs="Calibri"/>
          <w:lang w:val="pt-BR"/>
        </w:rPr>
        <w:t>, informar:</w:t>
      </w:r>
    </w:p>
    <w:p w14:paraId="06F64B5F" w14:textId="42DC7BFD" w:rsidR="009A242A" w:rsidRPr="007E77AF" w:rsidRDefault="009A242A" w:rsidP="00A92CF0">
      <w:pPr>
        <w:spacing w:before="120" w:after="120" w:line="312" w:lineRule="auto"/>
        <w:ind w:left="1069" w:hanging="360"/>
        <w:jc w:val="both"/>
        <w:rPr>
          <w:rFonts w:cstheme="minorHAnsi"/>
        </w:rPr>
      </w:pPr>
      <w:r w:rsidRPr="007E77AF">
        <w:rPr>
          <w:rFonts w:cstheme="minorHAnsi"/>
        </w:rPr>
        <w:t>a)</w:t>
      </w:r>
      <w:r w:rsidRPr="007E77AF">
        <w:rPr>
          <w:rFonts w:cstheme="minorHAnsi"/>
        </w:rPr>
        <w:tab/>
        <w:t xml:space="preserve">quais metodologias, princípios ou diretrizes </w:t>
      </w:r>
      <w:r>
        <w:rPr>
          <w:rFonts w:cstheme="minorHAnsi"/>
        </w:rPr>
        <w:t>amplamente</w:t>
      </w:r>
      <w:r w:rsidRPr="007E77AF">
        <w:rPr>
          <w:rFonts w:cstheme="minorHAnsi"/>
        </w:rPr>
        <w:t xml:space="preserve"> reconhecidos foram seguidos para qualificação da oferta conforme item acima;</w:t>
      </w:r>
    </w:p>
    <w:p w14:paraId="31B639EE" w14:textId="1F8D773F"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t>qual a entidade independente responsável pela averiguação acima citada e tipo de avaliação envolvida;</w:t>
      </w:r>
    </w:p>
    <w:p w14:paraId="36D91EB4" w14:textId="112479AA" w:rsidR="009A242A" w:rsidRPr="007E77AF" w:rsidRDefault="009A242A" w:rsidP="00A92CF0">
      <w:pPr>
        <w:spacing w:before="120" w:after="120" w:line="312" w:lineRule="auto"/>
        <w:ind w:left="1069" w:hanging="360"/>
        <w:jc w:val="both"/>
        <w:rPr>
          <w:rFonts w:cstheme="minorHAnsi"/>
        </w:rPr>
      </w:pPr>
      <w:r w:rsidRPr="007E77AF">
        <w:rPr>
          <w:rFonts w:cstheme="minorHAnsi"/>
        </w:rPr>
        <w:t>c)</w:t>
      </w:r>
      <w:r w:rsidRPr="007E77AF">
        <w:rPr>
          <w:rFonts w:cstheme="minorHAnsi"/>
        </w:rPr>
        <w:tab/>
      </w:r>
      <w:r>
        <w:rPr>
          <w:rFonts w:cstheme="minorHAnsi"/>
        </w:rPr>
        <w:t>obrigações que a oferta impõe quanto à persecução de objetivos “verdes”, “sociais”, “sustentáveis” ou termos correlatos, conforme metodologias, princípios ou diretrizes amplamente reconhecidos</w:t>
      </w:r>
      <w:r w:rsidRPr="007E77AF">
        <w:rPr>
          <w:rFonts w:cstheme="minorHAnsi"/>
        </w:rPr>
        <w:t>; e</w:t>
      </w:r>
    </w:p>
    <w:p w14:paraId="427B9E8E" w14:textId="1AFB23B7" w:rsidR="009A242A" w:rsidRPr="007E77AF" w:rsidRDefault="009A242A" w:rsidP="00A92CF0">
      <w:pPr>
        <w:spacing w:before="120" w:after="120" w:line="312" w:lineRule="auto"/>
        <w:ind w:left="1069" w:hanging="360"/>
        <w:jc w:val="both"/>
        <w:rPr>
          <w:rFonts w:cstheme="minorHAnsi"/>
        </w:rPr>
      </w:pPr>
      <w:r w:rsidRPr="007E77AF">
        <w:rPr>
          <w:rFonts w:cstheme="minorHAnsi"/>
        </w:rPr>
        <w:lastRenderedPageBreak/>
        <w:t>d)</w:t>
      </w:r>
      <w:r w:rsidRPr="007E77AF">
        <w:rPr>
          <w:rFonts w:cstheme="minorHAnsi"/>
        </w:rPr>
        <w:tab/>
      </w:r>
      <w:r w:rsidRPr="006737D3">
        <w:t xml:space="preserve"> </w:t>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t>.</w:t>
      </w:r>
    </w:p>
    <w:p w14:paraId="1B7E8C26"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4.</w:t>
      </w:r>
      <w:r w:rsidRPr="007E77AF">
        <w:rPr>
          <w:rStyle w:val="normaltextrun"/>
          <w:b/>
          <w:lang w:val="pt-BR"/>
        </w:rPr>
        <w:tab/>
      </w:r>
      <w:r w:rsidRPr="007E77AF">
        <w:rPr>
          <w:rStyle w:val="normaltextrun"/>
          <w:b/>
          <w:lang w:val="pt-BR"/>
        </w:rPr>
        <w:tab/>
        <w:t xml:space="preserve">Fatores de risco </w:t>
      </w:r>
    </w:p>
    <w:p w14:paraId="60D34A1F" w14:textId="3F5C3710"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4.1</w:t>
      </w:r>
      <w:r>
        <w:rPr>
          <w:rStyle w:val="normaltextrun"/>
          <w:lang w:val="pt-BR"/>
        </w:rPr>
        <w:t>.</w:t>
      </w:r>
      <w:r w:rsidRPr="007E77AF">
        <w:rPr>
          <w:rStyle w:val="normaltextrun"/>
          <w:lang w:val="pt-BR"/>
        </w:rPr>
        <w:tab/>
      </w:r>
      <w:r w:rsidRPr="007E77AF">
        <w:rPr>
          <w:rStyle w:val="normaltextrun"/>
          <w:lang w:val="pt-BR"/>
        </w:rPr>
        <w:tab/>
        <w:t xml:space="preserve">Em ordem decrescente de relevância, os principais fatores de risco associados à oferta e à </w:t>
      </w:r>
      <w:proofErr w:type="spellStart"/>
      <w:r w:rsidRPr="007E77AF">
        <w:rPr>
          <w:rStyle w:val="normaltextrun"/>
          <w:lang w:val="pt-BR"/>
        </w:rPr>
        <w:t>secur</w:t>
      </w:r>
      <w:r>
        <w:rPr>
          <w:rStyle w:val="normaltextrun"/>
          <w:lang w:val="pt-BR"/>
        </w:rPr>
        <w:t>i</w:t>
      </w:r>
      <w:r w:rsidRPr="007E77AF">
        <w:rPr>
          <w:rStyle w:val="normaltextrun"/>
          <w:lang w:val="pt-BR"/>
        </w:rPr>
        <w:t>tizadora</w:t>
      </w:r>
      <w:proofErr w:type="spellEnd"/>
      <w:r w:rsidRPr="007E77AF">
        <w:rPr>
          <w:rStyle w:val="normaltextrun"/>
          <w:lang w:val="pt-BR"/>
        </w:rPr>
        <w:t>, incluindo:</w:t>
      </w:r>
    </w:p>
    <w:p w14:paraId="24CF6992" w14:textId="77777777" w:rsidR="009A242A" w:rsidRPr="007E77AF" w:rsidRDefault="009A242A" w:rsidP="00A92CF0">
      <w:pPr>
        <w:spacing w:before="120" w:after="120" w:line="312" w:lineRule="auto"/>
        <w:ind w:left="1069" w:hanging="360"/>
        <w:jc w:val="both"/>
      </w:pPr>
      <w:r w:rsidRPr="007E77AF">
        <w:t>a)</w:t>
      </w:r>
      <w:r w:rsidRPr="007E77AF">
        <w:tab/>
        <w:t>riscos associados ao nível de subordinação, caso aplicável, e ao consequente impacto nos pagamentos aos investidores em caso de insolvência;</w:t>
      </w:r>
    </w:p>
    <w:p w14:paraId="4411C581" w14:textId="77777777" w:rsidR="009A242A" w:rsidRPr="007E77AF" w:rsidRDefault="009A242A" w:rsidP="00A92CF0">
      <w:pPr>
        <w:spacing w:before="120" w:after="120" w:line="312" w:lineRule="auto"/>
        <w:ind w:left="1069" w:hanging="360"/>
        <w:jc w:val="both"/>
      </w:pPr>
      <w:r w:rsidRPr="007E77AF">
        <w:t>b)</w:t>
      </w:r>
      <w:r w:rsidRPr="007E77AF">
        <w:tab/>
        <w:t>riscos decorrentes dos critérios adotados pelo originador ou cedente para concessão de crédito;</w:t>
      </w:r>
    </w:p>
    <w:p w14:paraId="78D2B9EE" w14:textId="77777777" w:rsidR="009A242A" w:rsidRPr="007E77AF" w:rsidRDefault="009A242A" w:rsidP="00A92CF0">
      <w:pPr>
        <w:spacing w:before="120" w:after="120" w:line="312" w:lineRule="auto"/>
        <w:ind w:left="1069" w:hanging="360"/>
        <w:jc w:val="both"/>
      </w:pPr>
      <w:r w:rsidRPr="007E77AF">
        <w:t>c)</w:t>
      </w:r>
      <w:r w:rsidRPr="007E77AF">
        <w:tab/>
        <w:t xml:space="preserve">eventuais restrições de natureza legal ou regulatória que possam afetar adversamente a validade da constituição e da cessão dos direitos creditórios para a </w:t>
      </w:r>
      <w:proofErr w:type="spellStart"/>
      <w:r w:rsidRPr="007E77AF">
        <w:t>securitizadora</w:t>
      </w:r>
      <w:proofErr w:type="spellEnd"/>
      <w:r w:rsidRPr="007E77AF">
        <w:t>, bem como o comportamento do conjunto dos direitos creditórios cedidos e os fluxos de caixa a serem gerados; e</w:t>
      </w:r>
    </w:p>
    <w:p w14:paraId="4733D805" w14:textId="77777777" w:rsidR="009A242A" w:rsidRPr="007E77AF" w:rsidRDefault="009A242A" w:rsidP="00A92CF0">
      <w:pPr>
        <w:spacing w:before="120" w:after="120" w:line="312" w:lineRule="auto"/>
        <w:ind w:left="1069" w:hanging="360"/>
        <w:jc w:val="both"/>
      </w:pPr>
      <w:r w:rsidRPr="007E77AF">
        <w:t>d)</w:t>
      </w:r>
      <w:r w:rsidRPr="007E77AF">
        <w:tab/>
        <w:t>riscos específicos e significativos relacionados com o agente garantidor da dívida, se houver, na medida em que sejam relevantes para a sua capacidade de cumprir o seu compromisso nos termos da garantia.</w:t>
      </w:r>
    </w:p>
    <w:p w14:paraId="2AF31BB3"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5.</w:t>
      </w:r>
      <w:r w:rsidRPr="007E77AF">
        <w:rPr>
          <w:rStyle w:val="normaltextrun"/>
          <w:b/>
          <w:lang w:val="pt-BR"/>
        </w:rPr>
        <w:tab/>
      </w:r>
      <w:r w:rsidRPr="007E77AF">
        <w:rPr>
          <w:rStyle w:val="normaltextrun"/>
          <w:b/>
          <w:lang w:val="pt-BR"/>
        </w:rPr>
        <w:tab/>
        <w:t>Cronograma</w:t>
      </w:r>
    </w:p>
    <w:p w14:paraId="4B7A5A60"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5.1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Cronograma das etapas da oferta, destacando no mínimo:</w:t>
      </w:r>
    </w:p>
    <w:p w14:paraId="2FE9DF21" w14:textId="77777777" w:rsidR="009A242A" w:rsidRPr="007E77AF" w:rsidRDefault="009A242A" w:rsidP="00A92CF0">
      <w:pPr>
        <w:spacing w:before="120" w:after="120" w:line="312" w:lineRule="auto"/>
        <w:ind w:left="1069" w:hanging="360"/>
        <w:jc w:val="both"/>
      </w:pPr>
      <w:r w:rsidRPr="007E77AF">
        <w:t>a)</w:t>
      </w:r>
      <w:r w:rsidRPr="007E77AF">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3A21CF0E" w14:textId="11ACB797"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os prazos, condições e forma para: (i) manifestações de aceitação dos investidores interessados e de revogação da aceitação, (</w:t>
      </w:r>
      <w:proofErr w:type="spellStart"/>
      <w:r w:rsidRPr="007E77AF">
        <w:t>ii</w:t>
      </w:r>
      <w:proofErr w:type="spellEnd"/>
      <w:r w:rsidRPr="007E77AF">
        <w:t>) subscrição, integralização e entrega de respectivos certificados, conforme o caso, (</w:t>
      </w:r>
      <w:proofErr w:type="spellStart"/>
      <w:r w:rsidRPr="007E77AF">
        <w:t>iii</w:t>
      </w:r>
      <w:proofErr w:type="spellEnd"/>
      <w:r w:rsidRPr="007E77AF">
        <w:t>) distribuição junto ao público investidor em geral, (</w:t>
      </w:r>
      <w:proofErr w:type="spellStart"/>
      <w:r w:rsidRPr="007E77AF">
        <w:t>iv</w:t>
      </w:r>
      <w:proofErr w:type="spellEnd"/>
      <w:r w:rsidRPr="007E77AF">
        <w:t xml:space="preserve">) posterior alienação dos valores mobiliários adquiridos </w:t>
      </w:r>
      <w:r>
        <w:t>pelos coordenadores</w:t>
      </w:r>
      <w:r w:rsidRPr="007E77AF">
        <w:t xml:space="preserve"> em decorrência da prestação de garantia, </w:t>
      </w:r>
      <w:r w:rsidRPr="007E77AF" w:rsidDel="004076C2">
        <w:t>(</w:t>
      </w:r>
      <w:r w:rsidRPr="007E77AF">
        <w:t xml:space="preserve">v) devolução e reembolso aos investidores, se for o </w:t>
      </w:r>
      <w:r w:rsidRPr="007E77AF">
        <w:lastRenderedPageBreak/>
        <w:t>caso, e (vi) quaisquer outras datas relativas à oferta pública de interesse para os investidores ou ao mercado em geral.</w:t>
      </w:r>
    </w:p>
    <w:p w14:paraId="3E110C4D"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6.</w:t>
      </w:r>
      <w:r w:rsidRPr="007E77AF">
        <w:rPr>
          <w:rStyle w:val="normaltextrun"/>
          <w:b/>
          <w:lang w:val="pt-BR"/>
        </w:rPr>
        <w:tab/>
      </w:r>
      <w:r w:rsidRPr="007E77AF">
        <w:rPr>
          <w:rStyle w:val="normaltextrun"/>
          <w:b/>
          <w:lang w:val="pt-BR"/>
        </w:rPr>
        <w:tab/>
      </w:r>
      <w:r w:rsidRPr="007E77AF">
        <w:rPr>
          <w:rStyle w:val="normaltextrun"/>
          <w:rFonts w:cstheme="minorHAnsi"/>
          <w:b/>
          <w:bCs/>
          <w:lang w:val="pt-BR"/>
        </w:rPr>
        <w:t xml:space="preserve">Composição do capital social e capitalização da </w:t>
      </w:r>
      <w:proofErr w:type="spellStart"/>
      <w:r w:rsidRPr="007E77AF">
        <w:rPr>
          <w:rStyle w:val="normaltextrun"/>
          <w:rFonts w:cstheme="minorHAnsi"/>
          <w:b/>
          <w:bCs/>
          <w:lang w:val="pt-BR"/>
        </w:rPr>
        <w:t>securitizadora</w:t>
      </w:r>
      <w:proofErr w:type="spellEnd"/>
      <w:r w:rsidRPr="007E77AF">
        <w:rPr>
          <w:rStyle w:val="normaltextrun"/>
          <w:rFonts w:cstheme="minorHAnsi"/>
          <w:b/>
          <w:bCs/>
          <w:lang w:val="pt-BR"/>
        </w:rPr>
        <w:t xml:space="preserve"> registrada em categoria S2</w:t>
      </w:r>
    </w:p>
    <w:p w14:paraId="2F11B30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6.1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Capital social atual (incluindo identificação e as respectivas participações acionárias dos acionistas que detenham mais de 5% (cinco por cento) do capital social, por participação total e por espécie e classe);</w:t>
      </w:r>
    </w:p>
    <w:p w14:paraId="550CD65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6.2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 xml:space="preserve">Situação patrimonial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(endividamento de curto prazo, longo prazo e patrimônio líquido) e os impactos da captação de recursos da oferta na situação patrimonial e nos resultados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caso a emissão não conte com </w:t>
      </w:r>
      <w:r w:rsidRPr="007E77AF">
        <w:rPr>
          <w:rFonts w:cstheme="minorHAnsi"/>
          <w:lang w:val="pt-BR"/>
        </w:rPr>
        <w:t>instituição do regime fiduciário</w:t>
      </w:r>
      <w:r w:rsidRPr="007E77AF">
        <w:rPr>
          <w:rStyle w:val="normaltextrun"/>
          <w:rFonts w:cstheme="minorHAnsi"/>
          <w:lang w:val="pt-BR"/>
        </w:rPr>
        <w:t>.</w:t>
      </w:r>
    </w:p>
    <w:p w14:paraId="6887FBE1"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7.</w:t>
      </w:r>
      <w:r w:rsidRPr="007E77AF">
        <w:rPr>
          <w:rStyle w:val="normaltextrun"/>
          <w:rFonts w:cstheme="minorHAnsi"/>
          <w:b/>
          <w:bCs/>
          <w:lang w:val="pt-BR"/>
        </w:rPr>
        <w:tab/>
      </w:r>
      <w:r w:rsidRPr="007E77AF">
        <w:rPr>
          <w:rStyle w:val="normaltextrun"/>
          <w:rFonts w:cstheme="minorHAnsi"/>
          <w:b/>
          <w:bCs/>
          <w:lang w:val="pt-BR"/>
        </w:rPr>
        <w:tab/>
        <w:t>Restrições a direitos de investidores no contexto da oferta</w:t>
      </w:r>
    </w:p>
    <w:p w14:paraId="43D6E7FD"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Descrição de eventuais restrições à transferência dos valores mobiliários;</w:t>
      </w:r>
    </w:p>
    <w:p w14:paraId="268EBB6A"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4CB89791" w14:textId="247C4644"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7.3</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 xml:space="preserve">Esclarecimento sobre os procedimentos previstos nos </w:t>
      </w:r>
      <w:proofErr w:type="spellStart"/>
      <w:r w:rsidRPr="007E77AF">
        <w:rPr>
          <w:rStyle w:val="normaltextrun"/>
          <w:rFonts w:cstheme="minorHAnsi"/>
          <w:lang w:val="pt-BR"/>
        </w:rPr>
        <w:t>arts</w:t>
      </w:r>
      <w:proofErr w:type="spellEnd"/>
      <w:r w:rsidRPr="007E77AF">
        <w:rPr>
          <w:rStyle w:val="normaltextrun"/>
          <w:rFonts w:cstheme="minorHAnsi"/>
          <w:lang w:val="pt-BR"/>
        </w:rPr>
        <w:t xml:space="preserve">. </w:t>
      </w:r>
      <w:r w:rsidR="004F5E4D">
        <w:rPr>
          <w:rStyle w:val="normaltextrun"/>
          <w:rFonts w:cstheme="minorHAnsi"/>
          <w:lang w:val="pt-BR"/>
        </w:rPr>
        <w:t>70</w:t>
      </w:r>
      <w:r w:rsidR="004F5E4D" w:rsidRPr="007E77AF">
        <w:rPr>
          <w:rStyle w:val="normaltextrun"/>
          <w:rFonts w:cstheme="minorHAnsi"/>
          <w:lang w:val="pt-BR"/>
        </w:rPr>
        <w:t xml:space="preserve"> </w:t>
      </w:r>
      <w:r w:rsidRPr="007E77AF">
        <w:rPr>
          <w:rStyle w:val="normaltextrun"/>
          <w:rFonts w:cstheme="minorHAnsi"/>
          <w:lang w:val="pt-BR"/>
        </w:rPr>
        <w:t xml:space="preserve">e </w:t>
      </w:r>
      <w:r w:rsidR="004F5E4D">
        <w:rPr>
          <w:rStyle w:val="normaltextrun"/>
          <w:rFonts w:cstheme="minorHAnsi"/>
          <w:lang w:val="pt-BR"/>
        </w:rPr>
        <w:t>71</w:t>
      </w:r>
      <w:r w:rsidRPr="007E77AF">
        <w:rPr>
          <w:rStyle w:val="normaltextrun"/>
          <w:rFonts w:cstheme="minorHAnsi"/>
          <w:lang w:val="pt-BR"/>
        </w:rPr>
        <w:t xml:space="preserve"> da Resolução a respeito da eventual modificação da oferta, notadamente quanto aos efeitos do silêncio do investidor.</w:t>
      </w:r>
    </w:p>
    <w:p w14:paraId="609B6925"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8.</w:t>
      </w:r>
      <w:r w:rsidRPr="007E77AF">
        <w:rPr>
          <w:rStyle w:val="normaltextrun"/>
          <w:b/>
          <w:lang w:val="pt-BR"/>
        </w:rPr>
        <w:tab/>
      </w:r>
      <w:r w:rsidRPr="007E77AF">
        <w:rPr>
          <w:rStyle w:val="normaltextrun"/>
          <w:b/>
          <w:lang w:val="pt-BR"/>
        </w:rPr>
        <w:tab/>
        <w:t>Outras características da oferta</w:t>
      </w:r>
    </w:p>
    <w:p w14:paraId="451D979E" w14:textId="4EA05E8B"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8.1</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Eventuais condições a que a oferta pública esteja submetida;</w:t>
      </w:r>
    </w:p>
    <w:p w14:paraId="1B4E66D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Bidi"/>
          <w:lang w:val="pt-BR"/>
        </w:rPr>
      </w:pPr>
      <w:r w:rsidRPr="007E77AF">
        <w:rPr>
          <w:rStyle w:val="normaltextrun"/>
          <w:rFonts w:eastAsiaTheme="minorBidi"/>
          <w:lang w:val="pt-BR"/>
        </w:rPr>
        <w:t>8.2</w:t>
      </w:r>
      <w:r>
        <w:rPr>
          <w:rStyle w:val="normaltextrun"/>
          <w:rFonts w:eastAsiaTheme="minorBidi"/>
          <w:lang w:val="pt-BR"/>
        </w:rPr>
        <w:t>.</w:t>
      </w:r>
      <w:r w:rsidRPr="007E77AF">
        <w:rPr>
          <w:rStyle w:val="normaltextrun"/>
          <w:rFonts w:eastAsiaTheme="minorBidi"/>
          <w:lang w:val="pt-BR"/>
        </w:rPr>
        <w:tab/>
      </w:r>
      <w:r w:rsidRPr="007E77AF">
        <w:rPr>
          <w:rStyle w:val="normaltextrun"/>
          <w:rFonts w:eastAsiaTheme="minorBidi"/>
          <w:lang w:val="pt-BR"/>
        </w:rPr>
        <w:tab/>
      </w:r>
      <w:r w:rsidRPr="007E77AF">
        <w:rPr>
          <w:rStyle w:val="normaltextrun"/>
          <w:lang w:val="pt-BR"/>
        </w:rPr>
        <w:t>Eventual destinação da oferta pública ou partes da oferta pública a investidores específicos e a descrição destes investidores;</w:t>
      </w:r>
    </w:p>
    <w:p w14:paraId="29CAE7F2"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8.3</w:t>
      </w:r>
      <w:r>
        <w:rPr>
          <w:rStyle w:val="normaltextrun"/>
          <w:lang w:val="pt-BR"/>
        </w:rPr>
        <w:t>.</w:t>
      </w:r>
      <w:r w:rsidRPr="007E77AF">
        <w:rPr>
          <w:rStyle w:val="normaltextrun"/>
          <w:lang w:val="pt-BR"/>
        </w:rPr>
        <w:tab/>
      </w:r>
      <w:r w:rsidRPr="007E77AF">
        <w:rPr>
          <w:rStyle w:val="normaltextrun"/>
          <w:lang w:val="pt-BR"/>
        </w:rPr>
        <w:tab/>
      </w:r>
      <w:r w:rsidRPr="007E77AF">
        <w:rPr>
          <w:rStyle w:val="normaltextrun"/>
          <w:rFonts w:cstheme="minorBidi"/>
          <w:lang w:val="pt-BR"/>
        </w:rPr>
        <w:t>Autorizações societárias necessárias à emissão ou distribuição dos certificados, identificando os órgãos deliberativos responsáveis e as respectivas reuniões em que foi aprovada a operação;</w:t>
      </w:r>
    </w:p>
    <w:p w14:paraId="6830F31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8.4</w:t>
      </w:r>
      <w:r>
        <w:rPr>
          <w:rStyle w:val="normaltextrun"/>
          <w:lang w:val="pt-BR"/>
        </w:rPr>
        <w:t>.</w:t>
      </w:r>
      <w:r w:rsidRPr="007E77AF">
        <w:rPr>
          <w:rStyle w:val="normaltextrun"/>
          <w:lang w:val="pt-BR"/>
        </w:rPr>
        <w:tab/>
      </w:r>
      <w:r w:rsidRPr="007E77AF">
        <w:rPr>
          <w:rStyle w:val="normaltextrun"/>
          <w:lang w:val="pt-BR"/>
        </w:rPr>
        <w:tab/>
        <w:t>Regime de distribuição;</w:t>
      </w:r>
    </w:p>
    <w:p w14:paraId="38EAEB2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8.5</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Dinâmica de coleta de intenções de investimento e determinação do preço ou taxa;</w:t>
      </w:r>
    </w:p>
    <w:p w14:paraId="274C5F02"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8.6</w:t>
      </w:r>
      <w:r>
        <w:rPr>
          <w:rStyle w:val="normaltextrun"/>
          <w:lang w:val="pt-BR"/>
        </w:rPr>
        <w:t>.</w:t>
      </w:r>
      <w:r w:rsidRPr="007E77AF">
        <w:rPr>
          <w:rStyle w:val="normaltextrun"/>
          <w:lang w:val="pt-BR"/>
        </w:rPr>
        <w:tab/>
      </w:r>
      <w:r w:rsidRPr="007E77AF">
        <w:rPr>
          <w:rStyle w:val="normaltextrun"/>
          <w:lang w:val="pt-BR"/>
        </w:rPr>
        <w:tab/>
        <w:t>Formador de mercado;</w:t>
      </w:r>
    </w:p>
    <w:p w14:paraId="37E5A4C5"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8.7</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Fundo de liquidez e estabilização, se houver; e</w:t>
      </w:r>
    </w:p>
    <w:p w14:paraId="7FEEF99F"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8.8</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Requisitos ou exigências mínimas de investimento, caso existam.</w:t>
      </w:r>
    </w:p>
    <w:p w14:paraId="0DEB43B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9.</w:t>
      </w:r>
      <w:r w:rsidRPr="007E77AF">
        <w:rPr>
          <w:rStyle w:val="normaltextrun"/>
          <w:rFonts w:cstheme="minorHAnsi"/>
          <w:b/>
          <w:bCs/>
          <w:lang w:val="pt-BR"/>
        </w:rPr>
        <w:tab/>
      </w:r>
      <w:r w:rsidRPr="007E77AF">
        <w:rPr>
          <w:rStyle w:val="normaltextrun"/>
          <w:rFonts w:cstheme="minorHAnsi"/>
          <w:b/>
          <w:bCs/>
          <w:lang w:val="pt-BR"/>
        </w:rPr>
        <w:tab/>
        <w:t>Informações sobre a estrutura da operação</w:t>
      </w:r>
    </w:p>
    <w:p w14:paraId="1591C688"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lastRenderedPageBreak/>
        <w:t>9.1</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Possibilidade de os direitos creditórios cedidos serem acrescidos, removidos ou substituídos, com indicação das condições em que tais eventos podem ocorrer e dos efeitos que podem ter sobre os fluxos de pagamentos aos titulares dos valores mobiliários ofertados;</w:t>
      </w:r>
    </w:p>
    <w:p w14:paraId="147A1D56"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9.2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Informação e descrição dos reforços de créditos e outras garantias existentes;</w:t>
      </w:r>
    </w:p>
    <w:p w14:paraId="2BC41C1F"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9.3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Informação sobre eventual utilização de instrumentos derivativos que possam alterar os fluxos de pagamento previstos para os titulares dos valores mobiliários ofertados; e</w:t>
      </w:r>
    </w:p>
    <w:p w14:paraId="1D77ADBA"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9.4</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Theme="minorEastAsia"/>
          <w:lang w:val="pt-BR"/>
        </w:rPr>
        <w:tab/>
      </w:r>
      <w:r w:rsidRPr="007E77AF">
        <w:rPr>
          <w:rStyle w:val="normaltextrun"/>
          <w:rFonts w:cstheme="minorHAnsi"/>
          <w:lang w:val="pt-BR"/>
        </w:rPr>
        <w:t>Política de investimento, discriminando inclusive os métodos e critérios utilizados para seleção dos ativos.</w:t>
      </w:r>
    </w:p>
    <w:p w14:paraId="13507198"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10.</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b/>
          <w:lang w:val="pt-BR"/>
        </w:rPr>
        <w:t>Informações sobre os direitos creditórios</w:t>
      </w:r>
    </w:p>
    <w:p w14:paraId="10229077" w14:textId="7BABD43F"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10.1</w:t>
      </w:r>
      <w:r>
        <w:rPr>
          <w:rStyle w:val="normaltextrun"/>
          <w:lang w:val="pt-BR"/>
        </w:rPr>
        <w:t>.</w:t>
      </w:r>
      <w:r w:rsidRPr="007E77AF">
        <w:rPr>
          <w:rStyle w:val="normaltextrun"/>
          <w:lang w:val="pt-BR"/>
        </w:rPr>
        <w:tab/>
      </w:r>
      <w:r w:rsidRPr="007E77AF">
        <w:rPr>
          <w:rStyle w:val="normaltextrun"/>
          <w:rFonts w:cstheme="minorHAnsi"/>
          <w:lang w:val="pt-BR"/>
        </w:rPr>
        <w:t>Informações descritivas das características relevantes dos direitos creditórios, tais como:</w:t>
      </w:r>
    </w:p>
    <w:p w14:paraId="190CDA35"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a)</w:t>
      </w:r>
      <w:r w:rsidRPr="007E77AF">
        <w:rPr>
          <w:rStyle w:val="normaltextrun"/>
          <w:lang w:val="pt-BR"/>
        </w:rPr>
        <w:tab/>
      </w:r>
      <w:r w:rsidRPr="007E77AF">
        <w:rPr>
          <w:rStyle w:val="normaltextrun"/>
          <w:rFonts w:cstheme="minorHAnsi"/>
          <w:lang w:val="pt-BR"/>
        </w:rPr>
        <w:t>número de direitos creditórios cedidos e valor total;</w:t>
      </w:r>
    </w:p>
    <w:p w14:paraId="1D1BE6D7"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b)</w:t>
      </w:r>
      <w:r w:rsidRPr="007E77AF">
        <w:rPr>
          <w:rStyle w:val="normaltextrun"/>
          <w:lang w:val="pt-BR"/>
        </w:rPr>
        <w:tab/>
      </w:r>
      <w:r w:rsidRPr="007E77AF">
        <w:rPr>
          <w:rStyle w:val="normaltextrun"/>
          <w:rFonts w:cstheme="minorHAnsi"/>
          <w:lang w:val="pt-BR"/>
        </w:rPr>
        <w:t>taxas de juros ou de retornos incidentes sobre os direitos creditórios cedidos;</w:t>
      </w:r>
    </w:p>
    <w:p w14:paraId="527399CD"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c)</w:t>
      </w:r>
      <w:r w:rsidRPr="007E77AF">
        <w:rPr>
          <w:rStyle w:val="normaltextrun"/>
          <w:lang w:val="pt-BR"/>
        </w:rPr>
        <w:tab/>
      </w:r>
      <w:r w:rsidRPr="007E77AF">
        <w:rPr>
          <w:rStyle w:val="normaltextrun"/>
          <w:rFonts w:cstheme="minorHAnsi"/>
          <w:lang w:val="pt-BR"/>
        </w:rPr>
        <w:t>prazos de vencimento dos créditos;</w:t>
      </w:r>
    </w:p>
    <w:p w14:paraId="37E02331"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d)</w:t>
      </w:r>
      <w:r w:rsidRPr="007E77AF">
        <w:rPr>
          <w:rStyle w:val="normaltextrun"/>
          <w:lang w:val="pt-BR"/>
        </w:rPr>
        <w:tab/>
      </w:r>
      <w:r w:rsidRPr="007E77AF">
        <w:rPr>
          <w:rStyle w:val="normaltextrun"/>
          <w:rFonts w:cstheme="minorHAnsi"/>
          <w:lang w:val="pt-BR"/>
        </w:rPr>
        <w:t>períodos de amortização;</w:t>
      </w:r>
    </w:p>
    <w:p w14:paraId="2CB2E0D9"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e)</w:t>
      </w:r>
      <w:r w:rsidRPr="007E77AF">
        <w:rPr>
          <w:rStyle w:val="normaltextrun"/>
          <w:lang w:val="pt-BR"/>
        </w:rPr>
        <w:tab/>
      </w:r>
      <w:r w:rsidRPr="007E77AF">
        <w:rPr>
          <w:rStyle w:val="normaltextrun"/>
          <w:rFonts w:cstheme="minorHAnsi"/>
          <w:lang w:val="pt-BR"/>
        </w:rPr>
        <w:t>finalidade dos créditos; e</w:t>
      </w:r>
    </w:p>
    <w:p w14:paraId="6568BAB3"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rFonts w:eastAsiaTheme="minorEastAsia"/>
          <w:lang w:val="pt-BR"/>
        </w:rPr>
      </w:pPr>
      <w:r w:rsidRPr="007E77AF">
        <w:rPr>
          <w:rStyle w:val="normaltextrun"/>
          <w:rFonts w:eastAsiaTheme="minorEastAsia"/>
          <w:lang w:val="pt-BR"/>
        </w:rPr>
        <w:t>f)</w:t>
      </w:r>
      <w:r w:rsidRPr="007E77AF">
        <w:rPr>
          <w:rStyle w:val="normaltextrun"/>
          <w:rFonts w:eastAsiaTheme="minorEastAsia"/>
          <w:lang w:val="pt-BR"/>
        </w:rPr>
        <w:tab/>
      </w:r>
      <w:r w:rsidRPr="007E77AF">
        <w:rPr>
          <w:rStyle w:val="normaltextrun"/>
          <w:rFonts w:cstheme="minorHAnsi"/>
          <w:lang w:val="pt-BR"/>
        </w:rPr>
        <w:t>descrição das garantias eventualmente previstas para o conjunto de ativos.</w:t>
      </w:r>
    </w:p>
    <w:p w14:paraId="7DCF4502" w14:textId="09FA6462"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Descrição da forma de cessão dos direitos creditórios à </w:t>
      </w:r>
      <w:proofErr w:type="spellStart"/>
      <w:r w:rsidRPr="007E77AF">
        <w:rPr>
          <w:rStyle w:val="normaltextrun"/>
          <w:rFonts w:cstheme="minorHAnsi"/>
          <w:lang w:val="pt-BR"/>
        </w:rPr>
        <w:t>securitizadora</w:t>
      </w:r>
      <w:proofErr w:type="spellEnd"/>
      <w:r w:rsidRPr="007E77AF">
        <w:rPr>
          <w:rStyle w:val="normaltextrun"/>
          <w:rFonts w:cstheme="minorHAnsi"/>
          <w:lang w:val="pt-BR"/>
        </w:rPr>
        <w:t>, destacando-se as passagens relevantes de eventuais contratos firmados com este propósito, e indicação acerca do caráter definitivo, ou não, da cessão;</w:t>
      </w:r>
    </w:p>
    <w:p w14:paraId="139751B8" w14:textId="65E9C1DD"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Indicação dos níveis de concentração dos direitos creditórios, por devedor, em relação ao valor total dos créditos que servem de lastro para os valores mobiliários ofertados;</w:t>
      </w:r>
    </w:p>
    <w:p w14:paraId="2F26BA37" w14:textId="53BF395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10.4</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dos critérios adotados pelo originador ou cedente para concessão de crédito;</w:t>
      </w:r>
    </w:p>
    <w:p w14:paraId="7BC2968F" w14:textId="6A069FD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10.5</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Procedimentos de cobrança e pagamento, abrangendo</w:t>
      </w:r>
      <w:r w:rsidRPr="007E77AF">
        <w:rPr>
          <w:lang w:val="pt-BR"/>
        </w:rPr>
        <w:t xml:space="preserve"> </w:t>
      </w:r>
      <w:r w:rsidRPr="007E77AF">
        <w:rPr>
          <w:rStyle w:val="normaltextrun"/>
          <w:rFonts w:cstheme="minorHAnsi"/>
          <w:lang w:val="pt-BR"/>
        </w:rPr>
        <w:t>o agente responsável pela cobrança, a periodicidade e condições de pagamento;</w:t>
      </w:r>
    </w:p>
    <w:p w14:paraId="7316F032" w14:textId="1B2E8C31"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10.6</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Informações estatísticas sobre inadimplementos, perdas ou pré-pagamento de créditos de mesma natureza dos direitos creditórios que comporão o patrimônio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 compreendendo um período de 3 (três) anos imediatamente anteriores à data da oferta, acompanhadas de exposição da metodologia utilizada para efeito desse cálculo;</w:t>
      </w:r>
    </w:p>
    <w:p w14:paraId="52099EEE" w14:textId="4D763F71"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lastRenderedPageBreak/>
        <w:t>10.7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Se as informações requeridas no item 10.6 supra não forem de conhecimento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ou </w:t>
      </w:r>
      <w:proofErr w:type="gramStart"/>
      <w:r w:rsidRPr="007E77AF" w:rsidDel="001E0B2D">
        <w:rPr>
          <w:rStyle w:val="normaltextrun"/>
          <w:rFonts w:cstheme="minorHAnsi"/>
          <w:lang w:val="pt-BR"/>
        </w:rPr>
        <w:t xml:space="preserve">do </w:t>
      </w:r>
      <w:r>
        <w:rPr>
          <w:rStyle w:val="normaltextrun"/>
          <w:rFonts w:cstheme="minorHAnsi"/>
          <w:lang w:val="pt-BR"/>
        </w:rPr>
        <w:t xml:space="preserve"> coordenador</w:t>
      </w:r>
      <w:proofErr w:type="gramEnd"/>
      <w:r>
        <w:rPr>
          <w:rStyle w:val="normaltextrun"/>
          <w:rFonts w:cstheme="minorHAnsi"/>
          <w:lang w:val="pt-BR"/>
        </w:rPr>
        <w:t xml:space="preserve"> líder</w:t>
      </w:r>
      <w:r w:rsidRPr="007E77AF">
        <w:rPr>
          <w:rStyle w:val="normaltextrun"/>
          <w:rFonts w:cstheme="minorHAnsi"/>
          <w:lang w:val="pt-BR"/>
        </w:rPr>
        <w:t xml:space="preserve"> da oferta, nem possam ser por eles obtidas, tal fato deve ser divulgado, juntamente com declaração de que foram feitos esforços razoáveis para obtê-las. Ainda assim, devem ser divulgadas as informações que 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e </w:t>
      </w:r>
      <w:r>
        <w:rPr>
          <w:rStyle w:val="normaltextrun"/>
          <w:rFonts w:cstheme="minorHAnsi"/>
          <w:lang w:val="pt-BR"/>
        </w:rPr>
        <w:t xml:space="preserve">o coordenador líder </w:t>
      </w:r>
      <w:r w:rsidRPr="007E77AF">
        <w:rPr>
          <w:rStyle w:val="normaltextrun"/>
          <w:rFonts w:cstheme="minorHAnsi"/>
          <w:lang w:val="pt-BR"/>
        </w:rPr>
        <w:t>tenham a respeito, ainda que parciais;</w:t>
      </w:r>
    </w:p>
    <w:p w14:paraId="5622F889" w14:textId="4C6CA2F9"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10.8</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situações de pré-pagamento dos direitos creditórios, com indicação de possíveis efeitos desse evento sobre a rentabilidade dos valores mobiliários ofertados;</w:t>
      </w:r>
    </w:p>
    <w:p w14:paraId="16A58513" w14:textId="7EB50AE3"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10.9</w:t>
      </w:r>
      <w:r>
        <w:rPr>
          <w:rStyle w:val="normaltextrun"/>
          <w:rFonts w:eastAsiaTheme="minorEastAsia"/>
          <w:lang w:val="pt-BR"/>
        </w:rPr>
        <w:t>.</w:t>
      </w:r>
      <w:r w:rsidRPr="007E77AF">
        <w:rPr>
          <w:rStyle w:val="normaltextrun"/>
          <w:rFonts w:eastAsiaTheme="minorEastAsia"/>
          <w:lang w:val="pt-BR"/>
        </w:rPr>
        <w:tab/>
      </w:r>
      <w:r w:rsidRPr="007E77AF">
        <w:rPr>
          <w:rStyle w:val="normaltextrun"/>
          <w:rFonts w:cstheme="minorHAnsi"/>
          <w:lang w:val="pt-BR"/>
        </w:rPr>
        <w:t xml:space="preserve">Identificação de quaisquer eventos, previstos nos contratos firmados para estruturar a operação, que possam acarretar a liquidação ou amortização antecipada dos créditos cedidos à </w:t>
      </w:r>
      <w:proofErr w:type="spellStart"/>
      <w:r w:rsidRPr="007E77AF">
        <w:rPr>
          <w:rStyle w:val="normaltextrun"/>
          <w:rFonts w:cstheme="minorHAnsi"/>
          <w:lang w:val="pt-BR"/>
        </w:rPr>
        <w:t>securitizadora</w:t>
      </w:r>
      <w:proofErr w:type="spellEnd"/>
      <w:r w:rsidRPr="007E77AF">
        <w:rPr>
          <w:rStyle w:val="normaltextrun"/>
          <w:rFonts w:cstheme="minorHAnsi"/>
          <w:lang w:val="pt-BR"/>
        </w:rPr>
        <w:t>, bem como quaisquer outros fatos que possam afetar a regularidade dos fluxos de pagamento previstos;</w:t>
      </w:r>
    </w:p>
    <w:p w14:paraId="66EEF38E"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10.10</w:t>
      </w:r>
      <w:r>
        <w:rPr>
          <w:rStyle w:val="normaltextrun"/>
          <w:rFonts w:cstheme="minorHAnsi"/>
          <w:lang w:val="pt-BR"/>
        </w:rPr>
        <w:t>.</w:t>
      </w:r>
      <w:r w:rsidRPr="007E77AF">
        <w:rPr>
          <w:rStyle w:val="normaltextrun"/>
          <w:rFonts w:cstheme="minorHAnsi"/>
          <w:lang w:val="pt-BR"/>
        </w:rPr>
        <w:tab/>
        <w:t>Descrição das principais disposições contratuais, ou, conforme o caso, do termo de securitização, que disciplinem as funções e responsabilidades do agente fiduciário e demais prestadores de serviço, com destaque para:</w:t>
      </w:r>
    </w:p>
    <w:p w14:paraId="78027DA0" w14:textId="7957CB0A" w:rsidR="009A242A" w:rsidRPr="007E77AF" w:rsidRDefault="009A242A" w:rsidP="00B1204C">
      <w:pPr>
        <w:spacing w:before="120" w:after="120" w:line="312" w:lineRule="auto"/>
        <w:ind w:left="1069" w:hanging="360"/>
        <w:jc w:val="both"/>
      </w:pPr>
      <w:r w:rsidRPr="007E77AF">
        <w:t>a)</w:t>
      </w:r>
      <w:r w:rsidRPr="007E77AF">
        <w:tab/>
        <w:t>procedimentos para recebimento e cobrança dos créditos, bem como medidas de segregação dos valores recebidos quando da liquidação dos direitos creditórios;</w:t>
      </w:r>
    </w:p>
    <w:p w14:paraId="129A6AAC" w14:textId="77777777" w:rsidR="009A242A" w:rsidRPr="007E77AF" w:rsidRDefault="009A242A" w:rsidP="00B1204C">
      <w:pPr>
        <w:spacing w:before="120" w:after="120" w:line="312" w:lineRule="auto"/>
        <w:ind w:left="1069" w:hanging="360"/>
        <w:jc w:val="both"/>
      </w:pPr>
      <w:r w:rsidRPr="007E77AF">
        <w:t>b)</w:t>
      </w:r>
      <w:r w:rsidRPr="007E77AF">
        <w:tab/>
        <w:t>procedimentos do agente fiduciário e de outros prestadores de serviço com relação a inadimplências, perdas, falências, recuperação, incluindo menção quanto a eventual execução de garantias;</w:t>
      </w:r>
    </w:p>
    <w:p w14:paraId="48FB1297" w14:textId="77777777" w:rsidR="009A242A" w:rsidRPr="007E77AF" w:rsidRDefault="009A242A" w:rsidP="00B1204C">
      <w:pPr>
        <w:spacing w:before="120" w:after="120" w:line="312" w:lineRule="auto"/>
        <w:ind w:left="1069" w:hanging="360"/>
        <w:jc w:val="both"/>
      </w:pPr>
      <w:r w:rsidRPr="007E77AF">
        <w:t>c)</w:t>
      </w:r>
      <w:r w:rsidRPr="007E77AF">
        <w:tab/>
        <w:t>procedimentos do agente fiduciário e de outros prestadores de serviço com relação à verificação do lastro dos direitos creditórios; e</w:t>
      </w:r>
    </w:p>
    <w:p w14:paraId="6304F6FB" w14:textId="77777777" w:rsidR="009A242A" w:rsidRPr="007E77AF" w:rsidRDefault="009A242A" w:rsidP="00B1204C">
      <w:pPr>
        <w:spacing w:before="120" w:after="120" w:line="312" w:lineRule="auto"/>
        <w:ind w:left="1069" w:hanging="360"/>
        <w:jc w:val="both"/>
      </w:pPr>
      <w:r w:rsidRPr="007E77AF">
        <w:t>d)</w:t>
      </w:r>
      <w:r w:rsidRPr="007E77AF">
        <w:tab/>
        <w:t>procedimentos de outros prestadores de serviço com relação à guarda da documentação relativa aos direitos creditórios.</w:t>
      </w:r>
    </w:p>
    <w:p w14:paraId="5083EA0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10.11</w:t>
      </w:r>
      <w:r>
        <w:rPr>
          <w:rStyle w:val="normaltextrun"/>
          <w:rFonts w:cstheme="minorHAnsi"/>
          <w:lang w:val="pt-BR"/>
        </w:rPr>
        <w:t>.</w:t>
      </w:r>
      <w:r w:rsidRPr="007E77AF">
        <w:rPr>
          <w:rStyle w:val="normaltextrun"/>
          <w:rFonts w:cstheme="minorHAnsi"/>
          <w:lang w:val="pt-BR"/>
        </w:rPr>
        <w:tab/>
        <w:t xml:space="preserve">Informação sobre taxas de desconto praticadas pela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na aquisição dos direitos creditórios.</w:t>
      </w:r>
    </w:p>
    <w:p w14:paraId="6FB4F4A3"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11.</w:t>
      </w:r>
      <w:r w:rsidRPr="007E77AF">
        <w:rPr>
          <w:rStyle w:val="normaltextrun"/>
          <w:b/>
          <w:lang w:val="pt-BR"/>
        </w:rPr>
        <w:tab/>
      </w:r>
      <w:r w:rsidRPr="007E77AF">
        <w:rPr>
          <w:rStyle w:val="normaltextrun"/>
          <w:b/>
          <w:lang w:val="pt-BR"/>
        </w:rPr>
        <w:tab/>
        <w:t>Informações sobre originadores</w:t>
      </w:r>
    </w:p>
    <w:p w14:paraId="0C1A0DF9" w14:textId="026F9DE8"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11.1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 xml:space="preserve">Identificação dos originadores e </w:t>
      </w:r>
      <w:proofErr w:type="gramStart"/>
      <w:r w:rsidRPr="007E77AF">
        <w:rPr>
          <w:rStyle w:val="normaltextrun"/>
          <w:rFonts w:eastAsia="Calibri"/>
          <w:lang w:val="pt-BR"/>
        </w:rPr>
        <w:t>cedentes  que</w:t>
      </w:r>
      <w:proofErr w:type="gramEnd"/>
      <w:r w:rsidRPr="007E77AF">
        <w:rPr>
          <w:rStyle w:val="normaltextrun"/>
          <w:rFonts w:eastAsia="Calibri"/>
          <w:lang w:val="pt-BR"/>
        </w:rPr>
        <w:t xml:space="preserve"> representem ou possam vir a representar mais de 10% (dez por cento) dos direitos creditórios cedidos à </w:t>
      </w:r>
      <w:proofErr w:type="spellStart"/>
      <w:r w:rsidRPr="007E77AF">
        <w:rPr>
          <w:rStyle w:val="normaltextrun"/>
          <w:rFonts w:eastAsia="Calibri"/>
          <w:lang w:val="pt-BR"/>
        </w:rPr>
        <w:t>securitizadora</w:t>
      </w:r>
      <w:proofErr w:type="spellEnd"/>
      <w:r w:rsidRPr="007E77AF">
        <w:rPr>
          <w:rStyle w:val="normaltextrun"/>
          <w:rFonts w:eastAsia="Calibri"/>
          <w:lang w:val="pt-BR"/>
        </w:rPr>
        <w:t xml:space="preserve">, devendo ser informado seu tipo societário, e características gerais de seu negócio, e, se for o caso, descrita sua experiência </w:t>
      </w:r>
      <w:r w:rsidRPr="007E77AF">
        <w:rPr>
          <w:rStyle w:val="normaltextrun"/>
          <w:rFonts w:eastAsia="Calibri"/>
          <w:lang w:val="pt-BR"/>
        </w:rPr>
        <w:lastRenderedPageBreak/>
        <w:t>prévia em outras operações de securitização tendo como objeto o mesmo ativo objeto da securitização; e</w:t>
      </w:r>
    </w:p>
    <w:p w14:paraId="5E96CD91" w14:textId="0F096F14"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Calibri"/>
          <w:lang w:val="pt-BR"/>
        </w:rPr>
      </w:pPr>
      <w:r w:rsidRPr="007E77AF">
        <w:rPr>
          <w:rStyle w:val="normaltextrun"/>
          <w:rFonts w:eastAsia="Calibri"/>
          <w:lang w:val="pt-BR"/>
        </w:rPr>
        <w:t>11.2</w:t>
      </w:r>
      <w:r>
        <w:rPr>
          <w:rStyle w:val="normaltextrun"/>
          <w:rFonts w:eastAsia="Calibri"/>
          <w:lang w:val="pt-BR"/>
        </w:rPr>
        <w:t>.</w:t>
      </w:r>
      <w:r w:rsidRPr="007E77AF">
        <w:rPr>
          <w:rStyle w:val="normaltextrun"/>
          <w:rFonts w:eastAsia="Calibri"/>
          <w:lang w:val="pt-BR"/>
        </w:rPr>
        <w:tab/>
        <w:t xml:space="preserve">Em se tratando de originadores responsáveis por mais que 20% (vinte por cento) dos direitos creditórios cedidos à </w:t>
      </w:r>
      <w:proofErr w:type="spellStart"/>
      <w:r w:rsidRPr="007E77AF">
        <w:rPr>
          <w:rStyle w:val="normaltextrun"/>
          <w:rFonts w:eastAsia="Calibri"/>
          <w:lang w:val="pt-BR"/>
        </w:rPr>
        <w:t>securitizadora</w:t>
      </w:r>
      <w:proofErr w:type="spellEnd"/>
      <w:r w:rsidRPr="007E77AF">
        <w:rPr>
          <w:rStyle w:val="normaltextrun"/>
          <w:rFonts w:eastAsia="Calibri"/>
          <w:lang w:val="pt-BR"/>
        </w:rPr>
        <w:t xml:space="preserve">, quando se tratar dos direitos creditórios originados de </w:t>
      </w:r>
      <w:r w:rsidRPr="007E77AF">
        <w:rPr>
          <w:rStyle w:val="normaltextrun"/>
          <w:rFonts w:eastAsia="Calibri"/>
          <w:b/>
          <w:lang w:val="pt-BR"/>
        </w:rPr>
        <w:t>warrants</w:t>
      </w:r>
      <w:r w:rsidRPr="007E77AF">
        <w:rPr>
          <w:rStyle w:val="normaltextrun"/>
          <w:rFonts w:eastAsia="Calibri"/>
          <w:lang w:val="pt-BR"/>
        </w:rPr>
        <w:t xml:space="preserve"> e de contratos mercantis de compra e venda de produtos, mercadorias ou serviços para entrega ou prestação futura, bem como em títulos ou certificados representativos desses contratos, além das informações previstas no item 11.1, devem ser apresentadas suas demonstrações financeiras de elaboradas em conformidade com a Lei nº 6.404, de 1976, e a regulamentação editada pela CVM, auditadas por auditor independente registrado na CVM, referentes ao último exercício social. Essas informações não serão exigíveis quando os direitos creditórios forem originados por instituições financeiras de demais instituições autorizadas a funcionar pelo Banco Central do Brasil.</w:t>
      </w:r>
    </w:p>
    <w:p w14:paraId="5A5911C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12.</w:t>
      </w:r>
      <w:r w:rsidRPr="007E77AF">
        <w:rPr>
          <w:rStyle w:val="normaltextrun"/>
          <w:b/>
          <w:lang w:val="pt-BR"/>
        </w:rPr>
        <w:tab/>
      </w:r>
      <w:r w:rsidRPr="007E77AF">
        <w:rPr>
          <w:rStyle w:val="normaltextrun"/>
          <w:b/>
          <w:lang w:val="pt-BR"/>
        </w:rPr>
        <w:tab/>
        <w:t>Informações sobre devedores ou coobrigados</w:t>
      </w:r>
    </w:p>
    <w:p w14:paraId="260C2B41" w14:textId="77F702AB"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Principais características homogêneas dos devedores dos direitos creditórios;</w:t>
      </w:r>
    </w:p>
    <w:p w14:paraId="3BE43148" w14:textId="5A2E580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12.2</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 xml:space="preserve">Nome do devedor ou do obrigado responsável pelo pagamento ou pela liquidação de mais de 10% (dez por cento) dos ativos que compõem o patrimônio da </w:t>
      </w:r>
      <w:proofErr w:type="spellStart"/>
      <w:r w:rsidRPr="007E77AF">
        <w:rPr>
          <w:rStyle w:val="normaltextrun"/>
          <w:rFonts w:eastAsia="Calibri"/>
          <w:lang w:val="pt-BR"/>
        </w:rPr>
        <w:t>securitizadora</w:t>
      </w:r>
      <w:proofErr w:type="spellEnd"/>
      <w:r w:rsidRPr="007E77AF">
        <w:rPr>
          <w:rStyle w:val="normaltextrun"/>
          <w:rFonts w:eastAsia="Calibri"/>
          <w:lang w:val="pt-BR"/>
        </w:rPr>
        <w:t xml:space="preserve"> ou do patrimônio separado, composto pelos direitos creditórios sujeitos ao regime fiduciário que lastreiam a operação; tipo societário e características gerais de seu negócio; natureza da concentração dos direitos creditórios cedidos; disposições contratuais relevantes a eles relativas;</w:t>
      </w:r>
    </w:p>
    <w:p w14:paraId="3C437ABD" w14:textId="3EF2D7D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12.3</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Em se tratando de devedores ou coobrigados responsáveis por mais de 20% (vinte por cento) dos direitos creditórios, demonstrações financeiras, elaboradas em conformidade com a Lei nº 6.404, de 1976, e a regulamentação editada pela CVM, auditadas por auditor independente registrado na CVM, referentes ao último exercício social</w:t>
      </w:r>
      <w:r w:rsidRPr="007E77AF">
        <w:rPr>
          <w:rStyle w:val="Refdenotaderodap"/>
          <w:lang w:val="pt-BR"/>
        </w:rPr>
        <w:footnoteReference w:id="34"/>
      </w:r>
      <w:r w:rsidRPr="007E77AF">
        <w:rPr>
          <w:rStyle w:val="normaltextrun"/>
          <w:rFonts w:eastAsia="Calibri"/>
          <w:lang w:val="pt-BR"/>
        </w:rPr>
        <w:t>;</w:t>
      </w:r>
    </w:p>
    <w:p w14:paraId="03C86780" w14:textId="054EEC6F"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eastAsia="pt-BR"/>
        </w:rPr>
      </w:pPr>
      <w:r w:rsidRPr="007E77AF">
        <w:rPr>
          <w:rStyle w:val="normaltextrun"/>
          <w:rFonts w:eastAsiaTheme="minorEastAsia"/>
          <w:lang w:val="pt-BR" w:eastAsia="pt-BR"/>
        </w:rPr>
        <w:t>12.4</w:t>
      </w:r>
      <w:r>
        <w:rPr>
          <w:rStyle w:val="normaltextrun"/>
          <w:rFonts w:eastAsiaTheme="minorEastAsia"/>
          <w:lang w:val="pt-BR" w:eastAsia="pt-BR"/>
        </w:rPr>
        <w:t>.</w:t>
      </w:r>
      <w:r w:rsidRPr="007E77AF">
        <w:rPr>
          <w:rStyle w:val="normaltextrun"/>
          <w:rFonts w:eastAsiaTheme="minorEastAsia"/>
          <w:lang w:val="pt-BR" w:eastAsia="pt-BR"/>
        </w:rPr>
        <w:tab/>
      </w:r>
      <w:r w:rsidRPr="007E77AF">
        <w:rPr>
          <w:rStyle w:val="normaltextrun"/>
          <w:rFonts w:eastAsia="Calibri"/>
          <w:lang w:val="pt-BR"/>
        </w:rPr>
        <w:t xml:space="preserve">Em se tratando de devedores ou coobrigados responsáveis por mais de 20% (vinte por cento) dos direitos creditórios, quando o lastro do certificado de recebíveis for um título de dívida cuja integralização se dará com recursos oriundos da emissão dos certificados de recebíveis, relatório </w:t>
      </w:r>
      <w:r w:rsidRPr="007E77AF">
        <w:rPr>
          <w:rStyle w:val="normaltextrun"/>
          <w:lang w:val="pt-BR"/>
        </w:rPr>
        <w:t xml:space="preserve">de </w:t>
      </w:r>
      <w:r w:rsidRPr="007E77AF">
        <w:rPr>
          <w:rStyle w:val="normaltextrun"/>
          <w:rFonts w:eastAsia="Calibri"/>
          <w:lang w:val="pt-BR"/>
        </w:rPr>
        <w:t>impactos nos indicadores financeiros do devedor ou do coobrigado referentes à dívida que será emitida para lastrear o certificado; e</w:t>
      </w:r>
    </w:p>
    <w:p w14:paraId="3A374DE0" w14:textId="3FD120F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lastRenderedPageBreak/>
        <w:t>12.5</w:t>
      </w:r>
      <w:r>
        <w:rPr>
          <w:rStyle w:val="normaltextrun"/>
          <w:rFonts w:eastAsiaTheme="minorEastAsia"/>
          <w:lang w:val="pt-BR"/>
        </w:rPr>
        <w:t>.</w:t>
      </w:r>
      <w:r w:rsidRPr="007E77AF">
        <w:rPr>
          <w:rStyle w:val="normaltextrun"/>
          <w:rFonts w:eastAsiaTheme="minorEastAsia"/>
          <w:lang w:val="pt-BR"/>
        </w:rPr>
        <w:tab/>
      </w:r>
      <w:r w:rsidRPr="007E77AF">
        <w:rPr>
          <w:rStyle w:val="normaltextrun"/>
          <w:rFonts w:ascii="Calibri" w:hAnsi="Calibri" w:cs="Calibri"/>
          <w:lang w:val="pt-BR"/>
        </w:rPr>
        <w:t xml:space="preserve">Informações descritas nos itens </w:t>
      </w:r>
      <w:r w:rsidRPr="007E77AF">
        <w:rPr>
          <w:rFonts w:cstheme="minorHAnsi"/>
          <w:lang w:val="pt-BR"/>
        </w:rPr>
        <w:t>1.1, 1.2, 1.11, 1.14, 6.1, 7.1, 8.2, 11.2, 12.1 e 12.3</w:t>
      </w:r>
      <w:r w:rsidRPr="007E77AF">
        <w:rPr>
          <w:rStyle w:val="normaltextrun"/>
          <w:rFonts w:ascii="Calibri" w:hAnsi="Calibri" w:cs="Calibri"/>
          <w:lang w:val="pt-BR"/>
        </w:rPr>
        <w:t xml:space="preserve"> do formulário de referência, em relação</w:t>
      </w:r>
      <w:r w:rsidRPr="007E77AF">
        <w:rPr>
          <w:rStyle w:val="normaltextrun"/>
          <w:rFonts w:eastAsia="Calibri"/>
          <w:lang w:val="pt-BR"/>
        </w:rPr>
        <w:t xml:space="preserve"> aos devedores responsáveis por mais de 20% (vinte por cento) dos direitos creditórios e que sejam destinatários dos recursos oriundos da emissão, ou aos coobrigados responsáveis por mais de 20% (vinte por cento) dos direitos creditórios</w:t>
      </w:r>
      <w:r w:rsidRPr="007E77AF">
        <w:rPr>
          <w:rStyle w:val="Refdenotaderodap"/>
        </w:rPr>
        <w:footnoteReference w:id="35"/>
      </w:r>
      <w:r w:rsidRPr="007E77AF">
        <w:rPr>
          <w:rStyle w:val="normaltextrun"/>
          <w:rFonts w:eastAsia="Calibri"/>
          <w:lang w:val="pt-BR"/>
        </w:rPr>
        <w:t>.</w:t>
      </w:r>
    </w:p>
    <w:p w14:paraId="76B362F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eastAsia="pt-BR"/>
        </w:rPr>
      </w:pPr>
      <w:r w:rsidRPr="007E77AF">
        <w:rPr>
          <w:rStyle w:val="normaltextrun"/>
          <w:b/>
          <w:lang w:val="pt-BR" w:eastAsia="pt-BR"/>
        </w:rPr>
        <w:t>13.</w:t>
      </w:r>
      <w:r w:rsidRPr="007E77AF">
        <w:rPr>
          <w:rStyle w:val="normaltextrun"/>
          <w:b/>
          <w:lang w:val="pt-BR" w:eastAsia="pt-BR"/>
        </w:rPr>
        <w:tab/>
      </w:r>
      <w:r w:rsidRPr="007E77AF">
        <w:rPr>
          <w:rStyle w:val="normaltextrun"/>
          <w:b/>
          <w:lang w:val="pt-BR" w:eastAsia="pt-BR"/>
        </w:rPr>
        <w:tab/>
      </w:r>
      <w:r w:rsidRPr="007E77AF">
        <w:rPr>
          <w:rStyle w:val="normaltextrun"/>
          <w:b/>
          <w:lang w:val="pt-BR"/>
        </w:rPr>
        <w:t>Relacionamentos e conflito de interesses</w:t>
      </w:r>
    </w:p>
    <w:p w14:paraId="5AE785D9" w14:textId="6B374299" w:rsidR="009A242A" w:rsidRPr="001506B1" w:rsidRDefault="009A242A" w:rsidP="00C67B81">
      <w:pPr>
        <w:tabs>
          <w:tab w:val="left" w:pos="709"/>
        </w:tabs>
        <w:spacing w:before="120" w:after="120" w:line="312" w:lineRule="auto"/>
        <w:ind w:left="709" w:hanging="709"/>
        <w:jc w:val="both"/>
      </w:pPr>
      <w:r w:rsidRPr="001506B1">
        <w:rPr>
          <w:rStyle w:val="normaltextrun"/>
        </w:rPr>
        <w:t>13.1</w:t>
      </w:r>
      <w:r>
        <w:rPr>
          <w:rStyle w:val="normaltextrun"/>
          <w:rFonts w:cstheme="minorHAnsi"/>
        </w:rPr>
        <w:t>.</w:t>
      </w:r>
      <w:r w:rsidRPr="001506B1">
        <w:rPr>
          <w:rStyle w:val="normaltextrun"/>
        </w:rPr>
        <w:tab/>
      </w:r>
      <w:r w:rsidRPr="001506B1">
        <w:t xml:space="preserve">Descrição </w:t>
      </w:r>
      <w:r>
        <w:t>dos relacionamentos relevantes</w:t>
      </w:r>
      <w:r w:rsidRPr="001506B1">
        <w:t xml:space="preserve"> existentes entre coordenadores e sociedades do seu grupo econômico e cada um dos </w:t>
      </w:r>
      <w:r>
        <w:t>prestadores de serviços essenciais ao fundo</w:t>
      </w:r>
      <w:r w:rsidRPr="007E77AF">
        <w:t xml:space="preserve">, </w:t>
      </w:r>
      <w:r>
        <w:t>contemplando</w:t>
      </w:r>
      <w:r w:rsidRPr="001506B1">
        <w:t>:</w:t>
      </w:r>
    </w:p>
    <w:p w14:paraId="7F06CEFD" w14:textId="43F1B6C1" w:rsidR="009A242A" w:rsidRDefault="009A242A" w:rsidP="00CC2EA2">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433FB519" w14:textId="77777777" w:rsidR="009A242A" w:rsidRPr="00C67B81" w:rsidRDefault="009A242A" w:rsidP="00C67B81">
      <w:pPr>
        <w:tabs>
          <w:tab w:val="left" w:pos="709"/>
        </w:tabs>
        <w:spacing w:before="120" w:after="120" w:line="312" w:lineRule="auto"/>
        <w:ind w:left="709" w:hanging="709"/>
        <w:jc w:val="both"/>
      </w:pPr>
      <w:r w:rsidRPr="00E768E4">
        <w:rPr>
          <w:rFonts w:cstheme="minorBidi"/>
        </w:rPr>
        <w:tab/>
      </w:r>
      <w:r>
        <w:rPr>
          <w:rFonts w:cstheme="minorBidi"/>
        </w:rPr>
        <w:t>b</w:t>
      </w:r>
      <w:r w:rsidRPr="007E77AF">
        <w:rPr>
          <w:rFonts w:cstheme="minorBidi"/>
        </w:rPr>
        <w:t xml:space="preserve">) </w:t>
      </w:r>
      <w:r>
        <w:rPr>
          <w:rFonts w:cstheme="minorBidi"/>
        </w:rPr>
        <w:t>descrição individual de transações que</w:t>
      </w:r>
      <w:r w:rsidRPr="001506B1">
        <w:t xml:space="preserve"> tenham valor de referência equivalente a 5% (cinco por cento) ou mais do montante estimado a ser obtido pelo ofertante em decorrência da oferta.</w:t>
      </w:r>
    </w:p>
    <w:p w14:paraId="7E135D37"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14.</w:t>
      </w:r>
      <w:r w:rsidRPr="007E77AF">
        <w:rPr>
          <w:rStyle w:val="normaltextrun"/>
          <w:rFonts w:cstheme="minorHAnsi"/>
          <w:b/>
          <w:bCs/>
          <w:lang w:val="pt-BR"/>
        </w:rPr>
        <w:tab/>
      </w:r>
      <w:r w:rsidRPr="007E77AF">
        <w:rPr>
          <w:rStyle w:val="normaltextrun"/>
          <w:rFonts w:cstheme="minorHAnsi"/>
          <w:b/>
          <w:bCs/>
          <w:lang w:val="pt-BR"/>
        </w:rPr>
        <w:tab/>
        <w:t>Contrato de distribuição de valores mobiliários</w:t>
      </w:r>
    </w:p>
    <w:p w14:paraId="47EBFEB7" w14:textId="347E080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14.1</w:t>
      </w:r>
      <w:r>
        <w:rPr>
          <w:rStyle w:val="normaltextrun"/>
          <w:rFonts w:cstheme="minorHAnsi"/>
          <w:lang w:val="pt-BR"/>
        </w:rPr>
        <w:t>.</w:t>
      </w:r>
      <w:r w:rsidRPr="007E77AF">
        <w:rPr>
          <w:rStyle w:val="normaltextrun"/>
          <w:rFonts w:cstheme="minorHAnsi"/>
          <w:lang w:val="pt-BR"/>
        </w:rPr>
        <w:tab/>
        <w:t xml:space="preserve">Condições do contrato de distribuição no que concerne à distribuição dos valores mobiliários junto ao público investidor em geral e eventual garantia de subscrição prestada </w:t>
      </w:r>
      <w:r>
        <w:rPr>
          <w:rStyle w:val="normaltextrun"/>
          <w:rFonts w:cstheme="minorHAnsi"/>
          <w:lang w:val="pt-BR"/>
        </w:rPr>
        <w:t>pelos coordenadores</w:t>
      </w:r>
      <w:r w:rsidRPr="007E77AF">
        <w:rPr>
          <w:rStyle w:val="normaltextrun"/>
          <w:rFonts w:cstheme="minorHAnsi"/>
          <w:lang w:val="pt-BR"/>
        </w:rPr>
        <w:t xml:space="preserve"> e </w:t>
      </w:r>
      <w:r w:rsidR="00455059">
        <w:rPr>
          <w:rStyle w:val="normaltextrun"/>
          <w:rFonts w:cstheme="minorHAnsi"/>
          <w:lang w:val="pt-BR"/>
        </w:rPr>
        <w:t xml:space="preserve">demais </w:t>
      </w:r>
      <w:r w:rsidRPr="007E77AF">
        <w:rPr>
          <w:rStyle w:val="normaltextrun"/>
          <w:rFonts w:cstheme="minorHAns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43979683" w14:textId="353C088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14.2</w:t>
      </w:r>
      <w:r>
        <w:rPr>
          <w:rStyle w:val="normaltextrun"/>
          <w:rFonts w:cstheme="minorHAnsi"/>
          <w:lang w:val="pt-BR"/>
        </w:rPr>
        <w:t>.</w:t>
      </w:r>
      <w:r w:rsidRPr="007E77AF">
        <w:rPr>
          <w:rStyle w:val="normaltextrun"/>
          <w:rFonts w:cstheme="minorHAnsi"/>
          <w:lang w:val="pt-BR"/>
        </w:rPr>
        <w:tab/>
        <w:t>Demonstrativo do custo da distribuição, discriminando:</w:t>
      </w:r>
    </w:p>
    <w:p w14:paraId="2975E5E0" w14:textId="77777777" w:rsidR="009A242A" w:rsidRPr="007E77AF" w:rsidRDefault="009A242A" w:rsidP="003874BE">
      <w:pPr>
        <w:spacing w:before="120" w:after="120" w:line="312" w:lineRule="auto"/>
        <w:ind w:left="1069" w:hanging="360"/>
        <w:jc w:val="both"/>
      </w:pPr>
      <w:r w:rsidRPr="007E77AF">
        <w:t>a)</w:t>
      </w:r>
      <w:r w:rsidRPr="007E77AF">
        <w:tab/>
        <w:t>a porcentagem em relação ao preço unitário de subscrição;</w:t>
      </w:r>
    </w:p>
    <w:p w14:paraId="2B008463"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b)</w:t>
      </w:r>
      <w:r w:rsidRPr="007E77AF">
        <w:rPr>
          <w:rFonts w:cstheme="minorHAnsi"/>
        </w:rPr>
        <w:tab/>
        <w:t>a comissão de coordenação;</w:t>
      </w:r>
    </w:p>
    <w:p w14:paraId="4DE3A4C7"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c)</w:t>
      </w:r>
      <w:r w:rsidRPr="007E77AF">
        <w:rPr>
          <w:rFonts w:cstheme="minorHAnsi"/>
        </w:rPr>
        <w:tab/>
        <w:t>a comissão de distribuição;</w:t>
      </w:r>
    </w:p>
    <w:p w14:paraId="313545D4" w14:textId="77777777" w:rsidR="009A242A" w:rsidRPr="007E77AF" w:rsidRDefault="009A242A" w:rsidP="003874BE">
      <w:pPr>
        <w:spacing w:before="120" w:after="120" w:line="312" w:lineRule="auto"/>
        <w:ind w:left="1069" w:hanging="360"/>
        <w:jc w:val="both"/>
      </w:pPr>
      <w:r w:rsidRPr="007E77AF">
        <w:t>d)</w:t>
      </w:r>
      <w:r w:rsidRPr="007E77AF">
        <w:tab/>
        <w:t>a comissão de garantia de subscrição;</w:t>
      </w:r>
    </w:p>
    <w:p w14:paraId="63C4A031"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e)</w:t>
      </w:r>
      <w:r w:rsidRPr="007E77AF">
        <w:rPr>
          <w:rFonts w:cstheme="minorHAnsi"/>
        </w:rPr>
        <w:tab/>
        <w:t>outras comissões (especificar);</w:t>
      </w:r>
    </w:p>
    <w:p w14:paraId="09427143" w14:textId="77777777" w:rsidR="009A242A" w:rsidRPr="007E77AF" w:rsidRDefault="009A242A" w:rsidP="003874BE">
      <w:pPr>
        <w:spacing w:before="120" w:after="120" w:line="312" w:lineRule="auto"/>
        <w:ind w:left="1069" w:hanging="360"/>
        <w:jc w:val="both"/>
      </w:pPr>
      <w:r w:rsidRPr="007E77AF">
        <w:t>f)</w:t>
      </w:r>
      <w:r w:rsidRPr="007E77AF">
        <w:tab/>
        <w:t>o custo unitário de distribuição;</w:t>
      </w:r>
    </w:p>
    <w:p w14:paraId="54FFDBAC" w14:textId="77777777" w:rsidR="009A242A" w:rsidRPr="007E77AF" w:rsidRDefault="009A242A" w:rsidP="003874BE">
      <w:pPr>
        <w:spacing w:before="120" w:after="120" w:line="312" w:lineRule="auto"/>
        <w:ind w:left="1069" w:hanging="360"/>
        <w:jc w:val="both"/>
      </w:pPr>
      <w:r w:rsidRPr="007E77AF">
        <w:t>g)</w:t>
      </w:r>
      <w:r w:rsidRPr="007E77AF">
        <w:tab/>
        <w:t>as despesas decorrentes do registro de distribuição; e</w:t>
      </w:r>
    </w:p>
    <w:p w14:paraId="769B487F"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h)</w:t>
      </w:r>
      <w:r w:rsidRPr="007E77AF">
        <w:rPr>
          <w:rFonts w:cstheme="minorHAnsi"/>
        </w:rPr>
        <w:tab/>
        <w:t>outros custos relacionados.</w:t>
      </w:r>
    </w:p>
    <w:p w14:paraId="3E39295F" w14:textId="77777777" w:rsidR="009A242A" w:rsidRPr="007E77AF" w:rsidRDefault="009A242A" w:rsidP="003874BE">
      <w:pPr>
        <w:pStyle w:val="paragraph"/>
        <w:tabs>
          <w:tab w:val="left" w:pos="450"/>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15.</w:t>
      </w:r>
      <w:r w:rsidRPr="007E77AF">
        <w:rPr>
          <w:rStyle w:val="normaltextrun"/>
          <w:rFonts w:cstheme="minorBidi"/>
          <w:b/>
          <w:bCs/>
          <w:lang w:val="pt-BR"/>
        </w:rPr>
        <w:tab/>
      </w:r>
      <w:r w:rsidRPr="007E77AF">
        <w:rPr>
          <w:rStyle w:val="normaltextrun"/>
          <w:rFonts w:cstheme="minorBidi"/>
          <w:b/>
          <w:bCs/>
          <w:lang w:val="pt-BR"/>
        </w:rPr>
        <w:tab/>
        <w:t>Documentos ou informações incorporados ao prospecto por referência ou como anexos</w:t>
      </w:r>
    </w:p>
    <w:p w14:paraId="31F4F775" w14:textId="239C781B" w:rsidR="009A242A" w:rsidRPr="007E77AF" w:rsidRDefault="009A242A" w:rsidP="003874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lastRenderedPageBreak/>
        <w:t>15.1</w:t>
      </w:r>
      <w:r>
        <w:rPr>
          <w:rStyle w:val="normaltextrun"/>
          <w:rFonts w:cstheme="minorHAnsi"/>
          <w:lang w:val="pt-BR"/>
        </w:rPr>
        <w:t>.</w:t>
      </w:r>
      <w:r w:rsidRPr="007E77AF">
        <w:rPr>
          <w:rStyle w:val="normaltextrun"/>
          <w:rFonts w:cstheme="minorHAnsi"/>
          <w:lang w:val="pt-BR"/>
        </w:rPr>
        <w:tab/>
        <w:t>Último</w:t>
      </w:r>
      <w:r w:rsidR="00610074">
        <w:rPr>
          <w:rStyle w:val="normaltextrun"/>
          <w:rFonts w:cstheme="minorHAnsi"/>
          <w:lang w:val="pt-BR"/>
        </w:rPr>
        <w:t xml:space="preserve"> </w:t>
      </w:r>
      <w:r w:rsidRPr="007E77AF">
        <w:rPr>
          <w:rStyle w:val="normaltextrun"/>
          <w:rFonts w:cstheme="minorHAnsi"/>
          <w:lang w:val="pt-BR"/>
        </w:rPr>
        <w:t>formulário de referência</w:t>
      </w:r>
      <w:r w:rsidR="00610074">
        <w:rPr>
          <w:rStyle w:val="normaltextrun"/>
          <w:rFonts w:cstheme="minorHAnsi"/>
          <w:lang w:val="pt-BR"/>
        </w:rPr>
        <w:t xml:space="preserve"> </w:t>
      </w:r>
      <w:r w:rsidRPr="007E77AF">
        <w:rPr>
          <w:rStyle w:val="normaltextrun"/>
          <w:rFonts w:cstheme="minorHAnsi"/>
          <w:lang w:val="pt-BR"/>
        </w:rPr>
        <w:t xml:space="preserve">entregue pela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e por devedores ou coobrigados referidos no item 12.3 acima, caso sejam companhias abertas;</w:t>
      </w:r>
    </w:p>
    <w:p w14:paraId="5097D639" w14:textId="29CF403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2.</w:t>
      </w:r>
      <w:r w:rsidRPr="007E77AF">
        <w:rPr>
          <w:rStyle w:val="normaltextrun"/>
          <w:rFonts w:cstheme="minorHAnsi"/>
          <w:lang w:val="pt-BR"/>
        </w:rPr>
        <w:tab/>
        <w:t>Últimas informações trimestrais,</w:t>
      </w:r>
      <w:r w:rsidR="00610074">
        <w:rPr>
          <w:rStyle w:val="normaltextrun"/>
          <w:rFonts w:cstheme="minorHAnsi"/>
          <w:lang w:val="pt-BR"/>
        </w:rPr>
        <w:t xml:space="preserve"> </w:t>
      </w:r>
      <w:r w:rsidRPr="007E77AF">
        <w:rPr>
          <w:rStyle w:val="normaltextrun"/>
          <w:rFonts w:cstheme="minorHAnsi"/>
          <w:lang w:val="pt-BR"/>
        </w:rPr>
        <w:t>demonstrações financeiras</w:t>
      </w:r>
      <w:r w:rsidR="00610074">
        <w:rPr>
          <w:rStyle w:val="normaltextrun"/>
          <w:rFonts w:cstheme="minorHAnsi"/>
          <w:lang w:val="pt-BR"/>
        </w:rPr>
        <w:t xml:space="preserve"> </w:t>
      </w:r>
      <w:r w:rsidRPr="007E77AF">
        <w:rPr>
          <w:rStyle w:val="normaltextrun"/>
          <w:rFonts w:cstheme="minorHAnsi"/>
          <w:lang w:val="pt-BR"/>
        </w:rPr>
        <w:t>relativas aos 3 (três) últimos exercícios sociais encerrados,</w:t>
      </w:r>
      <w:r w:rsidR="00610074">
        <w:rPr>
          <w:rStyle w:val="normaltextrun"/>
          <w:rFonts w:cstheme="minorHAnsi"/>
          <w:lang w:val="pt-BR"/>
        </w:rPr>
        <w:t xml:space="preserve"> </w:t>
      </w:r>
      <w:r w:rsidRPr="007E77AF">
        <w:rPr>
          <w:rStyle w:val="normaltextrun"/>
          <w:rFonts w:cstheme="minorHAnsi"/>
          <w:lang w:val="pt-BR"/>
        </w:rPr>
        <w:t>com os respectivos pareceres dos auditores independentes</w:t>
      </w:r>
      <w:r w:rsidR="00610074">
        <w:rPr>
          <w:rStyle w:val="normaltextrun"/>
          <w:rFonts w:cstheme="minorHAnsi"/>
          <w:lang w:val="pt-BR"/>
        </w:rPr>
        <w:t xml:space="preserve"> </w:t>
      </w:r>
      <w:r w:rsidRPr="007E77AF">
        <w:rPr>
          <w:rStyle w:val="normaltextrun"/>
          <w:rFonts w:cstheme="minorHAnsi"/>
          <w:lang w:val="pt-BR"/>
        </w:rPr>
        <w:t xml:space="preserve">e eventos subsequentes, da </w:t>
      </w:r>
      <w:proofErr w:type="spellStart"/>
      <w:r w:rsidRPr="007E77AF">
        <w:rPr>
          <w:rStyle w:val="normaltextrun"/>
          <w:rFonts w:cstheme="minorHAnsi"/>
          <w:lang w:val="pt-BR"/>
        </w:rPr>
        <w:t>securitizadora</w:t>
      </w:r>
      <w:proofErr w:type="spellEnd"/>
      <w:r w:rsidRPr="007E77AF">
        <w:rPr>
          <w:lang w:val="pt-BR"/>
        </w:rPr>
        <w:t xml:space="preserve">, exceto quando a </w:t>
      </w:r>
      <w:proofErr w:type="spellStart"/>
      <w:r w:rsidRPr="007E77AF">
        <w:rPr>
          <w:lang w:val="pt-BR"/>
        </w:rPr>
        <w:t>securitizadora</w:t>
      </w:r>
      <w:proofErr w:type="spellEnd"/>
      <w:r w:rsidRPr="007E77AF">
        <w:rPr>
          <w:lang w:val="pt-BR"/>
        </w:rPr>
        <w:t xml:space="preserve"> não as possua por não ter iniciado suas atividades previamente ao referido período</w:t>
      </w:r>
      <w:r w:rsidRPr="007E77AF">
        <w:rPr>
          <w:rStyle w:val="normaltextrun"/>
          <w:rFonts w:cstheme="minorHAnsi"/>
          <w:lang w:val="pt-BR"/>
        </w:rPr>
        <w:t>;</w:t>
      </w:r>
    </w:p>
    <w:p w14:paraId="6C0229D0" w14:textId="6B4A625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3.</w:t>
      </w:r>
      <w:r w:rsidRPr="007E77AF">
        <w:rPr>
          <w:rStyle w:val="normaltextrun"/>
          <w:rFonts w:cstheme="minorHAnsi"/>
          <w:lang w:val="pt-BR"/>
        </w:rPr>
        <w:tab/>
      </w:r>
      <w:r w:rsidRPr="007E77AF">
        <w:rPr>
          <w:rStyle w:val="normaltextrun"/>
          <w:rFonts w:eastAsia="Calibri"/>
          <w:lang w:val="pt-BR"/>
        </w:rPr>
        <w:t xml:space="preserve">Demonstrações financeiras, elaboradas em conformidade com a Lei nº 6.404, de 1976, e a regulamentação editada pela CVM, auditadas por auditor independente registrado na CVM, referentes ao último exercício social, dos </w:t>
      </w:r>
      <w:r w:rsidRPr="007E77AF">
        <w:rPr>
          <w:rStyle w:val="normaltextrun"/>
          <w:rFonts w:cstheme="minorHAnsi"/>
          <w:lang w:val="pt-BR"/>
        </w:rPr>
        <w:t>devedores ou coobrigados referidos no item 12.3 acima;</w:t>
      </w:r>
    </w:p>
    <w:p w14:paraId="2A0AF9FD" w14:textId="2AE8656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4.</w:t>
      </w:r>
      <w:r w:rsidRPr="007E77AF">
        <w:rPr>
          <w:rStyle w:val="normaltextrun"/>
          <w:rFonts w:cstheme="minorHAnsi"/>
          <w:lang w:val="pt-BR"/>
        </w:rPr>
        <w:tab/>
        <w:t>Ata da assembleia geral extraordinária ou da reunião do conselho de administração que deliberou a emissão;</w:t>
      </w:r>
    </w:p>
    <w:p w14:paraId="02252845" w14:textId="5C5FDD1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5.</w:t>
      </w:r>
      <w:r w:rsidRPr="007E77AF">
        <w:rPr>
          <w:rStyle w:val="normaltextrun"/>
          <w:rFonts w:cstheme="minorHAnsi"/>
          <w:lang w:val="pt-BR"/>
        </w:rPr>
        <w:tab/>
        <w:t xml:space="preserve">Estatuto social atualizado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e dos devedores ou coobrigados referidos no item 12.3 acima;</w:t>
      </w:r>
    </w:p>
    <w:p w14:paraId="66868BDF" w14:textId="261B60C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6.</w:t>
      </w:r>
      <w:r w:rsidRPr="007E77AF">
        <w:rPr>
          <w:rStyle w:val="normaltextrun"/>
          <w:rFonts w:cstheme="minorHAnsi"/>
          <w:lang w:val="pt-BR"/>
        </w:rPr>
        <w:tab/>
        <w:t>Termo de securitização de créditos; e</w:t>
      </w:r>
    </w:p>
    <w:p w14:paraId="52B0DBAE" w14:textId="243EC248"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7.</w:t>
      </w:r>
      <w:r w:rsidRPr="007E77AF">
        <w:rPr>
          <w:rStyle w:val="normaltextrun"/>
          <w:rFonts w:cstheme="minorHAnsi"/>
          <w:lang w:val="pt-BR"/>
        </w:rPr>
        <w:tab/>
        <w:t xml:space="preserve">Documento que formaliza o lastro da emissão, </w:t>
      </w:r>
      <w:r w:rsidRPr="007E77AF">
        <w:rPr>
          <w:rStyle w:val="normaltextrun"/>
          <w:rFonts w:eastAsia="Calibri"/>
          <w:lang w:val="pt-BR"/>
        </w:rPr>
        <w:t>quando o lastro for um título de dívida cuja integralização se dará com recursos oriundos da emissão dos certificados de recebíveis</w:t>
      </w:r>
      <w:r w:rsidRPr="007E77AF">
        <w:rPr>
          <w:rStyle w:val="normaltextrun"/>
          <w:rFonts w:cstheme="minorHAnsi"/>
          <w:lang w:val="pt-BR"/>
        </w:rPr>
        <w:t>.</w:t>
      </w:r>
    </w:p>
    <w:p w14:paraId="65E881BE" w14:textId="77777777"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16.</w:t>
      </w:r>
      <w:r w:rsidRPr="007E77AF">
        <w:rPr>
          <w:rStyle w:val="normaltextrun"/>
          <w:b/>
          <w:lang w:val="pt-BR"/>
        </w:rPr>
        <w:tab/>
      </w:r>
      <w:r w:rsidRPr="007E77AF">
        <w:rPr>
          <w:rStyle w:val="normaltextrun"/>
          <w:b/>
          <w:lang w:val="pt-BR"/>
        </w:rPr>
        <w:tab/>
        <w:t>Identificação das pessoas envolvidas</w:t>
      </w:r>
    </w:p>
    <w:p w14:paraId="23C64691" w14:textId="16B01708"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16.1</w:t>
      </w:r>
      <w:r>
        <w:rPr>
          <w:rStyle w:val="normaltextrun"/>
          <w:rFonts w:cstheme="minorHAnsi"/>
          <w:lang w:val="pt-BR"/>
        </w:rPr>
        <w:t>.</w:t>
      </w:r>
      <w:r w:rsidRPr="007E77AF">
        <w:rPr>
          <w:rStyle w:val="normaltextrun"/>
          <w:rFonts w:cstheme="minorHAnsi"/>
          <w:lang w:val="pt-BR"/>
        </w:rPr>
        <w:tab/>
        <w:t xml:space="preserve">Denominação social, endereço comercial, endereço eletrônico e telefones de contato da </w:t>
      </w:r>
      <w:proofErr w:type="spellStart"/>
      <w:r w:rsidRPr="007E77AF">
        <w:rPr>
          <w:rStyle w:val="normaltextrun"/>
          <w:rFonts w:cstheme="minorHAnsi"/>
          <w:lang w:val="pt-BR"/>
        </w:rPr>
        <w:t>securitizadora</w:t>
      </w:r>
      <w:proofErr w:type="spellEnd"/>
      <w:r w:rsidRPr="007E77AF">
        <w:rPr>
          <w:rStyle w:val="normaltextrun"/>
          <w:rFonts w:cstheme="minorHAnsi"/>
          <w:lang w:val="pt-BR"/>
        </w:rPr>
        <w:t>;</w:t>
      </w:r>
    </w:p>
    <w:p w14:paraId="088DFBC6" w14:textId="7C703D55"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16.2</w:t>
      </w:r>
      <w:r>
        <w:rPr>
          <w:rStyle w:val="normaltextrun"/>
          <w:rFonts w:cstheme="minorHAnsi"/>
          <w:lang w:val="pt-BR"/>
        </w:rPr>
        <w:t>.</w:t>
      </w:r>
      <w:r w:rsidRPr="007E77AF">
        <w:rPr>
          <w:rStyle w:val="normaltextrun"/>
          <w:rFonts w:cstheme="minorHAnsi"/>
          <w:lang w:val="pt-BR"/>
        </w:rPr>
        <w:tab/>
        <w:t>Nome, endereço comercial, endereço eletrônico e telefones de contato dos administradores que podem prestar esclarecimentos sobre a oferta;</w:t>
      </w:r>
    </w:p>
    <w:p w14:paraId="4A009F44" w14:textId="78EDE541"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16.3</w:t>
      </w:r>
      <w:r>
        <w:rPr>
          <w:rStyle w:val="normaltextrun"/>
          <w:rFonts w:cstheme="minorHAnsi"/>
          <w:lang w:val="pt-BR"/>
        </w:rPr>
        <w:t>.</w:t>
      </w:r>
      <w:r w:rsidRPr="007E77AF">
        <w:rPr>
          <w:rStyle w:val="normaltextrun"/>
          <w:rFonts w:cstheme="minorHAnsi"/>
          <w:lang w:val="pt-BR"/>
        </w:rPr>
        <w:tab/>
        <w:t>Nome, endereço comercial, endereço eletrônico e telefones dos assessores (financeiros, jurídicos etc.) envolvidos na oferta e responsáveis por fatos ou documentos citados no prospecto;</w:t>
      </w:r>
    </w:p>
    <w:p w14:paraId="14EAC05C" w14:textId="5980E6B9"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16.4</w:t>
      </w:r>
      <w:r>
        <w:rPr>
          <w:rStyle w:val="normaltextrun"/>
          <w:rFonts w:cstheme="minorHAnsi"/>
          <w:lang w:val="pt-BR"/>
        </w:rPr>
        <w:t>.</w:t>
      </w:r>
      <w:r w:rsidRPr="007E77AF">
        <w:rPr>
          <w:rStyle w:val="normaltextrun"/>
          <w:rFonts w:cstheme="minorHAnsi"/>
          <w:lang w:val="pt-BR"/>
        </w:rPr>
        <w:tab/>
        <w:t>Denominação social, endereço comercial, endereço eletrônico e telefones dos auditores responsáveis por auditar as demonstrações financeiras dos 3 (três) últimos exercícios sociais;</w:t>
      </w:r>
    </w:p>
    <w:p w14:paraId="0CE235EF" w14:textId="412027A4"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16.5</w:t>
      </w:r>
      <w:r>
        <w:rPr>
          <w:rStyle w:val="normaltextrun"/>
          <w:rFonts w:cstheme="minorHAnsi"/>
          <w:lang w:val="pt-BR"/>
        </w:rPr>
        <w:t>.</w:t>
      </w:r>
      <w:r w:rsidRPr="007E77AF">
        <w:rPr>
          <w:rStyle w:val="normaltextrun"/>
          <w:rFonts w:cstheme="minorHAnsi"/>
          <w:lang w:val="pt-BR"/>
        </w:rPr>
        <w:tab/>
        <w:t>Denominação social, endereço comercial, endereço eletrônico e telefones do agente fiduciário, caso aplicável;</w:t>
      </w:r>
    </w:p>
    <w:p w14:paraId="5D3BC141" w14:textId="099D8FA7"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16.6</w:t>
      </w:r>
      <w:r>
        <w:rPr>
          <w:rStyle w:val="normaltextrun"/>
          <w:rFonts w:cstheme="minorHAnsi"/>
          <w:lang w:val="pt-BR"/>
        </w:rPr>
        <w:t>.</w:t>
      </w:r>
      <w:r w:rsidRPr="007E77AF">
        <w:rPr>
          <w:rStyle w:val="normaltextrun"/>
          <w:rFonts w:cstheme="minorHAnsi"/>
          <w:lang w:val="pt-BR"/>
        </w:rPr>
        <w:tab/>
        <w:t>Denominação social, endereço comercial, endereço eletrônico do banco liquidante da emissão;</w:t>
      </w:r>
    </w:p>
    <w:p w14:paraId="5871B3A0" w14:textId="7C9CC1AC"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16.7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Denominação social, endereço comercial, endereço eletrônico do </w:t>
      </w:r>
      <w:proofErr w:type="spellStart"/>
      <w:r w:rsidRPr="007E77AF">
        <w:rPr>
          <w:rStyle w:val="normaltextrun"/>
          <w:rFonts w:cstheme="minorHAnsi"/>
          <w:lang w:val="pt-BR"/>
        </w:rPr>
        <w:t>escriturador</w:t>
      </w:r>
      <w:proofErr w:type="spellEnd"/>
      <w:r w:rsidRPr="007E77AF">
        <w:rPr>
          <w:rStyle w:val="normaltextrun"/>
          <w:rFonts w:cstheme="minorHAnsi"/>
          <w:lang w:val="pt-BR"/>
        </w:rPr>
        <w:t xml:space="preserve"> da emissão;</w:t>
      </w:r>
    </w:p>
    <w:p w14:paraId="1D04F93D" w14:textId="3E800FE4"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lastRenderedPageBreak/>
        <w:t>16.8</w:t>
      </w:r>
      <w:r>
        <w:rPr>
          <w:rStyle w:val="normaltextrun"/>
          <w:rFonts w:cstheme="minorHAnsi"/>
          <w:lang w:val="pt-BR"/>
        </w:rPr>
        <w:t>.</w:t>
      </w:r>
      <w:r w:rsidRPr="007E77AF">
        <w:rPr>
          <w:rStyle w:val="normaltextrun"/>
          <w:rFonts w:cstheme="minorHAnsi"/>
          <w:lang w:val="pt-BR"/>
        </w:rPr>
        <w:tab/>
        <w:t xml:space="preserve">Declaração de que quaisquer outras informações ou esclarecimentos sobre a </w:t>
      </w:r>
      <w:proofErr w:type="spellStart"/>
      <w:r w:rsidRPr="007E77AF">
        <w:rPr>
          <w:rStyle w:val="normaltextrun"/>
          <w:rFonts w:cstheme="minorHAnsi"/>
          <w:lang w:val="pt-BR"/>
        </w:rPr>
        <w:t>securitizadora</w:t>
      </w:r>
      <w:proofErr w:type="spellEnd"/>
      <w:r w:rsidRPr="007E77AF">
        <w:rPr>
          <w:rStyle w:val="normaltextrun"/>
          <w:rFonts w:cstheme="minorHAnsi"/>
          <w:lang w:val="pt-BR"/>
        </w:rPr>
        <w:t xml:space="preserve"> e a distribuição em questão podem ser obtidas junto ao </w:t>
      </w:r>
      <w:r>
        <w:rPr>
          <w:rStyle w:val="normaltextrun"/>
          <w:rFonts w:cstheme="minorHAnsi"/>
          <w:lang w:val="pt-BR"/>
        </w:rPr>
        <w:t xml:space="preserve">coordenador </w:t>
      </w:r>
      <w:r w:rsidRPr="007E77AF">
        <w:rPr>
          <w:rStyle w:val="normaltextrun"/>
          <w:rFonts w:cstheme="minorHAnsi"/>
          <w:lang w:val="pt-BR"/>
        </w:rPr>
        <w:t>líder, às instituições consorciadas e na</w:t>
      </w:r>
      <w:r w:rsidR="002E787B">
        <w:rPr>
          <w:rStyle w:val="normaltextrun"/>
          <w:rFonts w:cstheme="minorHAnsi"/>
          <w:lang w:val="pt-BR"/>
        </w:rPr>
        <w:t xml:space="preserve"> </w:t>
      </w:r>
      <w:r w:rsidRPr="007E77AF">
        <w:rPr>
          <w:rStyle w:val="normaltextrun"/>
          <w:rFonts w:cstheme="minorHAnsi"/>
          <w:lang w:val="pt-BR"/>
        </w:rPr>
        <w:t>CVM;</w:t>
      </w:r>
    </w:p>
    <w:p w14:paraId="62DA5327" w14:textId="47A525F7"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w:t>
      </w:r>
      <w:r>
        <w:rPr>
          <w:rStyle w:val="normaltextrun"/>
          <w:rFonts w:cstheme="minorHAnsi"/>
          <w:lang w:val="pt-BR"/>
        </w:rPr>
        <w:t>9.</w:t>
      </w:r>
      <w:r w:rsidRPr="007E77AF">
        <w:rPr>
          <w:rStyle w:val="normaltextrun"/>
          <w:rFonts w:cstheme="minorHAns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6CB4EFA2" w14:textId="25AE5CE2"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w:t>
      </w:r>
      <w:r>
        <w:rPr>
          <w:rStyle w:val="normaltextrun"/>
          <w:rFonts w:cstheme="minorHAnsi"/>
          <w:lang w:val="pt-BR"/>
        </w:rPr>
        <w:t>10.</w:t>
      </w:r>
      <w:r>
        <w:rPr>
          <w:rStyle w:val="normaltextrun"/>
          <w:rFonts w:cstheme="minorHAnsi"/>
          <w:lang w:val="pt-BR"/>
        </w:rPr>
        <w:tab/>
      </w:r>
      <w:r w:rsidRPr="007E77AF">
        <w:rPr>
          <w:rStyle w:val="normaltextrun"/>
          <w:rFonts w:cstheme="minorHAnsi"/>
          <w:lang w:val="pt-BR"/>
        </w:rPr>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rFonts w:cstheme="minorBidi"/>
          <w:lang w:val="pt-BR"/>
        </w:rPr>
        <w:t>,</w:t>
      </w:r>
      <w:r w:rsidRPr="007E77AF">
        <w:rPr>
          <w:rStyle w:val="normaltextrun"/>
          <w:rFonts w:cstheme="minorHAnsi"/>
          <w:lang w:val="pt-BR"/>
        </w:rPr>
        <w:t xml:space="preserve"> atestando a veracidade das informações contidas no prospecto.</w:t>
      </w:r>
    </w:p>
    <w:p w14:paraId="745A0C57" w14:textId="77777777"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17.</w:t>
      </w:r>
      <w:r w:rsidRPr="007E77AF">
        <w:rPr>
          <w:rStyle w:val="normaltextrun"/>
          <w:rFonts w:cstheme="minorHAnsi"/>
          <w:b/>
          <w:bCs/>
          <w:lang w:val="pt-BR"/>
        </w:rPr>
        <w:tab/>
      </w:r>
      <w:r w:rsidRPr="007E77AF">
        <w:rPr>
          <w:rStyle w:val="normaltextrun"/>
          <w:rFonts w:cstheme="minorHAnsi"/>
          <w:b/>
          <w:bCs/>
          <w:lang w:val="pt-BR"/>
        </w:rPr>
        <w:tab/>
        <w:t>Outros documentos e informações que a CVM julgar necessários</w:t>
      </w:r>
      <w:r>
        <w:rPr>
          <w:rStyle w:val="normaltextrun"/>
          <w:rFonts w:cstheme="minorHAnsi"/>
          <w:b/>
          <w:bCs/>
          <w:lang w:val="pt-BR"/>
        </w:rPr>
        <w:t>.</w:t>
      </w:r>
    </w:p>
    <w:p w14:paraId="3D98546D" w14:textId="77777777" w:rsidR="009A242A" w:rsidRPr="007E77AF" w:rsidRDefault="009A242A">
      <w:r w:rsidRPr="007E77AF">
        <w:br w:type="page"/>
      </w:r>
    </w:p>
    <w:p w14:paraId="17EBA5F4" w14:textId="2D2E1003" w:rsidR="009A242A" w:rsidRPr="007E77AF" w:rsidRDefault="009A242A" w:rsidP="00167D4B">
      <w:pPr>
        <w:pStyle w:val="Ttulo1"/>
        <w:rPr>
          <w:rFonts w:cstheme="minorBidi"/>
          <w:b/>
          <w:bCs/>
        </w:rPr>
      </w:pPr>
      <w:bookmarkStart w:id="382" w:name="_Toc476216358"/>
      <w:bookmarkStart w:id="383" w:name="_Toc108516080"/>
      <w:bookmarkStart w:id="384" w:name="_Toc108203111"/>
      <w:bookmarkStart w:id="385" w:name="_Toc136502851"/>
      <w:r w:rsidRPr="007E77AF">
        <w:lastRenderedPageBreak/>
        <w:t xml:space="preserve">ANEXO </w:t>
      </w:r>
      <w:r>
        <w:t>F</w:t>
      </w:r>
      <w:r w:rsidRPr="007E77AF">
        <w:t xml:space="preserve"> – LÂMINA DA OFERTA DE AÇÕES</w:t>
      </w:r>
      <w:bookmarkEnd w:id="382"/>
      <w:bookmarkEnd w:id="383"/>
      <w:bookmarkEnd w:id="384"/>
      <w:bookmarkEnd w:id="385"/>
    </w:p>
    <w:p w14:paraId="464A38A3" w14:textId="77777777" w:rsidR="009A242A" w:rsidRPr="007E77AF" w:rsidRDefault="009A242A" w:rsidP="004301C4">
      <w:pPr>
        <w:spacing w:after="160" w:line="259" w:lineRule="auto"/>
        <w:jc w:val="center"/>
        <w:rPr>
          <w:rFonts w:cstheme="minorBidi"/>
          <w:b/>
          <w:bCs/>
        </w:rPr>
      </w:pPr>
    </w:p>
    <w:p w14:paraId="286BAB7E" w14:textId="09300172" w:rsidR="009A242A" w:rsidRPr="007E77AF" w:rsidRDefault="009A242A" w:rsidP="00365082">
      <w:pPr>
        <w:jc w:val="center"/>
        <w:rPr>
          <w:i/>
        </w:rPr>
      </w:pPr>
      <w:bookmarkStart w:id="386" w:name="_Toc467256310"/>
      <w:r w:rsidRPr="007E77AF">
        <w:rPr>
          <w:i/>
          <w:lang w:eastAsia="en-US"/>
        </w:rPr>
        <w:t xml:space="preserve">Conteúdo da lâmina de oferta de ações e outros valores mobiliários representativos de capital, conforme art. </w:t>
      </w:r>
      <w:bookmarkEnd w:id="386"/>
      <w:r w:rsidRPr="007E77AF">
        <w:rPr>
          <w:i/>
          <w:lang w:eastAsia="en-US"/>
        </w:rPr>
        <w:t>23 da</w:t>
      </w:r>
      <w:r w:rsidRPr="007E77AF">
        <w:rPr>
          <w:i/>
        </w:rPr>
        <w:t xml:space="preserve"> Resolução </w:t>
      </w:r>
      <w:r>
        <w:rPr>
          <w:i/>
        </w:rPr>
        <w:t>CVM nº 160, de 2022</w:t>
      </w:r>
      <w:r w:rsidRPr="007E77AF">
        <w:rPr>
          <w:i/>
        </w:rPr>
        <w:t>.</w:t>
      </w:r>
    </w:p>
    <w:p w14:paraId="459ED84A" w14:textId="77777777" w:rsidR="009A242A" w:rsidRPr="007E77AF" w:rsidRDefault="009A242A" w:rsidP="004301C4"/>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186"/>
        <w:gridCol w:w="4354"/>
        <w:gridCol w:w="1656"/>
      </w:tblGrid>
      <w:tr w:rsidR="009A242A" w:rsidRPr="007E77AF" w14:paraId="18904889" w14:textId="77777777" w:rsidTr="491E246D">
        <w:trPr>
          <w:trHeight w:val="360"/>
        </w:trPr>
        <w:tc>
          <w:tcPr>
            <w:tcW w:w="10196" w:type="dxa"/>
            <w:gridSpan w:val="3"/>
            <w:shd w:val="clear" w:color="auto" w:fill="auto"/>
            <w:vAlign w:val="center"/>
            <w:hideMark/>
          </w:tcPr>
          <w:p w14:paraId="79DC6EB7" w14:textId="51EE6190" w:rsidR="009A242A" w:rsidRPr="007E77AF" w:rsidRDefault="009A242A" w:rsidP="004301C4">
            <w:pPr>
              <w:jc w:val="center"/>
              <w:rPr>
                <w:rFonts w:ascii="Calibri" w:hAnsi="Calibri"/>
                <w:b/>
                <w:bCs/>
                <w:lang w:eastAsia="en-US"/>
              </w:rPr>
            </w:pPr>
            <w:bookmarkStart w:id="387" w:name="Ficha_SDM_-_Ações!B2:D49"/>
            <w:r w:rsidRPr="007E77AF">
              <w:rPr>
                <w:rFonts w:ascii="Calibri" w:hAnsi="Calibri"/>
                <w:b/>
                <w:bCs/>
                <w:lang w:eastAsia="en-US"/>
              </w:rPr>
              <w:t>Informações Essenciais</w:t>
            </w:r>
            <w:bookmarkEnd w:id="387"/>
            <w:r w:rsidRPr="007E77AF">
              <w:rPr>
                <w:rFonts w:ascii="Calibri" w:hAnsi="Calibri"/>
                <w:b/>
                <w:bCs/>
                <w:lang w:eastAsia="en-US"/>
              </w:rPr>
              <w:t xml:space="preserve"> – Oferta [</w:t>
            </w:r>
            <w:proofErr w:type="gramStart"/>
            <w:r w:rsidRPr="007E77AF">
              <w:rPr>
                <w:rFonts w:ascii="Calibri" w:hAnsi="Calibri"/>
                <w:b/>
                <w:bCs/>
                <w:lang w:eastAsia="en-US"/>
              </w:rPr>
              <w:t>Primária ]</w:t>
            </w:r>
            <w:proofErr w:type="gramEnd"/>
            <w:r w:rsidRPr="007E77AF">
              <w:rPr>
                <w:rFonts w:ascii="Calibri" w:hAnsi="Calibri"/>
                <w:b/>
                <w:bCs/>
                <w:lang w:eastAsia="en-US"/>
              </w:rPr>
              <w:t xml:space="preserve"> [Secundária] [</w:t>
            </w:r>
            <w:r w:rsidR="00227084" w:rsidRPr="007E77AF">
              <w:rPr>
                <w:rFonts w:ascii="Calibri" w:hAnsi="Calibri"/>
                <w:b/>
                <w:bCs/>
                <w:lang w:eastAsia="en-US"/>
              </w:rPr>
              <w:t>Prim</w:t>
            </w:r>
            <w:r w:rsidR="00227084">
              <w:rPr>
                <w:rFonts w:ascii="Calibri" w:hAnsi="Calibri"/>
                <w:b/>
                <w:bCs/>
                <w:lang w:eastAsia="en-US"/>
              </w:rPr>
              <w:t>á</w:t>
            </w:r>
            <w:r w:rsidR="00227084" w:rsidRPr="007E77AF">
              <w:rPr>
                <w:rFonts w:ascii="Calibri" w:hAnsi="Calibri"/>
                <w:b/>
                <w:bCs/>
                <w:lang w:eastAsia="en-US"/>
              </w:rPr>
              <w:t xml:space="preserve">ria </w:t>
            </w:r>
            <w:r w:rsidRPr="007E77AF">
              <w:rPr>
                <w:rFonts w:ascii="Calibri" w:hAnsi="Calibri"/>
                <w:b/>
                <w:bCs/>
                <w:lang w:eastAsia="en-US"/>
              </w:rPr>
              <w:t>e Secundária] de [Ações]</w:t>
            </w:r>
          </w:p>
        </w:tc>
      </w:tr>
      <w:tr w:rsidR="009A242A" w:rsidRPr="007E77AF" w14:paraId="6DA59F2C" w14:textId="77777777" w:rsidTr="491E246D">
        <w:trPr>
          <w:trHeight w:val="825"/>
        </w:trPr>
        <w:tc>
          <w:tcPr>
            <w:tcW w:w="10196" w:type="dxa"/>
            <w:gridSpan w:val="3"/>
            <w:shd w:val="clear" w:color="auto" w:fill="auto"/>
            <w:vAlign w:val="center"/>
            <w:hideMark/>
          </w:tcPr>
          <w:p w14:paraId="723B7287"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e deve ser lida como uma introdução ao prospecto da oferta. A decisão de investimento deve levar em consideração as informações constantes do prospecto, principalmente a seção relativa a fatores de risco.</w:t>
            </w:r>
          </w:p>
        </w:tc>
      </w:tr>
      <w:tr w:rsidR="009A242A" w:rsidRPr="007E77AF" w14:paraId="58A20D03" w14:textId="77777777" w:rsidTr="491E246D">
        <w:trPr>
          <w:trHeight w:val="270"/>
        </w:trPr>
        <w:tc>
          <w:tcPr>
            <w:tcW w:w="10196" w:type="dxa"/>
            <w:gridSpan w:val="3"/>
            <w:shd w:val="clear" w:color="auto" w:fill="auto"/>
            <w:vAlign w:val="center"/>
            <w:hideMark/>
          </w:tcPr>
          <w:p w14:paraId="05D85E30"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9A242A" w:rsidRPr="007E77AF" w14:paraId="2ADAEC12" w14:textId="77777777" w:rsidTr="491E246D">
        <w:trPr>
          <w:trHeight w:val="270"/>
        </w:trPr>
        <w:tc>
          <w:tcPr>
            <w:tcW w:w="4186" w:type="dxa"/>
            <w:vMerge w:val="restart"/>
            <w:shd w:val="clear" w:color="auto" w:fill="auto"/>
            <w:vAlign w:val="center"/>
            <w:hideMark/>
          </w:tcPr>
          <w:p w14:paraId="5BDA010F"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Risco de</w:t>
            </w:r>
          </w:p>
        </w:tc>
        <w:tc>
          <w:tcPr>
            <w:tcW w:w="4354" w:type="dxa"/>
            <w:shd w:val="clear" w:color="auto" w:fill="auto"/>
            <w:vAlign w:val="center"/>
            <w:hideMark/>
          </w:tcPr>
          <w:p w14:paraId="5567758A"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perda do principal</w:t>
            </w:r>
          </w:p>
        </w:tc>
        <w:tc>
          <w:tcPr>
            <w:tcW w:w="1656" w:type="dxa"/>
            <w:shd w:val="clear" w:color="auto" w:fill="auto"/>
            <w:vAlign w:val="center"/>
            <w:hideMark/>
          </w:tcPr>
          <w:p w14:paraId="7D1507D8"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33F88422" w14:textId="77777777" w:rsidTr="491E246D">
        <w:trPr>
          <w:trHeight w:val="270"/>
        </w:trPr>
        <w:tc>
          <w:tcPr>
            <w:tcW w:w="4186" w:type="dxa"/>
            <w:vMerge/>
            <w:vAlign w:val="center"/>
            <w:hideMark/>
          </w:tcPr>
          <w:p w14:paraId="2B9F3918" w14:textId="77777777" w:rsidR="009A242A" w:rsidRPr="007E77AF" w:rsidRDefault="009A242A" w:rsidP="004301C4">
            <w:pPr>
              <w:rPr>
                <w:rFonts w:ascii="Calibri Light" w:hAnsi="Calibri Light"/>
                <w:b/>
                <w:bCs/>
                <w:sz w:val="20"/>
                <w:szCs w:val="20"/>
                <w:lang w:eastAsia="en-US"/>
              </w:rPr>
            </w:pPr>
          </w:p>
        </w:tc>
        <w:tc>
          <w:tcPr>
            <w:tcW w:w="4354" w:type="dxa"/>
            <w:shd w:val="clear" w:color="auto" w:fill="auto"/>
            <w:vAlign w:val="center"/>
            <w:hideMark/>
          </w:tcPr>
          <w:p w14:paraId="165E1D4C"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falta de liquidez</w:t>
            </w:r>
          </w:p>
        </w:tc>
        <w:tc>
          <w:tcPr>
            <w:tcW w:w="1656" w:type="dxa"/>
            <w:shd w:val="clear" w:color="auto" w:fill="auto"/>
            <w:vAlign w:val="center"/>
            <w:hideMark/>
          </w:tcPr>
          <w:p w14:paraId="33969C57"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7E59400C" w14:textId="77777777" w:rsidTr="491E246D">
        <w:trPr>
          <w:trHeight w:val="270"/>
        </w:trPr>
        <w:tc>
          <w:tcPr>
            <w:tcW w:w="4186" w:type="dxa"/>
            <w:vMerge/>
            <w:vAlign w:val="center"/>
            <w:hideMark/>
          </w:tcPr>
          <w:p w14:paraId="5FF1CD9D" w14:textId="77777777" w:rsidR="009A242A" w:rsidRPr="007E77AF" w:rsidRDefault="009A242A" w:rsidP="004301C4">
            <w:pPr>
              <w:rPr>
                <w:rFonts w:ascii="Calibri Light" w:hAnsi="Calibri Light"/>
                <w:b/>
                <w:bCs/>
                <w:sz w:val="20"/>
                <w:szCs w:val="20"/>
                <w:lang w:eastAsia="en-US"/>
              </w:rPr>
            </w:pPr>
          </w:p>
        </w:tc>
        <w:tc>
          <w:tcPr>
            <w:tcW w:w="4354" w:type="dxa"/>
            <w:shd w:val="clear" w:color="auto" w:fill="auto"/>
            <w:vAlign w:val="center"/>
            <w:hideMark/>
          </w:tcPr>
          <w:p w14:paraId="5A69E1E4"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dificuldade de entendimento</w:t>
            </w:r>
          </w:p>
        </w:tc>
        <w:tc>
          <w:tcPr>
            <w:tcW w:w="1656" w:type="dxa"/>
            <w:shd w:val="clear" w:color="auto" w:fill="auto"/>
            <w:vAlign w:val="center"/>
            <w:hideMark/>
          </w:tcPr>
          <w:p w14:paraId="2B0BCA36"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1BA8380" w14:textId="77777777" w:rsidTr="491E246D">
        <w:trPr>
          <w:trHeight w:val="765"/>
        </w:trPr>
        <w:tc>
          <w:tcPr>
            <w:tcW w:w="4186" w:type="dxa"/>
            <w:shd w:val="clear" w:color="auto" w:fill="auto"/>
            <w:vAlign w:val="center"/>
            <w:hideMark/>
          </w:tcPr>
          <w:p w14:paraId="40FB02AC" w14:textId="77777777" w:rsidR="009A242A" w:rsidRPr="007E77AF" w:rsidRDefault="009A242A" w:rsidP="004301C4">
            <w:pPr>
              <w:jc w:val="center"/>
              <w:rPr>
                <w:rFonts w:ascii="Calibri Light" w:hAnsi="Calibri Light"/>
                <w:b/>
                <w:bCs/>
                <w:sz w:val="20"/>
                <w:szCs w:val="20"/>
                <w:lang w:eastAsia="en-US"/>
              </w:rPr>
            </w:pPr>
            <w:r w:rsidRPr="007E77AF">
              <w:rPr>
                <w:b/>
                <w:bCs/>
                <w:sz w:val="20"/>
                <w:szCs w:val="20"/>
                <w:lang w:eastAsia="en-US"/>
              </w:rPr>
              <w:t>Aviso para ofertas distribuídas por rito de registro automático</w:t>
            </w:r>
          </w:p>
        </w:tc>
        <w:tc>
          <w:tcPr>
            <w:tcW w:w="4354" w:type="dxa"/>
            <w:shd w:val="clear" w:color="auto" w:fill="auto"/>
            <w:vAlign w:val="center"/>
            <w:hideMark/>
          </w:tcPr>
          <w:p w14:paraId="78A25321" w14:textId="77777777" w:rsidR="009A242A" w:rsidRPr="007E77AF" w:rsidRDefault="009A242A" w:rsidP="004301C4">
            <w:pPr>
              <w:rPr>
                <w:b/>
                <w:bCs/>
                <w:sz w:val="20"/>
                <w:szCs w:val="20"/>
                <w:lang w:eastAsia="en-US"/>
              </w:rPr>
            </w:pPr>
            <w:r w:rsidRPr="007E77AF">
              <w:rPr>
                <w:b/>
                <w:bCs/>
                <w:sz w:val="20"/>
                <w:szCs w:val="20"/>
                <w:lang w:eastAsia="en-US"/>
              </w:rPr>
              <w:t>A CVM não realizou análise prévia do conteúdo do prospecto, nem dos documentos da oferta</w:t>
            </w:r>
          </w:p>
          <w:p w14:paraId="065C003E" w14:textId="77777777" w:rsidR="009A242A" w:rsidRPr="007E77AF" w:rsidRDefault="009A242A" w:rsidP="004301C4">
            <w:pPr>
              <w:rPr>
                <w:b/>
                <w:bCs/>
                <w:sz w:val="20"/>
                <w:szCs w:val="20"/>
                <w:lang w:eastAsia="en-US"/>
              </w:rPr>
            </w:pPr>
            <w:r w:rsidRPr="007E77AF" w:rsidDel="00A85E13">
              <w:rPr>
                <w:b/>
                <w:bCs/>
                <w:sz w:val="20"/>
                <w:szCs w:val="20"/>
                <w:lang w:eastAsia="en-US"/>
              </w:rPr>
              <w:t>Há restrições à revenda das ações.</w:t>
            </w:r>
          </w:p>
        </w:tc>
        <w:tc>
          <w:tcPr>
            <w:tcW w:w="1656" w:type="dxa"/>
            <w:shd w:val="clear" w:color="auto" w:fill="auto"/>
            <w:vAlign w:val="center"/>
            <w:hideMark/>
          </w:tcPr>
          <w:p w14:paraId="128209B1" w14:textId="77777777" w:rsidR="009A242A" w:rsidRPr="007E77AF" w:rsidRDefault="009A242A" w:rsidP="004301C4">
            <w:pPr>
              <w:jc w:val="center"/>
              <w:rPr>
                <w:bCs/>
                <w:sz w:val="20"/>
                <w:szCs w:val="20"/>
                <w:lang w:eastAsia="en-US"/>
              </w:rPr>
            </w:pPr>
          </w:p>
        </w:tc>
      </w:tr>
      <w:tr w:rsidR="009A242A" w:rsidRPr="007E77AF" w14:paraId="53A9EA43" w14:textId="77777777" w:rsidTr="491E246D">
        <w:trPr>
          <w:trHeight w:val="270"/>
        </w:trPr>
        <w:tc>
          <w:tcPr>
            <w:tcW w:w="8540" w:type="dxa"/>
            <w:gridSpan w:val="2"/>
            <w:shd w:val="clear" w:color="auto" w:fill="auto"/>
            <w:vAlign w:val="center"/>
            <w:hideMark/>
          </w:tcPr>
          <w:p w14:paraId="0B5381D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656" w:type="dxa"/>
            <w:shd w:val="clear" w:color="auto" w:fill="auto"/>
            <w:vAlign w:val="center"/>
            <w:hideMark/>
          </w:tcPr>
          <w:p w14:paraId="1DA8113C"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 xml:space="preserve">Mais informações </w:t>
            </w:r>
            <w:r w:rsidRPr="007E77AF">
              <w:rPr>
                <w:rFonts w:ascii="Calibri" w:hAnsi="Calibri"/>
                <w:sz w:val="20"/>
                <w:szCs w:val="20"/>
                <w:lang w:eastAsia="en-US"/>
              </w:rPr>
              <w:t>(incluir hyperlink)</w:t>
            </w:r>
          </w:p>
        </w:tc>
      </w:tr>
      <w:tr w:rsidR="009A242A" w:rsidRPr="007E77AF" w14:paraId="66B78AE2" w14:textId="77777777" w:rsidTr="491E246D">
        <w:trPr>
          <w:trHeight w:val="476"/>
        </w:trPr>
        <w:tc>
          <w:tcPr>
            <w:tcW w:w="4186" w:type="dxa"/>
            <w:shd w:val="clear" w:color="auto" w:fill="auto"/>
            <w:vAlign w:val="center"/>
            <w:hideMark/>
          </w:tcPr>
          <w:p w14:paraId="388CE069" w14:textId="77777777" w:rsidR="009A242A" w:rsidRPr="007E77AF" w:rsidRDefault="009A242A" w:rsidP="004301C4">
            <w:pPr>
              <w:rPr>
                <w:bCs/>
                <w:sz w:val="20"/>
                <w:szCs w:val="20"/>
                <w:lang w:eastAsia="en-US"/>
              </w:rPr>
            </w:pPr>
            <w:proofErr w:type="spellStart"/>
            <w:proofErr w:type="gramStart"/>
            <w:r w:rsidRPr="007E77AF">
              <w:rPr>
                <w:bCs/>
                <w:sz w:val="20"/>
                <w:szCs w:val="20"/>
                <w:lang w:eastAsia="en-US"/>
              </w:rPr>
              <w:t>A.Valor</w:t>
            </w:r>
            <w:proofErr w:type="spellEnd"/>
            <w:proofErr w:type="gramEnd"/>
            <w:r w:rsidRPr="007E77AF">
              <w:rPr>
                <w:bCs/>
                <w:sz w:val="20"/>
                <w:szCs w:val="20"/>
                <w:lang w:eastAsia="en-US"/>
              </w:rPr>
              <w:t xml:space="preserve"> mobiliário</w:t>
            </w:r>
            <w:r w:rsidRPr="007E77AF" w:rsidDel="00347901">
              <w:rPr>
                <w:bCs/>
                <w:sz w:val="20"/>
                <w:szCs w:val="20"/>
                <w:lang w:eastAsia="en-US"/>
              </w:rPr>
              <w:t xml:space="preserve"> </w:t>
            </w:r>
          </w:p>
        </w:tc>
        <w:tc>
          <w:tcPr>
            <w:tcW w:w="4354" w:type="dxa"/>
            <w:shd w:val="clear" w:color="auto" w:fill="auto"/>
            <w:vAlign w:val="center"/>
            <w:hideMark/>
          </w:tcPr>
          <w:p w14:paraId="0F89EE58" w14:textId="77777777" w:rsidR="009A242A" w:rsidRPr="007E77AF" w:rsidRDefault="009A242A" w:rsidP="004301C4">
            <w:pPr>
              <w:jc w:val="center"/>
              <w:rPr>
                <w:bCs/>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ações/ [  ] bônus de subscrição /  [  ]  certificados de depósito sobre estes valores mobiliários</w:t>
            </w:r>
          </w:p>
        </w:tc>
        <w:tc>
          <w:tcPr>
            <w:tcW w:w="1656" w:type="dxa"/>
            <w:shd w:val="clear" w:color="auto" w:fill="auto"/>
            <w:vAlign w:val="center"/>
            <w:hideMark/>
          </w:tcPr>
          <w:p w14:paraId="3989636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do prospecto</w:t>
            </w:r>
          </w:p>
        </w:tc>
      </w:tr>
      <w:tr w:rsidR="009A242A" w:rsidRPr="007E77AF" w14:paraId="59D03E19" w14:textId="77777777" w:rsidTr="491E246D">
        <w:trPr>
          <w:trHeight w:val="227"/>
        </w:trPr>
        <w:tc>
          <w:tcPr>
            <w:tcW w:w="4186" w:type="dxa"/>
            <w:shd w:val="clear" w:color="auto" w:fill="auto"/>
            <w:vAlign w:val="center"/>
          </w:tcPr>
          <w:p w14:paraId="2A57F4D7" w14:textId="77777777" w:rsidR="009A242A" w:rsidRPr="007E77AF" w:rsidRDefault="009A242A" w:rsidP="004301C4">
            <w:pPr>
              <w:rPr>
                <w:bCs/>
                <w:sz w:val="20"/>
                <w:szCs w:val="20"/>
                <w:lang w:eastAsia="en-US"/>
              </w:rPr>
            </w:pPr>
            <w:r w:rsidRPr="007E77AF">
              <w:rPr>
                <w:bCs/>
                <w:sz w:val="20"/>
                <w:szCs w:val="20"/>
                <w:lang w:eastAsia="en-US"/>
              </w:rPr>
              <w:t>a.1) Emissor</w:t>
            </w:r>
            <w:r w:rsidRPr="007E77AF" w:rsidDel="00873DCB">
              <w:rPr>
                <w:bCs/>
                <w:sz w:val="20"/>
                <w:szCs w:val="20"/>
                <w:lang w:eastAsia="en-US"/>
              </w:rPr>
              <w:t xml:space="preserve"> </w:t>
            </w:r>
          </w:p>
        </w:tc>
        <w:tc>
          <w:tcPr>
            <w:tcW w:w="4354" w:type="dxa"/>
            <w:shd w:val="clear" w:color="auto" w:fill="auto"/>
            <w:vAlign w:val="center"/>
          </w:tcPr>
          <w:p w14:paraId="0B58B5CC" w14:textId="77777777" w:rsidR="009A242A" w:rsidRPr="007E77AF" w:rsidRDefault="009A242A" w:rsidP="004301C4">
            <w:pPr>
              <w:jc w:val="center"/>
              <w:rPr>
                <w:bCs/>
                <w:sz w:val="20"/>
                <w:szCs w:val="20"/>
                <w:lang w:eastAsia="en-US"/>
              </w:rPr>
            </w:pPr>
            <w:r w:rsidRPr="007E77AF">
              <w:rPr>
                <w:rFonts w:cstheme="minorBidi"/>
                <w:sz w:val="20"/>
                <w:szCs w:val="20"/>
                <w:lang w:eastAsia="en-US"/>
              </w:rPr>
              <w:t>Nome, CNPJ e página eletrônica</w:t>
            </w:r>
          </w:p>
        </w:tc>
        <w:tc>
          <w:tcPr>
            <w:tcW w:w="1656" w:type="dxa"/>
            <w:shd w:val="clear" w:color="auto" w:fill="auto"/>
            <w:vAlign w:val="center"/>
          </w:tcPr>
          <w:p w14:paraId="654316D8" w14:textId="77777777" w:rsidR="009A242A" w:rsidRPr="007E77AF" w:rsidRDefault="009A242A" w:rsidP="004301C4">
            <w:pPr>
              <w:jc w:val="center"/>
              <w:rPr>
                <w:bCs/>
                <w:sz w:val="20"/>
                <w:szCs w:val="20"/>
                <w:lang w:eastAsia="en-US"/>
              </w:rPr>
            </w:pPr>
          </w:p>
        </w:tc>
      </w:tr>
      <w:tr w:rsidR="009A242A" w:rsidRPr="007E77AF" w14:paraId="43E1EC92" w14:textId="77777777" w:rsidTr="491E246D">
        <w:trPr>
          <w:trHeight w:val="227"/>
        </w:trPr>
        <w:tc>
          <w:tcPr>
            <w:tcW w:w="4186" w:type="dxa"/>
            <w:shd w:val="clear" w:color="auto" w:fill="auto"/>
            <w:vAlign w:val="center"/>
            <w:hideMark/>
          </w:tcPr>
          <w:p w14:paraId="24EB38EC" w14:textId="77777777" w:rsidR="009A242A" w:rsidRPr="007E77AF" w:rsidRDefault="009A242A" w:rsidP="004301C4">
            <w:pPr>
              <w:rPr>
                <w:bCs/>
                <w:sz w:val="20"/>
                <w:szCs w:val="20"/>
                <w:lang w:eastAsia="en-US"/>
              </w:rPr>
            </w:pPr>
            <w:r w:rsidRPr="007E77AF">
              <w:rPr>
                <w:bCs/>
                <w:sz w:val="20"/>
                <w:szCs w:val="20"/>
                <w:lang w:eastAsia="en-US"/>
              </w:rPr>
              <w:t xml:space="preserve">a.2) Código de negociação proposto </w:t>
            </w:r>
          </w:p>
        </w:tc>
        <w:tc>
          <w:tcPr>
            <w:tcW w:w="4354" w:type="dxa"/>
            <w:shd w:val="clear" w:color="auto" w:fill="auto"/>
            <w:vAlign w:val="center"/>
            <w:hideMark/>
          </w:tcPr>
          <w:p w14:paraId="6EF38887" w14:textId="77777777" w:rsidR="009A242A" w:rsidRPr="007E77AF" w:rsidRDefault="009A242A" w:rsidP="004301C4">
            <w:pPr>
              <w:jc w:val="center"/>
              <w:rPr>
                <w:bCs/>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1656" w:type="dxa"/>
            <w:shd w:val="clear" w:color="auto" w:fill="auto"/>
            <w:vAlign w:val="center"/>
            <w:hideMark/>
          </w:tcPr>
          <w:p w14:paraId="0FC9983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003EF14" w14:textId="77777777" w:rsidTr="491E246D">
        <w:trPr>
          <w:trHeight w:val="227"/>
        </w:trPr>
        <w:tc>
          <w:tcPr>
            <w:tcW w:w="4186" w:type="dxa"/>
            <w:shd w:val="clear" w:color="auto" w:fill="auto"/>
            <w:vAlign w:val="center"/>
            <w:hideMark/>
          </w:tcPr>
          <w:p w14:paraId="4D3D6E69" w14:textId="77777777" w:rsidR="009A242A" w:rsidRPr="007E77AF" w:rsidRDefault="009A242A" w:rsidP="004301C4">
            <w:pPr>
              <w:rPr>
                <w:bCs/>
                <w:sz w:val="20"/>
                <w:szCs w:val="20"/>
                <w:lang w:eastAsia="en-US"/>
              </w:rPr>
            </w:pPr>
            <w:r w:rsidRPr="007E77AF">
              <w:rPr>
                <w:bCs/>
                <w:sz w:val="20"/>
                <w:szCs w:val="20"/>
                <w:lang w:eastAsia="en-US"/>
              </w:rPr>
              <w:t>a.3) Mercado de negociação</w:t>
            </w:r>
          </w:p>
        </w:tc>
        <w:tc>
          <w:tcPr>
            <w:tcW w:w="4354" w:type="dxa"/>
            <w:shd w:val="clear" w:color="auto" w:fill="auto"/>
            <w:vAlign w:val="center"/>
            <w:hideMark/>
          </w:tcPr>
          <w:p w14:paraId="48C19606" w14:textId="77777777" w:rsidR="009A242A" w:rsidRPr="007E77AF" w:rsidRDefault="009A242A" w:rsidP="004301C4">
            <w:pPr>
              <w:jc w:val="center"/>
              <w:rPr>
                <w:bCs/>
                <w:sz w:val="20"/>
                <w:szCs w:val="20"/>
                <w:lang w:eastAsia="en-US"/>
              </w:rPr>
            </w:pPr>
            <w:proofErr w:type="gramStart"/>
            <w:r w:rsidRPr="007E77AF">
              <w:rPr>
                <w:sz w:val="20"/>
                <w:szCs w:val="20"/>
                <w:lang w:eastAsia="en-US"/>
              </w:rPr>
              <w:t>[ ]</w:t>
            </w:r>
            <w:proofErr w:type="gramEnd"/>
            <w:r w:rsidRPr="007E77AF">
              <w:rPr>
                <w:sz w:val="20"/>
                <w:szCs w:val="20"/>
                <w:lang w:eastAsia="en-US"/>
              </w:rPr>
              <w:t xml:space="preserve"> nome fantasia / [ ] não será negociado em mercado organizado</w:t>
            </w:r>
          </w:p>
        </w:tc>
        <w:tc>
          <w:tcPr>
            <w:tcW w:w="1656" w:type="dxa"/>
            <w:shd w:val="clear" w:color="auto" w:fill="auto"/>
            <w:vAlign w:val="center"/>
            <w:hideMark/>
          </w:tcPr>
          <w:p w14:paraId="45A542E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BCBDC7B" w14:textId="77777777" w:rsidTr="491E246D">
        <w:trPr>
          <w:trHeight w:val="227"/>
        </w:trPr>
        <w:tc>
          <w:tcPr>
            <w:tcW w:w="4186" w:type="dxa"/>
            <w:shd w:val="clear" w:color="auto" w:fill="auto"/>
            <w:vAlign w:val="center"/>
          </w:tcPr>
          <w:p w14:paraId="61F7D2B1" w14:textId="77777777" w:rsidR="009A242A" w:rsidRPr="007E77AF" w:rsidRDefault="009A242A" w:rsidP="004301C4">
            <w:pPr>
              <w:rPr>
                <w:bCs/>
                <w:sz w:val="20"/>
                <w:szCs w:val="20"/>
                <w:lang w:eastAsia="en-US"/>
              </w:rPr>
            </w:pPr>
            <w:r w:rsidRPr="007E77AF">
              <w:rPr>
                <w:bCs/>
                <w:sz w:val="20"/>
                <w:szCs w:val="20"/>
                <w:lang w:eastAsia="en-US"/>
              </w:rPr>
              <w:t>B. Oferta</w:t>
            </w:r>
          </w:p>
        </w:tc>
        <w:tc>
          <w:tcPr>
            <w:tcW w:w="4354" w:type="dxa"/>
            <w:shd w:val="clear" w:color="auto" w:fill="auto"/>
            <w:vAlign w:val="center"/>
          </w:tcPr>
          <w:p w14:paraId="7B5AB706" w14:textId="77777777" w:rsidR="009A242A" w:rsidRPr="007E77AF" w:rsidRDefault="009A242A" w:rsidP="004301C4">
            <w:pPr>
              <w:jc w:val="center"/>
              <w:rPr>
                <w:rFonts w:cstheme="minorBidi"/>
                <w:sz w:val="20"/>
                <w:szCs w:val="20"/>
                <w:lang w:eastAsia="en-US"/>
              </w:rPr>
            </w:pPr>
          </w:p>
        </w:tc>
        <w:tc>
          <w:tcPr>
            <w:tcW w:w="1656" w:type="dxa"/>
            <w:shd w:val="clear" w:color="auto" w:fill="auto"/>
          </w:tcPr>
          <w:p w14:paraId="622C6281" w14:textId="77777777" w:rsidR="009A242A" w:rsidRPr="007E77AF" w:rsidRDefault="009A242A" w:rsidP="004301C4">
            <w:pPr>
              <w:jc w:val="center"/>
              <w:rPr>
                <w:bCs/>
                <w:sz w:val="20"/>
                <w:szCs w:val="20"/>
                <w:lang w:eastAsia="en-US"/>
              </w:rPr>
            </w:pPr>
          </w:p>
        </w:tc>
      </w:tr>
      <w:tr w:rsidR="009A242A" w:rsidRPr="007E77AF" w14:paraId="35D1AF11" w14:textId="77777777" w:rsidTr="491E246D">
        <w:trPr>
          <w:trHeight w:val="227"/>
        </w:trPr>
        <w:tc>
          <w:tcPr>
            <w:tcW w:w="4186" w:type="dxa"/>
            <w:shd w:val="clear" w:color="auto" w:fill="auto"/>
            <w:vAlign w:val="center"/>
            <w:hideMark/>
          </w:tcPr>
          <w:p w14:paraId="36D650EC" w14:textId="77777777" w:rsidR="009A242A" w:rsidRPr="007E77AF" w:rsidRDefault="009A242A" w:rsidP="004301C4">
            <w:pPr>
              <w:rPr>
                <w:bCs/>
                <w:sz w:val="20"/>
                <w:szCs w:val="20"/>
                <w:lang w:eastAsia="en-US"/>
              </w:rPr>
            </w:pPr>
            <w:r w:rsidRPr="007E77AF">
              <w:rPr>
                <w:bCs/>
                <w:sz w:val="20"/>
                <w:szCs w:val="20"/>
                <w:lang w:eastAsia="en-US"/>
              </w:rPr>
              <w:t xml:space="preserve">b.1) Quantidade ofertada (Volume) - oferta base </w:t>
            </w:r>
          </w:p>
        </w:tc>
        <w:tc>
          <w:tcPr>
            <w:tcW w:w="4354" w:type="dxa"/>
            <w:shd w:val="clear" w:color="auto" w:fill="auto"/>
            <w:vAlign w:val="center"/>
            <w:hideMark/>
          </w:tcPr>
          <w:p w14:paraId="56EB3956"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19037CA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CECD841" w14:textId="77777777" w:rsidTr="491E246D">
        <w:trPr>
          <w:trHeight w:val="227"/>
        </w:trPr>
        <w:tc>
          <w:tcPr>
            <w:tcW w:w="4186" w:type="dxa"/>
            <w:shd w:val="clear" w:color="auto" w:fill="auto"/>
            <w:vAlign w:val="center"/>
            <w:hideMark/>
          </w:tcPr>
          <w:p w14:paraId="4835F2F2" w14:textId="77777777" w:rsidR="009A242A" w:rsidRPr="007E77AF" w:rsidRDefault="009A242A" w:rsidP="004301C4">
            <w:pPr>
              <w:rPr>
                <w:bCs/>
                <w:sz w:val="20"/>
                <w:szCs w:val="20"/>
                <w:lang w:eastAsia="en-US"/>
              </w:rPr>
            </w:pPr>
            <w:r w:rsidRPr="007E77AF">
              <w:rPr>
                <w:bCs/>
                <w:sz w:val="20"/>
                <w:szCs w:val="20"/>
                <w:lang w:eastAsia="en-US"/>
              </w:rPr>
              <w:t>b.2) Preço (intervalo)</w:t>
            </w:r>
          </w:p>
        </w:tc>
        <w:tc>
          <w:tcPr>
            <w:tcW w:w="4354" w:type="dxa"/>
            <w:shd w:val="clear" w:color="auto" w:fill="auto"/>
            <w:vAlign w:val="center"/>
            <w:hideMark/>
          </w:tcPr>
          <w:p w14:paraId="58B60A9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656" w:type="dxa"/>
            <w:shd w:val="clear" w:color="auto" w:fill="auto"/>
            <w:hideMark/>
          </w:tcPr>
          <w:p w14:paraId="5AC183D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4401FF6" w14:textId="77777777" w:rsidTr="491E246D">
        <w:trPr>
          <w:trHeight w:val="227"/>
        </w:trPr>
        <w:tc>
          <w:tcPr>
            <w:tcW w:w="4186" w:type="dxa"/>
            <w:shd w:val="clear" w:color="auto" w:fill="auto"/>
            <w:vAlign w:val="center"/>
          </w:tcPr>
          <w:p w14:paraId="35311213" w14:textId="77777777" w:rsidR="009A242A" w:rsidRPr="007E77AF" w:rsidRDefault="009A242A" w:rsidP="004301C4">
            <w:pPr>
              <w:rPr>
                <w:bCs/>
                <w:sz w:val="20"/>
                <w:szCs w:val="20"/>
                <w:lang w:eastAsia="en-US"/>
              </w:rPr>
            </w:pPr>
            <w:r w:rsidRPr="007E77AF">
              <w:rPr>
                <w:rFonts w:cstheme="minorBidi"/>
                <w:sz w:val="20"/>
                <w:szCs w:val="20"/>
              </w:rPr>
              <w:t>b.3) Montante Ofertado (=b.1*b.2) (intervalo)</w:t>
            </w:r>
          </w:p>
        </w:tc>
        <w:tc>
          <w:tcPr>
            <w:tcW w:w="4354" w:type="dxa"/>
            <w:shd w:val="clear" w:color="auto" w:fill="auto"/>
            <w:vAlign w:val="center"/>
          </w:tcPr>
          <w:p w14:paraId="368F4249"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Em R$ milhões (até duas casas decimais)</w:t>
            </w:r>
          </w:p>
        </w:tc>
        <w:tc>
          <w:tcPr>
            <w:tcW w:w="1656" w:type="dxa"/>
            <w:shd w:val="clear" w:color="auto" w:fill="auto"/>
          </w:tcPr>
          <w:p w14:paraId="30EECD20"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6BDFE23A" w14:textId="77777777" w:rsidTr="491E246D">
        <w:trPr>
          <w:trHeight w:val="227"/>
        </w:trPr>
        <w:tc>
          <w:tcPr>
            <w:tcW w:w="4186" w:type="dxa"/>
            <w:shd w:val="clear" w:color="auto" w:fill="auto"/>
            <w:vAlign w:val="center"/>
            <w:hideMark/>
          </w:tcPr>
          <w:p w14:paraId="3B170A51" w14:textId="77777777" w:rsidR="009A242A" w:rsidRPr="007E77AF" w:rsidRDefault="009A242A" w:rsidP="004301C4">
            <w:pPr>
              <w:rPr>
                <w:bCs/>
                <w:sz w:val="20"/>
                <w:szCs w:val="20"/>
                <w:lang w:eastAsia="en-US"/>
              </w:rPr>
            </w:pPr>
            <w:r w:rsidRPr="007E77AF">
              <w:rPr>
                <w:bCs/>
                <w:sz w:val="20"/>
                <w:szCs w:val="20"/>
                <w:lang w:eastAsia="en-US"/>
              </w:rPr>
              <w:t>b.4) Número total de ações emitidas para a oferta base</w:t>
            </w:r>
          </w:p>
        </w:tc>
        <w:tc>
          <w:tcPr>
            <w:tcW w:w="4354" w:type="dxa"/>
            <w:shd w:val="clear" w:color="auto" w:fill="auto"/>
            <w:vAlign w:val="center"/>
            <w:hideMark/>
          </w:tcPr>
          <w:p w14:paraId="7DF3991E"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05460FF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8401D00" w14:textId="77777777" w:rsidTr="491E246D">
        <w:trPr>
          <w:trHeight w:val="227"/>
        </w:trPr>
        <w:tc>
          <w:tcPr>
            <w:tcW w:w="4186" w:type="dxa"/>
            <w:shd w:val="clear" w:color="auto" w:fill="auto"/>
            <w:vAlign w:val="center"/>
            <w:hideMark/>
          </w:tcPr>
          <w:p w14:paraId="06F6C74E" w14:textId="77777777" w:rsidR="009A242A" w:rsidRPr="007E77AF" w:rsidRDefault="009A242A" w:rsidP="004301C4">
            <w:pPr>
              <w:rPr>
                <w:bCs/>
                <w:sz w:val="20"/>
                <w:szCs w:val="20"/>
                <w:lang w:eastAsia="en-US"/>
              </w:rPr>
            </w:pPr>
            <w:r w:rsidRPr="007E77AF">
              <w:rPr>
                <w:bCs/>
                <w:sz w:val="20"/>
                <w:szCs w:val="20"/>
                <w:lang w:eastAsia="en-US"/>
              </w:rPr>
              <w:t>b.5) Número total de ações após a oferta base</w:t>
            </w:r>
          </w:p>
        </w:tc>
        <w:tc>
          <w:tcPr>
            <w:tcW w:w="4354" w:type="dxa"/>
            <w:shd w:val="clear" w:color="auto" w:fill="auto"/>
            <w:vAlign w:val="center"/>
            <w:hideMark/>
          </w:tcPr>
          <w:p w14:paraId="4448B51B"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3458A85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9D42788" w14:textId="77777777" w:rsidTr="491E246D">
        <w:trPr>
          <w:trHeight w:val="227"/>
        </w:trPr>
        <w:tc>
          <w:tcPr>
            <w:tcW w:w="4186" w:type="dxa"/>
            <w:shd w:val="clear" w:color="auto" w:fill="auto"/>
            <w:vAlign w:val="center"/>
          </w:tcPr>
          <w:p w14:paraId="5EA576B2" w14:textId="77777777" w:rsidR="009A242A" w:rsidRPr="007E77AF" w:rsidRDefault="009A242A" w:rsidP="004301C4">
            <w:pPr>
              <w:rPr>
                <w:bCs/>
                <w:sz w:val="20"/>
                <w:szCs w:val="20"/>
                <w:lang w:eastAsia="en-US"/>
              </w:rPr>
            </w:pPr>
            <w:r w:rsidRPr="007E77AF">
              <w:rPr>
                <w:rFonts w:cstheme="minorBidi"/>
                <w:sz w:val="20"/>
                <w:szCs w:val="20"/>
              </w:rPr>
              <w:t>b.6) Lote suplementar</w:t>
            </w:r>
          </w:p>
        </w:tc>
        <w:tc>
          <w:tcPr>
            <w:tcW w:w="4354" w:type="dxa"/>
            <w:shd w:val="clear" w:color="auto" w:fill="auto"/>
            <w:vAlign w:val="center"/>
          </w:tcPr>
          <w:p w14:paraId="0CC7618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656" w:type="dxa"/>
            <w:shd w:val="clear" w:color="auto" w:fill="auto"/>
          </w:tcPr>
          <w:p w14:paraId="57F47FB5"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34BBA2AA" w14:textId="77777777" w:rsidTr="491E246D">
        <w:trPr>
          <w:trHeight w:val="227"/>
        </w:trPr>
        <w:tc>
          <w:tcPr>
            <w:tcW w:w="4186" w:type="dxa"/>
            <w:shd w:val="clear" w:color="auto" w:fill="auto"/>
            <w:vAlign w:val="center"/>
          </w:tcPr>
          <w:p w14:paraId="3AFD7202" w14:textId="77777777" w:rsidR="009A242A" w:rsidRPr="007E77AF" w:rsidRDefault="009A242A" w:rsidP="004301C4">
            <w:pPr>
              <w:rPr>
                <w:bCs/>
                <w:sz w:val="20"/>
                <w:szCs w:val="20"/>
                <w:lang w:eastAsia="en-US"/>
              </w:rPr>
            </w:pPr>
            <w:r w:rsidRPr="007E77AF">
              <w:rPr>
                <w:bCs/>
                <w:sz w:val="20"/>
                <w:szCs w:val="20"/>
                <w:lang w:eastAsia="en-US"/>
              </w:rPr>
              <w:t>b.7) Lote adicional</w:t>
            </w:r>
          </w:p>
        </w:tc>
        <w:tc>
          <w:tcPr>
            <w:tcW w:w="4354" w:type="dxa"/>
            <w:shd w:val="clear" w:color="auto" w:fill="auto"/>
            <w:vAlign w:val="center"/>
          </w:tcPr>
          <w:p w14:paraId="280B9C4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656" w:type="dxa"/>
            <w:shd w:val="clear" w:color="auto" w:fill="auto"/>
          </w:tcPr>
          <w:p w14:paraId="6076482C"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22640EA7" w14:textId="77777777" w:rsidTr="491E246D">
        <w:trPr>
          <w:trHeight w:val="227"/>
        </w:trPr>
        <w:tc>
          <w:tcPr>
            <w:tcW w:w="4186" w:type="dxa"/>
            <w:shd w:val="clear" w:color="auto" w:fill="auto"/>
            <w:vAlign w:val="center"/>
          </w:tcPr>
          <w:p w14:paraId="1D5C3611"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4354" w:type="dxa"/>
            <w:shd w:val="clear" w:color="auto" w:fill="auto"/>
            <w:vAlign w:val="center"/>
          </w:tcPr>
          <w:p w14:paraId="7592E9A3" w14:textId="77777777" w:rsidR="009A242A" w:rsidRPr="007E77AF" w:rsidRDefault="009A242A" w:rsidP="004301C4">
            <w:pPr>
              <w:jc w:val="center"/>
              <w:rPr>
                <w:bCs/>
                <w:sz w:val="20"/>
                <w:szCs w:val="20"/>
                <w:lang w:eastAsia="en-US"/>
              </w:rPr>
            </w:pPr>
          </w:p>
        </w:tc>
        <w:tc>
          <w:tcPr>
            <w:tcW w:w="1656" w:type="dxa"/>
            <w:shd w:val="clear" w:color="auto" w:fill="auto"/>
          </w:tcPr>
          <w:p w14:paraId="201A0CA6" w14:textId="77777777" w:rsidR="009A242A" w:rsidRPr="007E77AF" w:rsidRDefault="009A242A" w:rsidP="004301C4">
            <w:pPr>
              <w:jc w:val="center"/>
              <w:rPr>
                <w:bCs/>
                <w:sz w:val="20"/>
                <w:szCs w:val="20"/>
                <w:lang w:eastAsia="en-US"/>
              </w:rPr>
            </w:pPr>
          </w:p>
        </w:tc>
      </w:tr>
      <w:tr w:rsidR="009A242A" w:rsidRPr="007E77AF" w14:paraId="314204E1" w14:textId="77777777" w:rsidTr="491E246D">
        <w:trPr>
          <w:trHeight w:val="227"/>
        </w:trPr>
        <w:tc>
          <w:tcPr>
            <w:tcW w:w="4186" w:type="dxa"/>
            <w:shd w:val="clear" w:color="auto" w:fill="auto"/>
            <w:vAlign w:val="center"/>
            <w:hideMark/>
          </w:tcPr>
          <w:p w14:paraId="7392E80B" w14:textId="77777777" w:rsidR="009A242A" w:rsidRPr="007E77AF" w:rsidRDefault="009A242A" w:rsidP="004301C4">
            <w:pPr>
              <w:rPr>
                <w:bCs/>
                <w:sz w:val="20"/>
                <w:szCs w:val="20"/>
                <w:lang w:eastAsia="en-US"/>
              </w:rPr>
            </w:pPr>
            <w:r w:rsidRPr="007E77AF">
              <w:rPr>
                <w:bCs/>
                <w:sz w:val="20"/>
                <w:szCs w:val="20"/>
                <w:lang w:eastAsia="en-US"/>
              </w:rPr>
              <w:t>c.1) Percentual de ações que serão de propriedade dos donos atuais após a oferta com cenários</w:t>
            </w:r>
          </w:p>
        </w:tc>
        <w:tc>
          <w:tcPr>
            <w:tcW w:w="4354" w:type="dxa"/>
            <w:shd w:val="clear" w:color="auto" w:fill="auto"/>
            <w:vAlign w:val="center"/>
            <w:hideMark/>
          </w:tcPr>
          <w:p w14:paraId="65DCE3DB" w14:textId="77777777" w:rsidR="009A242A" w:rsidRPr="007E77AF" w:rsidRDefault="009A242A" w:rsidP="004301C4">
            <w:pPr>
              <w:jc w:val="center"/>
              <w:rPr>
                <w:bCs/>
                <w:sz w:val="20"/>
                <w:szCs w:val="20"/>
                <w:lang w:eastAsia="en-US"/>
              </w:rPr>
            </w:pPr>
            <w:r w:rsidRPr="007E77AF">
              <w:rPr>
                <w:bCs/>
                <w:sz w:val="20"/>
                <w:szCs w:val="20"/>
                <w:lang w:eastAsia="en-US"/>
              </w:rPr>
              <w:t>cenários lotes base, suplementar e adicional</w:t>
            </w:r>
          </w:p>
        </w:tc>
        <w:tc>
          <w:tcPr>
            <w:tcW w:w="1656" w:type="dxa"/>
            <w:shd w:val="clear" w:color="auto" w:fill="auto"/>
            <w:hideMark/>
          </w:tcPr>
          <w:p w14:paraId="661E3E1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3A568D1" w14:textId="77777777" w:rsidTr="491E246D">
        <w:trPr>
          <w:trHeight w:val="227"/>
        </w:trPr>
        <w:tc>
          <w:tcPr>
            <w:tcW w:w="4186" w:type="dxa"/>
            <w:shd w:val="clear" w:color="auto" w:fill="auto"/>
            <w:vAlign w:val="center"/>
            <w:hideMark/>
          </w:tcPr>
          <w:p w14:paraId="4CC1E881" w14:textId="77777777" w:rsidR="009A242A" w:rsidRPr="007E77AF" w:rsidRDefault="009A242A" w:rsidP="004301C4">
            <w:pPr>
              <w:rPr>
                <w:bCs/>
                <w:sz w:val="20"/>
                <w:szCs w:val="20"/>
                <w:lang w:eastAsia="en-US"/>
              </w:rPr>
            </w:pPr>
            <w:r w:rsidRPr="007E77AF">
              <w:rPr>
                <w:bCs/>
                <w:sz w:val="20"/>
                <w:szCs w:val="20"/>
                <w:lang w:eastAsia="en-US"/>
              </w:rPr>
              <w:t xml:space="preserve">c.2) Capitalização de Mercado ao preço da oferta </w:t>
            </w:r>
          </w:p>
        </w:tc>
        <w:tc>
          <w:tcPr>
            <w:tcW w:w="4354" w:type="dxa"/>
            <w:shd w:val="clear" w:color="auto" w:fill="auto"/>
            <w:vAlign w:val="center"/>
            <w:hideMark/>
          </w:tcPr>
          <w:p w14:paraId="4601829E"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42FCB480"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E17A246" w14:textId="77777777" w:rsidTr="491E246D">
        <w:trPr>
          <w:trHeight w:val="227"/>
        </w:trPr>
        <w:tc>
          <w:tcPr>
            <w:tcW w:w="4186" w:type="dxa"/>
            <w:shd w:val="clear" w:color="auto" w:fill="auto"/>
            <w:vAlign w:val="center"/>
            <w:hideMark/>
          </w:tcPr>
          <w:p w14:paraId="2BB2FD5B" w14:textId="77777777" w:rsidR="009A242A" w:rsidRPr="007E77AF" w:rsidRDefault="009A242A" w:rsidP="004301C4">
            <w:pPr>
              <w:rPr>
                <w:bCs/>
                <w:sz w:val="20"/>
                <w:szCs w:val="20"/>
                <w:lang w:eastAsia="en-US"/>
              </w:rPr>
            </w:pPr>
            <w:r w:rsidRPr="007E77AF">
              <w:rPr>
                <w:bCs/>
                <w:sz w:val="20"/>
                <w:szCs w:val="20"/>
                <w:lang w:eastAsia="en-US"/>
              </w:rPr>
              <w:t>c.3) Caixa líquido e investimentos financeiros (</w:t>
            </w:r>
            <w:proofErr w:type="gramStart"/>
            <w:r w:rsidRPr="007E77AF">
              <w:rPr>
                <w:b/>
                <w:bCs/>
                <w:sz w:val="20"/>
                <w:szCs w:val="20"/>
                <w:lang w:eastAsia="en-US"/>
              </w:rPr>
              <w:t>pro forma</w:t>
            </w:r>
            <w:proofErr w:type="gramEnd"/>
            <w:r w:rsidRPr="007E77AF">
              <w:rPr>
                <w:b/>
                <w:bCs/>
                <w:sz w:val="20"/>
                <w:szCs w:val="20"/>
                <w:lang w:eastAsia="en-US"/>
              </w:rPr>
              <w:t>)</w:t>
            </w:r>
            <w:r w:rsidRPr="007E77AF">
              <w:rPr>
                <w:bCs/>
                <w:sz w:val="20"/>
                <w:szCs w:val="20"/>
                <w:lang w:eastAsia="en-US"/>
              </w:rPr>
              <w:t xml:space="preserve"> </w:t>
            </w:r>
          </w:p>
        </w:tc>
        <w:tc>
          <w:tcPr>
            <w:tcW w:w="4354" w:type="dxa"/>
            <w:shd w:val="clear" w:color="auto" w:fill="auto"/>
            <w:vAlign w:val="center"/>
            <w:hideMark/>
          </w:tcPr>
          <w:p w14:paraId="0CAE6766"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19C177A5"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1C2DECB" w14:textId="77777777" w:rsidTr="491E246D">
        <w:trPr>
          <w:trHeight w:val="227"/>
        </w:trPr>
        <w:tc>
          <w:tcPr>
            <w:tcW w:w="4186" w:type="dxa"/>
            <w:shd w:val="clear" w:color="auto" w:fill="auto"/>
            <w:vAlign w:val="center"/>
            <w:hideMark/>
          </w:tcPr>
          <w:p w14:paraId="5BB92D25" w14:textId="77777777" w:rsidR="009A242A" w:rsidRPr="007E77AF" w:rsidRDefault="009A242A" w:rsidP="004301C4">
            <w:pPr>
              <w:rPr>
                <w:bCs/>
                <w:sz w:val="20"/>
                <w:szCs w:val="20"/>
                <w:lang w:eastAsia="en-US"/>
              </w:rPr>
            </w:pPr>
            <w:r w:rsidRPr="007E77AF">
              <w:rPr>
                <w:bCs/>
                <w:sz w:val="20"/>
                <w:szCs w:val="20"/>
                <w:lang w:eastAsia="en-US"/>
              </w:rPr>
              <w:lastRenderedPageBreak/>
              <w:t xml:space="preserve">c.4) Valor da empresa ao preço da oferta </w:t>
            </w:r>
          </w:p>
        </w:tc>
        <w:tc>
          <w:tcPr>
            <w:tcW w:w="4354" w:type="dxa"/>
            <w:shd w:val="clear" w:color="auto" w:fill="auto"/>
            <w:vAlign w:val="center"/>
            <w:hideMark/>
          </w:tcPr>
          <w:p w14:paraId="6A05DCD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7DF66D0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70A1664" w14:textId="77777777" w:rsidTr="491E246D">
        <w:trPr>
          <w:trHeight w:val="227"/>
        </w:trPr>
        <w:tc>
          <w:tcPr>
            <w:tcW w:w="4186" w:type="dxa"/>
            <w:shd w:val="clear" w:color="auto" w:fill="auto"/>
            <w:vAlign w:val="center"/>
            <w:hideMark/>
          </w:tcPr>
          <w:p w14:paraId="5BEA05CF" w14:textId="77777777" w:rsidR="009A242A" w:rsidRPr="007E77AF" w:rsidRDefault="009A242A" w:rsidP="004301C4">
            <w:pPr>
              <w:rPr>
                <w:bCs/>
                <w:sz w:val="20"/>
                <w:szCs w:val="20"/>
                <w:lang w:eastAsia="en-US"/>
              </w:rPr>
            </w:pPr>
            <w:r w:rsidRPr="007E77AF">
              <w:rPr>
                <w:bCs/>
                <w:sz w:val="20"/>
                <w:szCs w:val="20"/>
                <w:lang w:eastAsia="en-US"/>
              </w:rPr>
              <w:t>c.5) Valor da empresa</w:t>
            </w:r>
            <w:proofErr w:type="gramStart"/>
            <w:r w:rsidRPr="007E77AF">
              <w:rPr>
                <w:bCs/>
                <w:sz w:val="20"/>
                <w:szCs w:val="20"/>
                <w:lang w:eastAsia="en-US"/>
              </w:rPr>
              <w:t>/(</w:t>
            </w:r>
            <w:proofErr w:type="gramEnd"/>
            <w:r w:rsidRPr="007E77AF">
              <w:rPr>
                <w:bCs/>
                <w:sz w:val="20"/>
                <w:szCs w:val="20"/>
                <w:lang w:eastAsia="en-US"/>
              </w:rPr>
              <w:t xml:space="preserve">EBITDA </w:t>
            </w:r>
            <w:r w:rsidRPr="007E77AF">
              <w:rPr>
                <w:b/>
                <w:bCs/>
                <w:sz w:val="20"/>
                <w:szCs w:val="20"/>
                <w:lang w:eastAsia="en-US"/>
              </w:rPr>
              <w:t>pro forma</w:t>
            </w:r>
            <w:r w:rsidRPr="007E77AF">
              <w:rPr>
                <w:bCs/>
                <w:sz w:val="20"/>
                <w:szCs w:val="20"/>
                <w:lang w:eastAsia="en-US"/>
              </w:rPr>
              <w:t>)</w:t>
            </w:r>
          </w:p>
        </w:tc>
        <w:tc>
          <w:tcPr>
            <w:tcW w:w="4354" w:type="dxa"/>
            <w:shd w:val="clear" w:color="auto" w:fill="auto"/>
            <w:vAlign w:val="center"/>
            <w:hideMark/>
          </w:tcPr>
          <w:p w14:paraId="3BEDBDFA" w14:textId="77777777" w:rsidR="009A242A" w:rsidRPr="007E77AF" w:rsidRDefault="009A242A" w:rsidP="004301C4">
            <w:pPr>
              <w:jc w:val="center"/>
              <w:rPr>
                <w:b/>
                <w:bCs/>
                <w:sz w:val="20"/>
                <w:szCs w:val="20"/>
                <w:lang w:eastAsia="en-US"/>
              </w:rPr>
            </w:pPr>
          </w:p>
        </w:tc>
        <w:tc>
          <w:tcPr>
            <w:tcW w:w="1656" w:type="dxa"/>
            <w:shd w:val="clear" w:color="auto" w:fill="auto"/>
            <w:hideMark/>
          </w:tcPr>
          <w:p w14:paraId="2A9DE940"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F56F5F3" w14:textId="77777777" w:rsidTr="491E246D">
        <w:trPr>
          <w:trHeight w:val="227"/>
        </w:trPr>
        <w:tc>
          <w:tcPr>
            <w:tcW w:w="4186" w:type="dxa"/>
            <w:shd w:val="clear" w:color="auto" w:fill="auto"/>
            <w:vAlign w:val="center"/>
            <w:hideMark/>
          </w:tcPr>
          <w:p w14:paraId="2909C183" w14:textId="77777777" w:rsidR="009A242A" w:rsidRPr="007E77AF" w:rsidRDefault="009A242A" w:rsidP="004301C4">
            <w:pPr>
              <w:rPr>
                <w:bCs/>
                <w:sz w:val="20"/>
                <w:szCs w:val="20"/>
                <w:lang w:eastAsia="en-US"/>
              </w:rPr>
            </w:pPr>
            <w:r w:rsidRPr="007E77AF">
              <w:rPr>
                <w:bCs/>
                <w:sz w:val="20"/>
                <w:szCs w:val="20"/>
                <w:lang w:eastAsia="en-US"/>
              </w:rPr>
              <w:t xml:space="preserve">c.6) Relação Preço/Lucro (Capitalização de Mercado/Lucro Líquido após Impostos) </w:t>
            </w:r>
          </w:p>
        </w:tc>
        <w:tc>
          <w:tcPr>
            <w:tcW w:w="4354" w:type="dxa"/>
            <w:shd w:val="clear" w:color="auto" w:fill="auto"/>
            <w:vAlign w:val="center"/>
            <w:hideMark/>
          </w:tcPr>
          <w:p w14:paraId="7651877E" w14:textId="77777777" w:rsidR="009A242A" w:rsidRPr="007E77AF" w:rsidRDefault="009A242A" w:rsidP="004301C4">
            <w:pPr>
              <w:jc w:val="center"/>
              <w:rPr>
                <w:b/>
                <w:bCs/>
                <w:sz w:val="20"/>
                <w:szCs w:val="20"/>
                <w:lang w:eastAsia="en-US"/>
              </w:rPr>
            </w:pPr>
          </w:p>
        </w:tc>
        <w:tc>
          <w:tcPr>
            <w:tcW w:w="1656" w:type="dxa"/>
            <w:shd w:val="clear" w:color="auto" w:fill="auto"/>
            <w:hideMark/>
          </w:tcPr>
          <w:p w14:paraId="30C7E2DD"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3057BDD" w14:textId="77777777" w:rsidTr="491E246D">
        <w:trPr>
          <w:trHeight w:val="227"/>
        </w:trPr>
        <w:tc>
          <w:tcPr>
            <w:tcW w:w="4186" w:type="dxa"/>
            <w:shd w:val="clear" w:color="auto" w:fill="auto"/>
            <w:vAlign w:val="center"/>
            <w:hideMark/>
          </w:tcPr>
          <w:p w14:paraId="462657EC" w14:textId="77777777" w:rsidR="009A242A" w:rsidRPr="007E77AF" w:rsidRDefault="009A242A" w:rsidP="004301C4">
            <w:pPr>
              <w:rPr>
                <w:bCs/>
                <w:sz w:val="20"/>
                <w:szCs w:val="20"/>
                <w:lang w:eastAsia="en-US"/>
              </w:rPr>
            </w:pPr>
            <w:r w:rsidRPr="007E77AF">
              <w:rPr>
                <w:bCs/>
                <w:sz w:val="20"/>
                <w:szCs w:val="20"/>
                <w:lang w:eastAsia="en-US"/>
              </w:rPr>
              <w:t xml:space="preserve">c.7) Relação Preço/Lucro (ajustada) </w:t>
            </w:r>
          </w:p>
        </w:tc>
        <w:tc>
          <w:tcPr>
            <w:tcW w:w="4354" w:type="dxa"/>
            <w:shd w:val="clear" w:color="auto" w:fill="auto"/>
            <w:vAlign w:val="center"/>
            <w:hideMark/>
          </w:tcPr>
          <w:p w14:paraId="4807E142" w14:textId="77777777" w:rsidR="009A242A" w:rsidRPr="007E77AF" w:rsidRDefault="009A242A" w:rsidP="004301C4">
            <w:pPr>
              <w:jc w:val="center"/>
              <w:rPr>
                <w:b/>
                <w:bCs/>
                <w:sz w:val="20"/>
                <w:szCs w:val="20"/>
                <w:lang w:eastAsia="en-US"/>
              </w:rPr>
            </w:pPr>
          </w:p>
        </w:tc>
        <w:tc>
          <w:tcPr>
            <w:tcW w:w="1656" w:type="dxa"/>
            <w:shd w:val="clear" w:color="auto" w:fill="auto"/>
            <w:hideMark/>
          </w:tcPr>
          <w:p w14:paraId="715989B9"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AB97EA6" w14:textId="77777777" w:rsidTr="491E246D">
        <w:trPr>
          <w:trHeight w:val="390"/>
        </w:trPr>
        <w:tc>
          <w:tcPr>
            <w:tcW w:w="8540" w:type="dxa"/>
            <w:gridSpan w:val="2"/>
            <w:shd w:val="clear" w:color="auto" w:fill="auto"/>
            <w:vAlign w:val="center"/>
            <w:hideMark/>
          </w:tcPr>
          <w:p w14:paraId="546D984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656" w:type="dxa"/>
            <w:shd w:val="clear" w:color="auto" w:fill="auto"/>
            <w:vAlign w:val="center"/>
            <w:hideMark/>
          </w:tcPr>
          <w:p w14:paraId="0B7821E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23E5BBCA" w14:textId="77777777" w:rsidTr="491E246D">
        <w:trPr>
          <w:trHeight w:val="227"/>
        </w:trPr>
        <w:tc>
          <w:tcPr>
            <w:tcW w:w="4186" w:type="dxa"/>
            <w:shd w:val="clear" w:color="auto" w:fill="auto"/>
            <w:vAlign w:val="center"/>
            <w:hideMark/>
          </w:tcPr>
          <w:p w14:paraId="593C7714" w14:textId="77777777" w:rsidR="009A242A" w:rsidRPr="007E77AF" w:rsidRDefault="009A242A" w:rsidP="004301C4">
            <w:pPr>
              <w:rPr>
                <w:bCs/>
                <w:sz w:val="20"/>
                <w:szCs w:val="20"/>
                <w:lang w:eastAsia="en-US"/>
              </w:rPr>
            </w:pPr>
            <w:r w:rsidRPr="007E77AF">
              <w:rPr>
                <w:bCs/>
                <w:sz w:val="20"/>
                <w:szCs w:val="20"/>
                <w:lang w:eastAsia="en-US"/>
              </w:rPr>
              <w:t>Qual será a destinação dos recursos da oferta?</w:t>
            </w:r>
          </w:p>
        </w:tc>
        <w:tc>
          <w:tcPr>
            <w:tcW w:w="4354" w:type="dxa"/>
            <w:shd w:val="clear" w:color="auto" w:fill="auto"/>
            <w:vAlign w:val="center"/>
            <w:hideMark/>
          </w:tcPr>
          <w:p w14:paraId="7FB10CC2" w14:textId="77777777" w:rsidR="009A242A" w:rsidRPr="007E77AF" w:rsidRDefault="009A242A" w:rsidP="004301C4">
            <w:pPr>
              <w:jc w:val="center"/>
              <w:rPr>
                <w:bCs/>
                <w:sz w:val="20"/>
                <w:szCs w:val="20"/>
                <w:lang w:eastAsia="en-US"/>
              </w:rPr>
            </w:pPr>
            <w:r w:rsidRPr="007E77AF">
              <w:rPr>
                <w:bCs/>
                <w:sz w:val="20"/>
                <w:szCs w:val="20"/>
                <w:lang w:eastAsia="en-US"/>
              </w:rPr>
              <w:t>[Máx. 200 palavras]</w:t>
            </w:r>
          </w:p>
        </w:tc>
        <w:tc>
          <w:tcPr>
            <w:tcW w:w="1656" w:type="dxa"/>
            <w:shd w:val="clear" w:color="auto" w:fill="auto"/>
            <w:vAlign w:val="center"/>
            <w:hideMark/>
          </w:tcPr>
          <w:p w14:paraId="46436E28"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D43C92B" w14:textId="77777777" w:rsidTr="491E246D">
        <w:trPr>
          <w:trHeight w:val="390"/>
        </w:trPr>
        <w:tc>
          <w:tcPr>
            <w:tcW w:w="8540" w:type="dxa"/>
            <w:gridSpan w:val="2"/>
            <w:shd w:val="clear" w:color="auto" w:fill="auto"/>
            <w:vAlign w:val="center"/>
            <w:hideMark/>
          </w:tcPr>
          <w:p w14:paraId="3F62044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das ações</w:t>
            </w:r>
          </w:p>
        </w:tc>
        <w:tc>
          <w:tcPr>
            <w:tcW w:w="1656" w:type="dxa"/>
            <w:shd w:val="clear" w:color="auto" w:fill="auto"/>
            <w:vAlign w:val="center"/>
            <w:hideMark/>
          </w:tcPr>
          <w:p w14:paraId="2E4A2395"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D2AF63C" w14:textId="77777777" w:rsidTr="491E246D">
        <w:trPr>
          <w:trHeight w:val="390"/>
        </w:trPr>
        <w:tc>
          <w:tcPr>
            <w:tcW w:w="10196" w:type="dxa"/>
            <w:gridSpan w:val="3"/>
            <w:shd w:val="clear" w:color="auto" w:fill="auto"/>
            <w:vAlign w:val="center"/>
            <w:hideMark/>
          </w:tcPr>
          <w:p w14:paraId="5C895FBE"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Quem é o emissor?</w:t>
            </w:r>
          </w:p>
        </w:tc>
      </w:tr>
      <w:tr w:rsidR="009A242A" w:rsidRPr="007E77AF" w14:paraId="3DE44288" w14:textId="77777777" w:rsidTr="491E246D">
        <w:trPr>
          <w:trHeight w:val="227"/>
        </w:trPr>
        <w:tc>
          <w:tcPr>
            <w:tcW w:w="4186" w:type="dxa"/>
            <w:shd w:val="clear" w:color="auto" w:fill="auto"/>
            <w:vAlign w:val="center"/>
            <w:hideMark/>
          </w:tcPr>
          <w:p w14:paraId="14351917" w14:textId="77777777" w:rsidR="009A242A" w:rsidRPr="007E77AF" w:rsidRDefault="009A242A" w:rsidP="004301C4">
            <w:pPr>
              <w:rPr>
                <w:bCs/>
                <w:sz w:val="20"/>
                <w:szCs w:val="20"/>
                <w:lang w:eastAsia="en-US"/>
              </w:rPr>
            </w:pPr>
            <w:r w:rsidRPr="007E77AF">
              <w:rPr>
                <w:bCs/>
                <w:sz w:val="20"/>
                <w:szCs w:val="20"/>
                <w:lang w:eastAsia="en-US"/>
              </w:rPr>
              <w:t>Como o emissor gera receita?</w:t>
            </w:r>
          </w:p>
        </w:tc>
        <w:tc>
          <w:tcPr>
            <w:tcW w:w="4354" w:type="dxa"/>
            <w:shd w:val="clear" w:color="auto" w:fill="auto"/>
            <w:vAlign w:val="center"/>
            <w:hideMark/>
          </w:tcPr>
          <w:p w14:paraId="54105129"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hideMark/>
          </w:tcPr>
          <w:p w14:paraId="1106688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40964F2" w14:textId="77777777" w:rsidTr="491E246D">
        <w:trPr>
          <w:trHeight w:val="227"/>
        </w:trPr>
        <w:tc>
          <w:tcPr>
            <w:tcW w:w="4186" w:type="dxa"/>
            <w:shd w:val="clear" w:color="auto" w:fill="auto"/>
            <w:vAlign w:val="center"/>
          </w:tcPr>
          <w:p w14:paraId="78D9262E" w14:textId="77777777" w:rsidR="009A242A" w:rsidRPr="007E77AF" w:rsidRDefault="009A242A" w:rsidP="004301C4">
            <w:pPr>
              <w:rPr>
                <w:bCs/>
                <w:sz w:val="20"/>
                <w:szCs w:val="20"/>
                <w:lang w:eastAsia="en-US"/>
              </w:rPr>
            </w:pPr>
            <w:r w:rsidRPr="007E77AF">
              <w:rPr>
                <w:bCs/>
                <w:sz w:val="20"/>
                <w:szCs w:val="20"/>
                <w:lang w:eastAsia="en-US"/>
              </w:rPr>
              <w:t>Quais os pontos fortes do emissor</w:t>
            </w:r>
          </w:p>
        </w:tc>
        <w:tc>
          <w:tcPr>
            <w:tcW w:w="4354" w:type="dxa"/>
            <w:shd w:val="clear" w:color="auto" w:fill="auto"/>
            <w:vAlign w:val="center"/>
          </w:tcPr>
          <w:p w14:paraId="3D9ABD8E"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tcPr>
          <w:p w14:paraId="7466BA63"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AC779EF" w14:textId="77777777" w:rsidTr="491E246D">
        <w:trPr>
          <w:trHeight w:val="227"/>
        </w:trPr>
        <w:tc>
          <w:tcPr>
            <w:tcW w:w="4186" w:type="dxa"/>
            <w:shd w:val="clear" w:color="auto" w:fill="auto"/>
            <w:vAlign w:val="center"/>
            <w:hideMark/>
          </w:tcPr>
          <w:p w14:paraId="177270DB" w14:textId="77777777" w:rsidR="009A242A" w:rsidRPr="007E77AF" w:rsidRDefault="009A242A" w:rsidP="004301C4">
            <w:pPr>
              <w:rPr>
                <w:bCs/>
                <w:sz w:val="20"/>
                <w:szCs w:val="20"/>
                <w:lang w:eastAsia="en-US"/>
              </w:rPr>
            </w:pPr>
            <w:r w:rsidRPr="007E77AF">
              <w:rPr>
                <w:bCs/>
                <w:sz w:val="20"/>
                <w:szCs w:val="20"/>
                <w:lang w:eastAsia="en-US"/>
              </w:rPr>
              <w:t>Quem são os principais clientes (máx. 3)?</w:t>
            </w:r>
          </w:p>
        </w:tc>
        <w:tc>
          <w:tcPr>
            <w:tcW w:w="4354" w:type="dxa"/>
            <w:shd w:val="clear" w:color="auto" w:fill="auto"/>
            <w:vAlign w:val="center"/>
            <w:hideMark/>
          </w:tcPr>
          <w:p w14:paraId="1C604C57"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355D63B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C31F629" w14:textId="77777777" w:rsidTr="491E246D">
        <w:trPr>
          <w:trHeight w:val="227"/>
        </w:trPr>
        <w:tc>
          <w:tcPr>
            <w:tcW w:w="4186" w:type="dxa"/>
            <w:shd w:val="clear" w:color="auto" w:fill="auto"/>
            <w:vAlign w:val="center"/>
            <w:hideMark/>
          </w:tcPr>
          <w:p w14:paraId="319DBBD6" w14:textId="77777777" w:rsidR="009A242A" w:rsidRPr="007E77AF" w:rsidRDefault="009A242A" w:rsidP="004301C4">
            <w:pPr>
              <w:rPr>
                <w:bCs/>
                <w:sz w:val="20"/>
                <w:szCs w:val="20"/>
                <w:lang w:eastAsia="en-US"/>
              </w:rPr>
            </w:pPr>
            <w:r w:rsidRPr="007E77AF">
              <w:rPr>
                <w:bCs/>
                <w:sz w:val="20"/>
                <w:szCs w:val="20"/>
                <w:lang w:eastAsia="en-US"/>
              </w:rPr>
              <w:t>Quem são os principais concorrentes (máx. 3)?</w:t>
            </w:r>
          </w:p>
        </w:tc>
        <w:tc>
          <w:tcPr>
            <w:tcW w:w="4354" w:type="dxa"/>
            <w:shd w:val="clear" w:color="auto" w:fill="auto"/>
            <w:vAlign w:val="center"/>
            <w:hideMark/>
          </w:tcPr>
          <w:p w14:paraId="0B3BDDCF"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12B8F23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347E236" w14:textId="77777777" w:rsidTr="491E246D">
        <w:trPr>
          <w:trHeight w:val="390"/>
        </w:trPr>
        <w:tc>
          <w:tcPr>
            <w:tcW w:w="10196" w:type="dxa"/>
            <w:gridSpan w:val="3"/>
            <w:shd w:val="clear" w:color="auto" w:fill="auto"/>
            <w:vAlign w:val="center"/>
            <w:hideMark/>
          </w:tcPr>
          <w:p w14:paraId="03BD613C"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Governança e acionistas principais</w:t>
            </w:r>
          </w:p>
        </w:tc>
      </w:tr>
      <w:tr w:rsidR="009A242A" w:rsidRPr="007E77AF" w14:paraId="1F848D71" w14:textId="77777777" w:rsidTr="491E246D">
        <w:trPr>
          <w:trHeight w:val="227"/>
        </w:trPr>
        <w:tc>
          <w:tcPr>
            <w:tcW w:w="4186" w:type="dxa"/>
            <w:shd w:val="clear" w:color="auto" w:fill="auto"/>
            <w:vAlign w:val="center"/>
            <w:hideMark/>
          </w:tcPr>
          <w:p w14:paraId="47BDF9EC" w14:textId="77777777" w:rsidR="009A242A" w:rsidRPr="007E77AF" w:rsidRDefault="009A242A" w:rsidP="004301C4">
            <w:pPr>
              <w:rPr>
                <w:bCs/>
                <w:sz w:val="20"/>
                <w:szCs w:val="20"/>
                <w:lang w:eastAsia="en-US"/>
              </w:rPr>
            </w:pPr>
            <w:r w:rsidRPr="007E77AF">
              <w:rPr>
                <w:bCs/>
                <w:sz w:val="20"/>
                <w:szCs w:val="20"/>
                <w:lang w:eastAsia="en-US"/>
              </w:rPr>
              <w:t>Quem é o CEO do emissor?</w:t>
            </w:r>
          </w:p>
        </w:tc>
        <w:tc>
          <w:tcPr>
            <w:tcW w:w="4354" w:type="dxa"/>
            <w:shd w:val="clear" w:color="auto" w:fill="auto"/>
            <w:vAlign w:val="center"/>
            <w:hideMark/>
          </w:tcPr>
          <w:p w14:paraId="5E29B770"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016F2253"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C733747" w14:textId="77777777" w:rsidTr="491E246D">
        <w:trPr>
          <w:trHeight w:val="227"/>
        </w:trPr>
        <w:tc>
          <w:tcPr>
            <w:tcW w:w="4186" w:type="dxa"/>
            <w:shd w:val="clear" w:color="auto" w:fill="auto"/>
            <w:vAlign w:val="center"/>
            <w:hideMark/>
          </w:tcPr>
          <w:p w14:paraId="3B32DFE0" w14:textId="77777777" w:rsidR="009A242A" w:rsidRPr="007E77AF" w:rsidRDefault="009A242A" w:rsidP="004301C4">
            <w:pPr>
              <w:rPr>
                <w:bCs/>
                <w:sz w:val="20"/>
                <w:szCs w:val="20"/>
                <w:lang w:eastAsia="en-US"/>
              </w:rPr>
            </w:pPr>
            <w:r w:rsidRPr="007E77AF">
              <w:rPr>
                <w:bCs/>
                <w:sz w:val="20"/>
                <w:szCs w:val="20"/>
                <w:lang w:eastAsia="en-US"/>
              </w:rPr>
              <w:t>Quem é o presidente do CA do emissor?</w:t>
            </w:r>
          </w:p>
        </w:tc>
        <w:tc>
          <w:tcPr>
            <w:tcW w:w="4354" w:type="dxa"/>
            <w:shd w:val="clear" w:color="auto" w:fill="auto"/>
            <w:vAlign w:val="center"/>
            <w:hideMark/>
          </w:tcPr>
          <w:p w14:paraId="29C35FB8"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473BCEA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3A61C46" w14:textId="77777777" w:rsidTr="491E246D">
        <w:trPr>
          <w:trHeight w:val="227"/>
        </w:trPr>
        <w:tc>
          <w:tcPr>
            <w:tcW w:w="4186" w:type="dxa"/>
            <w:shd w:val="clear" w:color="auto" w:fill="auto"/>
            <w:vAlign w:val="center"/>
            <w:hideMark/>
          </w:tcPr>
          <w:p w14:paraId="4B1C867E" w14:textId="77777777" w:rsidR="009A242A" w:rsidRPr="007E77AF" w:rsidRDefault="009A242A" w:rsidP="004301C4">
            <w:pPr>
              <w:rPr>
                <w:bCs/>
                <w:sz w:val="20"/>
                <w:szCs w:val="20"/>
                <w:lang w:eastAsia="en-US"/>
              </w:rPr>
            </w:pPr>
            <w:r w:rsidRPr="007E77AF">
              <w:rPr>
                <w:bCs/>
                <w:sz w:val="20"/>
                <w:szCs w:val="20"/>
                <w:lang w:eastAsia="en-US"/>
              </w:rPr>
              <w:t>Participações significativas de administradores</w:t>
            </w:r>
          </w:p>
        </w:tc>
        <w:tc>
          <w:tcPr>
            <w:tcW w:w="4354" w:type="dxa"/>
            <w:shd w:val="clear" w:color="auto" w:fill="auto"/>
            <w:vAlign w:val="center"/>
            <w:hideMark/>
          </w:tcPr>
          <w:p w14:paraId="2060789A"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hideMark/>
          </w:tcPr>
          <w:p w14:paraId="2FFF63D8"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DD40778" w14:textId="77777777" w:rsidTr="491E246D">
        <w:trPr>
          <w:trHeight w:val="227"/>
        </w:trPr>
        <w:tc>
          <w:tcPr>
            <w:tcW w:w="4186" w:type="dxa"/>
            <w:shd w:val="clear" w:color="auto" w:fill="auto"/>
            <w:vAlign w:val="center"/>
            <w:hideMark/>
          </w:tcPr>
          <w:p w14:paraId="46979C38" w14:textId="77777777" w:rsidR="009A242A" w:rsidRPr="007E77AF" w:rsidRDefault="009A242A" w:rsidP="004301C4">
            <w:pPr>
              <w:rPr>
                <w:bCs/>
                <w:sz w:val="20"/>
                <w:szCs w:val="20"/>
                <w:lang w:eastAsia="en-US"/>
              </w:rPr>
            </w:pPr>
            <w:r w:rsidRPr="007E77AF">
              <w:rPr>
                <w:bCs/>
                <w:sz w:val="20"/>
                <w:szCs w:val="20"/>
                <w:lang w:eastAsia="en-US"/>
              </w:rPr>
              <w:t>Quem é o controlador ou quem integra o grupo de controle?</w:t>
            </w:r>
          </w:p>
        </w:tc>
        <w:tc>
          <w:tcPr>
            <w:tcW w:w="4354" w:type="dxa"/>
            <w:shd w:val="clear" w:color="auto" w:fill="auto"/>
            <w:vAlign w:val="center"/>
            <w:hideMark/>
          </w:tcPr>
          <w:p w14:paraId="4150F4A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59C74CA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8C42C76" w14:textId="77777777" w:rsidTr="491E246D">
        <w:trPr>
          <w:trHeight w:val="390"/>
        </w:trPr>
        <w:tc>
          <w:tcPr>
            <w:tcW w:w="4186" w:type="dxa"/>
            <w:shd w:val="clear" w:color="auto" w:fill="auto"/>
            <w:vAlign w:val="center"/>
            <w:hideMark/>
          </w:tcPr>
          <w:p w14:paraId="5A2F62E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Sumário dos principais riscos do emissor</w:t>
            </w:r>
          </w:p>
        </w:tc>
        <w:tc>
          <w:tcPr>
            <w:tcW w:w="4354" w:type="dxa"/>
            <w:shd w:val="clear" w:color="auto" w:fill="auto"/>
            <w:vAlign w:val="center"/>
            <w:hideMark/>
          </w:tcPr>
          <w:p w14:paraId="66F22FBA" w14:textId="2438257E"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656" w:type="dxa"/>
            <w:shd w:val="clear" w:color="auto" w:fill="auto"/>
            <w:vAlign w:val="center"/>
            <w:hideMark/>
          </w:tcPr>
          <w:p w14:paraId="741DDD6A" w14:textId="376A6710"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0D66F22E" w14:textId="77777777" w:rsidTr="491E246D">
        <w:trPr>
          <w:trHeight w:val="227"/>
        </w:trPr>
        <w:tc>
          <w:tcPr>
            <w:tcW w:w="4186" w:type="dxa"/>
            <w:shd w:val="clear" w:color="auto" w:fill="auto"/>
            <w:vAlign w:val="center"/>
            <w:hideMark/>
          </w:tcPr>
          <w:p w14:paraId="58EA7592"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4354" w:type="dxa"/>
            <w:shd w:val="clear" w:color="auto" w:fill="auto"/>
            <w:vAlign w:val="center"/>
            <w:hideMark/>
          </w:tcPr>
          <w:p w14:paraId="35AD3F8D" w14:textId="1A8332A8" w:rsidR="009A242A" w:rsidRPr="007E77AF" w:rsidRDefault="009A242A" w:rsidP="004301C4">
            <w:pPr>
              <w:jc w:val="center"/>
              <w:rPr>
                <w:b/>
                <w:bCs/>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1656" w:type="dxa"/>
            <w:shd w:val="clear" w:color="auto" w:fill="auto"/>
            <w:vAlign w:val="center"/>
            <w:hideMark/>
          </w:tcPr>
          <w:p w14:paraId="526BD213" w14:textId="131D22BF"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14278DD" w14:textId="77777777" w:rsidTr="491E246D">
        <w:trPr>
          <w:trHeight w:val="227"/>
        </w:trPr>
        <w:tc>
          <w:tcPr>
            <w:tcW w:w="4186" w:type="dxa"/>
            <w:shd w:val="clear" w:color="auto" w:fill="auto"/>
            <w:vAlign w:val="center"/>
            <w:hideMark/>
          </w:tcPr>
          <w:p w14:paraId="416588EE" w14:textId="5FCAA8AA" w:rsidR="009A242A" w:rsidRPr="007E77AF" w:rsidRDefault="009A242A" w:rsidP="004301C4">
            <w:pPr>
              <w:rPr>
                <w:bCs/>
                <w:sz w:val="20"/>
                <w:szCs w:val="20"/>
                <w:lang w:eastAsia="en-US"/>
              </w:rPr>
            </w:pPr>
            <w:r w:rsidRPr="007E77AF">
              <w:rPr>
                <w:bCs/>
                <w:sz w:val="20"/>
                <w:szCs w:val="20"/>
                <w:lang w:eastAsia="en-US"/>
              </w:rPr>
              <w:t xml:space="preserve">2. (Descrição breve </w:t>
            </w:r>
            <w:r>
              <w:rPr>
                <w:bCs/>
                <w:sz w:val="20"/>
                <w:szCs w:val="20"/>
                <w:lang w:eastAsia="en-US"/>
              </w:rPr>
              <w:t>–</w:t>
            </w:r>
            <w:r w:rsidRPr="007E77AF">
              <w:rPr>
                <w:bCs/>
                <w:sz w:val="20"/>
                <w:szCs w:val="20"/>
                <w:lang w:eastAsia="en-US"/>
              </w:rPr>
              <w:t xml:space="preserve"> Máx</w:t>
            </w:r>
            <w:r>
              <w:rPr>
                <w:bCs/>
                <w:sz w:val="20"/>
                <w:szCs w:val="20"/>
                <w:lang w:eastAsia="en-US"/>
              </w:rPr>
              <w:t>.</w:t>
            </w:r>
            <w:r w:rsidRPr="007E77AF">
              <w:rPr>
                <w:bCs/>
                <w:sz w:val="20"/>
                <w:szCs w:val="20"/>
                <w:lang w:eastAsia="en-US"/>
              </w:rPr>
              <w:t xml:space="preserve"> 50 palavras)</w:t>
            </w:r>
          </w:p>
        </w:tc>
        <w:tc>
          <w:tcPr>
            <w:tcW w:w="4354" w:type="dxa"/>
            <w:shd w:val="clear" w:color="auto" w:fill="auto"/>
            <w:vAlign w:val="center"/>
            <w:hideMark/>
          </w:tcPr>
          <w:p w14:paraId="6F42F178" w14:textId="58114584"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6366EB8" w14:textId="29A4B8A3"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Baixa</w:t>
            </w:r>
          </w:p>
        </w:tc>
      </w:tr>
      <w:tr w:rsidR="009A242A" w:rsidRPr="007E77AF" w14:paraId="3FE09DFF" w14:textId="77777777" w:rsidTr="491E246D">
        <w:trPr>
          <w:trHeight w:val="227"/>
        </w:trPr>
        <w:tc>
          <w:tcPr>
            <w:tcW w:w="4186" w:type="dxa"/>
            <w:shd w:val="clear" w:color="auto" w:fill="auto"/>
            <w:vAlign w:val="center"/>
            <w:hideMark/>
          </w:tcPr>
          <w:p w14:paraId="0E237F0B"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4354" w:type="dxa"/>
            <w:shd w:val="clear" w:color="auto" w:fill="auto"/>
            <w:vAlign w:val="center"/>
            <w:hideMark/>
          </w:tcPr>
          <w:p w14:paraId="02CD8ACA" w14:textId="160E10BC"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225206EE" w14:textId="2F9B9236"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46E30BD0" w14:textId="77777777" w:rsidTr="491E246D">
        <w:trPr>
          <w:trHeight w:val="227"/>
        </w:trPr>
        <w:tc>
          <w:tcPr>
            <w:tcW w:w="4186" w:type="dxa"/>
            <w:shd w:val="clear" w:color="auto" w:fill="auto"/>
            <w:vAlign w:val="center"/>
            <w:hideMark/>
          </w:tcPr>
          <w:p w14:paraId="271A1FB2" w14:textId="7E44F1A3" w:rsidR="009A242A" w:rsidRPr="007E77AF" w:rsidRDefault="009A242A" w:rsidP="004301C4">
            <w:pPr>
              <w:rPr>
                <w:bCs/>
                <w:sz w:val="20"/>
                <w:szCs w:val="20"/>
                <w:lang w:eastAsia="en-US"/>
              </w:rPr>
            </w:pPr>
            <w:r w:rsidRPr="007E77AF">
              <w:rPr>
                <w:bCs/>
                <w:sz w:val="20"/>
                <w:szCs w:val="20"/>
                <w:lang w:eastAsia="en-US"/>
              </w:rPr>
              <w:t xml:space="preserve">4. (Descrição breve </w:t>
            </w:r>
            <w:r>
              <w:rPr>
                <w:bCs/>
                <w:sz w:val="20"/>
                <w:szCs w:val="20"/>
                <w:lang w:eastAsia="en-US"/>
              </w:rPr>
              <w:t>–</w:t>
            </w:r>
            <w:r w:rsidRPr="007E77AF">
              <w:rPr>
                <w:bCs/>
                <w:sz w:val="20"/>
                <w:szCs w:val="20"/>
                <w:lang w:eastAsia="en-US"/>
              </w:rPr>
              <w:t xml:space="preserve"> Máx</w:t>
            </w:r>
            <w:r>
              <w:rPr>
                <w:bCs/>
                <w:sz w:val="20"/>
                <w:szCs w:val="20"/>
                <w:lang w:eastAsia="en-US"/>
              </w:rPr>
              <w:t>.</w:t>
            </w:r>
            <w:r w:rsidRPr="007E77AF">
              <w:rPr>
                <w:bCs/>
                <w:sz w:val="20"/>
                <w:szCs w:val="20"/>
                <w:lang w:eastAsia="en-US"/>
              </w:rPr>
              <w:t xml:space="preserve"> 50 palavras)</w:t>
            </w:r>
          </w:p>
        </w:tc>
        <w:tc>
          <w:tcPr>
            <w:tcW w:w="4354" w:type="dxa"/>
            <w:shd w:val="clear" w:color="auto" w:fill="auto"/>
            <w:vAlign w:val="center"/>
            <w:hideMark/>
          </w:tcPr>
          <w:p w14:paraId="303EC442" w14:textId="5EE62D22"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2FBF496" w14:textId="22E9E0C6"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D524B4F" w14:textId="77777777" w:rsidTr="491E246D">
        <w:trPr>
          <w:trHeight w:val="227"/>
        </w:trPr>
        <w:tc>
          <w:tcPr>
            <w:tcW w:w="4186" w:type="dxa"/>
            <w:shd w:val="clear" w:color="auto" w:fill="auto"/>
            <w:vAlign w:val="center"/>
            <w:hideMark/>
          </w:tcPr>
          <w:p w14:paraId="0F490501" w14:textId="77777777" w:rsidR="009A242A" w:rsidRPr="007E77AF" w:rsidRDefault="009A242A" w:rsidP="004301C4">
            <w:pPr>
              <w:rPr>
                <w:bCs/>
                <w:sz w:val="20"/>
                <w:szCs w:val="20"/>
                <w:lang w:eastAsia="en-US"/>
              </w:rPr>
            </w:pPr>
            <w:r w:rsidRPr="007E77AF">
              <w:rPr>
                <w:bCs/>
                <w:sz w:val="20"/>
                <w:szCs w:val="20"/>
                <w:lang w:eastAsia="en-US"/>
              </w:rPr>
              <w:t>5. (Descrição breve - Máx. 50 palavras)</w:t>
            </w:r>
          </w:p>
        </w:tc>
        <w:tc>
          <w:tcPr>
            <w:tcW w:w="4354" w:type="dxa"/>
            <w:shd w:val="clear" w:color="auto" w:fill="auto"/>
            <w:vAlign w:val="center"/>
            <w:hideMark/>
          </w:tcPr>
          <w:p w14:paraId="7F51B40D" w14:textId="77AA29CE"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C755BDE" w14:textId="25CFD530" w:rsidR="009A242A" w:rsidRPr="007E77AF" w:rsidRDefault="009A242A" w:rsidP="004301C4">
            <w:pPr>
              <w:jc w:val="center"/>
              <w:rPr>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833E1E3" w14:textId="77777777" w:rsidTr="491E246D">
        <w:trPr>
          <w:trHeight w:val="390"/>
        </w:trPr>
        <w:tc>
          <w:tcPr>
            <w:tcW w:w="4186" w:type="dxa"/>
            <w:shd w:val="clear" w:color="auto" w:fill="auto"/>
            <w:vAlign w:val="center"/>
            <w:hideMark/>
          </w:tcPr>
          <w:p w14:paraId="191FF2B0" w14:textId="77777777" w:rsidR="009A242A" w:rsidRPr="007E77AF" w:rsidRDefault="009A242A" w:rsidP="004301C4">
            <w:pPr>
              <w:jc w:val="center"/>
              <w:rPr>
                <w:rFonts w:ascii="Calibri" w:hAnsi="Calibri"/>
                <w:b/>
                <w:bCs/>
                <w:sz w:val="20"/>
                <w:szCs w:val="20"/>
                <w:lang w:eastAsia="en-US"/>
              </w:rPr>
            </w:pPr>
            <w:r w:rsidRPr="007E77AF">
              <w:rPr>
                <w:rFonts w:ascii="Calibri" w:hAnsi="Calibri"/>
                <w:b/>
                <w:sz w:val="20"/>
                <w:szCs w:val="20"/>
                <w:lang w:eastAsia="en-US"/>
              </w:rPr>
              <w:t xml:space="preserve">4. Principais informações sobre </w:t>
            </w:r>
            <w:r w:rsidRPr="007E77AF">
              <w:rPr>
                <w:rFonts w:ascii="Calibri" w:hAnsi="Calibri"/>
                <w:b/>
                <w:bCs/>
                <w:sz w:val="20"/>
                <w:szCs w:val="20"/>
                <w:lang w:eastAsia="en-US"/>
              </w:rPr>
              <w:t>as</w:t>
            </w:r>
            <w:r w:rsidRPr="007E77AF">
              <w:rPr>
                <w:rFonts w:ascii="Calibri" w:hAnsi="Calibri"/>
                <w:b/>
                <w:sz w:val="20"/>
                <w:szCs w:val="20"/>
                <w:lang w:eastAsia="en-US"/>
              </w:rPr>
              <w:t xml:space="preserve"> </w:t>
            </w:r>
            <w:r w:rsidRPr="007E77AF">
              <w:rPr>
                <w:rFonts w:ascii="Calibri" w:hAnsi="Calibri"/>
                <w:b/>
                <w:bCs/>
                <w:sz w:val="20"/>
                <w:szCs w:val="20"/>
                <w:lang w:eastAsia="en-US"/>
              </w:rPr>
              <w:t>ações</w:t>
            </w:r>
          </w:p>
        </w:tc>
        <w:tc>
          <w:tcPr>
            <w:tcW w:w="4354" w:type="dxa"/>
            <w:shd w:val="clear" w:color="auto" w:fill="auto"/>
            <w:vAlign w:val="center"/>
            <w:hideMark/>
          </w:tcPr>
          <w:p w14:paraId="79AE0D5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Resumo</w:t>
            </w:r>
          </w:p>
        </w:tc>
        <w:tc>
          <w:tcPr>
            <w:tcW w:w="1656" w:type="dxa"/>
            <w:shd w:val="clear" w:color="auto" w:fill="auto"/>
            <w:vAlign w:val="center"/>
            <w:hideMark/>
          </w:tcPr>
          <w:p w14:paraId="2543E1A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CAF73B9" w14:textId="77777777" w:rsidTr="491E246D">
        <w:trPr>
          <w:trHeight w:val="390"/>
        </w:trPr>
        <w:tc>
          <w:tcPr>
            <w:tcW w:w="10196" w:type="dxa"/>
            <w:gridSpan w:val="3"/>
            <w:shd w:val="clear" w:color="auto" w:fill="auto"/>
            <w:vAlign w:val="center"/>
            <w:hideMark/>
          </w:tcPr>
          <w:p w14:paraId="396D99BB"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Direitos do valor mobiliário</w:t>
            </w:r>
          </w:p>
        </w:tc>
      </w:tr>
      <w:tr w:rsidR="009A242A" w:rsidRPr="007E77AF" w14:paraId="72828754" w14:textId="77777777" w:rsidTr="491E246D">
        <w:trPr>
          <w:trHeight w:val="227"/>
        </w:trPr>
        <w:tc>
          <w:tcPr>
            <w:tcW w:w="4186" w:type="dxa"/>
            <w:shd w:val="clear" w:color="auto" w:fill="auto"/>
            <w:vAlign w:val="center"/>
            <w:hideMark/>
          </w:tcPr>
          <w:p w14:paraId="31F7636A"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t>Principais características</w:t>
            </w:r>
          </w:p>
        </w:tc>
        <w:tc>
          <w:tcPr>
            <w:tcW w:w="4354" w:type="dxa"/>
            <w:shd w:val="clear" w:color="auto" w:fill="auto"/>
            <w:vAlign w:val="center"/>
            <w:hideMark/>
          </w:tcPr>
          <w:p w14:paraId="7AAD9FDD"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hideMark/>
          </w:tcPr>
          <w:p w14:paraId="71DAD0A0"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 xml:space="preserve">Seção </w:t>
            </w:r>
            <w:proofErr w:type="gramStart"/>
            <w:r w:rsidRPr="007E77AF">
              <w:rPr>
                <w:rFonts w:ascii="Calibri" w:hAnsi="Calibri"/>
                <w:bCs/>
                <w:sz w:val="20"/>
                <w:szCs w:val="20"/>
                <w:lang w:eastAsia="en-US"/>
              </w:rPr>
              <w:t>#.#</w:t>
            </w:r>
            <w:proofErr w:type="gramEnd"/>
            <w:r w:rsidRPr="007E77AF">
              <w:rPr>
                <w:rFonts w:ascii="Calibri" w:hAnsi="Calibri"/>
                <w:bCs/>
                <w:sz w:val="20"/>
                <w:szCs w:val="20"/>
                <w:lang w:eastAsia="en-US"/>
              </w:rPr>
              <w:t xml:space="preserve"> </w:t>
            </w:r>
          </w:p>
        </w:tc>
      </w:tr>
      <w:tr w:rsidR="009A242A" w:rsidRPr="007E77AF" w14:paraId="5F801C9C" w14:textId="77777777" w:rsidTr="491E246D">
        <w:trPr>
          <w:trHeight w:val="227"/>
        </w:trPr>
        <w:tc>
          <w:tcPr>
            <w:tcW w:w="4186" w:type="dxa"/>
            <w:shd w:val="clear" w:color="auto" w:fill="auto"/>
            <w:vAlign w:val="center"/>
            <w:hideMark/>
          </w:tcPr>
          <w:p w14:paraId="148E8F70"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t>Direito de voto</w:t>
            </w:r>
          </w:p>
        </w:tc>
        <w:tc>
          <w:tcPr>
            <w:tcW w:w="4354" w:type="dxa"/>
            <w:shd w:val="clear" w:color="auto" w:fill="auto"/>
            <w:vAlign w:val="center"/>
            <w:hideMark/>
          </w:tcPr>
          <w:p w14:paraId="3C218126"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hideMark/>
          </w:tcPr>
          <w:p w14:paraId="6C6450E4"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 xml:space="preserve">Seção </w:t>
            </w:r>
            <w:proofErr w:type="gramStart"/>
            <w:r w:rsidRPr="007E77AF">
              <w:rPr>
                <w:rFonts w:ascii="Calibri" w:hAnsi="Calibri"/>
                <w:bCs/>
                <w:sz w:val="20"/>
                <w:szCs w:val="20"/>
                <w:lang w:eastAsia="en-US"/>
              </w:rPr>
              <w:t>#.#</w:t>
            </w:r>
            <w:proofErr w:type="gramEnd"/>
            <w:r w:rsidRPr="007E77AF">
              <w:rPr>
                <w:rFonts w:ascii="Calibri" w:hAnsi="Calibri"/>
                <w:bCs/>
                <w:sz w:val="20"/>
                <w:szCs w:val="20"/>
                <w:lang w:eastAsia="en-US"/>
              </w:rPr>
              <w:t xml:space="preserve"> </w:t>
            </w:r>
          </w:p>
        </w:tc>
      </w:tr>
      <w:tr w:rsidR="009A242A" w:rsidRPr="007E77AF" w14:paraId="54FB789E" w14:textId="77777777" w:rsidTr="491E246D">
        <w:trPr>
          <w:trHeight w:val="227"/>
        </w:trPr>
        <w:tc>
          <w:tcPr>
            <w:tcW w:w="4186" w:type="dxa"/>
            <w:shd w:val="clear" w:color="auto" w:fill="auto"/>
            <w:vAlign w:val="center"/>
            <w:hideMark/>
          </w:tcPr>
          <w:p w14:paraId="50D66829"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t>Restrições à livre negociação</w:t>
            </w:r>
          </w:p>
        </w:tc>
        <w:tc>
          <w:tcPr>
            <w:tcW w:w="4354" w:type="dxa"/>
            <w:shd w:val="clear" w:color="auto" w:fill="auto"/>
            <w:hideMark/>
          </w:tcPr>
          <w:p w14:paraId="4C66BE6B" w14:textId="0300E438" w:rsidR="009A242A" w:rsidRPr="007E77AF" w:rsidRDefault="009A242A" w:rsidP="009B4EF1">
            <w:pPr>
              <w:jc w:val="center"/>
              <w:rPr>
                <w:rFonts w:ascii="Calibri" w:hAnsi="Calibri"/>
                <w:bCs/>
                <w:sz w:val="20"/>
                <w:szCs w:val="20"/>
                <w:lang w:eastAsia="en-US"/>
              </w:rPr>
            </w:pPr>
            <w:proofErr w:type="gramStart"/>
            <w:r w:rsidRPr="007E77AF">
              <w:rPr>
                <w:rFonts w:ascii="Calibri" w:hAnsi="Calibri"/>
                <w:bCs/>
                <w:sz w:val="20"/>
                <w:szCs w:val="20"/>
                <w:lang w:eastAsia="en-US"/>
              </w:rPr>
              <w:t>( )</w:t>
            </w:r>
            <w:proofErr w:type="gramEnd"/>
            <w:r w:rsidRPr="007E77AF">
              <w:rPr>
                <w:rFonts w:ascii="Calibri" w:hAnsi="Calibri"/>
                <w:bCs/>
                <w:sz w:val="20"/>
                <w:szCs w:val="20"/>
                <w:lang w:eastAsia="en-US"/>
              </w:rPr>
              <w:t xml:space="preserve"> Revenda restrita a investidores profissionais.</w:t>
            </w:r>
            <w:r w:rsidRPr="007E77AF">
              <w:rPr>
                <w:rFonts w:ascii="Calibri" w:hAnsi="Calibri"/>
                <w:bCs/>
                <w:sz w:val="20"/>
                <w:szCs w:val="20"/>
                <w:lang w:eastAsia="en-US"/>
              </w:rPr>
              <w:br/>
              <w:t xml:space="preserve">( ) Revenda a investidores qualificados após </w:t>
            </w:r>
            <w:r w:rsidRPr="007E77AF">
              <w:rPr>
                <w:rFonts w:ascii="Calibri" w:hAnsi="Calibri"/>
                <w:bCs/>
                <w:sz w:val="20"/>
                <w:szCs w:val="20"/>
                <w:lang w:eastAsia="en-US"/>
              </w:rPr>
              <w:lastRenderedPageBreak/>
              <w:t>decorridos [ ] dias do final da oferta.</w:t>
            </w:r>
            <w:r w:rsidRPr="007E77AF">
              <w:rPr>
                <w:rFonts w:ascii="Calibri" w:hAnsi="Calibri"/>
                <w:bCs/>
                <w:sz w:val="20"/>
                <w:szCs w:val="20"/>
                <w:lang w:eastAsia="en-US"/>
              </w:rPr>
              <w:br/>
              <w:t>( ) Revenda ao público em geral após decorridos [  ] dias do final da oferta.</w:t>
            </w:r>
            <w:r w:rsidRPr="007E77AF">
              <w:rPr>
                <w:rFonts w:ascii="Calibri" w:hAnsi="Calibri"/>
                <w:bCs/>
                <w:sz w:val="20"/>
                <w:szCs w:val="20"/>
                <w:lang w:eastAsia="en-US"/>
              </w:rPr>
              <w:br/>
              <w:t xml:space="preserve">( ) parcelas com </w:t>
            </w:r>
            <w:proofErr w:type="spellStart"/>
            <w:r w:rsidRPr="00986942">
              <w:rPr>
                <w:rFonts w:ascii="Calibri" w:hAnsi="Calibri"/>
                <w:b/>
                <w:sz w:val="20"/>
              </w:rPr>
              <w:t>lock-up</w:t>
            </w:r>
            <w:proofErr w:type="spellEnd"/>
            <w:r w:rsidRPr="007E77AF">
              <w:rPr>
                <w:rFonts w:ascii="Calibri" w:hAnsi="Calibri"/>
                <w:bCs/>
                <w:sz w:val="20"/>
                <w:szCs w:val="20"/>
                <w:lang w:eastAsia="en-US"/>
              </w:rPr>
              <w:t xml:space="preserve"> em ofertas destinadas a investidores não profissionais {descrição das condições}.</w:t>
            </w:r>
            <w:r w:rsidRPr="007E77AF">
              <w:rPr>
                <w:rFonts w:ascii="Calibri" w:hAnsi="Calibri"/>
                <w:bCs/>
                <w:sz w:val="20"/>
                <w:szCs w:val="20"/>
                <w:lang w:eastAsia="en-US"/>
              </w:rPr>
              <w:br/>
              <w:t>( ) Não há restrições à revenda.</w:t>
            </w:r>
          </w:p>
        </w:tc>
        <w:tc>
          <w:tcPr>
            <w:tcW w:w="1656" w:type="dxa"/>
            <w:shd w:val="clear" w:color="auto" w:fill="auto"/>
            <w:vAlign w:val="center"/>
            <w:hideMark/>
          </w:tcPr>
          <w:p w14:paraId="1CA3DA54"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lastRenderedPageBreak/>
              <w:t xml:space="preserve">Seção </w:t>
            </w:r>
            <w:proofErr w:type="gramStart"/>
            <w:r w:rsidRPr="007E77AF">
              <w:rPr>
                <w:rFonts w:ascii="Calibri" w:hAnsi="Calibri"/>
                <w:bCs/>
                <w:sz w:val="20"/>
                <w:szCs w:val="20"/>
                <w:lang w:eastAsia="en-US"/>
              </w:rPr>
              <w:t>#.#</w:t>
            </w:r>
            <w:proofErr w:type="gramEnd"/>
          </w:p>
        </w:tc>
      </w:tr>
      <w:tr w:rsidR="009A242A" w:rsidRPr="007E77AF" w14:paraId="5501DF76" w14:textId="77777777" w:rsidTr="491E246D">
        <w:trPr>
          <w:trHeight w:val="227"/>
        </w:trPr>
        <w:tc>
          <w:tcPr>
            <w:tcW w:w="4186" w:type="dxa"/>
            <w:shd w:val="clear" w:color="auto" w:fill="auto"/>
            <w:vAlign w:val="center"/>
            <w:hideMark/>
          </w:tcPr>
          <w:p w14:paraId="4E4F36C4" w14:textId="77777777" w:rsidR="009A242A" w:rsidRPr="007E77AF" w:rsidRDefault="009A242A" w:rsidP="004301C4">
            <w:pPr>
              <w:rPr>
                <w:bCs/>
                <w:sz w:val="20"/>
                <w:szCs w:val="20"/>
                <w:lang w:eastAsia="en-US"/>
              </w:rPr>
            </w:pPr>
            <w:r w:rsidRPr="007E77AF">
              <w:rPr>
                <w:bCs/>
                <w:sz w:val="20"/>
                <w:szCs w:val="20"/>
                <w:lang w:eastAsia="en-US"/>
              </w:rPr>
              <w:t>Política de dividendos</w:t>
            </w:r>
          </w:p>
        </w:tc>
        <w:tc>
          <w:tcPr>
            <w:tcW w:w="4354" w:type="dxa"/>
            <w:shd w:val="clear" w:color="auto" w:fill="auto"/>
            <w:vAlign w:val="center"/>
            <w:hideMark/>
          </w:tcPr>
          <w:p w14:paraId="4FF4D039"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vAlign w:val="center"/>
            <w:hideMark/>
          </w:tcPr>
          <w:p w14:paraId="7DE4FE6F"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 xml:space="preserve">Seção </w:t>
            </w:r>
            <w:proofErr w:type="gramStart"/>
            <w:r w:rsidRPr="007E77AF">
              <w:rPr>
                <w:rFonts w:ascii="Calibri" w:hAnsi="Calibri"/>
                <w:bCs/>
                <w:sz w:val="20"/>
                <w:szCs w:val="20"/>
                <w:lang w:eastAsia="en-US"/>
              </w:rPr>
              <w:t>#.#</w:t>
            </w:r>
            <w:proofErr w:type="gramEnd"/>
          </w:p>
        </w:tc>
      </w:tr>
      <w:tr w:rsidR="009A242A" w:rsidRPr="007E77AF" w14:paraId="45A0297C" w14:textId="77777777" w:rsidTr="491E246D">
        <w:trPr>
          <w:trHeight w:val="390"/>
        </w:trPr>
        <w:tc>
          <w:tcPr>
            <w:tcW w:w="8540" w:type="dxa"/>
            <w:gridSpan w:val="2"/>
            <w:shd w:val="clear" w:color="auto" w:fill="auto"/>
            <w:vAlign w:val="center"/>
            <w:hideMark/>
          </w:tcPr>
          <w:p w14:paraId="43E6848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656" w:type="dxa"/>
            <w:shd w:val="clear" w:color="auto" w:fill="auto"/>
            <w:vAlign w:val="center"/>
            <w:hideMark/>
          </w:tcPr>
          <w:p w14:paraId="7D767CD6"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E944CEB" w14:textId="77777777" w:rsidTr="491E246D">
        <w:trPr>
          <w:trHeight w:val="390"/>
        </w:trPr>
        <w:tc>
          <w:tcPr>
            <w:tcW w:w="10196" w:type="dxa"/>
            <w:gridSpan w:val="3"/>
            <w:shd w:val="clear" w:color="auto" w:fill="auto"/>
            <w:vAlign w:val="center"/>
            <w:hideMark/>
          </w:tcPr>
          <w:p w14:paraId="2C644AB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4A666F92" w14:textId="77777777" w:rsidTr="491E246D">
        <w:trPr>
          <w:trHeight w:val="227"/>
        </w:trPr>
        <w:tc>
          <w:tcPr>
            <w:tcW w:w="4186" w:type="dxa"/>
            <w:shd w:val="clear" w:color="auto" w:fill="auto"/>
            <w:vAlign w:val="center"/>
            <w:hideMark/>
          </w:tcPr>
          <w:p w14:paraId="3A578A72"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4354" w:type="dxa"/>
            <w:shd w:val="clear" w:color="auto" w:fill="auto"/>
            <w:hideMark/>
          </w:tcPr>
          <w:p w14:paraId="4B66FE4C"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w:t>
            </w:r>
            <w:proofErr w:type="gramStart"/>
            <w:r w:rsidRPr="007E77AF">
              <w:rPr>
                <w:bCs/>
                <w:sz w:val="20"/>
                <w:szCs w:val="20"/>
                <w:lang w:eastAsia="en-US"/>
              </w:rPr>
              <w:t>] Público</w:t>
            </w:r>
            <w:proofErr w:type="gramEnd"/>
            <w:r w:rsidRPr="007E77AF">
              <w:rPr>
                <w:bCs/>
                <w:sz w:val="20"/>
                <w:szCs w:val="20"/>
                <w:lang w:eastAsia="en-US"/>
              </w:rPr>
              <w:t xml:space="preserve"> em geral</w:t>
            </w:r>
          </w:p>
        </w:tc>
        <w:tc>
          <w:tcPr>
            <w:tcW w:w="1656" w:type="dxa"/>
            <w:shd w:val="clear" w:color="auto" w:fill="auto"/>
            <w:hideMark/>
          </w:tcPr>
          <w:p w14:paraId="49367D01"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62BA097" w14:textId="77777777" w:rsidTr="491E246D">
        <w:trPr>
          <w:trHeight w:val="227"/>
        </w:trPr>
        <w:tc>
          <w:tcPr>
            <w:tcW w:w="4186" w:type="dxa"/>
            <w:shd w:val="clear" w:color="auto" w:fill="auto"/>
            <w:vAlign w:val="center"/>
            <w:hideMark/>
          </w:tcPr>
          <w:p w14:paraId="56D31692" w14:textId="77777777"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4354" w:type="dxa"/>
            <w:shd w:val="clear" w:color="auto" w:fill="auto"/>
            <w:vAlign w:val="center"/>
            <w:hideMark/>
          </w:tcPr>
          <w:p w14:paraId="7B15B368"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0A908ADB"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DC3F250" w14:textId="77777777" w:rsidTr="491E246D">
        <w:trPr>
          <w:trHeight w:val="227"/>
        </w:trPr>
        <w:tc>
          <w:tcPr>
            <w:tcW w:w="4186" w:type="dxa"/>
            <w:shd w:val="clear" w:color="auto" w:fill="auto"/>
            <w:vAlign w:val="center"/>
            <w:hideMark/>
          </w:tcPr>
          <w:p w14:paraId="32BCA111"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4354" w:type="dxa"/>
            <w:shd w:val="clear" w:color="auto" w:fill="auto"/>
            <w:vAlign w:val="center"/>
            <w:hideMark/>
          </w:tcPr>
          <w:p w14:paraId="097BC55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656" w:type="dxa"/>
            <w:shd w:val="clear" w:color="auto" w:fill="auto"/>
            <w:hideMark/>
          </w:tcPr>
          <w:p w14:paraId="6C4E955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1A69224" w14:textId="77777777" w:rsidTr="491E246D">
        <w:trPr>
          <w:trHeight w:val="227"/>
        </w:trPr>
        <w:tc>
          <w:tcPr>
            <w:tcW w:w="4186" w:type="dxa"/>
            <w:shd w:val="clear" w:color="auto" w:fill="auto"/>
            <w:vAlign w:val="center"/>
            <w:hideMark/>
          </w:tcPr>
          <w:p w14:paraId="0133BA76"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4354" w:type="dxa"/>
            <w:shd w:val="clear" w:color="auto" w:fill="auto"/>
            <w:vAlign w:val="center"/>
            <w:hideMark/>
          </w:tcPr>
          <w:p w14:paraId="3884FAB6"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6092FAA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ED07562" w14:textId="77777777" w:rsidTr="491E246D">
        <w:trPr>
          <w:trHeight w:val="227"/>
        </w:trPr>
        <w:tc>
          <w:tcPr>
            <w:tcW w:w="4186" w:type="dxa"/>
            <w:shd w:val="clear" w:color="auto" w:fill="auto"/>
            <w:vAlign w:val="center"/>
            <w:hideMark/>
          </w:tcPr>
          <w:p w14:paraId="6E412EC4"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4354" w:type="dxa"/>
            <w:shd w:val="clear" w:color="auto" w:fill="auto"/>
            <w:vAlign w:val="center"/>
            <w:hideMark/>
          </w:tcPr>
          <w:p w14:paraId="55ABFE2E"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4242FC28"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4D77205" w14:textId="77777777" w:rsidTr="491E246D">
        <w:trPr>
          <w:trHeight w:val="227"/>
        </w:trPr>
        <w:tc>
          <w:tcPr>
            <w:tcW w:w="4186" w:type="dxa"/>
            <w:shd w:val="clear" w:color="auto" w:fill="auto"/>
            <w:vAlign w:val="center"/>
          </w:tcPr>
          <w:p w14:paraId="3E33E4D4" w14:textId="77777777" w:rsidR="009A242A" w:rsidRPr="007E77AF" w:rsidRDefault="009A242A" w:rsidP="004301C4">
            <w:pPr>
              <w:rPr>
                <w:bCs/>
                <w:sz w:val="20"/>
                <w:szCs w:val="20"/>
                <w:lang w:eastAsia="en-US"/>
              </w:rPr>
            </w:pPr>
            <w:bookmarkStart w:id="388" w:name="_Hlk103613083"/>
            <w:r w:rsidRPr="007E77AF">
              <w:rPr>
                <w:bCs/>
                <w:sz w:val="20"/>
                <w:szCs w:val="20"/>
                <w:lang w:eastAsia="en-US"/>
              </w:rPr>
              <w:t>Como poderei saber o resultado do rateio?</w:t>
            </w:r>
          </w:p>
        </w:tc>
        <w:tc>
          <w:tcPr>
            <w:tcW w:w="4354" w:type="dxa"/>
            <w:shd w:val="clear" w:color="auto" w:fill="auto"/>
            <w:vAlign w:val="center"/>
          </w:tcPr>
          <w:p w14:paraId="67DE63A4"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tcPr>
          <w:p w14:paraId="59A1877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bookmarkEnd w:id="388"/>
      <w:tr w:rsidR="009A242A" w:rsidRPr="007E77AF" w14:paraId="2430D05B" w14:textId="77777777" w:rsidTr="491E246D">
        <w:trPr>
          <w:trHeight w:val="227"/>
        </w:trPr>
        <w:tc>
          <w:tcPr>
            <w:tcW w:w="4186" w:type="dxa"/>
            <w:shd w:val="clear" w:color="auto" w:fill="auto"/>
            <w:vAlign w:val="center"/>
            <w:hideMark/>
          </w:tcPr>
          <w:p w14:paraId="783DF8B6" w14:textId="77777777" w:rsidR="009A242A" w:rsidRPr="007E77AF" w:rsidRDefault="009A242A" w:rsidP="004301C4">
            <w:pPr>
              <w:rPr>
                <w:bCs/>
                <w:sz w:val="20"/>
                <w:szCs w:val="20"/>
                <w:lang w:eastAsia="en-US"/>
              </w:rPr>
            </w:pPr>
            <w:r w:rsidRPr="007E77AF">
              <w:rPr>
                <w:bCs/>
                <w:sz w:val="20"/>
                <w:szCs w:val="20"/>
                <w:lang w:eastAsia="en-US"/>
              </w:rPr>
              <w:t>O ofertante pode desistir da oferta?</w:t>
            </w:r>
          </w:p>
        </w:tc>
        <w:tc>
          <w:tcPr>
            <w:tcW w:w="4354" w:type="dxa"/>
            <w:shd w:val="clear" w:color="auto" w:fill="auto"/>
            <w:vAlign w:val="center"/>
            <w:hideMark/>
          </w:tcPr>
          <w:p w14:paraId="7C7B6895"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25680FBF"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DDA6AA8" w14:textId="77777777" w:rsidTr="491E246D">
        <w:trPr>
          <w:trHeight w:val="227"/>
        </w:trPr>
        <w:tc>
          <w:tcPr>
            <w:tcW w:w="4186" w:type="dxa"/>
            <w:shd w:val="clear" w:color="auto" w:fill="auto"/>
            <w:vAlign w:val="center"/>
            <w:hideMark/>
          </w:tcPr>
          <w:p w14:paraId="7FB5EED9"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4354" w:type="dxa"/>
            <w:shd w:val="clear" w:color="auto" w:fill="auto"/>
            <w:vAlign w:val="center"/>
            <w:hideMark/>
          </w:tcPr>
          <w:p w14:paraId="0198F917"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64989D60"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84E8A09" w14:textId="77777777" w:rsidTr="491E246D">
        <w:trPr>
          <w:trHeight w:val="227"/>
        </w:trPr>
        <w:tc>
          <w:tcPr>
            <w:tcW w:w="4186" w:type="dxa"/>
            <w:shd w:val="clear" w:color="auto" w:fill="auto"/>
            <w:vAlign w:val="center"/>
            <w:hideMark/>
          </w:tcPr>
          <w:p w14:paraId="4F3A7ADC" w14:textId="77777777" w:rsidR="009A242A" w:rsidRPr="007E77AF" w:rsidRDefault="009A242A" w:rsidP="004301C4">
            <w:pPr>
              <w:rPr>
                <w:bCs/>
                <w:sz w:val="20"/>
                <w:szCs w:val="20"/>
                <w:lang w:eastAsia="en-US"/>
              </w:rPr>
            </w:pPr>
            <w:r w:rsidRPr="007E77AF">
              <w:rPr>
                <w:bCs/>
                <w:sz w:val="20"/>
                <w:szCs w:val="20"/>
                <w:lang w:eastAsia="en-US"/>
              </w:rPr>
              <w:t xml:space="preserve">Indicação de local para obtenção do Prospecto </w:t>
            </w:r>
          </w:p>
        </w:tc>
        <w:tc>
          <w:tcPr>
            <w:tcW w:w="4354" w:type="dxa"/>
            <w:shd w:val="clear" w:color="auto" w:fill="auto"/>
            <w:vAlign w:val="center"/>
            <w:hideMark/>
          </w:tcPr>
          <w:p w14:paraId="11881CDF"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656" w:type="dxa"/>
            <w:shd w:val="clear" w:color="auto" w:fill="auto"/>
            <w:vAlign w:val="center"/>
            <w:hideMark/>
          </w:tcPr>
          <w:p w14:paraId="2DC84D69" w14:textId="77777777" w:rsidR="009A242A" w:rsidRPr="007E77AF" w:rsidRDefault="009A242A" w:rsidP="004301C4">
            <w:pPr>
              <w:jc w:val="center"/>
              <w:rPr>
                <w:rFonts w:ascii="Calibri Light" w:hAnsi="Calibri Light"/>
                <w:b/>
                <w:bCs/>
                <w:sz w:val="20"/>
                <w:szCs w:val="20"/>
                <w:lang w:eastAsia="en-US"/>
              </w:rPr>
            </w:pPr>
          </w:p>
        </w:tc>
      </w:tr>
      <w:tr w:rsidR="009A242A" w:rsidRPr="007E77AF" w14:paraId="3C09C806" w14:textId="77777777" w:rsidTr="491E246D">
        <w:trPr>
          <w:trHeight w:val="227"/>
        </w:trPr>
        <w:tc>
          <w:tcPr>
            <w:tcW w:w="4186" w:type="dxa"/>
            <w:shd w:val="clear" w:color="auto" w:fill="auto"/>
            <w:vAlign w:val="center"/>
            <w:hideMark/>
          </w:tcPr>
          <w:p w14:paraId="781273C0"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4354" w:type="dxa"/>
            <w:shd w:val="clear" w:color="auto" w:fill="auto"/>
            <w:vAlign w:val="center"/>
            <w:hideMark/>
          </w:tcPr>
          <w:p w14:paraId="76EF8FF2"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656" w:type="dxa"/>
            <w:shd w:val="clear" w:color="auto" w:fill="auto"/>
            <w:vAlign w:val="center"/>
            <w:hideMark/>
          </w:tcPr>
          <w:p w14:paraId="5F72393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0C72C88" w14:textId="77777777" w:rsidTr="491E246D">
        <w:trPr>
          <w:trHeight w:val="227"/>
        </w:trPr>
        <w:tc>
          <w:tcPr>
            <w:tcW w:w="4186" w:type="dxa"/>
            <w:shd w:val="clear" w:color="auto" w:fill="auto"/>
            <w:vAlign w:val="center"/>
          </w:tcPr>
          <w:p w14:paraId="5E4B6E3C" w14:textId="77777777" w:rsidR="009A242A" w:rsidRPr="007E77AF" w:rsidRDefault="009A242A" w:rsidP="004301C4">
            <w:pPr>
              <w:rPr>
                <w:bCs/>
                <w:sz w:val="20"/>
                <w:szCs w:val="20"/>
                <w:lang w:eastAsia="en-US"/>
              </w:rPr>
            </w:pPr>
            <w:r w:rsidRPr="007E77AF">
              <w:rPr>
                <w:bCs/>
                <w:sz w:val="20"/>
                <w:szCs w:val="20"/>
                <w:lang w:eastAsia="en-US"/>
              </w:rPr>
              <w:t>Outras instituições participantes da distribuição</w:t>
            </w:r>
          </w:p>
        </w:tc>
        <w:tc>
          <w:tcPr>
            <w:tcW w:w="4354" w:type="dxa"/>
            <w:shd w:val="clear" w:color="auto" w:fill="auto"/>
            <w:vAlign w:val="center"/>
          </w:tcPr>
          <w:p w14:paraId="0ED0EEC2"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vAlign w:val="center"/>
          </w:tcPr>
          <w:p w14:paraId="00643EB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59DBC71" w14:textId="77777777" w:rsidTr="491E246D">
        <w:trPr>
          <w:trHeight w:val="227"/>
        </w:trPr>
        <w:tc>
          <w:tcPr>
            <w:tcW w:w="4186" w:type="dxa"/>
            <w:shd w:val="clear" w:color="auto" w:fill="auto"/>
            <w:vAlign w:val="center"/>
          </w:tcPr>
          <w:p w14:paraId="14041169" w14:textId="77777777" w:rsidR="009A242A" w:rsidRPr="007E77AF" w:rsidRDefault="009A242A" w:rsidP="004301C4">
            <w:pPr>
              <w:rPr>
                <w:bCs/>
                <w:sz w:val="20"/>
                <w:szCs w:val="20"/>
                <w:lang w:eastAsia="en-US"/>
              </w:rPr>
            </w:pPr>
            <w:r w:rsidRPr="007E77AF">
              <w:rPr>
                <w:bCs/>
                <w:sz w:val="20"/>
                <w:szCs w:val="20"/>
                <w:lang w:eastAsia="en-US"/>
              </w:rPr>
              <w:t>Procedimento de colocação</w:t>
            </w:r>
          </w:p>
        </w:tc>
        <w:tc>
          <w:tcPr>
            <w:tcW w:w="4354" w:type="dxa"/>
            <w:shd w:val="clear" w:color="auto" w:fill="auto"/>
            <w:vAlign w:val="center"/>
          </w:tcPr>
          <w:p w14:paraId="7B1CAD40" w14:textId="77777777" w:rsidR="009A242A" w:rsidRPr="007E77AF" w:rsidRDefault="009A242A" w:rsidP="004301C4">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Melhores esforços/ [  ] Garantia Firme/ [  ]Compromisso de Subscrição</w:t>
            </w:r>
          </w:p>
        </w:tc>
        <w:tc>
          <w:tcPr>
            <w:tcW w:w="1656" w:type="dxa"/>
            <w:shd w:val="clear" w:color="auto" w:fill="auto"/>
            <w:vAlign w:val="center"/>
          </w:tcPr>
          <w:p w14:paraId="162F74BA" w14:textId="77777777" w:rsidR="009A242A" w:rsidRPr="007E77AF" w:rsidRDefault="009A242A" w:rsidP="004301C4">
            <w:pPr>
              <w:jc w:val="center"/>
              <w:rPr>
                <w:sz w:val="20"/>
                <w:szCs w:val="20"/>
                <w:lang w:eastAsia="en-US"/>
              </w:rPr>
            </w:pPr>
            <w:r w:rsidRPr="007E77AF">
              <w:rPr>
                <w:rFonts w:ascii="Calibri Light" w:hAnsi="Calibri Light"/>
                <w:sz w:val="20"/>
              </w:rPr>
              <w:t xml:space="preserve">Seção </w:t>
            </w:r>
            <w:proofErr w:type="gramStart"/>
            <w:r w:rsidRPr="007E77AF">
              <w:rPr>
                <w:rFonts w:ascii="Calibri Light" w:hAnsi="Calibri Light"/>
                <w:sz w:val="20"/>
              </w:rPr>
              <w:t>#.#</w:t>
            </w:r>
            <w:proofErr w:type="gramEnd"/>
          </w:p>
        </w:tc>
      </w:tr>
      <w:tr w:rsidR="009A242A" w:rsidRPr="007E77AF" w14:paraId="308EE96D" w14:textId="77777777" w:rsidTr="491E246D">
        <w:trPr>
          <w:trHeight w:val="390"/>
        </w:trPr>
        <w:tc>
          <w:tcPr>
            <w:tcW w:w="10196" w:type="dxa"/>
            <w:gridSpan w:val="3"/>
            <w:shd w:val="clear" w:color="auto" w:fill="auto"/>
            <w:vAlign w:val="center"/>
            <w:hideMark/>
          </w:tcPr>
          <w:p w14:paraId="7F530FB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575203BD" w14:textId="77777777" w:rsidTr="491E246D">
        <w:trPr>
          <w:trHeight w:val="227"/>
        </w:trPr>
        <w:tc>
          <w:tcPr>
            <w:tcW w:w="4186" w:type="dxa"/>
            <w:shd w:val="clear" w:color="auto" w:fill="auto"/>
            <w:vAlign w:val="center"/>
            <w:hideMark/>
          </w:tcPr>
          <w:p w14:paraId="759DBD81"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4354" w:type="dxa"/>
            <w:shd w:val="clear" w:color="auto" w:fill="auto"/>
            <w:vAlign w:val="center"/>
            <w:hideMark/>
          </w:tcPr>
          <w:p w14:paraId="3F7C05EF"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656" w:type="dxa"/>
            <w:shd w:val="clear" w:color="auto" w:fill="auto"/>
            <w:hideMark/>
          </w:tcPr>
          <w:p w14:paraId="13FC7645"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3B48696" w14:textId="77777777" w:rsidTr="491E246D">
        <w:trPr>
          <w:trHeight w:val="227"/>
        </w:trPr>
        <w:tc>
          <w:tcPr>
            <w:tcW w:w="4186" w:type="dxa"/>
            <w:shd w:val="clear" w:color="auto" w:fill="auto"/>
            <w:vAlign w:val="center"/>
            <w:hideMark/>
          </w:tcPr>
          <w:p w14:paraId="00665F3A"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4354" w:type="dxa"/>
            <w:shd w:val="clear" w:color="auto" w:fill="auto"/>
            <w:vAlign w:val="center"/>
            <w:hideMark/>
          </w:tcPr>
          <w:p w14:paraId="725FE752"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643A17E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D1282AC" w14:textId="77777777" w:rsidTr="00536849">
        <w:trPr>
          <w:trHeight w:val="227"/>
        </w:trPr>
        <w:tc>
          <w:tcPr>
            <w:tcW w:w="4186" w:type="dxa"/>
            <w:shd w:val="clear" w:color="auto" w:fill="auto"/>
            <w:vAlign w:val="center"/>
          </w:tcPr>
          <w:p w14:paraId="5F9BF7C4" w14:textId="77777777" w:rsidR="009A242A" w:rsidRPr="007E77AF" w:rsidRDefault="009A242A" w:rsidP="004301C4">
            <w:pPr>
              <w:rPr>
                <w:bCs/>
                <w:sz w:val="20"/>
                <w:szCs w:val="20"/>
                <w:lang w:eastAsia="en-US"/>
              </w:rPr>
            </w:pPr>
            <w:r w:rsidRPr="007E77AF">
              <w:rPr>
                <w:bCs/>
                <w:sz w:val="20"/>
                <w:szCs w:val="20"/>
                <w:lang w:eastAsia="en-US"/>
              </w:rPr>
              <w:t>Qual a data de divulgação do resultado do rateio?</w:t>
            </w:r>
          </w:p>
        </w:tc>
        <w:tc>
          <w:tcPr>
            <w:tcW w:w="4354" w:type="dxa"/>
            <w:shd w:val="clear" w:color="auto" w:fill="auto"/>
            <w:vAlign w:val="center"/>
          </w:tcPr>
          <w:p w14:paraId="7D7CFAC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vAlign w:val="center"/>
          </w:tcPr>
          <w:p w14:paraId="3EADD007" w14:textId="77777777" w:rsidR="009A242A" w:rsidRPr="007E77AF" w:rsidRDefault="009A242A" w:rsidP="00536849">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6525B39" w14:textId="77777777" w:rsidTr="491E246D">
        <w:trPr>
          <w:trHeight w:val="227"/>
        </w:trPr>
        <w:tc>
          <w:tcPr>
            <w:tcW w:w="4186" w:type="dxa"/>
            <w:shd w:val="clear" w:color="auto" w:fill="auto"/>
            <w:vAlign w:val="center"/>
            <w:hideMark/>
          </w:tcPr>
          <w:p w14:paraId="3A2BCA11"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4354" w:type="dxa"/>
            <w:shd w:val="clear" w:color="auto" w:fill="auto"/>
            <w:vAlign w:val="center"/>
            <w:hideMark/>
          </w:tcPr>
          <w:p w14:paraId="3CF3AFE3"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6BAF7CC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F6B6F1A" w14:textId="77777777" w:rsidTr="491E246D">
        <w:trPr>
          <w:trHeight w:val="227"/>
        </w:trPr>
        <w:tc>
          <w:tcPr>
            <w:tcW w:w="4186" w:type="dxa"/>
            <w:shd w:val="clear" w:color="auto" w:fill="auto"/>
            <w:vAlign w:val="center"/>
            <w:hideMark/>
          </w:tcPr>
          <w:p w14:paraId="60826276"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4354" w:type="dxa"/>
            <w:shd w:val="clear" w:color="auto" w:fill="auto"/>
            <w:vAlign w:val="center"/>
            <w:hideMark/>
          </w:tcPr>
          <w:p w14:paraId="05083105"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264D52B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C9C4350" w14:textId="77777777" w:rsidTr="491E246D">
        <w:trPr>
          <w:trHeight w:val="227"/>
        </w:trPr>
        <w:tc>
          <w:tcPr>
            <w:tcW w:w="4186" w:type="dxa"/>
            <w:shd w:val="clear" w:color="auto" w:fill="auto"/>
            <w:vAlign w:val="center"/>
            <w:hideMark/>
          </w:tcPr>
          <w:p w14:paraId="579227DD"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4354" w:type="dxa"/>
            <w:shd w:val="clear" w:color="auto" w:fill="auto"/>
            <w:vAlign w:val="center"/>
            <w:hideMark/>
          </w:tcPr>
          <w:p w14:paraId="1D102706"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vAlign w:val="center"/>
            <w:hideMark/>
          </w:tcPr>
          <w:p w14:paraId="0FB5CD93"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bl>
    <w:p w14:paraId="21CF35C5" w14:textId="77777777" w:rsidR="009A242A" w:rsidRPr="007E77AF" w:rsidRDefault="009A242A" w:rsidP="004301C4"/>
    <w:p w14:paraId="254E9B03" w14:textId="77777777" w:rsidR="009A242A" w:rsidRPr="007E77AF" w:rsidRDefault="009A242A" w:rsidP="00167D4B">
      <w:pPr>
        <w:pStyle w:val="Ttulo1"/>
      </w:pPr>
      <w:r w:rsidRPr="007E77AF">
        <w:br w:type="page"/>
      </w:r>
    </w:p>
    <w:p w14:paraId="539D90C4" w14:textId="31324B89" w:rsidR="009A242A" w:rsidRPr="007E77AF" w:rsidRDefault="009A242A" w:rsidP="00167D4B">
      <w:pPr>
        <w:pStyle w:val="Ttulo1"/>
        <w:rPr>
          <w:rFonts w:cstheme="minorBidi"/>
          <w:bCs/>
        </w:rPr>
      </w:pPr>
      <w:bookmarkStart w:id="389" w:name="_Toc476216359"/>
      <w:bookmarkStart w:id="390" w:name="_Toc108516081"/>
      <w:bookmarkStart w:id="391" w:name="_Toc108203112"/>
      <w:bookmarkStart w:id="392" w:name="_Toc136502852"/>
      <w:r w:rsidRPr="007E77AF">
        <w:lastRenderedPageBreak/>
        <w:t xml:space="preserve">ANEXO </w:t>
      </w:r>
      <w:r>
        <w:t>G</w:t>
      </w:r>
      <w:r w:rsidRPr="007E77AF">
        <w:t xml:space="preserve"> – LÂMINA DA OFERTA DE DÍVIDA</w:t>
      </w:r>
      <w:bookmarkEnd w:id="389"/>
      <w:bookmarkEnd w:id="390"/>
      <w:bookmarkEnd w:id="391"/>
      <w:bookmarkEnd w:id="392"/>
    </w:p>
    <w:p w14:paraId="5EC77E67" w14:textId="77777777" w:rsidR="009A242A" w:rsidRPr="007E77AF" w:rsidRDefault="009A242A" w:rsidP="001353DC"/>
    <w:p w14:paraId="26490F09" w14:textId="63464388" w:rsidR="009A242A" w:rsidRPr="007E77AF" w:rsidRDefault="009A242A" w:rsidP="00365082">
      <w:pPr>
        <w:jc w:val="center"/>
        <w:rPr>
          <w:i/>
        </w:rPr>
      </w:pPr>
      <w:r w:rsidRPr="007E77AF">
        <w:rPr>
          <w:i/>
          <w:lang w:eastAsia="en-US"/>
        </w:rPr>
        <w:t>Conteúdo da lâmina de oferta de títulos de dívida</w:t>
      </w:r>
      <w:r w:rsidRPr="007E77AF">
        <w:rPr>
          <w:i/>
        </w:rPr>
        <w:t xml:space="preserve">, conforme art. 23 da Resolução </w:t>
      </w:r>
      <w:r>
        <w:rPr>
          <w:i/>
        </w:rPr>
        <w:t>nº 160, de 2022</w:t>
      </w:r>
      <w:r w:rsidRPr="007E77AF">
        <w:rPr>
          <w:i/>
        </w:rPr>
        <w:t>.</w:t>
      </w:r>
    </w:p>
    <w:p w14:paraId="5BD28909" w14:textId="77777777" w:rsidR="009A242A" w:rsidRPr="007E77AF" w:rsidRDefault="009A242A" w:rsidP="004301C4"/>
    <w:tbl>
      <w:tblPr>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298"/>
        <w:gridCol w:w="4485"/>
        <w:gridCol w:w="1395"/>
      </w:tblGrid>
      <w:tr w:rsidR="009A242A" w:rsidRPr="007E77AF" w14:paraId="4B072748" w14:textId="77777777" w:rsidTr="491E246D">
        <w:trPr>
          <w:trHeight w:val="360"/>
        </w:trPr>
        <w:tc>
          <w:tcPr>
            <w:tcW w:w="10178" w:type="dxa"/>
            <w:gridSpan w:val="3"/>
            <w:shd w:val="clear" w:color="auto" w:fill="auto"/>
            <w:vAlign w:val="center"/>
            <w:hideMark/>
          </w:tcPr>
          <w:p w14:paraId="36E00406" w14:textId="4121B2F2" w:rsidR="009A242A" w:rsidRPr="007E77AF" w:rsidRDefault="009A242A" w:rsidP="004301C4">
            <w:pPr>
              <w:jc w:val="center"/>
              <w:rPr>
                <w:rFonts w:ascii="Calibri" w:hAnsi="Calibri"/>
                <w:b/>
              </w:rPr>
            </w:pPr>
            <w:r w:rsidRPr="007E77AF">
              <w:rPr>
                <w:rFonts w:ascii="Calibri" w:hAnsi="Calibri"/>
                <w:b/>
                <w:bCs/>
                <w:lang w:eastAsia="en-US"/>
              </w:rPr>
              <w:t xml:space="preserve">Informações Essenciais – Oferta </w:t>
            </w:r>
            <w:proofErr w:type="gramStart"/>
            <w:r w:rsidRPr="007E77AF">
              <w:rPr>
                <w:rFonts w:ascii="Calibri" w:hAnsi="Calibri"/>
                <w:b/>
                <w:bCs/>
                <w:lang w:eastAsia="en-US"/>
              </w:rPr>
              <w:t>[</w:t>
            </w:r>
            <w:r w:rsidR="000B023C" w:rsidRPr="007E77AF">
              <w:rPr>
                <w:rFonts w:ascii="Calibri" w:hAnsi="Calibri"/>
                <w:b/>
                <w:bCs/>
                <w:lang w:eastAsia="en-US"/>
              </w:rPr>
              <w:t>Prim</w:t>
            </w:r>
            <w:r w:rsidR="000B023C">
              <w:rPr>
                <w:rFonts w:ascii="Calibri" w:hAnsi="Calibri"/>
                <w:b/>
                <w:bCs/>
                <w:lang w:eastAsia="en-US"/>
              </w:rPr>
              <w:t>á</w:t>
            </w:r>
            <w:r w:rsidR="000B023C" w:rsidRPr="007E77AF">
              <w:rPr>
                <w:rFonts w:ascii="Calibri" w:hAnsi="Calibri"/>
                <w:b/>
                <w:bCs/>
                <w:lang w:eastAsia="en-US"/>
              </w:rPr>
              <w:t>ria</w:t>
            </w:r>
            <w:proofErr w:type="gramEnd"/>
            <w:r w:rsidRPr="007E77AF">
              <w:rPr>
                <w:rFonts w:ascii="Calibri" w:hAnsi="Calibri"/>
                <w:b/>
                <w:bCs/>
                <w:lang w:eastAsia="en-US"/>
              </w:rPr>
              <w:t>] [Secundária] de [Títulos de Dívida]</w:t>
            </w:r>
          </w:p>
        </w:tc>
      </w:tr>
      <w:tr w:rsidR="009A242A" w:rsidRPr="007E77AF" w14:paraId="3DDCC463" w14:textId="77777777" w:rsidTr="491E246D">
        <w:trPr>
          <w:trHeight w:val="825"/>
        </w:trPr>
        <w:tc>
          <w:tcPr>
            <w:tcW w:w="10178" w:type="dxa"/>
            <w:gridSpan w:val="3"/>
            <w:shd w:val="clear" w:color="auto" w:fill="auto"/>
            <w:vAlign w:val="center"/>
            <w:hideMark/>
          </w:tcPr>
          <w:p w14:paraId="6C7ACB79"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e deve ser lida como uma introdução ao prospecto da oferta. A decisão de investimento deve levar em consideração as informações constantes do prospecto, principalmente a seção relativa a fatores de risco.</w:t>
            </w:r>
          </w:p>
        </w:tc>
      </w:tr>
      <w:tr w:rsidR="009A242A" w:rsidRPr="007E77AF" w14:paraId="5B77A4EB" w14:textId="77777777" w:rsidTr="491E246D">
        <w:trPr>
          <w:trHeight w:val="270"/>
        </w:trPr>
        <w:tc>
          <w:tcPr>
            <w:tcW w:w="10178" w:type="dxa"/>
            <w:gridSpan w:val="3"/>
            <w:shd w:val="clear" w:color="auto" w:fill="auto"/>
            <w:vAlign w:val="center"/>
            <w:hideMark/>
          </w:tcPr>
          <w:p w14:paraId="5966E54D"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9A242A" w:rsidRPr="007E77AF" w14:paraId="7CE95CD7" w14:textId="77777777" w:rsidTr="491E246D">
        <w:trPr>
          <w:trHeight w:val="270"/>
        </w:trPr>
        <w:tc>
          <w:tcPr>
            <w:tcW w:w="4298" w:type="dxa"/>
            <w:vMerge w:val="restart"/>
            <w:shd w:val="clear" w:color="auto" w:fill="auto"/>
            <w:vAlign w:val="center"/>
            <w:hideMark/>
          </w:tcPr>
          <w:p w14:paraId="17FEC56F" w14:textId="77777777" w:rsidR="009A242A" w:rsidRPr="007E77AF" w:rsidRDefault="009A242A" w:rsidP="004301C4">
            <w:pPr>
              <w:jc w:val="center"/>
              <w:rPr>
                <w:bCs/>
                <w:sz w:val="20"/>
                <w:szCs w:val="20"/>
                <w:lang w:eastAsia="en-US"/>
              </w:rPr>
            </w:pPr>
            <w:r w:rsidRPr="007E77AF">
              <w:rPr>
                <w:bCs/>
                <w:sz w:val="20"/>
                <w:szCs w:val="20"/>
                <w:lang w:eastAsia="en-US"/>
              </w:rPr>
              <w:t>Risco de</w:t>
            </w:r>
          </w:p>
        </w:tc>
        <w:tc>
          <w:tcPr>
            <w:tcW w:w="4485" w:type="dxa"/>
            <w:shd w:val="clear" w:color="auto" w:fill="auto"/>
            <w:vAlign w:val="center"/>
            <w:hideMark/>
          </w:tcPr>
          <w:p w14:paraId="23E8E2AE"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perda do principal</w:t>
            </w:r>
          </w:p>
        </w:tc>
        <w:tc>
          <w:tcPr>
            <w:tcW w:w="1395" w:type="dxa"/>
            <w:shd w:val="clear" w:color="auto" w:fill="auto"/>
            <w:vAlign w:val="center"/>
            <w:hideMark/>
          </w:tcPr>
          <w:p w14:paraId="384CFF42"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A6A43AA" w14:textId="77777777" w:rsidTr="491E246D">
        <w:trPr>
          <w:trHeight w:val="270"/>
        </w:trPr>
        <w:tc>
          <w:tcPr>
            <w:tcW w:w="4298" w:type="dxa"/>
            <w:vMerge/>
            <w:vAlign w:val="center"/>
            <w:hideMark/>
          </w:tcPr>
          <w:p w14:paraId="1F9BAA74" w14:textId="77777777" w:rsidR="009A242A" w:rsidRPr="007E77AF" w:rsidRDefault="009A242A" w:rsidP="004301C4">
            <w:pPr>
              <w:jc w:val="center"/>
              <w:rPr>
                <w:bCs/>
                <w:sz w:val="20"/>
                <w:szCs w:val="20"/>
                <w:lang w:eastAsia="en-US"/>
              </w:rPr>
            </w:pPr>
          </w:p>
        </w:tc>
        <w:tc>
          <w:tcPr>
            <w:tcW w:w="4485" w:type="dxa"/>
            <w:shd w:val="clear" w:color="auto" w:fill="auto"/>
            <w:vAlign w:val="center"/>
            <w:hideMark/>
          </w:tcPr>
          <w:p w14:paraId="31E6F1D8"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falta de liquidez</w:t>
            </w:r>
          </w:p>
        </w:tc>
        <w:tc>
          <w:tcPr>
            <w:tcW w:w="1395" w:type="dxa"/>
            <w:shd w:val="clear" w:color="auto" w:fill="auto"/>
            <w:vAlign w:val="center"/>
            <w:hideMark/>
          </w:tcPr>
          <w:p w14:paraId="03D8ACCF"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4E032CBC" w14:textId="77777777" w:rsidTr="491E246D">
        <w:trPr>
          <w:trHeight w:val="270"/>
        </w:trPr>
        <w:tc>
          <w:tcPr>
            <w:tcW w:w="4298" w:type="dxa"/>
            <w:vMerge/>
            <w:vAlign w:val="center"/>
            <w:hideMark/>
          </w:tcPr>
          <w:p w14:paraId="49B288A7" w14:textId="77777777" w:rsidR="009A242A" w:rsidRPr="007E77AF" w:rsidRDefault="009A242A" w:rsidP="004301C4">
            <w:pPr>
              <w:jc w:val="center"/>
              <w:rPr>
                <w:bCs/>
                <w:sz w:val="20"/>
                <w:szCs w:val="20"/>
                <w:lang w:eastAsia="en-US"/>
              </w:rPr>
            </w:pPr>
          </w:p>
        </w:tc>
        <w:tc>
          <w:tcPr>
            <w:tcW w:w="4485" w:type="dxa"/>
            <w:shd w:val="clear" w:color="auto" w:fill="auto"/>
            <w:vAlign w:val="center"/>
            <w:hideMark/>
          </w:tcPr>
          <w:p w14:paraId="61315BD6"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dificuldade de entendimento</w:t>
            </w:r>
          </w:p>
        </w:tc>
        <w:tc>
          <w:tcPr>
            <w:tcW w:w="1395" w:type="dxa"/>
            <w:shd w:val="clear" w:color="auto" w:fill="auto"/>
            <w:vAlign w:val="center"/>
            <w:hideMark/>
          </w:tcPr>
          <w:p w14:paraId="3D9D1388"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F70CDFE" w14:textId="77777777" w:rsidTr="491E246D">
        <w:trPr>
          <w:trHeight w:val="765"/>
        </w:trPr>
        <w:tc>
          <w:tcPr>
            <w:tcW w:w="4298" w:type="dxa"/>
            <w:shd w:val="clear" w:color="auto" w:fill="auto"/>
            <w:vAlign w:val="center"/>
            <w:hideMark/>
          </w:tcPr>
          <w:p w14:paraId="6AD80A73" w14:textId="77777777" w:rsidR="009A242A" w:rsidRPr="007E77AF" w:rsidRDefault="009A242A" w:rsidP="004301C4">
            <w:pPr>
              <w:jc w:val="center"/>
              <w:rPr>
                <w:b/>
                <w:sz w:val="20"/>
                <w:szCs w:val="20"/>
                <w:lang w:eastAsia="en-US"/>
              </w:rPr>
            </w:pPr>
            <w:r w:rsidRPr="007E77AF">
              <w:rPr>
                <w:b/>
                <w:sz w:val="20"/>
                <w:szCs w:val="20"/>
                <w:lang w:eastAsia="en-US"/>
              </w:rPr>
              <w:t>Aviso para ofertas distribuídas por rito de registro automático</w:t>
            </w:r>
          </w:p>
        </w:tc>
        <w:tc>
          <w:tcPr>
            <w:tcW w:w="4485" w:type="dxa"/>
            <w:shd w:val="clear" w:color="auto" w:fill="auto"/>
            <w:vAlign w:val="center"/>
            <w:hideMark/>
          </w:tcPr>
          <w:p w14:paraId="7D15DC07" w14:textId="77777777" w:rsidR="009A242A" w:rsidRPr="007E77AF" w:rsidRDefault="009A242A" w:rsidP="004301C4">
            <w:pPr>
              <w:rPr>
                <w:b/>
                <w:bCs/>
                <w:sz w:val="20"/>
                <w:szCs w:val="20"/>
                <w:lang w:eastAsia="en-US"/>
              </w:rPr>
            </w:pPr>
            <w:r w:rsidRPr="007E77AF">
              <w:rPr>
                <w:b/>
                <w:bCs/>
                <w:sz w:val="20"/>
                <w:szCs w:val="20"/>
                <w:lang w:eastAsia="en-US"/>
              </w:rPr>
              <w:t>A CVM não realizou análise prévia do conteúdo do prospecto, nem dos documentos da oferta.</w:t>
            </w:r>
          </w:p>
          <w:p w14:paraId="4AA6FB4B" w14:textId="77777777" w:rsidR="009A242A" w:rsidRPr="007E77AF" w:rsidRDefault="009A242A" w:rsidP="004301C4">
            <w:pPr>
              <w:rPr>
                <w:b/>
                <w:bCs/>
                <w:sz w:val="20"/>
                <w:szCs w:val="20"/>
                <w:lang w:eastAsia="en-US"/>
              </w:rPr>
            </w:pPr>
            <w:r w:rsidRPr="007E77AF">
              <w:rPr>
                <w:b/>
                <w:bCs/>
                <w:sz w:val="20"/>
                <w:szCs w:val="20"/>
                <w:lang w:eastAsia="en-US"/>
              </w:rPr>
              <w:t>Há restrições à revenda dos títulos de dívida.</w:t>
            </w:r>
          </w:p>
        </w:tc>
        <w:tc>
          <w:tcPr>
            <w:tcW w:w="1395" w:type="dxa"/>
            <w:shd w:val="clear" w:color="auto" w:fill="auto"/>
            <w:vAlign w:val="center"/>
            <w:hideMark/>
          </w:tcPr>
          <w:p w14:paraId="030344BE" w14:textId="77777777" w:rsidR="009A242A" w:rsidRPr="007E77AF" w:rsidRDefault="009A242A" w:rsidP="004301C4">
            <w:pPr>
              <w:jc w:val="center"/>
              <w:rPr>
                <w:bCs/>
                <w:sz w:val="20"/>
                <w:szCs w:val="20"/>
                <w:lang w:eastAsia="en-US"/>
              </w:rPr>
            </w:pPr>
          </w:p>
        </w:tc>
      </w:tr>
      <w:tr w:rsidR="009A242A" w:rsidRPr="007E77AF" w14:paraId="5116B450" w14:textId="77777777" w:rsidTr="491E246D">
        <w:trPr>
          <w:trHeight w:val="270"/>
        </w:trPr>
        <w:tc>
          <w:tcPr>
            <w:tcW w:w="8783" w:type="dxa"/>
            <w:gridSpan w:val="2"/>
            <w:shd w:val="clear" w:color="auto" w:fill="auto"/>
            <w:vAlign w:val="center"/>
            <w:hideMark/>
          </w:tcPr>
          <w:p w14:paraId="159B601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95" w:type="dxa"/>
            <w:shd w:val="clear" w:color="auto" w:fill="auto"/>
            <w:vAlign w:val="center"/>
            <w:hideMark/>
          </w:tcPr>
          <w:p w14:paraId="04C33D6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A023BEB" w14:textId="77777777" w:rsidTr="491E246D">
        <w:trPr>
          <w:trHeight w:val="227"/>
        </w:trPr>
        <w:tc>
          <w:tcPr>
            <w:tcW w:w="4298" w:type="dxa"/>
            <w:shd w:val="clear" w:color="auto" w:fill="auto"/>
            <w:vAlign w:val="center"/>
            <w:hideMark/>
          </w:tcPr>
          <w:p w14:paraId="6F10477D" w14:textId="77777777" w:rsidR="009A242A" w:rsidRPr="007E77AF" w:rsidRDefault="009A242A" w:rsidP="004301C4">
            <w:pPr>
              <w:rPr>
                <w:bCs/>
                <w:sz w:val="20"/>
                <w:szCs w:val="20"/>
                <w:lang w:eastAsia="en-US"/>
              </w:rPr>
            </w:pPr>
            <w:r w:rsidRPr="007E77AF">
              <w:rPr>
                <w:bCs/>
                <w:sz w:val="20"/>
                <w:szCs w:val="20"/>
                <w:lang w:eastAsia="en-US"/>
              </w:rPr>
              <w:t>A. Valor Mobiliário</w:t>
            </w:r>
          </w:p>
        </w:tc>
        <w:tc>
          <w:tcPr>
            <w:tcW w:w="4485" w:type="dxa"/>
            <w:shd w:val="clear" w:color="auto" w:fill="auto"/>
            <w:vAlign w:val="center"/>
            <w:hideMark/>
          </w:tcPr>
          <w:p w14:paraId="5E936BDD" w14:textId="77777777" w:rsidR="009A242A" w:rsidRPr="007E77AF" w:rsidRDefault="009A242A" w:rsidP="004301C4">
            <w:pPr>
              <w:jc w:val="center"/>
              <w:rPr>
                <w:bCs/>
                <w:sz w:val="20"/>
                <w:szCs w:val="20"/>
                <w:lang w:eastAsia="en-US"/>
              </w:rPr>
            </w:pPr>
            <w:proofErr w:type="gramStart"/>
            <w:r w:rsidRPr="007E77AF">
              <w:rPr>
                <w:sz w:val="20"/>
              </w:rPr>
              <w:t>[  ]</w:t>
            </w:r>
            <w:proofErr w:type="gramEnd"/>
            <w:r w:rsidRPr="007E77AF">
              <w:rPr>
                <w:sz w:val="20"/>
              </w:rPr>
              <w:t xml:space="preserve"> Debêntures / [  </w:t>
            </w:r>
            <w:r w:rsidRPr="007E77AF">
              <w:rPr>
                <w:rFonts w:cstheme="minorBidi"/>
                <w:sz w:val="20"/>
                <w:szCs w:val="20"/>
                <w:lang w:eastAsia="en-US"/>
              </w:rPr>
              <w:t>] debêntures conversíveis ou permutáveis em ações/</w:t>
            </w:r>
            <w:r w:rsidRPr="007E77AF">
              <w:rPr>
                <w:sz w:val="20"/>
                <w:szCs w:val="20"/>
                <w:lang w:eastAsia="en-US"/>
              </w:rPr>
              <w:t xml:space="preserve"> [  </w:t>
            </w:r>
            <w:r w:rsidRPr="007E77AF">
              <w:rPr>
                <w:sz w:val="20"/>
              </w:rPr>
              <w:t xml:space="preserve"> ] Notas Comerciais / [  ] outro (descrever)</w:t>
            </w:r>
          </w:p>
        </w:tc>
        <w:tc>
          <w:tcPr>
            <w:tcW w:w="1395" w:type="dxa"/>
            <w:shd w:val="clear" w:color="auto" w:fill="auto"/>
            <w:vAlign w:val="center"/>
            <w:hideMark/>
          </w:tcPr>
          <w:p w14:paraId="589DD50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do prospecto</w:t>
            </w:r>
          </w:p>
        </w:tc>
      </w:tr>
      <w:tr w:rsidR="009A242A" w:rsidRPr="007E77AF" w14:paraId="3E086341" w14:textId="77777777" w:rsidTr="491E246D">
        <w:trPr>
          <w:trHeight w:val="227"/>
        </w:trPr>
        <w:tc>
          <w:tcPr>
            <w:tcW w:w="4298" w:type="dxa"/>
            <w:shd w:val="clear" w:color="auto" w:fill="auto"/>
            <w:vAlign w:val="center"/>
          </w:tcPr>
          <w:p w14:paraId="02C18010" w14:textId="77777777" w:rsidR="009A242A" w:rsidRPr="007E77AF" w:rsidRDefault="009A242A" w:rsidP="004301C4">
            <w:pPr>
              <w:rPr>
                <w:bCs/>
                <w:sz w:val="20"/>
                <w:szCs w:val="20"/>
                <w:lang w:eastAsia="en-US"/>
              </w:rPr>
            </w:pPr>
            <w:r w:rsidRPr="007E77AF">
              <w:rPr>
                <w:bCs/>
                <w:sz w:val="20"/>
                <w:szCs w:val="20"/>
                <w:lang w:eastAsia="en-US"/>
              </w:rPr>
              <w:t>a.1) Emissor</w:t>
            </w:r>
          </w:p>
        </w:tc>
        <w:tc>
          <w:tcPr>
            <w:tcW w:w="4485" w:type="dxa"/>
            <w:shd w:val="clear" w:color="auto" w:fill="auto"/>
            <w:vAlign w:val="center"/>
          </w:tcPr>
          <w:p w14:paraId="545AA98C" w14:textId="77777777" w:rsidR="009A242A" w:rsidRPr="007E77AF" w:rsidRDefault="009A242A" w:rsidP="004301C4">
            <w:pPr>
              <w:jc w:val="center"/>
              <w:rPr>
                <w:bCs/>
                <w:sz w:val="20"/>
                <w:szCs w:val="20"/>
                <w:lang w:eastAsia="en-US"/>
              </w:rPr>
            </w:pPr>
            <w:r w:rsidRPr="007E77AF">
              <w:rPr>
                <w:rFonts w:cstheme="minorBidi"/>
                <w:sz w:val="20"/>
                <w:szCs w:val="20"/>
                <w:lang w:eastAsia="en-US"/>
              </w:rPr>
              <w:t>Nome, CNPJ e página eletrônica</w:t>
            </w:r>
          </w:p>
        </w:tc>
        <w:tc>
          <w:tcPr>
            <w:tcW w:w="1395" w:type="dxa"/>
            <w:shd w:val="clear" w:color="auto" w:fill="auto"/>
            <w:vAlign w:val="center"/>
          </w:tcPr>
          <w:p w14:paraId="3527417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8234845" w14:textId="77777777" w:rsidTr="491E246D">
        <w:trPr>
          <w:trHeight w:val="227"/>
        </w:trPr>
        <w:tc>
          <w:tcPr>
            <w:tcW w:w="4298" w:type="dxa"/>
            <w:shd w:val="clear" w:color="auto" w:fill="auto"/>
            <w:vAlign w:val="center"/>
          </w:tcPr>
          <w:p w14:paraId="62D47E57" w14:textId="77777777" w:rsidR="009A242A" w:rsidRPr="007E77AF" w:rsidRDefault="009A242A" w:rsidP="004301C4">
            <w:pPr>
              <w:rPr>
                <w:bCs/>
                <w:sz w:val="20"/>
                <w:szCs w:val="20"/>
                <w:lang w:eastAsia="en-US"/>
              </w:rPr>
            </w:pPr>
            <w:r w:rsidRPr="007E77AF">
              <w:rPr>
                <w:bCs/>
                <w:sz w:val="20"/>
                <w:szCs w:val="20"/>
                <w:lang w:eastAsia="en-US"/>
              </w:rPr>
              <w:t>a.2) Espécie</w:t>
            </w:r>
          </w:p>
        </w:tc>
        <w:tc>
          <w:tcPr>
            <w:tcW w:w="4485" w:type="dxa"/>
            <w:shd w:val="clear" w:color="auto" w:fill="auto"/>
            <w:vAlign w:val="center"/>
          </w:tcPr>
          <w:p w14:paraId="0CFFC59F" w14:textId="77777777" w:rsidR="009A242A" w:rsidRPr="007E77AF" w:rsidRDefault="009A242A" w:rsidP="004301C4">
            <w:pPr>
              <w:jc w:val="center"/>
              <w:rPr>
                <w:rFonts w:cstheme="minorBidi"/>
                <w:sz w:val="20"/>
                <w:szCs w:val="20"/>
                <w:lang w:eastAsia="en-US"/>
              </w:rPr>
            </w:pPr>
          </w:p>
        </w:tc>
        <w:tc>
          <w:tcPr>
            <w:tcW w:w="1395" w:type="dxa"/>
            <w:shd w:val="clear" w:color="auto" w:fill="auto"/>
            <w:vAlign w:val="center"/>
          </w:tcPr>
          <w:p w14:paraId="4B4D1B76" w14:textId="77777777" w:rsidR="009A242A" w:rsidRPr="007E77AF" w:rsidRDefault="009A242A" w:rsidP="004301C4">
            <w:pPr>
              <w:jc w:val="center"/>
              <w:rPr>
                <w:bCs/>
                <w:sz w:val="20"/>
                <w:szCs w:val="20"/>
                <w:lang w:eastAsia="en-US"/>
              </w:rPr>
            </w:pPr>
          </w:p>
        </w:tc>
      </w:tr>
      <w:tr w:rsidR="009A242A" w:rsidRPr="007E77AF" w14:paraId="512B6E9A" w14:textId="77777777" w:rsidTr="491E246D">
        <w:trPr>
          <w:trHeight w:val="227"/>
        </w:trPr>
        <w:tc>
          <w:tcPr>
            <w:tcW w:w="4298" w:type="dxa"/>
            <w:shd w:val="clear" w:color="auto" w:fill="auto"/>
            <w:vAlign w:val="center"/>
            <w:hideMark/>
          </w:tcPr>
          <w:p w14:paraId="2C986712" w14:textId="77777777" w:rsidR="009A242A" w:rsidRPr="007E77AF" w:rsidRDefault="009A242A" w:rsidP="004301C4">
            <w:pPr>
              <w:rPr>
                <w:bCs/>
                <w:sz w:val="20"/>
                <w:szCs w:val="20"/>
                <w:lang w:eastAsia="en-US"/>
              </w:rPr>
            </w:pPr>
            <w:r w:rsidRPr="007E77AF">
              <w:rPr>
                <w:bCs/>
                <w:sz w:val="20"/>
                <w:szCs w:val="20"/>
                <w:lang w:eastAsia="en-US"/>
              </w:rPr>
              <w:t>B. Oferta</w:t>
            </w:r>
          </w:p>
        </w:tc>
        <w:tc>
          <w:tcPr>
            <w:tcW w:w="4485" w:type="dxa"/>
            <w:shd w:val="clear" w:color="auto" w:fill="auto"/>
            <w:vAlign w:val="center"/>
            <w:hideMark/>
          </w:tcPr>
          <w:p w14:paraId="6DB6D582"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1A29D05E" w14:textId="77777777" w:rsidR="009A242A" w:rsidRPr="007E77AF" w:rsidRDefault="009A242A" w:rsidP="004301C4">
            <w:pPr>
              <w:jc w:val="center"/>
              <w:rPr>
                <w:bCs/>
                <w:sz w:val="20"/>
                <w:szCs w:val="20"/>
                <w:lang w:eastAsia="en-US"/>
              </w:rPr>
            </w:pPr>
          </w:p>
        </w:tc>
      </w:tr>
      <w:tr w:rsidR="009A242A" w:rsidRPr="007E77AF" w14:paraId="19B369A5" w14:textId="77777777" w:rsidTr="491E246D">
        <w:trPr>
          <w:trHeight w:val="227"/>
        </w:trPr>
        <w:tc>
          <w:tcPr>
            <w:tcW w:w="4298" w:type="dxa"/>
            <w:shd w:val="clear" w:color="auto" w:fill="auto"/>
            <w:vAlign w:val="center"/>
            <w:hideMark/>
          </w:tcPr>
          <w:p w14:paraId="0A3EFC97" w14:textId="77777777" w:rsidR="009A242A" w:rsidRPr="007E77AF" w:rsidRDefault="009A242A" w:rsidP="004301C4">
            <w:pPr>
              <w:rPr>
                <w:bCs/>
                <w:sz w:val="20"/>
                <w:szCs w:val="20"/>
                <w:lang w:eastAsia="en-US"/>
              </w:rPr>
            </w:pPr>
            <w:r w:rsidRPr="007E77AF">
              <w:rPr>
                <w:bCs/>
                <w:sz w:val="20"/>
                <w:szCs w:val="20"/>
                <w:lang w:eastAsia="en-US"/>
              </w:rPr>
              <w:t>b.1) Série 1</w:t>
            </w:r>
          </w:p>
        </w:tc>
        <w:tc>
          <w:tcPr>
            <w:tcW w:w="4485" w:type="dxa"/>
            <w:shd w:val="clear" w:color="auto" w:fill="auto"/>
            <w:vAlign w:val="center"/>
            <w:hideMark/>
          </w:tcPr>
          <w:p w14:paraId="2D6CDCE3"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4462B480" w14:textId="77777777" w:rsidR="009A242A" w:rsidRPr="007E77AF" w:rsidRDefault="009A242A" w:rsidP="004301C4">
            <w:pPr>
              <w:jc w:val="center"/>
              <w:rPr>
                <w:bCs/>
                <w:sz w:val="20"/>
                <w:szCs w:val="20"/>
                <w:lang w:eastAsia="en-US"/>
              </w:rPr>
            </w:pPr>
          </w:p>
        </w:tc>
      </w:tr>
      <w:tr w:rsidR="009A242A" w:rsidRPr="007E77AF" w14:paraId="3C287971" w14:textId="77777777" w:rsidTr="491E246D">
        <w:trPr>
          <w:trHeight w:val="227"/>
        </w:trPr>
        <w:tc>
          <w:tcPr>
            <w:tcW w:w="4298" w:type="dxa"/>
            <w:shd w:val="clear" w:color="auto" w:fill="auto"/>
            <w:vAlign w:val="center"/>
            <w:hideMark/>
          </w:tcPr>
          <w:p w14:paraId="12E89BF0" w14:textId="77777777" w:rsidR="009A242A" w:rsidRPr="007E77AF" w:rsidRDefault="009A242A" w:rsidP="004301C4">
            <w:pPr>
              <w:rPr>
                <w:bCs/>
                <w:sz w:val="20"/>
                <w:szCs w:val="20"/>
                <w:lang w:eastAsia="en-US"/>
              </w:rPr>
            </w:pPr>
            <w:r w:rsidRPr="007E77AF">
              <w:rPr>
                <w:bCs/>
                <w:sz w:val="20"/>
                <w:szCs w:val="20"/>
                <w:lang w:eastAsia="en-US"/>
              </w:rPr>
              <w:t xml:space="preserve">b.1.1) Código de negociação proposto </w:t>
            </w:r>
          </w:p>
        </w:tc>
        <w:tc>
          <w:tcPr>
            <w:tcW w:w="4485" w:type="dxa"/>
            <w:shd w:val="clear" w:color="auto" w:fill="auto"/>
            <w:vAlign w:val="center"/>
            <w:hideMark/>
          </w:tcPr>
          <w:p w14:paraId="00B2F41F" w14:textId="77777777" w:rsidR="009A242A" w:rsidRPr="007E77AF" w:rsidRDefault="009A242A" w:rsidP="004301C4">
            <w:pPr>
              <w:jc w:val="center"/>
              <w:rPr>
                <w:bCs/>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1395" w:type="dxa"/>
            <w:shd w:val="clear" w:color="auto" w:fill="auto"/>
            <w:vAlign w:val="center"/>
            <w:hideMark/>
          </w:tcPr>
          <w:p w14:paraId="6C4C09F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0AE8DD9" w14:textId="77777777" w:rsidTr="491E246D">
        <w:trPr>
          <w:trHeight w:val="227"/>
        </w:trPr>
        <w:tc>
          <w:tcPr>
            <w:tcW w:w="4298" w:type="dxa"/>
            <w:shd w:val="clear" w:color="auto" w:fill="auto"/>
            <w:vAlign w:val="center"/>
            <w:hideMark/>
          </w:tcPr>
          <w:p w14:paraId="77C7C887" w14:textId="77777777" w:rsidR="009A242A" w:rsidRPr="007E77AF" w:rsidRDefault="009A242A" w:rsidP="004301C4">
            <w:pPr>
              <w:rPr>
                <w:bCs/>
                <w:sz w:val="20"/>
                <w:szCs w:val="20"/>
                <w:lang w:eastAsia="en-US"/>
              </w:rPr>
            </w:pPr>
            <w:r w:rsidRPr="007E77AF">
              <w:rPr>
                <w:bCs/>
                <w:sz w:val="20"/>
                <w:szCs w:val="20"/>
                <w:lang w:eastAsia="en-US"/>
              </w:rPr>
              <w:t>b.1.2) Mercado de negociação</w:t>
            </w:r>
          </w:p>
        </w:tc>
        <w:tc>
          <w:tcPr>
            <w:tcW w:w="4485" w:type="dxa"/>
            <w:shd w:val="clear" w:color="auto" w:fill="auto"/>
            <w:vAlign w:val="center"/>
            <w:hideMark/>
          </w:tcPr>
          <w:p w14:paraId="4664D323" w14:textId="77777777" w:rsidR="009A242A" w:rsidRPr="007E77AF" w:rsidRDefault="009A242A" w:rsidP="004301C4">
            <w:pPr>
              <w:jc w:val="center"/>
              <w:rPr>
                <w:bCs/>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nome fantasia / [ ] não será negociado em mercado organizado</w:t>
            </w:r>
          </w:p>
        </w:tc>
        <w:tc>
          <w:tcPr>
            <w:tcW w:w="1395" w:type="dxa"/>
            <w:shd w:val="clear" w:color="auto" w:fill="auto"/>
            <w:vAlign w:val="center"/>
            <w:hideMark/>
          </w:tcPr>
          <w:p w14:paraId="2504B55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99E0830" w14:textId="77777777" w:rsidTr="491E246D">
        <w:trPr>
          <w:trHeight w:val="227"/>
        </w:trPr>
        <w:tc>
          <w:tcPr>
            <w:tcW w:w="4298" w:type="dxa"/>
            <w:shd w:val="clear" w:color="auto" w:fill="auto"/>
            <w:vAlign w:val="center"/>
          </w:tcPr>
          <w:p w14:paraId="0384883D" w14:textId="77777777" w:rsidR="009A242A" w:rsidRPr="007E77AF" w:rsidRDefault="009A242A" w:rsidP="004301C4">
            <w:pPr>
              <w:rPr>
                <w:bCs/>
                <w:sz w:val="20"/>
                <w:szCs w:val="20"/>
                <w:lang w:eastAsia="en-US"/>
              </w:rPr>
            </w:pPr>
            <w:r w:rsidRPr="007E77AF">
              <w:rPr>
                <w:bCs/>
                <w:sz w:val="20"/>
                <w:szCs w:val="20"/>
                <w:lang w:eastAsia="en-US"/>
              </w:rPr>
              <w:t>b.1.3) Quantidade ofertada – lote base</w:t>
            </w:r>
          </w:p>
        </w:tc>
        <w:tc>
          <w:tcPr>
            <w:tcW w:w="4485" w:type="dxa"/>
            <w:shd w:val="clear" w:color="auto" w:fill="auto"/>
            <w:vAlign w:val="center"/>
          </w:tcPr>
          <w:p w14:paraId="0E6B4DC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Número inteiro, sem casas decimais</w:t>
            </w:r>
          </w:p>
        </w:tc>
        <w:tc>
          <w:tcPr>
            <w:tcW w:w="1395" w:type="dxa"/>
            <w:shd w:val="clear" w:color="auto" w:fill="auto"/>
          </w:tcPr>
          <w:p w14:paraId="4594697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A018C6F" w14:textId="77777777" w:rsidTr="491E246D">
        <w:trPr>
          <w:trHeight w:val="227"/>
        </w:trPr>
        <w:tc>
          <w:tcPr>
            <w:tcW w:w="4298" w:type="dxa"/>
            <w:shd w:val="clear" w:color="auto" w:fill="auto"/>
            <w:vAlign w:val="center"/>
          </w:tcPr>
          <w:p w14:paraId="6EAD081B" w14:textId="77777777" w:rsidR="009A242A" w:rsidRPr="007E77AF" w:rsidRDefault="009A242A" w:rsidP="004301C4">
            <w:pPr>
              <w:rPr>
                <w:bCs/>
                <w:sz w:val="20"/>
                <w:szCs w:val="20"/>
                <w:lang w:eastAsia="en-US"/>
              </w:rPr>
            </w:pPr>
            <w:r w:rsidRPr="007E77AF">
              <w:rPr>
                <w:bCs/>
                <w:sz w:val="20"/>
                <w:szCs w:val="20"/>
                <w:lang w:eastAsia="en-US"/>
              </w:rPr>
              <w:t>b.1.4) Preço (intervalo)</w:t>
            </w:r>
            <w:r w:rsidRPr="007E77AF" w:rsidDel="0050611E">
              <w:rPr>
                <w:bCs/>
                <w:sz w:val="20"/>
                <w:szCs w:val="20"/>
                <w:lang w:eastAsia="en-US"/>
              </w:rPr>
              <w:t xml:space="preserve"> </w:t>
            </w:r>
          </w:p>
        </w:tc>
        <w:tc>
          <w:tcPr>
            <w:tcW w:w="4485" w:type="dxa"/>
            <w:shd w:val="clear" w:color="auto" w:fill="auto"/>
            <w:vAlign w:val="center"/>
          </w:tcPr>
          <w:p w14:paraId="7F1CD882"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395" w:type="dxa"/>
            <w:shd w:val="clear" w:color="auto" w:fill="auto"/>
          </w:tcPr>
          <w:p w14:paraId="10AAF83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95C8B17" w14:textId="77777777" w:rsidTr="491E246D">
        <w:trPr>
          <w:trHeight w:val="227"/>
        </w:trPr>
        <w:tc>
          <w:tcPr>
            <w:tcW w:w="4298" w:type="dxa"/>
            <w:shd w:val="clear" w:color="auto" w:fill="auto"/>
            <w:vAlign w:val="center"/>
            <w:hideMark/>
          </w:tcPr>
          <w:p w14:paraId="78753D1C" w14:textId="77777777" w:rsidR="009A242A" w:rsidRPr="007E77AF" w:rsidRDefault="009A242A" w:rsidP="004301C4">
            <w:pPr>
              <w:rPr>
                <w:bCs/>
                <w:sz w:val="20"/>
                <w:szCs w:val="20"/>
                <w:lang w:eastAsia="en-US"/>
              </w:rPr>
            </w:pPr>
            <w:r w:rsidRPr="007E77AF">
              <w:rPr>
                <w:bCs/>
                <w:sz w:val="20"/>
                <w:szCs w:val="20"/>
                <w:lang w:eastAsia="en-US"/>
              </w:rPr>
              <w:t>b.1.5) Taxa de remuneração(intervalo)</w:t>
            </w:r>
          </w:p>
        </w:tc>
        <w:tc>
          <w:tcPr>
            <w:tcW w:w="4485" w:type="dxa"/>
            <w:shd w:val="clear" w:color="auto" w:fill="auto"/>
            <w:vAlign w:val="center"/>
            <w:hideMark/>
          </w:tcPr>
          <w:p w14:paraId="44B6639E" w14:textId="77777777" w:rsidR="009A242A" w:rsidRPr="007E77AF" w:rsidRDefault="009A242A" w:rsidP="004301C4">
            <w:pPr>
              <w:jc w:val="center"/>
              <w:rPr>
                <w:bCs/>
                <w:sz w:val="20"/>
                <w:szCs w:val="20"/>
                <w:lang w:eastAsia="en-US"/>
              </w:rPr>
            </w:pPr>
            <w:r w:rsidRPr="007E77AF">
              <w:rPr>
                <w:bCs/>
                <w:sz w:val="20"/>
                <w:szCs w:val="20"/>
                <w:lang w:eastAsia="en-US"/>
              </w:rPr>
              <w:t>Percentual (</w:t>
            </w:r>
            <w:r w:rsidRPr="007E77AF">
              <w:rPr>
                <w:rFonts w:cstheme="minorBidi"/>
                <w:sz w:val="20"/>
                <w:szCs w:val="20"/>
                <w:lang w:eastAsia="en-US"/>
              </w:rPr>
              <w:t>até seis casas decimais)</w:t>
            </w:r>
          </w:p>
        </w:tc>
        <w:tc>
          <w:tcPr>
            <w:tcW w:w="1395" w:type="dxa"/>
            <w:shd w:val="clear" w:color="auto" w:fill="auto"/>
            <w:hideMark/>
          </w:tcPr>
          <w:p w14:paraId="2418756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010C885" w14:textId="77777777" w:rsidTr="491E246D">
        <w:trPr>
          <w:trHeight w:val="227"/>
        </w:trPr>
        <w:tc>
          <w:tcPr>
            <w:tcW w:w="4298" w:type="dxa"/>
            <w:shd w:val="clear" w:color="auto" w:fill="auto"/>
            <w:vAlign w:val="center"/>
            <w:hideMark/>
          </w:tcPr>
          <w:p w14:paraId="4E50E4AB" w14:textId="77777777" w:rsidR="009A242A" w:rsidRPr="007E77AF" w:rsidRDefault="009A242A" w:rsidP="004301C4">
            <w:pPr>
              <w:rPr>
                <w:bCs/>
                <w:sz w:val="20"/>
                <w:szCs w:val="20"/>
                <w:lang w:eastAsia="en-US"/>
              </w:rPr>
            </w:pPr>
            <w:r w:rsidRPr="007E77AF">
              <w:rPr>
                <w:rFonts w:cstheme="minorBidi"/>
                <w:sz w:val="20"/>
                <w:szCs w:val="20"/>
              </w:rPr>
              <w:t>b.1.6) Montante ofertado da Série 1 (=b.1.3*b.1.4) (intervalo)</w:t>
            </w:r>
          </w:p>
        </w:tc>
        <w:tc>
          <w:tcPr>
            <w:tcW w:w="4485" w:type="dxa"/>
            <w:shd w:val="clear" w:color="auto" w:fill="auto"/>
            <w:vAlign w:val="center"/>
            <w:hideMark/>
          </w:tcPr>
          <w:p w14:paraId="106162DE"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031AA3F6"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3F87ECCC" w14:textId="77777777" w:rsidTr="491E246D">
        <w:trPr>
          <w:trHeight w:val="227"/>
        </w:trPr>
        <w:tc>
          <w:tcPr>
            <w:tcW w:w="4298" w:type="dxa"/>
            <w:shd w:val="clear" w:color="auto" w:fill="auto"/>
            <w:vAlign w:val="center"/>
          </w:tcPr>
          <w:p w14:paraId="0EE959FB" w14:textId="77777777" w:rsidR="009A242A" w:rsidRPr="007E77AF" w:rsidRDefault="009A242A" w:rsidP="004301C4">
            <w:pPr>
              <w:rPr>
                <w:bCs/>
                <w:sz w:val="20"/>
                <w:szCs w:val="20"/>
                <w:lang w:eastAsia="en-US"/>
              </w:rPr>
            </w:pPr>
            <w:r w:rsidRPr="007E77AF">
              <w:rPr>
                <w:rFonts w:cstheme="minorBidi"/>
                <w:sz w:val="20"/>
                <w:szCs w:val="20"/>
              </w:rPr>
              <w:t>b.1.7) Lote suplementar</w:t>
            </w:r>
          </w:p>
        </w:tc>
        <w:tc>
          <w:tcPr>
            <w:tcW w:w="4485" w:type="dxa"/>
            <w:shd w:val="clear" w:color="auto" w:fill="auto"/>
            <w:vAlign w:val="center"/>
          </w:tcPr>
          <w:p w14:paraId="292DBD7D"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5ACB2CF0"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687536DD" w14:textId="77777777" w:rsidTr="491E246D">
        <w:trPr>
          <w:trHeight w:val="227"/>
        </w:trPr>
        <w:tc>
          <w:tcPr>
            <w:tcW w:w="4298" w:type="dxa"/>
            <w:shd w:val="clear" w:color="auto" w:fill="auto"/>
            <w:vAlign w:val="center"/>
          </w:tcPr>
          <w:p w14:paraId="5C942061" w14:textId="77777777" w:rsidR="009A242A" w:rsidRPr="007E77AF" w:rsidRDefault="009A242A" w:rsidP="004301C4">
            <w:pPr>
              <w:rPr>
                <w:bCs/>
                <w:sz w:val="20"/>
                <w:szCs w:val="20"/>
                <w:lang w:eastAsia="en-US"/>
              </w:rPr>
            </w:pPr>
            <w:r w:rsidRPr="007E77AF">
              <w:rPr>
                <w:bCs/>
                <w:sz w:val="20"/>
                <w:szCs w:val="20"/>
                <w:lang w:eastAsia="en-US"/>
              </w:rPr>
              <w:t>b.1.8) Lote adicional</w:t>
            </w:r>
          </w:p>
        </w:tc>
        <w:tc>
          <w:tcPr>
            <w:tcW w:w="4485" w:type="dxa"/>
            <w:shd w:val="clear" w:color="auto" w:fill="auto"/>
            <w:vAlign w:val="center"/>
          </w:tcPr>
          <w:p w14:paraId="39AB1403"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732B8AB5"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750E480C" w14:textId="77777777" w:rsidTr="003A75BB">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tcPr>
          <w:p w14:paraId="73C6B8E3" w14:textId="1999B2EB" w:rsidR="009A242A" w:rsidRPr="007E77AF" w:rsidRDefault="009A242A" w:rsidP="00A77BEB">
            <w:pPr>
              <w:rPr>
                <w:bCs/>
                <w:sz w:val="20"/>
                <w:szCs w:val="20"/>
                <w:lang w:eastAsia="en-US"/>
              </w:rPr>
            </w:pPr>
            <w:r w:rsidRPr="007E77AF">
              <w:rPr>
                <w:bCs/>
                <w:sz w:val="20"/>
                <w:szCs w:val="20"/>
                <w:lang w:eastAsia="en-US"/>
              </w:rPr>
              <w:t xml:space="preserve">b.2.9) Título classificado como “verde”, “social”, “sustentável” ou </w:t>
            </w:r>
            <w:r>
              <w:rPr>
                <w:bCs/>
                <w:sz w:val="20"/>
                <w:szCs w:val="20"/>
                <w:lang w:eastAsia="en-US"/>
              </w:rPr>
              <w:t>correlato</w:t>
            </w:r>
            <w:r w:rsidRPr="007E77AF">
              <w:rPr>
                <w:bCs/>
                <w:sz w:val="20"/>
                <w:szCs w:val="20"/>
                <w:lang w:eastAsia="en-US"/>
              </w:rPr>
              <w:t>?</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tcPr>
          <w:p w14:paraId="29AFDF4B" w14:textId="77777777" w:rsidR="009A242A" w:rsidRPr="007E77AF" w:rsidRDefault="009A242A" w:rsidP="00A77BEB">
            <w:pPr>
              <w:jc w:val="center"/>
              <w:rPr>
                <w:rFonts w:cstheme="minorBidi"/>
                <w:sz w:val="20"/>
                <w:szCs w:val="20"/>
                <w:lang w:eastAsia="en-US"/>
              </w:rPr>
            </w:pPr>
            <w:r w:rsidRPr="007E77AF">
              <w:rPr>
                <w:rFonts w:cstheme="minorBidi"/>
                <w:sz w:val="20"/>
                <w:szCs w:val="20"/>
                <w:lang w:eastAsia="en-US"/>
              </w:rPr>
              <w:t>Sim/Não</w:t>
            </w:r>
          </w:p>
        </w:tc>
        <w:tc>
          <w:tcPr>
            <w:tcW w:w="1395" w:type="dxa"/>
            <w:tcBorders>
              <w:top w:val="single" w:sz="8" w:space="0" w:color="auto"/>
              <w:left w:val="single" w:sz="8" w:space="0" w:color="auto"/>
              <w:bottom w:val="single" w:sz="8" w:space="0" w:color="auto"/>
              <w:right w:val="single" w:sz="8" w:space="0" w:color="auto"/>
            </w:tcBorders>
            <w:shd w:val="clear" w:color="auto" w:fill="auto"/>
          </w:tcPr>
          <w:p w14:paraId="5B15F96A" w14:textId="77777777" w:rsidR="009A242A" w:rsidRPr="007E77AF" w:rsidRDefault="009A242A" w:rsidP="00A77BEB">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5D0ABA0E" w14:textId="77777777" w:rsidTr="491E246D">
        <w:trPr>
          <w:trHeight w:val="227"/>
        </w:trPr>
        <w:tc>
          <w:tcPr>
            <w:tcW w:w="4298" w:type="dxa"/>
            <w:shd w:val="clear" w:color="auto" w:fill="auto"/>
            <w:vAlign w:val="center"/>
            <w:hideMark/>
          </w:tcPr>
          <w:p w14:paraId="3FEEEDD2" w14:textId="77777777" w:rsidR="009A242A" w:rsidRPr="007E77AF" w:rsidRDefault="009A242A" w:rsidP="004301C4">
            <w:pPr>
              <w:rPr>
                <w:bCs/>
                <w:sz w:val="20"/>
                <w:szCs w:val="20"/>
                <w:lang w:eastAsia="en-US"/>
              </w:rPr>
            </w:pPr>
            <w:r w:rsidRPr="007E77AF">
              <w:rPr>
                <w:bCs/>
                <w:sz w:val="20"/>
                <w:szCs w:val="20"/>
                <w:lang w:eastAsia="en-US"/>
              </w:rPr>
              <w:t>b.2) Série 2</w:t>
            </w:r>
          </w:p>
        </w:tc>
        <w:tc>
          <w:tcPr>
            <w:tcW w:w="4485" w:type="dxa"/>
            <w:shd w:val="clear" w:color="auto" w:fill="auto"/>
            <w:vAlign w:val="center"/>
            <w:hideMark/>
          </w:tcPr>
          <w:p w14:paraId="4C2655B3"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75B287A5" w14:textId="77777777" w:rsidR="009A242A" w:rsidRPr="007E77AF" w:rsidRDefault="009A242A" w:rsidP="004301C4">
            <w:pPr>
              <w:jc w:val="center"/>
              <w:rPr>
                <w:bCs/>
                <w:sz w:val="20"/>
                <w:szCs w:val="20"/>
                <w:lang w:eastAsia="en-US"/>
              </w:rPr>
            </w:pPr>
          </w:p>
        </w:tc>
      </w:tr>
      <w:tr w:rsidR="009A242A" w:rsidRPr="007E77AF" w14:paraId="48E6B23D" w14:textId="77777777" w:rsidTr="491E246D">
        <w:trPr>
          <w:trHeight w:val="227"/>
        </w:trPr>
        <w:tc>
          <w:tcPr>
            <w:tcW w:w="4298" w:type="dxa"/>
            <w:shd w:val="clear" w:color="auto" w:fill="auto"/>
            <w:vAlign w:val="center"/>
            <w:hideMark/>
          </w:tcPr>
          <w:p w14:paraId="7F908153" w14:textId="77777777" w:rsidR="009A242A" w:rsidRPr="007E77AF" w:rsidRDefault="009A242A" w:rsidP="004301C4">
            <w:pPr>
              <w:rPr>
                <w:bCs/>
                <w:sz w:val="20"/>
                <w:szCs w:val="20"/>
                <w:lang w:eastAsia="en-US"/>
              </w:rPr>
            </w:pPr>
            <w:r w:rsidRPr="007E77AF">
              <w:rPr>
                <w:bCs/>
                <w:sz w:val="20"/>
                <w:szCs w:val="20"/>
                <w:lang w:eastAsia="en-US"/>
              </w:rPr>
              <w:t xml:space="preserve">b.2.1) Código de negociação proposto </w:t>
            </w:r>
          </w:p>
        </w:tc>
        <w:tc>
          <w:tcPr>
            <w:tcW w:w="4485" w:type="dxa"/>
            <w:shd w:val="clear" w:color="auto" w:fill="auto"/>
            <w:vAlign w:val="center"/>
            <w:hideMark/>
          </w:tcPr>
          <w:p w14:paraId="65BE4FFA" w14:textId="77777777" w:rsidR="009A242A" w:rsidRPr="007E77AF" w:rsidRDefault="009A242A" w:rsidP="004301C4">
            <w:pPr>
              <w:jc w:val="center"/>
              <w:rPr>
                <w:bCs/>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1395" w:type="dxa"/>
            <w:shd w:val="clear" w:color="auto" w:fill="auto"/>
            <w:vAlign w:val="center"/>
            <w:hideMark/>
          </w:tcPr>
          <w:p w14:paraId="510F095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32C515A" w14:textId="77777777" w:rsidTr="491E246D">
        <w:trPr>
          <w:trHeight w:val="227"/>
        </w:trPr>
        <w:tc>
          <w:tcPr>
            <w:tcW w:w="4298" w:type="dxa"/>
            <w:shd w:val="clear" w:color="auto" w:fill="auto"/>
            <w:vAlign w:val="center"/>
            <w:hideMark/>
          </w:tcPr>
          <w:p w14:paraId="5550A141" w14:textId="77777777" w:rsidR="009A242A" w:rsidRPr="007E77AF" w:rsidRDefault="009A242A" w:rsidP="004301C4">
            <w:pPr>
              <w:rPr>
                <w:bCs/>
                <w:sz w:val="20"/>
                <w:szCs w:val="20"/>
                <w:lang w:eastAsia="en-US"/>
              </w:rPr>
            </w:pPr>
            <w:r w:rsidRPr="007E77AF">
              <w:rPr>
                <w:bCs/>
                <w:sz w:val="20"/>
                <w:szCs w:val="20"/>
                <w:lang w:eastAsia="en-US"/>
              </w:rPr>
              <w:t>b.2.2) Mercado de negociação</w:t>
            </w:r>
          </w:p>
        </w:tc>
        <w:tc>
          <w:tcPr>
            <w:tcW w:w="4485" w:type="dxa"/>
            <w:shd w:val="clear" w:color="auto" w:fill="auto"/>
            <w:vAlign w:val="center"/>
            <w:hideMark/>
          </w:tcPr>
          <w:p w14:paraId="11472550" w14:textId="77777777" w:rsidR="009A242A" w:rsidRPr="007E77AF" w:rsidRDefault="009A242A" w:rsidP="004301C4">
            <w:pPr>
              <w:jc w:val="cente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nome fantasia / [ ] não será negociado em mercado organizado</w:t>
            </w:r>
          </w:p>
        </w:tc>
        <w:tc>
          <w:tcPr>
            <w:tcW w:w="1395" w:type="dxa"/>
            <w:shd w:val="clear" w:color="auto" w:fill="auto"/>
            <w:vAlign w:val="center"/>
            <w:hideMark/>
          </w:tcPr>
          <w:p w14:paraId="716F3AB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07BCABB" w14:textId="77777777" w:rsidTr="491E246D">
        <w:trPr>
          <w:trHeight w:val="227"/>
        </w:trPr>
        <w:tc>
          <w:tcPr>
            <w:tcW w:w="4298" w:type="dxa"/>
            <w:shd w:val="clear" w:color="auto" w:fill="auto"/>
            <w:vAlign w:val="center"/>
            <w:hideMark/>
          </w:tcPr>
          <w:p w14:paraId="6639BFA3" w14:textId="77777777" w:rsidR="009A242A" w:rsidRPr="007E77AF" w:rsidRDefault="009A242A" w:rsidP="004301C4">
            <w:pPr>
              <w:rPr>
                <w:bCs/>
                <w:sz w:val="20"/>
                <w:szCs w:val="20"/>
                <w:lang w:eastAsia="en-US"/>
              </w:rPr>
            </w:pPr>
            <w:r w:rsidRPr="007E77AF">
              <w:rPr>
                <w:bCs/>
                <w:sz w:val="20"/>
                <w:szCs w:val="20"/>
                <w:lang w:eastAsia="en-US"/>
              </w:rPr>
              <w:t>b.2.3) Quantidade ofertada</w:t>
            </w:r>
          </w:p>
        </w:tc>
        <w:tc>
          <w:tcPr>
            <w:tcW w:w="4485" w:type="dxa"/>
            <w:shd w:val="clear" w:color="auto" w:fill="auto"/>
            <w:vAlign w:val="center"/>
            <w:hideMark/>
          </w:tcPr>
          <w:p w14:paraId="5079B72A"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395" w:type="dxa"/>
            <w:shd w:val="clear" w:color="auto" w:fill="auto"/>
            <w:hideMark/>
          </w:tcPr>
          <w:p w14:paraId="6874B620"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6555EA6" w14:textId="77777777" w:rsidTr="491E246D">
        <w:trPr>
          <w:trHeight w:val="227"/>
        </w:trPr>
        <w:tc>
          <w:tcPr>
            <w:tcW w:w="4298" w:type="dxa"/>
            <w:shd w:val="clear" w:color="auto" w:fill="auto"/>
            <w:vAlign w:val="center"/>
            <w:hideMark/>
          </w:tcPr>
          <w:p w14:paraId="081D515D" w14:textId="77777777" w:rsidR="009A242A" w:rsidRPr="007E77AF" w:rsidRDefault="009A242A" w:rsidP="004301C4">
            <w:pPr>
              <w:rPr>
                <w:bCs/>
                <w:sz w:val="20"/>
                <w:szCs w:val="20"/>
                <w:lang w:eastAsia="en-US"/>
              </w:rPr>
            </w:pPr>
            <w:r w:rsidRPr="007E77AF">
              <w:rPr>
                <w:bCs/>
                <w:sz w:val="20"/>
                <w:szCs w:val="20"/>
                <w:lang w:eastAsia="en-US"/>
              </w:rPr>
              <w:t>b.2.4) Preço (intervalo)</w:t>
            </w:r>
            <w:r w:rsidRPr="007E77AF" w:rsidDel="0050611E">
              <w:rPr>
                <w:bCs/>
                <w:sz w:val="20"/>
                <w:szCs w:val="20"/>
                <w:lang w:eastAsia="en-US"/>
              </w:rPr>
              <w:t xml:space="preserve"> </w:t>
            </w:r>
          </w:p>
        </w:tc>
        <w:tc>
          <w:tcPr>
            <w:tcW w:w="4485" w:type="dxa"/>
            <w:shd w:val="clear" w:color="auto" w:fill="auto"/>
            <w:vAlign w:val="center"/>
            <w:hideMark/>
          </w:tcPr>
          <w:p w14:paraId="67C6FFB3"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395" w:type="dxa"/>
            <w:shd w:val="clear" w:color="auto" w:fill="auto"/>
            <w:hideMark/>
          </w:tcPr>
          <w:p w14:paraId="584C6897"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15F2CA8" w14:textId="77777777" w:rsidTr="491E246D">
        <w:trPr>
          <w:trHeight w:val="227"/>
        </w:trPr>
        <w:tc>
          <w:tcPr>
            <w:tcW w:w="4298" w:type="dxa"/>
            <w:shd w:val="clear" w:color="auto" w:fill="auto"/>
            <w:vAlign w:val="center"/>
            <w:hideMark/>
          </w:tcPr>
          <w:p w14:paraId="141CA81A" w14:textId="77777777" w:rsidR="009A242A" w:rsidRPr="007E77AF" w:rsidRDefault="009A242A" w:rsidP="004301C4">
            <w:pPr>
              <w:rPr>
                <w:bCs/>
                <w:sz w:val="20"/>
                <w:szCs w:val="20"/>
                <w:lang w:eastAsia="en-US"/>
              </w:rPr>
            </w:pPr>
            <w:r w:rsidRPr="007E77AF">
              <w:rPr>
                <w:bCs/>
                <w:sz w:val="20"/>
                <w:szCs w:val="20"/>
                <w:lang w:eastAsia="en-US"/>
              </w:rPr>
              <w:t>b.2.5) Taxa de remuneração (intervalo)</w:t>
            </w:r>
          </w:p>
        </w:tc>
        <w:tc>
          <w:tcPr>
            <w:tcW w:w="4485" w:type="dxa"/>
            <w:shd w:val="clear" w:color="auto" w:fill="auto"/>
            <w:vAlign w:val="center"/>
            <w:hideMark/>
          </w:tcPr>
          <w:p w14:paraId="2A699DDA" w14:textId="77777777" w:rsidR="009A242A" w:rsidRPr="007E77AF" w:rsidRDefault="009A242A" w:rsidP="004301C4">
            <w:pPr>
              <w:jc w:val="center"/>
              <w:rPr>
                <w:bCs/>
                <w:sz w:val="20"/>
                <w:szCs w:val="20"/>
                <w:lang w:eastAsia="en-US"/>
              </w:rPr>
            </w:pPr>
            <w:r w:rsidRPr="007E77AF">
              <w:rPr>
                <w:bCs/>
                <w:sz w:val="20"/>
                <w:szCs w:val="20"/>
                <w:lang w:eastAsia="en-US"/>
              </w:rPr>
              <w:t>Percentual (</w:t>
            </w:r>
            <w:r w:rsidRPr="007E77AF">
              <w:rPr>
                <w:rFonts w:cstheme="minorBidi"/>
                <w:sz w:val="20"/>
                <w:szCs w:val="20"/>
                <w:lang w:eastAsia="en-US"/>
              </w:rPr>
              <w:t>até seis casas decimais)</w:t>
            </w:r>
          </w:p>
        </w:tc>
        <w:tc>
          <w:tcPr>
            <w:tcW w:w="1395" w:type="dxa"/>
            <w:shd w:val="clear" w:color="auto" w:fill="auto"/>
            <w:hideMark/>
          </w:tcPr>
          <w:p w14:paraId="30D974B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72CB8F6" w14:textId="77777777" w:rsidTr="491E246D">
        <w:trPr>
          <w:trHeight w:val="227"/>
        </w:trPr>
        <w:tc>
          <w:tcPr>
            <w:tcW w:w="4298" w:type="dxa"/>
            <w:shd w:val="clear" w:color="auto" w:fill="auto"/>
            <w:vAlign w:val="center"/>
            <w:hideMark/>
          </w:tcPr>
          <w:p w14:paraId="5B40E7E5" w14:textId="77777777" w:rsidR="009A242A" w:rsidRPr="007E77AF" w:rsidRDefault="009A242A" w:rsidP="004301C4">
            <w:pPr>
              <w:rPr>
                <w:bCs/>
                <w:sz w:val="20"/>
                <w:szCs w:val="20"/>
                <w:lang w:eastAsia="en-US"/>
              </w:rPr>
            </w:pPr>
            <w:r w:rsidRPr="007E77AF">
              <w:rPr>
                <w:rFonts w:cstheme="minorBidi"/>
                <w:sz w:val="20"/>
                <w:szCs w:val="20"/>
              </w:rPr>
              <w:lastRenderedPageBreak/>
              <w:t>b.2.6) Montante ofertado da Série 2 (=b.1.3*b.1.4) (intervalo)</w:t>
            </w:r>
          </w:p>
        </w:tc>
        <w:tc>
          <w:tcPr>
            <w:tcW w:w="4485" w:type="dxa"/>
            <w:shd w:val="clear" w:color="auto" w:fill="auto"/>
            <w:vAlign w:val="center"/>
            <w:hideMark/>
          </w:tcPr>
          <w:p w14:paraId="640D253D"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675A8853"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7E9D0E61" w14:textId="77777777" w:rsidTr="491E246D">
        <w:trPr>
          <w:trHeight w:val="227"/>
        </w:trPr>
        <w:tc>
          <w:tcPr>
            <w:tcW w:w="4298" w:type="dxa"/>
            <w:shd w:val="clear" w:color="auto" w:fill="auto"/>
            <w:vAlign w:val="center"/>
          </w:tcPr>
          <w:p w14:paraId="29C082EB" w14:textId="77777777" w:rsidR="009A242A" w:rsidRPr="007E77AF" w:rsidRDefault="009A242A" w:rsidP="004301C4">
            <w:pPr>
              <w:rPr>
                <w:bCs/>
                <w:sz w:val="20"/>
                <w:szCs w:val="20"/>
                <w:lang w:eastAsia="en-US"/>
              </w:rPr>
            </w:pPr>
            <w:r w:rsidRPr="007E77AF">
              <w:rPr>
                <w:rFonts w:cstheme="minorBidi"/>
                <w:sz w:val="20"/>
                <w:szCs w:val="20"/>
              </w:rPr>
              <w:t>b.2.7) Lote suplementar</w:t>
            </w:r>
          </w:p>
        </w:tc>
        <w:tc>
          <w:tcPr>
            <w:tcW w:w="4485" w:type="dxa"/>
            <w:shd w:val="clear" w:color="auto" w:fill="auto"/>
            <w:vAlign w:val="center"/>
          </w:tcPr>
          <w:p w14:paraId="596B4B2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042E486C"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22A8EA42" w14:textId="77777777" w:rsidTr="491E246D">
        <w:trPr>
          <w:trHeight w:val="227"/>
        </w:trPr>
        <w:tc>
          <w:tcPr>
            <w:tcW w:w="4298" w:type="dxa"/>
            <w:shd w:val="clear" w:color="auto" w:fill="auto"/>
            <w:vAlign w:val="center"/>
          </w:tcPr>
          <w:p w14:paraId="6A3D9373" w14:textId="77777777" w:rsidR="009A242A" w:rsidRPr="007E77AF" w:rsidRDefault="009A242A" w:rsidP="004301C4">
            <w:pPr>
              <w:rPr>
                <w:bCs/>
                <w:sz w:val="20"/>
                <w:szCs w:val="20"/>
                <w:lang w:eastAsia="en-US"/>
              </w:rPr>
            </w:pPr>
            <w:r w:rsidRPr="007E77AF">
              <w:rPr>
                <w:bCs/>
                <w:sz w:val="20"/>
                <w:szCs w:val="20"/>
                <w:lang w:eastAsia="en-US"/>
              </w:rPr>
              <w:t>b.2.8) Lote adicional</w:t>
            </w:r>
          </w:p>
        </w:tc>
        <w:tc>
          <w:tcPr>
            <w:tcW w:w="4485" w:type="dxa"/>
            <w:shd w:val="clear" w:color="auto" w:fill="auto"/>
            <w:vAlign w:val="center"/>
          </w:tcPr>
          <w:p w14:paraId="574E987D"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7D3CDAF5"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7B471D55" w14:textId="77777777" w:rsidTr="491E246D">
        <w:trPr>
          <w:trHeight w:val="227"/>
        </w:trPr>
        <w:tc>
          <w:tcPr>
            <w:tcW w:w="4298" w:type="dxa"/>
            <w:shd w:val="clear" w:color="auto" w:fill="auto"/>
            <w:vAlign w:val="center"/>
          </w:tcPr>
          <w:p w14:paraId="452FA631" w14:textId="3871942C" w:rsidR="009A242A" w:rsidRPr="007E77AF" w:rsidRDefault="009A242A" w:rsidP="004301C4">
            <w:pPr>
              <w:rPr>
                <w:bCs/>
                <w:sz w:val="20"/>
                <w:szCs w:val="20"/>
                <w:lang w:eastAsia="en-US"/>
              </w:rPr>
            </w:pPr>
            <w:bookmarkStart w:id="393" w:name="_Hlk103707069"/>
            <w:r w:rsidRPr="007E77AF">
              <w:rPr>
                <w:bCs/>
                <w:sz w:val="20"/>
                <w:szCs w:val="20"/>
                <w:lang w:eastAsia="en-US"/>
              </w:rPr>
              <w:t xml:space="preserve">b.2.9) Título classificado como “verde”, “social”, “sustentável” ou </w:t>
            </w:r>
            <w:r>
              <w:rPr>
                <w:bCs/>
                <w:sz w:val="20"/>
                <w:szCs w:val="20"/>
                <w:lang w:eastAsia="en-US"/>
              </w:rPr>
              <w:t>correlato</w:t>
            </w:r>
            <w:r w:rsidRPr="007E77AF">
              <w:rPr>
                <w:bCs/>
                <w:sz w:val="20"/>
                <w:szCs w:val="20"/>
                <w:lang w:eastAsia="en-US"/>
              </w:rPr>
              <w:t>?</w:t>
            </w:r>
          </w:p>
        </w:tc>
        <w:tc>
          <w:tcPr>
            <w:tcW w:w="4485" w:type="dxa"/>
            <w:shd w:val="clear" w:color="auto" w:fill="auto"/>
            <w:vAlign w:val="center"/>
          </w:tcPr>
          <w:p w14:paraId="500772D4"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Sim/Não</w:t>
            </w:r>
          </w:p>
        </w:tc>
        <w:tc>
          <w:tcPr>
            <w:tcW w:w="1395" w:type="dxa"/>
            <w:shd w:val="clear" w:color="auto" w:fill="auto"/>
          </w:tcPr>
          <w:p w14:paraId="48CCFE5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bookmarkEnd w:id="393"/>
      <w:tr w:rsidR="009A242A" w:rsidRPr="007E77AF" w14:paraId="4BE4AE9C" w14:textId="77777777" w:rsidTr="491E246D">
        <w:trPr>
          <w:trHeight w:val="227"/>
        </w:trPr>
        <w:tc>
          <w:tcPr>
            <w:tcW w:w="4298" w:type="dxa"/>
            <w:shd w:val="clear" w:color="auto" w:fill="auto"/>
            <w:vAlign w:val="center"/>
            <w:hideMark/>
          </w:tcPr>
          <w:p w14:paraId="723D4721"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4485" w:type="dxa"/>
            <w:shd w:val="clear" w:color="auto" w:fill="auto"/>
            <w:vAlign w:val="center"/>
            <w:hideMark/>
          </w:tcPr>
          <w:p w14:paraId="33DEA391" w14:textId="77777777" w:rsidR="009A242A" w:rsidRPr="007E77AF" w:rsidRDefault="009A242A" w:rsidP="004301C4">
            <w:pPr>
              <w:jc w:val="center"/>
              <w:rPr>
                <w:bCs/>
                <w:sz w:val="20"/>
                <w:szCs w:val="20"/>
                <w:lang w:eastAsia="en-US"/>
              </w:rPr>
            </w:pPr>
          </w:p>
        </w:tc>
        <w:tc>
          <w:tcPr>
            <w:tcW w:w="1395" w:type="dxa"/>
            <w:shd w:val="clear" w:color="auto" w:fill="auto"/>
            <w:hideMark/>
          </w:tcPr>
          <w:p w14:paraId="7F35BEC6" w14:textId="77777777" w:rsidR="009A242A" w:rsidRPr="007E77AF" w:rsidRDefault="009A242A" w:rsidP="004301C4">
            <w:pPr>
              <w:jc w:val="center"/>
              <w:rPr>
                <w:bCs/>
                <w:sz w:val="20"/>
                <w:szCs w:val="20"/>
                <w:lang w:eastAsia="en-US"/>
              </w:rPr>
            </w:pPr>
          </w:p>
        </w:tc>
      </w:tr>
      <w:tr w:rsidR="009A242A" w:rsidRPr="007E77AF" w14:paraId="676DE01C" w14:textId="77777777" w:rsidTr="491E246D">
        <w:trPr>
          <w:trHeight w:val="227"/>
        </w:trPr>
        <w:tc>
          <w:tcPr>
            <w:tcW w:w="4298" w:type="dxa"/>
            <w:shd w:val="clear" w:color="auto" w:fill="auto"/>
            <w:vAlign w:val="center"/>
            <w:hideMark/>
          </w:tcPr>
          <w:p w14:paraId="1F0B7A1B" w14:textId="77777777" w:rsidR="009A242A" w:rsidRPr="007E77AF" w:rsidRDefault="009A242A" w:rsidP="004301C4">
            <w:pPr>
              <w:rPr>
                <w:bCs/>
                <w:sz w:val="20"/>
                <w:szCs w:val="20"/>
                <w:lang w:eastAsia="en-US"/>
              </w:rPr>
            </w:pPr>
            <w:r w:rsidRPr="007E77AF">
              <w:rPr>
                <w:bCs/>
                <w:sz w:val="20"/>
                <w:szCs w:val="20"/>
                <w:lang w:eastAsia="en-US"/>
              </w:rPr>
              <w:t>Número total de debêntures emitidas para a oferta</w:t>
            </w:r>
            <w:r w:rsidRPr="007E77AF">
              <w:rPr>
                <w:b/>
                <w:lang w:eastAsia="en-US"/>
              </w:rPr>
              <w:t xml:space="preserve"> </w:t>
            </w:r>
          </w:p>
        </w:tc>
        <w:tc>
          <w:tcPr>
            <w:tcW w:w="4485" w:type="dxa"/>
            <w:shd w:val="clear" w:color="auto" w:fill="auto"/>
            <w:vAlign w:val="center"/>
            <w:hideMark/>
          </w:tcPr>
          <w:p w14:paraId="165812B6"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395" w:type="dxa"/>
            <w:shd w:val="clear" w:color="auto" w:fill="auto"/>
            <w:hideMark/>
          </w:tcPr>
          <w:p w14:paraId="4BD28CB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1F50B20" w14:textId="77777777" w:rsidTr="491E246D">
        <w:trPr>
          <w:trHeight w:val="227"/>
        </w:trPr>
        <w:tc>
          <w:tcPr>
            <w:tcW w:w="4298" w:type="dxa"/>
            <w:shd w:val="clear" w:color="auto" w:fill="auto"/>
            <w:vAlign w:val="center"/>
            <w:hideMark/>
          </w:tcPr>
          <w:p w14:paraId="7D3B8DE0" w14:textId="77777777" w:rsidR="009A242A" w:rsidRPr="007E77AF" w:rsidRDefault="009A242A" w:rsidP="004301C4">
            <w:pPr>
              <w:rPr>
                <w:bCs/>
                <w:sz w:val="20"/>
                <w:szCs w:val="20"/>
                <w:lang w:eastAsia="en-US"/>
              </w:rPr>
            </w:pPr>
            <w:r w:rsidRPr="007E77AF">
              <w:rPr>
                <w:bCs/>
                <w:sz w:val="20"/>
                <w:szCs w:val="20"/>
                <w:lang w:eastAsia="en-US"/>
              </w:rPr>
              <w:t>Montante total ofertado</w:t>
            </w:r>
          </w:p>
        </w:tc>
        <w:tc>
          <w:tcPr>
            <w:tcW w:w="4485" w:type="dxa"/>
            <w:shd w:val="clear" w:color="auto" w:fill="auto"/>
            <w:vAlign w:val="center"/>
            <w:hideMark/>
          </w:tcPr>
          <w:p w14:paraId="70BEC64E"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61CA88F5"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11BFA514" w14:textId="77777777" w:rsidTr="491E246D">
        <w:trPr>
          <w:trHeight w:val="227"/>
        </w:trPr>
        <w:tc>
          <w:tcPr>
            <w:tcW w:w="4298" w:type="dxa"/>
            <w:shd w:val="clear" w:color="auto" w:fill="auto"/>
            <w:vAlign w:val="center"/>
            <w:hideMark/>
          </w:tcPr>
          <w:p w14:paraId="20B8A896" w14:textId="77777777" w:rsidR="009A242A" w:rsidRPr="007E77AF" w:rsidRDefault="009A242A" w:rsidP="004301C4">
            <w:pPr>
              <w:rPr>
                <w:bCs/>
                <w:sz w:val="20"/>
                <w:szCs w:val="20"/>
                <w:lang w:eastAsia="en-US"/>
              </w:rPr>
            </w:pPr>
            <w:r w:rsidRPr="007E77AF">
              <w:rPr>
                <w:bCs/>
                <w:sz w:val="20"/>
                <w:szCs w:val="20"/>
                <w:lang w:eastAsia="en-US"/>
              </w:rPr>
              <w:t>Caixa líquido e investimentos (</w:t>
            </w:r>
            <w:proofErr w:type="gramStart"/>
            <w:r w:rsidRPr="007E77AF">
              <w:rPr>
                <w:b/>
                <w:bCs/>
                <w:sz w:val="20"/>
                <w:szCs w:val="20"/>
                <w:lang w:eastAsia="en-US"/>
              </w:rPr>
              <w:t>pro forma</w:t>
            </w:r>
            <w:proofErr w:type="gramEnd"/>
            <w:r w:rsidRPr="007E77AF">
              <w:rPr>
                <w:bCs/>
                <w:sz w:val="20"/>
                <w:szCs w:val="20"/>
                <w:lang w:eastAsia="en-US"/>
              </w:rPr>
              <w:t>)</w:t>
            </w:r>
            <w:r w:rsidRPr="007E77AF">
              <w:rPr>
                <w:b/>
                <w:lang w:eastAsia="en-US"/>
              </w:rPr>
              <w:t xml:space="preserve"> </w:t>
            </w:r>
          </w:p>
        </w:tc>
        <w:tc>
          <w:tcPr>
            <w:tcW w:w="4485" w:type="dxa"/>
            <w:shd w:val="clear" w:color="auto" w:fill="auto"/>
            <w:vAlign w:val="center"/>
            <w:hideMark/>
          </w:tcPr>
          <w:p w14:paraId="672853CA" w14:textId="77777777" w:rsidR="009A242A" w:rsidRPr="007E77AF" w:rsidRDefault="009A242A" w:rsidP="004301C4">
            <w:pPr>
              <w:jc w:val="center"/>
              <w:rPr>
                <w:bCs/>
                <w:sz w:val="20"/>
                <w:szCs w:val="20"/>
                <w:lang w:eastAsia="en-US"/>
              </w:rPr>
            </w:pPr>
          </w:p>
        </w:tc>
        <w:tc>
          <w:tcPr>
            <w:tcW w:w="1395" w:type="dxa"/>
            <w:shd w:val="clear" w:color="auto" w:fill="auto"/>
            <w:hideMark/>
          </w:tcPr>
          <w:p w14:paraId="1123494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EB49952" w14:textId="77777777" w:rsidTr="491E246D">
        <w:trPr>
          <w:trHeight w:val="227"/>
        </w:trPr>
        <w:tc>
          <w:tcPr>
            <w:tcW w:w="4298" w:type="dxa"/>
            <w:shd w:val="clear" w:color="auto" w:fill="auto"/>
            <w:vAlign w:val="center"/>
            <w:hideMark/>
          </w:tcPr>
          <w:p w14:paraId="002CBA26" w14:textId="77777777" w:rsidR="009A242A" w:rsidRPr="007E77AF" w:rsidRDefault="009A242A" w:rsidP="004301C4">
            <w:pPr>
              <w:rPr>
                <w:bCs/>
                <w:sz w:val="20"/>
                <w:szCs w:val="20"/>
                <w:lang w:eastAsia="en-US"/>
              </w:rPr>
            </w:pPr>
            <w:r w:rsidRPr="007E77AF">
              <w:rPr>
                <w:bCs/>
                <w:sz w:val="20"/>
                <w:szCs w:val="20"/>
                <w:lang w:eastAsia="en-US"/>
              </w:rPr>
              <w:t>Valor da empresa</w:t>
            </w:r>
            <w:proofErr w:type="gramStart"/>
            <w:r w:rsidRPr="007E77AF">
              <w:rPr>
                <w:bCs/>
                <w:sz w:val="20"/>
                <w:szCs w:val="20"/>
                <w:lang w:eastAsia="en-US"/>
              </w:rPr>
              <w:t>/(</w:t>
            </w:r>
            <w:proofErr w:type="gramEnd"/>
            <w:r w:rsidRPr="007E77AF">
              <w:rPr>
                <w:bCs/>
                <w:sz w:val="20"/>
                <w:szCs w:val="20"/>
                <w:lang w:eastAsia="en-US"/>
              </w:rPr>
              <w:t>EBITDA</w:t>
            </w:r>
            <w:r w:rsidRPr="007E77AF">
              <w:rPr>
                <w:b/>
                <w:lang w:eastAsia="en-US"/>
              </w:rPr>
              <w:t xml:space="preserve"> </w:t>
            </w:r>
            <w:r w:rsidRPr="007E77AF">
              <w:rPr>
                <w:b/>
                <w:bCs/>
                <w:sz w:val="20"/>
                <w:szCs w:val="20"/>
                <w:lang w:eastAsia="en-US"/>
              </w:rPr>
              <w:t>pro forma</w:t>
            </w:r>
            <w:r w:rsidRPr="007E77AF">
              <w:rPr>
                <w:bCs/>
                <w:sz w:val="20"/>
                <w:szCs w:val="20"/>
                <w:lang w:eastAsia="en-US"/>
              </w:rPr>
              <w:t>)</w:t>
            </w:r>
          </w:p>
        </w:tc>
        <w:tc>
          <w:tcPr>
            <w:tcW w:w="4485" w:type="dxa"/>
            <w:shd w:val="clear" w:color="auto" w:fill="auto"/>
            <w:vAlign w:val="center"/>
            <w:hideMark/>
          </w:tcPr>
          <w:p w14:paraId="4EEDFB07" w14:textId="77777777" w:rsidR="009A242A" w:rsidRPr="007E77AF" w:rsidRDefault="009A242A" w:rsidP="004301C4">
            <w:pPr>
              <w:jc w:val="center"/>
              <w:rPr>
                <w:bCs/>
                <w:sz w:val="20"/>
                <w:szCs w:val="20"/>
                <w:lang w:eastAsia="en-US"/>
              </w:rPr>
            </w:pPr>
          </w:p>
        </w:tc>
        <w:tc>
          <w:tcPr>
            <w:tcW w:w="1395" w:type="dxa"/>
            <w:shd w:val="clear" w:color="auto" w:fill="auto"/>
            <w:hideMark/>
          </w:tcPr>
          <w:p w14:paraId="1AC4105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96DBAA8" w14:textId="77777777" w:rsidTr="491E246D">
        <w:trPr>
          <w:trHeight w:val="390"/>
        </w:trPr>
        <w:tc>
          <w:tcPr>
            <w:tcW w:w="8783" w:type="dxa"/>
            <w:gridSpan w:val="2"/>
            <w:shd w:val="clear" w:color="auto" w:fill="auto"/>
            <w:vAlign w:val="center"/>
            <w:hideMark/>
          </w:tcPr>
          <w:p w14:paraId="216AE151"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395" w:type="dxa"/>
            <w:shd w:val="clear" w:color="auto" w:fill="auto"/>
            <w:vAlign w:val="center"/>
            <w:hideMark/>
          </w:tcPr>
          <w:p w14:paraId="1C52A41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EB6F9B9" w14:textId="77777777" w:rsidTr="491E246D">
        <w:trPr>
          <w:trHeight w:val="227"/>
        </w:trPr>
        <w:tc>
          <w:tcPr>
            <w:tcW w:w="4298" w:type="dxa"/>
            <w:shd w:val="clear" w:color="auto" w:fill="auto"/>
            <w:vAlign w:val="center"/>
            <w:hideMark/>
          </w:tcPr>
          <w:p w14:paraId="719E90A0" w14:textId="77777777" w:rsidR="009A242A" w:rsidRPr="007E77AF" w:rsidRDefault="009A242A" w:rsidP="004301C4">
            <w:pPr>
              <w:rPr>
                <w:rFonts w:ascii="Calibri Light" w:hAnsi="Calibri Light"/>
                <w:b/>
                <w:bCs/>
                <w:sz w:val="20"/>
                <w:szCs w:val="20"/>
                <w:lang w:eastAsia="en-US"/>
              </w:rPr>
            </w:pPr>
            <w:r w:rsidRPr="007E77AF">
              <w:rPr>
                <w:bCs/>
                <w:sz w:val="20"/>
                <w:szCs w:val="20"/>
                <w:lang w:eastAsia="en-US"/>
              </w:rPr>
              <w:t>Qual será a destinação dos recursos da oferta?</w:t>
            </w:r>
          </w:p>
        </w:tc>
        <w:tc>
          <w:tcPr>
            <w:tcW w:w="4485" w:type="dxa"/>
            <w:shd w:val="clear" w:color="auto" w:fill="auto"/>
            <w:vAlign w:val="center"/>
            <w:hideMark/>
          </w:tcPr>
          <w:p w14:paraId="6B1F42E8"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200 palavras]</w:t>
            </w:r>
          </w:p>
        </w:tc>
        <w:tc>
          <w:tcPr>
            <w:tcW w:w="1395" w:type="dxa"/>
            <w:shd w:val="clear" w:color="auto" w:fill="auto"/>
            <w:vAlign w:val="center"/>
            <w:hideMark/>
          </w:tcPr>
          <w:p w14:paraId="2956B6FE"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0C7A4FA" w14:textId="77777777" w:rsidTr="491E246D">
        <w:trPr>
          <w:trHeight w:val="390"/>
        </w:trPr>
        <w:tc>
          <w:tcPr>
            <w:tcW w:w="8783" w:type="dxa"/>
            <w:gridSpan w:val="2"/>
            <w:shd w:val="clear" w:color="auto" w:fill="auto"/>
            <w:vAlign w:val="center"/>
            <w:hideMark/>
          </w:tcPr>
          <w:p w14:paraId="4C972B0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dos títulos de dívida</w:t>
            </w:r>
          </w:p>
        </w:tc>
        <w:tc>
          <w:tcPr>
            <w:tcW w:w="1395" w:type="dxa"/>
            <w:shd w:val="clear" w:color="auto" w:fill="auto"/>
            <w:vAlign w:val="center"/>
            <w:hideMark/>
          </w:tcPr>
          <w:p w14:paraId="5E5AE9C9"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1603639" w14:textId="77777777" w:rsidTr="491E246D">
        <w:trPr>
          <w:trHeight w:val="390"/>
        </w:trPr>
        <w:tc>
          <w:tcPr>
            <w:tcW w:w="10178" w:type="dxa"/>
            <w:gridSpan w:val="3"/>
            <w:shd w:val="clear" w:color="auto" w:fill="auto"/>
            <w:vAlign w:val="center"/>
            <w:hideMark/>
          </w:tcPr>
          <w:p w14:paraId="6610E64E"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Quem é o emissor?</w:t>
            </w:r>
          </w:p>
        </w:tc>
      </w:tr>
      <w:tr w:rsidR="009A242A" w:rsidRPr="007E77AF" w14:paraId="4F938167" w14:textId="77777777" w:rsidTr="491E246D">
        <w:trPr>
          <w:trHeight w:val="227"/>
        </w:trPr>
        <w:tc>
          <w:tcPr>
            <w:tcW w:w="4298" w:type="dxa"/>
            <w:shd w:val="clear" w:color="auto" w:fill="auto"/>
            <w:vAlign w:val="center"/>
            <w:hideMark/>
          </w:tcPr>
          <w:p w14:paraId="530CF429" w14:textId="77777777" w:rsidR="009A242A" w:rsidRPr="007E77AF" w:rsidRDefault="009A242A" w:rsidP="004301C4">
            <w:pPr>
              <w:rPr>
                <w:bCs/>
                <w:sz w:val="20"/>
                <w:szCs w:val="20"/>
                <w:lang w:eastAsia="en-US"/>
              </w:rPr>
            </w:pPr>
            <w:r w:rsidRPr="007E77AF">
              <w:rPr>
                <w:bCs/>
                <w:sz w:val="20"/>
                <w:szCs w:val="20"/>
                <w:lang w:eastAsia="en-US"/>
              </w:rPr>
              <w:t>Como o emissor gera receita?</w:t>
            </w:r>
          </w:p>
        </w:tc>
        <w:tc>
          <w:tcPr>
            <w:tcW w:w="4485" w:type="dxa"/>
            <w:shd w:val="clear" w:color="auto" w:fill="auto"/>
            <w:vAlign w:val="center"/>
            <w:hideMark/>
          </w:tcPr>
          <w:p w14:paraId="32FF9F5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hideMark/>
          </w:tcPr>
          <w:p w14:paraId="13917DCB"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408E5A8" w14:textId="77777777" w:rsidTr="491E246D">
        <w:trPr>
          <w:trHeight w:val="227"/>
        </w:trPr>
        <w:tc>
          <w:tcPr>
            <w:tcW w:w="4298" w:type="dxa"/>
            <w:shd w:val="clear" w:color="auto" w:fill="auto"/>
            <w:vAlign w:val="center"/>
          </w:tcPr>
          <w:p w14:paraId="68D83025" w14:textId="77777777" w:rsidR="009A242A" w:rsidRPr="007E77AF" w:rsidRDefault="009A242A" w:rsidP="004301C4">
            <w:pPr>
              <w:rPr>
                <w:bCs/>
                <w:sz w:val="20"/>
                <w:szCs w:val="20"/>
                <w:lang w:eastAsia="en-US"/>
              </w:rPr>
            </w:pPr>
            <w:r w:rsidRPr="007E77AF">
              <w:rPr>
                <w:bCs/>
                <w:sz w:val="20"/>
                <w:szCs w:val="20"/>
                <w:lang w:eastAsia="en-US"/>
              </w:rPr>
              <w:t>Quais os pontos fortes do emissor?</w:t>
            </w:r>
          </w:p>
        </w:tc>
        <w:tc>
          <w:tcPr>
            <w:tcW w:w="4485" w:type="dxa"/>
            <w:shd w:val="clear" w:color="auto" w:fill="auto"/>
            <w:vAlign w:val="center"/>
          </w:tcPr>
          <w:p w14:paraId="48BBF294"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tcPr>
          <w:p w14:paraId="6D55EA4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E8ED8AC" w14:textId="77777777" w:rsidTr="491E246D">
        <w:trPr>
          <w:trHeight w:val="227"/>
        </w:trPr>
        <w:tc>
          <w:tcPr>
            <w:tcW w:w="4298" w:type="dxa"/>
            <w:shd w:val="clear" w:color="auto" w:fill="auto"/>
            <w:vAlign w:val="center"/>
            <w:hideMark/>
          </w:tcPr>
          <w:p w14:paraId="345F254A" w14:textId="77777777" w:rsidR="009A242A" w:rsidRPr="007E77AF" w:rsidRDefault="009A242A" w:rsidP="004301C4">
            <w:pPr>
              <w:rPr>
                <w:bCs/>
                <w:sz w:val="20"/>
                <w:szCs w:val="20"/>
                <w:lang w:eastAsia="en-US"/>
              </w:rPr>
            </w:pPr>
            <w:r w:rsidRPr="007E77AF">
              <w:rPr>
                <w:bCs/>
                <w:sz w:val="20"/>
                <w:szCs w:val="20"/>
                <w:lang w:eastAsia="en-US"/>
              </w:rPr>
              <w:t>Quem são os principais clientes (máx. 3)?</w:t>
            </w:r>
          </w:p>
        </w:tc>
        <w:tc>
          <w:tcPr>
            <w:tcW w:w="4485" w:type="dxa"/>
            <w:shd w:val="clear" w:color="auto" w:fill="auto"/>
            <w:vAlign w:val="center"/>
            <w:hideMark/>
          </w:tcPr>
          <w:p w14:paraId="412657C2"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77017914"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74E0EC4" w14:textId="77777777" w:rsidTr="491E246D">
        <w:trPr>
          <w:trHeight w:val="227"/>
        </w:trPr>
        <w:tc>
          <w:tcPr>
            <w:tcW w:w="4298" w:type="dxa"/>
            <w:shd w:val="clear" w:color="auto" w:fill="auto"/>
            <w:vAlign w:val="center"/>
            <w:hideMark/>
          </w:tcPr>
          <w:p w14:paraId="191B0140" w14:textId="77777777" w:rsidR="009A242A" w:rsidRPr="007E77AF" w:rsidRDefault="009A242A" w:rsidP="004301C4">
            <w:pPr>
              <w:rPr>
                <w:bCs/>
                <w:sz w:val="20"/>
                <w:szCs w:val="20"/>
                <w:lang w:eastAsia="en-US"/>
              </w:rPr>
            </w:pPr>
            <w:r w:rsidRPr="007E77AF">
              <w:rPr>
                <w:bCs/>
                <w:sz w:val="20"/>
                <w:szCs w:val="20"/>
                <w:lang w:eastAsia="en-US"/>
              </w:rPr>
              <w:t>Quem são os principais concorrentes (máx. 3)?</w:t>
            </w:r>
          </w:p>
        </w:tc>
        <w:tc>
          <w:tcPr>
            <w:tcW w:w="4485" w:type="dxa"/>
            <w:shd w:val="clear" w:color="auto" w:fill="auto"/>
            <w:vAlign w:val="center"/>
            <w:hideMark/>
          </w:tcPr>
          <w:p w14:paraId="3C0BA1A8"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254586B8"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1AFEEBD" w14:textId="77777777" w:rsidTr="491E246D">
        <w:trPr>
          <w:trHeight w:val="390"/>
        </w:trPr>
        <w:tc>
          <w:tcPr>
            <w:tcW w:w="10178" w:type="dxa"/>
            <w:gridSpan w:val="3"/>
            <w:shd w:val="clear" w:color="auto" w:fill="auto"/>
            <w:vAlign w:val="center"/>
            <w:hideMark/>
          </w:tcPr>
          <w:p w14:paraId="089971D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Governança e acionistas principais</w:t>
            </w:r>
          </w:p>
        </w:tc>
      </w:tr>
      <w:tr w:rsidR="009A242A" w:rsidRPr="007E77AF" w14:paraId="313CCA72" w14:textId="77777777" w:rsidTr="491E246D">
        <w:trPr>
          <w:trHeight w:val="227"/>
        </w:trPr>
        <w:tc>
          <w:tcPr>
            <w:tcW w:w="4298" w:type="dxa"/>
            <w:shd w:val="clear" w:color="auto" w:fill="auto"/>
            <w:vAlign w:val="center"/>
            <w:hideMark/>
          </w:tcPr>
          <w:p w14:paraId="556688A6" w14:textId="77777777" w:rsidR="009A242A" w:rsidRPr="007E77AF" w:rsidRDefault="009A242A" w:rsidP="004301C4">
            <w:pPr>
              <w:rPr>
                <w:bCs/>
                <w:sz w:val="20"/>
                <w:szCs w:val="20"/>
                <w:lang w:eastAsia="en-US"/>
              </w:rPr>
            </w:pPr>
            <w:r w:rsidRPr="007E77AF">
              <w:rPr>
                <w:bCs/>
                <w:sz w:val="20"/>
                <w:szCs w:val="20"/>
                <w:lang w:eastAsia="en-US"/>
              </w:rPr>
              <w:t>Quem é o CEO do emissor?</w:t>
            </w:r>
          </w:p>
        </w:tc>
        <w:tc>
          <w:tcPr>
            <w:tcW w:w="4485" w:type="dxa"/>
            <w:shd w:val="clear" w:color="auto" w:fill="auto"/>
            <w:vAlign w:val="center"/>
            <w:hideMark/>
          </w:tcPr>
          <w:p w14:paraId="599526CA"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49FE0619"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20333B6" w14:textId="77777777" w:rsidTr="491E246D">
        <w:trPr>
          <w:trHeight w:val="227"/>
        </w:trPr>
        <w:tc>
          <w:tcPr>
            <w:tcW w:w="4298" w:type="dxa"/>
            <w:shd w:val="clear" w:color="auto" w:fill="auto"/>
            <w:vAlign w:val="center"/>
            <w:hideMark/>
          </w:tcPr>
          <w:p w14:paraId="042F3755" w14:textId="77777777" w:rsidR="009A242A" w:rsidRPr="007E77AF" w:rsidRDefault="009A242A" w:rsidP="004301C4">
            <w:pPr>
              <w:rPr>
                <w:bCs/>
                <w:sz w:val="20"/>
                <w:szCs w:val="20"/>
                <w:lang w:eastAsia="en-US"/>
              </w:rPr>
            </w:pPr>
            <w:r w:rsidRPr="007E77AF">
              <w:rPr>
                <w:bCs/>
                <w:sz w:val="20"/>
                <w:szCs w:val="20"/>
                <w:lang w:eastAsia="en-US"/>
              </w:rPr>
              <w:t>Quem é o presidente do CA do emissor?</w:t>
            </w:r>
          </w:p>
        </w:tc>
        <w:tc>
          <w:tcPr>
            <w:tcW w:w="4485" w:type="dxa"/>
            <w:shd w:val="clear" w:color="auto" w:fill="auto"/>
            <w:vAlign w:val="center"/>
            <w:hideMark/>
          </w:tcPr>
          <w:p w14:paraId="226A6909"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674C37BD"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07E791B" w14:textId="77777777" w:rsidTr="491E246D">
        <w:trPr>
          <w:trHeight w:val="227"/>
        </w:trPr>
        <w:tc>
          <w:tcPr>
            <w:tcW w:w="4298" w:type="dxa"/>
            <w:shd w:val="clear" w:color="auto" w:fill="auto"/>
            <w:vAlign w:val="center"/>
            <w:hideMark/>
          </w:tcPr>
          <w:p w14:paraId="7FE3B617" w14:textId="77777777" w:rsidR="009A242A" w:rsidRPr="007E77AF" w:rsidRDefault="009A242A" w:rsidP="004301C4">
            <w:pPr>
              <w:rPr>
                <w:bCs/>
                <w:sz w:val="20"/>
                <w:szCs w:val="20"/>
                <w:lang w:eastAsia="en-US"/>
              </w:rPr>
            </w:pPr>
            <w:r w:rsidRPr="007E77AF">
              <w:rPr>
                <w:bCs/>
                <w:sz w:val="20"/>
                <w:szCs w:val="20"/>
                <w:lang w:eastAsia="en-US"/>
              </w:rPr>
              <w:t>Participações significativas de administradores</w:t>
            </w:r>
          </w:p>
        </w:tc>
        <w:tc>
          <w:tcPr>
            <w:tcW w:w="4485" w:type="dxa"/>
            <w:shd w:val="clear" w:color="auto" w:fill="auto"/>
            <w:vAlign w:val="center"/>
            <w:hideMark/>
          </w:tcPr>
          <w:p w14:paraId="5DCD7CA0"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hideMark/>
          </w:tcPr>
          <w:p w14:paraId="2F32F219"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D7BF008" w14:textId="77777777" w:rsidTr="491E246D">
        <w:trPr>
          <w:trHeight w:val="227"/>
        </w:trPr>
        <w:tc>
          <w:tcPr>
            <w:tcW w:w="4298" w:type="dxa"/>
            <w:shd w:val="clear" w:color="auto" w:fill="auto"/>
            <w:vAlign w:val="center"/>
            <w:hideMark/>
          </w:tcPr>
          <w:p w14:paraId="1EF8DA5A" w14:textId="77777777" w:rsidR="009A242A" w:rsidRPr="007E77AF" w:rsidRDefault="009A242A" w:rsidP="004301C4">
            <w:pPr>
              <w:rPr>
                <w:bCs/>
                <w:sz w:val="20"/>
                <w:szCs w:val="20"/>
                <w:lang w:eastAsia="en-US"/>
              </w:rPr>
            </w:pPr>
            <w:r w:rsidRPr="007E77AF">
              <w:rPr>
                <w:bCs/>
                <w:sz w:val="20"/>
                <w:szCs w:val="20"/>
                <w:lang w:eastAsia="en-US"/>
              </w:rPr>
              <w:t>Quem é o controlador ou quem integra o grupo de controle?</w:t>
            </w:r>
          </w:p>
        </w:tc>
        <w:tc>
          <w:tcPr>
            <w:tcW w:w="4485" w:type="dxa"/>
            <w:shd w:val="clear" w:color="auto" w:fill="auto"/>
            <w:vAlign w:val="center"/>
            <w:hideMark/>
          </w:tcPr>
          <w:p w14:paraId="4BDD647E"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50 palavras]</w:t>
            </w:r>
          </w:p>
        </w:tc>
        <w:tc>
          <w:tcPr>
            <w:tcW w:w="1395" w:type="dxa"/>
            <w:shd w:val="clear" w:color="auto" w:fill="auto"/>
            <w:hideMark/>
          </w:tcPr>
          <w:p w14:paraId="07651FA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C94A367" w14:textId="77777777" w:rsidTr="491E246D">
        <w:trPr>
          <w:trHeight w:val="390"/>
        </w:trPr>
        <w:tc>
          <w:tcPr>
            <w:tcW w:w="4298" w:type="dxa"/>
            <w:shd w:val="clear" w:color="auto" w:fill="auto"/>
            <w:vAlign w:val="center"/>
            <w:hideMark/>
          </w:tcPr>
          <w:p w14:paraId="26B43CB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Sumário dos principais riscos do emissor</w:t>
            </w:r>
          </w:p>
        </w:tc>
        <w:tc>
          <w:tcPr>
            <w:tcW w:w="4485" w:type="dxa"/>
            <w:shd w:val="clear" w:color="auto" w:fill="auto"/>
            <w:vAlign w:val="center"/>
            <w:hideMark/>
          </w:tcPr>
          <w:p w14:paraId="6B8B3D0E" w14:textId="2FD90102"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95" w:type="dxa"/>
            <w:shd w:val="clear" w:color="auto" w:fill="auto"/>
            <w:vAlign w:val="center"/>
            <w:hideMark/>
          </w:tcPr>
          <w:p w14:paraId="57B241D6" w14:textId="449A7F2C"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2298F172" w14:textId="77777777" w:rsidTr="491E246D">
        <w:trPr>
          <w:trHeight w:val="227"/>
        </w:trPr>
        <w:tc>
          <w:tcPr>
            <w:tcW w:w="4298" w:type="dxa"/>
            <w:shd w:val="clear" w:color="auto" w:fill="auto"/>
            <w:vAlign w:val="center"/>
            <w:hideMark/>
          </w:tcPr>
          <w:p w14:paraId="1D4D9F81"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4485" w:type="dxa"/>
            <w:shd w:val="clear" w:color="auto" w:fill="auto"/>
            <w:vAlign w:val="center"/>
            <w:hideMark/>
          </w:tcPr>
          <w:p w14:paraId="45ECDFB8" w14:textId="02C56C4F" w:rsidR="009A242A" w:rsidRPr="007E77AF" w:rsidRDefault="009A242A" w:rsidP="004301C4">
            <w:pPr>
              <w:jc w:val="cente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1395" w:type="dxa"/>
            <w:shd w:val="clear" w:color="auto" w:fill="auto"/>
            <w:vAlign w:val="center"/>
            <w:hideMark/>
          </w:tcPr>
          <w:p w14:paraId="2B4F771A" w14:textId="1B1A684C"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368BDC2" w14:textId="77777777" w:rsidTr="491E246D">
        <w:trPr>
          <w:trHeight w:val="227"/>
        </w:trPr>
        <w:tc>
          <w:tcPr>
            <w:tcW w:w="4298" w:type="dxa"/>
            <w:shd w:val="clear" w:color="auto" w:fill="auto"/>
            <w:vAlign w:val="center"/>
            <w:hideMark/>
          </w:tcPr>
          <w:p w14:paraId="60736373" w14:textId="77777777" w:rsidR="009A242A" w:rsidRPr="007E77AF" w:rsidRDefault="009A242A" w:rsidP="004301C4">
            <w:pPr>
              <w:rPr>
                <w:bCs/>
                <w:sz w:val="20"/>
                <w:szCs w:val="20"/>
                <w:lang w:eastAsia="en-US"/>
              </w:rPr>
            </w:pPr>
            <w:r w:rsidRPr="007E77AF">
              <w:rPr>
                <w:bCs/>
                <w:sz w:val="20"/>
                <w:szCs w:val="20"/>
                <w:lang w:eastAsia="en-US"/>
              </w:rPr>
              <w:t xml:space="preserve">2. (Descrição breve – </w:t>
            </w:r>
            <w:proofErr w:type="spellStart"/>
            <w:r w:rsidRPr="007E77AF">
              <w:rPr>
                <w:bCs/>
                <w:sz w:val="20"/>
                <w:szCs w:val="20"/>
                <w:lang w:eastAsia="en-US"/>
              </w:rPr>
              <w:t>Máx</w:t>
            </w:r>
            <w:proofErr w:type="spellEnd"/>
            <w:r w:rsidRPr="007E77AF">
              <w:rPr>
                <w:bCs/>
                <w:sz w:val="20"/>
                <w:szCs w:val="20"/>
                <w:lang w:eastAsia="en-US"/>
              </w:rPr>
              <w:t xml:space="preserve"> 50 palavras)</w:t>
            </w:r>
          </w:p>
        </w:tc>
        <w:tc>
          <w:tcPr>
            <w:tcW w:w="4485" w:type="dxa"/>
            <w:shd w:val="clear" w:color="auto" w:fill="auto"/>
            <w:vAlign w:val="center"/>
            <w:hideMark/>
          </w:tcPr>
          <w:p w14:paraId="45BB2618" w14:textId="67DD3CB6"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37B12F1A" w14:textId="1416DF67"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2FCD830" w14:textId="77777777" w:rsidTr="491E246D">
        <w:trPr>
          <w:trHeight w:val="227"/>
        </w:trPr>
        <w:tc>
          <w:tcPr>
            <w:tcW w:w="4298" w:type="dxa"/>
            <w:shd w:val="clear" w:color="auto" w:fill="auto"/>
            <w:vAlign w:val="center"/>
            <w:hideMark/>
          </w:tcPr>
          <w:p w14:paraId="04446FA1"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4485" w:type="dxa"/>
            <w:shd w:val="clear" w:color="auto" w:fill="auto"/>
            <w:vAlign w:val="center"/>
            <w:hideMark/>
          </w:tcPr>
          <w:p w14:paraId="507B3726" w14:textId="2BB24C5D"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21FF8778" w14:textId="116B0CD6"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0357A7E2" w14:textId="77777777" w:rsidTr="491E246D">
        <w:trPr>
          <w:trHeight w:val="227"/>
        </w:trPr>
        <w:tc>
          <w:tcPr>
            <w:tcW w:w="4298" w:type="dxa"/>
            <w:shd w:val="clear" w:color="auto" w:fill="auto"/>
            <w:vAlign w:val="center"/>
            <w:hideMark/>
          </w:tcPr>
          <w:p w14:paraId="18FEA23A" w14:textId="77777777" w:rsidR="009A242A" w:rsidRPr="007E77AF" w:rsidRDefault="009A242A" w:rsidP="004301C4">
            <w:pPr>
              <w:rPr>
                <w:bCs/>
                <w:sz w:val="20"/>
                <w:szCs w:val="20"/>
                <w:lang w:eastAsia="en-US"/>
              </w:rPr>
            </w:pPr>
            <w:r w:rsidRPr="007E77AF">
              <w:rPr>
                <w:bCs/>
                <w:sz w:val="20"/>
                <w:szCs w:val="20"/>
                <w:lang w:eastAsia="en-US"/>
              </w:rPr>
              <w:t xml:space="preserve">4. (Descrição breve – </w:t>
            </w:r>
            <w:proofErr w:type="spellStart"/>
            <w:r w:rsidRPr="007E77AF">
              <w:rPr>
                <w:bCs/>
                <w:sz w:val="20"/>
                <w:szCs w:val="20"/>
                <w:lang w:eastAsia="en-US"/>
              </w:rPr>
              <w:t>Máx</w:t>
            </w:r>
            <w:proofErr w:type="spellEnd"/>
            <w:r w:rsidRPr="007E77AF">
              <w:rPr>
                <w:bCs/>
                <w:sz w:val="20"/>
                <w:szCs w:val="20"/>
                <w:lang w:eastAsia="en-US"/>
              </w:rPr>
              <w:t xml:space="preserve"> 50 palavras)</w:t>
            </w:r>
          </w:p>
        </w:tc>
        <w:tc>
          <w:tcPr>
            <w:tcW w:w="4485" w:type="dxa"/>
            <w:shd w:val="clear" w:color="auto" w:fill="auto"/>
            <w:vAlign w:val="center"/>
            <w:hideMark/>
          </w:tcPr>
          <w:p w14:paraId="7BA2370D" w14:textId="4A4B1E53"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1926DF77" w14:textId="5F33C223"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95F8336" w14:textId="77777777" w:rsidTr="491E246D">
        <w:trPr>
          <w:trHeight w:val="227"/>
        </w:trPr>
        <w:tc>
          <w:tcPr>
            <w:tcW w:w="4298" w:type="dxa"/>
            <w:shd w:val="clear" w:color="auto" w:fill="auto"/>
            <w:vAlign w:val="center"/>
            <w:hideMark/>
          </w:tcPr>
          <w:p w14:paraId="54D03FCC" w14:textId="77777777" w:rsidR="009A242A" w:rsidRPr="007E77AF" w:rsidRDefault="009A242A" w:rsidP="004301C4">
            <w:pPr>
              <w:rPr>
                <w:bCs/>
                <w:sz w:val="20"/>
                <w:szCs w:val="20"/>
                <w:lang w:eastAsia="en-US"/>
              </w:rPr>
            </w:pPr>
            <w:r w:rsidRPr="007E77AF">
              <w:rPr>
                <w:bCs/>
                <w:sz w:val="20"/>
                <w:szCs w:val="20"/>
                <w:lang w:eastAsia="en-US"/>
              </w:rPr>
              <w:t>5. (Descrição breve – Máx. 50 palavras)</w:t>
            </w:r>
          </w:p>
        </w:tc>
        <w:tc>
          <w:tcPr>
            <w:tcW w:w="4485" w:type="dxa"/>
            <w:shd w:val="clear" w:color="auto" w:fill="auto"/>
            <w:vAlign w:val="center"/>
            <w:hideMark/>
          </w:tcPr>
          <w:p w14:paraId="542C65E0" w14:textId="53D1A6E1"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464D2A60" w14:textId="55B742B2"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AC17958" w14:textId="77777777" w:rsidTr="491E246D">
        <w:trPr>
          <w:trHeight w:val="390"/>
        </w:trPr>
        <w:tc>
          <w:tcPr>
            <w:tcW w:w="8783" w:type="dxa"/>
            <w:gridSpan w:val="2"/>
            <w:shd w:val="clear" w:color="auto" w:fill="auto"/>
            <w:vAlign w:val="center"/>
            <w:hideMark/>
          </w:tcPr>
          <w:p w14:paraId="00397C66" w14:textId="77777777" w:rsidR="009A242A" w:rsidRPr="007E77AF" w:rsidRDefault="009A242A" w:rsidP="004301C4">
            <w:pPr>
              <w:jc w:val="center"/>
              <w:rPr>
                <w:rFonts w:ascii="Calibri" w:hAnsi="Calibri"/>
                <w:b/>
                <w:bCs/>
                <w:sz w:val="20"/>
                <w:szCs w:val="20"/>
                <w:lang w:eastAsia="en-US"/>
              </w:rPr>
            </w:pPr>
            <w:r w:rsidRPr="007E77AF">
              <w:rPr>
                <w:rFonts w:ascii="Calibri" w:hAnsi="Calibri"/>
                <w:b/>
                <w:sz w:val="20"/>
                <w:szCs w:val="20"/>
                <w:lang w:eastAsia="en-US"/>
              </w:rPr>
              <w:lastRenderedPageBreak/>
              <w:t>4. Principais informações os títulos de dívida</w:t>
            </w:r>
            <w:r w:rsidRPr="007E77AF">
              <w:rPr>
                <w:rFonts w:ascii="Calibri" w:hAnsi="Calibri"/>
                <w:b/>
                <w:bCs/>
                <w:sz w:val="20"/>
                <w:szCs w:val="20"/>
                <w:lang w:eastAsia="en-US"/>
              </w:rPr>
              <w:t xml:space="preserve"> (repetir para cada Série)</w:t>
            </w:r>
          </w:p>
        </w:tc>
        <w:tc>
          <w:tcPr>
            <w:tcW w:w="1395" w:type="dxa"/>
            <w:shd w:val="clear" w:color="auto" w:fill="auto"/>
            <w:vAlign w:val="center"/>
            <w:hideMark/>
          </w:tcPr>
          <w:p w14:paraId="3865F6F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D543DFB" w14:textId="77777777" w:rsidTr="491E246D">
        <w:trPr>
          <w:trHeight w:val="390"/>
        </w:trPr>
        <w:tc>
          <w:tcPr>
            <w:tcW w:w="10178" w:type="dxa"/>
            <w:gridSpan w:val="3"/>
            <w:shd w:val="clear" w:color="auto" w:fill="auto"/>
            <w:vAlign w:val="center"/>
            <w:hideMark/>
          </w:tcPr>
          <w:p w14:paraId="2B58EBA1"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Características do título</w:t>
            </w:r>
          </w:p>
        </w:tc>
      </w:tr>
      <w:tr w:rsidR="009A242A" w:rsidRPr="007E77AF" w14:paraId="334EF698" w14:textId="77777777" w:rsidTr="491E246D">
        <w:trPr>
          <w:trHeight w:val="227"/>
        </w:trPr>
        <w:tc>
          <w:tcPr>
            <w:tcW w:w="4298" w:type="dxa"/>
            <w:shd w:val="clear" w:color="auto" w:fill="auto"/>
            <w:vAlign w:val="center"/>
            <w:hideMark/>
          </w:tcPr>
          <w:p w14:paraId="73DA8C63" w14:textId="77777777" w:rsidR="009A242A" w:rsidRPr="007E77AF" w:rsidRDefault="009A242A" w:rsidP="004301C4">
            <w:pPr>
              <w:rPr>
                <w:bCs/>
                <w:sz w:val="20"/>
                <w:szCs w:val="20"/>
                <w:lang w:eastAsia="en-US"/>
              </w:rPr>
            </w:pPr>
            <w:r w:rsidRPr="007E77AF">
              <w:rPr>
                <w:bCs/>
                <w:sz w:val="20"/>
                <w:szCs w:val="20"/>
                <w:lang w:eastAsia="en-US"/>
              </w:rPr>
              <w:t xml:space="preserve">Principais características – </w:t>
            </w:r>
            <w:proofErr w:type="gramStart"/>
            <w:r w:rsidRPr="007E77AF">
              <w:rPr>
                <w:bCs/>
                <w:sz w:val="20"/>
                <w:szCs w:val="20"/>
                <w:lang w:eastAsia="en-US"/>
              </w:rPr>
              <w:t>Série  [</w:t>
            </w:r>
            <w:proofErr w:type="gramEnd"/>
            <w:r w:rsidRPr="007E77AF">
              <w:rPr>
                <w:bCs/>
                <w:sz w:val="20"/>
                <w:szCs w:val="20"/>
                <w:lang w:eastAsia="en-US"/>
              </w:rPr>
              <w:t xml:space="preserve"> ]</w:t>
            </w:r>
          </w:p>
        </w:tc>
        <w:tc>
          <w:tcPr>
            <w:tcW w:w="4485" w:type="dxa"/>
            <w:shd w:val="clear" w:color="auto" w:fill="auto"/>
            <w:vAlign w:val="center"/>
            <w:hideMark/>
          </w:tcPr>
          <w:p w14:paraId="2248B9BD"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5B0A403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9362E0B" w14:textId="77777777" w:rsidTr="491E246D">
        <w:trPr>
          <w:trHeight w:val="227"/>
        </w:trPr>
        <w:tc>
          <w:tcPr>
            <w:tcW w:w="4298" w:type="dxa"/>
            <w:shd w:val="clear" w:color="auto" w:fill="auto"/>
            <w:vAlign w:val="center"/>
          </w:tcPr>
          <w:p w14:paraId="7756F2EB" w14:textId="77777777" w:rsidR="009A242A" w:rsidRPr="007E77AF" w:rsidDel="00F44FEC" w:rsidRDefault="009A242A" w:rsidP="004301C4">
            <w:pPr>
              <w:rPr>
                <w:bCs/>
                <w:sz w:val="20"/>
                <w:szCs w:val="20"/>
                <w:lang w:eastAsia="en-US"/>
              </w:rPr>
            </w:pPr>
            <w:r w:rsidRPr="007E77AF">
              <w:rPr>
                <w:bCs/>
                <w:sz w:val="20"/>
                <w:szCs w:val="20"/>
                <w:lang w:eastAsia="en-US"/>
              </w:rPr>
              <w:t>Possibilidade de resgate antecipado compulsório</w:t>
            </w:r>
          </w:p>
        </w:tc>
        <w:tc>
          <w:tcPr>
            <w:tcW w:w="4485" w:type="dxa"/>
            <w:shd w:val="clear" w:color="auto" w:fill="auto"/>
            <w:vAlign w:val="center"/>
          </w:tcPr>
          <w:p w14:paraId="5DB20912"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1212E05E"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9A3B6FC" w14:textId="77777777" w:rsidTr="491E246D">
        <w:trPr>
          <w:trHeight w:val="227"/>
        </w:trPr>
        <w:tc>
          <w:tcPr>
            <w:tcW w:w="4298" w:type="dxa"/>
            <w:shd w:val="clear" w:color="auto" w:fill="auto"/>
            <w:vAlign w:val="center"/>
          </w:tcPr>
          <w:p w14:paraId="2E91492B" w14:textId="77777777" w:rsidR="009A242A" w:rsidRPr="007E77AF" w:rsidRDefault="009A242A" w:rsidP="004301C4">
            <w:pPr>
              <w:rPr>
                <w:bCs/>
                <w:sz w:val="20"/>
                <w:szCs w:val="20"/>
                <w:lang w:eastAsia="en-US"/>
              </w:rPr>
            </w:pPr>
            <w:r w:rsidRPr="007E77AF">
              <w:rPr>
                <w:bCs/>
                <w:sz w:val="20"/>
                <w:szCs w:val="20"/>
                <w:lang w:eastAsia="en-US"/>
              </w:rPr>
              <w:t>Vencimento/Prazo</w:t>
            </w:r>
          </w:p>
        </w:tc>
        <w:tc>
          <w:tcPr>
            <w:tcW w:w="4485" w:type="dxa"/>
            <w:shd w:val="clear" w:color="auto" w:fill="auto"/>
            <w:vAlign w:val="center"/>
          </w:tcPr>
          <w:p w14:paraId="16B0C320" w14:textId="77777777" w:rsidR="009A242A" w:rsidRPr="007E77AF" w:rsidRDefault="009A242A" w:rsidP="004301C4">
            <w:pPr>
              <w:jc w:val="center"/>
              <w:rPr>
                <w:bCs/>
                <w:sz w:val="20"/>
                <w:szCs w:val="20"/>
                <w:lang w:eastAsia="en-US"/>
              </w:rPr>
            </w:pPr>
            <w:r w:rsidRPr="007E77AF">
              <w:rPr>
                <w:bCs/>
                <w:sz w:val="20"/>
                <w:szCs w:val="20"/>
                <w:lang w:eastAsia="en-US"/>
              </w:rPr>
              <w:t>[data]</w:t>
            </w:r>
            <w:proofErr w:type="gramStart"/>
            <w:r w:rsidRPr="007E77AF">
              <w:rPr>
                <w:bCs/>
                <w:sz w:val="20"/>
                <w:szCs w:val="20"/>
                <w:lang w:eastAsia="en-US"/>
              </w:rPr>
              <w:t>/[</w:t>
            </w:r>
            <w:proofErr w:type="gramEnd"/>
            <w:r w:rsidRPr="007E77AF">
              <w:rPr>
                <w:bCs/>
                <w:sz w:val="20"/>
                <w:szCs w:val="20"/>
                <w:lang w:eastAsia="en-US"/>
              </w:rPr>
              <w:t>anos ou dias]</w:t>
            </w:r>
          </w:p>
        </w:tc>
        <w:tc>
          <w:tcPr>
            <w:tcW w:w="1395" w:type="dxa"/>
            <w:shd w:val="clear" w:color="auto" w:fill="auto"/>
          </w:tcPr>
          <w:p w14:paraId="163A6790"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D5A8825" w14:textId="77777777" w:rsidTr="491E246D">
        <w:trPr>
          <w:trHeight w:val="227"/>
        </w:trPr>
        <w:tc>
          <w:tcPr>
            <w:tcW w:w="4298" w:type="dxa"/>
            <w:shd w:val="clear" w:color="auto" w:fill="auto"/>
            <w:vAlign w:val="center"/>
          </w:tcPr>
          <w:p w14:paraId="78AFB9CF" w14:textId="77777777" w:rsidR="009A242A" w:rsidRPr="007E77AF" w:rsidRDefault="009A242A" w:rsidP="004301C4">
            <w:pPr>
              <w:rPr>
                <w:bCs/>
                <w:sz w:val="20"/>
                <w:szCs w:val="20"/>
                <w:lang w:eastAsia="en-US"/>
              </w:rPr>
            </w:pPr>
            <w:r w:rsidRPr="007E77AF">
              <w:rPr>
                <w:bCs/>
                <w:sz w:val="20"/>
                <w:szCs w:val="20"/>
                <w:lang w:eastAsia="en-US"/>
              </w:rPr>
              <w:t>Remuneração</w:t>
            </w:r>
          </w:p>
        </w:tc>
        <w:tc>
          <w:tcPr>
            <w:tcW w:w="4485" w:type="dxa"/>
            <w:shd w:val="clear" w:color="auto" w:fill="auto"/>
            <w:vAlign w:val="center"/>
          </w:tcPr>
          <w:p w14:paraId="0878395B" w14:textId="77777777" w:rsidR="009A242A" w:rsidRPr="007E77AF" w:rsidRDefault="009A242A" w:rsidP="004301C4">
            <w:pPr>
              <w:jc w:val="center"/>
              <w:rPr>
                <w:bCs/>
                <w:sz w:val="20"/>
                <w:szCs w:val="20"/>
                <w:lang w:eastAsia="en-US"/>
              </w:rPr>
            </w:pPr>
            <w:r w:rsidRPr="007E77AF">
              <w:rPr>
                <w:bCs/>
                <w:sz w:val="20"/>
                <w:szCs w:val="20"/>
                <w:lang w:eastAsia="en-US"/>
              </w:rPr>
              <w:t xml:space="preserve">Descrever a remuneração (DI + </w:t>
            </w:r>
            <w:r w:rsidRPr="00986942">
              <w:rPr>
                <w:b/>
                <w:sz w:val="20"/>
              </w:rPr>
              <w:t>Spread</w:t>
            </w:r>
            <w:r w:rsidRPr="007E77AF">
              <w:rPr>
                <w:bCs/>
                <w:sz w:val="20"/>
                <w:szCs w:val="20"/>
                <w:lang w:eastAsia="en-US"/>
              </w:rPr>
              <w:t>/XX% DI/</w:t>
            </w:r>
            <w:proofErr w:type="spellStart"/>
            <w:r w:rsidRPr="007E77AF">
              <w:rPr>
                <w:bCs/>
                <w:sz w:val="20"/>
                <w:szCs w:val="20"/>
                <w:lang w:eastAsia="en-US"/>
              </w:rPr>
              <w:t>IPCA+</w:t>
            </w:r>
            <w:r w:rsidRPr="00986942">
              <w:rPr>
                <w:b/>
                <w:sz w:val="20"/>
              </w:rPr>
              <w:t>Spread</w:t>
            </w:r>
            <w:proofErr w:type="spellEnd"/>
            <w:r w:rsidRPr="007E77AF">
              <w:rPr>
                <w:bCs/>
                <w:sz w:val="20"/>
                <w:szCs w:val="20"/>
                <w:lang w:eastAsia="en-US"/>
              </w:rPr>
              <w:t xml:space="preserve">/Taxa </w:t>
            </w:r>
            <w:proofErr w:type="gramStart"/>
            <w:r w:rsidRPr="007E77AF">
              <w:rPr>
                <w:bCs/>
                <w:sz w:val="20"/>
                <w:szCs w:val="20"/>
                <w:lang w:eastAsia="en-US"/>
              </w:rPr>
              <w:t>fixa)  em</w:t>
            </w:r>
            <w:proofErr w:type="gramEnd"/>
            <w:r w:rsidRPr="007E77AF">
              <w:rPr>
                <w:bCs/>
                <w:sz w:val="20"/>
                <w:szCs w:val="20"/>
                <w:lang w:eastAsia="en-US"/>
              </w:rPr>
              <w:t xml:space="preserve"> %a.a.</w:t>
            </w:r>
          </w:p>
        </w:tc>
        <w:tc>
          <w:tcPr>
            <w:tcW w:w="1395" w:type="dxa"/>
            <w:shd w:val="clear" w:color="auto" w:fill="auto"/>
          </w:tcPr>
          <w:p w14:paraId="073D14F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7CB2D0D" w14:textId="77777777" w:rsidTr="491E246D">
        <w:trPr>
          <w:trHeight w:val="227"/>
        </w:trPr>
        <w:tc>
          <w:tcPr>
            <w:tcW w:w="4298" w:type="dxa"/>
            <w:shd w:val="clear" w:color="auto" w:fill="auto"/>
            <w:vAlign w:val="center"/>
          </w:tcPr>
          <w:p w14:paraId="2525DEAA" w14:textId="77777777" w:rsidR="009A242A" w:rsidRPr="007E77AF" w:rsidRDefault="009A242A" w:rsidP="004301C4">
            <w:pPr>
              <w:rPr>
                <w:bCs/>
                <w:sz w:val="20"/>
                <w:szCs w:val="20"/>
                <w:lang w:eastAsia="en-US"/>
              </w:rPr>
            </w:pPr>
            <w:r w:rsidRPr="007E77AF">
              <w:rPr>
                <w:bCs/>
                <w:sz w:val="20"/>
                <w:szCs w:val="20"/>
                <w:lang w:eastAsia="en-US"/>
              </w:rPr>
              <w:t>Amortização/Juros</w:t>
            </w:r>
          </w:p>
        </w:tc>
        <w:tc>
          <w:tcPr>
            <w:tcW w:w="4485" w:type="dxa"/>
            <w:shd w:val="clear" w:color="auto" w:fill="auto"/>
            <w:vAlign w:val="center"/>
          </w:tcPr>
          <w:p w14:paraId="38DBF6D3" w14:textId="77777777" w:rsidR="009A242A" w:rsidRPr="007E77AF" w:rsidRDefault="009A242A" w:rsidP="004301C4">
            <w:pPr>
              <w:jc w:val="center"/>
              <w:rPr>
                <w:bCs/>
                <w:sz w:val="20"/>
                <w:szCs w:val="20"/>
                <w:lang w:eastAsia="en-US"/>
              </w:rPr>
            </w:pPr>
            <w:r w:rsidRPr="007E77AF">
              <w:rPr>
                <w:bCs/>
                <w:sz w:val="20"/>
                <w:szCs w:val="20"/>
                <w:lang w:eastAsia="en-US"/>
              </w:rPr>
              <w:t>Descrever a periodicidade</w:t>
            </w:r>
          </w:p>
        </w:tc>
        <w:tc>
          <w:tcPr>
            <w:tcW w:w="1395" w:type="dxa"/>
            <w:shd w:val="clear" w:color="auto" w:fill="auto"/>
          </w:tcPr>
          <w:p w14:paraId="6998D90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297F28C" w14:textId="77777777" w:rsidTr="491E246D">
        <w:trPr>
          <w:trHeight w:val="227"/>
        </w:trPr>
        <w:tc>
          <w:tcPr>
            <w:tcW w:w="4298" w:type="dxa"/>
            <w:shd w:val="clear" w:color="auto" w:fill="auto"/>
            <w:vAlign w:val="center"/>
          </w:tcPr>
          <w:p w14:paraId="388C0C16" w14:textId="77777777" w:rsidR="009A242A" w:rsidRPr="007E77AF" w:rsidRDefault="009A242A" w:rsidP="004301C4">
            <w:pPr>
              <w:rPr>
                <w:bCs/>
                <w:sz w:val="20"/>
                <w:szCs w:val="20"/>
                <w:lang w:eastAsia="en-US"/>
              </w:rPr>
            </w:pPr>
            <w:proofErr w:type="spellStart"/>
            <w:r w:rsidRPr="007E77AF">
              <w:rPr>
                <w:bCs/>
                <w:sz w:val="20"/>
                <w:szCs w:val="20"/>
                <w:lang w:eastAsia="en-US"/>
              </w:rPr>
              <w:t>Duration</w:t>
            </w:r>
            <w:proofErr w:type="spellEnd"/>
          </w:p>
        </w:tc>
        <w:tc>
          <w:tcPr>
            <w:tcW w:w="4485" w:type="dxa"/>
            <w:shd w:val="clear" w:color="auto" w:fill="auto"/>
            <w:vAlign w:val="center"/>
          </w:tcPr>
          <w:p w14:paraId="6FB882F4" w14:textId="77777777" w:rsidR="009A242A" w:rsidRPr="007E77AF" w:rsidRDefault="009A242A" w:rsidP="004301C4">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anos</w:t>
            </w:r>
          </w:p>
        </w:tc>
        <w:tc>
          <w:tcPr>
            <w:tcW w:w="1395" w:type="dxa"/>
            <w:shd w:val="clear" w:color="auto" w:fill="auto"/>
          </w:tcPr>
          <w:p w14:paraId="1484B81D"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AD5DFBB" w14:textId="77777777" w:rsidTr="491E246D">
        <w:trPr>
          <w:trHeight w:val="227"/>
        </w:trPr>
        <w:tc>
          <w:tcPr>
            <w:tcW w:w="4298" w:type="dxa"/>
            <w:shd w:val="clear" w:color="auto" w:fill="auto"/>
            <w:vAlign w:val="center"/>
          </w:tcPr>
          <w:p w14:paraId="5A40BFAC" w14:textId="77777777" w:rsidR="009A242A" w:rsidRPr="007E77AF" w:rsidDel="00F44FEC" w:rsidRDefault="009A242A" w:rsidP="004301C4">
            <w:pPr>
              <w:rPr>
                <w:bCs/>
                <w:sz w:val="20"/>
                <w:szCs w:val="20"/>
                <w:lang w:eastAsia="en-US"/>
              </w:rPr>
            </w:pPr>
            <w:r w:rsidRPr="007E77AF">
              <w:rPr>
                <w:bCs/>
                <w:sz w:val="20"/>
                <w:szCs w:val="20"/>
                <w:lang w:eastAsia="en-US"/>
              </w:rPr>
              <w:t>Condições de recompra antecipada</w:t>
            </w:r>
          </w:p>
        </w:tc>
        <w:tc>
          <w:tcPr>
            <w:tcW w:w="4485" w:type="dxa"/>
            <w:shd w:val="clear" w:color="auto" w:fill="auto"/>
            <w:vAlign w:val="center"/>
          </w:tcPr>
          <w:p w14:paraId="01060906"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5F94CEFE"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7473000" w14:textId="77777777" w:rsidTr="491E246D">
        <w:trPr>
          <w:trHeight w:val="227"/>
        </w:trPr>
        <w:tc>
          <w:tcPr>
            <w:tcW w:w="4298" w:type="dxa"/>
            <w:shd w:val="clear" w:color="auto" w:fill="auto"/>
            <w:vAlign w:val="center"/>
          </w:tcPr>
          <w:p w14:paraId="29F4FF19" w14:textId="77777777" w:rsidR="009A242A" w:rsidRPr="007E77AF" w:rsidDel="00F44FEC" w:rsidRDefault="009A242A" w:rsidP="004301C4">
            <w:pPr>
              <w:rPr>
                <w:bCs/>
                <w:sz w:val="20"/>
                <w:szCs w:val="20"/>
                <w:lang w:eastAsia="en-US"/>
              </w:rPr>
            </w:pPr>
            <w:r w:rsidRPr="007E77AF">
              <w:rPr>
                <w:bCs/>
                <w:sz w:val="20"/>
                <w:szCs w:val="20"/>
                <w:lang w:eastAsia="en-US"/>
              </w:rPr>
              <w:t>Condições de vencimento antecipado</w:t>
            </w:r>
          </w:p>
        </w:tc>
        <w:tc>
          <w:tcPr>
            <w:tcW w:w="4485" w:type="dxa"/>
            <w:shd w:val="clear" w:color="auto" w:fill="auto"/>
            <w:vAlign w:val="center"/>
          </w:tcPr>
          <w:p w14:paraId="36EB26CB"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763C02E0"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7CEBC4B" w14:textId="77777777" w:rsidTr="491E246D">
        <w:trPr>
          <w:trHeight w:val="227"/>
        </w:trPr>
        <w:tc>
          <w:tcPr>
            <w:tcW w:w="4298" w:type="dxa"/>
            <w:shd w:val="clear" w:color="auto" w:fill="auto"/>
            <w:vAlign w:val="center"/>
            <w:hideMark/>
          </w:tcPr>
          <w:p w14:paraId="01096E1C" w14:textId="77777777" w:rsidR="009A242A" w:rsidRPr="007E77AF" w:rsidRDefault="009A242A" w:rsidP="004301C4">
            <w:pPr>
              <w:rPr>
                <w:bCs/>
                <w:sz w:val="20"/>
                <w:szCs w:val="20"/>
                <w:lang w:eastAsia="en-US"/>
              </w:rPr>
            </w:pPr>
            <w:r w:rsidRPr="007E77AF">
              <w:rPr>
                <w:bCs/>
                <w:sz w:val="20"/>
                <w:szCs w:val="20"/>
                <w:lang w:eastAsia="en-US"/>
              </w:rPr>
              <w:t>Restrições à livre negociação</w:t>
            </w:r>
          </w:p>
        </w:tc>
        <w:tc>
          <w:tcPr>
            <w:tcW w:w="4485" w:type="dxa"/>
            <w:shd w:val="clear" w:color="auto" w:fill="auto"/>
            <w:hideMark/>
          </w:tcPr>
          <w:p w14:paraId="61D1D042" w14:textId="768ED46A" w:rsidR="009A242A" w:rsidRPr="007E77AF" w:rsidRDefault="009A242A" w:rsidP="009B4EF1">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proofErr w:type="spellStart"/>
            <w:r w:rsidRPr="00986942">
              <w:rPr>
                <w:b/>
                <w:sz w:val="20"/>
              </w:rPr>
              <w:t>lock-up</w:t>
            </w:r>
            <w:proofErr w:type="spellEnd"/>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95" w:type="dxa"/>
            <w:shd w:val="clear" w:color="auto" w:fill="auto"/>
            <w:vAlign w:val="center"/>
            <w:hideMark/>
          </w:tcPr>
          <w:p w14:paraId="492F54A3"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2D4FB70" w14:textId="77777777" w:rsidTr="491E246D">
        <w:trPr>
          <w:trHeight w:val="227"/>
        </w:trPr>
        <w:tc>
          <w:tcPr>
            <w:tcW w:w="4298" w:type="dxa"/>
            <w:shd w:val="clear" w:color="auto" w:fill="auto"/>
            <w:vAlign w:val="center"/>
          </w:tcPr>
          <w:p w14:paraId="111A633D" w14:textId="77777777" w:rsidR="009A242A" w:rsidRPr="007E77AF" w:rsidRDefault="009A242A" w:rsidP="004301C4">
            <w:pPr>
              <w:rPr>
                <w:bCs/>
                <w:sz w:val="20"/>
                <w:szCs w:val="20"/>
                <w:lang w:eastAsia="en-US"/>
              </w:rPr>
            </w:pPr>
            <w:r w:rsidRPr="007E77AF">
              <w:rPr>
                <w:bCs/>
                <w:sz w:val="20"/>
                <w:szCs w:val="20"/>
                <w:lang w:eastAsia="en-US"/>
              </w:rPr>
              <w:t>Formador de mercado</w:t>
            </w:r>
          </w:p>
        </w:tc>
        <w:tc>
          <w:tcPr>
            <w:tcW w:w="4485" w:type="dxa"/>
            <w:shd w:val="clear" w:color="auto" w:fill="auto"/>
          </w:tcPr>
          <w:p w14:paraId="3C5DD468" w14:textId="77777777" w:rsidR="009A242A" w:rsidRPr="007E77AF" w:rsidRDefault="009A242A" w:rsidP="004301C4">
            <w:pPr>
              <w:jc w:val="center"/>
              <w:rPr>
                <w:bCs/>
                <w:sz w:val="20"/>
                <w:szCs w:val="20"/>
                <w:lang w:eastAsia="en-US"/>
              </w:rPr>
            </w:pPr>
            <w:r w:rsidRPr="007E77AF">
              <w:rPr>
                <w:bCs/>
                <w:sz w:val="20"/>
                <w:szCs w:val="20"/>
                <w:lang w:eastAsia="en-US"/>
              </w:rPr>
              <w:t>nome</w:t>
            </w:r>
          </w:p>
        </w:tc>
        <w:tc>
          <w:tcPr>
            <w:tcW w:w="1395" w:type="dxa"/>
            <w:shd w:val="clear" w:color="auto" w:fill="auto"/>
            <w:vAlign w:val="center"/>
          </w:tcPr>
          <w:p w14:paraId="76AA6AED" w14:textId="77777777" w:rsidR="009A242A" w:rsidRPr="007E77AF" w:rsidRDefault="009A242A" w:rsidP="004301C4">
            <w:pPr>
              <w:jc w:val="center"/>
              <w:rPr>
                <w:bCs/>
                <w:sz w:val="20"/>
                <w:szCs w:val="20"/>
                <w:lang w:eastAsia="en-US"/>
              </w:rPr>
            </w:pPr>
          </w:p>
        </w:tc>
      </w:tr>
      <w:tr w:rsidR="009A242A" w:rsidRPr="007E77AF" w14:paraId="13541DEE" w14:textId="77777777" w:rsidTr="491E246D">
        <w:trPr>
          <w:trHeight w:val="466"/>
        </w:trPr>
        <w:tc>
          <w:tcPr>
            <w:tcW w:w="10178" w:type="dxa"/>
            <w:gridSpan w:val="3"/>
            <w:shd w:val="clear" w:color="auto" w:fill="auto"/>
            <w:vAlign w:val="center"/>
          </w:tcPr>
          <w:p w14:paraId="3FBEBC8C"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Garantias (se houver)</w:t>
            </w:r>
          </w:p>
        </w:tc>
      </w:tr>
      <w:tr w:rsidR="009A242A" w:rsidRPr="007E77AF" w14:paraId="7850136E" w14:textId="77777777" w:rsidTr="491E246D">
        <w:trPr>
          <w:trHeight w:val="227"/>
        </w:trPr>
        <w:tc>
          <w:tcPr>
            <w:tcW w:w="4298" w:type="dxa"/>
            <w:shd w:val="clear" w:color="auto" w:fill="auto"/>
            <w:vAlign w:val="center"/>
          </w:tcPr>
          <w:p w14:paraId="1D0D007D" w14:textId="77777777" w:rsidR="009A242A" w:rsidRPr="007E77AF" w:rsidRDefault="009A242A" w:rsidP="004301C4">
            <w:pPr>
              <w:rPr>
                <w:bCs/>
                <w:sz w:val="20"/>
                <w:szCs w:val="20"/>
                <w:lang w:eastAsia="en-US"/>
              </w:rPr>
            </w:pPr>
            <w:r w:rsidRPr="007E77AF">
              <w:rPr>
                <w:bCs/>
                <w:sz w:val="20"/>
                <w:szCs w:val="20"/>
                <w:lang w:eastAsia="en-US"/>
              </w:rPr>
              <w:t>Garantia 1</w:t>
            </w:r>
          </w:p>
        </w:tc>
        <w:tc>
          <w:tcPr>
            <w:tcW w:w="4485" w:type="dxa"/>
            <w:shd w:val="clear" w:color="auto" w:fill="auto"/>
          </w:tcPr>
          <w:p w14:paraId="16D88AC3"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5" w:type="dxa"/>
            <w:shd w:val="clear" w:color="auto" w:fill="auto"/>
            <w:vAlign w:val="center"/>
          </w:tcPr>
          <w:p w14:paraId="0C501C08"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1B2485E0" w14:textId="77777777" w:rsidTr="491E246D">
        <w:trPr>
          <w:trHeight w:val="227"/>
        </w:trPr>
        <w:tc>
          <w:tcPr>
            <w:tcW w:w="4298" w:type="dxa"/>
            <w:shd w:val="clear" w:color="auto" w:fill="auto"/>
            <w:vAlign w:val="center"/>
          </w:tcPr>
          <w:p w14:paraId="33064977" w14:textId="77777777" w:rsidR="009A242A" w:rsidRPr="007E77AF" w:rsidRDefault="009A242A" w:rsidP="004301C4">
            <w:pPr>
              <w:rPr>
                <w:bCs/>
                <w:sz w:val="20"/>
                <w:szCs w:val="20"/>
                <w:lang w:eastAsia="en-US"/>
              </w:rPr>
            </w:pPr>
            <w:r w:rsidRPr="007E77AF">
              <w:rPr>
                <w:bCs/>
                <w:sz w:val="20"/>
                <w:szCs w:val="20"/>
                <w:lang w:eastAsia="en-US"/>
              </w:rPr>
              <w:t>Garantia 2</w:t>
            </w:r>
          </w:p>
        </w:tc>
        <w:tc>
          <w:tcPr>
            <w:tcW w:w="4485" w:type="dxa"/>
            <w:shd w:val="clear" w:color="auto" w:fill="auto"/>
          </w:tcPr>
          <w:p w14:paraId="133D204B"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5" w:type="dxa"/>
            <w:shd w:val="clear" w:color="auto" w:fill="auto"/>
            <w:vAlign w:val="center"/>
          </w:tcPr>
          <w:p w14:paraId="2B0C8A5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AA0F5FA" w14:textId="77777777" w:rsidTr="491E246D">
        <w:trPr>
          <w:trHeight w:val="227"/>
        </w:trPr>
        <w:tc>
          <w:tcPr>
            <w:tcW w:w="10178" w:type="dxa"/>
            <w:gridSpan w:val="3"/>
            <w:shd w:val="clear" w:color="auto" w:fill="auto"/>
            <w:vAlign w:val="center"/>
          </w:tcPr>
          <w:p w14:paraId="63309A6B" w14:textId="77777777" w:rsidR="009A242A" w:rsidRPr="007E77AF" w:rsidRDefault="009A242A" w:rsidP="004301C4">
            <w:pPr>
              <w:jc w:val="center"/>
              <w:rPr>
                <w:b/>
                <w:bCs/>
                <w:sz w:val="20"/>
                <w:szCs w:val="20"/>
                <w:lang w:eastAsia="en-US"/>
              </w:rPr>
            </w:pPr>
            <w:r w:rsidRPr="007E77AF">
              <w:rPr>
                <w:rFonts w:ascii="Calibri" w:hAnsi="Calibri"/>
                <w:b/>
                <w:bCs/>
                <w:sz w:val="20"/>
                <w:szCs w:val="20"/>
                <w:lang w:eastAsia="en-US"/>
              </w:rPr>
              <w:t>Classificação de risco (se houver)</w:t>
            </w:r>
          </w:p>
        </w:tc>
      </w:tr>
      <w:tr w:rsidR="009A242A" w:rsidRPr="007E77AF" w14:paraId="53EF98FD" w14:textId="77777777" w:rsidTr="491E246D">
        <w:trPr>
          <w:trHeight w:val="227"/>
        </w:trPr>
        <w:tc>
          <w:tcPr>
            <w:tcW w:w="4298" w:type="dxa"/>
            <w:shd w:val="clear" w:color="auto" w:fill="auto"/>
            <w:vAlign w:val="center"/>
          </w:tcPr>
          <w:p w14:paraId="6C09625E" w14:textId="77777777" w:rsidR="009A242A" w:rsidRPr="007E77AF" w:rsidRDefault="009A242A" w:rsidP="004301C4">
            <w:pPr>
              <w:rPr>
                <w:bCs/>
                <w:sz w:val="20"/>
                <w:szCs w:val="20"/>
                <w:lang w:eastAsia="en-US"/>
              </w:rPr>
            </w:pPr>
            <w:r w:rsidRPr="007E77AF">
              <w:rPr>
                <w:bCs/>
                <w:sz w:val="20"/>
                <w:szCs w:val="20"/>
                <w:lang w:eastAsia="en-US"/>
              </w:rPr>
              <w:t>Agência de Classificação de Risco</w:t>
            </w:r>
          </w:p>
        </w:tc>
        <w:tc>
          <w:tcPr>
            <w:tcW w:w="4485" w:type="dxa"/>
            <w:shd w:val="clear" w:color="auto" w:fill="auto"/>
            <w:vAlign w:val="center"/>
          </w:tcPr>
          <w:p w14:paraId="3F0F953A" w14:textId="77777777" w:rsidR="009A242A" w:rsidRPr="007E77AF" w:rsidRDefault="009A242A" w:rsidP="004301C4">
            <w:pPr>
              <w:jc w:val="center"/>
              <w:rPr>
                <w:rFonts w:ascii="Calibri Light" w:hAnsi="Calibri Light"/>
                <w:b/>
                <w:bCs/>
                <w:sz w:val="20"/>
                <w:szCs w:val="20"/>
                <w:lang w:eastAsia="en-US"/>
              </w:rPr>
            </w:pPr>
          </w:p>
        </w:tc>
        <w:tc>
          <w:tcPr>
            <w:tcW w:w="1395" w:type="dxa"/>
            <w:shd w:val="clear" w:color="auto" w:fill="auto"/>
          </w:tcPr>
          <w:p w14:paraId="53DCAD4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774EC08" w14:textId="77777777" w:rsidTr="491E246D">
        <w:trPr>
          <w:trHeight w:val="227"/>
        </w:trPr>
        <w:tc>
          <w:tcPr>
            <w:tcW w:w="4298" w:type="dxa"/>
            <w:shd w:val="clear" w:color="auto" w:fill="auto"/>
            <w:vAlign w:val="center"/>
          </w:tcPr>
          <w:p w14:paraId="29CCFDD9" w14:textId="77777777" w:rsidR="009A242A" w:rsidRPr="007E77AF" w:rsidRDefault="009A242A" w:rsidP="004301C4">
            <w:pPr>
              <w:rPr>
                <w:bCs/>
                <w:sz w:val="20"/>
                <w:szCs w:val="20"/>
                <w:lang w:eastAsia="en-US"/>
              </w:rPr>
            </w:pPr>
            <w:r w:rsidRPr="007E77AF">
              <w:rPr>
                <w:bCs/>
                <w:sz w:val="20"/>
                <w:szCs w:val="20"/>
                <w:lang w:eastAsia="en-US"/>
              </w:rPr>
              <w:t>Classificação de Risco</w:t>
            </w:r>
          </w:p>
        </w:tc>
        <w:tc>
          <w:tcPr>
            <w:tcW w:w="4485" w:type="dxa"/>
            <w:shd w:val="clear" w:color="auto" w:fill="auto"/>
            <w:vAlign w:val="center"/>
          </w:tcPr>
          <w:p w14:paraId="383342CD" w14:textId="77777777" w:rsidR="009A242A" w:rsidRPr="007E77AF" w:rsidRDefault="009A242A" w:rsidP="004301C4">
            <w:pPr>
              <w:jc w:val="center"/>
              <w:rPr>
                <w:rFonts w:ascii="Calibri Light" w:hAnsi="Calibri Light"/>
                <w:b/>
                <w:bCs/>
                <w:sz w:val="20"/>
                <w:szCs w:val="20"/>
                <w:lang w:eastAsia="en-US"/>
              </w:rPr>
            </w:pPr>
          </w:p>
        </w:tc>
        <w:tc>
          <w:tcPr>
            <w:tcW w:w="1395" w:type="dxa"/>
            <w:shd w:val="clear" w:color="auto" w:fill="auto"/>
          </w:tcPr>
          <w:p w14:paraId="21968B91"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E68A253" w14:textId="77777777" w:rsidTr="491E246D">
        <w:trPr>
          <w:trHeight w:val="390"/>
        </w:trPr>
        <w:tc>
          <w:tcPr>
            <w:tcW w:w="8783" w:type="dxa"/>
            <w:gridSpan w:val="2"/>
            <w:shd w:val="clear" w:color="auto" w:fill="auto"/>
            <w:vAlign w:val="center"/>
            <w:hideMark/>
          </w:tcPr>
          <w:p w14:paraId="4B8FA4C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395" w:type="dxa"/>
            <w:shd w:val="clear" w:color="auto" w:fill="auto"/>
            <w:vAlign w:val="center"/>
            <w:hideMark/>
          </w:tcPr>
          <w:p w14:paraId="60B1572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C483A84" w14:textId="77777777" w:rsidTr="491E246D">
        <w:trPr>
          <w:trHeight w:val="390"/>
        </w:trPr>
        <w:tc>
          <w:tcPr>
            <w:tcW w:w="10178" w:type="dxa"/>
            <w:gridSpan w:val="3"/>
            <w:shd w:val="clear" w:color="auto" w:fill="auto"/>
            <w:vAlign w:val="center"/>
            <w:hideMark/>
          </w:tcPr>
          <w:p w14:paraId="5F27FE0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02114D97" w14:textId="77777777" w:rsidTr="491E246D">
        <w:trPr>
          <w:trHeight w:val="227"/>
        </w:trPr>
        <w:tc>
          <w:tcPr>
            <w:tcW w:w="4298" w:type="dxa"/>
            <w:shd w:val="clear" w:color="auto" w:fill="auto"/>
            <w:vAlign w:val="center"/>
            <w:hideMark/>
          </w:tcPr>
          <w:p w14:paraId="19F99EBD"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4485" w:type="dxa"/>
            <w:shd w:val="clear" w:color="auto" w:fill="auto"/>
            <w:hideMark/>
          </w:tcPr>
          <w:p w14:paraId="184B88C3"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w:t>
            </w:r>
            <w:proofErr w:type="gramStart"/>
            <w:r w:rsidRPr="007E77AF">
              <w:rPr>
                <w:bCs/>
                <w:sz w:val="20"/>
                <w:szCs w:val="20"/>
                <w:lang w:eastAsia="en-US"/>
              </w:rPr>
              <w:t>] Público</w:t>
            </w:r>
            <w:proofErr w:type="gramEnd"/>
            <w:r w:rsidRPr="007E77AF">
              <w:rPr>
                <w:bCs/>
                <w:sz w:val="20"/>
                <w:szCs w:val="20"/>
                <w:lang w:eastAsia="en-US"/>
              </w:rPr>
              <w:t xml:space="preserve"> em geral</w:t>
            </w:r>
          </w:p>
        </w:tc>
        <w:tc>
          <w:tcPr>
            <w:tcW w:w="1395" w:type="dxa"/>
            <w:shd w:val="clear" w:color="auto" w:fill="auto"/>
            <w:hideMark/>
          </w:tcPr>
          <w:p w14:paraId="24CA5AFC"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1A53AF7" w14:textId="77777777" w:rsidTr="491E246D">
        <w:trPr>
          <w:trHeight w:val="227"/>
        </w:trPr>
        <w:tc>
          <w:tcPr>
            <w:tcW w:w="4298" w:type="dxa"/>
            <w:shd w:val="clear" w:color="auto" w:fill="auto"/>
            <w:vAlign w:val="center"/>
            <w:hideMark/>
          </w:tcPr>
          <w:p w14:paraId="6CDA5DBD" w14:textId="77777777"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4485" w:type="dxa"/>
            <w:shd w:val="clear" w:color="auto" w:fill="auto"/>
            <w:vAlign w:val="center"/>
            <w:hideMark/>
          </w:tcPr>
          <w:p w14:paraId="104B0B3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29FAB2AC"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640EAE3" w14:textId="77777777" w:rsidTr="491E246D">
        <w:trPr>
          <w:trHeight w:val="227"/>
        </w:trPr>
        <w:tc>
          <w:tcPr>
            <w:tcW w:w="4298" w:type="dxa"/>
            <w:shd w:val="clear" w:color="auto" w:fill="auto"/>
            <w:vAlign w:val="center"/>
            <w:hideMark/>
          </w:tcPr>
          <w:p w14:paraId="0AD3DE57"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4485" w:type="dxa"/>
            <w:shd w:val="clear" w:color="auto" w:fill="auto"/>
            <w:vAlign w:val="center"/>
            <w:hideMark/>
          </w:tcPr>
          <w:p w14:paraId="7D056374" w14:textId="77777777" w:rsidR="009A242A" w:rsidRPr="007E77AF" w:rsidRDefault="009A242A" w:rsidP="004301C4">
            <w:pPr>
              <w:jc w:val="center"/>
              <w:rPr>
                <w:bCs/>
                <w:sz w:val="20"/>
                <w:szCs w:val="20"/>
                <w:lang w:eastAsia="en-US"/>
              </w:rPr>
            </w:pPr>
            <w:r w:rsidRPr="007E77AF">
              <w:rPr>
                <w:bCs/>
                <w:sz w:val="20"/>
                <w:szCs w:val="20"/>
                <w:lang w:eastAsia="en-US"/>
              </w:rPr>
              <w:t>EM R$ (até duas casas decimais)</w:t>
            </w:r>
          </w:p>
        </w:tc>
        <w:tc>
          <w:tcPr>
            <w:tcW w:w="1395" w:type="dxa"/>
            <w:shd w:val="clear" w:color="auto" w:fill="auto"/>
            <w:hideMark/>
          </w:tcPr>
          <w:p w14:paraId="52C54DA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2593138" w14:textId="77777777" w:rsidTr="491E246D">
        <w:trPr>
          <w:trHeight w:val="227"/>
        </w:trPr>
        <w:tc>
          <w:tcPr>
            <w:tcW w:w="4298" w:type="dxa"/>
            <w:shd w:val="clear" w:color="auto" w:fill="auto"/>
            <w:vAlign w:val="center"/>
            <w:hideMark/>
          </w:tcPr>
          <w:p w14:paraId="338003E5"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4485" w:type="dxa"/>
            <w:shd w:val="clear" w:color="auto" w:fill="auto"/>
            <w:vAlign w:val="center"/>
            <w:hideMark/>
          </w:tcPr>
          <w:p w14:paraId="512244BA"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2AB379ED"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AE7E075" w14:textId="77777777" w:rsidTr="491E246D">
        <w:trPr>
          <w:trHeight w:val="227"/>
        </w:trPr>
        <w:tc>
          <w:tcPr>
            <w:tcW w:w="4298" w:type="dxa"/>
            <w:shd w:val="clear" w:color="auto" w:fill="auto"/>
            <w:vAlign w:val="center"/>
            <w:hideMark/>
          </w:tcPr>
          <w:p w14:paraId="72C20D0E"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4485" w:type="dxa"/>
            <w:shd w:val="clear" w:color="auto" w:fill="auto"/>
            <w:vAlign w:val="center"/>
            <w:hideMark/>
          </w:tcPr>
          <w:p w14:paraId="197BB884"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3A625F1E"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F032923" w14:textId="77777777" w:rsidTr="001353DC">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ACB2F" w14:textId="77777777" w:rsidR="009A242A" w:rsidRPr="007E77AF" w:rsidRDefault="009A242A" w:rsidP="006C2466">
            <w:pPr>
              <w:rPr>
                <w:bCs/>
                <w:sz w:val="20"/>
                <w:szCs w:val="20"/>
                <w:lang w:eastAsia="en-US"/>
              </w:rPr>
            </w:pPr>
            <w:r w:rsidRPr="007E77AF">
              <w:rPr>
                <w:bCs/>
                <w:sz w:val="20"/>
                <w:szCs w:val="20"/>
                <w:lang w:eastAsia="en-US"/>
              </w:rPr>
              <w:t>Como poderei saber o resultado do rateio?</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71AC75" w14:textId="77777777" w:rsidR="009A242A" w:rsidRPr="007E77AF" w:rsidRDefault="009A242A" w:rsidP="006C2466">
            <w:pPr>
              <w:jc w:val="center"/>
              <w:rPr>
                <w:bCs/>
                <w:sz w:val="20"/>
                <w:szCs w:val="20"/>
                <w:lang w:eastAsia="en-US"/>
              </w:rPr>
            </w:pPr>
            <w:r w:rsidRPr="007E77AF">
              <w:rPr>
                <w:bCs/>
                <w:sz w:val="20"/>
                <w:szCs w:val="20"/>
                <w:lang w:eastAsia="en-US"/>
              </w:rPr>
              <w:t>[Máx. 25 palavras]</w:t>
            </w:r>
          </w:p>
        </w:tc>
        <w:tc>
          <w:tcPr>
            <w:tcW w:w="1395" w:type="dxa"/>
            <w:tcBorders>
              <w:top w:val="single" w:sz="8" w:space="0" w:color="auto"/>
              <w:left w:val="single" w:sz="8" w:space="0" w:color="auto"/>
              <w:bottom w:val="single" w:sz="8" w:space="0" w:color="auto"/>
              <w:right w:val="single" w:sz="8" w:space="0" w:color="auto"/>
            </w:tcBorders>
            <w:shd w:val="clear" w:color="auto" w:fill="auto"/>
            <w:hideMark/>
          </w:tcPr>
          <w:p w14:paraId="58F1CAEF" w14:textId="77777777" w:rsidR="009A242A" w:rsidRPr="007E77AF" w:rsidRDefault="009A242A" w:rsidP="006C2466">
            <w:pPr>
              <w:jc w:val="center"/>
              <w:rPr>
                <w:sz w:val="20"/>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CE9BBB5" w14:textId="77777777" w:rsidTr="491E246D">
        <w:trPr>
          <w:trHeight w:val="227"/>
        </w:trPr>
        <w:tc>
          <w:tcPr>
            <w:tcW w:w="4298" w:type="dxa"/>
            <w:shd w:val="clear" w:color="auto" w:fill="auto"/>
            <w:vAlign w:val="center"/>
            <w:hideMark/>
          </w:tcPr>
          <w:p w14:paraId="474DF649" w14:textId="77777777" w:rsidR="009A242A" w:rsidRPr="007E77AF" w:rsidRDefault="009A242A" w:rsidP="004301C4">
            <w:pPr>
              <w:rPr>
                <w:bCs/>
                <w:sz w:val="20"/>
                <w:szCs w:val="20"/>
                <w:lang w:eastAsia="en-US"/>
              </w:rPr>
            </w:pPr>
            <w:r w:rsidRPr="007E77AF">
              <w:rPr>
                <w:bCs/>
                <w:sz w:val="20"/>
                <w:szCs w:val="20"/>
                <w:lang w:eastAsia="en-US"/>
              </w:rPr>
              <w:t>O ofertante pode desistir da oferta?</w:t>
            </w:r>
          </w:p>
        </w:tc>
        <w:tc>
          <w:tcPr>
            <w:tcW w:w="4485" w:type="dxa"/>
            <w:shd w:val="clear" w:color="auto" w:fill="auto"/>
            <w:vAlign w:val="center"/>
            <w:hideMark/>
          </w:tcPr>
          <w:p w14:paraId="14EE2ECE"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108657FA"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8A72662" w14:textId="77777777" w:rsidTr="491E246D">
        <w:trPr>
          <w:trHeight w:val="227"/>
        </w:trPr>
        <w:tc>
          <w:tcPr>
            <w:tcW w:w="4298" w:type="dxa"/>
            <w:shd w:val="clear" w:color="auto" w:fill="auto"/>
            <w:vAlign w:val="center"/>
            <w:hideMark/>
          </w:tcPr>
          <w:p w14:paraId="7DD2D6D5"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4485" w:type="dxa"/>
            <w:shd w:val="clear" w:color="auto" w:fill="auto"/>
            <w:vAlign w:val="center"/>
            <w:hideMark/>
          </w:tcPr>
          <w:p w14:paraId="1C889F8B"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405D5C3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0E75602" w14:textId="77777777" w:rsidTr="491E246D">
        <w:trPr>
          <w:trHeight w:val="227"/>
        </w:trPr>
        <w:tc>
          <w:tcPr>
            <w:tcW w:w="4298" w:type="dxa"/>
            <w:shd w:val="clear" w:color="auto" w:fill="auto"/>
            <w:vAlign w:val="center"/>
            <w:hideMark/>
          </w:tcPr>
          <w:p w14:paraId="1F78623C" w14:textId="77777777" w:rsidR="009A242A" w:rsidRPr="007E77AF" w:rsidRDefault="009A242A" w:rsidP="004301C4">
            <w:pPr>
              <w:rPr>
                <w:bCs/>
                <w:sz w:val="20"/>
                <w:szCs w:val="20"/>
                <w:lang w:eastAsia="en-US"/>
              </w:rPr>
            </w:pPr>
            <w:r w:rsidRPr="007E77AF">
              <w:rPr>
                <w:bCs/>
                <w:sz w:val="20"/>
                <w:szCs w:val="20"/>
                <w:lang w:eastAsia="en-US"/>
              </w:rPr>
              <w:lastRenderedPageBreak/>
              <w:t xml:space="preserve">Indicação de local para obtenção do Prospecto </w:t>
            </w:r>
          </w:p>
        </w:tc>
        <w:tc>
          <w:tcPr>
            <w:tcW w:w="4485" w:type="dxa"/>
            <w:shd w:val="clear" w:color="auto" w:fill="auto"/>
            <w:vAlign w:val="center"/>
            <w:hideMark/>
          </w:tcPr>
          <w:p w14:paraId="685D4919"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395" w:type="dxa"/>
            <w:shd w:val="clear" w:color="auto" w:fill="auto"/>
            <w:vAlign w:val="center"/>
            <w:hideMark/>
          </w:tcPr>
          <w:p w14:paraId="5DCA31DA" w14:textId="77777777" w:rsidR="009A242A" w:rsidRPr="007E77AF" w:rsidRDefault="009A242A" w:rsidP="004301C4">
            <w:pPr>
              <w:jc w:val="center"/>
              <w:rPr>
                <w:rFonts w:ascii="Calibri Light" w:hAnsi="Calibri Light"/>
                <w:b/>
                <w:bCs/>
                <w:sz w:val="20"/>
                <w:szCs w:val="20"/>
                <w:lang w:eastAsia="en-US"/>
              </w:rPr>
            </w:pPr>
          </w:p>
        </w:tc>
      </w:tr>
      <w:tr w:rsidR="009A242A" w:rsidRPr="007E77AF" w14:paraId="1C1C7D9B" w14:textId="77777777" w:rsidTr="491E246D">
        <w:trPr>
          <w:trHeight w:val="227"/>
        </w:trPr>
        <w:tc>
          <w:tcPr>
            <w:tcW w:w="4298" w:type="dxa"/>
            <w:shd w:val="clear" w:color="auto" w:fill="auto"/>
            <w:vAlign w:val="center"/>
            <w:hideMark/>
          </w:tcPr>
          <w:p w14:paraId="35DB4E17"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4485" w:type="dxa"/>
            <w:shd w:val="clear" w:color="auto" w:fill="auto"/>
            <w:vAlign w:val="center"/>
            <w:hideMark/>
          </w:tcPr>
          <w:p w14:paraId="394F8725"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395" w:type="dxa"/>
            <w:shd w:val="clear" w:color="auto" w:fill="auto"/>
            <w:vAlign w:val="center"/>
            <w:hideMark/>
          </w:tcPr>
          <w:p w14:paraId="3B00788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4198760" w14:textId="77777777" w:rsidTr="491E246D">
        <w:trPr>
          <w:trHeight w:val="227"/>
        </w:trPr>
        <w:tc>
          <w:tcPr>
            <w:tcW w:w="4298" w:type="dxa"/>
            <w:shd w:val="clear" w:color="auto" w:fill="auto"/>
            <w:vAlign w:val="center"/>
          </w:tcPr>
          <w:p w14:paraId="0C0B5D62" w14:textId="77777777" w:rsidR="009A242A" w:rsidRPr="007E77AF" w:rsidRDefault="009A242A" w:rsidP="004301C4">
            <w:pPr>
              <w:rPr>
                <w:bCs/>
                <w:sz w:val="20"/>
                <w:szCs w:val="20"/>
                <w:lang w:eastAsia="en-US"/>
              </w:rPr>
            </w:pPr>
            <w:r w:rsidRPr="007E77AF">
              <w:rPr>
                <w:bCs/>
                <w:sz w:val="20"/>
                <w:szCs w:val="20"/>
                <w:lang w:eastAsia="en-US"/>
              </w:rPr>
              <w:t>Outras instituições participantes da distribuição</w:t>
            </w:r>
          </w:p>
        </w:tc>
        <w:tc>
          <w:tcPr>
            <w:tcW w:w="4485" w:type="dxa"/>
            <w:shd w:val="clear" w:color="auto" w:fill="auto"/>
            <w:vAlign w:val="center"/>
          </w:tcPr>
          <w:p w14:paraId="2B0A2350"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vAlign w:val="center"/>
          </w:tcPr>
          <w:p w14:paraId="3EF97C1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989C421" w14:textId="77777777" w:rsidTr="491E246D">
        <w:trPr>
          <w:trHeight w:val="227"/>
        </w:trPr>
        <w:tc>
          <w:tcPr>
            <w:tcW w:w="4298" w:type="dxa"/>
            <w:shd w:val="clear" w:color="auto" w:fill="auto"/>
            <w:vAlign w:val="center"/>
          </w:tcPr>
          <w:p w14:paraId="626B1044" w14:textId="77777777" w:rsidR="009A242A" w:rsidRPr="007E77AF" w:rsidRDefault="009A242A" w:rsidP="004301C4">
            <w:pPr>
              <w:rPr>
                <w:rFonts w:ascii="Calibri Light" w:hAnsi="Calibri Light"/>
                <w:b/>
                <w:bCs/>
                <w:sz w:val="20"/>
                <w:szCs w:val="20"/>
                <w:lang w:eastAsia="en-US"/>
              </w:rPr>
            </w:pPr>
            <w:r w:rsidRPr="007E77AF">
              <w:rPr>
                <w:rFonts w:ascii="Calibri Light" w:hAnsi="Calibri Light"/>
                <w:b/>
                <w:bCs/>
                <w:sz w:val="20"/>
                <w:szCs w:val="20"/>
                <w:lang w:eastAsia="en-US"/>
              </w:rPr>
              <w:t>Procedimento de colocação</w:t>
            </w:r>
          </w:p>
        </w:tc>
        <w:tc>
          <w:tcPr>
            <w:tcW w:w="4485" w:type="dxa"/>
            <w:shd w:val="clear" w:color="auto" w:fill="auto"/>
            <w:vAlign w:val="center"/>
          </w:tcPr>
          <w:p w14:paraId="405BE8DB" w14:textId="77777777" w:rsidR="009A242A" w:rsidRPr="007E77AF" w:rsidRDefault="009A242A" w:rsidP="004301C4">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Melhores esforços /  [  ]Garantia Firme/   [  ] Compromisso de Subscrição</w:t>
            </w:r>
          </w:p>
        </w:tc>
        <w:tc>
          <w:tcPr>
            <w:tcW w:w="1395" w:type="dxa"/>
            <w:shd w:val="clear" w:color="auto" w:fill="auto"/>
            <w:vAlign w:val="center"/>
          </w:tcPr>
          <w:p w14:paraId="2100DF78" w14:textId="77777777" w:rsidR="009A242A" w:rsidRPr="007E77AF" w:rsidRDefault="009A242A" w:rsidP="004301C4">
            <w:pPr>
              <w:jc w:val="center"/>
              <w:rPr>
                <w:bCs/>
                <w:sz w:val="20"/>
                <w:szCs w:val="20"/>
                <w:lang w:eastAsia="en-US"/>
              </w:rPr>
            </w:pPr>
            <w:r w:rsidRPr="007E77AF">
              <w:rPr>
                <w:rFonts w:ascii="Calibri Light" w:hAnsi="Calibri Light"/>
                <w:b/>
                <w:bCs/>
                <w:sz w:val="20"/>
                <w:szCs w:val="20"/>
                <w:lang w:eastAsia="en-US"/>
              </w:rPr>
              <w:t xml:space="preserve">Seção </w:t>
            </w:r>
            <w:proofErr w:type="gramStart"/>
            <w:r w:rsidRPr="007E77AF">
              <w:rPr>
                <w:rFonts w:ascii="Calibri Light" w:hAnsi="Calibri Light"/>
                <w:b/>
                <w:bCs/>
                <w:sz w:val="20"/>
                <w:szCs w:val="20"/>
                <w:lang w:eastAsia="en-US"/>
              </w:rPr>
              <w:t>#.#</w:t>
            </w:r>
            <w:proofErr w:type="gramEnd"/>
          </w:p>
        </w:tc>
      </w:tr>
      <w:tr w:rsidR="009A242A" w:rsidRPr="007E77AF" w14:paraId="312056A8" w14:textId="77777777" w:rsidTr="491E246D">
        <w:trPr>
          <w:trHeight w:val="390"/>
        </w:trPr>
        <w:tc>
          <w:tcPr>
            <w:tcW w:w="10178" w:type="dxa"/>
            <w:gridSpan w:val="3"/>
            <w:shd w:val="clear" w:color="auto" w:fill="auto"/>
            <w:vAlign w:val="center"/>
            <w:hideMark/>
          </w:tcPr>
          <w:p w14:paraId="7535EF0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6B6F91A1" w14:textId="77777777" w:rsidTr="491E246D">
        <w:trPr>
          <w:trHeight w:val="227"/>
        </w:trPr>
        <w:tc>
          <w:tcPr>
            <w:tcW w:w="4298" w:type="dxa"/>
            <w:shd w:val="clear" w:color="auto" w:fill="auto"/>
            <w:vAlign w:val="center"/>
            <w:hideMark/>
          </w:tcPr>
          <w:p w14:paraId="40A946F8"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4485" w:type="dxa"/>
            <w:shd w:val="clear" w:color="auto" w:fill="auto"/>
            <w:vAlign w:val="center"/>
            <w:hideMark/>
          </w:tcPr>
          <w:p w14:paraId="39146D10"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395" w:type="dxa"/>
            <w:shd w:val="clear" w:color="auto" w:fill="auto"/>
            <w:hideMark/>
          </w:tcPr>
          <w:p w14:paraId="5FA8D7E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E90F870" w14:textId="77777777" w:rsidTr="491E246D">
        <w:trPr>
          <w:trHeight w:val="227"/>
        </w:trPr>
        <w:tc>
          <w:tcPr>
            <w:tcW w:w="4298" w:type="dxa"/>
            <w:shd w:val="clear" w:color="auto" w:fill="auto"/>
            <w:vAlign w:val="center"/>
            <w:hideMark/>
          </w:tcPr>
          <w:p w14:paraId="3232D017"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4485" w:type="dxa"/>
            <w:shd w:val="clear" w:color="auto" w:fill="auto"/>
            <w:vAlign w:val="center"/>
            <w:hideMark/>
          </w:tcPr>
          <w:p w14:paraId="6265CCE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7672D63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76B59E6" w14:textId="77777777" w:rsidTr="00964EBB">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97AF4A" w14:textId="77777777" w:rsidR="009A242A" w:rsidRPr="007E77AF" w:rsidRDefault="009A242A" w:rsidP="006C2466">
            <w:pPr>
              <w:rPr>
                <w:bCs/>
                <w:sz w:val="20"/>
                <w:szCs w:val="20"/>
                <w:lang w:eastAsia="en-US"/>
              </w:rPr>
            </w:pPr>
            <w:r w:rsidRPr="007E77AF">
              <w:rPr>
                <w:bCs/>
                <w:sz w:val="20"/>
                <w:szCs w:val="20"/>
                <w:lang w:eastAsia="en-US"/>
              </w:rPr>
              <w:t>Qual a data de divulgação do resultado do rateio?</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C721C" w14:textId="77777777" w:rsidR="009A242A" w:rsidRPr="007E77AF" w:rsidRDefault="009A242A" w:rsidP="006C2466">
            <w:pPr>
              <w:jc w:val="center"/>
              <w:rPr>
                <w:bCs/>
                <w:sz w:val="20"/>
                <w:szCs w:val="20"/>
                <w:lang w:eastAsia="en-US"/>
              </w:rPr>
            </w:pPr>
            <w:r w:rsidRPr="007E77AF">
              <w:rPr>
                <w:bCs/>
                <w:sz w:val="20"/>
                <w:szCs w:val="20"/>
                <w:lang w:eastAsia="en-US"/>
              </w:rPr>
              <w:t>[data]</w:t>
            </w:r>
          </w:p>
        </w:tc>
        <w:tc>
          <w:tcPr>
            <w:tcW w:w="1395" w:type="dxa"/>
            <w:tcBorders>
              <w:top w:val="single" w:sz="8" w:space="0" w:color="auto"/>
              <w:left w:val="single" w:sz="8" w:space="0" w:color="auto"/>
              <w:bottom w:val="single" w:sz="8" w:space="0" w:color="auto"/>
              <w:right w:val="single" w:sz="8" w:space="0" w:color="auto"/>
            </w:tcBorders>
            <w:shd w:val="clear" w:color="auto" w:fill="auto"/>
            <w:hideMark/>
          </w:tcPr>
          <w:p w14:paraId="5C22A045" w14:textId="77777777" w:rsidR="009A242A" w:rsidRPr="007E77AF" w:rsidRDefault="009A242A" w:rsidP="006C2466">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8E3A861" w14:textId="77777777" w:rsidTr="491E246D">
        <w:trPr>
          <w:trHeight w:val="227"/>
        </w:trPr>
        <w:tc>
          <w:tcPr>
            <w:tcW w:w="4298" w:type="dxa"/>
            <w:shd w:val="clear" w:color="auto" w:fill="auto"/>
            <w:vAlign w:val="center"/>
            <w:hideMark/>
          </w:tcPr>
          <w:p w14:paraId="2C64966F"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4485" w:type="dxa"/>
            <w:shd w:val="clear" w:color="auto" w:fill="auto"/>
            <w:vAlign w:val="center"/>
            <w:hideMark/>
          </w:tcPr>
          <w:p w14:paraId="29EBFDE9"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5D78A87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58CF1DA" w14:textId="77777777" w:rsidTr="491E246D">
        <w:trPr>
          <w:trHeight w:val="227"/>
        </w:trPr>
        <w:tc>
          <w:tcPr>
            <w:tcW w:w="4298" w:type="dxa"/>
            <w:shd w:val="clear" w:color="auto" w:fill="auto"/>
            <w:vAlign w:val="center"/>
            <w:hideMark/>
          </w:tcPr>
          <w:p w14:paraId="50BF988F"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4485" w:type="dxa"/>
            <w:shd w:val="clear" w:color="auto" w:fill="auto"/>
            <w:vAlign w:val="center"/>
            <w:hideMark/>
          </w:tcPr>
          <w:p w14:paraId="614C8196"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4F1436F3"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A03A6AE" w14:textId="77777777" w:rsidTr="491E246D">
        <w:trPr>
          <w:trHeight w:val="227"/>
        </w:trPr>
        <w:tc>
          <w:tcPr>
            <w:tcW w:w="4298" w:type="dxa"/>
            <w:shd w:val="clear" w:color="auto" w:fill="auto"/>
            <w:vAlign w:val="center"/>
            <w:hideMark/>
          </w:tcPr>
          <w:p w14:paraId="1B270F6A"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4485" w:type="dxa"/>
            <w:shd w:val="clear" w:color="auto" w:fill="auto"/>
            <w:vAlign w:val="center"/>
            <w:hideMark/>
          </w:tcPr>
          <w:p w14:paraId="4487197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vAlign w:val="center"/>
            <w:hideMark/>
          </w:tcPr>
          <w:p w14:paraId="0DE8E0C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bl>
    <w:p w14:paraId="391E3522" w14:textId="77777777" w:rsidR="009A242A" w:rsidRPr="007E77AF" w:rsidRDefault="009A242A" w:rsidP="004301C4"/>
    <w:p w14:paraId="56E91D9C" w14:textId="77777777" w:rsidR="009A242A" w:rsidRPr="007E77AF" w:rsidRDefault="009A242A" w:rsidP="00167D4B">
      <w:pPr>
        <w:pStyle w:val="Ttulo1"/>
      </w:pPr>
      <w:r w:rsidRPr="007E77AF">
        <w:br w:type="page"/>
      </w:r>
    </w:p>
    <w:p w14:paraId="4821D5B8" w14:textId="7286884B" w:rsidR="009A242A" w:rsidRPr="007E77AF" w:rsidRDefault="009A242A" w:rsidP="00167D4B">
      <w:pPr>
        <w:pStyle w:val="Ttulo1"/>
        <w:rPr>
          <w:rFonts w:cstheme="minorBidi"/>
          <w:bCs/>
        </w:rPr>
      </w:pPr>
      <w:bookmarkStart w:id="394" w:name="_Toc476216360"/>
      <w:bookmarkStart w:id="395" w:name="_Toc108516082"/>
      <w:bookmarkStart w:id="396" w:name="_Toc108203113"/>
      <w:bookmarkStart w:id="397" w:name="_Toc136502853"/>
      <w:r w:rsidRPr="007E77AF">
        <w:lastRenderedPageBreak/>
        <w:t xml:space="preserve">ANEXO </w:t>
      </w:r>
      <w:r>
        <w:t>H</w:t>
      </w:r>
      <w:r w:rsidRPr="007E77AF">
        <w:t xml:space="preserve"> – LÂMINA DA OFERTA DE FUNDOS FECHADOS</w:t>
      </w:r>
      <w:bookmarkEnd w:id="394"/>
      <w:bookmarkEnd w:id="395"/>
      <w:bookmarkEnd w:id="396"/>
      <w:bookmarkEnd w:id="397"/>
    </w:p>
    <w:p w14:paraId="5510CAD6" w14:textId="77777777" w:rsidR="009A242A" w:rsidRPr="007E77AF" w:rsidRDefault="009A242A" w:rsidP="00A85E13">
      <w:pPr>
        <w:spacing w:after="160" w:line="259" w:lineRule="auto"/>
        <w:jc w:val="center"/>
        <w:rPr>
          <w:rFonts w:cstheme="minorBidi"/>
          <w:b/>
          <w:bCs/>
        </w:rPr>
      </w:pPr>
    </w:p>
    <w:p w14:paraId="0042492A" w14:textId="739156BC" w:rsidR="009A242A" w:rsidRPr="007E77AF" w:rsidRDefault="009A242A" w:rsidP="00365082">
      <w:pPr>
        <w:jc w:val="center"/>
        <w:rPr>
          <w:i/>
        </w:rPr>
      </w:pPr>
      <w:r w:rsidRPr="007E77AF">
        <w:rPr>
          <w:i/>
          <w:lang w:eastAsia="en-US"/>
        </w:rPr>
        <w:t>Conteúdo da lâmina de oferta de fundos fechados, exceto FIDC, conforme art. 23 da</w:t>
      </w:r>
      <w:r w:rsidRPr="007E77AF">
        <w:rPr>
          <w:i/>
        </w:rPr>
        <w:t xml:space="preserve"> Resolução </w:t>
      </w:r>
      <w:r>
        <w:rPr>
          <w:i/>
        </w:rPr>
        <w:t>nº 160, de 2022</w:t>
      </w:r>
      <w:r w:rsidRPr="007E77AF">
        <w:rPr>
          <w:i/>
        </w:rPr>
        <w:t>.</w:t>
      </w:r>
    </w:p>
    <w:p w14:paraId="09FD866F" w14:textId="77777777" w:rsidR="009A242A" w:rsidRPr="007E77AF" w:rsidRDefault="009A242A" w:rsidP="00A85E13"/>
    <w:p w14:paraId="5E1B1050" w14:textId="77777777" w:rsidR="009A242A" w:rsidRPr="007E77AF" w:rsidRDefault="009A242A" w:rsidP="00A85E13">
      <w:pPr>
        <w:rPr>
          <w:rFonts w:cstheme="minorHAnsi"/>
          <w:sz w:val="20"/>
          <w:szCs w:val="20"/>
        </w:rPr>
      </w:pPr>
    </w:p>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32"/>
        <w:gridCol w:w="4335"/>
        <w:gridCol w:w="2251"/>
      </w:tblGrid>
      <w:tr w:rsidR="009A242A" w:rsidRPr="007E77AF" w14:paraId="73E280BA" w14:textId="77777777" w:rsidTr="491E246D">
        <w:trPr>
          <w:trHeight w:val="360"/>
        </w:trPr>
        <w:tc>
          <w:tcPr>
            <w:tcW w:w="10118" w:type="dxa"/>
            <w:gridSpan w:val="3"/>
            <w:shd w:val="clear" w:color="auto" w:fill="auto"/>
            <w:vAlign w:val="center"/>
            <w:hideMark/>
          </w:tcPr>
          <w:p w14:paraId="4F4DB9EC" w14:textId="44DABB64" w:rsidR="009A242A" w:rsidRPr="007E77AF" w:rsidRDefault="009A242A" w:rsidP="001353DC">
            <w:pPr>
              <w:rPr>
                <w:rFonts w:ascii="Calibri" w:hAnsi="Calibri"/>
                <w:b/>
              </w:rPr>
            </w:pPr>
            <w:r w:rsidRPr="007E77AF">
              <w:rPr>
                <w:rFonts w:ascii="Calibri" w:hAnsi="Calibri"/>
                <w:b/>
              </w:rPr>
              <w:t xml:space="preserve">Informações Essenciais – Oferta </w:t>
            </w:r>
            <w:r w:rsidRPr="007E77AF">
              <w:rPr>
                <w:rFonts w:ascii="Calibri" w:hAnsi="Calibri"/>
                <w:b/>
                <w:bCs/>
                <w:lang w:eastAsia="en-US"/>
              </w:rPr>
              <w:t>[</w:t>
            </w:r>
            <w:proofErr w:type="gramStart"/>
            <w:r w:rsidRPr="007E77AF">
              <w:rPr>
                <w:rFonts w:ascii="Calibri" w:hAnsi="Calibri"/>
                <w:b/>
                <w:bCs/>
                <w:lang w:eastAsia="en-US"/>
              </w:rPr>
              <w:t>Prim</w:t>
            </w:r>
            <w:r w:rsidR="00CA2E14">
              <w:rPr>
                <w:rFonts w:ascii="Calibri" w:hAnsi="Calibri"/>
                <w:b/>
                <w:bCs/>
                <w:lang w:eastAsia="en-US"/>
              </w:rPr>
              <w:t>á</w:t>
            </w:r>
            <w:r w:rsidRPr="007E77AF">
              <w:rPr>
                <w:rFonts w:ascii="Calibri" w:hAnsi="Calibri"/>
                <w:b/>
                <w:bCs/>
                <w:lang w:eastAsia="en-US"/>
              </w:rPr>
              <w:t>ria ]</w:t>
            </w:r>
            <w:proofErr w:type="gramEnd"/>
            <w:r w:rsidRPr="007E77AF">
              <w:rPr>
                <w:rFonts w:ascii="Calibri" w:hAnsi="Calibri"/>
                <w:b/>
                <w:bCs/>
                <w:lang w:eastAsia="en-US"/>
              </w:rPr>
              <w:t xml:space="preserve"> [Secundária] </w:t>
            </w:r>
            <w:r w:rsidRPr="007E77AF">
              <w:rPr>
                <w:rFonts w:ascii="Calibri" w:hAnsi="Calibri"/>
                <w:b/>
              </w:rPr>
              <w:t>de [Nome do Fundo e da Classe de Cotas]</w:t>
            </w:r>
          </w:p>
        </w:tc>
      </w:tr>
      <w:tr w:rsidR="009A242A" w:rsidRPr="007E77AF" w14:paraId="3D6E97F5" w14:textId="77777777" w:rsidTr="491E246D">
        <w:trPr>
          <w:trHeight w:val="825"/>
        </w:trPr>
        <w:tc>
          <w:tcPr>
            <w:tcW w:w="10118" w:type="dxa"/>
            <w:gridSpan w:val="3"/>
            <w:shd w:val="clear" w:color="auto" w:fill="auto"/>
            <w:vAlign w:val="center"/>
            <w:hideMark/>
          </w:tcPr>
          <w:p w14:paraId="53715249" w14:textId="77777777" w:rsidR="009A242A" w:rsidRPr="007E77AF" w:rsidRDefault="009A242A" w:rsidP="004838E4">
            <w:pPr>
              <w:jc w:val="center"/>
              <w:rPr>
                <w:rFonts w:cstheme="minorHAnsi"/>
                <w:bCs/>
                <w:i/>
                <w:iCs/>
                <w:sz w:val="20"/>
                <w:szCs w:val="20"/>
                <w:lang w:eastAsia="en-US"/>
              </w:rPr>
            </w:pPr>
            <w:r w:rsidRPr="007E77AF">
              <w:rPr>
                <w:rFonts w:cstheme="minorHAnsi"/>
                <w:bCs/>
                <w:i/>
                <w:iCs/>
                <w:sz w:val="20"/>
                <w:szCs w:val="20"/>
                <w:lang w:eastAsia="en-US"/>
              </w:rPr>
              <w:t>Esta ficha de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5F06CFDC" w14:textId="77777777" w:rsidTr="491E246D">
        <w:trPr>
          <w:trHeight w:val="270"/>
        </w:trPr>
        <w:tc>
          <w:tcPr>
            <w:tcW w:w="10118" w:type="dxa"/>
            <w:gridSpan w:val="3"/>
            <w:shd w:val="clear" w:color="auto" w:fill="auto"/>
            <w:vAlign w:val="center"/>
            <w:hideMark/>
          </w:tcPr>
          <w:p w14:paraId="56C858E3"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ALERTAS</w:t>
            </w:r>
          </w:p>
        </w:tc>
      </w:tr>
      <w:tr w:rsidR="009A242A" w:rsidRPr="007E77AF" w14:paraId="7BDA4CA4" w14:textId="77777777" w:rsidTr="491E246D">
        <w:trPr>
          <w:trHeight w:val="270"/>
        </w:trPr>
        <w:tc>
          <w:tcPr>
            <w:tcW w:w="3532" w:type="dxa"/>
            <w:vMerge w:val="restart"/>
            <w:shd w:val="clear" w:color="auto" w:fill="auto"/>
            <w:vAlign w:val="center"/>
            <w:hideMark/>
          </w:tcPr>
          <w:p w14:paraId="23610B22"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Risco de</w:t>
            </w:r>
          </w:p>
        </w:tc>
        <w:tc>
          <w:tcPr>
            <w:tcW w:w="4335" w:type="dxa"/>
            <w:shd w:val="clear" w:color="auto" w:fill="auto"/>
            <w:vAlign w:val="center"/>
            <w:hideMark/>
          </w:tcPr>
          <w:p w14:paraId="5CF4D384" w14:textId="77777777" w:rsidR="009A242A" w:rsidRPr="007E77AF" w:rsidRDefault="009A242A" w:rsidP="004838E4">
            <w:pPr>
              <w:rPr>
                <w:rFonts w:cstheme="minorHAnsi"/>
                <w:bCs/>
                <w:sz w:val="20"/>
                <w:szCs w:val="20"/>
                <w:lang w:eastAsia="en-US"/>
              </w:rPr>
            </w:pPr>
            <w:proofErr w:type="gramStart"/>
            <w:r w:rsidRPr="007E77AF">
              <w:rPr>
                <w:rFonts w:cstheme="minorHAnsi"/>
                <w:bCs/>
                <w:sz w:val="20"/>
                <w:szCs w:val="20"/>
                <w:lang w:eastAsia="en-US"/>
              </w:rPr>
              <w:t>[ ]</w:t>
            </w:r>
            <w:proofErr w:type="gramEnd"/>
            <w:r w:rsidRPr="007E77AF">
              <w:rPr>
                <w:rFonts w:cstheme="minorHAnsi"/>
                <w:bCs/>
                <w:sz w:val="20"/>
                <w:szCs w:val="20"/>
                <w:lang w:eastAsia="en-US"/>
              </w:rPr>
              <w:t xml:space="preserve"> perda do principal</w:t>
            </w:r>
          </w:p>
        </w:tc>
        <w:tc>
          <w:tcPr>
            <w:tcW w:w="2251" w:type="dxa"/>
            <w:shd w:val="clear" w:color="auto" w:fill="auto"/>
            <w:vAlign w:val="center"/>
            <w:hideMark/>
          </w:tcPr>
          <w:p w14:paraId="376369B0"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3A12345E" w14:textId="77777777" w:rsidTr="491E246D">
        <w:trPr>
          <w:trHeight w:val="270"/>
        </w:trPr>
        <w:tc>
          <w:tcPr>
            <w:tcW w:w="3532" w:type="dxa"/>
            <w:vMerge/>
            <w:vAlign w:val="center"/>
          </w:tcPr>
          <w:p w14:paraId="00BB2944"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tcPr>
          <w:p w14:paraId="272AC895" w14:textId="77777777" w:rsidR="009A242A" w:rsidRPr="007E77AF" w:rsidRDefault="009A242A" w:rsidP="004838E4">
            <w:pP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responsabilidade ilimitada</w:t>
            </w:r>
          </w:p>
        </w:tc>
        <w:tc>
          <w:tcPr>
            <w:tcW w:w="2251" w:type="dxa"/>
            <w:shd w:val="clear" w:color="auto" w:fill="auto"/>
            <w:vAlign w:val="center"/>
          </w:tcPr>
          <w:p w14:paraId="2F5DBC6B"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 ] ....</w:t>
            </w:r>
          </w:p>
        </w:tc>
      </w:tr>
      <w:tr w:rsidR="009A242A" w:rsidRPr="007E77AF" w14:paraId="5903FAB2" w14:textId="77777777" w:rsidTr="491E246D">
        <w:trPr>
          <w:trHeight w:val="270"/>
        </w:trPr>
        <w:tc>
          <w:tcPr>
            <w:tcW w:w="3532" w:type="dxa"/>
            <w:vMerge/>
            <w:vAlign w:val="center"/>
            <w:hideMark/>
          </w:tcPr>
          <w:p w14:paraId="676FD406"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hideMark/>
          </w:tcPr>
          <w:p w14:paraId="4825D27B" w14:textId="77777777" w:rsidR="009A242A" w:rsidRPr="007E77AF" w:rsidRDefault="009A242A" w:rsidP="004838E4">
            <w:pPr>
              <w:rPr>
                <w:rFonts w:cstheme="minorHAnsi"/>
                <w:bCs/>
                <w:sz w:val="20"/>
                <w:szCs w:val="20"/>
                <w:lang w:eastAsia="en-US"/>
              </w:rPr>
            </w:pPr>
            <w:proofErr w:type="gramStart"/>
            <w:r w:rsidRPr="007E77AF">
              <w:rPr>
                <w:rFonts w:cstheme="minorHAnsi"/>
                <w:bCs/>
                <w:sz w:val="20"/>
                <w:szCs w:val="20"/>
                <w:lang w:eastAsia="en-US"/>
              </w:rPr>
              <w:t>[ ]</w:t>
            </w:r>
            <w:proofErr w:type="gramEnd"/>
            <w:r w:rsidRPr="007E77AF">
              <w:rPr>
                <w:rFonts w:cstheme="minorHAnsi"/>
                <w:bCs/>
                <w:sz w:val="20"/>
                <w:szCs w:val="20"/>
                <w:lang w:eastAsia="en-US"/>
              </w:rPr>
              <w:t xml:space="preserve"> falta de liquidez</w:t>
            </w:r>
          </w:p>
        </w:tc>
        <w:tc>
          <w:tcPr>
            <w:tcW w:w="2251" w:type="dxa"/>
            <w:shd w:val="clear" w:color="auto" w:fill="auto"/>
            <w:vAlign w:val="center"/>
            <w:hideMark/>
          </w:tcPr>
          <w:p w14:paraId="6E088C87"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0A9DBAF4" w14:textId="77777777" w:rsidTr="491E246D">
        <w:trPr>
          <w:trHeight w:val="270"/>
        </w:trPr>
        <w:tc>
          <w:tcPr>
            <w:tcW w:w="3532" w:type="dxa"/>
            <w:vMerge/>
            <w:vAlign w:val="center"/>
            <w:hideMark/>
          </w:tcPr>
          <w:p w14:paraId="08B56EFC"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hideMark/>
          </w:tcPr>
          <w:p w14:paraId="336F77BD" w14:textId="77777777" w:rsidR="009A242A" w:rsidRPr="007E77AF" w:rsidRDefault="009A242A" w:rsidP="004838E4">
            <w:pP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produto complexo</w:t>
            </w:r>
          </w:p>
        </w:tc>
        <w:tc>
          <w:tcPr>
            <w:tcW w:w="2251" w:type="dxa"/>
            <w:shd w:val="clear" w:color="auto" w:fill="auto"/>
            <w:vAlign w:val="center"/>
            <w:hideMark/>
          </w:tcPr>
          <w:p w14:paraId="56515E5B"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5B7A90E7" w14:textId="77777777" w:rsidTr="491E246D">
        <w:trPr>
          <w:trHeight w:val="765"/>
        </w:trPr>
        <w:tc>
          <w:tcPr>
            <w:tcW w:w="3532" w:type="dxa"/>
            <w:shd w:val="clear" w:color="auto" w:fill="auto"/>
            <w:vAlign w:val="center"/>
            <w:hideMark/>
          </w:tcPr>
          <w:p w14:paraId="6019D9B6"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Aviso para ofertas distribuídas por rito de registro automático</w:t>
            </w:r>
          </w:p>
        </w:tc>
        <w:tc>
          <w:tcPr>
            <w:tcW w:w="4335" w:type="dxa"/>
            <w:shd w:val="clear" w:color="auto" w:fill="auto"/>
            <w:vAlign w:val="center"/>
            <w:hideMark/>
          </w:tcPr>
          <w:p w14:paraId="5AC2085C" w14:textId="77777777" w:rsidR="009A242A" w:rsidRPr="007E77AF" w:rsidRDefault="009A242A" w:rsidP="004838E4">
            <w:pPr>
              <w:jc w:val="both"/>
              <w:rPr>
                <w:rFonts w:cstheme="minorBidi"/>
                <w:b/>
                <w:bCs/>
                <w:sz w:val="20"/>
                <w:szCs w:val="20"/>
                <w:lang w:eastAsia="en-US"/>
              </w:rPr>
            </w:pPr>
            <w:r w:rsidRPr="007E77AF">
              <w:rPr>
                <w:rFonts w:cstheme="minorBidi"/>
                <w:b/>
                <w:bCs/>
                <w:sz w:val="20"/>
                <w:szCs w:val="20"/>
                <w:lang w:eastAsia="en-US"/>
              </w:rPr>
              <w:t>A CVM não realizou análise prévia do conteúdo do prospecto, nem dos documentos da oferta.</w:t>
            </w:r>
          </w:p>
          <w:p w14:paraId="60C7AB2E" w14:textId="77777777" w:rsidR="009A242A" w:rsidRPr="007E77AF" w:rsidRDefault="009A242A" w:rsidP="004838E4">
            <w:pPr>
              <w:jc w:val="both"/>
              <w:rPr>
                <w:b/>
                <w:bCs/>
                <w:sz w:val="20"/>
                <w:szCs w:val="20"/>
                <w:lang w:eastAsia="en-US"/>
              </w:rPr>
            </w:pPr>
            <w:r w:rsidRPr="007E77AF">
              <w:rPr>
                <w:b/>
                <w:bCs/>
                <w:sz w:val="20"/>
                <w:szCs w:val="20"/>
                <w:lang w:eastAsia="en-US"/>
              </w:rPr>
              <w:t>Há restrições à revenda das cotas.</w:t>
            </w:r>
          </w:p>
        </w:tc>
        <w:tc>
          <w:tcPr>
            <w:tcW w:w="2251" w:type="dxa"/>
            <w:shd w:val="clear" w:color="auto" w:fill="auto"/>
            <w:vAlign w:val="center"/>
            <w:hideMark/>
          </w:tcPr>
          <w:p w14:paraId="66FEE3EB" w14:textId="77777777" w:rsidR="009A242A" w:rsidRPr="007E77AF" w:rsidRDefault="009A242A" w:rsidP="004838E4">
            <w:pPr>
              <w:jc w:val="center"/>
              <w:rPr>
                <w:rFonts w:cstheme="minorHAnsi"/>
                <w:bCs/>
                <w:sz w:val="20"/>
                <w:szCs w:val="20"/>
                <w:lang w:eastAsia="en-US"/>
              </w:rPr>
            </w:pPr>
          </w:p>
        </w:tc>
      </w:tr>
      <w:tr w:rsidR="009A242A" w:rsidRPr="007E77AF" w14:paraId="25126C2D" w14:textId="77777777" w:rsidTr="491E246D">
        <w:trPr>
          <w:trHeight w:val="270"/>
        </w:trPr>
        <w:tc>
          <w:tcPr>
            <w:tcW w:w="7867" w:type="dxa"/>
            <w:gridSpan w:val="2"/>
            <w:shd w:val="clear" w:color="auto" w:fill="auto"/>
            <w:vAlign w:val="center"/>
            <w:hideMark/>
          </w:tcPr>
          <w:p w14:paraId="0815C24A"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1. Elementos Essenciais da Oferta</w:t>
            </w:r>
          </w:p>
        </w:tc>
        <w:tc>
          <w:tcPr>
            <w:tcW w:w="2251" w:type="dxa"/>
            <w:shd w:val="clear" w:color="auto" w:fill="auto"/>
            <w:vAlign w:val="center"/>
            <w:hideMark/>
          </w:tcPr>
          <w:p w14:paraId="45CB5897"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6F205EEA" w14:textId="77777777" w:rsidTr="491E246D">
        <w:trPr>
          <w:trHeight w:val="227"/>
        </w:trPr>
        <w:tc>
          <w:tcPr>
            <w:tcW w:w="3532" w:type="dxa"/>
            <w:shd w:val="clear" w:color="auto" w:fill="auto"/>
            <w:vAlign w:val="center"/>
            <w:hideMark/>
          </w:tcPr>
          <w:p w14:paraId="4ECCD396" w14:textId="77777777" w:rsidR="009A242A" w:rsidRPr="007E77AF" w:rsidRDefault="009A242A" w:rsidP="004838E4">
            <w:pPr>
              <w:contextualSpacing/>
              <w:jc w:val="both"/>
              <w:rPr>
                <w:rFonts w:cstheme="minorBidi"/>
                <w:sz w:val="20"/>
                <w:szCs w:val="20"/>
              </w:rPr>
            </w:pPr>
            <w:r w:rsidRPr="007E77AF">
              <w:rPr>
                <w:rFonts w:cstheme="minorBidi"/>
                <w:sz w:val="20"/>
                <w:szCs w:val="20"/>
              </w:rPr>
              <w:t>A. Valor Mobiliário</w:t>
            </w:r>
          </w:p>
        </w:tc>
        <w:tc>
          <w:tcPr>
            <w:tcW w:w="4335" w:type="dxa"/>
            <w:shd w:val="clear" w:color="auto" w:fill="auto"/>
            <w:vAlign w:val="center"/>
            <w:hideMark/>
          </w:tcPr>
          <w:p w14:paraId="22DE0825" w14:textId="77777777" w:rsidR="009A242A" w:rsidRPr="007E77AF" w:rsidRDefault="009A242A" w:rsidP="004838E4">
            <w:pPr>
              <w:jc w:val="center"/>
              <w:rPr>
                <w:rFonts w:cstheme="minorBidi"/>
                <w:sz w:val="20"/>
                <w:szCs w:val="20"/>
                <w:lang w:eastAsia="en-US"/>
              </w:rPr>
            </w:pPr>
          </w:p>
        </w:tc>
        <w:tc>
          <w:tcPr>
            <w:tcW w:w="2251" w:type="dxa"/>
            <w:shd w:val="clear" w:color="auto" w:fill="auto"/>
            <w:vAlign w:val="center"/>
            <w:hideMark/>
          </w:tcPr>
          <w:p w14:paraId="3AEB4770"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do prospecto</w:t>
            </w:r>
          </w:p>
        </w:tc>
      </w:tr>
      <w:tr w:rsidR="009A242A" w:rsidRPr="007E77AF" w14:paraId="640167D9" w14:textId="77777777" w:rsidTr="491E246D">
        <w:trPr>
          <w:trHeight w:val="227"/>
        </w:trPr>
        <w:tc>
          <w:tcPr>
            <w:tcW w:w="3532" w:type="dxa"/>
            <w:shd w:val="clear" w:color="auto" w:fill="auto"/>
            <w:vAlign w:val="center"/>
            <w:hideMark/>
          </w:tcPr>
          <w:p w14:paraId="47E61EEF" w14:textId="77777777" w:rsidR="009A242A" w:rsidRPr="007E77AF" w:rsidRDefault="009A242A" w:rsidP="004838E4">
            <w:pPr>
              <w:jc w:val="both"/>
              <w:rPr>
                <w:rFonts w:cstheme="minorBidi"/>
                <w:sz w:val="20"/>
                <w:szCs w:val="20"/>
              </w:rPr>
            </w:pPr>
            <w:r w:rsidRPr="007E77AF">
              <w:rPr>
                <w:rFonts w:cstheme="minorBidi"/>
                <w:sz w:val="20"/>
                <w:szCs w:val="20"/>
              </w:rPr>
              <w:t>a.1) Quantidade ofertada</w:t>
            </w:r>
          </w:p>
        </w:tc>
        <w:tc>
          <w:tcPr>
            <w:tcW w:w="4335" w:type="dxa"/>
            <w:shd w:val="clear" w:color="auto" w:fill="auto"/>
            <w:vAlign w:val="center"/>
            <w:hideMark/>
          </w:tcPr>
          <w:p w14:paraId="623D8E44"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Número inteiro, sem casas decimais</w:t>
            </w:r>
          </w:p>
        </w:tc>
        <w:tc>
          <w:tcPr>
            <w:tcW w:w="2251" w:type="dxa"/>
            <w:shd w:val="clear" w:color="auto" w:fill="auto"/>
            <w:vAlign w:val="center"/>
            <w:hideMark/>
          </w:tcPr>
          <w:p w14:paraId="6E879F91"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0A66941C" w14:textId="77777777" w:rsidTr="491E246D">
        <w:trPr>
          <w:trHeight w:val="227"/>
        </w:trPr>
        <w:tc>
          <w:tcPr>
            <w:tcW w:w="3532" w:type="dxa"/>
            <w:shd w:val="clear" w:color="auto" w:fill="auto"/>
            <w:vAlign w:val="center"/>
            <w:hideMark/>
          </w:tcPr>
          <w:p w14:paraId="24F9D882" w14:textId="77777777" w:rsidR="009A242A" w:rsidRPr="007E77AF" w:rsidRDefault="009A242A" w:rsidP="004838E4">
            <w:pPr>
              <w:jc w:val="both"/>
              <w:rPr>
                <w:rFonts w:cstheme="minorBidi"/>
                <w:sz w:val="20"/>
                <w:szCs w:val="20"/>
              </w:rPr>
            </w:pPr>
            <w:r w:rsidRPr="007E77AF">
              <w:rPr>
                <w:rFonts w:cstheme="minorBidi"/>
                <w:sz w:val="20"/>
                <w:szCs w:val="20"/>
              </w:rPr>
              <w:t>a.2) Preço unitário</w:t>
            </w:r>
          </w:p>
        </w:tc>
        <w:tc>
          <w:tcPr>
            <w:tcW w:w="4335" w:type="dxa"/>
            <w:shd w:val="clear" w:color="auto" w:fill="auto"/>
            <w:vAlign w:val="center"/>
            <w:hideMark/>
          </w:tcPr>
          <w:p w14:paraId="1FF3C38D"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Até seis casas decimais</w:t>
            </w:r>
          </w:p>
        </w:tc>
        <w:tc>
          <w:tcPr>
            <w:tcW w:w="2251" w:type="dxa"/>
            <w:shd w:val="clear" w:color="auto" w:fill="auto"/>
            <w:vAlign w:val="center"/>
            <w:hideMark/>
          </w:tcPr>
          <w:p w14:paraId="65A1C745"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67C98B4A" w14:textId="77777777" w:rsidTr="491E246D">
        <w:trPr>
          <w:trHeight w:val="227"/>
        </w:trPr>
        <w:tc>
          <w:tcPr>
            <w:tcW w:w="3532" w:type="dxa"/>
            <w:shd w:val="clear" w:color="auto" w:fill="auto"/>
            <w:vAlign w:val="center"/>
            <w:hideMark/>
          </w:tcPr>
          <w:p w14:paraId="1C4CBB2F" w14:textId="77777777" w:rsidR="009A242A" w:rsidRPr="007E77AF" w:rsidRDefault="009A242A" w:rsidP="004838E4">
            <w:pPr>
              <w:jc w:val="both"/>
              <w:rPr>
                <w:rFonts w:cstheme="minorBidi"/>
                <w:sz w:val="20"/>
                <w:szCs w:val="20"/>
              </w:rPr>
            </w:pPr>
            <w:r w:rsidRPr="007E77AF">
              <w:rPr>
                <w:rFonts w:cstheme="minorBidi"/>
                <w:sz w:val="20"/>
                <w:szCs w:val="20"/>
              </w:rPr>
              <w:t>a.3) Montante Ofertado (= a.1*a.2)</w:t>
            </w:r>
          </w:p>
        </w:tc>
        <w:tc>
          <w:tcPr>
            <w:tcW w:w="4335" w:type="dxa"/>
            <w:shd w:val="clear" w:color="auto" w:fill="auto"/>
            <w:vAlign w:val="center"/>
            <w:hideMark/>
          </w:tcPr>
          <w:p w14:paraId="46B5B8B7"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Número inteiro, sem casas decimais</w:t>
            </w:r>
          </w:p>
        </w:tc>
        <w:tc>
          <w:tcPr>
            <w:tcW w:w="2251" w:type="dxa"/>
            <w:shd w:val="clear" w:color="auto" w:fill="auto"/>
            <w:hideMark/>
          </w:tcPr>
          <w:p w14:paraId="447C18A0"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59E8621A" w14:textId="77777777" w:rsidTr="491E246D">
        <w:trPr>
          <w:trHeight w:val="227"/>
        </w:trPr>
        <w:tc>
          <w:tcPr>
            <w:tcW w:w="3532" w:type="dxa"/>
            <w:shd w:val="clear" w:color="auto" w:fill="auto"/>
            <w:vAlign w:val="center"/>
          </w:tcPr>
          <w:p w14:paraId="39F17591" w14:textId="77777777" w:rsidR="009A242A" w:rsidRPr="007E77AF" w:rsidRDefault="009A242A" w:rsidP="004838E4">
            <w:pPr>
              <w:jc w:val="both"/>
              <w:rPr>
                <w:rFonts w:cstheme="minorBidi"/>
                <w:sz w:val="20"/>
                <w:szCs w:val="20"/>
              </w:rPr>
            </w:pPr>
            <w:r w:rsidRPr="007E77AF">
              <w:rPr>
                <w:rFonts w:cstheme="minorBidi"/>
                <w:sz w:val="20"/>
                <w:szCs w:val="20"/>
              </w:rPr>
              <w:t>a.4) Lote suplementar</w:t>
            </w:r>
          </w:p>
        </w:tc>
        <w:tc>
          <w:tcPr>
            <w:tcW w:w="4335" w:type="dxa"/>
            <w:shd w:val="clear" w:color="auto" w:fill="auto"/>
            <w:vAlign w:val="center"/>
          </w:tcPr>
          <w:p w14:paraId="7F3813C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Sim/Não, caso “Sim”, informar percentual</w:t>
            </w:r>
          </w:p>
        </w:tc>
        <w:tc>
          <w:tcPr>
            <w:tcW w:w="2251" w:type="dxa"/>
            <w:shd w:val="clear" w:color="auto" w:fill="auto"/>
          </w:tcPr>
          <w:p w14:paraId="255C1D9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7F1FF5F3" w14:textId="77777777" w:rsidTr="491E246D">
        <w:trPr>
          <w:trHeight w:val="227"/>
        </w:trPr>
        <w:tc>
          <w:tcPr>
            <w:tcW w:w="3532" w:type="dxa"/>
            <w:shd w:val="clear" w:color="auto" w:fill="auto"/>
            <w:vAlign w:val="center"/>
          </w:tcPr>
          <w:p w14:paraId="43087263" w14:textId="77777777" w:rsidR="009A242A" w:rsidRPr="007E77AF" w:rsidRDefault="009A242A" w:rsidP="004838E4">
            <w:pPr>
              <w:contextualSpacing/>
              <w:jc w:val="both"/>
              <w:rPr>
                <w:rFonts w:cstheme="minorHAnsi"/>
                <w:bCs/>
                <w:sz w:val="20"/>
                <w:szCs w:val="20"/>
              </w:rPr>
            </w:pPr>
            <w:r w:rsidRPr="007E77AF">
              <w:rPr>
                <w:rFonts w:cstheme="minorHAnsi"/>
                <w:sz w:val="20"/>
                <w:szCs w:val="20"/>
                <w:lang w:eastAsia="en-US"/>
              </w:rPr>
              <w:t>a.5) Lote adicional</w:t>
            </w:r>
          </w:p>
        </w:tc>
        <w:tc>
          <w:tcPr>
            <w:tcW w:w="4335" w:type="dxa"/>
            <w:shd w:val="clear" w:color="auto" w:fill="auto"/>
            <w:vAlign w:val="center"/>
          </w:tcPr>
          <w:p w14:paraId="36190BDE"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Sim/Não, caso “Sim”, informar percentual</w:t>
            </w:r>
          </w:p>
        </w:tc>
        <w:tc>
          <w:tcPr>
            <w:tcW w:w="2251" w:type="dxa"/>
            <w:shd w:val="clear" w:color="auto" w:fill="auto"/>
          </w:tcPr>
          <w:p w14:paraId="79E91D8F" w14:textId="77777777" w:rsidR="009A242A" w:rsidRPr="007E77AF" w:rsidRDefault="009A242A" w:rsidP="004838E4">
            <w:pPr>
              <w:jc w:val="center"/>
              <w:rPr>
                <w:rFonts w:cstheme="minorHAnsi"/>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6DC30ABA" w14:textId="77777777" w:rsidTr="491E246D">
        <w:trPr>
          <w:trHeight w:val="227"/>
        </w:trPr>
        <w:tc>
          <w:tcPr>
            <w:tcW w:w="3532" w:type="dxa"/>
            <w:shd w:val="clear" w:color="auto" w:fill="auto"/>
            <w:vAlign w:val="center"/>
          </w:tcPr>
          <w:p w14:paraId="082B66FD" w14:textId="77777777" w:rsidR="009A242A" w:rsidRPr="007E77AF" w:rsidRDefault="009A242A" w:rsidP="004838E4">
            <w:pPr>
              <w:contextualSpacing/>
              <w:jc w:val="both"/>
              <w:rPr>
                <w:rFonts w:cstheme="minorBidi"/>
                <w:sz w:val="20"/>
                <w:szCs w:val="20"/>
              </w:rPr>
            </w:pPr>
            <w:r w:rsidRPr="007E77AF">
              <w:rPr>
                <w:rFonts w:cstheme="minorHAnsi"/>
                <w:sz w:val="20"/>
                <w:szCs w:val="20"/>
                <w:lang w:eastAsia="en-US"/>
              </w:rPr>
              <w:t>Qual mercado de negociação?</w:t>
            </w:r>
          </w:p>
        </w:tc>
        <w:tc>
          <w:tcPr>
            <w:tcW w:w="4335" w:type="dxa"/>
            <w:shd w:val="clear" w:color="auto" w:fill="auto"/>
            <w:vAlign w:val="center"/>
          </w:tcPr>
          <w:p w14:paraId="041AA732" w14:textId="77777777" w:rsidR="009A242A" w:rsidRPr="007E77AF" w:rsidRDefault="009A242A" w:rsidP="004838E4">
            <w:pPr>
              <w:jc w:val="center"/>
              <w:rPr>
                <w:rFonts w:cstheme="minorBidi"/>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nome fantasia / [ ] não será negociado em mercado organizado</w:t>
            </w:r>
          </w:p>
        </w:tc>
        <w:tc>
          <w:tcPr>
            <w:tcW w:w="2251" w:type="dxa"/>
            <w:shd w:val="clear" w:color="auto" w:fill="auto"/>
            <w:vAlign w:val="center"/>
          </w:tcPr>
          <w:p w14:paraId="0D8CCDE2" w14:textId="77777777" w:rsidR="009A242A" w:rsidRPr="007E77AF" w:rsidRDefault="009A242A" w:rsidP="004838E4">
            <w:pPr>
              <w:jc w:val="center"/>
              <w:rPr>
                <w:rFonts w:cstheme="minorHAnsi"/>
                <w:bCs/>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3F960C23" w14:textId="77777777" w:rsidTr="491E246D">
        <w:trPr>
          <w:trHeight w:val="227"/>
        </w:trPr>
        <w:tc>
          <w:tcPr>
            <w:tcW w:w="3532" w:type="dxa"/>
            <w:shd w:val="clear" w:color="auto" w:fill="auto"/>
            <w:vAlign w:val="center"/>
          </w:tcPr>
          <w:p w14:paraId="6E7F612D" w14:textId="77777777" w:rsidR="009A242A" w:rsidRPr="007E77AF" w:rsidRDefault="009A242A" w:rsidP="004838E4">
            <w:pPr>
              <w:contextualSpacing/>
              <w:jc w:val="both"/>
              <w:rPr>
                <w:rFonts w:cstheme="minorBidi"/>
                <w:sz w:val="20"/>
                <w:szCs w:val="20"/>
              </w:rPr>
            </w:pPr>
            <w:r w:rsidRPr="007E77AF">
              <w:rPr>
                <w:rFonts w:cstheme="minorHAnsi"/>
                <w:sz w:val="20"/>
                <w:szCs w:val="20"/>
                <w:lang w:eastAsia="en-US"/>
              </w:rPr>
              <w:t>Código de negociação</w:t>
            </w:r>
          </w:p>
        </w:tc>
        <w:tc>
          <w:tcPr>
            <w:tcW w:w="4335" w:type="dxa"/>
            <w:shd w:val="clear" w:color="auto" w:fill="auto"/>
            <w:vAlign w:val="center"/>
          </w:tcPr>
          <w:p w14:paraId="27BFF2DC" w14:textId="77777777" w:rsidR="009A242A" w:rsidRPr="007E77AF" w:rsidRDefault="009A242A" w:rsidP="004838E4">
            <w:pPr>
              <w:jc w:val="center"/>
              <w:rPr>
                <w:rFonts w:cstheme="minorBidi"/>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2251" w:type="dxa"/>
            <w:shd w:val="clear" w:color="auto" w:fill="auto"/>
            <w:vAlign w:val="center"/>
          </w:tcPr>
          <w:p w14:paraId="09D4B0FA" w14:textId="77777777" w:rsidR="009A242A" w:rsidRPr="007E77AF" w:rsidRDefault="009A242A" w:rsidP="004838E4">
            <w:pPr>
              <w:jc w:val="center"/>
              <w:rPr>
                <w:rFonts w:cstheme="minorHAnsi"/>
                <w:bCs/>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19355A02" w14:textId="77777777" w:rsidTr="491E246D">
        <w:trPr>
          <w:trHeight w:val="227"/>
        </w:trPr>
        <w:tc>
          <w:tcPr>
            <w:tcW w:w="3532" w:type="dxa"/>
            <w:shd w:val="clear" w:color="auto" w:fill="auto"/>
            <w:vAlign w:val="center"/>
          </w:tcPr>
          <w:p w14:paraId="7A5C5FB8" w14:textId="77777777" w:rsidR="009A242A" w:rsidRPr="007E77AF" w:rsidRDefault="009A242A" w:rsidP="004838E4">
            <w:pPr>
              <w:contextualSpacing/>
              <w:jc w:val="both"/>
              <w:rPr>
                <w:rFonts w:cstheme="minorBidi"/>
                <w:sz w:val="20"/>
                <w:szCs w:val="20"/>
              </w:rPr>
            </w:pPr>
            <w:r w:rsidRPr="007E77AF">
              <w:rPr>
                <w:rFonts w:cstheme="minorBidi"/>
                <w:sz w:val="20"/>
                <w:szCs w:val="20"/>
              </w:rPr>
              <w:t>B. Outras informações</w:t>
            </w:r>
          </w:p>
        </w:tc>
        <w:tc>
          <w:tcPr>
            <w:tcW w:w="4335" w:type="dxa"/>
            <w:shd w:val="clear" w:color="auto" w:fill="auto"/>
            <w:vAlign w:val="center"/>
          </w:tcPr>
          <w:p w14:paraId="44D12136" w14:textId="77777777" w:rsidR="009A242A" w:rsidRPr="007E77AF" w:rsidRDefault="009A242A" w:rsidP="004838E4">
            <w:pPr>
              <w:jc w:val="center"/>
              <w:rPr>
                <w:rFonts w:cstheme="minorBidi"/>
                <w:sz w:val="20"/>
                <w:szCs w:val="20"/>
                <w:lang w:eastAsia="en-US"/>
              </w:rPr>
            </w:pPr>
          </w:p>
        </w:tc>
        <w:tc>
          <w:tcPr>
            <w:tcW w:w="2251" w:type="dxa"/>
            <w:shd w:val="clear" w:color="auto" w:fill="auto"/>
          </w:tcPr>
          <w:p w14:paraId="25F3E8C3" w14:textId="77777777" w:rsidR="009A242A" w:rsidRPr="007E77AF" w:rsidRDefault="009A242A" w:rsidP="004838E4">
            <w:pPr>
              <w:jc w:val="center"/>
              <w:rPr>
                <w:rFonts w:cstheme="minorHAnsi"/>
                <w:bCs/>
                <w:sz w:val="20"/>
                <w:szCs w:val="20"/>
                <w:lang w:eastAsia="en-US"/>
              </w:rPr>
            </w:pPr>
          </w:p>
        </w:tc>
      </w:tr>
      <w:tr w:rsidR="009A242A" w:rsidRPr="007E77AF" w14:paraId="6D77C66E" w14:textId="77777777" w:rsidTr="491E246D">
        <w:trPr>
          <w:trHeight w:val="227"/>
        </w:trPr>
        <w:tc>
          <w:tcPr>
            <w:tcW w:w="3532" w:type="dxa"/>
            <w:shd w:val="clear" w:color="auto" w:fill="auto"/>
            <w:vAlign w:val="center"/>
          </w:tcPr>
          <w:p w14:paraId="2ECAB80C" w14:textId="77777777" w:rsidR="009A242A" w:rsidRPr="007E77AF" w:rsidRDefault="009A242A" w:rsidP="004838E4">
            <w:pPr>
              <w:contextualSpacing/>
              <w:jc w:val="both"/>
              <w:rPr>
                <w:rFonts w:cstheme="minorBidi"/>
                <w:sz w:val="20"/>
                <w:szCs w:val="20"/>
              </w:rPr>
            </w:pPr>
            <w:r w:rsidRPr="007E77AF">
              <w:rPr>
                <w:rFonts w:cstheme="minorBidi"/>
                <w:sz w:val="20"/>
                <w:szCs w:val="20"/>
              </w:rPr>
              <w:t>Emissor</w:t>
            </w:r>
          </w:p>
        </w:tc>
        <w:tc>
          <w:tcPr>
            <w:tcW w:w="4335" w:type="dxa"/>
            <w:shd w:val="clear" w:color="auto" w:fill="auto"/>
            <w:vAlign w:val="center"/>
          </w:tcPr>
          <w:p w14:paraId="32037C7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Nome do fundo e da classe de cotas </w:t>
            </w:r>
          </w:p>
        </w:tc>
        <w:tc>
          <w:tcPr>
            <w:tcW w:w="2251" w:type="dxa"/>
            <w:shd w:val="clear" w:color="auto" w:fill="auto"/>
          </w:tcPr>
          <w:p w14:paraId="4ACB1F2C"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789BF190" w14:textId="77777777" w:rsidTr="491E246D">
        <w:trPr>
          <w:trHeight w:val="227"/>
        </w:trPr>
        <w:tc>
          <w:tcPr>
            <w:tcW w:w="3532" w:type="dxa"/>
            <w:shd w:val="clear" w:color="auto" w:fill="auto"/>
            <w:vAlign w:val="center"/>
          </w:tcPr>
          <w:p w14:paraId="270455EF" w14:textId="77777777" w:rsidR="009A242A" w:rsidRPr="007E77AF" w:rsidRDefault="009A242A" w:rsidP="004838E4">
            <w:pPr>
              <w:contextualSpacing/>
              <w:jc w:val="both"/>
              <w:rPr>
                <w:rFonts w:cstheme="minorBidi"/>
                <w:sz w:val="20"/>
                <w:szCs w:val="20"/>
              </w:rPr>
            </w:pPr>
            <w:r w:rsidRPr="007E77AF">
              <w:rPr>
                <w:rFonts w:cstheme="minorBidi"/>
                <w:sz w:val="20"/>
                <w:szCs w:val="20"/>
              </w:rPr>
              <w:t>Administrador</w:t>
            </w:r>
          </w:p>
        </w:tc>
        <w:tc>
          <w:tcPr>
            <w:tcW w:w="4335" w:type="dxa"/>
            <w:shd w:val="clear" w:color="auto" w:fill="auto"/>
            <w:vAlign w:val="center"/>
          </w:tcPr>
          <w:p w14:paraId="6C6181EC"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Nome, CNPJ e página eletrônica</w:t>
            </w:r>
          </w:p>
        </w:tc>
        <w:tc>
          <w:tcPr>
            <w:tcW w:w="2251" w:type="dxa"/>
            <w:shd w:val="clear" w:color="auto" w:fill="auto"/>
          </w:tcPr>
          <w:p w14:paraId="73C21B3D"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7B2EF1DC" w14:textId="77777777" w:rsidTr="491E246D">
        <w:trPr>
          <w:trHeight w:val="227"/>
        </w:trPr>
        <w:tc>
          <w:tcPr>
            <w:tcW w:w="3532" w:type="dxa"/>
            <w:shd w:val="clear" w:color="auto" w:fill="auto"/>
            <w:vAlign w:val="center"/>
          </w:tcPr>
          <w:p w14:paraId="118F0BA4" w14:textId="77777777" w:rsidR="009A242A" w:rsidRPr="007E77AF" w:rsidRDefault="009A242A" w:rsidP="004838E4">
            <w:pPr>
              <w:jc w:val="both"/>
              <w:rPr>
                <w:rFonts w:cstheme="minorBidi"/>
                <w:sz w:val="20"/>
                <w:szCs w:val="20"/>
              </w:rPr>
            </w:pPr>
            <w:r w:rsidRPr="007E77AF">
              <w:rPr>
                <w:rFonts w:cstheme="minorBidi"/>
                <w:sz w:val="20"/>
                <w:szCs w:val="20"/>
              </w:rPr>
              <w:t>Gestor</w:t>
            </w:r>
          </w:p>
        </w:tc>
        <w:tc>
          <w:tcPr>
            <w:tcW w:w="4335" w:type="dxa"/>
            <w:shd w:val="clear" w:color="auto" w:fill="auto"/>
            <w:vAlign w:val="center"/>
          </w:tcPr>
          <w:p w14:paraId="37BE3C77" w14:textId="77777777" w:rsidR="009A242A" w:rsidRPr="007E77AF" w:rsidRDefault="009A242A" w:rsidP="001353DC">
            <w:pPr>
              <w:jc w:val="center"/>
              <w:rPr>
                <w:rFonts w:cstheme="minorHAnsi"/>
                <w:bCs/>
                <w:sz w:val="20"/>
                <w:szCs w:val="20"/>
                <w:lang w:eastAsia="en-US"/>
              </w:rPr>
            </w:pPr>
            <w:r w:rsidRPr="007E77AF">
              <w:rPr>
                <w:rFonts w:cstheme="minorBidi"/>
                <w:sz w:val="20"/>
                <w:szCs w:val="20"/>
                <w:lang w:eastAsia="en-US"/>
              </w:rPr>
              <w:t>Nome, CNPJ e página eletrônica</w:t>
            </w:r>
          </w:p>
        </w:tc>
        <w:tc>
          <w:tcPr>
            <w:tcW w:w="2251" w:type="dxa"/>
            <w:shd w:val="clear" w:color="auto" w:fill="auto"/>
          </w:tcPr>
          <w:p w14:paraId="18226950" w14:textId="77777777" w:rsidR="009A242A" w:rsidRPr="007E77AF" w:rsidRDefault="009A242A" w:rsidP="004838E4">
            <w:pPr>
              <w:jc w:val="center"/>
              <w:rPr>
                <w:rFonts w:cstheme="minorBidi"/>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2C57A3F1" w14:textId="77777777" w:rsidTr="491E246D">
        <w:trPr>
          <w:trHeight w:val="390"/>
        </w:trPr>
        <w:tc>
          <w:tcPr>
            <w:tcW w:w="7867" w:type="dxa"/>
            <w:gridSpan w:val="2"/>
            <w:shd w:val="clear" w:color="auto" w:fill="auto"/>
            <w:vAlign w:val="center"/>
            <w:hideMark/>
          </w:tcPr>
          <w:p w14:paraId="53016FEB"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2. Propósito da Oferta</w:t>
            </w:r>
          </w:p>
        </w:tc>
        <w:tc>
          <w:tcPr>
            <w:tcW w:w="2251" w:type="dxa"/>
            <w:shd w:val="clear" w:color="auto" w:fill="auto"/>
            <w:vAlign w:val="center"/>
            <w:hideMark/>
          </w:tcPr>
          <w:p w14:paraId="792F72E5"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236B3D11" w14:textId="77777777" w:rsidTr="491E246D">
        <w:trPr>
          <w:trHeight w:val="227"/>
        </w:trPr>
        <w:tc>
          <w:tcPr>
            <w:tcW w:w="3532" w:type="dxa"/>
            <w:shd w:val="clear" w:color="auto" w:fill="auto"/>
            <w:vAlign w:val="center"/>
            <w:hideMark/>
          </w:tcPr>
          <w:p w14:paraId="39392BF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será a destinação dos recursos da oferta?</w:t>
            </w:r>
          </w:p>
        </w:tc>
        <w:tc>
          <w:tcPr>
            <w:tcW w:w="4335" w:type="dxa"/>
            <w:shd w:val="clear" w:color="auto" w:fill="auto"/>
            <w:vAlign w:val="center"/>
            <w:hideMark/>
          </w:tcPr>
          <w:p w14:paraId="61598823"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200 palavras]</w:t>
            </w:r>
          </w:p>
        </w:tc>
        <w:tc>
          <w:tcPr>
            <w:tcW w:w="2251" w:type="dxa"/>
            <w:shd w:val="clear" w:color="auto" w:fill="auto"/>
            <w:vAlign w:val="center"/>
            <w:hideMark/>
          </w:tcPr>
          <w:p w14:paraId="42C890E3"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1F75CB12" w14:textId="77777777" w:rsidTr="491E246D">
        <w:trPr>
          <w:trHeight w:val="390"/>
        </w:trPr>
        <w:tc>
          <w:tcPr>
            <w:tcW w:w="7867" w:type="dxa"/>
            <w:gridSpan w:val="2"/>
            <w:shd w:val="clear" w:color="auto" w:fill="auto"/>
            <w:vAlign w:val="center"/>
            <w:hideMark/>
          </w:tcPr>
          <w:p w14:paraId="64127E87"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3. Detalhes Relevantes sobre o Fundo</w:t>
            </w:r>
          </w:p>
        </w:tc>
        <w:tc>
          <w:tcPr>
            <w:tcW w:w="2251" w:type="dxa"/>
            <w:shd w:val="clear" w:color="auto" w:fill="auto"/>
            <w:vAlign w:val="center"/>
            <w:hideMark/>
          </w:tcPr>
          <w:p w14:paraId="348CFA94"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3D151DA8" w14:textId="77777777" w:rsidTr="491E246D">
        <w:trPr>
          <w:trHeight w:val="390"/>
        </w:trPr>
        <w:tc>
          <w:tcPr>
            <w:tcW w:w="3532" w:type="dxa"/>
            <w:shd w:val="clear" w:color="auto" w:fill="auto"/>
            <w:vAlign w:val="center"/>
          </w:tcPr>
          <w:p w14:paraId="04FC3A13" w14:textId="77777777" w:rsidR="009A242A" w:rsidRPr="007E77AF" w:rsidRDefault="009A242A" w:rsidP="004838E4">
            <w:pPr>
              <w:ind w:left="360" w:hanging="360"/>
              <w:contextualSpacing/>
              <w:rPr>
                <w:rFonts w:cstheme="minorHAnsi"/>
                <w:sz w:val="20"/>
                <w:szCs w:val="20"/>
                <w:lang w:eastAsia="en-US"/>
              </w:rPr>
            </w:pPr>
            <w:r w:rsidRPr="007E77AF">
              <w:rPr>
                <w:rFonts w:cstheme="minorHAnsi"/>
                <w:sz w:val="20"/>
                <w:szCs w:val="20"/>
                <w:lang w:eastAsia="en-US"/>
              </w:rPr>
              <w:t>Informações sobre o gestor</w:t>
            </w:r>
          </w:p>
        </w:tc>
        <w:tc>
          <w:tcPr>
            <w:tcW w:w="4335" w:type="dxa"/>
            <w:shd w:val="clear" w:color="auto" w:fill="auto"/>
            <w:vAlign w:val="center"/>
          </w:tcPr>
          <w:p w14:paraId="5B4C97C8"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Apresentação e informações gerais </w:t>
            </w:r>
            <w:r w:rsidRPr="007E77AF">
              <w:rPr>
                <w:rFonts w:cstheme="minorHAnsi"/>
                <w:sz w:val="20"/>
                <w:szCs w:val="20"/>
                <w:lang w:eastAsia="en-US"/>
              </w:rPr>
              <w:br/>
              <w:t>[Máx. 100 palavras]</w:t>
            </w:r>
          </w:p>
        </w:tc>
        <w:tc>
          <w:tcPr>
            <w:tcW w:w="2251" w:type="dxa"/>
            <w:shd w:val="clear" w:color="auto" w:fill="auto"/>
            <w:vAlign w:val="center"/>
          </w:tcPr>
          <w:p w14:paraId="2467CC4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1C432200" w14:textId="77777777" w:rsidTr="491E246D">
        <w:trPr>
          <w:trHeight w:val="390"/>
        </w:trPr>
        <w:tc>
          <w:tcPr>
            <w:tcW w:w="3532" w:type="dxa"/>
            <w:shd w:val="clear" w:color="auto" w:fill="auto"/>
            <w:vAlign w:val="center"/>
          </w:tcPr>
          <w:p w14:paraId="6E1F89A6" w14:textId="77777777" w:rsidR="009A242A" w:rsidRPr="007E77AF" w:rsidRDefault="009A242A" w:rsidP="004838E4">
            <w:pPr>
              <w:ind w:left="360" w:hanging="360"/>
              <w:contextualSpacing/>
              <w:rPr>
                <w:rFonts w:cstheme="minorHAnsi"/>
                <w:sz w:val="20"/>
                <w:szCs w:val="20"/>
                <w:lang w:eastAsia="en-US"/>
              </w:rPr>
            </w:pPr>
            <w:r w:rsidRPr="007E77AF">
              <w:rPr>
                <w:rFonts w:cstheme="minorHAnsi"/>
                <w:sz w:val="20"/>
                <w:szCs w:val="20"/>
                <w:lang w:eastAsia="en-US"/>
              </w:rPr>
              <w:t>Informações sobre o administrador</w:t>
            </w:r>
          </w:p>
        </w:tc>
        <w:tc>
          <w:tcPr>
            <w:tcW w:w="4335" w:type="dxa"/>
            <w:shd w:val="clear" w:color="auto" w:fill="auto"/>
            <w:vAlign w:val="center"/>
          </w:tcPr>
          <w:p w14:paraId="4AF09A6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Apresentação e informações gerais </w:t>
            </w:r>
            <w:r w:rsidRPr="007E77AF">
              <w:rPr>
                <w:rFonts w:cstheme="minorHAnsi"/>
                <w:sz w:val="20"/>
                <w:szCs w:val="20"/>
                <w:lang w:eastAsia="en-US"/>
              </w:rPr>
              <w:br/>
              <w:t>[Máx. 100 palavras]</w:t>
            </w:r>
          </w:p>
        </w:tc>
        <w:tc>
          <w:tcPr>
            <w:tcW w:w="2251" w:type="dxa"/>
            <w:shd w:val="clear" w:color="auto" w:fill="auto"/>
            <w:vAlign w:val="center"/>
          </w:tcPr>
          <w:p w14:paraId="0B60D11E"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6BC88679" w14:textId="77777777" w:rsidTr="491E246D">
        <w:trPr>
          <w:trHeight w:val="390"/>
        </w:trPr>
        <w:tc>
          <w:tcPr>
            <w:tcW w:w="3532" w:type="dxa"/>
            <w:shd w:val="clear" w:color="auto" w:fill="auto"/>
            <w:vAlign w:val="center"/>
            <w:hideMark/>
          </w:tcPr>
          <w:p w14:paraId="567C1305" w14:textId="77777777" w:rsidR="009A242A" w:rsidRPr="007E77AF" w:rsidRDefault="009A242A" w:rsidP="004838E4">
            <w:pPr>
              <w:ind w:left="360" w:hanging="360"/>
              <w:contextualSpacing/>
              <w:rPr>
                <w:rFonts w:cstheme="minorHAnsi"/>
                <w:bCs/>
                <w:sz w:val="20"/>
                <w:szCs w:val="20"/>
                <w:lang w:eastAsia="en-US"/>
              </w:rPr>
            </w:pPr>
            <w:r w:rsidRPr="007E77AF">
              <w:rPr>
                <w:rFonts w:cstheme="minorHAnsi"/>
                <w:bCs/>
                <w:sz w:val="20"/>
                <w:szCs w:val="20"/>
                <w:shd w:val="clear" w:color="auto" w:fill="FFFFFF"/>
                <w:lang w:eastAsia="en-US"/>
              </w:rPr>
              <w:lastRenderedPageBreak/>
              <w:t>Sumário dos principais riscos do fundo</w:t>
            </w:r>
          </w:p>
          <w:p w14:paraId="70F2896B" w14:textId="77777777" w:rsidR="009A242A" w:rsidRPr="007E77AF" w:rsidRDefault="009A242A" w:rsidP="004838E4">
            <w:pPr>
              <w:ind w:hanging="360"/>
              <w:rPr>
                <w:rFonts w:cstheme="minorHAnsi"/>
                <w:b/>
                <w:bCs/>
                <w:sz w:val="20"/>
                <w:szCs w:val="20"/>
                <w:lang w:eastAsia="en-US"/>
              </w:rPr>
            </w:pPr>
          </w:p>
        </w:tc>
        <w:tc>
          <w:tcPr>
            <w:tcW w:w="4335" w:type="dxa"/>
            <w:shd w:val="clear" w:color="auto" w:fill="auto"/>
            <w:vAlign w:val="center"/>
            <w:hideMark/>
          </w:tcPr>
          <w:p w14:paraId="238ECF93" w14:textId="6A2F3533"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Probabilidade</w:t>
            </w:r>
          </w:p>
        </w:tc>
        <w:tc>
          <w:tcPr>
            <w:tcW w:w="2251" w:type="dxa"/>
            <w:shd w:val="clear" w:color="auto" w:fill="auto"/>
            <w:vAlign w:val="center"/>
            <w:hideMark/>
          </w:tcPr>
          <w:p w14:paraId="38BDFE10" w14:textId="1466C883"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Impacto financeiro</w:t>
            </w:r>
          </w:p>
        </w:tc>
      </w:tr>
      <w:tr w:rsidR="009A242A" w:rsidRPr="007E77AF" w14:paraId="345F47FD" w14:textId="77777777" w:rsidTr="491E246D">
        <w:trPr>
          <w:trHeight w:val="227"/>
        </w:trPr>
        <w:tc>
          <w:tcPr>
            <w:tcW w:w="3532" w:type="dxa"/>
            <w:shd w:val="clear" w:color="auto" w:fill="auto"/>
            <w:vAlign w:val="center"/>
            <w:hideMark/>
          </w:tcPr>
          <w:p w14:paraId="06DBC7EC"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1. (Descrição breve – Máx. 50 palavras)</w:t>
            </w:r>
          </w:p>
        </w:tc>
        <w:tc>
          <w:tcPr>
            <w:tcW w:w="4335" w:type="dxa"/>
            <w:shd w:val="clear" w:color="auto" w:fill="auto"/>
            <w:vAlign w:val="center"/>
            <w:hideMark/>
          </w:tcPr>
          <w:p w14:paraId="389154DE" w14:textId="62511521" w:rsidR="009A242A" w:rsidRPr="007E77AF" w:rsidRDefault="009A242A" w:rsidP="004838E4">
            <w:pPr>
              <w:jc w:val="cente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2251" w:type="dxa"/>
            <w:shd w:val="clear" w:color="auto" w:fill="auto"/>
            <w:vAlign w:val="center"/>
            <w:hideMark/>
          </w:tcPr>
          <w:p w14:paraId="3A71A1F7" w14:textId="4F7F60B6"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1F0D5A62" w14:textId="77777777" w:rsidTr="491E246D">
        <w:trPr>
          <w:trHeight w:val="227"/>
        </w:trPr>
        <w:tc>
          <w:tcPr>
            <w:tcW w:w="3532" w:type="dxa"/>
            <w:shd w:val="clear" w:color="auto" w:fill="auto"/>
            <w:vAlign w:val="center"/>
            <w:hideMark/>
          </w:tcPr>
          <w:p w14:paraId="465984C9"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2. (Descrição breve – Máx</w:t>
            </w:r>
            <w:r>
              <w:rPr>
                <w:rFonts w:cstheme="minorHAnsi"/>
                <w:bCs/>
                <w:sz w:val="20"/>
                <w:szCs w:val="20"/>
                <w:lang w:eastAsia="en-US"/>
              </w:rPr>
              <w:t>.</w:t>
            </w:r>
            <w:r w:rsidRPr="007E77AF">
              <w:rPr>
                <w:rFonts w:cstheme="minorHAnsi"/>
                <w:bCs/>
                <w:sz w:val="20"/>
                <w:szCs w:val="20"/>
                <w:lang w:eastAsia="en-US"/>
              </w:rPr>
              <w:t xml:space="preserve"> 50 palavras)</w:t>
            </w:r>
          </w:p>
        </w:tc>
        <w:tc>
          <w:tcPr>
            <w:tcW w:w="4335" w:type="dxa"/>
            <w:shd w:val="clear" w:color="auto" w:fill="auto"/>
            <w:vAlign w:val="center"/>
            <w:hideMark/>
          </w:tcPr>
          <w:p w14:paraId="7347DE9F" w14:textId="029487E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27345E2B" w14:textId="101EB945"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3314C62" w14:textId="77777777" w:rsidTr="491E246D">
        <w:trPr>
          <w:trHeight w:val="227"/>
        </w:trPr>
        <w:tc>
          <w:tcPr>
            <w:tcW w:w="3532" w:type="dxa"/>
            <w:shd w:val="clear" w:color="auto" w:fill="auto"/>
            <w:vAlign w:val="center"/>
            <w:hideMark/>
          </w:tcPr>
          <w:p w14:paraId="5E51355F"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3. (Descrição breve – Máx. 50 palavras)</w:t>
            </w:r>
          </w:p>
        </w:tc>
        <w:tc>
          <w:tcPr>
            <w:tcW w:w="4335" w:type="dxa"/>
            <w:shd w:val="clear" w:color="auto" w:fill="auto"/>
            <w:vAlign w:val="center"/>
            <w:hideMark/>
          </w:tcPr>
          <w:p w14:paraId="6C795A32" w14:textId="3EF7E368"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06862475" w14:textId="7AFD8C85"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97F15C7" w14:textId="77777777" w:rsidTr="491E246D">
        <w:trPr>
          <w:trHeight w:val="227"/>
        </w:trPr>
        <w:tc>
          <w:tcPr>
            <w:tcW w:w="3532" w:type="dxa"/>
            <w:shd w:val="clear" w:color="auto" w:fill="auto"/>
            <w:vAlign w:val="center"/>
            <w:hideMark/>
          </w:tcPr>
          <w:p w14:paraId="754C280F"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4. (Descrição breve – Máx</w:t>
            </w:r>
            <w:r>
              <w:rPr>
                <w:rFonts w:cstheme="minorHAnsi"/>
                <w:bCs/>
                <w:sz w:val="20"/>
                <w:szCs w:val="20"/>
                <w:lang w:eastAsia="en-US"/>
              </w:rPr>
              <w:t>.</w:t>
            </w:r>
            <w:r w:rsidRPr="007E77AF">
              <w:rPr>
                <w:rFonts w:cstheme="minorHAnsi"/>
                <w:bCs/>
                <w:sz w:val="20"/>
                <w:szCs w:val="20"/>
                <w:lang w:eastAsia="en-US"/>
              </w:rPr>
              <w:t xml:space="preserve"> 50 palavras)</w:t>
            </w:r>
          </w:p>
        </w:tc>
        <w:tc>
          <w:tcPr>
            <w:tcW w:w="4335" w:type="dxa"/>
            <w:shd w:val="clear" w:color="auto" w:fill="auto"/>
            <w:vAlign w:val="center"/>
            <w:hideMark/>
          </w:tcPr>
          <w:p w14:paraId="05A9CD33" w14:textId="0DDD2D72"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5E31D9D8" w14:textId="2429D01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55C805F7" w14:textId="77777777" w:rsidTr="491E246D">
        <w:trPr>
          <w:trHeight w:val="227"/>
        </w:trPr>
        <w:tc>
          <w:tcPr>
            <w:tcW w:w="3532" w:type="dxa"/>
            <w:shd w:val="clear" w:color="auto" w:fill="auto"/>
            <w:vAlign w:val="center"/>
            <w:hideMark/>
          </w:tcPr>
          <w:p w14:paraId="5B7332C2"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5. (Descrição breve – Máx. 50 palavras)</w:t>
            </w:r>
          </w:p>
        </w:tc>
        <w:tc>
          <w:tcPr>
            <w:tcW w:w="4335" w:type="dxa"/>
            <w:shd w:val="clear" w:color="auto" w:fill="auto"/>
            <w:vAlign w:val="center"/>
            <w:hideMark/>
          </w:tcPr>
          <w:p w14:paraId="6D6F108B" w14:textId="74B705AD"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58DA9D0E" w14:textId="3D09C75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A2F4A7A" w14:textId="77777777" w:rsidTr="491E246D">
        <w:trPr>
          <w:trHeight w:val="390"/>
        </w:trPr>
        <w:tc>
          <w:tcPr>
            <w:tcW w:w="7867" w:type="dxa"/>
            <w:gridSpan w:val="2"/>
            <w:shd w:val="clear" w:color="auto" w:fill="auto"/>
            <w:vAlign w:val="center"/>
            <w:hideMark/>
          </w:tcPr>
          <w:p w14:paraId="7599B370"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4. Principais Informações sobre o valor mobiliário</w:t>
            </w:r>
          </w:p>
        </w:tc>
        <w:tc>
          <w:tcPr>
            <w:tcW w:w="2251" w:type="dxa"/>
            <w:shd w:val="clear" w:color="auto" w:fill="auto"/>
            <w:vAlign w:val="center"/>
            <w:hideMark/>
          </w:tcPr>
          <w:p w14:paraId="2485C04F"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6065AAC4" w14:textId="77777777" w:rsidTr="491E246D">
        <w:trPr>
          <w:trHeight w:val="390"/>
        </w:trPr>
        <w:tc>
          <w:tcPr>
            <w:tcW w:w="10118" w:type="dxa"/>
            <w:gridSpan w:val="3"/>
            <w:shd w:val="clear" w:color="auto" w:fill="auto"/>
            <w:vAlign w:val="center"/>
            <w:hideMark/>
          </w:tcPr>
          <w:p w14:paraId="4348F181"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Informações sobre a cota do Fundo de Investimento</w:t>
            </w:r>
          </w:p>
        </w:tc>
      </w:tr>
      <w:tr w:rsidR="009A242A" w:rsidRPr="007E77AF" w14:paraId="1869D743" w14:textId="77777777" w:rsidTr="491E246D">
        <w:trPr>
          <w:trHeight w:val="227"/>
        </w:trPr>
        <w:tc>
          <w:tcPr>
            <w:tcW w:w="3532" w:type="dxa"/>
            <w:shd w:val="clear" w:color="auto" w:fill="auto"/>
            <w:vAlign w:val="center"/>
            <w:hideMark/>
          </w:tcPr>
          <w:p w14:paraId="3755174A"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Principais características</w:t>
            </w:r>
          </w:p>
        </w:tc>
        <w:tc>
          <w:tcPr>
            <w:tcW w:w="4335" w:type="dxa"/>
            <w:shd w:val="clear" w:color="auto" w:fill="auto"/>
            <w:vAlign w:val="center"/>
            <w:hideMark/>
          </w:tcPr>
          <w:p w14:paraId="566B55E9"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6ECBB84A" w14:textId="77777777" w:rsidR="009A242A" w:rsidRPr="007E77AF" w:rsidRDefault="009A242A" w:rsidP="004838E4">
            <w:pPr>
              <w:jc w:val="center"/>
              <w:rPr>
                <w:rFonts w:cstheme="minorHAnsi"/>
                <w:b/>
                <w:bCs/>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r w:rsidRPr="007E77AF">
              <w:rPr>
                <w:rFonts w:cstheme="minorHAnsi"/>
                <w:sz w:val="20"/>
                <w:szCs w:val="20"/>
                <w:lang w:eastAsia="en-US"/>
              </w:rPr>
              <w:t xml:space="preserve"> </w:t>
            </w:r>
          </w:p>
        </w:tc>
      </w:tr>
      <w:tr w:rsidR="009A242A" w:rsidRPr="007E77AF" w14:paraId="73432285" w14:textId="77777777" w:rsidTr="491E246D">
        <w:trPr>
          <w:trHeight w:val="227"/>
        </w:trPr>
        <w:tc>
          <w:tcPr>
            <w:tcW w:w="3532" w:type="dxa"/>
            <w:shd w:val="clear" w:color="auto" w:fill="auto"/>
            <w:vAlign w:val="center"/>
          </w:tcPr>
          <w:p w14:paraId="2F73D9D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Prazo de duração do fundo</w:t>
            </w:r>
          </w:p>
        </w:tc>
        <w:tc>
          <w:tcPr>
            <w:tcW w:w="4335" w:type="dxa"/>
            <w:shd w:val="clear" w:color="auto" w:fill="auto"/>
            <w:vAlign w:val="center"/>
          </w:tcPr>
          <w:p w14:paraId="0A79D9CA" w14:textId="77777777" w:rsidR="009A242A" w:rsidRPr="007E77AF" w:rsidRDefault="009A242A" w:rsidP="004838E4">
            <w:pPr>
              <w:jc w:val="center"/>
              <w:rPr>
                <w:rFonts w:cstheme="minorBidi"/>
                <w:sz w:val="20"/>
                <w:szCs w:val="20"/>
                <w:lang w:eastAsia="en-US"/>
              </w:rPr>
            </w:pPr>
            <w:proofErr w:type="gramStart"/>
            <w:r w:rsidRPr="007E77AF">
              <w:rPr>
                <w:rFonts w:cstheme="minorBidi"/>
                <w:sz w:val="20"/>
                <w:szCs w:val="20"/>
                <w:lang w:eastAsia="en-US"/>
              </w:rPr>
              <w:t>[ ]</w:t>
            </w:r>
            <w:proofErr w:type="gramEnd"/>
            <w:r w:rsidRPr="007E77AF">
              <w:rPr>
                <w:rFonts w:cstheme="minorBidi"/>
                <w:sz w:val="20"/>
                <w:szCs w:val="20"/>
                <w:lang w:eastAsia="en-US"/>
              </w:rPr>
              <w:t xml:space="preserve"> indeterminado / [ ] determinado: data ou prazo, de acordo com o Regulamento do fundo</w:t>
            </w:r>
          </w:p>
        </w:tc>
        <w:tc>
          <w:tcPr>
            <w:tcW w:w="2251" w:type="dxa"/>
            <w:shd w:val="clear" w:color="auto" w:fill="auto"/>
          </w:tcPr>
          <w:p w14:paraId="7FA4E070"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6F96D4A3" w14:textId="77777777" w:rsidTr="491E246D">
        <w:trPr>
          <w:trHeight w:val="227"/>
        </w:trPr>
        <w:tc>
          <w:tcPr>
            <w:tcW w:w="3532" w:type="dxa"/>
            <w:shd w:val="clear" w:color="auto" w:fill="auto"/>
            <w:vAlign w:val="center"/>
            <w:hideMark/>
          </w:tcPr>
          <w:p w14:paraId="71902FA4"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Restrições à livre negociação</w:t>
            </w:r>
          </w:p>
        </w:tc>
        <w:tc>
          <w:tcPr>
            <w:tcW w:w="4335" w:type="dxa"/>
            <w:shd w:val="clear" w:color="auto" w:fill="auto"/>
            <w:hideMark/>
          </w:tcPr>
          <w:p w14:paraId="43809300" w14:textId="0963B582" w:rsidR="009A242A" w:rsidRPr="007E77AF" w:rsidRDefault="009A242A" w:rsidP="009B4EF1">
            <w:pPr>
              <w:jc w:val="center"/>
              <w:rPr>
                <w:rFonts w:cstheme="minorHAnsi"/>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Revenda restrita a investidores profissionais.</w:t>
            </w:r>
            <w:r w:rsidRPr="007E77AF">
              <w:rPr>
                <w:rFonts w:cstheme="minorHAnsi"/>
                <w:sz w:val="20"/>
                <w:szCs w:val="20"/>
                <w:lang w:eastAsia="en-US"/>
              </w:rPr>
              <w:br/>
              <w:t>( ) Revenda a investidores qualificados após decorridos [ ] dias do final da oferta.</w:t>
            </w:r>
            <w:r w:rsidRPr="007E77AF">
              <w:rPr>
                <w:rFonts w:cstheme="minorHAnsi"/>
                <w:sz w:val="20"/>
                <w:szCs w:val="20"/>
                <w:lang w:eastAsia="en-US"/>
              </w:rPr>
              <w:br/>
              <w:t>( ) Revenda ao público em geral após decorridos [  ] dias do final da oferta.</w:t>
            </w:r>
            <w:r w:rsidRPr="007E77AF">
              <w:rPr>
                <w:rFonts w:cstheme="minorHAnsi"/>
                <w:sz w:val="20"/>
                <w:szCs w:val="20"/>
                <w:lang w:eastAsia="en-US"/>
              </w:rPr>
              <w:br/>
              <w:t xml:space="preserve">( ) parcelas com </w:t>
            </w:r>
            <w:proofErr w:type="spellStart"/>
            <w:r w:rsidRPr="007E77AF">
              <w:rPr>
                <w:rFonts w:cstheme="minorHAnsi"/>
                <w:b/>
                <w:bCs/>
                <w:sz w:val="20"/>
                <w:szCs w:val="20"/>
                <w:lang w:eastAsia="en-US"/>
              </w:rPr>
              <w:t>lock-up</w:t>
            </w:r>
            <w:proofErr w:type="spellEnd"/>
            <w:r w:rsidRPr="007E77AF">
              <w:rPr>
                <w:rFonts w:cstheme="minorHAnsi"/>
                <w:sz w:val="20"/>
                <w:szCs w:val="20"/>
                <w:lang w:eastAsia="en-US"/>
              </w:rPr>
              <w:t xml:space="preserve"> em ofertas destinadas a investidores não profissionais {descrição das condições}.</w:t>
            </w:r>
            <w:r w:rsidRPr="007E77AF">
              <w:rPr>
                <w:rFonts w:cstheme="minorHAnsi"/>
                <w:sz w:val="20"/>
                <w:szCs w:val="20"/>
                <w:lang w:eastAsia="en-US"/>
              </w:rPr>
              <w:br/>
              <w:t>( ) Não há restrições à revenda.</w:t>
            </w:r>
          </w:p>
        </w:tc>
        <w:tc>
          <w:tcPr>
            <w:tcW w:w="2251" w:type="dxa"/>
            <w:shd w:val="clear" w:color="auto" w:fill="auto"/>
            <w:vAlign w:val="center"/>
            <w:hideMark/>
          </w:tcPr>
          <w:p w14:paraId="36943A8C"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r w:rsidR="009A242A" w:rsidRPr="007E77AF" w14:paraId="570FF419" w14:textId="77777777" w:rsidTr="491E246D">
        <w:trPr>
          <w:trHeight w:val="390"/>
        </w:trPr>
        <w:tc>
          <w:tcPr>
            <w:tcW w:w="7867" w:type="dxa"/>
            <w:gridSpan w:val="2"/>
            <w:shd w:val="clear" w:color="auto" w:fill="auto"/>
            <w:vAlign w:val="center"/>
            <w:hideMark/>
          </w:tcPr>
          <w:p w14:paraId="086871DF"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5. Informações sobre o Investimento e Calendário da Oferta</w:t>
            </w:r>
          </w:p>
        </w:tc>
        <w:tc>
          <w:tcPr>
            <w:tcW w:w="2251" w:type="dxa"/>
            <w:shd w:val="clear" w:color="auto" w:fill="auto"/>
            <w:vAlign w:val="center"/>
            <w:hideMark/>
          </w:tcPr>
          <w:p w14:paraId="29E526D8"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5B744DE0" w14:textId="77777777" w:rsidTr="491E246D">
        <w:trPr>
          <w:trHeight w:val="227"/>
        </w:trPr>
        <w:tc>
          <w:tcPr>
            <w:tcW w:w="3532" w:type="dxa"/>
            <w:shd w:val="clear" w:color="auto" w:fill="auto"/>
            <w:vAlign w:val="center"/>
            <w:hideMark/>
          </w:tcPr>
          <w:p w14:paraId="1A1455CD"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Quem pode participar da oferta?</w:t>
            </w:r>
          </w:p>
          <w:p w14:paraId="192C5079"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(preenchimento cumulativo)</w:t>
            </w:r>
          </w:p>
        </w:tc>
        <w:tc>
          <w:tcPr>
            <w:tcW w:w="4335" w:type="dxa"/>
            <w:shd w:val="clear" w:color="auto" w:fill="auto"/>
            <w:hideMark/>
          </w:tcPr>
          <w:p w14:paraId="5417F1DF"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[__] Investidores Profissionais /</w:t>
            </w:r>
            <w:r w:rsidRPr="007E77AF">
              <w:br/>
              <w:t>[</w:t>
            </w:r>
            <w:r w:rsidRPr="007E77AF">
              <w:rPr>
                <w:rFonts w:cstheme="minorBidi"/>
                <w:sz w:val="20"/>
                <w:szCs w:val="20"/>
                <w:lang w:eastAsia="en-US"/>
              </w:rPr>
              <w:t>__] Investidores Qualificados /</w:t>
            </w:r>
            <w:r w:rsidRPr="007E77AF">
              <w:br/>
              <w:t>[</w:t>
            </w:r>
            <w:r w:rsidRPr="007E77AF">
              <w:rPr>
                <w:rFonts w:cstheme="minorBidi"/>
                <w:sz w:val="20"/>
                <w:szCs w:val="20"/>
                <w:lang w:eastAsia="en-US"/>
              </w:rPr>
              <w:t>__</w:t>
            </w:r>
            <w:proofErr w:type="gramStart"/>
            <w:r w:rsidRPr="007E77AF">
              <w:rPr>
                <w:rFonts w:cstheme="minorBidi"/>
                <w:sz w:val="20"/>
                <w:szCs w:val="20"/>
                <w:lang w:eastAsia="en-US"/>
              </w:rPr>
              <w:t>] Público</w:t>
            </w:r>
            <w:proofErr w:type="gramEnd"/>
            <w:r w:rsidRPr="007E77AF">
              <w:rPr>
                <w:rFonts w:cstheme="minorBidi"/>
                <w:sz w:val="20"/>
                <w:szCs w:val="20"/>
                <w:lang w:eastAsia="en-US"/>
              </w:rPr>
              <w:t xml:space="preserve"> em geral</w:t>
            </w:r>
          </w:p>
        </w:tc>
        <w:tc>
          <w:tcPr>
            <w:tcW w:w="2251" w:type="dxa"/>
            <w:shd w:val="clear" w:color="auto" w:fill="auto"/>
            <w:hideMark/>
          </w:tcPr>
          <w:p w14:paraId="35A6CF87"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42B239BA" w14:textId="77777777" w:rsidTr="491E246D">
        <w:trPr>
          <w:trHeight w:val="227"/>
        </w:trPr>
        <w:tc>
          <w:tcPr>
            <w:tcW w:w="3532" w:type="dxa"/>
            <w:shd w:val="clear" w:color="auto" w:fill="auto"/>
            <w:vAlign w:val="center"/>
            <w:hideMark/>
          </w:tcPr>
          <w:p w14:paraId="17DC706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Informação sobre a existência e forma de exercício do direito de prioridade.</w:t>
            </w:r>
          </w:p>
        </w:tc>
        <w:tc>
          <w:tcPr>
            <w:tcW w:w="4335" w:type="dxa"/>
            <w:shd w:val="clear" w:color="auto" w:fill="auto"/>
            <w:vAlign w:val="center"/>
            <w:hideMark/>
          </w:tcPr>
          <w:p w14:paraId="7ED1EE92"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56BA433C"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076C7963" w14:textId="77777777" w:rsidTr="491E246D">
        <w:trPr>
          <w:trHeight w:val="227"/>
        </w:trPr>
        <w:tc>
          <w:tcPr>
            <w:tcW w:w="3532" w:type="dxa"/>
            <w:shd w:val="clear" w:color="auto" w:fill="auto"/>
            <w:vAlign w:val="center"/>
            <w:hideMark/>
          </w:tcPr>
          <w:p w14:paraId="4A5D61B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o valor mínimo para investimento?</w:t>
            </w:r>
          </w:p>
        </w:tc>
        <w:tc>
          <w:tcPr>
            <w:tcW w:w="4335" w:type="dxa"/>
            <w:shd w:val="clear" w:color="auto" w:fill="auto"/>
            <w:vAlign w:val="center"/>
            <w:hideMark/>
          </w:tcPr>
          <w:p w14:paraId="7B7BB9A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48EDACB"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40D37B04" w14:textId="77777777" w:rsidTr="491E246D">
        <w:trPr>
          <w:trHeight w:val="227"/>
        </w:trPr>
        <w:tc>
          <w:tcPr>
            <w:tcW w:w="3532" w:type="dxa"/>
            <w:shd w:val="clear" w:color="auto" w:fill="auto"/>
            <w:vAlign w:val="center"/>
            <w:hideMark/>
          </w:tcPr>
          <w:p w14:paraId="6779840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Como participar da oferta?</w:t>
            </w:r>
          </w:p>
        </w:tc>
        <w:tc>
          <w:tcPr>
            <w:tcW w:w="4335" w:type="dxa"/>
            <w:shd w:val="clear" w:color="auto" w:fill="auto"/>
            <w:vAlign w:val="center"/>
            <w:hideMark/>
          </w:tcPr>
          <w:p w14:paraId="3BCC1D06"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20824666"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240414E9" w14:textId="77777777" w:rsidTr="491E246D">
        <w:trPr>
          <w:trHeight w:val="227"/>
        </w:trPr>
        <w:tc>
          <w:tcPr>
            <w:tcW w:w="3532" w:type="dxa"/>
            <w:shd w:val="clear" w:color="auto" w:fill="auto"/>
            <w:vAlign w:val="center"/>
            <w:hideMark/>
          </w:tcPr>
          <w:p w14:paraId="0C2318A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Como será feito o rateio?</w:t>
            </w:r>
          </w:p>
        </w:tc>
        <w:tc>
          <w:tcPr>
            <w:tcW w:w="4335" w:type="dxa"/>
            <w:shd w:val="clear" w:color="auto" w:fill="auto"/>
            <w:vAlign w:val="center"/>
            <w:hideMark/>
          </w:tcPr>
          <w:p w14:paraId="3974999A"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49357CDD"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0600FF7B" w14:textId="77777777" w:rsidTr="00964EBB">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2F454" w14:textId="77777777" w:rsidR="009A242A" w:rsidRPr="007E77AF" w:rsidRDefault="009A242A" w:rsidP="006C2466">
            <w:pPr>
              <w:rPr>
                <w:rFonts w:cstheme="minorHAnsi"/>
                <w:sz w:val="20"/>
                <w:szCs w:val="20"/>
                <w:lang w:eastAsia="en-US"/>
              </w:rPr>
            </w:pPr>
            <w:r w:rsidRPr="007E77AF">
              <w:rPr>
                <w:rFonts w:cstheme="minorHAnsi"/>
                <w:sz w:val="20"/>
                <w:szCs w:val="20"/>
                <w:lang w:eastAsia="en-US"/>
              </w:rPr>
              <w:t>Como poderei saber o resultado do rateio?</w:t>
            </w:r>
          </w:p>
        </w:tc>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841182" w14:textId="77777777" w:rsidR="009A242A" w:rsidRPr="007E77AF" w:rsidRDefault="009A242A" w:rsidP="006C2466">
            <w:pPr>
              <w:jc w:val="center"/>
              <w:rPr>
                <w:rFonts w:cstheme="minorHAnsi"/>
                <w:sz w:val="20"/>
                <w:szCs w:val="20"/>
                <w:lang w:eastAsia="en-US"/>
              </w:rPr>
            </w:pPr>
            <w:r w:rsidRPr="007E77AF">
              <w:rPr>
                <w:rFonts w:cstheme="minorHAnsi"/>
                <w:sz w:val="20"/>
                <w:szCs w:val="20"/>
                <w:lang w:eastAsia="en-US"/>
              </w:rPr>
              <w:t>[Máx. 25 palavras]</w:t>
            </w:r>
          </w:p>
        </w:tc>
        <w:tc>
          <w:tcPr>
            <w:tcW w:w="2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07DA4" w14:textId="77777777" w:rsidR="009A242A" w:rsidRPr="007E77AF" w:rsidRDefault="009A242A" w:rsidP="00964EBB">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p>
        </w:tc>
      </w:tr>
      <w:tr w:rsidR="009A242A" w:rsidRPr="007E77AF" w14:paraId="1BC77F36" w14:textId="77777777" w:rsidTr="491E246D">
        <w:trPr>
          <w:trHeight w:val="227"/>
        </w:trPr>
        <w:tc>
          <w:tcPr>
            <w:tcW w:w="3532" w:type="dxa"/>
            <w:shd w:val="clear" w:color="auto" w:fill="auto"/>
            <w:vAlign w:val="center"/>
            <w:hideMark/>
          </w:tcPr>
          <w:p w14:paraId="6F55D1B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O ofertante pode desistir da oferta?</w:t>
            </w:r>
          </w:p>
        </w:tc>
        <w:tc>
          <w:tcPr>
            <w:tcW w:w="4335" w:type="dxa"/>
            <w:shd w:val="clear" w:color="auto" w:fill="auto"/>
            <w:vAlign w:val="center"/>
            <w:hideMark/>
          </w:tcPr>
          <w:p w14:paraId="4A5C71D7"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7881CD8"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6C6701A9" w14:textId="77777777" w:rsidTr="491E246D">
        <w:trPr>
          <w:trHeight w:val="227"/>
        </w:trPr>
        <w:tc>
          <w:tcPr>
            <w:tcW w:w="3532" w:type="dxa"/>
            <w:shd w:val="clear" w:color="auto" w:fill="auto"/>
            <w:vAlign w:val="center"/>
            <w:hideMark/>
          </w:tcPr>
          <w:p w14:paraId="4F67EDF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Quais são os tributos incidentes sobre a oferta ou sobre a rentabilidade ou remuneração esperada?</w:t>
            </w:r>
          </w:p>
        </w:tc>
        <w:tc>
          <w:tcPr>
            <w:tcW w:w="4335" w:type="dxa"/>
            <w:shd w:val="clear" w:color="auto" w:fill="auto"/>
            <w:vAlign w:val="center"/>
            <w:hideMark/>
          </w:tcPr>
          <w:p w14:paraId="612020A6"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289161F0"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2C172D6C" w14:textId="77777777" w:rsidTr="491E246D">
        <w:trPr>
          <w:trHeight w:val="227"/>
        </w:trPr>
        <w:tc>
          <w:tcPr>
            <w:tcW w:w="3532" w:type="dxa"/>
            <w:shd w:val="clear" w:color="auto" w:fill="auto"/>
            <w:vAlign w:val="center"/>
            <w:hideMark/>
          </w:tcPr>
          <w:p w14:paraId="46B7A98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 xml:space="preserve">Indicação de local para obtenção do Prospecto </w:t>
            </w:r>
          </w:p>
        </w:tc>
        <w:tc>
          <w:tcPr>
            <w:tcW w:w="4335" w:type="dxa"/>
            <w:shd w:val="clear" w:color="auto" w:fill="auto"/>
            <w:vAlign w:val="center"/>
            <w:hideMark/>
          </w:tcPr>
          <w:p w14:paraId="0EF07B7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endereço eletrônico</w:t>
            </w:r>
          </w:p>
        </w:tc>
        <w:tc>
          <w:tcPr>
            <w:tcW w:w="2251" w:type="dxa"/>
            <w:shd w:val="clear" w:color="auto" w:fill="auto"/>
            <w:vAlign w:val="center"/>
            <w:hideMark/>
          </w:tcPr>
          <w:p w14:paraId="3ABE2827" w14:textId="77777777" w:rsidR="009A242A" w:rsidRPr="007E77AF" w:rsidRDefault="009A242A" w:rsidP="004838E4">
            <w:pPr>
              <w:jc w:val="center"/>
              <w:rPr>
                <w:rFonts w:cstheme="minorHAnsi"/>
                <w:b/>
                <w:bCs/>
                <w:sz w:val="20"/>
                <w:szCs w:val="20"/>
                <w:lang w:eastAsia="en-US"/>
              </w:rPr>
            </w:pPr>
          </w:p>
        </w:tc>
      </w:tr>
      <w:tr w:rsidR="009A242A" w:rsidRPr="007E77AF" w14:paraId="0F542258" w14:textId="77777777" w:rsidTr="491E246D">
        <w:trPr>
          <w:trHeight w:val="227"/>
        </w:trPr>
        <w:tc>
          <w:tcPr>
            <w:tcW w:w="3532" w:type="dxa"/>
            <w:shd w:val="clear" w:color="auto" w:fill="auto"/>
            <w:vAlign w:val="center"/>
            <w:hideMark/>
          </w:tcPr>
          <w:p w14:paraId="1036462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Quem são os coordenadores da oferta?</w:t>
            </w:r>
          </w:p>
        </w:tc>
        <w:tc>
          <w:tcPr>
            <w:tcW w:w="4335" w:type="dxa"/>
            <w:shd w:val="clear" w:color="auto" w:fill="auto"/>
            <w:vAlign w:val="center"/>
            <w:hideMark/>
          </w:tcPr>
          <w:p w14:paraId="0D2D14D1" w14:textId="77777777" w:rsidR="009A242A" w:rsidRPr="007E77AF" w:rsidRDefault="009A242A" w:rsidP="491E246D">
            <w:pPr>
              <w:jc w:val="center"/>
              <w:rPr>
                <w:rFonts w:cstheme="minorBidi"/>
                <w:sz w:val="20"/>
                <w:szCs w:val="20"/>
                <w:lang w:eastAsia="en-US"/>
              </w:rPr>
            </w:pPr>
            <w:r w:rsidRPr="007E77AF">
              <w:rPr>
                <w:sz w:val="20"/>
                <w:szCs w:val="20"/>
                <w:lang w:eastAsia="en-US"/>
              </w:rPr>
              <w:t>Informar apenas o nome conforme definido no prospecto.</w:t>
            </w:r>
          </w:p>
        </w:tc>
        <w:tc>
          <w:tcPr>
            <w:tcW w:w="2251" w:type="dxa"/>
            <w:shd w:val="clear" w:color="auto" w:fill="auto"/>
            <w:vAlign w:val="center"/>
            <w:hideMark/>
          </w:tcPr>
          <w:p w14:paraId="15844B94"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p>
        </w:tc>
      </w:tr>
      <w:tr w:rsidR="009A242A" w:rsidRPr="007E77AF" w14:paraId="2D5321A6" w14:textId="77777777" w:rsidTr="491E246D">
        <w:trPr>
          <w:trHeight w:val="227"/>
        </w:trPr>
        <w:tc>
          <w:tcPr>
            <w:tcW w:w="3532" w:type="dxa"/>
            <w:shd w:val="clear" w:color="auto" w:fill="auto"/>
            <w:vAlign w:val="center"/>
          </w:tcPr>
          <w:p w14:paraId="29B63893"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lastRenderedPageBreak/>
              <w:t>Outras instituições participantes da distribuição</w:t>
            </w:r>
          </w:p>
        </w:tc>
        <w:tc>
          <w:tcPr>
            <w:tcW w:w="4335" w:type="dxa"/>
            <w:shd w:val="clear" w:color="auto" w:fill="auto"/>
            <w:vAlign w:val="center"/>
          </w:tcPr>
          <w:p w14:paraId="4EA5387E"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[Máx. 50 palavras]</w:t>
            </w:r>
          </w:p>
        </w:tc>
        <w:tc>
          <w:tcPr>
            <w:tcW w:w="2251" w:type="dxa"/>
            <w:shd w:val="clear" w:color="auto" w:fill="auto"/>
            <w:vAlign w:val="center"/>
          </w:tcPr>
          <w:p w14:paraId="3375127D"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p>
        </w:tc>
      </w:tr>
      <w:tr w:rsidR="009A242A" w:rsidRPr="007E77AF" w14:paraId="6EDE7DC1" w14:textId="77777777" w:rsidTr="491E246D">
        <w:trPr>
          <w:trHeight w:val="227"/>
        </w:trPr>
        <w:tc>
          <w:tcPr>
            <w:tcW w:w="3532" w:type="dxa"/>
            <w:shd w:val="clear" w:color="auto" w:fill="auto"/>
            <w:vAlign w:val="center"/>
          </w:tcPr>
          <w:p w14:paraId="693EA7C8"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Procedimento de colocação</w:t>
            </w:r>
          </w:p>
        </w:tc>
        <w:tc>
          <w:tcPr>
            <w:tcW w:w="4335" w:type="dxa"/>
            <w:shd w:val="clear" w:color="auto" w:fill="auto"/>
            <w:vAlign w:val="center"/>
          </w:tcPr>
          <w:p w14:paraId="23B792A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Melhores esforços/Garantia Firme/Compromisso de Subscrição</w:t>
            </w:r>
          </w:p>
        </w:tc>
        <w:tc>
          <w:tcPr>
            <w:tcW w:w="2251" w:type="dxa"/>
            <w:shd w:val="clear" w:color="auto" w:fill="auto"/>
            <w:vAlign w:val="center"/>
          </w:tcPr>
          <w:p w14:paraId="5480DE56"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 xml:space="preserve">Seção </w:t>
            </w:r>
            <w:proofErr w:type="gramStart"/>
            <w:r w:rsidRPr="007E77AF">
              <w:rPr>
                <w:rFonts w:cstheme="minorHAnsi"/>
                <w:b/>
                <w:bCs/>
                <w:sz w:val="20"/>
                <w:szCs w:val="20"/>
                <w:lang w:eastAsia="en-US"/>
              </w:rPr>
              <w:t>#.#</w:t>
            </w:r>
            <w:proofErr w:type="gramEnd"/>
          </w:p>
        </w:tc>
      </w:tr>
      <w:tr w:rsidR="009A242A" w:rsidRPr="007E77AF" w14:paraId="1718F8FD" w14:textId="77777777" w:rsidTr="491E246D">
        <w:trPr>
          <w:trHeight w:val="227"/>
        </w:trPr>
        <w:tc>
          <w:tcPr>
            <w:tcW w:w="3532" w:type="dxa"/>
            <w:shd w:val="clear" w:color="auto" w:fill="auto"/>
            <w:vAlign w:val="center"/>
            <w:hideMark/>
          </w:tcPr>
          <w:p w14:paraId="688B4042"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o período de reservas?</w:t>
            </w:r>
          </w:p>
        </w:tc>
        <w:tc>
          <w:tcPr>
            <w:tcW w:w="4335" w:type="dxa"/>
            <w:shd w:val="clear" w:color="auto" w:fill="auto"/>
            <w:vAlign w:val="center"/>
            <w:hideMark/>
          </w:tcPr>
          <w:p w14:paraId="412D1A97"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7A61DAEF"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23732D2C" w14:textId="77777777" w:rsidTr="491E246D">
        <w:trPr>
          <w:trHeight w:val="227"/>
        </w:trPr>
        <w:tc>
          <w:tcPr>
            <w:tcW w:w="3532" w:type="dxa"/>
            <w:shd w:val="clear" w:color="auto" w:fill="auto"/>
            <w:vAlign w:val="center"/>
            <w:hideMark/>
          </w:tcPr>
          <w:p w14:paraId="3414C69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a data da fixação de preços?</w:t>
            </w:r>
          </w:p>
        </w:tc>
        <w:tc>
          <w:tcPr>
            <w:tcW w:w="4335" w:type="dxa"/>
            <w:shd w:val="clear" w:color="auto" w:fill="auto"/>
            <w:vAlign w:val="center"/>
            <w:hideMark/>
          </w:tcPr>
          <w:p w14:paraId="1C148AE5"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B213175"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0031F7D8" w14:textId="77777777" w:rsidTr="00964EBB">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98B865" w14:textId="77777777" w:rsidR="009A242A" w:rsidRPr="007E77AF" w:rsidRDefault="009A242A" w:rsidP="006C2466">
            <w:pPr>
              <w:rPr>
                <w:rFonts w:cstheme="minorHAnsi"/>
                <w:sz w:val="20"/>
                <w:szCs w:val="20"/>
                <w:lang w:eastAsia="en-US"/>
              </w:rPr>
            </w:pPr>
            <w:r w:rsidRPr="007E77AF">
              <w:rPr>
                <w:rFonts w:cstheme="minorHAnsi"/>
                <w:sz w:val="20"/>
                <w:szCs w:val="20"/>
                <w:lang w:eastAsia="en-US"/>
              </w:rPr>
              <w:t>Qual a data de divulgação do resultado do rateio?</w:t>
            </w:r>
          </w:p>
        </w:tc>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6B223" w14:textId="77777777" w:rsidR="009A242A" w:rsidRPr="007E77AF" w:rsidRDefault="009A242A" w:rsidP="006C2466">
            <w:pPr>
              <w:jc w:val="center"/>
              <w:rPr>
                <w:rFonts w:cstheme="minorHAnsi"/>
                <w:sz w:val="20"/>
                <w:szCs w:val="20"/>
                <w:lang w:eastAsia="en-US"/>
              </w:rPr>
            </w:pPr>
            <w:r w:rsidRPr="007E77AF">
              <w:rPr>
                <w:rFonts w:cstheme="minorHAnsi"/>
                <w:sz w:val="20"/>
                <w:szCs w:val="20"/>
                <w:lang w:eastAsia="en-US"/>
              </w:rPr>
              <w:t>[data]</w:t>
            </w:r>
          </w:p>
        </w:tc>
        <w:tc>
          <w:tcPr>
            <w:tcW w:w="2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4CD270" w14:textId="77777777" w:rsidR="009A242A" w:rsidRPr="007E77AF" w:rsidRDefault="009A242A" w:rsidP="00964EBB">
            <w:pPr>
              <w:jc w:val="center"/>
              <w:rPr>
                <w:rFonts w:cstheme="minorHAnsi"/>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p>
        </w:tc>
      </w:tr>
      <w:tr w:rsidR="009A242A" w:rsidRPr="007E77AF" w14:paraId="46A6F1DA" w14:textId="77777777" w:rsidTr="491E246D">
        <w:trPr>
          <w:trHeight w:val="227"/>
        </w:trPr>
        <w:tc>
          <w:tcPr>
            <w:tcW w:w="3532" w:type="dxa"/>
            <w:shd w:val="clear" w:color="auto" w:fill="auto"/>
            <w:vAlign w:val="center"/>
            <w:hideMark/>
          </w:tcPr>
          <w:p w14:paraId="17FDD530"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a data da liquidação da oferta?</w:t>
            </w:r>
          </w:p>
        </w:tc>
        <w:tc>
          <w:tcPr>
            <w:tcW w:w="4335" w:type="dxa"/>
            <w:shd w:val="clear" w:color="auto" w:fill="auto"/>
            <w:vAlign w:val="center"/>
            <w:hideMark/>
          </w:tcPr>
          <w:p w14:paraId="7FE8635C"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1138AF3A"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5BFDCBF3" w14:textId="77777777" w:rsidTr="491E246D">
        <w:trPr>
          <w:trHeight w:val="227"/>
        </w:trPr>
        <w:tc>
          <w:tcPr>
            <w:tcW w:w="3532" w:type="dxa"/>
            <w:shd w:val="clear" w:color="auto" w:fill="auto"/>
            <w:vAlign w:val="center"/>
            <w:hideMark/>
          </w:tcPr>
          <w:p w14:paraId="0D99115D"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Quando receberei a confirmação da compra?</w:t>
            </w:r>
          </w:p>
        </w:tc>
        <w:tc>
          <w:tcPr>
            <w:tcW w:w="4335" w:type="dxa"/>
            <w:shd w:val="clear" w:color="auto" w:fill="auto"/>
            <w:vAlign w:val="center"/>
            <w:hideMark/>
          </w:tcPr>
          <w:p w14:paraId="443BD61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4691A1E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r w:rsidRPr="007E77AF">
              <w:rPr>
                <w:rFonts w:cstheme="minorHAnsi"/>
                <w:sz w:val="20"/>
                <w:szCs w:val="20"/>
                <w:lang w:eastAsia="en-US"/>
              </w:rPr>
              <w:t xml:space="preserve"> </w:t>
            </w:r>
          </w:p>
        </w:tc>
      </w:tr>
      <w:tr w:rsidR="009A242A" w:rsidRPr="007E77AF" w14:paraId="06025AD7" w14:textId="77777777" w:rsidTr="491E246D">
        <w:trPr>
          <w:trHeight w:val="227"/>
        </w:trPr>
        <w:tc>
          <w:tcPr>
            <w:tcW w:w="3532" w:type="dxa"/>
            <w:shd w:val="clear" w:color="auto" w:fill="auto"/>
            <w:vAlign w:val="center"/>
            <w:hideMark/>
          </w:tcPr>
          <w:p w14:paraId="328614BA"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Quando poderei negociar?</w:t>
            </w:r>
          </w:p>
        </w:tc>
        <w:tc>
          <w:tcPr>
            <w:tcW w:w="4335" w:type="dxa"/>
            <w:shd w:val="clear" w:color="auto" w:fill="auto"/>
            <w:vAlign w:val="center"/>
            <w:hideMark/>
          </w:tcPr>
          <w:p w14:paraId="5CD5E92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vAlign w:val="center"/>
            <w:hideMark/>
          </w:tcPr>
          <w:p w14:paraId="155F59B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w:t>
            </w:r>
            <w:proofErr w:type="gramStart"/>
            <w:r w:rsidRPr="007E77AF">
              <w:rPr>
                <w:rFonts w:cstheme="minorHAnsi"/>
                <w:sz w:val="20"/>
                <w:szCs w:val="20"/>
                <w:lang w:eastAsia="en-US"/>
              </w:rPr>
              <w:t>#.#</w:t>
            </w:r>
            <w:proofErr w:type="gramEnd"/>
          </w:p>
        </w:tc>
      </w:tr>
    </w:tbl>
    <w:p w14:paraId="23639FE8" w14:textId="77777777" w:rsidR="009A242A" w:rsidRPr="007E77AF" w:rsidRDefault="009A242A" w:rsidP="00A85E13"/>
    <w:p w14:paraId="3FFA4ACB" w14:textId="77777777" w:rsidR="009A242A" w:rsidRPr="007E77AF" w:rsidRDefault="009A242A">
      <w:pPr>
        <w:rPr>
          <w:szCs w:val="20"/>
        </w:rPr>
      </w:pPr>
      <w:r w:rsidRPr="007E77AF">
        <w:br w:type="page"/>
      </w:r>
    </w:p>
    <w:p w14:paraId="00141A7A" w14:textId="3B322B54" w:rsidR="009A242A" w:rsidRPr="007E77AF" w:rsidRDefault="009A242A" w:rsidP="00167D4B">
      <w:pPr>
        <w:pStyle w:val="Ttulo1"/>
        <w:rPr>
          <w:rFonts w:cstheme="minorBidi"/>
          <w:bCs/>
        </w:rPr>
      </w:pPr>
      <w:bookmarkStart w:id="398" w:name="_Toc108516083"/>
      <w:bookmarkStart w:id="399" w:name="_Toc108203114"/>
      <w:bookmarkStart w:id="400" w:name="_Toc136502854"/>
      <w:r w:rsidRPr="007E77AF">
        <w:lastRenderedPageBreak/>
        <w:t xml:space="preserve">ANEXO </w:t>
      </w:r>
      <w:r>
        <w:t>I</w:t>
      </w:r>
      <w:r w:rsidRPr="007E77AF">
        <w:t xml:space="preserve"> – LÂMINA DA OFERTA DE FUNDO DE INVESTIMENTOS EM DIREITOS CREDITÓRIOS- FIDC</w:t>
      </w:r>
      <w:bookmarkEnd w:id="398"/>
      <w:bookmarkEnd w:id="399"/>
      <w:bookmarkEnd w:id="400"/>
    </w:p>
    <w:p w14:paraId="1E486DCC" w14:textId="77777777" w:rsidR="009A242A" w:rsidRPr="007E77AF" w:rsidRDefault="009A242A" w:rsidP="001353DC"/>
    <w:p w14:paraId="5BA8FCC8" w14:textId="56E26E21" w:rsidR="009A242A" w:rsidRPr="007E77AF" w:rsidRDefault="009A242A" w:rsidP="00167D4B">
      <w:pPr>
        <w:jc w:val="center"/>
        <w:rPr>
          <w:i/>
        </w:rPr>
      </w:pPr>
      <w:r w:rsidRPr="007E77AF">
        <w:rPr>
          <w:i/>
          <w:lang w:eastAsia="en-US"/>
        </w:rPr>
        <w:t>Conteúdo da lâmina de oferta de</w:t>
      </w:r>
      <w:r w:rsidRPr="007E77AF">
        <w:rPr>
          <w:i/>
          <w:iCs/>
          <w:shd w:val="clear" w:color="auto" w:fill="E6E6E6"/>
          <w:lang w:eastAsia="en-US"/>
        </w:rPr>
        <w:t xml:space="preserve"> </w:t>
      </w:r>
      <w:r w:rsidRPr="007E77AF">
        <w:rPr>
          <w:i/>
        </w:rPr>
        <w:t>valores mobiliários representativos de operações de securitização emitidos por fundos de investimento em direitos creditórios – FIDC</w:t>
      </w:r>
      <w:r w:rsidRPr="007E77AF">
        <w:rPr>
          <w:i/>
          <w:iCs/>
          <w:lang w:eastAsia="en-US"/>
        </w:rPr>
        <w:t>, conforme art. 23 da</w:t>
      </w:r>
      <w:r w:rsidRPr="007E77AF">
        <w:rPr>
          <w:i/>
        </w:rPr>
        <w:t xml:space="preserve"> Resolução </w:t>
      </w:r>
      <w:r>
        <w:rPr>
          <w:i/>
        </w:rPr>
        <w:t>nº 160, de 2022</w:t>
      </w:r>
      <w:r w:rsidRPr="007E77AF">
        <w:rPr>
          <w:i/>
        </w:rPr>
        <w:t>.</w:t>
      </w:r>
    </w:p>
    <w:p w14:paraId="7CF66BAE" w14:textId="77777777" w:rsidR="009A242A" w:rsidRPr="007E77AF" w:rsidRDefault="009A242A" w:rsidP="00A85E13"/>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15"/>
        <w:gridCol w:w="5207"/>
        <w:gridCol w:w="1396"/>
      </w:tblGrid>
      <w:tr w:rsidR="009A242A" w:rsidRPr="007E77AF" w14:paraId="23324E7F" w14:textId="77777777" w:rsidTr="491E246D">
        <w:trPr>
          <w:trHeight w:val="360"/>
        </w:trPr>
        <w:tc>
          <w:tcPr>
            <w:tcW w:w="10118" w:type="dxa"/>
            <w:gridSpan w:val="3"/>
            <w:shd w:val="clear" w:color="auto" w:fill="auto"/>
            <w:vAlign w:val="center"/>
            <w:hideMark/>
          </w:tcPr>
          <w:p w14:paraId="148DE90D" w14:textId="1653BE20" w:rsidR="009A242A" w:rsidRPr="007E77AF" w:rsidRDefault="009A242A" w:rsidP="004301C4">
            <w:pPr>
              <w:jc w:val="center"/>
              <w:rPr>
                <w:rFonts w:ascii="Calibri" w:hAnsi="Calibri"/>
                <w:b/>
                <w:bCs/>
                <w:lang w:eastAsia="en-US"/>
              </w:rPr>
            </w:pPr>
            <w:r w:rsidRPr="007E77AF">
              <w:rPr>
                <w:rFonts w:ascii="Calibri" w:hAnsi="Calibri"/>
                <w:b/>
                <w:bCs/>
                <w:lang w:eastAsia="en-US"/>
              </w:rPr>
              <w:t xml:space="preserve">Informações Essenciais – Oferta </w:t>
            </w:r>
            <w:proofErr w:type="gramStart"/>
            <w:r w:rsidRPr="007E77AF">
              <w:rPr>
                <w:rFonts w:ascii="Calibri" w:hAnsi="Calibri"/>
                <w:b/>
                <w:bCs/>
                <w:lang w:eastAsia="en-US"/>
              </w:rPr>
              <w:t>[Prim</w:t>
            </w:r>
            <w:r w:rsidR="00CC54DE">
              <w:rPr>
                <w:rFonts w:ascii="Calibri" w:hAnsi="Calibri"/>
                <w:b/>
                <w:bCs/>
                <w:lang w:eastAsia="en-US"/>
              </w:rPr>
              <w:t>á</w:t>
            </w:r>
            <w:r w:rsidRPr="007E77AF">
              <w:rPr>
                <w:rFonts w:ascii="Calibri" w:hAnsi="Calibri"/>
                <w:b/>
                <w:bCs/>
                <w:lang w:eastAsia="en-US"/>
              </w:rPr>
              <w:t>ria</w:t>
            </w:r>
            <w:proofErr w:type="gramEnd"/>
            <w:r w:rsidRPr="007E77AF">
              <w:rPr>
                <w:rFonts w:ascii="Calibri" w:hAnsi="Calibri"/>
                <w:b/>
                <w:bCs/>
                <w:lang w:eastAsia="en-US"/>
              </w:rPr>
              <w:t>] [Secundária] de FIDC</w:t>
            </w:r>
          </w:p>
        </w:tc>
      </w:tr>
      <w:tr w:rsidR="009A242A" w:rsidRPr="007E77AF" w14:paraId="27FD721C" w14:textId="77777777" w:rsidTr="491E246D">
        <w:trPr>
          <w:trHeight w:val="825"/>
        </w:trPr>
        <w:tc>
          <w:tcPr>
            <w:tcW w:w="10118" w:type="dxa"/>
            <w:gridSpan w:val="3"/>
            <w:shd w:val="clear" w:color="auto" w:fill="auto"/>
            <w:vAlign w:val="center"/>
            <w:hideMark/>
          </w:tcPr>
          <w:p w14:paraId="5BFA2F82"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042A3C93" w14:textId="77777777" w:rsidTr="491E246D">
        <w:trPr>
          <w:trHeight w:val="270"/>
        </w:trPr>
        <w:tc>
          <w:tcPr>
            <w:tcW w:w="10118" w:type="dxa"/>
            <w:gridSpan w:val="3"/>
            <w:shd w:val="clear" w:color="auto" w:fill="auto"/>
            <w:vAlign w:val="center"/>
            <w:hideMark/>
          </w:tcPr>
          <w:p w14:paraId="410F5485"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C67B81" w:rsidRPr="007E77AF" w14:paraId="01D1969B" w14:textId="77777777" w:rsidTr="00C67B81">
        <w:trPr>
          <w:trHeight w:val="270"/>
        </w:trPr>
        <w:tc>
          <w:tcPr>
            <w:tcW w:w="3515" w:type="dxa"/>
            <w:vMerge w:val="restart"/>
            <w:shd w:val="clear" w:color="auto" w:fill="auto"/>
            <w:vAlign w:val="center"/>
            <w:hideMark/>
          </w:tcPr>
          <w:p w14:paraId="6362871A" w14:textId="77777777" w:rsidR="009A242A" w:rsidRPr="007E77AF" w:rsidRDefault="009A242A" w:rsidP="004301C4">
            <w:pPr>
              <w:jc w:val="center"/>
              <w:rPr>
                <w:bCs/>
                <w:sz w:val="20"/>
                <w:szCs w:val="20"/>
                <w:lang w:eastAsia="en-US"/>
              </w:rPr>
            </w:pPr>
            <w:r w:rsidRPr="007E77AF">
              <w:rPr>
                <w:bCs/>
                <w:sz w:val="20"/>
                <w:szCs w:val="20"/>
                <w:lang w:eastAsia="en-US"/>
              </w:rPr>
              <w:t>Risco de</w:t>
            </w:r>
          </w:p>
        </w:tc>
        <w:tc>
          <w:tcPr>
            <w:tcW w:w="5207" w:type="dxa"/>
            <w:shd w:val="clear" w:color="auto" w:fill="auto"/>
            <w:vAlign w:val="center"/>
            <w:hideMark/>
          </w:tcPr>
          <w:p w14:paraId="55E5D705"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perda do principal</w:t>
            </w:r>
          </w:p>
        </w:tc>
        <w:tc>
          <w:tcPr>
            <w:tcW w:w="1396" w:type="dxa"/>
            <w:shd w:val="clear" w:color="auto" w:fill="auto"/>
            <w:vAlign w:val="center"/>
            <w:hideMark/>
          </w:tcPr>
          <w:p w14:paraId="6D76CE34" w14:textId="77777777" w:rsidR="009A242A" w:rsidRPr="007E77AF" w:rsidRDefault="009A242A" w:rsidP="004301C4">
            <w:pPr>
              <w:rPr>
                <w:bCs/>
                <w:sz w:val="20"/>
                <w:szCs w:val="20"/>
                <w:lang w:eastAsia="en-US"/>
              </w:rPr>
            </w:pPr>
            <w:r w:rsidRPr="007E77AF">
              <w:rPr>
                <w:bCs/>
                <w:sz w:val="20"/>
                <w:szCs w:val="20"/>
                <w:lang w:eastAsia="en-US"/>
              </w:rPr>
              <w:t>[ ] ....</w:t>
            </w:r>
          </w:p>
        </w:tc>
      </w:tr>
      <w:tr w:rsidR="00C67B81" w:rsidRPr="007E77AF" w14:paraId="4A127C22" w14:textId="77777777" w:rsidTr="00C67B81">
        <w:trPr>
          <w:trHeight w:val="270"/>
        </w:trPr>
        <w:tc>
          <w:tcPr>
            <w:tcW w:w="3515" w:type="dxa"/>
            <w:vMerge/>
            <w:vAlign w:val="center"/>
            <w:hideMark/>
          </w:tcPr>
          <w:p w14:paraId="608B7992" w14:textId="77777777" w:rsidR="009A242A" w:rsidRPr="007E77AF" w:rsidRDefault="009A242A" w:rsidP="004301C4">
            <w:pPr>
              <w:jc w:val="center"/>
              <w:rPr>
                <w:bCs/>
                <w:sz w:val="20"/>
                <w:szCs w:val="20"/>
                <w:lang w:eastAsia="en-US"/>
              </w:rPr>
            </w:pPr>
          </w:p>
        </w:tc>
        <w:tc>
          <w:tcPr>
            <w:tcW w:w="5207" w:type="dxa"/>
            <w:shd w:val="clear" w:color="auto" w:fill="auto"/>
            <w:vAlign w:val="center"/>
            <w:hideMark/>
          </w:tcPr>
          <w:p w14:paraId="61C3B7E5"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falta de liquidez</w:t>
            </w:r>
          </w:p>
        </w:tc>
        <w:tc>
          <w:tcPr>
            <w:tcW w:w="1396" w:type="dxa"/>
            <w:shd w:val="clear" w:color="auto" w:fill="auto"/>
            <w:vAlign w:val="center"/>
            <w:hideMark/>
          </w:tcPr>
          <w:p w14:paraId="2C72C594" w14:textId="77777777" w:rsidR="009A242A" w:rsidRPr="007E77AF" w:rsidRDefault="009A242A" w:rsidP="004301C4">
            <w:pPr>
              <w:rPr>
                <w:bCs/>
                <w:sz w:val="20"/>
                <w:szCs w:val="20"/>
                <w:lang w:eastAsia="en-US"/>
              </w:rPr>
            </w:pPr>
            <w:r w:rsidRPr="007E77AF">
              <w:rPr>
                <w:bCs/>
                <w:sz w:val="20"/>
                <w:szCs w:val="20"/>
                <w:lang w:eastAsia="en-US"/>
              </w:rPr>
              <w:t>[ ] ....</w:t>
            </w:r>
          </w:p>
        </w:tc>
      </w:tr>
      <w:tr w:rsidR="00C67B81" w:rsidRPr="007E77AF" w14:paraId="27099206" w14:textId="77777777" w:rsidTr="00C67B81">
        <w:trPr>
          <w:trHeight w:val="270"/>
        </w:trPr>
        <w:tc>
          <w:tcPr>
            <w:tcW w:w="3515" w:type="dxa"/>
            <w:vMerge/>
            <w:vAlign w:val="center"/>
            <w:hideMark/>
          </w:tcPr>
          <w:p w14:paraId="4230F520" w14:textId="77777777" w:rsidR="009A242A" w:rsidRPr="007E77AF" w:rsidRDefault="009A242A" w:rsidP="004301C4">
            <w:pPr>
              <w:jc w:val="center"/>
              <w:rPr>
                <w:bCs/>
                <w:sz w:val="20"/>
                <w:szCs w:val="20"/>
                <w:lang w:eastAsia="en-US"/>
              </w:rPr>
            </w:pPr>
          </w:p>
        </w:tc>
        <w:tc>
          <w:tcPr>
            <w:tcW w:w="5207" w:type="dxa"/>
            <w:shd w:val="clear" w:color="auto" w:fill="auto"/>
            <w:vAlign w:val="center"/>
            <w:hideMark/>
          </w:tcPr>
          <w:p w14:paraId="6B389F1E"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dificuldade de entendimento</w:t>
            </w:r>
          </w:p>
        </w:tc>
        <w:tc>
          <w:tcPr>
            <w:tcW w:w="1396" w:type="dxa"/>
            <w:shd w:val="clear" w:color="auto" w:fill="auto"/>
            <w:vAlign w:val="center"/>
            <w:hideMark/>
          </w:tcPr>
          <w:p w14:paraId="763D4193"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36153313" w14:textId="77777777" w:rsidTr="00C67B81">
        <w:trPr>
          <w:trHeight w:val="765"/>
        </w:trPr>
        <w:tc>
          <w:tcPr>
            <w:tcW w:w="3515" w:type="dxa"/>
            <w:shd w:val="clear" w:color="auto" w:fill="auto"/>
            <w:vAlign w:val="center"/>
            <w:hideMark/>
          </w:tcPr>
          <w:p w14:paraId="3533C021" w14:textId="77777777" w:rsidR="009A242A" w:rsidRPr="007E77AF" w:rsidRDefault="009A242A" w:rsidP="004301C4">
            <w:pPr>
              <w:jc w:val="center"/>
              <w:rPr>
                <w:b/>
                <w:sz w:val="20"/>
                <w:szCs w:val="20"/>
                <w:lang w:eastAsia="en-US"/>
              </w:rPr>
            </w:pPr>
            <w:r w:rsidRPr="007E77AF">
              <w:rPr>
                <w:b/>
                <w:sz w:val="20"/>
                <w:szCs w:val="20"/>
                <w:lang w:eastAsia="en-US"/>
              </w:rPr>
              <w:t>Aviso para ofertas distribuídas por rito de registro automático</w:t>
            </w:r>
          </w:p>
        </w:tc>
        <w:tc>
          <w:tcPr>
            <w:tcW w:w="5207" w:type="dxa"/>
            <w:shd w:val="clear" w:color="auto" w:fill="auto"/>
            <w:vAlign w:val="center"/>
            <w:hideMark/>
          </w:tcPr>
          <w:p w14:paraId="1D5E8490" w14:textId="77777777" w:rsidR="009A242A" w:rsidRPr="007E77AF" w:rsidRDefault="009A242A" w:rsidP="004301C4">
            <w:pPr>
              <w:jc w:val="both"/>
              <w:rPr>
                <w:b/>
                <w:bCs/>
                <w:sz w:val="20"/>
                <w:szCs w:val="20"/>
                <w:lang w:eastAsia="en-US"/>
              </w:rPr>
            </w:pPr>
            <w:r w:rsidRPr="007E77AF">
              <w:rPr>
                <w:b/>
                <w:bCs/>
                <w:sz w:val="20"/>
                <w:szCs w:val="20"/>
                <w:lang w:eastAsia="en-US"/>
              </w:rPr>
              <w:t>A CVM não realizou análise prévia do conteúdo do prospecto, nem dos documentos da oferta</w:t>
            </w:r>
          </w:p>
          <w:p w14:paraId="4E10423B" w14:textId="77777777" w:rsidR="009A242A" w:rsidRPr="007E77AF" w:rsidRDefault="009A242A" w:rsidP="004301C4">
            <w:pPr>
              <w:jc w:val="both"/>
              <w:rPr>
                <w:b/>
                <w:bCs/>
                <w:sz w:val="20"/>
                <w:szCs w:val="20"/>
                <w:lang w:eastAsia="en-US"/>
              </w:rPr>
            </w:pPr>
            <w:r w:rsidRPr="007E77AF">
              <w:rPr>
                <w:b/>
                <w:bCs/>
                <w:sz w:val="20"/>
                <w:szCs w:val="20"/>
                <w:lang w:eastAsia="en-US"/>
              </w:rPr>
              <w:t>Há restrições à revenda das cotas de FIDC</w:t>
            </w:r>
          </w:p>
        </w:tc>
        <w:tc>
          <w:tcPr>
            <w:tcW w:w="1396" w:type="dxa"/>
            <w:shd w:val="clear" w:color="auto" w:fill="auto"/>
            <w:vAlign w:val="center"/>
            <w:hideMark/>
          </w:tcPr>
          <w:p w14:paraId="60C9BAEE" w14:textId="77777777" w:rsidR="009A242A" w:rsidRPr="007E77AF" w:rsidRDefault="009A242A" w:rsidP="004301C4">
            <w:pPr>
              <w:jc w:val="center"/>
              <w:rPr>
                <w:bCs/>
                <w:sz w:val="20"/>
                <w:szCs w:val="20"/>
                <w:lang w:eastAsia="en-US"/>
              </w:rPr>
            </w:pPr>
          </w:p>
        </w:tc>
      </w:tr>
      <w:tr w:rsidR="009A242A" w:rsidRPr="007E77AF" w14:paraId="4DF220F7" w14:textId="77777777" w:rsidTr="00C67B81">
        <w:trPr>
          <w:trHeight w:val="270"/>
        </w:trPr>
        <w:tc>
          <w:tcPr>
            <w:tcW w:w="8722" w:type="dxa"/>
            <w:gridSpan w:val="2"/>
            <w:shd w:val="clear" w:color="auto" w:fill="auto"/>
            <w:vAlign w:val="center"/>
            <w:hideMark/>
          </w:tcPr>
          <w:p w14:paraId="665527FB"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96" w:type="dxa"/>
            <w:shd w:val="clear" w:color="auto" w:fill="auto"/>
            <w:vAlign w:val="center"/>
            <w:hideMark/>
          </w:tcPr>
          <w:p w14:paraId="6BEBBE5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5E902731" w14:textId="77777777" w:rsidTr="00C67B81">
        <w:trPr>
          <w:trHeight w:val="227"/>
        </w:trPr>
        <w:tc>
          <w:tcPr>
            <w:tcW w:w="3515" w:type="dxa"/>
            <w:shd w:val="clear" w:color="auto" w:fill="auto"/>
            <w:vAlign w:val="center"/>
            <w:hideMark/>
          </w:tcPr>
          <w:p w14:paraId="5CE78C41" w14:textId="77777777" w:rsidR="009A242A" w:rsidRPr="007E77AF" w:rsidRDefault="009A242A" w:rsidP="004301C4">
            <w:pPr>
              <w:rPr>
                <w:bCs/>
                <w:sz w:val="20"/>
                <w:szCs w:val="20"/>
                <w:lang w:eastAsia="en-US"/>
              </w:rPr>
            </w:pPr>
            <w:r w:rsidRPr="007E77AF">
              <w:rPr>
                <w:bCs/>
                <w:sz w:val="20"/>
                <w:szCs w:val="20"/>
                <w:lang w:eastAsia="en-US"/>
              </w:rPr>
              <w:t>A. Valor Mobiliário</w:t>
            </w:r>
          </w:p>
        </w:tc>
        <w:tc>
          <w:tcPr>
            <w:tcW w:w="5207" w:type="dxa"/>
            <w:shd w:val="clear" w:color="auto" w:fill="auto"/>
            <w:vAlign w:val="center"/>
            <w:hideMark/>
          </w:tcPr>
          <w:p w14:paraId="39FC825D" w14:textId="77777777" w:rsidR="009A242A" w:rsidRPr="007E77AF" w:rsidRDefault="009A242A" w:rsidP="004301C4">
            <w:pPr>
              <w:jc w:val="center"/>
              <w:rPr>
                <w:bCs/>
                <w:sz w:val="20"/>
                <w:szCs w:val="20"/>
                <w:lang w:eastAsia="en-US"/>
              </w:rPr>
            </w:pPr>
            <w:r w:rsidRPr="007E77AF">
              <w:rPr>
                <w:bCs/>
                <w:sz w:val="20"/>
                <w:szCs w:val="20"/>
                <w:lang w:eastAsia="en-US"/>
              </w:rPr>
              <w:t>FIDC</w:t>
            </w:r>
          </w:p>
        </w:tc>
        <w:tc>
          <w:tcPr>
            <w:tcW w:w="1396" w:type="dxa"/>
            <w:shd w:val="clear" w:color="auto" w:fill="auto"/>
            <w:vAlign w:val="center"/>
            <w:hideMark/>
          </w:tcPr>
          <w:p w14:paraId="2722011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do prospecto</w:t>
            </w:r>
          </w:p>
        </w:tc>
      </w:tr>
      <w:tr w:rsidR="009A242A" w:rsidRPr="007E77AF" w14:paraId="0BADED50" w14:textId="77777777" w:rsidTr="00C67B81">
        <w:trPr>
          <w:trHeight w:val="227"/>
        </w:trPr>
        <w:tc>
          <w:tcPr>
            <w:tcW w:w="3515" w:type="dxa"/>
            <w:shd w:val="clear" w:color="auto" w:fill="auto"/>
            <w:vAlign w:val="center"/>
          </w:tcPr>
          <w:p w14:paraId="5B3C7537" w14:textId="47A7BDC8" w:rsidR="009A242A" w:rsidRPr="007E77AF" w:rsidRDefault="009A242A" w:rsidP="004301C4">
            <w:pPr>
              <w:rPr>
                <w:bCs/>
                <w:sz w:val="20"/>
                <w:szCs w:val="20"/>
                <w:lang w:eastAsia="en-US"/>
              </w:rPr>
            </w:pPr>
            <w:r w:rsidRPr="007E77AF">
              <w:rPr>
                <w:bCs/>
                <w:sz w:val="20"/>
                <w:szCs w:val="20"/>
                <w:lang w:eastAsia="en-US"/>
              </w:rPr>
              <w:t>a.</w:t>
            </w:r>
            <w:r>
              <w:rPr>
                <w:bCs/>
                <w:sz w:val="20"/>
                <w:szCs w:val="20"/>
                <w:lang w:eastAsia="en-US"/>
              </w:rPr>
              <w:t>1</w:t>
            </w:r>
            <w:r w:rsidRPr="007E77AF">
              <w:rPr>
                <w:bCs/>
                <w:sz w:val="20"/>
                <w:szCs w:val="20"/>
                <w:lang w:eastAsia="en-US"/>
              </w:rPr>
              <w:t>) Ofertante/Emissor</w:t>
            </w:r>
          </w:p>
        </w:tc>
        <w:tc>
          <w:tcPr>
            <w:tcW w:w="5207" w:type="dxa"/>
            <w:shd w:val="clear" w:color="auto" w:fill="auto"/>
            <w:vAlign w:val="center"/>
          </w:tcPr>
          <w:p w14:paraId="3969A6D5" w14:textId="77777777" w:rsidR="009A242A" w:rsidRPr="007E77AF" w:rsidRDefault="009A242A" w:rsidP="004301C4">
            <w:pPr>
              <w:jc w:val="center"/>
              <w:rPr>
                <w:bCs/>
                <w:sz w:val="20"/>
                <w:szCs w:val="20"/>
                <w:lang w:eastAsia="en-US"/>
              </w:rPr>
            </w:pPr>
            <w:r w:rsidRPr="007E77AF">
              <w:rPr>
                <w:bCs/>
                <w:sz w:val="20"/>
                <w:szCs w:val="20"/>
                <w:lang w:eastAsia="en-US"/>
              </w:rPr>
              <w:t>Fundo</w:t>
            </w:r>
          </w:p>
        </w:tc>
        <w:tc>
          <w:tcPr>
            <w:tcW w:w="1396" w:type="dxa"/>
            <w:shd w:val="clear" w:color="auto" w:fill="auto"/>
          </w:tcPr>
          <w:p w14:paraId="253209C7"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88FF1A3" w14:textId="77777777" w:rsidTr="00C67B81">
        <w:trPr>
          <w:trHeight w:val="227"/>
        </w:trPr>
        <w:tc>
          <w:tcPr>
            <w:tcW w:w="3515" w:type="dxa"/>
            <w:shd w:val="clear" w:color="auto" w:fill="auto"/>
            <w:vAlign w:val="center"/>
          </w:tcPr>
          <w:p w14:paraId="2A75DD9F" w14:textId="77777777" w:rsidR="009A242A" w:rsidRPr="007E77AF" w:rsidRDefault="009A242A" w:rsidP="004301C4">
            <w:pPr>
              <w:rPr>
                <w:bCs/>
                <w:sz w:val="20"/>
                <w:szCs w:val="20"/>
                <w:lang w:eastAsia="en-US"/>
              </w:rPr>
            </w:pPr>
            <w:r w:rsidRPr="007E77AF">
              <w:rPr>
                <w:bCs/>
                <w:sz w:val="20"/>
                <w:szCs w:val="20"/>
                <w:lang w:eastAsia="en-US"/>
              </w:rPr>
              <w:t>B. Oferta</w:t>
            </w:r>
          </w:p>
        </w:tc>
        <w:tc>
          <w:tcPr>
            <w:tcW w:w="5207" w:type="dxa"/>
            <w:shd w:val="clear" w:color="auto" w:fill="auto"/>
            <w:vAlign w:val="center"/>
          </w:tcPr>
          <w:p w14:paraId="06C3E226" w14:textId="77777777" w:rsidR="009A242A" w:rsidRPr="007E77AF" w:rsidRDefault="009A242A" w:rsidP="004301C4">
            <w:pPr>
              <w:jc w:val="center"/>
              <w:rPr>
                <w:bCs/>
                <w:sz w:val="20"/>
                <w:szCs w:val="20"/>
                <w:lang w:eastAsia="en-US"/>
              </w:rPr>
            </w:pPr>
          </w:p>
        </w:tc>
        <w:tc>
          <w:tcPr>
            <w:tcW w:w="1396" w:type="dxa"/>
            <w:shd w:val="clear" w:color="auto" w:fill="auto"/>
            <w:vAlign w:val="center"/>
          </w:tcPr>
          <w:p w14:paraId="23C786ED" w14:textId="77777777" w:rsidR="009A242A" w:rsidRPr="007E77AF" w:rsidRDefault="009A242A" w:rsidP="004301C4">
            <w:pPr>
              <w:jc w:val="center"/>
              <w:rPr>
                <w:bCs/>
                <w:sz w:val="20"/>
                <w:szCs w:val="20"/>
                <w:lang w:eastAsia="en-US"/>
              </w:rPr>
            </w:pPr>
          </w:p>
        </w:tc>
      </w:tr>
      <w:tr w:rsidR="009A242A" w:rsidRPr="007E77AF" w14:paraId="22345332" w14:textId="77777777" w:rsidTr="00C67B81">
        <w:trPr>
          <w:trHeight w:val="227"/>
        </w:trPr>
        <w:tc>
          <w:tcPr>
            <w:tcW w:w="3515" w:type="dxa"/>
            <w:shd w:val="clear" w:color="auto" w:fill="auto"/>
            <w:vAlign w:val="center"/>
            <w:hideMark/>
          </w:tcPr>
          <w:p w14:paraId="0535D542" w14:textId="77777777" w:rsidR="009A242A" w:rsidRPr="007E77AF" w:rsidRDefault="009A242A" w:rsidP="004301C4">
            <w:pPr>
              <w:rPr>
                <w:bCs/>
                <w:sz w:val="20"/>
                <w:szCs w:val="20"/>
                <w:lang w:eastAsia="en-US"/>
              </w:rPr>
            </w:pPr>
            <w:r w:rsidRPr="007E77AF">
              <w:rPr>
                <w:bCs/>
                <w:sz w:val="20"/>
                <w:szCs w:val="20"/>
                <w:lang w:eastAsia="en-US"/>
              </w:rPr>
              <w:t xml:space="preserve">b.1) Código de negociação proposto </w:t>
            </w:r>
          </w:p>
        </w:tc>
        <w:tc>
          <w:tcPr>
            <w:tcW w:w="5207" w:type="dxa"/>
            <w:shd w:val="clear" w:color="auto" w:fill="auto"/>
            <w:vAlign w:val="center"/>
            <w:hideMark/>
          </w:tcPr>
          <w:p w14:paraId="7D42ECAF" w14:textId="77777777" w:rsidR="009A242A" w:rsidRPr="007E77AF" w:rsidRDefault="009A242A" w:rsidP="004301C4">
            <w:pPr>
              <w:jc w:val="center"/>
              <w:rPr>
                <w:bCs/>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1396" w:type="dxa"/>
            <w:shd w:val="clear" w:color="auto" w:fill="auto"/>
            <w:vAlign w:val="center"/>
            <w:hideMark/>
          </w:tcPr>
          <w:p w14:paraId="0B7F001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0668AB1" w14:textId="77777777" w:rsidTr="00C67B81">
        <w:trPr>
          <w:trHeight w:val="227"/>
        </w:trPr>
        <w:tc>
          <w:tcPr>
            <w:tcW w:w="3515" w:type="dxa"/>
            <w:shd w:val="clear" w:color="auto" w:fill="auto"/>
            <w:vAlign w:val="center"/>
            <w:hideMark/>
          </w:tcPr>
          <w:p w14:paraId="4C6865E7" w14:textId="77777777" w:rsidR="009A242A" w:rsidRPr="007E77AF" w:rsidRDefault="009A242A" w:rsidP="004301C4">
            <w:pPr>
              <w:rPr>
                <w:bCs/>
                <w:sz w:val="20"/>
                <w:szCs w:val="20"/>
                <w:lang w:eastAsia="en-US"/>
              </w:rPr>
            </w:pPr>
            <w:r w:rsidRPr="007E77AF">
              <w:rPr>
                <w:bCs/>
                <w:sz w:val="20"/>
                <w:szCs w:val="20"/>
                <w:lang w:eastAsia="en-US"/>
              </w:rPr>
              <w:t>b.2) Mercado de negociação</w:t>
            </w:r>
          </w:p>
        </w:tc>
        <w:tc>
          <w:tcPr>
            <w:tcW w:w="5207" w:type="dxa"/>
            <w:shd w:val="clear" w:color="auto" w:fill="auto"/>
            <w:vAlign w:val="center"/>
            <w:hideMark/>
          </w:tcPr>
          <w:p w14:paraId="5C1A265C" w14:textId="77777777" w:rsidR="009A242A" w:rsidRPr="007E77AF" w:rsidRDefault="009A242A" w:rsidP="004301C4">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nome fantasia / [ ] não será negociado em mercado organizado</w:t>
            </w:r>
          </w:p>
        </w:tc>
        <w:tc>
          <w:tcPr>
            <w:tcW w:w="1396" w:type="dxa"/>
            <w:shd w:val="clear" w:color="auto" w:fill="auto"/>
            <w:vAlign w:val="center"/>
            <w:hideMark/>
          </w:tcPr>
          <w:p w14:paraId="723E704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0FCEE73" w14:textId="77777777" w:rsidTr="00C67B81">
        <w:trPr>
          <w:trHeight w:val="227"/>
        </w:trPr>
        <w:tc>
          <w:tcPr>
            <w:tcW w:w="3515" w:type="dxa"/>
            <w:shd w:val="clear" w:color="auto" w:fill="auto"/>
            <w:vAlign w:val="center"/>
          </w:tcPr>
          <w:p w14:paraId="58E390F9" w14:textId="77777777" w:rsidR="009A242A" w:rsidRPr="007E77AF" w:rsidRDefault="009A242A" w:rsidP="004301C4">
            <w:pPr>
              <w:rPr>
                <w:bCs/>
                <w:sz w:val="20"/>
                <w:szCs w:val="20"/>
                <w:lang w:eastAsia="en-US"/>
              </w:rPr>
            </w:pPr>
            <w:r w:rsidRPr="007E77AF">
              <w:rPr>
                <w:bCs/>
                <w:sz w:val="20"/>
                <w:szCs w:val="20"/>
                <w:lang w:eastAsia="en-US"/>
              </w:rPr>
              <w:t>b.3) Quantidade ofertada – lote base</w:t>
            </w:r>
          </w:p>
        </w:tc>
        <w:tc>
          <w:tcPr>
            <w:tcW w:w="5207" w:type="dxa"/>
            <w:shd w:val="clear" w:color="auto" w:fill="auto"/>
            <w:vAlign w:val="center"/>
          </w:tcPr>
          <w:p w14:paraId="2D3D9725" w14:textId="77777777" w:rsidR="009A242A" w:rsidRPr="007E77AF" w:rsidRDefault="009A242A" w:rsidP="004301C4">
            <w:pPr>
              <w:jc w:val="center"/>
              <w:rPr>
                <w:bCs/>
                <w:sz w:val="20"/>
                <w:szCs w:val="20"/>
                <w:lang w:eastAsia="en-US"/>
              </w:rPr>
            </w:pPr>
            <w:r w:rsidRPr="007E77AF">
              <w:rPr>
                <w:bCs/>
                <w:sz w:val="20"/>
                <w:szCs w:val="20"/>
                <w:lang w:eastAsia="en-US"/>
              </w:rPr>
              <w:t>Número inteiro, sem casas decimais</w:t>
            </w:r>
          </w:p>
        </w:tc>
        <w:tc>
          <w:tcPr>
            <w:tcW w:w="1396" w:type="dxa"/>
            <w:shd w:val="clear" w:color="auto" w:fill="auto"/>
          </w:tcPr>
          <w:p w14:paraId="2EDC357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DE2B522" w14:textId="77777777" w:rsidTr="00C67B81">
        <w:trPr>
          <w:trHeight w:val="227"/>
        </w:trPr>
        <w:tc>
          <w:tcPr>
            <w:tcW w:w="3515" w:type="dxa"/>
            <w:shd w:val="clear" w:color="auto" w:fill="auto"/>
            <w:vAlign w:val="center"/>
          </w:tcPr>
          <w:p w14:paraId="12549D27" w14:textId="77777777" w:rsidR="009A242A" w:rsidRPr="007E77AF" w:rsidRDefault="009A242A" w:rsidP="004301C4">
            <w:pPr>
              <w:rPr>
                <w:bCs/>
                <w:sz w:val="20"/>
                <w:szCs w:val="20"/>
                <w:lang w:eastAsia="en-US"/>
              </w:rPr>
            </w:pPr>
            <w:r w:rsidRPr="007E77AF">
              <w:rPr>
                <w:bCs/>
                <w:sz w:val="20"/>
                <w:szCs w:val="20"/>
                <w:lang w:eastAsia="en-US"/>
              </w:rPr>
              <w:t>b.4) Preço (intervalo)</w:t>
            </w:r>
            <w:r w:rsidRPr="007E77AF" w:rsidDel="0050611E">
              <w:rPr>
                <w:bCs/>
                <w:sz w:val="20"/>
                <w:szCs w:val="20"/>
                <w:lang w:eastAsia="en-US"/>
              </w:rPr>
              <w:t xml:space="preserve"> </w:t>
            </w:r>
          </w:p>
        </w:tc>
        <w:tc>
          <w:tcPr>
            <w:tcW w:w="5207" w:type="dxa"/>
            <w:shd w:val="clear" w:color="auto" w:fill="auto"/>
            <w:vAlign w:val="center"/>
          </w:tcPr>
          <w:p w14:paraId="531D9FCF" w14:textId="77777777" w:rsidR="009A242A" w:rsidRPr="007E77AF" w:rsidRDefault="009A242A" w:rsidP="004301C4">
            <w:pPr>
              <w:jc w:val="center"/>
              <w:rPr>
                <w:bCs/>
                <w:sz w:val="20"/>
                <w:szCs w:val="20"/>
                <w:lang w:eastAsia="en-US"/>
              </w:rPr>
            </w:pPr>
            <w:r w:rsidRPr="007E77AF">
              <w:rPr>
                <w:bCs/>
                <w:sz w:val="20"/>
                <w:szCs w:val="20"/>
                <w:lang w:eastAsia="en-US"/>
              </w:rPr>
              <w:t>Em R$ (até duas casas decimais)</w:t>
            </w:r>
          </w:p>
        </w:tc>
        <w:tc>
          <w:tcPr>
            <w:tcW w:w="1396" w:type="dxa"/>
            <w:shd w:val="clear" w:color="auto" w:fill="auto"/>
          </w:tcPr>
          <w:p w14:paraId="32889C58"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B497360" w14:textId="77777777" w:rsidTr="00C67B81">
        <w:trPr>
          <w:trHeight w:val="227"/>
        </w:trPr>
        <w:tc>
          <w:tcPr>
            <w:tcW w:w="3515" w:type="dxa"/>
            <w:shd w:val="clear" w:color="auto" w:fill="auto"/>
            <w:vAlign w:val="center"/>
          </w:tcPr>
          <w:p w14:paraId="3D4BB909" w14:textId="77777777" w:rsidR="009A242A" w:rsidRPr="007E77AF" w:rsidRDefault="009A242A" w:rsidP="004301C4">
            <w:pPr>
              <w:rPr>
                <w:bCs/>
                <w:sz w:val="20"/>
                <w:szCs w:val="20"/>
                <w:lang w:eastAsia="en-US"/>
              </w:rPr>
            </w:pPr>
            <w:r w:rsidRPr="007E77AF">
              <w:rPr>
                <w:bCs/>
                <w:sz w:val="20"/>
                <w:szCs w:val="20"/>
                <w:lang w:eastAsia="en-US"/>
              </w:rPr>
              <w:t>b.5) Taxa de remuneração (intervalo)</w:t>
            </w:r>
          </w:p>
        </w:tc>
        <w:tc>
          <w:tcPr>
            <w:tcW w:w="5207" w:type="dxa"/>
            <w:shd w:val="clear" w:color="auto" w:fill="auto"/>
            <w:vAlign w:val="center"/>
          </w:tcPr>
          <w:p w14:paraId="1D066663" w14:textId="77777777" w:rsidR="009A242A" w:rsidRPr="007E77AF" w:rsidRDefault="009A242A" w:rsidP="004301C4">
            <w:pPr>
              <w:jc w:val="center"/>
              <w:rPr>
                <w:bCs/>
                <w:sz w:val="20"/>
                <w:szCs w:val="20"/>
                <w:lang w:eastAsia="en-US"/>
              </w:rPr>
            </w:pPr>
            <w:r w:rsidRPr="007E77AF">
              <w:rPr>
                <w:bCs/>
                <w:sz w:val="20"/>
                <w:szCs w:val="20"/>
                <w:lang w:eastAsia="en-US"/>
              </w:rPr>
              <w:t>Campo para inserção de remuneração/indexação, podendo incluir textos (“IPCA” ou “CDI”, por exemplo) e percentuais (até seis casas decimais)</w:t>
            </w:r>
          </w:p>
        </w:tc>
        <w:tc>
          <w:tcPr>
            <w:tcW w:w="1396" w:type="dxa"/>
            <w:shd w:val="clear" w:color="auto" w:fill="auto"/>
          </w:tcPr>
          <w:p w14:paraId="1992AED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DB8AF81" w14:textId="77777777" w:rsidTr="00C67B81">
        <w:trPr>
          <w:trHeight w:val="227"/>
        </w:trPr>
        <w:tc>
          <w:tcPr>
            <w:tcW w:w="3515" w:type="dxa"/>
            <w:shd w:val="clear" w:color="auto" w:fill="auto"/>
            <w:vAlign w:val="center"/>
          </w:tcPr>
          <w:p w14:paraId="3BDBEF7C" w14:textId="77777777" w:rsidR="009A242A" w:rsidRPr="007E77AF" w:rsidRDefault="009A242A" w:rsidP="004301C4">
            <w:pPr>
              <w:rPr>
                <w:bCs/>
                <w:sz w:val="20"/>
                <w:szCs w:val="20"/>
                <w:lang w:eastAsia="en-US"/>
              </w:rPr>
            </w:pPr>
            <w:r w:rsidRPr="007E77AF">
              <w:rPr>
                <w:bCs/>
                <w:sz w:val="20"/>
                <w:szCs w:val="20"/>
                <w:lang w:eastAsia="en-US"/>
              </w:rPr>
              <w:t>b.6) Montante ofertado da Série 1 (=b.1.3*b.1.4) (intervalo)</w:t>
            </w:r>
          </w:p>
        </w:tc>
        <w:tc>
          <w:tcPr>
            <w:tcW w:w="5207" w:type="dxa"/>
            <w:shd w:val="clear" w:color="auto" w:fill="auto"/>
            <w:vAlign w:val="center"/>
          </w:tcPr>
          <w:p w14:paraId="7F7F3811" w14:textId="77777777" w:rsidR="009A242A" w:rsidRPr="007E77AF" w:rsidRDefault="009A242A" w:rsidP="004301C4">
            <w:pPr>
              <w:jc w:val="center"/>
              <w:rPr>
                <w:bCs/>
                <w:sz w:val="20"/>
                <w:szCs w:val="20"/>
                <w:lang w:eastAsia="en-US"/>
              </w:rPr>
            </w:pPr>
            <w:r w:rsidRPr="007E77AF">
              <w:rPr>
                <w:bCs/>
                <w:sz w:val="20"/>
                <w:szCs w:val="20"/>
                <w:lang w:eastAsia="en-US"/>
              </w:rPr>
              <w:t>Em R$ milhões (até duas casas decimais)</w:t>
            </w:r>
          </w:p>
        </w:tc>
        <w:tc>
          <w:tcPr>
            <w:tcW w:w="1396" w:type="dxa"/>
            <w:shd w:val="clear" w:color="auto" w:fill="auto"/>
          </w:tcPr>
          <w:p w14:paraId="4E96E414"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2EBA7604" w14:textId="77777777" w:rsidTr="00C67B81">
        <w:trPr>
          <w:trHeight w:val="227"/>
        </w:trPr>
        <w:tc>
          <w:tcPr>
            <w:tcW w:w="3515" w:type="dxa"/>
            <w:shd w:val="clear" w:color="auto" w:fill="auto"/>
            <w:vAlign w:val="center"/>
          </w:tcPr>
          <w:p w14:paraId="0131B259" w14:textId="77777777" w:rsidR="009A242A" w:rsidRPr="007E77AF" w:rsidRDefault="009A242A" w:rsidP="004301C4">
            <w:pPr>
              <w:rPr>
                <w:bCs/>
                <w:sz w:val="20"/>
                <w:szCs w:val="20"/>
                <w:lang w:eastAsia="en-US"/>
              </w:rPr>
            </w:pPr>
            <w:r w:rsidRPr="007E77AF">
              <w:rPr>
                <w:bCs/>
                <w:sz w:val="20"/>
                <w:szCs w:val="20"/>
                <w:lang w:eastAsia="en-US"/>
              </w:rPr>
              <w:t>b.7) Lote suplementar</w:t>
            </w:r>
          </w:p>
        </w:tc>
        <w:tc>
          <w:tcPr>
            <w:tcW w:w="5207" w:type="dxa"/>
            <w:shd w:val="clear" w:color="auto" w:fill="auto"/>
            <w:vAlign w:val="center"/>
          </w:tcPr>
          <w:p w14:paraId="6A93A292" w14:textId="77777777" w:rsidR="009A242A" w:rsidRPr="007E77AF" w:rsidRDefault="009A242A" w:rsidP="004301C4">
            <w:pPr>
              <w:jc w:val="center"/>
              <w:rPr>
                <w:bCs/>
                <w:sz w:val="20"/>
                <w:szCs w:val="20"/>
                <w:lang w:eastAsia="en-US"/>
              </w:rPr>
            </w:pPr>
            <w:r w:rsidRPr="007E77AF">
              <w:rPr>
                <w:bCs/>
                <w:sz w:val="20"/>
                <w:szCs w:val="20"/>
                <w:lang w:eastAsia="en-US"/>
              </w:rPr>
              <w:t>Sim/Não, caso “Sim”, informar percentual</w:t>
            </w:r>
          </w:p>
        </w:tc>
        <w:tc>
          <w:tcPr>
            <w:tcW w:w="1396" w:type="dxa"/>
            <w:shd w:val="clear" w:color="auto" w:fill="auto"/>
          </w:tcPr>
          <w:p w14:paraId="3CD0BB9E"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565EDB64" w14:textId="77777777" w:rsidTr="00C67B81">
        <w:trPr>
          <w:trHeight w:val="227"/>
        </w:trPr>
        <w:tc>
          <w:tcPr>
            <w:tcW w:w="3515" w:type="dxa"/>
            <w:shd w:val="clear" w:color="auto" w:fill="auto"/>
            <w:vAlign w:val="center"/>
          </w:tcPr>
          <w:p w14:paraId="424E3438" w14:textId="77777777" w:rsidR="009A242A" w:rsidRPr="007E77AF" w:rsidRDefault="009A242A" w:rsidP="004301C4">
            <w:pPr>
              <w:rPr>
                <w:bCs/>
                <w:sz w:val="20"/>
                <w:szCs w:val="20"/>
                <w:lang w:eastAsia="en-US"/>
              </w:rPr>
            </w:pPr>
            <w:r w:rsidRPr="007E77AF">
              <w:rPr>
                <w:bCs/>
                <w:sz w:val="20"/>
                <w:szCs w:val="20"/>
                <w:lang w:eastAsia="en-US"/>
              </w:rPr>
              <w:t>b.8) Lote adicional</w:t>
            </w:r>
          </w:p>
        </w:tc>
        <w:tc>
          <w:tcPr>
            <w:tcW w:w="5207" w:type="dxa"/>
            <w:shd w:val="clear" w:color="auto" w:fill="auto"/>
            <w:vAlign w:val="center"/>
          </w:tcPr>
          <w:p w14:paraId="4D362E19" w14:textId="77777777" w:rsidR="009A242A" w:rsidRPr="007E77AF" w:rsidRDefault="009A242A" w:rsidP="004301C4">
            <w:pPr>
              <w:jc w:val="center"/>
              <w:rPr>
                <w:bCs/>
                <w:sz w:val="20"/>
                <w:szCs w:val="20"/>
                <w:lang w:eastAsia="en-US"/>
              </w:rPr>
            </w:pPr>
            <w:r w:rsidRPr="007E77AF">
              <w:rPr>
                <w:bCs/>
                <w:sz w:val="20"/>
                <w:szCs w:val="20"/>
                <w:lang w:eastAsia="en-US"/>
              </w:rPr>
              <w:t>Sim/Não, caso “Sim”, informar percentual</w:t>
            </w:r>
          </w:p>
        </w:tc>
        <w:tc>
          <w:tcPr>
            <w:tcW w:w="1396" w:type="dxa"/>
            <w:shd w:val="clear" w:color="auto" w:fill="auto"/>
          </w:tcPr>
          <w:p w14:paraId="3293422F" w14:textId="77777777" w:rsidR="009A242A" w:rsidRPr="007E77AF" w:rsidRDefault="009A242A" w:rsidP="004301C4">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5A30E765" w14:textId="77777777" w:rsidTr="008A28D8">
        <w:trPr>
          <w:trHeight w:val="227"/>
        </w:trPr>
        <w:tc>
          <w:tcPr>
            <w:tcW w:w="3515" w:type="dxa"/>
            <w:shd w:val="clear" w:color="auto" w:fill="auto"/>
            <w:vAlign w:val="center"/>
          </w:tcPr>
          <w:p w14:paraId="10136EC3" w14:textId="77777777" w:rsidR="009A242A" w:rsidRPr="007E77AF" w:rsidRDefault="009A242A">
            <w:pPr>
              <w:rPr>
                <w:bCs/>
                <w:sz w:val="20"/>
                <w:szCs w:val="20"/>
                <w:lang w:eastAsia="en-US"/>
              </w:rPr>
            </w:pPr>
            <w:r>
              <w:rPr>
                <w:bCs/>
                <w:sz w:val="20"/>
                <w:szCs w:val="20"/>
                <w:lang w:eastAsia="en-US"/>
              </w:rPr>
              <w:t>b.</w:t>
            </w:r>
            <w:r w:rsidRPr="007E77AF">
              <w:rPr>
                <w:bCs/>
                <w:sz w:val="20"/>
                <w:szCs w:val="20"/>
                <w:lang w:eastAsia="en-US"/>
              </w:rPr>
              <w:t xml:space="preserve">9) Título classificado como “verde”, “social”, “sustentável” ou </w:t>
            </w:r>
            <w:r>
              <w:rPr>
                <w:bCs/>
                <w:sz w:val="20"/>
                <w:szCs w:val="20"/>
                <w:lang w:eastAsia="en-US"/>
              </w:rPr>
              <w:t>correlato</w:t>
            </w:r>
            <w:r w:rsidRPr="007E77AF">
              <w:rPr>
                <w:bCs/>
                <w:sz w:val="20"/>
                <w:szCs w:val="20"/>
                <w:lang w:eastAsia="en-US"/>
              </w:rPr>
              <w:t>?</w:t>
            </w:r>
          </w:p>
        </w:tc>
        <w:tc>
          <w:tcPr>
            <w:tcW w:w="5207" w:type="dxa"/>
            <w:shd w:val="clear" w:color="auto" w:fill="auto"/>
            <w:vAlign w:val="center"/>
          </w:tcPr>
          <w:p w14:paraId="548CE3BD" w14:textId="77777777" w:rsidR="009A242A" w:rsidRPr="007E77AF" w:rsidRDefault="009A242A" w:rsidP="008A28D8">
            <w:pPr>
              <w:jc w:val="center"/>
              <w:rPr>
                <w:bCs/>
                <w:sz w:val="20"/>
                <w:szCs w:val="20"/>
                <w:lang w:eastAsia="en-US"/>
              </w:rPr>
            </w:pPr>
            <w:r w:rsidRPr="007E77AF">
              <w:rPr>
                <w:rFonts w:cstheme="minorBidi"/>
                <w:sz w:val="20"/>
                <w:szCs w:val="20"/>
                <w:lang w:eastAsia="en-US"/>
              </w:rPr>
              <w:t>Sim/Não</w:t>
            </w:r>
          </w:p>
        </w:tc>
        <w:tc>
          <w:tcPr>
            <w:tcW w:w="1396" w:type="dxa"/>
            <w:shd w:val="clear" w:color="auto" w:fill="auto"/>
          </w:tcPr>
          <w:p w14:paraId="3C09ACA4" w14:textId="77777777" w:rsidR="009A242A" w:rsidRPr="007E77AF" w:rsidRDefault="009A242A" w:rsidP="008A28D8">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28163518" w14:textId="77777777" w:rsidTr="00C67B81">
        <w:trPr>
          <w:trHeight w:val="227"/>
        </w:trPr>
        <w:tc>
          <w:tcPr>
            <w:tcW w:w="3515" w:type="dxa"/>
            <w:shd w:val="clear" w:color="auto" w:fill="auto"/>
            <w:vAlign w:val="center"/>
          </w:tcPr>
          <w:p w14:paraId="2129E309"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5207" w:type="dxa"/>
            <w:shd w:val="clear" w:color="auto" w:fill="auto"/>
            <w:vAlign w:val="center"/>
          </w:tcPr>
          <w:p w14:paraId="5EF7A5D6" w14:textId="77777777" w:rsidR="009A242A" w:rsidRPr="007E77AF" w:rsidRDefault="009A242A" w:rsidP="004301C4">
            <w:pPr>
              <w:jc w:val="center"/>
              <w:rPr>
                <w:bCs/>
                <w:sz w:val="20"/>
                <w:szCs w:val="20"/>
                <w:lang w:eastAsia="en-US"/>
              </w:rPr>
            </w:pPr>
          </w:p>
        </w:tc>
        <w:tc>
          <w:tcPr>
            <w:tcW w:w="1396" w:type="dxa"/>
            <w:shd w:val="clear" w:color="auto" w:fill="auto"/>
          </w:tcPr>
          <w:p w14:paraId="5DA1ED37" w14:textId="77777777" w:rsidR="009A242A" w:rsidRPr="007E77AF" w:rsidRDefault="009A242A" w:rsidP="004301C4">
            <w:pPr>
              <w:jc w:val="center"/>
              <w:rPr>
                <w:bCs/>
                <w:sz w:val="20"/>
                <w:szCs w:val="20"/>
                <w:lang w:eastAsia="en-US"/>
              </w:rPr>
            </w:pPr>
          </w:p>
        </w:tc>
      </w:tr>
      <w:tr w:rsidR="009A242A" w:rsidRPr="007E77AF" w14:paraId="752C5BEA" w14:textId="77777777" w:rsidTr="00C67B81">
        <w:trPr>
          <w:trHeight w:val="227"/>
        </w:trPr>
        <w:tc>
          <w:tcPr>
            <w:tcW w:w="3515" w:type="dxa"/>
            <w:shd w:val="clear" w:color="auto" w:fill="auto"/>
            <w:vAlign w:val="center"/>
            <w:hideMark/>
          </w:tcPr>
          <w:p w14:paraId="76FF9296" w14:textId="77777777" w:rsidR="009A242A" w:rsidRPr="007E77AF" w:rsidRDefault="009A242A" w:rsidP="004301C4">
            <w:pPr>
              <w:rPr>
                <w:bCs/>
                <w:sz w:val="20"/>
                <w:szCs w:val="20"/>
                <w:lang w:eastAsia="en-US"/>
              </w:rPr>
            </w:pPr>
            <w:r w:rsidRPr="007E77AF">
              <w:rPr>
                <w:bCs/>
                <w:sz w:val="20"/>
                <w:szCs w:val="20"/>
                <w:lang w:eastAsia="en-US"/>
              </w:rPr>
              <w:t>c.1 Administrador</w:t>
            </w:r>
          </w:p>
        </w:tc>
        <w:tc>
          <w:tcPr>
            <w:tcW w:w="5207" w:type="dxa"/>
            <w:shd w:val="clear" w:color="auto" w:fill="auto"/>
            <w:vAlign w:val="center"/>
            <w:hideMark/>
          </w:tcPr>
          <w:p w14:paraId="45A77F86" w14:textId="77777777" w:rsidR="009A242A" w:rsidRPr="007E77AF" w:rsidRDefault="009A242A" w:rsidP="004301C4">
            <w:pPr>
              <w:jc w:val="center"/>
              <w:rPr>
                <w:bCs/>
                <w:sz w:val="20"/>
                <w:szCs w:val="20"/>
                <w:lang w:eastAsia="en-US"/>
              </w:rPr>
            </w:pPr>
          </w:p>
        </w:tc>
        <w:tc>
          <w:tcPr>
            <w:tcW w:w="1396" w:type="dxa"/>
            <w:shd w:val="clear" w:color="auto" w:fill="auto"/>
            <w:hideMark/>
          </w:tcPr>
          <w:p w14:paraId="45D41B6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FF4C2AD" w14:textId="77777777" w:rsidTr="00C67B81">
        <w:trPr>
          <w:trHeight w:val="227"/>
        </w:trPr>
        <w:tc>
          <w:tcPr>
            <w:tcW w:w="3515" w:type="dxa"/>
            <w:shd w:val="clear" w:color="auto" w:fill="auto"/>
            <w:vAlign w:val="center"/>
            <w:hideMark/>
          </w:tcPr>
          <w:p w14:paraId="41CF18DE" w14:textId="77777777" w:rsidR="009A242A" w:rsidRPr="007E77AF" w:rsidRDefault="009A242A" w:rsidP="004301C4">
            <w:pPr>
              <w:rPr>
                <w:bCs/>
                <w:sz w:val="20"/>
                <w:szCs w:val="20"/>
                <w:lang w:eastAsia="en-US"/>
              </w:rPr>
            </w:pPr>
            <w:r w:rsidRPr="007E77AF">
              <w:rPr>
                <w:bCs/>
                <w:sz w:val="20"/>
                <w:szCs w:val="20"/>
                <w:lang w:eastAsia="en-US"/>
              </w:rPr>
              <w:t>c.2 Gestor</w:t>
            </w:r>
          </w:p>
        </w:tc>
        <w:tc>
          <w:tcPr>
            <w:tcW w:w="5207" w:type="dxa"/>
            <w:shd w:val="clear" w:color="auto" w:fill="auto"/>
            <w:vAlign w:val="center"/>
          </w:tcPr>
          <w:p w14:paraId="40F9D60A" w14:textId="77777777" w:rsidR="009A242A" w:rsidRPr="007E77AF" w:rsidRDefault="009A242A" w:rsidP="004301C4">
            <w:pPr>
              <w:jc w:val="center"/>
              <w:rPr>
                <w:bCs/>
                <w:sz w:val="20"/>
                <w:szCs w:val="20"/>
                <w:lang w:eastAsia="en-US"/>
              </w:rPr>
            </w:pPr>
          </w:p>
        </w:tc>
        <w:tc>
          <w:tcPr>
            <w:tcW w:w="1396" w:type="dxa"/>
            <w:shd w:val="clear" w:color="auto" w:fill="auto"/>
            <w:hideMark/>
          </w:tcPr>
          <w:p w14:paraId="4B950BD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AF30987" w14:textId="77777777" w:rsidTr="00C67B81">
        <w:trPr>
          <w:trHeight w:val="227"/>
        </w:trPr>
        <w:tc>
          <w:tcPr>
            <w:tcW w:w="3515" w:type="dxa"/>
            <w:shd w:val="clear" w:color="auto" w:fill="auto"/>
            <w:vAlign w:val="center"/>
          </w:tcPr>
          <w:p w14:paraId="5BDD32D3" w14:textId="77777777" w:rsidR="009A242A" w:rsidRPr="007E77AF" w:rsidDel="00001894" w:rsidRDefault="009A242A" w:rsidP="004301C4">
            <w:pPr>
              <w:rPr>
                <w:bCs/>
                <w:sz w:val="20"/>
                <w:szCs w:val="20"/>
                <w:lang w:eastAsia="en-US"/>
              </w:rPr>
            </w:pPr>
            <w:r w:rsidRPr="007E77AF">
              <w:rPr>
                <w:bCs/>
                <w:sz w:val="20"/>
                <w:szCs w:val="20"/>
                <w:lang w:eastAsia="en-US"/>
              </w:rPr>
              <w:t>c.3 Custodiante</w:t>
            </w:r>
          </w:p>
        </w:tc>
        <w:tc>
          <w:tcPr>
            <w:tcW w:w="5207" w:type="dxa"/>
            <w:shd w:val="clear" w:color="auto" w:fill="auto"/>
            <w:vAlign w:val="center"/>
          </w:tcPr>
          <w:p w14:paraId="4FF3A989" w14:textId="77777777" w:rsidR="009A242A" w:rsidRPr="007E77AF" w:rsidDel="00001894" w:rsidRDefault="009A242A" w:rsidP="004301C4">
            <w:pPr>
              <w:jc w:val="center"/>
              <w:rPr>
                <w:bCs/>
                <w:sz w:val="20"/>
                <w:szCs w:val="20"/>
                <w:lang w:eastAsia="en-US"/>
              </w:rPr>
            </w:pPr>
          </w:p>
        </w:tc>
        <w:tc>
          <w:tcPr>
            <w:tcW w:w="1396" w:type="dxa"/>
            <w:shd w:val="clear" w:color="auto" w:fill="auto"/>
          </w:tcPr>
          <w:p w14:paraId="51BBC14A" w14:textId="77777777" w:rsidR="009A242A" w:rsidRPr="007E77AF" w:rsidDel="00001894" w:rsidRDefault="009A242A" w:rsidP="004301C4">
            <w:pPr>
              <w:jc w:val="center"/>
              <w:rPr>
                <w:bCs/>
                <w:sz w:val="20"/>
                <w:szCs w:val="20"/>
                <w:lang w:eastAsia="en-US"/>
              </w:rPr>
            </w:pPr>
          </w:p>
        </w:tc>
      </w:tr>
      <w:tr w:rsidR="009A242A" w:rsidRPr="007E77AF" w14:paraId="73B8D511" w14:textId="77777777" w:rsidTr="00C67B81">
        <w:trPr>
          <w:trHeight w:val="227"/>
        </w:trPr>
        <w:tc>
          <w:tcPr>
            <w:tcW w:w="3515" w:type="dxa"/>
            <w:shd w:val="clear" w:color="auto" w:fill="auto"/>
            <w:vAlign w:val="center"/>
          </w:tcPr>
          <w:p w14:paraId="48C14B1F" w14:textId="77777777" w:rsidR="009A242A" w:rsidRPr="007E77AF" w:rsidRDefault="009A242A" w:rsidP="001353DC">
            <w:pPr>
              <w:rPr>
                <w:sz w:val="20"/>
              </w:rPr>
            </w:pPr>
            <w:r w:rsidRPr="007E77AF">
              <w:rPr>
                <w:bCs/>
                <w:sz w:val="20"/>
                <w:szCs w:val="20"/>
                <w:lang w:eastAsia="en-US"/>
              </w:rPr>
              <w:t>c.4 Consultoria especializada (caso aplicável)</w:t>
            </w:r>
          </w:p>
        </w:tc>
        <w:tc>
          <w:tcPr>
            <w:tcW w:w="5207" w:type="dxa"/>
            <w:shd w:val="clear" w:color="auto" w:fill="auto"/>
            <w:vAlign w:val="center"/>
          </w:tcPr>
          <w:p w14:paraId="3A6BBE40" w14:textId="77777777" w:rsidR="009A242A" w:rsidRPr="007E77AF" w:rsidDel="00001894" w:rsidRDefault="009A242A" w:rsidP="004301C4">
            <w:pPr>
              <w:jc w:val="center"/>
              <w:rPr>
                <w:sz w:val="20"/>
              </w:rPr>
            </w:pPr>
          </w:p>
        </w:tc>
        <w:tc>
          <w:tcPr>
            <w:tcW w:w="1396" w:type="dxa"/>
            <w:shd w:val="clear" w:color="auto" w:fill="auto"/>
          </w:tcPr>
          <w:p w14:paraId="526E7CDC" w14:textId="77777777" w:rsidR="009A242A" w:rsidRPr="007E77AF" w:rsidDel="00001894" w:rsidRDefault="009A242A" w:rsidP="004301C4">
            <w:pPr>
              <w:jc w:val="center"/>
              <w:rPr>
                <w:bCs/>
                <w:sz w:val="20"/>
                <w:szCs w:val="20"/>
                <w:lang w:eastAsia="en-US"/>
              </w:rPr>
            </w:pPr>
          </w:p>
        </w:tc>
      </w:tr>
      <w:tr w:rsidR="009A242A" w:rsidRPr="007E77AF" w14:paraId="733450A0" w14:textId="77777777" w:rsidTr="00C67B81">
        <w:trPr>
          <w:trHeight w:val="390"/>
        </w:trPr>
        <w:tc>
          <w:tcPr>
            <w:tcW w:w="8722" w:type="dxa"/>
            <w:gridSpan w:val="2"/>
            <w:shd w:val="clear" w:color="auto" w:fill="auto"/>
            <w:vAlign w:val="center"/>
            <w:hideMark/>
          </w:tcPr>
          <w:p w14:paraId="14D2E284" w14:textId="4FEE2547"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lastRenderedPageBreak/>
              <w:t>2</w:t>
            </w:r>
            <w:r w:rsidRPr="007E77AF">
              <w:rPr>
                <w:rFonts w:ascii="Calibri" w:hAnsi="Calibri"/>
                <w:b/>
                <w:bCs/>
                <w:sz w:val="20"/>
                <w:szCs w:val="20"/>
                <w:lang w:eastAsia="en-US"/>
              </w:rPr>
              <w:t>. Detalhes relevantes sobre o emissor dos valores mobiliários</w:t>
            </w:r>
          </w:p>
        </w:tc>
        <w:tc>
          <w:tcPr>
            <w:tcW w:w="1396" w:type="dxa"/>
            <w:shd w:val="clear" w:color="auto" w:fill="auto"/>
            <w:vAlign w:val="center"/>
            <w:hideMark/>
          </w:tcPr>
          <w:p w14:paraId="7948A6C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82E859C" w14:textId="77777777" w:rsidTr="491E246D">
        <w:trPr>
          <w:trHeight w:val="390"/>
        </w:trPr>
        <w:tc>
          <w:tcPr>
            <w:tcW w:w="10118" w:type="dxa"/>
            <w:gridSpan w:val="3"/>
            <w:shd w:val="clear" w:color="auto" w:fill="auto"/>
            <w:vAlign w:val="center"/>
            <w:hideMark/>
          </w:tcPr>
          <w:p w14:paraId="39060D0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Informações sobre o lastro</w:t>
            </w:r>
          </w:p>
        </w:tc>
      </w:tr>
      <w:tr w:rsidR="009A242A" w:rsidRPr="007E77AF" w14:paraId="25A654A5" w14:textId="77777777" w:rsidTr="00C67B81">
        <w:trPr>
          <w:trHeight w:val="227"/>
        </w:trPr>
        <w:tc>
          <w:tcPr>
            <w:tcW w:w="3515" w:type="dxa"/>
            <w:shd w:val="clear" w:color="auto" w:fill="auto"/>
            <w:vAlign w:val="center"/>
            <w:hideMark/>
          </w:tcPr>
          <w:p w14:paraId="6BC870C2" w14:textId="77777777" w:rsidR="009A242A" w:rsidRPr="007E77AF" w:rsidRDefault="009A242A" w:rsidP="004301C4">
            <w:pPr>
              <w:rPr>
                <w:bCs/>
                <w:sz w:val="20"/>
                <w:szCs w:val="20"/>
                <w:lang w:eastAsia="en-US"/>
              </w:rPr>
            </w:pPr>
            <w:r w:rsidRPr="007E77AF">
              <w:rPr>
                <w:bCs/>
                <w:sz w:val="20"/>
                <w:szCs w:val="20"/>
                <w:lang w:eastAsia="en-US"/>
              </w:rPr>
              <w:t>Tipo de Lastro</w:t>
            </w:r>
          </w:p>
        </w:tc>
        <w:tc>
          <w:tcPr>
            <w:tcW w:w="5207" w:type="dxa"/>
            <w:shd w:val="clear" w:color="auto" w:fill="auto"/>
            <w:vAlign w:val="center"/>
            <w:hideMark/>
          </w:tcPr>
          <w:p w14:paraId="039AC06F" w14:textId="77777777" w:rsidR="009A242A" w:rsidRPr="007E77AF" w:rsidRDefault="009A242A" w:rsidP="004301C4">
            <w:pPr>
              <w:jc w:val="center"/>
              <w:rPr>
                <w:bCs/>
                <w:sz w:val="20"/>
                <w:szCs w:val="20"/>
                <w:lang w:eastAsia="en-US"/>
              </w:rPr>
            </w:pPr>
            <w:r w:rsidRPr="007E77AF">
              <w:rPr>
                <w:bCs/>
                <w:sz w:val="20"/>
                <w:szCs w:val="20"/>
                <w:lang w:eastAsia="en-US"/>
              </w:rPr>
              <w:t>Pulverizado/concentrado</w:t>
            </w:r>
          </w:p>
        </w:tc>
        <w:tc>
          <w:tcPr>
            <w:tcW w:w="1396" w:type="dxa"/>
            <w:shd w:val="clear" w:color="auto" w:fill="auto"/>
            <w:hideMark/>
          </w:tcPr>
          <w:p w14:paraId="62D522D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C80E940" w14:textId="77777777" w:rsidTr="00C67B81">
        <w:trPr>
          <w:trHeight w:val="227"/>
        </w:trPr>
        <w:tc>
          <w:tcPr>
            <w:tcW w:w="3515" w:type="dxa"/>
            <w:shd w:val="clear" w:color="auto" w:fill="auto"/>
            <w:vAlign w:val="center"/>
          </w:tcPr>
          <w:p w14:paraId="7909FCCE" w14:textId="77777777" w:rsidR="009A242A" w:rsidRPr="007E77AF" w:rsidRDefault="009A242A" w:rsidP="004301C4">
            <w:pPr>
              <w:rPr>
                <w:bCs/>
                <w:sz w:val="20"/>
                <w:szCs w:val="20"/>
                <w:lang w:eastAsia="en-US"/>
              </w:rPr>
            </w:pPr>
            <w:r w:rsidRPr="007E77AF">
              <w:rPr>
                <w:bCs/>
                <w:sz w:val="20"/>
                <w:szCs w:val="20"/>
                <w:lang w:eastAsia="en-US"/>
              </w:rPr>
              <w:t>Principais informações sobre os direitos creditórios</w:t>
            </w:r>
          </w:p>
        </w:tc>
        <w:tc>
          <w:tcPr>
            <w:tcW w:w="5207" w:type="dxa"/>
            <w:shd w:val="clear" w:color="auto" w:fill="auto"/>
            <w:vAlign w:val="center"/>
          </w:tcPr>
          <w:p w14:paraId="0F3453E4" w14:textId="77777777" w:rsidR="009A242A" w:rsidRPr="007E77AF" w:rsidRDefault="009A242A" w:rsidP="004301C4">
            <w:pPr>
              <w:rPr>
                <w:bCs/>
                <w:sz w:val="20"/>
                <w:szCs w:val="20"/>
                <w:lang w:eastAsia="en-US"/>
              </w:rPr>
            </w:pPr>
            <w:r w:rsidRPr="007E77AF">
              <w:rPr>
                <w:bCs/>
                <w:sz w:val="20"/>
                <w:szCs w:val="20"/>
                <w:lang w:eastAsia="en-US"/>
              </w:rPr>
              <w:t xml:space="preserve">Pulverizado: principais características dos créditos lastro (critérios de elegibilidade, política de concessão de crédito, identificação do cedente, por exemplo) / Concentrado: lista de devedores responsáveis por mais de 20% do lastro, %’s de concentração, informações básicas sobre devedores (setor de atuação, tipo societário, informar que </w:t>
            </w:r>
            <w:proofErr w:type="spellStart"/>
            <w:r w:rsidRPr="007E77AF">
              <w:rPr>
                <w:bCs/>
                <w:sz w:val="20"/>
                <w:szCs w:val="20"/>
                <w:lang w:eastAsia="en-US"/>
              </w:rPr>
              <w:t>DF’s</w:t>
            </w:r>
            <w:proofErr w:type="spellEnd"/>
            <w:r w:rsidRPr="007E77AF">
              <w:rPr>
                <w:bCs/>
                <w:sz w:val="20"/>
                <w:szCs w:val="20"/>
                <w:lang w:eastAsia="en-US"/>
              </w:rPr>
              <w:t xml:space="preserve"> auditadas e indicadores financeiros ajustados pós captação estão disponíveis no Prospecto)</w:t>
            </w:r>
          </w:p>
        </w:tc>
        <w:tc>
          <w:tcPr>
            <w:tcW w:w="1396" w:type="dxa"/>
            <w:shd w:val="clear" w:color="auto" w:fill="auto"/>
          </w:tcPr>
          <w:p w14:paraId="6582F86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4CF2280" w14:textId="77777777" w:rsidTr="00C67B81">
        <w:trPr>
          <w:trHeight w:val="227"/>
        </w:trPr>
        <w:tc>
          <w:tcPr>
            <w:tcW w:w="3515" w:type="dxa"/>
            <w:shd w:val="clear" w:color="auto" w:fill="auto"/>
            <w:vAlign w:val="center"/>
            <w:hideMark/>
          </w:tcPr>
          <w:p w14:paraId="288127EC" w14:textId="77777777" w:rsidR="009A242A" w:rsidRPr="007E77AF" w:rsidRDefault="009A242A" w:rsidP="004301C4">
            <w:pPr>
              <w:rPr>
                <w:bCs/>
                <w:sz w:val="20"/>
                <w:szCs w:val="20"/>
                <w:lang w:eastAsia="en-US"/>
              </w:rPr>
            </w:pPr>
            <w:r w:rsidRPr="007E77AF">
              <w:rPr>
                <w:bCs/>
                <w:sz w:val="20"/>
                <w:szCs w:val="20"/>
                <w:lang w:eastAsia="en-US"/>
              </w:rPr>
              <w:t>Existência de crédito não performado</w:t>
            </w:r>
          </w:p>
          <w:p w14:paraId="7DE56352" w14:textId="77777777" w:rsidR="009A242A" w:rsidRPr="007E77AF" w:rsidRDefault="009A242A" w:rsidP="004301C4">
            <w:pPr>
              <w:rPr>
                <w:bCs/>
                <w:sz w:val="20"/>
                <w:szCs w:val="20"/>
                <w:lang w:eastAsia="en-US"/>
              </w:rPr>
            </w:pPr>
          </w:p>
        </w:tc>
        <w:tc>
          <w:tcPr>
            <w:tcW w:w="5207" w:type="dxa"/>
            <w:shd w:val="clear" w:color="auto" w:fill="auto"/>
            <w:vAlign w:val="center"/>
            <w:hideMark/>
          </w:tcPr>
          <w:p w14:paraId="642031C7" w14:textId="77777777" w:rsidR="009A242A" w:rsidRPr="007E77AF" w:rsidRDefault="009A242A" w:rsidP="004301C4">
            <w:pPr>
              <w:rPr>
                <w:bCs/>
                <w:sz w:val="20"/>
                <w:szCs w:val="20"/>
                <w:lang w:eastAsia="en-US"/>
              </w:rPr>
            </w:pPr>
            <w:r w:rsidRPr="007E77AF">
              <w:rPr>
                <w:bCs/>
                <w:sz w:val="20"/>
                <w:szCs w:val="20"/>
                <w:lang w:eastAsia="en-US"/>
              </w:rPr>
              <w:t xml:space="preserve">Não/Sim [se houver originador responsável por mais de 20% do lastro, inserir %’s de concentração, informações básicas sobre originadores (setor de atuação, tipo societário, informar que </w:t>
            </w:r>
            <w:proofErr w:type="spellStart"/>
            <w:r w:rsidRPr="007E77AF">
              <w:rPr>
                <w:bCs/>
                <w:sz w:val="20"/>
                <w:szCs w:val="20"/>
                <w:lang w:eastAsia="en-US"/>
              </w:rPr>
              <w:t>DF’s</w:t>
            </w:r>
            <w:proofErr w:type="spellEnd"/>
            <w:r w:rsidRPr="007E77AF">
              <w:rPr>
                <w:bCs/>
                <w:sz w:val="20"/>
                <w:szCs w:val="20"/>
                <w:lang w:eastAsia="en-US"/>
              </w:rPr>
              <w:t xml:space="preserve"> auditadas estão disponíveis no Prospecto)]</w:t>
            </w:r>
          </w:p>
        </w:tc>
        <w:tc>
          <w:tcPr>
            <w:tcW w:w="1396" w:type="dxa"/>
            <w:shd w:val="clear" w:color="auto" w:fill="auto"/>
            <w:hideMark/>
          </w:tcPr>
          <w:p w14:paraId="42229C33"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A4961B2" w14:textId="77777777" w:rsidTr="00C67B81">
        <w:trPr>
          <w:trHeight w:val="227"/>
        </w:trPr>
        <w:tc>
          <w:tcPr>
            <w:tcW w:w="3515" w:type="dxa"/>
            <w:shd w:val="clear" w:color="auto" w:fill="auto"/>
            <w:vAlign w:val="center"/>
          </w:tcPr>
          <w:p w14:paraId="596B5766" w14:textId="77777777" w:rsidR="009A242A" w:rsidRPr="007E77AF" w:rsidRDefault="009A242A" w:rsidP="004301C4">
            <w:pPr>
              <w:rPr>
                <w:bCs/>
                <w:sz w:val="20"/>
                <w:szCs w:val="20"/>
                <w:lang w:eastAsia="en-US"/>
              </w:rPr>
            </w:pPr>
            <w:r w:rsidRPr="007E77AF">
              <w:rPr>
                <w:bCs/>
                <w:sz w:val="20"/>
                <w:szCs w:val="20"/>
                <w:lang w:eastAsia="en-US"/>
              </w:rPr>
              <w:t xml:space="preserve">Possibilidade de </w:t>
            </w:r>
            <w:proofErr w:type="spellStart"/>
            <w:r w:rsidRPr="007E77AF">
              <w:rPr>
                <w:bCs/>
                <w:sz w:val="20"/>
                <w:szCs w:val="20"/>
                <w:lang w:eastAsia="en-US"/>
              </w:rPr>
              <w:t>revolvência</w:t>
            </w:r>
            <w:proofErr w:type="spellEnd"/>
            <w:r w:rsidRPr="007E77AF">
              <w:rPr>
                <w:bCs/>
                <w:sz w:val="20"/>
                <w:szCs w:val="20"/>
                <w:lang w:eastAsia="en-US"/>
              </w:rPr>
              <w:t xml:space="preserve"> dos direitos creditórios</w:t>
            </w:r>
          </w:p>
        </w:tc>
        <w:tc>
          <w:tcPr>
            <w:tcW w:w="5207" w:type="dxa"/>
            <w:shd w:val="clear" w:color="auto" w:fill="auto"/>
            <w:vAlign w:val="center"/>
          </w:tcPr>
          <w:p w14:paraId="0604C82A" w14:textId="77777777" w:rsidR="009A242A" w:rsidRPr="007E77AF" w:rsidRDefault="009A242A" w:rsidP="004301C4">
            <w:pPr>
              <w:rPr>
                <w:bCs/>
                <w:sz w:val="20"/>
                <w:szCs w:val="20"/>
                <w:lang w:eastAsia="en-US"/>
              </w:rPr>
            </w:pPr>
            <w:r w:rsidRPr="007E77AF">
              <w:rPr>
                <w:bCs/>
                <w:sz w:val="20"/>
                <w:szCs w:val="20"/>
                <w:lang w:eastAsia="en-US"/>
              </w:rPr>
              <w:t>Não/Sim</w:t>
            </w:r>
          </w:p>
        </w:tc>
        <w:tc>
          <w:tcPr>
            <w:tcW w:w="1396" w:type="dxa"/>
            <w:shd w:val="clear" w:color="auto" w:fill="auto"/>
          </w:tcPr>
          <w:p w14:paraId="007F9A26" w14:textId="77777777" w:rsidR="009A242A" w:rsidRPr="007E77AF" w:rsidRDefault="009A242A" w:rsidP="004301C4">
            <w:pPr>
              <w:jc w:val="center"/>
              <w:rPr>
                <w:bCs/>
                <w:sz w:val="20"/>
                <w:szCs w:val="20"/>
                <w:lang w:eastAsia="en-US"/>
              </w:rPr>
            </w:pPr>
          </w:p>
        </w:tc>
      </w:tr>
      <w:tr w:rsidR="009A242A" w:rsidRPr="007E77AF" w14:paraId="06BCC20B" w14:textId="77777777" w:rsidTr="00C67B81">
        <w:trPr>
          <w:trHeight w:val="227"/>
        </w:trPr>
        <w:tc>
          <w:tcPr>
            <w:tcW w:w="3515" w:type="dxa"/>
            <w:shd w:val="clear" w:color="auto" w:fill="auto"/>
            <w:vAlign w:val="center"/>
          </w:tcPr>
          <w:p w14:paraId="2C35C4DB" w14:textId="77777777" w:rsidR="009A242A" w:rsidRPr="007E77AF" w:rsidRDefault="009A242A" w:rsidP="004301C4">
            <w:pPr>
              <w:rPr>
                <w:bCs/>
                <w:sz w:val="20"/>
                <w:szCs w:val="20"/>
                <w:lang w:eastAsia="en-US"/>
              </w:rPr>
            </w:pPr>
            <w:r w:rsidRPr="007E77AF">
              <w:rPr>
                <w:bCs/>
                <w:sz w:val="20"/>
                <w:szCs w:val="20"/>
                <w:lang w:eastAsia="en-US"/>
              </w:rPr>
              <w:t>Informações estatísticas sobre inadimplementos</w:t>
            </w:r>
          </w:p>
        </w:tc>
        <w:tc>
          <w:tcPr>
            <w:tcW w:w="5207" w:type="dxa"/>
            <w:shd w:val="clear" w:color="auto" w:fill="auto"/>
            <w:vAlign w:val="center"/>
          </w:tcPr>
          <w:p w14:paraId="25CDC6AC" w14:textId="77777777" w:rsidR="009A242A" w:rsidRPr="007E77AF" w:rsidRDefault="009A242A" w:rsidP="004301C4">
            <w:pPr>
              <w:rPr>
                <w:bCs/>
                <w:sz w:val="20"/>
                <w:szCs w:val="20"/>
                <w:lang w:eastAsia="en-US"/>
              </w:rPr>
            </w:pPr>
            <w:r w:rsidRPr="007E77AF">
              <w:rPr>
                <w:bCs/>
                <w:sz w:val="20"/>
                <w:szCs w:val="20"/>
                <w:lang w:eastAsia="en-US"/>
              </w:rPr>
              <w:t>Principais informações estatísticas sobre inadimplementos, perdas ou pré-pagamento de créditos de mesma natureza dos direitos creditórios que comporão o patrimônio do ofertante, compreendendo um período de 3 (três) anos imediatamente anteriores à data da oferta</w:t>
            </w:r>
          </w:p>
        </w:tc>
        <w:tc>
          <w:tcPr>
            <w:tcW w:w="1396" w:type="dxa"/>
            <w:shd w:val="clear" w:color="auto" w:fill="auto"/>
          </w:tcPr>
          <w:p w14:paraId="624B8867"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1AF063C" w14:textId="77777777" w:rsidTr="00C67B81">
        <w:trPr>
          <w:trHeight w:val="390"/>
        </w:trPr>
        <w:tc>
          <w:tcPr>
            <w:tcW w:w="3515" w:type="dxa"/>
            <w:shd w:val="clear" w:color="auto" w:fill="auto"/>
            <w:vAlign w:val="center"/>
            <w:hideMark/>
          </w:tcPr>
          <w:p w14:paraId="126CE5AF" w14:textId="77777777" w:rsidR="009A242A" w:rsidRPr="007E77AF" w:rsidRDefault="009A242A" w:rsidP="004301C4">
            <w:pPr>
              <w:rPr>
                <w:rFonts w:ascii="Calibri" w:hAnsi="Calibri"/>
                <w:b/>
                <w:bCs/>
                <w:sz w:val="20"/>
                <w:szCs w:val="20"/>
                <w:lang w:eastAsia="en-US"/>
              </w:rPr>
            </w:pPr>
            <w:r w:rsidRPr="007E77AF">
              <w:rPr>
                <w:rFonts w:ascii="Calibri" w:hAnsi="Calibri"/>
                <w:b/>
                <w:sz w:val="20"/>
                <w:szCs w:val="20"/>
                <w:shd w:val="clear" w:color="auto" w:fill="FFFFFF"/>
                <w:lang w:eastAsia="en-US"/>
              </w:rPr>
              <w:t>Sumário dos principais riscos do fundo</w:t>
            </w:r>
          </w:p>
        </w:tc>
        <w:tc>
          <w:tcPr>
            <w:tcW w:w="5207" w:type="dxa"/>
            <w:shd w:val="clear" w:color="auto" w:fill="auto"/>
            <w:vAlign w:val="center"/>
            <w:hideMark/>
          </w:tcPr>
          <w:p w14:paraId="76B41B33" w14:textId="27B96269"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96" w:type="dxa"/>
            <w:shd w:val="clear" w:color="auto" w:fill="auto"/>
            <w:vAlign w:val="center"/>
            <w:hideMark/>
          </w:tcPr>
          <w:p w14:paraId="76846F4E" w14:textId="3983F7D5"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52CD51D9" w14:textId="77777777" w:rsidTr="00C67B81">
        <w:trPr>
          <w:trHeight w:val="227"/>
        </w:trPr>
        <w:tc>
          <w:tcPr>
            <w:tcW w:w="3515" w:type="dxa"/>
            <w:shd w:val="clear" w:color="auto" w:fill="auto"/>
            <w:vAlign w:val="center"/>
            <w:hideMark/>
          </w:tcPr>
          <w:p w14:paraId="428F1239"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5207" w:type="dxa"/>
            <w:shd w:val="clear" w:color="auto" w:fill="auto"/>
            <w:vAlign w:val="center"/>
            <w:hideMark/>
          </w:tcPr>
          <w:p w14:paraId="05BAFA2A" w14:textId="7FA2A999" w:rsidR="009A242A" w:rsidRPr="007E77AF" w:rsidRDefault="009A242A" w:rsidP="004301C4">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r w:rsidRPr="007E77AF">
              <w:rPr>
                <w:bCs/>
                <w:sz w:val="20"/>
                <w:szCs w:val="20"/>
                <w:lang w:eastAsia="en-US"/>
              </w:rPr>
              <w:t xml:space="preserve"> </w:t>
            </w:r>
          </w:p>
        </w:tc>
        <w:tc>
          <w:tcPr>
            <w:tcW w:w="1396" w:type="dxa"/>
            <w:shd w:val="clear" w:color="auto" w:fill="auto"/>
            <w:vAlign w:val="center"/>
            <w:hideMark/>
          </w:tcPr>
          <w:p w14:paraId="711BCE7C" w14:textId="2F04903C"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1326BDC" w14:textId="77777777" w:rsidTr="00C67B81">
        <w:trPr>
          <w:trHeight w:val="227"/>
        </w:trPr>
        <w:tc>
          <w:tcPr>
            <w:tcW w:w="3515" w:type="dxa"/>
            <w:shd w:val="clear" w:color="auto" w:fill="auto"/>
            <w:vAlign w:val="center"/>
            <w:hideMark/>
          </w:tcPr>
          <w:p w14:paraId="29C9D3C4" w14:textId="77777777" w:rsidR="009A242A" w:rsidRPr="007E77AF" w:rsidRDefault="009A242A" w:rsidP="004301C4">
            <w:pPr>
              <w:rPr>
                <w:bCs/>
                <w:sz w:val="20"/>
                <w:szCs w:val="20"/>
                <w:lang w:eastAsia="en-US"/>
              </w:rPr>
            </w:pPr>
            <w:r w:rsidRPr="007E77AF">
              <w:rPr>
                <w:bCs/>
                <w:sz w:val="20"/>
                <w:szCs w:val="20"/>
                <w:lang w:eastAsia="en-US"/>
              </w:rPr>
              <w:t>2. (Descrição breve – Máx</w:t>
            </w:r>
            <w:r>
              <w:rPr>
                <w:bCs/>
                <w:sz w:val="20"/>
                <w:szCs w:val="20"/>
                <w:lang w:eastAsia="en-US"/>
              </w:rPr>
              <w:t>.</w:t>
            </w:r>
            <w:r w:rsidRPr="007E77AF">
              <w:rPr>
                <w:bCs/>
                <w:sz w:val="20"/>
                <w:szCs w:val="20"/>
                <w:lang w:eastAsia="en-US"/>
              </w:rPr>
              <w:t xml:space="preserve"> 50 palavras)</w:t>
            </w:r>
          </w:p>
        </w:tc>
        <w:tc>
          <w:tcPr>
            <w:tcW w:w="5207" w:type="dxa"/>
            <w:shd w:val="clear" w:color="auto" w:fill="auto"/>
            <w:vAlign w:val="center"/>
            <w:hideMark/>
          </w:tcPr>
          <w:p w14:paraId="3ECDC930" w14:textId="68E649C1" w:rsidR="009A242A" w:rsidRPr="007E77AF" w:rsidRDefault="009A242A" w:rsidP="004301C4">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77AC1F1C" w14:textId="0960A9FD"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9F4EA37" w14:textId="77777777" w:rsidTr="00C67B81">
        <w:trPr>
          <w:trHeight w:val="227"/>
        </w:trPr>
        <w:tc>
          <w:tcPr>
            <w:tcW w:w="3515" w:type="dxa"/>
            <w:shd w:val="clear" w:color="auto" w:fill="auto"/>
            <w:vAlign w:val="center"/>
            <w:hideMark/>
          </w:tcPr>
          <w:p w14:paraId="2660A5F9"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5207" w:type="dxa"/>
            <w:shd w:val="clear" w:color="auto" w:fill="auto"/>
            <w:vAlign w:val="center"/>
            <w:hideMark/>
          </w:tcPr>
          <w:p w14:paraId="64CC0D22" w14:textId="53929DD0" w:rsidR="009A242A" w:rsidRPr="007E77AF" w:rsidRDefault="009A242A" w:rsidP="004301C4">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0320BCBA" w14:textId="033467B4"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788A91E8" w14:textId="77777777" w:rsidTr="00C67B81">
        <w:trPr>
          <w:trHeight w:val="227"/>
        </w:trPr>
        <w:tc>
          <w:tcPr>
            <w:tcW w:w="3515" w:type="dxa"/>
            <w:shd w:val="clear" w:color="auto" w:fill="auto"/>
            <w:vAlign w:val="center"/>
            <w:hideMark/>
          </w:tcPr>
          <w:p w14:paraId="63C9EDC3" w14:textId="77777777" w:rsidR="009A242A" w:rsidRPr="007E77AF" w:rsidRDefault="009A242A" w:rsidP="004301C4">
            <w:pPr>
              <w:rPr>
                <w:bCs/>
                <w:sz w:val="20"/>
                <w:szCs w:val="20"/>
                <w:lang w:eastAsia="en-US"/>
              </w:rPr>
            </w:pPr>
            <w:r w:rsidRPr="007E77AF">
              <w:rPr>
                <w:bCs/>
                <w:sz w:val="20"/>
                <w:szCs w:val="20"/>
                <w:lang w:eastAsia="en-US"/>
              </w:rPr>
              <w:t>4. (Descrição breve – Máx</w:t>
            </w:r>
            <w:r>
              <w:rPr>
                <w:bCs/>
                <w:sz w:val="20"/>
                <w:szCs w:val="20"/>
                <w:lang w:eastAsia="en-US"/>
              </w:rPr>
              <w:t>.</w:t>
            </w:r>
            <w:r w:rsidRPr="007E77AF">
              <w:rPr>
                <w:bCs/>
                <w:sz w:val="20"/>
                <w:szCs w:val="20"/>
                <w:lang w:eastAsia="en-US"/>
              </w:rPr>
              <w:t xml:space="preserve"> 50 palavras)</w:t>
            </w:r>
          </w:p>
        </w:tc>
        <w:tc>
          <w:tcPr>
            <w:tcW w:w="5207" w:type="dxa"/>
            <w:shd w:val="clear" w:color="auto" w:fill="auto"/>
            <w:vAlign w:val="center"/>
            <w:hideMark/>
          </w:tcPr>
          <w:p w14:paraId="54B34202" w14:textId="6A7D43BE" w:rsidR="009A242A" w:rsidRPr="007E77AF" w:rsidRDefault="009A242A" w:rsidP="004301C4">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7BF81D57" w14:textId="30F32483"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5F2F43C" w14:textId="77777777" w:rsidTr="00C67B81">
        <w:trPr>
          <w:trHeight w:val="227"/>
        </w:trPr>
        <w:tc>
          <w:tcPr>
            <w:tcW w:w="3515" w:type="dxa"/>
            <w:shd w:val="clear" w:color="auto" w:fill="auto"/>
            <w:vAlign w:val="center"/>
            <w:hideMark/>
          </w:tcPr>
          <w:p w14:paraId="770C627F" w14:textId="77777777" w:rsidR="009A242A" w:rsidRPr="007E77AF" w:rsidRDefault="009A242A" w:rsidP="004301C4">
            <w:pPr>
              <w:rPr>
                <w:bCs/>
                <w:sz w:val="20"/>
                <w:szCs w:val="20"/>
                <w:lang w:eastAsia="en-US"/>
              </w:rPr>
            </w:pPr>
            <w:r w:rsidRPr="007E77AF">
              <w:rPr>
                <w:bCs/>
                <w:sz w:val="20"/>
                <w:szCs w:val="20"/>
                <w:lang w:eastAsia="en-US"/>
              </w:rPr>
              <w:t>5. (Descrição breve – Máx. 50 palavras)</w:t>
            </w:r>
          </w:p>
        </w:tc>
        <w:tc>
          <w:tcPr>
            <w:tcW w:w="5207" w:type="dxa"/>
            <w:shd w:val="clear" w:color="auto" w:fill="auto"/>
            <w:vAlign w:val="center"/>
            <w:hideMark/>
          </w:tcPr>
          <w:p w14:paraId="312B8DA9" w14:textId="146DC339" w:rsidR="009A242A" w:rsidRPr="007E77AF" w:rsidRDefault="009A242A" w:rsidP="004301C4">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6EE6590B" w14:textId="29F37470"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108AC86" w14:textId="77777777" w:rsidTr="00C67B81">
        <w:trPr>
          <w:trHeight w:val="390"/>
        </w:trPr>
        <w:tc>
          <w:tcPr>
            <w:tcW w:w="8722" w:type="dxa"/>
            <w:gridSpan w:val="2"/>
            <w:shd w:val="clear" w:color="auto" w:fill="auto"/>
            <w:vAlign w:val="center"/>
            <w:hideMark/>
          </w:tcPr>
          <w:p w14:paraId="24905161" w14:textId="7BC6A9E7"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t>3</w:t>
            </w:r>
            <w:r w:rsidRPr="007E77AF">
              <w:rPr>
                <w:rFonts w:ascii="Calibri" w:hAnsi="Calibri"/>
                <w:b/>
                <w:bCs/>
                <w:sz w:val="20"/>
                <w:szCs w:val="20"/>
                <w:lang w:eastAsia="en-US"/>
              </w:rPr>
              <w:t>. Principais informações sobre o valor mobiliário</w:t>
            </w:r>
          </w:p>
        </w:tc>
        <w:tc>
          <w:tcPr>
            <w:tcW w:w="1396" w:type="dxa"/>
            <w:shd w:val="clear" w:color="auto" w:fill="auto"/>
            <w:vAlign w:val="center"/>
            <w:hideMark/>
          </w:tcPr>
          <w:p w14:paraId="4F8EB6D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F8D57A9" w14:textId="77777777" w:rsidTr="491E246D">
        <w:trPr>
          <w:trHeight w:val="390"/>
        </w:trPr>
        <w:tc>
          <w:tcPr>
            <w:tcW w:w="10118" w:type="dxa"/>
            <w:gridSpan w:val="3"/>
            <w:shd w:val="clear" w:color="auto" w:fill="auto"/>
            <w:vAlign w:val="center"/>
            <w:hideMark/>
          </w:tcPr>
          <w:p w14:paraId="34CF4B6D"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Informações sobre o valor mobiliário</w:t>
            </w:r>
          </w:p>
        </w:tc>
      </w:tr>
      <w:tr w:rsidR="009A242A" w:rsidRPr="007E77AF" w14:paraId="613AC7F5" w14:textId="77777777" w:rsidTr="00C67B81">
        <w:trPr>
          <w:trHeight w:val="227"/>
        </w:trPr>
        <w:tc>
          <w:tcPr>
            <w:tcW w:w="3515" w:type="dxa"/>
            <w:shd w:val="clear" w:color="auto" w:fill="auto"/>
            <w:vAlign w:val="center"/>
            <w:hideMark/>
          </w:tcPr>
          <w:p w14:paraId="3C68B7AD" w14:textId="77777777" w:rsidR="009A242A" w:rsidRPr="007E77AF" w:rsidRDefault="009A242A" w:rsidP="004301C4">
            <w:pPr>
              <w:rPr>
                <w:bCs/>
                <w:sz w:val="20"/>
                <w:szCs w:val="20"/>
                <w:lang w:eastAsia="en-US"/>
              </w:rPr>
            </w:pPr>
            <w:r w:rsidRPr="007E77AF">
              <w:rPr>
                <w:bCs/>
                <w:sz w:val="20"/>
                <w:szCs w:val="20"/>
                <w:lang w:eastAsia="en-US"/>
              </w:rPr>
              <w:t>Principais características</w:t>
            </w:r>
          </w:p>
        </w:tc>
        <w:tc>
          <w:tcPr>
            <w:tcW w:w="5207" w:type="dxa"/>
            <w:shd w:val="clear" w:color="auto" w:fill="auto"/>
            <w:vAlign w:val="center"/>
            <w:hideMark/>
          </w:tcPr>
          <w:p w14:paraId="185B340D"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[Máx. 50 palavras]</w:t>
            </w:r>
          </w:p>
        </w:tc>
        <w:tc>
          <w:tcPr>
            <w:tcW w:w="1396" w:type="dxa"/>
            <w:shd w:val="clear" w:color="auto" w:fill="auto"/>
            <w:hideMark/>
          </w:tcPr>
          <w:p w14:paraId="7DE8A62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5172687" w14:textId="77777777" w:rsidTr="00C67B81">
        <w:trPr>
          <w:trHeight w:val="227"/>
        </w:trPr>
        <w:tc>
          <w:tcPr>
            <w:tcW w:w="3515" w:type="dxa"/>
            <w:shd w:val="clear" w:color="auto" w:fill="auto"/>
            <w:vAlign w:val="center"/>
          </w:tcPr>
          <w:p w14:paraId="2715FF36" w14:textId="77777777" w:rsidR="009A242A" w:rsidRPr="007E77AF" w:rsidRDefault="009A242A" w:rsidP="004301C4">
            <w:pPr>
              <w:rPr>
                <w:bCs/>
                <w:sz w:val="20"/>
                <w:szCs w:val="20"/>
                <w:lang w:eastAsia="en-US"/>
              </w:rPr>
            </w:pPr>
            <w:r w:rsidRPr="007E77AF">
              <w:rPr>
                <w:bCs/>
                <w:sz w:val="20"/>
                <w:szCs w:val="20"/>
                <w:lang w:eastAsia="en-US"/>
              </w:rPr>
              <w:t>Resgate/Prazo</w:t>
            </w:r>
          </w:p>
        </w:tc>
        <w:tc>
          <w:tcPr>
            <w:tcW w:w="5207" w:type="dxa"/>
            <w:shd w:val="clear" w:color="auto" w:fill="auto"/>
            <w:vAlign w:val="center"/>
          </w:tcPr>
          <w:p w14:paraId="11EC821A" w14:textId="77777777" w:rsidR="009A242A" w:rsidRPr="007E77AF" w:rsidRDefault="009A242A" w:rsidP="004301C4">
            <w:pPr>
              <w:jc w:val="center"/>
              <w:rPr>
                <w:rFonts w:ascii="Calibri Light" w:hAnsi="Calibri Light"/>
                <w:b/>
                <w:bCs/>
                <w:sz w:val="20"/>
                <w:szCs w:val="20"/>
                <w:lang w:eastAsia="en-US"/>
              </w:rPr>
            </w:pPr>
          </w:p>
        </w:tc>
        <w:tc>
          <w:tcPr>
            <w:tcW w:w="1396" w:type="dxa"/>
            <w:shd w:val="clear" w:color="auto" w:fill="auto"/>
          </w:tcPr>
          <w:p w14:paraId="3947DDD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679B1D5" w14:textId="77777777" w:rsidTr="00C67B81">
        <w:trPr>
          <w:trHeight w:val="227"/>
        </w:trPr>
        <w:tc>
          <w:tcPr>
            <w:tcW w:w="3515" w:type="dxa"/>
            <w:shd w:val="clear" w:color="auto" w:fill="auto"/>
            <w:vAlign w:val="center"/>
          </w:tcPr>
          <w:p w14:paraId="342DC835" w14:textId="77777777" w:rsidR="009A242A" w:rsidRPr="007E77AF" w:rsidRDefault="009A242A" w:rsidP="004301C4">
            <w:pPr>
              <w:rPr>
                <w:bCs/>
                <w:sz w:val="20"/>
                <w:szCs w:val="20"/>
                <w:lang w:eastAsia="en-US"/>
              </w:rPr>
            </w:pPr>
            <w:r w:rsidRPr="007E77AF">
              <w:rPr>
                <w:bCs/>
                <w:sz w:val="20"/>
                <w:szCs w:val="20"/>
                <w:lang w:eastAsia="en-US"/>
              </w:rPr>
              <w:t>Remuneração</w:t>
            </w:r>
          </w:p>
        </w:tc>
        <w:tc>
          <w:tcPr>
            <w:tcW w:w="5207" w:type="dxa"/>
            <w:shd w:val="clear" w:color="auto" w:fill="auto"/>
            <w:vAlign w:val="center"/>
          </w:tcPr>
          <w:p w14:paraId="5B6677D0" w14:textId="77777777" w:rsidR="009A242A" w:rsidRPr="007E77AF" w:rsidRDefault="009A242A" w:rsidP="004301C4">
            <w:pPr>
              <w:jc w:val="center"/>
              <w:rPr>
                <w:rFonts w:ascii="Calibri Light" w:hAnsi="Calibri Light"/>
                <w:b/>
                <w:bCs/>
                <w:sz w:val="20"/>
                <w:szCs w:val="20"/>
                <w:lang w:eastAsia="en-US"/>
              </w:rPr>
            </w:pPr>
            <w:r w:rsidRPr="007E77AF">
              <w:rPr>
                <w:rFonts w:ascii="Calibri" w:hAnsi="Calibri"/>
                <w:sz w:val="20"/>
                <w:szCs w:val="20"/>
                <w:shd w:val="clear" w:color="auto" w:fill="FFFFFF"/>
                <w:lang w:eastAsia="en-US"/>
              </w:rPr>
              <w:t xml:space="preserve">Descrever a remuneração (DI + </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/XX% DI/</w:t>
            </w:r>
            <w:proofErr w:type="spellStart"/>
            <w:r w:rsidRPr="007E77AF">
              <w:rPr>
                <w:rFonts w:ascii="Calibri" w:hAnsi="Calibri"/>
                <w:sz w:val="20"/>
                <w:szCs w:val="20"/>
                <w:shd w:val="clear" w:color="auto" w:fill="FFFFFF"/>
                <w:lang w:eastAsia="en-US"/>
              </w:rPr>
              <w:t>IPCA+</w:t>
            </w:r>
            <w:r w:rsidRPr="00986942">
              <w:rPr>
                <w:rFonts w:ascii="Calibri" w:hAnsi="Calibri"/>
                <w:b/>
                <w:sz w:val="20"/>
                <w:shd w:val="clear" w:color="auto" w:fill="FFFFFF"/>
              </w:rPr>
              <w:t>Spread</w:t>
            </w:r>
            <w:proofErr w:type="spellEnd"/>
            <w:r w:rsidRPr="007E77AF">
              <w:rPr>
                <w:rFonts w:ascii="Calibri" w:hAnsi="Calibri"/>
                <w:sz w:val="20"/>
                <w:szCs w:val="20"/>
                <w:shd w:val="clear" w:color="auto" w:fill="FFFFFF"/>
                <w:lang w:eastAsia="en-US"/>
              </w:rPr>
              <w:t xml:space="preserve">/Taxa </w:t>
            </w:r>
            <w:proofErr w:type="gramStart"/>
            <w:r w:rsidRPr="007E77AF">
              <w:rPr>
                <w:rFonts w:ascii="Calibri" w:hAnsi="Calibri"/>
                <w:sz w:val="20"/>
                <w:szCs w:val="20"/>
                <w:shd w:val="clear" w:color="auto" w:fill="FFFFFF"/>
                <w:lang w:eastAsia="en-US"/>
              </w:rPr>
              <w:t>fixa)  em</w:t>
            </w:r>
            <w:proofErr w:type="gramEnd"/>
            <w:r w:rsidRPr="007E77AF">
              <w:rPr>
                <w:rFonts w:ascii="Calibri" w:hAnsi="Calibri"/>
                <w:sz w:val="20"/>
                <w:szCs w:val="20"/>
                <w:shd w:val="clear" w:color="auto" w:fill="FFFFFF"/>
                <w:lang w:eastAsia="en-US"/>
              </w:rPr>
              <w:t xml:space="preserve"> %a.a.</w:t>
            </w:r>
          </w:p>
        </w:tc>
        <w:tc>
          <w:tcPr>
            <w:tcW w:w="1396" w:type="dxa"/>
            <w:shd w:val="clear" w:color="auto" w:fill="auto"/>
          </w:tcPr>
          <w:p w14:paraId="050F493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BF0CF11" w14:textId="77777777" w:rsidTr="00C67B81">
        <w:trPr>
          <w:trHeight w:val="227"/>
        </w:trPr>
        <w:tc>
          <w:tcPr>
            <w:tcW w:w="3515" w:type="dxa"/>
            <w:shd w:val="clear" w:color="auto" w:fill="auto"/>
            <w:vAlign w:val="center"/>
          </w:tcPr>
          <w:p w14:paraId="75A7F7D7" w14:textId="77777777" w:rsidR="009A242A" w:rsidRPr="007E77AF" w:rsidRDefault="009A242A" w:rsidP="004301C4">
            <w:pPr>
              <w:rPr>
                <w:bCs/>
                <w:sz w:val="20"/>
                <w:szCs w:val="20"/>
                <w:lang w:eastAsia="en-US"/>
              </w:rPr>
            </w:pPr>
            <w:r w:rsidRPr="007E77AF">
              <w:rPr>
                <w:bCs/>
                <w:sz w:val="20"/>
                <w:szCs w:val="20"/>
                <w:lang w:eastAsia="en-US"/>
              </w:rPr>
              <w:lastRenderedPageBreak/>
              <w:t>Amortização/Juros</w:t>
            </w:r>
          </w:p>
        </w:tc>
        <w:tc>
          <w:tcPr>
            <w:tcW w:w="5207" w:type="dxa"/>
            <w:shd w:val="clear" w:color="auto" w:fill="auto"/>
            <w:vAlign w:val="center"/>
          </w:tcPr>
          <w:p w14:paraId="47DBED8A"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Descrever a periodicidade</w:t>
            </w:r>
          </w:p>
        </w:tc>
        <w:tc>
          <w:tcPr>
            <w:tcW w:w="1396" w:type="dxa"/>
            <w:shd w:val="clear" w:color="auto" w:fill="auto"/>
          </w:tcPr>
          <w:p w14:paraId="5B34997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D97B4E1" w14:textId="77777777" w:rsidTr="00C67B81">
        <w:trPr>
          <w:trHeight w:val="227"/>
        </w:trPr>
        <w:tc>
          <w:tcPr>
            <w:tcW w:w="3515" w:type="dxa"/>
            <w:shd w:val="clear" w:color="auto" w:fill="auto"/>
            <w:vAlign w:val="center"/>
          </w:tcPr>
          <w:p w14:paraId="30446850" w14:textId="77777777" w:rsidR="009A242A" w:rsidRPr="007E77AF" w:rsidRDefault="009A242A" w:rsidP="004301C4">
            <w:pPr>
              <w:rPr>
                <w:bCs/>
                <w:sz w:val="20"/>
                <w:szCs w:val="20"/>
                <w:lang w:eastAsia="en-US"/>
              </w:rPr>
            </w:pPr>
            <w:proofErr w:type="spellStart"/>
            <w:r w:rsidRPr="007E77AF">
              <w:rPr>
                <w:bCs/>
                <w:sz w:val="20"/>
                <w:szCs w:val="20"/>
                <w:lang w:eastAsia="en-US"/>
              </w:rPr>
              <w:t>Duration</w:t>
            </w:r>
            <w:proofErr w:type="spellEnd"/>
          </w:p>
        </w:tc>
        <w:tc>
          <w:tcPr>
            <w:tcW w:w="5207" w:type="dxa"/>
            <w:shd w:val="clear" w:color="auto" w:fill="auto"/>
            <w:vAlign w:val="center"/>
          </w:tcPr>
          <w:p w14:paraId="4B629430" w14:textId="77777777" w:rsidR="009A242A" w:rsidRPr="007E77AF" w:rsidRDefault="009A242A" w:rsidP="004301C4">
            <w:pPr>
              <w:jc w:val="center"/>
              <w:rPr>
                <w:rFonts w:ascii="Calibri Light" w:hAnsi="Calibri Light"/>
                <w:b/>
                <w:bCs/>
                <w:sz w:val="20"/>
                <w:szCs w:val="20"/>
                <w:lang w:eastAsia="en-US"/>
              </w:rPr>
            </w:pPr>
            <w:proofErr w:type="gramStart"/>
            <w:r w:rsidRPr="007E77AF">
              <w:rPr>
                <w:rFonts w:ascii="Calibri Light" w:hAnsi="Calibri Light"/>
                <w:b/>
                <w:bCs/>
                <w:sz w:val="20"/>
                <w:szCs w:val="20"/>
                <w:lang w:eastAsia="en-US"/>
              </w:rPr>
              <w:t>[ ]</w:t>
            </w:r>
            <w:proofErr w:type="gramEnd"/>
            <w:r w:rsidRPr="007E77AF">
              <w:rPr>
                <w:rFonts w:ascii="Calibri Light" w:hAnsi="Calibri Light"/>
                <w:b/>
                <w:bCs/>
                <w:sz w:val="20"/>
                <w:szCs w:val="20"/>
                <w:lang w:eastAsia="en-US"/>
              </w:rPr>
              <w:t xml:space="preserve"> anos</w:t>
            </w:r>
          </w:p>
        </w:tc>
        <w:tc>
          <w:tcPr>
            <w:tcW w:w="1396" w:type="dxa"/>
            <w:shd w:val="clear" w:color="auto" w:fill="auto"/>
          </w:tcPr>
          <w:p w14:paraId="1FDBC816"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AFBE6B8" w14:textId="77777777" w:rsidTr="00C67B81">
        <w:trPr>
          <w:trHeight w:val="227"/>
        </w:trPr>
        <w:tc>
          <w:tcPr>
            <w:tcW w:w="3515" w:type="dxa"/>
            <w:shd w:val="clear" w:color="auto" w:fill="auto"/>
            <w:vAlign w:val="center"/>
          </w:tcPr>
          <w:p w14:paraId="5003011E" w14:textId="77777777" w:rsidR="009A242A" w:rsidRPr="007E77AF" w:rsidDel="00F44FEC" w:rsidRDefault="009A242A" w:rsidP="004301C4">
            <w:pPr>
              <w:rPr>
                <w:bCs/>
                <w:sz w:val="20"/>
                <w:szCs w:val="20"/>
                <w:lang w:eastAsia="en-US"/>
              </w:rPr>
            </w:pPr>
            <w:r w:rsidRPr="007E77AF">
              <w:rPr>
                <w:bCs/>
                <w:sz w:val="20"/>
                <w:szCs w:val="20"/>
                <w:lang w:eastAsia="en-US"/>
              </w:rPr>
              <w:t>Possibilidade de resgate antecipado compulsório</w:t>
            </w:r>
          </w:p>
        </w:tc>
        <w:tc>
          <w:tcPr>
            <w:tcW w:w="5207" w:type="dxa"/>
            <w:shd w:val="clear" w:color="auto" w:fill="auto"/>
            <w:vAlign w:val="center"/>
          </w:tcPr>
          <w:p w14:paraId="1E4EAC86"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4B3D553D"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96504B4" w14:textId="77777777" w:rsidTr="00C67B81">
        <w:trPr>
          <w:trHeight w:val="227"/>
        </w:trPr>
        <w:tc>
          <w:tcPr>
            <w:tcW w:w="3515" w:type="dxa"/>
            <w:shd w:val="clear" w:color="auto" w:fill="auto"/>
            <w:vAlign w:val="center"/>
          </w:tcPr>
          <w:p w14:paraId="7CCEE759" w14:textId="77777777" w:rsidR="009A242A" w:rsidRPr="007E77AF" w:rsidDel="00F44FEC" w:rsidRDefault="009A242A" w:rsidP="004301C4">
            <w:pPr>
              <w:rPr>
                <w:bCs/>
                <w:sz w:val="20"/>
                <w:szCs w:val="20"/>
                <w:lang w:eastAsia="en-US"/>
              </w:rPr>
            </w:pPr>
            <w:r w:rsidRPr="007E77AF">
              <w:rPr>
                <w:bCs/>
                <w:sz w:val="20"/>
                <w:szCs w:val="20"/>
                <w:lang w:eastAsia="en-US"/>
              </w:rPr>
              <w:t>Condições de recompra antecipada</w:t>
            </w:r>
          </w:p>
        </w:tc>
        <w:tc>
          <w:tcPr>
            <w:tcW w:w="5207" w:type="dxa"/>
            <w:shd w:val="clear" w:color="auto" w:fill="auto"/>
            <w:vAlign w:val="center"/>
          </w:tcPr>
          <w:p w14:paraId="288E3E9D"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7404DB7B"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3D982E6" w14:textId="77777777" w:rsidTr="00C67B81">
        <w:trPr>
          <w:trHeight w:val="227"/>
        </w:trPr>
        <w:tc>
          <w:tcPr>
            <w:tcW w:w="3515" w:type="dxa"/>
            <w:shd w:val="clear" w:color="auto" w:fill="auto"/>
            <w:vAlign w:val="center"/>
          </w:tcPr>
          <w:p w14:paraId="33725385" w14:textId="77777777" w:rsidR="009A242A" w:rsidRPr="007E77AF" w:rsidDel="00F44FEC" w:rsidRDefault="009A242A" w:rsidP="004301C4">
            <w:pPr>
              <w:rPr>
                <w:bCs/>
                <w:sz w:val="20"/>
                <w:szCs w:val="20"/>
                <w:lang w:eastAsia="en-US"/>
              </w:rPr>
            </w:pPr>
            <w:r w:rsidRPr="007E77AF">
              <w:rPr>
                <w:bCs/>
                <w:sz w:val="20"/>
                <w:szCs w:val="20"/>
                <w:lang w:eastAsia="en-US"/>
              </w:rPr>
              <w:t>Condições de vencimento antecipado</w:t>
            </w:r>
          </w:p>
        </w:tc>
        <w:tc>
          <w:tcPr>
            <w:tcW w:w="5207" w:type="dxa"/>
            <w:shd w:val="clear" w:color="auto" w:fill="auto"/>
            <w:vAlign w:val="center"/>
          </w:tcPr>
          <w:p w14:paraId="43FADEF9"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0A48BF24" w14:textId="77777777" w:rsidR="009A242A" w:rsidRPr="007E77AF" w:rsidDel="00F44FEC"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C67B81" w:rsidRPr="007E77AF" w14:paraId="77EAC1C9" w14:textId="77777777" w:rsidTr="00C67B81">
        <w:trPr>
          <w:trHeight w:val="227"/>
        </w:trPr>
        <w:tc>
          <w:tcPr>
            <w:tcW w:w="3515" w:type="dxa"/>
            <w:shd w:val="clear" w:color="auto" w:fill="auto"/>
            <w:vAlign w:val="center"/>
            <w:hideMark/>
          </w:tcPr>
          <w:p w14:paraId="6A7F7B95" w14:textId="77777777" w:rsidR="009A242A" w:rsidRPr="007E77AF" w:rsidRDefault="009A242A" w:rsidP="004301C4">
            <w:pPr>
              <w:rPr>
                <w:bCs/>
                <w:sz w:val="20"/>
                <w:szCs w:val="20"/>
                <w:lang w:eastAsia="en-US"/>
              </w:rPr>
            </w:pPr>
            <w:r w:rsidRPr="007E77AF">
              <w:rPr>
                <w:bCs/>
                <w:sz w:val="20"/>
                <w:szCs w:val="20"/>
                <w:lang w:eastAsia="en-US"/>
              </w:rPr>
              <w:t>Restrições à livre negociação</w:t>
            </w:r>
          </w:p>
        </w:tc>
        <w:tc>
          <w:tcPr>
            <w:tcW w:w="5207" w:type="dxa"/>
            <w:shd w:val="clear" w:color="auto" w:fill="auto"/>
            <w:hideMark/>
          </w:tcPr>
          <w:p w14:paraId="37B4EEA7" w14:textId="324A9157" w:rsidR="009A242A" w:rsidRPr="007E77AF" w:rsidRDefault="009A242A" w:rsidP="009B4EF1">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proofErr w:type="spellStart"/>
            <w:r w:rsidRPr="00986942">
              <w:rPr>
                <w:b/>
                <w:sz w:val="20"/>
              </w:rPr>
              <w:t>lock-up</w:t>
            </w:r>
            <w:proofErr w:type="spellEnd"/>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96" w:type="dxa"/>
            <w:shd w:val="clear" w:color="auto" w:fill="auto"/>
            <w:vAlign w:val="center"/>
            <w:hideMark/>
          </w:tcPr>
          <w:p w14:paraId="3334493F"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C67B81" w:rsidRPr="007E77AF" w14:paraId="73FF40EA" w14:textId="77777777" w:rsidTr="00C67B81">
        <w:trPr>
          <w:trHeight w:val="227"/>
        </w:trPr>
        <w:tc>
          <w:tcPr>
            <w:tcW w:w="3515" w:type="dxa"/>
            <w:shd w:val="clear" w:color="auto" w:fill="auto"/>
            <w:vAlign w:val="center"/>
          </w:tcPr>
          <w:p w14:paraId="04193C4D" w14:textId="77777777" w:rsidR="009A242A" w:rsidRPr="007E77AF" w:rsidRDefault="009A242A" w:rsidP="004301C4">
            <w:pPr>
              <w:rPr>
                <w:bCs/>
                <w:sz w:val="20"/>
                <w:szCs w:val="20"/>
                <w:lang w:eastAsia="en-US"/>
              </w:rPr>
            </w:pPr>
            <w:r w:rsidRPr="007E77AF">
              <w:rPr>
                <w:bCs/>
                <w:sz w:val="20"/>
                <w:szCs w:val="20"/>
                <w:lang w:eastAsia="en-US"/>
              </w:rPr>
              <w:t>Formador de mercado</w:t>
            </w:r>
          </w:p>
        </w:tc>
        <w:tc>
          <w:tcPr>
            <w:tcW w:w="5207" w:type="dxa"/>
            <w:shd w:val="clear" w:color="auto" w:fill="auto"/>
          </w:tcPr>
          <w:p w14:paraId="572B0840" w14:textId="77777777" w:rsidR="009A242A" w:rsidRPr="007E77AF" w:rsidRDefault="009A242A" w:rsidP="004301C4">
            <w:pPr>
              <w:jc w:val="center"/>
              <w:rPr>
                <w:bCs/>
                <w:sz w:val="20"/>
                <w:szCs w:val="20"/>
                <w:lang w:eastAsia="en-US"/>
              </w:rPr>
            </w:pPr>
          </w:p>
        </w:tc>
        <w:tc>
          <w:tcPr>
            <w:tcW w:w="1396" w:type="dxa"/>
            <w:shd w:val="clear" w:color="auto" w:fill="auto"/>
            <w:vAlign w:val="center"/>
          </w:tcPr>
          <w:p w14:paraId="28E85485" w14:textId="77777777" w:rsidR="009A242A" w:rsidRPr="007E77AF" w:rsidRDefault="009A242A" w:rsidP="004301C4">
            <w:pPr>
              <w:jc w:val="center"/>
              <w:rPr>
                <w:bCs/>
                <w:sz w:val="20"/>
                <w:szCs w:val="20"/>
                <w:lang w:eastAsia="en-US"/>
              </w:rPr>
            </w:pPr>
          </w:p>
        </w:tc>
      </w:tr>
      <w:tr w:rsidR="009A242A" w:rsidRPr="007E77AF" w14:paraId="6116D4AE" w14:textId="77777777" w:rsidTr="491E246D">
        <w:trPr>
          <w:trHeight w:val="466"/>
        </w:trPr>
        <w:tc>
          <w:tcPr>
            <w:tcW w:w="10118" w:type="dxa"/>
            <w:gridSpan w:val="3"/>
            <w:shd w:val="clear" w:color="auto" w:fill="auto"/>
            <w:vAlign w:val="center"/>
          </w:tcPr>
          <w:p w14:paraId="226A3F9B"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Garantias (se houver)</w:t>
            </w:r>
          </w:p>
        </w:tc>
      </w:tr>
      <w:tr w:rsidR="00C67B81" w:rsidRPr="007E77AF" w14:paraId="404160FC" w14:textId="77777777" w:rsidTr="00C67B81">
        <w:trPr>
          <w:trHeight w:val="227"/>
        </w:trPr>
        <w:tc>
          <w:tcPr>
            <w:tcW w:w="3515" w:type="dxa"/>
            <w:shd w:val="clear" w:color="auto" w:fill="auto"/>
            <w:vAlign w:val="center"/>
          </w:tcPr>
          <w:p w14:paraId="43E9F9F7" w14:textId="77777777" w:rsidR="009A242A" w:rsidRPr="007E77AF" w:rsidRDefault="009A242A" w:rsidP="004301C4">
            <w:pPr>
              <w:rPr>
                <w:bCs/>
                <w:sz w:val="20"/>
                <w:szCs w:val="20"/>
                <w:lang w:eastAsia="en-US"/>
              </w:rPr>
            </w:pPr>
            <w:r w:rsidRPr="007E77AF">
              <w:rPr>
                <w:bCs/>
                <w:sz w:val="20"/>
                <w:szCs w:val="20"/>
                <w:lang w:eastAsia="en-US"/>
              </w:rPr>
              <w:t>Garantia 1</w:t>
            </w:r>
          </w:p>
        </w:tc>
        <w:tc>
          <w:tcPr>
            <w:tcW w:w="5207" w:type="dxa"/>
            <w:shd w:val="clear" w:color="auto" w:fill="auto"/>
          </w:tcPr>
          <w:p w14:paraId="02276202"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6" w:type="dxa"/>
            <w:shd w:val="clear" w:color="auto" w:fill="auto"/>
            <w:vAlign w:val="center"/>
          </w:tcPr>
          <w:p w14:paraId="3BE7A21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C67B81" w:rsidRPr="007E77AF" w14:paraId="11D18693" w14:textId="77777777" w:rsidTr="00C67B81">
        <w:trPr>
          <w:trHeight w:val="227"/>
        </w:trPr>
        <w:tc>
          <w:tcPr>
            <w:tcW w:w="3515" w:type="dxa"/>
            <w:shd w:val="clear" w:color="auto" w:fill="auto"/>
            <w:vAlign w:val="center"/>
          </w:tcPr>
          <w:p w14:paraId="2732893A" w14:textId="77777777" w:rsidR="009A242A" w:rsidRPr="007E77AF" w:rsidRDefault="009A242A" w:rsidP="004301C4">
            <w:pPr>
              <w:rPr>
                <w:bCs/>
                <w:sz w:val="20"/>
                <w:szCs w:val="20"/>
                <w:lang w:eastAsia="en-US"/>
              </w:rPr>
            </w:pPr>
            <w:r w:rsidRPr="007E77AF">
              <w:rPr>
                <w:bCs/>
                <w:sz w:val="20"/>
                <w:szCs w:val="20"/>
                <w:lang w:eastAsia="en-US"/>
              </w:rPr>
              <w:t>Garantia 2</w:t>
            </w:r>
          </w:p>
        </w:tc>
        <w:tc>
          <w:tcPr>
            <w:tcW w:w="5207" w:type="dxa"/>
            <w:shd w:val="clear" w:color="auto" w:fill="auto"/>
          </w:tcPr>
          <w:p w14:paraId="58C73C34"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6" w:type="dxa"/>
            <w:shd w:val="clear" w:color="auto" w:fill="auto"/>
            <w:vAlign w:val="center"/>
          </w:tcPr>
          <w:p w14:paraId="6E5D7154"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69BC89E" w14:textId="77777777" w:rsidTr="491E246D">
        <w:trPr>
          <w:trHeight w:val="227"/>
        </w:trPr>
        <w:tc>
          <w:tcPr>
            <w:tcW w:w="10118" w:type="dxa"/>
            <w:gridSpan w:val="3"/>
            <w:shd w:val="clear" w:color="auto" w:fill="auto"/>
            <w:vAlign w:val="center"/>
          </w:tcPr>
          <w:p w14:paraId="2E246DFA"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Classificação de risco (se houver)</w:t>
            </w:r>
          </w:p>
        </w:tc>
      </w:tr>
      <w:tr w:rsidR="009A242A" w:rsidRPr="007E77AF" w14:paraId="772E0EF1" w14:textId="77777777" w:rsidTr="00C67B81">
        <w:trPr>
          <w:trHeight w:val="227"/>
        </w:trPr>
        <w:tc>
          <w:tcPr>
            <w:tcW w:w="3515" w:type="dxa"/>
            <w:shd w:val="clear" w:color="auto" w:fill="auto"/>
            <w:vAlign w:val="center"/>
          </w:tcPr>
          <w:p w14:paraId="616C2319" w14:textId="77777777" w:rsidR="009A242A" w:rsidRPr="007E77AF" w:rsidRDefault="009A242A" w:rsidP="004301C4">
            <w:pPr>
              <w:rPr>
                <w:bCs/>
                <w:sz w:val="20"/>
                <w:szCs w:val="20"/>
                <w:lang w:eastAsia="en-US"/>
              </w:rPr>
            </w:pPr>
            <w:r w:rsidRPr="007E77AF">
              <w:rPr>
                <w:bCs/>
                <w:sz w:val="20"/>
                <w:szCs w:val="20"/>
                <w:lang w:eastAsia="en-US"/>
              </w:rPr>
              <w:t>Agência de Classificação de Risco</w:t>
            </w:r>
          </w:p>
        </w:tc>
        <w:tc>
          <w:tcPr>
            <w:tcW w:w="5207" w:type="dxa"/>
            <w:shd w:val="clear" w:color="auto" w:fill="auto"/>
            <w:vAlign w:val="center"/>
          </w:tcPr>
          <w:p w14:paraId="0C8B5DC9" w14:textId="77777777" w:rsidR="009A242A" w:rsidRPr="007E77AF" w:rsidRDefault="009A242A" w:rsidP="004301C4">
            <w:pPr>
              <w:jc w:val="center"/>
              <w:rPr>
                <w:bCs/>
                <w:sz w:val="20"/>
                <w:szCs w:val="20"/>
                <w:lang w:eastAsia="en-US"/>
              </w:rPr>
            </w:pPr>
          </w:p>
        </w:tc>
        <w:tc>
          <w:tcPr>
            <w:tcW w:w="1396" w:type="dxa"/>
            <w:shd w:val="clear" w:color="auto" w:fill="auto"/>
          </w:tcPr>
          <w:p w14:paraId="5999AA7B"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C3EDCC3" w14:textId="77777777" w:rsidTr="00C67B81">
        <w:trPr>
          <w:trHeight w:val="227"/>
        </w:trPr>
        <w:tc>
          <w:tcPr>
            <w:tcW w:w="3515" w:type="dxa"/>
            <w:shd w:val="clear" w:color="auto" w:fill="auto"/>
            <w:vAlign w:val="center"/>
          </w:tcPr>
          <w:p w14:paraId="3D0020B9" w14:textId="77777777" w:rsidR="009A242A" w:rsidRPr="007E77AF" w:rsidRDefault="009A242A" w:rsidP="004301C4">
            <w:pPr>
              <w:rPr>
                <w:bCs/>
                <w:sz w:val="20"/>
                <w:szCs w:val="20"/>
                <w:lang w:eastAsia="en-US"/>
              </w:rPr>
            </w:pPr>
            <w:r w:rsidRPr="007E77AF">
              <w:rPr>
                <w:bCs/>
                <w:sz w:val="20"/>
                <w:szCs w:val="20"/>
                <w:lang w:eastAsia="en-US"/>
              </w:rPr>
              <w:t>Classificação de Risco</w:t>
            </w:r>
          </w:p>
        </w:tc>
        <w:tc>
          <w:tcPr>
            <w:tcW w:w="5207" w:type="dxa"/>
            <w:shd w:val="clear" w:color="auto" w:fill="auto"/>
            <w:vAlign w:val="center"/>
          </w:tcPr>
          <w:p w14:paraId="48F425B5" w14:textId="77777777" w:rsidR="009A242A" w:rsidRPr="007E77AF" w:rsidRDefault="009A242A" w:rsidP="004301C4">
            <w:pPr>
              <w:jc w:val="center"/>
              <w:rPr>
                <w:bCs/>
                <w:sz w:val="20"/>
                <w:szCs w:val="20"/>
                <w:lang w:eastAsia="en-US"/>
              </w:rPr>
            </w:pPr>
          </w:p>
        </w:tc>
        <w:tc>
          <w:tcPr>
            <w:tcW w:w="1396" w:type="dxa"/>
            <w:shd w:val="clear" w:color="auto" w:fill="auto"/>
          </w:tcPr>
          <w:p w14:paraId="59577C0D"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3F981C5" w14:textId="77777777" w:rsidTr="00C67B81">
        <w:trPr>
          <w:trHeight w:val="390"/>
        </w:trPr>
        <w:tc>
          <w:tcPr>
            <w:tcW w:w="8722" w:type="dxa"/>
            <w:gridSpan w:val="2"/>
            <w:shd w:val="clear" w:color="auto" w:fill="auto"/>
            <w:vAlign w:val="center"/>
            <w:hideMark/>
          </w:tcPr>
          <w:p w14:paraId="62A7D6BE" w14:textId="0F70EC1F"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t>4</w:t>
            </w:r>
            <w:r w:rsidRPr="007E77AF">
              <w:rPr>
                <w:rFonts w:ascii="Calibri" w:hAnsi="Calibri"/>
                <w:b/>
                <w:bCs/>
                <w:sz w:val="20"/>
                <w:szCs w:val="20"/>
                <w:lang w:eastAsia="en-US"/>
              </w:rPr>
              <w:t>. Informações sobre o investimento e calendário da oferta</w:t>
            </w:r>
          </w:p>
        </w:tc>
        <w:tc>
          <w:tcPr>
            <w:tcW w:w="1396" w:type="dxa"/>
            <w:shd w:val="clear" w:color="auto" w:fill="auto"/>
            <w:vAlign w:val="center"/>
            <w:hideMark/>
          </w:tcPr>
          <w:p w14:paraId="5BE60FD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2D2D513" w14:textId="77777777" w:rsidTr="491E246D">
        <w:trPr>
          <w:trHeight w:val="390"/>
        </w:trPr>
        <w:tc>
          <w:tcPr>
            <w:tcW w:w="10118" w:type="dxa"/>
            <w:gridSpan w:val="3"/>
            <w:shd w:val="clear" w:color="auto" w:fill="auto"/>
            <w:vAlign w:val="center"/>
            <w:hideMark/>
          </w:tcPr>
          <w:p w14:paraId="35F428ED"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09EEB781" w14:textId="77777777" w:rsidTr="00C67B81">
        <w:trPr>
          <w:trHeight w:val="227"/>
        </w:trPr>
        <w:tc>
          <w:tcPr>
            <w:tcW w:w="3515" w:type="dxa"/>
            <w:shd w:val="clear" w:color="auto" w:fill="auto"/>
            <w:vAlign w:val="center"/>
            <w:hideMark/>
          </w:tcPr>
          <w:p w14:paraId="1D4536F6"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5207" w:type="dxa"/>
            <w:shd w:val="clear" w:color="auto" w:fill="auto"/>
            <w:hideMark/>
          </w:tcPr>
          <w:p w14:paraId="035A34FE"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w:t>
            </w:r>
            <w:proofErr w:type="gramStart"/>
            <w:r w:rsidRPr="007E77AF">
              <w:rPr>
                <w:bCs/>
                <w:sz w:val="20"/>
                <w:szCs w:val="20"/>
                <w:lang w:eastAsia="en-US"/>
              </w:rPr>
              <w:t>] Público</w:t>
            </w:r>
            <w:proofErr w:type="gramEnd"/>
            <w:r w:rsidRPr="007E77AF">
              <w:rPr>
                <w:bCs/>
                <w:sz w:val="20"/>
                <w:szCs w:val="20"/>
                <w:lang w:eastAsia="en-US"/>
              </w:rPr>
              <w:t xml:space="preserve"> em geral</w:t>
            </w:r>
          </w:p>
        </w:tc>
        <w:tc>
          <w:tcPr>
            <w:tcW w:w="1396" w:type="dxa"/>
            <w:shd w:val="clear" w:color="auto" w:fill="auto"/>
            <w:hideMark/>
          </w:tcPr>
          <w:p w14:paraId="36AF9B8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88EA802" w14:textId="77777777" w:rsidTr="00C67B81">
        <w:trPr>
          <w:trHeight w:val="227"/>
        </w:trPr>
        <w:tc>
          <w:tcPr>
            <w:tcW w:w="3515" w:type="dxa"/>
            <w:shd w:val="clear" w:color="auto" w:fill="auto"/>
            <w:vAlign w:val="center"/>
            <w:hideMark/>
          </w:tcPr>
          <w:p w14:paraId="26029673" w14:textId="7A1F15A2"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5207" w:type="dxa"/>
            <w:shd w:val="clear" w:color="auto" w:fill="auto"/>
            <w:vAlign w:val="center"/>
            <w:hideMark/>
          </w:tcPr>
          <w:p w14:paraId="4C52714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hideMark/>
          </w:tcPr>
          <w:p w14:paraId="11D1614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DCA0BF0" w14:textId="77777777" w:rsidTr="00C67B81">
        <w:trPr>
          <w:trHeight w:val="227"/>
        </w:trPr>
        <w:tc>
          <w:tcPr>
            <w:tcW w:w="3515" w:type="dxa"/>
            <w:shd w:val="clear" w:color="auto" w:fill="auto"/>
            <w:vAlign w:val="center"/>
            <w:hideMark/>
          </w:tcPr>
          <w:p w14:paraId="03D010D3"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5207" w:type="dxa"/>
            <w:shd w:val="clear" w:color="auto" w:fill="auto"/>
            <w:vAlign w:val="center"/>
            <w:hideMark/>
          </w:tcPr>
          <w:p w14:paraId="602215B0" w14:textId="77777777" w:rsidR="009A242A" w:rsidRPr="007E77AF" w:rsidRDefault="009A242A" w:rsidP="004301C4">
            <w:pPr>
              <w:jc w:val="center"/>
              <w:rPr>
                <w:bCs/>
                <w:sz w:val="20"/>
                <w:szCs w:val="20"/>
                <w:lang w:eastAsia="en-US"/>
              </w:rPr>
            </w:pPr>
            <w:r w:rsidRPr="007E77AF">
              <w:rPr>
                <w:bCs/>
                <w:sz w:val="20"/>
                <w:szCs w:val="20"/>
                <w:lang w:eastAsia="en-US"/>
              </w:rPr>
              <w:t>Em R$ (até 2 casas decimais)</w:t>
            </w:r>
          </w:p>
        </w:tc>
        <w:tc>
          <w:tcPr>
            <w:tcW w:w="1396" w:type="dxa"/>
            <w:shd w:val="clear" w:color="auto" w:fill="auto"/>
            <w:hideMark/>
          </w:tcPr>
          <w:p w14:paraId="16A6F322"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29673C7" w14:textId="77777777" w:rsidTr="00C67B81">
        <w:trPr>
          <w:trHeight w:val="227"/>
        </w:trPr>
        <w:tc>
          <w:tcPr>
            <w:tcW w:w="3515" w:type="dxa"/>
            <w:shd w:val="clear" w:color="auto" w:fill="auto"/>
            <w:vAlign w:val="center"/>
            <w:hideMark/>
          </w:tcPr>
          <w:p w14:paraId="6B38AC95"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5207" w:type="dxa"/>
            <w:shd w:val="clear" w:color="auto" w:fill="auto"/>
            <w:vAlign w:val="center"/>
            <w:hideMark/>
          </w:tcPr>
          <w:p w14:paraId="7841CB62"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hideMark/>
          </w:tcPr>
          <w:p w14:paraId="0F24672A"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2CE78EC" w14:textId="77777777" w:rsidTr="00C67B81">
        <w:trPr>
          <w:trHeight w:val="227"/>
        </w:trPr>
        <w:tc>
          <w:tcPr>
            <w:tcW w:w="3515" w:type="dxa"/>
            <w:shd w:val="clear" w:color="auto" w:fill="auto"/>
            <w:vAlign w:val="center"/>
            <w:hideMark/>
          </w:tcPr>
          <w:p w14:paraId="60E451A3"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5207" w:type="dxa"/>
            <w:shd w:val="clear" w:color="auto" w:fill="auto"/>
            <w:vAlign w:val="center"/>
            <w:hideMark/>
          </w:tcPr>
          <w:p w14:paraId="321CCAD6"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159E3E73"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C67B81" w:rsidRPr="007E77AF" w14:paraId="7FC1B29A" w14:textId="77777777" w:rsidTr="00C67B81">
        <w:trPr>
          <w:trHeight w:val="227"/>
        </w:trPr>
        <w:tc>
          <w:tcPr>
            <w:tcW w:w="3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01E9F2" w14:textId="77777777" w:rsidR="009A242A" w:rsidRPr="007E77AF" w:rsidRDefault="009A242A" w:rsidP="006C2466">
            <w:pPr>
              <w:rPr>
                <w:bCs/>
                <w:sz w:val="20"/>
                <w:szCs w:val="20"/>
                <w:lang w:eastAsia="en-US"/>
              </w:rPr>
            </w:pPr>
            <w:r w:rsidRPr="007E77AF">
              <w:rPr>
                <w:bCs/>
                <w:sz w:val="20"/>
                <w:szCs w:val="20"/>
                <w:lang w:eastAsia="en-US"/>
              </w:rPr>
              <w:t>Como poderei saber o resultado do rateio?</w:t>
            </w:r>
          </w:p>
        </w:tc>
        <w:tc>
          <w:tcPr>
            <w:tcW w:w="5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8DEA0" w14:textId="77777777" w:rsidR="009A242A" w:rsidRPr="007E77AF" w:rsidRDefault="009A242A" w:rsidP="006C2466">
            <w:pPr>
              <w:jc w:val="center"/>
              <w:rPr>
                <w:bCs/>
                <w:sz w:val="20"/>
                <w:szCs w:val="20"/>
                <w:lang w:eastAsia="en-US"/>
              </w:rPr>
            </w:pPr>
            <w:r w:rsidRPr="007E77AF">
              <w:rPr>
                <w:bCs/>
                <w:sz w:val="20"/>
                <w:szCs w:val="20"/>
                <w:lang w:eastAsia="en-US"/>
              </w:rPr>
              <w:t>[Máx. 25 palavras]</w:t>
            </w:r>
          </w:p>
        </w:tc>
        <w:tc>
          <w:tcPr>
            <w:tcW w:w="1396" w:type="dxa"/>
            <w:tcBorders>
              <w:top w:val="single" w:sz="8" w:space="0" w:color="auto"/>
              <w:left w:val="single" w:sz="8" w:space="0" w:color="auto"/>
              <w:bottom w:val="single" w:sz="8" w:space="0" w:color="auto"/>
              <w:right w:val="single" w:sz="8" w:space="0" w:color="auto"/>
            </w:tcBorders>
            <w:shd w:val="clear" w:color="auto" w:fill="auto"/>
            <w:hideMark/>
          </w:tcPr>
          <w:p w14:paraId="320187C1" w14:textId="77777777" w:rsidR="009A242A" w:rsidRPr="007E77AF" w:rsidRDefault="009A242A" w:rsidP="006C2466">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2F3C359" w14:textId="77777777" w:rsidTr="00C67B81">
        <w:trPr>
          <w:trHeight w:val="227"/>
        </w:trPr>
        <w:tc>
          <w:tcPr>
            <w:tcW w:w="3515" w:type="dxa"/>
            <w:shd w:val="clear" w:color="auto" w:fill="auto"/>
            <w:vAlign w:val="center"/>
            <w:hideMark/>
          </w:tcPr>
          <w:p w14:paraId="44EDC6B1" w14:textId="77777777" w:rsidR="009A242A" w:rsidRPr="007E77AF" w:rsidRDefault="009A242A" w:rsidP="004301C4">
            <w:pPr>
              <w:rPr>
                <w:bCs/>
                <w:sz w:val="20"/>
                <w:szCs w:val="20"/>
                <w:lang w:eastAsia="en-US"/>
              </w:rPr>
            </w:pPr>
            <w:r w:rsidRPr="007E77AF">
              <w:rPr>
                <w:bCs/>
                <w:sz w:val="20"/>
                <w:szCs w:val="20"/>
                <w:lang w:eastAsia="en-US"/>
              </w:rPr>
              <w:t>O ofertante pode desistir da oferta?</w:t>
            </w:r>
          </w:p>
        </w:tc>
        <w:tc>
          <w:tcPr>
            <w:tcW w:w="5207" w:type="dxa"/>
            <w:shd w:val="clear" w:color="auto" w:fill="auto"/>
            <w:vAlign w:val="center"/>
            <w:hideMark/>
          </w:tcPr>
          <w:p w14:paraId="70EC3ACE"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3198EE1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03121DB" w14:textId="77777777" w:rsidTr="00C67B81">
        <w:trPr>
          <w:trHeight w:val="227"/>
        </w:trPr>
        <w:tc>
          <w:tcPr>
            <w:tcW w:w="3515" w:type="dxa"/>
            <w:shd w:val="clear" w:color="auto" w:fill="auto"/>
            <w:vAlign w:val="center"/>
            <w:hideMark/>
          </w:tcPr>
          <w:p w14:paraId="6C9A0DFD"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5207" w:type="dxa"/>
            <w:shd w:val="clear" w:color="auto" w:fill="auto"/>
            <w:vAlign w:val="center"/>
            <w:hideMark/>
          </w:tcPr>
          <w:p w14:paraId="6D1788E3"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3AEB4E8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A62EA4A" w14:textId="77777777" w:rsidTr="00C67B81">
        <w:trPr>
          <w:trHeight w:val="227"/>
        </w:trPr>
        <w:tc>
          <w:tcPr>
            <w:tcW w:w="3515" w:type="dxa"/>
            <w:shd w:val="clear" w:color="auto" w:fill="auto"/>
            <w:vAlign w:val="center"/>
            <w:hideMark/>
          </w:tcPr>
          <w:p w14:paraId="27ECB5F6" w14:textId="77777777" w:rsidR="009A242A" w:rsidRPr="007E77AF" w:rsidRDefault="009A242A" w:rsidP="004301C4">
            <w:pPr>
              <w:rPr>
                <w:bCs/>
                <w:sz w:val="20"/>
                <w:szCs w:val="20"/>
                <w:lang w:eastAsia="en-US"/>
              </w:rPr>
            </w:pPr>
            <w:r w:rsidRPr="007E77AF">
              <w:rPr>
                <w:bCs/>
                <w:sz w:val="20"/>
                <w:szCs w:val="20"/>
                <w:lang w:eastAsia="en-US"/>
              </w:rPr>
              <w:t xml:space="preserve">Indicação de local para obtenção do Prospecto </w:t>
            </w:r>
          </w:p>
        </w:tc>
        <w:tc>
          <w:tcPr>
            <w:tcW w:w="5207" w:type="dxa"/>
            <w:shd w:val="clear" w:color="auto" w:fill="auto"/>
            <w:vAlign w:val="center"/>
            <w:hideMark/>
          </w:tcPr>
          <w:p w14:paraId="3F0D6B52"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396" w:type="dxa"/>
            <w:shd w:val="clear" w:color="auto" w:fill="auto"/>
            <w:vAlign w:val="center"/>
            <w:hideMark/>
          </w:tcPr>
          <w:p w14:paraId="00DAF12D" w14:textId="77777777" w:rsidR="009A242A" w:rsidRPr="007E77AF" w:rsidRDefault="009A242A" w:rsidP="004301C4">
            <w:pPr>
              <w:jc w:val="center"/>
              <w:rPr>
                <w:bCs/>
                <w:sz w:val="20"/>
                <w:szCs w:val="20"/>
                <w:lang w:eastAsia="en-US"/>
              </w:rPr>
            </w:pPr>
          </w:p>
        </w:tc>
      </w:tr>
      <w:tr w:rsidR="009A242A" w:rsidRPr="007E77AF" w14:paraId="2B7C0421" w14:textId="77777777" w:rsidTr="00C67B81">
        <w:trPr>
          <w:trHeight w:val="227"/>
        </w:trPr>
        <w:tc>
          <w:tcPr>
            <w:tcW w:w="3515" w:type="dxa"/>
            <w:shd w:val="clear" w:color="auto" w:fill="auto"/>
            <w:vAlign w:val="center"/>
            <w:hideMark/>
          </w:tcPr>
          <w:p w14:paraId="6FC319C2"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5207" w:type="dxa"/>
            <w:shd w:val="clear" w:color="auto" w:fill="auto"/>
            <w:vAlign w:val="center"/>
            <w:hideMark/>
          </w:tcPr>
          <w:p w14:paraId="2AC01CF7"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396" w:type="dxa"/>
            <w:shd w:val="clear" w:color="auto" w:fill="auto"/>
            <w:vAlign w:val="center"/>
            <w:hideMark/>
          </w:tcPr>
          <w:p w14:paraId="27240261"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DA2F226" w14:textId="77777777" w:rsidTr="00C67B81">
        <w:trPr>
          <w:trHeight w:val="227"/>
        </w:trPr>
        <w:tc>
          <w:tcPr>
            <w:tcW w:w="3515" w:type="dxa"/>
            <w:shd w:val="clear" w:color="auto" w:fill="auto"/>
            <w:vAlign w:val="center"/>
          </w:tcPr>
          <w:p w14:paraId="4FB72501" w14:textId="77777777" w:rsidR="009A242A" w:rsidRPr="007E77AF" w:rsidRDefault="009A242A" w:rsidP="004301C4">
            <w:pPr>
              <w:rPr>
                <w:bCs/>
                <w:sz w:val="20"/>
                <w:szCs w:val="20"/>
                <w:lang w:eastAsia="en-US"/>
              </w:rPr>
            </w:pPr>
            <w:r w:rsidRPr="007E77AF">
              <w:rPr>
                <w:bCs/>
                <w:sz w:val="20"/>
                <w:szCs w:val="20"/>
                <w:lang w:eastAsia="en-US"/>
              </w:rPr>
              <w:t>Outras instituições participantes da distribuição</w:t>
            </w:r>
          </w:p>
        </w:tc>
        <w:tc>
          <w:tcPr>
            <w:tcW w:w="5207" w:type="dxa"/>
            <w:shd w:val="clear" w:color="auto" w:fill="auto"/>
            <w:vAlign w:val="center"/>
          </w:tcPr>
          <w:p w14:paraId="401367FD"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vAlign w:val="center"/>
          </w:tcPr>
          <w:p w14:paraId="43891978"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5084D16" w14:textId="77777777" w:rsidTr="00C67B81">
        <w:trPr>
          <w:trHeight w:val="227"/>
        </w:trPr>
        <w:tc>
          <w:tcPr>
            <w:tcW w:w="3515" w:type="dxa"/>
            <w:shd w:val="clear" w:color="auto" w:fill="auto"/>
            <w:vAlign w:val="center"/>
          </w:tcPr>
          <w:p w14:paraId="6F3088AC" w14:textId="77777777" w:rsidR="009A242A" w:rsidRPr="007E77AF" w:rsidRDefault="009A242A" w:rsidP="004301C4">
            <w:pPr>
              <w:rPr>
                <w:bCs/>
                <w:sz w:val="20"/>
                <w:szCs w:val="20"/>
                <w:lang w:eastAsia="en-US"/>
              </w:rPr>
            </w:pPr>
            <w:r w:rsidRPr="007E77AF">
              <w:rPr>
                <w:bCs/>
                <w:sz w:val="20"/>
                <w:szCs w:val="20"/>
                <w:lang w:eastAsia="en-US"/>
              </w:rPr>
              <w:lastRenderedPageBreak/>
              <w:t>Procedimento de colocação</w:t>
            </w:r>
          </w:p>
        </w:tc>
        <w:tc>
          <w:tcPr>
            <w:tcW w:w="5207" w:type="dxa"/>
            <w:shd w:val="clear" w:color="auto" w:fill="auto"/>
            <w:vAlign w:val="center"/>
          </w:tcPr>
          <w:p w14:paraId="33F82BD7" w14:textId="77777777" w:rsidR="009A242A" w:rsidRPr="007E77AF" w:rsidRDefault="009A242A" w:rsidP="004301C4">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Melhores esforços / [  ] Garantia Firme / [  ]Compromisso de Subscrição</w:t>
            </w:r>
          </w:p>
        </w:tc>
        <w:tc>
          <w:tcPr>
            <w:tcW w:w="1396" w:type="dxa"/>
            <w:shd w:val="clear" w:color="auto" w:fill="auto"/>
            <w:vAlign w:val="center"/>
          </w:tcPr>
          <w:p w14:paraId="52B6AC9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1E279492" w14:textId="77777777" w:rsidTr="491E246D">
        <w:trPr>
          <w:trHeight w:val="390"/>
        </w:trPr>
        <w:tc>
          <w:tcPr>
            <w:tcW w:w="10118" w:type="dxa"/>
            <w:gridSpan w:val="3"/>
            <w:shd w:val="clear" w:color="auto" w:fill="auto"/>
            <w:vAlign w:val="center"/>
            <w:hideMark/>
          </w:tcPr>
          <w:p w14:paraId="6A822739"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3CFA31B8" w14:textId="77777777" w:rsidTr="00C67B81">
        <w:trPr>
          <w:trHeight w:val="227"/>
        </w:trPr>
        <w:tc>
          <w:tcPr>
            <w:tcW w:w="3515" w:type="dxa"/>
            <w:shd w:val="clear" w:color="auto" w:fill="auto"/>
            <w:vAlign w:val="center"/>
            <w:hideMark/>
          </w:tcPr>
          <w:p w14:paraId="6F7B56DD"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5207" w:type="dxa"/>
            <w:shd w:val="clear" w:color="auto" w:fill="auto"/>
            <w:vAlign w:val="center"/>
            <w:hideMark/>
          </w:tcPr>
          <w:p w14:paraId="69C05478"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396" w:type="dxa"/>
            <w:shd w:val="clear" w:color="auto" w:fill="auto"/>
            <w:hideMark/>
          </w:tcPr>
          <w:p w14:paraId="127566E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2064FEE" w14:textId="77777777" w:rsidTr="00C67B81">
        <w:trPr>
          <w:trHeight w:val="227"/>
        </w:trPr>
        <w:tc>
          <w:tcPr>
            <w:tcW w:w="3515" w:type="dxa"/>
            <w:shd w:val="clear" w:color="auto" w:fill="auto"/>
            <w:vAlign w:val="center"/>
            <w:hideMark/>
          </w:tcPr>
          <w:p w14:paraId="65522C58"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5207" w:type="dxa"/>
            <w:shd w:val="clear" w:color="auto" w:fill="auto"/>
            <w:vAlign w:val="center"/>
            <w:hideMark/>
          </w:tcPr>
          <w:p w14:paraId="1C7C1745"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5F9569BD"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C67B81" w:rsidRPr="007E77AF" w14:paraId="3A8825BF" w14:textId="77777777" w:rsidTr="00C67B81">
        <w:trPr>
          <w:trHeight w:val="227"/>
        </w:trPr>
        <w:tc>
          <w:tcPr>
            <w:tcW w:w="3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50FE3" w14:textId="77777777" w:rsidR="009A242A" w:rsidRPr="007E77AF" w:rsidRDefault="009A242A" w:rsidP="006C2466">
            <w:pPr>
              <w:rPr>
                <w:bCs/>
                <w:sz w:val="20"/>
                <w:szCs w:val="20"/>
                <w:lang w:eastAsia="en-US"/>
              </w:rPr>
            </w:pPr>
            <w:r w:rsidRPr="007E77AF">
              <w:rPr>
                <w:bCs/>
                <w:sz w:val="20"/>
                <w:szCs w:val="20"/>
                <w:lang w:eastAsia="en-US"/>
              </w:rPr>
              <w:t>Qual a data de divulgação do resultado do rateio?</w:t>
            </w:r>
          </w:p>
        </w:tc>
        <w:tc>
          <w:tcPr>
            <w:tcW w:w="5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F5AAC" w14:textId="77777777" w:rsidR="009A242A" w:rsidRPr="007E77AF" w:rsidRDefault="009A242A" w:rsidP="006C2466">
            <w:pPr>
              <w:jc w:val="center"/>
              <w:rPr>
                <w:bCs/>
                <w:sz w:val="20"/>
                <w:szCs w:val="20"/>
                <w:lang w:eastAsia="en-US"/>
              </w:rPr>
            </w:pPr>
            <w:r w:rsidRPr="007E77AF">
              <w:rPr>
                <w:bCs/>
                <w:sz w:val="20"/>
                <w:szCs w:val="20"/>
                <w:lang w:eastAsia="en-US"/>
              </w:rPr>
              <w:t>[data]</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3655D9" w14:textId="77777777" w:rsidR="009A242A" w:rsidRPr="007E77AF" w:rsidRDefault="009A242A" w:rsidP="00185357">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14B6873" w14:textId="77777777" w:rsidTr="00C67B81">
        <w:trPr>
          <w:trHeight w:val="227"/>
        </w:trPr>
        <w:tc>
          <w:tcPr>
            <w:tcW w:w="3515" w:type="dxa"/>
            <w:shd w:val="clear" w:color="auto" w:fill="auto"/>
            <w:vAlign w:val="center"/>
            <w:hideMark/>
          </w:tcPr>
          <w:p w14:paraId="141CE7E8"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5207" w:type="dxa"/>
            <w:shd w:val="clear" w:color="auto" w:fill="auto"/>
            <w:vAlign w:val="center"/>
            <w:hideMark/>
          </w:tcPr>
          <w:p w14:paraId="33F968C1"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023473CE"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B2255FA" w14:textId="77777777" w:rsidTr="00C67B81">
        <w:trPr>
          <w:trHeight w:val="227"/>
        </w:trPr>
        <w:tc>
          <w:tcPr>
            <w:tcW w:w="3515" w:type="dxa"/>
            <w:shd w:val="clear" w:color="auto" w:fill="auto"/>
            <w:vAlign w:val="center"/>
            <w:hideMark/>
          </w:tcPr>
          <w:p w14:paraId="34F2C99D"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5207" w:type="dxa"/>
            <w:shd w:val="clear" w:color="auto" w:fill="auto"/>
            <w:vAlign w:val="center"/>
            <w:hideMark/>
          </w:tcPr>
          <w:p w14:paraId="612D619A"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25063B6C"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0127C28" w14:textId="77777777" w:rsidTr="00C67B81">
        <w:trPr>
          <w:trHeight w:val="227"/>
        </w:trPr>
        <w:tc>
          <w:tcPr>
            <w:tcW w:w="3515" w:type="dxa"/>
            <w:shd w:val="clear" w:color="auto" w:fill="auto"/>
            <w:vAlign w:val="center"/>
            <w:hideMark/>
          </w:tcPr>
          <w:p w14:paraId="6F495D6A"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5207" w:type="dxa"/>
            <w:shd w:val="clear" w:color="auto" w:fill="auto"/>
            <w:vAlign w:val="center"/>
            <w:hideMark/>
          </w:tcPr>
          <w:p w14:paraId="6C91A69D"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vAlign w:val="center"/>
            <w:hideMark/>
          </w:tcPr>
          <w:p w14:paraId="2AB1BFA9" w14:textId="77777777" w:rsidR="009A242A" w:rsidRPr="007E77AF" w:rsidRDefault="009A242A" w:rsidP="004301C4">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bl>
    <w:p w14:paraId="6031C220" w14:textId="77777777" w:rsidR="009A242A" w:rsidRPr="007E77AF" w:rsidRDefault="009A242A" w:rsidP="004301C4"/>
    <w:p w14:paraId="6FF13D49" w14:textId="77777777" w:rsidR="009A242A" w:rsidRPr="007E77AF" w:rsidRDefault="009A242A" w:rsidP="00365082">
      <w:pPr>
        <w:pStyle w:val="Ttulo1"/>
      </w:pPr>
      <w:r w:rsidRPr="007E77AF">
        <w:br w:type="page"/>
      </w:r>
    </w:p>
    <w:p w14:paraId="14C90412" w14:textId="7FDB551A" w:rsidR="009A242A" w:rsidRPr="007E77AF" w:rsidRDefault="009A242A" w:rsidP="00ED4C5E">
      <w:pPr>
        <w:pStyle w:val="Ttulo1"/>
        <w:rPr>
          <w:rFonts w:cstheme="minorBidi"/>
          <w:bCs/>
        </w:rPr>
      </w:pPr>
      <w:bookmarkStart w:id="401" w:name="_Toc476216361"/>
      <w:bookmarkStart w:id="402" w:name="_Toc108516084"/>
      <w:bookmarkStart w:id="403" w:name="_Toc108203115"/>
      <w:bookmarkStart w:id="404" w:name="_Toc136502855"/>
      <w:r w:rsidRPr="007E77AF">
        <w:lastRenderedPageBreak/>
        <w:t xml:space="preserve">ANEXO </w:t>
      </w:r>
      <w:r>
        <w:t>J</w:t>
      </w:r>
      <w:r w:rsidRPr="007E77AF">
        <w:t xml:space="preserve"> – LÂMINA DA OFERTA DE SECURITIZAÇÃO</w:t>
      </w:r>
      <w:bookmarkEnd w:id="401"/>
      <w:r w:rsidRPr="007E77AF">
        <w:t xml:space="preserve"> - SECURITIZADORA</w:t>
      </w:r>
      <w:bookmarkEnd w:id="402"/>
      <w:bookmarkEnd w:id="403"/>
      <w:bookmarkEnd w:id="404"/>
    </w:p>
    <w:p w14:paraId="7EADE567" w14:textId="77777777" w:rsidR="009A242A" w:rsidRPr="007E77AF" w:rsidRDefault="009A242A" w:rsidP="00ED4C5E"/>
    <w:p w14:paraId="70468977" w14:textId="35E49388" w:rsidR="009A242A" w:rsidRPr="007E77AF" w:rsidRDefault="009A242A" w:rsidP="00ED4C5E">
      <w:pPr>
        <w:jc w:val="center"/>
        <w:rPr>
          <w:i/>
        </w:rPr>
      </w:pPr>
      <w:r w:rsidRPr="007E77AF">
        <w:rPr>
          <w:i/>
          <w:lang w:eastAsia="en-US"/>
        </w:rPr>
        <w:t>Conteúdo da lâmina de oferta de</w:t>
      </w:r>
      <w:r w:rsidRPr="007E77AF">
        <w:rPr>
          <w:i/>
          <w:iCs/>
          <w:shd w:val="clear" w:color="auto" w:fill="E6E6E6"/>
          <w:lang w:eastAsia="en-US"/>
        </w:rPr>
        <w:t xml:space="preserve"> </w:t>
      </w:r>
      <w:r w:rsidRPr="007E77AF">
        <w:rPr>
          <w:i/>
        </w:rPr>
        <w:t xml:space="preserve">valores mobiliários representativos de operações de securitização emitidos por companhia </w:t>
      </w:r>
      <w:proofErr w:type="spellStart"/>
      <w:r w:rsidRPr="007E77AF">
        <w:rPr>
          <w:i/>
        </w:rPr>
        <w:t>securitizadora</w:t>
      </w:r>
      <w:proofErr w:type="spellEnd"/>
      <w:r w:rsidRPr="007E77AF">
        <w:rPr>
          <w:i/>
        </w:rPr>
        <w:t xml:space="preserve"> e para os fundos de investimento em direitos creditórios – FIDC</w:t>
      </w:r>
      <w:r w:rsidRPr="007E77AF">
        <w:rPr>
          <w:i/>
          <w:iCs/>
          <w:lang w:eastAsia="en-US"/>
        </w:rPr>
        <w:t>, conforme art. 23 da</w:t>
      </w:r>
      <w:r w:rsidRPr="007E77AF">
        <w:rPr>
          <w:i/>
        </w:rPr>
        <w:t xml:space="preserve"> Resolução</w:t>
      </w:r>
      <w:r w:rsidRPr="005D2A89">
        <w:rPr>
          <w:i/>
        </w:rPr>
        <w:t xml:space="preserve"> </w:t>
      </w:r>
      <w:r>
        <w:rPr>
          <w:i/>
        </w:rPr>
        <w:t>nº 160, de 2022</w:t>
      </w:r>
      <w:r w:rsidRPr="007E77AF">
        <w:rPr>
          <w:i/>
        </w:rPr>
        <w:t>.</w:t>
      </w:r>
    </w:p>
    <w:p w14:paraId="5D148D8B" w14:textId="77777777" w:rsidR="009A242A" w:rsidRPr="007E77AF" w:rsidRDefault="009A242A" w:rsidP="00ED4C5E"/>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32"/>
        <w:gridCol w:w="5251"/>
        <w:gridCol w:w="1335"/>
      </w:tblGrid>
      <w:tr w:rsidR="009A242A" w:rsidRPr="007E77AF" w14:paraId="6D8A7BB3" w14:textId="77777777" w:rsidTr="00FF383F">
        <w:trPr>
          <w:trHeight w:val="360"/>
        </w:trPr>
        <w:tc>
          <w:tcPr>
            <w:tcW w:w="10118" w:type="dxa"/>
            <w:gridSpan w:val="3"/>
            <w:shd w:val="clear" w:color="auto" w:fill="auto"/>
            <w:vAlign w:val="center"/>
            <w:hideMark/>
          </w:tcPr>
          <w:p w14:paraId="7886FC50" w14:textId="25B1A074" w:rsidR="009A242A" w:rsidRPr="007E77AF" w:rsidRDefault="009A242A" w:rsidP="00FF383F">
            <w:pPr>
              <w:jc w:val="center"/>
              <w:rPr>
                <w:rFonts w:ascii="Calibri" w:hAnsi="Calibri"/>
                <w:b/>
                <w:bCs/>
                <w:lang w:eastAsia="en-US"/>
              </w:rPr>
            </w:pPr>
            <w:r w:rsidRPr="007E77AF">
              <w:rPr>
                <w:rFonts w:ascii="Calibri" w:hAnsi="Calibri"/>
                <w:b/>
                <w:bCs/>
                <w:lang w:eastAsia="en-US"/>
              </w:rPr>
              <w:t xml:space="preserve">Informações Essenciais – Oferta </w:t>
            </w:r>
            <w:proofErr w:type="gramStart"/>
            <w:r w:rsidRPr="007E77AF">
              <w:rPr>
                <w:rFonts w:ascii="Calibri" w:hAnsi="Calibri"/>
                <w:b/>
                <w:bCs/>
                <w:lang w:eastAsia="en-US"/>
              </w:rPr>
              <w:t>[</w:t>
            </w:r>
            <w:r w:rsidR="00CC54DE" w:rsidRPr="007E77AF">
              <w:rPr>
                <w:rFonts w:ascii="Calibri" w:hAnsi="Calibri"/>
                <w:b/>
                <w:bCs/>
                <w:lang w:eastAsia="en-US"/>
              </w:rPr>
              <w:t>Prim</w:t>
            </w:r>
            <w:r w:rsidR="00CC54DE">
              <w:rPr>
                <w:rFonts w:ascii="Calibri" w:hAnsi="Calibri"/>
                <w:b/>
                <w:bCs/>
                <w:lang w:eastAsia="en-US"/>
              </w:rPr>
              <w:t>á</w:t>
            </w:r>
            <w:r w:rsidR="00CC54DE" w:rsidRPr="007E77AF">
              <w:rPr>
                <w:rFonts w:ascii="Calibri" w:hAnsi="Calibri"/>
                <w:b/>
                <w:bCs/>
                <w:lang w:eastAsia="en-US"/>
              </w:rPr>
              <w:t>ria</w:t>
            </w:r>
            <w:proofErr w:type="gramEnd"/>
            <w:r w:rsidRPr="007E77AF">
              <w:rPr>
                <w:rFonts w:ascii="Calibri" w:hAnsi="Calibri"/>
                <w:b/>
                <w:bCs/>
                <w:lang w:eastAsia="en-US"/>
              </w:rPr>
              <w:t>] [Secundária] de [CRA/CRI]</w:t>
            </w:r>
          </w:p>
        </w:tc>
      </w:tr>
      <w:tr w:rsidR="009A242A" w:rsidRPr="007E77AF" w14:paraId="64EA68DE" w14:textId="77777777" w:rsidTr="00FF383F">
        <w:trPr>
          <w:trHeight w:val="825"/>
        </w:trPr>
        <w:tc>
          <w:tcPr>
            <w:tcW w:w="10118" w:type="dxa"/>
            <w:gridSpan w:val="3"/>
            <w:shd w:val="clear" w:color="auto" w:fill="auto"/>
            <w:vAlign w:val="center"/>
            <w:hideMark/>
          </w:tcPr>
          <w:p w14:paraId="74B87EEE" w14:textId="77777777" w:rsidR="009A242A" w:rsidRPr="007E77AF" w:rsidRDefault="009A242A" w:rsidP="00FF383F">
            <w:pPr>
              <w:jc w:val="center"/>
              <w:rPr>
                <w:bCs/>
                <w:i/>
                <w:iCs/>
                <w:sz w:val="20"/>
                <w:szCs w:val="20"/>
                <w:lang w:eastAsia="en-US"/>
              </w:rPr>
            </w:pPr>
            <w:r w:rsidRPr="007E77AF">
              <w:rPr>
                <w:bCs/>
                <w:i/>
                <w:iCs/>
                <w:sz w:val="20"/>
                <w:szCs w:val="20"/>
                <w:lang w:eastAsia="en-US"/>
              </w:rPr>
              <w:t>Esta lâmina contém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3B525F98" w14:textId="77777777" w:rsidTr="00FF383F">
        <w:trPr>
          <w:trHeight w:val="270"/>
        </w:trPr>
        <w:tc>
          <w:tcPr>
            <w:tcW w:w="10118" w:type="dxa"/>
            <w:gridSpan w:val="3"/>
            <w:shd w:val="clear" w:color="auto" w:fill="auto"/>
            <w:vAlign w:val="center"/>
            <w:hideMark/>
          </w:tcPr>
          <w:p w14:paraId="0FC608F5" w14:textId="77777777" w:rsidR="009A242A" w:rsidRPr="007E77AF" w:rsidRDefault="009A242A" w:rsidP="00FF383F">
            <w:pPr>
              <w:jc w:val="center"/>
              <w:rPr>
                <w:b/>
                <w:bCs/>
                <w:sz w:val="20"/>
                <w:szCs w:val="20"/>
                <w:lang w:eastAsia="en-US"/>
              </w:rPr>
            </w:pPr>
            <w:r w:rsidRPr="007E77AF">
              <w:rPr>
                <w:b/>
                <w:bCs/>
                <w:sz w:val="20"/>
                <w:szCs w:val="20"/>
                <w:lang w:eastAsia="en-US"/>
              </w:rPr>
              <w:t>ALERTAS</w:t>
            </w:r>
          </w:p>
        </w:tc>
      </w:tr>
      <w:tr w:rsidR="009A242A" w:rsidRPr="007E77AF" w14:paraId="4A8C5BB1" w14:textId="77777777" w:rsidTr="00FF383F">
        <w:trPr>
          <w:trHeight w:val="270"/>
        </w:trPr>
        <w:tc>
          <w:tcPr>
            <w:tcW w:w="3532" w:type="dxa"/>
            <w:vMerge w:val="restart"/>
            <w:shd w:val="clear" w:color="auto" w:fill="auto"/>
            <w:vAlign w:val="center"/>
            <w:hideMark/>
          </w:tcPr>
          <w:p w14:paraId="622A13B9" w14:textId="77777777" w:rsidR="009A242A" w:rsidRPr="007E77AF" w:rsidRDefault="009A242A" w:rsidP="00FF383F">
            <w:pPr>
              <w:jc w:val="center"/>
              <w:rPr>
                <w:bCs/>
                <w:sz w:val="20"/>
                <w:szCs w:val="20"/>
                <w:lang w:eastAsia="en-US"/>
              </w:rPr>
            </w:pPr>
            <w:r w:rsidRPr="007E77AF">
              <w:rPr>
                <w:bCs/>
                <w:sz w:val="20"/>
                <w:szCs w:val="20"/>
                <w:lang w:eastAsia="en-US"/>
              </w:rPr>
              <w:t>Risco de</w:t>
            </w:r>
          </w:p>
        </w:tc>
        <w:tc>
          <w:tcPr>
            <w:tcW w:w="5251" w:type="dxa"/>
            <w:shd w:val="clear" w:color="auto" w:fill="auto"/>
            <w:vAlign w:val="center"/>
            <w:hideMark/>
          </w:tcPr>
          <w:p w14:paraId="03438151" w14:textId="77777777" w:rsidR="009A242A" w:rsidRPr="007E77AF" w:rsidRDefault="009A242A" w:rsidP="00FF383F">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perda do principal</w:t>
            </w:r>
          </w:p>
        </w:tc>
        <w:tc>
          <w:tcPr>
            <w:tcW w:w="1335" w:type="dxa"/>
            <w:shd w:val="clear" w:color="auto" w:fill="auto"/>
            <w:vAlign w:val="center"/>
            <w:hideMark/>
          </w:tcPr>
          <w:p w14:paraId="4FC4C37C"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6030B0A6" w14:textId="77777777" w:rsidTr="00FF383F">
        <w:trPr>
          <w:trHeight w:val="270"/>
        </w:trPr>
        <w:tc>
          <w:tcPr>
            <w:tcW w:w="3532" w:type="dxa"/>
            <w:vMerge/>
            <w:vAlign w:val="center"/>
            <w:hideMark/>
          </w:tcPr>
          <w:p w14:paraId="05A67882" w14:textId="77777777" w:rsidR="009A242A" w:rsidRPr="007E77AF" w:rsidRDefault="009A242A" w:rsidP="00FF383F">
            <w:pPr>
              <w:jc w:val="center"/>
              <w:rPr>
                <w:bCs/>
                <w:sz w:val="20"/>
                <w:szCs w:val="20"/>
                <w:lang w:eastAsia="en-US"/>
              </w:rPr>
            </w:pPr>
          </w:p>
        </w:tc>
        <w:tc>
          <w:tcPr>
            <w:tcW w:w="5251" w:type="dxa"/>
            <w:shd w:val="clear" w:color="auto" w:fill="auto"/>
            <w:vAlign w:val="center"/>
            <w:hideMark/>
          </w:tcPr>
          <w:p w14:paraId="5E69D995" w14:textId="77777777" w:rsidR="009A242A" w:rsidRPr="007E77AF" w:rsidRDefault="009A242A" w:rsidP="00FF383F">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falta de liquidez</w:t>
            </w:r>
          </w:p>
        </w:tc>
        <w:tc>
          <w:tcPr>
            <w:tcW w:w="1335" w:type="dxa"/>
            <w:shd w:val="clear" w:color="auto" w:fill="auto"/>
            <w:vAlign w:val="center"/>
            <w:hideMark/>
          </w:tcPr>
          <w:p w14:paraId="1DCD187A"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298AD6C0" w14:textId="77777777" w:rsidTr="00FF383F">
        <w:trPr>
          <w:trHeight w:val="270"/>
        </w:trPr>
        <w:tc>
          <w:tcPr>
            <w:tcW w:w="3532" w:type="dxa"/>
            <w:vMerge/>
            <w:vAlign w:val="center"/>
            <w:hideMark/>
          </w:tcPr>
          <w:p w14:paraId="46F5B036" w14:textId="77777777" w:rsidR="009A242A" w:rsidRPr="007E77AF" w:rsidRDefault="009A242A" w:rsidP="00FF383F">
            <w:pPr>
              <w:jc w:val="center"/>
              <w:rPr>
                <w:bCs/>
                <w:sz w:val="20"/>
                <w:szCs w:val="20"/>
                <w:lang w:eastAsia="en-US"/>
              </w:rPr>
            </w:pPr>
          </w:p>
        </w:tc>
        <w:tc>
          <w:tcPr>
            <w:tcW w:w="5251" w:type="dxa"/>
            <w:shd w:val="clear" w:color="auto" w:fill="auto"/>
            <w:vAlign w:val="center"/>
            <w:hideMark/>
          </w:tcPr>
          <w:p w14:paraId="5A75F4A3" w14:textId="77777777" w:rsidR="009A242A" w:rsidRPr="007E77AF" w:rsidRDefault="009A242A" w:rsidP="00FF383F">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dificuldade de entendimento</w:t>
            </w:r>
          </w:p>
        </w:tc>
        <w:tc>
          <w:tcPr>
            <w:tcW w:w="1335" w:type="dxa"/>
            <w:shd w:val="clear" w:color="auto" w:fill="auto"/>
            <w:vAlign w:val="center"/>
            <w:hideMark/>
          </w:tcPr>
          <w:p w14:paraId="7A36F611"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33FC8AD6" w14:textId="77777777" w:rsidTr="00FF383F">
        <w:trPr>
          <w:trHeight w:val="765"/>
        </w:trPr>
        <w:tc>
          <w:tcPr>
            <w:tcW w:w="3532" w:type="dxa"/>
            <w:shd w:val="clear" w:color="auto" w:fill="auto"/>
            <w:vAlign w:val="center"/>
            <w:hideMark/>
          </w:tcPr>
          <w:p w14:paraId="4E5D3EDE" w14:textId="77777777" w:rsidR="009A242A" w:rsidRPr="007E77AF" w:rsidRDefault="009A242A" w:rsidP="00FF383F">
            <w:pPr>
              <w:jc w:val="center"/>
              <w:rPr>
                <w:b/>
                <w:sz w:val="20"/>
                <w:szCs w:val="20"/>
                <w:lang w:eastAsia="en-US"/>
              </w:rPr>
            </w:pPr>
            <w:r w:rsidRPr="007E77AF">
              <w:rPr>
                <w:b/>
                <w:sz w:val="20"/>
                <w:szCs w:val="20"/>
                <w:lang w:eastAsia="en-US"/>
              </w:rPr>
              <w:t>Aviso para ofertas distribuídas por rito de registro automático</w:t>
            </w:r>
          </w:p>
        </w:tc>
        <w:tc>
          <w:tcPr>
            <w:tcW w:w="5251" w:type="dxa"/>
            <w:shd w:val="clear" w:color="auto" w:fill="auto"/>
            <w:vAlign w:val="center"/>
            <w:hideMark/>
          </w:tcPr>
          <w:p w14:paraId="6A41B08C" w14:textId="77777777" w:rsidR="009A242A" w:rsidRPr="007E77AF" w:rsidRDefault="009A242A" w:rsidP="00FF383F">
            <w:pPr>
              <w:jc w:val="both"/>
              <w:rPr>
                <w:b/>
                <w:bCs/>
                <w:sz w:val="20"/>
                <w:szCs w:val="20"/>
                <w:lang w:eastAsia="en-US"/>
              </w:rPr>
            </w:pPr>
            <w:r w:rsidRPr="007E77AF">
              <w:rPr>
                <w:b/>
                <w:bCs/>
                <w:sz w:val="20"/>
                <w:szCs w:val="20"/>
                <w:lang w:eastAsia="en-US"/>
              </w:rPr>
              <w:t>A CVM não realizou análise prévia do conteúdo do prospecto, nem dos documentos da oferta</w:t>
            </w:r>
          </w:p>
          <w:p w14:paraId="751EEC42" w14:textId="77777777" w:rsidR="009A242A" w:rsidRPr="007E77AF" w:rsidRDefault="009A242A" w:rsidP="00FF383F">
            <w:pPr>
              <w:jc w:val="both"/>
              <w:rPr>
                <w:b/>
                <w:bCs/>
                <w:sz w:val="20"/>
                <w:szCs w:val="20"/>
                <w:lang w:eastAsia="en-US"/>
              </w:rPr>
            </w:pPr>
            <w:r w:rsidRPr="007E77AF">
              <w:rPr>
                <w:b/>
                <w:bCs/>
                <w:sz w:val="20"/>
                <w:szCs w:val="20"/>
                <w:lang w:eastAsia="en-US"/>
              </w:rPr>
              <w:t xml:space="preserve">Há restrições à revenda dos [CRA/CRI] </w:t>
            </w:r>
          </w:p>
        </w:tc>
        <w:tc>
          <w:tcPr>
            <w:tcW w:w="1335" w:type="dxa"/>
            <w:shd w:val="clear" w:color="auto" w:fill="auto"/>
            <w:vAlign w:val="center"/>
            <w:hideMark/>
          </w:tcPr>
          <w:p w14:paraId="3E5A946A" w14:textId="77777777" w:rsidR="009A242A" w:rsidRPr="007E77AF" w:rsidRDefault="009A242A" w:rsidP="00FF383F">
            <w:pPr>
              <w:jc w:val="center"/>
              <w:rPr>
                <w:bCs/>
                <w:sz w:val="20"/>
                <w:szCs w:val="20"/>
                <w:lang w:eastAsia="en-US"/>
              </w:rPr>
            </w:pPr>
          </w:p>
        </w:tc>
      </w:tr>
      <w:tr w:rsidR="009A242A" w:rsidRPr="007E77AF" w14:paraId="617821CD" w14:textId="77777777" w:rsidTr="00FF383F">
        <w:trPr>
          <w:trHeight w:val="270"/>
        </w:trPr>
        <w:tc>
          <w:tcPr>
            <w:tcW w:w="8783" w:type="dxa"/>
            <w:gridSpan w:val="2"/>
            <w:shd w:val="clear" w:color="auto" w:fill="auto"/>
            <w:vAlign w:val="center"/>
            <w:hideMark/>
          </w:tcPr>
          <w:p w14:paraId="7A6715E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35" w:type="dxa"/>
            <w:shd w:val="clear" w:color="auto" w:fill="auto"/>
            <w:vAlign w:val="center"/>
            <w:hideMark/>
          </w:tcPr>
          <w:p w14:paraId="5FBFF072"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9F59450" w14:textId="77777777" w:rsidTr="00FF383F">
        <w:trPr>
          <w:trHeight w:val="227"/>
        </w:trPr>
        <w:tc>
          <w:tcPr>
            <w:tcW w:w="3532" w:type="dxa"/>
            <w:shd w:val="clear" w:color="auto" w:fill="auto"/>
            <w:vAlign w:val="center"/>
            <w:hideMark/>
          </w:tcPr>
          <w:p w14:paraId="58B58DE3" w14:textId="77777777" w:rsidR="009A242A" w:rsidRPr="007E77AF" w:rsidRDefault="009A242A" w:rsidP="00FF383F">
            <w:pPr>
              <w:rPr>
                <w:bCs/>
                <w:sz w:val="20"/>
                <w:szCs w:val="20"/>
                <w:lang w:eastAsia="en-US"/>
              </w:rPr>
            </w:pPr>
            <w:r w:rsidRPr="007E77AF">
              <w:rPr>
                <w:bCs/>
                <w:sz w:val="20"/>
                <w:szCs w:val="20"/>
                <w:lang w:eastAsia="en-US"/>
              </w:rPr>
              <w:t>A. Valor Mobiliário</w:t>
            </w:r>
          </w:p>
        </w:tc>
        <w:tc>
          <w:tcPr>
            <w:tcW w:w="5251" w:type="dxa"/>
            <w:shd w:val="clear" w:color="auto" w:fill="auto"/>
            <w:vAlign w:val="center"/>
            <w:hideMark/>
          </w:tcPr>
          <w:p w14:paraId="48112431" w14:textId="77777777" w:rsidR="009A242A" w:rsidRPr="007E77AF" w:rsidRDefault="009A242A" w:rsidP="00FF383F">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CRA/ [  ] CRI </w:t>
            </w:r>
          </w:p>
        </w:tc>
        <w:tc>
          <w:tcPr>
            <w:tcW w:w="1335" w:type="dxa"/>
            <w:shd w:val="clear" w:color="auto" w:fill="auto"/>
            <w:vAlign w:val="center"/>
            <w:hideMark/>
          </w:tcPr>
          <w:p w14:paraId="54A646C3"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do prospecto</w:t>
            </w:r>
          </w:p>
        </w:tc>
      </w:tr>
      <w:tr w:rsidR="009A242A" w:rsidRPr="007E77AF" w14:paraId="0DE4C96F" w14:textId="77777777" w:rsidTr="00FF383F">
        <w:trPr>
          <w:trHeight w:val="227"/>
        </w:trPr>
        <w:tc>
          <w:tcPr>
            <w:tcW w:w="3532" w:type="dxa"/>
            <w:shd w:val="clear" w:color="auto" w:fill="auto"/>
            <w:vAlign w:val="center"/>
            <w:hideMark/>
          </w:tcPr>
          <w:p w14:paraId="2D478300" w14:textId="77777777" w:rsidR="009A242A" w:rsidRPr="007E77AF" w:rsidRDefault="009A242A" w:rsidP="00FF383F">
            <w:pPr>
              <w:rPr>
                <w:bCs/>
                <w:sz w:val="20"/>
                <w:szCs w:val="20"/>
                <w:lang w:eastAsia="en-US"/>
              </w:rPr>
            </w:pPr>
            <w:r w:rsidRPr="007E77AF">
              <w:rPr>
                <w:bCs/>
                <w:sz w:val="20"/>
                <w:szCs w:val="20"/>
                <w:lang w:eastAsia="en-US"/>
              </w:rPr>
              <w:t>a.1) Emissão e série</w:t>
            </w:r>
          </w:p>
        </w:tc>
        <w:tc>
          <w:tcPr>
            <w:tcW w:w="5251" w:type="dxa"/>
            <w:shd w:val="clear" w:color="auto" w:fill="auto"/>
            <w:vAlign w:val="center"/>
            <w:hideMark/>
          </w:tcPr>
          <w:p w14:paraId="2B796AD9" w14:textId="77777777" w:rsidR="009A242A" w:rsidRPr="007E77AF" w:rsidRDefault="009A242A" w:rsidP="00FF383F">
            <w:pPr>
              <w:jc w:val="center"/>
              <w:rPr>
                <w:bCs/>
                <w:sz w:val="20"/>
                <w:szCs w:val="20"/>
                <w:lang w:eastAsia="en-US"/>
              </w:rPr>
            </w:pPr>
          </w:p>
        </w:tc>
        <w:tc>
          <w:tcPr>
            <w:tcW w:w="1335" w:type="dxa"/>
            <w:shd w:val="clear" w:color="auto" w:fill="auto"/>
            <w:vAlign w:val="center"/>
            <w:hideMark/>
          </w:tcPr>
          <w:p w14:paraId="6C04C41F"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6E10117" w14:textId="77777777" w:rsidTr="00FF383F">
        <w:trPr>
          <w:trHeight w:val="227"/>
        </w:trPr>
        <w:tc>
          <w:tcPr>
            <w:tcW w:w="3532" w:type="dxa"/>
            <w:shd w:val="clear" w:color="auto" w:fill="auto"/>
            <w:vAlign w:val="center"/>
          </w:tcPr>
          <w:p w14:paraId="1D1057A8" w14:textId="77777777" w:rsidR="009A242A" w:rsidRPr="007E77AF" w:rsidRDefault="009A242A" w:rsidP="00FF383F">
            <w:pPr>
              <w:rPr>
                <w:bCs/>
                <w:sz w:val="20"/>
                <w:szCs w:val="20"/>
                <w:lang w:eastAsia="en-US"/>
              </w:rPr>
            </w:pPr>
            <w:r w:rsidRPr="007E77AF">
              <w:rPr>
                <w:bCs/>
                <w:sz w:val="20"/>
                <w:szCs w:val="20"/>
                <w:lang w:eastAsia="en-US"/>
              </w:rPr>
              <w:t>a.2) Ofertante/Emissor</w:t>
            </w:r>
          </w:p>
        </w:tc>
        <w:tc>
          <w:tcPr>
            <w:tcW w:w="5251" w:type="dxa"/>
            <w:shd w:val="clear" w:color="auto" w:fill="auto"/>
            <w:vAlign w:val="center"/>
          </w:tcPr>
          <w:p w14:paraId="16FF8194" w14:textId="77777777" w:rsidR="009A242A" w:rsidRPr="007E77AF" w:rsidRDefault="009A242A" w:rsidP="00FF383F">
            <w:pPr>
              <w:jc w:val="center"/>
              <w:rPr>
                <w:bCs/>
                <w:sz w:val="20"/>
                <w:szCs w:val="20"/>
                <w:lang w:eastAsia="en-US"/>
              </w:rPr>
            </w:pPr>
            <w:r w:rsidRPr="007E77AF">
              <w:rPr>
                <w:bCs/>
                <w:sz w:val="20"/>
                <w:szCs w:val="20"/>
                <w:lang w:eastAsia="en-US"/>
              </w:rPr>
              <w:t xml:space="preserve">Cia </w:t>
            </w:r>
            <w:proofErr w:type="spellStart"/>
            <w:r w:rsidRPr="007E77AF">
              <w:rPr>
                <w:bCs/>
                <w:sz w:val="20"/>
                <w:szCs w:val="20"/>
                <w:lang w:eastAsia="en-US"/>
              </w:rPr>
              <w:t>Securitizadora</w:t>
            </w:r>
            <w:proofErr w:type="spellEnd"/>
            <w:r w:rsidRPr="007E77AF">
              <w:rPr>
                <w:bCs/>
                <w:sz w:val="20"/>
                <w:szCs w:val="20"/>
                <w:lang w:eastAsia="en-US"/>
              </w:rPr>
              <w:t xml:space="preserve"> </w:t>
            </w:r>
          </w:p>
        </w:tc>
        <w:tc>
          <w:tcPr>
            <w:tcW w:w="1335" w:type="dxa"/>
            <w:shd w:val="clear" w:color="auto" w:fill="auto"/>
          </w:tcPr>
          <w:p w14:paraId="631AD16C"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33A8474" w14:textId="77777777" w:rsidTr="00FF383F">
        <w:trPr>
          <w:trHeight w:val="227"/>
        </w:trPr>
        <w:tc>
          <w:tcPr>
            <w:tcW w:w="3532" w:type="dxa"/>
            <w:shd w:val="clear" w:color="auto" w:fill="auto"/>
            <w:vAlign w:val="center"/>
          </w:tcPr>
          <w:p w14:paraId="50F39590" w14:textId="77777777" w:rsidR="009A242A" w:rsidRPr="007E77AF" w:rsidRDefault="009A242A" w:rsidP="00FF383F">
            <w:pPr>
              <w:rPr>
                <w:bCs/>
                <w:sz w:val="20"/>
                <w:szCs w:val="20"/>
                <w:lang w:eastAsia="en-US"/>
              </w:rPr>
            </w:pPr>
            <w:r w:rsidRPr="007E77AF">
              <w:rPr>
                <w:bCs/>
                <w:sz w:val="20"/>
                <w:szCs w:val="20"/>
                <w:lang w:eastAsia="en-US"/>
              </w:rPr>
              <w:t>B. Oferta</w:t>
            </w:r>
          </w:p>
        </w:tc>
        <w:tc>
          <w:tcPr>
            <w:tcW w:w="5251" w:type="dxa"/>
            <w:shd w:val="clear" w:color="auto" w:fill="auto"/>
            <w:vAlign w:val="center"/>
          </w:tcPr>
          <w:p w14:paraId="2BBD96B9" w14:textId="77777777" w:rsidR="009A242A" w:rsidRPr="007E77AF" w:rsidRDefault="009A242A" w:rsidP="00FF383F">
            <w:pPr>
              <w:jc w:val="center"/>
              <w:rPr>
                <w:bCs/>
                <w:sz w:val="20"/>
                <w:szCs w:val="20"/>
                <w:lang w:eastAsia="en-US"/>
              </w:rPr>
            </w:pPr>
          </w:p>
        </w:tc>
        <w:tc>
          <w:tcPr>
            <w:tcW w:w="1335" w:type="dxa"/>
            <w:shd w:val="clear" w:color="auto" w:fill="auto"/>
            <w:vAlign w:val="center"/>
          </w:tcPr>
          <w:p w14:paraId="234BEFC8" w14:textId="77777777" w:rsidR="009A242A" w:rsidRPr="007E77AF" w:rsidRDefault="009A242A" w:rsidP="00FF383F">
            <w:pPr>
              <w:jc w:val="center"/>
              <w:rPr>
                <w:bCs/>
                <w:sz w:val="20"/>
                <w:szCs w:val="20"/>
                <w:lang w:eastAsia="en-US"/>
              </w:rPr>
            </w:pPr>
          </w:p>
        </w:tc>
      </w:tr>
      <w:tr w:rsidR="009A242A" w:rsidRPr="007E77AF" w14:paraId="781882A7" w14:textId="77777777" w:rsidTr="00FF383F">
        <w:trPr>
          <w:trHeight w:val="227"/>
        </w:trPr>
        <w:tc>
          <w:tcPr>
            <w:tcW w:w="3532" w:type="dxa"/>
            <w:shd w:val="clear" w:color="auto" w:fill="auto"/>
            <w:vAlign w:val="center"/>
            <w:hideMark/>
          </w:tcPr>
          <w:p w14:paraId="66F823D7" w14:textId="77777777" w:rsidR="009A242A" w:rsidRPr="007E77AF" w:rsidRDefault="009A242A" w:rsidP="00FF383F">
            <w:pPr>
              <w:rPr>
                <w:bCs/>
                <w:sz w:val="20"/>
                <w:szCs w:val="20"/>
                <w:lang w:eastAsia="en-US"/>
              </w:rPr>
            </w:pPr>
            <w:r w:rsidRPr="007E77AF">
              <w:rPr>
                <w:bCs/>
                <w:sz w:val="20"/>
                <w:szCs w:val="20"/>
                <w:lang w:eastAsia="en-US"/>
              </w:rPr>
              <w:t xml:space="preserve">b.1) Código de negociação proposto </w:t>
            </w:r>
          </w:p>
        </w:tc>
        <w:tc>
          <w:tcPr>
            <w:tcW w:w="5251" w:type="dxa"/>
            <w:shd w:val="clear" w:color="auto" w:fill="auto"/>
            <w:vAlign w:val="center"/>
            <w:hideMark/>
          </w:tcPr>
          <w:p w14:paraId="5883D6CE" w14:textId="77777777" w:rsidR="009A242A" w:rsidRPr="007E77AF" w:rsidRDefault="009A242A" w:rsidP="00FF383F">
            <w:pPr>
              <w:jc w:val="center"/>
              <w:rPr>
                <w:bCs/>
                <w:sz w:val="20"/>
                <w:szCs w:val="20"/>
                <w:lang w:eastAsia="en-US"/>
              </w:rPr>
            </w:pPr>
            <w:proofErr w:type="gramStart"/>
            <w:r w:rsidRPr="007E77AF">
              <w:rPr>
                <w:rFonts w:cstheme="minorHAnsi"/>
                <w:sz w:val="20"/>
                <w:szCs w:val="20"/>
                <w:lang w:eastAsia="en-US"/>
              </w:rPr>
              <w:t>[ ]</w:t>
            </w:r>
            <w:proofErr w:type="gramEnd"/>
            <w:r w:rsidRPr="007E77AF">
              <w:rPr>
                <w:rFonts w:cstheme="minorHAnsi"/>
                <w:sz w:val="20"/>
                <w:szCs w:val="20"/>
                <w:lang w:eastAsia="en-US"/>
              </w:rPr>
              <w:t xml:space="preserve"> código / [ ] N/A</w:t>
            </w:r>
          </w:p>
        </w:tc>
        <w:tc>
          <w:tcPr>
            <w:tcW w:w="1335" w:type="dxa"/>
            <w:shd w:val="clear" w:color="auto" w:fill="auto"/>
            <w:vAlign w:val="center"/>
            <w:hideMark/>
          </w:tcPr>
          <w:p w14:paraId="54D485A9"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1F58E59" w14:textId="77777777" w:rsidTr="00FF383F">
        <w:trPr>
          <w:trHeight w:val="227"/>
        </w:trPr>
        <w:tc>
          <w:tcPr>
            <w:tcW w:w="3532" w:type="dxa"/>
            <w:shd w:val="clear" w:color="auto" w:fill="auto"/>
            <w:vAlign w:val="center"/>
            <w:hideMark/>
          </w:tcPr>
          <w:p w14:paraId="5F592DD6" w14:textId="77777777" w:rsidR="009A242A" w:rsidRPr="007E77AF" w:rsidRDefault="009A242A" w:rsidP="00FF383F">
            <w:pPr>
              <w:rPr>
                <w:bCs/>
                <w:sz w:val="20"/>
                <w:szCs w:val="20"/>
                <w:lang w:eastAsia="en-US"/>
              </w:rPr>
            </w:pPr>
            <w:r w:rsidRPr="007E77AF">
              <w:rPr>
                <w:bCs/>
                <w:sz w:val="20"/>
                <w:szCs w:val="20"/>
                <w:lang w:eastAsia="en-US"/>
              </w:rPr>
              <w:t>b.2) Mercado de negociação</w:t>
            </w:r>
          </w:p>
        </w:tc>
        <w:tc>
          <w:tcPr>
            <w:tcW w:w="5251" w:type="dxa"/>
            <w:shd w:val="clear" w:color="auto" w:fill="auto"/>
            <w:vAlign w:val="center"/>
            <w:hideMark/>
          </w:tcPr>
          <w:p w14:paraId="7B405D9B" w14:textId="77777777" w:rsidR="009A242A" w:rsidRPr="007E77AF" w:rsidRDefault="009A242A" w:rsidP="00FF383F">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nome fantasia / [ ] não será negociado em mercado organizado</w:t>
            </w:r>
          </w:p>
        </w:tc>
        <w:tc>
          <w:tcPr>
            <w:tcW w:w="1335" w:type="dxa"/>
            <w:shd w:val="clear" w:color="auto" w:fill="auto"/>
            <w:vAlign w:val="center"/>
            <w:hideMark/>
          </w:tcPr>
          <w:p w14:paraId="6F53EE9A"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660D46E2" w14:textId="77777777" w:rsidTr="00FF383F">
        <w:trPr>
          <w:trHeight w:val="227"/>
        </w:trPr>
        <w:tc>
          <w:tcPr>
            <w:tcW w:w="3532" w:type="dxa"/>
            <w:shd w:val="clear" w:color="auto" w:fill="auto"/>
            <w:vAlign w:val="center"/>
          </w:tcPr>
          <w:p w14:paraId="44629E4F" w14:textId="77777777" w:rsidR="009A242A" w:rsidRPr="007E77AF" w:rsidRDefault="009A242A" w:rsidP="00FF383F">
            <w:pPr>
              <w:rPr>
                <w:bCs/>
                <w:sz w:val="20"/>
                <w:szCs w:val="20"/>
                <w:lang w:eastAsia="en-US"/>
              </w:rPr>
            </w:pPr>
            <w:r w:rsidRPr="007E77AF">
              <w:rPr>
                <w:bCs/>
                <w:sz w:val="20"/>
                <w:szCs w:val="20"/>
                <w:lang w:eastAsia="en-US"/>
              </w:rPr>
              <w:t>b.3) Quantidade ofertada – lote base</w:t>
            </w:r>
          </w:p>
        </w:tc>
        <w:tc>
          <w:tcPr>
            <w:tcW w:w="5251" w:type="dxa"/>
            <w:shd w:val="clear" w:color="auto" w:fill="auto"/>
            <w:vAlign w:val="center"/>
          </w:tcPr>
          <w:p w14:paraId="16601C76" w14:textId="77777777" w:rsidR="009A242A" w:rsidRPr="007E77AF" w:rsidRDefault="009A242A" w:rsidP="00FF383F">
            <w:pPr>
              <w:jc w:val="center"/>
              <w:rPr>
                <w:bCs/>
                <w:sz w:val="20"/>
                <w:szCs w:val="20"/>
                <w:lang w:eastAsia="en-US"/>
              </w:rPr>
            </w:pPr>
            <w:r w:rsidRPr="007E77AF">
              <w:rPr>
                <w:bCs/>
                <w:sz w:val="20"/>
                <w:szCs w:val="20"/>
                <w:lang w:eastAsia="en-US"/>
              </w:rPr>
              <w:t>Número inteiro, sem casas decimais</w:t>
            </w:r>
          </w:p>
        </w:tc>
        <w:tc>
          <w:tcPr>
            <w:tcW w:w="1335" w:type="dxa"/>
            <w:shd w:val="clear" w:color="auto" w:fill="auto"/>
          </w:tcPr>
          <w:p w14:paraId="0030AA98"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E104F36" w14:textId="77777777" w:rsidTr="00FF383F">
        <w:trPr>
          <w:trHeight w:val="227"/>
        </w:trPr>
        <w:tc>
          <w:tcPr>
            <w:tcW w:w="3532" w:type="dxa"/>
            <w:shd w:val="clear" w:color="auto" w:fill="auto"/>
            <w:vAlign w:val="center"/>
          </w:tcPr>
          <w:p w14:paraId="266538C0" w14:textId="77777777" w:rsidR="009A242A" w:rsidRPr="007E77AF" w:rsidRDefault="009A242A" w:rsidP="00FF383F">
            <w:pPr>
              <w:rPr>
                <w:bCs/>
                <w:sz w:val="20"/>
                <w:szCs w:val="20"/>
                <w:lang w:eastAsia="en-US"/>
              </w:rPr>
            </w:pPr>
            <w:r w:rsidRPr="007E77AF">
              <w:rPr>
                <w:bCs/>
                <w:sz w:val="20"/>
                <w:szCs w:val="20"/>
                <w:lang w:eastAsia="en-US"/>
              </w:rPr>
              <w:t>b.4) Preço (intervalo)</w:t>
            </w:r>
            <w:r w:rsidRPr="007E77AF" w:rsidDel="0050611E">
              <w:rPr>
                <w:bCs/>
                <w:sz w:val="20"/>
                <w:szCs w:val="20"/>
                <w:lang w:eastAsia="en-US"/>
              </w:rPr>
              <w:t xml:space="preserve"> </w:t>
            </w:r>
          </w:p>
        </w:tc>
        <w:tc>
          <w:tcPr>
            <w:tcW w:w="5251" w:type="dxa"/>
            <w:shd w:val="clear" w:color="auto" w:fill="auto"/>
            <w:vAlign w:val="center"/>
          </w:tcPr>
          <w:p w14:paraId="143EEE27" w14:textId="77777777" w:rsidR="009A242A" w:rsidRPr="007E77AF" w:rsidRDefault="009A242A" w:rsidP="00FF383F">
            <w:pPr>
              <w:jc w:val="center"/>
              <w:rPr>
                <w:bCs/>
                <w:sz w:val="20"/>
                <w:szCs w:val="20"/>
                <w:lang w:eastAsia="en-US"/>
              </w:rPr>
            </w:pPr>
            <w:r w:rsidRPr="007E77AF">
              <w:rPr>
                <w:bCs/>
                <w:sz w:val="20"/>
                <w:szCs w:val="20"/>
                <w:lang w:eastAsia="en-US"/>
              </w:rPr>
              <w:t>Em R$ (até duas casas decimais)</w:t>
            </w:r>
          </w:p>
        </w:tc>
        <w:tc>
          <w:tcPr>
            <w:tcW w:w="1335" w:type="dxa"/>
            <w:shd w:val="clear" w:color="auto" w:fill="auto"/>
          </w:tcPr>
          <w:p w14:paraId="4D42FDD2"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0633267" w14:textId="77777777" w:rsidTr="00FF383F">
        <w:trPr>
          <w:trHeight w:val="227"/>
        </w:trPr>
        <w:tc>
          <w:tcPr>
            <w:tcW w:w="3532" w:type="dxa"/>
            <w:shd w:val="clear" w:color="auto" w:fill="auto"/>
            <w:vAlign w:val="center"/>
          </w:tcPr>
          <w:p w14:paraId="72BB8FFF" w14:textId="77777777" w:rsidR="009A242A" w:rsidRPr="007E77AF" w:rsidRDefault="009A242A" w:rsidP="00FF383F">
            <w:pPr>
              <w:rPr>
                <w:bCs/>
                <w:sz w:val="20"/>
                <w:szCs w:val="20"/>
                <w:lang w:eastAsia="en-US"/>
              </w:rPr>
            </w:pPr>
            <w:r w:rsidRPr="007E77AF">
              <w:rPr>
                <w:bCs/>
                <w:sz w:val="20"/>
                <w:szCs w:val="20"/>
                <w:lang w:eastAsia="en-US"/>
              </w:rPr>
              <w:t>b.5) Taxa de remuneração (intervalo)</w:t>
            </w:r>
          </w:p>
        </w:tc>
        <w:tc>
          <w:tcPr>
            <w:tcW w:w="5251" w:type="dxa"/>
            <w:shd w:val="clear" w:color="auto" w:fill="auto"/>
            <w:vAlign w:val="center"/>
          </w:tcPr>
          <w:p w14:paraId="2090317C" w14:textId="77777777" w:rsidR="009A242A" w:rsidRPr="007E77AF" w:rsidRDefault="009A242A" w:rsidP="00FF383F">
            <w:pPr>
              <w:jc w:val="center"/>
              <w:rPr>
                <w:bCs/>
                <w:sz w:val="20"/>
                <w:szCs w:val="20"/>
                <w:lang w:eastAsia="en-US"/>
              </w:rPr>
            </w:pPr>
            <w:r w:rsidRPr="007E77AF">
              <w:rPr>
                <w:bCs/>
                <w:sz w:val="20"/>
                <w:szCs w:val="20"/>
                <w:lang w:eastAsia="en-US"/>
              </w:rPr>
              <w:t>Campo para inserção de remuneração/indexação, podendo incluir textos (“IPCA” ou “CDI”, por exemplo) e percentuais (até seis casas decimais)</w:t>
            </w:r>
          </w:p>
        </w:tc>
        <w:tc>
          <w:tcPr>
            <w:tcW w:w="1335" w:type="dxa"/>
            <w:shd w:val="clear" w:color="auto" w:fill="auto"/>
          </w:tcPr>
          <w:p w14:paraId="56C721A9"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F43A0E7" w14:textId="77777777" w:rsidTr="00FF383F">
        <w:trPr>
          <w:trHeight w:val="227"/>
        </w:trPr>
        <w:tc>
          <w:tcPr>
            <w:tcW w:w="3532" w:type="dxa"/>
            <w:shd w:val="clear" w:color="auto" w:fill="auto"/>
            <w:vAlign w:val="center"/>
          </w:tcPr>
          <w:p w14:paraId="6891635F" w14:textId="77777777" w:rsidR="009A242A" w:rsidRPr="007E77AF" w:rsidRDefault="009A242A" w:rsidP="00FF383F">
            <w:pPr>
              <w:rPr>
                <w:bCs/>
                <w:sz w:val="20"/>
                <w:szCs w:val="20"/>
                <w:lang w:eastAsia="en-US"/>
              </w:rPr>
            </w:pPr>
            <w:r w:rsidRPr="007E77AF">
              <w:rPr>
                <w:bCs/>
                <w:sz w:val="20"/>
                <w:szCs w:val="20"/>
                <w:lang w:eastAsia="en-US"/>
              </w:rPr>
              <w:t>b.6) Montante ofertado da Série 1 (=b.1.3*b.1.4) (intervalo)</w:t>
            </w:r>
          </w:p>
        </w:tc>
        <w:tc>
          <w:tcPr>
            <w:tcW w:w="5251" w:type="dxa"/>
            <w:shd w:val="clear" w:color="auto" w:fill="auto"/>
            <w:vAlign w:val="center"/>
          </w:tcPr>
          <w:p w14:paraId="2C9E1811" w14:textId="77777777" w:rsidR="009A242A" w:rsidRPr="007E77AF" w:rsidRDefault="009A242A" w:rsidP="00FF383F">
            <w:pPr>
              <w:jc w:val="center"/>
              <w:rPr>
                <w:bCs/>
                <w:sz w:val="20"/>
                <w:szCs w:val="20"/>
                <w:lang w:eastAsia="en-US"/>
              </w:rPr>
            </w:pPr>
            <w:r w:rsidRPr="007E77AF">
              <w:rPr>
                <w:bCs/>
                <w:sz w:val="20"/>
                <w:szCs w:val="20"/>
                <w:lang w:eastAsia="en-US"/>
              </w:rPr>
              <w:t>Em R$ milhões (até duas casas decimais)</w:t>
            </w:r>
          </w:p>
        </w:tc>
        <w:tc>
          <w:tcPr>
            <w:tcW w:w="1335" w:type="dxa"/>
            <w:shd w:val="clear" w:color="auto" w:fill="auto"/>
          </w:tcPr>
          <w:p w14:paraId="480E14E0" w14:textId="77777777" w:rsidR="009A242A" w:rsidRPr="007E77AF" w:rsidRDefault="009A242A" w:rsidP="00FF383F">
            <w:pPr>
              <w:jc w:val="center"/>
              <w:rPr>
                <w:bCs/>
                <w:sz w:val="20"/>
                <w:szCs w:val="20"/>
                <w:lang w:eastAsia="en-US"/>
              </w:rPr>
            </w:pPr>
            <w:r w:rsidRPr="007E77AF">
              <w:rPr>
                <w:rFonts w:cstheme="minorHAnsi"/>
                <w:bCs/>
                <w:sz w:val="20"/>
                <w:szCs w:val="20"/>
                <w:lang w:eastAsia="en-US"/>
              </w:rPr>
              <w:t xml:space="preserve">Seção </w:t>
            </w:r>
            <w:proofErr w:type="gramStart"/>
            <w:r w:rsidRPr="007E77AF">
              <w:rPr>
                <w:rFonts w:cstheme="minorHAnsi"/>
                <w:bCs/>
                <w:sz w:val="20"/>
                <w:szCs w:val="20"/>
                <w:lang w:eastAsia="en-US"/>
              </w:rPr>
              <w:t>#.#</w:t>
            </w:r>
            <w:proofErr w:type="gramEnd"/>
            <w:r w:rsidRPr="007E77AF">
              <w:rPr>
                <w:rFonts w:cstheme="minorHAnsi"/>
                <w:bCs/>
                <w:sz w:val="20"/>
                <w:szCs w:val="20"/>
                <w:lang w:eastAsia="en-US"/>
              </w:rPr>
              <w:t xml:space="preserve"> </w:t>
            </w:r>
          </w:p>
        </w:tc>
      </w:tr>
      <w:tr w:rsidR="009A242A" w:rsidRPr="007E77AF" w14:paraId="5A74CC1F" w14:textId="77777777" w:rsidTr="00FF383F">
        <w:trPr>
          <w:trHeight w:val="227"/>
        </w:trPr>
        <w:tc>
          <w:tcPr>
            <w:tcW w:w="3532" w:type="dxa"/>
            <w:shd w:val="clear" w:color="auto" w:fill="auto"/>
            <w:vAlign w:val="center"/>
          </w:tcPr>
          <w:p w14:paraId="40809B5B" w14:textId="77777777" w:rsidR="009A242A" w:rsidRPr="007E77AF" w:rsidRDefault="009A242A" w:rsidP="00FF383F">
            <w:pPr>
              <w:rPr>
                <w:bCs/>
                <w:sz w:val="20"/>
                <w:szCs w:val="20"/>
                <w:lang w:eastAsia="en-US"/>
              </w:rPr>
            </w:pPr>
            <w:r w:rsidRPr="007E77AF">
              <w:rPr>
                <w:bCs/>
                <w:sz w:val="20"/>
                <w:szCs w:val="20"/>
                <w:lang w:eastAsia="en-US"/>
              </w:rPr>
              <w:t>b.7) Lote suplementar</w:t>
            </w:r>
          </w:p>
        </w:tc>
        <w:tc>
          <w:tcPr>
            <w:tcW w:w="5251" w:type="dxa"/>
            <w:shd w:val="clear" w:color="auto" w:fill="auto"/>
            <w:vAlign w:val="center"/>
          </w:tcPr>
          <w:p w14:paraId="20D4B8F1" w14:textId="77777777" w:rsidR="009A242A" w:rsidRPr="007E77AF" w:rsidRDefault="009A242A" w:rsidP="00FF383F">
            <w:pPr>
              <w:jc w:val="center"/>
              <w:rPr>
                <w:bCs/>
                <w:sz w:val="20"/>
                <w:szCs w:val="20"/>
                <w:lang w:eastAsia="en-US"/>
              </w:rPr>
            </w:pPr>
            <w:r w:rsidRPr="007E77AF">
              <w:rPr>
                <w:bCs/>
                <w:sz w:val="20"/>
                <w:szCs w:val="20"/>
                <w:lang w:eastAsia="en-US"/>
              </w:rPr>
              <w:t>Sim/Não, caso “Sim”, informar percentual</w:t>
            </w:r>
          </w:p>
        </w:tc>
        <w:tc>
          <w:tcPr>
            <w:tcW w:w="1335" w:type="dxa"/>
            <w:shd w:val="clear" w:color="auto" w:fill="auto"/>
          </w:tcPr>
          <w:p w14:paraId="1BC7C8F3" w14:textId="77777777" w:rsidR="009A242A" w:rsidRPr="007E77AF" w:rsidRDefault="009A242A" w:rsidP="00FF383F">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5941EAB4" w14:textId="77777777" w:rsidTr="00FF383F">
        <w:trPr>
          <w:trHeight w:val="227"/>
        </w:trPr>
        <w:tc>
          <w:tcPr>
            <w:tcW w:w="3532" w:type="dxa"/>
            <w:shd w:val="clear" w:color="auto" w:fill="auto"/>
            <w:vAlign w:val="center"/>
          </w:tcPr>
          <w:p w14:paraId="4DC7A3CB" w14:textId="77777777" w:rsidR="009A242A" w:rsidRPr="007E77AF" w:rsidRDefault="009A242A" w:rsidP="00FF383F">
            <w:pPr>
              <w:rPr>
                <w:bCs/>
                <w:sz w:val="20"/>
                <w:szCs w:val="20"/>
                <w:lang w:eastAsia="en-US"/>
              </w:rPr>
            </w:pPr>
            <w:r w:rsidRPr="007E77AF">
              <w:rPr>
                <w:bCs/>
                <w:sz w:val="20"/>
                <w:szCs w:val="20"/>
                <w:lang w:eastAsia="en-US"/>
              </w:rPr>
              <w:t>b.8) Lote adicional</w:t>
            </w:r>
          </w:p>
        </w:tc>
        <w:tc>
          <w:tcPr>
            <w:tcW w:w="5251" w:type="dxa"/>
            <w:shd w:val="clear" w:color="auto" w:fill="auto"/>
            <w:vAlign w:val="center"/>
          </w:tcPr>
          <w:p w14:paraId="7EE3771D" w14:textId="77777777" w:rsidR="009A242A" w:rsidRPr="007E77AF" w:rsidRDefault="009A242A" w:rsidP="00FF383F">
            <w:pPr>
              <w:jc w:val="center"/>
              <w:rPr>
                <w:bCs/>
                <w:sz w:val="20"/>
                <w:szCs w:val="20"/>
                <w:lang w:eastAsia="en-US"/>
              </w:rPr>
            </w:pPr>
            <w:r w:rsidRPr="007E77AF">
              <w:rPr>
                <w:bCs/>
                <w:sz w:val="20"/>
                <w:szCs w:val="20"/>
                <w:lang w:eastAsia="en-US"/>
              </w:rPr>
              <w:t>Sim/Não, caso “Sim”, informar percentual</w:t>
            </w:r>
          </w:p>
        </w:tc>
        <w:tc>
          <w:tcPr>
            <w:tcW w:w="1335" w:type="dxa"/>
            <w:shd w:val="clear" w:color="auto" w:fill="auto"/>
          </w:tcPr>
          <w:p w14:paraId="775D819A" w14:textId="77777777" w:rsidR="009A242A" w:rsidRPr="007E77AF" w:rsidRDefault="009A242A" w:rsidP="00FF383F">
            <w:pPr>
              <w:jc w:val="center"/>
              <w:rPr>
                <w:bCs/>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18346F31" w14:textId="77777777" w:rsidTr="00FF383F">
        <w:trPr>
          <w:trHeight w:val="227"/>
        </w:trPr>
        <w:tc>
          <w:tcPr>
            <w:tcW w:w="3532" w:type="dxa"/>
            <w:shd w:val="clear" w:color="auto" w:fill="auto"/>
            <w:vAlign w:val="center"/>
          </w:tcPr>
          <w:p w14:paraId="50D5DBAC" w14:textId="77777777" w:rsidR="009A242A" w:rsidRPr="007E77AF" w:rsidRDefault="009A242A">
            <w:pPr>
              <w:rPr>
                <w:bCs/>
                <w:sz w:val="20"/>
                <w:szCs w:val="20"/>
                <w:lang w:eastAsia="en-US"/>
              </w:rPr>
            </w:pPr>
            <w:r>
              <w:rPr>
                <w:bCs/>
                <w:sz w:val="20"/>
                <w:szCs w:val="20"/>
                <w:lang w:eastAsia="en-US"/>
              </w:rPr>
              <w:t>b.</w:t>
            </w:r>
            <w:r w:rsidRPr="007E77AF">
              <w:rPr>
                <w:bCs/>
                <w:sz w:val="20"/>
                <w:szCs w:val="20"/>
                <w:lang w:eastAsia="en-US"/>
              </w:rPr>
              <w:t xml:space="preserve">9) Título classificado como “verde”, “social”, “sustentável” ou </w:t>
            </w:r>
            <w:r>
              <w:rPr>
                <w:bCs/>
                <w:sz w:val="20"/>
                <w:szCs w:val="20"/>
                <w:lang w:eastAsia="en-US"/>
              </w:rPr>
              <w:t>correlato</w:t>
            </w:r>
            <w:r w:rsidRPr="007E77AF">
              <w:rPr>
                <w:bCs/>
                <w:sz w:val="20"/>
                <w:szCs w:val="20"/>
                <w:lang w:eastAsia="en-US"/>
              </w:rPr>
              <w:t>?</w:t>
            </w:r>
          </w:p>
        </w:tc>
        <w:tc>
          <w:tcPr>
            <w:tcW w:w="5251" w:type="dxa"/>
            <w:shd w:val="clear" w:color="auto" w:fill="auto"/>
            <w:vAlign w:val="center"/>
          </w:tcPr>
          <w:p w14:paraId="37593EFC" w14:textId="77777777" w:rsidR="009A242A" w:rsidRPr="007E77AF" w:rsidRDefault="009A242A" w:rsidP="008A28D8">
            <w:pPr>
              <w:jc w:val="center"/>
              <w:rPr>
                <w:bCs/>
                <w:sz w:val="20"/>
                <w:szCs w:val="20"/>
                <w:lang w:eastAsia="en-US"/>
              </w:rPr>
            </w:pPr>
            <w:r w:rsidRPr="007E77AF">
              <w:rPr>
                <w:rFonts w:cstheme="minorBidi"/>
                <w:sz w:val="20"/>
                <w:szCs w:val="20"/>
                <w:lang w:eastAsia="en-US"/>
              </w:rPr>
              <w:t>Sim/Não</w:t>
            </w:r>
          </w:p>
        </w:tc>
        <w:tc>
          <w:tcPr>
            <w:tcW w:w="1335" w:type="dxa"/>
            <w:shd w:val="clear" w:color="auto" w:fill="auto"/>
          </w:tcPr>
          <w:p w14:paraId="75D219CB" w14:textId="77777777" w:rsidR="009A242A" w:rsidRPr="007E77AF" w:rsidRDefault="009A242A" w:rsidP="008A28D8">
            <w:pPr>
              <w:jc w:val="center"/>
              <w:rPr>
                <w:rFonts w:cstheme="minorBidi"/>
                <w:sz w:val="20"/>
                <w:szCs w:val="20"/>
                <w:lang w:eastAsia="en-US"/>
              </w:rPr>
            </w:pPr>
            <w:r w:rsidRPr="007E77AF">
              <w:rPr>
                <w:rFonts w:cstheme="minorBidi"/>
                <w:sz w:val="20"/>
                <w:szCs w:val="20"/>
                <w:lang w:eastAsia="en-US"/>
              </w:rPr>
              <w:t xml:space="preserve">Seção </w:t>
            </w:r>
            <w:proofErr w:type="gramStart"/>
            <w:r w:rsidRPr="007E77AF">
              <w:rPr>
                <w:rFonts w:cstheme="minorBidi"/>
                <w:sz w:val="20"/>
                <w:szCs w:val="20"/>
                <w:lang w:eastAsia="en-US"/>
              </w:rPr>
              <w:t>#.#</w:t>
            </w:r>
            <w:proofErr w:type="gramEnd"/>
          </w:p>
        </w:tc>
      </w:tr>
      <w:tr w:rsidR="009A242A" w:rsidRPr="007E77AF" w14:paraId="46A4981D" w14:textId="77777777" w:rsidTr="00FF383F">
        <w:trPr>
          <w:trHeight w:val="227"/>
        </w:trPr>
        <w:tc>
          <w:tcPr>
            <w:tcW w:w="3532" w:type="dxa"/>
            <w:shd w:val="clear" w:color="auto" w:fill="auto"/>
            <w:vAlign w:val="center"/>
          </w:tcPr>
          <w:p w14:paraId="2E9A7AC0" w14:textId="77777777" w:rsidR="009A242A" w:rsidRPr="007E77AF" w:rsidRDefault="009A242A" w:rsidP="00FF383F">
            <w:pPr>
              <w:rPr>
                <w:bCs/>
                <w:sz w:val="20"/>
                <w:szCs w:val="20"/>
                <w:lang w:eastAsia="en-US"/>
              </w:rPr>
            </w:pPr>
            <w:r w:rsidRPr="007E77AF">
              <w:rPr>
                <w:bCs/>
                <w:sz w:val="20"/>
                <w:szCs w:val="20"/>
                <w:lang w:eastAsia="en-US"/>
              </w:rPr>
              <w:t>C. Outras informações</w:t>
            </w:r>
          </w:p>
        </w:tc>
        <w:tc>
          <w:tcPr>
            <w:tcW w:w="5251" w:type="dxa"/>
            <w:shd w:val="clear" w:color="auto" w:fill="auto"/>
            <w:vAlign w:val="center"/>
          </w:tcPr>
          <w:p w14:paraId="7763EA51" w14:textId="77777777" w:rsidR="009A242A" w:rsidRPr="007E77AF" w:rsidRDefault="009A242A" w:rsidP="00FF383F">
            <w:pPr>
              <w:jc w:val="center"/>
              <w:rPr>
                <w:bCs/>
                <w:sz w:val="20"/>
                <w:szCs w:val="20"/>
                <w:lang w:eastAsia="en-US"/>
              </w:rPr>
            </w:pPr>
          </w:p>
        </w:tc>
        <w:tc>
          <w:tcPr>
            <w:tcW w:w="1335" w:type="dxa"/>
            <w:shd w:val="clear" w:color="auto" w:fill="auto"/>
          </w:tcPr>
          <w:p w14:paraId="4F212C12" w14:textId="77777777" w:rsidR="009A242A" w:rsidRPr="007E77AF" w:rsidRDefault="009A242A" w:rsidP="00FF383F">
            <w:pPr>
              <w:jc w:val="center"/>
              <w:rPr>
                <w:bCs/>
                <w:sz w:val="20"/>
                <w:szCs w:val="20"/>
                <w:lang w:eastAsia="en-US"/>
              </w:rPr>
            </w:pPr>
          </w:p>
        </w:tc>
      </w:tr>
      <w:tr w:rsidR="009A242A" w:rsidRPr="007E77AF" w14:paraId="44175861" w14:textId="77777777" w:rsidTr="00FF383F">
        <w:trPr>
          <w:trHeight w:val="227"/>
        </w:trPr>
        <w:tc>
          <w:tcPr>
            <w:tcW w:w="3532" w:type="dxa"/>
            <w:shd w:val="clear" w:color="auto" w:fill="auto"/>
            <w:vAlign w:val="center"/>
          </w:tcPr>
          <w:p w14:paraId="336C67C1" w14:textId="77777777" w:rsidR="009A242A" w:rsidRPr="007E77AF" w:rsidRDefault="009A242A" w:rsidP="00FF383F">
            <w:pPr>
              <w:rPr>
                <w:bCs/>
                <w:sz w:val="20"/>
                <w:szCs w:val="20"/>
                <w:lang w:eastAsia="en-US"/>
              </w:rPr>
            </w:pPr>
            <w:r w:rsidRPr="007E77AF">
              <w:rPr>
                <w:bCs/>
                <w:sz w:val="20"/>
                <w:szCs w:val="20"/>
                <w:lang w:eastAsia="en-US"/>
              </w:rPr>
              <w:t>c.3 Agente Fiduciário</w:t>
            </w:r>
          </w:p>
        </w:tc>
        <w:tc>
          <w:tcPr>
            <w:tcW w:w="5251" w:type="dxa"/>
            <w:shd w:val="clear" w:color="auto" w:fill="auto"/>
            <w:vAlign w:val="center"/>
          </w:tcPr>
          <w:p w14:paraId="60D51B12" w14:textId="77777777" w:rsidR="009A242A" w:rsidRPr="007E77AF" w:rsidRDefault="009A242A" w:rsidP="00FF383F">
            <w:pPr>
              <w:jc w:val="center"/>
              <w:rPr>
                <w:bCs/>
                <w:sz w:val="20"/>
                <w:szCs w:val="20"/>
                <w:lang w:eastAsia="en-US"/>
              </w:rPr>
            </w:pPr>
          </w:p>
        </w:tc>
        <w:tc>
          <w:tcPr>
            <w:tcW w:w="1335" w:type="dxa"/>
            <w:shd w:val="clear" w:color="auto" w:fill="auto"/>
          </w:tcPr>
          <w:p w14:paraId="6A7C7813"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7E12637" w14:textId="77777777" w:rsidTr="00FF383F">
        <w:trPr>
          <w:trHeight w:val="390"/>
        </w:trPr>
        <w:tc>
          <w:tcPr>
            <w:tcW w:w="8783" w:type="dxa"/>
            <w:gridSpan w:val="2"/>
            <w:shd w:val="clear" w:color="auto" w:fill="auto"/>
            <w:vAlign w:val="center"/>
            <w:hideMark/>
          </w:tcPr>
          <w:p w14:paraId="4EA65528"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335" w:type="dxa"/>
            <w:shd w:val="clear" w:color="auto" w:fill="auto"/>
            <w:vAlign w:val="center"/>
            <w:hideMark/>
          </w:tcPr>
          <w:p w14:paraId="5E1DCA27"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4A0EE0FF" w14:textId="77777777" w:rsidTr="00FF383F">
        <w:trPr>
          <w:trHeight w:val="227"/>
        </w:trPr>
        <w:tc>
          <w:tcPr>
            <w:tcW w:w="3532" w:type="dxa"/>
            <w:shd w:val="clear" w:color="auto" w:fill="auto"/>
            <w:vAlign w:val="center"/>
            <w:hideMark/>
          </w:tcPr>
          <w:p w14:paraId="5383E2F9" w14:textId="77777777" w:rsidR="009A242A" w:rsidRPr="007E77AF" w:rsidRDefault="009A242A" w:rsidP="00FF383F">
            <w:pPr>
              <w:rPr>
                <w:rFonts w:ascii="Calibri Light" w:hAnsi="Calibri Light"/>
                <w:b/>
                <w:bCs/>
                <w:sz w:val="20"/>
                <w:szCs w:val="20"/>
                <w:lang w:eastAsia="en-US"/>
              </w:rPr>
            </w:pPr>
            <w:r w:rsidRPr="007E77AF">
              <w:rPr>
                <w:bCs/>
                <w:sz w:val="20"/>
                <w:szCs w:val="20"/>
                <w:lang w:eastAsia="en-US"/>
              </w:rPr>
              <w:lastRenderedPageBreak/>
              <w:t>Qual será a destinação dos recursos da oferta?</w:t>
            </w:r>
          </w:p>
        </w:tc>
        <w:tc>
          <w:tcPr>
            <w:tcW w:w="5251" w:type="dxa"/>
            <w:shd w:val="clear" w:color="auto" w:fill="auto"/>
            <w:vAlign w:val="center"/>
            <w:hideMark/>
          </w:tcPr>
          <w:p w14:paraId="05A73FE1"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[Máx. 200 palavras]</w:t>
            </w:r>
          </w:p>
        </w:tc>
        <w:tc>
          <w:tcPr>
            <w:tcW w:w="1335" w:type="dxa"/>
            <w:shd w:val="clear" w:color="auto" w:fill="auto"/>
            <w:vAlign w:val="center"/>
            <w:hideMark/>
          </w:tcPr>
          <w:p w14:paraId="7C4A50E8"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40167AA" w14:textId="77777777" w:rsidTr="00FF383F">
        <w:trPr>
          <w:trHeight w:val="390"/>
        </w:trPr>
        <w:tc>
          <w:tcPr>
            <w:tcW w:w="8783" w:type="dxa"/>
            <w:gridSpan w:val="2"/>
            <w:shd w:val="clear" w:color="auto" w:fill="auto"/>
            <w:vAlign w:val="center"/>
            <w:hideMark/>
          </w:tcPr>
          <w:p w14:paraId="37DA7546"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dos valores mobiliários</w:t>
            </w:r>
          </w:p>
        </w:tc>
        <w:tc>
          <w:tcPr>
            <w:tcW w:w="1335" w:type="dxa"/>
            <w:shd w:val="clear" w:color="auto" w:fill="auto"/>
            <w:vAlign w:val="center"/>
            <w:hideMark/>
          </w:tcPr>
          <w:p w14:paraId="52D1C1B7"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1610FEB" w14:textId="77777777" w:rsidTr="00FF383F">
        <w:trPr>
          <w:trHeight w:val="390"/>
        </w:trPr>
        <w:tc>
          <w:tcPr>
            <w:tcW w:w="10118" w:type="dxa"/>
            <w:gridSpan w:val="3"/>
            <w:shd w:val="clear" w:color="auto" w:fill="auto"/>
            <w:vAlign w:val="center"/>
            <w:hideMark/>
          </w:tcPr>
          <w:p w14:paraId="54F2CAF6"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Informações sobre o lastro</w:t>
            </w:r>
          </w:p>
        </w:tc>
      </w:tr>
      <w:tr w:rsidR="009A242A" w:rsidRPr="007E77AF" w14:paraId="56AEF25F" w14:textId="77777777" w:rsidTr="00FF383F">
        <w:trPr>
          <w:trHeight w:val="227"/>
        </w:trPr>
        <w:tc>
          <w:tcPr>
            <w:tcW w:w="3532" w:type="dxa"/>
            <w:shd w:val="clear" w:color="auto" w:fill="auto"/>
            <w:vAlign w:val="center"/>
            <w:hideMark/>
          </w:tcPr>
          <w:p w14:paraId="03AC67F7" w14:textId="77777777" w:rsidR="009A242A" w:rsidRPr="007E77AF" w:rsidRDefault="009A242A" w:rsidP="00FF383F">
            <w:pPr>
              <w:rPr>
                <w:bCs/>
                <w:sz w:val="20"/>
                <w:szCs w:val="20"/>
                <w:lang w:eastAsia="en-US"/>
              </w:rPr>
            </w:pPr>
            <w:r w:rsidRPr="007E77AF">
              <w:rPr>
                <w:bCs/>
                <w:sz w:val="20"/>
                <w:szCs w:val="20"/>
                <w:lang w:eastAsia="en-US"/>
              </w:rPr>
              <w:t>Tipo de Lastro</w:t>
            </w:r>
          </w:p>
        </w:tc>
        <w:tc>
          <w:tcPr>
            <w:tcW w:w="5251" w:type="dxa"/>
            <w:shd w:val="clear" w:color="auto" w:fill="auto"/>
            <w:vAlign w:val="center"/>
            <w:hideMark/>
          </w:tcPr>
          <w:p w14:paraId="081D2E0D" w14:textId="77777777" w:rsidR="009A242A" w:rsidRPr="007E77AF" w:rsidRDefault="009A242A" w:rsidP="00FF383F">
            <w:pPr>
              <w:jc w:val="center"/>
              <w:rPr>
                <w:bCs/>
                <w:sz w:val="20"/>
                <w:szCs w:val="20"/>
                <w:lang w:eastAsia="en-US"/>
              </w:rPr>
            </w:pPr>
            <w:r w:rsidRPr="007E77AF">
              <w:rPr>
                <w:bCs/>
                <w:sz w:val="20"/>
                <w:szCs w:val="20"/>
                <w:lang w:eastAsia="en-US"/>
              </w:rPr>
              <w:t>Pulverizado/concentrado</w:t>
            </w:r>
          </w:p>
        </w:tc>
        <w:tc>
          <w:tcPr>
            <w:tcW w:w="1335" w:type="dxa"/>
            <w:shd w:val="clear" w:color="auto" w:fill="auto"/>
            <w:hideMark/>
          </w:tcPr>
          <w:p w14:paraId="627C53FD"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0D5E34C" w14:textId="77777777" w:rsidTr="00FF383F">
        <w:trPr>
          <w:trHeight w:val="227"/>
        </w:trPr>
        <w:tc>
          <w:tcPr>
            <w:tcW w:w="3532" w:type="dxa"/>
            <w:shd w:val="clear" w:color="auto" w:fill="auto"/>
            <w:vAlign w:val="center"/>
          </w:tcPr>
          <w:p w14:paraId="10951449" w14:textId="77777777" w:rsidR="009A242A" w:rsidRPr="007E77AF" w:rsidRDefault="009A242A" w:rsidP="00FF383F">
            <w:pPr>
              <w:rPr>
                <w:bCs/>
                <w:sz w:val="20"/>
                <w:szCs w:val="20"/>
                <w:lang w:eastAsia="en-US"/>
              </w:rPr>
            </w:pPr>
            <w:r w:rsidRPr="007E77AF">
              <w:rPr>
                <w:bCs/>
                <w:sz w:val="20"/>
                <w:szCs w:val="20"/>
                <w:lang w:eastAsia="en-US"/>
              </w:rPr>
              <w:t>Principais informações sobre o lastro</w:t>
            </w:r>
          </w:p>
        </w:tc>
        <w:tc>
          <w:tcPr>
            <w:tcW w:w="5251" w:type="dxa"/>
            <w:shd w:val="clear" w:color="auto" w:fill="auto"/>
            <w:vAlign w:val="center"/>
          </w:tcPr>
          <w:p w14:paraId="4237EBF7" w14:textId="77777777" w:rsidR="009A242A" w:rsidRPr="007E77AF" w:rsidRDefault="009A242A" w:rsidP="00FF383F">
            <w:pPr>
              <w:rPr>
                <w:bCs/>
                <w:sz w:val="20"/>
                <w:szCs w:val="20"/>
                <w:lang w:eastAsia="en-US"/>
              </w:rPr>
            </w:pPr>
            <w:r w:rsidRPr="007E77AF">
              <w:rPr>
                <w:bCs/>
                <w:sz w:val="20"/>
                <w:szCs w:val="20"/>
                <w:lang w:eastAsia="en-US"/>
              </w:rPr>
              <w:t xml:space="preserve">Pulverizado: principais características dos créditos lastro (critérios de elegibilidade, política de concessão de crédito, identificação do cedente, por exemplo) / Concentrado: lista de devedores responsáveis por mais de 20% do lastro, %’s de concentração, informações básicas sobre devedores (setor de atuação, tipo societário, informar que </w:t>
            </w:r>
            <w:proofErr w:type="spellStart"/>
            <w:r w:rsidRPr="007E77AF">
              <w:rPr>
                <w:bCs/>
                <w:sz w:val="20"/>
                <w:szCs w:val="20"/>
                <w:lang w:eastAsia="en-US"/>
              </w:rPr>
              <w:t>DF’s</w:t>
            </w:r>
            <w:proofErr w:type="spellEnd"/>
            <w:r w:rsidRPr="007E77AF">
              <w:rPr>
                <w:bCs/>
                <w:sz w:val="20"/>
                <w:szCs w:val="20"/>
                <w:lang w:eastAsia="en-US"/>
              </w:rPr>
              <w:t xml:space="preserve"> auditadas e indicadores financeiros ajustados pós captação estão disponíveis no Prospecto)</w:t>
            </w:r>
          </w:p>
        </w:tc>
        <w:tc>
          <w:tcPr>
            <w:tcW w:w="1335" w:type="dxa"/>
            <w:shd w:val="clear" w:color="auto" w:fill="auto"/>
          </w:tcPr>
          <w:p w14:paraId="76644C74"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165B3003" w14:textId="77777777" w:rsidTr="00FF383F">
        <w:trPr>
          <w:trHeight w:val="227"/>
        </w:trPr>
        <w:tc>
          <w:tcPr>
            <w:tcW w:w="3532" w:type="dxa"/>
            <w:shd w:val="clear" w:color="auto" w:fill="auto"/>
            <w:vAlign w:val="center"/>
            <w:hideMark/>
          </w:tcPr>
          <w:p w14:paraId="287D967B" w14:textId="77777777" w:rsidR="009A242A" w:rsidRPr="007E77AF" w:rsidRDefault="009A242A" w:rsidP="00FF383F">
            <w:pPr>
              <w:rPr>
                <w:bCs/>
                <w:sz w:val="20"/>
                <w:szCs w:val="20"/>
                <w:lang w:eastAsia="en-US"/>
              </w:rPr>
            </w:pPr>
            <w:r w:rsidRPr="007E77AF">
              <w:rPr>
                <w:bCs/>
                <w:sz w:val="20"/>
                <w:szCs w:val="20"/>
                <w:lang w:eastAsia="en-US"/>
              </w:rPr>
              <w:t>Existência de crédito não performado</w:t>
            </w:r>
          </w:p>
          <w:p w14:paraId="7502A52E" w14:textId="77777777" w:rsidR="009A242A" w:rsidRPr="007E77AF" w:rsidRDefault="009A242A" w:rsidP="00FF383F">
            <w:pPr>
              <w:rPr>
                <w:bCs/>
                <w:sz w:val="20"/>
                <w:szCs w:val="20"/>
                <w:lang w:eastAsia="en-US"/>
              </w:rPr>
            </w:pPr>
          </w:p>
        </w:tc>
        <w:tc>
          <w:tcPr>
            <w:tcW w:w="5251" w:type="dxa"/>
            <w:shd w:val="clear" w:color="auto" w:fill="auto"/>
            <w:vAlign w:val="center"/>
            <w:hideMark/>
          </w:tcPr>
          <w:p w14:paraId="0187B968" w14:textId="77777777" w:rsidR="009A242A" w:rsidRPr="007E77AF" w:rsidRDefault="009A242A" w:rsidP="00FF383F">
            <w:pPr>
              <w:rPr>
                <w:bCs/>
                <w:sz w:val="20"/>
                <w:szCs w:val="20"/>
                <w:lang w:eastAsia="en-US"/>
              </w:rPr>
            </w:pPr>
            <w:r w:rsidRPr="007E77AF">
              <w:rPr>
                <w:bCs/>
                <w:sz w:val="20"/>
                <w:szCs w:val="20"/>
                <w:lang w:eastAsia="en-US"/>
              </w:rPr>
              <w:t xml:space="preserve">Não/Sim [se houver originador responsável por mais de 20% do lastro, inserir %’s de concentração, informações básicas sobre originadores (setor de atuação, tipo societário, informar que </w:t>
            </w:r>
            <w:proofErr w:type="spellStart"/>
            <w:r w:rsidRPr="007E77AF">
              <w:rPr>
                <w:bCs/>
                <w:sz w:val="20"/>
                <w:szCs w:val="20"/>
                <w:lang w:eastAsia="en-US"/>
              </w:rPr>
              <w:t>DF’s</w:t>
            </w:r>
            <w:proofErr w:type="spellEnd"/>
            <w:r w:rsidRPr="007E77AF">
              <w:rPr>
                <w:bCs/>
                <w:sz w:val="20"/>
                <w:szCs w:val="20"/>
                <w:lang w:eastAsia="en-US"/>
              </w:rPr>
              <w:t xml:space="preserve"> auditadas estão disponíveis no Prospecto)]</w:t>
            </w:r>
          </w:p>
        </w:tc>
        <w:tc>
          <w:tcPr>
            <w:tcW w:w="1335" w:type="dxa"/>
            <w:shd w:val="clear" w:color="auto" w:fill="auto"/>
            <w:hideMark/>
          </w:tcPr>
          <w:p w14:paraId="4EE08500"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F54C4B6" w14:textId="77777777" w:rsidTr="00FF383F">
        <w:trPr>
          <w:trHeight w:val="227"/>
        </w:trPr>
        <w:tc>
          <w:tcPr>
            <w:tcW w:w="3532" w:type="dxa"/>
            <w:shd w:val="clear" w:color="auto" w:fill="auto"/>
            <w:vAlign w:val="center"/>
          </w:tcPr>
          <w:p w14:paraId="434DAE51" w14:textId="77777777" w:rsidR="009A242A" w:rsidRPr="007E77AF" w:rsidRDefault="009A242A" w:rsidP="00FF383F">
            <w:pPr>
              <w:rPr>
                <w:bCs/>
                <w:sz w:val="20"/>
                <w:szCs w:val="20"/>
                <w:lang w:eastAsia="en-US"/>
              </w:rPr>
            </w:pPr>
            <w:r w:rsidRPr="007E77AF">
              <w:rPr>
                <w:bCs/>
                <w:sz w:val="20"/>
                <w:szCs w:val="20"/>
                <w:lang w:eastAsia="en-US"/>
              </w:rPr>
              <w:t>Informações estatísticas sobre inadimplementos</w:t>
            </w:r>
          </w:p>
        </w:tc>
        <w:tc>
          <w:tcPr>
            <w:tcW w:w="5251" w:type="dxa"/>
            <w:shd w:val="clear" w:color="auto" w:fill="auto"/>
            <w:vAlign w:val="center"/>
          </w:tcPr>
          <w:p w14:paraId="1625415B" w14:textId="77777777" w:rsidR="009A242A" w:rsidRPr="007E77AF" w:rsidRDefault="009A242A" w:rsidP="00FF383F">
            <w:pPr>
              <w:rPr>
                <w:bCs/>
                <w:sz w:val="20"/>
                <w:szCs w:val="20"/>
                <w:lang w:eastAsia="en-US"/>
              </w:rPr>
            </w:pPr>
            <w:r w:rsidRPr="007E77AF">
              <w:rPr>
                <w:bCs/>
                <w:sz w:val="20"/>
                <w:szCs w:val="20"/>
                <w:lang w:eastAsia="en-US"/>
              </w:rPr>
              <w:t>Principais informações estatísticas sobre inadimplementos, perdas ou pré-pagamento de créditos de mesma natureza dos direitos creditórios que comporão o patrimônio do ofertante, compreendendo um período de 3 (três) anos imediatamente anteriores à data da oferta</w:t>
            </w:r>
          </w:p>
        </w:tc>
        <w:tc>
          <w:tcPr>
            <w:tcW w:w="1335" w:type="dxa"/>
            <w:shd w:val="clear" w:color="auto" w:fill="auto"/>
          </w:tcPr>
          <w:p w14:paraId="2E48F110"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4AD6713" w14:textId="77777777" w:rsidTr="00FF383F">
        <w:trPr>
          <w:trHeight w:val="390"/>
        </w:trPr>
        <w:tc>
          <w:tcPr>
            <w:tcW w:w="3532" w:type="dxa"/>
            <w:shd w:val="clear" w:color="auto" w:fill="auto"/>
            <w:vAlign w:val="center"/>
            <w:hideMark/>
          </w:tcPr>
          <w:p w14:paraId="320B420D" w14:textId="77777777" w:rsidR="009A242A" w:rsidRPr="007E77AF" w:rsidRDefault="009A242A" w:rsidP="00FF383F">
            <w:pPr>
              <w:rPr>
                <w:rFonts w:ascii="Calibri" w:hAnsi="Calibri"/>
                <w:b/>
                <w:bCs/>
                <w:sz w:val="20"/>
                <w:szCs w:val="20"/>
                <w:lang w:eastAsia="en-US"/>
              </w:rPr>
            </w:pPr>
            <w:r w:rsidRPr="007E77AF">
              <w:rPr>
                <w:rFonts w:ascii="Calibri" w:hAnsi="Calibri"/>
                <w:b/>
                <w:sz w:val="20"/>
                <w:szCs w:val="20"/>
                <w:shd w:val="clear" w:color="auto" w:fill="FFFFFF"/>
                <w:lang w:eastAsia="en-US"/>
              </w:rPr>
              <w:t>Sumário dos principais riscos do devedor e/ou coobrigado e/ou originador (no caso de crédito não performado) responsáveis por mais de 20% do lastro</w:t>
            </w:r>
          </w:p>
        </w:tc>
        <w:tc>
          <w:tcPr>
            <w:tcW w:w="5251" w:type="dxa"/>
            <w:shd w:val="clear" w:color="auto" w:fill="auto"/>
            <w:vAlign w:val="center"/>
            <w:hideMark/>
          </w:tcPr>
          <w:p w14:paraId="74F1AE95" w14:textId="36A7603D"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35" w:type="dxa"/>
            <w:shd w:val="clear" w:color="auto" w:fill="auto"/>
            <w:vAlign w:val="center"/>
            <w:hideMark/>
          </w:tcPr>
          <w:p w14:paraId="76C37D5E" w14:textId="5701E0BA"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283239D3" w14:textId="77777777" w:rsidTr="00FF383F">
        <w:trPr>
          <w:trHeight w:val="227"/>
        </w:trPr>
        <w:tc>
          <w:tcPr>
            <w:tcW w:w="3532" w:type="dxa"/>
            <w:shd w:val="clear" w:color="auto" w:fill="auto"/>
            <w:vAlign w:val="center"/>
            <w:hideMark/>
          </w:tcPr>
          <w:p w14:paraId="4B581B58" w14:textId="77777777" w:rsidR="009A242A" w:rsidRPr="007E77AF" w:rsidRDefault="009A242A" w:rsidP="00FF383F">
            <w:pPr>
              <w:rPr>
                <w:bCs/>
                <w:sz w:val="20"/>
                <w:szCs w:val="20"/>
                <w:lang w:eastAsia="en-US"/>
              </w:rPr>
            </w:pPr>
            <w:r w:rsidRPr="007E77AF">
              <w:rPr>
                <w:bCs/>
                <w:sz w:val="20"/>
                <w:szCs w:val="20"/>
                <w:lang w:eastAsia="en-US"/>
              </w:rPr>
              <w:t>1. (Descrição breve – Máx. 50 palavras)</w:t>
            </w:r>
          </w:p>
        </w:tc>
        <w:tc>
          <w:tcPr>
            <w:tcW w:w="5251" w:type="dxa"/>
            <w:shd w:val="clear" w:color="auto" w:fill="auto"/>
            <w:vAlign w:val="center"/>
            <w:hideMark/>
          </w:tcPr>
          <w:p w14:paraId="0E1DD7D6" w14:textId="58D49031" w:rsidR="009A242A" w:rsidRPr="007E77AF" w:rsidRDefault="009A242A" w:rsidP="00FF383F">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r w:rsidRPr="007E77AF">
              <w:rPr>
                <w:bCs/>
                <w:sz w:val="20"/>
                <w:szCs w:val="20"/>
                <w:lang w:eastAsia="en-US"/>
              </w:rPr>
              <w:t xml:space="preserve"> </w:t>
            </w:r>
          </w:p>
        </w:tc>
        <w:tc>
          <w:tcPr>
            <w:tcW w:w="1335" w:type="dxa"/>
            <w:shd w:val="clear" w:color="auto" w:fill="auto"/>
            <w:vAlign w:val="center"/>
            <w:hideMark/>
          </w:tcPr>
          <w:p w14:paraId="29EDF08E" w14:textId="10F89F98"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462A274" w14:textId="77777777" w:rsidTr="00FF383F">
        <w:trPr>
          <w:trHeight w:val="227"/>
        </w:trPr>
        <w:tc>
          <w:tcPr>
            <w:tcW w:w="3532" w:type="dxa"/>
            <w:shd w:val="clear" w:color="auto" w:fill="auto"/>
            <w:vAlign w:val="center"/>
            <w:hideMark/>
          </w:tcPr>
          <w:p w14:paraId="29E11D02" w14:textId="77777777" w:rsidR="009A242A" w:rsidRPr="007E77AF" w:rsidRDefault="009A242A" w:rsidP="00FF383F">
            <w:pPr>
              <w:rPr>
                <w:bCs/>
                <w:sz w:val="20"/>
                <w:szCs w:val="20"/>
                <w:lang w:eastAsia="en-US"/>
              </w:rPr>
            </w:pPr>
            <w:r w:rsidRPr="007E77AF">
              <w:rPr>
                <w:bCs/>
                <w:sz w:val="20"/>
                <w:szCs w:val="20"/>
                <w:lang w:eastAsia="en-US"/>
              </w:rPr>
              <w:t>2. (Descrição breve – Máx</w:t>
            </w:r>
            <w:r>
              <w:rPr>
                <w:bCs/>
                <w:sz w:val="20"/>
                <w:szCs w:val="20"/>
                <w:lang w:eastAsia="en-US"/>
              </w:rPr>
              <w:t>.</w:t>
            </w:r>
            <w:r w:rsidRPr="007E77AF">
              <w:rPr>
                <w:bCs/>
                <w:sz w:val="20"/>
                <w:szCs w:val="20"/>
                <w:lang w:eastAsia="en-US"/>
              </w:rPr>
              <w:t xml:space="preserve"> 50 palavras)</w:t>
            </w:r>
          </w:p>
        </w:tc>
        <w:tc>
          <w:tcPr>
            <w:tcW w:w="5251" w:type="dxa"/>
            <w:shd w:val="clear" w:color="auto" w:fill="auto"/>
            <w:vAlign w:val="center"/>
            <w:hideMark/>
          </w:tcPr>
          <w:p w14:paraId="3C22A8E6" w14:textId="3DE999E3" w:rsidR="009A242A" w:rsidRPr="007E77AF" w:rsidRDefault="009A242A" w:rsidP="00FF383F">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18B64ADC" w14:textId="2863152B"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1FFEF67" w14:textId="77777777" w:rsidTr="00FF383F">
        <w:trPr>
          <w:trHeight w:val="227"/>
        </w:trPr>
        <w:tc>
          <w:tcPr>
            <w:tcW w:w="3532" w:type="dxa"/>
            <w:shd w:val="clear" w:color="auto" w:fill="auto"/>
            <w:vAlign w:val="center"/>
            <w:hideMark/>
          </w:tcPr>
          <w:p w14:paraId="76FF0F62" w14:textId="77777777" w:rsidR="009A242A" w:rsidRPr="007E77AF" w:rsidRDefault="009A242A" w:rsidP="00FF383F">
            <w:pPr>
              <w:rPr>
                <w:bCs/>
                <w:sz w:val="20"/>
                <w:szCs w:val="20"/>
                <w:lang w:eastAsia="en-US"/>
              </w:rPr>
            </w:pPr>
            <w:r w:rsidRPr="007E77AF">
              <w:rPr>
                <w:bCs/>
                <w:sz w:val="20"/>
                <w:szCs w:val="20"/>
                <w:lang w:eastAsia="en-US"/>
              </w:rPr>
              <w:t>3. (Descrição breve – Máx. 50 palavras)</w:t>
            </w:r>
          </w:p>
        </w:tc>
        <w:tc>
          <w:tcPr>
            <w:tcW w:w="5251" w:type="dxa"/>
            <w:shd w:val="clear" w:color="auto" w:fill="auto"/>
            <w:vAlign w:val="center"/>
            <w:hideMark/>
          </w:tcPr>
          <w:p w14:paraId="31FE1B3D" w14:textId="504DF910" w:rsidR="009A242A" w:rsidRPr="007E77AF" w:rsidRDefault="009A242A" w:rsidP="00FF383F">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7C67B7B7" w14:textId="199E2AC1"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4F2724FB" w14:textId="77777777" w:rsidTr="00FF383F">
        <w:trPr>
          <w:trHeight w:val="227"/>
        </w:trPr>
        <w:tc>
          <w:tcPr>
            <w:tcW w:w="3532" w:type="dxa"/>
            <w:shd w:val="clear" w:color="auto" w:fill="auto"/>
            <w:vAlign w:val="center"/>
            <w:hideMark/>
          </w:tcPr>
          <w:p w14:paraId="42900913" w14:textId="77777777" w:rsidR="009A242A" w:rsidRPr="007E77AF" w:rsidRDefault="009A242A" w:rsidP="00FF383F">
            <w:pPr>
              <w:rPr>
                <w:bCs/>
                <w:sz w:val="20"/>
                <w:szCs w:val="20"/>
                <w:lang w:eastAsia="en-US"/>
              </w:rPr>
            </w:pPr>
            <w:r w:rsidRPr="007E77AF">
              <w:rPr>
                <w:bCs/>
                <w:sz w:val="20"/>
                <w:szCs w:val="20"/>
                <w:lang w:eastAsia="en-US"/>
              </w:rPr>
              <w:t>4. (Descrição breve – Máx</w:t>
            </w:r>
            <w:r>
              <w:rPr>
                <w:bCs/>
                <w:sz w:val="20"/>
                <w:szCs w:val="20"/>
                <w:lang w:eastAsia="en-US"/>
              </w:rPr>
              <w:t>.</w:t>
            </w:r>
            <w:r w:rsidRPr="007E77AF">
              <w:rPr>
                <w:bCs/>
                <w:sz w:val="20"/>
                <w:szCs w:val="20"/>
                <w:lang w:eastAsia="en-US"/>
              </w:rPr>
              <w:t xml:space="preserve"> 50 palavras)</w:t>
            </w:r>
          </w:p>
        </w:tc>
        <w:tc>
          <w:tcPr>
            <w:tcW w:w="5251" w:type="dxa"/>
            <w:shd w:val="clear" w:color="auto" w:fill="auto"/>
            <w:vAlign w:val="center"/>
            <w:hideMark/>
          </w:tcPr>
          <w:p w14:paraId="2AB902C2" w14:textId="613AD670" w:rsidR="009A242A" w:rsidRPr="007E77AF" w:rsidRDefault="009A242A" w:rsidP="00FF383F">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16AB92B0" w14:textId="4CFB62E3"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BCDF081" w14:textId="77777777" w:rsidTr="00FF383F">
        <w:trPr>
          <w:trHeight w:val="227"/>
        </w:trPr>
        <w:tc>
          <w:tcPr>
            <w:tcW w:w="3532" w:type="dxa"/>
            <w:shd w:val="clear" w:color="auto" w:fill="auto"/>
            <w:vAlign w:val="center"/>
            <w:hideMark/>
          </w:tcPr>
          <w:p w14:paraId="2BC2901F" w14:textId="77777777" w:rsidR="009A242A" w:rsidRPr="007E77AF" w:rsidRDefault="009A242A" w:rsidP="00FF383F">
            <w:pPr>
              <w:rPr>
                <w:bCs/>
                <w:sz w:val="20"/>
                <w:szCs w:val="20"/>
                <w:lang w:eastAsia="en-US"/>
              </w:rPr>
            </w:pPr>
            <w:r w:rsidRPr="007E77AF">
              <w:rPr>
                <w:bCs/>
                <w:sz w:val="20"/>
                <w:szCs w:val="20"/>
                <w:lang w:eastAsia="en-US"/>
              </w:rPr>
              <w:t>5. (Descrição breve – Máx. 50 palavras)</w:t>
            </w:r>
          </w:p>
        </w:tc>
        <w:tc>
          <w:tcPr>
            <w:tcW w:w="5251" w:type="dxa"/>
            <w:shd w:val="clear" w:color="auto" w:fill="auto"/>
            <w:vAlign w:val="center"/>
            <w:hideMark/>
          </w:tcPr>
          <w:p w14:paraId="621FAE0E" w14:textId="15CA65A6" w:rsidR="009A242A" w:rsidRPr="007E77AF" w:rsidRDefault="009A242A" w:rsidP="00FF383F">
            <w:pPr>
              <w:jc w:val="center"/>
              <w:rPr>
                <w:bCs/>
                <w:sz w:val="20"/>
                <w:szCs w:val="20"/>
                <w:lang w:eastAsia="en-US"/>
              </w:rPr>
            </w:pPr>
            <w:r w:rsidRPr="007E77AF">
              <w:rPr>
                <w:bCs/>
                <w:sz w:val="20"/>
                <w:szCs w:val="20"/>
                <w:lang w:eastAsia="en-US"/>
              </w:rPr>
              <w:t xml:space="preserve"> </w:t>
            </w:r>
            <w:proofErr w:type="gramStart"/>
            <w:r w:rsidRPr="007E77AF">
              <w:rPr>
                <w:bCs/>
                <w:sz w:val="20"/>
                <w:szCs w:val="20"/>
                <w:lang w:eastAsia="en-US"/>
              </w:rPr>
              <w:t>[ ]</w:t>
            </w:r>
            <w:proofErr w:type="gramEnd"/>
            <w:r w:rsidRPr="007E77AF">
              <w:rPr>
                <w:bCs/>
                <w:sz w:val="20"/>
                <w:szCs w:val="20"/>
                <w:lang w:eastAsia="en-US"/>
              </w:rPr>
              <w:t xml:space="preserve">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74654326" w14:textId="72E352DF"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w:t>
            </w:r>
            <w:proofErr w:type="gramStart"/>
            <w:r w:rsidRPr="007E77AF">
              <w:rPr>
                <w:rFonts w:cstheme="minorBidi"/>
                <w:sz w:val="20"/>
                <w:szCs w:val="20"/>
                <w:lang w:eastAsia="en-US"/>
              </w:rPr>
              <w:t>[ ]</w:t>
            </w:r>
            <w:proofErr w:type="gramEnd"/>
            <w:r w:rsidRPr="007E77AF">
              <w:rPr>
                <w:rFonts w:cstheme="minorBidi"/>
                <w:sz w:val="20"/>
                <w:szCs w:val="20"/>
                <w:lang w:eastAsia="en-US"/>
              </w:rPr>
              <w:t xml:space="preserve">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66B6635" w14:textId="77777777" w:rsidTr="00FF383F">
        <w:trPr>
          <w:trHeight w:val="390"/>
        </w:trPr>
        <w:tc>
          <w:tcPr>
            <w:tcW w:w="8783" w:type="dxa"/>
            <w:gridSpan w:val="2"/>
            <w:shd w:val="clear" w:color="auto" w:fill="auto"/>
            <w:vAlign w:val="center"/>
            <w:hideMark/>
          </w:tcPr>
          <w:p w14:paraId="56906DB0"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4. Principais informações sobre o valor mobiliário</w:t>
            </w:r>
          </w:p>
        </w:tc>
        <w:tc>
          <w:tcPr>
            <w:tcW w:w="1335" w:type="dxa"/>
            <w:shd w:val="clear" w:color="auto" w:fill="auto"/>
            <w:vAlign w:val="center"/>
            <w:hideMark/>
          </w:tcPr>
          <w:p w14:paraId="7DCCD74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23C65D65" w14:textId="77777777" w:rsidTr="00FF383F">
        <w:trPr>
          <w:trHeight w:val="390"/>
        </w:trPr>
        <w:tc>
          <w:tcPr>
            <w:tcW w:w="10118" w:type="dxa"/>
            <w:gridSpan w:val="3"/>
            <w:shd w:val="clear" w:color="auto" w:fill="auto"/>
            <w:vAlign w:val="center"/>
            <w:hideMark/>
          </w:tcPr>
          <w:p w14:paraId="513CC7B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Informações sobre o valor mobiliário</w:t>
            </w:r>
          </w:p>
        </w:tc>
      </w:tr>
      <w:tr w:rsidR="009A242A" w:rsidRPr="007E77AF" w14:paraId="4BC1EDEE" w14:textId="77777777" w:rsidTr="00FF383F">
        <w:trPr>
          <w:trHeight w:val="227"/>
        </w:trPr>
        <w:tc>
          <w:tcPr>
            <w:tcW w:w="3532" w:type="dxa"/>
            <w:shd w:val="clear" w:color="auto" w:fill="auto"/>
            <w:vAlign w:val="center"/>
            <w:hideMark/>
          </w:tcPr>
          <w:p w14:paraId="0BF9C216" w14:textId="77777777" w:rsidR="009A242A" w:rsidRPr="007E77AF" w:rsidRDefault="009A242A" w:rsidP="00FF383F">
            <w:pPr>
              <w:rPr>
                <w:bCs/>
                <w:sz w:val="20"/>
                <w:szCs w:val="20"/>
                <w:lang w:eastAsia="en-US"/>
              </w:rPr>
            </w:pPr>
            <w:r w:rsidRPr="007E77AF">
              <w:rPr>
                <w:bCs/>
                <w:sz w:val="20"/>
                <w:szCs w:val="20"/>
                <w:lang w:eastAsia="en-US"/>
              </w:rPr>
              <w:t>Principais características</w:t>
            </w:r>
          </w:p>
        </w:tc>
        <w:tc>
          <w:tcPr>
            <w:tcW w:w="5251" w:type="dxa"/>
            <w:shd w:val="clear" w:color="auto" w:fill="auto"/>
            <w:vAlign w:val="center"/>
            <w:hideMark/>
          </w:tcPr>
          <w:p w14:paraId="07978A08" w14:textId="77777777" w:rsidR="009A242A" w:rsidRPr="007E77AF" w:rsidRDefault="009A242A" w:rsidP="00FF383F">
            <w:pPr>
              <w:jc w:val="center"/>
              <w:rPr>
                <w:rFonts w:ascii="Calibri Light" w:hAnsi="Calibri Light"/>
                <w:b/>
                <w:bCs/>
                <w:sz w:val="20"/>
                <w:szCs w:val="20"/>
                <w:lang w:eastAsia="en-US"/>
              </w:rPr>
            </w:pPr>
            <w:r w:rsidRPr="007E77AF">
              <w:rPr>
                <w:rFonts w:ascii="Calibri Light" w:hAnsi="Calibri Light"/>
                <w:b/>
                <w:bCs/>
                <w:sz w:val="20"/>
                <w:szCs w:val="20"/>
                <w:lang w:eastAsia="en-US"/>
              </w:rPr>
              <w:t>[Máx. 50 palavras]</w:t>
            </w:r>
          </w:p>
        </w:tc>
        <w:tc>
          <w:tcPr>
            <w:tcW w:w="1335" w:type="dxa"/>
            <w:shd w:val="clear" w:color="auto" w:fill="auto"/>
            <w:hideMark/>
          </w:tcPr>
          <w:p w14:paraId="5B9705AF"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8914719" w14:textId="77777777" w:rsidTr="00FF383F">
        <w:trPr>
          <w:trHeight w:val="227"/>
        </w:trPr>
        <w:tc>
          <w:tcPr>
            <w:tcW w:w="3532" w:type="dxa"/>
            <w:shd w:val="clear" w:color="auto" w:fill="auto"/>
            <w:vAlign w:val="center"/>
          </w:tcPr>
          <w:p w14:paraId="69D197C1" w14:textId="77777777" w:rsidR="009A242A" w:rsidRPr="007E77AF" w:rsidRDefault="009A242A" w:rsidP="00FF383F">
            <w:pPr>
              <w:rPr>
                <w:bCs/>
                <w:sz w:val="20"/>
                <w:szCs w:val="20"/>
                <w:lang w:eastAsia="en-US"/>
              </w:rPr>
            </w:pPr>
            <w:r w:rsidRPr="007E77AF">
              <w:rPr>
                <w:bCs/>
                <w:sz w:val="20"/>
                <w:szCs w:val="20"/>
                <w:lang w:eastAsia="en-US"/>
              </w:rPr>
              <w:lastRenderedPageBreak/>
              <w:t>Vencimento/Prazo</w:t>
            </w:r>
          </w:p>
        </w:tc>
        <w:tc>
          <w:tcPr>
            <w:tcW w:w="5251" w:type="dxa"/>
            <w:shd w:val="clear" w:color="auto" w:fill="auto"/>
            <w:vAlign w:val="center"/>
          </w:tcPr>
          <w:p w14:paraId="28B7AE37" w14:textId="77777777" w:rsidR="009A242A" w:rsidRPr="007E77AF" w:rsidRDefault="009A242A" w:rsidP="00FF383F">
            <w:pPr>
              <w:jc w:val="center"/>
              <w:rPr>
                <w:rFonts w:ascii="Calibri Light" w:hAnsi="Calibri Light"/>
                <w:b/>
                <w:bCs/>
                <w:sz w:val="20"/>
                <w:szCs w:val="20"/>
                <w:lang w:eastAsia="en-US"/>
              </w:rPr>
            </w:pPr>
          </w:p>
        </w:tc>
        <w:tc>
          <w:tcPr>
            <w:tcW w:w="1335" w:type="dxa"/>
            <w:shd w:val="clear" w:color="auto" w:fill="auto"/>
          </w:tcPr>
          <w:p w14:paraId="29A34B6C"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EEE252C" w14:textId="77777777" w:rsidTr="00FF383F">
        <w:trPr>
          <w:trHeight w:val="227"/>
        </w:trPr>
        <w:tc>
          <w:tcPr>
            <w:tcW w:w="3532" w:type="dxa"/>
            <w:shd w:val="clear" w:color="auto" w:fill="auto"/>
            <w:vAlign w:val="center"/>
          </w:tcPr>
          <w:p w14:paraId="78617441" w14:textId="77777777" w:rsidR="009A242A" w:rsidRPr="007E77AF" w:rsidRDefault="009A242A" w:rsidP="00FF383F">
            <w:pPr>
              <w:rPr>
                <w:bCs/>
                <w:sz w:val="20"/>
                <w:szCs w:val="20"/>
                <w:lang w:eastAsia="en-US"/>
              </w:rPr>
            </w:pPr>
            <w:r w:rsidRPr="007E77AF">
              <w:rPr>
                <w:bCs/>
                <w:sz w:val="20"/>
                <w:szCs w:val="20"/>
                <w:lang w:eastAsia="en-US"/>
              </w:rPr>
              <w:t>Remuneração</w:t>
            </w:r>
          </w:p>
        </w:tc>
        <w:tc>
          <w:tcPr>
            <w:tcW w:w="5251" w:type="dxa"/>
            <w:shd w:val="clear" w:color="auto" w:fill="auto"/>
            <w:vAlign w:val="center"/>
          </w:tcPr>
          <w:p w14:paraId="4DB5CA4A" w14:textId="77777777" w:rsidR="009A242A" w:rsidRPr="007E77AF" w:rsidRDefault="009A242A" w:rsidP="00FF383F">
            <w:pPr>
              <w:jc w:val="center"/>
              <w:rPr>
                <w:rFonts w:ascii="Calibri Light" w:hAnsi="Calibri Light"/>
                <w:b/>
                <w:bCs/>
                <w:sz w:val="20"/>
                <w:szCs w:val="20"/>
                <w:lang w:eastAsia="en-US"/>
              </w:rPr>
            </w:pPr>
            <w:r w:rsidRPr="007E77AF">
              <w:rPr>
                <w:rFonts w:ascii="Calibri" w:hAnsi="Calibri"/>
                <w:sz w:val="20"/>
                <w:szCs w:val="20"/>
                <w:shd w:val="clear" w:color="auto" w:fill="FFFFFF"/>
                <w:lang w:eastAsia="en-US"/>
              </w:rPr>
              <w:t xml:space="preserve">Descrever a remuneração (DI + </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/XX% DI/</w:t>
            </w:r>
            <w:proofErr w:type="spellStart"/>
            <w:r w:rsidRPr="007E77AF">
              <w:rPr>
                <w:rFonts w:ascii="Calibri" w:hAnsi="Calibri"/>
                <w:sz w:val="20"/>
                <w:szCs w:val="20"/>
                <w:shd w:val="clear" w:color="auto" w:fill="FFFFFF"/>
                <w:lang w:eastAsia="en-US"/>
              </w:rPr>
              <w:t>IPCA+</w:t>
            </w:r>
            <w:r w:rsidRPr="00986942">
              <w:rPr>
                <w:rFonts w:ascii="Calibri" w:hAnsi="Calibri"/>
                <w:b/>
                <w:sz w:val="20"/>
                <w:shd w:val="clear" w:color="auto" w:fill="FFFFFF"/>
              </w:rPr>
              <w:t>Spread</w:t>
            </w:r>
            <w:proofErr w:type="spellEnd"/>
            <w:r w:rsidRPr="007E77AF">
              <w:rPr>
                <w:rFonts w:ascii="Calibri" w:hAnsi="Calibri"/>
                <w:sz w:val="20"/>
                <w:szCs w:val="20"/>
                <w:shd w:val="clear" w:color="auto" w:fill="FFFFFF"/>
                <w:lang w:eastAsia="en-US"/>
              </w:rPr>
              <w:t xml:space="preserve">/Taxa </w:t>
            </w:r>
            <w:proofErr w:type="gramStart"/>
            <w:r w:rsidRPr="007E77AF">
              <w:rPr>
                <w:rFonts w:ascii="Calibri" w:hAnsi="Calibri"/>
                <w:sz w:val="20"/>
                <w:szCs w:val="20"/>
                <w:shd w:val="clear" w:color="auto" w:fill="FFFFFF"/>
                <w:lang w:eastAsia="en-US"/>
              </w:rPr>
              <w:t>fixa)  em</w:t>
            </w:r>
            <w:proofErr w:type="gramEnd"/>
            <w:r w:rsidRPr="007E77AF">
              <w:rPr>
                <w:rFonts w:ascii="Calibri" w:hAnsi="Calibri"/>
                <w:sz w:val="20"/>
                <w:szCs w:val="20"/>
                <w:shd w:val="clear" w:color="auto" w:fill="FFFFFF"/>
                <w:lang w:eastAsia="en-US"/>
              </w:rPr>
              <w:t xml:space="preserve"> %a.a.</w:t>
            </w:r>
          </w:p>
        </w:tc>
        <w:tc>
          <w:tcPr>
            <w:tcW w:w="1335" w:type="dxa"/>
            <w:shd w:val="clear" w:color="auto" w:fill="auto"/>
          </w:tcPr>
          <w:p w14:paraId="521E4948"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6DDE1F5" w14:textId="77777777" w:rsidTr="00FF383F">
        <w:trPr>
          <w:trHeight w:val="227"/>
        </w:trPr>
        <w:tc>
          <w:tcPr>
            <w:tcW w:w="3532" w:type="dxa"/>
            <w:shd w:val="clear" w:color="auto" w:fill="auto"/>
            <w:vAlign w:val="center"/>
          </w:tcPr>
          <w:p w14:paraId="4114F6E8" w14:textId="77777777" w:rsidR="009A242A" w:rsidRPr="007E77AF" w:rsidRDefault="009A242A" w:rsidP="00FF383F">
            <w:pPr>
              <w:rPr>
                <w:bCs/>
                <w:sz w:val="20"/>
                <w:szCs w:val="20"/>
                <w:lang w:eastAsia="en-US"/>
              </w:rPr>
            </w:pPr>
            <w:r w:rsidRPr="007E77AF">
              <w:rPr>
                <w:bCs/>
                <w:sz w:val="20"/>
                <w:szCs w:val="20"/>
                <w:lang w:eastAsia="en-US"/>
              </w:rPr>
              <w:t>Amortização/Juros</w:t>
            </w:r>
          </w:p>
        </w:tc>
        <w:tc>
          <w:tcPr>
            <w:tcW w:w="5251" w:type="dxa"/>
            <w:shd w:val="clear" w:color="auto" w:fill="auto"/>
            <w:vAlign w:val="center"/>
          </w:tcPr>
          <w:p w14:paraId="5C50E7BD" w14:textId="77777777" w:rsidR="009A242A" w:rsidRPr="007E77AF" w:rsidRDefault="009A242A" w:rsidP="00FF383F">
            <w:pPr>
              <w:jc w:val="center"/>
              <w:rPr>
                <w:rFonts w:ascii="Calibri Light" w:hAnsi="Calibri Light"/>
                <w:b/>
                <w:bCs/>
                <w:sz w:val="20"/>
                <w:szCs w:val="20"/>
                <w:lang w:eastAsia="en-US"/>
              </w:rPr>
            </w:pPr>
            <w:r w:rsidRPr="007E77AF">
              <w:rPr>
                <w:rFonts w:ascii="Calibri Light" w:hAnsi="Calibri Light"/>
                <w:b/>
                <w:bCs/>
                <w:sz w:val="20"/>
                <w:szCs w:val="20"/>
                <w:lang w:eastAsia="en-US"/>
              </w:rPr>
              <w:t>Descrever a periodicidade</w:t>
            </w:r>
          </w:p>
        </w:tc>
        <w:tc>
          <w:tcPr>
            <w:tcW w:w="1335" w:type="dxa"/>
            <w:shd w:val="clear" w:color="auto" w:fill="auto"/>
          </w:tcPr>
          <w:p w14:paraId="26D7261D"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6A3AD42" w14:textId="77777777" w:rsidTr="00FF383F">
        <w:trPr>
          <w:trHeight w:val="227"/>
        </w:trPr>
        <w:tc>
          <w:tcPr>
            <w:tcW w:w="3532" w:type="dxa"/>
            <w:shd w:val="clear" w:color="auto" w:fill="auto"/>
            <w:vAlign w:val="center"/>
          </w:tcPr>
          <w:p w14:paraId="2932290E" w14:textId="77777777" w:rsidR="009A242A" w:rsidRPr="007E77AF" w:rsidRDefault="009A242A" w:rsidP="00FF383F">
            <w:pPr>
              <w:rPr>
                <w:bCs/>
                <w:sz w:val="20"/>
                <w:szCs w:val="20"/>
                <w:lang w:eastAsia="en-US"/>
              </w:rPr>
            </w:pPr>
            <w:proofErr w:type="spellStart"/>
            <w:r w:rsidRPr="007E77AF">
              <w:rPr>
                <w:bCs/>
                <w:sz w:val="20"/>
                <w:szCs w:val="20"/>
                <w:lang w:eastAsia="en-US"/>
              </w:rPr>
              <w:t>Duration</w:t>
            </w:r>
            <w:proofErr w:type="spellEnd"/>
          </w:p>
        </w:tc>
        <w:tc>
          <w:tcPr>
            <w:tcW w:w="5251" w:type="dxa"/>
            <w:shd w:val="clear" w:color="auto" w:fill="auto"/>
            <w:vAlign w:val="center"/>
          </w:tcPr>
          <w:p w14:paraId="045DC8A5" w14:textId="77777777" w:rsidR="009A242A" w:rsidRPr="007E77AF" w:rsidRDefault="009A242A" w:rsidP="00FF383F">
            <w:pPr>
              <w:jc w:val="center"/>
              <w:rPr>
                <w:rFonts w:ascii="Calibri Light" w:hAnsi="Calibri Light"/>
                <w:b/>
                <w:bCs/>
                <w:sz w:val="20"/>
                <w:szCs w:val="20"/>
                <w:lang w:eastAsia="en-US"/>
              </w:rPr>
            </w:pPr>
            <w:proofErr w:type="gramStart"/>
            <w:r w:rsidRPr="007E77AF">
              <w:rPr>
                <w:rFonts w:ascii="Calibri Light" w:hAnsi="Calibri Light"/>
                <w:b/>
                <w:bCs/>
                <w:sz w:val="20"/>
                <w:szCs w:val="20"/>
                <w:lang w:eastAsia="en-US"/>
              </w:rPr>
              <w:t>[ ]</w:t>
            </w:r>
            <w:proofErr w:type="gramEnd"/>
            <w:r w:rsidRPr="007E77AF">
              <w:rPr>
                <w:rFonts w:ascii="Calibri Light" w:hAnsi="Calibri Light"/>
                <w:b/>
                <w:bCs/>
                <w:sz w:val="20"/>
                <w:szCs w:val="20"/>
                <w:lang w:eastAsia="en-US"/>
              </w:rPr>
              <w:t xml:space="preserve"> anos</w:t>
            </w:r>
          </w:p>
        </w:tc>
        <w:tc>
          <w:tcPr>
            <w:tcW w:w="1335" w:type="dxa"/>
            <w:shd w:val="clear" w:color="auto" w:fill="auto"/>
          </w:tcPr>
          <w:p w14:paraId="1CE70B28"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E058EE1" w14:textId="77777777" w:rsidTr="00FF383F">
        <w:trPr>
          <w:trHeight w:val="227"/>
        </w:trPr>
        <w:tc>
          <w:tcPr>
            <w:tcW w:w="3532" w:type="dxa"/>
            <w:shd w:val="clear" w:color="auto" w:fill="auto"/>
            <w:vAlign w:val="center"/>
          </w:tcPr>
          <w:p w14:paraId="303AB1DE" w14:textId="77777777" w:rsidR="009A242A" w:rsidRPr="007E77AF" w:rsidDel="00F44FEC" w:rsidRDefault="009A242A" w:rsidP="00FF383F">
            <w:pPr>
              <w:rPr>
                <w:bCs/>
                <w:sz w:val="20"/>
                <w:szCs w:val="20"/>
                <w:lang w:eastAsia="en-US"/>
              </w:rPr>
            </w:pPr>
            <w:r w:rsidRPr="007E77AF">
              <w:rPr>
                <w:bCs/>
                <w:sz w:val="20"/>
                <w:szCs w:val="20"/>
                <w:lang w:eastAsia="en-US"/>
              </w:rPr>
              <w:t>Possibilidade de resgate antecipado compulsório</w:t>
            </w:r>
          </w:p>
        </w:tc>
        <w:tc>
          <w:tcPr>
            <w:tcW w:w="5251" w:type="dxa"/>
            <w:shd w:val="clear" w:color="auto" w:fill="auto"/>
            <w:vAlign w:val="center"/>
          </w:tcPr>
          <w:p w14:paraId="56C652E9"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11679681" w14:textId="77777777" w:rsidR="009A242A" w:rsidRPr="007E77AF" w:rsidDel="00F44FEC"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1DE3E4CB" w14:textId="77777777" w:rsidTr="00FF383F">
        <w:trPr>
          <w:trHeight w:val="227"/>
        </w:trPr>
        <w:tc>
          <w:tcPr>
            <w:tcW w:w="3532" w:type="dxa"/>
            <w:shd w:val="clear" w:color="auto" w:fill="auto"/>
            <w:vAlign w:val="center"/>
          </w:tcPr>
          <w:p w14:paraId="46473A89" w14:textId="77777777" w:rsidR="009A242A" w:rsidRPr="007E77AF" w:rsidDel="00F44FEC" w:rsidRDefault="009A242A" w:rsidP="00FF383F">
            <w:pPr>
              <w:rPr>
                <w:bCs/>
                <w:sz w:val="20"/>
                <w:szCs w:val="20"/>
                <w:lang w:eastAsia="en-US"/>
              </w:rPr>
            </w:pPr>
            <w:r w:rsidRPr="007E77AF">
              <w:rPr>
                <w:bCs/>
                <w:sz w:val="20"/>
                <w:szCs w:val="20"/>
                <w:lang w:eastAsia="en-US"/>
              </w:rPr>
              <w:t>Condições de recompra antecipada</w:t>
            </w:r>
          </w:p>
        </w:tc>
        <w:tc>
          <w:tcPr>
            <w:tcW w:w="5251" w:type="dxa"/>
            <w:shd w:val="clear" w:color="auto" w:fill="auto"/>
            <w:vAlign w:val="center"/>
          </w:tcPr>
          <w:p w14:paraId="359D69B8"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72ED8A69" w14:textId="77777777" w:rsidR="009A242A" w:rsidRPr="007E77AF" w:rsidDel="00F44FEC"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2C74E4B" w14:textId="77777777" w:rsidTr="00FF383F">
        <w:trPr>
          <w:trHeight w:val="227"/>
        </w:trPr>
        <w:tc>
          <w:tcPr>
            <w:tcW w:w="3532" w:type="dxa"/>
            <w:shd w:val="clear" w:color="auto" w:fill="auto"/>
            <w:vAlign w:val="center"/>
          </w:tcPr>
          <w:p w14:paraId="4ACD02F5" w14:textId="77777777" w:rsidR="009A242A" w:rsidRPr="007E77AF" w:rsidDel="00F44FEC" w:rsidRDefault="009A242A" w:rsidP="00FF383F">
            <w:pPr>
              <w:rPr>
                <w:bCs/>
                <w:sz w:val="20"/>
                <w:szCs w:val="20"/>
                <w:lang w:eastAsia="en-US"/>
              </w:rPr>
            </w:pPr>
            <w:r w:rsidRPr="007E77AF">
              <w:rPr>
                <w:bCs/>
                <w:sz w:val="20"/>
                <w:szCs w:val="20"/>
                <w:lang w:eastAsia="en-US"/>
              </w:rPr>
              <w:t>Condições de vencimento antecipado</w:t>
            </w:r>
          </w:p>
        </w:tc>
        <w:tc>
          <w:tcPr>
            <w:tcW w:w="5251" w:type="dxa"/>
            <w:shd w:val="clear" w:color="auto" w:fill="auto"/>
            <w:vAlign w:val="center"/>
          </w:tcPr>
          <w:p w14:paraId="35F74839"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6A9A76AA" w14:textId="77777777" w:rsidR="009A242A" w:rsidRPr="007E77AF" w:rsidDel="00F44FEC"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0C2A91F0" w14:textId="77777777" w:rsidTr="00FF383F">
        <w:trPr>
          <w:trHeight w:val="227"/>
        </w:trPr>
        <w:tc>
          <w:tcPr>
            <w:tcW w:w="3532" w:type="dxa"/>
            <w:shd w:val="clear" w:color="auto" w:fill="auto"/>
            <w:vAlign w:val="center"/>
            <w:hideMark/>
          </w:tcPr>
          <w:p w14:paraId="73137AB8" w14:textId="77777777" w:rsidR="009A242A" w:rsidRPr="007E77AF" w:rsidRDefault="009A242A" w:rsidP="00FF383F">
            <w:pPr>
              <w:rPr>
                <w:bCs/>
                <w:sz w:val="20"/>
                <w:szCs w:val="20"/>
                <w:lang w:eastAsia="en-US"/>
              </w:rPr>
            </w:pPr>
            <w:r w:rsidRPr="007E77AF">
              <w:rPr>
                <w:bCs/>
                <w:sz w:val="20"/>
                <w:szCs w:val="20"/>
                <w:lang w:eastAsia="en-US"/>
              </w:rPr>
              <w:t>Restrições à livre negociação</w:t>
            </w:r>
          </w:p>
        </w:tc>
        <w:tc>
          <w:tcPr>
            <w:tcW w:w="5251" w:type="dxa"/>
            <w:shd w:val="clear" w:color="auto" w:fill="auto"/>
            <w:hideMark/>
          </w:tcPr>
          <w:p w14:paraId="4D57DF20" w14:textId="3081336B" w:rsidR="009A242A" w:rsidRPr="007E77AF" w:rsidRDefault="009A242A" w:rsidP="009B4EF1">
            <w:pPr>
              <w:jc w:val="cente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 xml:space="preserve">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proofErr w:type="spellStart"/>
            <w:r w:rsidRPr="00986942">
              <w:rPr>
                <w:b/>
                <w:sz w:val="20"/>
              </w:rPr>
              <w:t>lock-up</w:t>
            </w:r>
            <w:proofErr w:type="spellEnd"/>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35" w:type="dxa"/>
            <w:shd w:val="clear" w:color="auto" w:fill="auto"/>
            <w:vAlign w:val="center"/>
            <w:hideMark/>
          </w:tcPr>
          <w:p w14:paraId="3F17B940"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756DA37" w14:textId="77777777" w:rsidTr="00FF383F">
        <w:trPr>
          <w:trHeight w:val="227"/>
        </w:trPr>
        <w:tc>
          <w:tcPr>
            <w:tcW w:w="3532" w:type="dxa"/>
            <w:shd w:val="clear" w:color="auto" w:fill="auto"/>
            <w:vAlign w:val="center"/>
          </w:tcPr>
          <w:p w14:paraId="582D54D1" w14:textId="77777777" w:rsidR="009A242A" w:rsidRPr="007E77AF" w:rsidRDefault="009A242A" w:rsidP="00FF383F">
            <w:pPr>
              <w:rPr>
                <w:bCs/>
                <w:sz w:val="20"/>
                <w:szCs w:val="20"/>
                <w:lang w:eastAsia="en-US"/>
              </w:rPr>
            </w:pPr>
            <w:r w:rsidRPr="007E77AF">
              <w:rPr>
                <w:bCs/>
                <w:sz w:val="20"/>
                <w:szCs w:val="20"/>
                <w:lang w:eastAsia="en-US"/>
              </w:rPr>
              <w:t>Formador de mercado</w:t>
            </w:r>
          </w:p>
        </w:tc>
        <w:tc>
          <w:tcPr>
            <w:tcW w:w="5251" w:type="dxa"/>
            <w:shd w:val="clear" w:color="auto" w:fill="auto"/>
          </w:tcPr>
          <w:p w14:paraId="5E1BAB58" w14:textId="77777777" w:rsidR="009A242A" w:rsidRPr="007E77AF" w:rsidRDefault="009A242A" w:rsidP="00FF383F">
            <w:pPr>
              <w:jc w:val="center"/>
              <w:rPr>
                <w:bCs/>
                <w:sz w:val="20"/>
                <w:szCs w:val="20"/>
                <w:lang w:eastAsia="en-US"/>
              </w:rPr>
            </w:pPr>
          </w:p>
        </w:tc>
        <w:tc>
          <w:tcPr>
            <w:tcW w:w="1335" w:type="dxa"/>
            <w:shd w:val="clear" w:color="auto" w:fill="auto"/>
            <w:vAlign w:val="center"/>
          </w:tcPr>
          <w:p w14:paraId="66892B81" w14:textId="77777777" w:rsidR="009A242A" w:rsidRPr="007E77AF" w:rsidRDefault="009A242A" w:rsidP="00FF383F">
            <w:pPr>
              <w:jc w:val="center"/>
              <w:rPr>
                <w:bCs/>
                <w:sz w:val="20"/>
                <w:szCs w:val="20"/>
                <w:lang w:eastAsia="en-US"/>
              </w:rPr>
            </w:pPr>
          </w:p>
        </w:tc>
      </w:tr>
      <w:tr w:rsidR="009A242A" w:rsidRPr="007E77AF" w14:paraId="4C1506F1" w14:textId="77777777" w:rsidTr="00FF383F">
        <w:trPr>
          <w:trHeight w:val="466"/>
        </w:trPr>
        <w:tc>
          <w:tcPr>
            <w:tcW w:w="10118" w:type="dxa"/>
            <w:gridSpan w:val="3"/>
            <w:shd w:val="clear" w:color="auto" w:fill="auto"/>
            <w:vAlign w:val="center"/>
          </w:tcPr>
          <w:p w14:paraId="19FE4E78" w14:textId="77777777" w:rsidR="009A242A" w:rsidRPr="007E77AF" w:rsidRDefault="009A242A" w:rsidP="00FF383F">
            <w:pPr>
              <w:jc w:val="center"/>
              <w:rPr>
                <w:bCs/>
                <w:sz w:val="20"/>
                <w:szCs w:val="20"/>
                <w:lang w:eastAsia="en-US"/>
              </w:rPr>
            </w:pPr>
            <w:r w:rsidRPr="007E77AF">
              <w:rPr>
                <w:rFonts w:ascii="Calibri" w:hAnsi="Calibri"/>
                <w:b/>
                <w:bCs/>
                <w:sz w:val="20"/>
                <w:szCs w:val="20"/>
                <w:lang w:eastAsia="en-US"/>
              </w:rPr>
              <w:t>Garantias (se houver)</w:t>
            </w:r>
          </w:p>
        </w:tc>
      </w:tr>
      <w:tr w:rsidR="009A242A" w:rsidRPr="007E77AF" w14:paraId="337CB8B2" w14:textId="77777777" w:rsidTr="00FF383F">
        <w:trPr>
          <w:trHeight w:val="227"/>
        </w:trPr>
        <w:tc>
          <w:tcPr>
            <w:tcW w:w="3532" w:type="dxa"/>
            <w:shd w:val="clear" w:color="auto" w:fill="auto"/>
            <w:vAlign w:val="center"/>
          </w:tcPr>
          <w:p w14:paraId="5DB831FA" w14:textId="77777777" w:rsidR="009A242A" w:rsidRPr="007E77AF" w:rsidRDefault="009A242A" w:rsidP="00FF383F">
            <w:pPr>
              <w:rPr>
                <w:bCs/>
                <w:sz w:val="20"/>
                <w:szCs w:val="20"/>
                <w:lang w:eastAsia="en-US"/>
              </w:rPr>
            </w:pPr>
            <w:r w:rsidRPr="007E77AF">
              <w:rPr>
                <w:bCs/>
                <w:sz w:val="20"/>
                <w:szCs w:val="20"/>
                <w:lang w:eastAsia="en-US"/>
              </w:rPr>
              <w:t>Garantia 1</w:t>
            </w:r>
          </w:p>
        </w:tc>
        <w:tc>
          <w:tcPr>
            <w:tcW w:w="5251" w:type="dxa"/>
            <w:shd w:val="clear" w:color="auto" w:fill="auto"/>
          </w:tcPr>
          <w:p w14:paraId="7E622945" w14:textId="77777777" w:rsidR="009A242A" w:rsidRPr="007E77AF" w:rsidRDefault="009A242A" w:rsidP="00FF383F">
            <w:pPr>
              <w:jc w:val="center"/>
              <w:rPr>
                <w:bCs/>
                <w:sz w:val="20"/>
                <w:szCs w:val="20"/>
                <w:lang w:eastAsia="en-US"/>
              </w:rPr>
            </w:pPr>
            <w:r w:rsidRPr="007E77AF">
              <w:rPr>
                <w:bCs/>
                <w:sz w:val="20"/>
                <w:szCs w:val="20"/>
                <w:lang w:eastAsia="en-US"/>
              </w:rPr>
              <w:t>[Máx. 100 palavras]</w:t>
            </w:r>
          </w:p>
        </w:tc>
        <w:tc>
          <w:tcPr>
            <w:tcW w:w="1335" w:type="dxa"/>
            <w:shd w:val="clear" w:color="auto" w:fill="auto"/>
            <w:vAlign w:val="center"/>
          </w:tcPr>
          <w:p w14:paraId="16D63A06"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5C7F6D0F" w14:textId="77777777" w:rsidTr="00FF383F">
        <w:trPr>
          <w:trHeight w:val="227"/>
        </w:trPr>
        <w:tc>
          <w:tcPr>
            <w:tcW w:w="3532" w:type="dxa"/>
            <w:shd w:val="clear" w:color="auto" w:fill="auto"/>
            <w:vAlign w:val="center"/>
          </w:tcPr>
          <w:p w14:paraId="52C64733" w14:textId="77777777" w:rsidR="009A242A" w:rsidRPr="007E77AF" w:rsidRDefault="009A242A" w:rsidP="00FF383F">
            <w:pPr>
              <w:rPr>
                <w:bCs/>
                <w:sz w:val="20"/>
                <w:szCs w:val="20"/>
                <w:lang w:eastAsia="en-US"/>
              </w:rPr>
            </w:pPr>
            <w:r w:rsidRPr="007E77AF">
              <w:rPr>
                <w:bCs/>
                <w:sz w:val="20"/>
                <w:szCs w:val="20"/>
                <w:lang w:eastAsia="en-US"/>
              </w:rPr>
              <w:t>Garantia 2</w:t>
            </w:r>
          </w:p>
        </w:tc>
        <w:tc>
          <w:tcPr>
            <w:tcW w:w="5251" w:type="dxa"/>
            <w:shd w:val="clear" w:color="auto" w:fill="auto"/>
          </w:tcPr>
          <w:p w14:paraId="1BA654C2" w14:textId="77777777" w:rsidR="009A242A" w:rsidRPr="007E77AF" w:rsidRDefault="009A242A" w:rsidP="00FF383F">
            <w:pPr>
              <w:jc w:val="center"/>
              <w:rPr>
                <w:bCs/>
                <w:sz w:val="20"/>
                <w:szCs w:val="20"/>
                <w:lang w:eastAsia="en-US"/>
              </w:rPr>
            </w:pPr>
            <w:r w:rsidRPr="007E77AF">
              <w:rPr>
                <w:bCs/>
                <w:sz w:val="20"/>
                <w:szCs w:val="20"/>
                <w:lang w:eastAsia="en-US"/>
              </w:rPr>
              <w:t>[Máx. 100 palavras]</w:t>
            </w:r>
          </w:p>
        </w:tc>
        <w:tc>
          <w:tcPr>
            <w:tcW w:w="1335" w:type="dxa"/>
            <w:shd w:val="clear" w:color="auto" w:fill="auto"/>
            <w:vAlign w:val="center"/>
          </w:tcPr>
          <w:p w14:paraId="570E5929"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34DAE687" w14:textId="77777777" w:rsidTr="00FF383F">
        <w:trPr>
          <w:trHeight w:val="227"/>
        </w:trPr>
        <w:tc>
          <w:tcPr>
            <w:tcW w:w="10118" w:type="dxa"/>
            <w:gridSpan w:val="3"/>
            <w:shd w:val="clear" w:color="auto" w:fill="auto"/>
            <w:vAlign w:val="center"/>
          </w:tcPr>
          <w:p w14:paraId="1F87B942" w14:textId="77777777" w:rsidR="009A242A" w:rsidRPr="007E77AF" w:rsidRDefault="009A242A" w:rsidP="00FF383F">
            <w:pPr>
              <w:jc w:val="center"/>
              <w:rPr>
                <w:bCs/>
                <w:sz w:val="20"/>
                <w:szCs w:val="20"/>
                <w:lang w:eastAsia="en-US"/>
              </w:rPr>
            </w:pPr>
            <w:r w:rsidRPr="007E77AF">
              <w:rPr>
                <w:rFonts w:ascii="Calibri" w:hAnsi="Calibri"/>
                <w:b/>
                <w:bCs/>
                <w:sz w:val="20"/>
                <w:szCs w:val="20"/>
                <w:lang w:eastAsia="en-US"/>
              </w:rPr>
              <w:t>Classificação de risco (se houver)</w:t>
            </w:r>
          </w:p>
        </w:tc>
      </w:tr>
      <w:tr w:rsidR="009A242A" w:rsidRPr="007E77AF" w14:paraId="7A5CA9CF" w14:textId="77777777" w:rsidTr="00FF383F">
        <w:trPr>
          <w:trHeight w:val="227"/>
        </w:trPr>
        <w:tc>
          <w:tcPr>
            <w:tcW w:w="3532" w:type="dxa"/>
            <w:shd w:val="clear" w:color="auto" w:fill="auto"/>
            <w:vAlign w:val="center"/>
          </w:tcPr>
          <w:p w14:paraId="4CCAA2CE" w14:textId="77777777" w:rsidR="009A242A" w:rsidRPr="007E77AF" w:rsidRDefault="009A242A" w:rsidP="00FF383F">
            <w:pPr>
              <w:rPr>
                <w:bCs/>
                <w:sz w:val="20"/>
                <w:szCs w:val="20"/>
                <w:lang w:eastAsia="en-US"/>
              </w:rPr>
            </w:pPr>
            <w:r w:rsidRPr="007E77AF">
              <w:rPr>
                <w:bCs/>
                <w:sz w:val="20"/>
                <w:szCs w:val="20"/>
                <w:lang w:eastAsia="en-US"/>
              </w:rPr>
              <w:t>Agência de Classificação de Risco</w:t>
            </w:r>
          </w:p>
        </w:tc>
        <w:tc>
          <w:tcPr>
            <w:tcW w:w="5251" w:type="dxa"/>
            <w:shd w:val="clear" w:color="auto" w:fill="auto"/>
            <w:vAlign w:val="center"/>
          </w:tcPr>
          <w:p w14:paraId="14D4A9E8" w14:textId="77777777" w:rsidR="009A242A" w:rsidRPr="007E77AF" w:rsidRDefault="009A242A" w:rsidP="00FF383F">
            <w:pPr>
              <w:jc w:val="center"/>
              <w:rPr>
                <w:bCs/>
                <w:sz w:val="20"/>
                <w:szCs w:val="20"/>
                <w:lang w:eastAsia="en-US"/>
              </w:rPr>
            </w:pPr>
          </w:p>
        </w:tc>
        <w:tc>
          <w:tcPr>
            <w:tcW w:w="1335" w:type="dxa"/>
            <w:shd w:val="clear" w:color="auto" w:fill="auto"/>
          </w:tcPr>
          <w:p w14:paraId="3D86E06E"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3506ECD" w14:textId="77777777" w:rsidTr="00FF383F">
        <w:trPr>
          <w:trHeight w:val="227"/>
        </w:trPr>
        <w:tc>
          <w:tcPr>
            <w:tcW w:w="3532" w:type="dxa"/>
            <w:shd w:val="clear" w:color="auto" w:fill="auto"/>
            <w:vAlign w:val="center"/>
          </w:tcPr>
          <w:p w14:paraId="4FEB5FD6" w14:textId="77777777" w:rsidR="009A242A" w:rsidRPr="007E77AF" w:rsidRDefault="009A242A" w:rsidP="00FF383F">
            <w:pPr>
              <w:rPr>
                <w:bCs/>
                <w:sz w:val="20"/>
                <w:szCs w:val="20"/>
                <w:lang w:eastAsia="en-US"/>
              </w:rPr>
            </w:pPr>
            <w:r w:rsidRPr="007E77AF">
              <w:rPr>
                <w:bCs/>
                <w:sz w:val="20"/>
                <w:szCs w:val="20"/>
                <w:lang w:eastAsia="en-US"/>
              </w:rPr>
              <w:t>Classificação de Risco</w:t>
            </w:r>
          </w:p>
        </w:tc>
        <w:tc>
          <w:tcPr>
            <w:tcW w:w="5251" w:type="dxa"/>
            <w:shd w:val="clear" w:color="auto" w:fill="auto"/>
            <w:vAlign w:val="center"/>
          </w:tcPr>
          <w:p w14:paraId="13C8757A" w14:textId="77777777" w:rsidR="009A242A" w:rsidRPr="007E77AF" w:rsidRDefault="009A242A" w:rsidP="00FF383F">
            <w:pPr>
              <w:jc w:val="center"/>
              <w:rPr>
                <w:bCs/>
                <w:sz w:val="20"/>
                <w:szCs w:val="20"/>
                <w:lang w:eastAsia="en-US"/>
              </w:rPr>
            </w:pPr>
          </w:p>
        </w:tc>
        <w:tc>
          <w:tcPr>
            <w:tcW w:w="1335" w:type="dxa"/>
            <w:shd w:val="clear" w:color="auto" w:fill="auto"/>
          </w:tcPr>
          <w:p w14:paraId="0C4F8FE8"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6225CC56" w14:textId="77777777" w:rsidTr="00FF383F">
        <w:trPr>
          <w:trHeight w:val="390"/>
        </w:trPr>
        <w:tc>
          <w:tcPr>
            <w:tcW w:w="8783" w:type="dxa"/>
            <w:gridSpan w:val="2"/>
            <w:shd w:val="clear" w:color="auto" w:fill="auto"/>
            <w:vAlign w:val="center"/>
            <w:hideMark/>
          </w:tcPr>
          <w:p w14:paraId="1FB79F2B"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335" w:type="dxa"/>
            <w:shd w:val="clear" w:color="auto" w:fill="auto"/>
            <w:vAlign w:val="center"/>
            <w:hideMark/>
          </w:tcPr>
          <w:p w14:paraId="6261EF4A"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4A35F8D" w14:textId="77777777" w:rsidTr="00FF383F">
        <w:trPr>
          <w:trHeight w:val="390"/>
        </w:trPr>
        <w:tc>
          <w:tcPr>
            <w:tcW w:w="10118" w:type="dxa"/>
            <w:gridSpan w:val="3"/>
            <w:shd w:val="clear" w:color="auto" w:fill="auto"/>
            <w:vAlign w:val="center"/>
            <w:hideMark/>
          </w:tcPr>
          <w:p w14:paraId="5F1CF301"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443F30F7" w14:textId="77777777" w:rsidTr="00FF383F">
        <w:trPr>
          <w:trHeight w:val="227"/>
        </w:trPr>
        <w:tc>
          <w:tcPr>
            <w:tcW w:w="3532" w:type="dxa"/>
            <w:shd w:val="clear" w:color="auto" w:fill="auto"/>
            <w:vAlign w:val="center"/>
            <w:hideMark/>
          </w:tcPr>
          <w:p w14:paraId="3A959D88" w14:textId="77777777" w:rsidR="009A242A" w:rsidRPr="007E77AF" w:rsidRDefault="009A242A" w:rsidP="00FF383F">
            <w:pPr>
              <w:rPr>
                <w:bCs/>
                <w:sz w:val="20"/>
                <w:szCs w:val="20"/>
                <w:lang w:eastAsia="en-US"/>
              </w:rPr>
            </w:pPr>
            <w:r w:rsidRPr="007E77AF">
              <w:rPr>
                <w:bCs/>
                <w:sz w:val="20"/>
                <w:szCs w:val="20"/>
                <w:lang w:eastAsia="en-US"/>
              </w:rPr>
              <w:t>Quem pode participar da oferta?</w:t>
            </w:r>
          </w:p>
        </w:tc>
        <w:tc>
          <w:tcPr>
            <w:tcW w:w="5251" w:type="dxa"/>
            <w:shd w:val="clear" w:color="auto" w:fill="auto"/>
            <w:hideMark/>
          </w:tcPr>
          <w:p w14:paraId="18C9473F" w14:textId="77777777" w:rsidR="009A242A" w:rsidRPr="007E77AF" w:rsidRDefault="009A242A" w:rsidP="00FF383F">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w:t>
            </w:r>
            <w:proofErr w:type="gramStart"/>
            <w:r w:rsidRPr="007E77AF">
              <w:rPr>
                <w:bCs/>
                <w:sz w:val="20"/>
                <w:szCs w:val="20"/>
                <w:lang w:eastAsia="en-US"/>
              </w:rPr>
              <w:t>] Público</w:t>
            </w:r>
            <w:proofErr w:type="gramEnd"/>
            <w:r w:rsidRPr="007E77AF">
              <w:rPr>
                <w:bCs/>
                <w:sz w:val="20"/>
                <w:szCs w:val="20"/>
                <w:lang w:eastAsia="en-US"/>
              </w:rPr>
              <w:t xml:space="preserve"> em geral</w:t>
            </w:r>
          </w:p>
        </w:tc>
        <w:tc>
          <w:tcPr>
            <w:tcW w:w="1335" w:type="dxa"/>
            <w:shd w:val="clear" w:color="auto" w:fill="auto"/>
            <w:hideMark/>
          </w:tcPr>
          <w:p w14:paraId="7CBEF162"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063338DC" w14:textId="77777777" w:rsidTr="00FF383F">
        <w:trPr>
          <w:trHeight w:val="227"/>
        </w:trPr>
        <w:tc>
          <w:tcPr>
            <w:tcW w:w="3532" w:type="dxa"/>
            <w:shd w:val="clear" w:color="auto" w:fill="auto"/>
            <w:vAlign w:val="center"/>
            <w:hideMark/>
          </w:tcPr>
          <w:p w14:paraId="47465104" w14:textId="77777777" w:rsidR="009A242A" w:rsidRPr="007E77AF" w:rsidRDefault="009A242A" w:rsidP="00FF383F">
            <w:pPr>
              <w:rPr>
                <w:bCs/>
                <w:sz w:val="20"/>
                <w:szCs w:val="20"/>
                <w:lang w:eastAsia="en-US"/>
              </w:rPr>
            </w:pPr>
            <w:r w:rsidRPr="007E77AF">
              <w:rPr>
                <w:bCs/>
                <w:sz w:val="20"/>
                <w:szCs w:val="20"/>
                <w:lang w:eastAsia="en-US"/>
              </w:rPr>
              <w:t>Informação sobre a existência e forma de exercício do direito de prioridade.</w:t>
            </w:r>
          </w:p>
        </w:tc>
        <w:tc>
          <w:tcPr>
            <w:tcW w:w="5251" w:type="dxa"/>
            <w:shd w:val="clear" w:color="auto" w:fill="auto"/>
            <w:vAlign w:val="center"/>
            <w:hideMark/>
          </w:tcPr>
          <w:p w14:paraId="6F9EE5C2" w14:textId="77777777" w:rsidR="009A242A" w:rsidRPr="007E77AF"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hideMark/>
          </w:tcPr>
          <w:p w14:paraId="3DE1457A"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3196216" w14:textId="77777777" w:rsidTr="00FF383F">
        <w:trPr>
          <w:trHeight w:val="227"/>
        </w:trPr>
        <w:tc>
          <w:tcPr>
            <w:tcW w:w="3532" w:type="dxa"/>
            <w:shd w:val="clear" w:color="auto" w:fill="auto"/>
            <w:vAlign w:val="center"/>
            <w:hideMark/>
          </w:tcPr>
          <w:p w14:paraId="7618F3BC" w14:textId="77777777" w:rsidR="009A242A" w:rsidRPr="007E77AF" w:rsidRDefault="009A242A" w:rsidP="00FF383F">
            <w:pPr>
              <w:rPr>
                <w:bCs/>
                <w:sz w:val="20"/>
                <w:szCs w:val="20"/>
                <w:lang w:eastAsia="en-US"/>
              </w:rPr>
            </w:pPr>
            <w:r w:rsidRPr="007E77AF">
              <w:rPr>
                <w:bCs/>
                <w:sz w:val="20"/>
                <w:szCs w:val="20"/>
                <w:lang w:eastAsia="en-US"/>
              </w:rPr>
              <w:t>Qual o valor mínimo para investimento?</w:t>
            </w:r>
          </w:p>
        </w:tc>
        <w:tc>
          <w:tcPr>
            <w:tcW w:w="5251" w:type="dxa"/>
            <w:shd w:val="clear" w:color="auto" w:fill="auto"/>
            <w:vAlign w:val="center"/>
            <w:hideMark/>
          </w:tcPr>
          <w:p w14:paraId="364B6CC2" w14:textId="77777777" w:rsidR="009A242A" w:rsidRPr="007E77AF" w:rsidRDefault="009A242A" w:rsidP="00FF383F">
            <w:pPr>
              <w:jc w:val="center"/>
              <w:rPr>
                <w:bCs/>
                <w:sz w:val="20"/>
                <w:szCs w:val="20"/>
                <w:lang w:eastAsia="en-US"/>
              </w:rPr>
            </w:pPr>
            <w:r w:rsidRPr="007E77AF">
              <w:rPr>
                <w:bCs/>
                <w:sz w:val="20"/>
                <w:szCs w:val="20"/>
                <w:lang w:eastAsia="en-US"/>
              </w:rPr>
              <w:t>Em R$ (até 2 casas decimais)</w:t>
            </w:r>
          </w:p>
        </w:tc>
        <w:tc>
          <w:tcPr>
            <w:tcW w:w="1335" w:type="dxa"/>
            <w:shd w:val="clear" w:color="auto" w:fill="auto"/>
            <w:hideMark/>
          </w:tcPr>
          <w:p w14:paraId="069812E4"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4BA404C0" w14:textId="77777777" w:rsidTr="00FF383F">
        <w:trPr>
          <w:trHeight w:val="227"/>
        </w:trPr>
        <w:tc>
          <w:tcPr>
            <w:tcW w:w="3532" w:type="dxa"/>
            <w:shd w:val="clear" w:color="auto" w:fill="auto"/>
            <w:vAlign w:val="center"/>
            <w:hideMark/>
          </w:tcPr>
          <w:p w14:paraId="4FD4B4BE" w14:textId="77777777" w:rsidR="009A242A" w:rsidRPr="007E77AF" w:rsidRDefault="009A242A" w:rsidP="00FF383F">
            <w:pPr>
              <w:rPr>
                <w:bCs/>
                <w:sz w:val="20"/>
                <w:szCs w:val="20"/>
                <w:lang w:eastAsia="en-US"/>
              </w:rPr>
            </w:pPr>
            <w:r w:rsidRPr="007E77AF">
              <w:rPr>
                <w:bCs/>
                <w:sz w:val="20"/>
                <w:szCs w:val="20"/>
                <w:lang w:eastAsia="en-US"/>
              </w:rPr>
              <w:t>Como participar da oferta?</w:t>
            </w:r>
          </w:p>
        </w:tc>
        <w:tc>
          <w:tcPr>
            <w:tcW w:w="5251" w:type="dxa"/>
            <w:shd w:val="clear" w:color="auto" w:fill="auto"/>
            <w:vAlign w:val="center"/>
            <w:hideMark/>
          </w:tcPr>
          <w:p w14:paraId="2E26B331" w14:textId="77777777" w:rsidR="009A242A" w:rsidRPr="007E77AF"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hideMark/>
          </w:tcPr>
          <w:p w14:paraId="1DB5344C"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300C6C00" w14:textId="77777777" w:rsidTr="00FF383F">
        <w:trPr>
          <w:trHeight w:val="227"/>
        </w:trPr>
        <w:tc>
          <w:tcPr>
            <w:tcW w:w="3532" w:type="dxa"/>
            <w:shd w:val="clear" w:color="auto" w:fill="auto"/>
            <w:vAlign w:val="center"/>
            <w:hideMark/>
          </w:tcPr>
          <w:p w14:paraId="6E571BFA" w14:textId="77777777" w:rsidR="009A242A" w:rsidRPr="007E77AF" w:rsidRDefault="009A242A" w:rsidP="00FF383F">
            <w:pPr>
              <w:rPr>
                <w:bCs/>
                <w:sz w:val="20"/>
                <w:szCs w:val="20"/>
                <w:lang w:eastAsia="en-US"/>
              </w:rPr>
            </w:pPr>
            <w:r w:rsidRPr="007E77AF">
              <w:rPr>
                <w:bCs/>
                <w:sz w:val="20"/>
                <w:szCs w:val="20"/>
                <w:lang w:eastAsia="en-US"/>
              </w:rPr>
              <w:t>Como será feito o rateio?</w:t>
            </w:r>
          </w:p>
        </w:tc>
        <w:tc>
          <w:tcPr>
            <w:tcW w:w="5251" w:type="dxa"/>
            <w:shd w:val="clear" w:color="auto" w:fill="auto"/>
            <w:vAlign w:val="center"/>
            <w:hideMark/>
          </w:tcPr>
          <w:p w14:paraId="1ED94B0C"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1120BD57"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8488EFF" w14:textId="77777777" w:rsidTr="001353DC">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81B15" w14:textId="77777777" w:rsidR="009A242A" w:rsidRPr="007E77AF" w:rsidRDefault="009A242A" w:rsidP="00FF383F">
            <w:pPr>
              <w:rPr>
                <w:bCs/>
                <w:sz w:val="20"/>
                <w:szCs w:val="20"/>
                <w:lang w:eastAsia="en-US"/>
              </w:rPr>
            </w:pPr>
            <w:r w:rsidRPr="007E77AF">
              <w:rPr>
                <w:bCs/>
                <w:sz w:val="20"/>
                <w:szCs w:val="20"/>
                <w:lang w:eastAsia="en-US"/>
              </w:rPr>
              <w:t>Como poderei saber o resultado do rateio?</w:t>
            </w:r>
          </w:p>
        </w:tc>
        <w:tc>
          <w:tcPr>
            <w:tcW w:w="5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3E1B9"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tcBorders>
              <w:top w:val="single" w:sz="8" w:space="0" w:color="auto"/>
              <w:left w:val="single" w:sz="8" w:space="0" w:color="auto"/>
              <w:bottom w:val="single" w:sz="8" w:space="0" w:color="auto"/>
              <w:right w:val="single" w:sz="8" w:space="0" w:color="auto"/>
            </w:tcBorders>
            <w:shd w:val="clear" w:color="auto" w:fill="auto"/>
            <w:hideMark/>
          </w:tcPr>
          <w:p w14:paraId="1A076208"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8F0B0AA" w14:textId="77777777" w:rsidTr="00FF383F">
        <w:trPr>
          <w:trHeight w:val="227"/>
        </w:trPr>
        <w:tc>
          <w:tcPr>
            <w:tcW w:w="3532" w:type="dxa"/>
            <w:shd w:val="clear" w:color="auto" w:fill="auto"/>
            <w:vAlign w:val="center"/>
            <w:hideMark/>
          </w:tcPr>
          <w:p w14:paraId="02A2880F" w14:textId="77777777" w:rsidR="009A242A" w:rsidRPr="007E77AF" w:rsidRDefault="009A242A" w:rsidP="00FF383F">
            <w:pPr>
              <w:rPr>
                <w:bCs/>
                <w:sz w:val="20"/>
                <w:szCs w:val="20"/>
                <w:lang w:eastAsia="en-US"/>
              </w:rPr>
            </w:pPr>
            <w:r w:rsidRPr="007E77AF">
              <w:rPr>
                <w:bCs/>
                <w:sz w:val="20"/>
                <w:szCs w:val="20"/>
                <w:lang w:eastAsia="en-US"/>
              </w:rPr>
              <w:t>O ofertante pode desistir da oferta?</w:t>
            </w:r>
          </w:p>
        </w:tc>
        <w:tc>
          <w:tcPr>
            <w:tcW w:w="5251" w:type="dxa"/>
            <w:shd w:val="clear" w:color="auto" w:fill="auto"/>
            <w:vAlign w:val="center"/>
            <w:hideMark/>
          </w:tcPr>
          <w:p w14:paraId="304A5C80"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2FCB650F"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1AD82EA" w14:textId="77777777" w:rsidTr="00FF383F">
        <w:trPr>
          <w:trHeight w:val="227"/>
        </w:trPr>
        <w:tc>
          <w:tcPr>
            <w:tcW w:w="3532" w:type="dxa"/>
            <w:shd w:val="clear" w:color="auto" w:fill="auto"/>
            <w:vAlign w:val="center"/>
            <w:hideMark/>
          </w:tcPr>
          <w:p w14:paraId="34B636C9" w14:textId="77777777" w:rsidR="009A242A" w:rsidRPr="007E77AF" w:rsidRDefault="009A242A" w:rsidP="00FF383F">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5251" w:type="dxa"/>
            <w:shd w:val="clear" w:color="auto" w:fill="auto"/>
            <w:vAlign w:val="center"/>
            <w:hideMark/>
          </w:tcPr>
          <w:p w14:paraId="4D608C5E"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0BF5D9B4"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15C76E42" w14:textId="77777777" w:rsidTr="00FF383F">
        <w:trPr>
          <w:trHeight w:val="227"/>
        </w:trPr>
        <w:tc>
          <w:tcPr>
            <w:tcW w:w="3532" w:type="dxa"/>
            <w:shd w:val="clear" w:color="auto" w:fill="auto"/>
            <w:vAlign w:val="center"/>
            <w:hideMark/>
          </w:tcPr>
          <w:p w14:paraId="28843183" w14:textId="77777777" w:rsidR="009A242A" w:rsidRPr="007E77AF" w:rsidRDefault="009A242A" w:rsidP="00FF383F">
            <w:pPr>
              <w:rPr>
                <w:bCs/>
                <w:sz w:val="20"/>
                <w:szCs w:val="20"/>
                <w:lang w:eastAsia="en-US"/>
              </w:rPr>
            </w:pPr>
            <w:r w:rsidRPr="007E77AF">
              <w:rPr>
                <w:bCs/>
                <w:sz w:val="20"/>
                <w:szCs w:val="20"/>
                <w:lang w:eastAsia="en-US"/>
              </w:rPr>
              <w:t xml:space="preserve">Indicação de local para obtenção do Prospecto </w:t>
            </w:r>
          </w:p>
        </w:tc>
        <w:tc>
          <w:tcPr>
            <w:tcW w:w="5251" w:type="dxa"/>
            <w:shd w:val="clear" w:color="auto" w:fill="auto"/>
            <w:vAlign w:val="center"/>
            <w:hideMark/>
          </w:tcPr>
          <w:p w14:paraId="726C34A5" w14:textId="77777777" w:rsidR="009A242A" w:rsidRPr="007E77AF" w:rsidRDefault="009A242A" w:rsidP="00FF383F">
            <w:pPr>
              <w:jc w:val="center"/>
              <w:rPr>
                <w:bCs/>
                <w:sz w:val="20"/>
                <w:szCs w:val="20"/>
                <w:lang w:eastAsia="en-US"/>
              </w:rPr>
            </w:pPr>
            <w:r w:rsidRPr="007E77AF">
              <w:rPr>
                <w:bCs/>
                <w:sz w:val="20"/>
                <w:szCs w:val="20"/>
                <w:lang w:eastAsia="en-US"/>
              </w:rPr>
              <w:t>endereço eletrônico</w:t>
            </w:r>
          </w:p>
        </w:tc>
        <w:tc>
          <w:tcPr>
            <w:tcW w:w="1335" w:type="dxa"/>
            <w:shd w:val="clear" w:color="auto" w:fill="auto"/>
            <w:vAlign w:val="center"/>
            <w:hideMark/>
          </w:tcPr>
          <w:p w14:paraId="3C2C97C6" w14:textId="77777777" w:rsidR="009A242A" w:rsidRPr="007E77AF" w:rsidRDefault="009A242A" w:rsidP="00FF383F">
            <w:pPr>
              <w:jc w:val="center"/>
              <w:rPr>
                <w:bCs/>
                <w:sz w:val="20"/>
                <w:szCs w:val="20"/>
                <w:lang w:eastAsia="en-US"/>
              </w:rPr>
            </w:pPr>
          </w:p>
        </w:tc>
      </w:tr>
      <w:tr w:rsidR="009A242A" w:rsidRPr="007E77AF" w14:paraId="3C4100F3" w14:textId="77777777" w:rsidTr="00FF383F">
        <w:trPr>
          <w:trHeight w:val="227"/>
        </w:trPr>
        <w:tc>
          <w:tcPr>
            <w:tcW w:w="3532" w:type="dxa"/>
            <w:shd w:val="clear" w:color="auto" w:fill="auto"/>
            <w:vAlign w:val="center"/>
            <w:hideMark/>
          </w:tcPr>
          <w:p w14:paraId="1EDD9FF6" w14:textId="77777777" w:rsidR="009A242A" w:rsidRPr="007E77AF" w:rsidRDefault="009A242A" w:rsidP="00FF383F">
            <w:pPr>
              <w:rPr>
                <w:bCs/>
                <w:sz w:val="20"/>
                <w:szCs w:val="20"/>
                <w:lang w:eastAsia="en-US"/>
              </w:rPr>
            </w:pPr>
            <w:r w:rsidRPr="007E77AF">
              <w:rPr>
                <w:bCs/>
                <w:sz w:val="20"/>
                <w:szCs w:val="20"/>
                <w:lang w:eastAsia="en-US"/>
              </w:rPr>
              <w:t>Quem são os coordenadores da oferta?</w:t>
            </w:r>
          </w:p>
        </w:tc>
        <w:tc>
          <w:tcPr>
            <w:tcW w:w="5251" w:type="dxa"/>
            <w:shd w:val="clear" w:color="auto" w:fill="auto"/>
            <w:vAlign w:val="center"/>
            <w:hideMark/>
          </w:tcPr>
          <w:p w14:paraId="374E6CDF" w14:textId="77777777" w:rsidR="009A242A" w:rsidRPr="007E77AF" w:rsidRDefault="009A242A" w:rsidP="00FF383F">
            <w:pPr>
              <w:jc w:val="center"/>
              <w:rPr>
                <w:sz w:val="20"/>
                <w:szCs w:val="20"/>
                <w:lang w:eastAsia="en-US"/>
              </w:rPr>
            </w:pPr>
            <w:r w:rsidRPr="007E77AF">
              <w:rPr>
                <w:sz w:val="20"/>
                <w:szCs w:val="20"/>
                <w:lang w:eastAsia="en-US"/>
              </w:rPr>
              <w:t>Informar apenas o nome conforme definido no prospecto.</w:t>
            </w:r>
          </w:p>
        </w:tc>
        <w:tc>
          <w:tcPr>
            <w:tcW w:w="1335" w:type="dxa"/>
            <w:shd w:val="clear" w:color="auto" w:fill="auto"/>
            <w:vAlign w:val="center"/>
            <w:hideMark/>
          </w:tcPr>
          <w:p w14:paraId="56B36BF2"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7AE36BED" w14:textId="77777777" w:rsidTr="00FF383F">
        <w:trPr>
          <w:trHeight w:val="227"/>
        </w:trPr>
        <w:tc>
          <w:tcPr>
            <w:tcW w:w="3532" w:type="dxa"/>
            <w:shd w:val="clear" w:color="auto" w:fill="auto"/>
            <w:vAlign w:val="center"/>
          </w:tcPr>
          <w:p w14:paraId="24CE428B" w14:textId="77777777" w:rsidR="009A242A" w:rsidRPr="007E77AF" w:rsidRDefault="009A242A" w:rsidP="00FF383F">
            <w:pPr>
              <w:rPr>
                <w:bCs/>
                <w:sz w:val="20"/>
                <w:szCs w:val="20"/>
                <w:lang w:eastAsia="en-US"/>
              </w:rPr>
            </w:pPr>
            <w:r w:rsidRPr="007E77AF">
              <w:rPr>
                <w:bCs/>
                <w:sz w:val="20"/>
                <w:szCs w:val="20"/>
                <w:lang w:eastAsia="en-US"/>
              </w:rPr>
              <w:lastRenderedPageBreak/>
              <w:t>Outras instituições participantes da distribuição</w:t>
            </w:r>
          </w:p>
        </w:tc>
        <w:tc>
          <w:tcPr>
            <w:tcW w:w="5251" w:type="dxa"/>
            <w:shd w:val="clear" w:color="auto" w:fill="auto"/>
            <w:vAlign w:val="center"/>
          </w:tcPr>
          <w:p w14:paraId="17DBA74A"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vAlign w:val="center"/>
          </w:tcPr>
          <w:p w14:paraId="60AD7EB9"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1724C145" w14:textId="77777777" w:rsidTr="00FF383F">
        <w:trPr>
          <w:trHeight w:val="227"/>
        </w:trPr>
        <w:tc>
          <w:tcPr>
            <w:tcW w:w="3532" w:type="dxa"/>
            <w:shd w:val="clear" w:color="auto" w:fill="auto"/>
            <w:vAlign w:val="center"/>
          </w:tcPr>
          <w:p w14:paraId="01B05272" w14:textId="77777777" w:rsidR="009A242A" w:rsidRPr="007E77AF" w:rsidRDefault="009A242A" w:rsidP="00FF383F">
            <w:pPr>
              <w:rPr>
                <w:bCs/>
                <w:sz w:val="20"/>
                <w:szCs w:val="20"/>
                <w:lang w:eastAsia="en-US"/>
              </w:rPr>
            </w:pPr>
            <w:r w:rsidRPr="007E77AF">
              <w:rPr>
                <w:bCs/>
                <w:sz w:val="20"/>
                <w:szCs w:val="20"/>
                <w:lang w:eastAsia="en-US"/>
              </w:rPr>
              <w:t>Procedimento de colocação</w:t>
            </w:r>
          </w:p>
        </w:tc>
        <w:tc>
          <w:tcPr>
            <w:tcW w:w="5251" w:type="dxa"/>
            <w:shd w:val="clear" w:color="auto" w:fill="auto"/>
            <w:vAlign w:val="center"/>
          </w:tcPr>
          <w:p w14:paraId="64578FE4" w14:textId="77777777" w:rsidR="009A242A" w:rsidRPr="007E77AF" w:rsidRDefault="009A242A" w:rsidP="00FF383F">
            <w:pPr>
              <w:rPr>
                <w:bCs/>
                <w:sz w:val="20"/>
                <w:szCs w:val="20"/>
                <w:lang w:eastAsia="en-US"/>
              </w:rPr>
            </w:pPr>
            <w:proofErr w:type="gramStart"/>
            <w:r w:rsidRPr="007E77AF">
              <w:rPr>
                <w:bCs/>
                <w:sz w:val="20"/>
                <w:szCs w:val="20"/>
                <w:lang w:eastAsia="en-US"/>
              </w:rPr>
              <w:t>[  ]</w:t>
            </w:r>
            <w:proofErr w:type="gramEnd"/>
            <w:r w:rsidRPr="007E77AF">
              <w:rPr>
                <w:bCs/>
                <w:sz w:val="20"/>
                <w:szCs w:val="20"/>
                <w:lang w:eastAsia="en-US"/>
              </w:rPr>
              <w:t>Melhores esforços / [  ] Garantia Firme / [  ]Compromisso de Subscrição</w:t>
            </w:r>
          </w:p>
        </w:tc>
        <w:tc>
          <w:tcPr>
            <w:tcW w:w="1335" w:type="dxa"/>
            <w:shd w:val="clear" w:color="auto" w:fill="auto"/>
            <w:vAlign w:val="center"/>
          </w:tcPr>
          <w:p w14:paraId="0E380BAE"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2BBC4C84" w14:textId="77777777" w:rsidTr="00FF383F">
        <w:trPr>
          <w:trHeight w:val="390"/>
        </w:trPr>
        <w:tc>
          <w:tcPr>
            <w:tcW w:w="10118" w:type="dxa"/>
            <w:gridSpan w:val="3"/>
            <w:shd w:val="clear" w:color="auto" w:fill="auto"/>
            <w:vAlign w:val="center"/>
            <w:hideMark/>
          </w:tcPr>
          <w:p w14:paraId="78172A3D"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6C4F6D77" w14:textId="77777777" w:rsidTr="00FF383F">
        <w:trPr>
          <w:trHeight w:val="227"/>
        </w:trPr>
        <w:tc>
          <w:tcPr>
            <w:tcW w:w="3532" w:type="dxa"/>
            <w:shd w:val="clear" w:color="auto" w:fill="auto"/>
            <w:vAlign w:val="center"/>
            <w:hideMark/>
          </w:tcPr>
          <w:p w14:paraId="71D01C39" w14:textId="77777777" w:rsidR="009A242A" w:rsidRPr="007E77AF" w:rsidRDefault="009A242A" w:rsidP="00FF383F">
            <w:pPr>
              <w:rPr>
                <w:bCs/>
                <w:sz w:val="20"/>
                <w:szCs w:val="20"/>
                <w:lang w:eastAsia="en-US"/>
              </w:rPr>
            </w:pPr>
            <w:r w:rsidRPr="007E77AF">
              <w:rPr>
                <w:bCs/>
                <w:sz w:val="20"/>
                <w:szCs w:val="20"/>
                <w:lang w:eastAsia="en-US"/>
              </w:rPr>
              <w:t>Qual o período de reservas?</w:t>
            </w:r>
          </w:p>
        </w:tc>
        <w:tc>
          <w:tcPr>
            <w:tcW w:w="5251" w:type="dxa"/>
            <w:shd w:val="clear" w:color="auto" w:fill="auto"/>
            <w:vAlign w:val="center"/>
            <w:hideMark/>
          </w:tcPr>
          <w:p w14:paraId="57D7A05B" w14:textId="77777777" w:rsidR="009A242A" w:rsidRPr="007E77AF" w:rsidRDefault="009A242A" w:rsidP="00FF383F">
            <w:pPr>
              <w:jc w:val="center"/>
              <w:rPr>
                <w:bCs/>
                <w:sz w:val="20"/>
                <w:szCs w:val="20"/>
                <w:lang w:eastAsia="en-US"/>
              </w:rPr>
            </w:pPr>
            <w:r w:rsidRPr="007E77AF">
              <w:rPr>
                <w:bCs/>
                <w:sz w:val="20"/>
                <w:szCs w:val="20"/>
                <w:lang w:eastAsia="en-US"/>
              </w:rPr>
              <w:t>[data] a [data]</w:t>
            </w:r>
          </w:p>
        </w:tc>
        <w:tc>
          <w:tcPr>
            <w:tcW w:w="1335" w:type="dxa"/>
            <w:shd w:val="clear" w:color="auto" w:fill="auto"/>
            <w:hideMark/>
          </w:tcPr>
          <w:p w14:paraId="062FA166"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F3B3635" w14:textId="77777777" w:rsidTr="00FF383F">
        <w:trPr>
          <w:trHeight w:val="227"/>
        </w:trPr>
        <w:tc>
          <w:tcPr>
            <w:tcW w:w="3532" w:type="dxa"/>
            <w:shd w:val="clear" w:color="auto" w:fill="auto"/>
            <w:vAlign w:val="center"/>
            <w:hideMark/>
          </w:tcPr>
          <w:p w14:paraId="3E275CE6" w14:textId="77777777" w:rsidR="009A242A" w:rsidRPr="007E77AF" w:rsidRDefault="009A242A" w:rsidP="00FF383F">
            <w:pPr>
              <w:rPr>
                <w:bCs/>
                <w:sz w:val="20"/>
                <w:szCs w:val="20"/>
                <w:lang w:eastAsia="en-US"/>
              </w:rPr>
            </w:pPr>
            <w:r w:rsidRPr="007E77AF">
              <w:rPr>
                <w:bCs/>
                <w:sz w:val="20"/>
                <w:szCs w:val="20"/>
                <w:lang w:eastAsia="en-US"/>
              </w:rPr>
              <w:t>Qual a data da fixação de preços?</w:t>
            </w:r>
          </w:p>
        </w:tc>
        <w:tc>
          <w:tcPr>
            <w:tcW w:w="5251" w:type="dxa"/>
            <w:shd w:val="clear" w:color="auto" w:fill="auto"/>
            <w:vAlign w:val="center"/>
            <w:hideMark/>
          </w:tcPr>
          <w:p w14:paraId="0723C856"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02C94A7C"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283893FC" w14:textId="77777777" w:rsidTr="00920D36">
        <w:trPr>
          <w:trHeight w:val="227"/>
        </w:trPr>
        <w:tc>
          <w:tcPr>
            <w:tcW w:w="3532" w:type="dxa"/>
            <w:shd w:val="clear" w:color="auto" w:fill="auto"/>
            <w:vAlign w:val="center"/>
          </w:tcPr>
          <w:p w14:paraId="1D9B942E" w14:textId="77777777" w:rsidR="009A242A" w:rsidRPr="007E77AF" w:rsidRDefault="009A242A" w:rsidP="00436558">
            <w:pPr>
              <w:rPr>
                <w:bCs/>
                <w:sz w:val="20"/>
                <w:szCs w:val="20"/>
                <w:lang w:eastAsia="en-US"/>
              </w:rPr>
            </w:pPr>
            <w:r w:rsidRPr="007E77AF">
              <w:rPr>
                <w:bCs/>
                <w:sz w:val="20"/>
                <w:szCs w:val="20"/>
                <w:lang w:eastAsia="en-US"/>
              </w:rPr>
              <w:t>Qual a data de divulgação do resultado do rateio?</w:t>
            </w:r>
          </w:p>
        </w:tc>
        <w:tc>
          <w:tcPr>
            <w:tcW w:w="5251" w:type="dxa"/>
            <w:shd w:val="clear" w:color="auto" w:fill="auto"/>
            <w:vAlign w:val="center"/>
          </w:tcPr>
          <w:p w14:paraId="74907C1A" w14:textId="77777777" w:rsidR="009A242A" w:rsidRPr="007E77AF" w:rsidRDefault="009A242A" w:rsidP="00436558">
            <w:pPr>
              <w:jc w:val="center"/>
              <w:rPr>
                <w:bCs/>
                <w:sz w:val="20"/>
                <w:szCs w:val="20"/>
                <w:lang w:eastAsia="en-US"/>
              </w:rPr>
            </w:pPr>
            <w:r w:rsidRPr="007E77AF">
              <w:rPr>
                <w:bCs/>
                <w:sz w:val="20"/>
                <w:szCs w:val="20"/>
                <w:lang w:eastAsia="en-US"/>
              </w:rPr>
              <w:t>[data]</w:t>
            </w:r>
          </w:p>
        </w:tc>
        <w:tc>
          <w:tcPr>
            <w:tcW w:w="1335" w:type="dxa"/>
            <w:shd w:val="clear" w:color="auto" w:fill="auto"/>
            <w:vAlign w:val="center"/>
          </w:tcPr>
          <w:p w14:paraId="65F5F804" w14:textId="77777777" w:rsidR="009A242A" w:rsidRPr="007E77AF" w:rsidRDefault="009A242A" w:rsidP="00436558">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r w:rsidR="009A242A" w:rsidRPr="007E77AF" w14:paraId="4E4ACABB" w14:textId="77777777" w:rsidTr="00FF383F">
        <w:trPr>
          <w:trHeight w:val="227"/>
        </w:trPr>
        <w:tc>
          <w:tcPr>
            <w:tcW w:w="3532" w:type="dxa"/>
            <w:shd w:val="clear" w:color="auto" w:fill="auto"/>
            <w:vAlign w:val="center"/>
            <w:hideMark/>
          </w:tcPr>
          <w:p w14:paraId="1D91FEEB" w14:textId="77777777" w:rsidR="009A242A" w:rsidRPr="007E77AF" w:rsidRDefault="009A242A" w:rsidP="00FF383F">
            <w:pPr>
              <w:rPr>
                <w:bCs/>
                <w:sz w:val="20"/>
                <w:szCs w:val="20"/>
                <w:lang w:eastAsia="en-US"/>
              </w:rPr>
            </w:pPr>
            <w:r w:rsidRPr="007E77AF">
              <w:rPr>
                <w:bCs/>
                <w:sz w:val="20"/>
                <w:szCs w:val="20"/>
                <w:lang w:eastAsia="en-US"/>
              </w:rPr>
              <w:t>Qual a data da liquidação da oferta?</w:t>
            </w:r>
          </w:p>
        </w:tc>
        <w:tc>
          <w:tcPr>
            <w:tcW w:w="5251" w:type="dxa"/>
            <w:shd w:val="clear" w:color="auto" w:fill="auto"/>
            <w:vAlign w:val="center"/>
            <w:hideMark/>
          </w:tcPr>
          <w:p w14:paraId="04ED4515"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1D7FE397"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7B4CC723" w14:textId="77777777" w:rsidTr="00FF383F">
        <w:trPr>
          <w:trHeight w:val="227"/>
        </w:trPr>
        <w:tc>
          <w:tcPr>
            <w:tcW w:w="3532" w:type="dxa"/>
            <w:shd w:val="clear" w:color="auto" w:fill="auto"/>
            <w:vAlign w:val="center"/>
            <w:hideMark/>
          </w:tcPr>
          <w:p w14:paraId="26504E96" w14:textId="77777777" w:rsidR="009A242A" w:rsidRPr="007E77AF" w:rsidRDefault="009A242A" w:rsidP="00FF383F">
            <w:pPr>
              <w:rPr>
                <w:bCs/>
                <w:sz w:val="20"/>
                <w:szCs w:val="20"/>
                <w:lang w:eastAsia="en-US"/>
              </w:rPr>
            </w:pPr>
            <w:r w:rsidRPr="007E77AF">
              <w:rPr>
                <w:bCs/>
                <w:sz w:val="20"/>
                <w:szCs w:val="20"/>
                <w:lang w:eastAsia="en-US"/>
              </w:rPr>
              <w:t>Quando receberei a confirmação da compra?</w:t>
            </w:r>
          </w:p>
        </w:tc>
        <w:tc>
          <w:tcPr>
            <w:tcW w:w="5251" w:type="dxa"/>
            <w:shd w:val="clear" w:color="auto" w:fill="auto"/>
            <w:vAlign w:val="center"/>
            <w:hideMark/>
          </w:tcPr>
          <w:p w14:paraId="71E3A47C"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452A1AA3"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r w:rsidRPr="007E77AF">
              <w:rPr>
                <w:bCs/>
                <w:sz w:val="20"/>
                <w:szCs w:val="20"/>
                <w:lang w:eastAsia="en-US"/>
              </w:rPr>
              <w:t xml:space="preserve"> </w:t>
            </w:r>
          </w:p>
        </w:tc>
      </w:tr>
      <w:tr w:rsidR="009A242A" w:rsidRPr="007E77AF" w14:paraId="5BD70247" w14:textId="77777777" w:rsidTr="00FF383F">
        <w:trPr>
          <w:trHeight w:val="227"/>
        </w:trPr>
        <w:tc>
          <w:tcPr>
            <w:tcW w:w="3532" w:type="dxa"/>
            <w:shd w:val="clear" w:color="auto" w:fill="auto"/>
            <w:vAlign w:val="center"/>
            <w:hideMark/>
          </w:tcPr>
          <w:p w14:paraId="4B808772" w14:textId="77777777" w:rsidR="009A242A" w:rsidRPr="007E77AF" w:rsidRDefault="009A242A" w:rsidP="00FF383F">
            <w:pPr>
              <w:rPr>
                <w:bCs/>
                <w:sz w:val="20"/>
                <w:szCs w:val="20"/>
                <w:lang w:eastAsia="en-US"/>
              </w:rPr>
            </w:pPr>
            <w:r w:rsidRPr="007E77AF">
              <w:rPr>
                <w:bCs/>
                <w:sz w:val="20"/>
                <w:szCs w:val="20"/>
                <w:lang w:eastAsia="en-US"/>
              </w:rPr>
              <w:t>Quando poderei negociar?</w:t>
            </w:r>
          </w:p>
        </w:tc>
        <w:tc>
          <w:tcPr>
            <w:tcW w:w="5251" w:type="dxa"/>
            <w:shd w:val="clear" w:color="auto" w:fill="auto"/>
            <w:vAlign w:val="center"/>
            <w:hideMark/>
          </w:tcPr>
          <w:p w14:paraId="1CD8F277"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vAlign w:val="center"/>
            <w:hideMark/>
          </w:tcPr>
          <w:p w14:paraId="49DA6EBC" w14:textId="77777777" w:rsidR="009A242A" w:rsidRPr="007E77AF" w:rsidRDefault="009A242A" w:rsidP="00FF383F">
            <w:pPr>
              <w:jc w:val="center"/>
              <w:rPr>
                <w:bCs/>
                <w:sz w:val="20"/>
                <w:szCs w:val="20"/>
                <w:lang w:eastAsia="en-US"/>
              </w:rPr>
            </w:pPr>
            <w:r w:rsidRPr="007E77AF">
              <w:rPr>
                <w:bCs/>
                <w:sz w:val="20"/>
                <w:szCs w:val="20"/>
                <w:lang w:eastAsia="en-US"/>
              </w:rPr>
              <w:t xml:space="preserve">Seção </w:t>
            </w:r>
            <w:proofErr w:type="gramStart"/>
            <w:r w:rsidRPr="007E77AF">
              <w:rPr>
                <w:bCs/>
                <w:sz w:val="20"/>
                <w:szCs w:val="20"/>
                <w:lang w:eastAsia="en-US"/>
              </w:rPr>
              <w:t>#.#</w:t>
            </w:r>
            <w:proofErr w:type="gramEnd"/>
          </w:p>
        </w:tc>
      </w:tr>
    </w:tbl>
    <w:p w14:paraId="627F51C8" w14:textId="77777777" w:rsidR="009A242A" w:rsidRPr="007E77AF" w:rsidRDefault="009A242A" w:rsidP="00ED4C5E"/>
    <w:p w14:paraId="49714663" w14:textId="77777777" w:rsidR="009A242A" w:rsidRPr="007E77AF" w:rsidRDefault="009A242A" w:rsidP="00ED4C5E">
      <w:r w:rsidRPr="007E77AF">
        <w:br w:type="page"/>
      </w:r>
    </w:p>
    <w:p w14:paraId="19A630EA" w14:textId="77777777" w:rsidR="009A242A" w:rsidRPr="007E77AF" w:rsidRDefault="009A242A" w:rsidP="00920D36"/>
    <w:p w14:paraId="17AF3888" w14:textId="2D2079D5" w:rsidR="009A242A" w:rsidRPr="007E77AF" w:rsidRDefault="009A242A" w:rsidP="00365082">
      <w:pPr>
        <w:pStyle w:val="Ttulo1"/>
      </w:pPr>
      <w:bookmarkStart w:id="405" w:name="_Toc467256315"/>
      <w:bookmarkStart w:id="406" w:name="_Toc476216362"/>
      <w:bookmarkStart w:id="407" w:name="_Toc108516085"/>
      <w:bookmarkStart w:id="408" w:name="_Toc108203116"/>
      <w:bookmarkStart w:id="409" w:name="_Toc136502856"/>
      <w:r w:rsidRPr="007E77AF">
        <w:t xml:space="preserve">ANEXO </w:t>
      </w:r>
      <w:bookmarkEnd w:id="405"/>
      <w:r>
        <w:t>K</w:t>
      </w:r>
      <w:r w:rsidRPr="007E77AF">
        <w:t xml:space="preserve"> – CONTRATO DE DISTRIBUIÇÃO</w:t>
      </w:r>
      <w:bookmarkEnd w:id="406"/>
      <w:bookmarkEnd w:id="407"/>
      <w:bookmarkEnd w:id="408"/>
      <w:bookmarkEnd w:id="409"/>
    </w:p>
    <w:p w14:paraId="381883BC" w14:textId="77777777" w:rsidR="009A242A" w:rsidRPr="007E77AF" w:rsidRDefault="009A242A" w:rsidP="001353DC">
      <w:bookmarkStart w:id="410" w:name="_Toc467256316"/>
    </w:p>
    <w:p w14:paraId="1F82A455" w14:textId="04EA90ED" w:rsidR="009A242A" w:rsidRPr="007E77AF" w:rsidRDefault="009A242A" w:rsidP="00365082">
      <w:pPr>
        <w:jc w:val="center"/>
        <w:rPr>
          <w:i/>
        </w:rPr>
      </w:pPr>
      <w:r w:rsidRPr="007E77AF">
        <w:rPr>
          <w:i/>
        </w:rPr>
        <w:t>Conteúdo das cláusulas obrigatórias do contrato de distribuição, conforme art. 7</w:t>
      </w:r>
      <w:r>
        <w:rPr>
          <w:i/>
        </w:rPr>
        <w:t>7 da Resolução CVM nº 160, de 2022</w:t>
      </w:r>
      <w:bookmarkEnd w:id="410"/>
      <w:r w:rsidRPr="007E77AF">
        <w:rPr>
          <w:i/>
        </w:rPr>
        <w:t>.</w:t>
      </w:r>
    </w:p>
    <w:p w14:paraId="71E70CF8" w14:textId="77777777" w:rsidR="009A242A" w:rsidRPr="007E77AF" w:rsidRDefault="009A242A" w:rsidP="004301C4"/>
    <w:p w14:paraId="47E979DC" w14:textId="08453A62" w:rsidR="009A242A" w:rsidRDefault="009A242A" w:rsidP="00986942">
      <w:pPr>
        <w:spacing w:before="120" w:after="120" w:line="312" w:lineRule="auto"/>
        <w:jc w:val="both"/>
      </w:pPr>
      <w:r w:rsidRPr="007E77AF">
        <w:t xml:space="preserve">1. Qualificação do emissor, </w:t>
      </w:r>
      <w:r w:rsidR="00C36242">
        <w:t>do</w:t>
      </w:r>
      <w:r w:rsidR="00C36242" w:rsidRPr="007E77AF">
        <w:t xml:space="preserve"> </w:t>
      </w:r>
      <w:r>
        <w:t>coordenador líder</w:t>
      </w:r>
      <w:r w:rsidR="00614EA9">
        <w:t xml:space="preserve"> e, se houver,</w:t>
      </w:r>
      <w:r w:rsidR="00C36242">
        <w:t xml:space="preserve"> dos demais coordenadores</w:t>
      </w:r>
      <w:r w:rsidRPr="007E77AF">
        <w:t xml:space="preserve"> e das demais instituições intermediárias signatárias do contrato de distribuição, </w:t>
      </w:r>
      <w:r>
        <w:t>com a indicação expressa da respectiva qualidade em que cada um desses agentes figura no contrato</w:t>
      </w:r>
      <w:r w:rsidRPr="007E77AF">
        <w:t>;</w:t>
      </w:r>
    </w:p>
    <w:p w14:paraId="62F4B8D3" w14:textId="77777777" w:rsidR="009A242A" w:rsidRPr="007E77AF" w:rsidRDefault="009A242A" w:rsidP="00986942">
      <w:pPr>
        <w:spacing w:before="120" w:after="120" w:line="312" w:lineRule="auto"/>
        <w:jc w:val="both"/>
      </w:pPr>
      <w:r w:rsidRPr="007E77AF">
        <w:t>2. Ato deliberativo que autorizou a emissão;</w:t>
      </w:r>
    </w:p>
    <w:p w14:paraId="61635091" w14:textId="4F2CC441" w:rsidR="009A242A" w:rsidRPr="007E77AF" w:rsidRDefault="009A242A" w:rsidP="00986942">
      <w:pPr>
        <w:spacing w:before="120" w:after="120" w:line="312" w:lineRule="auto"/>
        <w:jc w:val="both"/>
      </w:pPr>
      <w:r>
        <w:t>3</w:t>
      </w:r>
      <w:r w:rsidRPr="007E77AF">
        <w:t>. Regime de colocação dos valores mobiliários;</w:t>
      </w:r>
    </w:p>
    <w:p w14:paraId="3A16A351" w14:textId="40350BB3" w:rsidR="009A242A" w:rsidRPr="007E77AF" w:rsidRDefault="009A242A" w:rsidP="00986942">
      <w:pPr>
        <w:spacing w:before="120" w:after="120" w:line="312" w:lineRule="auto"/>
        <w:jc w:val="both"/>
      </w:pPr>
      <w:r>
        <w:t>4</w:t>
      </w:r>
      <w:r w:rsidRPr="007E77AF">
        <w:t>. Total de valores mobiliários objeto do contrato, devendo ser mencionada a forma, valor nominal, se houver, preço de emissão e condições de integralização, vantagens e restrições, especificando, inclusive, aquelas decorrentes de eventuais decisões da assembleia ou do conselho de administração que deliberou o aumento;</w:t>
      </w:r>
    </w:p>
    <w:p w14:paraId="11842FB3" w14:textId="62DD7F1E" w:rsidR="009A242A" w:rsidRPr="007E77AF" w:rsidRDefault="009A242A" w:rsidP="00986942">
      <w:pPr>
        <w:spacing w:before="120" w:after="120" w:line="312" w:lineRule="auto"/>
        <w:jc w:val="both"/>
      </w:pPr>
      <w:r>
        <w:t>5</w:t>
      </w:r>
      <w:r w:rsidRPr="007E77AF">
        <w:t xml:space="preserve">. Condições de revenda dos valores mobiliários </w:t>
      </w:r>
      <w:proofErr w:type="gramStart"/>
      <w:r w:rsidRPr="007E77AF">
        <w:t xml:space="preserve">pela </w:t>
      </w:r>
      <w:r>
        <w:t>coordenador líder</w:t>
      </w:r>
      <w:proofErr w:type="gramEnd"/>
      <w:r w:rsidRPr="007E77AF">
        <w:t xml:space="preserve"> </w:t>
      </w:r>
      <w:r w:rsidR="00EE0500">
        <w:t>e, se houver, pelos demais coordenadores</w:t>
      </w:r>
      <w:r w:rsidRPr="007E77AF">
        <w:t xml:space="preserve"> ou </w:t>
      </w:r>
      <w:r w:rsidR="006350C8" w:rsidRPr="007E77AF">
        <w:t>pel</w:t>
      </w:r>
      <w:r w:rsidR="006350C8">
        <w:t>a</w:t>
      </w:r>
      <w:r w:rsidR="006350C8" w:rsidRPr="007E77AF">
        <w:t>s</w:t>
      </w:r>
      <w:r w:rsidRPr="007E77AF">
        <w:t xml:space="preserve"> demais instituições intermediárias envolvidas na distribuição, no caso de regime de colocação com garantia firme;</w:t>
      </w:r>
    </w:p>
    <w:p w14:paraId="17268E44" w14:textId="6BECAAEC" w:rsidR="009A242A" w:rsidRPr="007E77AF" w:rsidRDefault="009A242A" w:rsidP="00986942">
      <w:pPr>
        <w:spacing w:before="120" w:after="120" w:line="312" w:lineRule="auto"/>
        <w:jc w:val="both"/>
      </w:pPr>
      <w:r>
        <w:t>6</w:t>
      </w:r>
      <w:r w:rsidRPr="007E77AF">
        <w:t xml:space="preserve">. Remuneração </w:t>
      </w:r>
      <w:r w:rsidR="00F91726">
        <w:t>do</w:t>
      </w:r>
      <w:r w:rsidR="00F91726" w:rsidRPr="007E77AF">
        <w:t xml:space="preserve"> </w:t>
      </w:r>
      <w:r>
        <w:t>coordenador líder</w:t>
      </w:r>
      <w:r w:rsidR="008543D5">
        <w:t xml:space="preserve"> e, se houver,</w:t>
      </w:r>
      <w:r w:rsidR="000F5A0B">
        <w:t xml:space="preserve"> dos demais coordenadores</w:t>
      </w:r>
      <w:r w:rsidR="008549F4">
        <w:t xml:space="preserve"> e</w:t>
      </w:r>
      <w:r w:rsidRPr="007E77AF">
        <w:t xml:space="preserve"> instituições intermediárias envolvidas na distribuição, discriminando as comissões devidas;</w:t>
      </w:r>
    </w:p>
    <w:p w14:paraId="3D2C8EEF" w14:textId="2E6CD0B2" w:rsidR="009A242A" w:rsidRPr="007E77AF" w:rsidRDefault="009A242A" w:rsidP="00986942">
      <w:pPr>
        <w:spacing w:before="120" w:after="120" w:line="312" w:lineRule="auto"/>
        <w:jc w:val="both"/>
      </w:pPr>
      <w:r>
        <w:t>7</w:t>
      </w:r>
      <w:r w:rsidRPr="007E77AF">
        <w:t>. Descrição do procedimento adotado para distribuição; e</w:t>
      </w:r>
    </w:p>
    <w:p w14:paraId="7174448F" w14:textId="4AB07A77" w:rsidR="009A242A" w:rsidRPr="007E77AF" w:rsidRDefault="009A242A" w:rsidP="00986942">
      <w:pPr>
        <w:spacing w:before="120" w:after="120" w:line="312" w:lineRule="auto"/>
        <w:jc w:val="both"/>
      </w:pPr>
      <w:r>
        <w:t>8</w:t>
      </w:r>
      <w:r w:rsidRPr="007E77AF">
        <w:t>. Menção a contratos de estabilização de preços e de formador de mercado, se houver.</w:t>
      </w:r>
    </w:p>
    <w:p w14:paraId="147704B5" w14:textId="77777777" w:rsidR="009A242A" w:rsidRPr="007E77AF" w:rsidRDefault="009A242A" w:rsidP="004301C4">
      <w:r w:rsidRPr="007E77AF">
        <w:br w:type="page"/>
      </w:r>
    </w:p>
    <w:p w14:paraId="34FC56D1" w14:textId="6CD20709" w:rsidR="009A242A" w:rsidRPr="007E77AF" w:rsidRDefault="009A242A" w:rsidP="00365082">
      <w:pPr>
        <w:pStyle w:val="Ttulo1"/>
      </w:pPr>
      <w:bookmarkStart w:id="411" w:name="_Toc467256317"/>
      <w:bookmarkStart w:id="412" w:name="_Toc476216363"/>
      <w:bookmarkStart w:id="413" w:name="_Toc108516086"/>
      <w:bookmarkStart w:id="414" w:name="_Toc108203117"/>
      <w:bookmarkStart w:id="415" w:name="_Toc136502857"/>
      <w:r w:rsidRPr="007E77AF">
        <w:lastRenderedPageBreak/>
        <w:t xml:space="preserve">ANEXO </w:t>
      </w:r>
      <w:bookmarkEnd w:id="411"/>
      <w:r>
        <w:t>L</w:t>
      </w:r>
      <w:r w:rsidRPr="007E77AF">
        <w:t xml:space="preserve"> – REQUERIMENTO DE DISPENSA DE REQUISITOS DA OFERTA</w:t>
      </w:r>
      <w:bookmarkEnd w:id="412"/>
      <w:bookmarkEnd w:id="413"/>
      <w:bookmarkEnd w:id="414"/>
      <w:bookmarkEnd w:id="415"/>
    </w:p>
    <w:p w14:paraId="4F9B5934" w14:textId="77777777" w:rsidR="009A242A" w:rsidRPr="007E77AF" w:rsidRDefault="009A242A" w:rsidP="001353DC"/>
    <w:p w14:paraId="15BA1275" w14:textId="77777777" w:rsidR="009A242A" w:rsidRPr="007E77AF" w:rsidRDefault="009A242A" w:rsidP="00365082">
      <w:pPr>
        <w:jc w:val="center"/>
        <w:rPr>
          <w:i/>
        </w:rPr>
      </w:pPr>
      <w:bookmarkStart w:id="416" w:name="_Toc467256318"/>
      <w:r w:rsidRPr="007E77AF">
        <w:rPr>
          <w:i/>
        </w:rPr>
        <w:t>Conteúdo do requerimento de dispensa de requisitos da oferta, conforme previsto no art. 43, § 2º</w:t>
      </w:r>
      <w:bookmarkEnd w:id="416"/>
      <w:r>
        <w:rPr>
          <w:i/>
        </w:rPr>
        <w:t>, da Resolução CVM nº 160, de 2022.</w:t>
      </w:r>
    </w:p>
    <w:p w14:paraId="1E62E1EE" w14:textId="77777777" w:rsidR="009A242A" w:rsidRPr="007E77AF" w:rsidRDefault="009A242A" w:rsidP="004301C4">
      <w:pPr>
        <w:rPr>
          <w:rFonts w:ascii="Times New Roman" w:hAnsi="Times New Roman"/>
          <w:i/>
        </w:rPr>
      </w:pPr>
    </w:p>
    <w:p w14:paraId="52822F9E" w14:textId="77777777" w:rsidR="009A242A" w:rsidRPr="007E77AF" w:rsidRDefault="009A242A" w:rsidP="00986942">
      <w:pPr>
        <w:spacing w:before="120" w:after="120" w:line="312" w:lineRule="auto"/>
        <w:jc w:val="both"/>
      </w:pPr>
      <w:r w:rsidRPr="007E77AF">
        <w:t>1. Identificação do emissor dos valores mobiliários e de todas as pessoas envolvidas na operação, bem como seus detalhes e características, não sendo admitido pedido fundamentado em situação hipotética;</w:t>
      </w:r>
    </w:p>
    <w:p w14:paraId="6769972A" w14:textId="77777777" w:rsidR="009A242A" w:rsidRPr="007E77AF" w:rsidRDefault="009A242A" w:rsidP="00986942">
      <w:pPr>
        <w:spacing w:before="120" w:after="120" w:line="312" w:lineRule="auto"/>
        <w:jc w:val="both"/>
      </w:pPr>
      <w:r w:rsidRPr="007E77AF">
        <w:t>2. Descrição do pedido limitada à questão objeto da dispensa pleiteada, evitando contemplar meras conjecturas e eventos de ocorrência futura incerta;</w:t>
      </w:r>
    </w:p>
    <w:p w14:paraId="58D90D22" w14:textId="77777777" w:rsidR="009A242A" w:rsidRPr="007E77AF" w:rsidRDefault="009A242A" w:rsidP="00986942">
      <w:pPr>
        <w:spacing w:before="120" w:after="120" w:line="312" w:lineRule="auto"/>
        <w:jc w:val="both"/>
      </w:pPr>
      <w:r w:rsidRPr="007E77AF">
        <w:t>3. Esclarecimentos concisos e objetivos, não obstante contendo todos os fatos e documentos necessários para se concluir sobre a dispensa que estiver sendo pleiteada;</w:t>
      </w:r>
    </w:p>
    <w:p w14:paraId="19D9BA41" w14:textId="77777777" w:rsidR="009A242A" w:rsidRPr="007E77AF" w:rsidRDefault="009A242A" w:rsidP="00986942">
      <w:pPr>
        <w:spacing w:before="120" w:after="120" w:line="312" w:lineRule="auto"/>
        <w:jc w:val="both"/>
      </w:pPr>
      <w:r w:rsidRPr="007E77AF">
        <w:t>4. Opinião fundamentada sobre a legalidade do pedido emitida pelo requerente; e</w:t>
      </w:r>
    </w:p>
    <w:p w14:paraId="50CB0E7A" w14:textId="77777777" w:rsidR="009A242A" w:rsidRPr="007E77AF" w:rsidRDefault="009A242A" w:rsidP="00986942">
      <w:pPr>
        <w:spacing w:before="120" w:after="120" w:line="312" w:lineRule="auto"/>
        <w:jc w:val="both"/>
      </w:pPr>
      <w:r w:rsidRPr="007E77AF">
        <w:t>5. Se desejado, solicitação de tratamento confidencial para o pedido</w:t>
      </w:r>
      <w:r w:rsidRPr="007E77AF" w:rsidDel="00F36E3B">
        <w:t xml:space="preserve"> </w:t>
      </w:r>
      <w:r w:rsidRPr="007E77AF">
        <w:t>que pode ser concedido pela CVM, desde que fundamentado.</w:t>
      </w:r>
    </w:p>
    <w:p w14:paraId="18F7475F" w14:textId="77777777" w:rsidR="009A242A" w:rsidRPr="007E77AF" w:rsidRDefault="009A242A" w:rsidP="004301C4"/>
    <w:p w14:paraId="6179D450" w14:textId="77777777" w:rsidR="009A242A" w:rsidRPr="007E77AF" w:rsidRDefault="009A242A" w:rsidP="004301C4">
      <w:r w:rsidRPr="007E77AF">
        <w:br w:type="page"/>
      </w:r>
    </w:p>
    <w:p w14:paraId="19D2E1DF" w14:textId="0B9A90A2" w:rsidR="009A242A" w:rsidRPr="007E77AF" w:rsidRDefault="009A242A" w:rsidP="00365082">
      <w:pPr>
        <w:pStyle w:val="Ttulo1"/>
        <w:rPr>
          <w:bCs/>
        </w:rPr>
      </w:pPr>
      <w:bookmarkStart w:id="417" w:name="_Toc467256319"/>
      <w:bookmarkStart w:id="418" w:name="_Toc476216364"/>
      <w:bookmarkStart w:id="419" w:name="_Toc108516087"/>
      <w:bookmarkStart w:id="420" w:name="_Toc108203118"/>
      <w:bookmarkStart w:id="421" w:name="_Toc136502858"/>
      <w:r w:rsidRPr="007E77AF">
        <w:lastRenderedPageBreak/>
        <w:t xml:space="preserve">ANEXO </w:t>
      </w:r>
      <w:bookmarkEnd w:id="417"/>
      <w:r>
        <w:t>M</w:t>
      </w:r>
      <w:r w:rsidRPr="007E77AF">
        <w:t xml:space="preserve"> – ANÚNCIO DE ENCERRAMENTO</w:t>
      </w:r>
      <w:bookmarkEnd w:id="418"/>
      <w:bookmarkEnd w:id="419"/>
      <w:bookmarkEnd w:id="420"/>
      <w:bookmarkEnd w:id="421"/>
      <w:r w:rsidRPr="007E77AF">
        <w:rPr>
          <w:bCs/>
        </w:rPr>
        <w:t xml:space="preserve"> </w:t>
      </w:r>
    </w:p>
    <w:p w14:paraId="4A2FF590" w14:textId="77777777" w:rsidR="009A242A" w:rsidRPr="007E77AF" w:rsidRDefault="009A242A" w:rsidP="001353DC"/>
    <w:p w14:paraId="2CEC6F14" w14:textId="69DDC541" w:rsidR="009A242A" w:rsidRPr="007E77AF" w:rsidRDefault="009A242A" w:rsidP="3CB06944">
      <w:pPr>
        <w:jc w:val="center"/>
        <w:rPr>
          <w:i/>
          <w:iCs/>
        </w:rPr>
      </w:pPr>
      <w:bookmarkStart w:id="422" w:name="_Toc467256320"/>
      <w:r w:rsidRPr="007E77AF">
        <w:rPr>
          <w:i/>
          <w:iCs/>
        </w:rPr>
        <w:t xml:space="preserve">Conteúdo do anúncio de encerramento da distribuição, conforme previsto no art. </w:t>
      </w:r>
      <w:bookmarkEnd w:id="422"/>
      <w:r>
        <w:rPr>
          <w:i/>
          <w:iCs/>
        </w:rPr>
        <w:t xml:space="preserve">76, </w:t>
      </w:r>
      <w:r>
        <w:rPr>
          <w:i/>
        </w:rPr>
        <w:t>da Resolução CVM nº 160, de 2022.</w:t>
      </w:r>
    </w:p>
    <w:p w14:paraId="056E1CF9" w14:textId="77777777" w:rsidR="009A242A" w:rsidRPr="007E77AF" w:rsidRDefault="009A242A" w:rsidP="00272C01">
      <w:pPr>
        <w:jc w:val="both"/>
        <w:rPr>
          <w:rFonts w:ascii="Times New Roman" w:hAnsi="Times New Roman"/>
        </w:rPr>
      </w:pPr>
    </w:p>
    <w:p w14:paraId="6C5A339A" w14:textId="77777777" w:rsidR="009A242A" w:rsidRPr="007E77AF" w:rsidRDefault="009A242A" w:rsidP="00986942">
      <w:pPr>
        <w:spacing w:before="120" w:after="120" w:line="312" w:lineRule="auto"/>
        <w:jc w:val="both"/>
      </w:pPr>
      <w:r w:rsidRPr="007E77AF">
        <w:t>1. Nome e endereço do emissor e ofertante;</w:t>
      </w:r>
    </w:p>
    <w:p w14:paraId="5B7A8F28" w14:textId="77777777" w:rsidR="009A242A" w:rsidRPr="007E77AF" w:rsidRDefault="009A242A" w:rsidP="00986942">
      <w:pPr>
        <w:spacing w:before="120" w:after="120" w:line="312" w:lineRule="auto"/>
        <w:jc w:val="both"/>
      </w:pPr>
      <w:r w:rsidRPr="007E77AF">
        <w:t>2. Quantidade, espécie, classe, forma e preço dos valores mobiliários distribuídos;</w:t>
      </w:r>
    </w:p>
    <w:p w14:paraId="07D2E73F" w14:textId="71662029" w:rsidR="009A242A" w:rsidRPr="007E77AF" w:rsidRDefault="009A242A" w:rsidP="00986942">
      <w:pPr>
        <w:spacing w:before="120" w:after="120" w:line="312" w:lineRule="auto"/>
        <w:jc w:val="both"/>
      </w:pPr>
      <w:r w:rsidRPr="007E77AF">
        <w:t>3. Nome d</w:t>
      </w:r>
      <w:r>
        <w:t>o</w:t>
      </w:r>
      <w:r w:rsidRPr="007E77AF">
        <w:t xml:space="preserve"> </w:t>
      </w:r>
      <w:r>
        <w:t>coordenador líder</w:t>
      </w:r>
      <w:r w:rsidRPr="007E77AF">
        <w:t xml:space="preserve"> e</w:t>
      </w:r>
      <w:r w:rsidR="00A53C49">
        <w:t>, se houver, dos demais coordenadores e</w:t>
      </w:r>
      <w:r w:rsidRPr="007E77AF">
        <w:t xml:space="preserve"> instituições intermediárias envolvidas na distribuição;</w:t>
      </w:r>
    </w:p>
    <w:p w14:paraId="40FE1D13" w14:textId="77777777" w:rsidR="009A242A" w:rsidRPr="007E77AF" w:rsidRDefault="009A242A" w:rsidP="00986942">
      <w:pPr>
        <w:spacing w:before="120" w:after="120" w:line="312" w:lineRule="auto"/>
        <w:jc w:val="both"/>
      </w:pPr>
      <w:r w:rsidRPr="007E77AF">
        <w:t>4. Nome do agente emissor de certificados, ou da instituição que houver sido contratada para o serviço de valores mobiliários escriturais, se for o caso;</w:t>
      </w:r>
    </w:p>
    <w:p w14:paraId="6FAE3CCA" w14:textId="1516D46E" w:rsidR="009A242A" w:rsidRPr="007E77AF" w:rsidRDefault="009A242A" w:rsidP="00986942">
      <w:pPr>
        <w:spacing w:before="120" w:after="120" w:line="312" w:lineRule="auto"/>
        <w:jc w:val="both"/>
      </w:pPr>
      <w:r>
        <w:t>5</w:t>
      </w:r>
      <w:r w:rsidRPr="007E77AF">
        <w:t>. Número e data do registro na CVM, de forma destacada;</w:t>
      </w:r>
    </w:p>
    <w:p w14:paraId="0A5EF7E3" w14:textId="27E04C9D" w:rsidR="009A242A" w:rsidRPr="007E77AF" w:rsidRDefault="009A242A" w:rsidP="00986942">
      <w:pPr>
        <w:spacing w:before="120" w:after="120" w:line="312" w:lineRule="auto"/>
        <w:jc w:val="both"/>
      </w:pPr>
      <w:r>
        <w:t>6</w:t>
      </w:r>
      <w:r w:rsidRPr="007E77AF">
        <w:t>. Os dizeres, de forma destacada: “Este anúncio é de caráter exclusivamente informativo, não se tratando de oferta de venda de valores mobiliários”; e</w:t>
      </w:r>
    </w:p>
    <w:p w14:paraId="78588585" w14:textId="77D19B12" w:rsidR="009A242A" w:rsidRPr="007E77AF" w:rsidRDefault="009A242A" w:rsidP="00986942">
      <w:pPr>
        <w:spacing w:before="120" w:after="120" w:line="312" w:lineRule="auto"/>
        <w:jc w:val="both"/>
      </w:pPr>
      <w:r>
        <w:t>7</w:t>
      </w:r>
      <w:r w:rsidRPr="007E77AF">
        <w:t xml:space="preserve">. Dados finais de distribuição, constantes do último resumo mensal de distribuição (Anexo </w:t>
      </w:r>
      <w:r>
        <w:t>N</w:t>
      </w:r>
      <w:r w:rsidRPr="007E77AF">
        <w:t>).</w:t>
      </w:r>
    </w:p>
    <w:p w14:paraId="77073926" w14:textId="77777777" w:rsidR="009A242A" w:rsidRPr="007E77AF" w:rsidRDefault="009A242A" w:rsidP="0028357A">
      <w:pPr>
        <w:spacing w:before="120" w:after="120" w:line="312" w:lineRule="auto"/>
      </w:pPr>
    </w:p>
    <w:p w14:paraId="6B284E21" w14:textId="77777777" w:rsidR="009A242A" w:rsidRPr="007E77AF" w:rsidRDefault="009A242A" w:rsidP="004301C4">
      <w:pPr>
        <w:pStyle w:val="Ttulo1"/>
      </w:pPr>
      <w:r w:rsidRPr="007E77AF">
        <w:br w:type="page"/>
      </w:r>
    </w:p>
    <w:p w14:paraId="044A346A" w14:textId="3F3700EB" w:rsidR="009A242A" w:rsidRPr="007E77AF" w:rsidRDefault="009A242A" w:rsidP="004301C4">
      <w:pPr>
        <w:pStyle w:val="Ttulo1"/>
      </w:pPr>
      <w:bookmarkStart w:id="423" w:name="_Toc476216365"/>
      <w:bookmarkStart w:id="424" w:name="_Toc108516088"/>
      <w:bookmarkStart w:id="425" w:name="_Toc108203119"/>
      <w:bookmarkStart w:id="426" w:name="_Toc467256321"/>
      <w:bookmarkStart w:id="427" w:name="_Toc136502859"/>
      <w:r w:rsidRPr="007E77AF">
        <w:lastRenderedPageBreak/>
        <w:t xml:space="preserve">ANEXO </w:t>
      </w:r>
      <w:r>
        <w:t>N</w:t>
      </w:r>
      <w:r w:rsidRPr="007E77AF">
        <w:t xml:space="preserve"> – RESUMO MENSAL DE DISTRIBUIÇÃO</w:t>
      </w:r>
      <w:bookmarkEnd w:id="423"/>
      <w:bookmarkEnd w:id="424"/>
      <w:bookmarkEnd w:id="425"/>
      <w:bookmarkEnd w:id="427"/>
      <w:r w:rsidRPr="007E77AF">
        <w:rPr>
          <w:bCs/>
        </w:rPr>
        <w:t xml:space="preserve">  </w:t>
      </w:r>
      <w:bookmarkEnd w:id="426"/>
      <w:r w:rsidRPr="007E77AF">
        <w:rPr>
          <w:bCs/>
        </w:rPr>
        <w:t xml:space="preserve"> </w:t>
      </w:r>
    </w:p>
    <w:p w14:paraId="2DC973B1" w14:textId="77777777" w:rsidR="009A242A" w:rsidRPr="007E77AF" w:rsidRDefault="009A242A" w:rsidP="001353DC"/>
    <w:p w14:paraId="24681516" w14:textId="1E5C070C" w:rsidR="009A242A" w:rsidRPr="007E77AF" w:rsidRDefault="009A242A" w:rsidP="00365082">
      <w:pPr>
        <w:jc w:val="center"/>
        <w:rPr>
          <w:i/>
          <w:iCs/>
        </w:rPr>
      </w:pPr>
      <w:bookmarkStart w:id="428" w:name="_Toc467256322"/>
      <w:r w:rsidRPr="007E77AF">
        <w:rPr>
          <w:i/>
          <w:iCs/>
        </w:rPr>
        <w:t xml:space="preserve">Conteúdo do resumo mensal de distribuição de valores mobiliários, conforme previsto no art. </w:t>
      </w:r>
      <w:r>
        <w:rPr>
          <w:i/>
          <w:iCs/>
        </w:rPr>
        <w:t>83</w:t>
      </w:r>
      <w:r w:rsidRPr="007E77AF">
        <w:rPr>
          <w:i/>
          <w:iCs/>
        </w:rPr>
        <w:t>, inciso VI</w:t>
      </w:r>
      <w:bookmarkEnd w:id="428"/>
      <w:r>
        <w:rPr>
          <w:i/>
          <w:iCs/>
        </w:rPr>
        <w:t xml:space="preserve">, </w:t>
      </w:r>
      <w:r>
        <w:rPr>
          <w:i/>
        </w:rPr>
        <w:t>da Resolução CVM nº 160, de 2022.</w:t>
      </w:r>
    </w:p>
    <w:p w14:paraId="47FDA0EB" w14:textId="77777777" w:rsidR="009A242A" w:rsidRPr="007E77AF" w:rsidRDefault="009A242A" w:rsidP="00986942">
      <w:pPr>
        <w:spacing w:before="120" w:after="120" w:line="312" w:lineRule="auto"/>
        <w:jc w:val="both"/>
      </w:pPr>
      <w:r w:rsidRPr="007E77AF">
        <w:t>Orientação: Devem ser informadas as subscrições e integralizações realizadas no mês, ou, se for o caso, as vendas, o saldo distribuído no mês anterior, o total distribuído e o saldo a distribuir, discriminando:</w:t>
      </w:r>
    </w:p>
    <w:p w14:paraId="68132C7D" w14:textId="77777777" w:rsidR="009A242A" w:rsidRPr="007E77AF" w:rsidRDefault="009A242A" w:rsidP="00986942">
      <w:pPr>
        <w:spacing w:before="120" w:after="120" w:line="312" w:lineRule="auto"/>
        <w:jc w:val="both"/>
      </w:pPr>
      <w:r w:rsidRPr="007E77AF">
        <w:t>1. Os valores mobiliários, por espécie e classe, se for o caso;</w:t>
      </w:r>
    </w:p>
    <w:p w14:paraId="429E9E70" w14:textId="77777777" w:rsidR="009A242A" w:rsidRPr="007E77AF" w:rsidRDefault="009A242A" w:rsidP="00986942">
      <w:pPr>
        <w:spacing w:before="120" w:after="120" w:line="312" w:lineRule="auto"/>
        <w:jc w:val="both"/>
      </w:pPr>
      <w:r w:rsidRPr="007E77AF">
        <w:t>2. O tipo de investidor, na forma seguinte:</w:t>
      </w:r>
    </w:p>
    <w:p w14:paraId="5A30FF29" w14:textId="77777777" w:rsidR="009A242A" w:rsidRPr="007E77AF" w:rsidRDefault="009A242A" w:rsidP="00986942">
      <w:pPr>
        <w:spacing w:before="120" w:after="120" w:line="312" w:lineRule="auto"/>
        <w:ind w:left="567"/>
        <w:jc w:val="both"/>
      </w:pPr>
      <w:r w:rsidRPr="007E77AF">
        <w:t>2.1 Pessoas naturais;</w:t>
      </w:r>
    </w:p>
    <w:p w14:paraId="24B9A4E2" w14:textId="77777777" w:rsidR="009A242A" w:rsidRPr="007E77AF" w:rsidRDefault="009A242A" w:rsidP="00986942">
      <w:pPr>
        <w:spacing w:before="120" w:after="120" w:line="312" w:lineRule="auto"/>
        <w:ind w:left="567"/>
        <w:jc w:val="both"/>
      </w:pPr>
      <w:r w:rsidRPr="007E77AF">
        <w:t>2.2 Clubes de investimento;</w:t>
      </w:r>
    </w:p>
    <w:p w14:paraId="00F7358B" w14:textId="77777777" w:rsidR="009A242A" w:rsidRPr="007E77AF" w:rsidRDefault="009A242A" w:rsidP="00986942">
      <w:pPr>
        <w:spacing w:before="120" w:after="120" w:line="312" w:lineRule="auto"/>
        <w:ind w:left="567"/>
        <w:jc w:val="both"/>
      </w:pPr>
      <w:r w:rsidRPr="007E77AF">
        <w:t>2.3 Fundos de investimento;</w:t>
      </w:r>
    </w:p>
    <w:p w14:paraId="26CDB4E5" w14:textId="77777777" w:rsidR="009A242A" w:rsidRPr="007E77AF" w:rsidRDefault="009A242A" w:rsidP="00986942">
      <w:pPr>
        <w:spacing w:before="120" w:after="120" w:line="312" w:lineRule="auto"/>
        <w:ind w:left="567"/>
        <w:jc w:val="both"/>
      </w:pPr>
      <w:r w:rsidRPr="007E77AF">
        <w:t>2.4 Entidades de previdência privada;</w:t>
      </w:r>
    </w:p>
    <w:p w14:paraId="3CA16CCA" w14:textId="77777777" w:rsidR="009A242A" w:rsidRPr="007E77AF" w:rsidRDefault="009A242A" w:rsidP="00986942">
      <w:pPr>
        <w:spacing w:before="120" w:after="120" w:line="312" w:lineRule="auto"/>
        <w:ind w:left="567"/>
        <w:jc w:val="both"/>
      </w:pPr>
      <w:r w:rsidRPr="007E77AF">
        <w:t>2.5 Companhias seguradoras;</w:t>
      </w:r>
    </w:p>
    <w:p w14:paraId="17D75E2F" w14:textId="77777777" w:rsidR="009A242A" w:rsidRPr="007E77AF" w:rsidRDefault="009A242A" w:rsidP="00986942">
      <w:pPr>
        <w:spacing w:before="120" w:after="120" w:line="312" w:lineRule="auto"/>
        <w:ind w:left="567"/>
        <w:jc w:val="both"/>
      </w:pPr>
      <w:r w:rsidRPr="007E77AF">
        <w:t>2.6 Investidores estrangeiros;</w:t>
      </w:r>
    </w:p>
    <w:p w14:paraId="3C44F64F" w14:textId="77777777" w:rsidR="009A242A" w:rsidRPr="007E77AF" w:rsidRDefault="009A242A" w:rsidP="00986942">
      <w:pPr>
        <w:spacing w:before="120" w:after="120" w:line="312" w:lineRule="auto"/>
        <w:ind w:left="567"/>
        <w:jc w:val="both"/>
      </w:pPr>
      <w:r w:rsidRPr="007E77AF">
        <w:t>2.7 Instituições Intermediárias participantes do consórcio de distribuição;</w:t>
      </w:r>
    </w:p>
    <w:p w14:paraId="3CAA083F" w14:textId="77777777" w:rsidR="009A242A" w:rsidRPr="007E77AF" w:rsidRDefault="009A242A" w:rsidP="00986942">
      <w:pPr>
        <w:spacing w:before="120" w:after="120" w:line="312" w:lineRule="auto"/>
        <w:ind w:left="567"/>
        <w:jc w:val="both"/>
      </w:pPr>
      <w:r w:rsidRPr="007E77AF">
        <w:t>2.8 Instituições financeiras ligadas ao emissor e aos participantes do consórcio;</w:t>
      </w:r>
    </w:p>
    <w:p w14:paraId="620B20AB" w14:textId="77777777" w:rsidR="009A242A" w:rsidRPr="007E77AF" w:rsidRDefault="009A242A" w:rsidP="00986942">
      <w:pPr>
        <w:spacing w:before="120" w:after="120" w:line="312" w:lineRule="auto"/>
        <w:ind w:left="567"/>
        <w:jc w:val="both"/>
      </w:pPr>
      <w:r w:rsidRPr="007E77AF">
        <w:t>2.9 Demais instituições financeiras;</w:t>
      </w:r>
    </w:p>
    <w:p w14:paraId="5FF11A68" w14:textId="77777777" w:rsidR="009A242A" w:rsidRPr="007E77AF" w:rsidRDefault="009A242A" w:rsidP="00986942">
      <w:pPr>
        <w:spacing w:before="120" w:after="120" w:line="312" w:lineRule="auto"/>
        <w:ind w:left="567"/>
        <w:jc w:val="both"/>
      </w:pPr>
      <w:r w:rsidRPr="007E77AF">
        <w:t>2.10 Demais pessoas jurídicas ligadas ao emissor e aos participantes do consórcio;</w:t>
      </w:r>
    </w:p>
    <w:p w14:paraId="3F8F0343" w14:textId="77777777" w:rsidR="009A242A" w:rsidRPr="007E77AF" w:rsidRDefault="009A242A" w:rsidP="00986942">
      <w:pPr>
        <w:spacing w:before="120" w:after="120" w:line="312" w:lineRule="auto"/>
        <w:ind w:left="567"/>
        <w:jc w:val="both"/>
      </w:pPr>
      <w:r w:rsidRPr="007E77AF">
        <w:t>2.11 Demais pessoas jurídicas; e</w:t>
      </w:r>
    </w:p>
    <w:p w14:paraId="6C7D085D" w14:textId="09733D23" w:rsidR="009A242A" w:rsidRPr="007E77AF" w:rsidRDefault="009A242A" w:rsidP="00986942">
      <w:pPr>
        <w:spacing w:before="120" w:after="120" w:line="312" w:lineRule="auto"/>
        <w:ind w:left="567"/>
        <w:jc w:val="both"/>
      </w:pPr>
      <w:r w:rsidRPr="007E77AF">
        <w:t>2.12 Sócios, administradores, empregados, prepostos e demais pessoas ligadas ao emissor e aos participantes do consórcio.</w:t>
      </w:r>
    </w:p>
    <w:p w14:paraId="13B6CEA0" w14:textId="77777777" w:rsidR="009A242A" w:rsidRPr="007E77AF" w:rsidRDefault="009A242A" w:rsidP="00272C01">
      <w:pPr>
        <w:spacing w:before="120" w:after="120" w:line="312" w:lineRule="auto"/>
        <w:jc w:val="both"/>
      </w:pPr>
      <w:r w:rsidRPr="007E77AF">
        <w:t>3. O número de subscritores ou adquirentes e a quantidade de valores mobiliários subscritos e integralizados ou adquiridos.</w:t>
      </w:r>
    </w:p>
    <w:p w14:paraId="0A52CFCC" w14:textId="4AA40207" w:rsidR="009A242A" w:rsidRDefault="009A242A" w:rsidP="00E4109B">
      <w:pPr>
        <w:jc w:val="center"/>
        <w:rPr>
          <w:b/>
          <w:bCs/>
        </w:rPr>
      </w:pPr>
    </w:p>
    <w:p w14:paraId="10EEA6E7" w14:textId="77777777" w:rsidR="009A242A" w:rsidRPr="00C67B81" w:rsidRDefault="009A242A" w:rsidP="00C67B81">
      <w:pPr>
        <w:jc w:val="center"/>
        <w:rPr>
          <w:b/>
        </w:rPr>
      </w:pPr>
    </w:p>
    <w:sectPr w:rsidR="009A242A" w:rsidRPr="00C67B81" w:rsidSect="00E93767">
      <w:headerReference w:type="even" r:id="rId12"/>
      <w:headerReference w:type="default" r:id="rId13"/>
      <w:headerReference w:type="first" r:id="rId14"/>
      <w:pgSz w:w="11907" w:h="16840" w:code="9"/>
      <w:pgMar w:top="2268" w:right="567" w:bottom="851" w:left="1134" w:header="567"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3087" w14:textId="77777777" w:rsidR="00FC19CA" w:rsidRDefault="00FC19CA">
      <w:r>
        <w:separator/>
      </w:r>
    </w:p>
  </w:endnote>
  <w:endnote w:type="continuationSeparator" w:id="0">
    <w:p w14:paraId="41EFCD28" w14:textId="77777777" w:rsidR="00FC19CA" w:rsidRDefault="00FC19CA">
      <w:r>
        <w:continuationSeparator/>
      </w:r>
    </w:p>
  </w:endnote>
  <w:endnote w:type="continuationNotice" w:id="1">
    <w:p w14:paraId="01BB2322" w14:textId="77777777" w:rsidR="00FC19CA" w:rsidRDefault="00FC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EEF8" w14:textId="77777777" w:rsidR="00FC19CA" w:rsidRDefault="00FC19CA">
      <w:r>
        <w:separator/>
      </w:r>
    </w:p>
  </w:footnote>
  <w:footnote w:type="continuationSeparator" w:id="0">
    <w:p w14:paraId="29F0EDAC" w14:textId="77777777" w:rsidR="00FC19CA" w:rsidRDefault="00FC19CA">
      <w:r>
        <w:continuationSeparator/>
      </w:r>
    </w:p>
  </w:footnote>
  <w:footnote w:type="continuationNotice" w:id="1">
    <w:p w14:paraId="506120BA" w14:textId="77777777" w:rsidR="00FC19CA" w:rsidRDefault="00FC19CA"/>
  </w:footnote>
  <w:footnote w:id="2">
    <w:p w14:paraId="55DBFD60" w14:textId="7E7286FC" w:rsidR="00374678" w:rsidRPr="00621FA1" w:rsidRDefault="00374678">
      <w:pPr>
        <w:pStyle w:val="Textodenotaderodap"/>
        <w:rPr>
          <w:strike/>
        </w:rPr>
      </w:pPr>
      <w:r w:rsidRPr="00621FA1">
        <w:rPr>
          <w:rStyle w:val="Refdenotaderodap"/>
          <w:strike/>
        </w:rPr>
        <w:footnoteRef/>
      </w:r>
      <w:r w:rsidRPr="00621FA1">
        <w:rPr>
          <w:strike/>
        </w:rPr>
        <w:t xml:space="preserve"> IPO de ações com análise via convênio, subsequente de ações, subsequente de ações de EGEM</w:t>
      </w:r>
    </w:p>
  </w:footnote>
  <w:footnote w:id="3">
    <w:p w14:paraId="312679AE" w14:textId="16921FD3" w:rsidR="00374678" w:rsidRPr="00621FA1" w:rsidRDefault="00374678">
      <w:pPr>
        <w:pStyle w:val="Textodenotaderodap"/>
        <w:rPr>
          <w:strike/>
        </w:rPr>
      </w:pPr>
      <w:r w:rsidRPr="00621FA1">
        <w:rPr>
          <w:rStyle w:val="Refdenotaderodap"/>
          <w:strike/>
        </w:rPr>
        <w:footnoteRef/>
      </w:r>
      <w:r w:rsidRPr="00621FA1">
        <w:rPr>
          <w:strike/>
        </w:rPr>
        <w:t xml:space="preserve"> debêntures simples de emissor frequente de dívida destinada a investidores qualificados</w:t>
      </w:r>
    </w:p>
  </w:footnote>
  <w:footnote w:id="4">
    <w:p w14:paraId="40070ACA" w14:textId="47EF4ADB" w:rsidR="00374678" w:rsidRPr="00621FA1" w:rsidRDefault="00374678">
      <w:pPr>
        <w:pStyle w:val="Textodenotaderodap"/>
        <w:rPr>
          <w:strike/>
        </w:rPr>
      </w:pPr>
      <w:r w:rsidRPr="00621FA1">
        <w:rPr>
          <w:rStyle w:val="Refdenotaderodap"/>
          <w:strike/>
        </w:rPr>
        <w:footnoteRef/>
      </w:r>
      <w:r w:rsidRPr="00621FA1">
        <w:rPr>
          <w:strike/>
        </w:rPr>
        <w:t xml:space="preserve"> debêntures simples de emissor registrado para o público em geral nas hipóteses de registro automático</w:t>
      </w:r>
    </w:p>
  </w:footnote>
  <w:footnote w:id="5">
    <w:p w14:paraId="091FB6D3" w14:textId="6D18B615" w:rsidR="00374678" w:rsidRPr="00621FA1" w:rsidRDefault="00374678">
      <w:pPr>
        <w:pStyle w:val="Textodenotaderodap"/>
        <w:rPr>
          <w:strike/>
        </w:rPr>
      </w:pPr>
      <w:r w:rsidRPr="00621FA1">
        <w:rPr>
          <w:rStyle w:val="Refdenotaderodap"/>
          <w:strike/>
        </w:rPr>
        <w:footnoteRef/>
      </w:r>
      <w:r w:rsidRPr="00621FA1">
        <w:rPr>
          <w:strike/>
        </w:rPr>
        <w:t xml:space="preserve"> subsequente de cotas fundos fechados destinada ao público investidor em geral sem mudança na política de investimento ou ampliação de público-alvo</w:t>
      </w:r>
    </w:p>
  </w:footnote>
  <w:footnote w:id="6">
    <w:p w14:paraId="61CA31DE" w14:textId="1D922F57" w:rsidR="00374678" w:rsidRPr="00621FA1" w:rsidRDefault="00374678">
      <w:pPr>
        <w:pStyle w:val="Textodenotaderodap"/>
        <w:rPr>
          <w:strike/>
        </w:rPr>
      </w:pPr>
      <w:r w:rsidRPr="00621FA1">
        <w:rPr>
          <w:rStyle w:val="Refdenotaderodap"/>
          <w:strike/>
        </w:rPr>
        <w:footnoteRef/>
      </w:r>
      <w:r w:rsidRPr="00621FA1">
        <w:rPr>
          <w:strike/>
        </w:rPr>
        <w:t xml:space="preserve"> títulos de securitização com análise via convênio</w:t>
      </w:r>
    </w:p>
  </w:footnote>
  <w:footnote w:id="7">
    <w:p w14:paraId="3CF19B24" w14:textId="3EDAAC93" w:rsidR="00374678" w:rsidRPr="00621FA1" w:rsidRDefault="00374678">
      <w:pPr>
        <w:pStyle w:val="Textodenotaderodap"/>
        <w:rPr>
          <w:strike/>
        </w:rPr>
      </w:pPr>
      <w:r w:rsidRPr="00621FA1">
        <w:rPr>
          <w:rStyle w:val="Refdenotaderodap"/>
          <w:strike/>
        </w:rPr>
        <w:footnoteRef/>
      </w:r>
      <w:r w:rsidRPr="00621FA1">
        <w:rPr>
          <w:strike/>
        </w:rPr>
        <w:t xml:space="preserve"> subsequente de BDR Patrocinado Nível III</w:t>
      </w:r>
    </w:p>
  </w:footnote>
  <w:footnote w:id="8">
    <w:p w14:paraId="4B3C2DC5" w14:textId="753B9122" w:rsidR="00374678" w:rsidRDefault="00374678">
      <w:pPr>
        <w:pStyle w:val="Textodenotaderodap"/>
      </w:pPr>
      <w:r w:rsidRPr="00621FA1">
        <w:rPr>
          <w:rStyle w:val="Refdenotaderodap"/>
          <w:strike/>
        </w:rPr>
        <w:footnoteRef/>
      </w:r>
      <w:r w:rsidRPr="00621FA1">
        <w:rPr>
          <w:strike/>
        </w:rPr>
        <w:t xml:space="preserve"> sobras de aumento de capital privado</w:t>
      </w:r>
    </w:p>
  </w:footnote>
  <w:footnote w:id="9">
    <w:p w14:paraId="2D25971F"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IPO de ações com análise via convênio, subsequente de ações, subsequente de ações de EGEM</w:t>
      </w:r>
    </w:p>
  </w:footnote>
  <w:footnote w:id="10">
    <w:p w14:paraId="16235994"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debêntures simples de emissor frequente de dívida destinada a investidores qualificados  </w:t>
      </w:r>
    </w:p>
  </w:footnote>
  <w:footnote w:id="11">
    <w:p w14:paraId="65304A05"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debêntures simples de emissor registrado para o público em geral nas hipóteses de registro automático</w:t>
      </w:r>
    </w:p>
  </w:footnote>
  <w:footnote w:id="12">
    <w:p w14:paraId="0894980F"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inicial de fundo fechado destinada ao público investidor em geral com análise via convênio</w:t>
      </w:r>
    </w:p>
  </w:footnote>
  <w:footnote w:id="13">
    <w:p w14:paraId="479A1CB0"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subsequente de cotas fundos fechados destinada ao público investidor em geral sem mudança na política de investimento ou ampliação de público-alvo</w:t>
      </w:r>
    </w:p>
  </w:footnote>
  <w:footnote w:id="14">
    <w:p w14:paraId="7E4B7057"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subsequente de fundo fechado destinada ao público investidor em geral com análise via convênio</w:t>
      </w:r>
    </w:p>
  </w:footnote>
  <w:footnote w:id="15">
    <w:p w14:paraId="2F21A2BB"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títulos de securitização com análise via convênio  </w:t>
      </w:r>
    </w:p>
  </w:footnote>
  <w:footnote w:id="16">
    <w:p w14:paraId="386CB3C7" w14:textId="77777777" w:rsidR="00374678" w:rsidRPr="00F241DD" w:rsidRDefault="00374678" w:rsidP="00510801">
      <w:pPr>
        <w:pStyle w:val="Textodenotaderodap"/>
        <w:rPr>
          <w:strike/>
        </w:rPr>
      </w:pPr>
      <w:r w:rsidRPr="00F241DD">
        <w:rPr>
          <w:rStyle w:val="Refdenotaderodap"/>
          <w:strike/>
        </w:rPr>
        <w:footnoteRef/>
      </w:r>
      <w:r w:rsidRPr="00F241DD">
        <w:rPr>
          <w:strike/>
        </w:rPr>
        <w:t xml:space="preserve"> subsequente de BDR Patrocinado Nível III</w:t>
      </w:r>
    </w:p>
  </w:footnote>
  <w:footnote w:id="17">
    <w:p w14:paraId="3D39BCF3" w14:textId="77777777" w:rsidR="00374678" w:rsidRDefault="00374678" w:rsidP="00510801">
      <w:pPr>
        <w:pStyle w:val="Textodenotaderodap"/>
      </w:pPr>
      <w:r w:rsidRPr="00F241DD">
        <w:rPr>
          <w:rStyle w:val="Refdenotaderodap"/>
          <w:strike/>
        </w:rPr>
        <w:footnoteRef/>
      </w:r>
      <w:r w:rsidRPr="00F241DD">
        <w:rPr>
          <w:strike/>
        </w:rPr>
        <w:t xml:space="preserve"> sobras de aumento de capital privado</w:t>
      </w:r>
      <w:r>
        <w:t xml:space="preserve">  </w:t>
      </w:r>
    </w:p>
  </w:footnote>
  <w:footnote w:id="18">
    <w:p w14:paraId="541850D1" w14:textId="77777777" w:rsidR="007C5418" w:rsidRDefault="007C5418" w:rsidP="007C5418">
      <w:pPr>
        <w:pStyle w:val="Textodenotaderodap"/>
      </w:pPr>
      <w:r>
        <w:rPr>
          <w:rStyle w:val="Refdenotaderodap"/>
        </w:rPr>
        <w:footnoteRef/>
      </w:r>
      <w:r>
        <w:t xml:space="preserve"> </w:t>
      </w:r>
      <w:r w:rsidRPr="2760BB8A">
        <w:t>IPO de ações com análise via convênio, subsequente de ações</w:t>
      </w:r>
      <w:r>
        <w:t>, subsequente de ações de EGEM, subsequente de BDR Patrocinado Níveis I e II com lastro em ações</w:t>
      </w:r>
    </w:p>
  </w:footnote>
  <w:footnote w:id="19">
    <w:p w14:paraId="43E146B4" w14:textId="77777777" w:rsidR="007C5418" w:rsidRDefault="007C5418" w:rsidP="007C5418">
      <w:pPr>
        <w:pStyle w:val="Textodenotaderodap"/>
      </w:pPr>
      <w:r>
        <w:rPr>
          <w:rStyle w:val="Refdenotaderodap"/>
        </w:rPr>
        <w:footnoteRef/>
      </w:r>
      <w:r>
        <w:t xml:space="preserve"> debêntures simples de emissor frequente de dívida destinada a investidores qualificados</w:t>
      </w:r>
    </w:p>
  </w:footnote>
  <w:footnote w:id="20">
    <w:p w14:paraId="34624CFF" w14:textId="77777777" w:rsidR="007C5418" w:rsidRDefault="007C5418" w:rsidP="007C5418">
      <w:pPr>
        <w:pStyle w:val="Textodenotaderodap"/>
      </w:pPr>
      <w:r>
        <w:rPr>
          <w:rStyle w:val="Refdenotaderodap"/>
        </w:rPr>
        <w:footnoteRef/>
      </w:r>
      <w:r>
        <w:t xml:space="preserve"> debêntures simples de emissor registrado para o público em geral nas hipóteses de registro automático</w:t>
      </w:r>
    </w:p>
  </w:footnote>
  <w:footnote w:id="21">
    <w:p w14:paraId="3A3091CD" w14:textId="77777777" w:rsidR="007C5418" w:rsidRDefault="007C5418" w:rsidP="007C5418">
      <w:pPr>
        <w:pStyle w:val="Textodenotaderodap"/>
      </w:pPr>
      <w:r>
        <w:rPr>
          <w:rStyle w:val="Refdenotaderodap"/>
        </w:rPr>
        <w:footnoteRef/>
      </w:r>
      <w:r>
        <w:t xml:space="preserve"> BDR Patrocinado com lastro em dívida</w:t>
      </w:r>
    </w:p>
  </w:footnote>
  <w:footnote w:id="22">
    <w:p w14:paraId="74564407" w14:textId="77777777" w:rsidR="007C5418" w:rsidRDefault="007C5418" w:rsidP="007C5418">
      <w:pPr>
        <w:pStyle w:val="Textodenotaderodap"/>
      </w:pPr>
      <w:r>
        <w:rPr>
          <w:rStyle w:val="Refdenotaderodap"/>
        </w:rPr>
        <w:footnoteRef/>
      </w:r>
      <w:r>
        <w:t xml:space="preserve"> subsequente de cotas fundos fechados destinada ao público investidor em geral sem mudança na política de investimento ou ampliação de público-alvo</w:t>
      </w:r>
    </w:p>
  </w:footnote>
  <w:footnote w:id="23">
    <w:p w14:paraId="2C7CC997" w14:textId="77777777" w:rsidR="007C5418" w:rsidRDefault="007C5418" w:rsidP="007C5418">
      <w:pPr>
        <w:pStyle w:val="Textodenotaderodap"/>
      </w:pPr>
      <w:r>
        <w:rPr>
          <w:rStyle w:val="Refdenotaderodap"/>
        </w:rPr>
        <w:footnoteRef/>
      </w:r>
      <w:r>
        <w:t xml:space="preserve"> títulos de securitização com análise via convênio</w:t>
      </w:r>
    </w:p>
  </w:footnote>
  <w:footnote w:id="24">
    <w:p w14:paraId="4A4E61DF" w14:textId="77777777" w:rsidR="007C5418" w:rsidRDefault="007C5418" w:rsidP="007C5418">
      <w:pPr>
        <w:pStyle w:val="Textodenotaderodap"/>
      </w:pPr>
      <w:r>
        <w:rPr>
          <w:rStyle w:val="Refdenotaderodap"/>
        </w:rPr>
        <w:footnoteRef/>
      </w:r>
      <w:r>
        <w:t xml:space="preserve"> sobras de aumento de capital privado</w:t>
      </w:r>
    </w:p>
  </w:footnote>
  <w:footnote w:id="25">
    <w:p w14:paraId="672186E5" w14:textId="77777777" w:rsidR="00374678" w:rsidRDefault="00374678">
      <w:pPr>
        <w:pStyle w:val="Textodenotaderodap"/>
      </w:pPr>
      <w:r>
        <w:rPr>
          <w:rStyle w:val="Refdenotaderodap"/>
        </w:rPr>
        <w:footnoteRef/>
      </w:r>
      <w:r>
        <w:t xml:space="preserve"> </w:t>
      </w:r>
      <w:r>
        <w:rPr>
          <w:rFonts w:cstheme="minorHAnsi"/>
        </w:rPr>
        <w:t>S</w:t>
      </w:r>
      <w:r w:rsidRPr="007E77AF">
        <w:rPr>
          <w:rFonts w:cstheme="minorHAnsi"/>
        </w:rPr>
        <w:t>omente aplicável à distribuição de valores mobiliários de emissão do próprio ofertante</w:t>
      </w:r>
    </w:p>
  </w:footnote>
  <w:footnote w:id="26">
    <w:p w14:paraId="0C40F6EE" w14:textId="1380CDCD" w:rsidR="00374678" w:rsidRDefault="00374678" w:rsidP="00025B5B">
      <w:pPr>
        <w:pStyle w:val="Textodenotaderodap"/>
      </w:pPr>
      <w:r>
        <w:rPr>
          <w:rStyle w:val="Refdenotaderodap"/>
        </w:rPr>
        <w:footnoteRef/>
      </w:r>
      <w:r>
        <w:t xml:space="preserve"> </w:t>
      </w:r>
      <w:r>
        <w:rPr>
          <w:rFonts w:cstheme="minorBidi"/>
        </w:rPr>
        <w:t>O</w:t>
      </w:r>
      <w:r w:rsidRPr="16623E1E">
        <w:rPr>
          <w:rFonts w:cstheme="minorBidi"/>
        </w:rPr>
        <w:t>brigatório nos casos indicados n</w:t>
      </w:r>
      <w:r>
        <w:rPr>
          <w:rFonts w:cstheme="minorBidi"/>
        </w:rPr>
        <w:t xml:space="preserve">as alíneas “a” a “c” do inciso VII </w:t>
      </w:r>
      <w:r w:rsidDel="00467FD5">
        <w:rPr>
          <w:rFonts w:cstheme="minorBidi"/>
        </w:rPr>
        <w:t xml:space="preserve">do </w:t>
      </w:r>
      <w:r w:rsidRPr="16623E1E">
        <w:rPr>
          <w:rFonts w:cstheme="minorBidi"/>
        </w:rPr>
        <w:t xml:space="preserve">art. </w:t>
      </w:r>
      <w:r>
        <w:rPr>
          <w:rFonts w:cstheme="minorBidi"/>
        </w:rPr>
        <w:t>29</w:t>
      </w:r>
      <w:r w:rsidRPr="16623E1E">
        <w:rPr>
          <w:rFonts w:cstheme="minorBidi"/>
        </w:rPr>
        <w:t xml:space="preserve"> desta </w:t>
      </w:r>
      <w:r>
        <w:rPr>
          <w:rFonts w:cstheme="minorBidi"/>
        </w:rPr>
        <w:t>R</w:t>
      </w:r>
      <w:r w:rsidRPr="16623E1E">
        <w:rPr>
          <w:rFonts w:cstheme="minorBidi"/>
        </w:rPr>
        <w:t>esolução e facultativo nas demais hipóteses</w:t>
      </w:r>
    </w:p>
  </w:footnote>
  <w:footnote w:id="27">
    <w:p w14:paraId="334DC5FA" w14:textId="77777777" w:rsidR="00374678" w:rsidRDefault="00374678" w:rsidP="00025B5B">
      <w:pPr>
        <w:pStyle w:val="Textodenotaderodap"/>
      </w:pPr>
      <w:r>
        <w:rPr>
          <w:rStyle w:val="Refdenotaderodap"/>
        </w:rPr>
        <w:footnoteRef/>
      </w:r>
      <w:r>
        <w:t xml:space="preserve"> </w:t>
      </w:r>
      <w:r>
        <w:rPr>
          <w:rFonts w:cstheme="minorBidi"/>
        </w:rPr>
        <w:t>I</w:t>
      </w:r>
      <w:r w:rsidRPr="16623E1E">
        <w:rPr>
          <w:rFonts w:cstheme="minorBidi"/>
        </w:rPr>
        <w:t>ndica</w:t>
      </w:r>
      <w:r>
        <w:rPr>
          <w:rFonts w:cstheme="minorBidi"/>
        </w:rPr>
        <w:t>r</w:t>
      </w:r>
      <w:r w:rsidRPr="16623E1E">
        <w:rPr>
          <w:rFonts w:cstheme="minorBidi"/>
        </w:rPr>
        <w:t xml:space="preserve"> a página na rede mundial de computadores na qual possa ser consultado</w:t>
      </w:r>
      <w:r>
        <w:rPr>
          <w:rFonts w:cstheme="minorBidi"/>
        </w:rPr>
        <w:t>.</w:t>
      </w:r>
    </w:p>
  </w:footnote>
  <w:footnote w:id="28">
    <w:p w14:paraId="49B0E688" w14:textId="77777777" w:rsidR="00374678" w:rsidRDefault="00374678">
      <w:pPr>
        <w:pStyle w:val="Textodenotaderodap"/>
      </w:pPr>
      <w:r>
        <w:rPr>
          <w:rStyle w:val="Refdenotaderodap"/>
        </w:rPr>
        <w:footnoteRef/>
      </w:r>
      <w:r>
        <w:t xml:space="preserve"> </w:t>
      </w:r>
      <w:r>
        <w:rPr>
          <w:rFonts w:cstheme="minorHAnsi"/>
        </w:rPr>
        <w:t>S</w:t>
      </w:r>
      <w:r w:rsidRPr="007E77AF">
        <w:rPr>
          <w:rFonts w:cstheme="minorHAnsi"/>
        </w:rPr>
        <w:t>omente aplicável à distribuição de valores mobiliários de emissão do próprio ofertante</w:t>
      </w:r>
      <w:r>
        <w:rPr>
          <w:rFonts w:cstheme="minorHAnsi"/>
        </w:rPr>
        <w:t>.</w:t>
      </w:r>
    </w:p>
  </w:footnote>
  <w:footnote w:id="29">
    <w:p w14:paraId="2288B9AA" w14:textId="77777777" w:rsidR="00374678" w:rsidRDefault="00374678">
      <w:pPr>
        <w:pStyle w:val="Textodenotaderodap"/>
      </w:pPr>
      <w:r>
        <w:rPr>
          <w:rStyle w:val="Refdenotaderodap"/>
        </w:rPr>
        <w:footnoteRef/>
      </w:r>
      <w:r>
        <w:t xml:space="preserve"> </w:t>
      </w:r>
      <w:r>
        <w:rPr>
          <w:rFonts w:cstheme="minorHAnsi"/>
        </w:rPr>
        <w:t>S</w:t>
      </w:r>
      <w:r w:rsidRPr="007E77AF">
        <w:rPr>
          <w:rFonts w:cstheme="minorHAnsi"/>
        </w:rPr>
        <w:t xml:space="preserve">omente aplicável à </w:t>
      </w:r>
      <w:r>
        <w:rPr>
          <w:rFonts w:cstheme="minorHAnsi"/>
        </w:rPr>
        <w:t>oferta primária de cotas do fundo de investimento.</w:t>
      </w:r>
    </w:p>
  </w:footnote>
  <w:footnote w:id="30">
    <w:p w14:paraId="72476275" w14:textId="77777777" w:rsidR="00374678" w:rsidRDefault="00374678">
      <w:pPr>
        <w:pStyle w:val="Textodenotaderodap"/>
      </w:pPr>
      <w:r>
        <w:rPr>
          <w:rStyle w:val="Refdenotaderodap"/>
        </w:rPr>
        <w:footnoteRef/>
      </w:r>
      <w:r>
        <w:t xml:space="preserve"> Obrigatório no caso de ofertas públicas de distribuição de cotas de fundos de investimento imobiliário, nos termos da regulamentação específica, e facultativo nas demais hipóteses</w:t>
      </w:r>
    </w:p>
  </w:footnote>
  <w:footnote w:id="31">
    <w:p w14:paraId="37990915" w14:textId="77777777" w:rsidR="00374678" w:rsidRDefault="00374678" w:rsidP="004562DE">
      <w:pPr>
        <w:pStyle w:val="Textodenotaderodap"/>
      </w:pPr>
      <w:r>
        <w:rPr>
          <w:rStyle w:val="Refdenotaderodap"/>
        </w:rPr>
        <w:footnoteRef/>
      </w:r>
      <w:r>
        <w:t xml:space="preserve"> </w:t>
      </w:r>
      <w:r>
        <w:rPr>
          <w:rFonts w:cstheme="minorBidi"/>
        </w:rPr>
        <w:t>I</w:t>
      </w:r>
      <w:r w:rsidRPr="16623E1E">
        <w:rPr>
          <w:rFonts w:cstheme="minorBidi"/>
        </w:rPr>
        <w:t>ndica</w:t>
      </w:r>
      <w:r>
        <w:rPr>
          <w:rFonts w:cstheme="minorBidi"/>
        </w:rPr>
        <w:t>r</w:t>
      </w:r>
      <w:r w:rsidRPr="16623E1E">
        <w:rPr>
          <w:rFonts w:cstheme="minorBidi"/>
        </w:rPr>
        <w:t xml:space="preserve"> a página na rede mundial de computadores na qual possa ser consultado</w:t>
      </w:r>
      <w:r>
        <w:rPr>
          <w:rFonts w:cstheme="minorBidi"/>
        </w:rPr>
        <w:t>.</w:t>
      </w:r>
    </w:p>
  </w:footnote>
  <w:footnote w:id="32">
    <w:p w14:paraId="04FE37BC" w14:textId="77777777" w:rsidR="00374678" w:rsidRDefault="00374678" w:rsidP="006A0CE1">
      <w:pPr>
        <w:pStyle w:val="Textodenotaderodap"/>
      </w:pPr>
      <w:r>
        <w:rPr>
          <w:rStyle w:val="Refdenotaderodap"/>
        </w:rPr>
        <w:footnoteRef/>
      </w:r>
      <w:r>
        <w:t xml:space="preserve"> </w:t>
      </w:r>
      <w:r w:rsidRPr="00786FCC">
        <w:rPr>
          <w:rStyle w:val="normaltextrun"/>
        </w:rPr>
        <w:t>Essas informações não serão exigíveis quando o devedor ou coobrigado for instituição financeira ou equiparada, autorizada a funcionar pelo Banco Central do Brasil, e nas hipóteses em que haja dispensa de apresentação ou de arquivamento na CVM das demonstrações financeiras, na forma da regulamentação em vigor</w:t>
      </w:r>
      <w:r>
        <w:rPr>
          <w:rStyle w:val="normaltextrun"/>
        </w:rPr>
        <w:t>.</w:t>
      </w:r>
    </w:p>
  </w:footnote>
  <w:footnote w:id="33">
    <w:p w14:paraId="27ACD741" w14:textId="77777777" w:rsidR="00374678" w:rsidRDefault="00374678" w:rsidP="006A0CE1">
      <w:pPr>
        <w:pStyle w:val="Textodenotaderodap"/>
      </w:pPr>
      <w:r>
        <w:rPr>
          <w:rStyle w:val="Refdenotaderodap"/>
        </w:rPr>
        <w:footnoteRef/>
      </w:r>
      <w:r>
        <w:t xml:space="preserve"> </w:t>
      </w:r>
      <w:r>
        <w:rPr>
          <w:rStyle w:val="normaltextrun"/>
        </w:rPr>
        <w:t>R</w:t>
      </w:r>
      <w:r w:rsidRPr="00786FCC">
        <w:rPr>
          <w:rStyle w:val="normaltextrun"/>
        </w:rPr>
        <w:t>equisito facultativo para devedores ou coobrigados que sejam companhias abertas</w:t>
      </w:r>
    </w:p>
  </w:footnote>
  <w:footnote w:id="34">
    <w:p w14:paraId="2CCA95AE" w14:textId="77777777" w:rsidR="00374678" w:rsidRDefault="00374678">
      <w:pPr>
        <w:pStyle w:val="Textodenotaderodap"/>
      </w:pPr>
      <w:r>
        <w:rPr>
          <w:rStyle w:val="Refdenotaderodap"/>
        </w:rPr>
        <w:footnoteRef/>
      </w:r>
      <w:r>
        <w:t xml:space="preserve"> </w:t>
      </w:r>
      <w:r w:rsidRPr="00786FCC">
        <w:rPr>
          <w:rStyle w:val="normaltextrun"/>
        </w:rPr>
        <w:t>Essas informações não serão exigíveis quando o devedor ou coobrigado for instituição financeira ou equiparada, autorizada a funcionar pelo Banco Central do Brasil, e nas hipóteses em que haja dispensa de apresentação ou de arquivamento na CVM das demonstrações financeiras, na forma da regulamentação em vigor</w:t>
      </w:r>
      <w:r>
        <w:rPr>
          <w:rStyle w:val="normaltextrun"/>
        </w:rPr>
        <w:t>.</w:t>
      </w:r>
    </w:p>
  </w:footnote>
  <w:footnote w:id="35">
    <w:p w14:paraId="72DD0F79" w14:textId="77777777" w:rsidR="00374678" w:rsidRDefault="00374678">
      <w:pPr>
        <w:pStyle w:val="Textodenotaderodap"/>
      </w:pPr>
      <w:r>
        <w:rPr>
          <w:rStyle w:val="Refdenotaderodap"/>
        </w:rPr>
        <w:footnoteRef/>
      </w:r>
      <w:r>
        <w:t xml:space="preserve"> </w:t>
      </w:r>
      <w:r>
        <w:rPr>
          <w:rStyle w:val="normaltextrun"/>
        </w:rPr>
        <w:t>R</w:t>
      </w:r>
      <w:r w:rsidRPr="00786FCC">
        <w:rPr>
          <w:rStyle w:val="normaltextrun"/>
        </w:rPr>
        <w:t>equisito facultativo para devedores ou coobrigados que sejam companhias abertas</w:t>
      </w:r>
      <w:r>
        <w:rPr>
          <w:rStyle w:val="normaltextr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09BE" w14:textId="77777777" w:rsidR="00374678" w:rsidRDefault="003746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114</w:t>
    </w:r>
    <w:r>
      <w:rPr>
        <w:rStyle w:val="Nmerodepgina"/>
      </w:rPr>
      <w:fldChar w:fldCharType="end"/>
    </w:r>
  </w:p>
  <w:p w14:paraId="16369EE9" w14:textId="77777777" w:rsidR="00374678" w:rsidRDefault="0037467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D41E" w14:textId="6CE6B0E4" w:rsidR="00374678" w:rsidRDefault="0037467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582">
      <w:rPr>
        <w:rStyle w:val="Nmerodepgina"/>
        <w:noProof/>
      </w:rPr>
      <w:t>2</w:t>
    </w:r>
    <w:r>
      <w:rPr>
        <w:rStyle w:val="Nmerodepgina"/>
      </w:rPr>
      <w:fldChar w:fldCharType="end"/>
    </w:r>
  </w:p>
  <w:p w14:paraId="5D8100F6" w14:textId="3AB4CA8A" w:rsidR="00374678" w:rsidRDefault="00374678" w:rsidP="0056697A">
    <w:pPr>
      <w:pStyle w:val="Cabealho"/>
      <w:jc w:val="center"/>
    </w:pPr>
    <w:r w:rsidRPr="001353DC">
      <w:rPr>
        <w:noProof/>
      </w:rPr>
      <w:drawing>
        <wp:inline distT="0" distB="0" distL="0" distR="0" wp14:anchorId="653688A9" wp14:editId="0DF8493B">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90EBA6E" w14:textId="77777777" w:rsidR="00374678" w:rsidRPr="00943D44" w:rsidRDefault="00374678" w:rsidP="0056697A">
    <w:pPr>
      <w:jc w:val="center"/>
      <w:rPr>
        <w:b/>
        <w:sz w:val="20"/>
        <w:szCs w:val="20"/>
      </w:rPr>
    </w:pPr>
    <w:r w:rsidRPr="00943D44">
      <w:rPr>
        <w:b/>
        <w:sz w:val="20"/>
        <w:szCs w:val="20"/>
      </w:rPr>
      <w:t>COMISSÃO DE VALORES MOBILIÁRIOS</w:t>
    </w:r>
  </w:p>
  <w:p w14:paraId="0512D85E" w14:textId="77777777" w:rsidR="00374678" w:rsidRPr="00E93767" w:rsidRDefault="00374678" w:rsidP="0056697A">
    <w:pPr>
      <w:autoSpaceDE w:val="0"/>
      <w:autoSpaceDN w:val="0"/>
      <w:adjustRightInd w:val="0"/>
      <w:jc w:val="center"/>
      <w:rPr>
        <w:rFonts w:cs="Calibri"/>
        <w:sz w:val="18"/>
        <w:szCs w:val="18"/>
      </w:rPr>
    </w:pPr>
    <w:r w:rsidRPr="00E93767">
      <w:rPr>
        <w:rFonts w:cs="Calibri"/>
        <w:sz w:val="18"/>
        <w:szCs w:val="18"/>
      </w:rPr>
      <w:t>Rua Sete de Setembro, 111/2-5º e 23-34º Andares, Centro, Rio de Janeiro/RJ – CEP: 20050-901 – Brasil - Tel.: (21) 3554-8686</w:t>
    </w:r>
  </w:p>
  <w:p w14:paraId="3F034FC9" w14:textId="77777777" w:rsidR="00374678" w:rsidRPr="00E93767" w:rsidRDefault="00374678" w:rsidP="0056697A">
    <w:pPr>
      <w:autoSpaceDE w:val="0"/>
      <w:autoSpaceDN w:val="0"/>
      <w:adjustRightInd w:val="0"/>
      <w:jc w:val="center"/>
      <w:rPr>
        <w:rFonts w:cs="Calibri"/>
        <w:sz w:val="18"/>
        <w:szCs w:val="18"/>
      </w:rPr>
    </w:pPr>
    <w:r w:rsidRPr="00E93767">
      <w:rPr>
        <w:rFonts w:cs="Calibri"/>
        <w:sz w:val="18"/>
        <w:szCs w:val="18"/>
      </w:rPr>
      <w:t>Rua Cincinato Braga, 340/2º, 3º e 4º Andares, Bela Vista, São Paulo/ SP – CEP: 01333-010 – Brasil - Tel.: (11) 2146-2000</w:t>
    </w:r>
  </w:p>
  <w:p w14:paraId="7D18B05A" w14:textId="77777777" w:rsidR="00374678" w:rsidRPr="00E93767" w:rsidRDefault="00374678" w:rsidP="0056697A">
    <w:pPr>
      <w:autoSpaceDE w:val="0"/>
      <w:autoSpaceDN w:val="0"/>
      <w:adjustRightInd w:val="0"/>
      <w:jc w:val="center"/>
      <w:rPr>
        <w:rFonts w:cs="Calibri"/>
        <w:sz w:val="18"/>
        <w:szCs w:val="18"/>
      </w:rPr>
    </w:pPr>
    <w:r w:rsidRPr="00E93767">
      <w:rPr>
        <w:rFonts w:cs="Calibri"/>
        <w:sz w:val="18"/>
        <w:szCs w:val="18"/>
      </w:rPr>
      <w:t xml:space="preserve">SCN Q.02 – </w:t>
    </w:r>
    <w:proofErr w:type="spellStart"/>
    <w:r w:rsidRPr="00E93767">
      <w:rPr>
        <w:rFonts w:cs="Calibri"/>
        <w:sz w:val="18"/>
        <w:szCs w:val="18"/>
      </w:rPr>
      <w:t>Bl</w:t>
    </w:r>
    <w:proofErr w:type="spellEnd"/>
    <w:r w:rsidRPr="00E93767">
      <w:rPr>
        <w:rFonts w:cs="Calibri"/>
        <w:sz w:val="18"/>
        <w:szCs w:val="18"/>
      </w:rPr>
      <w:t>. A – Ed. Corporate Financial Center, S.404/4º Andar, Brasília/DF – CEP: 70712-900 – Brasil -Tel.: (61) 3327-2030/2031</w:t>
    </w:r>
  </w:p>
  <w:p w14:paraId="373260D6" w14:textId="35600D40" w:rsidR="00374678" w:rsidRPr="00943D44" w:rsidRDefault="00374678" w:rsidP="0056697A">
    <w:pPr>
      <w:jc w:val="center"/>
      <w:rPr>
        <w:rStyle w:val="Hyperlink"/>
      </w:rPr>
    </w:pPr>
    <w:r w:rsidRPr="0032085F">
      <w:rPr>
        <w:rFonts w:cs="Calibri"/>
        <w:sz w:val="18"/>
        <w:szCs w:val="18"/>
      </w:rPr>
      <w:t>www.cvm.gov.br</w:t>
    </w:r>
  </w:p>
  <w:p w14:paraId="225D6F3B" w14:textId="77777777" w:rsidR="00374678" w:rsidRPr="003C0E56" w:rsidRDefault="00374678" w:rsidP="00947BD1">
    <w:pPr>
      <w:pStyle w:val="Cabealho"/>
      <w:ind w:right="360"/>
      <w:rPr>
        <w:sz w:val="16"/>
        <w:szCs w:val="16"/>
      </w:rPr>
    </w:pPr>
  </w:p>
  <w:p w14:paraId="4D6312DB" w14:textId="7E17F768" w:rsidR="00374678" w:rsidRDefault="00374678" w:rsidP="00947BD1">
    <w:pPr>
      <w:pStyle w:val="Cabealho"/>
      <w:ind w:right="360"/>
      <w:rPr>
        <w:sz w:val="16"/>
        <w:szCs w:val="16"/>
      </w:rPr>
    </w:pPr>
    <w:r w:rsidRPr="003C0E56">
      <w:rPr>
        <w:sz w:val="16"/>
        <w:szCs w:val="16"/>
      </w:rPr>
      <w:t xml:space="preserve">RESOLUÇÃO CVM Nº </w:t>
    </w:r>
    <w:r>
      <w:rPr>
        <w:sz w:val="16"/>
        <w:szCs w:val="16"/>
      </w:rPr>
      <w:t>160</w:t>
    </w:r>
    <w:r w:rsidRPr="003C0E56">
      <w:rPr>
        <w:sz w:val="16"/>
        <w:szCs w:val="16"/>
      </w:rPr>
      <w:t xml:space="preserve">, DE </w:t>
    </w:r>
    <w:r>
      <w:rPr>
        <w:sz w:val="16"/>
        <w:szCs w:val="16"/>
      </w:rPr>
      <w:t>13</w:t>
    </w:r>
    <w:r w:rsidRPr="003C0E56">
      <w:rPr>
        <w:sz w:val="16"/>
        <w:szCs w:val="16"/>
      </w:rPr>
      <w:t xml:space="preserve"> DE </w:t>
    </w:r>
    <w:r>
      <w:rPr>
        <w:sz w:val="16"/>
        <w:szCs w:val="16"/>
      </w:rPr>
      <w:t>JULHO</w:t>
    </w:r>
    <w:r w:rsidRPr="003C0E56">
      <w:rPr>
        <w:sz w:val="16"/>
        <w:szCs w:val="16"/>
      </w:rPr>
      <w:t xml:space="preserve"> DE 202</w:t>
    </w:r>
    <w:r>
      <w:rPr>
        <w:sz w:val="16"/>
        <w:szCs w:val="16"/>
      </w:rPr>
      <w:t>2</w:t>
    </w:r>
    <w:r w:rsidRPr="003C0E56">
      <w:rPr>
        <w:sz w:val="16"/>
        <w:szCs w:val="16"/>
      </w:rPr>
      <w:t>.</w:t>
    </w:r>
  </w:p>
  <w:p w14:paraId="4195AADB" w14:textId="77777777" w:rsidR="00374678" w:rsidRDefault="00374678" w:rsidP="00947BD1">
    <w:pPr>
      <w:pStyle w:val="Cabealho"/>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69CE" w14:textId="53D375CC" w:rsidR="00374678" w:rsidRDefault="00374678" w:rsidP="00947BD1">
    <w:pPr>
      <w:pStyle w:val="Cabealho"/>
      <w:jc w:val="center"/>
    </w:pPr>
    <w:r w:rsidRPr="001353DC">
      <w:rPr>
        <w:noProof/>
      </w:rPr>
      <w:drawing>
        <wp:inline distT="0" distB="0" distL="0" distR="0" wp14:anchorId="5351C2B2" wp14:editId="026B764C">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5FAFB58" w14:textId="77777777" w:rsidR="00374678" w:rsidRPr="00943D44" w:rsidRDefault="00374678" w:rsidP="00947BD1">
    <w:pPr>
      <w:jc w:val="center"/>
      <w:rPr>
        <w:b/>
        <w:sz w:val="20"/>
        <w:szCs w:val="20"/>
      </w:rPr>
    </w:pPr>
    <w:r w:rsidRPr="00943D44">
      <w:rPr>
        <w:b/>
        <w:sz w:val="20"/>
        <w:szCs w:val="20"/>
      </w:rPr>
      <w:t>COMISSÃO DE VALORES MOBILIÁRIOS</w:t>
    </w:r>
  </w:p>
  <w:p w14:paraId="68895461" w14:textId="77777777" w:rsidR="00374678" w:rsidRPr="00E93767" w:rsidRDefault="00374678" w:rsidP="00947BD1">
    <w:pPr>
      <w:autoSpaceDE w:val="0"/>
      <w:autoSpaceDN w:val="0"/>
      <w:adjustRightInd w:val="0"/>
      <w:jc w:val="center"/>
      <w:rPr>
        <w:rFonts w:cs="Calibri"/>
        <w:sz w:val="18"/>
        <w:szCs w:val="18"/>
      </w:rPr>
    </w:pPr>
    <w:r w:rsidRPr="00E93767">
      <w:rPr>
        <w:rFonts w:cs="Calibri"/>
        <w:sz w:val="18"/>
        <w:szCs w:val="18"/>
      </w:rPr>
      <w:t>Rua Sete de Setembro, 111/2-5º e 23-34º Andares, Centro, Rio de Janeiro/RJ – CEP: 20050-901 – Brasil - Tel.: (21) 3554-8686</w:t>
    </w:r>
  </w:p>
  <w:p w14:paraId="7776FF47" w14:textId="77777777" w:rsidR="00374678" w:rsidRPr="00E93767" w:rsidRDefault="00374678" w:rsidP="00947BD1">
    <w:pPr>
      <w:autoSpaceDE w:val="0"/>
      <w:autoSpaceDN w:val="0"/>
      <w:adjustRightInd w:val="0"/>
      <w:jc w:val="center"/>
      <w:rPr>
        <w:rFonts w:cs="Calibri"/>
        <w:sz w:val="18"/>
        <w:szCs w:val="18"/>
      </w:rPr>
    </w:pPr>
    <w:r w:rsidRPr="00E93767">
      <w:rPr>
        <w:rFonts w:cs="Calibri"/>
        <w:sz w:val="18"/>
        <w:szCs w:val="18"/>
      </w:rPr>
      <w:t>Rua Cincinato Braga, 340/2º, 3º e 4º Andares, Bela Vista, São Paulo/ SP – CEP: 01333-010 – Brasil - Tel.: (11) 2146-2000</w:t>
    </w:r>
  </w:p>
  <w:p w14:paraId="2B2C322B" w14:textId="77777777" w:rsidR="00374678" w:rsidRPr="00E93767" w:rsidRDefault="00374678" w:rsidP="00947BD1">
    <w:pPr>
      <w:autoSpaceDE w:val="0"/>
      <w:autoSpaceDN w:val="0"/>
      <w:adjustRightInd w:val="0"/>
      <w:jc w:val="center"/>
      <w:rPr>
        <w:rFonts w:cs="Calibri"/>
        <w:sz w:val="18"/>
        <w:szCs w:val="18"/>
      </w:rPr>
    </w:pPr>
    <w:r w:rsidRPr="00E93767">
      <w:rPr>
        <w:rFonts w:cs="Calibri"/>
        <w:sz w:val="18"/>
        <w:szCs w:val="18"/>
      </w:rPr>
      <w:t xml:space="preserve">SCN Q.02 – </w:t>
    </w:r>
    <w:proofErr w:type="spellStart"/>
    <w:r w:rsidRPr="00E93767">
      <w:rPr>
        <w:rFonts w:cs="Calibri"/>
        <w:sz w:val="18"/>
        <w:szCs w:val="18"/>
      </w:rPr>
      <w:t>Bl</w:t>
    </w:r>
    <w:proofErr w:type="spellEnd"/>
    <w:r w:rsidRPr="00E93767">
      <w:rPr>
        <w:rFonts w:cs="Calibri"/>
        <w:sz w:val="18"/>
        <w:szCs w:val="18"/>
      </w:rPr>
      <w:t>. A – Ed. Corporate Financial Center, S.404/4º Andar, Brasília/DF – CEP: 70712-900 – Brasil -Tel.: (61) 3327-2030/2031</w:t>
    </w:r>
  </w:p>
  <w:p w14:paraId="598D5A56" w14:textId="408B58E2" w:rsidR="00374678" w:rsidRPr="00943D44" w:rsidRDefault="00374678" w:rsidP="00947BD1">
    <w:pPr>
      <w:jc w:val="center"/>
      <w:rPr>
        <w:rStyle w:val="Hyperlink"/>
      </w:rPr>
    </w:pPr>
    <w:r w:rsidRPr="0032085F">
      <w:rPr>
        <w:rFonts w:cs="Calibri"/>
        <w:sz w:val="18"/>
        <w:szCs w:val="18"/>
      </w:rPr>
      <w:t>www.cvm.gov.br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D2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8402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9268F"/>
    <w:multiLevelType w:val="hybridMultilevel"/>
    <w:tmpl w:val="79507368"/>
    <w:name w:val="SDM autonum32"/>
    <w:lvl w:ilvl="0" w:tplc="9356BD1C">
      <w:start w:val="1"/>
      <w:numFmt w:val="decimal"/>
      <w:suff w:val="nothing"/>
      <w:lvlText w:val="Art. %1"/>
      <w:lvlJc w:val="left"/>
      <w:pPr>
        <w:ind w:left="74" w:firstLine="210"/>
      </w:pPr>
      <w:rPr>
        <w:rFonts w:hint="default"/>
        <w:b w:val="0"/>
      </w:rPr>
    </w:lvl>
    <w:lvl w:ilvl="1" w:tplc="FFFFFFFF">
      <w:start w:val="1"/>
      <w:numFmt w:val="upperRoman"/>
      <w:suff w:val="nothing"/>
      <w:lvlText w:val="%2"/>
      <w:lvlJc w:val="left"/>
      <w:pPr>
        <w:ind w:left="0" w:firstLine="567"/>
      </w:pPr>
      <w:rPr>
        <w:color w:val="auto"/>
      </w:rPr>
    </w:lvl>
    <w:lvl w:ilvl="2" w:tplc="3E8607A0">
      <w:start w:val="1"/>
      <w:numFmt w:val="decimal"/>
      <w:lvlText w:val=""/>
      <w:lvlJc w:val="left"/>
      <w:pPr>
        <w:ind w:left="1077" w:hanging="357"/>
      </w:pPr>
      <w:rPr>
        <w:rFonts w:hint="default"/>
      </w:rPr>
    </w:lvl>
    <w:lvl w:ilvl="3" w:tplc="F58A66CC">
      <w:start w:val="1"/>
      <w:numFmt w:val="decimal"/>
      <w:lvlText w:val="(%4)"/>
      <w:lvlJc w:val="left"/>
      <w:pPr>
        <w:ind w:left="1440" w:hanging="360"/>
      </w:pPr>
      <w:rPr>
        <w:rFonts w:hint="default"/>
      </w:rPr>
    </w:lvl>
    <w:lvl w:ilvl="4" w:tplc="18E458C2">
      <w:start w:val="1"/>
      <w:numFmt w:val="lowerLetter"/>
      <w:lvlText w:val="(%5)"/>
      <w:lvlJc w:val="left"/>
      <w:pPr>
        <w:ind w:left="1800" w:hanging="360"/>
      </w:pPr>
      <w:rPr>
        <w:rFonts w:hint="default"/>
      </w:rPr>
    </w:lvl>
    <w:lvl w:ilvl="5" w:tplc="A4D6304A">
      <w:start w:val="1"/>
      <w:numFmt w:val="lowerRoman"/>
      <w:lvlText w:val="(%6)"/>
      <w:lvlJc w:val="left"/>
      <w:pPr>
        <w:ind w:left="2160" w:hanging="360"/>
      </w:pPr>
      <w:rPr>
        <w:rFonts w:hint="default"/>
      </w:rPr>
    </w:lvl>
    <w:lvl w:ilvl="6" w:tplc="D1543F9E">
      <w:start w:val="1"/>
      <w:numFmt w:val="decimal"/>
      <w:lvlText w:val="%7."/>
      <w:lvlJc w:val="left"/>
      <w:pPr>
        <w:ind w:left="2520" w:hanging="360"/>
      </w:pPr>
      <w:rPr>
        <w:rFonts w:hint="default"/>
      </w:rPr>
    </w:lvl>
    <w:lvl w:ilvl="7" w:tplc="1B64527A">
      <w:start w:val="1"/>
      <w:numFmt w:val="lowerLetter"/>
      <w:lvlText w:val="%8."/>
      <w:lvlJc w:val="left"/>
      <w:pPr>
        <w:ind w:left="2880" w:hanging="360"/>
      </w:pPr>
      <w:rPr>
        <w:rFonts w:hint="default"/>
      </w:rPr>
    </w:lvl>
    <w:lvl w:ilvl="8" w:tplc="8B827D4A">
      <w:start w:val="1"/>
      <w:numFmt w:val="lowerRoman"/>
      <w:lvlText w:val="%9."/>
      <w:lvlJc w:val="left"/>
      <w:pPr>
        <w:ind w:left="3240" w:hanging="360"/>
      </w:pPr>
      <w:rPr>
        <w:rFonts w:hint="default"/>
      </w:rPr>
    </w:lvl>
  </w:abstractNum>
  <w:abstractNum w:abstractNumId="3" w15:restartNumberingAfterBreak="0">
    <w:nsid w:val="05E6041C"/>
    <w:multiLevelType w:val="multilevel"/>
    <w:tmpl w:val="385471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3369A9"/>
    <w:multiLevelType w:val="hybridMultilevel"/>
    <w:tmpl w:val="5240CBE6"/>
    <w:lvl w:ilvl="0" w:tplc="D10A15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E7F617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55259"/>
    <w:multiLevelType w:val="hybridMultilevel"/>
    <w:tmpl w:val="BB4C007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13740F4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DF12AC"/>
    <w:multiLevelType w:val="hybridMultilevel"/>
    <w:tmpl w:val="0102EC36"/>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9" w15:restartNumberingAfterBreak="0">
    <w:nsid w:val="146B73E1"/>
    <w:multiLevelType w:val="multilevel"/>
    <w:tmpl w:val="4F96C6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154B089F"/>
    <w:multiLevelType w:val="multilevel"/>
    <w:tmpl w:val="40B84344"/>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915A2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7F701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30EFA"/>
    <w:multiLevelType w:val="multilevel"/>
    <w:tmpl w:val="3452B7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3302AA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94DEF"/>
    <w:multiLevelType w:val="hybridMultilevel"/>
    <w:tmpl w:val="6B8A2534"/>
    <w:name w:val="SDM autonum3"/>
    <w:lvl w:ilvl="0" w:tplc="07908E3A">
      <w:start w:val="1"/>
      <w:numFmt w:val="decimal"/>
      <w:suff w:val="nothing"/>
      <w:lvlText w:val="Art. %1"/>
      <w:lvlJc w:val="left"/>
      <w:pPr>
        <w:ind w:left="357" w:firstLine="210"/>
      </w:pPr>
      <w:rPr>
        <w:rFonts w:hint="default"/>
        <w:b w:val="0"/>
      </w:rPr>
    </w:lvl>
    <w:lvl w:ilvl="1" w:tplc="EE804420">
      <w:start w:val="1"/>
      <w:numFmt w:val="upperRoman"/>
      <w:suff w:val="nothing"/>
      <w:lvlText w:val="%2"/>
      <w:lvlJc w:val="left"/>
      <w:pPr>
        <w:ind w:left="0" w:firstLine="567"/>
      </w:pPr>
      <w:rPr>
        <w:rFonts w:hint="default"/>
      </w:rPr>
    </w:lvl>
    <w:lvl w:ilvl="2" w:tplc="CEBA6132">
      <w:start w:val="1"/>
      <w:numFmt w:val="none"/>
      <w:lvlText w:val=""/>
      <w:lvlJc w:val="left"/>
      <w:pPr>
        <w:ind w:left="1077" w:hanging="357"/>
      </w:pPr>
      <w:rPr>
        <w:rFonts w:hint="default"/>
      </w:rPr>
    </w:lvl>
    <w:lvl w:ilvl="3" w:tplc="2D6AAA28">
      <w:start w:val="1"/>
      <w:numFmt w:val="decimal"/>
      <w:lvlText w:val="(%4)"/>
      <w:lvlJc w:val="left"/>
      <w:pPr>
        <w:ind w:left="1440" w:hanging="360"/>
      </w:pPr>
      <w:rPr>
        <w:rFonts w:hint="default"/>
      </w:rPr>
    </w:lvl>
    <w:lvl w:ilvl="4" w:tplc="756C5052">
      <w:start w:val="1"/>
      <w:numFmt w:val="lowerLetter"/>
      <w:lvlText w:val="(%5)"/>
      <w:lvlJc w:val="left"/>
      <w:pPr>
        <w:ind w:left="1800" w:hanging="360"/>
      </w:pPr>
      <w:rPr>
        <w:rFonts w:hint="default"/>
      </w:rPr>
    </w:lvl>
    <w:lvl w:ilvl="5" w:tplc="BA222830">
      <w:start w:val="1"/>
      <w:numFmt w:val="lowerRoman"/>
      <w:lvlText w:val="(%6)"/>
      <w:lvlJc w:val="left"/>
      <w:pPr>
        <w:ind w:left="2160" w:hanging="360"/>
      </w:pPr>
      <w:rPr>
        <w:rFonts w:hint="default"/>
      </w:rPr>
    </w:lvl>
    <w:lvl w:ilvl="6" w:tplc="2C5417BC">
      <w:start w:val="1"/>
      <w:numFmt w:val="decimal"/>
      <w:lvlText w:val="%7."/>
      <w:lvlJc w:val="left"/>
      <w:pPr>
        <w:ind w:left="2520" w:hanging="360"/>
      </w:pPr>
      <w:rPr>
        <w:rFonts w:hint="default"/>
      </w:rPr>
    </w:lvl>
    <w:lvl w:ilvl="7" w:tplc="FFA29A2E">
      <w:start w:val="1"/>
      <w:numFmt w:val="lowerLetter"/>
      <w:lvlText w:val="%8."/>
      <w:lvlJc w:val="left"/>
      <w:pPr>
        <w:ind w:left="2880" w:hanging="360"/>
      </w:pPr>
      <w:rPr>
        <w:rFonts w:hint="default"/>
      </w:rPr>
    </w:lvl>
    <w:lvl w:ilvl="8" w:tplc="3CC24B3E">
      <w:start w:val="1"/>
      <w:numFmt w:val="lowerRoman"/>
      <w:lvlText w:val="%9."/>
      <w:lvlJc w:val="left"/>
      <w:pPr>
        <w:ind w:left="3240" w:hanging="360"/>
      </w:pPr>
      <w:rPr>
        <w:rFonts w:hint="default"/>
      </w:rPr>
    </w:lvl>
  </w:abstractNum>
  <w:abstractNum w:abstractNumId="17" w15:restartNumberingAfterBreak="0">
    <w:nsid w:val="23F41174"/>
    <w:multiLevelType w:val="hybridMultilevel"/>
    <w:tmpl w:val="D9A66816"/>
    <w:lvl w:ilvl="0" w:tplc="60E6D1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6CB64FC"/>
    <w:multiLevelType w:val="multilevel"/>
    <w:tmpl w:val="AD9CA62E"/>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lowerLetter"/>
      <w:lvlText w:val="%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27733183"/>
    <w:multiLevelType w:val="multilevel"/>
    <w:tmpl w:val="05E20CD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lowerLetter"/>
      <w:lvlText w:val="%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7F7721"/>
    <w:multiLevelType w:val="multilevel"/>
    <w:tmpl w:val="E29CFB84"/>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293179C8"/>
    <w:multiLevelType w:val="hybridMultilevel"/>
    <w:tmpl w:val="CC240332"/>
    <w:name w:val="SDM autonum222"/>
    <w:lvl w:ilvl="0" w:tplc="B580A250">
      <w:start w:val="1"/>
      <w:numFmt w:val="decimal"/>
      <w:suff w:val="nothing"/>
      <w:lvlText w:val="Art. %1"/>
      <w:lvlJc w:val="left"/>
      <w:pPr>
        <w:ind w:left="357" w:firstLine="210"/>
      </w:pPr>
      <w:rPr>
        <w:rFonts w:hint="default"/>
        <w:b w:val="0"/>
      </w:rPr>
    </w:lvl>
    <w:lvl w:ilvl="1" w:tplc="544416EC">
      <w:start w:val="1"/>
      <w:numFmt w:val="upperRoman"/>
      <w:suff w:val="nothing"/>
      <w:lvlText w:val="%2"/>
      <w:lvlJc w:val="left"/>
      <w:pPr>
        <w:ind w:left="720" w:hanging="153"/>
      </w:pPr>
      <w:rPr>
        <w:rFonts w:hint="default"/>
      </w:rPr>
    </w:lvl>
    <w:lvl w:ilvl="2" w:tplc="E538381C">
      <w:start w:val="1"/>
      <w:numFmt w:val="none"/>
      <w:lvlText w:val=""/>
      <w:lvlJc w:val="left"/>
      <w:pPr>
        <w:ind w:left="1077" w:hanging="357"/>
      </w:pPr>
      <w:rPr>
        <w:rFonts w:hint="default"/>
      </w:rPr>
    </w:lvl>
    <w:lvl w:ilvl="3" w:tplc="1638E042">
      <w:start w:val="1"/>
      <w:numFmt w:val="decimal"/>
      <w:lvlText w:val="(%4)"/>
      <w:lvlJc w:val="left"/>
      <w:pPr>
        <w:ind w:left="1440" w:hanging="360"/>
      </w:pPr>
      <w:rPr>
        <w:rFonts w:hint="default"/>
      </w:rPr>
    </w:lvl>
    <w:lvl w:ilvl="4" w:tplc="DF8EFBE4">
      <w:start w:val="1"/>
      <w:numFmt w:val="lowerLetter"/>
      <w:lvlText w:val="(%5)"/>
      <w:lvlJc w:val="left"/>
      <w:pPr>
        <w:ind w:left="1800" w:hanging="360"/>
      </w:pPr>
      <w:rPr>
        <w:rFonts w:hint="default"/>
      </w:rPr>
    </w:lvl>
    <w:lvl w:ilvl="5" w:tplc="0DA0F014">
      <w:start w:val="1"/>
      <w:numFmt w:val="lowerRoman"/>
      <w:lvlText w:val="(%6)"/>
      <w:lvlJc w:val="left"/>
      <w:pPr>
        <w:ind w:left="2160" w:hanging="360"/>
      </w:pPr>
      <w:rPr>
        <w:rFonts w:hint="default"/>
      </w:rPr>
    </w:lvl>
    <w:lvl w:ilvl="6" w:tplc="E580F7FC">
      <w:start w:val="1"/>
      <w:numFmt w:val="decimal"/>
      <w:lvlText w:val="%7."/>
      <w:lvlJc w:val="left"/>
      <w:pPr>
        <w:ind w:left="2520" w:hanging="360"/>
      </w:pPr>
      <w:rPr>
        <w:rFonts w:hint="default"/>
      </w:rPr>
    </w:lvl>
    <w:lvl w:ilvl="7" w:tplc="12A83CDE">
      <w:start w:val="1"/>
      <w:numFmt w:val="lowerLetter"/>
      <w:lvlText w:val="%8."/>
      <w:lvlJc w:val="left"/>
      <w:pPr>
        <w:ind w:left="2880" w:hanging="360"/>
      </w:pPr>
      <w:rPr>
        <w:rFonts w:hint="default"/>
      </w:rPr>
    </w:lvl>
    <w:lvl w:ilvl="8" w:tplc="66CC405C">
      <w:start w:val="1"/>
      <w:numFmt w:val="lowerRoman"/>
      <w:lvlText w:val="%9."/>
      <w:lvlJc w:val="left"/>
      <w:pPr>
        <w:ind w:left="3240" w:hanging="360"/>
      </w:pPr>
      <w:rPr>
        <w:rFonts w:hint="default"/>
      </w:rPr>
    </w:lvl>
  </w:abstractNum>
  <w:abstractNum w:abstractNumId="22" w15:restartNumberingAfterBreak="0">
    <w:nsid w:val="29624150"/>
    <w:multiLevelType w:val="hybridMultilevel"/>
    <w:tmpl w:val="D6E25ECC"/>
    <w:lvl w:ilvl="0" w:tplc="01800C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A8D18FF"/>
    <w:multiLevelType w:val="multilevel"/>
    <w:tmpl w:val="4992F1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E52C9"/>
    <w:multiLevelType w:val="multilevel"/>
    <w:tmpl w:val="6DE6AD9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2B336EE8"/>
    <w:multiLevelType w:val="multilevel"/>
    <w:tmpl w:val="2AAC4DC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306A0B6E"/>
    <w:multiLevelType w:val="hybridMultilevel"/>
    <w:tmpl w:val="93AC962E"/>
    <w:name w:val="SDM autonum22"/>
    <w:lvl w:ilvl="0" w:tplc="BF104134">
      <w:start w:val="1"/>
      <w:numFmt w:val="decimal"/>
      <w:suff w:val="nothing"/>
      <w:lvlText w:val="Art. %1"/>
      <w:lvlJc w:val="left"/>
      <w:pPr>
        <w:ind w:left="357" w:firstLine="210"/>
      </w:pPr>
      <w:rPr>
        <w:rFonts w:hint="default"/>
      </w:rPr>
    </w:lvl>
    <w:lvl w:ilvl="1" w:tplc="C1D6EA08">
      <w:start w:val="1"/>
      <w:numFmt w:val="upperRoman"/>
      <w:suff w:val="nothing"/>
      <w:lvlText w:val="%2"/>
      <w:lvlJc w:val="left"/>
      <w:pPr>
        <w:ind w:left="720" w:hanging="153"/>
      </w:pPr>
      <w:rPr>
        <w:rFonts w:hint="default"/>
      </w:rPr>
    </w:lvl>
    <w:lvl w:ilvl="2" w:tplc="D480C64E">
      <w:start w:val="1"/>
      <w:numFmt w:val="none"/>
      <w:lvlText w:val=""/>
      <w:lvlJc w:val="left"/>
      <w:pPr>
        <w:ind w:left="1077" w:hanging="357"/>
      </w:pPr>
      <w:rPr>
        <w:rFonts w:hint="default"/>
      </w:rPr>
    </w:lvl>
    <w:lvl w:ilvl="3" w:tplc="5BDA1508">
      <w:start w:val="1"/>
      <w:numFmt w:val="decimal"/>
      <w:lvlText w:val="(%4)"/>
      <w:lvlJc w:val="left"/>
      <w:pPr>
        <w:ind w:left="1440" w:hanging="360"/>
      </w:pPr>
      <w:rPr>
        <w:rFonts w:hint="default"/>
      </w:rPr>
    </w:lvl>
    <w:lvl w:ilvl="4" w:tplc="1C02EE56">
      <w:start w:val="1"/>
      <w:numFmt w:val="lowerLetter"/>
      <w:lvlText w:val="(%5)"/>
      <w:lvlJc w:val="left"/>
      <w:pPr>
        <w:ind w:left="1800" w:hanging="360"/>
      </w:pPr>
      <w:rPr>
        <w:rFonts w:hint="default"/>
      </w:rPr>
    </w:lvl>
    <w:lvl w:ilvl="5" w:tplc="F8209784">
      <w:start w:val="1"/>
      <w:numFmt w:val="lowerRoman"/>
      <w:lvlText w:val="(%6)"/>
      <w:lvlJc w:val="left"/>
      <w:pPr>
        <w:ind w:left="2160" w:hanging="360"/>
      </w:pPr>
      <w:rPr>
        <w:rFonts w:hint="default"/>
      </w:rPr>
    </w:lvl>
    <w:lvl w:ilvl="6" w:tplc="415A7768">
      <w:start w:val="1"/>
      <w:numFmt w:val="decimal"/>
      <w:lvlText w:val="%7."/>
      <w:lvlJc w:val="left"/>
      <w:pPr>
        <w:ind w:left="2520" w:hanging="360"/>
      </w:pPr>
      <w:rPr>
        <w:rFonts w:hint="default"/>
      </w:rPr>
    </w:lvl>
    <w:lvl w:ilvl="7" w:tplc="3B6268B0">
      <w:start w:val="1"/>
      <w:numFmt w:val="lowerLetter"/>
      <w:lvlText w:val="%8."/>
      <w:lvlJc w:val="left"/>
      <w:pPr>
        <w:ind w:left="2880" w:hanging="360"/>
      </w:pPr>
      <w:rPr>
        <w:rFonts w:hint="default"/>
      </w:rPr>
    </w:lvl>
    <w:lvl w:ilvl="8" w:tplc="BBFE7114">
      <w:start w:val="1"/>
      <w:numFmt w:val="lowerRoman"/>
      <w:lvlText w:val="%9."/>
      <w:lvlJc w:val="left"/>
      <w:pPr>
        <w:ind w:left="3240" w:hanging="360"/>
      </w:pPr>
      <w:rPr>
        <w:rFonts w:hint="default"/>
      </w:rPr>
    </w:lvl>
  </w:abstractNum>
  <w:abstractNum w:abstractNumId="27" w15:restartNumberingAfterBreak="0">
    <w:nsid w:val="31C20AAB"/>
    <w:multiLevelType w:val="multilevel"/>
    <w:tmpl w:val="C6125CA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6C5872"/>
    <w:multiLevelType w:val="multilevel"/>
    <w:tmpl w:val="671AF172"/>
    <w:lvl w:ilvl="0">
      <w:start w:val="1"/>
      <w:numFmt w:val="decimal"/>
      <w:lvlText w:val="%1."/>
      <w:lvlJc w:val="left"/>
      <w:pPr>
        <w:ind w:left="360" w:hanging="360"/>
      </w:pPr>
    </w:lvl>
    <w:lvl w:ilvl="1">
      <w:start w:val="1"/>
      <w:numFmt w:val="decimal"/>
      <w:lvlText w:val="%1.%2."/>
      <w:lvlJc w:val="left"/>
      <w:pPr>
        <w:ind w:left="1080" w:hanging="360"/>
      </w:pPr>
      <w:rPr>
        <w:rFonts w:asciiTheme="minorHAnsi" w:hAnsiTheme="minorHAnsi" w:cstheme="minorHAnsi" w:hint="default"/>
        <w:b w:val="0"/>
        <w:bCs w:val="0"/>
      </w:rPr>
    </w:lvl>
    <w:lvl w:ilvl="2">
      <w:start w:val="1"/>
      <w:numFmt w:val="lowerLetter"/>
      <w:lvlText w:val="%3)"/>
      <w:lvlJc w:val="left"/>
      <w:pPr>
        <w:ind w:left="1800" w:hanging="180"/>
      </w:pPr>
      <w:rPr>
        <w:rFonts w:asciiTheme="minorHAnsi" w:eastAsiaTheme="minorEastAsia" w:hAnsiTheme="minorHAnsi" w:cstheme="minorBidi"/>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36C42A87"/>
    <w:multiLevelType w:val="multilevel"/>
    <w:tmpl w:val="B4DE4440"/>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3)"/>
      <w:lvlJc w:val="left"/>
      <w:pPr>
        <w:ind w:left="1800" w:hanging="180"/>
      </w:pPr>
      <w:rPr>
        <w:rFonts w:asciiTheme="minorHAnsi" w:eastAsiaTheme="minorEastAsia" w:hAnsiTheme="minorHAnsi" w:cstheme="minorBidi"/>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0" w15:restartNumberingAfterBreak="0">
    <w:nsid w:val="38D505EA"/>
    <w:multiLevelType w:val="multilevel"/>
    <w:tmpl w:val="C48E32D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9703F61"/>
    <w:multiLevelType w:val="hybridMultilevel"/>
    <w:tmpl w:val="DDE8B796"/>
    <w:lvl w:ilvl="0" w:tplc="CA1634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131349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43682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70159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B75E96"/>
    <w:multiLevelType w:val="multilevel"/>
    <w:tmpl w:val="CD9696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9C5C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97065F"/>
    <w:multiLevelType w:val="multilevel"/>
    <w:tmpl w:val="15A604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461B6F"/>
    <w:multiLevelType w:val="multilevel"/>
    <w:tmpl w:val="5D6C7DD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4A1B2CE6"/>
    <w:multiLevelType w:val="multilevel"/>
    <w:tmpl w:val="084EEB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1AD1DB5"/>
    <w:multiLevelType w:val="multilevel"/>
    <w:tmpl w:val="205CF3B6"/>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lowerLetter"/>
      <w:lvlText w:val="%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C62B2C"/>
    <w:multiLevelType w:val="hybridMultilevel"/>
    <w:tmpl w:val="D292C1D6"/>
    <w:lvl w:ilvl="0" w:tplc="6D82B486">
      <w:start w:val="1"/>
      <w:numFmt w:val="decimal"/>
      <w:lvlText w:val="%1.."/>
      <w:lvlJc w:val="left"/>
      <w:pPr>
        <w:ind w:left="792" w:hanging="43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7145374"/>
    <w:multiLevelType w:val="multilevel"/>
    <w:tmpl w:val="95323AD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15:restartNumberingAfterBreak="0">
    <w:nsid w:val="5769116D"/>
    <w:multiLevelType w:val="hybridMultilevel"/>
    <w:tmpl w:val="D9A66816"/>
    <w:lvl w:ilvl="0" w:tplc="60E6D1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15:restartNumberingAfterBreak="0">
    <w:nsid w:val="5EE1203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F92B15"/>
    <w:multiLevelType w:val="multilevel"/>
    <w:tmpl w:val="1E6A107C"/>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6" w15:restartNumberingAfterBreak="0">
    <w:nsid w:val="60265BC3"/>
    <w:multiLevelType w:val="multilevel"/>
    <w:tmpl w:val="1680A93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66ED55E6"/>
    <w:multiLevelType w:val="hybridMultilevel"/>
    <w:tmpl w:val="6B8A2534"/>
    <w:name w:val="SDM autonum32"/>
    <w:lvl w:ilvl="0" w:tplc="9A8A3C30">
      <w:start w:val="1"/>
      <w:numFmt w:val="decimal"/>
      <w:suff w:val="nothing"/>
      <w:lvlText w:val="Art. %1"/>
      <w:lvlJc w:val="left"/>
      <w:pPr>
        <w:ind w:left="357" w:firstLine="210"/>
      </w:pPr>
      <w:rPr>
        <w:rFonts w:hint="default"/>
        <w:b w:val="0"/>
      </w:rPr>
    </w:lvl>
    <w:lvl w:ilvl="1" w:tplc="4FE6A2B4">
      <w:start w:val="1"/>
      <w:numFmt w:val="upperRoman"/>
      <w:suff w:val="nothing"/>
      <w:lvlText w:val="%2"/>
      <w:lvlJc w:val="left"/>
      <w:pPr>
        <w:ind w:left="0" w:firstLine="567"/>
      </w:pPr>
      <w:rPr>
        <w:rFonts w:hint="default"/>
      </w:rPr>
    </w:lvl>
    <w:lvl w:ilvl="2" w:tplc="5748F546">
      <w:start w:val="1"/>
      <w:numFmt w:val="none"/>
      <w:lvlText w:val=""/>
      <w:lvlJc w:val="left"/>
      <w:pPr>
        <w:ind w:left="1077" w:hanging="357"/>
      </w:pPr>
      <w:rPr>
        <w:rFonts w:hint="default"/>
      </w:rPr>
    </w:lvl>
    <w:lvl w:ilvl="3" w:tplc="42A419D4">
      <w:start w:val="1"/>
      <w:numFmt w:val="decimal"/>
      <w:lvlText w:val="(%4)"/>
      <w:lvlJc w:val="left"/>
      <w:pPr>
        <w:ind w:left="1440" w:hanging="360"/>
      </w:pPr>
      <w:rPr>
        <w:rFonts w:hint="default"/>
      </w:rPr>
    </w:lvl>
    <w:lvl w:ilvl="4" w:tplc="3BE04FA6">
      <w:start w:val="1"/>
      <w:numFmt w:val="lowerLetter"/>
      <w:lvlText w:val="(%5)"/>
      <w:lvlJc w:val="left"/>
      <w:pPr>
        <w:ind w:left="1800" w:hanging="360"/>
      </w:pPr>
      <w:rPr>
        <w:rFonts w:hint="default"/>
      </w:rPr>
    </w:lvl>
    <w:lvl w:ilvl="5" w:tplc="F91AFAA2">
      <w:start w:val="1"/>
      <w:numFmt w:val="lowerRoman"/>
      <w:lvlText w:val="(%6)"/>
      <w:lvlJc w:val="left"/>
      <w:pPr>
        <w:ind w:left="2160" w:hanging="360"/>
      </w:pPr>
      <w:rPr>
        <w:rFonts w:hint="default"/>
      </w:rPr>
    </w:lvl>
    <w:lvl w:ilvl="6" w:tplc="CD8621CA">
      <w:start w:val="1"/>
      <w:numFmt w:val="decimal"/>
      <w:lvlText w:val="%7."/>
      <w:lvlJc w:val="left"/>
      <w:pPr>
        <w:ind w:left="2520" w:hanging="360"/>
      </w:pPr>
      <w:rPr>
        <w:rFonts w:hint="default"/>
      </w:rPr>
    </w:lvl>
    <w:lvl w:ilvl="7" w:tplc="BD642154">
      <w:start w:val="1"/>
      <w:numFmt w:val="lowerLetter"/>
      <w:lvlText w:val="%8."/>
      <w:lvlJc w:val="left"/>
      <w:pPr>
        <w:ind w:left="2880" w:hanging="360"/>
      </w:pPr>
      <w:rPr>
        <w:rFonts w:hint="default"/>
      </w:rPr>
    </w:lvl>
    <w:lvl w:ilvl="8" w:tplc="D41A8AB4">
      <w:start w:val="1"/>
      <w:numFmt w:val="lowerRoman"/>
      <w:lvlText w:val="%9."/>
      <w:lvlJc w:val="left"/>
      <w:pPr>
        <w:ind w:left="3240" w:hanging="360"/>
      </w:pPr>
      <w:rPr>
        <w:rFonts w:hint="default"/>
      </w:rPr>
    </w:lvl>
  </w:abstractNum>
  <w:abstractNum w:abstractNumId="48" w15:restartNumberingAfterBreak="0">
    <w:nsid w:val="69633F0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EF30E0"/>
    <w:multiLevelType w:val="multilevel"/>
    <w:tmpl w:val="641C0BC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6DEE09EB"/>
    <w:multiLevelType w:val="multilevel"/>
    <w:tmpl w:val="037A9EDC"/>
    <w:lvl w:ilvl="0">
      <w:start w:val="1"/>
      <w:numFmt w:val="decimal"/>
      <w:lvlText w:val="%1."/>
      <w:lvlJc w:val="left"/>
      <w:pPr>
        <w:ind w:left="720" w:hanging="360"/>
      </w:pPr>
      <w:rPr>
        <w:rFonts w:asciiTheme="minorHAnsi" w:eastAsia="Times New Roman" w:hAnsiTheme="minorHAnsi" w:cstheme="minorBidi"/>
        <w:strike w:val="0"/>
        <w:dstrike w:val="0"/>
        <w:u w:val="none"/>
        <w:effect w:val="none"/>
      </w:r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FBC4F4A"/>
    <w:multiLevelType w:val="multilevel"/>
    <w:tmpl w:val="28C46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2950E54"/>
    <w:multiLevelType w:val="multilevel"/>
    <w:tmpl w:val="5F082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9D7A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5A63C1A"/>
    <w:multiLevelType w:val="multilevel"/>
    <w:tmpl w:val="D626F04C"/>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lowerLetter"/>
      <w:lvlText w:val="%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5" w15:restartNumberingAfterBreak="0">
    <w:nsid w:val="76446E2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8C67C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E97710"/>
    <w:multiLevelType w:val="hybridMultilevel"/>
    <w:tmpl w:val="93AC962E"/>
    <w:name w:val="SDM autonum2"/>
    <w:lvl w:ilvl="0" w:tplc="2CAE9D86">
      <w:start w:val="1"/>
      <w:numFmt w:val="decimal"/>
      <w:suff w:val="nothing"/>
      <w:lvlText w:val="Art. %1"/>
      <w:lvlJc w:val="left"/>
      <w:pPr>
        <w:ind w:left="357" w:firstLine="210"/>
      </w:pPr>
      <w:rPr>
        <w:rFonts w:hint="default"/>
      </w:rPr>
    </w:lvl>
    <w:lvl w:ilvl="1" w:tplc="C76E4D78">
      <w:start w:val="1"/>
      <w:numFmt w:val="upperRoman"/>
      <w:suff w:val="nothing"/>
      <w:lvlText w:val="%2"/>
      <w:lvlJc w:val="left"/>
      <w:pPr>
        <w:ind w:left="720" w:hanging="153"/>
      </w:pPr>
      <w:rPr>
        <w:rFonts w:hint="default"/>
      </w:rPr>
    </w:lvl>
    <w:lvl w:ilvl="2" w:tplc="65CA9340">
      <w:start w:val="1"/>
      <w:numFmt w:val="none"/>
      <w:lvlText w:val=""/>
      <w:lvlJc w:val="left"/>
      <w:pPr>
        <w:ind w:left="1077" w:hanging="357"/>
      </w:pPr>
      <w:rPr>
        <w:rFonts w:hint="default"/>
      </w:rPr>
    </w:lvl>
    <w:lvl w:ilvl="3" w:tplc="A73AE1AA">
      <w:start w:val="1"/>
      <w:numFmt w:val="decimal"/>
      <w:lvlText w:val="(%4)"/>
      <w:lvlJc w:val="left"/>
      <w:pPr>
        <w:ind w:left="1440" w:hanging="360"/>
      </w:pPr>
      <w:rPr>
        <w:rFonts w:hint="default"/>
      </w:rPr>
    </w:lvl>
    <w:lvl w:ilvl="4" w:tplc="C630AA00">
      <w:start w:val="1"/>
      <w:numFmt w:val="lowerLetter"/>
      <w:lvlText w:val="(%5)"/>
      <w:lvlJc w:val="left"/>
      <w:pPr>
        <w:ind w:left="1800" w:hanging="360"/>
      </w:pPr>
      <w:rPr>
        <w:rFonts w:hint="default"/>
      </w:rPr>
    </w:lvl>
    <w:lvl w:ilvl="5" w:tplc="36164528">
      <w:start w:val="1"/>
      <w:numFmt w:val="lowerRoman"/>
      <w:lvlText w:val="(%6)"/>
      <w:lvlJc w:val="left"/>
      <w:pPr>
        <w:ind w:left="2160" w:hanging="360"/>
      </w:pPr>
      <w:rPr>
        <w:rFonts w:hint="default"/>
      </w:rPr>
    </w:lvl>
    <w:lvl w:ilvl="6" w:tplc="610A22A4">
      <w:start w:val="1"/>
      <w:numFmt w:val="decimal"/>
      <w:lvlText w:val="%7."/>
      <w:lvlJc w:val="left"/>
      <w:pPr>
        <w:ind w:left="2520" w:hanging="360"/>
      </w:pPr>
      <w:rPr>
        <w:rFonts w:hint="default"/>
      </w:rPr>
    </w:lvl>
    <w:lvl w:ilvl="7" w:tplc="797C29F6">
      <w:start w:val="1"/>
      <w:numFmt w:val="lowerLetter"/>
      <w:lvlText w:val="%8."/>
      <w:lvlJc w:val="left"/>
      <w:pPr>
        <w:ind w:left="2880" w:hanging="360"/>
      </w:pPr>
      <w:rPr>
        <w:rFonts w:hint="default"/>
      </w:rPr>
    </w:lvl>
    <w:lvl w:ilvl="8" w:tplc="32149404">
      <w:start w:val="1"/>
      <w:numFmt w:val="lowerRoman"/>
      <w:lvlText w:val="%9."/>
      <w:lvlJc w:val="left"/>
      <w:pPr>
        <w:ind w:left="3240" w:hanging="360"/>
      </w:pPr>
      <w:rPr>
        <w:rFonts w:hint="default"/>
      </w:rPr>
    </w:lvl>
  </w:abstractNum>
  <w:abstractNum w:abstractNumId="58" w15:restartNumberingAfterBreak="0">
    <w:nsid w:val="7CBC1E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6588952">
    <w:abstractNumId w:val="2"/>
  </w:num>
  <w:num w:numId="2" w16cid:durableId="1373573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382821">
    <w:abstractNumId w:val="10"/>
  </w:num>
  <w:num w:numId="4" w16cid:durableId="1057822242">
    <w:abstractNumId w:val="22"/>
  </w:num>
  <w:num w:numId="5" w16cid:durableId="1113524830">
    <w:abstractNumId w:val="4"/>
  </w:num>
  <w:num w:numId="6" w16cid:durableId="45880400">
    <w:abstractNumId w:val="43"/>
  </w:num>
  <w:num w:numId="7" w16cid:durableId="1916089393">
    <w:abstractNumId w:val="17"/>
  </w:num>
  <w:num w:numId="8" w16cid:durableId="1293560409">
    <w:abstractNumId w:val="50"/>
  </w:num>
  <w:num w:numId="9" w16cid:durableId="1702054634">
    <w:abstractNumId w:val="52"/>
  </w:num>
  <w:num w:numId="10" w16cid:durableId="1943368068">
    <w:abstractNumId w:val="29"/>
  </w:num>
  <w:num w:numId="11" w16cid:durableId="481774141">
    <w:abstractNumId w:val="28"/>
  </w:num>
  <w:num w:numId="12" w16cid:durableId="1131552432">
    <w:abstractNumId w:val="42"/>
  </w:num>
  <w:num w:numId="13" w16cid:durableId="355427557">
    <w:abstractNumId w:val="9"/>
  </w:num>
  <w:num w:numId="14" w16cid:durableId="966929860">
    <w:abstractNumId w:val="58"/>
  </w:num>
  <w:num w:numId="15" w16cid:durableId="589509943">
    <w:abstractNumId w:val="13"/>
  </w:num>
  <w:num w:numId="16" w16cid:durableId="87776411">
    <w:abstractNumId w:val="1"/>
  </w:num>
  <w:num w:numId="17" w16cid:durableId="27800002">
    <w:abstractNumId w:val="55"/>
  </w:num>
  <w:num w:numId="18" w16cid:durableId="1366327264">
    <w:abstractNumId w:val="32"/>
  </w:num>
  <w:num w:numId="19" w16cid:durableId="467478512">
    <w:abstractNumId w:val="0"/>
  </w:num>
  <w:num w:numId="20" w16cid:durableId="657998922">
    <w:abstractNumId w:val="48"/>
  </w:num>
  <w:num w:numId="21" w16cid:durableId="165286383">
    <w:abstractNumId w:val="5"/>
  </w:num>
  <w:num w:numId="22" w16cid:durableId="378239093">
    <w:abstractNumId w:val="44"/>
  </w:num>
  <w:num w:numId="23" w16cid:durableId="107555104">
    <w:abstractNumId w:val="15"/>
  </w:num>
  <w:num w:numId="24" w16cid:durableId="79331159">
    <w:abstractNumId w:val="7"/>
  </w:num>
  <w:num w:numId="25" w16cid:durableId="544945919">
    <w:abstractNumId w:val="56"/>
  </w:num>
  <w:num w:numId="26" w16cid:durableId="1521622770">
    <w:abstractNumId w:val="33"/>
  </w:num>
  <w:num w:numId="27" w16cid:durableId="917517060">
    <w:abstractNumId w:val="34"/>
  </w:num>
  <w:num w:numId="28" w16cid:durableId="97677343">
    <w:abstractNumId w:val="36"/>
  </w:num>
  <w:num w:numId="29" w16cid:durableId="517695347">
    <w:abstractNumId w:val="11"/>
  </w:num>
  <w:num w:numId="30" w16cid:durableId="1590699195">
    <w:abstractNumId w:val="12"/>
  </w:num>
  <w:num w:numId="31" w16cid:durableId="1376932381">
    <w:abstractNumId w:val="39"/>
  </w:num>
  <w:num w:numId="32" w16cid:durableId="1357194733">
    <w:abstractNumId w:val="53"/>
  </w:num>
  <w:num w:numId="33" w16cid:durableId="920334799">
    <w:abstractNumId w:val="6"/>
  </w:num>
  <w:num w:numId="34" w16cid:durableId="1631592563">
    <w:abstractNumId w:val="37"/>
  </w:num>
  <w:num w:numId="35" w16cid:durableId="959452607">
    <w:abstractNumId w:val="35"/>
  </w:num>
  <w:num w:numId="36" w16cid:durableId="453063379">
    <w:abstractNumId w:val="23"/>
  </w:num>
  <w:num w:numId="37" w16cid:durableId="398789139">
    <w:abstractNumId w:val="51"/>
  </w:num>
  <w:num w:numId="38" w16cid:durableId="1849295294">
    <w:abstractNumId w:val="25"/>
  </w:num>
  <w:num w:numId="39" w16cid:durableId="79063634">
    <w:abstractNumId w:val="46"/>
  </w:num>
  <w:num w:numId="40" w16cid:durableId="673993982">
    <w:abstractNumId w:val="54"/>
  </w:num>
  <w:num w:numId="41" w16cid:durableId="1853376598">
    <w:abstractNumId w:val="24"/>
  </w:num>
  <w:num w:numId="42" w16cid:durableId="1503272960">
    <w:abstractNumId w:val="38"/>
  </w:num>
  <w:num w:numId="43" w16cid:durableId="1953974392">
    <w:abstractNumId w:val="49"/>
  </w:num>
  <w:num w:numId="44" w16cid:durableId="1804272664">
    <w:abstractNumId w:val="18"/>
  </w:num>
  <w:num w:numId="45" w16cid:durableId="420488171">
    <w:abstractNumId w:val="41"/>
  </w:num>
  <w:num w:numId="46" w16cid:durableId="1097402720">
    <w:abstractNumId w:val="20"/>
  </w:num>
  <w:num w:numId="47" w16cid:durableId="1068334820">
    <w:abstractNumId w:val="31"/>
  </w:num>
  <w:num w:numId="48" w16cid:durableId="657421323">
    <w:abstractNumId w:val="3"/>
  </w:num>
  <w:num w:numId="49" w16cid:durableId="1704859969">
    <w:abstractNumId w:val="30"/>
  </w:num>
  <w:num w:numId="50" w16cid:durableId="194972050">
    <w:abstractNumId w:val="19"/>
  </w:num>
  <w:num w:numId="51" w16cid:durableId="1181704981">
    <w:abstractNumId w:val="27"/>
  </w:num>
  <w:num w:numId="52" w16cid:durableId="1916474707">
    <w:abstractNumId w:val="40"/>
  </w:num>
  <w:num w:numId="53" w16cid:durableId="2079667651">
    <w:abstractNumId w:val="14"/>
  </w:num>
  <w:num w:numId="54" w16cid:durableId="161378008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NDI0NLUwMjGyMDBT0lEKTi0uzszPAykwMaoFAKc1QDotAAAA"/>
  </w:docVars>
  <w:rsids>
    <w:rsidRoot w:val="00F43FBA"/>
    <w:rsid w:val="000000EF"/>
    <w:rsid w:val="0000034D"/>
    <w:rsid w:val="000003B0"/>
    <w:rsid w:val="00000498"/>
    <w:rsid w:val="000006AC"/>
    <w:rsid w:val="0000073A"/>
    <w:rsid w:val="00000840"/>
    <w:rsid w:val="00000B42"/>
    <w:rsid w:val="00000D0A"/>
    <w:rsid w:val="00000F3F"/>
    <w:rsid w:val="00001231"/>
    <w:rsid w:val="00001325"/>
    <w:rsid w:val="00001764"/>
    <w:rsid w:val="00001894"/>
    <w:rsid w:val="00001A89"/>
    <w:rsid w:val="00001B37"/>
    <w:rsid w:val="00001BE1"/>
    <w:rsid w:val="00002143"/>
    <w:rsid w:val="00002150"/>
    <w:rsid w:val="00002315"/>
    <w:rsid w:val="0000255C"/>
    <w:rsid w:val="0000259E"/>
    <w:rsid w:val="00002811"/>
    <w:rsid w:val="00002B57"/>
    <w:rsid w:val="00002B8E"/>
    <w:rsid w:val="00002E72"/>
    <w:rsid w:val="0000309D"/>
    <w:rsid w:val="0000320A"/>
    <w:rsid w:val="000033A3"/>
    <w:rsid w:val="000034C6"/>
    <w:rsid w:val="000035FA"/>
    <w:rsid w:val="0000362D"/>
    <w:rsid w:val="00003780"/>
    <w:rsid w:val="000037C2"/>
    <w:rsid w:val="00003A51"/>
    <w:rsid w:val="00003D96"/>
    <w:rsid w:val="00003E54"/>
    <w:rsid w:val="00004007"/>
    <w:rsid w:val="00004131"/>
    <w:rsid w:val="0000423E"/>
    <w:rsid w:val="0000430D"/>
    <w:rsid w:val="00004324"/>
    <w:rsid w:val="0000468E"/>
    <w:rsid w:val="00004A82"/>
    <w:rsid w:val="00004AFD"/>
    <w:rsid w:val="00004DD4"/>
    <w:rsid w:val="00004FD4"/>
    <w:rsid w:val="000051FD"/>
    <w:rsid w:val="000056D1"/>
    <w:rsid w:val="000056DC"/>
    <w:rsid w:val="00005804"/>
    <w:rsid w:val="00005B97"/>
    <w:rsid w:val="0000608F"/>
    <w:rsid w:val="00006827"/>
    <w:rsid w:val="00006A22"/>
    <w:rsid w:val="00006D1F"/>
    <w:rsid w:val="000071A2"/>
    <w:rsid w:val="000073ED"/>
    <w:rsid w:val="00007475"/>
    <w:rsid w:val="0000752A"/>
    <w:rsid w:val="0000768E"/>
    <w:rsid w:val="00007761"/>
    <w:rsid w:val="0000780E"/>
    <w:rsid w:val="000078B7"/>
    <w:rsid w:val="0000793A"/>
    <w:rsid w:val="00007A16"/>
    <w:rsid w:val="00007A40"/>
    <w:rsid w:val="00007B03"/>
    <w:rsid w:val="00007F39"/>
    <w:rsid w:val="000102E9"/>
    <w:rsid w:val="000104F9"/>
    <w:rsid w:val="00010649"/>
    <w:rsid w:val="00010821"/>
    <w:rsid w:val="000109EC"/>
    <w:rsid w:val="00010BFB"/>
    <w:rsid w:val="00010D4A"/>
    <w:rsid w:val="00010D89"/>
    <w:rsid w:val="00010EC6"/>
    <w:rsid w:val="00010F19"/>
    <w:rsid w:val="00011419"/>
    <w:rsid w:val="000116F9"/>
    <w:rsid w:val="00011785"/>
    <w:rsid w:val="00011960"/>
    <w:rsid w:val="00011A62"/>
    <w:rsid w:val="00011BC6"/>
    <w:rsid w:val="00011D90"/>
    <w:rsid w:val="00012657"/>
    <w:rsid w:val="000127A0"/>
    <w:rsid w:val="000127E0"/>
    <w:rsid w:val="00012C34"/>
    <w:rsid w:val="00012F16"/>
    <w:rsid w:val="00012F3F"/>
    <w:rsid w:val="000130A3"/>
    <w:rsid w:val="000130E4"/>
    <w:rsid w:val="00013119"/>
    <w:rsid w:val="000131ED"/>
    <w:rsid w:val="00013264"/>
    <w:rsid w:val="00013838"/>
    <w:rsid w:val="0001395C"/>
    <w:rsid w:val="0001395D"/>
    <w:rsid w:val="0001399E"/>
    <w:rsid w:val="00013FB1"/>
    <w:rsid w:val="00014035"/>
    <w:rsid w:val="000141DC"/>
    <w:rsid w:val="00014263"/>
    <w:rsid w:val="000142CE"/>
    <w:rsid w:val="00014475"/>
    <w:rsid w:val="00014664"/>
    <w:rsid w:val="00014851"/>
    <w:rsid w:val="00014A42"/>
    <w:rsid w:val="00014A7D"/>
    <w:rsid w:val="00014ACF"/>
    <w:rsid w:val="00014CB8"/>
    <w:rsid w:val="00014DB9"/>
    <w:rsid w:val="00015809"/>
    <w:rsid w:val="000158DA"/>
    <w:rsid w:val="00015A49"/>
    <w:rsid w:val="00015CE1"/>
    <w:rsid w:val="00015D43"/>
    <w:rsid w:val="00016414"/>
    <w:rsid w:val="000164B5"/>
    <w:rsid w:val="000165BE"/>
    <w:rsid w:val="000165E1"/>
    <w:rsid w:val="000168FA"/>
    <w:rsid w:val="00016A45"/>
    <w:rsid w:val="00016A4F"/>
    <w:rsid w:val="00016A7B"/>
    <w:rsid w:val="00016C8C"/>
    <w:rsid w:val="00016D11"/>
    <w:rsid w:val="00016D43"/>
    <w:rsid w:val="00017098"/>
    <w:rsid w:val="000170F9"/>
    <w:rsid w:val="00017170"/>
    <w:rsid w:val="0001770A"/>
    <w:rsid w:val="0001789D"/>
    <w:rsid w:val="000178CB"/>
    <w:rsid w:val="000178D0"/>
    <w:rsid w:val="00017A2D"/>
    <w:rsid w:val="00017D58"/>
    <w:rsid w:val="00017F48"/>
    <w:rsid w:val="00020678"/>
    <w:rsid w:val="00020917"/>
    <w:rsid w:val="000209EF"/>
    <w:rsid w:val="00020C49"/>
    <w:rsid w:val="00020E14"/>
    <w:rsid w:val="00021021"/>
    <w:rsid w:val="000211DD"/>
    <w:rsid w:val="0002123A"/>
    <w:rsid w:val="00021273"/>
    <w:rsid w:val="000212CA"/>
    <w:rsid w:val="000213A0"/>
    <w:rsid w:val="00021673"/>
    <w:rsid w:val="000216DD"/>
    <w:rsid w:val="00021731"/>
    <w:rsid w:val="000217CF"/>
    <w:rsid w:val="00021819"/>
    <w:rsid w:val="000218B4"/>
    <w:rsid w:val="000218EA"/>
    <w:rsid w:val="00021B8D"/>
    <w:rsid w:val="00021BFC"/>
    <w:rsid w:val="00022025"/>
    <w:rsid w:val="0002212B"/>
    <w:rsid w:val="000221F8"/>
    <w:rsid w:val="00022789"/>
    <w:rsid w:val="00022A8A"/>
    <w:rsid w:val="00022B5C"/>
    <w:rsid w:val="00022BB7"/>
    <w:rsid w:val="00022C99"/>
    <w:rsid w:val="00022CFE"/>
    <w:rsid w:val="00022E1B"/>
    <w:rsid w:val="00022FE6"/>
    <w:rsid w:val="00023158"/>
    <w:rsid w:val="0002353F"/>
    <w:rsid w:val="000237E3"/>
    <w:rsid w:val="000238DE"/>
    <w:rsid w:val="00023A83"/>
    <w:rsid w:val="00023AB6"/>
    <w:rsid w:val="00023D7B"/>
    <w:rsid w:val="00023E62"/>
    <w:rsid w:val="00023F01"/>
    <w:rsid w:val="0002424B"/>
    <w:rsid w:val="000242CE"/>
    <w:rsid w:val="000242F6"/>
    <w:rsid w:val="00024397"/>
    <w:rsid w:val="00024506"/>
    <w:rsid w:val="000245A3"/>
    <w:rsid w:val="000245D0"/>
    <w:rsid w:val="0002467D"/>
    <w:rsid w:val="00024701"/>
    <w:rsid w:val="00024817"/>
    <w:rsid w:val="00024B6F"/>
    <w:rsid w:val="00024CF7"/>
    <w:rsid w:val="00025583"/>
    <w:rsid w:val="00025B5B"/>
    <w:rsid w:val="00025B91"/>
    <w:rsid w:val="00025E2D"/>
    <w:rsid w:val="0002617A"/>
    <w:rsid w:val="0002619D"/>
    <w:rsid w:val="0002654E"/>
    <w:rsid w:val="000266AF"/>
    <w:rsid w:val="00026A5B"/>
    <w:rsid w:val="00026AB7"/>
    <w:rsid w:val="00026AF0"/>
    <w:rsid w:val="00026C7E"/>
    <w:rsid w:val="00026DBA"/>
    <w:rsid w:val="000270CC"/>
    <w:rsid w:val="000273B2"/>
    <w:rsid w:val="00027690"/>
    <w:rsid w:val="000278BD"/>
    <w:rsid w:val="000278D6"/>
    <w:rsid w:val="000278E3"/>
    <w:rsid w:val="0002797D"/>
    <w:rsid w:val="0002798B"/>
    <w:rsid w:val="00027A94"/>
    <w:rsid w:val="00027E85"/>
    <w:rsid w:val="00027FB5"/>
    <w:rsid w:val="0002A107"/>
    <w:rsid w:val="000301D2"/>
    <w:rsid w:val="00030365"/>
    <w:rsid w:val="0003038D"/>
    <w:rsid w:val="00030465"/>
    <w:rsid w:val="00030859"/>
    <w:rsid w:val="00030A5A"/>
    <w:rsid w:val="00030C1B"/>
    <w:rsid w:val="00030CD5"/>
    <w:rsid w:val="00030D14"/>
    <w:rsid w:val="00030D82"/>
    <w:rsid w:val="00030DED"/>
    <w:rsid w:val="00030F68"/>
    <w:rsid w:val="00031140"/>
    <w:rsid w:val="00031234"/>
    <w:rsid w:val="0003127C"/>
    <w:rsid w:val="00031633"/>
    <w:rsid w:val="00031B6F"/>
    <w:rsid w:val="00031C80"/>
    <w:rsid w:val="00032217"/>
    <w:rsid w:val="000322AD"/>
    <w:rsid w:val="0003233A"/>
    <w:rsid w:val="000326E5"/>
    <w:rsid w:val="00032DE6"/>
    <w:rsid w:val="00032EE3"/>
    <w:rsid w:val="00032F58"/>
    <w:rsid w:val="00033058"/>
    <w:rsid w:val="00033177"/>
    <w:rsid w:val="0003323C"/>
    <w:rsid w:val="0003332D"/>
    <w:rsid w:val="00033348"/>
    <w:rsid w:val="000333E1"/>
    <w:rsid w:val="000334AC"/>
    <w:rsid w:val="000334D1"/>
    <w:rsid w:val="000335FE"/>
    <w:rsid w:val="00033692"/>
    <w:rsid w:val="00033823"/>
    <w:rsid w:val="000338E4"/>
    <w:rsid w:val="000339E0"/>
    <w:rsid w:val="00033A9A"/>
    <w:rsid w:val="00033AA3"/>
    <w:rsid w:val="00033BB1"/>
    <w:rsid w:val="00033C11"/>
    <w:rsid w:val="00033E38"/>
    <w:rsid w:val="00034127"/>
    <w:rsid w:val="00034329"/>
    <w:rsid w:val="000344A2"/>
    <w:rsid w:val="000346FA"/>
    <w:rsid w:val="0003506E"/>
    <w:rsid w:val="00035333"/>
    <w:rsid w:val="0003534A"/>
    <w:rsid w:val="000353B0"/>
    <w:rsid w:val="000357CD"/>
    <w:rsid w:val="00035905"/>
    <w:rsid w:val="00035917"/>
    <w:rsid w:val="00035A4C"/>
    <w:rsid w:val="00035A80"/>
    <w:rsid w:val="00035AAC"/>
    <w:rsid w:val="00035D6C"/>
    <w:rsid w:val="00035E19"/>
    <w:rsid w:val="00035F5D"/>
    <w:rsid w:val="000361F6"/>
    <w:rsid w:val="000362C7"/>
    <w:rsid w:val="00036368"/>
    <w:rsid w:val="00036379"/>
    <w:rsid w:val="00036804"/>
    <w:rsid w:val="00036A77"/>
    <w:rsid w:val="00036A88"/>
    <w:rsid w:val="00036AA1"/>
    <w:rsid w:val="00036B76"/>
    <w:rsid w:val="00036BCC"/>
    <w:rsid w:val="00036E07"/>
    <w:rsid w:val="00036EDA"/>
    <w:rsid w:val="00036F9E"/>
    <w:rsid w:val="000373A9"/>
    <w:rsid w:val="00037420"/>
    <w:rsid w:val="000377CC"/>
    <w:rsid w:val="0003788A"/>
    <w:rsid w:val="000379A0"/>
    <w:rsid w:val="00037BE3"/>
    <w:rsid w:val="00037BF3"/>
    <w:rsid w:val="00037D53"/>
    <w:rsid w:val="00037DA3"/>
    <w:rsid w:val="00037DDA"/>
    <w:rsid w:val="00037DF8"/>
    <w:rsid w:val="00037E72"/>
    <w:rsid w:val="00037EBD"/>
    <w:rsid w:val="0004054A"/>
    <w:rsid w:val="0004058D"/>
    <w:rsid w:val="00040801"/>
    <w:rsid w:val="00040B3B"/>
    <w:rsid w:val="00040D36"/>
    <w:rsid w:val="0004105B"/>
    <w:rsid w:val="00041094"/>
    <w:rsid w:val="00041212"/>
    <w:rsid w:val="000412AB"/>
    <w:rsid w:val="0004133B"/>
    <w:rsid w:val="000413FA"/>
    <w:rsid w:val="00041665"/>
    <w:rsid w:val="000418E4"/>
    <w:rsid w:val="0004197D"/>
    <w:rsid w:val="000421F7"/>
    <w:rsid w:val="0004247E"/>
    <w:rsid w:val="000425DB"/>
    <w:rsid w:val="00042654"/>
    <w:rsid w:val="0004293F"/>
    <w:rsid w:val="0004296B"/>
    <w:rsid w:val="0004297E"/>
    <w:rsid w:val="00042A43"/>
    <w:rsid w:val="00042A44"/>
    <w:rsid w:val="00042DC9"/>
    <w:rsid w:val="000432D6"/>
    <w:rsid w:val="00043307"/>
    <w:rsid w:val="00043649"/>
    <w:rsid w:val="0004372C"/>
    <w:rsid w:val="00043836"/>
    <w:rsid w:val="00043A1B"/>
    <w:rsid w:val="00043A42"/>
    <w:rsid w:val="000441F8"/>
    <w:rsid w:val="00044306"/>
    <w:rsid w:val="0004435B"/>
    <w:rsid w:val="000447F5"/>
    <w:rsid w:val="00044888"/>
    <w:rsid w:val="00044ACF"/>
    <w:rsid w:val="00044D09"/>
    <w:rsid w:val="00044E14"/>
    <w:rsid w:val="000452B1"/>
    <w:rsid w:val="000453C8"/>
    <w:rsid w:val="000454E4"/>
    <w:rsid w:val="00045599"/>
    <w:rsid w:val="000455CA"/>
    <w:rsid w:val="00045612"/>
    <w:rsid w:val="000459E1"/>
    <w:rsid w:val="00045AC0"/>
    <w:rsid w:val="00045DA8"/>
    <w:rsid w:val="00045E07"/>
    <w:rsid w:val="000461F9"/>
    <w:rsid w:val="000462AD"/>
    <w:rsid w:val="00046444"/>
    <w:rsid w:val="0004647F"/>
    <w:rsid w:val="000465DA"/>
    <w:rsid w:val="000465EB"/>
    <w:rsid w:val="00046712"/>
    <w:rsid w:val="00046859"/>
    <w:rsid w:val="000469A2"/>
    <w:rsid w:val="00046B98"/>
    <w:rsid w:val="00046E97"/>
    <w:rsid w:val="00046E9F"/>
    <w:rsid w:val="00046F37"/>
    <w:rsid w:val="000470A8"/>
    <w:rsid w:val="000470C9"/>
    <w:rsid w:val="0004760F"/>
    <w:rsid w:val="0004778B"/>
    <w:rsid w:val="00047C3F"/>
    <w:rsid w:val="00047FBB"/>
    <w:rsid w:val="0005042D"/>
    <w:rsid w:val="0005047D"/>
    <w:rsid w:val="000505A2"/>
    <w:rsid w:val="000506AB"/>
    <w:rsid w:val="0005074B"/>
    <w:rsid w:val="0005079A"/>
    <w:rsid w:val="000507B4"/>
    <w:rsid w:val="00050805"/>
    <w:rsid w:val="0005082B"/>
    <w:rsid w:val="0005085F"/>
    <w:rsid w:val="000509C1"/>
    <w:rsid w:val="00050A38"/>
    <w:rsid w:val="00050B9C"/>
    <w:rsid w:val="00050BAA"/>
    <w:rsid w:val="00050BF1"/>
    <w:rsid w:val="00050C3C"/>
    <w:rsid w:val="00050EE7"/>
    <w:rsid w:val="000511F2"/>
    <w:rsid w:val="000518EF"/>
    <w:rsid w:val="00051995"/>
    <w:rsid w:val="00051B0D"/>
    <w:rsid w:val="00051DC5"/>
    <w:rsid w:val="00051FB7"/>
    <w:rsid w:val="0005202F"/>
    <w:rsid w:val="00052099"/>
    <w:rsid w:val="000522F2"/>
    <w:rsid w:val="0005238B"/>
    <w:rsid w:val="0005265D"/>
    <w:rsid w:val="000526E9"/>
    <w:rsid w:val="00052A1E"/>
    <w:rsid w:val="00052AF3"/>
    <w:rsid w:val="000530AF"/>
    <w:rsid w:val="00053145"/>
    <w:rsid w:val="00053679"/>
    <w:rsid w:val="000536F2"/>
    <w:rsid w:val="00053B91"/>
    <w:rsid w:val="00053BB5"/>
    <w:rsid w:val="00053E4D"/>
    <w:rsid w:val="00053E6E"/>
    <w:rsid w:val="00054120"/>
    <w:rsid w:val="0005412E"/>
    <w:rsid w:val="0005416D"/>
    <w:rsid w:val="000541D9"/>
    <w:rsid w:val="000544B4"/>
    <w:rsid w:val="00054642"/>
    <w:rsid w:val="0005467F"/>
    <w:rsid w:val="000546E1"/>
    <w:rsid w:val="00054A32"/>
    <w:rsid w:val="00054AEA"/>
    <w:rsid w:val="00054B3C"/>
    <w:rsid w:val="00054DE4"/>
    <w:rsid w:val="00055243"/>
    <w:rsid w:val="0005543F"/>
    <w:rsid w:val="00055467"/>
    <w:rsid w:val="0005556F"/>
    <w:rsid w:val="000555E5"/>
    <w:rsid w:val="00055751"/>
    <w:rsid w:val="00055830"/>
    <w:rsid w:val="0005590A"/>
    <w:rsid w:val="00055954"/>
    <w:rsid w:val="00055A48"/>
    <w:rsid w:val="00055E79"/>
    <w:rsid w:val="00055FFF"/>
    <w:rsid w:val="00056408"/>
    <w:rsid w:val="000564B6"/>
    <w:rsid w:val="00056511"/>
    <w:rsid w:val="00056747"/>
    <w:rsid w:val="000567FE"/>
    <w:rsid w:val="00056959"/>
    <w:rsid w:val="00056D49"/>
    <w:rsid w:val="000570E6"/>
    <w:rsid w:val="000573E0"/>
    <w:rsid w:val="00057497"/>
    <w:rsid w:val="000577F5"/>
    <w:rsid w:val="00057DD7"/>
    <w:rsid w:val="00060683"/>
    <w:rsid w:val="0006077C"/>
    <w:rsid w:val="000608DF"/>
    <w:rsid w:val="00060967"/>
    <w:rsid w:val="00060A19"/>
    <w:rsid w:val="00060B63"/>
    <w:rsid w:val="00060D7B"/>
    <w:rsid w:val="00060F2B"/>
    <w:rsid w:val="00060FCB"/>
    <w:rsid w:val="000610DD"/>
    <w:rsid w:val="0006114E"/>
    <w:rsid w:val="000615CE"/>
    <w:rsid w:val="0006167D"/>
    <w:rsid w:val="000618F8"/>
    <w:rsid w:val="00061B5F"/>
    <w:rsid w:val="00061C01"/>
    <w:rsid w:val="00061CA0"/>
    <w:rsid w:val="00061EAF"/>
    <w:rsid w:val="0006225D"/>
    <w:rsid w:val="00062474"/>
    <w:rsid w:val="0006271D"/>
    <w:rsid w:val="00062722"/>
    <w:rsid w:val="0006275C"/>
    <w:rsid w:val="00062D81"/>
    <w:rsid w:val="00062F6A"/>
    <w:rsid w:val="00063228"/>
    <w:rsid w:val="00063276"/>
    <w:rsid w:val="000638F6"/>
    <w:rsid w:val="00063B47"/>
    <w:rsid w:val="00063CD2"/>
    <w:rsid w:val="00063EEA"/>
    <w:rsid w:val="00064513"/>
    <w:rsid w:val="0006451B"/>
    <w:rsid w:val="0006467F"/>
    <w:rsid w:val="000646B0"/>
    <w:rsid w:val="000646E0"/>
    <w:rsid w:val="00064795"/>
    <w:rsid w:val="00064D69"/>
    <w:rsid w:val="00064DAE"/>
    <w:rsid w:val="00064E71"/>
    <w:rsid w:val="00064FFD"/>
    <w:rsid w:val="000650B8"/>
    <w:rsid w:val="000650FF"/>
    <w:rsid w:val="0006522F"/>
    <w:rsid w:val="000652B6"/>
    <w:rsid w:val="000652D4"/>
    <w:rsid w:val="00065458"/>
    <w:rsid w:val="00065656"/>
    <w:rsid w:val="00065AF2"/>
    <w:rsid w:val="00065C6D"/>
    <w:rsid w:val="00065C7F"/>
    <w:rsid w:val="00065C81"/>
    <w:rsid w:val="00065D86"/>
    <w:rsid w:val="00065DAD"/>
    <w:rsid w:val="00065EA0"/>
    <w:rsid w:val="000660EE"/>
    <w:rsid w:val="00066566"/>
    <w:rsid w:val="000666FF"/>
    <w:rsid w:val="0006687E"/>
    <w:rsid w:val="0006690E"/>
    <w:rsid w:val="00066A4D"/>
    <w:rsid w:val="00066B41"/>
    <w:rsid w:val="00066CD5"/>
    <w:rsid w:val="00066DF4"/>
    <w:rsid w:val="00066F94"/>
    <w:rsid w:val="00067207"/>
    <w:rsid w:val="0006750B"/>
    <w:rsid w:val="0006760B"/>
    <w:rsid w:val="000676D9"/>
    <w:rsid w:val="00067EA4"/>
    <w:rsid w:val="0006A5BE"/>
    <w:rsid w:val="0007012B"/>
    <w:rsid w:val="00070458"/>
    <w:rsid w:val="0007065D"/>
    <w:rsid w:val="000706EB"/>
    <w:rsid w:val="00070891"/>
    <w:rsid w:val="00070920"/>
    <w:rsid w:val="00070D25"/>
    <w:rsid w:val="00070E84"/>
    <w:rsid w:val="00070ECD"/>
    <w:rsid w:val="00071204"/>
    <w:rsid w:val="0007138F"/>
    <w:rsid w:val="0007145E"/>
    <w:rsid w:val="00071736"/>
    <w:rsid w:val="00071A60"/>
    <w:rsid w:val="00071AE4"/>
    <w:rsid w:val="00071AEA"/>
    <w:rsid w:val="00071CA6"/>
    <w:rsid w:val="00071DA4"/>
    <w:rsid w:val="00071F98"/>
    <w:rsid w:val="000720E4"/>
    <w:rsid w:val="0007236C"/>
    <w:rsid w:val="0007268C"/>
    <w:rsid w:val="00072760"/>
    <w:rsid w:val="000728CF"/>
    <w:rsid w:val="0007329C"/>
    <w:rsid w:val="0007364A"/>
    <w:rsid w:val="0007381B"/>
    <w:rsid w:val="00073906"/>
    <w:rsid w:val="00073AE5"/>
    <w:rsid w:val="00073B00"/>
    <w:rsid w:val="00073BB5"/>
    <w:rsid w:val="00073BB7"/>
    <w:rsid w:val="00073DCA"/>
    <w:rsid w:val="00073E77"/>
    <w:rsid w:val="00074091"/>
    <w:rsid w:val="000740FA"/>
    <w:rsid w:val="000744FF"/>
    <w:rsid w:val="00074529"/>
    <w:rsid w:val="000746FB"/>
    <w:rsid w:val="00074772"/>
    <w:rsid w:val="000747C6"/>
    <w:rsid w:val="00074933"/>
    <w:rsid w:val="000749DE"/>
    <w:rsid w:val="00074B58"/>
    <w:rsid w:val="00074C46"/>
    <w:rsid w:val="00075141"/>
    <w:rsid w:val="00075261"/>
    <w:rsid w:val="000756CA"/>
    <w:rsid w:val="000757C7"/>
    <w:rsid w:val="00075ADE"/>
    <w:rsid w:val="00075B79"/>
    <w:rsid w:val="00075DF0"/>
    <w:rsid w:val="0007614A"/>
    <w:rsid w:val="000761E6"/>
    <w:rsid w:val="00076261"/>
    <w:rsid w:val="0007634A"/>
    <w:rsid w:val="000763A2"/>
    <w:rsid w:val="0007663A"/>
    <w:rsid w:val="000766CE"/>
    <w:rsid w:val="00076CC0"/>
    <w:rsid w:val="0007713D"/>
    <w:rsid w:val="000775EC"/>
    <w:rsid w:val="000777F7"/>
    <w:rsid w:val="000779FA"/>
    <w:rsid w:val="00077A8A"/>
    <w:rsid w:val="00080283"/>
    <w:rsid w:val="0008044D"/>
    <w:rsid w:val="000804DC"/>
    <w:rsid w:val="000806C3"/>
    <w:rsid w:val="00080754"/>
    <w:rsid w:val="000807D0"/>
    <w:rsid w:val="00080B69"/>
    <w:rsid w:val="00080E97"/>
    <w:rsid w:val="00081297"/>
    <w:rsid w:val="0008137A"/>
    <w:rsid w:val="0008138E"/>
    <w:rsid w:val="000816B3"/>
    <w:rsid w:val="000819F1"/>
    <w:rsid w:val="00081C58"/>
    <w:rsid w:val="00081D7C"/>
    <w:rsid w:val="00082146"/>
    <w:rsid w:val="00082475"/>
    <w:rsid w:val="000824AF"/>
    <w:rsid w:val="000824BD"/>
    <w:rsid w:val="00082810"/>
    <w:rsid w:val="00082B95"/>
    <w:rsid w:val="00082C13"/>
    <w:rsid w:val="00082E31"/>
    <w:rsid w:val="00082EAF"/>
    <w:rsid w:val="00082F70"/>
    <w:rsid w:val="00083068"/>
    <w:rsid w:val="0008332C"/>
    <w:rsid w:val="00083EA9"/>
    <w:rsid w:val="00084096"/>
    <w:rsid w:val="0008419F"/>
    <w:rsid w:val="0008429F"/>
    <w:rsid w:val="00084439"/>
    <w:rsid w:val="000844E3"/>
    <w:rsid w:val="0008462A"/>
    <w:rsid w:val="0008468C"/>
    <w:rsid w:val="00084776"/>
    <w:rsid w:val="00084B50"/>
    <w:rsid w:val="00084C29"/>
    <w:rsid w:val="00084CDE"/>
    <w:rsid w:val="0008540C"/>
    <w:rsid w:val="000854F0"/>
    <w:rsid w:val="000854F8"/>
    <w:rsid w:val="000855BB"/>
    <w:rsid w:val="000856EC"/>
    <w:rsid w:val="0008591A"/>
    <w:rsid w:val="00085C15"/>
    <w:rsid w:val="00085E28"/>
    <w:rsid w:val="00085E3D"/>
    <w:rsid w:val="00085EB0"/>
    <w:rsid w:val="00085FBC"/>
    <w:rsid w:val="000860D2"/>
    <w:rsid w:val="00086650"/>
    <w:rsid w:val="00086724"/>
    <w:rsid w:val="00086EDD"/>
    <w:rsid w:val="0008715E"/>
    <w:rsid w:val="000873E4"/>
    <w:rsid w:val="000874EE"/>
    <w:rsid w:val="00087671"/>
    <w:rsid w:val="00087740"/>
    <w:rsid w:val="0008774E"/>
    <w:rsid w:val="00087D29"/>
    <w:rsid w:val="0008CA81"/>
    <w:rsid w:val="0008E3C2"/>
    <w:rsid w:val="0009003B"/>
    <w:rsid w:val="00090206"/>
    <w:rsid w:val="000904E8"/>
    <w:rsid w:val="000906B5"/>
    <w:rsid w:val="0009093E"/>
    <w:rsid w:val="00090A96"/>
    <w:rsid w:val="00090BCE"/>
    <w:rsid w:val="00090C3E"/>
    <w:rsid w:val="00090D70"/>
    <w:rsid w:val="00090DFB"/>
    <w:rsid w:val="000910F7"/>
    <w:rsid w:val="000911D8"/>
    <w:rsid w:val="000914DD"/>
    <w:rsid w:val="0009190E"/>
    <w:rsid w:val="00091ABA"/>
    <w:rsid w:val="00091C13"/>
    <w:rsid w:val="00091CF9"/>
    <w:rsid w:val="00091F02"/>
    <w:rsid w:val="00092027"/>
    <w:rsid w:val="000920FF"/>
    <w:rsid w:val="000926CA"/>
    <w:rsid w:val="000927DC"/>
    <w:rsid w:val="00092915"/>
    <w:rsid w:val="00092A25"/>
    <w:rsid w:val="00092B9F"/>
    <w:rsid w:val="00092DE3"/>
    <w:rsid w:val="00092EF2"/>
    <w:rsid w:val="0009353F"/>
    <w:rsid w:val="000936DA"/>
    <w:rsid w:val="0009381C"/>
    <w:rsid w:val="00093C15"/>
    <w:rsid w:val="00093D54"/>
    <w:rsid w:val="00093D66"/>
    <w:rsid w:val="00093D9D"/>
    <w:rsid w:val="00093F8A"/>
    <w:rsid w:val="00094169"/>
    <w:rsid w:val="00094378"/>
    <w:rsid w:val="000945DF"/>
    <w:rsid w:val="00094A6A"/>
    <w:rsid w:val="00094C3E"/>
    <w:rsid w:val="00094C6E"/>
    <w:rsid w:val="00094C93"/>
    <w:rsid w:val="00094EE4"/>
    <w:rsid w:val="00094EF8"/>
    <w:rsid w:val="0009519A"/>
    <w:rsid w:val="000951A1"/>
    <w:rsid w:val="000953C4"/>
    <w:rsid w:val="000953D4"/>
    <w:rsid w:val="00095406"/>
    <w:rsid w:val="000958BD"/>
    <w:rsid w:val="00095980"/>
    <w:rsid w:val="00095D9D"/>
    <w:rsid w:val="00095FDB"/>
    <w:rsid w:val="000961CA"/>
    <w:rsid w:val="00096249"/>
    <w:rsid w:val="000962A8"/>
    <w:rsid w:val="00096547"/>
    <w:rsid w:val="0009654F"/>
    <w:rsid w:val="000967C6"/>
    <w:rsid w:val="00096AAA"/>
    <w:rsid w:val="00096B37"/>
    <w:rsid w:val="00096C4C"/>
    <w:rsid w:val="00096E85"/>
    <w:rsid w:val="00096F8F"/>
    <w:rsid w:val="000972BD"/>
    <w:rsid w:val="000972C9"/>
    <w:rsid w:val="0009730E"/>
    <w:rsid w:val="0009734C"/>
    <w:rsid w:val="000974B1"/>
    <w:rsid w:val="0009757D"/>
    <w:rsid w:val="000975C4"/>
    <w:rsid w:val="00097C7C"/>
    <w:rsid w:val="00097EB7"/>
    <w:rsid w:val="000A0050"/>
    <w:rsid w:val="000A00A2"/>
    <w:rsid w:val="000A00FF"/>
    <w:rsid w:val="000A0318"/>
    <w:rsid w:val="000A03B4"/>
    <w:rsid w:val="000A0407"/>
    <w:rsid w:val="000A04AF"/>
    <w:rsid w:val="000A063F"/>
    <w:rsid w:val="000A06BD"/>
    <w:rsid w:val="000A07CA"/>
    <w:rsid w:val="000A09D5"/>
    <w:rsid w:val="000A0ACF"/>
    <w:rsid w:val="000A0B51"/>
    <w:rsid w:val="000A0C34"/>
    <w:rsid w:val="000A0D3E"/>
    <w:rsid w:val="000A12EF"/>
    <w:rsid w:val="000A1476"/>
    <w:rsid w:val="000A154D"/>
    <w:rsid w:val="000A15E4"/>
    <w:rsid w:val="000A164C"/>
    <w:rsid w:val="000A17FA"/>
    <w:rsid w:val="000A1828"/>
    <w:rsid w:val="000A1E57"/>
    <w:rsid w:val="000A1EED"/>
    <w:rsid w:val="000A2075"/>
    <w:rsid w:val="000A282B"/>
    <w:rsid w:val="000A29E5"/>
    <w:rsid w:val="000A2A29"/>
    <w:rsid w:val="000A2A3F"/>
    <w:rsid w:val="000A2AF0"/>
    <w:rsid w:val="000A2BC6"/>
    <w:rsid w:val="000A2C1E"/>
    <w:rsid w:val="000A2CFC"/>
    <w:rsid w:val="000A2D46"/>
    <w:rsid w:val="000A2F5E"/>
    <w:rsid w:val="000A3022"/>
    <w:rsid w:val="000A32EF"/>
    <w:rsid w:val="000A33D3"/>
    <w:rsid w:val="000A3436"/>
    <w:rsid w:val="000A36D3"/>
    <w:rsid w:val="000A37AB"/>
    <w:rsid w:val="000A38BB"/>
    <w:rsid w:val="000A39C6"/>
    <w:rsid w:val="000A39C9"/>
    <w:rsid w:val="000A3A2F"/>
    <w:rsid w:val="000A3AB0"/>
    <w:rsid w:val="000A3B27"/>
    <w:rsid w:val="000A3CB5"/>
    <w:rsid w:val="000A3D84"/>
    <w:rsid w:val="000A3F23"/>
    <w:rsid w:val="000A446F"/>
    <w:rsid w:val="000A45F7"/>
    <w:rsid w:val="000A4678"/>
    <w:rsid w:val="000A4736"/>
    <w:rsid w:val="000A48E2"/>
    <w:rsid w:val="000A49B7"/>
    <w:rsid w:val="000A4BAB"/>
    <w:rsid w:val="000A4DAE"/>
    <w:rsid w:val="000A4DBB"/>
    <w:rsid w:val="000A502F"/>
    <w:rsid w:val="000A534A"/>
    <w:rsid w:val="000A544F"/>
    <w:rsid w:val="000A54C8"/>
    <w:rsid w:val="000A5750"/>
    <w:rsid w:val="000A5CA5"/>
    <w:rsid w:val="000A5CC2"/>
    <w:rsid w:val="000A6036"/>
    <w:rsid w:val="000A62F9"/>
    <w:rsid w:val="000A63A5"/>
    <w:rsid w:val="000A694B"/>
    <w:rsid w:val="000A6976"/>
    <w:rsid w:val="000A6C73"/>
    <w:rsid w:val="000A6CED"/>
    <w:rsid w:val="000A6DC1"/>
    <w:rsid w:val="000A7339"/>
    <w:rsid w:val="000A76D6"/>
    <w:rsid w:val="000A7859"/>
    <w:rsid w:val="000A7B8F"/>
    <w:rsid w:val="000A7E86"/>
    <w:rsid w:val="000B023C"/>
    <w:rsid w:val="000B0273"/>
    <w:rsid w:val="000B0399"/>
    <w:rsid w:val="000B040B"/>
    <w:rsid w:val="000B0584"/>
    <w:rsid w:val="000B099E"/>
    <w:rsid w:val="000B09D5"/>
    <w:rsid w:val="000B09DF"/>
    <w:rsid w:val="000B0BB4"/>
    <w:rsid w:val="000B0C37"/>
    <w:rsid w:val="000B0C3B"/>
    <w:rsid w:val="000B11DE"/>
    <w:rsid w:val="000B1485"/>
    <w:rsid w:val="000B1750"/>
    <w:rsid w:val="000B1822"/>
    <w:rsid w:val="000B18A8"/>
    <w:rsid w:val="000B199A"/>
    <w:rsid w:val="000B19F7"/>
    <w:rsid w:val="000B1A2A"/>
    <w:rsid w:val="000B2063"/>
    <w:rsid w:val="000B2157"/>
    <w:rsid w:val="000B221D"/>
    <w:rsid w:val="000B22E5"/>
    <w:rsid w:val="000B25B5"/>
    <w:rsid w:val="000B2662"/>
    <w:rsid w:val="000B2746"/>
    <w:rsid w:val="000B2777"/>
    <w:rsid w:val="000B27DD"/>
    <w:rsid w:val="000B294E"/>
    <w:rsid w:val="000B2968"/>
    <w:rsid w:val="000B2F5B"/>
    <w:rsid w:val="000B32B6"/>
    <w:rsid w:val="000B3BBE"/>
    <w:rsid w:val="000B3D88"/>
    <w:rsid w:val="000B3F81"/>
    <w:rsid w:val="000B4087"/>
    <w:rsid w:val="000B4179"/>
    <w:rsid w:val="000B41ED"/>
    <w:rsid w:val="000B428A"/>
    <w:rsid w:val="000B4474"/>
    <w:rsid w:val="000B4573"/>
    <w:rsid w:val="000B462A"/>
    <w:rsid w:val="000B46B1"/>
    <w:rsid w:val="000B4911"/>
    <w:rsid w:val="000B4B10"/>
    <w:rsid w:val="000B4CD0"/>
    <w:rsid w:val="000B4F4A"/>
    <w:rsid w:val="000B4FE2"/>
    <w:rsid w:val="000B529C"/>
    <w:rsid w:val="000B53CA"/>
    <w:rsid w:val="000B53DF"/>
    <w:rsid w:val="000B56B8"/>
    <w:rsid w:val="000B584A"/>
    <w:rsid w:val="000B5852"/>
    <w:rsid w:val="000B5E86"/>
    <w:rsid w:val="000B5F54"/>
    <w:rsid w:val="000B606E"/>
    <w:rsid w:val="000B60EE"/>
    <w:rsid w:val="000B65F9"/>
    <w:rsid w:val="000B6B43"/>
    <w:rsid w:val="000B6B7C"/>
    <w:rsid w:val="000B6E1A"/>
    <w:rsid w:val="000B6ED6"/>
    <w:rsid w:val="000B71B8"/>
    <w:rsid w:val="000B7634"/>
    <w:rsid w:val="000B7B54"/>
    <w:rsid w:val="000B7BF6"/>
    <w:rsid w:val="000B7C0E"/>
    <w:rsid w:val="000B7F3E"/>
    <w:rsid w:val="000C00DA"/>
    <w:rsid w:val="000C00F0"/>
    <w:rsid w:val="000C0158"/>
    <w:rsid w:val="000C0280"/>
    <w:rsid w:val="000C050A"/>
    <w:rsid w:val="000C0623"/>
    <w:rsid w:val="000C065C"/>
    <w:rsid w:val="000C06A5"/>
    <w:rsid w:val="000C0889"/>
    <w:rsid w:val="000C0935"/>
    <w:rsid w:val="000C0B06"/>
    <w:rsid w:val="000C0B95"/>
    <w:rsid w:val="000C0EC2"/>
    <w:rsid w:val="000C0EDA"/>
    <w:rsid w:val="000C0F2F"/>
    <w:rsid w:val="000C1079"/>
    <w:rsid w:val="000C11F2"/>
    <w:rsid w:val="000C1695"/>
    <w:rsid w:val="000C16A0"/>
    <w:rsid w:val="000C16D8"/>
    <w:rsid w:val="000C18A5"/>
    <w:rsid w:val="000C1958"/>
    <w:rsid w:val="000C19EC"/>
    <w:rsid w:val="000C19FA"/>
    <w:rsid w:val="000C1AF3"/>
    <w:rsid w:val="000C1B53"/>
    <w:rsid w:val="000C1D50"/>
    <w:rsid w:val="000C1FF0"/>
    <w:rsid w:val="000C21DD"/>
    <w:rsid w:val="000C226C"/>
    <w:rsid w:val="000C22F2"/>
    <w:rsid w:val="000C2662"/>
    <w:rsid w:val="000C28D4"/>
    <w:rsid w:val="000C2AAE"/>
    <w:rsid w:val="000C2B30"/>
    <w:rsid w:val="000C2E6C"/>
    <w:rsid w:val="000C324D"/>
    <w:rsid w:val="000C340B"/>
    <w:rsid w:val="000C34BD"/>
    <w:rsid w:val="000C3535"/>
    <w:rsid w:val="000C3790"/>
    <w:rsid w:val="000C37C7"/>
    <w:rsid w:val="000C3A44"/>
    <w:rsid w:val="000C3A4B"/>
    <w:rsid w:val="000C3C5A"/>
    <w:rsid w:val="000C3ED7"/>
    <w:rsid w:val="000C4510"/>
    <w:rsid w:val="000C46F2"/>
    <w:rsid w:val="000C4718"/>
    <w:rsid w:val="000C4D65"/>
    <w:rsid w:val="000C4DC1"/>
    <w:rsid w:val="000C50E6"/>
    <w:rsid w:val="000C53C0"/>
    <w:rsid w:val="000C554B"/>
    <w:rsid w:val="000C55FA"/>
    <w:rsid w:val="000C5DFF"/>
    <w:rsid w:val="000C5F6A"/>
    <w:rsid w:val="000C6086"/>
    <w:rsid w:val="000C63FF"/>
    <w:rsid w:val="000C6469"/>
    <w:rsid w:val="000C651F"/>
    <w:rsid w:val="000C6562"/>
    <w:rsid w:val="000C6AF3"/>
    <w:rsid w:val="000C6B40"/>
    <w:rsid w:val="000C6BB8"/>
    <w:rsid w:val="000C6BC4"/>
    <w:rsid w:val="000C6BDB"/>
    <w:rsid w:val="000C6C9A"/>
    <w:rsid w:val="000C6CF1"/>
    <w:rsid w:val="000C705B"/>
    <w:rsid w:val="000C7423"/>
    <w:rsid w:val="000C762A"/>
    <w:rsid w:val="000C76BC"/>
    <w:rsid w:val="000C7A28"/>
    <w:rsid w:val="000C7B15"/>
    <w:rsid w:val="000C7CBD"/>
    <w:rsid w:val="000C7FD0"/>
    <w:rsid w:val="000CF9E7"/>
    <w:rsid w:val="000D0288"/>
    <w:rsid w:val="000D056D"/>
    <w:rsid w:val="000D08E1"/>
    <w:rsid w:val="000D0BE0"/>
    <w:rsid w:val="000D0EB2"/>
    <w:rsid w:val="000D0F7E"/>
    <w:rsid w:val="000D119D"/>
    <w:rsid w:val="000D12BA"/>
    <w:rsid w:val="000D1364"/>
    <w:rsid w:val="000D147F"/>
    <w:rsid w:val="000D16A0"/>
    <w:rsid w:val="000D1738"/>
    <w:rsid w:val="000D188F"/>
    <w:rsid w:val="000D1C3E"/>
    <w:rsid w:val="000D1C8D"/>
    <w:rsid w:val="000D1FC6"/>
    <w:rsid w:val="000D2166"/>
    <w:rsid w:val="000D2277"/>
    <w:rsid w:val="000D2A19"/>
    <w:rsid w:val="000D2B1B"/>
    <w:rsid w:val="000D2C3A"/>
    <w:rsid w:val="000D2C49"/>
    <w:rsid w:val="000D331C"/>
    <w:rsid w:val="000D3E07"/>
    <w:rsid w:val="000D3F34"/>
    <w:rsid w:val="000D4146"/>
    <w:rsid w:val="000D427D"/>
    <w:rsid w:val="000D44B3"/>
    <w:rsid w:val="000D49D8"/>
    <w:rsid w:val="000D4A49"/>
    <w:rsid w:val="000D513A"/>
    <w:rsid w:val="000D5269"/>
    <w:rsid w:val="000D536B"/>
    <w:rsid w:val="000D5893"/>
    <w:rsid w:val="000D58E7"/>
    <w:rsid w:val="000D5E67"/>
    <w:rsid w:val="000D5EF4"/>
    <w:rsid w:val="000D6126"/>
    <w:rsid w:val="000D6212"/>
    <w:rsid w:val="000D6213"/>
    <w:rsid w:val="000D63D7"/>
    <w:rsid w:val="000D6457"/>
    <w:rsid w:val="000D6665"/>
    <w:rsid w:val="000D6937"/>
    <w:rsid w:val="000D6B73"/>
    <w:rsid w:val="000D6BAE"/>
    <w:rsid w:val="000D6BB4"/>
    <w:rsid w:val="000D6C91"/>
    <w:rsid w:val="000D6F99"/>
    <w:rsid w:val="000D6FBE"/>
    <w:rsid w:val="000D71A7"/>
    <w:rsid w:val="000D7268"/>
    <w:rsid w:val="000D74C5"/>
    <w:rsid w:val="000D761F"/>
    <w:rsid w:val="000D76EC"/>
    <w:rsid w:val="000D7737"/>
    <w:rsid w:val="000D774F"/>
    <w:rsid w:val="000D7938"/>
    <w:rsid w:val="000D7D99"/>
    <w:rsid w:val="000D7FCF"/>
    <w:rsid w:val="000E0024"/>
    <w:rsid w:val="000E087C"/>
    <w:rsid w:val="000E08FD"/>
    <w:rsid w:val="000E1022"/>
    <w:rsid w:val="000E11DA"/>
    <w:rsid w:val="000E138A"/>
    <w:rsid w:val="000E1472"/>
    <w:rsid w:val="000E1A65"/>
    <w:rsid w:val="000E218B"/>
    <w:rsid w:val="000E234D"/>
    <w:rsid w:val="000E2A80"/>
    <w:rsid w:val="000E2ADA"/>
    <w:rsid w:val="000E3158"/>
    <w:rsid w:val="000E3380"/>
    <w:rsid w:val="000E348D"/>
    <w:rsid w:val="000E362F"/>
    <w:rsid w:val="000E37C7"/>
    <w:rsid w:val="000E3CA3"/>
    <w:rsid w:val="000E3CF3"/>
    <w:rsid w:val="000E3E6F"/>
    <w:rsid w:val="000E3F96"/>
    <w:rsid w:val="000E414B"/>
    <w:rsid w:val="000E4275"/>
    <w:rsid w:val="000E46E7"/>
    <w:rsid w:val="000E46F5"/>
    <w:rsid w:val="000E49AD"/>
    <w:rsid w:val="000E4D97"/>
    <w:rsid w:val="000E4DC5"/>
    <w:rsid w:val="000E5017"/>
    <w:rsid w:val="000E5278"/>
    <w:rsid w:val="000E5532"/>
    <w:rsid w:val="000E55C2"/>
    <w:rsid w:val="000E55D5"/>
    <w:rsid w:val="000E5811"/>
    <w:rsid w:val="000E6080"/>
    <w:rsid w:val="000E66E2"/>
    <w:rsid w:val="000E6874"/>
    <w:rsid w:val="000E6B61"/>
    <w:rsid w:val="000E6BA7"/>
    <w:rsid w:val="000E6BBA"/>
    <w:rsid w:val="000E6C24"/>
    <w:rsid w:val="000E6C3C"/>
    <w:rsid w:val="000E6D93"/>
    <w:rsid w:val="000E707D"/>
    <w:rsid w:val="000E7406"/>
    <w:rsid w:val="000E74EB"/>
    <w:rsid w:val="000E75C1"/>
    <w:rsid w:val="000E774A"/>
    <w:rsid w:val="000E7855"/>
    <w:rsid w:val="000E7943"/>
    <w:rsid w:val="000E7A02"/>
    <w:rsid w:val="000E7AF1"/>
    <w:rsid w:val="000F0286"/>
    <w:rsid w:val="000F03AC"/>
    <w:rsid w:val="000F0454"/>
    <w:rsid w:val="000F056B"/>
    <w:rsid w:val="000F058C"/>
    <w:rsid w:val="000F05ED"/>
    <w:rsid w:val="000F066D"/>
    <w:rsid w:val="000F0779"/>
    <w:rsid w:val="000F0AE8"/>
    <w:rsid w:val="000F0B94"/>
    <w:rsid w:val="000F0C95"/>
    <w:rsid w:val="000F0CC7"/>
    <w:rsid w:val="000F0FE9"/>
    <w:rsid w:val="000F1073"/>
    <w:rsid w:val="000F118C"/>
    <w:rsid w:val="000F13EA"/>
    <w:rsid w:val="000F1424"/>
    <w:rsid w:val="000F18E1"/>
    <w:rsid w:val="000F1AA3"/>
    <w:rsid w:val="000F1CA7"/>
    <w:rsid w:val="000F1F16"/>
    <w:rsid w:val="000F21AC"/>
    <w:rsid w:val="000F26A2"/>
    <w:rsid w:val="000F2BFB"/>
    <w:rsid w:val="000F2E1F"/>
    <w:rsid w:val="000F2F28"/>
    <w:rsid w:val="000F2F5A"/>
    <w:rsid w:val="000F2F7A"/>
    <w:rsid w:val="000F3094"/>
    <w:rsid w:val="000F3148"/>
    <w:rsid w:val="000F324C"/>
    <w:rsid w:val="000F3262"/>
    <w:rsid w:val="000F3336"/>
    <w:rsid w:val="000F34CA"/>
    <w:rsid w:val="000F3859"/>
    <w:rsid w:val="000F3A48"/>
    <w:rsid w:val="000F3A65"/>
    <w:rsid w:val="000F3E15"/>
    <w:rsid w:val="000F4144"/>
    <w:rsid w:val="000F4223"/>
    <w:rsid w:val="000F4315"/>
    <w:rsid w:val="000F4672"/>
    <w:rsid w:val="000F4845"/>
    <w:rsid w:val="000F4894"/>
    <w:rsid w:val="000F4CA1"/>
    <w:rsid w:val="000F4E4A"/>
    <w:rsid w:val="000F4E84"/>
    <w:rsid w:val="000F51FB"/>
    <w:rsid w:val="000F5205"/>
    <w:rsid w:val="000F5368"/>
    <w:rsid w:val="000F5403"/>
    <w:rsid w:val="000F54E6"/>
    <w:rsid w:val="000F57F7"/>
    <w:rsid w:val="000F59C4"/>
    <w:rsid w:val="000F5A0B"/>
    <w:rsid w:val="000F5BB0"/>
    <w:rsid w:val="000F5C93"/>
    <w:rsid w:val="000F5D3E"/>
    <w:rsid w:val="000F5D65"/>
    <w:rsid w:val="000F5F49"/>
    <w:rsid w:val="000F6064"/>
    <w:rsid w:val="000F6111"/>
    <w:rsid w:val="000F61EF"/>
    <w:rsid w:val="000F6413"/>
    <w:rsid w:val="000F6656"/>
    <w:rsid w:val="000F66C8"/>
    <w:rsid w:val="000F691C"/>
    <w:rsid w:val="000F6A10"/>
    <w:rsid w:val="000F6A17"/>
    <w:rsid w:val="000F6C28"/>
    <w:rsid w:val="000F6C33"/>
    <w:rsid w:val="000F71D9"/>
    <w:rsid w:val="000F72B8"/>
    <w:rsid w:val="000F730C"/>
    <w:rsid w:val="000F7450"/>
    <w:rsid w:val="000F7A85"/>
    <w:rsid w:val="000F7BCE"/>
    <w:rsid w:val="000F7C02"/>
    <w:rsid w:val="000F7E9E"/>
    <w:rsid w:val="0010015E"/>
    <w:rsid w:val="00100375"/>
    <w:rsid w:val="001003D3"/>
    <w:rsid w:val="00100451"/>
    <w:rsid w:val="00100508"/>
    <w:rsid w:val="00100616"/>
    <w:rsid w:val="001006AF"/>
    <w:rsid w:val="001006D0"/>
    <w:rsid w:val="00100741"/>
    <w:rsid w:val="00100AC9"/>
    <w:rsid w:val="00100DA2"/>
    <w:rsid w:val="00101103"/>
    <w:rsid w:val="001013E4"/>
    <w:rsid w:val="0010171F"/>
    <w:rsid w:val="0010187D"/>
    <w:rsid w:val="00101997"/>
    <w:rsid w:val="00101AB9"/>
    <w:rsid w:val="00101E7E"/>
    <w:rsid w:val="001021B6"/>
    <w:rsid w:val="00102403"/>
    <w:rsid w:val="00102591"/>
    <w:rsid w:val="001026BC"/>
    <w:rsid w:val="00102752"/>
    <w:rsid w:val="00102A50"/>
    <w:rsid w:val="00102AB0"/>
    <w:rsid w:val="00102B9D"/>
    <w:rsid w:val="00102CC4"/>
    <w:rsid w:val="00102CE3"/>
    <w:rsid w:val="00102ECF"/>
    <w:rsid w:val="00102FE5"/>
    <w:rsid w:val="001030EA"/>
    <w:rsid w:val="001032A2"/>
    <w:rsid w:val="0010344C"/>
    <w:rsid w:val="001035E2"/>
    <w:rsid w:val="00103735"/>
    <w:rsid w:val="00103939"/>
    <w:rsid w:val="0010398A"/>
    <w:rsid w:val="00103ACE"/>
    <w:rsid w:val="00103F98"/>
    <w:rsid w:val="0010402B"/>
    <w:rsid w:val="00104030"/>
    <w:rsid w:val="001040E1"/>
    <w:rsid w:val="00104268"/>
    <w:rsid w:val="0010451D"/>
    <w:rsid w:val="00104870"/>
    <w:rsid w:val="0010493B"/>
    <w:rsid w:val="001049BA"/>
    <w:rsid w:val="00104B13"/>
    <w:rsid w:val="00104B29"/>
    <w:rsid w:val="00104C84"/>
    <w:rsid w:val="00104EAA"/>
    <w:rsid w:val="00104F11"/>
    <w:rsid w:val="00104F27"/>
    <w:rsid w:val="00104F80"/>
    <w:rsid w:val="0010516A"/>
    <w:rsid w:val="001051B3"/>
    <w:rsid w:val="0010528B"/>
    <w:rsid w:val="001055A2"/>
    <w:rsid w:val="0010575E"/>
    <w:rsid w:val="00105949"/>
    <w:rsid w:val="00105CA7"/>
    <w:rsid w:val="00105D21"/>
    <w:rsid w:val="00105D87"/>
    <w:rsid w:val="00105D8A"/>
    <w:rsid w:val="00105E63"/>
    <w:rsid w:val="00105F93"/>
    <w:rsid w:val="001062D9"/>
    <w:rsid w:val="00106872"/>
    <w:rsid w:val="00106A54"/>
    <w:rsid w:val="00106C00"/>
    <w:rsid w:val="00106F46"/>
    <w:rsid w:val="00106FAB"/>
    <w:rsid w:val="001070D4"/>
    <w:rsid w:val="0010734C"/>
    <w:rsid w:val="001074C8"/>
    <w:rsid w:val="00107F0C"/>
    <w:rsid w:val="0011025A"/>
    <w:rsid w:val="001102E4"/>
    <w:rsid w:val="001102F7"/>
    <w:rsid w:val="0011036A"/>
    <w:rsid w:val="001104E0"/>
    <w:rsid w:val="00110617"/>
    <w:rsid w:val="00110AB2"/>
    <w:rsid w:val="00110B04"/>
    <w:rsid w:val="00110DC4"/>
    <w:rsid w:val="00110DD5"/>
    <w:rsid w:val="00110F3C"/>
    <w:rsid w:val="0011144E"/>
    <w:rsid w:val="001116ED"/>
    <w:rsid w:val="00111F87"/>
    <w:rsid w:val="00112369"/>
    <w:rsid w:val="00112640"/>
    <w:rsid w:val="00112943"/>
    <w:rsid w:val="00112A62"/>
    <w:rsid w:val="00112AEB"/>
    <w:rsid w:val="00112DD7"/>
    <w:rsid w:val="00113275"/>
    <w:rsid w:val="001133EC"/>
    <w:rsid w:val="0011340E"/>
    <w:rsid w:val="00113472"/>
    <w:rsid w:val="001136BB"/>
    <w:rsid w:val="0011372B"/>
    <w:rsid w:val="00113739"/>
    <w:rsid w:val="001137D3"/>
    <w:rsid w:val="001139CA"/>
    <w:rsid w:val="00113C2B"/>
    <w:rsid w:val="00113CB7"/>
    <w:rsid w:val="00113D88"/>
    <w:rsid w:val="00113DB4"/>
    <w:rsid w:val="00113E62"/>
    <w:rsid w:val="00113F07"/>
    <w:rsid w:val="0011401E"/>
    <w:rsid w:val="001142A5"/>
    <w:rsid w:val="0011445C"/>
    <w:rsid w:val="00114582"/>
    <w:rsid w:val="00114719"/>
    <w:rsid w:val="001149C0"/>
    <w:rsid w:val="00114E3A"/>
    <w:rsid w:val="00114E87"/>
    <w:rsid w:val="00114F6B"/>
    <w:rsid w:val="001150AE"/>
    <w:rsid w:val="0011522A"/>
    <w:rsid w:val="00115234"/>
    <w:rsid w:val="0011579B"/>
    <w:rsid w:val="0011592C"/>
    <w:rsid w:val="00115A18"/>
    <w:rsid w:val="00115B71"/>
    <w:rsid w:val="00115B7D"/>
    <w:rsid w:val="00115BDF"/>
    <w:rsid w:val="00115BF5"/>
    <w:rsid w:val="00115C9E"/>
    <w:rsid w:val="00115CBD"/>
    <w:rsid w:val="00115CDF"/>
    <w:rsid w:val="00115E96"/>
    <w:rsid w:val="00116011"/>
    <w:rsid w:val="00116016"/>
    <w:rsid w:val="0011614F"/>
    <w:rsid w:val="00116647"/>
    <w:rsid w:val="00116BDB"/>
    <w:rsid w:val="00116E6F"/>
    <w:rsid w:val="00116F42"/>
    <w:rsid w:val="00116F48"/>
    <w:rsid w:val="00117516"/>
    <w:rsid w:val="00117548"/>
    <w:rsid w:val="001177D5"/>
    <w:rsid w:val="0011783A"/>
    <w:rsid w:val="0011788D"/>
    <w:rsid w:val="001179A9"/>
    <w:rsid w:val="00117B0D"/>
    <w:rsid w:val="00117B6E"/>
    <w:rsid w:val="00117BBD"/>
    <w:rsid w:val="00117C06"/>
    <w:rsid w:val="00117CF0"/>
    <w:rsid w:val="00117E3E"/>
    <w:rsid w:val="00117E7B"/>
    <w:rsid w:val="0012026D"/>
    <w:rsid w:val="001203BF"/>
    <w:rsid w:val="001204E4"/>
    <w:rsid w:val="0012062D"/>
    <w:rsid w:val="0012078C"/>
    <w:rsid w:val="0012081C"/>
    <w:rsid w:val="00120AF6"/>
    <w:rsid w:val="00121029"/>
    <w:rsid w:val="0012111D"/>
    <w:rsid w:val="00121156"/>
    <w:rsid w:val="00121B8F"/>
    <w:rsid w:val="00121BB8"/>
    <w:rsid w:val="00121BCA"/>
    <w:rsid w:val="00122073"/>
    <w:rsid w:val="0012210E"/>
    <w:rsid w:val="0012290E"/>
    <w:rsid w:val="00122BD4"/>
    <w:rsid w:val="00122DC6"/>
    <w:rsid w:val="00122EF1"/>
    <w:rsid w:val="00122F7F"/>
    <w:rsid w:val="00123226"/>
    <w:rsid w:val="001232E3"/>
    <w:rsid w:val="001234C4"/>
    <w:rsid w:val="001234F0"/>
    <w:rsid w:val="00123687"/>
    <w:rsid w:val="001236BB"/>
    <w:rsid w:val="0012377B"/>
    <w:rsid w:val="00123805"/>
    <w:rsid w:val="00123ABA"/>
    <w:rsid w:val="00123ADA"/>
    <w:rsid w:val="00123CF0"/>
    <w:rsid w:val="00124C56"/>
    <w:rsid w:val="00124D59"/>
    <w:rsid w:val="00124F9C"/>
    <w:rsid w:val="00124FB9"/>
    <w:rsid w:val="0012513D"/>
    <w:rsid w:val="0012521B"/>
    <w:rsid w:val="001253D8"/>
    <w:rsid w:val="00125587"/>
    <w:rsid w:val="001255DE"/>
    <w:rsid w:val="00125622"/>
    <w:rsid w:val="00125E3B"/>
    <w:rsid w:val="00126413"/>
    <w:rsid w:val="00126474"/>
    <w:rsid w:val="001264D5"/>
    <w:rsid w:val="0012658F"/>
    <w:rsid w:val="001266A7"/>
    <w:rsid w:val="001268DC"/>
    <w:rsid w:val="00126A64"/>
    <w:rsid w:val="00126E06"/>
    <w:rsid w:val="0012707C"/>
    <w:rsid w:val="00127439"/>
    <w:rsid w:val="00127ABB"/>
    <w:rsid w:val="00127D6A"/>
    <w:rsid w:val="00127E5A"/>
    <w:rsid w:val="00127F32"/>
    <w:rsid w:val="00130226"/>
    <w:rsid w:val="00130598"/>
    <w:rsid w:val="001305AA"/>
    <w:rsid w:val="0013061C"/>
    <w:rsid w:val="001307BC"/>
    <w:rsid w:val="00130972"/>
    <w:rsid w:val="00130985"/>
    <w:rsid w:val="00130B2A"/>
    <w:rsid w:val="00130B32"/>
    <w:rsid w:val="00130B4F"/>
    <w:rsid w:val="00130CF5"/>
    <w:rsid w:val="00130CFF"/>
    <w:rsid w:val="001312E0"/>
    <w:rsid w:val="00131503"/>
    <w:rsid w:val="00131884"/>
    <w:rsid w:val="00131AE0"/>
    <w:rsid w:val="00131E83"/>
    <w:rsid w:val="00131E90"/>
    <w:rsid w:val="00131F1C"/>
    <w:rsid w:val="00131F84"/>
    <w:rsid w:val="001325A9"/>
    <w:rsid w:val="00132B30"/>
    <w:rsid w:val="00132DF0"/>
    <w:rsid w:val="001331C3"/>
    <w:rsid w:val="0013320F"/>
    <w:rsid w:val="001332CE"/>
    <w:rsid w:val="00133713"/>
    <w:rsid w:val="0013376A"/>
    <w:rsid w:val="001339B7"/>
    <w:rsid w:val="00133E8A"/>
    <w:rsid w:val="00133F2E"/>
    <w:rsid w:val="00133F68"/>
    <w:rsid w:val="00134108"/>
    <w:rsid w:val="001342DE"/>
    <w:rsid w:val="001344FE"/>
    <w:rsid w:val="00134727"/>
    <w:rsid w:val="00134800"/>
    <w:rsid w:val="0013482D"/>
    <w:rsid w:val="00134A3C"/>
    <w:rsid w:val="00134B23"/>
    <w:rsid w:val="00134D7D"/>
    <w:rsid w:val="00134D8E"/>
    <w:rsid w:val="00134DAD"/>
    <w:rsid w:val="00134FCA"/>
    <w:rsid w:val="00134FEE"/>
    <w:rsid w:val="00135297"/>
    <w:rsid w:val="00135376"/>
    <w:rsid w:val="001353DC"/>
    <w:rsid w:val="001353DE"/>
    <w:rsid w:val="001355FE"/>
    <w:rsid w:val="00135976"/>
    <w:rsid w:val="00135BFC"/>
    <w:rsid w:val="00135CFF"/>
    <w:rsid w:val="00135DD9"/>
    <w:rsid w:val="00136032"/>
    <w:rsid w:val="00136280"/>
    <w:rsid w:val="0013641D"/>
    <w:rsid w:val="00136548"/>
    <w:rsid w:val="00136700"/>
    <w:rsid w:val="0013670A"/>
    <w:rsid w:val="0013693A"/>
    <w:rsid w:val="00136978"/>
    <w:rsid w:val="00136A84"/>
    <w:rsid w:val="00136A8E"/>
    <w:rsid w:val="00136C96"/>
    <w:rsid w:val="00136EFE"/>
    <w:rsid w:val="00137016"/>
    <w:rsid w:val="00137155"/>
    <w:rsid w:val="0013718E"/>
    <w:rsid w:val="00137320"/>
    <w:rsid w:val="00137448"/>
    <w:rsid w:val="001374AF"/>
    <w:rsid w:val="00137992"/>
    <w:rsid w:val="00137A22"/>
    <w:rsid w:val="00137ABF"/>
    <w:rsid w:val="0014018D"/>
    <w:rsid w:val="00140642"/>
    <w:rsid w:val="00140A64"/>
    <w:rsid w:val="00140A68"/>
    <w:rsid w:val="001410FD"/>
    <w:rsid w:val="0014163F"/>
    <w:rsid w:val="00141687"/>
    <w:rsid w:val="001417F2"/>
    <w:rsid w:val="00141B82"/>
    <w:rsid w:val="00141C17"/>
    <w:rsid w:val="00142054"/>
    <w:rsid w:val="00142282"/>
    <w:rsid w:val="00142792"/>
    <w:rsid w:val="00142CB9"/>
    <w:rsid w:val="00142EEC"/>
    <w:rsid w:val="00142F8D"/>
    <w:rsid w:val="0014380E"/>
    <w:rsid w:val="00143FB0"/>
    <w:rsid w:val="001440BE"/>
    <w:rsid w:val="001441C9"/>
    <w:rsid w:val="00144559"/>
    <w:rsid w:val="00144801"/>
    <w:rsid w:val="0014484A"/>
    <w:rsid w:val="00144FDC"/>
    <w:rsid w:val="001450CA"/>
    <w:rsid w:val="0014553B"/>
    <w:rsid w:val="001458FE"/>
    <w:rsid w:val="0014596E"/>
    <w:rsid w:val="00145AFF"/>
    <w:rsid w:val="00145DCE"/>
    <w:rsid w:val="00145FF6"/>
    <w:rsid w:val="00146168"/>
    <w:rsid w:val="001461EF"/>
    <w:rsid w:val="00146298"/>
    <w:rsid w:val="001464CF"/>
    <w:rsid w:val="00146524"/>
    <w:rsid w:val="00146711"/>
    <w:rsid w:val="001469C5"/>
    <w:rsid w:val="00146A77"/>
    <w:rsid w:val="00146BAC"/>
    <w:rsid w:val="00147099"/>
    <w:rsid w:val="001475B8"/>
    <w:rsid w:val="0014776F"/>
    <w:rsid w:val="00147B6E"/>
    <w:rsid w:val="00147E05"/>
    <w:rsid w:val="00147EA3"/>
    <w:rsid w:val="00147EF0"/>
    <w:rsid w:val="001500A7"/>
    <w:rsid w:val="001500C8"/>
    <w:rsid w:val="00150161"/>
    <w:rsid w:val="0015060A"/>
    <w:rsid w:val="001506B1"/>
    <w:rsid w:val="00150907"/>
    <w:rsid w:val="00150B68"/>
    <w:rsid w:val="00150D0C"/>
    <w:rsid w:val="00150E38"/>
    <w:rsid w:val="00151134"/>
    <w:rsid w:val="001515CF"/>
    <w:rsid w:val="001516CC"/>
    <w:rsid w:val="0015181F"/>
    <w:rsid w:val="00151AFC"/>
    <w:rsid w:val="00151BDC"/>
    <w:rsid w:val="00151D69"/>
    <w:rsid w:val="00152165"/>
    <w:rsid w:val="0015218F"/>
    <w:rsid w:val="0015222F"/>
    <w:rsid w:val="00152675"/>
    <w:rsid w:val="001528A7"/>
    <w:rsid w:val="001529DC"/>
    <w:rsid w:val="00152BF0"/>
    <w:rsid w:val="00152CDB"/>
    <w:rsid w:val="0015312F"/>
    <w:rsid w:val="0015336F"/>
    <w:rsid w:val="0015394B"/>
    <w:rsid w:val="00153958"/>
    <w:rsid w:val="00153A4C"/>
    <w:rsid w:val="00153B4C"/>
    <w:rsid w:val="00153DC7"/>
    <w:rsid w:val="00153DF6"/>
    <w:rsid w:val="00153E14"/>
    <w:rsid w:val="00153E6F"/>
    <w:rsid w:val="00154155"/>
    <w:rsid w:val="00154360"/>
    <w:rsid w:val="00154410"/>
    <w:rsid w:val="00154679"/>
    <w:rsid w:val="00154753"/>
    <w:rsid w:val="00154785"/>
    <w:rsid w:val="001547DA"/>
    <w:rsid w:val="001548A4"/>
    <w:rsid w:val="00154A48"/>
    <w:rsid w:val="00154D2E"/>
    <w:rsid w:val="00154F43"/>
    <w:rsid w:val="0015560C"/>
    <w:rsid w:val="00155A1E"/>
    <w:rsid w:val="00155A52"/>
    <w:rsid w:val="00155AA8"/>
    <w:rsid w:val="00155C08"/>
    <w:rsid w:val="00155DDD"/>
    <w:rsid w:val="00155E23"/>
    <w:rsid w:val="00155E67"/>
    <w:rsid w:val="0015619F"/>
    <w:rsid w:val="001562CF"/>
    <w:rsid w:val="001564B6"/>
    <w:rsid w:val="001565E2"/>
    <w:rsid w:val="00156716"/>
    <w:rsid w:val="00156986"/>
    <w:rsid w:val="00156D9E"/>
    <w:rsid w:val="00156F7E"/>
    <w:rsid w:val="00156FC9"/>
    <w:rsid w:val="001572DE"/>
    <w:rsid w:val="001575ED"/>
    <w:rsid w:val="0015788E"/>
    <w:rsid w:val="001579AC"/>
    <w:rsid w:val="00157B9F"/>
    <w:rsid w:val="00157BB2"/>
    <w:rsid w:val="00157D1D"/>
    <w:rsid w:val="00157D53"/>
    <w:rsid w:val="00157EB3"/>
    <w:rsid w:val="00157F4F"/>
    <w:rsid w:val="00160340"/>
    <w:rsid w:val="00160876"/>
    <w:rsid w:val="00160885"/>
    <w:rsid w:val="00160936"/>
    <w:rsid w:val="0016093C"/>
    <w:rsid w:val="0016093E"/>
    <w:rsid w:val="001609C3"/>
    <w:rsid w:val="00160AE7"/>
    <w:rsid w:val="00160B54"/>
    <w:rsid w:val="00160C54"/>
    <w:rsid w:val="00160EA6"/>
    <w:rsid w:val="00161088"/>
    <w:rsid w:val="00161318"/>
    <w:rsid w:val="00161445"/>
    <w:rsid w:val="001614D5"/>
    <w:rsid w:val="0016159F"/>
    <w:rsid w:val="001615D2"/>
    <w:rsid w:val="001615F6"/>
    <w:rsid w:val="00161647"/>
    <w:rsid w:val="0016177D"/>
    <w:rsid w:val="00161782"/>
    <w:rsid w:val="00161EB9"/>
    <w:rsid w:val="00161FE6"/>
    <w:rsid w:val="001620B1"/>
    <w:rsid w:val="00162286"/>
    <w:rsid w:val="001623C5"/>
    <w:rsid w:val="00162513"/>
    <w:rsid w:val="00162791"/>
    <w:rsid w:val="0016286E"/>
    <w:rsid w:val="001628DD"/>
    <w:rsid w:val="001629D9"/>
    <w:rsid w:val="00162BF3"/>
    <w:rsid w:val="00162E48"/>
    <w:rsid w:val="00162F98"/>
    <w:rsid w:val="00162FB1"/>
    <w:rsid w:val="001630AF"/>
    <w:rsid w:val="0016316E"/>
    <w:rsid w:val="001636F4"/>
    <w:rsid w:val="0016373A"/>
    <w:rsid w:val="00163770"/>
    <w:rsid w:val="001637C4"/>
    <w:rsid w:val="00163DD2"/>
    <w:rsid w:val="00163E23"/>
    <w:rsid w:val="00163E8C"/>
    <w:rsid w:val="001640B7"/>
    <w:rsid w:val="00164111"/>
    <w:rsid w:val="00164145"/>
    <w:rsid w:val="0016424D"/>
    <w:rsid w:val="001643B6"/>
    <w:rsid w:val="0016456D"/>
    <w:rsid w:val="0016473B"/>
    <w:rsid w:val="001647BE"/>
    <w:rsid w:val="00164C1B"/>
    <w:rsid w:val="00164CAD"/>
    <w:rsid w:val="00164F94"/>
    <w:rsid w:val="0016502B"/>
    <w:rsid w:val="00165058"/>
    <w:rsid w:val="001652A2"/>
    <w:rsid w:val="00165679"/>
    <w:rsid w:val="0016572F"/>
    <w:rsid w:val="00165CB9"/>
    <w:rsid w:val="00165D4E"/>
    <w:rsid w:val="00166012"/>
    <w:rsid w:val="00166275"/>
    <w:rsid w:val="0016648A"/>
    <w:rsid w:val="00166644"/>
    <w:rsid w:val="00166736"/>
    <w:rsid w:val="00166931"/>
    <w:rsid w:val="00166CB8"/>
    <w:rsid w:val="00166CF9"/>
    <w:rsid w:val="00167146"/>
    <w:rsid w:val="00167185"/>
    <w:rsid w:val="00167619"/>
    <w:rsid w:val="00167864"/>
    <w:rsid w:val="00167876"/>
    <w:rsid w:val="001678B5"/>
    <w:rsid w:val="00167B02"/>
    <w:rsid w:val="00167B2F"/>
    <w:rsid w:val="00167BCE"/>
    <w:rsid w:val="00167D43"/>
    <w:rsid w:val="00167D4B"/>
    <w:rsid w:val="0017006B"/>
    <w:rsid w:val="001701AC"/>
    <w:rsid w:val="001704D4"/>
    <w:rsid w:val="001706B5"/>
    <w:rsid w:val="0017106F"/>
    <w:rsid w:val="001710A6"/>
    <w:rsid w:val="0017136E"/>
    <w:rsid w:val="0017140D"/>
    <w:rsid w:val="00171667"/>
    <w:rsid w:val="00171683"/>
    <w:rsid w:val="00171725"/>
    <w:rsid w:val="0017185F"/>
    <w:rsid w:val="00171AD8"/>
    <w:rsid w:val="00171F21"/>
    <w:rsid w:val="00171FB5"/>
    <w:rsid w:val="001720FE"/>
    <w:rsid w:val="0017216A"/>
    <w:rsid w:val="001725AA"/>
    <w:rsid w:val="00172662"/>
    <w:rsid w:val="001726CE"/>
    <w:rsid w:val="00172727"/>
    <w:rsid w:val="00172DD5"/>
    <w:rsid w:val="00172F50"/>
    <w:rsid w:val="00172F65"/>
    <w:rsid w:val="00173238"/>
    <w:rsid w:val="00173290"/>
    <w:rsid w:val="001733B5"/>
    <w:rsid w:val="001734E6"/>
    <w:rsid w:val="00173A9D"/>
    <w:rsid w:val="00173AA5"/>
    <w:rsid w:val="00173C31"/>
    <w:rsid w:val="0017466C"/>
    <w:rsid w:val="0017476C"/>
    <w:rsid w:val="00174B30"/>
    <w:rsid w:val="00174B71"/>
    <w:rsid w:val="00174E10"/>
    <w:rsid w:val="00174E82"/>
    <w:rsid w:val="00174F7F"/>
    <w:rsid w:val="001755A2"/>
    <w:rsid w:val="001758B1"/>
    <w:rsid w:val="0017592E"/>
    <w:rsid w:val="00175B3D"/>
    <w:rsid w:val="00175C43"/>
    <w:rsid w:val="00175DF6"/>
    <w:rsid w:val="00175F4B"/>
    <w:rsid w:val="0017654F"/>
    <w:rsid w:val="001765B0"/>
    <w:rsid w:val="001768E2"/>
    <w:rsid w:val="00176932"/>
    <w:rsid w:val="0017693A"/>
    <w:rsid w:val="00176A06"/>
    <w:rsid w:val="00176E1A"/>
    <w:rsid w:val="00176E2F"/>
    <w:rsid w:val="00176E68"/>
    <w:rsid w:val="00176FF5"/>
    <w:rsid w:val="001773BE"/>
    <w:rsid w:val="00177406"/>
    <w:rsid w:val="00177A26"/>
    <w:rsid w:val="00177D77"/>
    <w:rsid w:val="00180301"/>
    <w:rsid w:val="001806C4"/>
    <w:rsid w:val="001807DA"/>
    <w:rsid w:val="0018084E"/>
    <w:rsid w:val="00180CA8"/>
    <w:rsid w:val="00180D0B"/>
    <w:rsid w:val="00180EB5"/>
    <w:rsid w:val="00180EBB"/>
    <w:rsid w:val="00181109"/>
    <w:rsid w:val="001811E7"/>
    <w:rsid w:val="001811F8"/>
    <w:rsid w:val="001813AA"/>
    <w:rsid w:val="001813B2"/>
    <w:rsid w:val="001814E2"/>
    <w:rsid w:val="00181661"/>
    <w:rsid w:val="001816EC"/>
    <w:rsid w:val="0018187E"/>
    <w:rsid w:val="001819C0"/>
    <w:rsid w:val="00181A45"/>
    <w:rsid w:val="00181BED"/>
    <w:rsid w:val="00181FFE"/>
    <w:rsid w:val="001822C2"/>
    <w:rsid w:val="001822DC"/>
    <w:rsid w:val="001823EC"/>
    <w:rsid w:val="001829C6"/>
    <w:rsid w:val="00182A2F"/>
    <w:rsid w:val="00182AC5"/>
    <w:rsid w:val="00182C47"/>
    <w:rsid w:val="00182E31"/>
    <w:rsid w:val="00183083"/>
    <w:rsid w:val="001830B8"/>
    <w:rsid w:val="001831CF"/>
    <w:rsid w:val="00183306"/>
    <w:rsid w:val="001833B4"/>
    <w:rsid w:val="0018382C"/>
    <w:rsid w:val="001838FA"/>
    <w:rsid w:val="00183B7A"/>
    <w:rsid w:val="00183DAE"/>
    <w:rsid w:val="00184185"/>
    <w:rsid w:val="00184532"/>
    <w:rsid w:val="0018481C"/>
    <w:rsid w:val="00184823"/>
    <w:rsid w:val="001848BD"/>
    <w:rsid w:val="00184A19"/>
    <w:rsid w:val="00184A1E"/>
    <w:rsid w:val="00184A2C"/>
    <w:rsid w:val="00184FEA"/>
    <w:rsid w:val="001850B9"/>
    <w:rsid w:val="00185241"/>
    <w:rsid w:val="001852CB"/>
    <w:rsid w:val="00185357"/>
    <w:rsid w:val="00185941"/>
    <w:rsid w:val="00185967"/>
    <w:rsid w:val="00185B25"/>
    <w:rsid w:val="00185FC6"/>
    <w:rsid w:val="001862CF"/>
    <w:rsid w:val="001868BF"/>
    <w:rsid w:val="001869EC"/>
    <w:rsid w:val="00186C6E"/>
    <w:rsid w:val="00186D07"/>
    <w:rsid w:val="00187339"/>
    <w:rsid w:val="00187390"/>
    <w:rsid w:val="0018790A"/>
    <w:rsid w:val="001879E8"/>
    <w:rsid w:val="00187ADB"/>
    <w:rsid w:val="00187C30"/>
    <w:rsid w:val="00187CB7"/>
    <w:rsid w:val="00187CFA"/>
    <w:rsid w:val="00187CFC"/>
    <w:rsid w:val="00187E36"/>
    <w:rsid w:val="00190190"/>
    <w:rsid w:val="00190381"/>
    <w:rsid w:val="0019076F"/>
    <w:rsid w:val="00190B3E"/>
    <w:rsid w:val="00190C0D"/>
    <w:rsid w:val="00190C46"/>
    <w:rsid w:val="00190DF7"/>
    <w:rsid w:val="00191199"/>
    <w:rsid w:val="00191244"/>
    <w:rsid w:val="00191286"/>
    <w:rsid w:val="00191697"/>
    <w:rsid w:val="001917A1"/>
    <w:rsid w:val="001919FC"/>
    <w:rsid w:val="00191A1B"/>
    <w:rsid w:val="00191BEA"/>
    <w:rsid w:val="00191CEB"/>
    <w:rsid w:val="00191FBF"/>
    <w:rsid w:val="0019251D"/>
    <w:rsid w:val="00192783"/>
    <w:rsid w:val="00192924"/>
    <w:rsid w:val="00192997"/>
    <w:rsid w:val="00192C30"/>
    <w:rsid w:val="00192D61"/>
    <w:rsid w:val="00193161"/>
    <w:rsid w:val="00193178"/>
    <w:rsid w:val="0019339F"/>
    <w:rsid w:val="001933AA"/>
    <w:rsid w:val="001933EB"/>
    <w:rsid w:val="00193947"/>
    <w:rsid w:val="00193A71"/>
    <w:rsid w:val="00193B36"/>
    <w:rsid w:val="00193B7F"/>
    <w:rsid w:val="00193BB4"/>
    <w:rsid w:val="00193C08"/>
    <w:rsid w:val="00193C8E"/>
    <w:rsid w:val="00193E59"/>
    <w:rsid w:val="00193ECC"/>
    <w:rsid w:val="00193F58"/>
    <w:rsid w:val="00194085"/>
    <w:rsid w:val="0019439C"/>
    <w:rsid w:val="00194950"/>
    <w:rsid w:val="00194A7B"/>
    <w:rsid w:val="00194E0C"/>
    <w:rsid w:val="0019502D"/>
    <w:rsid w:val="00195095"/>
    <w:rsid w:val="0019510C"/>
    <w:rsid w:val="00195153"/>
    <w:rsid w:val="001951BD"/>
    <w:rsid w:val="001954D2"/>
    <w:rsid w:val="001957C0"/>
    <w:rsid w:val="00195C96"/>
    <w:rsid w:val="00195CC9"/>
    <w:rsid w:val="00195CDF"/>
    <w:rsid w:val="00195F58"/>
    <w:rsid w:val="001961F1"/>
    <w:rsid w:val="00196465"/>
    <w:rsid w:val="0019659B"/>
    <w:rsid w:val="00196630"/>
    <w:rsid w:val="0019684F"/>
    <w:rsid w:val="00196CE2"/>
    <w:rsid w:val="00196CEC"/>
    <w:rsid w:val="00196D55"/>
    <w:rsid w:val="00196EA1"/>
    <w:rsid w:val="0019742A"/>
    <w:rsid w:val="0019758A"/>
    <w:rsid w:val="0019761F"/>
    <w:rsid w:val="001977EA"/>
    <w:rsid w:val="00197A49"/>
    <w:rsid w:val="00197A86"/>
    <w:rsid w:val="00197BEA"/>
    <w:rsid w:val="00197F0D"/>
    <w:rsid w:val="00197F27"/>
    <w:rsid w:val="001A010C"/>
    <w:rsid w:val="001A030E"/>
    <w:rsid w:val="001A05AB"/>
    <w:rsid w:val="001A066D"/>
    <w:rsid w:val="001A084B"/>
    <w:rsid w:val="001A0886"/>
    <w:rsid w:val="001A0BCB"/>
    <w:rsid w:val="001A1044"/>
    <w:rsid w:val="001A1066"/>
    <w:rsid w:val="001A12BC"/>
    <w:rsid w:val="001A14F7"/>
    <w:rsid w:val="001A1804"/>
    <w:rsid w:val="001A1885"/>
    <w:rsid w:val="001A1A14"/>
    <w:rsid w:val="001A1AA3"/>
    <w:rsid w:val="001A1D55"/>
    <w:rsid w:val="001A1DA6"/>
    <w:rsid w:val="001A1F4E"/>
    <w:rsid w:val="001A23FB"/>
    <w:rsid w:val="001A2460"/>
    <w:rsid w:val="001A2606"/>
    <w:rsid w:val="001A27A1"/>
    <w:rsid w:val="001A2865"/>
    <w:rsid w:val="001A28F2"/>
    <w:rsid w:val="001A2931"/>
    <w:rsid w:val="001A2A62"/>
    <w:rsid w:val="001A2D79"/>
    <w:rsid w:val="001A2E09"/>
    <w:rsid w:val="001A317D"/>
    <w:rsid w:val="001A318F"/>
    <w:rsid w:val="001A32E9"/>
    <w:rsid w:val="001A3327"/>
    <w:rsid w:val="001A334D"/>
    <w:rsid w:val="001A353A"/>
    <w:rsid w:val="001A3FCC"/>
    <w:rsid w:val="001A3FE0"/>
    <w:rsid w:val="001A4286"/>
    <w:rsid w:val="001A4434"/>
    <w:rsid w:val="001A4514"/>
    <w:rsid w:val="001A48D8"/>
    <w:rsid w:val="001A49AD"/>
    <w:rsid w:val="001A4DEA"/>
    <w:rsid w:val="001A4E2C"/>
    <w:rsid w:val="001A4E82"/>
    <w:rsid w:val="001A4F5F"/>
    <w:rsid w:val="001A53BF"/>
    <w:rsid w:val="001A5422"/>
    <w:rsid w:val="001A55EF"/>
    <w:rsid w:val="001A5733"/>
    <w:rsid w:val="001A5741"/>
    <w:rsid w:val="001A5840"/>
    <w:rsid w:val="001A59C4"/>
    <w:rsid w:val="001A5A13"/>
    <w:rsid w:val="001A5A89"/>
    <w:rsid w:val="001A5D1D"/>
    <w:rsid w:val="001A5D68"/>
    <w:rsid w:val="001A5DDA"/>
    <w:rsid w:val="001A5EBB"/>
    <w:rsid w:val="001A5EC6"/>
    <w:rsid w:val="001A5F98"/>
    <w:rsid w:val="001A5FA3"/>
    <w:rsid w:val="001A60F6"/>
    <w:rsid w:val="001A6337"/>
    <w:rsid w:val="001A6470"/>
    <w:rsid w:val="001A653E"/>
    <w:rsid w:val="001A675E"/>
    <w:rsid w:val="001A67BC"/>
    <w:rsid w:val="001A6A61"/>
    <w:rsid w:val="001A701E"/>
    <w:rsid w:val="001A71AB"/>
    <w:rsid w:val="001A7287"/>
    <w:rsid w:val="001A7304"/>
    <w:rsid w:val="001A7520"/>
    <w:rsid w:val="001A7B8A"/>
    <w:rsid w:val="001A7CA1"/>
    <w:rsid w:val="001A7D7C"/>
    <w:rsid w:val="001B04F9"/>
    <w:rsid w:val="001B0AED"/>
    <w:rsid w:val="001B0B4E"/>
    <w:rsid w:val="001B0D1F"/>
    <w:rsid w:val="001B0ED8"/>
    <w:rsid w:val="001B0FD4"/>
    <w:rsid w:val="001B1050"/>
    <w:rsid w:val="001B1464"/>
    <w:rsid w:val="001B14C6"/>
    <w:rsid w:val="001B1870"/>
    <w:rsid w:val="001B18FB"/>
    <w:rsid w:val="001B192F"/>
    <w:rsid w:val="001B1975"/>
    <w:rsid w:val="001B1C3A"/>
    <w:rsid w:val="001B20FE"/>
    <w:rsid w:val="001B215D"/>
    <w:rsid w:val="001B21EB"/>
    <w:rsid w:val="001B2664"/>
    <w:rsid w:val="001B2694"/>
    <w:rsid w:val="001B26E3"/>
    <w:rsid w:val="001B27A0"/>
    <w:rsid w:val="001B2A74"/>
    <w:rsid w:val="001B2E92"/>
    <w:rsid w:val="001B2F39"/>
    <w:rsid w:val="001B30B7"/>
    <w:rsid w:val="001B31AB"/>
    <w:rsid w:val="001B33AE"/>
    <w:rsid w:val="001B34F6"/>
    <w:rsid w:val="001B3999"/>
    <w:rsid w:val="001B3A33"/>
    <w:rsid w:val="001B3A4E"/>
    <w:rsid w:val="001B3E31"/>
    <w:rsid w:val="001B404C"/>
    <w:rsid w:val="001B4343"/>
    <w:rsid w:val="001B4366"/>
    <w:rsid w:val="001B4439"/>
    <w:rsid w:val="001B445C"/>
    <w:rsid w:val="001B46C7"/>
    <w:rsid w:val="001B4710"/>
    <w:rsid w:val="001B4770"/>
    <w:rsid w:val="001B48E2"/>
    <w:rsid w:val="001B48EB"/>
    <w:rsid w:val="001B49F1"/>
    <w:rsid w:val="001B4DE8"/>
    <w:rsid w:val="001B4E54"/>
    <w:rsid w:val="001B5100"/>
    <w:rsid w:val="001B516A"/>
    <w:rsid w:val="001B51B6"/>
    <w:rsid w:val="001B53B9"/>
    <w:rsid w:val="001B5415"/>
    <w:rsid w:val="001B54FE"/>
    <w:rsid w:val="001B580C"/>
    <w:rsid w:val="001B5BAF"/>
    <w:rsid w:val="001B5D4B"/>
    <w:rsid w:val="001B5EEC"/>
    <w:rsid w:val="001B605C"/>
    <w:rsid w:val="001B6733"/>
    <w:rsid w:val="001B68D6"/>
    <w:rsid w:val="001B69CD"/>
    <w:rsid w:val="001B6C91"/>
    <w:rsid w:val="001B6F42"/>
    <w:rsid w:val="001B7097"/>
    <w:rsid w:val="001B73FA"/>
    <w:rsid w:val="001B7690"/>
    <w:rsid w:val="001B7749"/>
    <w:rsid w:val="001B79B8"/>
    <w:rsid w:val="001B7B04"/>
    <w:rsid w:val="001B7D94"/>
    <w:rsid w:val="001B7E3B"/>
    <w:rsid w:val="001B7EBB"/>
    <w:rsid w:val="001C006E"/>
    <w:rsid w:val="001C020E"/>
    <w:rsid w:val="001C02A6"/>
    <w:rsid w:val="001C057A"/>
    <w:rsid w:val="001C0753"/>
    <w:rsid w:val="001C0820"/>
    <w:rsid w:val="001C0A2D"/>
    <w:rsid w:val="001C0AE0"/>
    <w:rsid w:val="001C0BF1"/>
    <w:rsid w:val="001C1124"/>
    <w:rsid w:val="001C117A"/>
    <w:rsid w:val="001C1232"/>
    <w:rsid w:val="001C1BEA"/>
    <w:rsid w:val="001C1BF4"/>
    <w:rsid w:val="001C1C08"/>
    <w:rsid w:val="001C1E7F"/>
    <w:rsid w:val="001C222B"/>
    <w:rsid w:val="001C25E9"/>
    <w:rsid w:val="001C2758"/>
    <w:rsid w:val="001C27E6"/>
    <w:rsid w:val="001C283C"/>
    <w:rsid w:val="001C2887"/>
    <w:rsid w:val="001C2BCF"/>
    <w:rsid w:val="001C2CF0"/>
    <w:rsid w:val="001C2DFF"/>
    <w:rsid w:val="001C3179"/>
    <w:rsid w:val="001C3328"/>
    <w:rsid w:val="001C3502"/>
    <w:rsid w:val="001C3643"/>
    <w:rsid w:val="001C3772"/>
    <w:rsid w:val="001C37F2"/>
    <w:rsid w:val="001C3B64"/>
    <w:rsid w:val="001C3D92"/>
    <w:rsid w:val="001C3EAE"/>
    <w:rsid w:val="001C4338"/>
    <w:rsid w:val="001C44D4"/>
    <w:rsid w:val="001C45BB"/>
    <w:rsid w:val="001C47BF"/>
    <w:rsid w:val="001C4877"/>
    <w:rsid w:val="001C4A0D"/>
    <w:rsid w:val="001C4D6C"/>
    <w:rsid w:val="001C4E45"/>
    <w:rsid w:val="001C4E56"/>
    <w:rsid w:val="001C4E7A"/>
    <w:rsid w:val="001C500D"/>
    <w:rsid w:val="001C51E2"/>
    <w:rsid w:val="001C5237"/>
    <w:rsid w:val="001C5516"/>
    <w:rsid w:val="001C56D3"/>
    <w:rsid w:val="001C596C"/>
    <w:rsid w:val="001C59A5"/>
    <w:rsid w:val="001C5B2B"/>
    <w:rsid w:val="001C5FF4"/>
    <w:rsid w:val="001C600E"/>
    <w:rsid w:val="001C64CB"/>
    <w:rsid w:val="001C6577"/>
    <w:rsid w:val="001C6588"/>
    <w:rsid w:val="001C6622"/>
    <w:rsid w:val="001C6A03"/>
    <w:rsid w:val="001C6A05"/>
    <w:rsid w:val="001C6C70"/>
    <w:rsid w:val="001C6C8D"/>
    <w:rsid w:val="001C6D6E"/>
    <w:rsid w:val="001C6DCA"/>
    <w:rsid w:val="001C6DF5"/>
    <w:rsid w:val="001C710D"/>
    <w:rsid w:val="001C71CA"/>
    <w:rsid w:val="001C7515"/>
    <w:rsid w:val="001C7533"/>
    <w:rsid w:val="001C7588"/>
    <w:rsid w:val="001C78FC"/>
    <w:rsid w:val="001C7AE1"/>
    <w:rsid w:val="001C7C7A"/>
    <w:rsid w:val="001C7ECB"/>
    <w:rsid w:val="001D0136"/>
    <w:rsid w:val="001D0312"/>
    <w:rsid w:val="001D031D"/>
    <w:rsid w:val="001D03AA"/>
    <w:rsid w:val="001D05CF"/>
    <w:rsid w:val="001D0AA1"/>
    <w:rsid w:val="001D0BDA"/>
    <w:rsid w:val="001D0CC8"/>
    <w:rsid w:val="001D0E94"/>
    <w:rsid w:val="001D0EB4"/>
    <w:rsid w:val="001D1025"/>
    <w:rsid w:val="001D1151"/>
    <w:rsid w:val="001D12C3"/>
    <w:rsid w:val="001D1359"/>
    <w:rsid w:val="001D14F3"/>
    <w:rsid w:val="001D1672"/>
    <w:rsid w:val="001D16BB"/>
    <w:rsid w:val="001D1864"/>
    <w:rsid w:val="001D1A49"/>
    <w:rsid w:val="001D1A4F"/>
    <w:rsid w:val="001D20DC"/>
    <w:rsid w:val="001D2539"/>
    <w:rsid w:val="001D2B62"/>
    <w:rsid w:val="001D2C51"/>
    <w:rsid w:val="001D2DE1"/>
    <w:rsid w:val="001D2EBE"/>
    <w:rsid w:val="001D2FCF"/>
    <w:rsid w:val="001D38D0"/>
    <w:rsid w:val="001D3A1C"/>
    <w:rsid w:val="001D3A3F"/>
    <w:rsid w:val="001D3D53"/>
    <w:rsid w:val="001D3E3A"/>
    <w:rsid w:val="001D4131"/>
    <w:rsid w:val="001D42C0"/>
    <w:rsid w:val="001D43CD"/>
    <w:rsid w:val="001D4588"/>
    <w:rsid w:val="001D46A5"/>
    <w:rsid w:val="001D4716"/>
    <w:rsid w:val="001D476D"/>
    <w:rsid w:val="001D4BCB"/>
    <w:rsid w:val="001D4BE5"/>
    <w:rsid w:val="001D4BE7"/>
    <w:rsid w:val="001D4CC7"/>
    <w:rsid w:val="001D4F5B"/>
    <w:rsid w:val="001D50CD"/>
    <w:rsid w:val="001D5200"/>
    <w:rsid w:val="001D5239"/>
    <w:rsid w:val="001D5485"/>
    <w:rsid w:val="001D549D"/>
    <w:rsid w:val="001D5573"/>
    <w:rsid w:val="001D57E9"/>
    <w:rsid w:val="001D5A81"/>
    <w:rsid w:val="001D5B6B"/>
    <w:rsid w:val="001D5F65"/>
    <w:rsid w:val="001D61E1"/>
    <w:rsid w:val="001D6241"/>
    <w:rsid w:val="001D6635"/>
    <w:rsid w:val="001D6773"/>
    <w:rsid w:val="001D6A49"/>
    <w:rsid w:val="001D6BEB"/>
    <w:rsid w:val="001D7146"/>
    <w:rsid w:val="001D7551"/>
    <w:rsid w:val="001D7613"/>
    <w:rsid w:val="001D7676"/>
    <w:rsid w:val="001D7858"/>
    <w:rsid w:val="001D7A25"/>
    <w:rsid w:val="001D7AB6"/>
    <w:rsid w:val="001D7BF2"/>
    <w:rsid w:val="001D7D04"/>
    <w:rsid w:val="001D7E07"/>
    <w:rsid w:val="001D7E0A"/>
    <w:rsid w:val="001D7E54"/>
    <w:rsid w:val="001D7ECB"/>
    <w:rsid w:val="001DDB02"/>
    <w:rsid w:val="001E0056"/>
    <w:rsid w:val="001E0181"/>
    <w:rsid w:val="001E03F7"/>
    <w:rsid w:val="001E0653"/>
    <w:rsid w:val="001E0902"/>
    <w:rsid w:val="001E0B0F"/>
    <w:rsid w:val="001E0B2D"/>
    <w:rsid w:val="001E1203"/>
    <w:rsid w:val="001E1230"/>
    <w:rsid w:val="001E1327"/>
    <w:rsid w:val="001E151F"/>
    <w:rsid w:val="001E1543"/>
    <w:rsid w:val="001E1772"/>
    <w:rsid w:val="001E17CF"/>
    <w:rsid w:val="001E19CF"/>
    <w:rsid w:val="001E1B08"/>
    <w:rsid w:val="001E1B14"/>
    <w:rsid w:val="001E1DDA"/>
    <w:rsid w:val="001E20E0"/>
    <w:rsid w:val="001E20F7"/>
    <w:rsid w:val="001E22F9"/>
    <w:rsid w:val="001E273C"/>
    <w:rsid w:val="001E27C2"/>
    <w:rsid w:val="001E2899"/>
    <w:rsid w:val="001E2E17"/>
    <w:rsid w:val="001E2EEE"/>
    <w:rsid w:val="001E2F7A"/>
    <w:rsid w:val="001E2F7D"/>
    <w:rsid w:val="001E3111"/>
    <w:rsid w:val="001E31CD"/>
    <w:rsid w:val="001E323A"/>
    <w:rsid w:val="001E3381"/>
    <w:rsid w:val="001E371A"/>
    <w:rsid w:val="001E371D"/>
    <w:rsid w:val="001E441A"/>
    <w:rsid w:val="001E448E"/>
    <w:rsid w:val="001E45C2"/>
    <w:rsid w:val="001E460B"/>
    <w:rsid w:val="001E4A67"/>
    <w:rsid w:val="001E4B22"/>
    <w:rsid w:val="001E4CE2"/>
    <w:rsid w:val="001E4E34"/>
    <w:rsid w:val="001E4F8E"/>
    <w:rsid w:val="001E51AF"/>
    <w:rsid w:val="001E5259"/>
    <w:rsid w:val="001E573D"/>
    <w:rsid w:val="001E575A"/>
    <w:rsid w:val="001E5D24"/>
    <w:rsid w:val="001E5D6E"/>
    <w:rsid w:val="001E5E17"/>
    <w:rsid w:val="001E5EDA"/>
    <w:rsid w:val="001E5F3D"/>
    <w:rsid w:val="001E6202"/>
    <w:rsid w:val="001E65D3"/>
    <w:rsid w:val="001E67D9"/>
    <w:rsid w:val="001E6835"/>
    <w:rsid w:val="001E69FE"/>
    <w:rsid w:val="001E706C"/>
    <w:rsid w:val="001E7124"/>
    <w:rsid w:val="001E78C6"/>
    <w:rsid w:val="001E7DAC"/>
    <w:rsid w:val="001E7DCF"/>
    <w:rsid w:val="001E7F0C"/>
    <w:rsid w:val="001E7F7B"/>
    <w:rsid w:val="001E7F8F"/>
    <w:rsid w:val="001F0220"/>
    <w:rsid w:val="001F035D"/>
    <w:rsid w:val="001F0448"/>
    <w:rsid w:val="001F049F"/>
    <w:rsid w:val="001F06FA"/>
    <w:rsid w:val="001F07A8"/>
    <w:rsid w:val="001F0824"/>
    <w:rsid w:val="001F09CA"/>
    <w:rsid w:val="001F0A08"/>
    <w:rsid w:val="001F0BDB"/>
    <w:rsid w:val="001F0D30"/>
    <w:rsid w:val="001F138D"/>
    <w:rsid w:val="001F15FB"/>
    <w:rsid w:val="001F17BE"/>
    <w:rsid w:val="001F1B13"/>
    <w:rsid w:val="001F1CD8"/>
    <w:rsid w:val="001F1DE1"/>
    <w:rsid w:val="001F2027"/>
    <w:rsid w:val="001F21EC"/>
    <w:rsid w:val="001F221C"/>
    <w:rsid w:val="001F241A"/>
    <w:rsid w:val="001F2744"/>
    <w:rsid w:val="001F2877"/>
    <w:rsid w:val="001F2C1E"/>
    <w:rsid w:val="001F334E"/>
    <w:rsid w:val="001F336C"/>
    <w:rsid w:val="001F343F"/>
    <w:rsid w:val="001F3703"/>
    <w:rsid w:val="001F374F"/>
    <w:rsid w:val="001F3E4B"/>
    <w:rsid w:val="001F3E7E"/>
    <w:rsid w:val="001F3F39"/>
    <w:rsid w:val="001F416D"/>
    <w:rsid w:val="001F44FE"/>
    <w:rsid w:val="001F464F"/>
    <w:rsid w:val="001F4796"/>
    <w:rsid w:val="001F4931"/>
    <w:rsid w:val="001F4B34"/>
    <w:rsid w:val="001F4B77"/>
    <w:rsid w:val="001F4CCC"/>
    <w:rsid w:val="001F505D"/>
    <w:rsid w:val="001F506D"/>
    <w:rsid w:val="001F50E6"/>
    <w:rsid w:val="001F533C"/>
    <w:rsid w:val="001F575C"/>
    <w:rsid w:val="001F5859"/>
    <w:rsid w:val="001F5975"/>
    <w:rsid w:val="001F5B72"/>
    <w:rsid w:val="001F5DF0"/>
    <w:rsid w:val="001F6BB3"/>
    <w:rsid w:val="001F6D63"/>
    <w:rsid w:val="001F739E"/>
    <w:rsid w:val="001F73C0"/>
    <w:rsid w:val="001F7671"/>
    <w:rsid w:val="001F78A2"/>
    <w:rsid w:val="001F7B4B"/>
    <w:rsid w:val="001F7C82"/>
    <w:rsid w:val="001F7D2F"/>
    <w:rsid w:val="00200083"/>
    <w:rsid w:val="002000F8"/>
    <w:rsid w:val="0020021B"/>
    <w:rsid w:val="002003A2"/>
    <w:rsid w:val="002004D6"/>
    <w:rsid w:val="0020064D"/>
    <w:rsid w:val="00200787"/>
    <w:rsid w:val="00200889"/>
    <w:rsid w:val="002008A2"/>
    <w:rsid w:val="00200A04"/>
    <w:rsid w:val="00200B33"/>
    <w:rsid w:val="00200BD1"/>
    <w:rsid w:val="00200CD6"/>
    <w:rsid w:val="00200D85"/>
    <w:rsid w:val="00200DE8"/>
    <w:rsid w:val="00200E71"/>
    <w:rsid w:val="00200F21"/>
    <w:rsid w:val="00201072"/>
    <w:rsid w:val="002010EA"/>
    <w:rsid w:val="00201106"/>
    <w:rsid w:val="00201215"/>
    <w:rsid w:val="0020128D"/>
    <w:rsid w:val="002013E2"/>
    <w:rsid w:val="00201469"/>
    <w:rsid w:val="00201B49"/>
    <w:rsid w:val="00201CF7"/>
    <w:rsid w:val="00201FC4"/>
    <w:rsid w:val="00202219"/>
    <w:rsid w:val="002023E2"/>
    <w:rsid w:val="0020241D"/>
    <w:rsid w:val="00202441"/>
    <w:rsid w:val="00202634"/>
    <w:rsid w:val="002028A7"/>
    <w:rsid w:val="00202AA5"/>
    <w:rsid w:val="00202B49"/>
    <w:rsid w:val="00202D7E"/>
    <w:rsid w:val="00202D9B"/>
    <w:rsid w:val="00203036"/>
    <w:rsid w:val="002030E1"/>
    <w:rsid w:val="00203170"/>
    <w:rsid w:val="00203173"/>
    <w:rsid w:val="00203385"/>
    <w:rsid w:val="002034B5"/>
    <w:rsid w:val="002036CE"/>
    <w:rsid w:val="0020391E"/>
    <w:rsid w:val="00203F29"/>
    <w:rsid w:val="0020412A"/>
    <w:rsid w:val="002041A5"/>
    <w:rsid w:val="0020420C"/>
    <w:rsid w:val="00204C76"/>
    <w:rsid w:val="00204D28"/>
    <w:rsid w:val="00205085"/>
    <w:rsid w:val="002052E1"/>
    <w:rsid w:val="00205374"/>
    <w:rsid w:val="002053ED"/>
    <w:rsid w:val="002059A3"/>
    <w:rsid w:val="00205B00"/>
    <w:rsid w:val="00205D40"/>
    <w:rsid w:val="00205D49"/>
    <w:rsid w:val="00205D8B"/>
    <w:rsid w:val="00205FF4"/>
    <w:rsid w:val="00206099"/>
    <w:rsid w:val="00206147"/>
    <w:rsid w:val="0020624B"/>
    <w:rsid w:val="00206539"/>
    <w:rsid w:val="0020654A"/>
    <w:rsid w:val="002065E0"/>
    <w:rsid w:val="00206696"/>
    <w:rsid w:val="0020692E"/>
    <w:rsid w:val="0020693A"/>
    <w:rsid w:val="002069CB"/>
    <w:rsid w:val="00206A8E"/>
    <w:rsid w:val="00206B64"/>
    <w:rsid w:val="00206E97"/>
    <w:rsid w:val="00206F12"/>
    <w:rsid w:val="00207025"/>
    <w:rsid w:val="00207031"/>
    <w:rsid w:val="002070CB"/>
    <w:rsid w:val="00207427"/>
    <w:rsid w:val="0020755A"/>
    <w:rsid w:val="002075AA"/>
    <w:rsid w:val="0020761B"/>
    <w:rsid w:val="0020798A"/>
    <w:rsid w:val="00207C7B"/>
    <w:rsid w:val="00207D95"/>
    <w:rsid w:val="00207E39"/>
    <w:rsid w:val="00207FA3"/>
    <w:rsid w:val="0021009A"/>
    <w:rsid w:val="002101D3"/>
    <w:rsid w:val="00210264"/>
    <w:rsid w:val="0021033A"/>
    <w:rsid w:val="00210695"/>
    <w:rsid w:val="00210906"/>
    <w:rsid w:val="00210943"/>
    <w:rsid w:val="002109AE"/>
    <w:rsid w:val="00210A99"/>
    <w:rsid w:val="00210BAB"/>
    <w:rsid w:val="00210C06"/>
    <w:rsid w:val="00210D32"/>
    <w:rsid w:val="00210DF8"/>
    <w:rsid w:val="00210E0D"/>
    <w:rsid w:val="00210F49"/>
    <w:rsid w:val="0021151C"/>
    <w:rsid w:val="0021153A"/>
    <w:rsid w:val="002115C7"/>
    <w:rsid w:val="00211698"/>
    <w:rsid w:val="00211984"/>
    <w:rsid w:val="00211B45"/>
    <w:rsid w:val="00211D29"/>
    <w:rsid w:val="00212004"/>
    <w:rsid w:val="0021209A"/>
    <w:rsid w:val="00212107"/>
    <w:rsid w:val="0021210E"/>
    <w:rsid w:val="00212336"/>
    <w:rsid w:val="00212442"/>
    <w:rsid w:val="00212590"/>
    <w:rsid w:val="002125FA"/>
    <w:rsid w:val="002126B2"/>
    <w:rsid w:val="002126D7"/>
    <w:rsid w:val="00212702"/>
    <w:rsid w:val="0021285E"/>
    <w:rsid w:val="00212879"/>
    <w:rsid w:val="00212882"/>
    <w:rsid w:val="00212A84"/>
    <w:rsid w:val="00212B67"/>
    <w:rsid w:val="00212D6F"/>
    <w:rsid w:val="00212D9C"/>
    <w:rsid w:val="00212DBD"/>
    <w:rsid w:val="00212EE5"/>
    <w:rsid w:val="00212F4D"/>
    <w:rsid w:val="0021327B"/>
    <w:rsid w:val="002132DA"/>
    <w:rsid w:val="00213550"/>
    <w:rsid w:val="00213A11"/>
    <w:rsid w:val="00213B3C"/>
    <w:rsid w:val="00213E78"/>
    <w:rsid w:val="00213F91"/>
    <w:rsid w:val="002144AD"/>
    <w:rsid w:val="00214963"/>
    <w:rsid w:val="00214B2B"/>
    <w:rsid w:val="00214DBB"/>
    <w:rsid w:val="00214E51"/>
    <w:rsid w:val="0021521D"/>
    <w:rsid w:val="0021565F"/>
    <w:rsid w:val="002156BE"/>
    <w:rsid w:val="002159A1"/>
    <w:rsid w:val="0021646E"/>
    <w:rsid w:val="002164AF"/>
    <w:rsid w:val="00216530"/>
    <w:rsid w:val="0021673D"/>
    <w:rsid w:val="00216945"/>
    <w:rsid w:val="00216B58"/>
    <w:rsid w:val="00216CFB"/>
    <w:rsid w:val="00216F28"/>
    <w:rsid w:val="0021713C"/>
    <w:rsid w:val="00217DA5"/>
    <w:rsid w:val="00217DB6"/>
    <w:rsid w:val="00217EE5"/>
    <w:rsid w:val="0022038B"/>
    <w:rsid w:val="0022081A"/>
    <w:rsid w:val="00220931"/>
    <w:rsid w:val="00220A18"/>
    <w:rsid w:val="00220FB7"/>
    <w:rsid w:val="00220FC1"/>
    <w:rsid w:val="00221183"/>
    <w:rsid w:val="0022135F"/>
    <w:rsid w:val="002215A9"/>
    <w:rsid w:val="0022161A"/>
    <w:rsid w:val="0022170F"/>
    <w:rsid w:val="00221726"/>
    <w:rsid w:val="0022196B"/>
    <w:rsid w:val="00221B00"/>
    <w:rsid w:val="00221B59"/>
    <w:rsid w:val="00221D10"/>
    <w:rsid w:val="00221D33"/>
    <w:rsid w:val="00221E1C"/>
    <w:rsid w:val="002220C9"/>
    <w:rsid w:val="002222AB"/>
    <w:rsid w:val="002223D7"/>
    <w:rsid w:val="00222539"/>
    <w:rsid w:val="002226DB"/>
    <w:rsid w:val="002226F7"/>
    <w:rsid w:val="00222742"/>
    <w:rsid w:val="002227B0"/>
    <w:rsid w:val="00222911"/>
    <w:rsid w:val="00222985"/>
    <w:rsid w:val="00222DED"/>
    <w:rsid w:val="00222FD1"/>
    <w:rsid w:val="0022313C"/>
    <w:rsid w:val="0022319D"/>
    <w:rsid w:val="002234A2"/>
    <w:rsid w:val="00223541"/>
    <w:rsid w:val="002237F3"/>
    <w:rsid w:val="00223843"/>
    <w:rsid w:val="002239A4"/>
    <w:rsid w:val="002239FC"/>
    <w:rsid w:val="00223BD4"/>
    <w:rsid w:val="00223CBD"/>
    <w:rsid w:val="00223E56"/>
    <w:rsid w:val="0022400B"/>
    <w:rsid w:val="0022400E"/>
    <w:rsid w:val="002241AD"/>
    <w:rsid w:val="002245CD"/>
    <w:rsid w:val="002246AA"/>
    <w:rsid w:val="00224725"/>
    <w:rsid w:val="002247D5"/>
    <w:rsid w:val="00224A13"/>
    <w:rsid w:val="00224ADD"/>
    <w:rsid w:val="00224B0E"/>
    <w:rsid w:val="00224BF6"/>
    <w:rsid w:val="00224D5D"/>
    <w:rsid w:val="00224F89"/>
    <w:rsid w:val="00225349"/>
    <w:rsid w:val="00225773"/>
    <w:rsid w:val="002257DB"/>
    <w:rsid w:val="00225971"/>
    <w:rsid w:val="00225ABE"/>
    <w:rsid w:val="00225CFD"/>
    <w:rsid w:val="002262E0"/>
    <w:rsid w:val="0022634B"/>
    <w:rsid w:val="00226409"/>
    <w:rsid w:val="0022644C"/>
    <w:rsid w:val="00226B89"/>
    <w:rsid w:val="00226C76"/>
    <w:rsid w:val="00226DA5"/>
    <w:rsid w:val="00227084"/>
    <w:rsid w:val="002273AF"/>
    <w:rsid w:val="002274CF"/>
    <w:rsid w:val="00227597"/>
    <w:rsid w:val="0022768A"/>
    <w:rsid w:val="002277ED"/>
    <w:rsid w:val="00227C9F"/>
    <w:rsid w:val="0022E6FB"/>
    <w:rsid w:val="00230002"/>
    <w:rsid w:val="002300A7"/>
    <w:rsid w:val="002302B7"/>
    <w:rsid w:val="00230499"/>
    <w:rsid w:val="002304FC"/>
    <w:rsid w:val="002305E3"/>
    <w:rsid w:val="002306B7"/>
    <w:rsid w:val="00230927"/>
    <w:rsid w:val="00230AE8"/>
    <w:rsid w:val="0023130B"/>
    <w:rsid w:val="00231366"/>
    <w:rsid w:val="0023147C"/>
    <w:rsid w:val="00231498"/>
    <w:rsid w:val="0023164E"/>
    <w:rsid w:val="0023172D"/>
    <w:rsid w:val="00231858"/>
    <w:rsid w:val="00231A07"/>
    <w:rsid w:val="00231A5B"/>
    <w:rsid w:val="00231B8F"/>
    <w:rsid w:val="00231D36"/>
    <w:rsid w:val="00231E69"/>
    <w:rsid w:val="00232029"/>
    <w:rsid w:val="00232071"/>
    <w:rsid w:val="0023240D"/>
    <w:rsid w:val="0023247B"/>
    <w:rsid w:val="002327DF"/>
    <w:rsid w:val="002328DB"/>
    <w:rsid w:val="00233247"/>
    <w:rsid w:val="0023332D"/>
    <w:rsid w:val="00233863"/>
    <w:rsid w:val="002338EA"/>
    <w:rsid w:val="002339D4"/>
    <w:rsid w:val="00233A29"/>
    <w:rsid w:val="00233A39"/>
    <w:rsid w:val="00233AFC"/>
    <w:rsid w:val="00233EDE"/>
    <w:rsid w:val="00233FB7"/>
    <w:rsid w:val="00234551"/>
    <w:rsid w:val="00234A40"/>
    <w:rsid w:val="00234EEB"/>
    <w:rsid w:val="00234F13"/>
    <w:rsid w:val="00235086"/>
    <w:rsid w:val="002351B2"/>
    <w:rsid w:val="00235346"/>
    <w:rsid w:val="0023536C"/>
    <w:rsid w:val="00235380"/>
    <w:rsid w:val="002353F1"/>
    <w:rsid w:val="0023594C"/>
    <w:rsid w:val="00235BCC"/>
    <w:rsid w:val="00235CE0"/>
    <w:rsid w:val="00235E1D"/>
    <w:rsid w:val="00236137"/>
    <w:rsid w:val="002361F3"/>
    <w:rsid w:val="002362E8"/>
    <w:rsid w:val="0023665D"/>
    <w:rsid w:val="00236A65"/>
    <w:rsid w:val="00236A6A"/>
    <w:rsid w:val="00236AA3"/>
    <w:rsid w:val="00236D9D"/>
    <w:rsid w:val="00236F36"/>
    <w:rsid w:val="0023702E"/>
    <w:rsid w:val="00237281"/>
    <w:rsid w:val="0023728C"/>
    <w:rsid w:val="0023737A"/>
    <w:rsid w:val="0023755D"/>
    <w:rsid w:val="002375E6"/>
    <w:rsid w:val="00237761"/>
    <w:rsid w:val="0023783C"/>
    <w:rsid w:val="00237922"/>
    <w:rsid w:val="00237958"/>
    <w:rsid w:val="00237ACE"/>
    <w:rsid w:val="00237C87"/>
    <w:rsid w:val="00237DCF"/>
    <w:rsid w:val="00237DDA"/>
    <w:rsid w:val="00237F44"/>
    <w:rsid w:val="002401A9"/>
    <w:rsid w:val="00240472"/>
    <w:rsid w:val="00240F09"/>
    <w:rsid w:val="002413A3"/>
    <w:rsid w:val="00241647"/>
    <w:rsid w:val="002417F7"/>
    <w:rsid w:val="002418B8"/>
    <w:rsid w:val="00241B62"/>
    <w:rsid w:val="00241CA8"/>
    <w:rsid w:val="00241D76"/>
    <w:rsid w:val="00241DEB"/>
    <w:rsid w:val="00242243"/>
    <w:rsid w:val="002422E3"/>
    <w:rsid w:val="002422E8"/>
    <w:rsid w:val="00242435"/>
    <w:rsid w:val="002425AA"/>
    <w:rsid w:val="00242804"/>
    <w:rsid w:val="00242914"/>
    <w:rsid w:val="00242C55"/>
    <w:rsid w:val="00242F45"/>
    <w:rsid w:val="00242FF4"/>
    <w:rsid w:val="002434C5"/>
    <w:rsid w:val="00243603"/>
    <w:rsid w:val="00243699"/>
    <w:rsid w:val="00243848"/>
    <w:rsid w:val="00243A4D"/>
    <w:rsid w:val="00243B3B"/>
    <w:rsid w:val="00243CDB"/>
    <w:rsid w:val="00243D4D"/>
    <w:rsid w:val="00243FEF"/>
    <w:rsid w:val="002446EB"/>
    <w:rsid w:val="0024475C"/>
    <w:rsid w:val="002447FD"/>
    <w:rsid w:val="00244973"/>
    <w:rsid w:val="00244C77"/>
    <w:rsid w:val="00244D76"/>
    <w:rsid w:val="00244DC7"/>
    <w:rsid w:val="00244E6B"/>
    <w:rsid w:val="00244E75"/>
    <w:rsid w:val="00244FCB"/>
    <w:rsid w:val="00245166"/>
    <w:rsid w:val="00245323"/>
    <w:rsid w:val="002453C8"/>
    <w:rsid w:val="00245C4B"/>
    <w:rsid w:val="00246082"/>
    <w:rsid w:val="0024663B"/>
    <w:rsid w:val="00246844"/>
    <w:rsid w:val="0024690F"/>
    <w:rsid w:val="00246A18"/>
    <w:rsid w:val="00246B27"/>
    <w:rsid w:val="00246B36"/>
    <w:rsid w:val="00246F17"/>
    <w:rsid w:val="00247115"/>
    <w:rsid w:val="00247279"/>
    <w:rsid w:val="0024730B"/>
    <w:rsid w:val="0024730F"/>
    <w:rsid w:val="002474CE"/>
    <w:rsid w:val="002474E2"/>
    <w:rsid w:val="0024757D"/>
    <w:rsid w:val="0024761E"/>
    <w:rsid w:val="00247656"/>
    <w:rsid w:val="002477FE"/>
    <w:rsid w:val="00250004"/>
    <w:rsid w:val="0025013D"/>
    <w:rsid w:val="00250187"/>
    <w:rsid w:val="00250229"/>
    <w:rsid w:val="0025054D"/>
    <w:rsid w:val="00250B92"/>
    <w:rsid w:val="00250DB5"/>
    <w:rsid w:val="00250F2F"/>
    <w:rsid w:val="002511F5"/>
    <w:rsid w:val="00251445"/>
    <w:rsid w:val="002514EB"/>
    <w:rsid w:val="00251A5B"/>
    <w:rsid w:val="00251ADD"/>
    <w:rsid w:val="00251AEA"/>
    <w:rsid w:val="002521E4"/>
    <w:rsid w:val="002523CC"/>
    <w:rsid w:val="00252968"/>
    <w:rsid w:val="00252B40"/>
    <w:rsid w:val="00252E04"/>
    <w:rsid w:val="00252E72"/>
    <w:rsid w:val="00252EBD"/>
    <w:rsid w:val="002533F9"/>
    <w:rsid w:val="002538F1"/>
    <w:rsid w:val="00253A4C"/>
    <w:rsid w:val="00253EC7"/>
    <w:rsid w:val="00254660"/>
    <w:rsid w:val="00254909"/>
    <w:rsid w:val="00254967"/>
    <w:rsid w:val="00254AA6"/>
    <w:rsid w:val="00254B47"/>
    <w:rsid w:val="00254CE5"/>
    <w:rsid w:val="00254D0D"/>
    <w:rsid w:val="00255256"/>
    <w:rsid w:val="0025530A"/>
    <w:rsid w:val="002554DA"/>
    <w:rsid w:val="002555BC"/>
    <w:rsid w:val="00255661"/>
    <w:rsid w:val="0025586B"/>
    <w:rsid w:val="002558FF"/>
    <w:rsid w:val="00255AEE"/>
    <w:rsid w:val="00255C12"/>
    <w:rsid w:val="00255D76"/>
    <w:rsid w:val="00256378"/>
    <w:rsid w:val="0025639A"/>
    <w:rsid w:val="002564D7"/>
    <w:rsid w:val="00256800"/>
    <w:rsid w:val="00256886"/>
    <w:rsid w:val="002569B5"/>
    <w:rsid w:val="00256B1C"/>
    <w:rsid w:val="00256D40"/>
    <w:rsid w:val="00256EEE"/>
    <w:rsid w:val="002571D3"/>
    <w:rsid w:val="00257289"/>
    <w:rsid w:val="00257307"/>
    <w:rsid w:val="00257409"/>
    <w:rsid w:val="002574E7"/>
    <w:rsid w:val="0025757E"/>
    <w:rsid w:val="002576C5"/>
    <w:rsid w:val="0025770C"/>
    <w:rsid w:val="002577F0"/>
    <w:rsid w:val="0025784C"/>
    <w:rsid w:val="00257B42"/>
    <w:rsid w:val="00257C5D"/>
    <w:rsid w:val="0026022C"/>
    <w:rsid w:val="00260313"/>
    <w:rsid w:val="00260517"/>
    <w:rsid w:val="002608EC"/>
    <w:rsid w:val="00260AC5"/>
    <w:rsid w:val="00260CD9"/>
    <w:rsid w:val="00260DD1"/>
    <w:rsid w:val="00261155"/>
    <w:rsid w:val="00261267"/>
    <w:rsid w:val="00261303"/>
    <w:rsid w:val="00261505"/>
    <w:rsid w:val="002615B6"/>
    <w:rsid w:val="00261606"/>
    <w:rsid w:val="00261AA9"/>
    <w:rsid w:val="00261B16"/>
    <w:rsid w:val="00261B55"/>
    <w:rsid w:val="00261C10"/>
    <w:rsid w:val="00261EF7"/>
    <w:rsid w:val="00262035"/>
    <w:rsid w:val="00262413"/>
    <w:rsid w:val="00262417"/>
    <w:rsid w:val="00262629"/>
    <w:rsid w:val="00262816"/>
    <w:rsid w:val="0026286F"/>
    <w:rsid w:val="002629ED"/>
    <w:rsid w:val="00262C71"/>
    <w:rsid w:val="00262DD4"/>
    <w:rsid w:val="00263001"/>
    <w:rsid w:val="0026318C"/>
    <w:rsid w:val="0026382B"/>
    <w:rsid w:val="002638A2"/>
    <w:rsid w:val="002638F0"/>
    <w:rsid w:val="0026391C"/>
    <w:rsid w:val="00263AB5"/>
    <w:rsid w:val="00263EEB"/>
    <w:rsid w:val="00263F5C"/>
    <w:rsid w:val="00264A66"/>
    <w:rsid w:val="00264AA0"/>
    <w:rsid w:val="00264B39"/>
    <w:rsid w:val="00264B83"/>
    <w:rsid w:val="00264C7D"/>
    <w:rsid w:val="0026508D"/>
    <w:rsid w:val="002654CA"/>
    <w:rsid w:val="00265538"/>
    <w:rsid w:val="00265555"/>
    <w:rsid w:val="0026593E"/>
    <w:rsid w:val="00265D16"/>
    <w:rsid w:val="00265D62"/>
    <w:rsid w:val="00265FA9"/>
    <w:rsid w:val="0026604B"/>
    <w:rsid w:val="00266056"/>
    <w:rsid w:val="00266288"/>
    <w:rsid w:val="0026633B"/>
    <w:rsid w:val="00266E57"/>
    <w:rsid w:val="00266FAE"/>
    <w:rsid w:val="00267105"/>
    <w:rsid w:val="002671E5"/>
    <w:rsid w:val="002673AF"/>
    <w:rsid w:val="00267594"/>
    <w:rsid w:val="00267698"/>
    <w:rsid w:val="00267C10"/>
    <w:rsid w:val="00267C89"/>
    <w:rsid w:val="00267F89"/>
    <w:rsid w:val="002702E0"/>
    <w:rsid w:val="00270511"/>
    <w:rsid w:val="0027052D"/>
    <w:rsid w:val="00270612"/>
    <w:rsid w:val="0027087F"/>
    <w:rsid w:val="00270977"/>
    <w:rsid w:val="00270990"/>
    <w:rsid w:val="00270A06"/>
    <w:rsid w:val="00270C8E"/>
    <w:rsid w:val="0027132D"/>
    <w:rsid w:val="00271332"/>
    <w:rsid w:val="0027148D"/>
    <w:rsid w:val="00271518"/>
    <w:rsid w:val="00271573"/>
    <w:rsid w:val="002715B3"/>
    <w:rsid w:val="0027168E"/>
    <w:rsid w:val="002716A8"/>
    <w:rsid w:val="0027180A"/>
    <w:rsid w:val="0027196A"/>
    <w:rsid w:val="00271B38"/>
    <w:rsid w:val="00271B61"/>
    <w:rsid w:val="00271D7D"/>
    <w:rsid w:val="00272039"/>
    <w:rsid w:val="0027264C"/>
    <w:rsid w:val="0027265E"/>
    <w:rsid w:val="00272878"/>
    <w:rsid w:val="00272C01"/>
    <w:rsid w:val="00272C31"/>
    <w:rsid w:val="0027355E"/>
    <w:rsid w:val="00273753"/>
    <w:rsid w:val="002739AC"/>
    <w:rsid w:val="00273A01"/>
    <w:rsid w:val="00273D5C"/>
    <w:rsid w:val="00273D64"/>
    <w:rsid w:val="00273E22"/>
    <w:rsid w:val="0027403A"/>
    <w:rsid w:val="002740C8"/>
    <w:rsid w:val="0027416E"/>
    <w:rsid w:val="00274348"/>
    <w:rsid w:val="002747F9"/>
    <w:rsid w:val="00274D61"/>
    <w:rsid w:val="00274ED1"/>
    <w:rsid w:val="00274F72"/>
    <w:rsid w:val="00275043"/>
    <w:rsid w:val="00275084"/>
    <w:rsid w:val="00275486"/>
    <w:rsid w:val="0027572E"/>
    <w:rsid w:val="00275B9D"/>
    <w:rsid w:val="00275EFD"/>
    <w:rsid w:val="00275F5E"/>
    <w:rsid w:val="00275FFA"/>
    <w:rsid w:val="00276182"/>
    <w:rsid w:val="0027667F"/>
    <w:rsid w:val="002768A9"/>
    <w:rsid w:val="002769A8"/>
    <w:rsid w:val="00276AA0"/>
    <w:rsid w:val="00276E30"/>
    <w:rsid w:val="00276EC3"/>
    <w:rsid w:val="00276F7A"/>
    <w:rsid w:val="00276FEF"/>
    <w:rsid w:val="00276FF3"/>
    <w:rsid w:val="0027739B"/>
    <w:rsid w:val="002779E4"/>
    <w:rsid w:val="00277D31"/>
    <w:rsid w:val="00277EF4"/>
    <w:rsid w:val="00280068"/>
    <w:rsid w:val="0028022D"/>
    <w:rsid w:val="00280289"/>
    <w:rsid w:val="002807EE"/>
    <w:rsid w:val="00280848"/>
    <w:rsid w:val="002808E9"/>
    <w:rsid w:val="0028098A"/>
    <w:rsid w:val="00280A5C"/>
    <w:rsid w:val="00280A6A"/>
    <w:rsid w:val="00280D27"/>
    <w:rsid w:val="00281383"/>
    <w:rsid w:val="0028143A"/>
    <w:rsid w:val="002815AD"/>
    <w:rsid w:val="002816AB"/>
    <w:rsid w:val="002819C6"/>
    <w:rsid w:val="00281AAE"/>
    <w:rsid w:val="00281B2D"/>
    <w:rsid w:val="00281D2E"/>
    <w:rsid w:val="00281D2F"/>
    <w:rsid w:val="00281F11"/>
    <w:rsid w:val="0028225A"/>
    <w:rsid w:val="00282262"/>
    <w:rsid w:val="00282587"/>
    <w:rsid w:val="002827B5"/>
    <w:rsid w:val="00282A71"/>
    <w:rsid w:val="00282A85"/>
    <w:rsid w:val="00282B7D"/>
    <w:rsid w:val="00282BAD"/>
    <w:rsid w:val="00282C9A"/>
    <w:rsid w:val="00282CB8"/>
    <w:rsid w:val="00282D23"/>
    <w:rsid w:val="00282D8C"/>
    <w:rsid w:val="00282E4B"/>
    <w:rsid w:val="00282E50"/>
    <w:rsid w:val="00282EC7"/>
    <w:rsid w:val="00283279"/>
    <w:rsid w:val="00283303"/>
    <w:rsid w:val="00283454"/>
    <w:rsid w:val="0028357A"/>
    <w:rsid w:val="0028361E"/>
    <w:rsid w:val="00283D48"/>
    <w:rsid w:val="002842D8"/>
    <w:rsid w:val="00284304"/>
    <w:rsid w:val="0028445B"/>
    <w:rsid w:val="00284681"/>
    <w:rsid w:val="002847E1"/>
    <w:rsid w:val="002849A1"/>
    <w:rsid w:val="00284D1E"/>
    <w:rsid w:val="00284D30"/>
    <w:rsid w:val="002852DA"/>
    <w:rsid w:val="002854C3"/>
    <w:rsid w:val="0028552F"/>
    <w:rsid w:val="002856A8"/>
    <w:rsid w:val="0028571C"/>
    <w:rsid w:val="00285C2A"/>
    <w:rsid w:val="00286129"/>
    <w:rsid w:val="002862E7"/>
    <w:rsid w:val="00286642"/>
    <w:rsid w:val="00286662"/>
    <w:rsid w:val="00286711"/>
    <w:rsid w:val="002869EA"/>
    <w:rsid w:val="00286DC4"/>
    <w:rsid w:val="00287043"/>
    <w:rsid w:val="002872D6"/>
    <w:rsid w:val="002873D7"/>
    <w:rsid w:val="00287406"/>
    <w:rsid w:val="002879CE"/>
    <w:rsid w:val="00287A7E"/>
    <w:rsid w:val="00287F46"/>
    <w:rsid w:val="00287F4C"/>
    <w:rsid w:val="00290096"/>
    <w:rsid w:val="002900C9"/>
    <w:rsid w:val="00290442"/>
    <w:rsid w:val="002904DC"/>
    <w:rsid w:val="00290CCE"/>
    <w:rsid w:val="002910A7"/>
    <w:rsid w:val="002911BB"/>
    <w:rsid w:val="002912AA"/>
    <w:rsid w:val="00291399"/>
    <w:rsid w:val="00291665"/>
    <w:rsid w:val="00291704"/>
    <w:rsid w:val="0029171F"/>
    <w:rsid w:val="002917E1"/>
    <w:rsid w:val="002918DF"/>
    <w:rsid w:val="00291A02"/>
    <w:rsid w:val="00291F31"/>
    <w:rsid w:val="0029227C"/>
    <w:rsid w:val="00292461"/>
    <w:rsid w:val="00292464"/>
    <w:rsid w:val="002924DA"/>
    <w:rsid w:val="00292835"/>
    <w:rsid w:val="002928B2"/>
    <w:rsid w:val="00292E8A"/>
    <w:rsid w:val="00292EFC"/>
    <w:rsid w:val="00293051"/>
    <w:rsid w:val="002930EF"/>
    <w:rsid w:val="002931D8"/>
    <w:rsid w:val="0029342A"/>
    <w:rsid w:val="00293489"/>
    <w:rsid w:val="0029370B"/>
    <w:rsid w:val="00293716"/>
    <w:rsid w:val="00293724"/>
    <w:rsid w:val="0029377F"/>
    <w:rsid w:val="002938E2"/>
    <w:rsid w:val="00293A48"/>
    <w:rsid w:val="00293BDF"/>
    <w:rsid w:val="00293C10"/>
    <w:rsid w:val="0029410D"/>
    <w:rsid w:val="00294315"/>
    <w:rsid w:val="002945A4"/>
    <w:rsid w:val="00294845"/>
    <w:rsid w:val="0029485D"/>
    <w:rsid w:val="002948B0"/>
    <w:rsid w:val="002948CE"/>
    <w:rsid w:val="00294AB9"/>
    <w:rsid w:val="00294D9B"/>
    <w:rsid w:val="00294E22"/>
    <w:rsid w:val="00294F13"/>
    <w:rsid w:val="002952D3"/>
    <w:rsid w:val="00295553"/>
    <w:rsid w:val="002956E6"/>
    <w:rsid w:val="002957E1"/>
    <w:rsid w:val="00295B6F"/>
    <w:rsid w:val="00295C5C"/>
    <w:rsid w:val="00295DB7"/>
    <w:rsid w:val="00295FE0"/>
    <w:rsid w:val="00295FFA"/>
    <w:rsid w:val="00296048"/>
    <w:rsid w:val="002960DD"/>
    <w:rsid w:val="00296269"/>
    <w:rsid w:val="002963B0"/>
    <w:rsid w:val="0029658D"/>
    <w:rsid w:val="002965CE"/>
    <w:rsid w:val="002967DD"/>
    <w:rsid w:val="00296A74"/>
    <w:rsid w:val="00296CA4"/>
    <w:rsid w:val="00297023"/>
    <w:rsid w:val="00297299"/>
    <w:rsid w:val="0029737E"/>
    <w:rsid w:val="00297449"/>
    <w:rsid w:val="0029770D"/>
    <w:rsid w:val="00297AB9"/>
    <w:rsid w:val="00297C19"/>
    <w:rsid w:val="00297D53"/>
    <w:rsid w:val="00297E1F"/>
    <w:rsid w:val="00297F35"/>
    <w:rsid w:val="00297FC3"/>
    <w:rsid w:val="002A0295"/>
    <w:rsid w:val="002A036C"/>
    <w:rsid w:val="002A03B8"/>
    <w:rsid w:val="002A0658"/>
    <w:rsid w:val="002A0775"/>
    <w:rsid w:val="002A0A0A"/>
    <w:rsid w:val="002A0F03"/>
    <w:rsid w:val="002A0F8B"/>
    <w:rsid w:val="002A1209"/>
    <w:rsid w:val="002A14B5"/>
    <w:rsid w:val="002A14D2"/>
    <w:rsid w:val="002A15DC"/>
    <w:rsid w:val="002A1683"/>
    <w:rsid w:val="002A17DA"/>
    <w:rsid w:val="002A194D"/>
    <w:rsid w:val="002A19DC"/>
    <w:rsid w:val="002A1A28"/>
    <w:rsid w:val="002A1D38"/>
    <w:rsid w:val="002A1E18"/>
    <w:rsid w:val="002A1FA6"/>
    <w:rsid w:val="002A2080"/>
    <w:rsid w:val="002A223A"/>
    <w:rsid w:val="002A233C"/>
    <w:rsid w:val="002A23D7"/>
    <w:rsid w:val="002A25EC"/>
    <w:rsid w:val="002A26BE"/>
    <w:rsid w:val="002A2769"/>
    <w:rsid w:val="002A280C"/>
    <w:rsid w:val="002A2AA7"/>
    <w:rsid w:val="002A2CF6"/>
    <w:rsid w:val="002A2DF5"/>
    <w:rsid w:val="002A303F"/>
    <w:rsid w:val="002A3070"/>
    <w:rsid w:val="002A3703"/>
    <w:rsid w:val="002A3704"/>
    <w:rsid w:val="002A3835"/>
    <w:rsid w:val="002A39F5"/>
    <w:rsid w:val="002A39F9"/>
    <w:rsid w:val="002A3D51"/>
    <w:rsid w:val="002A3E4F"/>
    <w:rsid w:val="002A436F"/>
    <w:rsid w:val="002A4448"/>
    <w:rsid w:val="002A45B3"/>
    <w:rsid w:val="002A465B"/>
    <w:rsid w:val="002A489F"/>
    <w:rsid w:val="002A48D4"/>
    <w:rsid w:val="002A48E8"/>
    <w:rsid w:val="002A4E3D"/>
    <w:rsid w:val="002A522B"/>
    <w:rsid w:val="002A52B0"/>
    <w:rsid w:val="002A52BA"/>
    <w:rsid w:val="002A577B"/>
    <w:rsid w:val="002A5824"/>
    <w:rsid w:val="002A5A41"/>
    <w:rsid w:val="002A5C05"/>
    <w:rsid w:val="002A5E79"/>
    <w:rsid w:val="002A5EB6"/>
    <w:rsid w:val="002A5ECF"/>
    <w:rsid w:val="002A5F8D"/>
    <w:rsid w:val="002A64B4"/>
    <w:rsid w:val="002A68CB"/>
    <w:rsid w:val="002A68FC"/>
    <w:rsid w:val="002A6968"/>
    <w:rsid w:val="002A6CFE"/>
    <w:rsid w:val="002A6EE4"/>
    <w:rsid w:val="002A7297"/>
    <w:rsid w:val="002A738B"/>
    <w:rsid w:val="002A74FF"/>
    <w:rsid w:val="002A75D7"/>
    <w:rsid w:val="002A7606"/>
    <w:rsid w:val="002A7653"/>
    <w:rsid w:val="002A7AC0"/>
    <w:rsid w:val="002A7ADA"/>
    <w:rsid w:val="002A7C61"/>
    <w:rsid w:val="002A7D4D"/>
    <w:rsid w:val="002A7E4E"/>
    <w:rsid w:val="002A7EF1"/>
    <w:rsid w:val="002B011A"/>
    <w:rsid w:val="002B04DB"/>
    <w:rsid w:val="002B0B01"/>
    <w:rsid w:val="002B0B7A"/>
    <w:rsid w:val="002B0C8A"/>
    <w:rsid w:val="002B0F15"/>
    <w:rsid w:val="002B0F35"/>
    <w:rsid w:val="002B0F80"/>
    <w:rsid w:val="002B1105"/>
    <w:rsid w:val="002B111A"/>
    <w:rsid w:val="002B1489"/>
    <w:rsid w:val="002B14E5"/>
    <w:rsid w:val="002B1554"/>
    <w:rsid w:val="002B198B"/>
    <w:rsid w:val="002B1AD2"/>
    <w:rsid w:val="002B1CD1"/>
    <w:rsid w:val="002B1EA5"/>
    <w:rsid w:val="002B1F74"/>
    <w:rsid w:val="002B2288"/>
    <w:rsid w:val="002B250C"/>
    <w:rsid w:val="002B2FE3"/>
    <w:rsid w:val="002B2FF5"/>
    <w:rsid w:val="002B31E3"/>
    <w:rsid w:val="002B3475"/>
    <w:rsid w:val="002B36B7"/>
    <w:rsid w:val="002B3A97"/>
    <w:rsid w:val="002B4350"/>
    <w:rsid w:val="002B44A3"/>
    <w:rsid w:val="002B46A0"/>
    <w:rsid w:val="002B4A1F"/>
    <w:rsid w:val="002B4CA1"/>
    <w:rsid w:val="002B508F"/>
    <w:rsid w:val="002B51B5"/>
    <w:rsid w:val="002B55B0"/>
    <w:rsid w:val="002B55F4"/>
    <w:rsid w:val="002B5682"/>
    <w:rsid w:val="002B5805"/>
    <w:rsid w:val="002B58C9"/>
    <w:rsid w:val="002B5B06"/>
    <w:rsid w:val="002B5CB7"/>
    <w:rsid w:val="002B5CF8"/>
    <w:rsid w:val="002B5E8B"/>
    <w:rsid w:val="002B601B"/>
    <w:rsid w:val="002B61E0"/>
    <w:rsid w:val="002B61FF"/>
    <w:rsid w:val="002B642A"/>
    <w:rsid w:val="002B6548"/>
    <w:rsid w:val="002B664F"/>
    <w:rsid w:val="002B665E"/>
    <w:rsid w:val="002B6C36"/>
    <w:rsid w:val="002B6D23"/>
    <w:rsid w:val="002B70F0"/>
    <w:rsid w:val="002B75EC"/>
    <w:rsid w:val="002B7624"/>
    <w:rsid w:val="002B7642"/>
    <w:rsid w:val="002B7700"/>
    <w:rsid w:val="002B7AE2"/>
    <w:rsid w:val="002B7AE5"/>
    <w:rsid w:val="002B7B22"/>
    <w:rsid w:val="002B7CD4"/>
    <w:rsid w:val="002B7E63"/>
    <w:rsid w:val="002C03D4"/>
    <w:rsid w:val="002C0429"/>
    <w:rsid w:val="002C0782"/>
    <w:rsid w:val="002C0ADD"/>
    <w:rsid w:val="002C0BAC"/>
    <w:rsid w:val="002C1116"/>
    <w:rsid w:val="002C1273"/>
    <w:rsid w:val="002C14C4"/>
    <w:rsid w:val="002C15FF"/>
    <w:rsid w:val="002C17DB"/>
    <w:rsid w:val="002C191C"/>
    <w:rsid w:val="002C1BCB"/>
    <w:rsid w:val="002C1FA0"/>
    <w:rsid w:val="002C2012"/>
    <w:rsid w:val="002C2301"/>
    <w:rsid w:val="002C26FB"/>
    <w:rsid w:val="002C2751"/>
    <w:rsid w:val="002C28B3"/>
    <w:rsid w:val="002C29DA"/>
    <w:rsid w:val="002C29DD"/>
    <w:rsid w:val="002C2A30"/>
    <w:rsid w:val="002C2AA9"/>
    <w:rsid w:val="002C2B5C"/>
    <w:rsid w:val="002C2D73"/>
    <w:rsid w:val="002C3440"/>
    <w:rsid w:val="002C37EC"/>
    <w:rsid w:val="002C3840"/>
    <w:rsid w:val="002C3931"/>
    <w:rsid w:val="002C3BE2"/>
    <w:rsid w:val="002C3F79"/>
    <w:rsid w:val="002C40AB"/>
    <w:rsid w:val="002C40AD"/>
    <w:rsid w:val="002C40EF"/>
    <w:rsid w:val="002C422B"/>
    <w:rsid w:val="002C4313"/>
    <w:rsid w:val="002C4484"/>
    <w:rsid w:val="002C4601"/>
    <w:rsid w:val="002C4CA6"/>
    <w:rsid w:val="002C4CDB"/>
    <w:rsid w:val="002C4D6A"/>
    <w:rsid w:val="002C4DEC"/>
    <w:rsid w:val="002C4DF1"/>
    <w:rsid w:val="002C507B"/>
    <w:rsid w:val="002C5186"/>
    <w:rsid w:val="002C5303"/>
    <w:rsid w:val="002C5857"/>
    <w:rsid w:val="002C58B3"/>
    <w:rsid w:val="002C5D04"/>
    <w:rsid w:val="002C6681"/>
    <w:rsid w:val="002C66BE"/>
    <w:rsid w:val="002C67D2"/>
    <w:rsid w:val="002C69D7"/>
    <w:rsid w:val="002C6A1C"/>
    <w:rsid w:val="002C6FEC"/>
    <w:rsid w:val="002C70A3"/>
    <w:rsid w:val="002C71A0"/>
    <w:rsid w:val="002C75E7"/>
    <w:rsid w:val="002C77FB"/>
    <w:rsid w:val="002C7812"/>
    <w:rsid w:val="002C78D2"/>
    <w:rsid w:val="002C7A34"/>
    <w:rsid w:val="002C7B05"/>
    <w:rsid w:val="002CA31D"/>
    <w:rsid w:val="002D0063"/>
    <w:rsid w:val="002D00E8"/>
    <w:rsid w:val="002D027B"/>
    <w:rsid w:val="002D0381"/>
    <w:rsid w:val="002D061C"/>
    <w:rsid w:val="002D0656"/>
    <w:rsid w:val="002D07E4"/>
    <w:rsid w:val="002D0F6E"/>
    <w:rsid w:val="002D0F8B"/>
    <w:rsid w:val="002D1034"/>
    <w:rsid w:val="002D1391"/>
    <w:rsid w:val="002D13A6"/>
    <w:rsid w:val="002D14A5"/>
    <w:rsid w:val="002D1602"/>
    <w:rsid w:val="002D1804"/>
    <w:rsid w:val="002D1BEE"/>
    <w:rsid w:val="002D1C95"/>
    <w:rsid w:val="002D1E5D"/>
    <w:rsid w:val="002D1F25"/>
    <w:rsid w:val="002D201A"/>
    <w:rsid w:val="002D2067"/>
    <w:rsid w:val="002D211B"/>
    <w:rsid w:val="002D2289"/>
    <w:rsid w:val="002D2381"/>
    <w:rsid w:val="002D25F6"/>
    <w:rsid w:val="002D266E"/>
    <w:rsid w:val="002D287E"/>
    <w:rsid w:val="002D2E22"/>
    <w:rsid w:val="002D3540"/>
    <w:rsid w:val="002D36D8"/>
    <w:rsid w:val="002D397E"/>
    <w:rsid w:val="002D3B2B"/>
    <w:rsid w:val="002D3BFC"/>
    <w:rsid w:val="002D3C3B"/>
    <w:rsid w:val="002D3C41"/>
    <w:rsid w:val="002D3F66"/>
    <w:rsid w:val="002D40A2"/>
    <w:rsid w:val="002D4261"/>
    <w:rsid w:val="002D42B1"/>
    <w:rsid w:val="002D43C0"/>
    <w:rsid w:val="002D440B"/>
    <w:rsid w:val="002D443C"/>
    <w:rsid w:val="002D49A1"/>
    <w:rsid w:val="002D49C9"/>
    <w:rsid w:val="002D4CAC"/>
    <w:rsid w:val="002D4D84"/>
    <w:rsid w:val="002D4E11"/>
    <w:rsid w:val="002D4ECC"/>
    <w:rsid w:val="002D4F53"/>
    <w:rsid w:val="002D54B4"/>
    <w:rsid w:val="002D5576"/>
    <w:rsid w:val="002D55BB"/>
    <w:rsid w:val="002D56DA"/>
    <w:rsid w:val="002D5A60"/>
    <w:rsid w:val="002D5E44"/>
    <w:rsid w:val="002D6214"/>
    <w:rsid w:val="002D64AC"/>
    <w:rsid w:val="002D6A5B"/>
    <w:rsid w:val="002D6AD4"/>
    <w:rsid w:val="002D6DB5"/>
    <w:rsid w:val="002D70F6"/>
    <w:rsid w:val="002D70F7"/>
    <w:rsid w:val="002D739E"/>
    <w:rsid w:val="002D74A7"/>
    <w:rsid w:val="002D753E"/>
    <w:rsid w:val="002D7653"/>
    <w:rsid w:val="002D7832"/>
    <w:rsid w:val="002D7C59"/>
    <w:rsid w:val="002E014D"/>
    <w:rsid w:val="002E01D4"/>
    <w:rsid w:val="002E0476"/>
    <w:rsid w:val="002E04A0"/>
    <w:rsid w:val="002E0892"/>
    <w:rsid w:val="002E0A0C"/>
    <w:rsid w:val="002E0C3A"/>
    <w:rsid w:val="002E0DB8"/>
    <w:rsid w:val="002E0FCB"/>
    <w:rsid w:val="002E1648"/>
    <w:rsid w:val="002E1CC0"/>
    <w:rsid w:val="002E1CEC"/>
    <w:rsid w:val="002E1E0B"/>
    <w:rsid w:val="002E20BD"/>
    <w:rsid w:val="002E25BC"/>
    <w:rsid w:val="002E2898"/>
    <w:rsid w:val="002E2C31"/>
    <w:rsid w:val="002E2ED5"/>
    <w:rsid w:val="002E30D6"/>
    <w:rsid w:val="002E31A3"/>
    <w:rsid w:val="002E3743"/>
    <w:rsid w:val="002E3A08"/>
    <w:rsid w:val="002E3A0C"/>
    <w:rsid w:val="002E3BDB"/>
    <w:rsid w:val="002E40E9"/>
    <w:rsid w:val="002E4112"/>
    <w:rsid w:val="002E43D0"/>
    <w:rsid w:val="002E4520"/>
    <w:rsid w:val="002E46B1"/>
    <w:rsid w:val="002E490B"/>
    <w:rsid w:val="002E49D0"/>
    <w:rsid w:val="002E4BD1"/>
    <w:rsid w:val="002E4D0C"/>
    <w:rsid w:val="002E5019"/>
    <w:rsid w:val="002E50A9"/>
    <w:rsid w:val="002E51D5"/>
    <w:rsid w:val="002E52C3"/>
    <w:rsid w:val="002E52D3"/>
    <w:rsid w:val="002E531B"/>
    <w:rsid w:val="002E54FA"/>
    <w:rsid w:val="002E5537"/>
    <w:rsid w:val="002E57BD"/>
    <w:rsid w:val="002E57E5"/>
    <w:rsid w:val="002E583C"/>
    <w:rsid w:val="002E58BE"/>
    <w:rsid w:val="002E59D5"/>
    <w:rsid w:val="002E5B90"/>
    <w:rsid w:val="002E5DDA"/>
    <w:rsid w:val="002E5E06"/>
    <w:rsid w:val="002E5E68"/>
    <w:rsid w:val="002E5FE8"/>
    <w:rsid w:val="002E60FA"/>
    <w:rsid w:val="002E610F"/>
    <w:rsid w:val="002E611C"/>
    <w:rsid w:val="002E62E4"/>
    <w:rsid w:val="002E64B6"/>
    <w:rsid w:val="002E6519"/>
    <w:rsid w:val="002E6CB5"/>
    <w:rsid w:val="002E6DB7"/>
    <w:rsid w:val="002E70BB"/>
    <w:rsid w:val="002E787B"/>
    <w:rsid w:val="002E7935"/>
    <w:rsid w:val="002E7B7C"/>
    <w:rsid w:val="002E7DEF"/>
    <w:rsid w:val="002E7F64"/>
    <w:rsid w:val="002E7F7A"/>
    <w:rsid w:val="002E7F94"/>
    <w:rsid w:val="002F02FE"/>
    <w:rsid w:val="002F0574"/>
    <w:rsid w:val="002F062C"/>
    <w:rsid w:val="002F0875"/>
    <w:rsid w:val="002F0CA3"/>
    <w:rsid w:val="002F0CBC"/>
    <w:rsid w:val="002F11FD"/>
    <w:rsid w:val="002F144B"/>
    <w:rsid w:val="002F16A3"/>
    <w:rsid w:val="002F1A68"/>
    <w:rsid w:val="002F1F94"/>
    <w:rsid w:val="002F20C0"/>
    <w:rsid w:val="002F2283"/>
    <w:rsid w:val="002F22B9"/>
    <w:rsid w:val="002F2358"/>
    <w:rsid w:val="002F25ED"/>
    <w:rsid w:val="002F2A1B"/>
    <w:rsid w:val="002F2B5E"/>
    <w:rsid w:val="002F2D7A"/>
    <w:rsid w:val="002F306A"/>
    <w:rsid w:val="002F3168"/>
    <w:rsid w:val="002F31F7"/>
    <w:rsid w:val="002F31FF"/>
    <w:rsid w:val="002F3649"/>
    <w:rsid w:val="002F3795"/>
    <w:rsid w:val="002F3B28"/>
    <w:rsid w:val="002F3B5E"/>
    <w:rsid w:val="002F3CC2"/>
    <w:rsid w:val="002F3D29"/>
    <w:rsid w:val="002F3E50"/>
    <w:rsid w:val="002F429B"/>
    <w:rsid w:val="002F440C"/>
    <w:rsid w:val="002F4453"/>
    <w:rsid w:val="002F4515"/>
    <w:rsid w:val="002F47E6"/>
    <w:rsid w:val="002F4815"/>
    <w:rsid w:val="002F4846"/>
    <w:rsid w:val="002F48D0"/>
    <w:rsid w:val="002F49F3"/>
    <w:rsid w:val="002F4A1C"/>
    <w:rsid w:val="002F4A54"/>
    <w:rsid w:val="002F4AF3"/>
    <w:rsid w:val="002F4BEB"/>
    <w:rsid w:val="002F50B3"/>
    <w:rsid w:val="002F522F"/>
    <w:rsid w:val="002F5266"/>
    <w:rsid w:val="002F55AD"/>
    <w:rsid w:val="002F57F2"/>
    <w:rsid w:val="002F5897"/>
    <w:rsid w:val="002F5901"/>
    <w:rsid w:val="002F5BEB"/>
    <w:rsid w:val="002F5E67"/>
    <w:rsid w:val="002F5E6D"/>
    <w:rsid w:val="002F6376"/>
    <w:rsid w:val="002F6426"/>
    <w:rsid w:val="002F6476"/>
    <w:rsid w:val="002F6A14"/>
    <w:rsid w:val="002F6AC5"/>
    <w:rsid w:val="002F6C35"/>
    <w:rsid w:val="002F6CD2"/>
    <w:rsid w:val="002F7016"/>
    <w:rsid w:val="002F70B6"/>
    <w:rsid w:val="002F70D1"/>
    <w:rsid w:val="002F73AA"/>
    <w:rsid w:val="002F7676"/>
    <w:rsid w:val="002F77D2"/>
    <w:rsid w:val="002F78F4"/>
    <w:rsid w:val="002F7DD3"/>
    <w:rsid w:val="002FF0E4"/>
    <w:rsid w:val="0030012E"/>
    <w:rsid w:val="00300972"/>
    <w:rsid w:val="00300CE3"/>
    <w:rsid w:val="00300E08"/>
    <w:rsid w:val="00300F4D"/>
    <w:rsid w:val="00300F7E"/>
    <w:rsid w:val="00301100"/>
    <w:rsid w:val="00301146"/>
    <w:rsid w:val="00301193"/>
    <w:rsid w:val="003012B6"/>
    <w:rsid w:val="0030159D"/>
    <w:rsid w:val="003016A3"/>
    <w:rsid w:val="003017BF"/>
    <w:rsid w:val="003018BE"/>
    <w:rsid w:val="00301B29"/>
    <w:rsid w:val="00301C4A"/>
    <w:rsid w:val="00301C75"/>
    <w:rsid w:val="00301D08"/>
    <w:rsid w:val="00301F52"/>
    <w:rsid w:val="0030200A"/>
    <w:rsid w:val="00302242"/>
    <w:rsid w:val="0030226D"/>
    <w:rsid w:val="003023D9"/>
    <w:rsid w:val="0030273D"/>
    <w:rsid w:val="00302866"/>
    <w:rsid w:val="0030288D"/>
    <w:rsid w:val="0030288E"/>
    <w:rsid w:val="003028BC"/>
    <w:rsid w:val="00302CE0"/>
    <w:rsid w:val="00302D08"/>
    <w:rsid w:val="003030F6"/>
    <w:rsid w:val="0030311C"/>
    <w:rsid w:val="0030311E"/>
    <w:rsid w:val="00303410"/>
    <w:rsid w:val="00303485"/>
    <w:rsid w:val="003037B7"/>
    <w:rsid w:val="00303CCD"/>
    <w:rsid w:val="0030434B"/>
    <w:rsid w:val="00304528"/>
    <w:rsid w:val="00304533"/>
    <w:rsid w:val="00304542"/>
    <w:rsid w:val="0030454A"/>
    <w:rsid w:val="003045FA"/>
    <w:rsid w:val="003048CB"/>
    <w:rsid w:val="00304934"/>
    <w:rsid w:val="00304D52"/>
    <w:rsid w:val="00304EE1"/>
    <w:rsid w:val="00304F46"/>
    <w:rsid w:val="003050E3"/>
    <w:rsid w:val="003054D5"/>
    <w:rsid w:val="00305740"/>
    <w:rsid w:val="00305835"/>
    <w:rsid w:val="003058E0"/>
    <w:rsid w:val="00305DDA"/>
    <w:rsid w:val="0030653F"/>
    <w:rsid w:val="00306716"/>
    <w:rsid w:val="00306C17"/>
    <w:rsid w:val="00306C7C"/>
    <w:rsid w:val="00306D48"/>
    <w:rsid w:val="003100D3"/>
    <w:rsid w:val="003101F9"/>
    <w:rsid w:val="00310587"/>
    <w:rsid w:val="00310631"/>
    <w:rsid w:val="00310648"/>
    <w:rsid w:val="0031073D"/>
    <w:rsid w:val="00310902"/>
    <w:rsid w:val="00310928"/>
    <w:rsid w:val="0031099D"/>
    <w:rsid w:val="00310CE6"/>
    <w:rsid w:val="00310E96"/>
    <w:rsid w:val="00310EEE"/>
    <w:rsid w:val="0031169F"/>
    <w:rsid w:val="00311775"/>
    <w:rsid w:val="003119DD"/>
    <w:rsid w:val="00311C18"/>
    <w:rsid w:val="00311C80"/>
    <w:rsid w:val="00311F3A"/>
    <w:rsid w:val="003121A7"/>
    <w:rsid w:val="003122F5"/>
    <w:rsid w:val="003123BE"/>
    <w:rsid w:val="00312477"/>
    <w:rsid w:val="003124B3"/>
    <w:rsid w:val="00312977"/>
    <w:rsid w:val="00312AF0"/>
    <w:rsid w:val="00312C26"/>
    <w:rsid w:val="00312D66"/>
    <w:rsid w:val="00313138"/>
    <w:rsid w:val="00313191"/>
    <w:rsid w:val="00313572"/>
    <w:rsid w:val="0031370B"/>
    <w:rsid w:val="003137F2"/>
    <w:rsid w:val="003139D4"/>
    <w:rsid w:val="00313A69"/>
    <w:rsid w:val="00313CDB"/>
    <w:rsid w:val="0031414E"/>
    <w:rsid w:val="003141D7"/>
    <w:rsid w:val="00314527"/>
    <w:rsid w:val="00314817"/>
    <w:rsid w:val="0031488E"/>
    <w:rsid w:val="00314B2B"/>
    <w:rsid w:val="00314C23"/>
    <w:rsid w:val="00314EF1"/>
    <w:rsid w:val="003150CA"/>
    <w:rsid w:val="00315151"/>
    <w:rsid w:val="0031517F"/>
    <w:rsid w:val="0031523F"/>
    <w:rsid w:val="003152D7"/>
    <w:rsid w:val="003153A6"/>
    <w:rsid w:val="00315747"/>
    <w:rsid w:val="00315885"/>
    <w:rsid w:val="00315AA2"/>
    <w:rsid w:val="00315D3D"/>
    <w:rsid w:val="00316072"/>
    <w:rsid w:val="00316292"/>
    <w:rsid w:val="00316695"/>
    <w:rsid w:val="0031679C"/>
    <w:rsid w:val="003167CF"/>
    <w:rsid w:val="00316858"/>
    <w:rsid w:val="00316915"/>
    <w:rsid w:val="00316B6F"/>
    <w:rsid w:val="00316B92"/>
    <w:rsid w:val="00316BC6"/>
    <w:rsid w:val="00316EC8"/>
    <w:rsid w:val="00316F5B"/>
    <w:rsid w:val="00317156"/>
    <w:rsid w:val="00317273"/>
    <w:rsid w:val="003172A8"/>
    <w:rsid w:val="00317446"/>
    <w:rsid w:val="003174D2"/>
    <w:rsid w:val="00317562"/>
    <w:rsid w:val="003175CC"/>
    <w:rsid w:val="003175E8"/>
    <w:rsid w:val="00317734"/>
    <w:rsid w:val="0031779C"/>
    <w:rsid w:val="00317822"/>
    <w:rsid w:val="00317B4B"/>
    <w:rsid w:val="00317EA3"/>
    <w:rsid w:val="00317EB0"/>
    <w:rsid w:val="00317F6F"/>
    <w:rsid w:val="003207CF"/>
    <w:rsid w:val="0032085F"/>
    <w:rsid w:val="00320DC3"/>
    <w:rsid w:val="00320FED"/>
    <w:rsid w:val="003211AE"/>
    <w:rsid w:val="00321274"/>
    <w:rsid w:val="003213BF"/>
    <w:rsid w:val="00321635"/>
    <w:rsid w:val="0032166C"/>
    <w:rsid w:val="003219EA"/>
    <w:rsid w:val="003219F1"/>
    <w:rsid w:val="00321A6B"/>
    <w:rsid w:val="00321C38"/>
    <w:rsid w:val="00321DAC"/>
    <w:rsid w:val="00321FC5"/>
    <w:rsid w:val="00322214"/>
    <w:rsid w:val="003227C1"/>
    <w:rsid w:val="00322964"/>
    <w:rsid w:val="00322A14"/>
    <w:rsid w:val="00322A93"/>
    <w:rsid w:val="00322ACF"/>
    <w:rsid w:val="00322C4C"/>
    <w:rsid w:val="00322CB5"/>
    <w:rsid w:val="00322E54"/>
    <w:rsid w:val="00322FD2"/>
    <w:rsid w:val="00323003"/>
    <w:rsid w:val="0032328E"/>
    <w:rsid w:val="0032342B"/>
    <w:rsid w:val="0032350E"/>
    <w:rsid w:val="0032355D"/>
    <w:rsid w:val="003239B6"/>
    <w:rsid w:val="00323A1C"/>
    <w:rsid w:val="00323A41"/>
    <w:rsid w:val="00323B5F"/>
    <w:rsid w:val="00323D75"/>
    <w:rsid w:val="00323DB2"/>
    <w:rsid w:val="00324197"/>
    <w:rsid w:val="0032420E"/>
    <w:rsid w:val="00324414"/>
    <w:rsid w:val="003245CE"/>
    <w:rsid w:val="00324662"/>
    <w:rsid w:val="0032482E"/>
    <w:rsid w:val="00324B08"/>
    <w:rsid w:val="00324B3F"/>
    <w:rsid w:val="00324CA1"/>
    <w:rsid w:val="00324CC0"/>
    <w:rsid w:val="00324D79"/>
    <w:rsid w:val="00324DB6"/>
    <w:rsid w:val="00324E11"/>
    <w:rsid w:val="00324E66"/>
    <w:rsid w:val="00324EED"/>
    <w:rsid w:val="00325283"/>
    <w:rsid w:val="003252C0"/>
    <w:rsid w:val="00325F02"/>
    <w:rsid w:val="00325F7F"/>
    <w:rsid w:val="003262C1"/>
    <w:rsid w:val="00326425"/>
    <w:rsid w:val="00326634"/>
    <w:rsid w:val="00326674"/>
    <w:rsid w:val="003268D4"/>
    <w:rsid w:val="00326A34"/>
    <w:rsid w:val="00326AC8"/>
    <w:rsid w:val="00326C56"/>
    <w:rsid w:val="00326D5A"/>
    <w:rsid w:val="00327013"/>
    <w:rsid w:val="003274D6"/>
    <w:rsid w:val="00327562"/>
    <w:rsid w:val="00327B1E"/>
    <w:rsid w:val="00327F58"/>
    <w:rsid w:val="00330025"/>
    <w:rsid w:val="003302D7"/>
    <w:rsid w:val="003304A6"/>
    <w:rsid w:val="00330BC9"/>
    <w:rsid w:val="00330D23"/>
    <w:rsid w:val="0033136C"/>
    <w:rsid w:val="0033138F"/>
    <w:rsid w:val="00331684"/>
    <w:rsid w:val="0033178B"/>
    <w:rsid w:val="00331B8E"/>
    <w:rsid w:val="00332103"/>
    <w:rsid w:val="00332257"/>
    <w:rsid w:val="0033226A"/>
    <w:rsid w:val="003323C0"/>
    <w:rsid w:val="00332CB1"/>
    <w:rsid w:val="00332D22"/>
    <w:rsid w:val="00332ECE"/>
    <w:rsid w:val="00333250"/>
    <w:rsid w:val="003333BC"/>
    <w:rsid w:val="0033341D"/>
    <w:rsid w:val="00333442"/>
    <w:rsid w:val="0033358F"/>
    <w:rsid w:val="0033392D"/>
    <w:rsid w:val="00333B59"/>
    <w:rsid w:val="00333E62"/>
    <w:rsid w:val="0033400B"/>
    <w:rsid w:val="003340AB"/>
    <w:rsid w:val="0033415B"/>
    <w:rsid w:val="00334624"/>
    <w:rsid w:val="00334734"/>
    <w:rsid w:val="003349A0"/>
    <w:rsid w:val="003349E5"/>
    <w:rsid w:val="00334FA3"/>
    <w:rsid w:val="00335068"/>
    <w:rsid w:val="0033510F"/>
    <w:rsid w:val="003359FA"/>
    <w:rsid w:val="00335F22"/>
    <w:rsid w:val="00336271"/>
    <w:rsid w:val="00336282"/>
    <w:rsid w:val="0033634F"/>
    <w:rsid w:val="00336371"/>
    <w:rsid w:val="003363ED"/>
    <w:rsid w:val="00336754"/>
    <w:rsid w:val="003367AF"/>
    <w:rsid w:val="00336CED"/>
    <w:rsid w:val="00336EE1"/>
    <w:rsid w:val="00337000"/>
    <w:rsid w:val="00337150"/>
    <w:rsid w:val="003372D9"/>
    <w:rsid w:val="003376A6"/>
    <w:rsid w:val="0033797C"/>
    <w:rsid w:val="00337B9C"/>
    <w:rsid w:val="00337C79"/>
    <w:rsid w:val="00337C9B"/>
    <w:rsid w:val="00337EE0"/>
    <w:rsid w:val="00337FB0"/>
    <w:rsid w:val="003401F0"/>
    <w:rsid w:val="00340247"/>
    <w:rsid w:val="003403F4"/>
    <w:rsid w:val="00340476"/>
    <w:rsid w:val="00340572"/>
    <w:rsid w:val="00340929"/>
    <w:rsid w:val="0034097F"/>
    <w:rsid w:val="003409EC"/>
    <w:rsid w:val="00340B2E"/>
    <w:rsid w:val="00340B77"/>
    <w:rsid w:val="00340DCB"/>
    <w:rsid w:val="00340EE4"/>
    <w:rsid w:val="003410EE"/>
    <w:rsid w:val="003416A2"/>
    <w:rsid w:val="00341889"/>
    <w:rsid w:val="00341B20"/>
    <w:rsid w:val="00341BBA"/>
    <w:rsid w:val="00341E5D"/>
    <w:rsid w:val="00341EB2"/>
    <w:rsid w:val="00341FC0"/>
    <w:rsid w:val="003420B5"/>
    <w:rsid w:val="0034216E"/>
    <w:rsid w:val="003422CB"/>
    <w:rsid w:val="00342461"/>
    <w:rsid w:val="003425D2"/>
    <w:rsid w:val="00342688"/>
    <w:rsid w:val="00342AC3"/>
    <w:rsid w:val="00342AD8"/>
    <w:rsid w:val="00342C32"/>
    <w:rsid w:val="00342CE8"/>
    <w:rsid w:val="00342F44"/>
    <w:rsid w:val="00342F5C"/>
    <w:rsid w:val="00343105"/>
    <w:rsid w:val="00343148"/>
    <w:rsid w:val="003436FE"/>
    <w:rsid w:val="0034376D"/>
    <w:rsid w:val="00343C60"/>
    <w:rsid w:val="00343C6B"/>
    <w:rsid w:val="00344446"/>
    <w:rsid w:val="003449EB"/>
    <w:rsid w:val="00344C0B"/>
    <w:rsid w:val="00344C33"/>
    <w:rsid w:val="00344E7B"/>
    <w:rsid w:val="00344EE7"/>
    <w:rsid w:val="00344FF1"/>
    <w:rsid w:val="003454A2"/>
    <w:rsid w:val="00345660"/>
    <w:rsid w:val="00345708"/>
    <w:rsid w:val="00345747"/>
    <w:rsid w:val="00345AF9"/>
    <w:rsid w:val="00345D7C"/>
    <w:rsid w:val="00346114"/>
    <w:rsid w:val="00346216"/>
    <w:rsid w:val="003463E0"/>
    <w:rsid w:val="0034644E"/>
    <w:rsid w:val="0034650F"/>
    <w:rsid w:val="003468D1"/>
    <w:rsid w:val="0034690F"/>
    <w:rsid w:val="00346BB7"/>
    <w:rsid w:val="00346C44"/>
    <w:rsid w:val="00346FE1"/>
    <w:rsid w:val="00347018"/>
    <w:rsid w:val="003475CF"/>
    <w:rsid w:val="00347738"/>
    <w:rsid w:val="0034797F"/>
    <w:rsid w:val="00350084"/>
    <w:rsid w:val="0035010D"/>
    <w:rsid w:val="003501F5"/>
    <w:rsid w:val="003502DC"/>
    <w:rsid w:val="003505F4"/>
    <w:rsid w:val="00350817"/>
    <w:rsid w:val="0035092D"/>
    <w:rsid w:val="00350A1C"/>
    <w:rsid w:val="00350A96"/>
    <w:rsid w:val="00350B76"/>
    <w:rsid w:val="00350D21"/>
    <w:rsid w:val="00350E19"/>
    <w:rsid w:val="00350ECB"/>
    <w:rsid w:val="00350F42"/>
    <w:rsid w:val="00350F45"/>
    <w:rsid w:val="003511E8"/>
    <w:rsid w:val="00351457"/>
    <w:rsid w:val="003518EB"/>
    <w:rsid w:val="003519B4"/>
    <w:rsid w:val="00351A44"/>
    <w:rsid w:val="00351DC4"/>
    <w:rsid w:val="00351ED2"/>
    <w:rsid w:val="00351FCB"/>
    <w:rsid w:val="00352067"/>
    <w:rsid w:val="0035207B"/>
    <w:rsid w:val="0035241C"/>
    <w:rsid w:val="00352421"/>
    <w:rsid w:val="003525F7"/>
    <w:rsid w:val="00352CA9"/>
    <w:rsid w:val="00352D92"/>
    <w:rsid w:val="00352E27"/>
    <w:rsid w:val="00353104"/>
    <w:rsid w:val="0035310F"/>
    <w:rsid w:val="003532DF"/>
    <w:rsid w:val="0035333B"/>
    <w:rsid w:val="00353427"/>
    <w:rsid w:val="003534E6"/>
    <w:rsid w:val="003534EF"/>
    <w:rsid w:val="0035360E"/>
    <w:rsid w:val="00353ACE"/>
    <w:rsid w:val="00353C74"/>
    <w:rsid w:val="00353F36"/>
    <w:rsid w:val="003542E6"/>
    <w:rsid w:val="003543BA"/>
    <w:rsid w:val="0035452B"/>
    <w:rsid w:val="00354626"/>
    <w:rsid w:val="003546D1"/>
    <w:rsid w:val="003549A0"/>
    <w:rsid w:val="00354A16"/>
    <w:rsid w:val="00354ACD"/>
    <w:rsid w:val="00354B92"/>
    <w:rsid w:val="00354F16"/>
    <w:rsid w:val="0035504B"/>
    <w:rsid w:val="003551E5"/>
    <w:rsid w:val="00355449"/>
    <w:rsid w:val="003555CB"/>
    <w:rsid w:val="00355902"/>
    <w:rsid w:val="00355915"/>
    <w:rsid w:val="0035594D"/>
    <w:rsid w:val="003559F4"/>
    <w:rsid w:val="00355A9D"/>
    <w:rsid w:val="00355AEB"/>
    <w:rsid w:val="00355AFD"/>
    <w:rsid w:val="00355BC7"/>
    <w:rsid w:val="00355DFE"/>
    <w:rsid w:val="00355E5B"/>
    <w:rsid w:val="00356138"/>
    <w:rsid w:val="003561D2"/>
    <w:rsid w:val="00356210"/>
    <w:rsid w:val="003563EF"/>
    <w:rsid w:val="003564FC"/>
    <w:rsid w:val="003567D6"/>
    <w:rsid w:val="003568CD"/>
    <w:rsid w:val="00356A4D"/>
    <w:rsid w:val="00356A5F"/>
    <w:rsid w:val="00356B8A"/>
    <w:rsid w:val="00356C8E"/>
    <w:rsid w:val="00356E17"/>
    <w:rsid w:val="00356FB4"/>
    <w:rsid w:val="00357353"/>
    <w:rsid w:val="0035759C"/>
    <w:rsid w:val="003575CA"/>
    <w:rsid w:val="00357A32"/>
    <w:rsid w:val="00357AB3"/>
    <w:rsid w:val="00357B27"/>
    <w:rsid w:val="00357B90"/>
    <w:rsid w:val="00357E40"/>
    <w:rsid w:val="00360094"/>
    <w:rsid w:val="003600BC"/>
    <w:rsid w:val="003603C7"/>
    <w:rsid w:val="003603E4"/>
    <w:rsid w:val="0036053E"/>
    <w:rsid w:val="0036072C"/>
    <w:rsid w:val="00360B29"/>
    <w:rsid w:val="00360D77"/>
    <w:rsid w:val="00360DBC"/>
    <w:rsid w:val="00360E3D"/>
    <w:rsid w:val="00360F91"/>
    <w:rsid w:val="00361240"/>
    <w:rsid w:val="00361482"/>
    <w:rsid w:val="003614F8"/>
    <w:rsid w:val="0036151D"/>
    <w:rsid w:val="00361653"/>
    <w:rsid w:val="003617C3"/>
    <w:rsid w:val="003619C8"/>
    <w:rsid w:val="00361B51"/>
    <w:rsid w:val="00361DA6"/>
    <w:rsid w:val="00361DD8"/>
    <w:rsid w:val="00362129"/>
    <w:rsid w:val="003621B2"/>
    <w:rsid w:val="003626AD"/>
    <w:rsid w:val="003627D8"/>
    <w:rsid w:val="003627DA"/>
    <w:rsid w:val="00362882"/>
    <w:rsid w:val="00362A95"/>
    <w:rsid w:val="00362D29"/>
    <w:rsid w:val="00362E61"/>
    <w:rsid w:val="00363070"/>
    <w:rsid w:val="00363284"/>
    <w:rsid w:val="0036346D"/>
    <w:rsid w:val="0036351A"/>
    <w:rsid w:val="003636FD"/>
    <w:rsid w:val="00363884"/>
    <w:rsid w:val="003638D9"/>
    <w:rsid w:val="00363B0A"/>
    <w:rsid w:val="00363B30"/>
    <w:rsid w:val="00363EAD"/>
    <w:rsid w:val="00363FF3"/>
    <w:rsid w:val="00364060"/>
    <w:rsid w:val="00364154"/>
    <w:rsid w:val="0036476D"/>
    <w:rsid w:val="003647C9"/>
    <w:rsid w:val="00365082"/>
    <w:rsid w:val="003650F1"/>
    <w:rsid w:val="003652B3"/>
    <w:rsid w:val="00365930"/>
    <w:rsid w:val="00365B0C"/>
    <w:rsid w:val="00365B7B"/>
    <w:rsid w:val="00365F28"/>
    <w:rsid w:val="00365F2A"/>
    <w:rsid w:val="003661FC"/>
    <w:rsid w:val="003662C1"/>
    <w:rsid w:val="0036640D"/>
    <w:rsid w:val="003664DC"/>
    <w:rsid w:val="0036672C"/>
    <w:rsid w:val="003668AB"/>
    <w:rsid w:val="003668FF"/>
    <w:rsid w:val="003669E4"/>
    <w:rsid w:val="00366A3F"/>
    <w:rsid w:val="00366D60"/>
    <w:rsid w:val="0036710B"/>
    <w:rsid w:val="00367114"/>
    <w:rsid w:val="00367169"/>
    <w:rsid w:val="003674A4"/>
    <w:rsid w:val="00367763"/>
    <w:rsid w:val="003677C6"/>
    <w:rsid w:val="00367DC1"/>
    <w:rsid w:val="00367FC4"/>
    <w:rsid w:val="00370324"/>
    <w:rsid w:val="0037044C"/>
    <w:rsid w:val="0037049D"/>
    <w:rsid w:val="003704C8"/>
    <w:rsid w:val="00370924"/>
    <w:rsid w:val="00370C28"/>
    <w:rsid w:val="00370D79"/>
    <w:rsid w:val="00370DB1"/>
    <w:rsid w:val="00370F26"/>
    <w:rsid w:val="0037101B"/>
    <w:rsid w:val="00371158"/>
    <w:rsid w:val="0037129E"/>
    <w:rsid w:val="00371370"/>
    <w:rsid w:val="00371430"/>
    <w:rsid w:val="003716DC"/>
    <w:rsid w:val="00371895"/>
    <w:rsid w:val="00371999"/>
    <w:rsid w:val="00371B61"/>
    <w:rsid w:val="00371CFF"/>
    <w:rsid w:val="00371DB0"/>
    <w:rsid w:val="00371DD5"/>
    <w:rsid w:val="00371F9D"/>
    <w:rsid w:val="003721A7"/>
    <w:rsid w:val="00372281"/>
    <w:rsid w:val="00372284"/>
    <w:rsid w:val="003722CA"/>
    <w:rsid w:val="0037244E"/>
    <w:rsid w:val="00372466"/>
    <w:rsid w:val="00372470"/>
    <w:rsid w:val="003725F0"/>
    <w:rsid w:val="00372759"/>
    <w:rsid w:val="003727CE"/>
    <w:rsid w:val="003728AD"/>
    <w:rsid w:val="00372C5A"/>
    <w:rsid w:val="00372D65"/>
    <w:rsid w:val="00372D9A"/>
    <w:rsid w:val="00372E8A"/>
    <w:rsid w:val="0037300C"/>
    <w:rsid w:val="003730A9"/>
    <w:rsid w:val="00373237"/>
    <w:rsid w:val="00373447"/>
    <w:rsid w:val="0037350D"/>
    <w:rsid w:val="0037363A"/>
    <w:rsid w:val="00373743"/>
    <w:rsid w:val="00373904"/>
    <w:rsid w:val="00373A0F"/>
    <w:rsid w:val="00373D50"/>
    <w:rsid w:val="00373EBC"/>
    <w:rsid w:val="00373EE4"/>
    <w:rsid w:val="00373FE6"/>
    <w:rsid w:val="00374011"/>
    <w:rsid w:val="0037410E"/>
    <w:rsid w:val="0037421D"/>
    <w:rsid w:val="00374381"/>
    <w:rsid w:val="003743DB"/>
    <w:rsid w:val="003744D0"/>
    <w:rsid w:val="0037459C"/>
    <w:rsid w:val="00374678"/>
    <w:rsid w:val="003746BC"/>
    <w:rsid w:val="00374B0E"/>
    <w:rsid w:val="00374BB8"/>
    <w:rsid w:val="00374C2B"/>
    <w:rsid w:val="00374CCF"/>
    <w:rsid w:val="00374EB1"/>
    <w:rsid w:val="0037502C"/>
    <w:rsid w:val="00375646"/>
    <w:rsid w:val="00375880"/>
    <w:rsid w:val="00375FE9"/>
    <w:rsid w:val="0037627D"/>
    <w:rsid w:val="00376A07"/>
    <w:rsid w:val="00376BDB"/>
    <w:rsid w:val="00376C87"/>
    <w:rsid w:val="003770D7"/>
    <w:rsid w:val="003779B8"/>
    <w:rsid w:val="003779E5"/>
    <w:rsid w:val="00377B63"/>
    <w:rsid w:val="00377C9F"/>
    <w:rsid w:val="00377D6F"/>
    <w:rsid w:val="00380437"/>
    <w:rsid w:val="00380460"/>
    <w:rsid w:val="00380495"/>
    <w:rsid w:val="0038069E"/>
    <w:rsid w:val="003809A9"/>
    <w:rsid w:val="00380BE0"/>
    <w:rsid w:val="00380DE4"/>
    <w:rsid w:val="00380DFE"/>
    <w:rsid w:val="0038123C"/>
    <w:rsid w:val="003812DF"/>
    <w:rsid w:val="003814F6"/>
    <w:rsid w:val="00381636"/>
    <w:rsid w:val="00381659"/>
    <w:rsid w:val="00381760"/>
    <w:rsid w:val="003818BE"/>
    <w:rsid w:val="00381939"/>
    <w:rsid w:val="003819D9"/>
    <w:rsid w:val="00381E6D"/>
    <w:rsid w:val="00381F0E"/>
    <w:rsid w:val="00381F1F"/>
    <w:rsid w:val="00381F3A"/>
    <w:rsid w:val="00382378"/>
    <w:rsid w:val="00382693"/>
    <w:rsid w:val="0038271B"/>
    <w:rsid w:val="0038290B"/>
    <w:rsid w:val="00382919"/>
    <w:rsid w:val="00382A9F"/>
    <w:rsid w:val="00382DE8"/>
    <w:rsid w:val="00382E9C"/>
    <w:rsid w:val="00383184"/>
    <w:rsid w:val="003832E3"/>
    <w:rsid w:val="00383732"/>
    <w:rsid w:val="00383A15"/>
    <w:rsid w:val="00383BA9"/>
    <w:rsid w:val="00383BF3"/>
    <w:rsid w:val="00383CFD"/>
    <w:rsid w:val="00383F69"/>
    <w:rsid w:val="003842E6"/>
    <w:rsid w:val="00384487"/>
    <w:rsid w:val="00384593"/>
    <w:rsid w:val="00384725"/>
    <w:rsid w:val="0038497A"/>
    <w:rsid w:val="00384B43"/>
    <w:rsid w:val="00384DBE"/>
    <w:rsid w:val="00384FC4"/>
    <w:rsid w:val="003852C4"/>
    <w:rsid w:val="003852E1"/>
    <w:rsid w:val="00385698"/>
    <w:rsid w:val="00385B89"/>
    <w:rsid w:val="00385DA7"/>
    <w:rsid w:val="003860E3"/>
    <w:rsid w:val="00386271"/>
    <w:rsid w:val="003867AB"/>
    <w:rsid w:val="003868A0"/>
    <w:rsid w:val="003868E7"/>
    <w:rsid w:val="00386A6D"/>
    <w:rsid w:val="00387028"/>
    <w:rsid w:val="00387300"/>
    <w:rsid w:val="0038736D"/>
    <w:rsid w:val="0038743D"/>
    <w:rsid w:val="00387485"/>
    <w:rsid w:val="003874BE"/>
    <w:rsid w:val="003875E6"/>
    <w:rsid w:val="003875FE"/>
    <w:rsid w:val="003876BD"/>
    <w:rsid w:val="00387705"/>
    <w:rsid w:val="00387780"/>
    <w:rsid w:val="00387781"/>
    <w:rsid w:val="00387BF0"/>
    <w:rsid w:val="00390098"/>
    <w:rsid w:val="003900DA"/>
    <w:rsid w:val="0039012B"/>
    <w:rsid w:val="00390281"/>
    <w:rsid w:val="0039064F"/>
    <w:rsid w:val="003907AA"/>
    <w:rsid w:val="00390E9F"/>
    <w:rsid w:val="00390EEE"/>
    <w:rsid w:val="00390F9C"/>
    <w:rsid w:val="00390FFC"/>
    <w:rsid w:val="003910C2"/>
    <w:rsid w:val="0039117C"/>
    <w:rsid w:val="00391BC5"/>
    <w:rsid w:val="00391DEA"/>
    <w:rsid w:val="003922B5"/>
    <w:rsid w:val="00392682"/>
    <w:rsid w:val="00392763"/>
    <w:rsid w:val="00392777"/>
    <w:rsid w:val="00392798"/>
    <w:rsid w:val="00392A66"/>
    <w:rsid w:val="00392A84"/>
    <w:rsid w:val="00392C34"/>
    <w:rsid w:val="00392D72"/>
    <w:rsid w:val="003930F2"/>
    <w:rsid w:val="00393771"/>
    <w:rsid w:val="00393773"/>
    <w:rsid w:val="00393894"/>
    <w:rsid w:val="003939CB"/>
    <w:rsid w:val="003939FA"/>
    <w:rsid w:val="00393BE1"/>
    <w:rsid w:val="00393F42"/>
    <w:rsid w:val="00393F97"/>
    <w:rsid w:val="00394015"/>
    <w:rsid w:val="0039438B"/>
    <w:rsid w:val="003943E0"/>
    <w:rsid w:val="003944F7"/>
    <w:rsid w:val="0039453A"/>
    <w:rsid w:val="003945FD"/>
    <w:rsid w:val="00394640"/>
    <w:rsid w:val="0039471A"/>
    <w:rsid w:val="00394747"/>
    <w:rsid w:val="00394803"/>
    <w:rsid w:val="0039485A"/>
    <w:rsid w:val="003948B7"/>
    <w:rsid w:val="00394AE7"/>
    <w:rsid w:val="00394C15"/>
    <w:rsid w:val="00394DAD"/>
    <w:rsid w:val="00394E31"/>
    <w:rsid w:val="00394F19"/>
    <w:rsid w:val="00395007"/>
    <w:rsid w:val="0039501B"/>
    <w:rsid w:val="00395141"/>
    <w:rsid w:val="0039529E"/>
    <w:rsid w:val="0039537B"/>
    <w:rsid w:val="003953C9"/>
    <w:rsid w:val="0039575D"/>
    <w:rsid w:val="003959D1"/>
    <w:rsid w:val="00395B23"/>
    <w:rsid w:val="00395BE9"/>
    <w:rsid w:val="00395ED7"/>
    <w:rsid w:val="00395FCD"/>
    <w:rsid w:val="00396058"/>
    <w:rsid w:val="0039619D"/>
    <w:rsid w:val="00396266"/>
    <w:rsid w:val="003963EF"/>
    <w:rsid w:val="0039643D"/>
    <w:rsid w:val="0039656E"/>
    <w:rsid w:val="003965D1"/>
    <w:rsid w:val="00396625"/>
    <w:rsid w:val="0039662E"/>
    <w:rsid w:val="003966CD"/>
    <w:rsid w:val="00396BE6"/>
    <w:rsid w:val="00397007"/>
    <w:rsid w:val="003972B8"/>
    <w:rsid w:val="00397425"/>
    <w:rsid w:val="00397461"/>
    <w:rsid w:val="003975C4"/>
    <w:rsid w:val="00397933"/>
    <w:rsid w:val="00397A7F"/>
    <w:rsid w:val="00397CC8"/>
    <w:rsid w:val="00397EB6"/>
    <w:rsid w:val="00397F61"/>
    <w:rsid w:val="003A025E"/>
    <w:rsid w:val="003A0735"/>
    <w:rsid w:val="003A08AC"/>
    <w:rsid w:val="003A0A3E"/>
    <w:rsid w:val="003A0E08"/>
    <w:rsid w:val="003A0FB6"/>
    <w:rsid w:val="003A11D9"/>
    <w:rsid w:val="003A12C1"/>
    <w:rsid w:val="003A12CF"/>
    <w:rsid w:val="003A133D"/>
    <w:rsid w:val="003A1872"/>
    <w:rsid w:val="003A1A20"/>
    <w:rsid w:val="003A1B86"/>
    <w:rsid w:val="003A1C09"/>
    <w:rsid w:val="003A1DD7"/>
    <w:rsid w:val="003A1FAE"/>
    <w:rsid w:val="003A1FD8"/>
    <w:rsid w:val="003A20CC"/>
    <w:rsid w:val="003A2188"/>
    <w:rsid w:val="003A27E2"/>
    <w:rsid w:val="003A2825"/>
    <w:rsid w:val="003A2839"/>
    <w:rsid w:val="003A2FF1"/>
    <w:rsid w:val="003A3048"/>
    <w:rsid w:val="003A311E"/>
    <w:rsid w:val="003A33A2"/>
    <w:rsid w:val="003A37F1"/>
    <w:rsid w:val="003A390F"/>
    <w:rsid w:val="003A3923"/>
    <w:rsid w:val="003A3A46"/>
    <w:rsid w:val="003A3B66"/>
    <w:rsid w:val="003A3BE4"/>
    <w:rsid w:val="003A3BE7"/>
    <w:rsid w:val="003A3F00"/>
    <w:rsid w:val="003A407F"/>
    <w:rsid w:val="003A43B0"/>
    <w:rsid w:val="003A47F3"/>
    <w:rsid w:val="003A483E"/>
    <w:rsid w:val="003A4B2C"/>
    <w:rsid w:val="003A4BC3"/>
    <w:rsid w:val="003A4D6D"/>
    <w:rsid w:val="003A4E64"/>
    <w:rsid w:val="003A51D4"/>
    <w:rsid w:val="003A535A"/>
    <w:rsid w:val="003A537A"/>
    <w:rsid w:val="003A5489"/>
    <w:rsid w:val="003A54DC"/>
    <w:rsid w:val="003A5510"/>
    <w:rsid w:val="003A594D"/>
    <w:rsid w:val="003A59A6"/>
    <w:rsid w:val="003A59F1"/>
    <w:rsid w:val="003A5BEB"/>
    <w:rsid w:val="003A6060"/>
    <w:rsid w:val="003A6179"/>
    <w:rsid w:val="003A6203"/>
    <w:rsid w:val="003A620F"/>
    <w:rsid w:val="003A62C7"/>
    <w:rsid w:val="003A65ED"/>
    <w:rsid w:val="003A679D"/>
    <w:rsid w:val="003A681C"/>
    <w:rsid w:val="003A6AEA"/>
    <w:rsid w:val="003A6B8E"/>
    <w:rsid w:val="003A6CB3"/>
    <w:rsid w:val="003A6CBF"/>
    <w:rsid w:val="003A6DB9"/>
    <w:rsid w:val="003A6F7D"/>
    <w:rsid w:val="003A713C"/>
    <w:rsid w:val="003A7231"/>
    <w:rsid w:val="003A72D3"/>
    <w:rsid w:val="003A7334"/>
    <w:rsid w:val="003A7481"/>
    <w:rsid w:val="003A75BB"/>
    <w:rsid w:val="003A75C6"/>
    <w:rsid w:val="003A7672"/>
    <w:rsid w:val="003A7789"/>
    <w:rsid w:val="003B012E"/>
    <w:rsid w:val="003B025E"/>
    <w:rsid w:val="003B0283"/>
    <w:rsid w:val="003B031D"/>
    <w:rsid w:val="003B0836"/>
    <w:rsid w:val="003B0936"/>
    <w:rsid w:val="003B0C30"/>
    <w:rsid w:val="003B0C5D"/>
    <w:rsid w:val="003B0DF8"/>
    <w:rsid w:val="003B101E"/>
    <w:rsid w:val="003B1179"/>
    <w:rsid w:val="003B1648"/>
    <w:rsid w:val="003B183E"/>
    <w:rsid w:val="003B1A31"/>
    <w:rsid w:val="003B1B51"/>
    <w:rsid w:val="003B1E73"/>
    <w:rsid w:val="003B1F0E"/>
    <w:rsid w:val="003B2026"/>
    <w:rsid w:val="003B21A7"/>
    <w:rsid w:val="003B242B"/>
    <w:rsid w:val="003B257D"/>
    <w:rsid w:val="003B2744"/>
    <w:rsid w:val="003B27D7"/>
    <w:rsid w:val="003B2BFC"/>
    <w:rsid w:val="003B2E3A"/>
    <w:rsid w:val="003B2ED4"/>
    <w:rsid w:val="003B3568"/>
    <w:rsid w:val="003B357D"/>
    <w:rsid w:val="003B386D"/>
    <w:rsid w:val="003B395A"/>
    <w:rsid w:val="003B3B96"/>
    <w:rsid w:val="003B3EED"/>
    <w:rsid w:val="003B3F89"/>
    <w:rsid w:val="003B40CD"/>
    <w:rsid w:val="003B40DE"/>
    <w:rsid w:val="003B40FE"/>
    <w:rsid w:val="003B420D"/>
    <w:rsid w:val="003B43F2"/>
    <w:rsid w:val="003B444B"/>
    <w:rsid w:val="003B44AF"/>
    <w:rsid w:val="003B4630"/>
    <w:rsid w:val="003B48A1"/>
    <w:rsid w:val="003B4E8B"/>
    <w:rsid w:val="003B504D"/>
    <w:rsid w:val="003B5282"/>
    <w:rsid w:val="003B532F"/>
    <w:rsid w:val="003B53A0"/>
    <w:rsid w:val="003B55D9"/>
    <w:rsid w:val="003B5682"/>
    <w:rsid w:val="003B57F0"/>
    <w:rsid w:val="003B59B6"/>
    <w:rsid w:val="003B59F4"/>
    <w:rsid w:val="003B5BA8"/>
    <w:rsid w:val="003B5F48"/>
    <w:rsid w:val="003B5F79"/>
    <w:rsid w:val="003B5F82"/>
    <w:rsid w:val="003B6213"/>
    <w:rsid w:val="003B6367"/>
    <w:rsid w:val="003B6464"/>
    <w:rsid w:val="003B6548"/>
    <w:rsid w:val="003B654B"/>
    <w:rsid w:val="003B661B"/>
    <w:rsid w:val="003B6728"/>
    <w:rsid w:val="003B6791"/>
    <w:rsid w:val="003B68BA"/>
    <w:rsid w:val="003B6A2A"/>
    <w:rsid w:val="003B6BB4"/>
    <w:rsid w:val="003B6CCE"/>
    <w:rsid w:val="003B6E7F"/>
    <w:rsid w:val="003B6F6E"/>
    <w:rsid w:val="003B7180"/>
    <w:rsid w:val="003B71AF"/>
    <w:rsid w:val="003B73CD"/>
    <w:rsid w:val="003B770D"/>
    <w:rsid w:val="003B78D1"/>
    <w:rsid w:val="003B7936"/>
    <w:rsid w:val="003B7A04"/>
    <w:rsid w:val="003B7D8F"/>
    <w:rsid w:val="003B7F86"/>
    <w:rsid w:val="003C013A"/>
    <w:rsid w:val="003C0361"/>
    <w:rsid w:val="003C0459"/>
    <w:rsid w:val="003C08DD"/>
    <w:rsid w:val="003C0A86"/>
    <w:rsid w:val="003C0E56"/>
    <w:rsid w:val="003C143A"/>
    <w:rsid w:val="003C1624"/>
    <w:rsid w:val="003C16BD"/>
    <w:rsid w:val="003C1CFB"/>
    <w:rsid w:val="003C1E50"/>
    <w:rsid w:val="003C1E9A"/>
    <w:rsid w:val="003C1EEB"/>
    <w:rsid w:val="003C1F19"/>
    <w:rsid w:val="003C20D3"/>
    <w:rsid w:val="003C21D5"/>
    <w:rsid w:val="003C255B"/>
    <w:rsid w:val="003C2B13"/>
    <w:rsid w:val="003C2D84"/>
    <w:rsid w:val="003C2F01"/>
    <w:rsid w:val="003C3004"/>
    <w:rsid w:val="003C35A9"/>
    <w:rsid w:val="003C3780"/>
    <w:rsid w:val="003C37EB"/>
    <w:rsid w:val="003C39BE"/>
    <w:rsid w:val="003C3C2D"/>
    <w:rsid w:val="003C3D62"/>
    <w:rsid w:val="003C3DFB"/>
    <w:rsid w:val="003C4040"/>
    <w:rsid w:val="003C4497"/>
    <w:rsid w:val="003C4520"/>
    <w:rsid w:val="003C4B33"/>
    <w:rsid w:val="003C4BB5"/>
    <w:rsid w:val="003C4E1C"/>
    <w:rsid w:val="003C4EBF"/>
    <w:rsid w:val="003C525A"/>
    <w:rsid w:val="003C55F7"/>
    <w:rsid w:val="003C56CD"/>
    <w:rsid w:val="003C58C0"/>
    <w:rsid w:val="003C5D94"/>
    <w:rsid w:val="003C5E54"/>
    <w:rsid w:val="003C604A"/>
    <w:rsid w:val="003C6491"/>
    <w:rsid w:val="003C6682"/>
    <w:rsid w:val="003C682A"/>
    <w:rsid w:val="003C6A8D"/>
    <w:rsid w:val="003C6E39"/>
    <w:rsid w:val="003C6E46"/>
    <w:rsid w:val="003C6E86"/>
    <w:rsid w:val="003C70FA"/>
    <w:rsid w:val="003C725D"/>
    <w:rsid w:val="003C77B0"/>
    <w:rsid w:val="003C77B3"/>
    <w:rsid w:val="003C7966"/>
    <w:rsid w:val="003C7A7F"/>
    <w:rsid w:val="003C7C5C"/>
    <w:rsid w:val="003D0123"/>
    <w:rsid w:val="003D0188"/>
    <w:rsid w:val="003D0337"/>
    <w:rsid w:val="003D0E6C"/>
    <w:rsid w:val="003D1562"/>
    <w:rsid w:val="003D1B0A"/>
    <w:rsid w:val="003D1D58"/>
    <w:rsid w:val="003D1E24"/>
    <w:rsid w:val="003D1EE8"/>
    <w:rsid w:val="003D1EED"/>
    <w:rsid w:val="003D1FD5"/>
    <w:rsid w:val="003D201A"/>
    <w:rsid w:val="003D2138"/>
    <w:rsid w:val="003D213F"/>
    <w:rsid w:val="003D2405"/>
    <w:rsid w:val="003D268E"/>
    <w:rsid w:val="003D26C8"/>
    <w:rsid w:val="003D2818"/>
    <w:rsid w:val="003D285E"/>
    <w:rsid w:val="003D2921"/>
    <w:rsid w:val="003D2AC3"/>
    <w:rsid w:val="003D3107"/>
    <w:rsid w:val="003D34CC"/>
    <w:rsid w:val="003D3527"/>
    <w:rsid w:val="003D36DE"/>
    <w:rsid w:val="003D37DE"/>
    <w:rsid w:val="003D37E2"/>
    <w:rsid w:val="003D3842"/>
    <w:rsid w:val="003D3A4D"/>
    <w:rsid w:val="003D3FEE"/>
    <w:rsid w:val="003D402E"/>
    <w:rsid w:val="003D422C"/>
    <w:rsid w:val="003D43D6"/>
    <w:rsid w:val="003D45B8"/>
    <w:rsid w:val="003D464D"/>
    <w:rsid w:val="003D486C"/>
    <w:rsid w:val="003D48B5"/>
    <w:rsid w:val="003D48E6"/>
    <w:rsid w:val="003D4A46"/>
    <w:rsid w:val="003D4DE0"/>
    <w:rsid w:val="003D51D9"/>
    <w:rsid w:val="003D5871"/>
    <w:rsid w:val="003D5943"/>
    <w:rsid w:val="003D5B0D"/>
    <w:rsid w:val="003D5D94"/>
    <w:rsid w:val="003D5ECE"/>
    <w:rsid w:val="003D5F19"/>
    <w:rsid w:val="003D5FEC"/>
    <w:rsid w:val="003D6212"/>
    <w:rsid w:val="003D6222"/>
    <w:rsid w:val="003D678E"/>
    <w:rsid w:val="003D6859"/>
    <w:rsid w:val="003D6C54"/>
    <w:rsid w:val="003D6FB6"/>
    <w:rsid w:val="003D7105"/>
    <w:rsid w:val="003D7665"/>
    <w:rsid w:val="003D77F3"/>
    <w:rsid w:val="003D7894"/>
    <w:rsid w:val="003D7D82"/>
    <w:rsid w:val="003E01CB"/>
    <w:rsid w:val="003E0224"/>
    <w:rsid w:val="003E03D6"/>
    <w:rsid w:val="003E0620"/>
    <w:rsid w:val="003E07CF"/>
    <w:rsid w:val="003E0A17"/>
    <w:rsid w:val="003E0B6A"/>
    <w:rsid w:val="003E0C0B"/>
    <w:rsid w:val="003E0E41"/>
    <w:rsid w:val="003E0ED5"/>
    <w:rsid w:val="003E10F0"/>
    <w:rsid w:val="003E1147"/>
    <w:rsid w:val="003E1251"/>
    <w:rsid w:val="003E13BC"/>
    <w:rsid w:val="003E1582"/>
    <w:rsid w:val="003E184E"/>
    <w:rsid w:val="003E19AC"/>
    <w:rsid w:val="003E1A70"/>
    <w:rsid w:val="003E1A9D"/>
    <w:rsid w:val="003E1BA6"/>
    <w:rsid w:val="003E1C8C"/>
    <w:rsid w:val="003E2033"/>
    <w:rsid w:val="003E25C8"/>
    <w:rsid w:val="003E2B03"/>
    <w:rsid w:val="003E2C4A"/>
    <w:rsid w:val="003E30D3"/>
    <w:rsid w:val="003E333B"/>
    <w:rsid w:val="003E33E9"/>
    <w:rsid w:val="003E3688"/>
    <w:rsid w:val="003E3816"/>
    <w:rsid w:val="003E3836"/>
    <w:rsid w:val="003E384F"/>
    <w:rsid w:val="003E3890"/>
    <w:rsid w:val="003E38AD"/>
    <w:rsid w:val="003E398A"/>
    <w:rsid w:val="003E39D5"/>
    <w:rsid w:val="003E3A69"/>
    <w:rsid w:val="003E3FE2"/>
    <w:rsid w:val="003E432E"/>
    <w:rsid w:val="003E43A3"/>
    <w:rsid w:val="003E47C4"/>
    <w:rsid w:val="003E487F"/>
    <w:rsid w:val="003E49BC"/>
    <w:rsid w:val="003E4B00"/>
    <w:rsid w:val="003E4D33"/>
    <w:rsid w:val="003E4D91"/>
    <w:rsid w:val="003E4DC9"/>
    <w:rsid w:val="003E5192"/>
    <w:rsid w:val="003E54B0"/>
    <w:rsid w:val="003E54B9"/>
    <w:rsid w:val="003E551E"/>
    <w:rsid w:val="003E5945"/>
    <w:rsid w:val="003E5B22"/>
    <w:rsid w:val="003E5EF8"/>
    <w:rsid w:val="003E5F76"/>
    <w:rsid w:val="003E63ED"/>
    <w:rsid w:val="003E672F"/>
    <w:rsid w:val="003E686F"/>
    <w:rsid w:val="003E6B19"/>
    <w:rsid w:val="003E7076"/>
    <w:rsid w:val="003E707F"/>
    <w:rsid w:val="003E71CC"/>
    <w:rsid w:val="003E73A5"/>
    <w:rsid w:val="003E76EC"/>
    <w:rsid w:val="003E7951"/>
    <w:rsid w:val="003E7C36"/>
    <w:rsid w:val="003E7C58"/>
    <w:rsid w:val="003F0013"/>
    <w:rsid w:val="003F01E4"/>
    <w:rsid w:val="003F04A9"/>
    <w:rsid w:val="003F09C3"/>
    <w:rsid w:val="003F0A47"/>
    <w:rsid w:val="003F0B6E"/>
    <w:rsid w:val="003F0CC5"/>
    <w:rsid w:val="003F0D2B"/>
    <w:rsid w:val="003F0E04"/>
    <w:rsid w:val="003F0F36"/>
    <w:rsid w:val="003F1881"/>
    <w:rsid w:val="003F18DD"/>
    <w:rsid w:val="003F1BDB"/>
    <w:rsid w:val="003F1C0F"/>
    <w:rsid w:val="003F1C86"/>
    <w:rsid w:val="003F1E78"/>
    <w:rsid w:val="003F1F13"/>
    <w:rsid w:val="003F201F"/>
    <w:rsid w:val="003F20B3"/>
    <w:rsid w:val="003F2145"/>
    <w:rsid w:val="003F2232"/>
    <w:rsid w:val="003F2251"/>
    <w:rsid w:val="003F2495"/>
    <w:rsid w:val="003F252A"/>
    <w:rsid w:val="003F29BB"/>
    <w:rsid w:val="003F2B79"/>
    <w:rsid w:val="003F2D83"/>
    <w:rsid w:val="003F2E4A"/>
    <w:rsid w:val="003F2F55"/>
    <w:rsid w:val="003F3274"/>
    <w:rsid w:val="003F3301"/>
    <w:rsid w:val="003F3450"/>
    <w:rsid w:val="003F36CA"/>
    <w:rsid w:val="003F3740"/>
    <w:rsid w:val="003F379D"/>
    <w:rsid w:val="003F3833"/>
    <w:rsid w:val="003F38A2"/>
    <w:rsid w:val="003F3A35"/>
    <w:rsid w:val="003F3CB7"/>
    <w:rsid w:val="003F3DD5"/>
    <w:rsid w:val="003F3FE8"/>
    <w:rsid w:val="003F412D"/>
    <w:rsid w:val="003F461D"/>
    <w:rsid w:val="003F4AEB"/>
    <w:rsid w:val="003F4B8E"/>
    <w:rsid w:val="003F4BFF"/>
    <w:rsid w:val="003F4E34"/>
    <w:rsid w:val="003F4F1D"/>
    <w:rsid w:val="003F4F54"/>
    <w:rsid w:val="003F5081"/>
    <w:rsid w:val="003F51CD"/>
    <w:rsid w:val="003F5257"/>
    <w:rsid w:val="003F52CC"/>
    <w:rsid w:val="003F54D8"/>
    <w:rsid w:val="003F58C6"/>
    <w:rsid w:val="003F5937"/>
    <w:rsid w:val="003F5A5F"/>
    <w:rsid w:val="003F5C34"/>
    <w:rsid w:val="003F5FA2"/>
    <w:rsid w:val="003F6128"/>
    <w:rsid w:val="003F6263"/>
    <w:rsid w:val="003F6265"/>
    <w:rsid w:val="003F6374"/>
    <w:rsid w:val="003F64CE"/>
    <w:rsid w:val="003F6976"/>
    <w:rsid w:val="003F6BAD"/>
    <w:rsid w:val="003F6ECF"/>
    <w:rsid w:val="003F6F2B"/>
    <w:rsid w:val="003F70BB"/>
    <w:rsid w:val="003F712F"/>
    <w:rsid w:val="003F7570"/>
    <w:rsid w:val="003F7825"/>
    <w:rsid w:val="003F7905"/>
    <w:rsid w:val="003F7ADF"/>
    <w:rsid w:val="003F7C28"/>
    <w:rsid w:val="003F7CC3"/>
    <w:rsid w:val="003F7D8B"/>
    <w:rsid w:val="003F7FDF"/>
    <w:rsid w:val="00400086"/>
    <w:rsid w:val="004000E6"/>
    <w:rsid w:val="004001D8"/>
    <w:rsid w:val="0040037F"/>
    <w:rsid w:val="004003CB"/>
    <w:rsid w:val="004004C9"/>
    <w:rsid w:val="00400570"/>
    <w:rsid w:val="00400582"/>
    <w:rsid w:val="004009CF"/>
    <w:rsid w:val="00400C8D"/>
    <w:rsid w:val="00400CDB"/>
    <w:rsid w:val="00400D43"/>
    <w:rsid w:val="00400EE2"/>
    <w:rsid w:val="004011F3"/>
    <w:rsid w:val="0040151A"/>
    <w:rsid w:val="004018E6"/>
    <w:rsid w:val="00401A10"/>
    <w:rsid w:val="00401AD8"/>
    <w:rsid w:val="00401D50"/>
    <w:rsid w:val="00401E92"/>
    <w:rsid w:val="004021FA"/>
    <w:rsid w:val="004023E5"/>
    <w:rsid w:val="00402832"/>
    <w:rsid w:val="00402A69"/>
    <w:rsid w:val="00402DD5"/>
    <w:rsid w:val="004032F4"/>
    <w:rsid w:val="004032FC"/>
    <w:rsid w:val="004037CC"/>
    <w:rsid w:val="00403A36"/>
    <w:rsid w:val="00403AA4"/>
    <w:rsid w:val="00403C8B"/>
    <w:rsid w:val="00404098"/>
    <w:rsid w:val="004041BA"/>
    <w:rsid w:val="004041D0"/>
    <w:rsid w:val="004043DD"/>
    <w:rsid w:val="00404496"/>
    <w:rsid w:val="00404807"/>
    <w:rsid w:val="004049FD"/>
    <w:rsid w:val="00404DA7"/>
    <w:rsid w:val="00404E21"/>
    <w:rsid w:val="00404E81"/>
    <w:rsid w:val="00404EE5"/>
    <w:rsid w:val="00404F36"/>
    <w:rsid w:val="004051F3"/>
    <w:rsid w:val="004053E5"/>
    <w:rsid w:val="0040540B"/>
    <w:rsid w:val="0040557E"/>
    <w:rsid w:val="00405B24"/>
    <w:rsid w:val="00405EA4"/>
    <w:rsid w:val="00406518"/>
    <w:rsid w:val="00406A50"/>
    <w:rsid w:val="00406AD7"/>
    <w:rsid w:val="00406C5E"/>
    <w:rsid w:val="00406E72"/>
    <w:rsid w:val="00407218"/>
    <w:rsid w:val="004073A0"/>
    <w:rsid w:val="004076C2"/>
    <w:rsid w:val="00407721"/>
    <w:rsid w:val="004078B7"/>
    <w:rsid w:val="00407981"/>
    <w:rsid w:val="00407B7A"/>
    <w:rsid w:val="00407C0D"/>
    <w:rsid w:val="00407CCD"/>
    <w:rsid w:val="00407DF6"/>
    <w:rsid w:val="00407EFC"/>
    <w:rsid w:val="00410240"/>
    <w:rsid w:val="00410341"/>
    <w:rsid w:val="0041054C"/>
    <w:rsid w:val="0041059E"/>
    <w:rsid w:val="004105D6"/>
    <w:rsid w:val="00410713"/>
    <w:rsid w:val="004108D0"/>
    <w:rsid w:val="00410CCF"/>
    <w:rsid w:val="0041103A"/>
    <w:rsid w:val="0041110B"/>
    <w:rsid w:val="004111CF"/>
    <w:rsid w:val="0041148B"/>
    <w:rsid w:val="00411543"/>
    <w:rsid w:val="0041172C"/>
    <w:rsid w:val="0041197A"/>
    <w:rsid w:val="00411B6B"/>
    <w:rsid w:val="00411CF2"/>
    <w:rsid w:val="00411FF7"/>
    <w:rsid w:val="00412005"/>
    <w:rsid w:val="0041207E"/>
    <w:rsid w:val="00412219"/>
    <w:rsid w:val="00412283"/>
    <w:rsid w:val="004122CF"/>
    <w:rsid w:val="004124EC"/>
    <w:rsid w:val="00412582"/>
    <w:rsid w:val="00412639"/>
    <w:rsid w:val="004126C9"/>
    <w:rsid w:val="00412950"/>
    <w:rsid w:val="00412F1C"/>
    <w:rsid w:val="00413022"/>
    <w:rsid w:val="0041319D"/>
    <w:rsid w:val="004132F6"/>
    <w:rsid w:val="00413423"/>
    <w:rsid w:val="00413671"/>
    <w:rsid w:val="004137F2"/>
    <w:rsid w:val="004138A7"/>
    <w:rsid w:val="004139C0"/>
    <w:rsid w:val="00413B8F"/>
    <w:rsid w:val="00413C03"/>
    <w:rsid w:val="00413DAE"/>
    <w:rsid w:val="00413DCE"/>
    <w:rsid w:val="00413F91"/>
    <w:rsid w:val="0041426B"/>
    <w:rsid w:val="004143D6"/>
    <w:rsid w:val="004146E4"/>
    <w:rsid w:val="00414CB3"/>
    <w:rsid w:val="00414CD7"/>
    <w:rsid w:val="00414D23"/>
    <w:rsid w:val="00414E01"/>
    <w:rsid w:val="00415072"/>
    <w:rsid w:val="00415109"/>
    <w:rsid w:val="00415162"/>
    <w:rsid w:val="004154B4"/>
    <w:rsid w:val="00415A80"/>
    <w:rsid w:val="00415C6E"/>
    <w:rsid w:val="00415CB4"/>
    <w:rsid w:val="00415D1A"/>
    <w:rsid w:val="00415D65"/>
    <w:rsid w:val="00415D69"/>
    <w:rsid w:val="00415EFF"/>
    <w:rsid w:val="00415FE9"/>
    <w:rsid w:val="00416093"/>
    <w:rsid w:val="00416925"/>
    <w:rsid w:val="00416960"/>
    <w:rsid w:val="00416AFC"/>
    <w:rsid w:val="00416BDD"/>
    <w:rsid w:val="00416EEA"/>
    <w:rsid w:val="00416FCD"/>
    <w:rsid w:val="00417659"/>
    <w:rsid w:val="004176EF"/>
    <w:rsid w:val="00417799"/>
    <w:rsid w:val="00417886"/>
    <w:rsid w:val="00417A52"/>
    <w:rsid w:val="00417FC6"/>
    <w:rsid w:val="0041AC67"/>
    <w:rsid w:val="0042037F"/>
    <w:rsid w:val="004203E4"/>
    <w:rsid w:val="00420542"/>
    <w:rsid w:val="0042066E"/>
    <w:rsid w:val="00421375"/>
    <w:rsid w:val="004213DB"/>
    <w:rsid w:val="004217FA"/>
    <w:rsid w:val="00421AC4"/>
    <w:rsid w:val="00421D4E"/>
    <w:rsid w:val="00421E82"/>
    <w:rsid w:val="00422023"/>
    <w:rsid w:val="0042237B"/>
    <w:rsid w:val="004224CE"/>
    <w:rsid w:val="0042284D"/>
    <w:rsid w:val="0042286D"/>
    <w:rsid w:val="004229ED"/>
    <w:rsid w:val="004229FC"/>
    <w:rsid w:val="00422B54"/>
    <w:rsid w:val="00422D8D"/>
    <w:rsid w:val="004231AC"/>
    <w:rsid w:val="004234FF"/>
    <w:rsid w:val="00423642"/>
    <w:rsid w:val="004239E9"/>
    <w:rsid w:val="00423A18"/>
    <w:rsid w:val="00423AAE"/>
    <w:rsid w:val="00424246"/>
    <w:rsid w:val="004242AA"/>
    <w:rsid w:val="00424368"/>
    <w:rsid w:val="004246F9"/>
    <w:rsid w:val="0042478B"/>
    <w:rsid w:val="00424976"/>
    <w:rsid w:val="00424A26"/>
    <w:rsid w:val="00424CF9"/>
    <w:rsid w:val="00425073"/>
    <w:rsid w:val="004251F7"/>
    <w:rsid w:val="0042581D"/>
    <w:rsid w:val="00425C77"/>
    <w:rsid w:val="00425E4D"/>
    <w:rsid w:val="00425F10"/>
    <w:rsid w:val="00425F37"/>
    <w:rsid w:val="0042614D"/>
    <w:rsid w:val="004262FF"/>
    <w:rsid w:val="00426518"/>
    <w:rsid w:val="004266FD"/>
    <w:rsid w:val="0042682D"/>
    <w:rsid w:val="004268C3"/>
    <w:rsid w:val="00426996"/>
    <w:rsid w:val="00426B47"/>
    <w:rsid w:val="00426B7E"/>
    <w:rsid w:val="00426BF1"/>
    <w:rsid w:val="00426C12"/>
    <w:rsid w:val="00426DF4"/>
    <w:rsid w:val="004271AF"/>
    <w:rsid w:val="0042758D"/>
    <w:rsid w:val="004275DA"/>
    <w:rsid w:val="00427919"/>
    <w:rsid w:val="0042792B"/>
    <w:rsid w:val="00427ACB"/>
    <w:rsid w:val="00427B4E"/>
    <w:rsid w:val="004301BA"/>
    <w:rsid w:val="004301C4"/>
    <w:rsid w:val="00430301"/>
    <w:rsid w:val="004303AE"/>
    <w:rsid w:val="004304F5"/>
    <w:rsid w:val="00430537"/>
    <w:rsid w:val="0043069D"/>
    <w:rsid w:val="00430722"/>
    <w:rsid w:val="00430F13"/>
    <w:rsid w:val="00430F21"/>
    <w:rsid w:val="00431081"/>
    <w:rsid w:val="004310B1"/>
    <w:rsid w:val="004310B3"/>
    <w:rsid w:val="0043112F"/>
    <w:rsid w:val="004311BA"/>
    <w:rsid w:val="004311F2"/>
    <w:rsid w:val="004314FA"/>
    <w:rsid w:val="00431A36"/>
    <w:rsid w:val="00431C14"/>
    <w:rsid w:val="00431DF2"/>
    <w:rsid w:val="00431E9F"/>
    <w:rsid w:val="00432047"/>
    <w:rsid w:val="0043219C"/>
    <w:rsid w:val="0043288E"/>
    <w:rsid w:val="00432B6A"/>
    <w:rsid w:val="00432BF4"/>
    <w:rsid w:val="00432F27"/>
    <w:rsid w:val="00432FAD"/>
    <w:rsid w:val="004330C1"/>
    <w:rsid w:val="00433687"/>
    <w:rsid w:val="004337DE"/>
    <w:rsid w:val="00433865"/>
    <w:rsid w:val="00433921"/>
    <w:rsid w:val="0043392B"/>
    <w:rsid w:val="00433947"/>
    <w:rsid w:val="00433958"/>
    <w:rsid w:val="00433A88"/>
    <w:rsid w:val="00433AF5"/>
    <w:rsid w:val="00433B2A"/>
    <w:rsid w:val="00433EDA"/>
    <w:rsid w:val="00434088"/>
    <w:rsid w:val="00434633"/>
    <w:rsid w:val="00434835"/>
    <w:rsid w:val="00434BA1"/>
    <w:rsid w:val="00434C6B"/>
    <w:rsid w:val="00434CD9"/>
    <w:rsid w:val="00434F48"/>
    <w:rsid w:val="0043510F"/>
    <w:rsid w:val="0043511E"/>
    <w:rsid w:val="004352CC"/>
    <w:rsid w:val="00436369"/>
    <w:rsid w:val="00436558"/>
    <w:rsid w:val="00436837"/>
    <w:rsid w:val="00436859"/>
    <w:rsid w:val="00436AE3"/>
    <w:rsid w:val="00436B9F"/>
    <w:rsid w:val="00436BC4"/>
    <w:rsid w:val="00436C34"/>
    <w:rsid w:val="00436C66"/>
    <w:rsid w:val="00437143"/>
    <w:rsid w:val="0043723B"/>
    <w:rsid w:val="0044015E"/>
    <w:rsid w:val="0044074A"/>
    <w:rsid w:val="00440782"/>
    <w:rsid w:val="004408C3"/>
    <w:rsid w:val="00440D37"/>
    <w:rsid w:val="00440E96"/>
    <w:rsid w:val="0044147D"/>
    <w:rsid w:val="00441673"/>
    <w:rsid w:val="00441725"/>
    <w:rsid w:val="00441BEC"/>
    <w:rsid w:val="00441C71"/>
    <w:rsid w:val="00441D68"/>
    <w:rsid w:val="0044207D"/>
    <w:rsid w:val="004423AD"/>
    <w:rsid w:val="004423E5"/>
    <w:rsid w:val="00442B0C"/>
    <w:rsid w:val="004430B9"/>
    <w:rsid w:val="00443515"/>
    <w:rsid w:val="0044358B"/>
    <w:rsid w:val="004435C5"/>
    <w:rsid w:val="004435ED"/>
    <w:rsid w:val="00443C42"/>
    <w:rsid w:val="0044408D"/>
    <w:rsid w:val="0044412D"/>
    <w:rsid w:val="004442CC"/>
    <w:rsid w:val="004445E4"/>
    <w:rsid w:val="00444BE8"/>
    <w:rsid w:val="00444D46"/>
    <w:rsid w:val="00444F30"/>
    <w:rsid w:val="00444F9C"/>
    <w:rsid w:val="004450DC"/>
    <w:rsid w:val="00445132"/>
    <w:rsid w:val="004453D5"/>
    <w:rsid w:val="00445492"/>
    <w:rsid w:val="00445672"/>
    <w:rsid w:val="004458FE"/>
    <w:rsid w:val="00445931"/>
    <w:rsid w:val="00445B77"/>
    <w:rsid w:val="00445BCC"/>
    <w:rsid w:val="00445D60"/>
    <w:rsid w:val="00445FA7"/>
    <w:rsid w:val="004460DD"/>
    <w:rsid w:val="0044684F"/>
    <w:rsid w:val="00446884"/>
    <w:rsid w:val="00446A14"/>
    <w:rsid w:val="00446AB6"/>
    <w:rsid w:val="00446BF7"/>
    <w:rsid w:val="00446E3F"/>
    <w:rsid w:val="00447023"/>
    <w:rsid w:val="004473AC"/>
    <w:rsid w:val="0044765B"/>
    <w:rsid w:val="00447753"/>
    <w:rsid w:val="004479BC"/>
    <w:rsid w:val="00447FA1"/>
    <w:rsid w:val="0045008F"/>
    <w:rsid w:val="004502AC"/>
    <w:rsid w:val="0045050B"/>
    <w:rsid w:val="00450783"/>
    <w:rsid w:val="00450D9F"/>
    <w:rsid w:val="00450E42"/>
    <w:rsid w:val="00451009"/>
    <w:rsid w:val="004511EB"/>
    <w:rsid w:val="00451406"/>
    <w:rsid w:val="00451419"/>
    <w:rsid w:val="004516C9"/>
    <w:rsid w:val="004517BF"/>
    <w:rsid w:val="004517F3"/>
    <w:rsid w:val="004519BD"/>
    <w:rsid w:val="004519F5"/>
    <w:rsid w:val="00451BAB"/>
    <w:rsid w:val="00451DB9"/>
    <w:rsid w:val="00451EC0"/>
    <w:rsid w:val="00452028"/>
    <w:rsid w:val="0045207D"/>
    <w:rsid w:val="004520F2"/>
    <w:rsid w:val="004522C9"/>
    <w:rsid w:val="0045271E"/>
    <w:rsid w:val="00452847"/>
    <w:rsid w:val="00452875"/>
    <w:rsid w:val="00452BD1"/>
    <w:rsid w:val="00452E61"/>
    <w:rsid w:val="00452EA0"/>
    <w:rsid w:val="00452FB7"/>
    <w:rsid w:val="004530E7"/>
    <w:rsid w:val="004531B0"/>
    <w:rsid w:val="004531EB"/>
    <w:rsid w:val="004533EA"/>
    <w:rsid w:val="0045358E"/>
    <w:rsid w:val="004535CB"/>
    <w:rsid w:val="0045361B"/>
    <w:rsid w:val="00453901"/>
    <w:rsid w:val="00453BEF"/>
    <w:rsid w:val="00453EA8"/>
    <w:rsid w:val="004542DA"/>
    <w:rsid w:val="0045431B"/>
    <w:rsid w:val="00454436"/>
    <w:rsid w:val="00454509"/>
    <w:rsid w:val="00454649"/>
    <w:rsid w:val="004546D2"/>
    <w:rsid w:val="00454B1B"/>
    <w:rsid w:val="00455059"/>
    <w:rsid w:val="00455180"/>
    <w:rsid w:val="004552DF"/>
    <w:rsid w:val="004553F9"/>
    <w:rsid w:val="00455807"/>
    <w:rsid w:val="00455B7B"/>
    <w:rsid w:val="00455F17"/>
    <w:rsid w:val="004562DE"/>
    <w:rsid w:val="00456462"/>
    <w:rsid w:val="00456476"/>
    <w:rsid w:val="0045649E"/>
    <w:rsid w:val="004564A4"/>
    <w:rsid w:val="00456592"/>
    <w:rsid w:val="0045659B"/>
    <w:rsid w:val="00456830"/>
    <w:rsid w:val="0045697A"/>
    <w:rsid w:val="00456BF5"/>
    <w:rsid w:val="00456CFB"/>
    <w:rsid w:val="00456E04"/>
    <w:rsid w:val="00456F52"/>
    <w:rsid w:val="00456FC1"/>
    <w:rsid w:val="004570F5"/>
    <w:rsid w:val="004571A9"/>
    <w:rsid w:val="004573CB"/>
    <w:rsid w:val="00457621"/>
    <w:rsid w:val="004576DC"/>
    <w:rsid w:val="00457759"/>
    <w:rsid w:val="00457B53"/>
    <w:rsid w:val="00457C4D"/>
    <w:rsid w:val="00457ED7"/>
    <w:rsid w:val="00457F1B"/>
    <w:rsid w:val="004600B0"/>
    <w:rsid w:val="004601D8"/>
    <w:rsid w:val="00460440"/>
    <w:rsid w:val="00460561"/>
    <w:rsid w:val="00460670"/>
    <w:rsid w:val="004606A6"/>
    <w:rsid w:val="0046094F"/>
    <w:rsid w:val="004609C2"/>
    <w:rsid w:val="00460B2B"/>
    <w:rsid w:val="004613FD"/>
    <w:rsid w:val="00461A67"/>
    <w:rsid w:val="00461B29"/>
    <w:rsid w:val="00461B3A"/>
    <w:rsid w:val="00461C48"/>
    <w:rsid w:val="00461D46"/>
    <w:rsid w:val="00461F3A"/>
    <w:rsid w:val="00461FD5"/>
    <w:rsid w:val="00462032"/>
    <w:rsid w:val="0046233C"/>
    <w:rsid w:val="004623E3"/>
    <w:rsid w:val="0046244B"/>
    <w:rsid w:val="004624B2"/>
    <w:rsid w:val="0046256A"/>
    <w:rsid w:val="00462758"/>
    <w:rsid w:val="00463086"/>
    <w:rsid w:val="004630AD"/>
    <w:rsid w:val="0046317E"/>
    <w:rsid w:val="004631F3"/>
    <w:rsid w:val="004633E0"/>
    <w:rsid w:val="00463432"/>
    <w:rsid w:val="00463577"/>
    <w:rsid w:val="004639E4"/>
    <w:rsid w:val="00463CD1"/>
    <w:rsid w:val="00463FA0"/>
    <w:rsid w:val="00464250"/>
    <w:rsid w:val="00464278"/>
    <w:rsid w:val="004642C4"/>
    <w:rsid w:val="00464402"/>
    <w:rsid w:val="004646F7"/>
    <w:rsid w:val="004647BF"/>
    <w:rsid w:val="0046495D"/>
    <w:rsid w:val="00464AB2"/>
    <w:rsid w:val="00464ADD"/>
    <w:rsid w:val="00464B7F"/>
    <w:rsid w:val="00465780"/>
    <w:rsid w:val="004657CF"/>
    <w:rsid w:val="00465822"/>
    <w:rsid w:val="00465CB6"/>
    <w:rsid w:val="00465CF6"/>
    <w:rsid w:val="00465DF8"/>
    <w:rsid w:val="00465E34"/>
    <w:rsid w:val="00466002"/>
    <w:rsid w:val="0046611A"/>
    <w:rsid w:val="00466243"/>
    <w:rsid w:val="0046653D"/>
    <w:rsid w:val="0046661C"/>
    <w:rsid w:val="00466860"/>
    <w:rsid w:val="0046690F"/>
    <w:rsid w:val="004670BB"/>
    <w:rsid w:val="0046722B"/>
    <w:rsid w:val="00467B8E"/>
    <w:rsid w:val="00467FD5"/>
    <w:rsid w:val="00470089"/>
    <w:rsid w:val="0047012C"/>
    <w:rsid w:val="0047022C"/>
    <w:rsid w:val="004702FC"/>
    <w:rsid w:val="0047043F"/>
    <w:rsid w:val="00470514"/>
    <w:rsid w:val="004707EB"/>
    <w:rsid w:val="004707F1"/>
    <w:rsid w:val="00470B64"/>
    <w:rsid w:val="00470BB4"/>
    <w:rsid w:val="0047116B"/>
    <w:rsid w:val="004711AD"/>
    <w:rsid w:val="0047120E"/>
    <w:rsid w:val="00471455"/>
    <w:rsid w:val="0047147B"/>
    <w:rsid w:val="00471884"/>
    <w:rsid w:val="004719C5"/>
    <w:rsid w:val="00472013"/>
    <w:rsid w:val="00472155"/>
    <w:rsid w:val="004722EE"/>
    <w:rsid w:val="00472475"/>
    <w:rsid w:val="00472520"/>
    <w:rsid w:val="00472693"/>
    <w:rsid w:val="004726E5"/>
    <w:rsid w:val="00472706"/>
    <w:rsid w:val="00472AE9"/>
    <w:rsid w:val="00472AFC"/>
    <w:rsid w:val="00472C1D"/>
    <w:rsid w:val="00472E69"/>
    <w:rsid w:val="00472F60"/>
    <w:rsid w:val="00473053"/>
    <w:rsid w:val="004732BB"/>
    <w:rsid w:val="004733D4"/>
    <w:rsid w:val="004734F1"/>
    <w:rsid w:val="004738DB"/>
    <w:rsid w:val="004739C8"/>
    <w:rsid w:val="00473B6A"/>
    <w:rsid w:val="00473B6D"/>
    <w:rsid w:val="00473C03"/>
    <w:rsid w:val="00473D9B"/>
    <w:rsid w:val="004742EF"/>
    <w:rsid w:val="00474800"/>
    <w:rsid w:val="00474C35"/>
    <w:rsid w:val="00474DB7"/>
    <w:rsid w:val="004750B1"/>
    <w:rsid w:val="004750F1"/>
    <w:rsid w:val="0047518E"/>
    <w:rsid w:val="00475336"/>
    <w:rsid w:val="00475371"/>
    <w:rsid w:val="004755E7"/>
    <w:rsid w:val="00475750"/>
    <w:rsid w:val="00475B74"/>
    <w:rsid w:val="00475CD8"/>
    <w:rsid w:val="00476063"/>
    <w:rsid w:val="004763FD"/>
    <w:rsid w:val="00476489"/>
    <w:rsid w:val="004765F5"/>
    <w:rsid w:val="0047699A"/>
    <w:rsid w:val="00476A2C"/>
    <w:rsid w:val="00476F2C"/>
    <w:rsid w:val="00476FC3"/>
    <w:rsid w:val="00477258"/>
    <w:rsid w:val="0047742F"/>
    <w:rsid w:val="004774D0"/>
    <w:rsid w:val="00477512"/>
    <w:rsid w:val="0047754A"/>
    <w:rsid w:val="0047764C"/>
    <w:rsid w:val="004776DC"/>
    <w:rsid w:val="00477722"/>
    <w:rsid w:val="00477844"/>
    <w:rsid w:val="00477996"/>
    <w:rsid w:val="004779EB"/>
    <w:rsid w:val="00477C0A"/>
    <w:rsid w:val="00477FB7"/>
    <w:rsid w:val="00480110"/>
    <w:rsid w:val="00480380"/>
    <w:rsid w:val="004804BB"/>
    <w:rsid w:val="00480760"/>
    <w:rsid w:val="00480A97"/>
    <w:rsid w:val="00480C15"/>
    <w:rsid w:val="00480C50"/>
    <w:rsid w:val="00480CD6"/>
    <w:rsid w:val="00480D32"/>
    <w:rsid w:val="00480F97"/>
    <w:rsid w:val="004812DF"/>
    <w:rsid w:val="004813C4"/>
    <w:rsid w:val="00481695"/>
    <w:rsid w:val="00481711"/>
    <w:rsid w:val="00481900"/>
    <w:rsid w:val="00481B99"/>
    <w:rsid w:val="00481C22"/>
    <w:rsid w:val="00481C70"/>
    <w:rsid w:val="00482094"/>
    <w:rsid w:val="004821EB"/>
    <w:rsid w:val="0048238F"/>
    <w:rsid w:val="00482471"/>
    <w:rsid w:val="004825D9"/>
    <w:rsid w:val="0048279A"/>
    <w:rsid w:val="00482944"/>
    <w:rsid w:val="00482B28"/>
    <w:rsid w:val="00482C4A"/>
    <w:rsid w:val="00482CAF"/>
    <w:rsid w:val="00482CCB"/>
    <w:rsid w:val="00482D86"/>
    <w:rsid w:val="00482DA9"/>
    <w:rsid w:val="00482F69"/>
    <w:rsid w:val="0048329F"/>
    <w:rsid w:val="00483676"/>
    <w:rsid w:val="004838E4"/>
    <w:rsid w:val="00483A4F"/>
    <w:rsid w:val="00483C49"/>
    <w:rsid w:val="00483D8D"/>
    <w:rsid w:val="00483E1C"/>
    <w:rsid w:val="00483E3E"/>
    <w:rsid w:val="0048407D"/>
    <w:rsid w:val="00484293"/>
    <w:rsid w:val="00484517"/>
    <w:rsid w:val="0048474D"/>
    <w:rsid w:val="00484808"/>
    <w:rsid w:val="00484843"/>
    <w:rsid w:val="00484871"/>
    <w:rsid w:val="004849F0"/>
    <w:rsid w:val="00484A18"/>
    <w:rsid w:val="00484ACA"/>
    <w:rsid w:val="00484BAD"/>
    <w:rsid w:val="00484D60"/>
    <w:rsid w:val="00484D62"/>
    <w:rsid w:val="00484EF1"/>
    <w:rsid w:val="0048511A"/>
    <w:rsid w:val="004851A8"/>
    <w:rsid w:val="0048538F"/>
    <w:rsid w:val="004853E2"/>
    <w:rsid w:val="004853F9"/>
    <w:rsid w:val="00485403"/>
    <w:rsid w:val="004859A0"/>
    <w:rsid w:val="004859FA"/>
    <w:rsid w:val="00485A97"/>
    <w:rsid w:val="00485B65"/>
    <w:rsid w:val="00485FF7"/>
    <w:rsid w:val="0048607D"/>
    <w:rsid w:val="00486117"/>
    <w:rsid w:val="004865DA"/>
    <w:rsid w:val="00486BFE"/>
    <w:rsid w:val="00486C5E"/>
    <w:rsid w:val="00486F68"/>
    <w:rsid w:val="0048717E"/>
    <w:rsid w:val="00487945"/>
    <w:rsid w:val="00487A51"/>
    <w:rsid w:val="00487B1A"/>
    <w:rsid w:val="00487CBD"/>
    <w:rsid w:val="00487DCC"/>
    <w:rsid w:val="00487EC8"/>
    <w:rsid w:val="0048D5ED"/>
    <w:rsid w:val="0048F77B"/>
    <w:rsid w:val="00490416"/>
    <w:rsid w:val="0049044A"/>
    <w:rsid w:val="004904AF"/>
    <w:rsid w:val="004906D4"/>
    <w:rsid w:val="00490BD2"/>
    <w:rsid w:val="00490DA0"/>
    <w:rsid w:val="00490DC7"/>
    <w:rsid w:val="00491000"/>
    <w:rsid w:val="004912D9"/>
    <w:rsid w:val="004913D1"/>
    <w:rsid w:val="00491414"/>
    <w:rsid w:val="00491428"/>
    <w:rsid w:val="0049146C"/>
    <w:rsid w:val="004915BD"/>
    <w:rsid w:val="00491801"/>
    <w:rsid w:val="00492161"/>
    <w:rsid w:val="004921AF"/>
    <w:rsid w:val="0049235B"/>
    <w:rsid w:val="00492849"/>
    <w:rsid w:val="00492BDD"/>
    <w:rsid w:val="00492C29"/>
    <w:rsid w:val="00492E6B"/>
    <w:rsid w:val="00492EA7"/>
    <w:rsid w:val="00492FB4"/>
    <w:rsid w:val="0049341C"/>
    <w:rsid w:val="004936B0"/>
    <w:rsid w:val="0049370B"/>
    <w:rsid w:val="004939D8"/>
    <w:rsid w:val="00493B8D"/>
    <w:rsid w:val="00493BE0"/>
    <w:rsid w:val="00493DC4"/>
    <w:rsid w:val="00493FCD"/>
    <w:rsid w:val="00494021"/>
    <w:rsid w:val="00494075"/>
    <w:rsid w:val="00494248"/>
    <w:rsid w:val="0049431C"/>
    <w:rsid w:val="00494586"/>
    <w:rsid w:val="00494777"/>
    <w:rsid w:val="0049477A"/>
    <w:rsid w:val="004947C5"/>
    <w:rsid w:val="004948D6"/>
    <w:rsid w:val="00494C77"/>
    <w:rsid w:val="00494E1B"/>
    <w:rsid w:val="004950E7"/>
    <w:rsid w:val="00495349"/>
    <w:rsid w:val="004955AB"/>
    <w:rsid w:val="0049561D"/>
    <w:rsid w:val="00495B58"/>
    <w:rsid w:val="0049601F"/>
    <w:rsid w:val="0049609C"/>
    <w:rsid w:val="0049640F"/>
    <w:rsid w:val="00496452"/>
    <w:rsid w:val="00496528"/>
    <w:rsid w:val="00496A2A"/>
    <w:rsid w:val="00496A3E"/>
    <w:rsid w:val="00496D3B"/>
    <w:rsid w:val="00496EDA"/>
    <w:rsid w:val="00496FEA"/>
    <w:rsid w:val="00497086"/>
    <w:rsid w:val="00497164"/>
    <w:rsid w:val="004974D5"/>
    <w:rsid w:val="004974F6"/>
    <w:rsid w:val="00497729"/>
    <w:rsid w:val="004977AE"/>
    <w:rsid w:val="004979BB"/>
    <w:rsid w:val="00497A94"/>
    <w:rsid w:val="00497B20"/>
    <w:rsid w:val="00497F07"/>
    <w:rsid w:val="004A0154"/>
    <w:rsid w:val="004A03A0"/>
    <w:rsid w:val="004A0516"/>
    <w:rsid w:val="004A06E2"/>
    <w:rsid w:val="004A08FC"/>
    <w:rsid w:val="004A0A94"/>
    <w:rsid w:val="004A0DA3"/>
    <w:rsid w:val="004A0DE3"/>
    <w:rsid w:val="004A13CE"/>
    <w:rsid w:val="004A16FA"/>
    <w:rsid w:val="004A187A"/>
    <w:rsid w:val="004A1988"/>
    <w:rsid w:val="004A1CB4"/>
    <w:rsid w:val="004A1D82"/>
    <w:rsid w:val="004A2472"/>
    <w:rsid w:val="004A26CA"/>
    <w:rsid w:val="004A2A35"/>
    <w:rsid w:val="004A2C59"/>
    <w:rsid w:val="004A2DAD"/>
    <w:rsid w:val="004A2DE5"/>
    <w:rsid w:val="004A2F04"/>
    <w:rsid w:val="004A2FFC"/>
    <w:rsid w:val="004A31B7"/>
    <w:rsid w:val="004A322E"/>
    <w:rsid w:val="004A3498"/>
    <w:rsid w:val="004A3608"/>
    <w:rsid w:val="004A438F"/>
    <w:rsid w:val="004A46C3"/>
    <w:rsid w:val="004A4817"/>
    <w:rsid w:val="004A4FCE"/>
    <w:rsid w:val="004A5201"/>
    <w:rsid w:val="004A5297"/>
    <w:rsid w:val="004A529F"/>
    <w:rsid w:val="004A52E2"/>
    <w:rsid w:val="004A5484"/>
    <w:rsid w:val="004A5832"/>
    <w:rsid w:val="004A59D0"/>
    <w:rsid w:val="004A5C0E"/>
    <w:rsid w:val="004A5D49"/>
    <w:rsid w:val="004A5EF3"/>
    <w:rsid w:val="004A6353"/>
    <w:rsid w:val="004A68BC"/>
    <w:rsid w:val="004A693C"/>
    <w:rsid w:val="004A6B00"/>
    <w:rsid w:val="004A6CDA"/>
    <w:rsid w:val="004A6D98"/>
    <w:rsid w:val="004A716A"/>
    <w:rsid w:val="004A762F"/>
    <w:rsid w:val="004A7725"/>
    <w:rsid w:val="004A7838"/>
    <w:rsid w:val="004A7855"/>
    <w:rsid w:val="004A79CF"/>
    <w:rsid w:val="004A7C57"/>
    <w:rsid w:val="004A7D32"/>
    <w:rsid w:val="004A7DFB"/>
    <w:rsid w:val="004A7E12"/>
    <w:rsid w:val="004B0315"/>
    <w:rsid w:val="004B034D"/>
    <w:rsid w:val="004B044A"/>
    <w:rsid w:val="004B0570"/>
    <w:rsid w:val="004B060E"/>
    <w:rsid w:val="004B06C1"/>
    <w:rsid w:val="004B0EA9"/>
    <w:rsid w:val="004B1165"/>
    <w:rsid w:val="004B1456"/>
    <w:rsid w:val="004B1603"/>
    <w:rsid w:val="004B1679"/>
    <w:rsid w:val="004B16BF"/>
    <w:rsid w:val="004B1737"/>
    <w:rsid w:val="004B17D7"/>
    <w:rsid w:val="004B1945"/>
    <w:rsid w:val="004B1E17"/>
    <w:rsid w:val="004B1FE1"/>
    <w:rsid w:val="004B1FF3"/>
    <w:rsid w:val="004B20E5"/>
    <w:rsid w:val="004B2249"/>
    <w:rsid w:val="004B254D"/>
    <w:rsid w:val="004B2960"/>
    <w:rsid w:val="004B2961"/>
    <w:rsid w:val="004B2A82"/>
    <w:rsid w:val="004B3373"/>
    <w:rsid w:val="004B3A28"/>
    <w:rsid w:val="004B3A5F"/>
    <w:rsid w:val="004B3D6D"/>
    <w:rsid w:val="004B3EE9"/>
    <w:rsid w:val="004B3FA9"/>
    <w:rsid w:val="004B4061"/>
    <w:rsid w:val="004B44C0"/>
    <w:rsid w:val="004B46F6"/>
    <w:rsid w:val="004B4D89"/>
    <w:rsid w:val="004B52C4"/>
    <w:rsid w:val="004B586D"/>
    <w:rsid w:val="004B598C"/>
    <w:rsid w:val="004B5B2E"/>
    <w:rsid w:val="004B5B68"/>
    <w:rsid w:val="004B5C27"/>
    <w:rsid w:val="004B5CCE"/>
    <w:rsid w:val="004B5DBE"/>
    <w:rsid w:val="004B66DC"/>
    <w:rsid w:val="004B6767"/>
    <w:rsid w:val="004B686C"/>
    <w:rsid w:val="004B6B32"/>
    <w:rsid w:val="004B6DCF"/>
    <w:rsid w:val="004B6E8F"/>
    <w:rsid w:val="004B7326"/>
    <w:rsid w:val="004B7485"/>
    <w:rsid w:val="004B7538"/>
    <w:rsid w:val="004B76E9"/>
    <w:rsid w:val="004B76F5"/>
    <w:rsid w:val="004B7762"/>
    <w:rsid w:val="004B7850"/>
    <w:rsid w:val="004B78F0"/>
    <w:rsid w:val="004B7F41"/>
    <w:rsid w:val="004BD219"/>
    <w:rsid w:val="004C0889"/>
    <w:rsid w:val="004C0917"/>
    <w:rsid w:val="004C0A1A"/>
    <w:rsid w:val="004C0A30"/>
    <w:rsid w:val="004C0B1A"/>
    <w:rsid w:val="004C0C0C"/>
    <w:rsid w:val="004C0CFE"/>
    <w:rsid w:val="004C0E74"/>
    <w:rsid w:val="004C10BC"/>
    <w:rsid w:val="004C1324"/>
    <w:rsid w:val="004C1431"/>
    <w:rsid w:val="004C148F"/>
    <w:rsid w:val="004C158E"/>
    <w:rsid w:val="004C1669"/>
    <w:rsid w:val="004C1E6E"/>
    <w:rsid w:val="004C1EB0"/>
    <w:rsid w:val="004C1EE7"/>
    <w:rsid w:val="004C2760"/>
    <w:rsid w:val="004C28D4"/>
    <w:rsid w:val="004C2995"/>
    <w:rsid w:val="004C2ECD"/>
    <w:rsid w:val="004C30C8"/>
    <w:rsid w:val="004C3698"/>
    <w:rsid w:val="004C3878"/>
    <w:rsid w:val="004C3AF2"/>
    <w:rsid w:val="004C3DBF"/>
    <w:rsid w:val="004C3EA8"/>
    <w:rsid w:val="004C3F9B"/>
    <w:rsid w:val="004C411A"/>
    <w:rsid w:val="004C4133"/>
    <w:rsid w:val="004C41F5"/>
    <w:rsid w:val="004C4212"/>
    <w:rsid w:val="004C42A6"/>
    <w:rsid w:val="004C42BA"/>
    <w:rsid w:val="004C4320"/>
    <w:rsid w:val="004C4549"/>
    <w:rsid w:val="004C53D7"/>
    <w:rsid w:val="004C5418"/>
    <w:rsid w:val="004C543E"/>
    <w:rsid w:val="004C56E1"/>
    <w:rsid w:val="004C5875"/>
    <w:rsid w:val="004C5A47"/>
    <w:rsid w:val="004C5A89"/>
    <w:rsid w:val="004C5C39"/>
    <w:rsid w:val="004C5E56"/>
    <w:rsid w:val="004C5EEA"/>
    <w:rsid w:val="004C6059"/>
    <w:rsid w:val="004C659E"/>
    <w:rsid w:val="004C69DD"/>
    <w:rsid w:val="004C6A0B"/>
    <w:rsid w:val="004C6B32"/>
    <w:rsid w:val="004C6B83"/>
    <w:rsid w:val="004C6B8E"/>
    <w:rsid w:val="004C6BAE"/>
    <w:rsid w:val="004C70AD"/>
    <w:rsid w:val="004C7122"/>
    <w:rsid w:val="004C7332"/>
    <w:rsid w:val="004C733F"/>
    <w:rsid w:val="004C74D8"/>
    <w:rsid w:val="004C7C9D"/>
    <w:rsid w:val="004C9B5B"/>
    <w:rsid w:val="004D00B7"/>
    <w:rsid w:val="004D0544"/>
    <w:rsid w:val="004D054C"/>
    <w:rsid w:val="004D0607"/>
    <w:rsid w:val="004D0697"/>
    <w:rsid w:val="004D0768"/>
    <w:rsid w:val="004D08EE"/>
    <w:rsid w:val="004D0B85"/>
    <w:rsid w:val="004D0B91"/>
    <w:rsid w:val="004D118D"/>
    <w:rsid w:val="004D11DF"/>
    <w:rsid w:val="004D1236"/>
    <w:rsid w:val="004D134D"/>
    <w:rsid w:val="004D135A"/>
    <w:rsid w:val="004D14B6"/>
    <w:rsid w:val="004D14B7"/>
    <w:rsid w:val="004D15B6"/>
    <w:rsid w:val="004D1811"/>
    <w:rsid w:val="004D184B"/>
    <w:rsid w:val="004D18D9"/>
    <w:rsid w:val="004D190E"/>
    <w:rsid w:val="004D19E5"/>
    <w:rsid w:val="004D1A8D"/>
    <w:rsid w:val="004D1B94"/>
    <w:rsid w:val="004D1CB4"/>
    <w:rsid w:val="004D1E24"/>
    <w:rsid w:val="004D1EB0"/>
    <w:rsid w:val="004D1FB2"/>
    <w:rsid w:val="004D207C"/>
    <w:rsid w:val="004D210F"/>
    <w:rsid w:val="004D2526"/>
    <w:rsid w:val="004D2620"/>
    <w:rsid w:val="004D265D"/>
    <w:rsid w:val="004D274B"/>
    <w:rsid w:val="004D281A"/>
    <w:rsid w:val="004D29B2"/>
    <w:rsid w:val="004D2A8A"/>
    <w:rsid w:val="004D2C15"/>
    <w:rsid w:val="004D3107"/>
    <w:rsid w:val="004D33A3"/>
    <w:rsid w:val="004D3498"/>
    <w:rsid w:val="004D355F"/>
    <w:rsid w:val="004D38BC"/>
    <w:rsid w:val="004D3B07"/>
    <w:rsid w:val="004D3F09"/>
    <w:rsid w:val="004D3FFA"/>
    <w:rsid w:val="004D4081"/>
    <w:rsid w:val="004D436A"/>
    <w:rsid w:val="004D444E"/>
    <w:rsid w:val="004D44BB"/>
    <w:rsid w:val="004D4653"/>
    <w:rsid w:val="004D46C8"/>
    <w:rsid w:val="004D478A"/>
    <w:rsid w:val="004D4ADB"/>
    <w:rsid w:val="004D4AEA"/>
    <w:rsid w:val="004D4D92"/>
    <w:rsid w:val="004D4DFC"/>
    <w:rsid w:val="004D5712"/>
    <w:rsid w:val="004D5795"/>
    <w:rsid w:val="004D5897"/>
    <w:rsid w:val="004D592D"/>
    <w:rsid w:val="004D5B1A"/>
    <w:rsid w:val="004D5BB3"/>
    <w:rsid w:val="004D5BF6"/>
    <w:rsid w:val="004D605A"/>
    <w:rsid w:val="004D6380"/>
    <w:rsid w:val="004D658E"/>
    <w:rsid w:val="004D6725"/>
    <w:rsid w:val="004D6790"/>
    <w:rsid w:val="004D6842"/>
    <w:rsid w:val="004D68B6"/>
    <w:rsid w:val="004D6DF9"/>
    <w:rsid w:val="004D6EEF"/>
    <w:rsid w:val="004D7393"/>
    <w:rsid w:val="004D7486"/>
    <w:rsid w:val="004D7592"/>
    <w:rsid w:val="004D772F"/>
    <w:rsid w:val="004D775D"/>
    <w:rsid w:val="004D77EA"/>
    <w:rsid w:val="004D7841"/>
    <w:rsid w:val="004D7866"/>
    <w:rsid w:val="004D7C39"/>
    <w:rsid w:val="004D7D78"/>
    <w:rsid w:val="004D7DD7"/>
    <w:rsid w:val="004D7FC7"/>
    <w:rsid w:val="004E0250"/>
    <w:rsid w:val="004E036F"/>
    <w:rsid w:val="004E03DF"/>
    <w:rsid w:val="004E04C4"/>
    <w:rsid w:val="004E0547"/>
    <w:rsid w:val="004E05A2"/>
    <w:rsid w:val="004E071E"/>
    <w:rsid w:val="004E078C"/>
    <w:rsid w:val="004E0864"/>
    <w:rsid w:val="004E08D3"/>
    <w:rsid w:val="004E0903"/>
    <w:rsid w:val="004E0911"/>
    <w:rsid w:val="004E0A45"/>
    <w:rsid w:val="004E0B29"/>
    <w:rsid w:val="004E0D29"/>
    <w:rsid w:val="004E0D87"/>
    <w:rsid w:val="004E0F1D"/>
    <w:rsid w:val="004E1207"/>
    <w:rsid w:val="004E1226"/>
    <w:rsid w:val="004E1405"/>
    <w:rsid w:val="004E14F2"/>
    <w:rsid w:val="004E1531"/>
    <w:rsid w:val="004E166D"/>
    <w:rsid w:val="004E19D3"/>
    <w:rsid w:val="004E1BCE"/>
    <w:rsid w:val="004E1BFE"/>
    <w:rsid w:val="004E1D32"/>
    <w:rsid w:val="004E1E96"/>
    <w:rsid w:val="004E2103"/>
    <w:rsid w:val="004E210E"/>
    <w:rsid w:val="004E233F"/>
    <w:rsid w:val="004E2531"/>
    <w:rsid w:val="004E25CC"/>
    <w:rsid w:val="004E279C"/>
    <w:rsid w:val="004E283B"/>
    <w:rsid w:val="004E2879"/>
    <w:rsid w:val="004E2986"/>
    <w:rsid w:val="004E2A59"/>
    <w:rsid w:val="004E2C33"/>
    <w:rsid w:val="004E2F26"/>
    <w:rsid w:val="004E37FF"/>
    <w:rsid w:val="004E3849"/>
    <w:rsid w:val="004E390B"/>
    <w:rsid w:val="004E3C00"/>
    <w:rsid w:val="004E3C0F"/>
    <w:rsid w:val="004E3E14"/>
    <w:rsid w:val="004E4011"/>
    <w:rsid w:val="004E474B"/>
    <w:rsid w:val="004E4859"/>
    <w:rsid w:val="004E4BD7"/>
    <w:rsid w:val="004E4C7C"/>
    <w:rsid w:val="004E4D50"/>
    <w:rsid w:val="004E4EC6"/>
    <w:rsid w:val="004E4F35"/>
    <w:rsid w:val="004E5196"/>
    <w:rsid w:val="004E5384"/>
    <w:rsid w:val="004E5546"/>
    <w:rsid w:val="004E5846"/>
    <w:rsid w:val="004E5B47"/>
    <w:rsid w:val="004E5DAA"/>
    <w:rsid w:val="004E613D"/>
    <w:rsid w:val="004E63B6"/>
    <w:rsid w:val="004E6473"/>
    <w:rsid w:val="004E690A"/>
    <w:rsid w:val="004E6928"/>
    <w:rsid w:val="004E69B5"/>
    <w:rsid w:val="004E6B19"/>
    <w:rsid w:val="004E6C17"/>
    <w:rsid w:val="004E7176"/>
    <w:rsid w:val="004E7253"/>
    <w:rsid w:val="004E7332"/>
    <w:rsid w:val="004E775A"/>
    <w:rsid w:val="004E7A90"/>
    <w:rsid w:val="004E7BC2"/>
    <w:rsid w:val="004E7EF8"/>
    <w:rsid w:val="004F06E1"/>
    <w:rsid w:val="004F06FB"/>
    <w:rsid w:val="004F0C12"/>
    <w:rsid w:val="004F0DC4"/>
    <w:rsid w:val="004F117C"/>
    <w:rsid w:val="004F12EA"/>
    <w:rsid w:val="004F14F7"/>
    <w:rsid w:val="004F15A8"/>
    <w:rsid w:val="004F165D"/>
    <w:rsid w:val="004F1761"/>
    <w:rsid w:val="004F1835"/>
    <w:rsid w:val="004F1A89"/>
    <w:rsid w:val="004F1AFF"/>
    <w:rsid w:val="004F1D90"/>
    <w:rsid w:val="004F1EAF"/>
    <w:rsid w:val="004F1EFD"/>
    <w:rsid w:val="004F2041"/>
    <w:rsid w:val="004F20C7"/>
    <w:rsid w:val="004F21C1"/>
    <w:rsid w:val="004F22E9"/>
    <w:rsid w:val="004F2778"/>
    <w:rsid w:val="004F284A"/>
    <w:rsid w:val="004F288A"/>
    <w:rsid w:val="004F2892"/>
    <w:rsid w:val="004F28E6"/>
    <w:rsid w:val="004F291D"/>
    <w:rsid w:val="004F29DF"/>
    <w:rsid w:val="004F31BE"/>
    <w:rsid w:val="004F3272"/>
    <w:rsid w:val="004F3464"/>
    <w:rsid w:val="004F3DEA"/>
    <w:rsid w:val="004F3E48"/>
    <w:rsid w:val="004F3EED"/>
    <w:rsid w:val="004F41D6"/>
    <w:rsid w:val="004F41FB"/>
    <w:rsid w:val="004F42F5"/>
    <w:rsid w:val="004F4315"/>
    <w:rsid w:val="004F44EE"/>
    <w:rsid w:val="004F450D"/>
    <w:rsid w:val="004F4528"/>
    <w:rsid w:val="004F47D6"/>
    <w:rsid w:val="004F4A42"/>
    <w:rsid w:val="004F4AA1"/>
    <w:rsid w:val="004F4AEB"/>
    <w:rsid w:val="004F4D17"/>
    <w:rsid w:val="004F4FAF"/>
    <w:rsid w:val="004F4FBC"/>
    <w:rsid w:val="004F5308"/>
    <w:rsid w:val="004F53B2"/>
    <w:rsid w:val="004F558E"/>
    <w:rsid w:val="004F5BA3"/>
    <w:rsid w:val="004F5E4D"/>
    <w:rsid w:val="004F5ECB"/>
    <w:rsid w:val="004F601A"/>
    <w:rsid w:val="004F604E"/>
    <w:rsid w:val="004F60CD"/>
    <w:rsid w:val="004F61A6"/>
    <w:rsid w:val="004F621D"/>
    <w:rsid w:val="004F63A5"/>
    <w:rsid w:val="004F6475"/>
    <w:rsid w:val="004F64EA"/>
    <w:rsid w:val="004F6516"/>
    <w:rsid w:val="004F688A"/>
    <w:rsid w:val="004F6A13"/>
    <w:rsid w:val="004F6B8F"/>
    <w:rsid w:val="004F6EDB"/>
    <w:rsid w:val="004F6FB1"/>
    <w:rsid w:val="004F7292"/>
    <w:rsid w:val="004F73A1"/>
    <w:rsid w:val="004F73DB"/>
    <w:rsid w:val="004F7418"/>
    <w:rsid w:val="004F787B"/>
    <w:rsid w:val="004F79B5"/>
    <w:rsid w:val="004F7A8C"/>
    <w:rsid w:val="004F7D7A"/>
    <w:rsid w:val="004F7E01"/>
    <w:rsid w:val="004F95C0"/>
    <w:rsid w:val="005001CD"/>
    <w:rsid w:val="00500234"/>
    <w:rsid w:val="005008F6"/>
    <w:rsid w:val="005009B8"/>
    <w:rsid w:val="00500D2F"/>
    <w:rsid w:val="00500F49"/>
    <w:rsid w:val="005012DC"/>
    <w:rsid w:val="005017DB"/>
    <w:rsid w:val="00501CE0"/>
    <w:rsid w:val="00501D5B"/>
    <w:rsid w:val="00501E0C"/>
    <w:rsid w:val="00501EE4"/>
    <w:rsid w:val="00501F38"/>
    <w:rsid w:val="005025FD"/>
    <w:rsid w:val="00502694"/>
    <w:rsid w:val="005028C7"/>
    <w:rsid w:val="00502950"/>
    <w:rsid w:val="00502A07"/>
    <w:rsid w:val="00502D27"/>
    <w:rsid w:val="0050306D"/>
    <w:rsid w:val="00503227"/>
    <w:rsid w:val="005035EE"/>
    <w:rsid w:val="00503886"/>
    <w:rsid w:val="00503B60"/>
    <w:rsid w:val="00503BDA"/>
    <w:rsid w:val="00503C18"/>
    <w:rsid w:val="00504061"/>
    <w:rsid w:val="00504434"/>
    <w:rsid w:val="00504519"/>
    <w:rsid w:val="00504951"/>
    <w:rsid w:val="00504963"/>
    <w:rsid w:val="0050499E"/>
    <w:rsid w:val="00504A17"/>
    <w:rsid w:val="00504A90"/>
    <w:rsid w:val="00504CE9"/>
    <w:rsid w:val="00504DA7"/>
    <w:rsid w:val="00504DC3"/>
    <w:rsid w:val="00504E57"/>
    <w:rsid w:val="00504EFA"/>
    <w:rsid w:val="00505368"/>
    <w:rsid w:val="005054E0"/>
    <w:rsid w:val="0050557D"/>
    <w:rsid w:val="005055D0"/>
    <w:rsid w:val="0050584A"/>
    <w:rsid w:val="00505872"/>
    <w:rsid w:val="005058C4"/>
    <w:rsid w:val="00505AB7"/>
    <w:rsid w:val="00505B27"/>
    <w:rsid w:val="00505ED0"/>
    <w:rsid w:val="00506322"/>
    <w:rsid w:val="00506541"/>
    <w:rsid w:val="005069E9"/>
    <w:rsid w:val="00506BF5"/>
    <w:rsid w:val="00506C47"/>
    <w:rsid w:val="00506C7A"/>
    <w:rsid w:val="00506CE7"/>
    <w:rsid w:val="00506DAF"/>
    <w:rsid w:val="00507085"/>
    <w:rsid w:val="005071AE"/>
    <w:rsid w:val="005076D2"/>
    <w:rsid w:val="0050772F"/>
    <w:rsid w:val="005078C4"/>
    <w:rsid w:val="00507907"/>
    <w:rsid w:val="00507CC4"/>
    <w:rsid w:val="00507E2F"/>
    <w:rsid w:val="00507EF5"/>
    <w:rsid w:val="00507F41"/>
    <w:rsid w:val="005102D1"/>
    <w:rsid w:val="00510801"/>
    <w:rsid w:val="00510927"/>
    <w:rsid w:val="00510953"/>
    <w:rsid w:val="00510BA2"/>
    <w:rsid w:val="00510C3A"/>
    <w:rsid w:val="00510D81"/>
    <w:rsid w:val="0051115F"/>
    <w:rsid w:val="00511425"/>
    <w:rsid w:val="005116E6"/>
    <w:rsid w:val="00511771"/>
    <w:rsid w:val="00511A50"/>
    <w:rsid w:val="00511A7C"/>
    <w:rsid w:val="00511BC5"/>
    <w:rsid w:val="00511E3E"/>
    <w:rsid w:val="00511F94"/>
    <w:rsid w:val="005120AB"/>
    <w:rsid w:val="00512473"/>
    <w:rsid w:val="005126EE"/>
    <w:rsid w:val="00512868"/>
    <w:rsid w:val="0051286A"/>
    <w:rsid w:val="005129C6"/>
    <w:rsid w:val="00512E33"/>
    <w:rsid w:val="00512E73"/>
    <w:rsid w:val="00512F25"/>
    <w:rsid w:val="00512F97"/>
    <w:rsid w:val="0051305C"/>
    <w:rsid w:val="00513078"/>
    <w:rsid w:val="005132CB"/>
    <w:rsid w:val="00513370"/>
    <w:rsid w:val="00513375"/>
    <w:rsid w:val="005133DC"/>
    <w:rsid w:val="00513ADB"/>
    <w:rsid w:val="00513B19"/>
    <w:rsid w:val="00513B1F"/>
    <w:rsid w:val="00513D82"/>
    <w:rsid w:val="00513F95"/>
    <w:rsid w:val="00514005"/>
    <w:rsid w:val="00514334"/>
    <w:rsid w:val="0051439F"/>
    <w:rsid w:val="0051450D"/>
    <w:rsid w:val="005147DE"/>
    <w:rsid w:val="00514D65"/>
    <w:rsid w:val="00514EFF"/>
    <w:rsid w:val="00515103"/>
    <w:rsid w:val="005153B1"/>
    <w:rsid w:val="00515672"/>
    <w:rsid w:val="00515AE0"/>
    <w:rsid w:val="00515D86"/>
    <w:rsid w:val="00515E20"/>
    <w:rsid w:val="005160C7"/>
    <w:rsid w:val="005161BD"/>
    <w:rsid w:val="00516206"/>
    <w:rsid w:val="0051624A"/>
    <w:rsid w:val="0051636E"/>
    <w:rsid w:val="005166A3"/>
    <w:rsid w:val="00516894"/>
    <w:rsid w:val="00516B6C"/>
    <w:rsid w:val="00516C4A"/>
    <w:rsid w:val="00517041"/>
    <w:rsid w:val="00517125"/>
    <w:rsid w:val="0051713C"/>
    <w:rsid w:val="005172E0"/>
    <w:rsid w:val="00517527"/>
    <w:rsid w:val="0051771F"/>
    <w:rsid w:val="00517D7C"/>
    <w:rsid w:val="00517F85"/>
    <w:rsid w:val="0052025D"/>
    <w:rsid w:val="0052049D"/>
    <w:rsid w:val="00520595"/>
    <w:rsid w:val="00520AD7"/>
    <w:rsid w:val="00520C9A"/>
    <w:rsid w:val="00520E40"/>
    <w:rsid w:val="005215B9"/>
    <w:rsid w:val="00521774"/>
    <w:rsid w:val="005217FD"/>
    <w:rsid w:val="005218F3"/>
    <w:rsid w:val="00521B3F"/>
    <w:rsid w:val="00521E0B"/>
    <w:rsid w:val="0052218F"/>
    <w:rsid w:val="0052222F"/>
    <w:rsid w:val="00522485"/>
    <w:rsid w:val="005224B8"/>
    <w:rsid w:val="00522757"/>
    <w:rsid w:val="0052287A"/>
    <w:rsid w:val="005228F7"/>
    <w:rsid w:val="00522A01"/>
    <w:rsid w:val="00522A52"/>
    <w:rsid w:val="00522D90"/>
    <w:rsid w:val="005230BE"/>
    <w:rsid w:val="0052353F"/>
    <w:rsid w:val="00523E00"/>
    <w:rsid w:val="00523ED7"/>
    <w:rsid w:val="0052411E"/>
    <w:rsid w:val="0052423B"/>
    <w:rsid w:val="0052481A"/>
    <w:rsid w:val="005249B5"/>
    <w:rsid w:val="00524AD5"/>
    <w:rsid w:val="00524C52"/>
    <w:rsid w:val="00525104"/>
    <w:rsid w:val="00525211"/>
    <w:rsid w:val="0052568D"/>
    <w:rsid w:val="0052571B"/>
    <w:rsid w:val="00525C2D"/>
    <w:rsid w:val="00525F1C"/>
    <w:rsid w:val="0052627D"/>
    <w:rsid w:val="00526636"/>
    <w:rsid w:val="0052667A"/>
    <w:rsid w:val="00526942"/>
    <w:rsid w:val="0052699E"/>
    <w:rsid w:val="00526A1D"/>
    <w:rsid w:val="00526B58"/>
    <w:rsid w:val="00526CA1"/>
    <w:rsid w:val="00526D6A"/>
    <w:rsid w:val="00526F73"/>
    <w:rsid w:val="0052712A"/>
    <w:rsid w:val="00527687"/>
    <w:rsid w:val="0052782E"/>
    <w:rsid w:val="00527925"/>
    <w:rsid w:val="00527A25"/>
    <w:rsid w:val="00527CDD"/>
    <w:rsid w:val="00527E1B"/>
    <w:rsid w:val="00527F51"/>
    <w:rsid w:val="00530327"/>
    <w:rsid w:val="00530889"/>
    <w:rsid w:val="00530924"/>
    <w:rsid w:val="00530928"/>
    <w:rsid w:val="00530CE6"/>
    <w:rsid w:val="00530D1F"/>
    <w:rsid w:val="00530DF1"/>
    <w:rsid w:val="0053134A"/>
    <w:rsid w:val="005315C7"/>
    <w:rsid w:val="0053162C"/>
    <w:rsid w:val="0053181E"/>
    <w:rsid w:val="00531A78"/>
    <w:rsid w:val="00531ABD"/>
    <w:rsid w:val="00531B03"/>
    <w:rsid w:val="00531BDD"/>
    <w:rsid w:val="00531C4D"/>
    <w:rsid w:val="00531D0C"/>
    <w:rsid w:val="00531D4B"/>
    <w:rsid w:val="00531DC1"/>
    <w:rsid w:val="00532020"/>
    <w:rsid w:val="005320A2"/>
    <w:rsid w:val="005322DC"/>
    <w:rsid w:val="00532312"/>
    <w:rsid w:val="00532634"/>
    <w:rsid w:val="005327CB"/>
    <w:rsid w:val="005328C0"/>
    <w:rsid w:val="00532A5D"/>
    <w:rsid w:val="00532B4D"/>
    <w:rsid w:val="00532BC9"/>
    <w:rsid w:val="00532E80"/>
    <w:rsid w:val="00532EED"/>
    <w:rsid w:val="00532F14"/>
    <w:rsid w:val="005331A1"/>
    <w:rsid w:val="0053347C"/>
    <w:rsid w:val="00533565"/>
    <w:rsid w:val="0053357C"/>
    <w:rsid w:val="00533677"/>
    <w:rsid w:val="00533831"/>
    <w:rsid w:val="00533C9D"/>
    <w:rsid w:val="00533DBC"/>
    <w:rsid w:val="00533E70"/>
    <w:rsid w:val="00534024"/>
    <w:rsid w:val="0053408B"/>
    <w:rsid w:val="00534104"/>
    <w:rsid w:val="0053411D"/>
    <w:rsid w:val="0053454D"/>
    <w:rsid w:val="0053463E"/>
    <w:rsid w:val="005348DC"/>
    <w:rsid w:val="005348DF"/>
    <w:rsid w:val="00534B63"/>
    <w:rsid w:val="00535313"/>
    <w:rsid w:val="00535480"/>
    <w:rsid w:val="00535AA6"/>
    <w:rsid w:val="00536105"/>
    <w:rsid w:val="005362FA"/>
    <w:rsid w:val="0053648F"/>
    <w:rsid w:val="00536651"/>
    <w:rsid w:val="00536706"/>
    <w:rsid w:val="00536849"/>
    <w:rsid w:val="0053687A"/>
    <w:rsid w:val="00536A7B"/>
    <w:rsid w:val="00536CE7"/>
    <w:rsid w:val="00536EAE"/>
    <w:rsid w:val="00536F4F"/>
    <w:rsid w:val="0053705F"/>
    <w:rsid w:val="00537180"/>
    <w:rsid w:val="00537319"/>
    <w:rsid w:val="0053731D"/>
    <w:rsid w:val="0053736D"/>
    <w:rsid w:val="005374DA"/>
    <w:rsid w:val="00537637"/>
    <w:rsid w:val="005379AE"/>
    <w:rsid w:val="00537B5C"/>
    <w:rsid w:val="00540306"/>
    <w:rsid w:val="0054048F"/>
    <w:rsid w:val="0054055A"/>
    <w:rsid w:val="005408A1"/>
    <w:rsid w:val="00540941"/>
    <w:rsid w:val="005409EC"/>
    <w:rsid w:val="00540B3C"/>
    <w:rsid w:val="00540E6B"/>
    <w:rsid w:val="00540E6D"/>
    <w:rsid w:val="0054101D"/>
    <w:rsid w:val="005414F4"/>
    <w:rsid w:val="00541527"/>
    <w:rsid w:val="00541AA3"/>
    <w:rsid w:val="00541CA4"/>
    <w:rsid w:val="00541D23"/>
    <w:rsid w:val="00541E48"/>
    <w:rsid w:val="00541E5C"/>
    <w:rsid w:val="00541F79"/>
    <w:rsid w:val="00541FC0"/>
    <w:rsid w:val="0054281D"/>
    <w:rsid w:val="00542872"/>
    <w:rsid w:val="00542A85"/>
    <w:rsid w:val="00542C92"/>
    <w:rsid w:val="0054323A"/>
    <w:rsid w:val="00543266"/>
    <w:rsid w:val="0054357E"/>
    <w:rsid w:val="0054372C"/>
    <w:rsid w:val="00543736"/>
    <w:rsid w:val="00543B62"/>
    <w:rsid w:val="00543C14"/>
    <w:rsid w:val="00543C83"/>
    <w:rsid w:val="00543F53"/>
    <w:rsid w:val="005442C1"/>
    <w:rsid w:val="005446E1"/>
    <w:rsid w:val="0054470E"/>
    <w:rsid w:val="00544AEF"/>
    <w:rsid w:val="00544BA1"/>
    <w:rsid w:val="00544D23"/>
    <w:rsid w:val="0054507D"/>
    <w:rsid w:val="0054514F"/>
    <w:rsid w:val="005455F6"/>
    <w:rsid w:val="00545626"/>
    <w:rsid w:val="00545725"/>
    <w:rsid w:val="005458FF"/>
    <w:rsid w:val="0054595F"/>
    <w:rsid w:val="00545A60"/>
    <w:rsid w:val="00545AB5"/>
    <w:rsid w:val="00545C2F"/>
    <w:rsid w:val="00545CAF"/>
    <w:rsid w:val="00545CE8"/>
    <w:rsid w:val="005460F0"/>
    <w:rsid w:val="0054622D"/>
    <w:rsid w:val="0054629F"/>
    <w:rsid w:val="0054653B"/>
    <w:rsid w:val="005465F1"/>
    <w:rsid w:val="00546803"/>
    <w:rsid w:val="0054680B"/>
    <w:rsid w:val="0054683A"/>
    <w:rsid w:val="00546875"/>
    <w:rsid w:val="00546ADE"/>
    <w:rsid w:val="00546D33"/>
    <w:rsid w:val="00546DFA"/>
    <w:rsid w:val="00547014"/>
    <w:rsid w:val="005470E5"/>
    <w:rsid w:val="00547674"/>
    <w:rsid w:val="0054769A"/>
    <w:rsid w:val="005477A3"/>
    <w:rsid w:val="005477C6"/>
    <w:rsid w:val="0054789D"/>
    <w:rsid w:val="00547A74"/>
    <w:rsid w:val="00547CC1"/>
    <w:rsid w:val="00547EF5"/>
    <w:rsid w:val="0054F5DE"/>
    <w:rsid w:val="005504ED"/>
    <w:rsid w:val="00550553"/>
    <w:rsid w:val="00550564"/>
    <w:rsid w:val="00550768"/>
    <w:rsid w:val="00550997"/>
    <w:rsid w:val="00550D8B"/>
    <w:rsid w:val="00550F63"/>
    <w:rsid w:val="005514CB"/>
    <w:rsid w:val="00551675"/>
    <w:rsid w:val="00551C47"/>
    <w:rsid w:val="00551CB9"/>
    <w:rsid w:val="00551CCD"/>
    <w:rsid w:val="00551D62"/>
    <w:rsid w:val="00551D88"/>
    <w:rsid w:val="00551DC2"/>
    <w:rsid w:val="00551F65"/>
    <w:rsid w:val="00552031"/>
    <w:rsid w:val="00552095"/>
    <w:rsid w:val="005526BD"/>
    <w:rsid w:val="0055277F"/>
    <w:rsid w:val="00552D0A"/>
    <w:rsid w:val="00552DCE"/>
    <w:rsid w:val="0055334D"/>
    <w:rsid w:val="00553958"/>
    <w:rsid w:val="00553D80"/>
    <w:rsid w:val="00554154"/>
    <w:rsid w:val="005541E0"/>
    <w:rsid w:val="0055425A"/>
    <w:rsid w:val="005547E4"/>
    <w:rsid w:val="00554809"/>
    <w:rsid w:val="00554A6F"/>
    <w:rsid w:val="00554ECF"/>
    <w:rsid w:val="00554F45"/>
    <w:rsid w:val="00554FB5"/>
    <w:rsid w:val="00554FF0"/>
    <w:rsid w:val="00555366"/>
    <w:rsid w:val="005553C7"/>
    <w:rsid w:val="00555466"/>
    <w:rsid w:val="0055578F"/>
    <w:rsid w:val="00555A51"/>
    <w:rsid w:val="00555C60"/>
    <w:rsid w:val="00555D3A"/>
    <w:rsid w:val="00555E6D"/>
    <w:rsid w:val="00555F8F"/>
    <w:rsid w:val="005561D2"/>
    <w:rsid w:val="00556246"/>
    <w:rsid w:val="00556346"/>
    <w:rsid w:val="0055635A"/>
    <w:rsid w:val="0055642B"/>
    <w:rsid w:val="0055695F"/>
    <w:rsid w:val="00556BB1"/>
    <w:rsid w:val="00556BD8"/>
    <w:rsid w:val="00557063"/>
    <w:rsid w:val="00557269"/>
    <w:rsid w:val="005575A0"/>
    <w:rsid w:val="005600F7"/>
    <w:rsid w:val="0056012E"/>
    <w:rsid w:val="0056024E"/>
    <w:rsid w:val="005602A8"/>
    <w:rsid w:val="00560353"/>
    <w:rsid w:val="0056046E"/>
    <w:rsid w:val="005604A1"/>
    <w:rsid w:val="00560508"/>
    <w:rsid w:val="0056057F"/>
    <w:rsid w:val="0056080D"/>
    <w:rsid w:val="0056094F"/>
    <w:rsid w:val="0056096F"/>
    <w:rsid w:val="0056099D"/>
    <w:rsid w:val="005609B1"/>
    <w:rsid w:val="00560CB7"/>
    <w:rsid w:val="00560DD7"/>
    <w:rsid w:val="00560E23"/>
    <w:rsid w:val="00561080"/>
    <w:rsid w:val="0056123A"/>
    <w:rsid w:val="0056134C"/>
    <w:rsid w:val="00561378"/>
    <w:rsid w:val="00561599"/>
    <w:rsid w:val="0056159C"/>
    <w:rsid w:val="005615AB"/>
    <w:rsid w:val="00561713"/>
    <w:rsid w:val="005618C2"/>
    <w:rsid w:val="00561CD3"/>
    <w:rsid w:val="00561D38"/>
    <w:rsid w:val="0056201D"/>
    <w:rsid w:val="0056238D"/>
    <w:rsid w:val="005623E3"/>
    <w:rsid w:val="0056247B"/>
    <w:rsid w:val="0056259F"/>
    <w:rsid w:val="005628BA"/>
    <w:rsid w:val="00562A8B"/>
    <w:rsid w:val="00562CDC"/>
    <w:rsid w:val="00562DBD"/>
    <w:rsid w:val="00562EEB"/>
    <w:rsid w:val="00562F19"/>
    <w:rsid w:val="00562FAC"/>
    <w:rsid w:val="00563010"/>
    <w:rsid w:val="005636BE"/>
    <w:rsid w:val="00563840"/>
    <w:rsid w:val="005639CC"/>
    <w:rsid w:val="00563F42"/>
    <w:rsid w:val="00563F5F"/>
    <w:rsid w:val="00564672"/>
    <w:rsid w:val="00564712"/>
    <w:rsid w:val="005647F6"/>
    <w:rsid w:val="005648CA"/>
    <w:rsid w:val="00564E02"/>
    <w:rsid w:val="00565219"/>
    <w:rsid w:val="005652E4"/>
    <w:rsid w:val="0056531F"/>
    <w:rsid w:val="0056541E"/>
    <w:rsid w:val="00565678"/>
    <w:rsid w:val="005656BE"/>
    <w:rsid w:val="0056571F"/>
    <w:rsid w:val="00565877"/>
    <w:rsid w:val="00565A59"/>
    <w:rsid w:val="00565AAB"/>
    <w:rsid w:val="00565C3D"/>
    <w:rsid w:val="00565F38"/>
    <w:rsid w:val="00565F65"/>
    <w:rsid w:val="00566053"/>
    <w:rsid w:val="005660DE"/>
    <w:rsid w:val="00566488"/>
    <w:rsid w:val="005664E3"/>
    <w:rsid w:val="00566502"/>
    <w:rsid w:val="00566620"/>
    <w:rsid w:val="0056665C"/>
    <w:rsid w:val="00566684"/>
    <w:rsid w:val="00566712"/>
    <w:rsid w:val="00566852"/>
    <w:rsid w:val="00566859"/>
    <w:rsid w:val="005668DA"/>
    <w:rsid w:val="0056697A"/>
    <w:rsid w:val="00566AD5"/>
    <w:rsid w:val="00566D31"/>
    <w:rsid w:val="00566DC4"/>
    <w:rsid w:val="00566E96"/>
    <w:rsid w:val="00567279"/>
    <w:rsid w:val="0056729C"/>
    <w:rsid w:val="005675CB"/>
    <w:rsid w:val="005676F9"/>
    <w:rsid w:val="00567AF7"/>
    <w:rsid w:val="00567CFB"/>
    <w:rsid w:val="00567D7E"/>
    <w:rsid w:val="00567DCE"/>
    <w:rsid w:val="00570161"/>
    <w:rsid w:val="00570719"/>
    <w:rsid w:val="00570780"/>
    <w:rsid w:val="00570984"/>
    <w:rsid w:val="005709E0"/>
    <w:rsid w:val="00570B4B"/>
    <w:rsid w:val="00570CFA"/>
    <w:rsid w:val="00570DD7"/>
    <w:rsid w:val="00570E12"/>
    <w:rsid w:val="00570E3F"/>
    <w:rsid w:val="00570E7C"/>
    <w:rsid w:val="005712E2"/>
    <w:rsid w:val="00571540"/>
    <w:rsid w:val="00571601"/>
    <w:rsid w:val="00571814"/>
    <w:rsid w:val="00571846"/>
    <w:rsid w:val="00571906"/>
    <w:rsid w:val="00571D88"/>
    <w:rsid w:val="00571F0B"/>
    <w:rsid w:val="00572681"/>
    <w:rsid w:val="0057287D"/>
    <w:rsid w:val="00572A11"/>
    <w:rsid w:val="00572AEB"/>
    <w:rsid w:val="00572AFA"/>
    <w:rsid w:val="00572C0F"/>
    <w:rsid w:val="00572D1B"/>
    <w:rsid w:val="00572E72"/>
    <w:rsid w:val="005730EB"/>
    <w:rsid w:val="0057312E"/>
    <w:rsid w:val="0057314D"/>
    <w:rsid w:val="005731E8"/>
    <w:rsid w:val="00573395"/>
    <w:rsid w:val="00573778"/>
    <w:rsid w:val="00573927"/>
    <w:rsid w:val="005739F5"/>
    <w:rsid w:val="00573CAE"/>
    <w:rsid w:val="00573FCB"/>
    <w:rsid w:val="00574105"/>
    <w:rsid w:val="00574137"/>
    <w:rsid w:val="005741A4"/>
    <w:rsid w:val="005742EA"/>
    <w:rsid w:val="0057431F"/>
    <w:rsid w:val="005746DD"/>
    <w:rsid w:val="005747B6"/>
    <w:rsid w:val="00574868"/>
    <w:rsid w:val="00574A44"/>
    <w:rsid w:val="00574AE1"/>
    <w:rsid w:val="00574C70"/>
    <w:rsid w:val="00574CCA"/>
    <w:rsid w:val="00574E31"/>
    <w:rsid w:val="00574F2B"/>
    <w:rsid w:val="0057516D"/>
    <w:rsid w:val="005752A7"/>
    <w:rsid w:val="00575B41"/>
    <w:rsid w:val="00575CAC"/>
    <w:rsid w:val="00575D55"/>
    <w:rsid w:val="00575FD1"/>
    <w:rsid w:val="00576400"/>
    <w:rsid w:val="005764F5"/>
    <w:rsid w:val="00576623"/>
    <w:rsid w:val="00576661"/>
    <w:rsid w:val="005767B4"/>
    <w:rsid w:val="00576905"/>
    <w:rsid w:val="00576AA7"/>
    <w:rsid w:val="00576B84"/>
    <w:rsid w:val="00576CCE"/>
    <w:rsid w:val="005770AE"/>
    <w:rsid w:val="005774D9"/>
    <w:rsid w:val="0057770A"/>
    <w:rsid w:val="00577780"/>
    <w:rsid w:val="00577D59"/>
    <w:rsid w:val="005800D0"/>
    <w:rsid w:val="00580191"/>
    <w:rsid w:val="0058019B"/>
    <w:rsid w:val="00580336"/>
    <w:rsid w:val="00580D8F"/>
    <w:rsid w:val="00580F4E"/>
    <w:rsid w:val="00580FC3"/>
    <w:rsid w:val="005814FB"/>
    <w:rsid w:val="00581671"/>
    <w:rsid w:val="00581B1F"/>
    <w:rsid w:val="00581B49"/>
    <w:rsid w:val="00581DCC"/>
    <w:rsid w:val="00581DF8"/>
    <w:rsid w:val="0058218B"/>
    <w:rsid w:val="00582246"/>
    <w:rsid w:val="005822C6"/>
    <w:rsid w:val="0058237B"/>
    <w:rsid w:val="005825A9"/>
    <w:rsid w:val="005828AF"/>
    <w:rsid w:val="00582A15"/>
    <w:rsid w:val="00582AEC"/>
    <w:rsid w:val="00582B5E"/>
    <w:rsid w:val="00582BCC"/>
    <w:rsid w:val="00582DFA"/>
    <w:rsid w:val="00582E3C"/>
    <w:rsid w:val="00582E72"/>
    <w:rsid w:val="00582F55"/>
    <w:rsid w:val="00582FD6"/>
    <w:rsid w:val="005834F1"/>
    <w:rsid w:val="00583558"/>
    <w:rsid w:val="00583A4A"/>
    <w:rsid w:val="00583B58"/>
    <w:rsid w:val="00583D93"/>
    <w:rsid w:val="00583E96"/>
    <w:rsid w:val="00583EDF"/>
    <w:rsid w:val="00584256"/>
    <w:rsid w:val="0058460F"/>
    <w:rsid w:val="00584856"/>
    <w:rsid w:val="00584BB5"/>
    <w:rsid w:val="00584D04"/>
    <w:rsid w:val="0058557E"/>
    <w:rsid w:val="005857B5"/>
    <w:rsid w:val="00585829"/>
    <w:rsid w:val="005858E0"/>
    <w:rsid w:val="0058591C"/>
    <w:rsid w:val="00585E50"/>
    <w:rsid w:val="00585FC4"/>
    <w:rsid w:val="00586185"/>
    <w:rsid w:val="005863B4"/>
    <w:rsid w:val="005867F2"/>
    <w:rsid w:val="00586886"/>
    <w:rsid w:val="00586B5C"/>
    <w:rsid w:val="00586CFC"/>
    <w:rsid w:val="00586E9D"/>
    <w:rsid w:val="00586EDF"/>
    <w:rsid w:val="00586EF1"/>
    <w:rsid w:val="00586FF7"/>
    <w:rsid w:val="00587053"/>
    <w:rsid w:val="00587294"/>
    <w:rsid w:val="00587324"/>
    <w:rsid w:val="005876CD"/>
    <w:rsid w:val="0058787E"/>
    <w:rsid w:val="00587BC4"/>
    <w:rsid w:val="00587C16"/>
    <w:rsid w:val="00587CB3"/>
    <w:rsid w:val="005902DB"/>
    <w:rsid w:val="0059087D"/>
    <w:rsid w:val="005908D2"/>
    <w:rsid w:val="00590B4F"/>
    <w:rsid w:val="0059100E"/>
    <w:rsid w:val="00591348"/>
    <w:rsid w:val="00591359"/>
    <w:rsid w:val="005913D4"/>
    <w:rsid w:val="00591832"/>
    <w:rsid w:val="00591F31"/>
    <w:rsid w:val="00591F75"/>
    <w:rsid w:val="005921E4"/>
    <w:rsid w:val="0059221A"/>
    <w:rsid w:val="0059231D"/>
    <w:rsid w:val="005923E9"/>
    <w:rsid w:val="0059294C"/>
    <w:rsid w:val="00592BE4"/>
    <w:rsid w:val="00592CC8"/>
    <w:rsid w:val="00592CE4"/>
    <w:rsid w:val="00592E96"/>
    <w:rsid w:val="00592FA8"/>
    <w:rsid w:val="00592FCD"/>
    <w:rsid w:val="00593061"/>
    <w:rsid w:val="00593146"/>
    <w:rsid w:val="005936AC"/>
    <w:rsid w:val="00593C96"/>
    <w:rsid w:val="00593E00"/>
    <w:rsid w:val="00593F46"/>
    <w:rsid w:val="00593FFE"/>
    <w:rsid w:val="005940B4"/>
    <w:rsid w:val="0059457B"/>
    <w:rsid w:val="0059480E"/>
    <w:rsid w:val="00594A8A"/>
    <w:rsid w:val="00594AFC"/>
    <w:rsid w:val="00594B5B"/>
    <w:rsid w:val="00594D4B"/>
    <w:rsid w:val="005950E2"/>
    <w:rsid w:val="00595309"/>
    <w:rsid w:val="0059532F"/>
    <w:rsid w:val="0059536C"/>
    <w:rsid w:val="0059536E"/>
    <w:rsid w:val="0059575F"/>
    <w:rsid w:val="00595761"/>
    <w:rsid w:val="005957BE"/>
    <w:rsid w:val="00595A32"/>
    <w:rsid w:val="00595B63"/>
    <w:rsid w:val="00595E1C"/>
    <w:rsid w:val="0059602B"/>
    <w:rsid w:val="00596652"/>
    <w:rsid w:val="00596A80"/>
    <w:rsid w:val="00596B3F"/>
    <w:rsid w:val="00596BF0"/>
    <w:rsid w:val="00596EA8"/>
    <w:rsid w:val="00596EED"/>
    <w:rsid w:val="00597411"/>
    <w:rsid w:val="00597600"/>
    <w:rsid w:val="00597656"/>
    <w:rsid w:val="00597742"/>
    <w:rsid w:val="0059777C"/>
    <w:rsid w:val="005979AC"/>
    <w:rsid w:val="00597A24"/>
    <w:rsid w:val="00597D63"/>
    <w:rsid w:val="00597F74"/>
    <w:rsid w:val="005A01A1"/>
    <w:rsid w:val="005A025E"/>
    <w:rsid w:val="005A0404"/>
    <w:rsid w:val="005A08B8"/>
    <w:rsid w:val="005A0952"/>
    <w:rsid w:val="005A09DF"/>
    <w:rsid w:val="005A0A46"/>
    <w:rsid w:val="005A0A76"/>
    <w:rsid w:val="005A0DE5"/>
    <w:rsid w:val="005A0EE9"/>
    <w:rsid w:val="005A1486"/>
    <w:rsid w:val="005A1555"/>
    <w:rsid w:val="005A158C"/>
    <w:rsid w:val="005A15BE"/>
    <w:rsid w:val="005A15F0"/>
    <w:rsid w:val="005A17E2"/>
    <w:rsid w:val="005A17F9"/>
    <w:rsid w:val="005A19BC"/>
    <w:rsid w:val="005A1B48"/>
    <w:rsid w:val="005A2046"/>
    <w:rsid w:val="005A20B6"/>
    <w:rsid w:val="005A2128"/>
    <w:rsid w:val="005A217C"/>
    <w:rsid w:val="005A222B"/>
    <w:rsid w:val="005A229C"/>
    <w:rsid w:val="005A250E"/>
    <w:rsid w:val="005A25E9"/>
    <w:rsid w:val="005A289F"/>
    <w:rsid w:val="005A29C5"/>
    <w:rsid w:val="005A2A48"/>
    <w:rsid w:val="005A2C06"/>
    <w:rsid w:val="005A2D49"/>
    <w:rsid w:val="005A30B7"/>
    <w:rsid w:val="005A32CE"/>
    <w:rsid w:val="005A35F4"/>
    <w:rsid w:val="005A3C05"/>
    <w:rsid w:val="005A3D07"/>
    <w:rsid w:val="005A3F12"/>
    <w:rsid w:val="005A4102"/>
    <w:rsid w:val="005A4181"/>
    <w:rsid w:val="005A41A1"/>
    <w:rsid w:val="005A41CE"/>
    <w:rsid w:val="005A461D"/>
    <w:rsid w:val="005A469E"/>
    <w:rsid w:val="005A4815"/>
    <w:rsid w:val="005A4920"/>
    <w:rsid w:val="005A494C"/>
    <w:rsid w:val="005A4B8D"/>
    <w:rsid w:val="005A4B92"/>
    <w:rsid w:val="005A4FC0"/>
    <w:rsid w:val="005A523F"/>
    <w:rsid w:val="005A559A"/>
    <w:rsid w:val="005A5960"/>
    <w:rsid w:val="005A5B96"/>
    <w:rsid w:val="005A5C78"/>
    <w:rsid w:val="005A5E43"/>
    <w:rsid w:val="005A5F1F"/>
    <w:rsid w:val="005A60D2"/>
    <w:rsid w:val="005A63C8"/>
    <w:rsid w:val="005A63DF"/>
    <w:rsid w:val="005A679E"/>
    <w:rsid w:val="005A6886"/>
    <w:rsid w:val="005A6A23"/>
    <w:rsid w:val="005A6B15"/>
    <w:rsid w:val="005A6B89"/>
    <w:rsid w:val="005A6C10"/>
    <w:rsid w:val="005A6CF9"/>
    <w:rsid w:val="005A6D0C"/>
    <w:rsid w:val="005A6D9C"/>
    <w:rsid w:val="005A71A8"/>
    <w:rsid w:val="005A71AA"/>
    <w:rsid w:val="005A71D0"/>
    <w:rsid w:val="005A71F0"/>
    <w:rsid w:val="005A725C"/>
    <w:rsid w:val="005A7310"/>
    <w:rsid w:val="005A7683"/>
    <w:rsid w:val="005A77D7"/>
    <w:rsid w:val="005A77E5"/>
    <w:rsid w:val="005A7A96"/>
    <w:rsid w:val="005A7DCE"/>
    <w:rsid w:val="005A7DEA"/>
    <w:rsid w:val="005A7EB2"/>
    <w:rsid w:val="005AD374"/>
    <w:rsid w:val="005B0022"/>
    <w:rsid w:val="005B0086"/>
    <w:rsid w:val="005B01A4"/>
    <w:rsid w:val="005B0814"/>
    <w:rsid w:val="005B08CD"/>
    <w:rsid w:val="005B0972"/>
    <w:rsid w:val="005B09B8"/>
    <w:rsid w:val="005B0D4D"/>
    <w:rsid w:val="005B14CE"/>
    <w:rsid w:val="005B15A6"/>
    <w:rsid w:val="005B1ABB"/>
    <w:rsid w:val="005B1B39"/>
    <w:rsid w:val="005B1B9A"/>
    <w:rsid w:val="005B1C6F"/>
    <w:rsid w:val="005B1CFB"/>
    <w:rsid w:val="005B1E69"/>
    <w:rsid w:val="005B1EAA"/>
    <w:rsid w:val="005B1EF7"/>
    <w:rsid w:val="005B1F21"/>
    <w:rsid w:val="005B2AE8"/>
    <w:rsid w:val="005B2C2E"/>
    <w:rsid w:val="005B2CEF"/>
    <w:rsid w:val="005B2D55"/>
    <w:rsid w:val="005B363D"/>
    <w:rsid w:val="005B3AAC"/>
    <w:rsid w:val="005B3E80"/>
    <w:rsid w:val="005B406D"/>
    <w:rsid w:val="005B4087"/>
    <w:rsid w:val="005B4181"/>
    <w:rsid w:val="005B41D0"/>
    <w:rsid w:val="005B420F"/>
    <w:rsid w:val="005B44D5"/>
    <w:rsid w:val="005B4945"/>
    <w:rsid w:val="005B4BE8"/>
    <w:rsid w:val="005B4C63"/>
    <w:rsid w:val="005B4F06"/>
    <w:rsid w:val="005B53A0"/>
    <w:rsid w:val="005B5565"/>
    <w:rsid w:val="005B569C"/>
    <w:rsid w:val="005B575B"/>
    <w:rsid w:val="005B576A"/>
    <w:rsid w:val="005B583B"/>
    <w:rsid w:val="005B5A20"/>
    <w:rsid w:val="005B5ACB"/>
    <w:rsid w:val="005B5B70"/>
    <w:rsid w:val="005B5D14"/>
    <w:rsid w:val="005B60C0"/>
    <w:rsid w:val="005B63FE"/>
    <w:rsid w:val="005B648F"/>
    <w:rsid w:val="005B64E5"/>
    <w:rsid w:val="005B6AF3"/>
    <w:rsid w:val="005B6CE0"/>
    <w:rsid w:val="005B6F3D"/>
    <w:rsid w:val="005B6FF4"/>
    <w:rsid w:val="005B737A"/>
    <w:rsid w:val="005B7410"/>
    <w:rsid w:val="005B76CA"/>
    <w:rsid w:val="005B7B7B"/>
    <w:rsid w:val="005B7E50"/>
    <w:rsid w:val="005B7EF2"/>
    <w:rsid w:val="005C0116"/>
    <w:rsid w:val="005C02DD"/>
    <w:rsid w:val="005C030D"/>
    <w:rsid w:val="005C0377"/>
    <w:rsid w:val="005C054D"/>
    <w:rsid w:val="005C0584"/>
    <w:rsid w:val="005C083C"/>
    <w:rsid w:val="005C09D4"/>
    <w:rsid w:val="005C0B2B"/>
    <w:rsid w:val="005C0E5B"/>
    <w:rsid w:val="005C0E7F"/>
    <w:rsid w:val="005C0FA6"/>
    <w:rsid w:val="005C122D"/>
    <w:rsid w:val="005C133C"/>
    <w:rsid w:val="005C1719"/>
    <w:rsid w:val="005C1B3A"/>
    <w:rsid w:val="005C1B94"/>
    <w:rsid w:val="005C1C50"/>
    <w:rsid w:val="005C1D08"/>
    <w:rsid w:val="005C1E5E"/>
    <w:rsid w:val="005C1EA0"/>
    <w:rsid w:val="005C1EF6"/>
    <w:rsid w:val="005C2034"/>
    <w:rsid w:val="005C247E"/>
    <w:rsid w:val="005C2B1D"/>
    <w:rsid w:val="005C2D40"/>
    <w:rsid w:val="005C3217"/>
    <w:rsid w:val="005C3514"/>
    <w:rsid w:val="005C3533"/>
    <w:rsid w:val="005C368C"/>
    <w:rsid w:val="005C3BEE"/>
    <w:rsid w:val="005C3F67"/>
    <w:rsid w:val="005C4130"/>
    <w:rsid w:val="005C414E"/>
    <w:rsid w:val="005C421E"/>
    <w:rsid w:val="005C4657"/>
    <w:rsid w:val="005C4715"/>
    <w:rsid w:val="005C4868"/>
    <w:rsid w:val="005C48B3"/>
    <w:rsid w:val="005C49A1"/>
    <w:rsid w:val="005C4ADB"/>
    <w:rsid w:val="005C4B47"/>
    <w:rsid w:val="005C4BFF"/>
    <w:rsid w:val="005C4FC7"/>
    <w:rsid w:val="005C52B4"/>
    <w:rsid w:val="005C5318"/>
    <w:rsid w:val="005C5339"/>
    <w:rsid w:val="005C5482"/>
    <w:rsid w:val="005C5563"/>
    <w:rsid w:val="005C5CD2"/>
    <w:rsid w:val="005C5E8D"/>
    <w:rsid w:val="005C5EC8"/>
    <w:rsid w:val="005C6017"/>
    <w:rsid w:val="005C6185"/>
    <w:rsid w:val="005C61D1"/>
    <w:rsid w:val="005C667A"/>
    <w:rsid w:val="005C6711"/>
    <w:rsid w:val="005C6867"/>
    <w:rsid w:val="005C687F"/>
    <w:rsid w:val="005C6AB1"/>
    <w:rsid w:val="005C6D55"/>
    <w:rsid w:val="005C6D67"/>
    <w:rsid w:val="005C70D9"/>
    <w:rsid w:val="005C72E6"/>
    <w:rsid w:val="005C74F1"/>
    <w:rsid w:val="005C7556"/>
    <w:rsid w:val="005C77B7"/>
    <w:rsid w:val="005C792C"/>
    <w:rsid w:val="005C7D31"/>
    <w:rsid w:val="005C7E17"/>
    <w:rsid w:val="005D03DD"/>
    <w:rsid w:val="005D051B"/>
    <w:rsid w:val="005D054B"/>
    <w:rsid w:val="005D0659"/>
    <w:rsid w:val="005D08A1"/>
    <w:rsid w:val="005D12ED"/>
    <w:rsid w:val="005D150F"/>
    <w:rsid w:val="005D151D"/>
    <w:rsid w:val="005D1862"/>
    <w:rsid w:val="005D18B6"/>
    <w:rsid w:val="005D19BA"/>
    <w:rsid w:val="005D1CF5"/>
    <w:rsid w:val="005D2039"/>
    <w:rsid w:val="005D2299"/>
    <w:rsid w:val="005D2314"/>
    <w:rsid w:val="005D231B"/>
    <w:rsid w:val="005D2332"/>
    <w:rsid w:val="005D244B"/>
    <w:rsid w:val="005D2598"/>
    <w:rsid w:val="005D25FE"/>
    <w:rsid w:val="005D2603"/>
    <w:rsid w:val="005D266D"/>
    <w:rsid w:val="005D2851"/>
    <w:rsid w:val="005D2D79"/>
    <w:rsid w:val="005D2E7D"/>
    <w:rsid w:val="005D2E97"/>
    <w:rsid w:val="005D3304"/>
    <w:rsid w:val="005D332E"/>
    <w:rsid w:val="005D36EF"/>
    <w:rsid w:val="005D38C0"/>
    <w:rsid w:val="005D3B23"/>
    <w:rsid w:val="005D3E99"/>
    <w:rsid w:val="005D418B"/>
    <w:rsid w:val="005D418D"/>
    <w:rsid w:val="005D43B1"/>
    <w:rsid w:val="005D4499"/>
    <w:rsid w:val="005D4503"/>
    <w:rsid w:val="005D456C"/>
    <w:rsid w:val="005D4593"/>
    <w:rsid w:val="005D4A54"/>
    <w:rsid w:val="005D4ABA"/>
    <w:rsid w:val="005D4B40"/>
    <w:rsid w:val="005D4BF1"/>
    <w:rsid w:val="005D4C5D"/>
    <w:rsid w:val="005D4F6C"/>
    <w:rsid w:val="005D4FC0"/>
    <w:rsid w:val="005D53A1"/>
    <w:rsid w:val="005D5506"/>
    <w:rsid w:val="005D572F"/>
    <w:rsid w:val="005D577E"/>
    <w:rsid w:val="005D58A5"/>
    <w:rsid w:val="005D5AA2"/>
    <w:rsid w:val="005D5E27"/>
    <w:rsid w:val="005D5E91"/>
    <w:rsid w:val="005D60DF"/>
    <w:rsid w:val="005D63BE"/>
    <w:rsid w:val="005D64E4"/>
    <w:rsid w:val="005D65C2"/>
    <w:rsid w:val="005D65E1"/>
    <w:rsid w:val="005D6637"/>
    <w:rsid w:val="005D69FB"/>
    <w:rsid w:val="005D6A24"/>
    <w:rsid w:val="005D6AE1"/>
    <w:rsid w:val="005D6C1A"/>
    <w:rsid w:val="005D6D3A"/>
    <w:rsid w:val="005D6EE1"/>
    <w:rsid w:val="005D6FEC"/>
    <w:rsid w:val="005D706F"/>
    <w:rsid w:val="005D70F7"/>
    <w:rsid w:val="005D727D"/>
    <w:rsid w:val="005D729A"/>
    <w:rsid w:val="005D738A"/>
    <w:rsid w:val="005D77B4"/>
    <w:rsid w:val="005D783F"/>
    <w:rsid w:val="005D7AD0"/>
    <w:rsid w:val="005D7B3E"/>
    <w:rsid w:val="005D7D29"/>
    <w:rsid w:val="005D7D58"/>
    <w:rsid w:val="005D7D69"/>
    <w:rsid w:val="005E000C"/>
    <w:rsid w:val="005E051B"/>
    <w:rsid w:val="005E0771"/>
    <w:rsid w:val="005E0969"/>
    <w:rsid w:val="005E0A6D"/>
    <w:rsid w:val="005E0C1E"/>
    <w:rsid w:val="005E0DEE"/>
    <w:rsid w:val="005E0F82"/>
    <w:rsid w:val="005E1549"/>
    <w:rsid w:val="005E16FA"/>
    <w:rsid w:val="005E17B1"/>
    <w:rsid w:val="005E1830"/>
    <w:rsid w:val="005E187F"/>
    <w:rsid w:val="005E18B3"/>
    <w:rsid w:val="005E18CF"/>
    <w:rsid w:val="005E18D0"/>
    <w:rsid w:val="005E19D6"/>
    <w:rsid w:val="005E1A01"/>
    <w:rsid w:val="005E1A42"/>
    <w:rsid w:val="005E1AA1"/>
    <w:rsid w:val="005E1BC1"/>
    <w:rsid w:val="005E1D0F"/>
    <w:rsid w:val="005E203A"/>
    <w:rsid w:val="005E2323"/>
    <w:rsid w:val="005E2446"/>
    <w:rsid w:val="005E2480"/>
    <w:rsid w:val="005E2695"/>
    <w:rsid w:val="005E276A"/>
    <w:rsid w:val="005E2791"/>
    <w:rsid w:val="005E29F2"/>
    <w:rsid w:val="005E2C7C"/>
    <w:rsid w:val="005E2CC1"/>
    <w:rsid w:val="005E2DEF"/>
    <w:rsid w:val="005E3015"/>
    <w:rsid w:val="005E3141"/>
    <w:rsid w:val="005E34B9"/>
    <w:rsid w:val="005E34DC"/>
    <w:rsid w:val="005E39C0"/>
    <w:rsid w:val="005E3C20"/>
    <w:rsid w:val="005E405B"/>
    <w:rsid w:val="005E436A"/>
    <w:rsid w:val="005E4488"/>
    <w:rsid w:val="005E44EE"/>
    <w:rsid w:val="005E453F"/>
    <w:rsid w:val="005E45AA"/>
    <w:rsid w:val="005E475E"/>
    <w:rsid w:val="005E491F"/>
    <w:rsid w:val="005E4AB6"/>
    <w:rsid w:val="005E4BAF"/>
    <w:rsid w:val="005E4EBC"/>
    <w:rsid w:val="005E4EEE"/>
    <w:rsid w:val="005E50C1"/>
    <w:rsid w:val="005E5117"/>
    <w:rsid w:val="005E551B"/>
    <w:rsid w:val="005E5774"/>
    <w:rsid w:val="005E583B"/>
    <w:rsid w:val="005E5BFB"/>
    <w:rsid w:val="005E5CD2"/>
    <w:rsid w:val="005E5EEB"/>
    <w:rsid w:val="005E623D"/>
    <w:rsid w:val="005E6471"/>
    <w:rsid w:val="005E6576"/>
    <w:rsid w:val="005E65D5"/>
    <w:rsid w:val="005E65DF"/>
    <w:rsid w:val="005E66C4"/>
    <w:rsid w:val="005E66CA"/>
    <w:rsid w:val="005E6B96"/>
    <w:rsid w:val="005E6BBF"/>
    <w:rsid w:val="005E6C84"/>
    <w:rsid w:val="005E6CC1"/>
    <w:rsid w:val="005E6E24"/>
    <w:rsid w:val="005E6ECA"/>
    <w:rsid w:val="005E73E6"/>
    <w:rsid w:val="005E744D"/>
    <w:rsid w:val="005E781E"/>
    <w:rsid w:val="005E7839"/>
    <w:rsid w:val="005E7860"/>
    <w:rsid w:val="005E78F9"/>
    <w:rsid w:val="005E797E"/>
    <w:rsid w:val="005E7D70"/>
    <w:rsid w:val="005F00D3"/>
    <w:rsid w:val="005F0181"/>
    <w:rsid w:val="005F024D"/>
    <w:rsid w:val="005F0501"/>
    <w:rsid w:val="005F053B"/>
    <w:rsid w:val="005F0572"/>
    <w:rsid w:val="005F09A4"/>
    <w:rsid w:val="005F0B4A"/>
    <w:rsid w:val="005F0C74"/>
    <w:rsid w:val="005F0CA0"/>
    <w:rsid w:val="005F0E0E"/>
    <w:rsid w:val="005F11AA"/>
    <w:rsid w:val="005F1217"/>
    <w:rsid w:val="005F1279"/>
    <w:rsid w:val="005F12D9"/>
    <w:rsid w:val="005F1B8A"/>
    <w:rsid w:val="005F1BEC"/>
    <w:rsid w:val="005F1FE1"/>
    <w:rsid w:val="005F2073"/>
    <w:rsid w:val="005F2504"/>
    <w:rsid w:val="005F2506"/>
    <w:rsid w:val="005F27F6"/>
    <w:rsid w:val="005F284B"/>
    <w:rsid w:val="005F28F3"/>
    <w:rsid w:val="005F2C3D"/>
    <w:rsid w:val="005F2CCC"/>
    <w:rsid w:val="005F2E8F"/>
    <w:rsid w:val="005F308B"/>
    <w:rsid w:val="005F30C2"/>
    <w:rsid w:val="005F33B8"/>
    <w:rsid w:val="005F37C3"/>
    <w:rsid w:val="005F384F"/>
    <w:rsid w:val="005F389B"/>
    <w:rsid w:val="005F39F0"/>
    <w:rsid w:val="005F3A01"/>
    <w:rsid w:val="005F3BDE"/>
    <w:rsid w:val="005F3BEE"/>
    <w:rsid w:val="005F40C2"/>
    <w:rsid w:val="005F40F7"/>
    <w:rsid w:val="005F41C9"/>
    <w:rsid w:val="005F46B0"/>
    <w:rsid w:val="005F4707"/>
    <w:rsid w:val="005F47D7"/>
    <w:rsid w:val="005F492F"/>
    <w:rsid w:val="005F4D08"/>
    <w:rsid w:val="005F4E00"/>
    <w:rsid w:val="005F512C"/>
    <w:rsid w:val="005F517F"/>
    <w:rsid w:val="005F5281"/>
    <w:rsid w:val="005F5425"/>
    <w:rsid w:val="005F5882"/>
    <w:rsid w:val="005F5935"/>
    <w:rsid w:val="005F5BBA"/>
    <w:rsid w:val="005F5DF2"/>
    <w:rsid w:val="005F5E3B"/>
    <w:rsid w:val="005F5E87"/>
    <w:rsid w:val="005F66BF"/>
    <w:rsid w:val="005F6736"/>
    <w:rsid w:val="005F677C"/>
    <w:rsid w:val="005F69D5"/>
    <w:rsid w:val="005F6A7F"/>
    <w:rsid w:val="005F6B20"/>
    <w:rsid w:val="005F6C67"/>
    <w:rsid w:val="005F7185"/>
    <w:rsid w:val="005F73A5"/>
    <w:rsid w:val="005F75BE"/>
    <w:rsid w:val="005F7682"/>
    <w:rsid w:val="005F7A6D"/>
    <w:rsid w:val="005F7A8E"/>
    <w:rsid w:val="005F7FD9"/>
    <w:rsid w:val="005F7FF0"/>
    <w:rsid w:val="006000C9"/>
    <w:rsid w:val="00600231"/>
    <w:rsid w:val="00600341"/>
    <w:rsid w:val="006003BA"/>
    <w:rsid w:val="006003EF"/>
    <w:rsid w:val="006004AF"/>
    <w:rsid w:val="0060094C"/>
    <w:rsid w:val="00600DBF"/>
    <w:rsid w:val="0060103C"/>
    <w:rsid w:val="006010E3"/>
    <w:rsid w:val="00601279"/>
    <w:rsid w:val="006015A5"/>
    <w:rsid w:val="006015BC"/>
    <w:rsid w:val="006015D0"/>
    <w:rsid w:val="00601F32"/>
    <w:rsid w:val="0060208D"/>
    <w:rsid w:val="0060266D"/>
    <w:rsid w:val="006028DC"/>
    <w:rsid w:val="00602E91"/>
    <w:rsid w:val="00602E9E"/>
    <w:rsid w:val="00602FD1"/>
    <w:rsid w:val="006033B3"/>
    <w:rsid w:val="00603401"/>
    <w:rsid w:val="00603727"/>
    <w:rsid w:val="006037FB"/>
    <w:rsid w:val="00603806"/>
    <w:rsid w:val="006038E0"/>
    <w:rsid w:val="00603B4B"/>
    <w:rsid w:val="006040F7"/>
    <w:rsid w:val="006042D5"/>
    <w:rsid w:val="006044E9"/>
    <w:rsid w:val="006047C2"/>
    <w:rsid w:val="00604809"/>
    <w:rsid w:val="006049A0"/>
    <w:rsid w:val="00604A00"/>
    <w:rsid w:val="00604CD4"/>
    <w:rsid w:val="00604D16"/>
    <w:rsid w:val="00604D92"/>
    <w:rsid w:val="00605385"/>
    <w:rsid w:val="00605416"/>
    <w:rsid w:val="006056F4"/>
    <w:rsid w:val="00605B35"/>
    <w:rsid w:val="00605BC5"/>
    <w:rsid w:val="00605F00"/>
    <w:rsid w:val="00606043"/>
    <w:rsid w:val="00606220"/>
    <w:rsid w:val="00606357"/>
    <w:rsid w:val="006064A1"/>
    <w:rsid w:val="006064E6"/>
    <w:rsid w:val="0060665B"/>
    <w:rsid w:val="00606B35"/>
    <w:rsid w:val="00606C0B"/>
    <w:rsid w:val="00606F3A"/>
    <w:rsid w:val="00606F54"/>
    <w:rsid w:val="00607673"/>
    <w:rsid w:val="0060767D"/>
    <w:rsid w:val="006077AB"/>
    <w:rsid w:val="00607CD7"/>
    <w:rsid w:val="00607E49"/>
    <w:rsid w:val="00607FCD"/>
    <w:rsid w:val="00610074"/>
    <w:rsid w:val="006101AE"/>
    <w:rsid w:val="006102DB"/>
    <w:rsid w:val="0061045E"/>
    <w:rsid w:val="00610848"/>
    <w:rsid w:val="00610898"/>
    <w:rsid w:val="00610922"/>
    <w:rsid w:val="00610984"/>
    <w:rsid w:val="00610BE2"/>
    <w:rsid w:val="00610C21"/>
    <w:rsid w:val="00610D7C"/>
    <w:rsid w:val="00610DA1"/>
    <w:rsid w:val="006110D5"/>
    <w:rsid w:val="00611433"/>
    <w:rsid w:val="00611514"/>
    <w:rsid w:val="006115E9"/>
    <w:rsid w:val="00611650"/>
    <w:rsid w:val="006116EB"/>
    <w:rsid w:val="00611701"/>
    <w:rsid w:val="0061185E"/>
    <w:rsid w:val="0061193B"/>
    <w:rsid w:val="00611BC7"/>
    <w:rsid w:val="00611D45"/>
    <w:rsid w:val="00611F47"/>
    <w:rsid w:val="006121EB"/>
    <w:rsid w:val="00612262"/>
    <w:rsid w:val="00612314"/>
    <w:rsid w:val="00612359"/>
    <w:rsid w:val="006124B1"/>
    <w:rsid w:val="0061265B"/>
    <w:rsid w:val="00612ACD"/>
    <w:rsid w:val="00612C27"/>
    <w:rsid w:val="00612C66"/>
    <w:rsid w:val="00612DDD"/>
    <w:rsid w:val="00613B39"/>
    <w:rsid w:val="00613C82"/>
    <w:rsid w:val="00613CE4"/>
    <w:rsid w:val="00613DC2"/>
    <w:rsid w:val="00613E05"/>
    <w:rsid w:val="00613E3C"/>
    <w:rsid w:val="00613FAD"/>
    <w:rsid w:val="00613FBB"/>
    <w:rsid w:val="006140FB"/>
    <w:rsid w:val="006146A2"/>
    <w:rsid w:val="00614BC2"/>
    <w:rsid w:val="00614EA9"/>
    <w:rsid w:val="00614F80"/>
    <w:rsid w:val="00614FFE"/>
    <w:rsid w:val="0061515B"/>
    <w:rsid w:val="006151A0"/>
    <w:rsid w:val="006152DA"/>
    <w:rsid w:val="006152F4"/>
    <w:rsid w:val="0061530F"/>
    <w:rsid w:val="00615387"/>
    <w:rsid w:val="00615424"/>
    <w:rsid w:val="00615621"/>
    <w:rsid w:val="0061593D"/>
    <w:rsid w:val="006159B4"/>
    <w:rsid w:val="00615EC6"/>
    <w:rsid w:val="00615F2C"/>
    <w:rsid w:val="00615FEB"/>
    <w:rsid w:val="0061614C"/>
    <w:rsid w:val="00616290"/>
    <w:rsid w:val="006163D1"/>
    <w:rsid w:val="006164CF"/>
    <w:rsid w:val="006164EF"/>
    <w:rsid w:val="006167D2"/>
    <w:rsid w:val="0061681A"/>
    <w:rsid w:val="00616973"/>
    <w:rsid w:val="00616AC2"/>
    <w:rsid w:val="00616C7F"/>
    <w:rsid w:val="00616E93"/>
    <w:rsid w:val="00617115"/>
    <w:rsid w:val="006172A0"/>
    <w:rsid w:val="00617300"/>
    <w:rsid w:val="00617329"/>
    <w:rsid w:val="00617564"/>
    <w:rsid w:val="00617BD1"/>
    <w:rsid w:val="00617CB0"/>
    <w:rsid w:val="00617FE7"/>
    <w:rsid w:val="006201CF"/>
    <w:rsid w:val="006203AC"/>
    <w:rsid w:val="006206DB"/>
    <w:rsid w:val="00620763"/>
    <w:rsid w:val="0062085A"/>
    <w:rsid w:val="006208C1"/>
    <w:rsid w:val="00620A1A"/>
    <w:rsid w:val="00620A33"/>
    <w:rsid w:val="00620BDC"/>
    <w:rsid w:val="00621001"/>
    <w:rsid w:val="0062117B"/>
    <w:rsid w:val="006214A9"/>
    <w:rsid w:val="0062158C"/>
    <w:rsid w:val="006216B5"/>
    <w:rsid w:val="006216C2"/>
    <w:rsid w:val="0062179B"/>
    <w:rsid w:val="0062186A"/>
    <w:rsid w:val="006219C1"/>
    <w:rsid w:val="00621A8C"/>
    <w:rsid w:val="00621E99"/>
    <w:rsid w:val="00621EA6"/>
    <w:rsid w:val="00621EC0"/>
    <w:rsid w:val="00621FA1"/>
    <w:rsid w:val="0062202F"/>
    <w:rsid w:val="0062204A"/>
    <w:rsid w:val="006220A7"/>
    <w:rsid w:val="006221C3"/>
    <w:rsid w:val="0062222E"/>
    <w:rsid w:val="006223FE"/>
    <w:rsid w:val="0062254B"/>
    <w:rsid w:val="006225BC"/>
    <w:rsid w:val="00622869"/>
    <w:rsid w:val="00622C5E"/>
    <w:rsid w:val="00622C81"/>
    <w:rsid w:val="00622CE5"/>
    <w:rsid w:val="00622E9E"/>
    <w:rsid w:val="00622F0D"/>
    <w:rsid w:val="00622FAC"/>
    <w:rsid w:val="00623328"/>
    <w:rsid w:val="006235FC"/>
    <w:rsid w:val="0062362F"/>
    <w:rsid w:val="00623728"/>
    <w:rsid w:val="0062372F"/>
    <w:rsid w:val="0062385C"/>
    <w:rsid w:val="00623928"/>
    <w:rsid w:val="00623CD8"/>
    <w:rsid w:val="00623DD0"/>
    <w:rsid w:val="00623F2F"/>
    <w:rsid w:val="00624400"/>
    <w:rsid w:val="006244AA"/>
    <w:rsid w:val="00624620"/>
    <w:rsid w:val="006247EB"/>
    <w:rsid w:val="00624B84"/>
    <w:rsid w:val="00624D7C"/>
    <w:rsid w:val="00624D89"/>
    <w:rsid w:val="00624ED0"/>
    <w:rsid w:val="00624FB0"/>
    <w:rsid w:val="00624FEB"/>
    <w:rsid w:val="00625067"/>
    <w:rsid w:val="006250A9"/>
    <w:rsid w:val="006251BD"/>
    <w:rsid w:val="00625225"/>
    <w:rsid w:val="006253A8"/>
    <w:rsid w:val="0062553F"/>
    <w:rsid w:val="00625638"/>
    <w:rsid w:val="00625A66"/>
    <w:rsid w:val="00625A83"/>
    <w:rsid w:val="00625D91"/>
    <w:rsid w:val="00625F7E"/>
    <w:rsid w:val="00626055"/>
    <w:rsid w:val="006261E0"/>
    <w:rsid w:val="006262EA"/>
    <w:rsid w:val="00626466"/>
    <w:rsid w:val="006264AB"/>
    <w:rsid w:val="006264F8"/>
    <w:rsid w:val="00626793"/>
    <w:rsid w:val="0062699E"/>
    <w:rsid w:val="006269EF"/>
    <w:rsid w:val="00626A2B"/>
    <w:rsid w:val="00626C50"/>
    <w:rsid w:val="00626D41"/>
    <w:rsid w:val="00626F1E"/>
    <w:rsid w:val="00627065"/>
    <w:rsid w:val="00627138"/>
    <w:rsid w:val="00627145"/>
    <w:rsid w:val="006271FB"/>
    <w:rsid w:val="00627271"/>
    <w:rsid w:val="00627616"/>
    <w:rsid w:val="00627A11"/>
    <w:rsid w:val="00627D77"/>
    <w:rsid w:val="00627F74"/>
    <w:rsid w:val="006300EA"/>
    <w:rsid w:val="0063027C"/>
    <w:rsid w:val="0063089D"/>
    <w:rsid w:val="006308E2"/>
    <w:rsid w:val="00630AC9"/>
    <w:rsid w:val="00630BBC"/>
    <w:rsid w:val="00630CC0"/>
    <w:rsid w:val="00630CC7"/>
    <w:rsid w:val="00630D4C"/>
    <w:rsid w:val="00630D5B"/>
    <w:rsid w:val="00630DCF"/>
    <w:rsid w:val="0063121E"/>
    <w:rsid w:val="00631242"/>
    <w:rsid w:val="006313B4"/>
    <w:rsid w:val="0063149A"/>
    <w:rsid w:val="00631818"/>
    <w:rsid w:val="00631868"/>
    <w:rsid w:val="0063187E"/>
    <w:rsid w:val="006318C4"/>
    <w:rsid w:val="00631A15"/>
    <w:rsid w:val="00631B20"/>
    <w:rsid w:val="00631E17"/>
    <w:rsid w:val="0063219A"/>
    <w:rsid w:val="0063253C"/>
    <w:rsid w:val="00632645"/>
    <w:rsid w:val="006326B2"/>
    <w:rsid w:val="006327AB"/>
    <w:rsid w:val="006328D1"/>
    <w:rsid w:val="00632A4D"/>
    <w:rsid w:val="00632C6A"/>
    <w:rsid w:val="00632CBF"/>
    <w:rsid w:val="00632DD1"/>
    <w:rsid w:val="006331D9"/>
    <w:rsid w:val="0063329F"/>
    <w:rsid w:val="006332C5"/>
    <w:rsid w:val="0063357C"/>
    <w:rsid w:val="006336C9"/>
    <w:rsid w:val="0063381A"/>
    <w:rsid w:val="00633D90"/>
    <w:rsid w:val="00633E50"/>
    <w:rsid w:val="00633EF2"/>
    <w:rsid w:val="00633F07"/>
    <w:rsid w:val="00633F18"/>
    <w:rsid w:val="00633F8D"/>
    <w:rsid w:val="006340E7"/>
    <w:rsid w:val="006340F4"/>
    <w:rsid w:val="006341FD"/>
    <w:rsid w:val="00634319"/>
    <w:rsid w:val="00634521"/>
    <w:rsid w:val="0063456F"/>
    <w:rsid w:val="0063471C"/>
    <w:rsid w:val="00634B65"/>
    <w:rsid w:val="00634F0B"/>
    <w:rsid w:val="00634F6D"/>
    <w:rsid w:val="006350C8"/>
    <w:rsid w:val="00635173"/>
    <w:rsid w:val="006351A1"/>
    <w:rsid w:val="006353A8"/>
    <w:rsid w:val="006354D5"/>
    <w:rsid w:val="006358E4"/>
    <w:rsid w:val="00635967"/>
    <w:rsid w:val="00635ADE"/>
    <w:rsid w:val="006361F3"/>
    <w:rsid w:val="00636263"/>
    <w:rsid w:val="00636418"/>
    <w:rsid w:val="00636473"/>
    <w:rsid w:val="00636514"/>
    <w:rsid w:val="00636541"/>
    <w:rsid w:val="00636587"/>
    <w:rsid w:val="00636916"/>
    <w:rsid w:val="00636A4D"/>
    <w:rsid w:val="00636B88"/>
    <w:rsid w:val="00636D72"/>
    <w:rsid w:val="00636E73"/>
    <w:rsid w:val="006372F4"/>
    <w:rsid w:val="00637851"/>
    <w:rsid w:val="0063796B"/>
    <w:rsid w:val="00637E6E"/>
    <w:rsid w:val="00637EE8"/>
    <w:rsid w:val="00637F23"/>
    <w:rsid w:val="006400CA"/>
    <w:rsid w:val="00640367"/>
    <w:rsid w:val="006403C6"/>
    <w:rsid w:val="00640689"/>
    <w:rsid w:val="006406B6"/>
    <w:rsid w:val="0064080C"/>
    <w:rsid w:val="00640883"/>
    <w:rsid w:val="006409B5"/>
    <w:rsid w:val="006409BF"/>
    <w:rsid w:val="00640B28"/>
    <w:rsid w:val="00640DF2"/>
    <w:rsid w:val="00640E0A"/>
    <w:rsid w:val="00640F70"/>
    <w:rsid w:val="00640FB0"/>
    <w:rsid w:val="006410C3"/>
    <w:rsid w:val="00641406"/>
    <w:rsid w:val="00641695"/>
    <w:rsid w:val="006419B4"/>
    <w:rsid w:val="00641D7D"/>
    <w:rsid w:val="00641DB2"/>
    <w:rsid w:val="00641EB8"/>
    <w:rsid w:val="006420A7"/>
    <w:rsid w:val="00642389"/>
    <w:rsid w:val="00642539"/>
    <w:rsid w:val="0064296C"/>
    <w:rsid w:val="00642CBC"/>
    <w:rsid w:val="00642F37"/>
    <w:rsid w:val="006431BD"/>
    <w:rsid w:val="006432D7"/>
    <w:rsid w:val="00643466"/>
    <w:rsid w:val="00643536"/>
    <w:rsid w:val="00643567"/>
    <w:rsid w:val="00643776"/>
    <w:rsid w:val="00643825"/>
    <w:rsid w:val="0064397D"/>
    <w:rsid w:val="00643A39"/>
    <w:rsid w:val="00643AEC"/>
    <w:rsid w:val="00643C64"/>
    <w:rsid w:val="00643D1E"/>
    <w:rsid w:val="00643E90"/>
    <w:rsid w:val="00643EF6"/>
    <w:rsid w:val="00643F3D"/>
    <w:rsid w:val="00644176"/>
    <w:rsid w:val="006443DE"/>
    <w:rsid w:val="006444AC"/>
    <w:rsid w:val="006445B3"/>
    <w:rsid w:val="00645127"/>
    <w:rsid w:val="00645157"/>
    <w:rsid w:val="00645181"/>
    <w:rsid w:val="00645388"/>
    <w:rsid w:val="00645504"/>
    <w:rsid w:val="00645724"/>
    <w:rsid w:val="00645C3C"/>
    <w:rsid w:val="00645E5E"/>
    <w:rsid w:val="00645EA4"/>
    <w:rsid w:val="00646270"/>
    <w:rsid w:val="0064660D"/>
    <w:rsid w:val="0064664B"/>
    <w:rsid w:val="00646AB5"/>
    <w:rsid w:val="00646C1E"/>
    <w:rsid w:val="00646D95"/>
    <w:rsid w:val="00646EF3"/>
    <w:rsid w:val="006470D5"/>
    <w:rsid w:val="006471A9"/>
    <w:rsid w:val="0064743B"/>
    <w:rsid w:val="006476A4"/>
    <w:rsid w:val="00647A26"/>
    <w:rsid w:val="00647A71"/>
    <w:rsid w:val="00647B05"/>
    <w:rsid w:val="00647F9A"/>
    <w:rsid w:val="0065015B"/>
    <w:rsid w:val="00650305"/>
    <w:rsid w:val="00650342"/>
    <w:rsid w:val="0065039E"/>
    <w:rsid w:val="006506C4"/>
    <w:rsid w:val="00650A40"/>
    <w:rsid w:val="00650C10"/>
    <w:rsid w:val="00650CE6"/>
    <w:rsid w:val="00650CFB"/>
    <w:rsid w:val="00650E23"/>
    <w:rsid w:val="006510CC"/>
    <w:rsid w:val="00651A78"/>
    <w:rsid w:val="00651B22"/>
    <w:rsid w:val="00651C07"/>
    <w:rsid w:val="00651C49"/>
    <w:rsid w:val="00651D56"/>
    <w:rsid w:val="00651DBB"/>
    <w:rsid w:val="00651EA8"/>
    <w:rsid w:val="00651F56"/>
    <w:rsid w:val="00651FDE"/>
    <w:rsid w:val="006523D3"/>
    <w:rsid w:val="0065267D"/>
    <w:rsid w:val="00652732"/>
    <w:rsid w:val="006528BD"/>
    <w:rsid w:val="00652D39"/>
    <w:rsid w:val="00652D96"/>
    <w:rsid w:val="00652F93"/>
    <w:rsid w:val="00653A52"/>
    <w:rsid w:val="00653BD8"/>
    <w:rsid w:val="00653CE0"/>
    <w:rsid w:val="00653EAC"/>
    <w:rsid w:val="00653EB2"/>
    <w:rsid w:val="006542DD"/>
    <w:rsid w:val="006543DC"/>
    <w:rsid w:val="00654778"/>
    <w:rsid w:val="00654D39"/>
    <w:rsid w:val="00654E97"/>
    <w:rsid w:val="0065516A"/>
    <w:rsid w:val="0065552D"/>
    <w:rsid w:val="00655572"/>
    <w:rsid w:val="006558F0"/>
    <w:rsid w:val="0065609C"/>
    <w:rsid w:val="00656562"/>
    <w:rsid w:val="00656639"/>
    <w:rsid w:val="006566DC"/>
    <w:rsid w:val="006567BF"/>
    <w:rsid w:val="00656963"/>
    <w:rsid w:val="006569CF"/>
    <w:rsid w:val="00656AF1"/>
    <w:rsid w:val="00656BDD"/>
    <w:rsid w:val="00656C0A"/>
    <w:rsid w:val="00656CEB"/>
    <w:rsid w:val="00656D78"/>
    <w:rsid w:val="00656E4B"/>
    <w:rsid w:val="00656E9E"/>
    <w:rsid w:val="00656F19"/>
    <w:rsid w:val="00657061"/>
    <w:rsid w:val="006572A6"/>
    <w:rsid w:val="0065734C"/>
    <w:rsid w:val="0065755E"/>
    <w:rsid w:val="00657592"/>
    <w:rsid w:val="006575C8"/>
    <w:rsid w:val="0065769A"/>
    <w:rsid w:val="00657806"/>
    <w:rsid w:val="0065788C"/>
    <w:rsid w:val="00657931"/>
    <w:rsid w:val="00657A9A"/>
    <w:rsid w:val="00657BA5"/>
    <w:rsid w:val="00657BA8"/>
    <w:rsid w:val="00657BEF"/>
    <w:rsid w:val="00657E1B"/>
    <w:rsid w:val="00657EC8"/>
    <w:rsid w:val="00657FA9"/>
    <w:rsid w:val="00660293"/>
    <w:rsid w:val="006602A7"/>
    <w:rsid w:val="0066046B"/>
    <w:rsid w:val="00660907"/>
    <w:rsid w:val="00660A35"/>
    <w:rsid w:val="00660E13"/>
    <w:rsid w:val="00660E56"/>
    <w:rsid w:val="00660FCF"/>
    <w:rsid w:val="006610EC"/>
    <w:rsid w:val="006611CD"/>
    <w:rsid w:val="00661456"/>
    <w:rsid w:val="00661768"/>
    <w:rsid w:val="006617AD"/>
    <w:rsid w:val="00661A24"/>
    <w:rsid w:val="00661BD2"/>
    <w:rsid w:val="00661D3D"/>
    <w:rsid w:val="00661D96"/>
    <w:rsid w:val="00661E41"/>
    <w:rsid w:val="00661F6B"/>
    <w:rsid w:val="00662049"/>
    <w:rsid w:val="0066216D"/>
    <w:rsid w:val="006621FD"/>
    <w:rsid w:val="006622DA"/>
    <w:rsid w:val="00662320"/>
    <w:rsid w:val="00662BBE"/>
    <w:rsid w:val="00662BC5"/>
    <w:rsid w:val="00662DEE"/>
    <w:rsid w:val="00662E19"/>
    <w:rsid w:val="00662E98"/>
    <w:rsid w:val="00662EFC"/>
    <w:rsid w:val="00662F4F"/>
    <w:rsid w:val="0066324F"/>
    <w:rsid w:val="00663414"/>
    <w:rsid w:val="00663474"/>
    <w:rsid w:val="00663516"/>
    <w:rsid w:val="00663878"/>
    <w:rsid w:val="00663C90"/>
    <w:rsid w:val="00663D0A"/>
    <w:rsid w:val="00663D9F"/>
    <w:rsid w:val="00663DF7"/>
    <w:rsid w:val="00663F12"/>
    <w:rsid w:val="00664190"/>
    <w:rsid w:val="006644B3"/>
    <w:rsid w:val="00664589"/>
    <w:rsid w:val="00664655"/>
    <w:rsid w:val="006646F4"/>
    <w:rsid w:val="00664A7A"/>
    <w:rsid w:val="00664BF9"/>
    <w:rsid w:val="00664F36"/>
    <w:rsid w:val="00664F60"/>
    <w:rsid w:val="00665022"/>
    <w:rsid w:val="00665072"/>
    <w:rsid w:val="006651CA"/>
    <w:rsid w:val="006651F9"/>
    <w:rsid w:val="006652B1"/>
    <w:rsid w:val="00665598"/>
    <w:rsid w:val="00665711"/>
    <w:rsid w:val="006658B3"/>
    <w:rsid w:val="006658EC"/>
    <w:rsid w:val="00665A60"/>
    <w:rsid w:val="00665BE2"/>
    <w:rsid w:val="00665EFE"/>
    <w:rsid w:val="00665FB7"/>
    <w:rsid w:val="00665FB9"/>
    <w:rsid w:val="006660A0"/>
    <w:rsid w:val="00666198"/>
    <w:rsid w:val="00666219"/>
    <w:rsid w:val="00666279"/>
    <w:rsid w:val="006663E0"/>
    <w:rsid w:val="006667CE"/>
    <w:rsid w:val="0066697A"/>
    <w:rsid w:val="00666A26"/>
    <w:rsid w:val="00666D1D"/>
    <w:rsid w:val="00666E9C"/>
    <w:rsid w:val="00667183"/>
    <w:rsid w:val="006671D7"/>
    <w:rsid w:val="00667271"/>
    <w:rsid w:val="00667324"/>
    <w:rsid w:val="0066740C"/>
    <w:rsid w:val="006674AD"/>
    <w:rsid w:val="006675E6"/>
    <w:rsid w:val="0066785C"/>
    <w:rsid w:val="00667C86"/>
    <w:rsid w:val="00667D6C"/>
    <w:rsid w:val="00667DCA"/>
    <w:rsid w:val="00667ED5"/>
    <w:rsid w:val="00667FC7"/>
    <w:rsid w:val="0067050A"/>
    <w:rsid w:val="0067052F"/>
    <w:rsid w:val="006705B6"/>
    <w:rsid w:val="006707E3"/>
    <w:rsid w:val="0067082A"/>
    <w:rsid w:val="006708E6"/>
    <w:rsid w:val="0067098C"/>
    <w:rsid w:val="00670C09"/>
    <w:rsid w:val="0067127E"/>
    <w:rsid w:val="006715E8"/>
    <w:rsid w:val="00671801"/>
    <w:rsid w:val="00671838"/>
    <w:rsid w:val="00671D3F"/>
    <w:rsid w:val="00671FEE"/>
    <w:rsid w:val="0067206A"/>
    <w:rsid w:val="006721D4"/>
    <w:rsid w:val="00672290"/>
    <w:rsid w:val="006722D5"/>
    <w:rsid w:val="006723D8"/>
    <w:rsid w:val="00672562"/>
    <w:rsid w:val="0067294E"/>
    <w:rsid w:val="00672AFD"/>
    <w:rsid w:val="00672BE1"/>
    <w:rsid w:val="00672E37"/>
    <w:rsid w:val="00673336"/>
    <w:rsid w:val="006734B1"/>
    <w:rsid w:val="006737D3"/>
    <w:rsid w:val="00673B29"/>
    <w:rsid w:val="00673B54"/>
    <w:rsid w:val="00673C2E"/>
    <w:rsid w:val="00673DBE"/>
    <w:rsid w:val="00673E0D"/>
    <w:rsid w:val="00673E41"/>
    <w:rsid w:val="00673ECB"/>
    <w:rsid w:val="00673F2A"/>
    <w:rsid w:val="0067422D"/>
    <w:rsid w:val="006745D2"/>
    <w:rsid w:val="00674794"/>
    <w:rsid w:val="00674959"/>
    <w:rsid w:val="006749E3"/>
    <w:rsid w:val="00674B49"/>
    <w:rsid w:val="00674C14"/>
    <w:rsid w:val="00674DD5"/>
    <w:rsid w:val="0067548F"/>
    <w:rsid w:val="006755B3"/>
    <w:rsid w:val="00675655"/>
    <w:rsid w:val="0067570A"/>
    <w:rsid w:val="006758F0"/>
    <w:rsid w:val="00675B9A"/>
    <w:rsid w:val="00675B9D"/>
    <w:rsid w:val="00675E86"/>
    <w:rsid w:val="0067622A"/>
    <w:rsid w:val="00676358"/>
    <w:rsid w:val="00676798"/>
    <w:rsid w:val="006769E1"/>
    <w:rsid w:val="00676A8C"/>
    <w:rsid w:val="00676F30"/>
    <w:rsid w:val="00677622"/>
    <w:rsid w:val="00677864"/>
    <w:rsid w:val="00677A57"/>
    <w:rsid w:val="00677A87"/>
    <w:rsid w:val="00677F0A"/>
    <w:rsid w:val="006801FC"/>
    <w:rsid w:val="00680341"/>
    <w:rsid w:val="006803FB"/>
    <w:rsid w:val="00680684"/>
    <w:rsid w:val="00680721"/>
    <w:rsid w:val="0068077F"/>
    <w:rsid w:val="00680939"/>
    <w:rsid w:val="00680BC8"/>
    <w:rsid w:val="00680C4E"/>
    <w:rsid w:val="00680C57"/>
    <w:rsid w:val="00680C8E"/>
    <w:rsid w:val="00680D4E"/>
    <w:rsid w:val="00680E18"/>
    <w:rsid w:val="00680F8A"/>
    <w:rsid w:val="00681098"/>
    <w:rsid w:val="006811AE"/>
    <w:rsid w:val="006811FA"/>
    <w:rsid w:val="00681688"/>
    <w:rsid w:val="006816DF"/>
    <w:rsid w:val="00681905"/>
    <w:rsid w:val="00681C7F"/>
    <w:rsid w:val="00681E4B"/>
    <w:rsid w:val="00681F03"/>
    <w:rsid w:val="00681F62"/>
    <w:rsid w:val="00681FFF"/>
    <w:rsid w:val="00682015"/>
    <w:rsid w:val="006821D4"/>
    <w:rsid w:val="00682321"/>
    <w:rsid w:val="00682436"/>
    <w:rsid w:val="006825FD"/>
    <w:rsid w:val="006826BD"/>
    <w:rsid w:val="00682785"/>
    <w:rsid w:val="0068288A"/>
    <w:rsid w:val="00682942"/>
    <w:rsid w:val="00682B30"/>
    <w:rsid w:val="00682B37"/>
    <w:rsid w:val="00682DEE"/>
    <w:rsid w:val="00682FB4"/>
    <w:rsid w:val="00682FD8"/>
    <w:rsid w:val="006831F9"/>
    <w:rsid w:val="006835FE"/>
    <w:rsid w:val="006837A9"/>
    <w:rsid w:val="006837B4"/>
    <w:rsid w:val="00683892"/>
    <w:rsid w:val="00683A06"/>
    <w:rsid w:val="00683AAE"/>
    <w:rsid w:val="00683AD2"/>
    <w:rsid w:val="00683AF3"/>
    <w:rsid w:val="00683BAF"/>
    <w:rsid w:val="00683D43"/>
    <w:rsid w:val="00683F65"/>
    <w:rsid w:val="006840C4"/>
    <w:rsid w:val="0068416C"/>
    <w:rsid w:val="006842F3"/>
    <w:rsid w:val="00684309"/>
    <w:rsid w:val="0068434B"/>
    <w:rsid w:val="00684425"/>
    <w:rsid w:val="00684553"/>
    <w:rsid w:val="006845D5"/>
    <w:rsid w:val="006846A2"/>
    <w:rsid w:val="006846AF"/>
    <w:rsid w:val="0068497F"/>
    <w:rsid w:val="00684C83"/>
    <w:rsid w:val="00684D0E"/>
    <w:rsid w:val="00684D4F"/>
    <w:rsid w:val="00684DFB"/>
    <w:rsid w:val="00684F5B"/>
    <w:rsid w:val="00684F97"/>
    <w:rsid w:val="00685336"/>
    <w:rsid w:val="0068535E"/>
    <w:rsid w:val="00685954"/>
    <w:rsid w:val="00685A94"/>
    <w:rsid w:val="006863C0"/>
    <w:rsid w:val="006866A0"/>
    <w:rsid w:val="00686783"/>
    <w:rsid w:val="00686795"/>
    <w:rsid w:val="00686A34"/>
    <w:rsid w:val="00686B56"/>
    <w:rsid w:val="00686D32"/>
    <w:rsid w:val="00686E19"/>
    <w:rsid w:val="00686E2E"/>
    <w:rsid w:val="00686F0B"/>
    <w:rsid w:val="0068747F"/>
    <w:rsid w:val="00687496"/>
    <w:rsid w:val="006874DD"/>
    <w:rsid w:val="006877DE"/>
    <w:rsid w:val="00690224"/>
    <w:rsid w:val="0069024E"/>
    <w:rsid w:val="0069027E"/>
    <w:rsid w:val="00690664"/>
    <w:rsid w:val="00690760"/>
    <w:rsid w:val="00690ABA"/>
    <w:rsid w:val="00690BA5"/>
    <w:rsid w:val="00690D5A"/>
    <w:rsid w:val="00690DCA"/>
    <w:rsid w:val="00690E0B"/>
    <w:rsid w:val="00691161"/>
    <w:rsid w:val="0069123D"/>
    <w:rsid w:val="006912EF"/>
    <w:rsid w:val="00691460"/>
    <w:rsid w:val="006914B3"/>
    <w:rsid w:val="0069177F"/>
    <w:rsid w:val="00691979"/>
    <w:rsid w:val="006919E2"/>
    <w:rsid w:val="00691BA2"/>
    <w:rsid w:val="0069206F"/>
    <w:rsid w:val="0069235A"/>
    <w:rsid w:val="00692495"/>
    <w:rsid w:val="00692732"/>
    <w:rsid w:val="00692799"/>
    <w:rsid w:val="0069279A"/>
    <w:rsid w:val="006927E3"/>
    <w:rsid w:val="00692AE7"/>
    <w:rsid w:val="00692CE8"/>
    <w:rsid w:val="00692D78"/>
    <w:rsid w:val="00693043"/>
    <w:rsid w:val="0069317C"/>
    <w:rsid w:val="006932A7"/>
    <w:rsid w:val="00693544"/>
    <w:rsid w:val="00693756"/>
    <w:rsid w:val="006939D8"/>
    <w:rsid w:val="00693A1E"/>
    <w:rsid w:val="00693C67"/>
    <w:rsid w:val="00693CFB"/>
    <w:rsid w:val="00693DA4"/>
    <w:rsid w:val="006949A2"/>
    <w:rsid w:val="00694D17"/>
    <w:rsid w:val="00694E34"/>
    <w:rsid w:val="0069504D"/>
    <w:rsid w:val="0069511A"/>
    <w:rsid w:val="006951D2"/>
    <w:rsid w:val="006956C8"/>
    <w:rsid w:val="006957F7"/>
    <w:rsid w:val="00695A7D"/>
    <w:rsid w:val="00695E93"/>
    <w:rsid w:val="00695EF4"/>
    <w:rsid w:val="00695FEF"/>
    <w:rsid w:val="00696277"/>
    <w:rsid w:val="006966A5"/>
    <w:rsid w:val="0069694A"/>
    <w:rsid w:val="006969C9"/>
    <w:rsid w:val="00696B68"/>
    <w:rsid w:val="00697321"/>
    <w:rsid w:val="00697411"/>
    <w:rsid w:val="00697462"/>
    <w:rsid w:val="0069746B"/>
    <w:rsid w:val="00697A90"/>
    <w:rsid w:val="00697AAD"/>
    <w:rsid w:val="00697B90"/>
    <w:rsid w:val="00697BC8"/>
    <w:rsid w:val="00697CD6"/>
    <w:rsid w:val="00697D13"/>
    <w:rsid w:val="00697E63"/>
    <w:rsid w:val="00697EC7"/>
    <w:rsid w:val="00697FA0"/>
    <w:rsid w:val="006A00C2"/>
    <w:rsid w:val="006A022C"/>
    <w:rsid w:val="006A02C8"/>
    <w:rsid w:val="006A0401"/>
    <w:rsid w:val="006A06CC"/>
    <w:rsid w:val="006A074C"/>
    <w:rsid w:val="006A0A8B"/>
    <w:rsid w:val="006A0C90"/>
    <w:rsid w:val="006A0CA8"/>
    <w:rsid w:val="006A0CE1"/>
    <w:rsid w:val="006A0D78"/>
    <w:rsid w:val="006A1069"/>
    <w:rsid w:val="006A1095"/>
    <w:rsid w:val="006A12FF"/>
    <w:rsid w:val="006A17ED"/>
    <w:rsid w:val="006A1823"/>
    <w:rsid w:val="006A1AE4"/>
    <w:rsid w:val="006A1B1C"/>
    <w:rsid w:val="006A1B5B"/>
    <w:rsid w:val="006A1C65"/>
    <w:rsid w:val="006A1CD9"/>
    <w:rsid w:val="006A1F49"/>
    <w:rsid w:val="006A1FFA"/>
    <w:rsid w:val="006A2044"/>
    <w:rsid w:val="006A2164"/>
    <w:rsid w:val="006A23A4"/>
    <w:rsid w:val="006A2487"/>
    <w:rsid w:val="006A2C5F"/>
    <w:rsid w:val="006A2CC0"/>
    <w:rsid w:val="006A3426"/>
    <w:rsid w:val="006A35E8"/>
    <w:rsid w:val="006A36FF"/>
    <w:rsid w:val="006A3A28"/>
    <w:rsid w:val="006A3CAF"/>
    <w:rsid w:val="006A3D37"/>
    <w:rsid w:val="006A40F5"/>
    <w:rsid w:val="006A4265"/>
    <w:rsid w:val="006A4288"/>
    <w:rsid w:val="006A4289"/>
    <w:rsid w:val="006A43AD"/>
    <w:rsid w:val="006A4757"/>
    <w:rsid w:val="006A487C"/>
    <w:rsid w:val="006A4B16"/>
    <w:rsid w:val="006A4B4E"/>
    <w:rsid w:val="006A4D11"/>
    <w:rsid w:val="006A4D7C"/>
    <w:rsid w:val="006A4EED"/>
    <w:rsid w:val="006A4F88"/>
    <w:rsid w:val="006A4FB2"/>
    <w:rsid w:val="006A4FEB"/>
    <w:rsid w:val="006A5322"/>
    <w:rsid w:val="006A5761"/>
    <w:rsid w:val="006A5BD2"/>
    <w:rsid w:val="006A5CAB"/>
    <w:rsid w:val="006A5CCF"/>
    <w:rsid w:val="006A5DE4"/>
    <w:rsid w:val="006A5F19"/>
    <w:rsid w:val="006A65C3"/>
    <w:rsid w:val="006A67F9"/>
    <w:rsid w:val="006A68D7"/>
    <w:rsid w:val="006A698D"/>
    <w:rsid w:val="006A6A76"/>
    <w:rsid w:val="006A6D5D"/>
    <w:rsid w:val="006A6D8E"/>
    <w:rsid w:val="006A6E93"/>
    <w:rsid w:val="006A70BA"/>
    <w:rsid w:val="006A728C"/>
    <w:rsid w:val="006A72C5"/>
    <w:rsid w:val="006A75E0"/>
    <w:rsid w:val="006A7AE1"/>
    <w:rsid w:val="006A7FA8"/>
    <w:rsid w:val="006B00C1"/>
    <w:rsid w:val="006B018B"/>
    <w:rsid w:val="006B02F9"/>
    <w:rsid w:val="006B0400"/>
    <w:rsid w:val="006B040F"/>
    <w:rsid w:val="006B0447"/>
    <w:rsid w:val="006B044F"/>
    <w:rsid w:val="006B0453"/>
    <w:rsid w:val="006B047C"/>
    <w:rsid w:val="006B09A8"/>
    <w:rsid w:val="006B0B13"/>
    <w:rsid w:val="006B0D8C"/>
    <w:rsid w:val="006B12FF"/>
    <w:rsid w:val="006B135B"/>
    <w:rsid w:val="006B1365"/>
    <w:rsid w:val="006B15AD"/>
    <w:rsid w:val="006B1ABE"/>
    <w:rsid w:val="006B2167"/>
    <w:rsid w:val="006B21E0"/>
    <w:rsid w:val="006B220B"/>
    <w:rsid w:val="006B234C"/>
    <w:rsid w:val="006B2444"/>
    <w:rsid w:val="006B2890"/>
    <w:rsid w:val="006B28CA"/>
    <w:rsid w:val="006B28E4"/>
    <w:rsid w:val="006B29BE"/>
    <w:rsid w:val="006B2BBD"/>
    <w:rsid w:val="006B2C4D"/>
    <w:rsid w:val="006B2CBD"/>
    <w:rsid w:val="006B2D3D"/>
    <w:rsid w:val="006B2E18"/>
    <w:rsid w:val="006B3353"/>
    <w:rsid w:val="006B34E9"/>
    <w:rsid w:val="006B377F"/>
    <w:rsid w:val="006B37B6"/>
    <w:rsid w:val="006B38B6"/>
    <w:rsid w:val="006B3918"/>
    <w:rsid w:val="006B3A6A"/>
    <w:rsid w:val="006B3B5C"/>
    <w:rsid w:val="006B3BEB"/>
    <w:rsid w:val="006B3C69"/>
    <w:rsid w:val="006B3CEF"/>
    <w:rsid w:val="006B3E6A"/>
    <w:rsid w:val="006B3F93"/>
    <w:rsid w:val="006B406D"/>
    <w:rsid w:val="006B4285"/>
    <w:rsid w:val="006B4355"/>
    <w:rsid w:val="006B463E"/>
    <w:rsid w:val="006B4759"/>
    <w:rsid w:val="006B4BC7"/>
    <w:rsid w:val="006B4CE9"/>
    <w:rsid w:val="006B5193"/>
    <w:rsid w:val="006B544D"/>
    <w:rsid w:val="006B548D"/>
    <w:rsid w:val="006B5538"/>
    <w:rsid w:val="006B55CC"/>
    <w:rsid w:val="006B568A"/>
    <w:rsid w:val="006B5899"/>
    <w:rsid w:val="006B5938"/>
    <w:rsid w:val="006B59B5"/>
    <w:rsid w:val="006B5A27"/>
    <w:rsid w:val="006B5C05"/>
    <w:rsid w:val="006B5D4F"/>
    <w:rsid w:val="006B5DA2"/>
    <w:rsid w:val="006B5FA5"/>
    <w:rsid w:val="006B5FED"/>
    <w:rsid w:val="006B60CA"/>
    <w:rsid w:val="006B60EF"/>
    <w:rsid w:val="006B612A"/>
    <w:rsid w:val="006B6135"/>
    <w:rsid w:val="006B6142"/>
    <w:rsid w:val="006B615F"/>
    <w:rsid w:val="006B61C8"/>
    <w:rsid w:val="006B6371"/>
    <w:rsid w:val="006B65D3"/>
    <w:rsid w:val="006B67E7"/>
    <w:rsid w:val="006B6A2C"/>
    <w:rsid w:val="006B711A"/>
    <w:rsid w:val="006B744E"/>
    <w:rsid w:val="006B75A8"/>
    <w:rsid w:val="006B7C02"/>
    <w:rsid w:val="006B7C43"/>
    <w:rsid w:val="006B7D66"/>
    <w:rsid w:val="006B7DBD"/>
    <w:rsid w:val="006B7EF8"/>
    <w:rsid w:val="006C0318"/>
    <w:rsid w:val="006C03C4"/>
    <w:rsid w:val="006C0445"/>
    <w:rsid w:val="006C05DF"/>
    <w:rsid w:val="006C0807"/>
    <w:rsid w:val="006C0B9E"/>
    <w:rsid w:val="006C0C26"/>
    <w:rsid w:val="006C0CC0"/>
    <w:rsid w:val="006C0EA2"/>
    <w:rsid w:val="006C0F13"/>
    <w:rsid w:val="006C0F18"/>
    <w:rsid w:val="006C117E"/>
    <w:rsid w:val="006C1308"/>
    <w:rsid w:val="006C130B"/>
    <w:rsid w:val="006C14AE"/>
    <w:rsid w:val="006C159B"/>
    <w:rsid w:val="006C1AE6"/>
    <w:rsid w:val="006C1B44"/>
    <w:rsid w:val="006C1CE0"/>
    <w:rsid w:val="006C1F2A"/>
    <w:rsid w:val="006C202D"/>
    <w:rsid w:val="006C207C"/>
    <w:rsid w:val="006C21D8"/>
    <w:rsid w:val="006C2466"/>
    <w:rsid w:val="006C2623"/>
    <w:rsid w:val="006C26CC"/>
    <w:rsid w:val="006C28ED"/>
    <w:rsid w:val="006C28FD"/>
    <w:rsid w:val="006C2C51"/>
    <w:rsid w:val="006C2D79"/>
    <w:rsid w:val="006C2F53"/>
    <w:rsid w:val="006C3251"/>
    <w:rsid w:val="006C336B"/>
    <w:rsid w:val="006C33BD"/>
    <w:rsid w:val="006C34DC"/>
    <w:rsid w:val="006C37CC"/>
    <w:rsid w:val="006C39D2"/>
    <w:rsid w:val="006C3B7D"/>
    <w:rsid w:val="006C4438"/>
    <w:rsid w:val="006C44F6"/>
    <w:rsid w:val="006C456B"/>
    <w:rsid w:val="006C4656"/>
    <w:rsid w:val="006C4908"/>
    <w:rsid w:val="006C4F46"/>
    <w:rsid w:val="006C503C"/>
    <w:rsid w:val="006C5469"/>
    <w:rsid w:val="006C5530"/>
    <w:rsid w:val="006C55A1"/>
    <w:rsid w:val="006C55BE"/>
    <w:rsid w:val="006C56C1"/>
    <w:rsid w:val="006C575A"/>
    <w:rsid w:val="006C5A98"/>
    <w:rsid w:val="006C5C4C"/>
    <w:rsid w:val="006C5CB5"/>
    <w:rsid w:val="006C5CD2"/>
    <w:rsid w:val="006C5D0D"/>
    <w:rsid w:val="006C5E98"/>
    <w:rsid w:val="006C606C"/>
    <w:rsid w:val="006C65E1"/>
    <w:rsid w:val="006C6840"/>
    <w:rsid w:val="006C68D9"/>
    <w:rsid w:val="006C6989"/>
    <w:rsid w:val="006C6B93"/>
    <w:rsid w:val="006C72EA"/>
    <w:rsid w:val="006C737C"/>
    <w:rsid w:val="006C74CF"/>
    <w:rsid w:val="006C759B"/>
    <w:rsid w:val="006C77EC"/>
    <w:rsid w:val="006C783C"/>
    <w:rsid w:val="006C7CAF"/>
    <w:rsid w:val="006C7D67"/>
    <w:rsid w:val="006C7E8E"/>
    <w:rsid w:val="006D038E"/>
    <w:rsid w:val="006D0413"/>
    <w:rsid w:val="006D0AB4"/>
    <w:rsid w:val="006D0C2F"/>
    <w:rsid w:val="006D0CA0"/>
    <w:rsid w:val="006D0E9C"/>
    <w:rsid w:val="006D10B1"/>
    <w:rsid w:val="006D11B3"/>
    <w:rsid w:val="006D1420"/>
    <w:rsid w:val="006D1F29"/>
    <w:rsid w:val="006D20B7"/>
    <w:rsid w:val="006D2152"/>
    <w:rsid w:val="006D2163"/>
    <w:rsid w:val="006D2349"/>
    <w:rsid w:val="006D27C2"/>
    <w:rsid w:val="006D2964"/>
    <w:rsid w:val="006D2A7A"/>
    <w:rsid w:val="006D2A8B"/>
    <w:rsid w:val="006D2BB9"/>
    <w:rsid w:val="006D2BEC"/>
    <w:rsid w:val="006D2E9F"/>
    <w:rsid w:val="006D3B3B"/>
    <w:rsid w:val="006D3CD4"/>
    <w:rsid w:val="006D4051"/>
    <w:rsid w:val="006D41F4"/>
    <w:rsid w:val="006D4333"/>
    <w:rsid w:val="006D441E"/>
    <w:rsid w:val="006D4513"/>
    <w:rsid w:val="006D4563"/>
    <w:rsid w:val="006D4AC7"/>
    <w:rsid w:val="006D4B48"/>
    <w:rsid w:val="006D4B9A"/>
    <w:rsid w:val="006D4CEE"/>
    <w:rsid w:val="006D4FCF"/>
    <w:rsid w:val="006D50E9"/>
    <w:rsid w:val="006D5180"/>
    <w:rsid w:val="006D52D3"/>
    <w:rsid w:val="006D56FE"/>
    <w:rsid w:val="006D5B67"/>
    <w:rsid w:val="006D5FF0"/>
    <w:rsid w:val="006D602C"/>
    <w:rsid w:val="006D64A4"/>
    <w:rsid w:val="006D667E"/>
    <w:rsid w:val="006D6A0A"/>
    <w:rsid w:val="006D6BE3"/>
    <w:rsid w:val="006D6C85"/>
    <w:rsid w:val="006D6DAB"/>
    <w:rsid w:val="006D7136"/>
    <w:rsid w:val="006D72D9"/>
    <w:rsid w:val="006D7920"/>
    <w:rsid w:val="006D79D9"/>
    <w:rsid w:val="006D7CAA"/>
    <w:rsid w:val="006DB27F"/>
    <w:rsid w:val="006E006C"/>
    <w:rsid w:val="006E0119"/>
    <w:rsid w:val="006E024D"/>
    <w:rsid w:val="006E0347"/>
    <w:rsid w:val="006E039F"/>
    <w:rsid w:val="006E03BE"/>
    <w:rsid w:val="006E03C3"/>
    <w:rsid w:val="006E065D"/>
    <w:rsid w:val="006E0AAB"/>
    <w:rsid w:val="006E0D2C"/>
    <w:rsid w:val="006E107A"/>
    <w:rsid w:val="006E10AA"/>
    <w:rsid w:val="006E1383"/>
    <w:rsid w:val="006E16E6"/>
    <w:rsid w:val="006E1819"/>
    <w:rsid w:val="006E19AD"/>
    <w:rsid w:val="006E1ABD"/>
    <w:rsid w:val="006E1C61"/>
    <w:rsid w:val="006E1F35"/>
    <w:rsid w:val="006E202E"/>
    <w:rsid w:val="006E20BE"/>
    <w:rsid w:val="006E231F"/>
    <w:rsid w:val="006E256A"/>
    <w:rsid w:val="006E28BC"/>
    <w:rsid w:val="006E2D07"/>
    <w:rsid w:val="006E2F7E"/>
    <w:rsid w:val="006E2F85"/>
    <w:rsid w:val="006E318B"/>
    <w:rsid w:val="006E341A"/>
    <w:rsid w:val="006E35F1"/>
    <w:rsid w:val="006E37F0"/>
    <w:rsid w:val="006E3870"/>
    <w:rsid w:val="006E3C70"/>
    <w:rsid w:val="006E3D04"/>
    <w:rsid w:val="006E3E31"/>
    <w:rsid w:val="006E416A"/>
    <w:rsid w:val="006E422A"/>
    <w:rsid w:val="006E434A"/>
    <w:rsid w:val="006E439F"/>
    <w:rsid w:val="006E4585"/>
    <w:rsid w:val="006E49EA"/>
    <w:rsid w:val="006E4B37"/>
    <w:rsid w:val="006E4B4D"/>
    <w:rsid w:val="006E4C75"/>
    <w:rsid w:val="006E4CAC"/>
    <w:rsid w:val="006E4EB2"/>
    <w:rsid w:val="006E4ED6"/>
    <w:rsid w:val="006E50E7"/>
    <w:rsid w:val="006E545D"/>
    <w:rsid w:val="006E5585"/>
    <w:rsid w:val="006E56C7"/>
    <w:rsid w:val="006E579E"/>
    <w:rsid w:val="006E592F"/>
    <w:rsid w:val="006E5980"/>
    <w:rsid w:val="006E5ABF"/>
    <w:rsid w:val="006E5AC3"/>
    <w:rsid w:val="006E5F80"/>
    <w:rsid w:val="006E6651"/>
    <w:rsid w:val="006E6675"/>
    <w:rsid w:val="006E66DB"/>
    <w:rsid w:val="006E6820"/>
    <w:rsid w:val="006E6F44"/>
    <w:rsid w:val="006E7201"/>
    <w:rsid w:val="006E7436"/>
    <w:rsid w:val="006E76F6"/>
    <w:rsid w:val="006E78F6"/>
    <w:rsid w:val="006E7A10"/>
    <w:rsid w:val="006E7C70"/>
    <w:rsid w:val="006E7E41"/>
    <w:rsid w:val="006E7E50"/>
    <w:rsid w:val="006E7F8F"/>
    <w:rsid w:val="006F00AA"/>
    <w:rsid w:val="006F0301"/>
    <w:rsid w:val="006F0319"/>
    <w:rsid w:val="006F04D4"/>
    <w:rsid w:val="006F0769"/>
    <w:rsid w:val="006F0A89"/>
    <w:rsid w:val="006F104D"/>
    <w:rsid w:val="006F10C2"/>
    <w:rsid w:val="006F119B"/>
    <w:rsid w:val="006F12D0"/>
    <w:rsid w:val="006F15FC"/>
    <w:rsid w:val="006F1625"/>
    <w:rsid w:val="006F1851"/>
    <w:rsid w:val="006F1A9C"/>
    <w:rsid w:val="006F2091"/>
    <w:rsid w:val="006F20D0"/>
    <w:rsid w:val="006F20F1"/>
    <w:rsid w:val="006F2193"/>
    <w:rsid w:val="006F2347"/>
    <w:rsid w:val="006F25BE"/>
    <w:rsid w:val="006F27A5"/>
    <w:rsid w:val="006F29EE"/>
    <w:rsid w:val="006F2A1A"/>
    <w:rsid w:val="006F2BF0"/>
    <w:rsid w:val="006F2E01"/>
    <w:rsid w:val="006F2E8B"/>
    <w:rsid w:val="006F2F60"/>
    <w:rsid w:val="006F30CD"/>
    <w:rsid w:val="006F31CC"/>
    <w:rsid w:val="006F3393"/>
    <w:rsid w:val="006F33E4"/>
    <w:rsid w:val="006F3758"/>
    <w:rsid w:val="006F3A3C"/>
    <w:rsid w:val="006F3BB2"/>
    <w:rsid w:val="006F40E5"/>
    <w:rsid w:val="006F4132"/>
    <w:rsid w:val="006F4197"/>
    <w:rsid w:val="006F4B7C"/>
    <w:rsid w:val="006F4C98"/>
    <w:rsid w:val="006F4FDA"/>
    <w:rsid w:val="006F50B5"/>
    <w:rsid w:val="006F515F"/>
    <w:rsid w:val="006F536C"/>
    <w:rsid w:val="006F5418"/>
    <w:rsid w:val="006F5512"/>
    <w:rsid w:val="006F5712"/>
    <w:rsid w:val="006F58D2"/>
    <w:rsid w:val="006F5E56"/>
    <w:rsid w:val="006F61BB"/>
    <w:rsid w:val="006F61CB"/>
    <w:rsid w:val="006F6442"/>
    <w:rsid w:val="006F6AAD"/>
    <w:rsid w:val="006F6E15"/>
    <w:rsid w:val="006F6E7F"/>
    <w:rsid w:val="006F700A"/>
    <w:rsid w:val="006F70B9"/>
    <w:rsid w:val="006F70E1"/>
    <w:rsid w:val="006F7195"/>
    <w:rsid w:val="006F723C"/>
    <w:rsid w:val="006F77A7"/>
    <w:rsid w:val="006F77D0"/>
    <w:rsid w:val="006F7870"/>
    <w:rsid w:val="006F7C31"/>
    <w:rsid w:val="006F88B0"/>
    <w:rsid w:val="006FEF3B"/>
    <w:rsid w:val="007001CB"/>
    <w:rsid w:val="007002CF"/>
    <w:rsid w:val="007003A0"/>
    <w:rsid w:val="00700512"/>
    <w:rsid w:val="0070055F"/>
    <w:rsid w:val="007006DC"/>
    <w:rsid w:val="00700746"/>
    <w:rsid w:val="007007B5"/>
    <w:rsid w:val="007007D2"/>
    <w:rsid w:val="00700A18"/>
    <w:rsid w:val="00700A45"/>
    <w:rsid w:val="00700EBF"/>
    <w:rsid w:val="00700F6C"/>
    <w:rsid w:val="0070104C"/>
    <w:rsid w:val="0070133F"/>
    <w:rsid w:val="007013C0"/>
    <w:rsid w:val="0070143F"/>
    <w:rsid w:val="00701788"/>
    <w:rsid w:val="007017AB"/>
    <w:rsid w:val="007018F9"/>
    <w:rsid w:val="00701B15"/>
    <w:rsid w:val="00701B85"/>
    <w:rsid w:val="00701C86"/>
    <w:rsid w:val="00701F5C"/>
    <w:rsid w:val="00701F73"/>
    <w:rsid w:val="0070205E"/>
    <w:rsid w:val="007020FC"/>
    <w:rsid w:val="00702112"/>
    <w:rsid w:val="007023AF"/>
    <w:rsid w:val="007023F7"/>
    <w:rsid w:val="00702582"/>
    <w:rsid w:val="007029E6"/>
    <w:rsid w:val="00702FDE"/>
    <w:rsid w:val="0070353D"/>
    <w:rsid w:val="00703891"/>
    <w:rsid w:val="00703BE5"/>
    <w:rsid w:val="00703C7B"/>
    <w:rsid w:val="00703C9C"/>
    <w:rsid w:val="00703E27"/>
    <w:rsid w:val="00704227"/>
    <w:rsid w:val="007042A9"/>
    <w:rsid w:val="00704428"/>
    <w:rsid w:val="00704520"/>
    <w:rsid w:val="007048D3"/>
    <w:rsid w:val="00704B34"/>
    <w:rsid w:val="00704CD9"/>
    <w:rsid w:val="00704E22"/>
    <w:rsid w:val="0070501C"/>
    <w:rsid w:val="00705300"/>
    <w:rsid w:val="007053FD"/>
    <w:rsid w:val="007056CA"/>
    <w:rsid w:val="007059B2"/>
    <w:rsid w:val="007059C9"/>
    <w:rsid w:val="00705A80"/>
    <w:rsid w:val="00705AD7"/>
    <w:rsid w:val="00705E52"/>
    <w:rsid w:val="007060B0"/>
    <w:rsid w:val="007065C2"/>
    <w:rsid w:val="007068FA"/>
    <w:rsid w:val="00706932"/>
    <w:rsid w:val="00706BD1"/>
    <w:rsid w:val="00706F5D"/>
    <w:rsid w:val="00707161"/>
    <w:rsid w:val="0070741B"/>
    <w:rsid w:val="007074AF"/>
    <w:rsid w:val="007075B5"/>
    <w:rsid w:val="0070764F"/>
    <w:rsid w:val="0070791F"/>
    <w:rsid w:val="0070794C"/>
    <w:rsid w:val="0070796A"/>
    <w:rsid w:val="00707D7D"/>
    <w:rsid w:val="00707E65"/>
    <w:rsid w:val="00707EF5"/>
    <w:rsid w:val="00707FD4"/>
    <w:rsid w:val="007101C8"/>
    <w:rsid w:val="007104B9"/>
    <w:rsid w:val="00710D2A"/>
    <w:rsid w:val="00710F48"/>
    <w:rsid w:val="00710F5D"/>
    <w:rsid w:val="00711309"/>
    <w:rsid w:val="00711379"/>
    <w:rsid w:val="00711422"/>
    <w:rsid w:val="00711719"/>
    <w:rsid w:val="00711ED7"/>
    <w:rsid w:val="00711EE0"/>
    <w:rsid w:val="007120DF"/>
    <w:rsid w:val="00712109"/>
    <w:rsid w:val="00712147"/>
    <w:rsid w:val="007121FB"/>
    <w:rsid w:val="0071247A"/>
    <w:rsid w:val="007124E4"/>
    <w:rsid w:val="007128B7"/>
    <w:rsid w:val="00712EE4"/>
    <w:rsid w:val="007131C8"/>
    <w:rsid w:val="00713429"/>
    <w:rsid w:val="007134BE"/>
    <w:rsid w:val="007138D8"/>
    <w:rsid w:val="00713AF8"/>
    <w:rsid w:val="00713DA0"/>
    <w:rsid w:val="00713E93"/>
    <w:rsid w:val="0071417C"/>
    <w:rsid w:val="00714519"/>
    <w:rsid w:val="007145D2"/>
    <w:rsid w:val="007146C9"/>
    <w:rsid w:val="007147B3"/>
    <w:rsid w:val="0071484B"/>
    <w:rsid w:val="00714B8B"/>
    <w:rsid w:val="00714BDD"/>
    <w:rsid w:val="007154BB"/>
    <w:rsid w:val="00715575"/>
    <w:rsid w:val="007155C8"/>
    <w:rsid w:val="00715AAA"/>
    <w:rsid w:val="00715D25"/>
    <w:rsid w:val="00715D37"/>
    <w:rsid w:val="00715DE3"/>
    <w:rsid w:val="00716165"/>
    <w:rsid w:val="007163EC"/>
    <w:rsid w:val="0071671C"/>
    <w:rsid w:val="0071673B"/>
    <w:rsid w:val="00716913"/>
    <w:rsid w:val="00716F85"/>
    <w:rsid w:val="0071744B"/>
    <w:rsid w:val="007174BB"/>
    <w:rsid w:val="0071751A"/>
    <w:rsid w:val="00717754"/>
    <w:rsid w:val="0071784B"/>
    <w:rsid w:val="00717906"/>
    <w:rsid w:val="0071791B"/>
    <w:rsid w:val="00717DC6"/>
    <w:rsid w:val="00720005"/>
    <w:rsid w:val="0072004C"/>
    <w:rsid w:val="00720073"/>
    <w:rsid w:val="0072007A"/>
    <w:rsid w:val="0072038A"/>
    <w:rsid w:val="00720505"/>
    <w:rsid w:val="0072059E"/>
    <w:rsid w:val="007206F3"/>
    <w:rsid w:val="0072076A"/>
    <w:rsid w:val="007209EB"/>
    <w:rsid w:val="00720BF3"/>
    <w:rsid w:val="00720E6B"/>
    <w:rsid w:val="00720F50"/>
    <w:rsid w:val="007212D9"/>
    <w:rsid w:val="0072147B"/>
    <w:rsid w:val="0072151A"/>
    <w:rsid w:val="0072154A"/>
    <w:rsid w:val="0072182C"/>
    <w:rsid w:val="007219B7"/>
    <w:rsid w:val="00721BB2"/>
    <w:rsid w:val="00722218"/>
    <w:rsid w:val="007223CD"/>
    <w:rsid w:val="007225E1"/>
    <w:rsid w:val="00722698"/>
    <w:rsid w:val="0072271E"/>
    <w:rsid w:val="00722887"/>
    <w:rsid w:val="00722A1F"/>
    <w:rsid w:val="00722AA7"/>
    <w:rsid w:val="00722AF1"/>
    <w:rsid w:val="00722E64"/>
    <w:rsid w:val="00722FF5"/>
    <w:rsid w:val="00723124"/>
    <w:rsid w:val="00723137"/>
    <w:rsid w:val="00723203"/>
    <w:rsid w:val="007233E5"/>
    <w:rsid w:val="0072341B"/>
    <w:rsid w:val="00723610"/>
    <w:rsid w:val="0072387D"/>
    <w:rsid w:val="00723BB6"/>
    <w:rsid w:val="00723C83"/>
    <w:rsid w:val="00723DD2"/>
    <w:rsid w:val="00723F31"/>
    <w:rsid w:val="00723FFA"/>
    <w:rsid w:val="00724477"/>
    <w:rsid w:val="007247AA"/>
    <w:rsid w:val="0072486E"/>
    <w:rsid w:val="00724910"/>
    <w:rsid w:val="00724A77"/>
    <w:rsid w:val="00724E51"/>
    <w:rsid w:val="00725112"/>
    <w:rsid w:val="0072530A"/>
    <w:rsid w:val="007255C1"/>
    <w:rsid w:val="00725760"/>
    <w:rsid w:val="007257B7"/>
    <w:rsid w:val="00725BF1"/>
    <w:rsid w:val="00725E81"/>
    <w:rsid w:val="00725FE6"/>
    <w:rsid w:val="007260CE"/>
    <w:rsid w:val="00726390"/>
    <w:rsid w:val="00726408"/>
    <w:rsid w:val="007264FF"/>
    <w:rsid w:val="0072660B"/>
    <w:rsid w:val="007268A7"/>
    <w:rsid w:val="007268FE"/>
    <w:rsid w:val="007269B6"/>
    <w:rsid w:val="00726A4B"/>
    <w:rsid w:val="00726A9D"/>
    <w:rsid w:val="00726B71"/>
    <w:rsid w:val="00726C36"/>
    <w:rsid w:val="00726D64"/>
    <w:rsid w:val="00727205"/>
    <w:rsid w:val="00727440"/>
    <w:rsid w:val="007274A3"/>
    <w:rsid w:val="0072770D"/>
    <w:rsid w:val="00727B06"/>
    <w:rsid w:val="00727C87"/>
    <w:rsid w:val="00727D7D"/>
    <w:rsid w:val="00727F47"/>
    <w:rsid w:val="00727F6D"/>
    <w:rsid w:val="007302EF"/>
    <w:rsid w:val="00730525"/>
    <w:rsid w:val="0073060A"/>
    <w:rsid w:val="00730745"/>
    <w:rsid w:val="00730752"/>
    <w:rsid w:val="00730823"/>
    <w:rsid w:val="007308DF"/>
    <w:rsid w:val="00730BDF"/>
    <w:rsid w:val="00730C8B"/>
    <w:rsid w:val="00730EEC"/>
    <w:rsid w:val="00730F5C"/>
    <w:rsid w:val="00731041"/>
    <w:rsid w:val="00731069"/>
    <w:rsid w:val="007314D6"/>
    <w:rsid w:val="00731968"/>
    <w:rsid w:val="00731A19"/>
    <w:rsid w:val="00731EDE"/>
    <w:rsid w:val="00732000"/>
    <w:rsid w:val="00732101"/>
    <w:rsid w:val="0073225B"/>
    <w:rsid w:val="0073227A"/>
    <w:rsid w:val="00732694"/>
    <w:rsid w:val="007327CA"/>
    <w:rsid w:val="00732A9F"/>
    <w:rsid w:val="00732AA2"/>
    <w:rsid w:val="00732B65"/>
    <w:rsid w:val="00732FFF"/>
    <w:rsid w:val="0073313B"/>
    <w:rsid w:val="007333F8"/>
    <w:rsid w:val="00733403"/>
    <w:rsid w:val="00733535"/>
    <w:rsid w:val="00733670"/>
    <w:rsid w:val="00733760"/>
    <w:rsid w:val="0073379D"/>
    <w:rsid w:val="007337B9"/>
    <w:rsid w:val="00733A9A"/>
    <w:rsid w:val="007343B8"/>
    <w:rsid w:val="007346C7"/>
    <w:rsid w:val="0073488B"/>
    <w:rsid w:val="00734ACF"/>
    <w:rsid w:val="00734BCB"/>
    <w:rsid w:val="00734C82"/>
    <w:rsid w:val="00734E25"/>
    <w:rsid w:val="00735073"/>
    <w:rsid w:val="007355DB"/>
    <w:rsid w:val="00735812"/>
    <w:rsid w:val="007358DF"/>
    <w:rsid w:val="00735C84"/>
    <w:rsid w:val="0073617F"/>
    <w:rsid w:val="007361C6"/>
    <w:rsid w:val="0073652F"/>
    <w:rsid w:val="0073672C"/>
    <w:rsid w:val="00736E78"/>
    <w:rsid w:val="00736E79"/>
    <w:rsid w:val="00736FBD"/>
    <w:rsid w:val="00737003"/>
    <w:rsid w:val="0073717E"/>
    <w:rsid w:val="00737256"/>
    <w:rsid w:val="00737263"/>
    <w:rsid w:val="00737317"/>
    <w:rsid w:val="007376DA"/>
    <w:rsid w:val="00737907"/>
    <w:rsid w:val="00737921"/>
    <w:rsid w:val="007379BD"/>
    <w:rsid w:val="007379E6"/>
    <w:rsid w:val="00737ACF"/>
    <w:rsid w:val="00737D79"/>
    <w:rsid w:val="0074027F"/>
    <w:rsid w:val="00740889"/>
    <w:rsid w:val="0074090A"/>
    <w:rsid w:val="00741110"/>
    <w:rsid w:val="00741344"/>
    <w:rsid w:val="00741351"/>
    <w:rsid w:val="007415A0"/>
    <w:rsid w:val="0074172A"/>
    <w:rsid w:val="00741790"/>
    <w:rsid w:val="00741ABA"/>
    <w:rsid w:val="00741BB5"/>
    <w:rsid w:val="00741DA5"/>
    <w:rsid w:val="007421F1"/>
    <w:rsid w:val="007427EF"/>
    <w:rsid w:val="00742CAE"/>
    <w:rsid w:val="00742D14"/>
    <w:rsid w:val="0074308B"/>
    <w:rsid w:val="0074308E"/>
    <w:rsid w:val="00743553"/>
    <w:rsid w:val="0074362F"/>
    <w:rsid w:val="00743B74"/>
    <w:rsid w:val="00743CA6"/>
    <w:rsid w:val="00743D3A"/>
    <w:rsid w:val="00743DE8"/>
    <w:rsid w:val="00743FC7"/>
    <w:rsid w:val="00744137"/>
    <w:rsid w:val="00744CF5"/>
    <w:rsid w:val="00745376"/>
    <w:rsid w:val="0074544D"/>
    <w:rsid w:val="0074547B"/>
    <w:rsid w:val="007457BF"/>
    <w:rsid w:val="00745C9F"/>
    <w:rsid w:val="00745CA3"/>
    <w:rsid w:val="00745CB3"/>
    <w:rsid w:val="00746078"/>
    <w:rsid w:val="007460C6"/>
    <w:rsid w:val="007461EE"/>
    <w:rsid w:val="007462F1"/>
    <w:rsid w:val="007462F9"/>
    <w:rsid w:val="00746722"/>
    <w:rsid w:val="00746741"/>
    <w:rsid w:val="00746861"/>
    <w:rsid w:val="00746AB5"/>
    <w:rsid w:val="00746CFF"/>
    <w:rsid w:val="00746E45"/>
    <w:rsid w:val="00746FAE"/>
    <w:rsid w:val="007470BA"/>
    <w:rsid w:val="00747295"/>
    <w:rsid w:val="007474D5"/>
    <w:rsid w:val="007475F5"/>
    <w:rsid w:val="007477B5"/>
    <w:rsid w:val="007478FF"/>
    <w:rsid w:val="00747A0F"/>
    <w:rsid w:val="00747BE7"/>
    <w:rsid w:val="00747C73"/>
    <w:rsid w:val="00747F2F"/>
    <w:rsid w:val="0074A2E4"/>
    <w:rsid w:val="00750042"/>
    <w:rsid w:val="007502DC"/>
    <w:rsid w:val="0075047B"/>
    <w:rsid w:val="007507FC"/>
    <w:rsid w:val="00750A76"/>
    <w:rsid w:val="00750E57"/>
    <w:rsid w:val="00750FC2"/>
    <w:rsid w:val="0075107B"/>
    <w:rsid w:val="0075123D"/>
    <w:rsid w:val="007515F8"/>
    <w:rsid w:val="0075166E"/>
    <w:rsid w:val="00751758"/>
    <w:rsid w:val="00751A9F"/>
    <w:rsid w:val="00751BFB"/>
    <w:rsid w:val="00751F7B"/>
    <w:rsid w:val="007522A5"/>
    <w:rsid w:val="007524E9"/>
    <w:rsid w:val="007526A5"/>
    <w:rsid w:val="00752856"/>
    <w:rsid w:val="00752928"/>
    <w:rsid w:val="00752B26"/>
    <w:rsid w:val="00752BDC"/>
    <w:rsid w:val="00752C01"/>
    <w:rsid w:val="00752FA0"/>
    <w:rsid w:val="00753103"/>
    <w:rsid w:val="00753124"/>
    <w:rsid w:val="007532D7"/>
    <w:rsid w:val="007534ED"/>
    <w:rsid w:val="007535A4"/>
    <w:rsid w:val="007536DE"/>
    <w:rsid w:val="0075372B"/>
    <w:rsid w:val="007537EB"/>
    <w:rsid w:val="007539C1"/>
    <w:rsid w:val="00753F7F"/>
    <w:rsid w:val="00753FFB"/>
    <w:rsid w:val="0075406D"/>
    <w:rsid w:val="0075454E"/>
    <w:rsid w:val="00754652"/>
    <w:rsid w:val="007546DA"/>
    <w:rsid w:val="00754ACF"/>
    <w:rsid w:val="00754C47"/>
    <w:rsid w:val="00754F2D"/>
    <w:rsid w:val="00754F33"/>
    <w:rsid w:val="00755112"/>
    <w:rsid w:val="00755114"/>
    <w:rsid w:val="007551FC"/>
    <w:rsid w:val="0075525C"/>
    <w:rsid w:val="0075546A"/>
    <w:rsid w:val="00755747"/>
    <w:rsid w:val="00755B02"/>
    <w:rsid w:val="00755CFB"/>
    <w:rsid w:val="00755DAD"/>
    <w:rsid w:val="00755E6A"/>
    <w:rsid w:val="00755E96"/>
    <w:rsid w:val="00756118"/>
    <w:rsid w:val="0075631D"/>
    <w:rsid w:val="007563C5"/>
    <w:rsid w:val="0075672A"/>
    <w:rsid w:val="00756A46"/>
    <w:rsid w:val="00756C88"/>
    <w:rsid w:val="00757652"/>
    <w:rsid w:val="00757896"/>
    <w:rsid w:val="00757ACD"/>
    <w:rsid w:val="00757BC9"/>
    <w:rsid w:val="00757EDE"/>
    <w:rsid w:val="00757FE8"/>
    <w:rsid w:val="007601A2"/>
    <w:rsid w:val="007602AB"/>
    <w:rsid w:val="00760328"/>
    <w:rsid w:val="0076040E"/>
    <w:rsid w:val="00760418"/>
    <w:rsid w:val="0076047C"/>
    <w:rsid w:val="00760649"/>
    <w:rsid w:val="0076070D"/>
    <w:rsid w:val="007608BD"/>
    <w:rsid w:val="00760B14"/>
    <w:rsid w:val="00760FDD"/>
    <w:rsid w:val="00761261"/>
    <w:rsid w:val="007613BC"/>
    <w:rsid w:val="0076159F"/>
    <w:rsid w:val="0076185B"/>
    <w:rsid w:val="007618F1"/>
    <w:rsid w:val="007619FE"/>
    <w:rsid w:val="00761B0A"/>
    <w:rsid w:val="00761B4A"/>
    <w:rsid w:val="00761BF0"/>
    <w:rsid w:val="00761D85"/>
    <w:rsid w:val="00761DD3"/>
    <w:rsid w:val="00761EE5"/>
    <w:rsid w:val="00761F5B"/>
    <w:rsid w:val="0076229A"/>
    <w:rsid w:val="007622D6"/>
    <w:rsid w:val="007623CA"/>
    <w:rsid w:val="007627BD"/>
    <w:rsid w:val="00762807"/>
    <w:rsid w:val="00762988"/>
    <w:rsid w:val="00762B5B"/>
    <w:rsid w:val="00762D19"/>
    <w:rsid w:val="00762DAF"/>
    <w:rsid w:val="007630F8"/>
    <w:rsid w:val="0076317D"/>
    <w:rsid w:val="007633FF"/>
    <w:rsid w:val="0076346D"/>
    <w:rsid w:val="007635B9"/>
    <w:rsid w:val="007636B3"/>
    <w:rsid w:val="007636C3"/>
    <w:rsid w:val="00763701"/>
    <w:rsid w:val="00763C27"/>
    <w:rsid w:val="00763E70"/>
    <w:rsid w:val="00764411"/>
    <w:rsid w:val="007644B1"/>
    <w:rsid w:val="0076467E"/>
    <w:rsid w:val="00764C3A"/>
    <w:rsid w:val="00764F3D"/>
    <w:rsid w:val="007652F3"/>
    <w:rsid w:val="0076532B"/>
    <w:rsid w:val="00765351"/>
    <w:rsid w:val="007655C2"/>
    <w:rsid w:val="00765648"/>
    <w:rsid w:val="0076564C"/>
    <w:rsid w:val="00765664"/>
    <w:rsid w:val="007657AC"/>
    <w:rsid w:val="007658FC"/>
    <w:rsid w:val="00765B37"/>
    <w:rsid w:val="00765C50"/>
    <w:rsid w:val="00765C54"/>
    <w:rsid w:val="00765D9B"/>
    <w:rsid w:val="00765E64"/>
    <w:rsid w:val="00765FF2"/>
    <w:rsid w:val="00766111"/>
    <w:rsid w:val="00766466"/>
    <w:rsid w:val="007664D2"/>
    <w:rsid w:val="00766619"/>
    <w:rsid w:val="007666B4"/>
    <w:rsid w:val="0076678E"/>
    <w:rsid w:val="00766821"/>
    <w:rsid w:val="00766A7E"/>
    <w:rsid w:val="00766C24"/>
    <w:rsid w:val="00766C6D"/>
    <w:rsid w:val="00766D73"/>
    <w:rsid w:val="00766DB0"/>
    <w:rsid w:val="00766E80"/>
    <w:rsid w:val="00766ECC"/>
    <w:rsid w:val="00767192"/>
    <w:rsid w:val="00767419"/>
    <w:rsid w:val="00767459"/>
    <w:rsid w:val="007675AB"/>
    <w:rsid w:val="00767B34"/>
    <w:rsid w:val="00767CAF"/>
    <w:rsid w:val="0077001B"/>
    <w:rsid w:val="00770031"/>
    <w:rsid w:val="0077017F"/>
    <w:rsid w:val="00770A66"/>
    <w:rsid w:val="00770ACF"/>
    <w:rsid w:val="00770AF3"/>
    <w:rsid w:val="00770BD4"/>
    <w:rsid w:val="00770CBF"/>
    <w:rsid w:val="00770FF3"/>
    <w:rsid w:val="0077116C"/>
    <w:rsid w:val="0077120C"/>
    <w:rsid w:val="00771356"/>
    <w:rsid w:val="0077150A"/>
    <w:rsid w:val="00771657"/>
    <w:rsid w:val="0077166A"/>
    <w:rsid w:val="007717E7"/>
    <w:rsid w:val="007719A4"/>
    <w:rsid w:val="00771CC1"/>
    <w:rsid w:val="00771EA9"/>
    <w:rsid w:val="00771EF4"/>
    <w:rsid w:val="00771F3E"/>
    <w:rsid w:val="00771F85"/>
    <w:rsid w:val="0077243D"/>
    <w:rsid w:val="00772953"/>
    <w:rsid w:val="00772B09"/>
    <w:rsid w:val="00772D2E"/>
    <w:rsid w:val="00772D63"/>
    <w:rsid w:val="007730CF"/>
    <w:rsid w:val="007733CE"/>
    <w:rsid w:val="00773493"/>
    <w:rsid w:val="00773892"/>
    <w:rsid w:val="007739C2"/>
    <w:rsid w:val="00774349"/>
    <w:rsid w:val="007743B2"/>
    <w:rsid w:val="007743DE"/>
    <w:rsid w:val="0077457F"/>
    <w:rsid w:val="00774791"/>
    <w:rsid w:val="00774BE9"/>
    <w:rsid w:val="00774C76"/>
    <w:rsid w:val="00774C8D"/>
    <w:rsid w:val="00774CFD"/>
    <w:rsid w:val="00774EB9"/>
    <w:rsid w:val="00774EEE"/>
    <w:rsid w:val="0077504C"/>
    <w:rsid w:val="00775056"/>
    <w:rsid w:val="00775241"/>
    <w:rsid w:val="007752E4"/>
    <w:rsid w:val="007754BB"/>
    <w:rsid w:val="007754F4"/>
    <w:rsid w:val="007755A0"/>
    <w:rsid w:val="007755E5"/>
    <w:rsid w:val="0077569B"/>
    <w:rsid w:val="00775A7E"/>
    <w:rsid w:val="00775BA1"/>
    <w:rsid w:val="00775DCF"/>
    <w:rsid w:val="00775E61"/>
    <w:rsid w:val="0077617E"/>
    <w:rsid w:val="00776245"/>
    <w:rsid w:val="0077634B"/>
    <w:rsid w:val="00776480"/>
    <w:rsid w:val="00776A4A"/>
    <w:rsid w:val="00776A92"/>
    <w:rsid w:val="00777094"/>
    <w:rsid w:val="007770AB"/>
    <w:rsid w:val="0077717B"/>
    <w:rsid w:val="007772A3"/>
    <w:rsid w:val="007773A0"/>
    <w:rsid w:val="007774E9"/>
    <w:rsid w:val="00777951"/>
    <w:rsid w:val="00777956"/>
    <w:rsid w:val="0077799A"/>
    <w:rsid w:val="00777A75"/>
    <w:rsid w:val="00777AA2"/>
    <w:rsid w:val="00777B60"/>
    <w:rsid w:val="00777B91"/>
    <w:rsid w:val="00777C11"/>
    <w:rsid w:val="00777C23"/>
    <w:rsid w:val="00777CD8"/>
    <w:rsid w:val="00777FAA"/>
    <w:rsid w:val="007802A6"/>
    <w:rsid w:val="00780318"/>
    <w:rsid w:val="007803C4"/>
    <w:rsid w:val="007808C3"/>
    <w:rsid w:val="00780C91"/>
    <w:rsid w:val="00781187"/>
    <w:rsid w:val="00781353"/>
    <w:rsid w:val="00781796"/>
    <w:rsid w:val="007817C0"/>
    <w:rsid w:val="00781842"/>
    <w:rsid w:val="007819BD"/>
    <w:rsid w:val="00781C51"/>
    <w:rsid w:val="00781D0F"/>
    <w:rsid w:val="00781E7B"/>
    <w:rsid w:val="00782203"/>
    <w:rsid w:val="00782597"/>
    <w:rsid w:val="00782621"/>
    <w:rsid w:val="00782818"/>
    <w:rsid w:val="0078282A"/>
    <w:rsid w:val="0078290C"/>
    <w:rsid w:val="0078299C"/>
    <w:rsid w:val="00782B82"/>
    <w:rsid w:val="00782C9C"/>
    <w:rsid w:val="00782CDC"/>
    <w:rsid w:val="00782EC2"/>
    <w:rsid w:val="00782FF6"/>
    <w:rsid w:val="0078309C"/>
    <w:rsid w:val="007830CE"/>
    <w:rsid w:val="00783478"/>
    <w:rsid w:val="00783610"/>
    <w:rsid w:val="00783682"/>
    <w:rsid w:val="0078386A"/>
    <w:rsid w:val="007838B9"/>
    <w:rsid w:val="00783ADA"/>
    <w:rsid w:val="007840DA"/>
    <w:rsid w:val="00784256"/>
    <w:rsid w:val="0078448E"/>
    <w:rsid w:val="00784603"/>
    <w:rsid w:val="007846E9"/>
    <w:rsid w:val="00784750"/>
    <w:rsid w:val="00784754"/>
    <w:rsid w:val="0078483E"/>
    <w:rsid w:val="00784844"/>
    <w:rsid w:val="00784AE9"/>
    <w:rsid w:val="00784BD9"/>
    <w:rsid w:val="00784C6D"/>
    <w:rsid w:val="00784D38"/>
    <w:rsid w:val="00784E6C"/>
    <w:rsid w:val="007852F5"/>
    <w:rsid w:val="00785938"/>
    <w:rsid w:val="00785D27"/>
    <w:rsid w:val="00785D9E"/>
    <w:rsid w:val="00785FA3"/>
    <w:rsid w:val="00786070"/>
    <w:rsid w:val="00786116"/>
    <w:rsid w:val="00786650"/>
    <w:rsid w:val="007868B2"/>
    <w:rsid w:val="00786922"/>
    <w:rsid w:val="00786A13"/>
    <w:rsid w:val="00786B9E"/>
    <w:rsid w:val="00786BD6"/>
    <w:rsid w:val="00786ED6"/>
    <w:rsid w:val="00786FC0"/>
    <w:rsid w:val="00786FCC"/>
    <w:rsid w:val="007871F9"/>
    <w:rsid w:val="007872C6"/>
    <w:rsid w:val="00787416"/>
    <w:rsid w:val="0078746B"/>
    <w:rsid w:val="007877ED"/>
    <w:rsid w:val="00787B6E"/>
    <w:rsid w:val="00787D1D"/>
    <w:rsid w:val="00787EDC"/>
    <w:rsid w:val="00790007"/>
    <w:rsid w:val="007904DA"/>
    <w:rsid w:val="0079064B"/>
    <w:rsid w:val="00790A78"/>
    <w:rsid w:val="00790C24"/>
    <w:rsid w:val="00790C7E"/>
    <w:rsid w:val="00790ECD"/>
    <w:rsid w:val="00790F24"/>
    <w:rsid w:val="0079115F"/>
    <w:rsid w:val="007912B5"/>
    <w:rsid w:val="00791594"/>
    <w:rsid w:val="00791799"/>
    <w:rsid w:val="00791B22"/>
    <w:rsid w:val="00791BC2"/>
    <w:rsid w:val="00791C76"/>
    <w:rsid w:val="00791C91"/>
    <w:rsid w:val="00791D10"/>
    <w:rsid w:val="00791D97"/>
    <w:rsid w:val="00791E3D"/>
    <w:rsid w:val="00792187"/>
    <w:rsid w:val="007923CC"/>
    <w:rsid w:val="00792709"/>
    <w:rsid w:val="00792829"/>
    <w:rsid w:val="00792A00"/>
    <w:rsid w:val="00792A5A"/>
    <w:rsid w:val="007933E3"/>
    <w:rsid w:val="00793457"/>
    <w:rsid w:val="007934FA"/>
    <w:rsid w:val="00793AF0"/>
    <w:rsid w:val="00793BB3"/>
    <w:rsid w:val="00793DB8"/>
    <w:rsid w:val="0079401A"/>
    <w:rsid w:val="00794084"/>
    <w:rsid w:val="00794099"/>
    <w:rsid w:val="00794103"/>
    <w:rsid w:val="00794261"/>
    <w:rsid w:val="007945EB"/>
    <w:rsid w:val="0079488C"/>
    <w:rsid w:val="00794AF8"/>
    <w:rsid w:val="00794C35"/>
    <w:rsid w:val="00794C73"/>
    <w:rsid w:val="00794F58"/>
    <w:rsid w:val="0079506C"/>
    <w:rsid w:val="007950EE"/>
    <w:rsid w:val="0079510E"/>
    <w:rsid w:val="00795380"/>
    <w:rsid w:val="0079549A"/>
    <w:rsid w:val="0079560A"/>
    <w:rsid w:val="0079566E"/>
    <w:rsid w:val="00795D41"/>
    <w:rsid w:val="00795E60"/>
    <w:rsid w:val="00795EB5"/>
    <w:rsid w:val="00796309"/>
    <w:rsid w:val="007963BC"/>
    <w:rsid w:val="0079652C"/>
    <w:rsid w:val="00796592"/>
    <w:rsid w:val="007965AF"/>
    <w:rsid w:val="007966B8"/>
    <w:rsid w:val="00796A3B"/>
    <w:rsid w:val="00796A7A"/>
    <w:rsid w:val="00796C76"/>
    <w:rsid w:val="007972C1"/>
    <w:rsid w:val="0079748D"/>
    <w:rsid w:val="00797505"/>
    <w:rsid w:val="007975F9"/>
    <w:rsid w:val="00797707"/>
    <w:rsid w:val="007978AA"/>
    <w:rsid w:val="00797A74"/>
    <w:rsid w:val="00797AC6"/>
    <w:rsid w:val="00797BAA"/>
    <w:rsid w:val="00797C2E"/>
    <w:rsid w:val="007A0043"/>
    <w:rsid w:val="007A008C"/>
    <w:rsid w:val="007A008E"/>
    <w:rsid w:val="007A04EF"/>
    <w:rsid w:val="007A07D4"/>
    <w:rsid w:val="007A08EE"/>
    <w:rsid w:val="007A0944"/>
    <w:rsid w:val="007A0C27"/>
    <w:rsid w:val="007A0DF4"/>
    <w:rsid w:val="007A10B9"/>
    <w:rsid w:val="007A11D9"/>
    <w:rsid w:val="007A124E"/>
    <w:rsid w:val="007A1251"/>
    <w:rsid w:val="007A126A"/>
    <w:rsid w:val="007A142F"/>
    <w:rsid w:val="007A17F4"/>
    <w:rsid w:val="007A194C"/>
    <w:rsid w:val="007A1B98"/>
    <w:rsid w:val="007A1BAF"/>
    <w:rsid w:val="007A1EF1"/>
    <w:rsid w:val="007A2262"/>
    <w:rsid w:val="007A24B7"/>
    <w:rsid w:val="007A272E"/>
    <w:rsid w:val="007A2C22"/>
    <w:rsid w:val="007A2C91"/>
    <w:rsid w:val="007A2E08"/>
    <w:rsid w:val="007A2E5E"/>
    <w:rsid w:val="007A2E86"/>
    <w:rsid w:val="007A2E9F"/>
    <w:rsid w:val="007A302C"/>
    <w:rsid w:val="007A32A9"/>
    <w:rsid w:val="007A3577"/>
    <w:rsid w:val="007A3703"/>
    <w:rsid w:val="007A3A91"/>
    <w:rsid w:val="007A3BDD"/>
    <w:rsid w:val="007A3D73"/>
    <w:rsid w:val="007A3F1B"/>
    <w:rsid w:val="007A413A"/>
    <w:rsid w:val="007A4516"/>
    <w:rsid w:val="007A45F3"/>
    <w:rsid w:val="007A489E"/>
    <w:rsid w:val="007A48E7"/>
    <w:rsid w:val="007A4C24"/>
    <w:rsid w:val="007A4EE6"/>
    <w:rsid w:val="007A4F54"/>
    <w:rsid w:val="007A546F"/>
    <w:rsid w:val="007A5AE1"/>
    <w:rsid w:val="007A5B5A"/>
    <w:rsid w:val="007A5B67"/>
    <w:rsid w:val="007A60F9"/>
    <w:rsid w:val="007A6200"/>
    <w:rsid w:val="007A62DD"/>
    <w:rsid w:val="007A672D"/>
    <w:rsid w:val="007A68BF"/>
    <w:rsid w:val="007A6A3E"/>
    <w:rsid w:val="007A6B29"/>
    <w:rsid w:val="007A6BEF"/>
    <w:rsid w:val="007A6F2C"/>
    <w:rsid w:val="007A714B"/>
    <w:rsid w:val="007A756A"/>
    <w:rsid w:val="007A75EB"/>
    <w:rsid w:val="007A774B"/>
    <w:rsid w:val="007A7B23"/>
    <w:rsid w:val="007A7CAB"/>
    <w:rsid w:val="007AF936"/>
    <w:rsid w:val="007B005A"/>
    <w:rsid w:val="007B040F"/>
    <w:rsid w:val="007B0416"/>
    <w:rsid w:val="007B0608"/>
    <w:rsid w:val="007B07E4"/>
    <w:rsid w:val="007B089C"/>
    <w:rsid w:val="007B0CFF"/>
    <w:rsid w:val="007B1037"/>
    <w:rsid w:val="007B1273"/>
    <w:rsid w:val="007B1634"/>
    <w:rsid w:val="007B19DE"/>
    <w:rsid w:val="007B1A19"/>
    <w:rsid w:val="007B1AFE"/>
    <w:rsid w:val="007B1BD6"/>
    <w:rsid w:val="007B1C47"/>
    <w:rsid w:val="007B1F7F"/>
    <w:rsid w:val="007B1FB9"/>
    <w:rsid w:val="007B225F"/>
    <w:rsid w:val="007B248E"/>
    <w:rsid w:val="007B25EA"/>
    <w:rsid w:val="007B2769"/>
    <w:rsid w:val="007B27C7"/>
    <w:rsid w:val="007B2D4B"/>
    <w:rsid w:val="007B2DAF"/>
    <w:rsid w:val="007B2E23"/>
    <w:rsid w:val="007B30A1"/>
    <w:rsid w:val="007B3207"/>
    <w:rsid w:val="007B320C"/>
    <w:rsid w:val="007B3768"/>
    <w:rsid w:val="007B38BB"/>
    <w:rsid w:val="007B3AD8"/>
    <w:rsid w:val="007B3C73"/>
    <w:rsid w:val="007B3D70"/>
    <w:rsid w:val="007B3D82"/>
    <w:rsid w:val="007B3ED6"/>
    <w:rsid w:val="007B3F8E"/>
    <w:rsid w:val="007B415B"/>
    <w:rsid w:val="007B4176"/>
    <w:rsid w:val="007B429A"/>
    <w:rsid w:val="007B46BD"/>
    <w:rsid w:val="007B4700"/>
    <w:rsid w:val="007B4999"/>
    <w:rsid w:val="007B49A3"/>
    <w:rsid w:val="007B4A74"/>
    <w:rsid w:val="007B4B73"/>
    <w:rsid w:val="007B4CA0"/>
    <w:rsid w:val="007B4DE3"/>
    <w:rsid w:val="007B4FAA"/>
    <w:rsid w:val="007B5173"/>
    <w:rsid w:val="007B518A"/>
    <w:rsid w:val="007B53BE"/>
    <w:rsid w:val="007B599F"/>
    <w:rsid w:val="007B5B31"/>
    <w:rsid w:val="007B5B5B"/>
    <w:rsid w:val="007B5BC4"/>
    <w:rsid w:val="007B5C8B"/>
    <w:rsid w:val="007B5D78"/>
    <w:rsid w:val="007B5ECC"/>
    <w:rsid w:val="007B5FFE"/>
    <w:rsid w:val="007B61E1"/>
    <w:rsid w:val="007B6472"/>
    <w:rsid w:val="007B6610"/>
    <w:rsid w:val="007B704B"/>
    <w:rsid w:val="007B715E"/>
    <w:rsid w:val="007B71E9"/>
    <w:rsid w:val="007B7291"/>
    <w:rsid w:val="007B7AAF"/>
    <w:rsid w:val="007C00AC"/>
    <w:rsid w:val="007C036A"/>
    <w:rsid w:val="007C03B0"/>
    <w:rsid w:val="007C0491"/>
    <w:rsid w:val="007C09E6"/>
    <w:rsid w:val="007C0A1D"/>
    <w:rsid w:val="007C0CF3"/>
    <w:rsid w:val="007C0D50"/>
    <w:rsid w:val="007C0E53"/>
    <w:rsid w:val="007C0EC9"/>
    <w:rsid w:val="007C135A"/>
    <w:rsid w:val="007C144A"/>
    <w:rsid w:val="007C14E8"/>
    <w:rsid w:val="007C1509"/>
    <w:rsid w:val="007C16F7"/>
    <w:rsid w:val="007C1A35"/>
    <w:rsid w:val="007C1B7D"/>
    <w:rsid w:val="007C1B98"/>
    <w:rsid w:val="007C1FAA"/>
    <w:rsid w:val="007C20AA"/>
    <w:rsid w:val="007C2151"/>
    <w:rsid w:val="007C23C9"/>
    <w:rsid w:val="007C254B"/>
    <w:rsid w:val="007C2605"/>
    <w:rsid w:val="007C2662"/>
    <w:rsid w:val="007C2B5E"/>
    <w:rsid w:val="007C2C03"/>
    <w:rsid w:val="007C2D68"/>
    <w:rsid w:val="007C2D88"/>
    <w:rsid w:val="007C2EBD"/>
    <w:rsid w:val="007C3458"/>
    <w:rsid w:val="007C37F9"/>
    <w:rsid w:val="007C38A2"/>
    <w:rsid w:val="007C38CD"/>
    <w:rsid w:val="007C3D2A"/>
    <w:rsid w:val="007C4514"/>
    <w:rsid w:val="007C47C6"/>
    <w:rsid w:val="007C4BAE"/>
    <w:rsid w:val="007C4CA8"/>
    <w:rsid w:val="007C4E00"/>
    <w:rsid w:val="007C4E45"/>
    <w:rsid w:val="007C4F18"/>
    <w:rsid w:val="007C504D"/>
    <w:rsid w:val="007C5305"/>
    <w:rsid w:val="007C530D"/>
    <w:rsid w:val="007C5418"/>
    <w:rsid w:val="007C5909"/>
    <w:rsid w:val="007C5B1F"/>
    <w:rsid w:val="007C5B6C"/>
    <w:rsid w:val="007C5F80"/>
    <w:rsid w:val="007C61E8"/>
    <w:rsid w:val="007C6673"/>
    <w:rsid w:val="007C66B9"/>
    <w:rsid w:val="007C6A72"/>
    <w:rsid w:val="007C6BD5"/>
    <w:rsid w:val="007C70BB"/>
    <w:rsid w:val="007C71D8"/>
    <w:rsid w:val="007C726C"/>
    <w:rsid w:val="007C73D9"/>
    <w:rsid w:val="007C73F8"/>
    <w:rsid w:val="007C7463"/>
    <w:rsid w:val="007C7C89"/>
    <w:rsid w:val="007C7D04"/>
    <w:rsid w:val="007C7D37"/>
    <w:rsid w:val="007D0030"/>
    <w:rsid w:val="007D0197"/>
    <w:rsid w:val="007D0243"/>
    <w:rsid w:val="007D07FA"/>
    <w:rsid w:val="007D0C39"/>
    <w:rsid w:val="007D0CA1"/>
    <w:rsid w:val="007D0E9D"/>
    <w:rsid w:val="007D1123"/>
    <w:rsid w:val="007D1155"/>
    <w:rsid w:val="007D131C"/>
    <w:rsid w:val="007D155F"/>
    <w:rsid w:val="007D1650"/>
    <w:rsid w:val="007D1662"/>
    <w:rsid w:val="007D17E5"/>
    <w:rsid w:val="007D1949"/>
    <w:rsid w:val="007D228E"/>
    <w:rsid w:val="007D22F5"/>
    <w:rsid w:val="007D2752"/>
    <w:rsid w:val="007D27D0"/>
    <w:rsid w:val="007D2901"/>
    <w:rsid w:val="007D2928"/>
    <w:rsid w:val="007D2B6E"/>
    <w:rsid w:val="007D2C33"/>
    <w:rsid w:val="007D2C52"/>
    <w:rsid w:val="007D2CCF"/>
    <w:rsid w:val="007D2DA7"/>
    <w:rsid w:val="007D33E4"/>
    <w:rsid w:val="007D34D9"/>
    <w:rsid w:val="007D3BCE"/>
    <w:rsid w:val="007D3BFC"/>
    <w:rsid w:val="007D3C5D"/>
    <w:rsid w:val="007D3DD3"/>
    <w:rsid w:val="007D3E0A"/>
    <w:rsid w:val="007D3E9A"/>
    <w:rsid w:val="007D3F71"/>
    <w:rsid w:val="007D3FD3"/>
    <w:rsid w:val="007D416A"/>
    <w:rsid w:val="007D42E9"/>
    <w:rsid w:val="007D4447"/>
    <w:rsid w:val="007D472E"/>
    <w:rsid w:val="007D47C7"/>
    <w:rsid w:val="007D4E5D"/>
    <w:rsid w:val="007D5109"/>
    <w:rsid w:val="007D527D"/>
    <w:rsid w:val="007D57D3"/>
    <w:rsid w:val="007D5A61"/>
    <w:rsid w:val="007D5A78"/>
    <w:rsid w:val="007D5A92"/>
    <w:rsid w:val="007D5AC0"/>
    <w:rsid w:val="007D5D33"/>
    <w:rsid w:val="007D5FCC"/>
    <w:rsid w:val="007D60DA"/>
    <w:rsid w:val="007D658D"/>
    <w:rsid w:val="007D683E"/>
    <w:rsid w:val="007D6984"/>
    <w:rsid w:val="007D6C63"/>
    <w:rsid w:val="007D6C66"/>
    <w:rsid w:val="007D6CAF"/>
    <w:rsid w:val="007D70DA"/>
    <w:rsid w:val="007D71B7"/>
    <w:rsid w:val="007D721F"/>
    <w:rsid w:val="007D7343"/>
    <w:rsid w:val="007D7533"/>
    <w:rsid w:val="007D75BA"/>
    <w:rsid w:val="007D75F1"/>
    <w:rsid w:val="007D76D4"/>
    <w:rsid w:val="007D7958"/>
    <w:rsid w:val="007D7E57"/>
    <w:rsid w:val="007D7F1E"/>
    <w:rsid w:val="007D7FEE"/>
    <w:rsid w:val="007E0097"/>
    <w:rsid w:val="007E04C3"/>
    <w:rsid w:val="007E0755"/>
    <w:rsid w:val="007E082C"/>
    <w:rsid w:val="007E0A0D"/>
    <w:rsid w:val="007E0AA6"/>
    <w:rsid w:val="007E0AFB"/>
    <w:rsid w:val="007E0F03"/>
    <w:rsid w:val="007E1659"/>
    <w:rsid w:val="007E167C"/>
    <w:rsid w:val="007E1682"/>
    <w:rsid w:val="007E1A8D"/>
    <w:rsid w:val="007E1C02"/>
    <w:rsid w:val="007E1C87"/>
    <w:rsid w:val="007E1E0D"/>
    <w:rsid w:val="007E2228"/>
    <w:rsid w:val="007E230E"/>
    <w:rsid w:val="007E274C"/>
    <w:rsid w:val="007E27CC"/>
    <w:rsid w:val="007E29EE"/>
    <w:rsid w:val="007E2B25"/>
    <w:rsid w:val="007E2C13"/>
    <w:rsid w:val="007E2D75"/>
    <w:rsid w:val="007E2EFC"/>
    <w:rsid w:val="007E30B5"/>
    <w:rsid w:val="007E342B"/>
    <w:rsid w:val="007E36D7"/>
    <w:rsid w:val="007E3827"/>
    <w:rsid w:val="007E3BDA"/>
    <w:rsid w:val="007E3D9B"/>
    <w:rsid w:val="007E3DDA"/>
    <w:rsid w:val="007E467F"/>
    <w:rsid w:val="007E468C"/>
    <w:rsid w:val="007E46F7"/>
    <w:rsid w:val="007E4858"/>
    <w:rsid w:val="007E4D42"/>
    <w:rsid w:val="007E4E48"/>
    <w:rsid w:val="007E50AA"/>
    <w:rsid w:val="007E5106"/>
    <w:rsid w:val="007E5146"/>
    <w:rsid w:val="007E51D2"/>
    <w:rsid w:val="007E531A"/>
    <w:rsid w:val="007E5884"/>
    <w:rsid w:val="007E593E"/>
    <w:rsid w:val="007E598D"/>
    <w:rsid w:val="007E59BA"/>
    <w:rsid w:val="007E5AEA"/>
    <w:rsid w:val="007E5E63"/>
    <w:rsid w:val="007E5F44"/>
    <w:rsid w:val="007E610D"/>
    <w:rsid w:val="007E6322"/>
    <w:rsid w:val="007E635F"/>
    <w:rsid w:val="007E66CF"/>
    <w:rsid w:val="007E6819"/>
    <w:rsid w:val="007E6959"/>
    <w:rsid w:val="007E6C83"/>
    <w:rsid w:val="007E703F"/>
    <w:rsid w:val="007E7704"/>
    <w:rsid w:val="007E77AF"/>
    <w:rsid w:val="007E77FC"/>
    <w:rsid w:val="007E7C34"/>
    <w:rsid w:val="007E7CAB"/>
    <w:rsid w:val="007F0073"/>
    <w:rsid w:val="007F0178"/>
    <w:rsid w:val="007F026D"/>
    <w:rsid w:val="007F02E7"/>
    <w:rsid w:val="007F03E2"/>
    <w:rsid w:val="007F0557"/>
    <w:rsid w:val="007F0754"/>
    <w:rsid w:val="007F0A9F"/>
    <w:rsid w:val="007F0AC2"/>
    <w:rsid w:val="007F0CAC"/>
    <w:rsid w:val="007F0E3C"/>
    <w:rsid w:val="007F0F73"/>
    <w:rsid w:val="007F0F98"/>
    <w:rsid w:val="007F10DD"/>
    <w:rsid w:val="007F125B"/>
    <w:rsid w:val="007F134D"/>
    <w:rsid w:val="007F15E2"/>
    <w:rsid w:val="007F17B4"/>
    <w:rsid w:val="007F17F9"/>
    <w:rsid w:val="007F186B"/>
    <w:rsid w:val="007F1A10"/>
    <w:rsid w:val="007F1CBD"/>
    <w:rsid w:val="007F1DE5"/>
    <w:rsid w:val="007F2012"/>
    <w:rsid w:val="007F2241"/>
    <w:rsid w:val="007F2433"/>
    <w:rsid w:val="007F2A7D"/>
    <w:rsid w:val="007F2AF8"/>
    <w:rsid w:val="007F2D03"/>
    <w:rsid w:val="007F3245"/>
    <w:rsid w:val="007F35AD"/>
    <w:rsid w:val="007F370D"/>
    <w:rsid w:val="007F3CCA"/>
    <w:rsid w:val="007F3CD2"/>
    <w:rsid w:val="007F3D14"/>
    <w:rsid w:val="007F3D67"/>
    <w:rsid w:val="007F3E8B"/>
    <w:rsid w:val="007F43ED"/>
    <w:rsid w:val="007F4544"/>
    <w:rsid w:val="007F45ED"/>
    <w:rsid w:val="007F48B8"/>
    <w:rsid w:val="007F4903"/>
    <w:rsid w:val="007F498B"/>
    <w:rsid w:val="007F4D71"/>
    <w:rsid w:val="007F542D"/>
    <w:rsid w:val="007F5436"/>
    <w:rsid w:val="007F5D2D"/>
    <w:rsid w:val="007F614A"/>
    <w:rsid w:val="007F63D9"/>
    <w:rsid w:val="007F63E6"/>
    <w:rsid w:val="007F63F9"/>
    <w:rsid w:val="007F6561"/>
    <w:rsid w:val="007F6801"/>
    <w:rsid w:val="007F684D"/>
    <w:rsid w:val="007F6A59"/>
    <w:rsid w:val="007F6BCA"/>
    <w:rsid w:val="007F6D85"/>
    <w:rsid w:val="007F6D97"/>
    <w:rsid w:val="007F6E4F"/>
    <w:rsid w:val="007F72DE"/>
    <w:rsid w:val="007F7387"/>
    <w:rsid w:val="007F74A9"/>
    <w:rsid w:val="007F77A2"/>
    <w:rsid w:val="007F7896"/>
    <w:rsid w:val="007F7C90"/>
    <w:rsid w:val="007F7CEE"/>
    <w:rsid w:val="007F7D35"/>
    <w:rsid w:val="007F7DDE"/>
    <w:rsid w:val="007F7E37"/>
    <w:rsid w:val="007F7ECB"/>
    <w:rsid w:val="00800084"/>
    <w:rsid w:val="0080009E"/>
    <w:rsid w:val="008000F0"/>
    <w:rsid w:val="00800395"/>
    <w:rsid w:val="00800505"/>
    <w:rsid w:val="00800D32"/>
    <w:rsid w:val="00801498"/>
    <w:rsid w:val="00801532"/>
    <w:rsid w:val="0080164F"/>
    <w:rsid w:val="008016B5"/>
    <w:rsid w:val="00801879"/>
    <w:rsid w:val="0080194E"/>
    <w:rsid w:val="00801B01"/>
    <w:rsid w:val="00802132"/>
    <w:rsid w:val="00802517"/>
    <w:rsid w:val="008025D8"/>
    <w:rsid w:val="0080288F"/>
    <w:rsid w:val="00802CC1"/>
    <w:rsid w:val="00803119"/>
    <w:rsid w:val="008031D9"/>
    <w:rsid w:val="008031F4"/>
    <w:rsid w:val="008035DD"/>
    <w:rsid w:val="0080370A"/>
    <w:rsid w:val="0080373D"/>
    <w:rsid w:val="008037B8"/>
    <w:rsid w:val="008037D1"/>
    <w:rsid w:val="008037FC"/>
    <w:rsid w:val="00803893"/>
    <w:rsid w:val="008038C6"/>
    <w:rsid w:val="00803A00"/>
    <w:rsid w:val="00803A6E"/>
    <w:rsid w:val="00803C99"/>
    <w:rsid w:val="00803D5C"/>
    <w:rsid w:val="00803E54"/>
    <w:rsid w:val="00803EE2"/>
    <w:rsid w:val="008040EB"/>
    <w:rsid w:val="008041F2"/>
    <w:rsid w:val="00804343"/>
    <w:rsid w:val="00804413"/>
    <w:rsid w:val="008047A6"/>
    <w:rsid w:val="00804A91"/>
    <w:rsid w:val="00804AE1"/>
    <w:rsid w:val="00805143"/>
    <w:rsid w:val="008054A3"/>
    <w:rsid w:val="0080553A"/>
    <w:rsid w:val="0080553E"/>
    <w:rsid w:val="008055B6"/>
    <w:rsid w:val="008058D5"/>
    <w:rsid w:val="00805A9A"/>
    <w:rsid w:val="00805C92"/>
    <w:rsid w:val="00806364"/>
    <w:rsid w:val="008064F0"/>
    <w:rsid w:val="008065C7"/>
    <w:rsid w:val="008065F1"/>
    <w:rsid w:val="0080673A"/>
    <w:rsid w:val="008067B2"/>
    <w:rsid w:val="008068C9"/>
    <w:rsid w:val="00806E31"/>
    <w:rsid w:val="00807055"/>
    <w:rsid w:val="008070CC"/>
    <w:rsid w:val="008071F1"/>
    <w:rsid w:val="008072E3"/>
    <w:rsid w:val="00807352"/>
    <w:rsid w:val="00807496"/>
    <w:rsid w:val="0080773F"/>
    <w:rsid w:val="008077B0"/>
    <w:rsid w:val="00807E19"/>
    <w:rsid w:val="0080B4D9"/>
    <w:rsid w:val="008101C8"/>
    <w:rsid w:val="008108B2"/>
    <w:rsid w:val="00810958"/>
    <w:rsid w:val="00810A08"/>
    <w:rsid w:val="00810BB5"/>
    <w:rsid w:val="00810E7B"/>
    <w:rsid w:val="0081114E"/>
    <w:rsid w:val="00811212"/>
    <w:rsid w:val="00811251"/>
    <w:rsid w:val="008113AC"/>
    <w:rsid w:val="008115E0"/>
    <w:rsid w:val="008116C6"/>
    <w:rsid w:val="00811A27"/>
    <w:rsid w:val="00811C3E"/>
    <w:rsid w:val="00811CDE"/>
    <w:rsid w:val="00811E09"/>
    <w:rsid w:val="00811F1E"/>
    <w:rsid w:val="00812037"/>
    <w:rsid w:val="0081217D"/>
    <w:rsid w:val="0081244F"/>
    <w:rsid w:val="008125E8"/>
    <w:rsid w:val="00812813"/>
    <w:rsid w:val="00812A9D"/>
    <w:rsid w:val="00812DAB"/>
    <w:rsid w:val="00812F71"/>
    <w:rsid w:val="00813103"/>
    <w:rsid w:val="0081353D"/>
    <w:rsid w:val="00813761"/>
    <w:rsid w:val="008138AF"/>
    <w:rsid w:val="008138FC"/>
    <w:rsid w:val="00813918"/>
    <w:rsid w:val="00813B03"/>
    <w:rsid w:val="00813B19"/>
    <w:rsid w:val="00814046"/>
    <w:rsid w:val="008141F2"/>
    <w:rsid w:val="0081444E"/>
    <w:rsid w:val="008144D7"/>
    <w:rsid w:val="00814920"/>
    <w:rsid w:val="00814BC8"/>
    <w:rsid w:val="00814D12"/>
    <w:rsid w:val="00814DAD"/>
    <w:rsid w:val="00814F33"/>
    <w:rsid w:val="008152A0"/>
    <w:rsid w:val="00815664"/>
    <w:rsid w:val="0081588A"/>
    <w:rsid w:val="00815A17"/>
    <w:rsid w:val="00815CC8"/>
    <w:rsid w:val="00815E17"/>
    <w:rsid w:val="00815FBD"/>
    <w:rsid w:val="00816088"/>
    <w:rsid w:val="00816157"/>
    <w:rsid w:val="00816433"/>
    <w:rsid w:val="00816507"/>
    <w:rsid w:val="00816513"/>
    <w:rsid w:val="00816650"/>
    <w:rsid w:val="0081666A"/>
    <w:rsid w:val="008167BF"/>
    <w:rsid w:val="00816A24"/>
    <w:rsid w:val="00816B2E"/>
    <w:rsid w:val="00816E92"/>
    <w:rsid w:val="00816F0C"/>
    <w:rsid w:val="008172C9"/>
    <w:rsid w:val="008175C1"/>
    <w:rsid w:val="00817774"/>
    <w:rsid w:val="00817A26"/>
    <w:rsid w:val="00817B3F"/>
    <w:rsid w:val="00817C28"/>
    <w:rsid w:val="00819630"/>
    <w:rsid w:val="00820112"/>
    <w:rsid w:val="00820305"/>
    <w:rsid w:val="00820323"/>
    <w:rsid w:val="00820497"/>
    <w:rsid w:val="00820662"/>
    <w:rsid w:val="0082069C"/>
    <w:rsid w:val="0082076D"/>
    <w:rsid w:val="008208BF"/>
    <w:rsid w:val="0082094F"/>
    <w:rsid w:val="008209BC"/>
    <w:rsid w:val="00820DC9"/>
    <w:rsid w:val="0082127B"/>
    <w:rsid w:val="008217C6"/>
    <w:rsid w:val="0082181D"/>
    <w:rsid w:val="00821B27"/>
    <w:rsid w:val="00821B67"/>
    <w:rsid w:val="00821EA9"/>
    <w:rsid w:val="00822048"/>
    <w:rsid w:val="00822070"/>
    <w:rsid w:val="008220ED"/>
    <w:rsid w:val="00822139"/>
    <w:rsid w:val="00822290"/>
    <w:rsid w:val="00822406"/>
    <w:rsid w:val="008224A9"/>
    <w:rsid w:val="00822778"/>
    <w:rsid w:val="00822785"/>
    <w:rsid w:val="0082295A"/>
    <w:rsid w:val="00822CCB"/>
    <w:rsid w:val="00822D33"/>
    <w:rsid w:val="00822F31"/>
    <w:rsid w:val="0082317A"/>
    <w:rsid w:val="008231A2"/>
    <w:rsid w:val="008234E3"/>
    <w:rsid w:val="00823812"/>
    <w:rsid w:val="00823872"/>
    <w:rsid w:val="00823B72"/>
    <w:rsid w:val="00823C43"/>
    <w:rsid w:val="00823CE7"/>
    <w:rsid w:val="00823D32"/>
    <w:rsid w:val="008242BD"/>
    <w:rsid w:val="00824331"/>
    <w:rsid w:val="00824497"/>
    <w:rsid w:val="00824577"/>
    <w:rsid w:val="00824793"/>
    <w:rsid w:val="00824A24"/>
    <w:rsid w:val="00824E61"/>
    <w:rsid w:val="00824E63"/>
    <w:rsid w:val="00824F74"/>
    <w:rsid w:val="00824FDF"/>
    <w:rsid w:val="00825142"/>
    <w:rsid w:val="00825632"/>
    <w:rsid w:val="008257A8"/>
    <w:rsid w:val="00825802"/>
    <w:rsid w:val="0082593E"/>
    <w:rsid w:val="00825A09"/>
    <w:rsid w:val="00825A22"/>
    <w:rsid w:val="00825C6E"/>
    <w:rsid w:val="00825F01"/>
    <w:rsid w:val="00826704"/>
    <w:rsid w:val="0082675E"/>
    <w:rsid w:val="00826788"/>
    <w:rsid w:val="008268FD"/>
    <w:rsid w:val="00826C74"/>
    <w:rsid w:val="00826E59"/>
    <w:rsid w:val="00826ECC"/>
    <w:rsid w:val="00827018"/>
    <w:rsid w:val="00827412"/>
    <w:rsid w:val="00827B5E"/>
    <w:rsid w:val="00827CAF"/>
    <w:rsid w:val="00830390"/>
    <w:rsid w:val="00830551"/>
    <w:rsid w:val="0083064C"/>
    <w:rsid w:val="0083091A"/>
    <w:rsid w:val="00830D11"/>
    <w:rsid w:val="00830F76"/>
    <w:rsid w:val="00830FF1"/>
    <w:rsid w:val="008310A2"/>
    <w:rsid w:val="00831148"/>
    <w:rsid w:val="008312FB"/>
    <w:rsid w:val="00831332"/>
    <w:rsid w:val="0083146B"/>
    <w:rsid w:val="0083147A"/>
    <w:rsid w:val="008314BF"/>
    <w:rsid w:val="00831633"/>
    <w:rsid w:val="00831992"/>
    <w:rsid w:val="00831B85"/>
    <w:rsid w:val="00831C53"/>
    <w:rsid w:val="00831CA2"/>
    <w:rsid w:val="00831D71"/>
    <w:rsid w:val="00831E02"/>
    <w:rsid w:val="0083209E"/>
    <w:rsid w:val="00832284"/>
    <w:rsid w:val="008324B3"/>
    <w:rsid w:val="008326CD"/>
    <w:rsid w:val="00832992"/>
    <w:rsid w:val="00832B2E"/>
    <w:rsid w:val="00832E7E"/>
    <w:rsid w:val="00833075"/>
    <w:rsid w:val="008330BA"/>
    <w:rsid w:val="0083317F"/>
    <w:rsid w:val="00833324"/>
    <w:rsid w:val="00833370"/>
    <w:rsid w:val="00833416"/>
    <w:rsid w:val="00833470"/>
    <w:rsid w:val="00833563"/>
    <w:rsid w:val="008338E2"/>
    <w:rsid w:val="00833A4E"/>
    <w:rsid w:val="00833B2A"/>
    <w:rsid w:val="00833F6F"/>
    <w:rsid w:val="00833FF6"/>
    <w:rsid w:val="008340F5"/>
    <w:rsid w:val="008342C2"/>
    <w:rsid w:val="008342D2"/>
    <w:rsid w:val="0083466D"/>
    <w:rsid w:val="00834946"/>
    <w:rsid w:val="008349ED"/>
    <w:rsid w:val="00834A27"/>
    <w:rsid w:val="00834BF0"/>
    <w:rsid w:val="00834F43"/>
    <w:rsid w:val="00834FD6"/>
    <w:rsid w:val="00835116"/>
    <w:rsid w:val="008351D5"/>
    <w:rsid w:val="00835233"/>
    <w:rsid w:val="008353E9"/>
    <w:rsid w:val="00835838"/>
    <w:rsid w:val="00835A4D"/>
    <w:rsid w:val="00835A8D"/>
    <w:rsid w:val="00835E37"/>
    <w:rsid w:val="00835FDC"/>
    <w:rsid w:val="008360C7"/>
    <w:rsid w:val="008363D8"/>
    <w:rsid w:val="0083688B"/>
    <w:rsid w:val="008368D5"/>
    <w:rsid w:val="008369A7"/>
    <w:rsid w:val="00836BA0"/>
    <w:rsid w:val="00836C30"/>
    <w:rsid w:val="00836EEE"/>
    <w:rsid w:val="00836FD3"/>
    <w:rsid w:val="00837345"/>
    <w:rsid w:val="00837780"/>
    <w:rsid w:val="0083784A"/>
    <w:rsid w:val="0083799C"/>
    <w:rsid w:val="00837A5A"/>
    <w:rsid w:val="00837A73"/>
    <w:rsid w:val="00837AA5"/>
    <w:rsid w:val="00837D8B"/>
    <w:rsid w:val="00837DDD"/>
    <w:rsid w:val="0084003E"/>
    <w:rsid w:val="008404F5"/>
    <w:rsid w:val="00840797"/>
    <w:rsid w:val="00840BAC"/>
    <w:rsid w:val="00840C0A"/>
    <w:rsid w:val="00840CA0"/>
    <w:rsid w:val="00840DEC"/>
    <w:rsid w:val="00840E5A"/>
    <w:rsid w:val="00840F0D"/>
    <w:rsid w:val="00841D8B"/>
    <w:rsid w:val="008422E8"/>
    <w:rsid w:val="00842519"/>
    <w:rsid w:val="00842575"/>
    <w:rsid w:val="00842890"/>
    <w:rsid w:val="00842AF2"/>
    <w:rsid w:val="00842CB9"/>
    <w:rsid w:val="00842D5F"/>
    <w:rsid w:val="00842EE7"/>
    <w:rsid w:val="008431BF"/>
    <w:rsid w:val="008433F0"/>
    <w:rsid w:val="00843412"/>
    <w:rsid w:val="00843570"/>
    <w:rsid w:val="00843779"/>
    <w:rsid w:val="00843A9A"/>
    <w:rsid w:val="008441E8"/>
    <w:rsid w:val="00844380"/>
    <w:rsid w:val="00844618"/>
    <w:rsid w:val="00844E5C"/>
    <w:rsid w:val="00845164"/>
    <w:rsid w:val="00845169"/>
    <w:rsid w:val="008451AC"/>
    <w:rsid w:val="008452C2"/>
    <w:rsid w:val="0084532C"/>
    <w:rsid w:val="00845583"/>
    <w:rsid w:val="0084567D"/>
    <w:rsid w:val="008456F8"/>
    <w:rsid w:val="00845718"/>
    <w:rsid w:val="00845CE6"/>
    <w:rsid w:val="00845D9C"/>
    <w:rsid w:val="00845E2E"/>
    <w:rsid w:val="00845E7E"/>
    <w:rsid w:val="00846075"/>
    <w:rsid w:val="00846131"/>
    <w:rsid w:val="0084614C"/>
    <w:rsid w:val="00846292"/>
    <w:rsid w:val="00846356"/>
    <w:rsid w:val="00846AD1"/>
    <w:rsid w:val="00846B8A"/>
    <w:rsid w:val="00846BFD"/>
    <w:rsid w:val="00846C11"/>
    <w:rsid w:val="00846D23"/>
    <w:rsid w:val="00846F2C"/>
    <w:rsid w:val="00847053"/>
    <w:rsid w:val="00847084"/>
    <w:rsid w:val="00847088"/>
    <w:rsid w:val="00847179"/>
    <w:rsid w:val="008477B6"/>
    <w:rsid w:val="00847B8D"/>
    <w:rsid w:val="00847C77"/>
    <w:rsid w:val="00847E47"/>
    <w:rsid w:val="00847E68"/>
    <w:rsid w:val="008500DE"/>
    <w:rsid w:val="00850115"/>
    <w:rsid w:val="008503D9"/>
    <w:rsid w:val="00850476"/>
    <w:rsid w:val="00850699"/>
    <w:rsid w:val="00850761"/>
    <w:rsid w:val="0085078F"/>
    <w:rsid w:val="0085091F"/>
    <w:rsid w:val="00850A95"/>
    <w:rsid w:val="00850AD3"/>
    <w:rsid w:val="00850CFE"/>
    <w:rsid w:val="00850EA6"/>
    <w:rsid w:val="00851439"/>
    <w:rsid w:val="00851DC0"/>
    <w:rsid w:val="00851E1D"/>
    <w:rsid w:val="0085212D"/>
    <w:rsid w:val="008523AD"/>
    <w:rsid w:val="0085258A"/>
    <w:rsid w:val="0085316A"/>
    <w:rsid w:val="008531F6"/>
    <w:rsid w:val="008531FE"/>
    <w:rsid w:val="008532EE"/>
    <w:rsid w:val="00853429"/>
    <w:rsid w:val="00853600"/>
    <w:rsid w:val="008537DB"/>
    <w:rsid w:val="008537FC"/>
    <w:rsid w:val="00853B96"/>
    <w:rsid w:val="00853D52"/>
    <w:rsid w:val="00853E72"/>
    <w:rsid w:val="00853FD6"/>
    <w:rsid w:val="0085407B"/>
    <w:rsid w:val="008540E5"/>
    <w:rsid w:val="00854231"/>
    <w:rsid w:val="0085435A"/>
    <w:rsid w:val="008543D5"/>
    <w:rsid w:val="00854420"/>
    <w:rsid w:val="008544EF"/>
    <w:rsid w:val="008548B2"/>
    <w:rsid w:val="00854988"/>
    <w:rsid w:val="008549F4"/>
    <w:rsid w:val="00854A45"/>
    <w:rsid w:val="00854A84"/>
    <w:rsid w:val="00854AB4"/>
    <w:rsid w:val="00854FD8"/>
    <w:rsid w:val="008552F4"/>
    <w:rsid w:val="00855490"/>
    <w:rsid w:val="00855571"/>
    <w:rsid w:val="008556BF"/>
    <w:rsid w:val="00855EA4"/>
    <w:rsid w:val="0085604D"/>
    <w:rsid w:val="00856417"/>
    <w:rsid w:val="0085659F"/>
    <w:rsid w:val="0085675A"/>
    <w:rsid w:val="00856883"/>
    <w:rsid w:val="00856A9B"/>
    <w:rsid w:val="00856B54"/>
    <w:rsid w:val="00856B86"/>
    <w:rsid w:val="00856C1A"/>
    <w:rsid w:val="008570A0"/>
    <w:rsid w:val="008571B7"/>
    <w:rsid w:val="0085724F"/>
    <w:rsid w:val="008572EE"/>
    <w:rsid w:val="00857548"/>
    <w:rsid w:val="008575E5"/>
    <w:rsid w:val="008578AF"/>
    <w:rsid w:val="00857B34"/>
    <w:rsid w:val="00857D8A"/>
    <w:rsid w:val="00857E8A"/>
    <w:rsid w:val="0085C994"/>
    <w:rsid w:val="00860405"/>
    <w:rsid w:val="0086044D"/>
    <w:rsid w:val="0086077C"/>
    <w:rsid w:val="008608F4"/>
    <w:rsid w:val="00860C98"/>
    <w:rsid w:val="00860EC2"/>
    <w:rsid w:val="00860F9A"/>
    <w:rsid w:val="008610B1"/>
    <w:rsid w:val="0086128B"/>
    <w:rsid w:val="008612CC"/>
    <w:rsid w:val="0086173E"/>
    <w:rsid w:val="008617CE"/>
    <w:rsid w:val="00861933"/>
    <w:rsid w:val="0086199A"/>
    <w:rsid w:val="00861F20"/>
    <w:rsid w:val="008623CF"/>
    <w:rsid w:val="00862541"/>
    <w:rsid w:val="00862986"/>
    <w:rsid w:val="00862A67"/>
    <w:rsid w:val="00862B58"/>
    <w:rsid w:val="00862BB1"/>
    <w:rsid w:val="00862E74"/>
    <w:rsid w:val="00862FF6"/>
    <w:rsid w:val="008637F8"/>
    <w:rsid w:val="0086395E"/>
    <w:rsid w:val="00863C75"/>
    <w:rsid w:val="00863EEC"/>
    <w:rsid w:val="00863FEC"/>
    <w:rsid w:val="008640EA"/>
    <w:rsid w:val="008644EA"/>
    <w:rsid w:val="00864540"/>
    <w:rsid w:val="00864691"/>
    <w:rsid w:val="00864796"/>
    <w:rsid w:val="00864842"/>
    <w:rsid w:val="0086497D"/>
    <w:rsid w:val="00864A55"/>
    <w:rsid w:val="00864BFA"/>
    <w:rsid w:val="00864C2F"/>
    <w:rsid w:val="00864C41"/>
    <w:rsid w:val="00864DC2"/>
    <w:rsid w:val="00864E8F"/>
    <w:rsid w:val="00865001"/>
    <w:rsid w:val="0086507E"/>
    <w:rsid w:val="0086512B"/>
    <w:rsid w:val="008652E4"/>
    <w:rsid w:val="008652F5"/>
    <w:rsid w:val="0086531B"/>
    <w:rsid w:val="0086546E"/>
    <w:rsid w:val="008656DE"/>
    <w:rsid w:val="00865740"/>
    <w:rsid w:val="00865763"/>
    <w:rsid w:val="0086590F"/>
    <w:rsid w:val="00865B6E"/>
    <w:rsid w:val="00865CD0"/>
    <w:rsid w:val="00865EBF"/>
    <w:rsid w:val="00865FEC"/>
    <w:rsid w:val="00866284"/>
    <w:rsid w:val="00866352"/>
    <w:rsid w:val="00866389"/>
    <w:rsid w:val="00866775"/>
    <w:rsid w:val="00866A34"/>
    <w:rsid w:val="00866BD8"/>
    <w:rsid w:val="00866C79"/>
    <w:rsid w:val="00866DDF"/>
    <w:rsid w:val="008670A4"/>
    <w:rsid w:val="00867138"/>
    <w:rsid w:val="008671F2"/>
    <w:rsid w:val="00867353"/>
    <w:rsid w:val="0086742A"/>
    <w:rsid w:val="00867451"/>
    <w:rsid w:val="008674CD"/>
    <w:rsid w:val="008674F0"/>
    <w:rsid w:val="0086760A"/>
    <w:rsid w:val="00867621"/>
    <w:rsid w:val="00867790"/>
    <w:rsid w:val="008677E7"/>
    <w:rsid w:val="008678FD"/>
    <w:rsid w:val="008679F9"/>
    <w:rsid w:val="008679FE"/>
    <w:rsid w:val="00867C3C"/>
    <w:rsid w:val="00867C58"/>
    <w:rsid w:val="00867C88"/>
    <w:rsid w:val="00867D88"/>
    <w:rsid w:val="008700A1"/>
    <w:rsid w:val="00870182"/>
    <w:rsid w:val="00870217"/>
    <w:rsid w:val="008704A1"/>
    <w:rsid w:val="008706F0"/>
    <w:rsid w:val="00870C14"/>
    <w:rsid w:val="00870F9A"/>
    <w:rsid w:val="008710C0"/>
    <w:rsid w:val="008712E1"/>
    <w:rsid w:val="0087144E"/>
    <w:rsid w:val="00871463"/>
    <w:rsid w:val="0087170F"/>
    <w:rsid w:val="0087171B"/>
    <w:rsid w:val="008718F9"/>
    <w:rsid w:val="00871998"/>
    <w:rsid w:val="00871CC8"/>
    <w:rsid w:val="00871D09"/>
    <w:rsid w:val="00871D25"/>
    <w:rsid w:val="00871D29"/>
    <w:rsid w:val="00872104"/>
    <w:rsid w:val="00872121"/>
    <w:rsid w:val="008723EA"/>
    <w:rsid w:val="00872520"/>
    <w:rsid w:val="0087259E"/>
    <w:rsid w:val="0087266D"/>
    <w:rsid w:val="008728AB"/>
    <w:rsid w:val="00872926"/>
    <w:rsid w:val="00872936"/>
    <w:rsid w:val="00872CCF"/>
    <w:rsid w:val="00872D3D"/>
    <w:rsid w:val="00872D7B"/>
    <w:rsid w:val="0087325F"/>
    <w:rsid w:val="00873396"/>
    <w:rsid w:val="008733BE"/>
    <w:rsid w:val="0087379F"/>
    <w:rsid w:val="00873817"/>
    <w:rsid w:val="00873876"/>
    <w:rsid w:val="008739E6"/>
    <w:rsid w:val="00873ABE"/>
    <w:rsid w:val="00873C14"/>
    <w:rsid w:val="00873FBF"/>
    <w:rsid w:val="00874344"/>
    <w:rsid w:val="00874392"/>
    <w:rsid w:val="0087442E"/>
    <w:rsid w:val="00874873"/>
    <w:rsid w:val="00874AB5"/>
    <w:rsid w:val="00874AFD"/>
    <w:rsid w:val="00874C45"/>
    <w:rsid w:val="00874E28"/>
    <w:rsid w:val="00875455"/>
    <w:rsid w:val="0087551D"/>
    <w:rsid w:val="008757D4"/>
    <w:rsid w:val="00875897"/>
    <w:rsid w:val="00875A64"/>
    <w:rsid w:val="00875C32"/>
    <w:rsid w:val="00875D6F"/>
    <w:rsid w:val="00875E23"/>
    <w:rsid w:val="00875E5E"/>
    <w:rsid w:val="00875F29"/>
    <w:rsid w:val="00876609"/>
    <w:rsid w:val="0087664E"/>
    <w:rsid w:val="0087689D"/>
    <w:rsid w:val="00876C2C"/>
    <w:rsid w:val="00876D36"/>
    <w:rsid w:val="00876DE3"/>
    <w:rsid w:val="00876F24"/>
    <w:rsid w:val="00876F89"/>
    <w:rsid w:val="00876FC9"/>
    <w:rsid w:val="00877317"/>
    <w:rsid w:val="008774AC"/>
    <w:rsid w:val="00877512"/>
    <w:rsid w:val="0087751E"/>
    <w:rsid w:val="00877A59"/>
    <w:rsid w:val="00877A5A"/>
    <w:rsid w:val="00877BA8"/>
    <w:rsid w:val="00877FA3"/>
    <w:rsid w:val="0088018D"/>
    <w:rsid w:val="00880192"/>
    <w:rsid w:val="008801A8"/>
    <w:rsid w:val="0088023E"/>
    <w:rsid w:val="008804B3"/>
    <w:rsid w:val="00880683"/>
    <w:rsid w:val="00880973"/>
    <w:rsid w:val="00880B3B"/>
    <w:rsid w:val="00880C28"/>
    <w:rsid w:val="0088121F"/>
    <w:rsid w:val="00881276"/>
    <w:rsid w:val="00881355"/>
    <w:rsid w:val="008814E4"/>
    <w:rsid w:val="008814F3"/>
    <w:rsid w:val="00881595"/>
    <w:rsid w:val="00881AFB"/>
    <w:rsid w:val="00881B6F"/>
    <w:rsid w:val="00881F2F"/>
    <w:rsid w:val="00881F88"/>
    <w:rsid w:val="00882180"/>
    <w:rsid w:val="008822A5"/>
    <w:rsid w:val="00882406"/>
    <w:rsid w:val="00882734"/>
    <w:rsid w:val="0088274D"/>
    <w:rsid w:val="00882A66"/>
    <w:rsid w:val="00882C17"/>
    <w:rsid w:val="00882C4A"/>
    <w:rsid w:val="00882E70"/>
    <w:rsid w:val="0088327A"/>
    <w:rsid w:val="00883388"/>
    <w:rsid w:val="0088377D"/>
    <w:rsid w:val="00883912"/>
    <w:rsid w:val="00883A46"/>
    <w:rsid w:val="00883CF8"/>
    <w:rsid w:val="00883D35"/>
    <w:rsid w:val="00883F45"/>
    <w:rsid w:val="00884452"/>
    <w:rsid w:val="008844E4"/>
    <w:rsid w:val="0088450E"/>
    <w:rsid w:val="00884768"/>
    <w:rsid w:val="00884780"/>
    <w:rsid w:val="00884849"/>
    <w:rsid w:val="00884A8F"/>
    <w:rsid w:val="00884C0C"/>
    <w:rsid w:val="00884CBA"/>
    <w:rsid w:val="00884D40"/>
    <w:rsid w:val="00884EB1"/>
    <w:rsid w:val="008855AB"/>
    <w:rsid w:val="008858E1"/>
    <w:rsid w:val="00885976"/>
    <w:rsid w:val="0088599D"/>
    <w:rsid w:val="008859BF"/>
    <w:rsid w:val="00885AF5"/>
    <w:rsid w:val="00886011"/>
    <w:rsid w:val="0088667F"/>
    <w:rsid w:val="008866A0"/>
    <w:rsid w:val="00886728"/>
    <w:rsid w:val="00886960"/>
    <w:rsid w:val="00886BFD"/>
    <w:rsid w:val="00887080"/>
    <w:rsid w:val="008870F4"/>
    <w:rsid w:val="0088719D"/>
    <w:rsid w:val="008875C0"/>
    <w:rsid w:val="008876B0"/>
    <w:rsid w:val="008877EF"/>
    <w:rsid w:val="00887A16"/>
    <w:rsid w:val="00887BA9"/>
    <w:rsid w:val="00887CB9"/>
    <w:rsid w:val="00890235"/>
    <w:rsid w:val="008902E6"/>
    <w:rsid w:val="00890490"/>
    <w:rsid w:val="0089053C"/>
    <w:rsid w:val="00890870"/>
    <w:rsid w:val="00890B4C"/>
    <w:rsid w:val="00890FA1"/>
    <w:rsid w:val="00891070"/>
    <w:rsid w:val="00891241"/>
    <w:rsid w:val="008912BF"/>
    <w:rsid w:val="0089137D"/>
    <w:rsid w:val="00891402"/>
    <w:rsid w:val="008918B9"/>
    <w:rsid w:val="00891C1A"/>
    <w:rsid w:val="00891D95"/>
    <w:rsid w:val="00891E04"/>
    <w:rsid w:val="00891EBF"/>
    <w:rsid w:val="0089217D"/>
    <w:rsid w:val="008923CA"/>
    <w:rsid w:val="008928EE"/>
    <w:rsid w:val="00892AFA"/>
    <w:rsid w:val="00892EFC"/>
    <w:rsid w:val="00892F8E"/>
    <w:rsid w:val="008930E4"/>
    <w:rsid w:val="008931F8"/>
    <w:rsid w:val="008931F9"/>
    <w:rsid w:val="00893941"/>
    <w:rsid w:val="00893AC0"/>
    <w:rsid w:val="00893F1C"/>
    <w:rsid w:val="00893FC7"/>
    <w:rsid w:val="00894026"/>
    <w:rsid w:val="008940BC"/>
    <w:rsid w:val="00894259"/>
    <w:rsid w:val="00894640"/>
    <w:rsid w:val="008949CE"/>
    <w:rsid w:val="00894A45"/>
    <w:rsid w:val="00894BC8"/>
    <w:rsid w:val="00894BE2"/>
    <w:rsid w:val="00894D2A"/>
    <w:rsid w:val="00894DAC"/>
    <w:rsid w:val="0089525E"/>
    <w:rsid w:val="00895349"/>
    <w:rsid w:val="008954A8"/>
    <w:rsid w:val="00895631"/>
    <w:rsid w:val="00895755"/>
    <w:rsid w:val="00895BBA"/>
    <w:rsid w:val="008965DA"/>
    <w:rsid w:val="008967B5"/>
    <w:rsid w:val="00896931"/>
    <w:rsid w:val="008969AD"/>
    <w:rsid w:val="00896B46"/>
    <w:rsid w:val="008970FF"/>
    <w:rsid w:val="008973E0"/>
    <w:rsid w:val="008973E7"/>
    <w:rsid w:val="0089797A"/>
    <w:rsid w:val="00897FF5"/>
    <w:rsid w:val="008A0007"/>
    <w:rsid w:val="008A0121"/>
    <w:rsid w:val="008A02E8"/>
    <w:rsid w:val="008A0458"/>
    <w:rsid w:val="008A04BD"/>
    <w:rsid w:val="008A0516"/>
    <w:rsid w:val="008A06C1"/>
    <w:rsid w:val="008A06D2"/>
    <w:rsid w:val="008A07EA"/>
    <w:rsid w:val="008A083E"/>
    <w:rsid w:val="008A09ED"/>
    <w:rsid w:val="008A0AEA"/>
    <w:rsid w:val="008A0D6E"/>
    <w:rsid w:val="008A0DC6"/>
    <w:rsid w:val="008A117B"/>
    <w:rsid w:val="008A1227"/>
    <w:rsid w:val="008A14E1"/>
    <w:rsid w:val="008A14FD"/>
    <w:rsid w:val="008A18C2"/>
    <w:rsid w:val="008A1CDB"/>
    <w:rsid w:val="008A1DDD"/>
    <w:rsid w:val="008A2015"/>
    <w:rsid w:val="008A2269"/>
    <w:rsid w:val="008A23B4"/>
    <w:rsid w:val="008A247B"/>
    <w:rsid w:val="008A249B"/>
    <w:rsid w:val="008A24C8"/>
    <w:rsid w:val="008A2794"/>
    <w:rsid w:val="008A28D8"/>
    <w:rsid w:val="008A291F"/>
    <w:rsid w:val="008A2B05"/>
    <w:rsid w:val="008A2CC2"/>
    <w:rsid w:val="008A2CF0"/>
    <w:rsid w:val="008A2DA8"/>
    <w:rsid w:val="008A3046"/>
    <w:rsid w:val="008A30CC"/>
    <w:rsid w:val="008A35C8"/>
    <w:rsid w:val="008A3653"/>
    <w:rsid w:val="008A372E"/>
    <w:rsid w:val="008A3780"/>
    <w:rsid w:val="008A38F7"/>
    <w:rsid w:val="008A3A59"/>
    <w:rsid w:val="008A3A78"/>
    <w:rsid w:val="008A3CEC"/>
    <w:rsid w:val="008A3D2B"/>
    <w:rsid w:val="008A3DB8"/>
    <w:rsid w:val="008A4017"/>
    <w:rsid w:val="008A408F"/>
    <w:rsid w:val="008A4482"/>
    <w:rsid w:val="008A449D"/>
    <w:rsid w:val="008A44BC"/>
    <w:rsid w:val="008A4749"/>
    <w:rsid w:val="008A499F"/>
    <w:rsid w:val="008A4A9A"/>
    <w:rsid w:val="008A4B70"/>
    <w:rsid w:val="008A4DDD"/>
    <w:rsid w:val="008A4E10"/>
    <w:rsid w:val="008A51F8"/>
    <w:rsid w:val="008A5372"/>
    <w:rsid w:val="008A5401"/>
    <w:rsid w:val="008A5752"/>
    <w:rsid w:val="008A575B"/>
    <w:rsid w:val="008A5B76"/>
    <w:rsid w:val="008A5D75"/>
    <w:rsid w:val="008A5FC6"/>
    <w:rsid w:val="008A5FD8"/>
    <w:rsid w:val="008A6040"/>
    <w:rsid w:val="008A60F5"/>
    <w:rsid w:val="008A68AA"/>
    <w:rsid w:val="008A6D64"/>
    <w:rsid w:val="008A7020"/>
    <w:rsid w:val="008A70E8"/>
    <w:rsid w:val="008A7852"/>
    <w:rsid w:val="008A7AF5"/>
    <w:rsid w:val="008A7CE4"/>
    <w:rsid w:val="008B00BF"/>
    <w:rsid w:val="008B0110"/>
    <w:rsid w:val="008B0139"/>
    <w:rsid w:val="008B03E4"/>
    <w:rsid w:val="008B04F7"/>
    <w:rsid w:val="008B056C"/>
    <w:rsid w:val="008B06A0"/>
    <w:rsid w:val="008B07A3"/>
    <w:rsid w:val="008B0984"/>
    <w:rsid w:val="008B09B8"/>
    <w:rsid w:val="008B0E1C"/>
    <w:rsid w:val="008B12C0"/>
    <w:rsid w:val="008B1346"/>
    <w:rsid w:val="008B1535"/>
    <w:rsid w:val="008B1916"/>
    <w:rsid w:val="008B1973"/>
    <w:rsid w:val="008B1BFE"/>
    <w:rsid w:val="008B1E08"/>
    <w:rsid w:val="008B2005"/>
    <w:rsid w:val="008B225D"/>
    <w:rsid w:val="008B22D3"/>
    <w:rsid w:val="008B2337"/>
    <w:rsid w:val="008B253F"/>
    <w:rsid w:val="008B2656"/>
    <w:rsid w:val="008B26B6"/>
    <w:rsid w:val="008B2C7E"/>
    <w:rsid w:val="008B2FBB"/>
    <w:rsid w:val="008B3078"/>
    <w:rsid w:val="008B30E4"/>
    <w:rsid w:val="008B33B1"/>
    <w:rsid w:val="008B3A06"/>
    <w:rsid w:val="008B3AF8"/>
    <w:rsid w:val="008B3CC0"/>
    <w:rsid w:val="008B4299"/>
    <w:rsid w:val="008B42DB"/>
    <w:rsid w:val="008B449A"/>
    <w:rsid w:val="008B461C"/>
    <w:rsid w:val="008B4718"/>
    <w:rsid w:val="008B47EB"/>
    <w:rsid w:val="008B4936"/>
    <w:rsid w:val="008B4B47"/>
    <w:rsid w:val="008B4C80"/>
    <w:rsid w:val="008B4F2C"/>
    <w:rsid w:val="008B5000"/>
    <w:rsid w:val="008B52B0"/>
    <w:rsid w:val="008B53CF"/>
    <w:rsid w:val="008B581C"/>
    <w:rsid w:val="008B59C2"/>
    <w:rsid w:val="008B5CBC"/>
    <w:rsid w:val="008B5F3F"/>
    <w:rsid w:val="008B62CB"/>
    <w:rsid w:val="008B631A"/>
    <w:rsid w:val="008B643C"/>
    <w:rsid w:val="008B6487"/>
    <w:rsid w:val="008B650C"/>
    <w:rsid w:val="008B6563"/>
    <w:rsid w:val="008B656E"/>
    <w:rsid w:val="008B6603"/>
    <w:rsid w:val="008B66E7"/>
    <w:rsid w:val="008B6A19"/>
    <w:rsid w:val="008B6B6E"/>
    <w:rsid w:val="008B6B9E"/>
    <w:rsid w:val="008B6EF3"/>
    <w:rsid w:val="008B709D"/>
    <w:rsid w:val="008B72EC"/>
    <w:rsid w:val="008B74EC"/>
    <w:rsid w:val="008B753D"/>
    <w:rsid w:val="008B7559"/>
    <w:rsid w:val="008B7773"/>
    <w:rsid w:val="008B78B0"/>
    <w:rsid w:val="008B7A9D"/>
    <w:rsid w:val="008B7B1F"/>
    <w:rsid w:val="008B7C68"/>
    <w:rsid w:val="008B7EA0"/>
    <w:rsid w:val="008C0045"/>
    <w:rsid w:val="008C01B9"/>
    <w:rsid w:val="008C0483"/>
    <w:rsid w:val="008C0669"/>
    <w:rsid w:val="008C07FD"/>
    <w:rsid w:val="008C0B08"/>
    <w:rsid w:val="008C0CB7"/>
    <w:rsid w:val="008C0E73"/>
    <w:rsid w:val="008C1C46"/>
    <w:rsid w:val="008C1DFE"/>
    <w:rsid w:val="008C20C7"/>
    <w:rsid w:val="008C20D2"/>
    <w:rsid w:val="008C2223"/>
    <w:rsid w:val="008C22AA"/>
    <w:rsid w:val="008C239F"/>
    <w:rsid w:val="008C25A3"/>
    <w:rsid w:val="008C25DA"/>
    <w:rsid w:val="008C25FF"/>
    <w:rsid w:val="008C31EE"/>
    <w:rsid w:val="008C3462"/>
    <w:rsid w:val="008C3A3C"/>
    <w:rsid w:val="008C3B25"/>
    <w:rsid w:val="008C3C9C"/>
    <w:rsid w:val="008C449D"/>
    <w:rsid w:val="008C44AB"/>
    <w:rsid w:val="008C47F5"/>
    <w:rsid w:val="008C480B"/>
    <w:rsid w:val="008C494C"/>
    <w:rsid w:val="008C49AD"/>
    <w:rsid w:val="008C4ABC"/>
    <w:rsid w:val="008C4EF7"/>
    <w:rsid w:val="008C4F35"/>
    <w:rsid w:val="008C530C"/>
    <w:rsid w:val="008C540D"/>
    <w:rsid w:val="008C5678"/>
    <w:rsid w:val="008C5AE4"/>
    <w:rsid w:val="008C5EE5"/>
    <w:rsid w:val="008C5FB2"/>
    <w:rsid w:val="008C61D2"/>
    <w:rsid w:val="008C6386"/>
    <w:rsid w:val="008C63B0"/>
    <w:rsid w:val="008C640E"/>
    <w:rsid w:val="008C64F3"/>
    <w:rsid w:val="008C653D"/>
    <w:rsid w:val="008C6618"/>
    <w:rsid w:val="008C665A"/>
    <w:rsid w:val="008C66D6"/>
    <w:rsid w:val="008C67F4"/>
    <w:rsid w:val="008C68D2"/>
    <w:rsid w:val="008C6987"/>
    <w:rsid w:val="008C6B56"/>
    <w:rsid w:val="008C6CBB"/>
    <w:rsid w:val="008C6E74"/>
    <w:rsid w:val="008C70E3"/>
    <w:rsid w:val="008C7538"/>
    <w:rsid w:val="008C77C4"/>
    <w:rsid w:val="008C78F2"/>
    <w:rsid w:val="008C79B6"/>
    <w:rsid w:val="008C7D31"/>
    <w:rsid w:val="008C7E68"/>
    <w:rsid w:val="008D0152"/>
    <w:rsid w:val="008D051F"/>
    <w:rsid w:val="008D0615"/>
    <w:rsid w:val="008D0932"/>
    <w:rsid w:val="008D0A5D"/>
    <w:rsid w:val="008D0BD4"/>
    <w:rsid w:val="008D119F"/>
    <w:rsid w:val="008D11EC"/>
    <w:rsid w:val="008D11EF"/>
    <w:rsid w:val="008D140D"/>
    <w:rsid w:val="008D1456"/>
    <w:rsid w:val="008D183A"/>
    <w:rsid w:val="008D1997"/>
    <w:rsid w:val="008D238E"/>
    <w:rsid w:val="008D24AD"/>
    <w:rsid w:val="008D2520"/>
    <w:rsid w:val="008D25C2"/>
    <w:rsid w:val="008D26E0"/>
    <w:rsid w:val="008D2A93"/>
    <w:rsid w:val="008D2F21"/>
    <w:rsid w:val="008D31BC"/>
    <w:rsid w:val="008D32F9"/>
    <w:rsid w:val="008D341E"/>
    <w:rsid w:val="008D373A"/>
    <w:rsid w:val="008D37D1"/>
    <w:rsid w:val="008D381F"/>
    <w:rsid w:val="008D3B8D"/>
    <w:rsid w:val="008D3F83"/>
    <w:rsid w:val="008D43DD"/>
    <w:rsid w:val="008D4508"/>
    <w:rsid w:val="008D4B19"/>
    <w:rsid w:val="008D4BE0"/>
    <w:rsid w:val="008D4F4F"/>
    <w:rsid w:val="008D5112"/>
    <w:rsid w:val="008D5239"/>
    <w:rsid w:val="008D5437"/>
    <w:rsid w:val="008D55B0"/>
    <w:rsid w:val="008D5699"/>
    <w:rsid w:val="008D56E5"/>
    <w:rsid w:val="008D5867"/>
    <w:rsid w:val="008D58B9"/>
    <w:rsid w:val="008D5A42"/>
    <w:rsid w:val="008D5AAE"/>
    <w:rsid w:val="008D5B67"/>
    <w:rsid w:val="008D5BB1"/>
    <w:rsid w:val="008D5C24"/>
    <w:rsid w:val="008D627F"/>
    <w:rsid w:val="008D64D5"/>
    <w:rsid w:val="008D6BD1"/>
    <w:rsid w:val="008D708D"/>
    <w:rsid w:val="008D726A"/>
    <w:rsid w:val="008D728F"/>
    <w:rsid w:val="008D73C7"/>
    <w:rsid w:val="008D773B"/>
    <w:rsid w:val="008D77B5"/>
    <w:rsid w:val="008D78A7"/>
    <w:rsid w:val="008D7A90"/>
    <w:rsid w:val="008D7BD7"/>
    <w:rsid w:val="008D7D4C"/>
    <w:rsid w:val="008D7FBB"/>
    <w:rsid w:val="008E057A"/>
    <w:rsid w:val="008E0670"/>
    <w:rsid w:val="008E083E"/>
    <w:rsid w:val="008E0943"/>
    <w:rsid w:val="008E0977"/>
    <w:rsid w:val="008E09E9"/>
    <w:rsid w:val="008E0B07"/>
    <w:rsid w:val="008E0E23"/>
    <w:rsid w:val="008E0E3A"/>
    <w:rsid w:val="008E0E90"/>
    <w:rsid w:val="008E118D"/>
    <w:rsid w:val="008E1612"/>
    <w:rsid w:val="008E175C"/>
    <w:rsid w:val="008E19EA"/>
    <w:rsid w:val="008E1BD3"/>
    <w:rsid w:val="008E1CD4"/>
    <w:rsid w:val="008E1D2E"/>
    <w:rsid w:val="008E1E7D"/>
    <w:rsid w:val="008E1EDE"/>
    <w:rsid w:val="008E1FB0"/>
    <w:rsid w:val="008E2001"/>
    <w:rsid w:val="008E2008"/>
    <w:rsid w:val="008E23E0"/>
    <w:rsid w:val="008E24A6"/>
    <w:rsid w:val="008E2533"/>
    <w:rsid w:val="008E2726"/>
    <w:rsid w:val="008E27DA"/>
    <w:rsid w:val="008E305D"/>
    <w:rsid w:val="008E31A0"/>
    <w:rsid w:val="008E34A1"/>
    <w:rsid w:val="008E34AF"/>
    <w:rsid w:val="008E35D4"/>
    <w:rsid w:val="008E37F0"/>
    <w:rsid w:val="008E3942"/>
    <w:rsid w:val="008E3944"/>
    <w:rsid w:val="008E3B9F"/>
    <w:rsid w:val="008E4182"/>
    <w:rsid w:val="008E423C"/>
    <w:rsid w:val="008E4353"/>
    <w:rsid w:val="008E439C"/>
    <w:rsid w:val="008E441F"/>
    <w:rsid w:val="008E461D"/>
    <w:rsid w:val="008E498C"/>
    <w:rsid w:val="008E4A33"/>
    <w:rsid w:val="008E4AC1"/>
    <w:rsid w:val="008E4AC6"/>
    <w:rsid w:val="008E4D6A"/>
    <w:rsid w:val="008E4F29"/>
    <w:rsid w:val="008E502B"/>
    <w:rsid w:val="008E56A1"/>
    <w:rsid w:val="008E5E5E"/>
    <w:rsid w:val="008E5FB7"/>
    <w:rsid w:val="008E6142"/>
    <w:rsid w:val="008E61E1"/>
    <w:rsid w:val="008E6351"/>
    <w:rsid w:val="008E68A0"/>
    <w:rsid w:val="008E6A11"/>
    <w:rsid w:val="008E6AEC"/>
    <w:rsid w:val="008E7011"/>
    <w:rsid w:val="008E7036"/>
    <w:rsid w:val="008E7268"/>
    <w:rsid w:val="008E7294"/>
    <w:rsid w:val="008E767E"/>
    <w:rsid w:val="008E777A"/>
    <w:rsid w:val="008E7818"/>
    <w:rsid w:val="008E792B"/>
    <w:rsid w:val="008E798A"/>
    <w:rsid w:val="008E7BB2"/>
    <w:rsid w:val="008E7CAB"/>
    <w:rsid w:val="008E7CC2"/>
    <w:rsid w:val="008E7E6D"/>
    <w:rsid w:val="008F0061"/>
    <w:rsid w:val="008F006C"/>
    <w:rsid w:val="008F085E"/>
    <w:rsid w:val="008F0908"/>
    <w:rsid w:val="008F09D3"/>
    <w:rsid w:val="008F0BC0"/>
    <w:rsid w:val="008F1076"/>
    <w:rsid w:val="008F10AD"/>
    <w:rsid w:val="008F118C"/>
    <w:rsid w:val="008F1335"/>
    <w:rsid w:val="008F1541"/>
    <w:rsid w:val="008F1579"/>
    <w:rsid w:val="008F1673"/>
    <w:rsid w:val="008F1733"/>
    <w:rsid w:val="008F1980"/>
    <w:rsid w:val="008F1988"/>
    <w:rsid w:val="008F1AC1"/>
    <w:rsid w:val="008F1AE8"/>
    <w:rsid w:val="008F1AF0"/>
    <w:rsid w:val="008F1B00"/>
    <w:rsid w:val="008F1B18"/>
    <w:rsid w:val="008F1CB4"/>
    <w:rsid w:val="008F2150"/>
    <w:rsid w:val="008F21A5"/>
    <w:rsid w:val="008F22EA"/>
    <w:rsid w:val="008F23B4"/>
    <w:rsid w:val="008F2B4E"/>
    <w:rsid w:val="008F2C49"/>
    <w:rsid w:val="008F300C"/>
    <w:rsid w:val="008F31EB"/>
    <w:rsid w:val="008F32A4"/>
    <w:rsid w:val="008F337C"/>
    <w:rsid w:val="008F33CC"/>
    <w:rsid w:val="008F350F"/>
    <w:rsid w:val="008F3930"/>
    <w:rsid w:val="008F3BFF"/>
    <w:rsid w:val="008F3CB6"/>
    <w:rsid w:val="008F3D1C"/>
    <w:rsid w:val="008F3D5C"/>
    <w:rsid w:val="008F3E5B"/>
    <w:rsid w:val="008F3F7A"/>
    <w:rsid w:val="008F4395"/>
    <w:rsid w:val="008F4460"/>
    <w:rsid w:val="008F44FE"/>
    <w:rsid w:val="008F45E1"/>
    <w:rsid w:val="008F476A"/>
    <w:rsid w:val="008F489E"/>
    <w:rsid w:val="008F4D63"/>
    <w:rsid w:val="008F53EB"/>
    <w:rsid w:val="008F56BC"/>
    <w:rsid w:val="008F5C4B"/>
    <w:rsid w:val="008F5EA6"/>
    <w:rsid w:val="008F60A2"/>
    <w:rsid w:val="008F60DC"/>
    <w:rsid w:val="008F6419"/>
    <w:rsid w:val="008F64AC"/>
    <w:rsid w:val="008F674B"/>
    <w:rsid w:val="008F68F5"/>
    <w:rsid w:val="008F6B1B"/>
    <w:rsid w:val="008F6B81"/>
    <w:rsid w:val="008F7318"/>
    <w:rsid w:val="008F747A"/>
    <w:rsid w:val="008F7672"/>
    <w:rsid w:val="008F7932"/>
    <w:rsid w:val="008F7A5E"/>
    <w:rsid w:val="008F7B15"/>
    <w:rsid w:val="008F7C2F"/>
    <w:rsid w:val="008F7E66"/>
    <w:rsid w:val="008F7EEC"/>
    <w:rsid w:val="009000E2"/>
    <w:rsid w:val="009004F4"/>
    <w:rsid w:val="00900AB5"/>
    <w:rsid w:val="00900C0C"/>
    <w:rsid w:val="00900D95"/>
    <w:rsid w:val="00901079"/>
    <w:rsid w:val="009010C4"/>
    <w:rsid w:val="009010CE"/>
    <w:rsid w:val="00901208"/>
    <w:rsid w:val="0090123B"/>
    <w:rsid w:val="00901442"/>
    <w:rsid w:val="00901896"/>
    <w:rsid w:val="009018D8"/>
    <w:rsid w:val="00901CDE"/>
    <w:rsid w:val="00901CEE"/>
    <w:rsid w:val="00901EFC"/>
    <w:rsid w:val="00901F1E"/>
    <w:rsid w:val="00902154"/>
    <w:rsid w:val="009021B6"/>
    <w:rsid w:val="00902279"/>
    <w:rsid w:val="009022E5"/>
    <w:rsid w:val="00902632"/>
    <w:rsid w:val="0090288D"/>
    <w:rsid w:val="00902920"/>
    <w:rsid w:val="00902A35"/>
    <w:rsid w:val="00902A7F"/>
    <w:rsid w:val="00902B26"/>
    <w:rsid w:val="009034D9"/>
    <w:rsid w:val="009035DE"/>
    <w:rsid w:val="009037A1"/>
    <w:rsid w:val="0090399C"/>
    <w:rsid w:val="00903CFD"/>
    <w:rsid w:val="00903D04"/>
    <w:rsid w:val="00903D54"/>
    <w:rsid w:val="00903E92"/>
    <w:rsid w:val="009042EE"/>
    <w:rsid w:val="0090445F"/>
    <w:rsid w:val="009045F5"/>
    <w:rsid w:val="0090463A"/>
    <w:rsid w:val="00904690"/>
    <w:rsid w:val="0090474D"/>
    <w:rsid w:val="00904809"/>
    <w:rsid w:val="0090480B"/>
    <w:rsid w:val="00904B6C"/>
    <w:rsid w:val="00904BAD"/>
    <w:rsid w:val="00904EA2"/>
    <w:rsid w:val="00905235"/>
    <w:rsid w:val="009052D3"/>
    <w:rsid w:val="009053F4"/>
    <w:rsid w:val="00905893"/>
    <w:rsid w:val="009058D0"/>
    <w:rsid w:val="009058D4"/>
    <w:rsid w:val="00905B12"/>
    <w:rsid w:val="00905E3F"/>
    <w:rsid w:val="009066E7"/>
    <w:rsid w:val="009067AB"/>
    <w:rsid w:val="009069A1"/>
    <w:rsid w:val="009069FA"/>
    <w:rsid w:val="00906BD9"/>
    <w:rsid w:val="00906C50"/>
    <w:rsid w:val="00906CD0"/>
    <w:rsid w:val="0090717F"/>
    <w:rsid w:val="009072B6"/>
    <w:rsid w:val="00907433"/>
    <w:rsid w:val="009074CB"/>
    <w:rsid w:val="0090775E"/>
    <w:rsid w:val="0090781B"/>
    <w:rsid w:val="0090781F"/>
    <w:rsid w:val="00907D0B"/>
    <w:rsid w:val="009102A6"/>
    <w:rsid w:val="00910679"/>
    <w:rsid w:val="0091067C"/>
    <w:rsid w:val="00910818"/>
    <w:rsid w:val="00910D25"/>
    <w:rsid w:val="00911009"/>
    <w:rsid w:val="0091103A"/>
    <w:rsid w:val="0091113E"/>
    <w:rsid w:val="00911237"/>
    <w:rsid w:val="00911304"/>
    <w:rsid w:val="009116B9"/>
    <w:rsid w:val="009116E3"/>
    <w:rsid w:val="00911913"/>
    <w:rsid w:val="009119AD"/>
    <w:rsid w:val="00911CEB"/>
    <w:rsid w:val="00911D35"/>
    <w:rsid w:val="00911EFF"/>
    <w:rsid w:val="00911F9A"/>
    <w:rsid w:val="00912110"/>
    <w:rsid w:val="00912213"/>
    <w:rsid w:val="009123A8"/>
    <w:rsid w:val="00912BD0"/>
    <w:rsid w:val="00912F3F"/>
    <w:rsid w:val="00912FAD"/>
    <w:rsid w:val="00913085"/>
    <w:rsid w:val="00913150"/>
    <w:rsid w:val="009131A5"/>
    <w:rsid w:val="009134DF"/>
    <w:rsid w:val="009138B5"/>
    <w:rsid w:val="00913C53"/>
    <w:rsid w:val="00913ED0"/>
    <w:rsid w:val="00914088"/>
    <w:rsid w:val="009140C2"/>
    <w:rsid w:val="0091422E"/>
    <w:rsid w:val="009143EB"/>
    <w:rsid w:val="009146FC"/>
    <w:rsid w:val="009147EE"/>
    <w:rsid w:val="00914A1A"/>
    <w:rsid w:val="00914A6D"/>
    <w:rsid w:val="00914B51"/>
    <w:rsid w:val="00914B7C"/>
    <w:rsid w:val="00914BAB"/>
    <w:rsid w:val="00914F45"/>
    <w:rsid w:val="00914F7E"/>
    <w:rsid w:val="00914FF0"/>
    <w:rsid w:val="009156C3"/>
    <w:rsid w:val="009157BF"/>
    <w:rsid w:val="00915993"/>
    <w:rsid w:val="00915B4F"/>
    <w:rsid w:val="00915D7B"/>
    <w:rsid w:val="00915ECF"/>
    <w:rsid w:val="00916148"/>
    <w:rsid w:val="009161A7"/>
    <w:rsid w:val="00916295"/>
    <w:rsid w:val="0091632F"/>
    <w:rsid w:val="00916704"/>
    <w:rsid w:val="0091678F"/>
    <w:rsid w:val="00916D33"/>
    <w:rsid w:val="00916E3F"/>
    <w:rsid w:val="00916E85"/>
    <w:rsid w:val="00916F50"/>
    <w:rsid w:val="00916F60"/>
    <w:rsid w:val="00916FFF"/>
    <w:rsid w:val="00917079"/>
    <w:rsid w:val="00917573"/>
    <w:rsid w:val="00917586"/>
    <w:rsid w:val="009177C7"/>
    <w:rsid w:val="00917864"/>
    <w:rsid w:val="00917C75"/>
    <w:rsid w:val="00917CB9"/>
    <w:rsid w:val="00917DD8"/>
    <w:rsid w:val="00917ED6"/>
    <w:rsid w:val="00920068"/>
    <w:rsid w:val="009200F7"/>
    <w:rsid w:val="009206C6"/>
    <w:rsid w:val="0092076D"/>
    <w:rsid w:val="009208F3"/>
    <w:rsid w:val="00920917"/>
    <w:rsid w:val="00920A5A"/>
    <w:rsid w:val="00920D36"/>
    <w:rsid w:val="00920E5C"/>
    <w:rsid w:val="00920ED9"/>
    <w:rsid w:val="00921028"/>
    <w:rsid w:val="009211F4"/>
    <w:rsid w:val="009214EB"/>
    <w:rsid w:val="0092174C"/>
    <w:rsid w:val="0092182C"/>
    <w:rsid w:val="00921877"/>
    <w:rsid w:val="009219BA"/>
    <w:rsid w:val="00921DD6"/>
    <w:rsid w:val="00921F4D"/>
    <w:rsid w:val="00921FDD"/>
    <w:rsid w:val="0092202C"/>
    <w:rsid w:val="00922297"/>
    <w:rsid w:val="00922306"/>
    <w:rsid w:val="00922435"/>
    <w:rsid w:val="0092273F"/>
    <w:rsid w:val="009228E3"/>
    <w:rsid w:val="0092291D"/>
    <w:rsid w:val="009229C2"/>
    <w:rsid w:val="00922ADE"/>
    <w:rsid w:val="00922B2B"/>
    <w:rsid w:val="00922DBF"/>
    <w:rsid w:val="00922E32"/>
    <w:rsid w:val="0092316F"/>
    <w:rsid w:val="00923406"/>
    <w:rsid w:val="00923451"/>
    <w:rsid w:val="00923491"/>
    <w:rsid w:val="009234FB"/>
    <w:rsid w:val="00923A55"/>
    <w:rsid w:val="00923B29"/>
    <w:rsid w:val="00923DB8"/>
    <w:rsid w:val="00923E27"/>
    <w:rsid w:val="0092400A"/>
    <w:rsid w:val="00924119"/>
    <w:rsid w:val="009241D3"/>
    <w:rsid w:val="0092433D"/>
    <w:rsid w:val="00924663"/>
    <w:rsid w:val="0092478C"/>
    <w:rsid w:val="009247A2"/>
    <w:rsid w:val="00924AFB"/>
    <w:rsid w:val="00924CBC"/>
    <w:rsid w:val="00924ECC"/>
    <w:rsid w:val="00925414"/>
    <w:rsid w:val="0092555D"/>
    <w:rsid w:val="009255D3"/>
    <w:rsid w:val="009258FA"/>
    <w:rsid w:val="00925B25"/>
    <w:rsid w:val="00925EB7"/>
    <w:rsid w:val="00925F16"/>
    <w:rsid w:val="009262E3"/>
    <w:rsid w:val="009264D6"/>
    <w:rsid w:val="00926854"/>
    <w:rsid w:val="00926FFF"/>
    <w:rsid w:val="009270FD"/>
    <w:rsid w:val="00927245"/>
    <w:rsid w:val="009277ED"/>
    <w:rsid w:val="00927D50"/>
    <w:rsid w:val="00927DC3"/>
    <w:rsid w:val="0093007F"/>
    <w:rsid w:val="00930274"/>
    <w:rsid w:val="009302A2"/>
    <w:rsid w:val="00930374"/>
    <w:rsid w:val="009303B3"/>
    <w:rsid w:val="009303EE"/>
    <w:rsid w:val="00930991"/>
    <w:rsid w:val="00930A4D"/>
    <w:rsid w:val="00930A70"/>
    <w:rsid w:val="00930C75"/>
    <w:rsid w:val="00930E6E"/>
    <w:rsid w:val="00930FBC"/>
    <w:rsid w:val="00931243"/>
    <w:rsid w:val="0093124B"/>
    <w:rsid w:val="0093125A"/>
    <w:rsid w:val="0093149A"/>
    <w:rsid w:val="00931543"/>
    <w:rsid w:val="009317FE"/>
    <w:rsid w:val="00931B76"/>
    <w:rsid w:val="00931BAD"/>
    <w:rsid w:val="00931E8D"/>
    <w:rsid w:val="009322A8"/>
    <w:rsid w:val="0093235A"/>
    <w:rsid w:val="0093260F"/>
    <w:rsid w:val="00932738"/>
    <w:rsid w:val="00932897"/>
    <w:rsid w:val="0093290B"/>
    <w:rsid w:val="0093299A"/>
    <w:rsid w:val="00933060"/>
    <w:rsid w:val="009330D9"/>
    <w:rsid w:val="0093312E"/>
    <w:rsid w:val="00933558"/>
    <w:rsid w:val="009335C6"/>
    <w:rsid w:val="00933EBA"/>
    <w:rsid w:val="00934170"/>
    <w:rsid w:val="0093419E"/>
    <w:rsid w:val="009341C0"/>
    <w:rsid w:val="0093484D"/>
    <w:rsid w:val="00934C31"/>
    <w:rsid w:val="00934CDE"/>
    <w:rsid w:val="00934E08"/>
    <w:rsid w:val="00934EB7"/>
    <w:rsid w:val="00934F5F"/>
    <w:rsid w:val="00935108"/>
    <w:rsid w:val="00935796"/>
    <w:rsid w:val="0093580D"/>
    <w:rsid w:val="0093595E"/>
    <w:rsid w:val="00935AEB"/>
    <w:rsid w:val="00935D02"/>
    <w:rsid w:val="00935D3A"/>
    <w:rsid w:val="00936320"/>
    <w:rsid w:val="009363E8"/>
    <w:rsid w:val="00936421"/>
    <w:rsid w:val="00936446"/>
    <w:rsid w:val="0093645F"/>
    <w:rsid w:val="0093659E"/>
    <w:rsid w:val="00936653"/>
    <w:rsid w:val="00936BE0"/>
    <w:rsid w:val="00937181"/>
    <w:rsid w:val="009372F1"/>
    <w:rsid w:val="00937392"/>
    <w:rsid w:val="00937695"/>
    <w:rsid w:val="00937847"/>
    <w:rsid w:val="009378E2"/>
    <w:rsid w:val="00937A17"/>
    <w:rsid w:val="00937CF5"/>
    <w:rsid w:val="00937D97"/>
    <w:rsid w:val="00937EDB"/>
    <w:rsid w:val="00937F71"/>
    <w:rsid w:val="00937FC7"/>
    <w:rsid w:val="00940136"/>
    <w:rsid w:val="00940320"/>
    <w:rsid w:val="009405CF"/>
    <w:rsid w:val="009407A3"/>
    <w:rsid w:val="00940AB7"/>
    <w:rsid w:val="00940AE3"/>
    <w:rsid w:val="009410A5"/>
    <w:rsid w:val="00941707"/>
    <w:rsid w:val="00941734"/>
    <w:rsid w:val="00941AA8"/>
    <w:rsid w:val="00941AE0"/>
    <w:rsid w:val="00941D92"/>
    <w:rsid w:val="00941E80"/>
    <w:rsid w:val="00941F8D"/>
    <w:rsid w:val="009422E5"/>
    <w:rsid w:val="00942384"/>
    <w:rsid w:val="00942568"/>
    <w:rsid w:val="0094266F"/>
    <w:rsid w:val="00942795"/>
    <w:rsid w:val="009429E6"/>
    <w:rsid w:val="00942BB0"/>
    <w:rsid w:val="00942DC5"/>
    <w:rsid w:val="0094303B"/>
    <w:rsid w:val="00943070"/>
    <w:rsid w:val="00943279"/>
    <w:rsid w:val="0094355C"/>
    <w:rsid w:val="0094363C"/>
    <w:rsid w:val="009436DD"/>
    <w:rsid w:val="00943CD4"/>
    <w:rsid w:val="00943D01"/>
    <w:rsid w:val="00943EED"/>
    <w:rsid w:val="0094415B"/>
    <w:rsid w:val="00944305"/>
    <w:rsid w:val="009443DF"/>
    <w:rsid w:val="0094449C"/>
    <w:rsid w:val="009445AA"/>
    <w:rsid w:val="00944807"/>
    <w:rsid w:val="009448D6"/>
    <w:rsid w:val="00944A71"/>
    <w:rsid w:val="00944AB8"/>
    <w:rsid w:val="00944AC4"/>
    <w:rsid w:val="00944D4B"/>
    <w:rsid w:val="00944DCB"/>
    <w:rsid w:val="00944EA8"/>
    <w:rsid w:val="00944F42"/>
    <w:rsid w:val="00944FA3"/>
    <w:rsid w:val="0094501F"/>
    <w:rsid w:val="00945309"/>
    <w:rsid w:val="0094530B"/>
    <w:rsid w:val="0094541E"/>
    <w:rsid w:val="009454DB"/>
    <w:rsid w:val="0094565F"/>
    <w:rsid w:val="0094580F"/>
    <w:rsid w:val="0094589B"/>
    <w:rsid w:val="00945A11"/>
    <w:rsid w:val="00945A45"/>
    <w:rsid w:val="00945C44"/>
    <w:rsid w:val="009463E1"/>
    <w:rsid w:val="0094646D"/>
    <w:rsid w:val="0094661C"/>
    <w:rsid w:val="009466E7"/>
    <w:rsid w:val="0094674C"/>
    <w:rsid w:val="009467BF"/>
    <w:rsid w:val="0094685E"/>
    <w:rsid w:val="00947065"/>
    <w:rsid w:val="0094710F"/>
    <w:rsid w:val="0094715D"/>
    <w:rsid w:val="00947288"/>
    <w:rsid w:val="0094754C"/>
    <w:rsid w:val="009479F5"/>
    <w:rsid w:val="00947A42"/>
    <w:rsid w:val="00947BD1"/>
    <w:rsid w:val="00947EA0"/>
    <w:rsid w:val="00947FC8"/>
    <w:rsid w:val="00950119"/>
    <w:rsid w:val="009502F5"/>
    <w:rsid w:val="00950310"/>
    <w:rsid w:val="00950501"/>
    <w:rsid w:val="009505C3"/>
    <w:rsid w:val="009505F5"/>
    <w:rsid w:val="00950883"/>
    <w:rsid w:val="00950B5B"/>
    <w:rsid w:val="00950BF3"/>
    <w:rsid w:val="00950D27"/>
    <w:rsid w:val="0095106C"/>
    <w:rsid w:val="009510E5"/>
    <w:rsid w:val="0095124A"/>
    <w:rsid w:val="00951266"/>
    <w:rsid w:val="00951345"/>
    <w:rsid w:val="00951556"/>
    <w:rsid w:val="00951933"/>
    <w:rsid w:val="00951A68"/>
    <w:rsid w:val="00951E0B"/>
    <w:rsid w:val="00951E70"/>
    <w:rsid w:val="00951F23"/>
    <w:rsid w:val="00952055"/>
    <w:rsid w:val="009522E7"/>
    <w:rsid w:val="0095252D"/>
    <w:rsid w:val="009526CB"/>
    <w:rsid w:val="009527F2"/>
    <w:rsid w:val="00952A45"/>
    <w:rsid w:val="00952F30"/>
    <w:rsid w:val="0095305A"/>
    <w:rsid w:val="009530BB"/>
    <w:rsid w:val="00953367"/>
    <w:rsid w:val="0095339E"/>
    <w:rsid w:val="00953A11"/>
    <w:rsid w:val="00953B54"/>
    <w:rsid w:val="00953B6A"/>
    <w:rsid w:val="00954131"/>
    <w:rsid w:val="0095443A"/>
    <w:rsid w:val="00954854"/>
    <w:rsid w:val="00954DF7"/>
    <w:rsid w:val="00954E28"/>
    <w:rsid w:val="00954F7B"/>
    <w:rsid w:val="009550E5"/>
    <w:rsid w:val="0095526F"/>
    <w:rsid w:val="0095572E"/>
    <w:rsid w:val="009557E6"/>
    <w:rsid w:val="009558DC"/>
    <w:rsid w:val="009559B2"/>
    <w:rsid w:val="009559E0"/>
    <w:rsid w:val="00955BD8"/>
    <w:rsid w:val="00955C0A"/>
    <w:rsid w:val="00955D91"/>
    <w:rsid w:val="00955DC7"/>
    <w:rsid w:val="00955F59"/>
    <w:rsid w:val="0095602D"/>
    <w:rsid w:val="009561DB"/>
    <w:rsid w:val="0095635B"/>
    <w:rsid w:val="009563CD"/>
    <w:rsid w:val="0095664D"/>
    <w:rsid w:val="009566AE"/>
    <w:rsid w:val="0095675C"/>
    <w:rsid w:val="00956796"/>
    <w:rsid w:val="00956D9F"/>
    <w:rsid w:val="00956DA2"/>
    <w:rsid w:val="00957016"/>
    <w:rsid w:val="00957236"/>
    <w:rsid w:val="009573BC"/>
    <w:rsid w:val="0095751A"/>
    <w:rsid w:val="00957601"/>
    <w:rsid w:val="00957738"/>
    <w:rsid w:val="00957752"/>
    <w:rsid w:val="00957A7D"/>
    <w:rsid w:val="00957B78"/>
    <w:rsid w:val="00960268"/>
    <w:rsid w:val="00960392"/>
    <w:rsid w:val="009604C3"/>
    <w:rsid w:val="0096054B"/>
    <w:rsid w:val="00960564"/>
    <w:rsid w:val="009609FE"/>
    <w:rsid w:val="00960F61"/>
    <w:rsid w:val="00960F72"/>
    <w:rsid w:val="00960F94"/>
    <w:rsid w:val="009610F7"/>
    <w:rsid w:val="00961108"/>
    <w:rsid w:val="009614A2"/>
    <w:rsid w:val="009616FC"/>
    <w:rsid w:val="009617BC"/>
    <w:rsid w:val="0096192F"/>
    <w:rsid w:val="00961BBE"/>
    <w:rsid w:val="00961DCA"/>
    <w:rsid w:val="0096217E"/>
    <w:rsid w:val="009622F6"/>
    <w:rsid w:val="0096237E"/>
    <w:rsid w:val="009624A6"/>
    <w:rsid w:val="009624B1"/>
    <w:rsid w:val="00962509"/>
    <w:rsid w:val="00962682"/>
    <w:rsid w:val="0096292C"/>
    <w:rsid w:val="0096298C"/>
    <w:rsid w:val="00962FF5"/>
    <w:rsid w:val="00962FFF"/>
    <w:rsid w:val="00963268"/>
    <w:rsid w:val="00963305"/>
    <w:rsid w:val="0096354F"/>
    <w:rsid w:val="00963619"/>
    <w:rsid w:val="009637E9"/>
    <w:rsid w:val="00963DCD"/>
    <w:rsid w:val="009641C4"/>
    <w:rsid w:val="00964EBB"/>
    <w:rsid w:val="00964EEC"/>
    <w:rsid w:val="00965044"/>
    <w:rsid w:val="00965204"/>
    <w:rsid w:val="009653C2"/>
    <w:rsid w:val="00965767"/>
    <w:rsid w:val="0096580B"/>
    <w:rsid w:val="00966153"/>
    <w:rsid w:val="00966233"/>
    <w:rsid w:val="009668B1"/>
    <w:rsid w:val="00966BD0"/>
    <w:rsid w:val="00966CD7"/>
    <w:rsid w:val="00966FCF"/>
    <w:rsid w:val="0096714E"/>
    <w:rsid w:val="00967355"/>
    <w:rsid w:val="00967610"/>
    <w:rsid w:val="00967689"/>
    <w:rsid w:val="00967779"/>
    <w:rsid w:val="00967B1C"/>
    <w:rsid w:val="00967C3A"/>
    <w:rsid w:val="00967DDE"/>
    <w:rsid w:val="00970260"/>
    <w:rsid w:val="009702AE"/>
    <w:rsid w:val="009702EB"/>
    <w:rsid w:val="009707CF"/>
    <w:rsid w:val="00970A04"/>
    <w:rsid w:val="00970AA9"/>
    <w:rsid w:val="00970C00"/>
    <w:rsid w:val="00971311"/>
    <w:rsid w:val="00971372"/>
    <w:rsid w:val="009713CC"/>
    <w:rsid w:val="009714E7"/>
    <w:rsid w:val="00971651"/>
    <w:rsid w:val="009716A0"/>
    <w:rsid w:val="009717D4"/>
    <w:rsid w:val="0097182F"/>
    <w:rsid w:val="009718CE"/>
    <w:rsid w:val="009718E9"/>
    <w:rsid w:val="00971907"/>
    <w:rsid w:val="00971B20"/>
    <w:rsid w:val="00971B7C"/>
    <w:rsid w:val="00971DE4"/>
    <w:rsid w:val="00971E65"/>
    <w:rsid w:val="0097223B"/>
    <w:rsid w:val="009722B7"/>
    <w:rsid w:val="00972805"/>
    <w:rsid w:val="00972816"/>
    <w:rsid w:val="00972947"/>
    <w:rsid w:val="00972E29"/>
    <w:rsid w:val="00973307"/>
    <w:rsid w:val="00973417"/>
    <w:rsid w:val="00973C23"/>
    <w:rsid w:val="00973C7A"/>
    <w:rsid w:val="00973D05"/>
    <w:rsid w:val="009740BD"/>
    <w:rsid w:val="00974143"/>
    <w:rsid w:val="009745DD"/>
    <w:rsid w:val="00974778"/>
    <w:rsid w:val="00974894"/>
    <w:rsid w:val="009748BA"/>
    <w:rsid w:val="009748E0"/>
    <w:rsid w:val="00974B4A"/>
    <w:rsid w:val="00974CA4"/>
    <w:rsid w:val="00974E02"/>
    <w:rsid w:val="00975004"/>
    <w:rsid w:val="00975064"/>
    <w:rsid w:val="009751D6"/>
    <w:rsid w:val="009751E4"/>
    <w:rsid w:val="0097544E"/>
    <w:rsid w:val="009755A1"/>
    <w:rsid w:val="0097560C"/>
    <w:rsid w:val="00975762"/>
    <w:rsid w:val="009757F2"/>
    <w:rsid w:val="009757F6"/>
    <w:rsid w:val="00975B24"/>
    <w:rsid w:val="00975B2B"/>
    <w:rsid w:val="00975E32"/>
    <w:rsid w:val="0097623A"/>
    <w:rsid w:val="00976485"/>
    <w:rsid w:val="00976487"/>
    <w:rsid w:val="009764D1"/>
    <w:rsid w:val="009765AB"/>
    <w:rsid w:val="009765DC"/>
    <w:rsid w:val="00976A1D"/>
    <w:rsid w:val="00976B02"/>
    <w:rsid w:val="00976CDF"/>
    <w:rsid w:val="00976F2B"/>
    <w:rsid w:val="009774A0"/>
    <w:rsid w:val="0097769E"/>
    <w:rsid w:val="00977A37"/>
    <w:rsid w:val="00977A82"/>
    <w:rsid w:val="00977B90"/>
    <w:rsid w:val="00977B93"/>
    <w:rsid w:val="00977C79"/>
    <w:rsid w:val="00977C83"/>
    <w:rsid w:val="00977D23"/>
    <w:rsid w:val="00977FE0"/>
    <w:rsid w:val="00980239"/>
    <w:rsid w:val="009806B2"/>
    <w:rsid w:val="00980792"/>
    <w:rsid w:val="00980D67"/>
    <w:rsid w:val="009814E2"/>
    <w:rsid w:val="009815AD"/>
    <w:rsid w:val="00981704"/>
    <w:rsid w:val="009818F0"/>
    <w:rsid w:val="00981A09"/>
    <w:rsid w:val="00982030"/>
    <w:rsid w:val="00982258"/>
    <w:rsid w:val="009823A9"/>
    <w:rsid w:val="009823CD"/>
    <w:rsid w:val="00982705"/>
    <w:rsid w:val="009827B5"/>
    <w:rsid w:val="00982A6B"/>
    <w:rsid w:val="00982A98"/>
    <w:rsid w:val="00982C4A"/>
    <w:rsid w:val="00982CAF"/>
    <w:rsid w:val="00983059"/>
    <w:rsid w:val="00983425"/>
    <w:rsid w:val="0098348E"/>
    <w:rsid w:val="009834FA"/>
    <w:rsid w:val="009835D3"/>
    <w:rsid w:val="0098380A"/>
    <w:rsid w:val="009839CC"/>
    <w:rsid w:val="009839FE"/>
    <w:rsid w:val="00983B6D"/>
    <w:rsid w:val="00983C1A"/>
    <w:rsid w:val="00983D45"/>
    <w:rsid w:val="00983FDD"/>
    <w:rsid w:val="00984563"/>
    <w:rsid w:val="009846C5"/>
    <w:rsid w:val="009846D6"/>
    <w:rsid w:val="009846DC"/>
    <w:rsid w:val="009848CD"/>
    <w:rsid w:val="00984990"/>
    <w:rsid w:val="00984A62"/>
    <w:rsid w:val="00984AAA"/>
    <w:rsid w:val="00984AF9"/>
    <w:rsid w:val="00984C56"/>
    <w:rsid w:val="00984D77"/>
    <w:rsid w:val="00984ECA"/>
    <w:rsid w:val="00984F42"/>
    <w:rsid w:val="009850A1"/>
    <w:rsid w:val="0098524F"/>
    <w:rsid w:val="0098550C"/>
    <w:rsid w:val="009856E7"/>
    <w:rsid w:val="00985953"/>
    <w:rsid w:val="00985AF4"/>
    <w:rsid w:val="00985CAF"/>
    <w:rsid w:val="00986088"/>
    <w:rsid w:val="0098623F"/>
    <w:rsid w:val="0098624E"/>
    <w:rsid w:val="009863FD"/>
    <w:rsid w:val="009865E5"/>
    <w:rsid w:val="0098685D"/>
    <w:rsid w:val="0098690E"/>
    <w:rsid w:val="0098692F"/>
    <w:rsid w:val="00986942"/>
    <w:rsid w:val="00986A56"/>
    <w:rsid w:val="00986CC0"/>
    <w:rsid w:val="00986D48"/>
    <w:rsid w:val="009870FF"/>
    <w:rsid w:val="00987172"/>
    <w:rsid w:val="009873F3"/>
    <w:rsid w:val="00987433"/>
    <w:rsid w:val="00987548"/>
    <w:rsid w:val="009876BC"/>
    <w:rsid w:val="00987862"/>
    <w:rsid w:val="00987891"/>
    <w:rsid w:val="00987A5F"/>
    <w:rsid w:val="00987B16"/>
    <w:rsid w:val="00990012"/>
    <w:rsid w:val="00990020"/>
    <w:rsid w:val="00990134"/>
    <w:rsid w:val="009902F8"/>
    <w:rsid w:val="009903F3"/>
    <w:rsid w:val="009905C7"/>
    <w:rsid w:val="009907E5"/>
    <w:rsid w:val="00990849"/>
    <w:rsid w:val="00990930"/>
    <w:rsid w:val="00990AAA"/>
    <w:rsid w:val="00990E36"/>
    <w:rsid w:val="00991074"/>
    <w:rsid w:val="0099117B"/>
    <w:rsid w:val="009914BE"/>
    <w:rsid w:val="009916A8"/>
    <w:rsid w:val="00991AEE"/>
    <w:rsid w:val="00991CE0"/>
    <w:rsid w:val="00991DFD"/>
    <w:rsid w:val="00991FC0"/>
    <w:rsid w:val="00991FC3"/>
    <w:rsid w:val="0099210A"/>
    <w:rsid w:val="00992170"/>
    <w:rsid w:val="00992B9B"/>
    <w:rsid w:val="00992CFC"/>
    <w:rsid w:val="00992EF5"/>
    <w:rsid w:val="00992FAC"/>
    <w:rsid w:val="00992FBC"/>
    <w:rsid w:val="00993147"/>
    <w:rsid w:val="00993213"/>
    <w:rsid w:val="009932BC"/>
    <w:rsid w:val="00993327"/>
    <w:rsid w:val="009935A4"/>
    <w:rsid w:val="009935F8"/>
    <w:rsid w:val="00993770"/>
    <w:rsid w:val="00993ACD"/>
    <w:rsid w:val="00993B73"/>
    <w:rsid w:val="00993D80"/>
    <w:rsid w:val="00993DD1"/>
    <w:rsid w:val="00993E24"/>
    <w:rsid w:val="00993ECA"/>
    <w:rsid w:val="00993EE0"/>
    <w:rsid w:val="00994558"/>
    <w:rsid w:val="00994672"/>
    <w:rsid w:val="00994716"/>
    <w:rsid w:val="0099473C"/>
    <w:rsid w:val="009947A2"/>
    <w:rsid w:val="009948AC"/>
    <w:rsid w:val="00994BC5"/>
    <w:rsid w:val="00994D76"/>
    <w:rsid w:val="00994DB0"/>
    <w:rsid w:val="00994DB3"/>
    <w:rsid w:val="00994E1A"/>
    <w:rsid w:val="00994F7D"/>
    <w:rsid w:val="0099516F"/>
    <w:rsid w:val="009953E4"/>
    <w:rsid w:val="00995491"/>
    <w:rsid w:val="0099568D"/>
    <w:rsid w:val="0099578C"/>
    <w:rsid w:val="0099587F"/>
    <w:rsid w:val="00995B2A"/>
    <w:rsid w:val="009960C9"/>
    <w:rsid w:val="0099618B"/>
    <w:rsid w:val="0099635C"/>
    <w:rsid w:val="00996609"/>
    <w:rsid w:val="0099677E"/>
    <w:rsid w:val="00996A0E"/>
    <w:rsid w:val="00996A79"/>
    <w:rsid w:val="00996ABB"/>
    <w:rsid w:val="00996DD1"/>
    <w:rsid w:val="00996FC3"/>
    <w:rsid w:val="00996FD1"/>
    <w:rsid w:val="0099705D"/>
    <w:rsid w:val="00997140"/>
    <w:rsid w:val="009973C6"/>
    <w:rsid w:val="00997428"/>
    <w:rsid w:val="009978DF"/>
    <w:rsid w:val="00997A89"/>
    <w:rsid w:val="00997B62"/>
    <w:rsid w:val="00997C3C"/>
    <w:rsid w:val="00997DC1"/>
    <w:rsid w:val="00997DC5"/>
    <w:rsid w:val="0099A85F"/>
    <w:rsid w:val="009A003D"/>
    <w:rsid w:val="009A0069"/>
    <w:rsid w:val="009A03A7"/>
    <w:rsid w:val="009A0988"/>
    <w:rsid w:val="009A0CD8"/>
    <w:rsid w:val="009A0FD8"/>
    <w:rsid w:val="009A104E"/>
    <w:rsid w:val="009A119D"/>
    <w:rsid w:val="009A13D8"/>
    <w:rsid w:val="009A1474"/>
    <w:rsid w:val="009A1683"/>
    <w:rsid w:val="009A18F6"/>
    <w:rsid w:val="009A1CA8"/>
    <w:rsid w:val="009A1CAA"/>
    <w:rsid w:val="009A1EB4"/>
    <w:rsid w:val="009A1FC5"/>
    <w:rsid w:val="009A211C"/>
    <w:rsid w:val="009A242A"/>
    <w:rsid w:val="009A25D2"/>
    <w:rsid w:val="009A266A"/>
    <w:rsid w:val="009A2703"/>
    <w:rsid w:val="009A2733"/>
    <w:rsid w:val="009A277D"/>
    <w:rsid w:val="009A28E1"/>
    <w:rsid w:val="009A2C47"/>
    <w:rsid w:val="009A2C6B"/>
    <w:rsid w:val="009A2D45"/>
    <w:rsid w:val="009A3224"/>
    <w:rsid w:val="009A33E0"/>
    <w:rsid w:val="009A34A3"/>
    <w:rsid w:val="009A389C"/>
    <w:rsid w:val="009A3953"/>
    <w:rsid w:val="009A3980"/>
    <w:rsid w:val="009A3A17"/>
    <w:rsid w:val="009A3B28"/>
    <w:rsid w:val="009A3CBA"/>
    <w:rsid w:val="009A3D36"/>
    <w:rsid w:val="009A3E06"/>
    <w:rsid w:val="009A45A4"/>
    <w:rsid w:val="009A45C9"/>
    <w:rsid w:val="009A4741"/>
    <w:rsid w:val="009A4AB0"/>
    <w:rsid w:val="009A4B22"/>
    <w:rsid w:val="009A4CA0"/>
    <w:rsid w:val="009A4DF1"/>
    <w:rsid w:val="009A4F26"/>
    <w:rsid w:val="009A51BE"/>
    <w:rsid w:val="009A53F6"/>
    <w:rsid w:val="009A5571"/>
    <w:rsid w:val="009A5ACA"/>
    <w:rsid w:val="009A5B96"/>
    <w:rsid w:val="009A5E11"/>
    <w:rsid w:val="009A5F34"/>
    <w:rsid w:val="009A5FD0"/>
    <w:rsid w:val="009A611C"/>
    <w:rsid w:val="009A62E4"/>
    <w:rsid w:val="009A6B7D"/>
    <w:rsid w:val="009A6E1E"/>
    <w:rsid w:val="009A71E2"/>
    <w:rsid w:val="009A7610"/>
    <w:rsid w:val="009A7669"/>
    <w:rsid w:val="009A76E5"/>
    <w:rsid w:val="009A78F0"/>
    <w:rsid w:val="009A7DA1"/>
    <w:rsid w:val="009B0044"/>
    <w:rsid w:val="009B0064"/>
    <w:rsid w:val="009B022D"/>
    <w:rsid w:val="009B03C3"/>
    <w:rsid w:val="009B0570"/>
    <w:rsid w:val="009B0591"/>
    <w:rsid w:val="009B05B2"/>
    <w:rsid w:val="009B07A2"/>
    <w:rsid w:val="009B08FD"/>
    <w:rsid w:val="009B1190"/>
    <w:rsid w:val="009B1324"/>
    <w:rsid w:val="009B1B0C"/>
    <w:rsid w:val="009B1BA1"/>
    <w:rsid w:val="009B22AF"/>
    <w:rsid w:val="009B246A"/>
    <w:rsid w:val="009B2546"/>
    <w:rsid w:val="009B2667"/>
    <w:rsid w:val="009B2721"/>
    <w:rsid w:val="009B29E2"/>
    <w:rsid w:val="009B2A32"/>
    <w:rsid w:val="009B2BD7"/>
    <w:rsid w:val="009B2DA0"/>
    <w:rsid w:val="009B326A"/>
    <w:rsid w:val="009B32C2"/>
    <w:rsid w:val="009B32D3"/>
    <w:rsid w:val="009B330F"/>
    <w:rsid w:val="009B3557"/>
    <w:rsid w:val="009B35BB"/>
    <w:rsid w:val="009B390A"/>
    <w:rsid w:val="009B39B0"/>
    <w:rsid w:val="009B3BC7"/>
    <w:rsid w:val="009B3D3D"/>
    <w:rsid w:val="009B3F2C"/>
    <w:rsid w:val="009B3FCB"/>
    <w:rsid w:val="009B422C"/>
    <w:rsid w:val="009B4459"/>
    <w:rsid w:val="009B45B3"/>
    <w:rsid w:val="009B4768"/>
    <w:rsid w:val="009B47A7"/>
    <w:rsid w:val="009B4B07"/>
    <w:rsid w:val="009B4B16"/>
    <w:rsid w:val="009B4C8C"/>
    <w:rsid w:val="009B4EF1"/>
    <w:rsid w:val="009B555A"/>
    <w:rsid w:val="009B5727"/>
    <w:rsid w:val="009B6047"/>
    <w:rsid w:val="009B604B"/>
    <w:rsid w:val="009B60E8"/>
    <w:rsid w:val="009B6458"/>
    <w:rsid w:val="009B66FE"/>
    <w:rsid w:val="009B6922"/>
    <w:rsid w:val="009B6980"/>
    <w:rsid w:val="009B6A95"/>
    <w:rsid w:val="009B6B6D"/>
    <w:rsid w:val="009B6C98"/>
    <w:rsid w:val="009B6CFA"/>
    <w:rsid w:val="009B6E0A"/>
    <w:rsid w:val="009B6E3E"/>
    <w:rsid w:val="009B7AE3"/>
    <w:rsid w:val="009B7D33"/>
    <w:rsid w:val="009B7DC8"/>
    <w:rsid w:val="009B7FA7"/>
    <w:rsid w:val="009C08D0"/>
    <w:rsid w:val="009C09D0"/>
    <w:rsid w:val="009C0C64"/>
    <w:rsid w:val="009C0DA6"/>
    <w:rsid w:val="009C0DFD"/>
    <w:rsid w:val="009C1141"/>
    <w:rsid w:val="009C1252"/>
    <w:rsid w:val="009C137F"/>
    <w:rsid w:val="009C19B7"/>
    <w:rsid w:val="009C1A4E"/>
    <w:rsid w:val="009C1AEE"/>
    <w:rsid w:val="009C1BA3"/>
    <w:rsid w:val="009C1DCE"/>
    <w:rsid w:val="009C1EB3"/>
    <w:rsid w:val="009C2007"/>
    <w:rsid w:val="009C28FD"/>
    <w:rsid w:val="009C292B"/>
    <w:rsid w:val="009C29B5"/>
    <w:rsid w:val="009C2E19"/>
    <w:rsid w:val="009C2EC2"/>
    <w:rsid w:val="009C33AA"/>
    <w:rsid w:val="009C33BF"/>
    <w:rsid w:val="009C3710"/>
    <w:rsid w:val="009C3788"/>
    <w:rsid w:val="009C383C"/>
    <w:rsid w:val="009C3A8A"/>
    <w:rsid w:val="009C3BEA"/>
    <w:rsid w:val="009C3D65"/>
    <w:rsid w:val="009C4005"/>
    <w:rsid w:val="009C40B5"/>
    <w:rsid w:val="009C437F"/>
    <w:rsid w:val="009C451C"/>
    <w:rsid w:val="009C4929"/>
    <w:rsid w:val="009C4BF8"/>
    <w:rsid w:val="009C4C2D"/>
    <w:rsid w:val="009C4FA0"/>
    <w:rsid w:val="009C50A2"/>
    <w:rsid w:val="009C50C2"/>
    <w:rsid w:val="009C50D6"/>
    <w:rsid w:val="009C50E7"/>
    <w:rsid w:val="009C517C"/>
    <w:rsid w:val="009C52BD"/>
    <w:rsid w:val="009C53DB"/>
    <w:rsid w:val="009C54D4"/>
    <w:rsid w:val="009C5614"/>
    <w:rsid w:val="009C56A2"/>
    <w:rsid w:val="009C57B6"/>
    <w:rsid w:val="009C5805"/>
    <w:rsid w:val="009C5815"/>
    <w:rsid w:val="009C590E"/>
    <w:rsid w:val="009C5B93"/>
    <w:rsid w:val="009C5C1E"/>
    <w:rsid w:val="009C5CD8"/>
    <w:rsid w:val="009C5DDE"/>
    <w:rsid w:val="009C5F76"/>
    <w:rsid w:val="009C601C"/>
    <w:rsid w:val="009C63EB"/>
    <w:rsid w:val="009C63F4"/>
    <w:rsid w:val="009C679C"/>
    <w:rsid w:val="009C68ED"/>
    <w:rsid w:val="009C6907"/>
    <w:rsid w:val="009C6A8A"/>
    <w:rsid w:val="009C6D34"/>
    <w:rsid w:val="009C6DDE"/>
    <w:rsid w:val="009C6FB7"/>
    <w:rsid w:val="009C70F6"/>
    <w:rsid w:val="009C7767"/>
    <w:rsid w:val="009C776F"/>
    <w:rsid w:val="009C78AE"/>
    <w:rsid w:val="009C7ABA"/>
    <w:rsid w:val="009C7BB5"/>
    <w:rsid w:val="009C7DCE"/>
    <w:rsid w:val="009C7DE0"/>
    <w:rsid w:val="009D006C"/>
    <w:rsid w:val="009D00BB"/>
    <w:rsid w:val="009D019A"/>
    <w:rsid w:val="009D0230"/>
    <w:rsid w:val="009D052B"/>
    <w:rsid w:val="009D0665"/>
    <w:rsid w:val="009D08A1"/>
    <w:rsid w:val="009D08B4"/>
    <w:rsid w:val="009D0FEB"/>
    <w:rsid w:val="009D11AE"/>
    <w:rsid w:val="009D11B7"/>
    <w:rsid w:val="009D1214"/>
    <w:rsid w:val="009D1231"/>
    <w:rsid w:val="009D1551"/>
    <w:rsid w:val="009D15F6"/>
    <w:rsid w:val="009D16EB"/>
    <w:rsid w:val="009D177B"/>
    <w:rsid w:val="009D17F9"/>
    <w:rsid w:val="009D18CB"/>
    <w:rsid w:val="009D1B17"/>
    <w:rsid w:val="009D1BF8"/>
    <w:rsid w:val="009D1BFF"/>
    <w:rsid w:val="009D1CF8"/>
    <w:rsid w:val="009D1DAC"/>
    <w:rsid w:val="009D1F75"/>
    <w:rsid w:val="009D2163"/>
    <w:rsid w:val="009D2215"/>
    <w:rsid w:val="009D2477"/>
    <w:rsid w:val="009D25C5"/>
    <w:rsid w:val="009D268C"/>
    <w:rsid w:val="009D2727"/>
    <w:rsid w:val="009D2770"/>
    <w:rsid w:val="009D294D"/>
    <w:rsid w:val="009D2B68"/>
    <w:rsid w:val="009D2C9A"/>
    <w:rsid w:val="009D3190"/>
    <w:rsid w:val="009D338E"/>
    <w:rsid w:val="009D3411"/>
    <w:rsid w:val="009D346C"/>
    <w:rsid w:val="009D3555"/>
    <w:rsid w:val="009D3783"/>
    <w:rsid w:val="009D379E"/>
    <w:rsid w:val="009D39CA"/>
    <w:rsid w:val="009D4267"/>
    <w:rsid w:val="009D44A1"/>
    <w:rsid w:val="009D45DC"/>
    <w:rsid w:val="009D464E"/>
    <w:rsid w:val="009D47ED"/>
    <w:rsid w:val="009D487F"/>
    <w:rsid w:val="009D4A50"/>
    <w:rsid w:val="009D4B59"/>
    <w:rsid w:val="009D4BAD"/>
    <w:rsid w:val="009D4C39"/>
    <w:rsid w:val="009D5304"/>
    <w:rsid w:val="009D532D"/>
    <w:rsid w:val="009D54FD"/>
    <w:rsid w:val="009D5865"/>
    <w:rsid w:val="009D59D9"/>
    <w:rsid w:val="009D5B9F"/>
    <w:rsid w:val="009D5BC9"/>
    <w:rsid w:val="009D5C2C"/>
    <w:rsid w:val="009D5E24"/>
    <w:rsid w:val="009D5F59"/>
    <w:rsid w:val="009D62F0"/>
    <w:rsid w:val="009D6346"/>
    <w:rsid w:val="009D6476"/>
    <w:rsid w:val="009D6529"/>
    <w:rsid w:val="009D6789"/>
    <w:rsid w:val="009D68E0"/>
    <w:rsid w:val="009D69E0"/>
    <w:rsid w:val="009D69E8"/>
    <w:rsid w:val="009D6B99"/>
    <w:rsid w:val="009D6C30"/>
    <w:rsid w:val="009D709A"/>
    <w:rsid w:val="009D7526"/>
    <w:rsid w:val="009D77E7"/>
    <w:rsid w:val="009E01D8"/>
    <w:rsid w:val="009E0382"/>
    <w:rsid w:val="009E0538"/>
    <w:rsid w:val="009E074C"/>
    <w:rsid w:val="009E09F4"/>
    <w:rsid w:val="009E0AC6"/>
    <w:rsid w:val="009E0D5E"/>
    <w:rsid w:val="009E1586"/>
    <w:rsid w:val="009E158A"/>
    <w:rsid w:val="009E1790"/>
    <w:rsid w:val="009E19DB"/>
    <w:rsid w:val="009E1F80"/>
    <w:rsid w:val="009E21C2"/>
    <w:rsid w:val="009E220E"/>
    <w:rsid w:val="009E23A3"/>
    <w:rsid w:val="009E23C8"/>
    <w:rsid w:val="009E2440"/>
    <w:rsid w:val="009E2475"/>
    <w:rsid w:val="009E24EA"/>
    <w:rsid w:val="009E2808"/>
    <w:rsid w:val="009E28D0"/>
    <w:rsid w:val="009E2A35"/>
    <w:rsid w:val="009E2A58"/>
    <w:rsid w:val="009E2A67"/>
    <w:rsid w:val="009E2B40"/>
    <w:rsid w:val="009E2CA7"/>
    <w:rsid w:val="009E2D8F"/>
    <w:rsid w:val="009E2EC6"/>
    <w:rsid w:val="009E3157"/>
    <w:rsid w:val="009E362F"/>
    <w:rsid w:val="009E36A8"/>
    <w:rsid w:val="009E36E6"/>
    <w:rsid w:val="009E3830"/>
    <w:rsid w:val="009E38EC"/>
    <w:rsid w:val="009E39BC"/>
    <w:rsid w:val="009E3A56"/>
    <w:rsid w:val="009E3D96"/>
    <w:rsid w:val="009E40C3"/>
    <w:rsid w:val="009E4357"/>
    <w:rsid w:val="009E454F"/>
    <w:rsid w:val="009E4702"/>
    <w:rsid w:val="009E49A1"/>
    <w:rsid w:val="009E4C68"/>
    <w:rsid w:val="009E4C97"/>
    <w:rsid w:val="009E4CB0"/>
    <w:rsid w:val="009E4DD4"/>
    <w:rsid w:val="009E51C2"/>
    <w:rsid w:val="009E531E"/>
    <w:rsid w:val="009E53CB"/>
    <w:rsid w:val="009E545A"/>
    <w:rsid w:val="009E5722"/>
    <w:rsid w:val="009E57F9"/>
    <w:rsid w:val="009E59FA"/>
    <w:rsid w:val="009E5D29"/>
    <w:rsid w:val="009E60F0"/>
    <w:rsid w:val="009E641B"/>
    <w:rsid w:val="009E64A0"/>
    <w:rsid w:val="009E64E4"/>
    <w:rsid w:val="009E657E"/>
    <w:rsid w:val="009E65FD"/>
    <w:rsid w:val="009E6620"/>
    <w:rsid w:val="009E6698"/>
    <w:rsid w:val="009E6959"/>
    <w:rsid w:val="009E6993"/>
    <w:rsid w:val="009E6ACE"/>
    <w:rsid w:val="009E6B5A"/>
    <w:rsid w:val="009E6DA9"/>
    <w:rsid w:val="009E6E8F"/>
    <w:rsid w:val="009E6F93"/>
    <w:rsid w:val="009E70CD"/>
    <w:rsid w:val="009E74A8"/>
    <w:rsid w:val="009E759C"/>
    <w:rsid w:val="009E7629"/>
    <w:rsid w:val="009E777A"/>
    <w:rsid w:val="009E77B8"/>
    <w:rsid w:val="009E790E"/>
    <w:rsid w:val="009E79C1"/>
    <w:rsid w:val="009E7A3F"/>
    <w:rsid w:val="009E7D87"/>
    <w:rsid w:val="009E7D91"/>
    <w:rsid w:val="009E7F03"/>
    <w:rsid w:val="009E7F1C"/>
    <w:rsid w:val="009E7F61"/>
    <w:rsid w:val="009E7FFA"/>
    <w:rsid w:val="009E7FFE"/>
    <w:rsid w:val="009F0084"/>
    <w:rsid w:val="009F0298"/>
    <w:rsid w:val="009F0416"/>
    <w:rsid w:val="009F067C"/>
    <w:rsid w:val="009F0BCF"/>
    <w:rsid w:val="009F0CE2"/>
    <w:rsid w:val="009F0F1F"/>
    <w:rsid w:val="009F0FD2"/>
    <w:rsid w:val="009F1270"/>
    <w:rsid w:val="009F16B8"/>
    <w:rsid w:val="009F1711"/>
    <w:rsid w:val="009F1A95"/>
    <w:rsid w:val="009F1DFF"/>
    <w:rsid w:val="009F1F49"/>
    <w:rsid w:val="009F2055"/>
    <w:rsid w:val="009F22BF"/>
    <w:rsid w:val="009F22E4"/>
    <w:rsid w:val="009F255F"/>
    <w:rsid w:val="009F259F"/>
    <w:rsid w:val="009F2843"/>
    <w:rsid w:val="009F286A"/>
    <w:rsid w:val="009F28FB"/>
    <w:rsid w:val="009F2A95"/>
    <w:rsid w:val="009F2AAE"/>
    <w:rsid w:val="009F2BD8"/>
    <w:rsid w:val="009F2C00"/>
    <w:rsid w:val="009F2DEF"/>
    <w:rsid w:val="009F2E85"/>
    <w:rsid w:val="009F3148"/>
    <w:rsid w:val="009F340D"/>
    <w:rsid w:val="009F3659"/>
    <w:rsid w:val="009F3861"/>
    <w:rsid w:val="009F38F9"/>
    <w:rsid w:val="009F38FC"/>
    <w:rsid w:val="009F3AB7"/>
    <w:rsid w:val="009F3B47"/>
    <w:rsid w:val="009F3C2C"/>
    <w:rsid w:val="009F3C4D"/>
    <w:rsid w:val="009F3E47"/>
    <w:rsid w:val="009F3EFF"/>
    <w:rsid w:val="009F3F14"/>
    <w:rsid w:val="009F4079"/>
    <w:rsid w:val="009F4083"/>
    <w:rsid w:val="009F416F"/>
    <w:rsid w:val="009F438D"/>
    <w:rsid w:val="009F4625"/>
    <w:rsid w:val="009F47EB"/>
    <w:rsid w:val="009F487E"/>
    <w:rsid w:val="009F494D"/>
    <w:rsid w:val="009F49D3"/>
    <w:rsid w:val="009F4BFC"/>
    <w:rsid w:val="009F4C9B"/>
    <w:rsid w:val="009F4D22"/>
    <w:rsid w:val="009F4E4A"/>
    <w:rsid w:val="009F4EE2"/>
    <w:rsid w:val="009F5128"/>
    <w:rsid w:val="009F522B"/>
    <w:rsid w:val="009F52DB"/>
    <w:rsid w:val="009F53A9"/>
    <w:rsid w:val="009F53FB"/>
    <w:rsid w:val="009F5498"/>
    <w:rsid w:val="009F5597"/>
    <w:rsid w:val="009F55EB"/>
    <w:rsid w:val="009F5863"/>
    <w:rsid w:val="009F5905"/>
    <w:rsid w:val="009F5962"/>
    <w:rsid w:val="009F5B80"/>
    <w:rsid w:val="009F60AF"/>
    <w:rsid w:val="009F6585"/>
    <w:rsid w:val="009F668C"/>
    <w:rsid w:val="009F67DB"/>
    <w:rsid w:val="009F68CB"/>
    <w:rsid w:val="009F69C7"/>
    <w:rsid w:val="009F6C94"/>
    <w:rsid w:val="009F6D05"/>
    <w:rsid w:val="009F70C8"/>
    <w:rsid w:val="009F7526"/>
    <w:rsid w:val="009F7655"/>
    <w:rsid w:val="009F767F"/>
    <w:rsid w:val="009F76FD"/>
    <w:rsid w:val="009F7738"/>
    <w:rsid w:val="009F775B"/>
    <w:rsid w:val="009F7832"/>
    <w:rsid w:val="009F7965"/>
    <w:rsid w:val="009F79EF"/>
    <w:rsid w:val="009F7B22"/>
    <w:rsid w:val="009F7E78"/>
    <w:rsid w:val="009F86AF"/>
    <w:rsid w:val="00A00225"/>
    <w:rsid w:val="00A0060C"/>
    <w:rsid w:val="00A006C6"/>
    <w:rsid w:val="00A008F6"/>
    <w:rsid w:val="00A009C9"/>
    <w:rsid w:val="00A00D7D"/>
    <w:rsid w:val="00A00F38"/>
    <w:rsid w:val="00A0101E"/>
    <w:rsid w:val="00A011FB"/>
    <w:rsid w:val="00A012C4"/>
    <w:rsid w:val="00A012DA"/>
    <w:rsid w:val="00A01424"/>
    <w:rsid w:val="00A01522"/>
    <w:rsid w:val="00A017C5"/>
    <w:rsid w:val="00A0182E"/>
    <w:rsid w:val="00A01903"/>
    <w:rsid w:val="00A0194A"/>
    <w:rsid w:val="00A019FA"/>
    <w:rsid w:val="00A01B04"/>
    <w:rsid w:val="00A01BB0"/>
    <w:rsid w:val="00A01CD7"/>
    <w:rsid w:val="00A01EEF"/>
    <w:rsid w:val="00A01F1F"/>
    <w:rsid w:val="00A02082"/>
    <w:rsid w:val="00A020C0"/>
    <w:rsid w:val="00A02297"/>
    <w:rsid w:val="00A02580"/>
    <w:rsid w:val="00A02626"/>
    <w:rsid w:val="00A026A2"/>
    <w:rsid w:val="00A027D0"/>
    <w:rsid w:val="00A0284C"/>
    <w:rsid w:val="00A0299A"/>
    <w:rsid w:val="00A02A39"/>
    <w:rsid w:val="00A02A56"/>
    <w:rsid w:val="00A0302E"/>
    <w:rsid w:val="00A030FA"/>
    <w:rsid w:val="00A0359F"/>
    <w:rsid w:val="00A035D7"/>
    <w:rsid w:val="00A03B75"/>
    <w:rsid w:val="00A040C8"/>
    <w:rsid w:val="00A040D1"/>
    <w:rsid w:val="00A04397"/>
    <w:rsid w:val="00A04403"/>
    <w:rsid w:val="00A0482C"/>
    <w:rsid w:val="00A04B17"/>
    <w:rsid w:val="00A04B4A"/>
    <w:rsid w:val="00A04BBD"/>
    <w:rsid w:val="00A04DB5"/>
    <w:rsid w:val="00A04FB4"/>
    <w:rsid w:val="00A0565E"/>
    <w:rsid w:val="00A056B8"/>
    <w:rsid w:val="00A0574A"/>
    <w:rsid w:val="00A057FB"/>
    <w:rsid w:val="00A05A08"/>
    <w:rsid w:val="00A05C74"/>
    <w:rsid w:val="00A06008"/>
    <w:rsid w:val="00A0610E"/>
    <w:rsid w:val="00A062AA"/>
    <w:rsid w:val="00A062E2"/>
    <w:rsid w:val="00A06934"/>
    <w:rsid w:val="00A0694C"/>
    <w:rsid w:val="00A06992"/>
    <w:rsid w:val="00A06997"/>
    <w:rsid w:val="00A06D08"/>
    <w:rsid w:val="00A06D56"/>
    <w:rsid w:val="00A0710E"/>
    <w:rsid w:val="00A071EA"/>
    <w:rsid w:val="00A07325"/>
    <w:rsid w:val="00A0775A"/>
    <w:rsid w:val="00A07AAE"/>
    <w:rsid w:val="00A07C5D"/>
    <w:rsid w:val="00A07CE3"/>
    <w:rsid w:val="00A07E78"/>
    <w:rsid w:val="00A07F66"/>
    <w:rsid w:val="00A10A4D"/>
    <w:rsid w:val="00A10B97"/>
    <w:rsid w:val="00A10C4C"/>
    <w:rsid w:val="00A10CBC"/>
    <w:rsid w:val="00A10DA0"/>
    <w:rsid w:val="00A11148"/>
    <w:rsid w:val="00A11174"/>
    <w:rsid w:val="00A11222"/>
    <w:rsid w:val="00A11230"/>
    <w:rsid w:val="00A1148C"/>
    <w:rsid w:val="00A117F8"/>
    <w:rsid w:val="00A1195D"/>
    <w:rsid w:val="00A11BE6"/>
    <w:rsid w:val="00A11CC2"/>
    <w:rsid w:val="00A11FC3"/>
    <w:rsid w:val="00A1219C"/>
    <w:rsid w:val="00A12493"/>
    <w:rsid w:val="00A12676"/>
    <w:rsid w:val="00A126F9"/>
    <w:rsid w:val="00A1273B"/>
    <w:rsid w:val="00A127EA"/>
    <w:rsid w:val="00A1297B"/>
    <w:rsid w:val="00A12EB8"/>
    <w:rsid w:val="00A12F62"/>
    <w:rsid w:val="00A13222"/>
    <w:rsid w:val="00A13325"/>
    <w:rsid w:val="00A1342D"/>
    <w:rsid w:val="00A135CC"/>
    <w:rsid w:val="00A137AC"/>
    <w:rsid w:val="00A13B0F"/>
    <w:rsid w:val="00A13D56"/>
    <w:rsid w:val="00A13D59"/>
    <w:rsid w:val="00A13DB0"/>
    <w:rsid w:val="00A13ECE"/>
    <w:rsid w:val="00A13F73"/>
    <w:rsid w:val="00A142C9"/>
    <w:rsid w:val="00A143D6"/>
    <w:rsid w:val="00A14813"/>
    <w:rsid w:val="00A14B0A"/>
    <w:rsid w:val="00A14D0D"/>
    <w:rsid w:val="00A14EBA"/>
    <w:rsid w:val="00A14EDD"/>
    <w:rsid w:val="00A14F1C"/>
    <w:rsid w:val="00A15032"/>
    <w:rsid w:val="00A15174"/>
    <w:rsid w:val="00A15196"/>
    <w:rsid w:val="00A151B2"/>
    <w:rsid w:val="00A152B9"/>
    <w:rsid w:val="00A15331"/>
    <w:rsid w:val="00A154D9"/>
    <w:rsid w:val="00A15631"/>
    <w:rsid w:val="00A15875"/>
    <w:rsid w:val="00A15BB2"/>
    <w:rsid w:val="00A15BFC"/>
    <w:rsid w:val="00A15D63"/>
    <w:rsid w:val="00A15D67"/>
    <w:rsid w:val="00A15D6A"/>
    <w:rsid w:val="00A15DB6"/>
    <w:rsid w:val="00A160F3"/>
    <w:rsid w:val="00A161E6"/>
    <w:rsid w:val="00A1638F"/>
    <w:rsid w:val="00A16F01"/>
    <w:rsid w:val="00A172E3"/>
    <w:rsid w:val="00A174DB"/>
    <w:rsid w:val="00A1781D"/>
    <w:rsid w:val="00A17864"/>
    <w:rsid w:val="00A1796E"/>
    <w:rsid w:val="00A17B92"/>
    <w:rsid w:val="00A17C40"/>
    <w:rsid w:val="00A17CF1"/>
    <w:rsid w:val="00A17D68"/>
    <w:rsid w:val="00A17D89"/>
    <w:rsid w:val="00A17F55"/>
    <w:rsid w:val="00A17FB6"/>
    <w:rsid w:val="00A2035D"/>
    <w:rsid w:val="00A2036B"/>
    <w:rsid w:val="00A203C2"/>
    <w:rsid w:val="00A20500"/>
    <w:rsid w:val="00A2057C"/>
    <w:rsid w:val="00A205DE"/>
    <w:rsid w:val="00A20786"/>
    <w:rsid w:val="00A207CF"/>
    <w:rsid w:val="00A20986"/>
    <w:rsid w:val="00A20AEE"/>
    <w:rsid w:val="00A20BC9"/>
    <w:rsid w:val="00A20F64"/>
    <w:rsid w:val="00A21088"/>
    <w:rsid w:val="00A21189"/>
    <w:rsid w:val="00A212F5"/>
    <w:rsid w:val="00A21334"/>
    <w:rsid w:val="00A214FC"/>
    <w:rsid w:val="00A21563"/>
    <w:rsid w:val="00A21687"/>
    <w:rsid w:val="00A2173B"/>
    <w:rsid w:val="00A21885"/>
    <w:rsid w:val="00A218D6"/>
    <w:rsid w:val="00A21A60"/>
    <w:rsid w:val="00A21AD6"/>
    <w:rsid w:val="00A21B40"/>
    <w:rsid w:val="00A21B68"/>
    <w:rsid w:val="00A21D55"/>
    <w:rsid w:val="00A21D59"/>
    <w:rsid w:val="00A21D6C"/>
    <w:rsid w:val="00A22236"/>
    <w:rsid w:val="00A22324"/>
    <w:rsid w:val="00A22365"/>
    <w:rsid w:val="00A224F2"/>
    <w:rsid w:val="00A22720"/>
    <w:rsid w:val="00A2285F"/>
    <w:rsid w:val="00A22E39"/>
    <w:rsid w:val="00A230C5"/>
    <w:rsid w:val="00A232F3"/>
    <w:rsid w:val="00A2335C"/>
    <w:rsid w:val="00A233C3"/>
    <w:rsid w:val="00A234BC"/>
    <w:rsid w:val="00A2371F"/>
    <w:rsid w:val="00A2379D"/>
    <w:rsid w:val="00A239BF"/>
    <w:rsid w:val="00A23A7F"/>
    <w:rsid w:val="00A23C9D"/>
    <w:rsid w:val="00A23E98"/>
    <w:rsid w:val="00A23EFA"/>
    <w:rsid w:val="00A2401C"/>
    <w:rsid w:val="00A2402D"/>
    <w:rsid w:val="00A24202"/>
    <w:rsid w:val="00A242B9"/>
    <w:rsid w:val="00A24315"/>
    <w:rsid w:val="00A243C3"/>
    <w:rsid w:val="00A2446A"/>
    <w:rsid w:val="00A244C1"/>
    <w:rsid w:val="00A2458E"/>
    <w:rsid w:val="00A2468E"/>
    <w:rsid w:val="00A24709"/>
    <w:rsid w:val="00A24755"/>
    <w:rsid w:val="00A249BA"/>
    <w:rsid w:val="00A24A62"/>
    <w:rsid w:val="00A24AF8"/>
    <w:rsid w:val="00A24E25"/>
    <w:rsid w:val="00A25050"/>
    <w:rsid w:val="00A2515D"/>
    <w:rsid w:val="00A25181"/>
    <w:rsid w:val="00A252EF"/>
    <w:rsid w:val="00A253DB"/>
    <w:rsid w:val="00A253EE"/>
    <w:rsid w:val="00A25421"/>
    <w:rsid w:val="00A25439"/>
    <w:rsid w:val="00A2545B"/>
    <w:rsid w:val="00A25724"/>
    <w:rsid w:val="00A258D4"/>
    <w:rsid w:val="00A25996"/>
    <w:rsid w:val="00A25AD2"/>
    <w:rsid w:val="00A25B56"/>
    <w:rsid w:val="00A25F15"/>
    <w:rsid w:val="00A25F76"/>
    <w:rsid w:val="00A2615B"/>
    <w:rsid w:val="00A2630F"/>
    <w:rsid w:val="00A268D0"/>
    <w:rsid w:val="00A269CF"/>
    <w:rsid w:val="00A26AC8"/>
    <w:rsid w:val="00A26EB4"/>
    <w:rsid w:val="00A26EB7"/>
    <w:rsid w:val="00A26F01"/>
    <w:rsid w:val="00A26F1B"/>
    <w:rsid w:val="00A272E6"/>
    <w:rsid w:val="00A27529"/>
    <w:rsid w:val="00A27846"/>
    <w:rsid w:val="00A27B4C"/>
    <w:rsid w:val="00A30481"/>
    <w:rsid w:val="00A30D5E"/>
    <w:rsid w:val="00A30DB1"/>
    <w:rsid w:val="00A30EFA"/>
    <w:rsid w:val="00A30F66"/>
    <w:rsid w:val="00A31328"/>
    <w:rsid w:val="00A315C0"/>
    <w:rsid w:val="00A315EC"/>
    <w:rsid w:val="00A3174E"/>
    <w:rsid w:val="00A3177F"/>
    <w:rsid w:val="00A318E2"/>
    <w:rsid w:val="00A31AC2"/>
    <w:rsid w:val="00A31B28"/>
    <w:rsid w:val="00A31C17"/>
    <w:rsid w:val="00A31C3F"/>
    <w:rsid w:val="00A31EC0"/>
    <w:rsid w:val="00A3201F"/>
    <w:rsid w:val="00A32385"/>
    <w:rsid w:val="00A328A0"/>
    <w:rsid w:val="00A32C6F"/>
    <w:rsid w:val="00A32CE9"/>
    <w:rsid w:val="00A32D25"/>
    <w:rsid w:val="00A3313A"/>
    <w:rsid w:val="00A33310"/>
    <w:rsid w:val="00A33441"/>
    <w:rsid w:val="00A33540"/>
    <w:rsid w:val="00A33995"/>
    <w:rsid w:val="00A33C4F"/>
    <w:rsid w:val="00A33D8B"/>
    <w:rsid w:val="00A33E1E"/>
    <w:rsid w:val="00A33EF6"/>
    <w:rsid w:val="00A33FB9"/>
    <w:rsid w:val="00A342D1"/>
    <w:rsid w:val="00A3431B"/>
    <w:rsid w:val="00A34325"/>
    <w:rsid w:val="00A3472C"/>
    <w:rsid w:val="00A34A67"/>
    <w:rsid w:val="00A34B77"/>
    <w:rsid w:val="00A3548A"/>
    <w:rsid w:val="00A354B1"/>
    <w:rsid w:val="00A356F6"/>
    <w:rsid w:val="00A358BA"/>
    <w:rsid w:val="00A35F96"/>
    <w:rsid w:val="00A36425"/>
    <w:rsid w:val="00A36515"/>
    <w:rsid w:val="00A36636"/>
    <w:rsid w:val="00A3675C"/>
    <w:rsid w:val="00A36A7B"/>
    <w:rsid w:val="00A36AAA"/>
    <w:rsid w:val="00A36B2F"/>
    <w:rsid w:val="00A36B63"/>
    <w:rsid w:val="00A36B9C"/>
    <w:rsid w:val="00A37187"/>
    <w:rsid w:val="00A37492"/>
    <w:rsid w:val="00A37508"/>
    <w:rsid w:val="00A376D5"/>
    <w:rsid w:val="00A37C95"/>
    <w:rsid w:val="00A37D9B"/>
    <w:rsid w:val="00A37DDC"/>
    <w:rsid w:val="00A402B1"/>
    <w:rsid w:val="00A402FA"/>
    <w:rsid w:val="00A403DA"/>
    <w:rsid w:val="00A40502"/>
    <w:rsid w:val="00A405C1"/>
    <w:rsid w:val="00A4095C"/>
    <w:rsid w:val="00A409F1"/>
    <w:rsid w:val="00A40C1C"/>
    <w:rsid w:val="00A41571"/>
    <w:rsid w:val="00A41763"/>
    <w:rsid w:val="00A418A5"/>
    <w:rsid w:val="00A41B50"/>
    <w:rsid w:val="00A4216E"/>
    <w:rsid w:val="00A424D5"/>
    <w:rsid w:val="00A42516"/>
    <w:rsid w:val="00A42756"/>
    <w:rsid w:val="00A42769"/>
    <w:rsid w:val="00A427F6"/>
    <w:rsid w:val="00A4290B"/>
    <w:rsid w:val="00A42997"/>
    <w:rsid w:val="00A42BD8"/>
    <w:rsid w:val="00A42DD9"/>
    <w:rsid w:val="00A43265"/>
    <w:rsid w:val="00A433E9"/>
    <w:rsid w:val="00A43419"/>
    <w:rsid w:val="00A4365B"/>
    <w:rsid w:val="00A43801"/>
    <w:rsid w:val="00A43A53"/>
    <w:rsid w:val="00A43DE6"/>
    <w:rsid w:val="00A43DF2"/>
    <w:rsid w:val="00A43E02"/>
    <w:rsid w:val="00A43E44"/>
    <w:rsid w:val="00A43F42"/>
    <w:rsid w:val="00A43FEF"/>
    <w:rsid w:val="00A440DB"/>
    <w:rsid w:val="00A44160"/>
    <w:rsid w:val="00A4434A"/>
    <w:rsid w:val="00A443AF"/>
    <w:rsid w:val="00A4465F"/>
    <w:rsid w:val="00A4494A"/>
    <w:rsid w:val="00A44AE1"/>
    <w:rsid w:val="00A44BAD"/>
    <w:rsid w:val="00A44BD6"/>
    <w:rsid w:val="00A44DA2"/>
    <w:rsid w:val="00A4532D"/>
    <w:rsid w:val="00A455C2"/>
    <w:rsid w:val="00A4561E"/>
    <w:rsid w:val="00A4579F"/>
    <w:rsid w:val="00A45839"/>
    <w:rsid w:val="00A45B49"/>
    <w:rsid w:val="00A45B52"/>
    <w:rsid w:val="00A45EE0"/>
    <w:rsid w:val="00A462E5"/>
    <w:rsid w:val="00A46427"/>
    <w:rsid w:val="00A46464"/>
    <w:rsid w:val="00A4655A"/>
    <w:rsid w:val="00A46600"/>
    <w:rsid w:val="00A466DF"/>
    <w:rsid w:val="00A467C8"/>
    <w:rsid w:val="00A46A81"/>
    <w:rsid w:val="00A46C6B"/>
    <w:rsid w:val="00A46CC6"/>
    <w:rsid w:val="00A46F5E"/>
    <w:rsid w:val="00A47011"/>
    <w:rsid w:val="00A472EA"/>
    <w:rsid w:val="00A4741D"/>
    <w:rsid w:val="00A4782C"/>
    <w:rsid w:val="00A479C8"/>
    <w:rsid w:val="00A47A00"/>
    <w:rsid w:val="00A47A20"/>
    <w:rsid w:val="00A47A6F"/>
    <w:rsid w:val="00A47A8C"/>
    <w:rsid w:val="00A47ABD"/>
    <w:rsid w:val="00A47B96"/>
    <w:rsid w:val="00A47BFA"/>
    <w:rsid w:val="00A47C54"/>
    <w:rsid w:val="00A47C5E"/>
    <w:rsid w:val="00A47CAA"/>
    <w:rsid w:val="00A47CC9"/>
    <w:rsid w:val="00A47E8A"/>
    <w:rsid w:val="00A500D9"/>
    <w:rsid w:val="00A50219"/>
    <w:rsid w:val="00A50297"/>
    <w:rsid w:val="00A502CC"/>
    <w:rsid w:val="00A504E2"/>
    <w:rsid w:val="00A5065D"/>
    <w:rsid w:val="00A5069A"/>
    <w:rsid w:val="00A506A4"/>
    <w:rsid w:val="00A508B0"/>
    <w:rsid w:val="00A50B12"/>
    <w:rsid w:val="00A50DFE"/>
    <w:rsid w:val="00A50F0C"/>
    <w:rsid w:val="00A51172"/>
    <w:rsid w:val="00A51325"/>
    <w:rsid w:val="00A516CC"/>
    <w:rsid w:val="00A5187F"/>
    <w:rsid w:val="00A51ACC"/>
    <w:rsid w:val="00A51F8A"/>
    <w:rsid w:val="00A51FED"/>
    <w:rsid w:val="00A520C0"/>
    <w:rsid w:val="00A52682"/>
    <w:rsid w:val="00A528FF"/>
    <w:rsid w:val="00A52A4B"/>
    <w:rsid w:val="00A52AA3"/>
    <w:rsid w:val="00A52D06"/>
    <w:rsid w:val="00A52FDC"/>
    <w:rsid w:val="00A52FF7"/>
    <w:rsid w:val="00A53400"/>
    <w:rsid w:val="00A5350C"/>
    <w:rsid w:val="00A535EB"/>
    <w:rsid w:val="00A53746"/>
    <w:rsid w:val="00A53793"/>
    <w:rsid w:val="00A537EF"/>
    <w:rsid w:val="00A538B2"/>
    <w:rsid w:val="00A538F3"/>
    <w:rsid w:val="00A53906"/>
    <w:rsid w:val="00A539EF"/>
    <w:rsid w:val="00A53A09"/>
    <w:rsid w:val="00A53C49"/>
    <w:rsid w:val="00A53D25"/>
    <w:rsid w:val="00A53FDA"/>
    <w:rsid w:val="00A5440B"/>
    <w:rsid w:val="00A54438"/>
    <w:rsid w:val="00A54701"/>
    <w:rsid w:val="00A54748"/>
    <w:rsid w:val="00A549CE"/>
    <w:rsid w:val="00A54B24"/>
    <w:rsid w:val="00A54E6B"/>
    <w:rsid w:val="00A54F5D"/>
    <w:rsid w:val="00A54FB0"/>
    <w:rsid w:val="00A550DE"/>
    <w:rsid w:val="00A55234"/>
    <w:rsid w:val="00A55397"/>
    <w:rsid w:val="00A5549F"/>
    <w:rsid w:val="00A556CC"/>
    <w:rsid w:val="00A558DB"/>
    <w:rsid w:val="00A5599A"/>
    <w:rsid w:val="00A55AB2"/>
    <w:rsid w:val="00A55AD1"/>
    <w:rsid w:val="00A55B07"/>
    <w:rsid w:val="00A55D28"/>
    <w:rsid w:val="00A55E59"/>
    <w:rsid w:val="00A55F37"/>
    <w:rsid w:val="00A564B4"/>
    <w:rsid w:val="00A564FA"/>
    <w:rsid w:val="00A56680"/>
    <w:rsid w:val="00A5675E"/>
    <w:rsid w:val="00A56772"/>
    <w:rsid w:val="00A567FB"/>
    <w:rsid w:val="00A56DA5"/>
    <w:rsid w:val="00A57112"/>
    <w:rsid w:val="00A572DE"/>
    <w:rsid w:val="00A5743F"/>
    <w:rsid w:val="00A57815"/>
    <w:rsid w:val="00A578D5"/>
    <w:rsid w:val="00A57AFA"/>
    <w:rsid w:val="00A57C47"/>
    <w:rsid w:val="00A57C87"/>
    <w:rsid w:val="00A57E73"/>
    <w:rsid w:val="00A57EEE"/>
    <w:rsid w:val="00A57FCE"/>
    <w:rsid w:val="00A60324"/>
    <w:rsid w:val="00A60541"/>
    <w:rsid w:val="00A609B3"/>
    <w:rsid w:val="00A60C13"/>
    <w:rsid w:val="00A60C8C"/>
    <w:rsid w:val="00A60E05"/>
    <w:rsid w:val="00A612F9"/>
    <w:rsid w:val="00A615E6"/>
    <w:rsid w:val="00A61A48"/>
    <w:rsid w:val="00A61AC9"/>
    <w:rsid w:val="00A61B2D"/>
    <w:rsid w:val="00A61DEA"/>
    <w:rsid w:val="00A61EB8"/>
    <w:rsid w:val="00A61F3C"/>
    <w:rsid w:val="00A61F4E"/>
    <w:rsid w:val="00A62A84"/>
    <w:rsid w:val="00A62F39"/>
    <w:rsid w:val="00A63005"/>
    <w:rsid w:val="00A63103"/>
    <w:rsid w:val="00A63194"/>
    <w:rsid w:val="00A63784"/>
    <w:rsid w:val="00A63964"/>
    <w:rsid w:val="00A63B0F"/>
    <w:rsid w:val="00A63EC9"/>
    <w:rsid w:val="00A63F67"/>
    <w:rsid w:val="00A64094"/>
    <w:rsid w:val="00A64143"/>
    <w:rsid w:val="00A641B6"/>
    <w:rsid w:val="00A6425B"/>
    <w:rsid w:val="00A642F7"/>
    <w:rsid w:val="00A6444E"/>
    <w:rsid w:val="00A64660"/>
    <w:rsid w:val="00A6466B"/>
    <w:rsid w:val="00A646C2"/>
    <w:rsid w:val="00A64781"/>
    <w:rsid w:val="00A64860"/>
    <w:rsid w:val="00A648B5"/>
    <w:rsid w:val="00A64913"/>
    <w:rsid w:val="00A64964"/>
    <w:rsid w:val="00A64AB8"/>
    <w:rsid w:val="00A64C12"/>
    <w:rsid w:val="00A64C1D"/>
    <w:rsid w:val="00A64EAF"/>
    <w:rsid w:val="00A64FC8"/>
    <w:rsid w:val="00A65110"/>
    <w:rsid w:val="00A65235"/>
    <w:rsid w:val="00A65496"/>
    <w:rsid w:val="00A654B3"/>
    <w:rsid w:val="00A655AF"/>
    <w:rsid w:val="00A6565A"/>
    <w:rsid w:val="00A656CE"/>
    <w:rsid w:val="00A6573A"/>
    <w:rsid w:val="00A6574E"/>
    <w:rsid w:val="00A65789"/>
    <w:rsid w:val="00A65AFE"/>
    <w:rsid w:val="00A65B04"/>
    <w:rsid w:val="00A65EBD"/>
    <w:rsid w:val="00A6600D"/>
    <w:rsid w:val="00A660DC"/>
    <w:rsid w:val="00A66206"/>
    <w:rsid w:val="00A66553"/>
    <w:rsid w:val="00A668AA"/>
    <w:rsid w:val="00A66CA2"/>
    <w:rsid w:val="00A66F50"/>
    <w:rsid w:val="00A67271"/>
    <w:rsid w:val="00A67388"/>
    <w:rsid w:val="00A67684"/>
    <w:rsid w:val="00A676A0"/>
    <w:rsid w:val="00A67ADE"/>
    <w:rsid w:val="00A67B0C"/>
    <w:rsid w:val="00A67B59"/>
    <w:rsid w:val="00A67C40"/>
    <w:rsid w:val="00A67CAC"/>
    <w:rsid w:val="00A67F0B"/>
    <w:rsid w:val="00A6B597"/>
    <w:rsid w:val="00A7014E"/>
    <w:rsid w:val="00A70155"/>
    <w:rsid w:val="00A7020C"/>
    <w:rsid w:val="00A7045D"/>
    <w:rsid w:val="00A70926"/>
    <w:rsid w:val="00A70B03"/>
    <w:rsid w:val="00A70DB3"/>
    <w:rsid w:val="00A710B1"/>
    <w:rsid w:val="00A711D4"/>
    <w:rsid w:val="00A71B3E"/>
    <w:rsid w:val="00A71B62"/>
    <w:rsid w:val="00A7206F"/>
    <w:rsid w:val="00A720AB"/>
    <w:rsid w:val="00A7259A"/>
    <w:rsid w:val="00A72730"/>
    <w:rsid w:val="00A72C41"/>
    <w:rsid w:val="00A72F69"/>
    <w:rsid w:val="00A72FEA"/>
    <w:rsid w:val="00A73156"/>
    <w:rsid w:val="00A73384"/>
    <w:rsid w:val="00A73451"/>
    <w:rsid w:val="00A73821"/>
    <w:rsid w:val="00A73900"/>
    <w:rsid w:val="00A73A59"/>
    <w:rsid w:val="00A73B07"/>
    <w:rsid w:val="00A73B66"/>
    <w:rsid w:val="00A74586"/>
    <w:rsid w:val="00A74620"/>
    <w:rsid w:val="00A7486E"/>
    <w:rsid w:val="00A750C6"/>
    <w:rsid w:val="00A75224"/>
    <w:rsid w:val="00A752FE"/>
    <w:rsid w:val="00A753BD"/>
    <w:rsid w:val="00A75402"/>
    <w:rsid w:val="00A757C7"/>
    <w:rsid w:val="00A75953"/>
    <w:rsid w:val="00A75B91"/>
    <w:rsid w:val="00A75C08"/>
    <w:rsid w:val="00A75CED"/>
    <w:rsid w:val="00A75E25"/>
    <w:rsid w:val="00A760A6"/>
    <w:rsid w:val="00A76333"/>
    <w:rsid w:val="00A76551"/>
    <w:rsid w:val="00A76871"/>
    <w:rsid w:val="00A76B64"/>
    <w:rsid w:val="00A76B94"/>
    <w:rsid w:val="00A76E4D"/>
    <w:rsid w:val="00A76F0D"/>
    <w:rsid w:val="00A77064"/>
    <w:rsid w:val="00A77288"/>
    <w:rsid w:val="00A774A0"/>
    <w:rsid w:val="00A774A3"/>
    <w:rsid w:val="00A7773F"/>
    <w:rsid w:val="00A77884"/>
    <w:rsid w:val="00A778D3"/>
    <w:rsid w:val="00A77944"/>
    <w:rsid w:val="00A77A41"/>
    <w:rsid w:val="00A77BEB"/>
    <w:rsid w:val="00A77FFC"/>
    <w:rsid w:val="00A80094"/>
    <w:rsid w:val="00A80299"/>
    <w:rsid w:val="00A80309"/>
    <w:rsid w:val="00A805EE"/>
    <w:rsid w:val="00A8083E"/>
    <w:rsid w:val="00A80A78"/>
    <w:rsid w:val="00A80F47"/>
    <w:rsid w:val="00A810E0"/>
    <w:rsid w:val="00A818D4"/>
    <w:rsid w:val="00A81C25"/>
    <w:rsid w:val="00A81E47"/>
    <w:rsid w:val="00A822A5"/>
    <w:rsid w:val="00A82498"/>
    <w:rsid w:val="00A824DF"/>
    <w:rsid w:val="00A8280C"/>
    <w:rsid w:val="00A82AF3"/>
    <w:rsid w:val="00A82BFF"/>
    <w:rsid w:val="00A82D04"/>
    <w:rsid w:val="00A82D36"/>
    <w:rsid w:val="00A830F9"/>
    <w:rsid w:val="00A83295"/>
    <w:rsid w:val="00A833ED"/>
    <w:rsid w:val="00A834DE"/>
    <w:rsid w:val="00A835F3"/>
    <w:rsid w:val="00A835FA"/>
    <w:rsid w:val="00A8393B"/>
    <w:rsid w:val="00A839E5"/>
    <w:rsid w:val="00A83B13"/>
    <w:rsid w:val="00A83BD2"/>
    <w:rsid w:val="00A83C1D"/>
    <w:rsid w:val="00A83C99"/>
    <w:rsid w:val="00A83EB2"/>
    <w:rsid w:val="00A83EC8"/>
    <w:rsid w:val="00A8437B"/>
    <w:rsid w:val="00A8455B"/>
    <w:rsid w:val="00A847A9"/>
    <w:rsid w:val="00A848E0"/>
    <w:rsid w:val="00A84924"/>
    <w:rsid w:val="00A84932"/>
    <w:rsid w:val="00A84A64"/>
    <w:rsid w:val="00A84B29"/>
    <w:rsid w:val="00A84CE9"/>
    <w:rsid w:val="00A84D63"/>
    <w:rsid w:val="00A85013"/>
    <w:rsid w:val="00A8519C"/>
    <w:rsid w:val="00A851F1"/>
    <w:rsid w:val="00A85242"/>
    <w:rsid w:val="00A85710"/>
    <w:rsid w:val="00A85894"/>
    <w:rsid w:val="00A85DB3"/>
    <w:rsid w:val="00A85E13"/>
    <w:rsid w:val="00A85F64"/>
    <w:rsid w:val="00A86055"/>
    <w:rsid w:val="00A86317"/>
    <w:rsid w:val="00A86488"/>
    <w:rsid w:val="00A866E7"/>
    <w:rsid w:val="00A8694A"/>
    <w:rsid w:val="00A86A33"/>
    <w:rsid w:val="00A86B31"/>
    <w:rsid w:val="00A86DD9"/>
    <w:rsid w:val="00A87286"/>
    <w:rsid w:val="00A8781A"/>
    <w:rsid w:val="00A87A87"/>
    <w:rsid w:val="00A87ADF"/>
    <w:rsid w:val="00A87CE0"/>
    <w:rsid w:val="00A901C0"/>
    <w:rsid w:val="00A90215"/>
    <w:rsid w:val="00A90366"/>
    <w:rsid w:val="00A9036E"/>
    <w:rsid w:val="00A9068C"/>
    <w:rsid w:val="00A90751"/>
    <w:rsid w:val="00A90AA4"/>
    <w:rsid w:val="00A912A7"/>
    <w:rsid w:val="00A9136E"/>
    <w:rsid w:val="00A913CD"/>
    <w:rsid w:val="00A91430"/>
    <w:rsid w:val="00A91448"/>
    <w:rsid w:val="00A9161B"/>
    <w:rsid w:val="00A91689"/>
    <w:rsid w:val="00A916C5"/>
    <w:rsid w:val="00A91819"/>
    <w:rsid w:val="00A9197E"/>
    <w:rsid w:val="00A91AEE"/>
    <w:rsid w:val="00A91E06"/>
    <w:rsid w:val="00A9202B"/>
    <w:rsid w:val="00A922AE"/>
    <w:rsid w:val="00A92635"/>
    <w:rsid w:val="00A9272E"/>
    <w:rsid w:val="00A92755"/>
    <w:rsid w:val="00A927B1"/>
    <w:rsid w:val="00A927BA"/>
    <w:rsid w:val="00A927FA"/>
    <w:rsid w:val="00A9285F"/>
    <w:rsid w:val="00A929D4"/>
    <w:rsid w:val="00A92A50"/>
    <w:rsid w:val="00A92B06"/>
    <w:rsid w:val="00A92CF0"/>
    <w:rsid w:val="00A93220"/>
    <w:rsid w:val="00A93346"/>
    <w:rsid w:val="00A934B4"/>
    <w:rsid w:val="00A934D1"/>
    <w:rsid w:val="00A938DF"/>
    <w:rsid w:val="00A93B8A"/>
    <w:rsid w:val="00A93C02"/>
    <w:rsid w:val="00A93D03"/>
    <w:rsid w:val="00A93D7C"/>
    <w:rsid w:val="00A94182"/>
    <w:rsid w:val="00A94389"/>
    <w:rsid w:val="00A94845"/>
    <w:rsid w:val="00A949F4"/>
    <w:rsid w:val="00A94CAD"/>
    <w:rsid w:val="00A94D1D"/>
    <w:rsid w:val="00A9500C"/>
    <w:rsid w:val="00A9533A"/>
    <w:rsid w:val="00A953B4"/>
    <w:rsid w:val="00A95532"/>
    <w:rsid w:val="00A955FA"/>
    <w:rsid w:val="00A95699"/>
    <w:rsid w:val="00A95889"/>
    <w:rsid w:val="00A95987"/>
    <w:rsid w:val="00A959BA"/>
    <w:rsid w:val="00A95AC3"/>
    <w:rsid w:val="00A95B71"/>
    <w:rsid w:val="00A95BBC"/>
    <w:rsid w:val="00A96158"/>
    <w:rsid w:val="00A9618D"/>
    <w:rsid w:val="00A96B86"/>
    <w:rsid w:val="00A96EC8"/>
    <w:rsid w:val="00A971AF"/>
    <w:rsid w:val="00A972C0"/>
    <w:rsid w:val="00A9746B"/>
    <w:rsid w:val="00A976A7"/>
    <w:rsid w:val="00A97B08"/>
    <w:rsid w:val="00AA02AC"/>
    <w:rsid w:val="00AA03AB"/>
    <w:rsid w:val="00AA04DF"/>
    <w:rsid w:val="00AA06AA"/>
    <w:rsid w:val="00AA09D7"/>
    <w:rsid w:val="00AA1221"/>
    <w:rsid w:val="00AA12C2"/>
    <w:rsid w:val="00AA158F"/>
    <w:rsid w:val="00AA163F"/>
    <w:rsid w:val="00AA16DE"/>
    <w:rsid w:val="00AA19CA"/>
    <w:rsid w:val="00AA1A4C"/>
    <w:rsid w:val="00AA1DD4"/>
    <w:rsid w:val="00AA2188"/>
    <w:rsid w:val="00AA2220"/>
    <w:rsid w:val="00AA2235"/>
    <w:rsid w:val="00AA23FE"/>
    <w:rsid w:val="00AA255E"/>
    <w:rsid w:val="00AA26A3"/>
    <w:rsid w:val="00AA276D"/>
    <w:rsid w:val="00AA2829"/>
    <w:rsid w:val="00AA2B0B"/>
    <w:rsid w:val="00AA2FB1"/>
    <w:rsid w:val="00AA317E"/>
    <w:rsid w:val="00AA3459"/>
    <w:rsid w:val="00AA3504"/>
    <w:rsid w:val="00AA359D"/>
    <w:rsid w:val="00AA35CE"/>
    <w:rsid w:val="00AA3885"/>
    <w:rsid w:val="00AA394D"/>
    <w:rsid w:val="00AA3A24"/>
    <w:rsid w:val="00AA3A81"/>
    <w:rsid w:val="00AA3B08"/>
    <w:rsid w:val="00AA3C74"/>
    <w:rsid w:val="00AA4222"/>
    <w:rsid w:val="00AA4493"/>
    <w:rsid w:val="00AA476A"/>
    <w:rsid w:val="00AA4A38"/>
    <w:rsid w:val="00AA5003"/>
    <w:rsid w:val="00AA5037"/>
    <w:rsid w:val="00AA5112"/>
    <w:rsid w:val="00AA522A"/>
    <w:rsid w:val="00AA532A"/>
    <w:rsid w:val="00AA5A89"/>
    <w:rsid w:val="00AA5CD0"/>
    <w:rsid w:val="00AA613F"/>
    <w:rsid w:val="00AA6628"/>
    <w:rsid w:val="00AA664B"/>
    <w:rsid w:val="00AA6AF5"/>
    <w:rsid w:val="00AA6B9F"/>
    <w:rsid w:val="00AA6BC1"/>
    <w:rsid w:val="00AA7147"/>
    <w:rsid w:val="00AA718C"/>
    <w:rsid w:val="00AA7492"/>
    <w:rsid w:val="00AA74D9"/>
    <w:rsid w:val="00AA7651"/>
    <w:rsid w:val="00AA7692"/>
    <w:rsid w:val="00AA78B0"/>
    <w:rsid w:val="00AA78C7"/>
    <w:rsid w:val="00AA79B3"/>
    <w:rsid w:val="00AA7A60"/>
    <w:rsid w:val="00AA7B6D"/>
    <w:rsid w:val="00AA7B95"/>
    <w:rsid w:val="00AA7CE8"/>
    <w:rsid w:val="00AA7FD3"/>
    <w:rsid w:val="00AB0149"/>
    <w:rsid w:val="00AB035D"/>
    <w:rsid w:val="00AB09BC"/>
    <w:rsid w:val="00AB0A1D"/>
    <w:rsid w:val="00AB0D29"/>
    <w:rsid w:val="00AB0F03"/>
    <w:rsid w:val="00AB0F9C"/>
    <w:rsid w:val="00AB1064"/>
    <w:rsid w:val="00AB10FA"/>
    <w:rsid w:val="00AB1120"/>
    <w:rsid w:val="00AB1251"/>
    <w:rsid w:val="00AB143D"/>
    <w:rsid w:val="00AB159E"/>
    <w:rsid w:val="00AB1604"/>
    <w:rsid w:val="00AB1636"/>
    <w:rsid w:val="00AB16DA"/>
    <w:rsid w:val="00AB16E7"/>
    <w:rsid w:val="00AB1A6B"/>
    <w:rsid w:val="00AB1CA4"/>
    <w:rsid w:val="00AB1CF2"/>
    <w:rsid w:val="00AB1E08"/>
    <w:rsid w:val="00AB1F28"/>
    <w:rsid w:val="00AB2B23"/>
    <w:rsid w:val="00AB2B63"/>
    <w:rsid w:val="00AB2E09"/>
    <w:rsid w:val="00AB2E18"/>
    <w:rsid w:val="00AB31BF"/>
    <w:rsid w:val="00AB329B"/>
    <w:rsid w:val="00AB361C"/>
    <w:rsid w:val="00AB365B"/>
    <w:rsid w:val="00AB37EF"/>
    <w:rsid w:val="00AB3CDF"/>
    <w:rsid w:val="00AB44CA"/>
    <w:rsid w:val="00AB462B"/>
    <w:rsid w:val="00AB4762"/>
    <w:rsid w:val="00AB49C2"/>
    <w:rsid w:val="00AB4B25"/>
    <w:rsid w:val="00AB4D12"/>
    <w:rsid w:val="00AB5344"/>
    <w:rsid w:val="00AB5513"/>
    <w:rsid w:val="00AB5948"/>
    <w:rsid w:val="00AB59D5"/>
    <w:rsid w:val="00AB5D5E"/>
    <w:rsid w:val="00AB5DA3"/>
    <w:rsid w:val="00AB6017"/>
    <w:rsid w:val="00AB6085"/>
    <w:rsid w:val="00AB61F7"/>
    <w:rsid w:val="00AB622A"/>
    <w:rsid w:val="00AB66E3"/>
    <w:rsid w:val="00AB68DA"/>
    <w:rsid w:val="00AB6A09"/>
    <w:rsid w:val="00AB6A7A"/>
    <w:rsid w:val="00AB6D1F"/>
    <w:rsid w:val="00AB6DED"/>
    <w:rsid w:val="00AB6E0E"/>
    <w:rsid w:val="00AB6E1D"/>
    <w:rsid w:val="00AB6E9C"/>
    <w:rsid w:val="00AB6F86"/>
    <w:rsid w:val="00AB718F"/>
    <w:rsid w:val="00AB74AB"/>
    <w:rsid w:val="00AB77CC"/>
    <w:rsid w:val="00AB7C20"/>
    <w:rsid w:val="00AB7DB3"/>
    <w:rsid w:val="00AB7DB4"/>
    <w:rsid w:val="00AC0055"/>
    <w:rsid w:val="00AC018E"/>
    <w:rsid w:val="00AC025D"/>
    <w:rsid w:val="00AC02D5"/>
    <w:rsid w:val="00AC035B"/>
    <w:rsid w:val="00AC0401"/>
    <w:rsid w:val="00AC06DC"/>
    <w:rsid w:val="00AC07B1"/>
    <w:rsid w:val="00AC0C4C"/>
    <w:rsid w:val="00AC0D8C"/>
    <w:rsid w:val="00AC0EE9"/>
    <w:rsid w:val="00AC11C2"/>
    <w:rsid w:val="00AC1418"/>
    <w:rsid w:val="00AC15FB"/>
    <w:rsid w:val="00AC162F"/>
    <w:rsid w:val="00AC1670"/>
    <w:rsid w:val="00AC1854"/>
    <w:rsid w:val="00AC1864"/>
    <w:rsid w:val="00AC1B95"/>
    <w:rsid w:val="00AC1C7A"/>
    <w:rsid w:val="00AC2215"/>
    <w:rsid w:val="00AC22E9"/>
    <w:rsid w:val="00AC25C7"/>
    <w:rsid w:val="00AC298B"/>
    <w:rsid w:val="00AC299B"/>
    <w:rsid w:val="00AC29A4"/>
    <w:rsid w:val="00AC2C1A"/>
    <w:rsid w:val="00AC2ED8"/>
    <w:rsid w:val="00AC2F50"/>
    <w:rsid w:val="00AC2F82"/>
    <w:rsid w:val="00AC2FA4"/>
    <w:rsid w:val="00AC348D"/>
    <w:rsid w:val="00AC34A3"/>
    <w:rsid w:val="00AC3520"/>
    <w:rsid w:val="00AC3646"/>
    <w:rsid w:val="00AC36B7"/>
    <w:rsid w:val="00AC3706"/>
    <w:rsid w:val="00AC3864"/>
    <w:rsid w:val="00AC38CA"/>
    <w:rsid w:val="00AC3F91"/>
    <w:rsid w:val="00AC4187"/>
    <w:rsid w:val="00AC4375"/>
    <w:rsid w:val="00AC4739"/>
    <w:rsid w:val="00AC477E"/>
    <w:rsid w:val="00AC4A3C"/>
    <w:rsid w:val="00AC4AA6"/>
    <w:rsid w:val="00AC4BF7"/>
    <w:rsid w:val="00AC4E8A"/>
    <w:rsid w:val="00AC52E3"/>
    <w:rsid w:val="00AC5562"/>
    <w:rsid w:val="00AC575B"/>
    <w:rsid w:val="00AC5A0D"/>
    <w:rsid w:val="00AC5B0E"/>
    <w:rsid w:val="00AC5E10"/>
    <w:rsid w:val="00AC5E20"/>
    <w:rsid w:val="00AC5EDA"/>
    <w:rsid w:val="00AC627B"/>
    <w:rsid w:val="00AC6596"/>
    <w:rsid w:val="00AC6724"/>
    <w:rsid w:val="00AC678B"/>
    <w:rsid w:val="00AC6A0D"/>
    <w:rsid w:val="00AC6B92"/>
    <w:rsid w:val="00AC6D2F"/>
    <w:rsid w:val="00AC6D5E"/>
    <w:rsid w:val="00AC6DA9"/>
    <w:rsid w:val="00AC6E28"/>
    <w:rsid w:val="00AC70CB"/>
    <w:rsid w:val="00AC72B7"/>
    <w:rsid w:val="00AC74B8"/>
    <w:rsid w:val="00AC7981"/>
    <w:rsid w:val="00AC7A84"/>
    <w:rsid w:val="00AC7BA7"/>
    <w:rsid w:val="00AC7D81"/>
    <w:rsid w:val="00AC7D9B"/>
    <w:rsid w:val="00AC7EE9"/>
    <w:rsid w:val="00AD018F"/>
    <w:rsid w:val="00AD01BE"/>
    <w:rsid w:val="00AD01C4"/>
    <w:rsid w:val="00AD0266"/>
    <w:rsid w:val="00AD0411"/>
    <w:rsid w:val="00AD0505"/>
    <w:rsid w:val="00AD079B"/>
    <w:rsid w:val="00AD09F6"/>
    <w:rsid w:val="00AD0A79"/>
    <w:rsid w:val="00AD0C7C"/>
    <w:rsid w:val="00AD0CFB"/>
    <w:rsid w:val="00AD0FDC"/>
    <w:rsid w:val="00AD1138"/>
    <w:rsid w:val="00AD1213"/>
    <w:rsid w:val="00AD15CE"/>
    <w:rsid w:val="00AD1833"/>
    <w:rsid w:val="00AD1869"/>
    <w:rsid w:val="00AD1876"/>
    <w:rsid w:val="00AD1985"/>
    <w:rsid w:val="00AD1992"/>
    <w:rsid w:val="00AD1A77"/>
    <w:rsid w:val="00AD1E8B"/>
    <w:rsid w:val="00AD1FA6"/>
    <w:rsid w:val="00AD207A"/>
    <w:rsid w:val="00AD2211"/>
    <w:rsid w:val="00AD23E1"/>
    <w:rsid w:val="00AD24E1"/>
    <w:rsid w:val="00AD2CA4"/>
    <w:rsid w:val="00AD2D5B"/>
    <w:rsid w:val="00AD2E78"/>
    <w:rsid w:val="00AD2EA4"/>
    <w:rsid w:val="00AD2F72"/>
    <w:rsid w:val="00AD33B1"/>
    <w:rsid w:val="00AD3469"/>
    <w:rsid w:val="00AD355D"/>
    <w:rsid w:val="00AD3571"/>
    <w:rsid w:val="00AD3781"/>
    <w:rsid w:val="00AD3ADA"/>
    <w:rsid w:val="00AD3C1B"/>
    <w:rsid w:val="00AD3D8B"/>
    <w:rsid w:val="00AD4129"/>
    <w:rsid w:val="00AD4278"/>
    <w:rsid w:val="00AD43D3"/>
    <w:rsid w:val="00AD4462"/>
    <w:rsid w:val="00AD463A"/>
    <w:rsid w:val="00AD47C8"/>
    <w:rsid w:val="00AD487A"/>
    <w:rsid w:val="00AD48DB"/>
    <w:rsid w:val="00AD4926"/>
    <w:rsid w:val="00AD4A7E"/>
    <w:rsid w:val="00AD4ACC"/>
    <w:rsid w:val="00AD4CFE"/>
    <w:rsid w:val="00AD4EFE"/>
    <w:rsid w:val="00AD4F5B"/>
    <w:rsid w:val="00AD5475"/>
    <w:rsid w:val="00AD5630"/>
    <w:rsid w:val="00AD56FF"/>
    <w:rsid w:val="00AD5870"/>
    <w:rsid w:val="00AD5B2E"/>
    <w:rsid w:val="00AD5B45"/>
    <w:rsid w:val="00AD5B4C"/>
    <w:rsid w:val="00AD5BE3"/>
    <w:rsid w:val="00AD5D5B"/>
    <w:rsid w:val="00AD5E2C"/>
    <w:rsid w:val="00AD5E3A"/>
    <w:rsid w:val="00AD6041"/>
    <w:rsid w:val="00AD674A"/>
    <w:rsid w:val="00AD68CF"/>
    <w:rsid w:val="00AD69B4"/>
    <w:rsid w:val="00AD6A80"/>
    <w:rsid w:val="00AD6B04"/>
    <w:rsid w:val="00AD6D5A"/>
    <w:rsid w:val="00AD6E2D"/>
    <w:rsid w:val="00AD76EA"/>
    <w:rsid w:val="00AD7718"/>
    <w:rsid w:val="00AD7724"/>
    <w:rsid w:val="00AD772B"/>
    <w:rsid w:val="00AD7B0F"/>
    <w:rsid w:val="00AD7DDB"/>
    <w:rsid w:val="00AD7E51"/>
    <w:rsid w:val="00AD7EA7"/>
    <w:rsid w:val="00AD7F09"/>
    <w:rsid w:val="00AD7FA6"/>
    <w:rsid w:val="00ADBA92"/>
    <w:rsid w:val="00AE028F"/>
    <w:rsid w:val="00AE03B8"/>
    <w:rsid w:val="00AE0933"/>
    <w:rsid w:val="00AE103B"/>
    <w:rsid w:val="00AE14E6"/>
    <w:rsid w:val="00AE1C97"/>
    <w:rsid w:val="00AE1CAF"/>
    <w:rsid w:val="00AE1CD3"/>
    <w:rsid w:val="00AE1DA1"/>
    <w:rsid w:val="00AE1DFA"/>
    <w:rsid w:val="00AE2095"/>
    <w:rsid w:val="00AE2150"/>
    <w:rsid w:val="00AE218D"/>
    <w:rsid w:val="00AE2433"/>
    <w:rsid w:val="00AE243C"/>
    <w:rsid w:val="00AE2489"/>
    <w:rsid w:val="00AE24C9"/>
    <w:rsid w:val="00AE2509"/>
    <w:rsid w:val="00AE2563"/>
    <w:rsid w:val="00AE25FE"/>
    <w:rsid w:val="00AE26E6"/>
    <w:rsid w:val="00AE295B"/>
    <w:rsid w:val="00AE2B1C"/>
    <w:rsid w:val="00AE2CBE"/>
    <w:rsid w:val="00AE2D66"/>
    <w:rsid w:val="00AE366D"/>
    <w:rsid w:val="00AE3779"/>
    <w:rsid w:val="00AE379F"/>
    <w:rsid w:val="00AE4161"/>
    <w:rsid w:val="00AE43CE"/>
    <w:rsid w:val="00AE43D6"/>
    <w:rsid w:val="00AE4492"/>
    <w:rsid w:val="00AE4573"/>
    <w:rsid w:val="00AE46AD"/>
    <w:rsid w:val="00AE46B0"/>
    <w:rsid w:val="00AE4896"/>
    <w:rsid w:val="00AE4B6B"/>
    <w:rsid w:val="00AE4C85"/>
    <w:rsid w:val="00AE4D3B"/>
    <w:rsid w:val="00AE51A5"/>
    <w:rsid w:val="00AE52BE"/>
    <w:rsid w:val="00AE53AA"/>
    <w:rsid w:val="00AE55BA"/>
    <w:rsid w:val="00AE573F"/>
    <w:rsid w:val="00AE5C51"/>
    <w:rsid w:val="00AE645A"/>
    <w:rsid w:val="00AE64A2"/>
    <w:rsid w:val="00AE64D3"/>
    <w:rsid w:val="00AE64FA"/>
    <w:rsid w:val="00AE68B2"/>
    <w:rsid w:val="00AE6B6D"/>
    <w:rsid w:val="00AE6B98"/>
    <w:rsid w:val="00AE6CFB"/>
    <w:rsid w:val="00AE6EF0"/>
    <w:rsid w:val="00AE73CD"/>
    <w:rsid w:val="00AE7425"/>
    <w:rsid w:val="00AE742A"/>
    <w:rsid w:val="00AE762D"/>
    <w:rsid w:val="00AE7AE1"/>
    <w:rsid w:val="00AE7D1D"/>
    <w:rsid w:val="00AE7E99"/>
    <w:rsid w:val="00AE7F1D"/>
    <w:rsid w:val="00AF02A8"/>
    <w:rsid w:val="00AF049E"/>
    <w:rsid w:val="00AF0752"/>
    <w:rsid w:val="00AF09DF"/>
    <w:rsid w:val="00AF0B42"/>
    <w:rsid w:val="00AF0D4E"/>
    <w:rsid w:val="00AF0DE9"/>
    <w:rsid w:val="00AF0EE2"/>
    <w:rsid w:val="00AF0F04"/>
    <w:rsid w:val="00AF1081"/>
    <w:rsid w:val="00AF132A"/>
    <w:rsid w:val="00AF1331"/>
    <w:rsid w:val="00AF1491"/>
    <w:rsid w:val="00AF15D4"/>
    <w:rsid w:val="00AF15DB"/>
    <w:rsid w:val="00AF1645"/>
    <w:rsid w:val="00AF1AB6"/>
    <w:rsid w:val="00AF1DA7"/>
    <w:rsid w:val="00AF1DAE"/>
    <w:rsid w:val="00AF1F1A"/>
    <w:rsid w:val="00AF2107"/>
    <w:rsid w:val="00AF21DF"/>
    <w:rsid w:val="00AF21F5"/>
    <w:rsid w:val="00AF21FF"/>
    <w:rsid w:val="00AF258C"/>
    <w:rsid w:val="00AF25AC"/>
    <w:rsid w:val="00AF274B"/>
    <w:rsid w:val="00AF2760"/>
    <w:rsid w:val="00AF28D3"/>
    <w:rsid w:val="00AF2909"/>
    <w:rsid w:val="00AF29C2"/>
    <w:rsid w:val="00AF2DDD"/>
    <w:rsid w:val="00AF2F61"/>
    <w:rsid w:val="00AF3038"/>
    <w:rsid w:val="00AF3075"/>
    <w:rsid w:val="00AF3260"/>
    <w:rsid w:val="00AF32F1"/>
    <w:rsid w:val="00AF33A6"/>
    <w:rsid w:val="00AF34DC"/>
    <w:rsid w:val="00AF35A4"/>
    <w:rsid w:val="00AF36EF"/>
    <w:rsid w:val="00AF37B3"/>
    <w:rsid w:val="00AF3948"/>
    <w:rsid w:val="00AF396E"/>
    <w:rsid w:val="00AF3B3E"/>
    <w:rsid w:val="00AF3DD8"/>
    <w:rsid w:val="00AF3DDD"/>
    <w:rsid w:val="00AF3EA1"/>
    <w:rsid w:val="00AF3FC1"/>
    <w:rsid w:val="00AF41CE"/>
    <w:rsid w:val="00AF42FD"/>
    <w:rsid w:val="00AF4304"/>
    <w:rsid w:val="00AF443F"/>
    <w:rsid w:val="00AF4571"/>
    <w:rsid w:val="00AF45E7"/>
    <w:rsid w:val="00AF46A9"/>
    <w:rsid w:val="00AF471C"/>
    <w:rsid w:val="00AF483D"/>
    <w:rsid w:val="00AF4869"/>
    <w:rsid w:val="00AF4A50"/>
    <w:rsid w:val="00AF4ADA"/>
    <w:rsid w:val="00AF4DD4"/>
    <w:rsid w:val="00AF4E63"/>
    <w:rsid w:val="00AF4EB1"/>
    <w:rsid w:val="00AF5190"/>
    <w:rsid w:val="00AF5552"/>
    <w:rsid w:val="00AF559C"/>
    <w:rsid w:val="00AF576B"/>
    <w:rsid w:val="00AF580D"/>
    <w:rsid w:val="00AF5AF0"/>
    <w:rsid w:val="00AF5CC3"/>
    <w:rsid w:val="00AF5DF7"/>
    <w:rsid w:val="00AF6099"/>
    <w:rsid w:val="00AF62D1"/>
    <w:rsid w:val="00AF62DF"/>
    <w:rsid w:val="00AF6402"/>
    <w:rsid w:val="00AF662E"/>
    <w:rsid w:val="00AF6653"/>
    <w:rsid w:val="00AF67AB"/>
    <w:rsid w:val="00AF6C38"/>
    <w:rsid w:val="00AF6D79"/>
    <w:rsid w:val="00AF6DDB"/>
    <w:rsid w:val="00AF74A4"/>
    <w:rsid w:val="00AF78EE"/>
    <w:rsid w:val="00AF7AA6"/>
    <w:rsid w:val="00AF7C83"/>
    <w:rsid w:val="00AF7D62"/>
    <w:rsid w:val="00B0006A"/>
    <w:rsid w:val="00B00162"/>
    <w:rsid w:val="00B001AD"/>
    <w:rsid w:val="00B00285"/>
    <w:rsid w:val="00B0036A"/>
    <w:rsid w:val="00B004B2"/>
    <w:rsid w:val="00B005A8"/>
    <w:rsid w:val="00B00673"/>
    <w:rsid w:val="00B007B0"/>
    <w:rsid w:val="00B00864"/>
    <w:rsid w:val="00B00870"/>
    <w:rsid w:val="00B00999"/>
    <w:rsid w:val="00B009BC"/>
    <w:rsid w:val="00B009CA"/>
    <w:rsid w:val="00B00AF6"/>
    <w:rsid w:val="00B00C42"/>
    <w:rsid w:val="00B00CB5"/>
    <w:rsid w:val="00B00CDC"/>
    <w:rsid w:val="00B00E9F"/>
    <w:rsid w:val="00B00EBB"/>
    <w:rsid w:val="00B013CB"/>
    <w:rsid w:val="00B01413"/>
    <w:rsid w:val="00B0154D"/>
    <w:rsid w:val="00B0162D"/>
    <w:rsid w:val="00B01655"/>
    <w:rsid w:val="00B01A11"/>
    <w:rsid w:val="00B01BE7"/>
    <w:rsid w:val="00B01DA8"/>
    <w:rsid w:val="00B023E7"/>
    <w:rsid w:val="00B02641"/>
    <w:rsid w:val="00B02649"/>
    <w:rsid w:val="00B0288B"/>
    <w:rsid w:val="00B02D24"/>
    <w:rsid w:val="00B02D6A"/>
    <w:rsid w:val="00B02EF9"/>
    <w:rsid w:val="00B0323B"/>
    <w:rsid w:val="00B03681"/>
    <w:rsid w:val="00B0371F"/>
    <w:rsid w:val="00B039E2"/>
    <w:rsid w:val="00B0403D"/>
    <w:rsid w:val="00B04241"/>
    <w:rsid w:val="00B04415"/>
    <w:rsid w:val="00B04597"/>
    <w:rsid w:val="00B04919"/>
    <w:rsid w:val="00B04A20"/>
    <w:rsid w:val="00B04CEB"/>
    <w:rsid w:val="00B04DF5"/>
    <w:rsid w:val="00B04E00"/>
    <w:rsid w:val="00B05220"/>
    <w:rsid w:val="00B05246"/>
    <w:rsid w:val="00B05267"/>
    <w:rsid w:val="00B052DE"/>
    <w:rsid w:val="00B054F3"/>
    <w:rsid w:val="00B05502"/>
    <w:rsid w:val="00B055D3"/>
    <w:rsid w:val="00B0569B"/>
    <w:rsid w:val="00B05728"/>
    <w:rsid w:val="00B057C5"/>
    <w:rsid w:val="00B05A65"/>
    <w:rsid w:val="00B05A7E"/>
    <w:rsid w:val="00B05B27"/>
    <w:rsid w:val="00B05DAE"/>
    <w:rsid w:val="00B05EB0"/>
    <w:rsid w:val="00B05F61"/>
    <w:rsid w:val="00B06019"/>
    <w:rsid w:val="00B06112"/>
    <w:rsid w:val="00B06245"/>
    <w:rsid w:val="00B0663A"/>
    <w:rsid w:val="00B06670"/>
    <w:rsid w:val="00B066A0"/>
    <w:rsid w:val="00B066DC"/>
    <w:rsid w:val="00B067FC"/>
    <w:rsid w:val="00B069BE"/>
    <w:rsid w:val="00B06AEB"/>
    <w:rsid w:val="00B06B01"/>
    <w:rsid w:val="00B06EB5"/>
    <w:rsid w:val="00B071D2"/>
    <w:rsid w:val="00B07532"/>
    <w:rsid w:val="00B0761F"/>
    <w:rsid w:val="00B07874"/>
    <w:rsid w:val="00B07F18"/>
    <w:rsid w:val="00B10296"/>
    <w:rsid w:val="00B10699"/>
    <w:rsid w:val="00B1069B"/>
    <w:rsid w:val="00B1072E"/>
    <w:rsid w:val="00B10763"/>
    <w:rsid w:val="00B10A15"/>
    <w:rsid w:val="00B10BC6"/>
    <w:rsid w:val="00B10DF5"/>
    <w:rsid w:val="00B10EF6"/>
    <w:rsid w:val="00B116A1"/>
    <w:rsid w:val="00B1179F"/>
    <w:rsid w:val="00B118FA"/>
    <w:rsid w:val="00B11905"/>
    <w:rsid w:val="00B11A1C"/>
    <w:rsid w:val="00B11A36"/>
    <w:rsid w:val="00B11A8B"/>
    <w:rsid w:val="00B1204C"/>
    <w:rsid w:val="00B1214D"/>
    <w:rsid w:val="00B121B0"/>
    <w:rsid w:val="00B12556"/>
    <w:rsid w:val="00B12623"/>
    <w:rsid w:val="00B12699"/>
    <w:rsid w:val="00B126B2"/>
    <w:rsid w:val="00B12E29"/>
    <w:rsid w:val="00B12E42"/>
    <w:rsid w:val="00B12FD4"/>
    <w:rsid w:val="00B1316E"/>
    <w:rsid w:val="00B13179"/>
    <w:rsid w:val="00B1323E"/>
    <w:rsid w:val="00B1341E"/>
    <w:rsid w:val="00B139F3"/>
    <w:rsid w:val="00B13AC6"/>
    <w:rsid w:val="00B13B08"/>
    <w:rsid w:val="00B13B9C"/>
    <w:rsid w:val="00B13EE4"/>
    <w:rsid w:val="00B140D2"/>
    <w:rsid w:val="00B142A1"/>
    <w:rsid w:val="00B1438D"/>
    <w:rsid w:val="00B1464C"/>
    <w:rsid w:val="00B149F1"/>
    <w:rsid w:val="00B14A97"/>
    <w:rsid w:val="00B14AEC"/>
    <w:rsid w:val="00B14E4B"/>
    <w:rsid w:val="00B15375"/>
    <w:rsid w:val="00B1537D"/>
    <w:rsid w:val="00B159BC"/>
    <w:rsid w:val="00B159DF"/>
    <w:rsid w:val="00B15A13"/>
    <w:rsid w:val="00B15D26"/>
    <w:rsid w:val="00B15D2E"/>
    <w:rsid w:val="00B15E87"/>
    <w:rsid w:val="00B1636D"/>
    <w:rsid w:val="00B16425"/>
    <w:rsid w:val="00B164CE"/>
    <w:rsid w:val="00B16953"/>
    <w:rsid w:val="00B16976"/>
    <w:rsid w:val="00B16C20"/>
    <w:rsid w:val="00B16D86"/>
    <w:rsid w:val="00B16D91"/>
    <w:rsid w:val="00B16E79"/>
    <w:rsid w:val="00B16EFC"/>
    <w:rsid w:val="00B16FDC"/>
    <w:rsid w:val="00B17119"/>
    <w:rsid w:val="00B172AE"/>
    <w:rsid w:val="00B17340"/>
    <w:rsid w:val="00B175C8"/>
    <w:rsid w:val="00B175DB"/>
    <w:rsid w:val="00B179B7"/>
    <w:rsid w:val="00B17AE3"/>
    <w:rsid w:val="00B17CC3"/>
    <w:rsid w:val="00B17D7F"/>
    <w:rsid w:val="00B17FCC"/>
    <w:rsid w:val="00B200FB"/>
    <w:rsid w:val="00B2018B"/>
    <w:rsid w:val="00B205AF"/>
    <w:rsid w:val="00B2078D"/>
    <w:rsid w:val="00B208B5"/>
    <w:rsid w:val="00B20BBE"/>
    <w:rsid w:val="00B20BDD"/>
    <w:rsid w:val="00B20C5D"/>
    <w:rsid w:val="00B20D53"/>
    <w:rsid w:val="00B20DFA"/>
    <w:rsid w:val="00B21270"/>
    <w:rsid w:val="00B2164C"/>
    <w:rsid w:val="00B21817"/>
    <w:rsid w:val="00B218FD"/>
    <w:rsid w:val="00B21AE1"/>
    <w:rsid w:val="00B21BB8"/>
    <w:rsid w:val="00B21C31"/>
    <w:rsid w:val="00B21D44"/>
    <w:rsid w:val="00B21D9C"/>
    <w:rsid w:val="00B22117"/>
    <w:rsid w:val="00B2211E"/>
    <w:rsid w:val="00B22553"/>
    <w:rsid w:val="00B226FD"/>
    <w:rsid w:val="00B22B95"/>
    <w:rsid w:val="00B22CA3"/>
    <w:rsid w:val="00B231D6"/>
    <w:rsid w:val="00B233CE"/>
    <w:rsid w:val="00B23454"/>
    <w:rsid w:val="00B235A7"/>
    <w:rsid w:val="00B235BA"/>
    <w:rsid w:val="00B2370D"/>
    <w:rsid w:val="00B23B5E"/>
    <w:rsid w:val="00B23BDC"/>
    <w:rsid w:val="00B23F67"/>
    <w:rsid w:val="00B24103"/>
    <w:rsid w:val="00B2419F"/>
    <w:rsid w:val="00B241CB"/>
    <w:rsid w:val="00B243CE"/>
    <w:rsid w:val="00B24772"/>
    <w:rsid w:val="00B247E2"/>
    <w:rsid w:val="00B24B93"/>
    <w:rsid w:val="00B24BB4"/>
    <w:rsid w:val="00B24BBE"/>
    <w:rsid w:val="00B24F2F"/>
    <w:rsid w:val="00B251D7"/>
    <w:rsid w:val="00B253C5"/>
    <w:rsid w:val="00B25452"/>
    <w:rsid w:val="00B2545F"/>
    <w:rsid w:val="00B25500"/>
    <w:rsid w:val="00B257C8"/>
    <w:rsid w:val="00B25A5D"/>
    <w:rsid w:val="00B25B78"/>
    <w:rsid w:val="00B25C07"/>
    <w:rsid w:val="00B25EFF"/>
    <w:rsid w:val="00B25F56"/>
    <w:rsid w:val="00B26264"/>
    <w:rsid w:val="00B262E4"/>
    <w:rsid w:val="00B26432"/>
    <w:rsid w:val="00B2644B"/>
    <w:rsid w:val="00B26715"/>
    <w:rsid w:val="00B267EF"/>
    <w:rsid w:val="00B26809"/>
    <w:rsid w:val="00B2687F"/>
    <w:rsid w:val="00B268DE"/>
    <w:rsid w:val="00B268FF"/>
    <w:rsid w:val="00B2697A"/>
    <w:rsid w:val="00B26A38"/>
    <w:rsid w:val="00B26B3B"/>
    <w:rsid w:val="00B26D0B"/>
    <w:rsid w:val="00B26D24"/>
    <w:rsid w:val="00B26D96"/>
    <w:rsid w:val="00B26DDE"/>
    <w:rsid w:val="00B26EFF"/>
    <w:rsid w:val="00B270BF"/>
    <w:rsid w:val="00B27213"/>
    <w:rsid w:val="00B272BC"/>
    <w:rsid w:val="00B272BE"/>
    <w:rsid w:val="00B275E1"/>
    <w:rsid w:val="00B2762B"/>
    <w:rsid w:val="00B27668"/>
    <w:rsid w:val="00B276E2"/>
    <w:rsid w:val="00B2770F"/>
    <w:rsid w:val="00B2782A"/>
    <w:rsid w:val="00B27871"/>
    <w:rsid w:val="00B278A7"/>
    <w:rsid w:val="00B27BDF"/>
    <w:rsid w:val="00B27C58"/>
    <w:rsid w:val="00B3058B"/>
    <w:rsid w:val="00B30699"/>
    <w:rsid w:val="00B306CE"/>
    <w:rsid w:val="00B309E3"/>
    <w:rsid w:val="00B30B77"/>
    <w:rsid w:val="00B30FD8"/>
    <w:rsid w:val="00B316E4"/>
    <w:rsid w:val="00B3177C"/>
    <w:rsid w:val="00B31EAE"/>
    <w:rsid w:val="00B32126"/>
    <w:rsid w:val="00B327A6"/>
    <w:rsid w:val="00B327BD"/>
    <w:rsid w:val="00B3299B"/>
    <w:rsid w:val="00B33299"/>
    <w:rsid w:val="00B3343C"/>
    <w:rsid w:val="00B33486"/>
    <w:rsid w:val="00B335B4"/>
    <w:rsid w:val="00B339EB"/>
    <w:rsid w:val="00B34147"/>
    <w:rsid w:val="00B34194"/>
    <w:rsid w:val="00B3453F"/>
    <w:rsid w:val="00B3457C"/>
    <w:rsid w:val="00B34634"/>
    <w:rsid w:val="00B3464C"/>
    <w:rsid w:val="00B348E9"/>
    <w:rsid w:val="00B34B00"/>
    <w:rsid w:val="00B34E06"/>
    <w:rsid w:val="00B34E9B"/>
    <w:rsid w:val="00B35216"/>
    <w:rsid w:val="00B353DD"/>
    <w:rsid w:val="00B357A3"/>
    <w:rsid w:val="00B3580B"/>
    <w:rsid w:val="00B3588A"/>
    <w:rsid w:val="00B35D88"/>
    <w:rsid w:val="00B35DB8"/>
    <w:rsid w:val="00B35F7D"/>
    <w:rsid w:val="00B36046"/>
    <w:rsid w:val="00B362E0"/>
    <w:rsid w:val="00B36652"/>
    <w:rsid w:val="00B366AF"/>
    <w:rsid w:val="00B36776"/>
    <w:rsid w:val="00B367BB"/>
    <w:rsid w:val="00B3690D"/>
    <w:rsid w:val="00B36A83"/>
    <w:rsid w:val="00B36E25"/>
    <w:rsid w:val="00B36FC6"/>
    <w:rsid w:val="00B370D9"/>
    <w:rsid w:val="00B370DE"/>
    <w:rsid w:val="00B37115"/>
    <w:rsid w:val="00B37274"/>
    <w:rsid w:val="00B3727A"/>
    <w:rsid w:val="00B37730"/>
    <w:rsid w:val="00B378C4"/>
    <w:rsid w:val="00B37A55"/>
    <w:rsid w:val="00B37A73"/>
    <w:rsid w:val="00B37B92"/>
    <w:rsid w:val="00B37D5A"/>
    <w:rsid w:val="00B38B91"/>
    <w:rsid w:val="00B40569"/>
    <w:rsid w:val="00B406CF"/>
    <w:rsid w:val="00B40870"/>
    <w:rsid w:val="00B40963"/>
    <w:rsid w:val="00B409C0"/>
    <w:rsid w:val="00B409F0"/>
    <w:rsid w:val="00B40AD2"/>
    <w:rsid w:val="00B40DDE"/>
    <w:rsid w:val="00B410D4"/>
    <w:rsid w:val="00B4110D"/>
    <w:rsid w:val="00B41215"/>
    <w:rsid w:val="00B414A0"/>
    <w:rsid w:val="00B41566"/>
    <w:rsid w:val="00B4185A"/>
    <w:rsid w:val="00B418B7"/>
    <w:rsid w:val="00B41AD0"/>
    <w:rsid w:val="00B41DBA"/>
    <w:rsid w:val="00B41E13"/>
    <w:rsid w:val="00B41E5F"/>
    <w:rsid w:val="00B41EC2"/>
    <w:rsid w:val="00B421E5"/>
    <w:rsid w:val="00B4284B"/>
    <w:rsid w:val="00B42899"/>
    <w:rsid w:val="00B42938"/>
    <w:rsid w:val="00B42A9D"/>
    <w:rsid w:val="00B42BF2"/>
    <w:rsid w:val="00B42CA7"/>
    <w:rsid w:val="00B42D7C"/>
    <w:rsid w:val="00B42E9A"/>
    <w:rsid w:val="00B4307A"/>
    <w:rsid w:val="00B431B7"/>
    <w:rsid w:val="00B43437"/>
    <w:rsid w:val="00B434BD"/>
    <w:rsid w:val="00B43655"/>
    <w:rsid w:val="00B43753"/>
    <w:rsid w:val="00B43914"/>
    <w:rsid w:val="00B43968"/>
    <w:rsid w:val="00B439E3"/>
    <w:rsid w:val="00B43AA9"/>
    <w:rsid w:val="00B43C70"/>
    <w:rsid w:val="00B43C94"/>
    <w:rsid w:val="00B43F86"/>
    <w:rsid w:val="00B4403D"/>
    <w:rsid w:val="00B4404B"/>
    <w:rsid w:val="00B44340"/>
    <w:rsid w:val="00B4437D"/>
    <w:rsid w:val="00B443E0"/>
    <w:rsid w:val="00B44726"/>
    <w:rsid w:val="00B4494F"/>
    <w:rsid w:val="00B44986"/>
    <w:rsid w:val="00B44BF3"/>
    <w:rsid w:val="00B44F6C"/>
    <w:rsid w:val="00B45001"/>
    <w:rsid w:val="00B45008"/>
    <w:rsid w:val="00B4531A"/>
    <w:rsid w:val="00B45523"/>
    <w:rsid w:val="00B458C9"/>
    <w:rsid w:val="00B459BC"/>
    <w:rsid w:val="00B45C6C"/>
    <w:rsid w:val="00B45D26"/>
    <w:rsid w:val="00B460AD"/>
    <w:rsid w:val="00B46448"/>
    <w:rsid w:val="00B46461"/>
    <w:rsid w:val="00B464A2"/>
    <w:rsid w:val="00B465B8"/>
    <w:rsid w:val="00B46961"/>
    <w:rsid w:val="00B46998"/>
    <w:rsid w:val="00B46BDF"/>
    <w:rsid w:val="00B46D88"/>
    <w:rsid w:val="00B46E87"/>
    <w:rsid w:val="00B46F01"/>
    <w:rsid w:val="00B46F19"/>
    <w:rsid w:val="00B4744A"/>
    <w:rsid w:val="00B474A8"/>
    <w:rsid w:val="00B474E8"/>
    <w:rsid w:val="00B474EA"/>
    <w:rsid w:val="00B476CB"/>
    <w:rsid w:val="00B47953"/>
    <w:rsid w:val="00B47A1C"/>
    <w:rsid w:val="00B47A48"/>
    <w:rsid w:val="00B47BFF"/>
    <w:rsid w:val="00B47C75"/>
    <w:rsid w:val="00B47D0A"/>
    <w:rsid w:val="00B47D6C"/>
    <w:rsid w:val="00B47FA8"/>
    <w:rsid w:val="00B50067"/>
    <w:rsid w:val="00B50279"/>
    <w:rsid w:val="00B502E6"/>
    <w:rsid w:val="00B5039C"/>
    <w:rsid w:val="00B508C6"/>
    <w:rsid w:val="00B509E5"/>
    <w:rsid w:val="00B50A58"/>
    <w:rsid w:val="00B50AFF"/>
    <w:rsid w:val="00B50CB8"/>
    <w:rsid w:val="00B50CEA"/>
    <w:rsid w:val="00B50DB5"/>
    <w:rsid w:val="00B50DBA"/>
    <w:rsid w:val="00B50EB6"/>
    <w:rsid w:val="00B50EE9"/>
    <w:rsid w:val="00B50FE5"/>
    <w:rsid w:val="00B510E8"/>
    <w:rsid w:val="00B51193"/>
    <w:rsid w:val="00B51789"/>
    <w:rsid w:val="00B518C5"/>
    <w:rsid w:val="00B51A8C"/>
    <w:rsid w:val="00B51C59"/>
    <w:rsid w:val="00B51D61"/>
    <w:rsid w:val="00B51FA0"/>
    <w:rsid w:val="00B5230A"/>
    <w:rsid w:val="00B52B6F"/>
    <w:rsid w:val="00B52C65"/>
    <w:rsid w:val="00B52FC1"/>
    <w:rsid w:val="00B5309D"/>
    <w:rsid w:val="00B5356F"/>
    <w:rsid w:val="00B536C2"/>
    <w:rsid w:val="00B536F8"/>
    <w:rsid w:val="00B5386D"/>
    <w:rsid w:val="00B53B9E"/>
    <w:rsid w:val="00B53D5C"/>
    <w:rsid w:val="00B53EF9"/>
    <w:rsid w:val="00B53F5A"/>
    <w:rsid w:val="00B543F2"/>
    <w:rsid w:val="00B54726"/>
    <w:rsid w:val="00B54AAA"/>
    <w:rsid w:val="00B54C1B"/>
    <w:rsid w:val="00B54C5D"/>
    <w:rsid w:val="00B54C90"/>
    <w:rsid w:val="00B54D35"/>
    <w:rsid w:val="00B54D57"/>
    <w:rsid w:val="00B54EB4"/>
    <w:rsid w:val="00B54FF2"/>
    <w:rsid w:val="00B550C4"/>
    <w:rsid w:val="00B555AE"/>
    <w:rsid w:val="00B5583D"/>
    <w:rsid w:val="00B5589D"/>
    <w:rsid w:val="00B55B36"/>
    <w:rsid w:val="00B55C7A"/>
    <w:rsid w:val="00B560A6"/>
    <w:rsid w:val="00B56146"/>
    <w:rsid w:val="00B56300"/>
    <w:rsid w:val="00B566B0"/>
    <w:rsid w:val="00B5699B"/>
    <w:rsid w:val="00B56BD4"/>
    <w:rsid w:val="00B56C5D"/>
    <w:rsid w:val="00B56F2D"/>
    <w:rsid w:val="00B57152"/>
    <w:rsid w:val="00B57303"/>
    <w:rsid w:val="00B574D3"/>
    <w:rsid w:val="00B575F5"/>
    <w:rsid w:val="00B575FC"/>
    <w:rsid w:val="00B5761B"/>
    <w:rsid w:val="00B57685"/>
    <w:rsid w:val="00B5771B"/>
    <w:rsid w:val="00B5B4CE"/>
    <w:rsid w:val="00B60205"/>
    <w:rsid w:val="00B60285"/>
    <w:rsid w:val="00B6034E"/>
    <w:rsid w:val="00B604DE"/>
    <w:rsid w:val="00B60A51"/>
    <w:rsid w:val="00B60C0E"/>
    <w:rsid w:val="00B60E86"/>
    <w:rsid w:val="00B60FB4"/>
    <w:rsid w:val="00B61768"/>
    <w:rsid w:val="00B6183E"/>
    <w:rsid w:val="00B618D3"/>
    <w:rsid w:val="00B619E1"/>
    <w:rsid w:val="00B61BCF"/>
    <w:rsid w:val="00B61D9D"/>
    <w:rsid w:val="00B61DBD"/>
    <w:rsid w:val="00B61DE4"/>
    <w:rsid w:val="00B6216E"/>
    <w:rsid w:val="00B6239D"/>
    <w:rsid w:val="00B6240B"/>
    <w:rsid w:val="00B62469"/>
    <w:rsid w:val="00B624F9"/>
    <w:rsid w:val="00B625A3"/>
    <w:rsid w:val="00B6266B"/>
    <w:rsid w:val="00B628D2"/>
    <w:rsid w:val="00B62D63"/>
    <w:rsid w:val="00B62F3B"/>
    <w:rsid w:val="00B63177"/>
    <w:rsid w:val="00B6338A"/>
    <w:rsid w:val="00B6356F"/>
    <w:rsid w:val="00B637F0"/>
    <w:rsid w:val="00B6386E"/>
    <w:rsid w:val="00B638DF"/>
    <w:rsid w:val="00B639CA"/>
    <w:rsid w:val="00B63AFB"/>
    <w:rsid w:val="00B63B3F"/>
    <w:rsid w:val="00B63BB1"/>
    <w:rsid w:val="00B63DD1"/>
    <w:rsid w:val="00B63EAC"/>
    <w:rsid w:val="00B63EFE"/>
    <w:rsid w:val="00B64035"/>
    <w:rsid w:val="00B64045"/>
    <w:rsid w:val="00B64055"/>
    <w:rsid w:val="00B64212"/>
    <w:rsid w:val="00B6442A"/>
    <w:rsid w:val="00B64542"/>
    <w:rsid w:val="00B6455E"/>
    <w:rsid w:val="00B64AA7"/>
    <w:rsid w:val="00B64BD7"/>
    <w:rsid w:val="00B64C44"/>
    <w:rsid w:val="00B64F10"/>
    <w:rsid w:val="00B64F85"/>
    <w:rsid w:val="00B64FDE"/>
    <w:rsid w:val="00B652A8"/>
    <w:rsid w:val="00B652E5"/>
    <w:rsid w:val="00B6532C"/>
    <w:rsid w:val="00B65575"/>
    <w:rsid w:val="00B65948"/>
    <w:rsid w:val="00B65970"/>
    <w:rsid w:val="00B65E5F"/>
    <w:rsid w:val="00B65FD2"/>
    <w:rsid w:val="00B65FE8"/>
    <w:rsid w:val="00B662D8"/>
    <w:rsid w:val="00B6630C"/>
    <w:rsid w:val="00B665CF"/>
    <w:rsid w:val="00B667BC"/>
    <w:rsid w:val="00B667C1"/>
    <w:rsid w:val="00B66A29"/>
    <w:rsid w:val="00B66B4D"/>
    <w:rsid w:val="00B66FE5"/>
    <w:rsid w:val="00B672EF"/>
    <w:rsid w:val="00B679DB"/>
    <w:rsid w:val="00B67B74"/>
    <w:rsid w:val="00B67CB7"/>
    <w:rsid w:val="00B67CD1"/>
    <w:rsid w:val="00B70097"/>
    <w:rsid w:val="00B7015F"/>
    <w:rsid w:val="00B70219"/>
    <w:rsid w:val="00B70274"/>
    <w:rsid w:val="00B702AC"/>
    <w:rsid w:val="00B703C9"/>
    <w:rsid w:val="00B704A3"/>
    <w:rsid w:val="00B705E2"/>
    <w:rsid w:val="00B70747"/>
    <w:rsid w:val="00B70968"/>
    <w:rsid w:val="00B70979"/>
    <w:rsid w:val="00B709F6"/>
    <w:rsid w:val="00B70C36"/>
    <w:rsid w:val="00B70DEA"/>
    <w:rsid w:val="00B71060"/>
    <w:rsid w:val="00B710E0"/>
    <w:rsid w:val="00B711E9"/>
    <w:rsid w:val="00B7158C"/>
    <w:rsid w:val="00B71C5C"/>
    <w:rsid w:val="00B71CE2"/>
    <w:rsid w:val="00B7200D"/>
    <w:rsid w:val="00B723CC"/>
    <w:rsid w:val="00B72536"/>
    <w:rsid w:val="00B72598"/>
    <w:rsid w:val="00B727FD"/>
    <w:rsid w:val="00B72832"/>
    <w:rsid w:val="00B72A77"/>
    <w:rsid w:val="00B72BB4"/>
    <w:rsid w:val="00B72C05"/>
    <w:rsid w:val="00B72C36"/>
    <w:rsid w:val="00B72D44"/>
    <w:rsid w:val="00B7312B"/>
    <w:rsid w:val="00B73238"/>
    <w:rsid w:val="00B73247"/>
    <w:rsid w:val="00B73A93"/>
    <w:rsid w:val="00B73B0C"/>
    <w:rsid w:val="00B73CC0"/>
    <w:rsid w:val="00B73FD8"/>
    <w:rsid w:val="00B7409B"/>
    <w:rsid w:val="00B744F6"/>
    <w:rsid w:val="00B74644"/>
    <w:rsid w:val="00B74949"/>
    <w:rsid w:val="00B74BF6"/>
    <w:rsid w:val="00B74D8C"/>
    <w:rsid w:val="00B74DF1"/>
    <w:rsid w:val="00B75289"/>
    <w:rsid w:val="00B752D3"/>
    <w:rsid w:val="00B75D26"/>
    <w:rsid w:val="00B75D3D"/>
    <w:rsid w:val="00B762DB"/>
    <w:rsid w:val="00B7657E"/>
    <w:rsid w:val="00B765B2"/>
    <w:rsid w:val="00B7676D"/>
    <w:rsid w:val="00B76873"/>
    <w:rsid w:val="00B76C26"/>
    <w:rsid w:val="00B772FD"/>
    <w:rsid w:val="00B7739A"/>
    <w:rsid w:val="00B7745F"/>
    <w:rsid w:val="00B774C8"/>
    <w:rsid w:val="00B776EF"/>
    <w:rsid w:val="00B7783B"/>
    <w:rsid w:val="00B77896"/>
    <w:rsid w:val="00B778DB"/>
    <w:rsid w:val="00B7794C"/>
    <w:rsid w:val="00B77A8D"/>
    <w:rsid w:val="00B77CEF"/>
    <w:rsid w:val="00B77F4A"/>
    <w:rsid w:val="00B80016"/>
    <w:rsid w:val="00B8015D"/>
    <w:rsid w:val="00B801F5"/>
    <w:rsid w:val="00B802BC"/>
    <w:rsid w:val="00B8050C"/>
    <w:rsid w:val="00B80628"/>
    <w:rsid w:val="00B811D4"/>
    <w:rsid w:val="00B816CF"/>
    <w:rsid w:val="00B8174C"/>
    <w:rsid w:val="00B81795"/>
    <w:rsid w:val="00B819B1"/>
    <w:rsid w:val="00B81BF5"/>
    <w:rsid w:val="00B81C37"/>
    <w:rsid w:val="00B81E46"/>
    <w:rsid w:val="00B81E4B"/>
    <w:rsid w:val="00B82012"/>
    <w:rsid w:val="00B82700"/>
    <w:rsid w:val="00B82A90"/>
    <w:rsid w:val="00B82BCE"/>
    <w:rsid w:val="00B82D16"/>
    <w:rsid w:val="00B82D53"/>
    <w:rsid w:val="00B82E71"/>
    <w:rsid w:val="00B82EA7"/>
    <w:rsid w:val="00B833C7"/>
    <w:rsid w:val="00B83970"/>
    <w:rsid w:val="00B83F99"/>
    <w:rsid w:val="00B83F9F"/>
    <w:rsid w:val="00B844D5"/>
    <w:rsid w:val="00B84594"/>
    <w:rsid w:val="00B845C6"/>
    <w:rsid w:val="00B85178"/>
    <w:rsid w:val="00B8530F"/>
    <w:rsid w:val="00B8534B"/>
    <w:rsid w:val="00B854FD"/>
    <w:rsid w:val="00B856C0"/>
    <w:rsid w:val="00B85830"/>
    <w:rsid w:val="00B85BBE"/>
    <w:rsid w:val="00B85E27"/>
    <w:rsid w:val="00B85FAA"/>
    <w:rsid w:val="00B85FD7"/>
    <w:rsid w:val="00B86026"/>
    <w:rsid w:val="00B86065"/>
    <w:rsid w:val="00B8629F"/>
    <w:rsid w:val="00B862C2"/>
    <w:rsid w:val="00B8650A"/>
    <w:rsid w:val="00B865F5"/>
    <w:rsid w:val="00B86AB6"/>
    <w:rsid w:val="00B86B99"/>
    <w:rsid w:val="00B86CFE"/>
    <w:rsid w:val="00B86D3C"/>
    <w:rsid w:val="00B86E94"/>
    <w:rsid w:val="00B86EA5"/>
    <w:rsid w:val="00B87511"/>
    <w:rsid w:val="00B8751E"/>
    <w:rsid w:val="00B87543"/>
    <w:rsid w:val="00B87582"/>
    <w:rsid w:val="00B87905"/>
    <w:rsid w:val="00B87B28"/>
    <w:rsid w:val="00B87B9C"/>
    <w:rsid w:val="00B87D80"/>
    <w:rsid w:val="00B87DDC"/>
    <w:rsid w:val="00B87FD9"/>
    <w:rsid w:val="00B9015D"/>
    <w:rsid w:val="00B901D1"/>
    <w:rsid w:val="00B902AD"/>
    <w:rsid w:val="00B90793"/>
    <w:rsid w:val="00B907C8"/>
    <w:rsid w:val="00B9080A"/>
    <w:rsid w:val="00B90DDE"/>
    <w:rsid w:val="00B90ED2"/>
    <w:rsid w:val="00B90F15"/>
    <w:rsid w:val="00B90F2D"/>
    <w:rsid w:val="00B91248"/>
    <w:rsid w:val="00B912EC"/>
    <w:rsid w:val="00B9156D"/>
    <w:rsid w:val="00B915A5"/>
    <w:rsid w:val="00B916E5"/>
    <w:rsid w:val="00B9197C"/>
    <w:rsid w:val="00B91C3A"/>
    <w:rsid w:val="00B91C7A"/>
    <w:rsid w:val="00B91CCC"/>
    <w:rsid w:val="00B91E4E"/>
    <w:rsid w:val="00B92165"/>
    <w:rsid w:val="00B92272"/>
    <w:rsid w:val="00B92536"/>
    <w:rsid w:val="00B92C0F"/>
    <w:rsid w:val="00B92E84"/>
    <w:rsid w:val="00B9308B"/>
    <w:rsid w:val="00B932A6"/>
    <w:rsid w:val="00B93851"/>
    <w:rsid w:val="00B939B2"/>
    <w:rsid w:val="00B93A48"/>
    <w:rsid w:val="00B93E70"/>
    <w:rsid w:val="00B93EE2"/>
    <w:rsid w:val="00B94043"/>
    <w:rsid w:val="00B943CA"/>
    <w:rsid w:val="00B943D4"/>
    <w:rsid w:val="00B948FE"/>
    <w:rsid w:val="00B949B4"/>
    <w:rsid w:val="00B950B7"/>
    <w:rsid w:val="00B953B2"/>
    <w:rsid w:val="00B9562A"/>
    <w:rsid w:val="00B95817"/>
    <w:rsid w:val="00B95933"/>
    <w:rsid w:val="00B95970"/>
    <w:rsid w:val="00B95EEA"/>
    <w:rsid w:val="00B95F8E"/>
    <w:rsid w:val="00B9632A"/>
    <w:rsid w:val="00B9667E"/>
    <w:rsid w:val="00B96C41"/>
    <w:rsid w:val="00B96C77"/>
    <w:rsid w:val="00B96D47"/>
    <w:rsid w:val="00B97049"/>
    <w:rsid w:val="00B970DC"/>
    <w:rsid w:val="00B9720A"/>
    <w:rsid w:val="00B975F7"/>
    <w:rsid w:val="00B979E1"/>
    <w:rsid w:val="00B97B0F"/>
    <w:rsid w:val="00B97BF2"/>
    <w:rsid w:val="00B97D4B"/>
    <w:rsid w:val="00B98DC9"/>
    <w:rsid w:val="00BA005B"/>
    <w:rsid w:val="00BA0125"/>
    <w:rsid w:val="00BA0153"/>
    <w:rsid w:val="00BA0648"/>
    <w:rsid w:val="00BA077C"/>
    <w:rsid w:val="00BA0A4C"/>
    <w:rsid w:val="00BA0A6C"/>
    <w:rsid w:val="00BA0C0D"/>
    <w:rsid w:val="00BA0D4A"/>
    <w:rsid w:val="00BA0DDD"/>
    <w:rsid w:val="00BA0EA1"/>
    <w:rsid w:val="00BA1151"/>
    <w:rsid w:val="00BA1190"/>
    <w:rsid w:val="00BA1191"/>
    <w:rsid w:val="00BA14EC"/>
    <w:rsid w:val="00BA171A"/>
    <w:rsid w:val="00BA1870"/>
    <w:rsid w:val="00BA19D4"/>
    <w:rsid w:val="00BA1B8A"/>
    <w:rsid w:val="00BA1D19"/>
    <w:rsid w:val="00BA1FE9"/>
    <w:rsid w:val="00BA2006"/>
    <w:rsid w:val="00BA22C0"/>
    <w:rsid w:val="00BA2317"/>
    <w:rsid w:val="00BA242E"/>
    <w:rsid w:val="00BA27DC"/>
    <w:rsid w:val="00BA2805"/>
    <w:rsid w:val="00BA297C"/>
    <w:rsid w:val="00BA2986"/>
    <w:rsid w:val="00BA2A73"/>
    <w:rsid w:val="00BA2A92"/>
    <w:rsid w:val="00BA2AA4"/>
    <w:rsid w:val="00BA2D84"/>
    <w:rsid w:val="00BA2E98"/>
    <w:rsid w:val="00BA30F4"/>
    <w:rsid w:val="00BA3241"/>
    <w:rsid w:val="00BA3390"/>
    <w:rsid w:val="00BA3A8B"/>
    <w:rsid w:val="00BA3BFC"/>
    <w:rsid w:val="00BA3D95"/>
    <w:rsid w:val="00BA3F25"/>
    <w:rsid w:val="00BA4094"/>
    <w:rsid w:val="00BA4255"/>
    <w:rsid w:val="00BA42E5"/>
    <w:rsid w:val="00BA44C8"/>
    <w:rsid w:val="00BA47C7"/>
    <w:rsid w:val="00BA4A1C"/>
    <w:rsid w:val="00BA4DDF"/>
    <w:rsid w:val="00BA4EAF"/>
    <w:rsid w:val="00BA4F87"/>
    <w:rsid w:val="00BA5521"/>
    <w:rsid w:val="00BA5739"/>
    <w:rsid w:val="00BA5A08"/>
    <w:rsid w:val="00BA5BFD"/>
    <w:rsid w:val="00BA600D"/>
    <w:rsid w:val="00BA6205"/>
    <w:rsid w:val="00BA6429"/>
    <w:rsid w:val="00BA6610"/>
    <w:rsid w:val="00BA675B"/>
    <w:rsid w:val="00BA6A5C"/>
    <w:rsid w:val="00BA6ADD"/>
    <w:rsid w:val="00BA6CE0"/>
    <w:rsid w:val="00BA6D38"/>
    <w:rsid w:val="00BA7069"/>
    <w:rsid w:val="00BA7107"/>
    <w:rsid w:val="00BA71BB"/>
    <w:rsid w:val="00BA73FE"/>
    <w:rsid w:val="00BA74C1"/>
    <w:rsid w:val="00BA74F7"/>
    <w:rsid w:val="00BA76AE"/>
    <w:rsid w:val="00BA7843"/>
    <w:rsid w:val="00BA79E2"/>
    <w:rsid w:val="00BA7B08"/>
    <w:rsid w:val="00BA7B66"/>
    <w:rsid w:val="00BA7B7B"/>
    <w:rsid w:val="00BA7C20"/>
    <w:rsid w:val="00BA7DE3"/>
    <w:rsid w:val="00BA7F6E"/>
    <w:rsid w:val="00BA9507"/>
    <w:rsid w:val="00BB009F"/>
    <w:rsid w:val="00BB00F1"/>
    <w:rsid w:val="00BB01B8"/>
    <w:rsid w:val="00BB01C9"/>
    <w:rsid w:val="00BB0254"/>
    <w:rsid w:val="00BB02E1"/>
    <w:rsid w:val="00BB0534"/>
    <w:rsid w:val="00BB079D"/>
    <w:rsid w:val="00BB08BA"/>
    <w:rsid w:val="00BB0A77"/>
    <w:rsid w:val="00BB0D3F"/>
    <w:rsid w:val="00BB0D4F"/>
    <w:rsid w:val="00BB0E3F"/>
    <w:rsid w:val="00BB0EA2"/>
    <w:rsid w:val="00BB1009"/>
    <w:rsid w:val="00BB101D"/>
    <w:rsid w:val="00BB11F5"/>
    <w:rsid w:val="00BB120C"/>
    <w:rsid w:val="00BB1343"/>
    <w:rsid w:val="00BB13FC"/>
    <w:rsid w:val="00BB15F8"/>
    <w:rsid w:val="00BB1641"/>
    <w:rsid w:val="00BB19CB"/>
    <w:rsid w:val="00BB1DE4"/>
    <w:rsid w:val="00BB2374"/>
    <w:rsid w:val="00BB239C"/>
    <w:rsid w:val="00BB2525"/>
    <w:rsid w:val="00BB2824"/>
    <w:rsid w:val="00BB2ABF"/>
    <w:rsid w:val="00BB2CC3"/>
    <w:rsid w:val="00BB2E38"/>
    <w:rsid w:val="00BB330F"/>
    <w:rsid w:val="00BB35B2"/>
    <w:rsid w:val="00BB3852"/>
    <w:rsid w:val="00BB3A04"/>
    <w:rsid w:val="00BB3C47"/>
    <w:rsid w:val="00BB3C50"/>
    <w:rsid w:val="00BB3C5F"/>
    <w:rsid w:val="00BB3CD6"/>
    <w:rsid w:val="00BB3D44"/>
    <w:rsid w:val="00BB3EE9"/>
    <w:rsid w:val="00BB4108"/>
    <w:rsid w:val="00BB47E6"/>
    <w:rsid w:val="00BB4859"/>
    <w:rsid w:val="00BB4E9A"/>
    <w:rsid w:val="00BB4E9E"/>
    <w:rsid w:val="00BB4F1F"/>
    <w:rsid w:val="00BB5371"/>
    <w:rsid w:val="00BB5814"/>
    <w:rsid w:val="00BB5C10"/>
    <w:rsid w:val="00BB662D"/>
    <w:rsid w:val="00BB66E0"/>
    <w:rsid w:val="00BB67FB"/>
    <w:rsid w:val="00BB68AE"/>
    <w:rsid w:val="00BB6D0C"/>
    <w:rsid w:val="00BB6F76"/>
    <w:rsid w:val="00BB7058"/>
    <w:rsid w:val="00BB7106"/>
    <w:rsid w:val="00BB719A"/>
    <w:rsid w:val="00BB7699"/>
    <w:rsid w:val="00BB76A0"/>
    <w:rsid w:val="00BB778C"/>
    <w:rsid w:val="00BB788D"/>
    <w:rsid w:val="00BB7914"/>
    <w:rsid w:val="00BB7D5D"/>
    <w:rsid w:val="00BB7F1A"/>
    <w:rsid w:val="00BC01A3"/>
    <w:rsid w:val="00BC0219"/>
    <w:rsid w:val="00BC02F8"/>
    <w:rsid w:val="00BC0486"/>
    <w:rsid w:val="00BC0490"/>
    <w:rsid w:val="00BC0598"/>
    <w:rsid w:val="00BC08F6"/>
    <w:rsid w:val="00BC0A85"/>
    <w:rsid w:val="00BC0BD3"/>
    <w:rsid w:val="00BC0E76"/>
    <w:rsid w:val="00BC12DA"/>
    <w:rsid w:val="00BC149E"/>
    <w:rsid w:val="00BC162E"/>
    <w:rsid w:val="00BC16EE"/>
    <w:rsid w:val="00BC1B41"/>
    <w:rsid w:val="00BC1B8D"/>
    <w:rsid w:val="00BC1B92"/>
    <w:rsid w:val="00BC1C12"/>
    <w:rsid w:val="00BC1FE0"/>
    <w:rsid w:val="00BC2089"/>
    <w:rsid w:val="00BC2124"/>
    <w:rsid w:val="00BC212A"/>
    <w:rsid w:val="00BC23C5"/>
    <w:rsid w:val="00BC253F"/>
    <w:rsid w:val="00BC2830"/>
    <w:rsid w:val="00BC286D"/>
    <w:rsid w:val="00BC2909"/>
    <w:rsid w:val="00BC2981"/>
    <w:rsid w:val="00BC2A39"/>
    <w:rsid w:val="00BC2ADE"/>
    <w:rsid w:val="00BC3493"/>
    <w:rsid w:val="00BC3AB1"/>
    <w:rsid w:val="00BC3E17"/>
    <w:rsid w:val="00BC3F4D"/>
    <w:rsid w:val="00BC4159"/>
    <w:rsid w:val="00BC4170"/>
    <w:rsid w:val="00BC447D"/>
    <w:rsid w:val="00BC4726"/>
    <w:rsid w:val="00BC4A06"/>
    <w:rsid w:val="00BC4B62"/>
    <w:rsid w:val="00BC4B6A"/>
    <w:rsid w:val="00BC4C74"/>
    <w:rsid w:val="00BC4EEC"/>
    <w:rsid w:val="00BC525D"/>
    <w:rsid w:val="00BC5615"/>
    <w:rsid w:val="00BC58F0"/>
    <w:rsid w:val="00BC5A4A"/>
    <w:rsid w:val="00BC5B52"/>
    <w:rsid w:val="00BC5BFC"/>
    <w:rsid w:val="00BC5EBE"/>
    <w:rsid w:val="00BC5F82"/>
    <w:rsid w:val="00BC600C"/>
    <w:rsid w:val="00BC60E4"/>
    <w:rsid w:val="00BC6208"/>
    <w:rsid w:val="00BC6461"/>
    <w:rsid w:val="00BC6AD5"/>
    <w:rsid w:val="00BC6DC7"/>
    <w:rsid w:val="00BC7212"/>
    <w:rsid w:val="00BC7815"/>
    <w:rsid w:val="00BC7D4A"/>
    <w:rsid w:val="00BC7DAA"/>
    <w:rsid w:val="00BC7E39"/>
    <w:rsid w:val="00BC7EE2"/>
    <w:rsid w:val="00BD008B"/>
    <w:rsid w:val="00BD0181"/>
    <w:rsid w:val="00BD01B3"/>
    <w:rsid w:val="00BD0229"/>
    <w:rsid w:val="00BD0349"/>
    <w:rsid w:val="00BD094A"/>
    <w:rsid w:val="00BD09BF"/>
    <w:rsid w:val="00BD0A1E"/>
    <w:rsid w:val="00BD0ACA"/>
    <w:rsid w:val="00BD0B19"/>
    <w:rsid w:val="00BD0EA5"/>
    <w:rsid w:val="00BD0F94"/>
    <w:rsid w:val="00BD100C"/>
    <w:rsid w:val="00BD1078"/>
    <w:rsid w:val="00BD118C"/>
    <w:rsid w:val="00BD149C"/>
    <w:rsid w:val="00BD16EA"/>
    <w:rsid w:val="00BD1868"/>
    <w:rsid w:val="00BD19B5"/>
    <w:rsid w:val="00BD1A0E"/>
    <w:rsid w:val="00BD1B02"/>
    <w:rsid w:val="00BD1E00"/>
    <w:rsid w:val="00BD1ED2"/>
    <w:rsid w:val="00BD2088"/>
    <w:rsid w:val="00BD2262"/>
    <w:rsid w:val="00BD272E"/>
    <w:rsid w:val="00BD277C"/>
    <w:rsid w:val="00BD2A2D"/>
    <w:rsid w:val="00BD2CB3"/>
    <w:rsid w:val="00BD2CB5"/>
    <w:rsid w:val="00BD2D5D"/>
    <w:rsid w:val="00BD2E3E"/>
    <w:rsid w:val="00BD2FB9"/>
    <w:rsid w:val="00BD31B6"/>
    <w:rsid w:val="00BD32B2"/>
    <w:rsid w:val="00BD3393"/>
    <w:rsid w:val="00BD36DA"/>
    <w:rsid w:val="00BD399B"/>
    <w:rsid w:val="00BD3A7F"/>
    <w:rsid w:val="00BD3AE7"/>
    <w:rsid w:val="00BD3AEF"/>
    <w:rsid w:val="00BD3B5F"/>
    <w:rsid w:val="00BD3DAC"/>
    <w:rsid w:val="00BD3DD3"/>
    <w:rsid w:val="00BD3E49"/>
    <w:rsid w:val="00BD3F63"/>
    <w:rsid w:val="00BD3F9A"/>
    <w:rsid w:val="00BD407B"/>
    <w:rsid w:val="00BD42A2"/>
    <w:rsid w:val="00BD4376"/>
    <w:rsid w:val="00BD44C5"/>
    <w:rsid w:val="00BD460C"/>
    <w:rsid w:val="00BD4ABE"/>
    <w:rsid w:val="00BD4B4C"/>
    <w:rsid w:val="00BD4B73"/>
    <w:rsid w:val="00BD4BB7"/>
    <w:rsid w:val="00BD4F44"/>
    <w:rsid w:val="00BD5303"/>
    <w:rsid w:val="00BD558D"/>
    <w:rsid w:val="00BD55E1"/>
    <w:rsid w:val="00BD570D"/>
    <w:rsid w:val="00BD574B"/>
    <w:rsid w:val="00BD584F"/>
    <w:rsid w:val="00BD5A0B"/>
    <w:rsid w:val="00BD5A1A"/>
    <w:rsid w:val="00BD5B81"/>
    <w:rsid w:val="00BD5D02"/>
    <w:rsid w:val="00BD5D94"/>
    <w:rsid w:val="00BD5EF1"/>
    <w:rsid w:val="00BD5FF4"/>
    <w:rsid w:val="00BD6008"/>
    <w:rsid w:val="00BD6031"/>
    <w:rsid w:val="00BD6276"/>
    <w:rsid w:val="00BD6300"/>
    <w:rsid w:val="00BD656A"/>
    <w:rsid w:val="00BD6579"/>
    <w:rsid w:val="00BD6703"/>
    <w:rsid w:val="00BD6806"/>
    <w:rsid w:val="00BD6879"/>
    <w:rsid w:val="00BD6A56"/>
    <w:rsid w:val="00BD6C8F"/>
    <w:rsid w:val="00BD6FBF"/>
    <w:rsid w:val="00BD70B3"/>
    <w:rsid w:val="00BD7159"/>
    <w:rsid w:val="00BD7203"/>
    <w:rsid w:val="00BD720C"/>
    <w:rsid w:val="00BD721D"/>
    <w:rsid w:val="00BD74AF"/>
    <w:rsid w:val="00BD791F"/>
    <w:rsid w:val="00BD79AB"/>
    <w:rsid w:val="00BD7B66"/>
    <w:rsid w:val="00BD7C76"/>
    <w:rsid w:val="00BD7D54"/>
    <w:rsid w:val="00BD7DD5"/>
    <w:rsid w:val="00BE0088"/>
    <w:rsid w:val="00BE022E"/>
    <w:rsid w:val="00BE0477"/>
    <w:rsid w:val="00BE0595"/>
    <w:rsid w:val="00BE06B1"/>
    <w:rsid w:val="00BE074A"/>
    <w:rsid w:val="00BE07E8"/>
    <w:rsid w:val="00BE0C04"/>
    <w:rsid w:val="00BE0C8D"/>
    <w:rsid w:val="00BE0D99"/>
    <w:rsid w:val="00BE153E"/>
    <w:rsid w:val="00BE15DB"/>
    <w:rsid w:val="00BE17DB"/>
    <w:rsid w:val="00BE19B2"/>
    <w:rsid w:val="00BE1B2D"/>
    <w:rsid w:val="00BE1BFF"/>
    <w:rsid w:val="00BE1C2A"/>
    <w:rsid w:val="00BE1F05"/>
    <w:rsid w:val="00BE20A1"/>
    <w:rsid w:val="00BE212E"/>
    <w:rsid w:val="00BE217B"/>
    <w:rsid w:val="00BE23A9"/>
    <w:rsid w:val="00BE2448"/>
    <w:rsid w:val="00BE27A4"/>
    <w:rsid w:val="00BE27E7"/>
    <w:rsid w:val="00BE2951"/>
    <w:rsid w:val="00BE2A13"/>
    <w:rsid w:val="00BE2A7A"/>
    <w:rsid w:val="00BE2BBB"/>
    <w:rsid w:val="00BE2EEA"/>
    <w:rsid w:val="00BE2F18"/>
    <w:rsid w:val="00BE2F59"/>
    <w:rsid w:val="00BE30C6"/>
    <w:rsid w:val="00BE3312"/>
    <w:rsid w:val="00BE334B"/>
    <w:rsid w:val="00BE3557"/>
    <w:rsid w:val="00BE36D3"/>
    <w:rsid w:val="00BE3AE7"/>
    <w:rsid w:val="00BE3B7B"/>
    <w:rsid w:val="00BE3D77"/>
    <w:rsid w:val="00BE40BE"/>
    <w:rsid w:val="00BE41A3"/>
    <w:rsid w:val="00BE4326"/>
    <w:rsid w:val="00BE439B"/>
    <w:rsid w:val="00BE4905"/>
    <w:rsid w:val="00BE4A33"/>
    <w:rsid w:val="00BE4C63"/>
    <w:rsid w:val="00BE4DBB"/>
    <w:rsid w:val="00BE4F53"/>
    <w:rsid w:val="00BE50D1"/>
    <w:rsid w:val="00BE534C"/>
    <w:rsid w:val="00BE554B"/>
    <w:rsid w:val="00BE5737"/>
    <w:rsid w:val="00BE576E"/>
    <w:rsid w:val="00BE58E3"/>
    <w:rsid w:val="00BE5DA1"/>
    <w:rsid w:val="00BE642A"/>
    <w:rsid w:val="00BE652A"/>
    <w:rsid w:val="00BE6841"/>
    <w:rsid w:val="00BE6A68"/>
    <w:rsid w:val="00BE6BAE"/>
    <w:rsid w:val="00BE6BF5"/>
    <w:rsid w:val="00BE6E8D"/>
    <w:rsid w:val="00BE6EDC"/>
    <w:rsid w:val="00BE6F08"/>
    <w:rsid w:val="00BE6F32"/>
    <w:rsid w:val="00BE700D"/>
    <w:rsid w:val="00BE708D"/>
    <w:rsid w:val="00BE74CD"/>
    <w:rsid w:val="00BE7516"/>
    <w:rsid w:val="00BE761E"/>
    <w:rsid w:val="00BE7E4A"/>
    <w:rsid w:val="00BE7FE1"/>
    <w:rsid w:val="00BF02B7"/>
    <w:rsid w:val="00BF0408"/>
    <w:rsid w:val="00BF041F"/>
    <w:rsid w:val="00BF042C"/>
    <w:rsid w:val="00BF04AB"/>
    <w:rsid w:val="00BF0D15"/>
    <w:rsid w:val="00BF0E0A"/>
    <w:rsid w:val="00BF1052"/>
    <w:rsid w:val="00BF12B3"/>
    <w:rsid w:val="00BF14D9"/>
    <w:rsid w:val="00BF1702"/>
    <w:rsid w:val="00BF196A"/>
    <w:rsid w:val="00BF19C5"/>
    <w:rsid w:val="00BF1B4B"/>
    <w:rsid w:val="00BF1CA8"/>
    <w:rsid w:val="00BF1DCC"/>
    <w:rsid w:val="00BF20FA"/>
    <w:rsid w:val="00BF23C7"/>
    <w:rsid w:val="00BF2608"/>
    <w:rsid w:val="00BF2870"/>
    <w:rsid w:val="00BF2890"/>
    <w:rsid w:val="00BF2AB7"/>
    <w:rsid w:val="00BF3065"/>
    <w:rsid w:val="00BF317C"/>
    <w:rsid w:val="00BF32C9"/>
    <w:rsid w:val="00BF336B"/>
    <w:rsid w:val="00BF38A2"/>
    <w:rsid w:val="00BF3B03"/>
    <w:rsid w:val="00BF3B60"/>
    <w:rsid w:val="00BF3BAB"/>
    <w:rsid w:val="00BF3D45"/>
    <w:rsid w:val="00BF3D8B"/>
    <w:rsid w:val="00BF3F87"/>
    <w:rsid w:val="00BF41A6"/>
    <w:rsid w:val="00BF4240"/>
    <w:rsid w:val="00BF428A"/>
    <w:rsid w:val="00BF448B"/>
    <w:rsid w:val="00BF4513"/>
    <w:rsid w:val="00BF477F"/>
    <w:rsid w:val="00BF4A45"/>
    <w:rsid w:val="00BF4AC7"/>
    <w:rsid w:val="00BF4F07"/>
    <w:rsid w:val="00BF4F3F"/>
    <w:rsid w:val="00BF500E"/>
    <w:rsid w:val="00BF5353"/>
    <w:rsid w:val="00BF537D"/>
    <w:rsid w:val="00BF537E"/>
    <w:rsid w:val="00BF5432"/>
    <w:rsid w:val="00BF5460"/>
    <w:rsid w:val="00BF5845"/>
    <w:rsid w:val="00BF5E65"/>
    <w:rsid w:val="00BF6128"/>
    <w:rsid w:val="00BF6368"/>
    <w:rsid w:val="00BF639C"/>
    <w:rsid w:val="00BF641F"/>
    <w:rsid w:val="00BF64DC"/>
    <w:rsid w:val="00BF6522"/>
    <w:rsid w:val="00BF657E"/>
    <w:rsid w:val="00BF69E6"/>
    <w:rsid w:val="00BF6AE4"/>
    <w:rsid w:val="00BF6E1A"/>
    <w:rsid w:val="00BF71C7"/>
    <w:rsid w:val="00BF7207"/>
    <w:rsid w:val="00BF723D"/>
    <w:rsid w:val="00BF72FD"/>
    <w:rsid w:val="00BF764F"/>
    <w:rsid w:val="00BF79F5"/>
    <w:rsid w:val="00BF7AA3"/>
    <w:rsid w:val="00BF7AB8"/>
    <w:rsid w:val="00C0024F"/>
    <w:rsid w:val="00C0070D"/>
    <w:rsid w:val="00C00A02"/>
    <w:rsid w:val="00C00C91"/>
    <w:rsid w:val="00C0181B"/>
    <w:rsid w:val="00C0183B"/>
    <w:rsid w:val="00C01CF8"/>
    <w:rsid w:val="00C01DB4"/>
    <w:rsid w:val="00C01E13"/>
    <w:rsid w:val="00C01E1C"/>
    <w:rsid w:val="00C01EF0"/>
    <w:rsid w:val="00C01F63"/>
    <w:rsid w:val="00C021E0"/>
    <w:rsid w:val="00C02316"/>
    <w:rsid w:val="00C0233C"/>
    <w:rsid w:val="00C02486"/>
    <w:rsid w:val="00C0253C"/>
    <w:rsid w:val="00C02655"/>
    <w:rsid w:val="00C026F5"/>
    <w:rsid w:val="00C0276C"/>
    <w:rsid w:val="00C027EA"/>
    <w:rsid w:val="00C029D3"/>
    <w:rsid w:val="00C02C96"/>
    <w:rsid w:val="00C02E98"/>
    <w:rsid w:val="00C02FF8"/>
    <w:rsid w:val="00C0306D"/>
    <w:rsid w:val="00C03157"/>
    <w:rsid w:val="00C03621"/>
    <w:rsid w:val="00C0374F"/>
    <w:rsid w:val="00C03A2D"/>
    <w:rsid w:val="00C03BB3"/>
    <w:rsid w:val="00C03BC2"/>
    <w:rsid w:val="00C03D16"/>
    <w:rsid w:val="00C03FA4"/>
    <w:rsid w:val="00C0400D"/>
    <w:rsid w:val="00C04385"/>
    <w:rsid w:val="00C0454B"/>
    <w:rsid w:val="00C04958"/>
    <w:rsid w:val="00C0499B"/>
    <w:rsid w:val="00C049BC"/>
    <w:rsid w:val="00C04A96"/>
    <w:rsid w:val="00C04D64"/>
    <w:rsid w:val="00C04DE4"/>
    <w:rsid w:val="00C04E49"/>
    <w:rsid w:val="00C05063"/>
    <w:rsid w:val="00C05082"/>
    <w:rsid w:val="00C05EAA"/>
    <w:rsid w:val="00C05FA5"/>
    <w:rsid w:val="00C06368"/>
    <w:rsid w:val="00C06756"/>
    <w:rsid w:val="00C06948"/>
    <w:rsid w:val="00C06AAA"/>
    <w:rsid w:val="00C06BAC"/>
    <w:rsid w:val="00C06C2A"/>
    <w:rsid w:val="00C07095"/>
    <w:rsid w:val="00C0711F"/>
    <w:rsid w:val="00C0721A"/>
    <w:rsid w:val="00C076AA"/>
    <w:rsid w:val="00C07AD5"/>
    <w:rsid w:val="00C07AFA"/>
    <w:rsid w:val="00C07B13"/>
    <w:rsid w:val="00C07B6B"/>
    <w:rsid w:val="00C07C94"/>
    <w:rsid w:val="00C07ED7"/>
    <w:rsid w:val="00C07FE7"/>
    <w:rsid w:val="00C07FEB"/>
    <w:rsid w:val="00C1006C"/>
    <w:rsid w:val="00C101EF"/>
    <w:rsid w:val="00C10299"/>
    <w:rsid w:val="00C102B3"/>
    <w:rsid w:val="00C10334"/>
    <w:rsid w:val="00C106B7"/>
    <w:rsid w:val="00C10922"/>
    <w:rsid w:val="00C10DE6"/>
    <w:rsid w:val="00C10E4F"/>
    <w:rsid w:val="00C11133"/>
    <w:rsid w:val="00C11344"/>
    <w:rsid w:val="00C11462"/>
    <w:rsid w:val="00C118F9"/>
    <w:rsid w:val="00C11930"/>
    <w:rsid w:val="00C11995"/>
    <w:rsid w:val="00C11AD2"/>
    <w:rsid w:val="00C11B89"/>
    <w:rsid w:val="00C11C24"/>
    <w:rsid w:val="00C11C2A"/>
    <w:rsid w:val="00C11CBC"/>
    <w:rsid w:val="00C11DA8"/>
    <w:rsid w:val="00C11F99"/>
    <w:rsid w:val="00C11FE7"/>
    <w:rsid w:val="00C121BD"/>
    <w:rsid w:val="00C124CC"/>
    <w:rsid w:val="00C12C5A"/>
    <w:rsid w:val="00C13222"/>
    <w:rsid w:val="00C13529"/>
    <w:rsid w:val="00C137EE"/>
    <w:rsid w:val="00C13DB6"/>
    <w:rsid w:val="00C13DEE"/>
    <w:rsid w:val="00C143BC"/>
    <w:rsid w:val="00C143EC"/>
    <w:rsid w:val="00C14595"/>
    <w:rsid w:val="00C1493D"/>
    <w:rsid w:val="00C14A31"/>
    <w:rsid w:val="00C14B04"/>
    <w:rsid w:val="00C14ED7"/>
    <w:rsid w:val="00C1504D"/>
    <w:rsid w:val="00C15280"/>
    <w:rsid w:val="00C15309"/>
    <w:rsid w:val="00C153D4"/>
    <w:rsid w:val="00C15562"/>
    <w:rsid w:val="00C15696"/>
    <w:rsid w:val="00C15800"/>
    <w:rsid w:val="00C1584F"/>
    <w:rsid w:val="00C15A68"/>
    <w:rsid w:val="00C15D5D"/>
    <w:rsid w:val="00C15E84"/>
    <w:rsid w:val="00C15ECD"/>
    <w:rsid w:val="00C1605B"/>
    <w:rsid w:val="00C1646F"/>
    <w:rsid w:val="00C165CB"/>
    <w:rsid w:val="00C167A3"/>
    <w:rsid w:val="00C16810"/>
    <w:rsid w:val="00C16CC7"/>
    <w:rsid w:val="00C16E8C"/>
    <w:rsid w:val="00C17610"/>
    <w:rsid w:val="00C17669"/>
    <w:rsid w:val="00C17675"/>
    <w:rsid w:val="00C17887"/>
    <w:rsid w:val="00C17AD1"/>
    <w:rsid w:val="00C17BC4"/>
    <w:rsid w:val="00C17D0D"/>
    <w:rsid w:val="00C20119"/>
    <w:rsid w:val="00C2033F"/>
    <w:rsid w:val="00C20371"/>
    <w:rsid w:val="00C207FC"/>
    <w:rsid w:val="00C2093A"/>
    <w:rsid w:val="00C209F6"/>
    <w:rsid w:val="00C20A08"/>
    <w:rsid w:val="00C20A7E"/>
    <w:rsid w:val="00C20E7C"/>
    <w:rsid w:val="00C211BC"/>
    <w:rsid w:val="00C211BE"/>
    <w:rsid w:val="00C21337"/>
    <w:rsid w:val="00C2147E"/>
    <w:rsid w:val="00C21570"/>
    <w:rsid w:val="00C216B4"/>
    <w:rsid w:val="00C216F5"/>
    <w:rsid w:val="00C21759"/>
    <w:rsid w:val="00C219AC"/>
    <w:rsid w:val="00C21CEA"/>
    <w:rsid w:val="00C21D3D"/>
    <w:rsid w:val="00C21FBB"/>
    <w:rsid w:val="00C22098"/>
    <w:rsid w:val="00C223AC"/>
    <w:rsid w:val="00C22400"/>
    <w:rsid w:val="00C22470"/>
    <w:rsid w:val="00C2276B"/>
    <w:rsid w:val="00C228C2"/>
    <w:rsid w:val="00C22966"/>
    <w:rsid w:val="00C232F2"/>
    <w:rsid w:val="00C23816"/>
    <w:rsid w:val="00C23914"/>
    <w:rsid w:val="00C23B9D"/>
    <w:rsid w:val="00C23BB5"/>
    <w:rsid w:val="00C2412E"/>
    <w:rsid w:val="00C24201"/>
    <w:rsid w:val="00C24365"/>
    <w:rsid w:val="00C2452A"/>
    <w:rsid w:val="00C24A8F"/>
    <w:rsid w:val="00C24B9D"/>
    <w:rsid w:val="00C24CA2"/>
    <w:rsid w:val="00C24D3F"/>
    <w:rsid w:val="00C24D47"/>
    <w:rsid w:val="00C24DD1"/>
    <w:rsid w:val="00C25236"/>
    <w:rsid w:val="00C2539F"/>
    <w:rsid w:val="00C254B4"/>
    <w:rsid w:val="00C25762"/>
    <w:rsid w:val="00C25837"/>
    <w:rsid w:val="00C25880"/>
    <w:rsid w:val="00C258C0"/>
    <w:rsid w:val="00C25980"/>
    <w:rsid w:val="00C259A6"/>
    <w:rsid w:val="00C259D4"/>
    <w:rsid w:val="00C25A1B"/>
    <w:rsid w:val="00C26418"/>
    <w:rsid w:val="00C26494"/>
    <w:rsid w:val="00C26C77"/>
    <w:rsid w:val="00C26C7A"/>
    <w:rsid w:val="00C26EA2"/>
    <w:rsid w:val="00C2701C"/>
    <w:rsid w:val="00C272E7"/>
    <w:rsid w:val="00C27322"/>
    <w:rsid w:val="00C2757E"/>
    <w:rsid w:val="00C277C0"/>
    <w:rsid w:val="00C278FF"/>
    <w:rsid w:val="00C27A2F"/>
    <w:rsid w:val="00C27B25"/>
    <w:rsid w:val="00C27B82"/>
    <w:rsid w:val="00C27C54"/>
    <w:rsid w:val="00C27E86"/>
    <w:rsid w:val="00C27F3A"/>
    <w:rsid w:val="00C27F61"/>
    <w:rsid w:val="00C3004F"/>
    <w:rsid w:val="00C301A5"/>
    <w:rsid w:val="00C30461"/>
    <w:rsid w:val="00C30469"/>
    <w:rsid w:val="00C306B0"/>
    <w:rsid w:val="00C307D3"/>
    <w:rsid w:val="00C30898"/>
    <w:rsid w:val="00C30B27"/>
    <w:rsid w:val="00C3107A"/>
    <w:rsid w:val="00C31FF8"/>
    <w:rsid w:val="00C32132"/>
    <w:rsid w:val="00C322FB"/>
    <w:rsid w:val="00C32827"/>
    <w:rsid w:val="00C32AEB"/>
    <w:rsid w:val="00C32B95"/>
    <w:rsid w:val="00C32D2D"/>
    <w:rsid w:val="00C32DEC"/>
    <w:rsid w:val="00C331B5"/>
    <w:rsid w:val="00C333CB"/>
    <w:rsid w:val="00C338B9"/>
    <w:rsid w:val="00C33944"/>
    <w:rsid w:val="00C33E15"/>
    <w:rsid w:val="00C343EC"/>
    <w:rsid w:val="00C344B2"/>
    <w:rsid w:val="00C34698"/>
    <w:rsid w:val="00C3473C"/>
    <w:rsid w:val="00C34A2E"/>
    <w:rsid w:val="00C34DC2"/>
    <w:rsid w:val="00C35944"/>
    <w:rsid w:val="00C359A6"/>
    <w:rsid w:val="00C35A72"/>
    <w:rsid w:val="00C35A94"/>
    <w:rsid w:val="00C35B68"/>
    <w:rsid w:val="00C35CED"/>
    <w:rsid w:val="00C35F69"/>
    <w:rsid w:val="00C360D7"/>
    <w:rsid w:val="00C3620A"/>
    <w:rsid w:val="00C3621B"/>
    <w:rsid w:val="00C36242"/>
    <w:rsid w:val="00C363C9"/>
    <w:rsid w:val="00C36639"/>
    <w:rsid w:val="00C3663F"/>
    <w:rsid w:val="00C367DC"/>
    <w:rsid w:val="00C36E83"/>
    <w:rsid w:val="00C36F05"/>
    <w:rsid w:val="00C36F10"/>
    <w:rsid w:val="00C3718A"/>
    <w:rsid w:val="00C371D1"/>
    <w:rsid w:val="00C373DF"/>
    <w:rsid w:val="00C3755D"/>
    <w:rsid w:val="00C377C4"/>
    <w:rsid w:val="00C379B3"/>
    <w:rsid w:val="00C37AC6"/>
    <w:rsid w:val="00C37EE3"/>
    <w:rsid w:val="00C37EE4"/>
    <w:rsid w:val="00C37F2C"/>
    <w:rsid w:val="00C37FF1"/>
    <w:rsid w:val="00C403F0"/>
    <w:rsid w:val="00C4048D"/>
    <w:rsid w:val="00C40528"/>
    <w:rsid w:val="00C40594"/>
    <w:rsid w:val="00C405D9"/>
    <w:rsid w:val="00C4091A"/>
    <w:rsid w:val="00C409E7"/>
    <w:rsid w:val="00C40FBF"/>
    <w:rsid w:val="00C412FF"/>
    <w:rsid w:val="00C4165C"/>
    <w:rsid w:val="00C416C2"/>
    <w:rsid w:val="00C416FE"/>
    <w:rsid w:val="00C41770"/>
    <w:rsid w:val="00C419C0"/>
    <w:rsid w:val="00C41A7B"/>
    <w:rsid w:val="00C41E8A"/>
    <w:rsid w:val="00C41ED8"/>
    <w:rsid w:val="00C42103"/>
    <w:rsid w:val="00C42130"/>
    <w:rsid w:val="00C42266"/>
    <w:rsid w:val="00C4244C"/>
    <w:rsid w:val="00C425E3"/>
    <w:rsid w:val="00C42708"/>
    <w:rsid w:val="00C42C82"/>
    <w:rsid w:val="00C42C88"/>
    <w:rsid w:val="00C42CE4"/>
    <w:rsid w:val="00C42D68"/>
    <w:rsid w:val="00C42DF1"/>
    <w:rsid w:val="00C42EA4"/>
    <w:rsid w:val="00C43059"/>
    <w:rsid w:val="00C4356A"/>
    <w:rsid w:val="00C4368E"/>
    <w:rsid w:val="00C43758"/>
    <w:rsid w:val="00C43860"/>
    <w:rsid w:val="00C439AE"/>
    <w:rsid w:val="00C43A4C"/>
    <w:rsid w:val="00C43B09"/>
    <w:rsid w:val="00C43BC7"/>
    <w:rsid w:val="00C43FD4"/>
    <w:rsid w:val="00C440C5"/>
    <w:rsid w:val="00C4436B"/>
    <w:rsid w:val="00C4449E"/>
    <w:rsid w:val="00C44516"/>
    <w:rsid w:val="00C445F6"/>
    <w:rsid w:val="00C44793"/>
    <w:rsid w:val="00C448ED"/>
    <w:rsid w:val="00C449D0"/>
    <w:rsid w:val="00C44B5A"/>
    <w:rsid w:val="00C44B71"/>
    <w:rsid w:val="00C44C8E"/>
    <w:rsid w:val="00C44D8F"/>
    <w:rsid w:val="00C44EFC"/>
    <w:rsid w:val="00C45162"/>
    <w:rsid w:val="00C4542F"/>
    <w:rsid w:val="00C45569"/>
    <w:rsid w:val="00C458E4"/>
    <w:rsid w:val="00C45B31"/>
    <w:rsid w:val="00C45C29"/>
    <w:rsid w:val="00C45CEF"/>
    <w:rsid w:val="00C45CF6"/>
    <w:rsid w:val="00C4606D"/>
    <w:rsid w:val="00C462E3"/>
    <w:rsid w:val="00C46373"/>
    <w:rsid w:val="00C467E9"/>
    <w:rsid w:val="00C4685E"/>
    <w:rsid w:val="00C46AF2"/>
    <w:rsid w:val="00C47479"/>
    <w:rsid w:val="00C474EF"/>
    <w:rsid w:val="00C4755C"/>
    <w:rsid w:val="00C4789F"/>
    <w:rsid w:val="00C47973"/>
    <w:rsid w:val="00C479BC"/>
    <w:rsid w:val="00C47A24"/>
    <w:rsid w:val="00C47CC0"/>
    <w:rsid w:val="00C47DBB"/>
    <w:rsid w:val="00C47F5B"/>
    <w:rsid w:val="00C50024"/>
    <w:rsid w:val="00C50509"/>
    <w:rsid w:val="00C50641"/>
    <w:rsid w:val="00C5077B"/>
    <w:rsid w:val="00C50A66"/>
    <w:rsid w:val="00C50A8A"/>
    <w:rsid w:val="00C50D31"/>
    <w:rsid w:val="00C50D3B"/>
    <w:rsid w:val="00C514EE"/>
    <w:rsid w:val="00C51798"/>
    <w:rsid w:val="00C518DC"/>
    <w:rsid w:val="00C51B03"/>
    <w:rsid w:val="00C51BB9"/>
    <w:rsid w:val="00C51D8D"/>
    <w:rsid w:val="00C51EC7"/>
    <w:rsid w:val="00C51FCE"/>
    <w:rsid w:val="00C52032"/>
    <w:rsid w:val="00C520DB"/>
    <w:rsid w:val="00C52299"/>
    <w:rsid w:val="00C52334"/>
    <w:rsid w:val="00C524DF"/>
    <w:rsid w:val="00C52671"/>
    <w:rsid w:val="00C52D5D"/>
    <w:rsid w:val="00C52E0F"/>
    <w:rsid w:val="00C535BE"/>
    <w:rsid w:val="00C535FF"/>
    <w:rsid w:val="00C53A45"/>
    <w:rsid w:val="00C53C45"/>
    <w:rsid w:val="00C53C9E"/>
    <w:rsid w:val="00C53CE5"/>
    <w:rsid w:val="00C53DBE"/>
    <w:rsid w:val="00C53FDC"/>
    <w:rsid w:val="00C543DD"/>
    <w:rsid w:val="00C54473"/>
    <w:rsid w:val="00C54485"/>
    <w:rsid w:val="00C5480F"/>
    <w:rsid w:val="00C54889"/>
    <w:rsid w:val="00C54A4D"/>
    <w:rsid w:val="00C54B60"/>
    <w:rsid w:val="00C54D27"/>
    <w:rsid w:val="00C54D7C"/>
    <w:rsid w:val="00C54DD1"/>
    <w:rsid w:val="00C550CA"/>
    <w:rsid w:val="00C5513B"/>
    <w:rsid w:val="00C551C9"/>
    <w:rsid w:val="00C552AB"/>
    <w:rsid w:val="00C5574D"/>
    <w:rsid w:val="00C55B29"/>
    <w:rsid w:val="00C55B94"/>
    <w:rsid w:val="00C55D76"/>
    <w:rsid w:val="00C55FFF"/>
    <w:rsid w:val="00C5607D"/>
    <w:rsid w:val="00C564E3"/>
    <w:rsid w:val="00C564FC"/>
    <w:rsid w:val="00C56670"/>
    <w:rsid w:val="00C56674"/>
    <w:rsid w:val="00C5686B"/>
    <w:rsid w:val="00C56AB6"/>
    <w:rsid w:val="00C56C31"/>
    <w:rsid w:val="00C56DBD"/>
    <w:rsid w:val="00C56EFE"/>
    <w:rsid w:val="00C57049"/>
    <w:rsid w:val="00C57097"/>
    <w:rsid w:val="00C57260"/>
    <w:rsid w:val="00C57339"/>
    <w:rsid w:val="00C573C4"/>
    <w:rsid w:val="00C57606"/>
    <w:rsid w:val="00C57777"/>
    <w:rsid w:val="00C57869"/>
    <w:rsid w:val="00C5787F"/>
    <w:rsid w:val="00C57929"/>
    <w:rsid w:val="00C57BBF"/>
    <w:rsid w:val="00C57CC6"/>
    <w:rsid w:val="00C57D44"/>
    <w:rsid w:val="00C57D49"/>
    <w:rsid w:val="00C57E88"/>
    <w:rsid w:val="00C57FA4"/>
    <w:rsid w:val="00C600E1"/>
    <w:rsid w:val="00C6023D"/>
    <w:rsid w:val="00C60928"/>
    <w:rsid w:val="00C60C41"/>
    <w:rsid w:val="00C60DC9"/>
    <w:rsid w:val="00C612DA"/>
    <w:rsid w:val="00C6154B"/>
    <w:rsid w:val="00C615C1"/>
    <w:rsid w:val="00C617B4"/>
    <w:rsid w:val="00C617E1"/>
    <w:rsid w:val="00C6193A"/>
    <w:rsid w:val="00C61A09"/>
    <w:rsid w:val="00C61D14"/>
    <w:rsid w:val="00C621A0"/>
    <w:rsid w:val="00C6220A"/>
    <w:rsid w:val="00C62409"/>
    <w:rsid w:val="00C624CE"/>
    <w:rsid w:val="00C62514"/>
    <w:rsid w:val="00C62516"/>
    <w:rsid w:val="00C62641"/>
    <w:rsid w:val="00C62766"/>
    <w:rsid w:val="00C628A0"/>
    <w:rsid w:val="00C62BEF"/>
    <w:rsid w:val="00C62CDC"/>
    <w:rsid w:val="00C62EC3"/>
    <w:rsid w:val="00C63163"/>
    <w:rsid w:val="00C6353E"/>
    <w:rsid w:val="00C635AA"/>
    <w:rsid w:val="00C6365C"/>
    <w:rsid w:val="00C63AA9"/>
    <w:rsid w:val="00C63BD3"/>
    <w:rsid w:val="00C63CD1"/>
    <w:rsid w:val="00C63D39"/>
    <w:rsid w:val="00C64041"/>
    <w:rsid w:val="00C64048"/>
    <w:rsid w:val="00C64253"/>
    <w:rsid w:val="00C64270"/>
    <w:rsid w:val="00C642F0"/>
    <w:rsid w:val="00C64430"/>
    <w:rsid w:val="00C64666"/>
    <w:rsid w:val="00C6472C"/>
    <w:rsid w:val="00C64AF5"/>
    <w:rsid w:val="00C64DCB"/>
    <w:rsid w:val="00C64E30"/>
    <w:rsid w:val="00C64F85"/>
    <w:rsid w:val="00C64FCF"/>
    <w:rsid w:val="00C64FD3"/>
    <w:rsid w:val="00C651BC"/>
    <w:rsid w:val="00C65476"/>
    <w:rsid w:val="00C65805"/>
    <w:rsid w:val="00C65814"/>
    <w:rsid w:val="00C65D23"/>
    <w:rsid w:val="00C65D6A"/>
    <w:rsid w:val="00C66064"/>
    <w:rsid w:val="00C66221"/>
    <w:rsid w:val="00C662A3"/>
    <w:rsid w:val="00C662DF"/>
    <w:rsid w:val="00C66509"/>
    <w:rsid w:val="00C665FF"/>
    <w:rsid w:val="00C66652"/>
    <w:rsid w:val="00C667D9"/>
    <w:rsid w:val="00C66818"/>
    <w:rsid w:val="00C66939"/>
    <w:rsid w:val="00C66AEF"/>
    <w:rsid w:val="00C66CFB"/>
    <w:rsid w:val="00C67006"/>
    <w:rsid w:val="00C67059"/>
    <w:rsid w:val="00C67170"/>
    <w:rsid w:val="00C67211"/>
    <w:rsid w:val="00C67228"/>
    <w:rsid w:val="00C6726C"/>
    <w:rsid w:val="00C672A3"/>
    <w:rsid w:val="00C672CF"/>
    <w:rsid w:val="00C67306"/>
    <w:rsid w:val="00C67415"/>
    <w:rsid w:val="00C67535"/>
    <w:rsid w:val="00C67965"/>
    <w:rsid w:val="00C67B81"/>
    <w:rsid w:val="00C67EAF"/>
    <w:rsid w:val="00C70046"/>
    <w:rsid w:val="00C704FB"/>
    <w:rsid w:val="00C70D02"/>
    <w:rsid w:val="00C70DAF"/>
    <w:rsid w:val="00C70EA8"/>
    <w:rsid w:val="00C711C3"/>
    <w:rsid w:val="00C71288"/>
    <w:rsid w:val="00C713DF"/>
    <w:rsid w:val="00C7153E"/>
    <w:rsid w:val="00C7164E"/>
    <w:rsid w:val="00C717A3"/>
    <w:rsid w:val="00C71B1D"/>
    <w:rsid w:val="00C71BA5"/>
    <w:rsid w:val="00C71BF5"/>
    <w:rsid w:val="00C71CBA"/>
    <w:rsid w:val="00C71E03"/>
    <w:rsid w:val="00C7211F"/>
    <w:rsid w:val="00C72437"/>
    <w:rsid w:val="00C727D0"/>
    <w:rsid w:val="00C72848"/>
    <w:rsid w:val="00C73046"/>
    <w:rsid w:val="00C731C1"/>
    <w:rsid w:val="00C737DB"/>
    <w:rsid w:val="00C73828"/>
    <w:rsid w:val="00C73883"/>
    <w:rsid w:val="00C738DE"/>
    <w:rsid w:val="00C73D0C"/>
    <w:rsid w:val="00C73D6B"/>
    <w:rsid w:val="00C74143"/>
    <w:rsid w:val="00C74347"/>
    <w:rsid w:val="00C74411"/>
    <w:rsid w:val="00C74493"/>
    <w:rsid w:val="00C74931"/>
    <w:rsid w:val="00C749B8"/>
    <w:rsid w:val="00C74B2B"/>
    <w:rsid w:val="00C74C15"/>
    <w:rsid w:val="00C74E1F"/>
    <w:rsid w:val="00C74E22"/>
    <w:rsid w:val="00C750E9"/>
    <w:rsid w:val="00C75131"/>
    <w:rsid w:val="00C75245"/>
    <w:rsid w:val="00C75350"/>
    <w:rsid w:val="00C7556C"/>
    <w:rsid w:val="00C75623"/>
    <w:rsid w:val="00C75CF4"/>
    <w:rsid w:val="00C75F31"/>
    <w:rsid w:val="00C7621E"/>
    <w:rsid w:val="00C764A6"/>
    <w:rsid w:val="00C766C1"/>
    <w:rsid w:val="00C76C1D"/>
    <w:rsid w:val="00C76C56"/>
    <w:rsid w:val="00C76C9D"/>
    <w:rsid w:val="00C76DAD"/>
    <w:rsid w:val="00C76E09"/>
    <w:rsid w:val="00C76E3C"/>
    <w:rsid w:val="00C76F7C"/>
    <w:rsid w:val="00C76FA2"/>
    <w:rsid w:val="00C77011"/>
    <w:rsid w:val="00C7719C"/>
    <w:rsid w:val="00C772C7"/>
    <w:rsid w:val="00C77306"/>
    <w:rsid w:val="00C77477"/>
    <w:rsid w:val="00C77934"/>
    <w:rsid w:val="00C779D2"/>
    <w:rsid w:val="00C779F1"/>
    <w:rsid w:val="00C77A35"/>
    <w:rsid w:val="00C77DF8"/>
    <w:rsid w:val="00C77E0C"/>
    <w:rsid w:val="00C77FF8"/>
    <w:rsid w:val="00C8009C"/>
    <w:rsid w:val="00C80457"/>
    <w:rsid w:val="00C804A7"/>
    <w:rsid w:val="00C804E6"/>
    <w:rsid w:val="00C807E7"/>
    <w:rsid w:val="00C80894"/>
    <w:rsid w:val="00C80B5A"/>
    <w:rsid w:val="00C80BF2"/>
    <w:rsid w:val="00C80C04"/>
    <w:rsid w:val="00C80DDC"/>
    <w:rsid w:val="00C81249"/>
    <w:rsid w:val="00C81552"/>
    <w:rsid w:val="00C8183D"/>
    <w:rsid w:val="00C81B07"/>
    <w:rsid w:val="00C81B0B"/>
    <w:rsid w:val="00C81B24"/>
    <w:rsid w:val="00C8278C"/>
    <w:rsid w:val="00C82801"/>
    <w:rsid w:val="00C82A3E"/>
    <w:rsid w:val="00C82A64"/>
    <w:rsid w:val="00C82C93"/>
    <w:rsid w:val="00C82E14"/>
    <w:rsid w:val="00C82FB0"/>
    <w:rsid w:val="00C83059"/>
    <w:rsid w:val="00C83318"/>
    <w:rsid w:val="00C83500"/>
    <w:rsid w:val="00C835B0"/>
    <w:rsid w:val="00C83A13"/>
    <w:rsid w:val="00C83CC2"/>
    <w:rsid w:val="00C84098"/>
    <w:rsid w:val="00C843D4"/>
    <w:rsid w:val="00C84453"/>
    <w:rsid w:val="00C845CA"/>
    <w:rsid w:val="00C845FE"/>
    <w:rsid w:val="00C84664"/>
    <w:rsid w:val="00C847E9"/>
    <w:rsid w:val="00C848FA"/>
    <w:rsid w:val="00C84B35"/>
    <w:rsid w:val="00C84F40"/>
    <w:rsid w:val="00C8508B"/>
    <w:rsid w:val="00C850E6"/>
    <w:rsid w:val="00C854A3"/>
    <w:rsid w:val="00C856A9"/>
    <w:rsid w:val="00C85958"/>
    <w:rsid w:val="00C85ABF"/>
    <w:rsid w:val="00C85CFB"/>
    <w:rsid w:val="00C85EC6"/>
    <w:rsid w:val="00C86015"/>
    <w:rsid w:val="00C860E8"/>
    <w:rsid w:val="00C86267"/>
    <w:rsid w:val="00C862C7"/>
    <w:rsid w:val="00C86316"/>
    <w:rsid w:val="00C865B5"/>
    <w:rsid w:val="00C86A70"/>
    <w:rsid w:val="00C86B22"/>
    <w:rsid w:val="00C86BA5"/>
    <w:rsid w:val="00C87269"/>
    <w:rsid w:val="00C8736C"/>
    <w:rsid w:val="00C874A6"/>
    <w:rsid w:val="00C876B3"/>
    <w:rsid w:val="00C87A63"/>
    <w:rsid w:val="00C87CF4"/>
    <w:rsid w:val="00C87D36"/>
    <w:rsid w:val="00C87E58"/>
    <w:rsid w:val="00C8CC7B"/>
    <w:rsid w:val="00C901D7"/>
    <w:rsid w:val="00C902A2"/>
    <w:rsid w:val="00C903C5"/>
    <w:rsid w:val="00C9043E"/>
    <w:rsid w:val="00C90A43"/>
    <w:rsid w:val="00C90BCD"/>
    <w:rsid w:val="00C90F31"/>
    <w:rsid w:val="00C9129B"/>
    <w:rsid w:val="00C91407"/>
    <w:rsid w:val="00C9142C"/>
    <w:rsid w:val="00C9144B"/>
    <w:rsid w:val="00C915B7"/>
    <w:rsid w:val="00C916B6"/>
    <w:rsid w:val="00C91B72"/>
    <w:rsid w:val="00C91BC3"/>
    <w:rsid w:val="00C91CC8"/>
    <w:rsid w:val="00C91D42"/>
    <w:rsid w:val="00C91D60"/>
    <w:rsid w:val="00C91E08"/>
    <w:rsid w:val="00C9207B"/>
    <w:rsid w:val="00C92288"/>
    <w:rsid w:val="00C923BE"/>
    <w:rsid w:val="00C9272C"/>
    <w:rsid w:val="00C92AFE"/>
    <w:rsid w:val="00C92CB6"/>
    <w:rsid w:val="00C92D35"/>
    <w:rsid w:val="00C930BB"/>
    <w:rsid w:val="00C93342"/>
    <w:rsid w:val="00C93347"/>
    <w:rsid w:val="00C9344A"/>
    <w:rsid w:val="00C939B7"/>
    <w:rsid w:val="00C939EE"/>
    <w:rsid w:val="00C93A1E"/>
    <w:rsid w:val="00C93AF7"/>
    <w:rsid w:val="00C93C6D"/>
    <w:rsid w:val="00C93DC7"/>
    <w:rsid w:val="00C93DD8"/>
    <w:rsid w:val="00C93E60"/>
    <w:rsid w:val="00C93E83"/>
    <w:rsid w:val="00C94170"/>
    <w:rsid w:val="00C941FA"/>
    <w:rsid w:val="00C943EF"/>
    <w:rsid w:val="00C94E60"/>
    <w:rsid w:val="00C9540D"/>
    <w:rsid w:val="00C956DC"/>
    <w:rsid w:val="00C9593A"/>
    <w:rsid w:val="00C95A71"/>
    <w:rsid w:val="00C95BC2"/>
    <w:rsid w:val="00C95F1A"/>
    <w:rsid w:val="00C95FAB"/>
    <w:rsid w:val="00C96289"/>
    <w:rsid w:val="00C963CA"/>
    <w:rsid w:val="00C96431"/>
    <w:rsid w:val="00C96444"/>
    <w:rsid w:val="00C967EA"/>
    <w:rsid w:val="00C96974"/>
    <w:rsid w:val="00C96A1C"/>
    <w:rsid w:val="00C96A93"/>
    <w:rsid w:val="00C96C96"/>
    <w:rsid w:val="00C96CA9"/>
    <w:rsid w:val="00C970AD"/>
    <w:rsid w:val="00C970F1"/>
    <w:rsid w:val="00C9720E"/>
    <w:rsid w:val="00C97564"/>
    <w:rsid w:val="00C9778A"/>
    <w:rsid w:val="00C97AFF"/>
    <w:rsid w:val="00C97B47"/>
    <w:rsid w:val="00C97BD5"/>
    <w:rsid w:val="00CA01E7"/>
    <w:rsid w:val="00CA020D"/>
    <w:rsid w:val="00CA0351"/>
    <w:rsid w:val="00CA0E3C"/>
    <w:rsid w:val="00CA0E6D"/>
    <w:rsid w:val="00CA11DF"/>
    <w:rsid w:val="00CA19E9"/>
    <w:rsid w:val="00CA1A66"/>
    <w:rsid w:val="00CA1AD2"/>
    <w:rsid w:val="00CA1C5C"/>
    <w:rsid w:val="00CA1F4E"/>
    <w:rsid w:val="00CA20A2"/>
    <w:rsid w:val="00CA22E2"/>
    <w:rsid w:val="00CA2792"/>
    <w:rsid w:val="00CA27F3"/>
    <w:rsid w:val="00CA29B2"/>
    <w:rsid w:val="00CA2DA5"/>
    <w:rsid w:val="00CA2E14"/>
    <w:rsid w:val="00CA2EAF"/>
    <w:rsid w:val="00CA3005"/>
    <w:rsid w:val="00CA36C2"/>
    <w:rsid w:val="00CA3771"/>
    <w:rsid w:val="00CA37D9"/>
    <w:rsid w:val="00CA3F5D"/>
    <w:rsid w:val="00CA40B0"/>
    <w:rsid w:val="00CA4417"/>
    <w:rsid w:val="00CA44A2"/>
    <w:rsid w:val="00CA458B"/>
    <w:rsid w:val="00CA4733"/>
    <w:rsid w:val="00CA4A10"/>
    <w:rsid w:val="00CA4B91"/>
    <w:rsid w:val="00CA4BDD"/>
    <w:rsid w:val="00CA4D00"/>
    <w:rsid w:val="00CA525C"/>
    <w:rsid w:val="00CA5342"/>
    <w:rsid w:val="00CA5549"/>
    <w:rsid w:val="00CA5573"/>
    <w:rsid w:val="00CA57C9"/>
    <w:rsid w:val="00CA58C0"/>
    <w:rsid w:val="00CA5C2D"/>
    <w:rsid w:val="00CA5E2D"/>
    <w:rsid w:val="00CA60E2"/>
    <w:rsid w:val="00CA61AF"/>
    <w:rsid w:val="00CA61F8"/>
    <w:rsid w:val="00CA67D8"/>
    <w:rsid w:val="00CA68CE"/>
    <w:rsid w:val="00CA69DC"/>
    <w:rsid w:val="00CA6BA8"/>
    <w:rsid w:val="00CA6E49"/>
    <w:rsid w:val="00CA6EF1"/>
    <w:rsid w:val="00CA6EF6"/>
    <w:rsid w:val="00CA7050"/>
    <w:rsid w:val="00CA70BD"/>
    <w:rsid w:val="00CA719E"/>
    <w:rsid w:val="00CA74C6"/>
    <w:rsid w:val="00CA75F8"/>
    <w:rsid w:val="00CA7E4E"/>
    <w:rsid w:val="00CA7E53"/>
    <w:rsid w:val="00CA7E8E"/>
    <w:rsid w:val="00CB00C1"/>
    <w:rsid w:val="00CB045F"/>
    <w:rsid w:val="00CB04CD"/>
    <w:rsid w:val="00CB050A"/>
    <w:rsid w:val="00CB052E"/>
    <w:rsid w:val="00CB097D"/>
    <w:rsid w:val="00CB0A3E"/>
    <w:rsid w:val="00CB0AB7"/>
    <w:rsid w:val="00CB0B18"/>
    <w:rsid w:val="00CB0F2F"/>
    <w:rsid w:val="00CB1067"/>
    <w:rsid w:val="00CB125C"/>
    <w:rsid w:val="00CB12B4"/>
    <w:rsid w:val="00CB1A0F"/>
    <w:rsid w:val="00CB1B38"/>
    <w:rsid w:val="00CB1CF2"/>
    <w:rsid w:val="00CB2310"/>
    <w:rsid w:val="00CB2359"/>
    <w:rsid w:val="00CB2406"/>
    <w:rsid w:val="00CB25C9"/>
    <w:rsid w:val="00CB2712"/>
    <w:rsid w:val="00CB2752"/>
    <w:rsid w:val="00CB2C37"/>
    <w:rsid w:val="00CB2EA4"/>
    <w:rsid w:val="00CB30A1"/>
    <w:rsid w:val="00CB31ED"/>
    <w:rsid w:val="00CB36DD"/>
    <w:rsid w:val="00CB3C01"/>
    <w:rsid w:val="00CB3D2D"/>
    <w:rsid w:val="00CB3DDE"/>
    <w:rsid w:val="00CB4350"/>
    <w:rsid w:val="00CB45D1"/>
    <w:rsid w:val="00CB461C"/>
    <w:rsid w:val="00CB476B"/>
    <w:rsid w:val="00CB48AC"/>
    <w:rsid w:val="00CB508C"/>
    <w:rsid w:val="00CB50C0"/>
    <w:rsid w:val="00CB512E"/>
    <w:rsid w:val="00CB51A0"/>
    <w:rsid w:val="00CB52CE"/>
    <w:rsid w:val="00CB559D"/>
    <w:rsid w:val="00CB559E"/>
    <w:rsid w:val="00CB5672"/>
    <w:rsid w:val="00CB5804"/>
    <w:rsid w:val="00CB5B49"/>
    <w:rsid w:val="00CB6024"/>
    <w:rsid w:val="00CB6183"/>
    <w:rsid w:val="00CB6229"/>
    <w:rsid w:val="00CB64CC"/>
    <w:rsid w:val="00CB64DF"/>
    <w:rsid w:val="00CB655C"/>
    <w:rsid w:val="00CB6679"/>
    <w:rsid w:val="00CB6819"/>
    <w:rsid w:val="00CB69DF"/>
    <w:rsid w:val="00CB6AFE"/>
    <w:rsid w:val="00CB6BAF"/>
    <w:rsid w:val="00CB6C2B"/>
    <w:rsid w:val="00CB6D8D"/>
    <w:rsid w:val="00CB6DE8"/>
    <w:rsid w:val="00CB70D6"/>
    <w:rsid w:val="00CB731C"/>
    <w:rsid w:val="00CB73A8"/>
    <w:rsid w:val="00CB77E1"/>
    <w:rsid w:val="00CB78B0"/>
    <w:rsid w:val="00CB79D7"/>
    <w:rsid w:val="00CB7B6F"/>
    <w:rsid w:val="00CB7D91"/>
    <w:rsid w:val="00CB7ED9"/>
    <w:rsid w:val="00CB7F93"/>
    <w:rsid w:val="00CC02C5"/>
    <w:rsid w:val="00CC048C"/>
    <w:rsid w:val="00CC04EE"/>
    <w:rsid w:val="00CC04F4"/>
    <w:rsid w:val="00CC0763"/>
    <w:rsid w:val="00CC0B01"/>
    <w:rsid w:val="00CC0B0E"/>
    <w:rsid w:val="00CC0C53"/>
    <w:rsid w:val="00CC0C77"/>
    <w:rsid w:val="00CC0FAD"/>
    <w:rsid w:val="00CC10EC"/>
    <w:rsid w:val="00CC1524"/>
    <w:rsid w:val="00CC1584"/>
    <w:rsid w:val="00CC1813"/>
    <w:rsid w:val="00CC19ED"/>
    <w:rsid w:val="00CC1A01"/>
    <w:rsid w:val="00CC1D18"/>
    <w:rsid w:val="00CC1ECE"/>
    <w:rsid w:val="00CC20D0"/>
    <w:rsid w:val="00CC2227"/>
    <w:rsid w:val="00CC232C"/>
    <w:rsid w:val="00CC25A3"/>
    <w:rsid w:val="00CC26D8"/>
    <w:rsid w:val="00CC2721"/>
    <w:rsid w:val="00CC27CB"/>
    <w:rsid w:val="00CC2834"/>
    <w:rsid w:val="00CC2845"/>
    <w:rsid w:val="00CC2921"/>
    <w:rsid w:val="00CC2B01"/>
    <w:rsid w:val="00CC2D35"/>
    <w:rsid w:val="00CC2E1D"/>
    <w:rsid w:val="00CC2E42"/>
    <w:rsid w:val="00CC2EA2"/>
    <w:rsid w:val="00CC312B"/>
    <w:rsid w:val="00CC347F"/>
    <w:rsid w:val="00CC38CF"/>
    <w:rsid w:val="00CC3B66"/>
    <w:rsid w:val="00CC3F3E"/>
    <w:rsid w:val="00CC3F86"/>
    <w:rsid w:val="00CC4207"/>
    <w:rsid w:val="00CC45DE"/>
    <w:rsid w:val="00CC4650"/>
    <w:rsid w:val="00CC476A"/>
    <w:rsid w:val="00CC49D0"/>
    <w:rsid w:val="00CC4BAD"/>
    <w:rsid w:val="00CC4D5A"/>
    <w:rsid w:val="00CC4D70"/>
    <w:rsid w:val="00CC4FB6"/>
    <w:rsid w:val="00CC51AA"/>
    <w:rsid w:val="00CC54DE"/>
    <w:rsid w:val="00CC5539"/>
    <w:rsid w:val="00CC5568"/>
    <w:rsid w:val="00CC557A"/>
    <w:rsid w:val="00CC5968"/>
    <w:rsid w:val="00CC5C37"/>
    <w:rsid w:val="00CC5C70"/>
    <w:rsid w:val="00CC5E3F"/>
    <w:rsid w:val="00CC5FE5"/>
    <w:rsid w:val="00CC6335"/>
    <w:rsid w:val="00CC6429"/>
    <w:rsid w:val="00CC6702"/>
    <w:rsid w:val="00CC6899"/>
    <w:rsid w:val="00CC6B05"/>
    <w:rsid w:val="00CC6BB8"/>
    <w:rsid w:val="00CC6BC3"/>
    <w:rsid w:val="00CC6C3B"/>
    <w:rsid w:val="00CC6CDE"/>
    <w:rsid w:val="00CC7065"/>
    <w:rsid w:val="00CC73CA"/>
    <w:rsid w:val="00CC7469"/>
    <w:rsid w:val="00CC7473"/>
    <w:rsid w:val="00CC79FC"/>
    <w:rsid w:val="00CC7AEF"/>
    <w:rsid w:val="00CC7B9E"/>
    <w:rsid w:val="00CC7C36"/>
    <w:rsid w:val="00CC7CB1"/>
    <w:rsid w:val="00CC7DF4"/>
    <w:rsid w:val="00CC7DFD"/>
    <w:rsid w:val="00CC7E56"/>
    <w:rsid w:val="00CC7E65"/>
    <w:rsid w:val="00CD0015"/>
    <w:rsid w:val="00CD0431"/>
    <w:rsid w:val="00CD0512"/>
    <w:rsid w:val="00CD066D"/>
    <w:rsid w:val="00CD06CB"/>
    <w:rsid w:val="00CD0799"/>
    <w:rsid w:val="00CD08FD"/>
    <w:rsid w:val="00CD0C8E"/>
    <w:rsid w:val="00CD0D43"/>
    <w:rsid w:val="00CD1065"/>
    <w:rsid w:val="00CD123E"/>
    <w:rsid w:val="00CD1356"/>
    <w:rsid w:val="00CD1565"/>
    <w:rsid w:val="00CD17C2"/>
    <w:rsid w:val="00CD1869"/>
    <w:rsid w:val="00CD18FC"/>
    <w:rsid w:val="00CD19A0"/>
    <w:rsid w:val="00CD1E38"/>
    <w:rsid w:val="00CD1F91"/>
    <w:rsid w:val="00CD1FA8"/>
    <w:rsid w:val="00CD226B"/>
    <w:rsid w:val="00CD2767"/>
    <w:rsid w:val="00CD290D"/>
    <w:rsid w:val="00CD2B12"/>
    <w:rsid w:val="00CD2B8A"/>
    <w:rsid w:val="00CD2B94"/>
    <w:rsid w:val="00CD2CE4"/>
    <w:rsid w:val="00CD2E1D"/>
    <w:rsid w:val="00CD34D1"/>
    <w:rsid w:val="00CD35EA"/>
    <w:rsid w:val="00CD37E0"/>
    <w:rsid w:val="00CD3B3F"/>
    <w:rsid w:val="00CD3C8B"/>
    <w:rsid w:val="00CD437E"/>
    <w:rsid w:val="00CD43D9"/>
    <w:rsid w:val="00CD4897"/>
    <w:rsid w:val="00CD49E8"/>
    <w:rsid w:val="00CD4D4F"/>
    <w:rsid w:val="00CD4F6F"/>
    <w:rsid w:val="00CD51AD"/>
    <w:rsid w:val="00CD54DB"/>
    <w:rsid w:val="00CD5581"/>
    <w:rsid w:val="00CD5970"/>
    <w:rsid w:val="00CD5A99"/>
    <w:rsid w:val="00CD5BCF"/>
    <w:rsid w:val="00CD5D10"/>
    <w:rsid w:val="00CD5D53"/>
    <w:rsid w:val="00CD6057"/>
    <w:rsid w:val="00CD6068"/>
    <w:rsid w:val="00CD6164"/>
    <w:rsid w:val="00CD628C"/>
    <w:rsid w:val="00CD64DD"/>
    <w:rsid w:val="00CD64E7"/>
    <w:rsid w:val="00CD64F4"/>
    <w:rsid w:val="00CD654C"/>
    <w:rsid w:val="00CD6944"/>
    <w:rsid w:val="00CD69A6"/>
    <w:rsid w:val="00CD69C9"/>
    <w:rsid w:val="00CD6ACF"/>
    <w:rsid w:val="00CD710A"/>
    <w:rsid w:val="00CD7371"/>
    <w:rsid w:val="00CD74CB"/>
    <w:rsid w:val="00CD7517"/>
    <w:rsid w:val="00CD75FC"/>
    <w:rsid w:val="00CD7F68"/>
    <w:rsid w:val="00CE00E0"/>
    <w:rsid w:val="00CE02B0"/>
    <w:rsid w:val="00CE047D"/>
    <w:rsid w:val="00CE051B"/>
    <w:rsid w:val="00CE0752"/>
    <w:rsid w:val="00CE0962"/>
    <w:rsid w:val="00CE0AB8"/>
    <w:rsid w:val="00CE0ACD"/>
    <w:rsid w:val="00CE12E3"/>
    <w:rsid w:val="00CE15FE"/>
    <w:rsid w:val="00CE172D"/>
    <w:rsid w:val="00CE17AE"/>
    <w:rsid w:val="00CE1D2E"/>
    <w:rsid w:val="00CE1EEF"/>
    <w:rsid w:val="00CE1F80"/>
    <w:rsid w:val="00CE1F9C"/>
    <w:rsid w:val="00CE1FF1"/>
    <w:rsid w:val="00CE2221"/>
    <w:rsid w:val="00CE2265"/>
    <w:rsid w:val="00CE2311"/>
    <w:rsid w:val="00CE254E"/>
    <w:rsid w:val="00CE2BFC"/>
    <w:rsid w:val="00CE2D03"/>
    <w:rsid w:val="00CE2F01"/>
    <w:rsid w:val="00CE3520"/>
    <w:rsid w:val="00CE364A"/>
    <w:rsid w:val="00CE371F"/>
    <w:rsid w:val="00CE3B80"/>
    <w:rsid w:val="00CE3BC6"/>
    <w:rsid w:val="00CE3D8A"/>
    <w:rsid w:val="00CE437F"/>
    <w:rsid w:val="00CE442B"/>
    <w:rsid w:val="00CE459E"/>
    <w:rsid w:val="00CE4BCF"/>
    <w:rsid w:val="00CE4DD1"/>
    <w:rsid w:val="00CE5062"/>
    <w:rsid w:val="00CE512D"/>
    <w:rsid w:val="00CE53FF"/>
    <w:rsid w:val="00CE5655"/>
    <w:rsid w:val="00CE5952"/>
    <w:rsid w:val="00CE5BEB"/>
    <w:rsid w:val="00CE5C81"/>
    <w:rsid w:val="00CE6058"/>
    <w:rsid w:val="00CE61B7"/>
    <w:rsid w:val="00CE64AF"/>
    <w:rsid w:val="00CE6553"/>
    <w:rsid w:val="00CE65B9"/>
    <w:rsid w:val="00CE661A"/>
    <w:rsid w:val="00CE69F6"/>
    <w:rsid w:val="00CE69F7"/>
    <w:rsid w:val="00CE6E88"/>
    <w:rsid w:val="00CE6EBD"/>
    <w:rsid w:val="00CE717B"/>
    <w:rsid w:val="00CE7372"/>
    <w:rsid w:val="00CE7393"/>
    <w:rsid w:val="00CE7702"/>
    <w:rsid w:val="00CE78C2"/>
    <w:rsid w:val="00CE792F"/>
    <w:rsid w:val="00CE7B6D"/>
    <w:rsid w:val="00CE7DE1"/>
    <w:rsid w:val="00CF0273"/>
    <w:rsid w:val="00CF0280"/>
    <w:rsid w:val="00CF035C"/>
    <w:rsid w:val="00CF04C1"/>
    <w:rsid w:val="00CF0529"/>
    <w:rsid w:val="00CF0681"/>
    <w:rsid w:val="00CF08EC"/>
    <w:rsid w:val="00CF0C44"/>
    <w:rsid w:val="00CF0EE7"/>
    <w:rsid w:val="00CF160C"/>
    <w:rsid w:val="00CF191F"/>
    <w:rsid w:val="00CF1A7D"/>
    <w:rsid w:val="00CF1B25"/>
    <w:rsid w:val="00CF1DEB"/>
    <w:rsid w:val="00CF1DFB"/>
    <w:rsid w:val="00CF20B3"/>
    <w:rsid w:val="00CF2170"/>
    <w:rsid w:val="00CF219B"/>
    <w:rsid w:val="00CF21E4"/>
    <w:rsid w:val="00CF2309"/>
    <w:rsid w:val="00CF24AA"/>
    <w:rsid w:val="00CF272E"/>
    <w:rsid w:val="00CF27C8"/>
    <w:rsid w:val="00CF296C"/>
    <w:rsid w:val="00CF2974"/>
    <w:rsid w:val="00CF2995"/>
    <w:rsid w:val="00CF360A"/>
    <w:rsid w:val="00CF3860"/>
    <w:rsid w:val="00CF3B1B"/>
    <w:rsid w:val="00CF3D5F"/>
    <w:rsid w:val="00CF3DE9"/>
    <w:rsid w:val="00CF3ECD"/>
    <w:rsid w:val="00CF4EF3"/>
    <w:rsid w:val="00CF5149"/>
    <w:rsid w:val="00CF520D"/>
    <w:rsid w:val="00CF528E"/>
    <w:rsid w:val="00CF570C"/>
    <w:rsid w:val="00CF5958"/>
    <w:rsid w:val="00CF5B96"/>
    <w:rsid w:val="00CF5CD2"/>
    <w:rsid w:val="00CF5CFC"/>
    <w:rsid w:val="00CF5FDF"/>
    <w:rsid w:val="00CF6235"/>
    <w:rsid w:val="00CF6298"/>
    <w:rsid w:val="00CF6361"/>
    <w:rsid w:val="00CF63C2"/>
    <w:rsid w:val="00CF63F4"/>
    <w:rsid w:val="00CF647E"/>
    <w:rsid w:val="00CF6500"/>
    <w:rsid w:val="00CF68BC"/>
    <w:rsid w:val="00CF6C2C"/>
    <w:rsid w:val="00CF70C3"/>
    <w:rsid w:val="00CF7109"/>
    <w:rsid w:val="00CF73A4"/>
    <w:rsid w:val="00CF74D4"/>
    <w:rsid w:val="00CF7662"/>
    <w:rsid w:val="00CF7669"/>
    <w:rsid w:val="00CF76ED"/>
    <w:rsid w:val="00CF7B11"/>
    <w:rsid w:val="00CF7CAF"/>
    <w:rsid w:val="00D00335"/>
    <w:rsid w:val="00D0052D"/>
    <w:rsid w:val="00D00689"/>
    <w:rsid w:val="00D006FB"/>
    <w:rsid w:val="00D00C96"/>
    <w:rsid w:val="00D00CD5"/>
    <w:rsid w:val="00D00F67"/>
    <w:rsid w:val="00D01172"/>
    <w:rsid w:val="00D013C7"/>
    <w:rsid w:val="00D013CA"/>
    <w:rsid w:val="00D01463"/>
    <w:rsid w:val="00D017DF"/>
    <w:rsid w:val="00D01B59"/>
    <w:rsid w:val="00D01D24"/>
    <w:rsid w:val="00D01D47"/>
    <w:rsid w:val="00D01ED3"/>
    <w:rsid w:val="00D01FCD"/>
    <w:rsid w:val="00D02188"/>
    <w:rsid w:val="00D024ED"/>
    <w:rsid w:val="00D026BB"/>
    <w:rsid w:val="00D0283C"/>
    <w:rsid w:val="00D029AA"/>
    <w:rsid w:val="00D029AF"/>
    <w:rsid w:val="00D02FCF"/>
    <w:rsid w:val="00D0310C"/>
    <w:rsid w:val="00D03470"/>
    <w:rsid w:val="00D036A6"/>
    <w:rsid w:val="00D0378F"/>
    <w:rsid w:val="00D037FA"/>
    <w:rsid w:val="00D0398F"/>
    <w:rsid w:val="00D03D0C"/>
    <w:rsid w:val="00D03F35"/>
    <w:rsid w:val="00D04020"/>
    <w:rsid w:val="00D0402D"/>
    <w:rsid w:val="00D041A5"/>
    <w:rsid w:val="00D044DD"/>
    <w:rsid w:val="00D046F6"/>
    <w:rsid w:val="00D048DF"/>
    <w:rsid w:val="00D0495B"/>
    <w:rsid w:val="00D04AAA"/>
    <w:rsid w:val="00D051C6"/>
    <w:rsid w:val="00D05296"/>
    <w:rsid w:val="00D055DC"/>
    <w:rsid w:val="00D057B1"/>
    <w:rsid w:val="00D05A07"/>
    <w:rsid w:val="00D05D62"/>
    <w:rsid w:val="00D05F5B"/>
    <w:rsid w:val="00D060FD"/>
    <w:rsid w:val="00D06259"/>
    <w:rsid w:val="00D06D77"/>
    <w:rsid w:val="00D06EDC"/>
    <w:rsid w:val="00D06F3D"/>
    <w:rsid w:val="00D07230"/>
    <w:rsid w:val="00D07288"/>
    <w:rsid w:val="00D072BC"/>
    <w:rsid w:val="00D076BC"/>
    <w:rsid w:val="00D07980"/>
    <w:rsid w:val="00D079A8"/>
    <w:rsid w:val="00D07BAB"/>
    <w:rsid w:val="00D07C57"/>
    <w:rsid w:val="00D07CA7"/>
    <w:rsid w:val="00D07DE1"/>
    <w:rsid w:val="00D10089"/>
    <w:rsid w:val="00D100CD"/>
    <w:rsid w:val="00D101D7"/>
    <w:rsid w:val="00D102B3"/>
    <w:rsid w:val="00D102B8"/>
    <w:rsid w:val="00D1069E"/>
    <w:rsid w:val="00D10731"/>
    <w:rsid w:val="00D107F1"/>
    <w:rsid w:val="00D10939"/>
    <w:rsid w:val="00D10B91"/>
    <w:rsid w:val="00D1106D"/>
    <w:rsid w:val="00D110FC"/>
    <w:rsid w:val="00D11318"/>
    <w:rsid w:val="00D1131B"/>
    <w:rsid w:val="00D11442"/>
    <w:rsid w:val="00D115C6"/>
    <w:rsid w:val="00D11647"/>
    <w:rsid w:val="00D1189E"/>
    <w:rsid w:val="00D118F9"/>
    <w:rsid w:val="00D11906"/>
    <w:rsid w:val="00D11B0E"/>
    <w:rsid w:val="00D11CB2"/>
    <w:rsid w:val="00D11D31"/>
    <w:rsid w:val="00D11FEB"/>
    <w:rsid w:val="00D120A5"/>
    <w:rsid w:val="00D122AF"/>
    <w:rsid w:val="00D123BA"/>
    <w:rsid w:val="00D1247C"/>
    <w:rsid w:val="00D1251C"/>
    <w:rsid w:val="00D12930"/>
    <w:rsid w:val="00D12A8E"/>
    <w:rsid w:val="00D12B59"/>
    <w:rsid w:val="00D12C73"/>
    <w:rsid w:val="00D12C95"/>
    <w:rsid w:val="00D1313B"/>
    <w:rsid w:val="00D131E5"/>
    <w:rsid w:val="00D1326E"/>
    <w:rsid w:val="00D1361D"/>
    <w:rsid w:val="00D13691"/>
    <w:rsid w:val="00D13808"/>
    <w:rsid w:val="00D13CC1"/>
    <w:rsid w:val="00D141F3"/>
    <w:rsid w:val="00D1455C"/>
    <w:rsid w:val="00D14683"/>
    <w:rsid w:val="00D146C1"/>
    <w:rsid w:val="00D14B2C"/>
    <w:rsid w:val="00D14B71"/>
    <w:rsid w:val="00D15292"/>
    <w:rsid w:val="00D15488"/>
    <w:rsid w:val="00D15A26"/>
    <w:rsid w:val="00D15A96"/>
    <w:rsid w:val="00D15B91"/>
    <w:rsid w:val="00D15D32"/>
    <w:rsid w:val="00D15D95"/>
    <w:rsid w:val="00D15E09"/>
    <w:rsid w:val="00D15E4C"/>
    <w:rsid w:val="00D15F27"/>
    <w:rsid w:val="00D16086"/>
    <w:rsid w:val="00D160CB"/>
    <w:rsid w:val="00D161C0"/>
    <w:rsid w:val="00D1624E"/>
    <w:rsid w:val="00D16300"/>
    <w:rsid w:val="00D16389"/>
    <w:rsid w:val="00D16694"/>
    <w:rsid w:val="00D166E2"/>
    <w:rsid w:val="00D16731"/>
    <w:rsid w:val="00D169BE"/>
    <w:rsid w:val="00D169F2"/>
    <w:rsid w:val="00D169F8"/>
    <w:rsid w:val="00D16AC7"/>
    <w:rsid w:val="00D16ADD"/>
    <w:rsid w:val="00D16C36"/>
    <w:rsid w:val="00D16D46"/>
    <w:rsid w:val="00D1702F"/>
    <w:rsid w:val="00D17052"/>
    <w:rsid w:val="00D17061"/>
    <w:rsid w:val="00D17173"/>
    <w:rsid w:val="00D1736E"/>
    <w:rsid w:val="00D17467"/>
    <w:rsid w:val="00D1753D"/>
    <w:rsid w:val="00D17715"/>
    <w:rsid w:val="00D17857"/>
    <w:rsid w:val="00D179B5"/>
    <w:rsid w:val="00D17AC1"/>
    <w:rsid w:val="00D17DAF"/>
    <w:rsid w:val="00D17F79"/>
    <w:rsid w:val="00D2027E"/>
    <w:rsid w:val="00D205D8"/>
    <w:rsid w:val="00D20826"/>
    <w:rsid w:val="00D20841"/>
    <w:rsid w:val="00D209D8"/>
    <w:rsid w:val="00D20AAE"/>
    <w:rsid w:val="00D20C2F"/>
    <w:rsid w:val="00D20CCA"/>
    <w:rsid w:val="00D20CF2"/>
    <w:rsid w:val="00D210CC"/>
    <w:rsid w:val="00D21145"/>
    <w:rsid w:val="00D21303"/>
    <w:rsid w:val="00D21453"/>
    <w:rsid w:val="00D21534"/>
    <w:rsid w:val="00D216FC"/>
    <w:rsid w:val="00D219AE"/>
    <w:rsid w:val="00D21FA3"/>
    <w:rsid w:val="00D221FE"/>
    <w:rsid w:val="00D222E5"/>
    <w:rsid w:val="00D22357"/>
    <w:rsid w:val="00D228D7"/>
    <w:rsid w:val="00D22C7F"/>
    <w:rsid w:val="00D22D87"/>
    <w:rsid w:val="00D22E51"/>
    <w:rsid w:val="00D22EE4"/>
    <w:rsid w:val="00D22F04"/>
    <w:rsid w:val="00D23026"/>
    <w:rsid w:val="00D2315B"/>
    <w:rsid w:val="00D234A1"/>
    <w:rsid w:val="00D23795"/>
    <w:rsid w:val="00D238F3"/>
    <w:rsid w:val="00D23905"/>
    <w:rsid w:val="00D239D9"/>
    <w:rsid w:val="00D23B44"/>
    <w:rsid w:val="00D23CAE"/>
    <w:rsid w:val="00D23CCC"/>
    <w:rsid w:val="00D24152"/>
    <w:rsid w:val="00D244E3"/>
    <w:rsid w:val="00D24868"/>
    <w:rsid w:val="00D24D0B"/>
    <w:rsid w:val="00D24E5E"/>
    <w:rsid w:val="00D24FF7"/>
    <w:rsid w:val="00D250A2"/>
    <w:rsid w:val="00D2512F"/>
    <w:rsid w:val="00D25549"/>
    <w:rsid w:val="00D25676"/>
    <w:rsid w:val="00D25CB8"/>
    <w:rsid w:val="00D25E47"/>
    <w:rsid w:val="00D25EDE"/>
    <w:rsid w:val="00D2618F"/>
    <w:rsid w:val="00D2626C"/>
    <w:rsid w:val="00D26456"/>
    <w:rsid w:val="00D264AA"/>
    <w:rsid w:val="00D2653A"/>
    <w:rsid w:val="00D2674B"/>
    <w:rsid w:val="00D26772"/>
    <w:rsid w:val="00D269C3"/>
    <w:rsid w:val="00D26BFD"/>
    <w:rsid w:val="00D26FA0"/>
    <w:rsid w:val="00D26FF3"/>
    <w:rsid w:val="00D2713D"/>
    <w:rsid w:val="00D271DB"/>
    <w:rsid w:val="00D273EF"/>
    <w:rsid w:val="00D275D2"/>
    <w:rsid w:val="00D27678"/>
    <w:rsid w:val="00D2799C"/>
    <w:rsid w:val="00D27B68"/>
    <w:rsid w:val="00D27E01"/>
    <w:rsid w:val="00D27EB1"/>
    <w:rsid w:val="00D27EB8"/>
    <w:rsid w:val="00D27F90"/>
    <w:rsid w:val="00D30334"/>
    <w:rsid w:val="00D30924"/>
    <w:rsid w:val="00D30DCB"/>
    <w:rsid w:val="00D30E5C"/>
    <w:rsid w:val="00D30EA9"/>
    <w:rsid w:val="00D312FE"/>
    <w:rsid w:val="00D31433"/>
    <w:rsid w:val="00D31462"/>
    <w:rsid w:val="00D31505"/>
    <w:rsid w:val="00D31606"/>
    <w:rsid w:val="00D316FA"/>
    <w:rsid w:val="00D316FC"/>
    <w:rsid w:val="00D31732"/>
    <w:rsid w:val="00D3178B"/>
    <w:rsid w:val="00D31BCB"/>
    <w:rsid w:val="00D31C8C"/>
    <w:rsid w:val="00D31D94"/>
    <w:rsid w:val="00D31E8A"/>
    <w:rsid w:val="00D325A6"/>
    <w:rsid w:val="00D32708"/>
    <w:rsid w:val="00D3289E"/>
    <w:rsid w:val="00D328F0"/>
    <w:rsid w:val="00D32A1F"/>
    <w:rsid w:val="00D32A76"/>
    <w:rsid w:val="00D32AF6"/>
    <w:rsid w:val="00D32E2A"/>
    <w:rsid w:val="00D32E69"/>
    <w:rsid w:val="00D32EF5"/>
    <w:rsid w:val="00D331E2"/>
    <w:rsid w:val="00D333A3"/>
    <w:rsid w:val="00D33B2C"/>
    <w:rsid w:val="00D33D4A"/>
    <w:rsid w:val="00D33E4A"/>
    <w:rsid w:val="00D3451B"/>
    <w:rsid w:val="00D3454C"/>
    <w:rsid w:val="00D34F55"/>
    <w:rsid w:val="00D3509C"/>
    <w:rsid w:val="00D350B7"/>
    <w:rsid w:val="00D3517A"/>
    <w:rsid w:val="00D35191"/>
    <w:rsid w:val="00D356B7"/>
    <w:rsid w:val="00D35D7F"/>
    <w:rsid w:val="00D35DDB"/>
    <w:rsid w:val="00D35EE2"/>
    <w:rsid w:val="00D36103"/>
    <w:rsid w:val="00D363A8"/>
    <w:rsid w:val="00D366DC"/>
    <w:rsid w:val="00D3680A"/>
    <w:rsid w:val="00D36B05"/>
    <w:rsid w:val="00D36CB9"/>
    <w:rsid w:val="00D36CFB"/>
    <w:rsid w:val="00D37115"/>
    <w:rsid w:val="00D37445"/>
    <w:rsid w:val="00D375F4"/>
    <w:rsid w:val="00D3769D"/>
    <w:rsid w:val="00D376C4"/>
    <w:rsid w:val="00D379DE"/>
    <w:rsid w:val="00D37EB6"/>
    <w:rsid w:val="00D404F0"/>
    <w:rsid w:val="00D4055E"/>
    <w:rsid w:val="00D40587"/>
    <w:rsid w:val="00D4061B"/>
    <w:rsid w:val="00D406BC"/>
    <w:rsid w:val="00D4083D"/>
    <w:rsid w:val="00D4090E"/>
    <w:rsid w:val="00D40A7C"/>
    <w:rsid w:val="00D40F75"/>
    <w:rsid w:val="00D4121F"/>
    <w:rsid w:val="00D415DD"/>
    <w:rsid w:val="00D418AA"/>
    <w:rsid w:val="00D419F6"/>
    <w:rsid w:val="00D41B3A"/>
    <w:rsid w:val="00D41BC0"/>
    <w:rsid w:val="00D41C75"/>
    <w:rsid w:val="00D41D07"/>
    <w:rsid w:val="00D41DC3"/>
    <w:rsid w:val="00D41ED5"/>
    <w:rsid w:val="00D42081"/>
    <w:rsid w:val="00D42167"/>
    <w:rsid w:val="00D422F2"/>
    <w:rsid w:val="00D4249C"/>
    <w:rsid w:val="00D42A58"/>
    <w:rsid w:val="00D42B28"/>
    <w:rsid w:val="00D42B35"/>
    <w:rsid w:val="00D4311A"/>
    <w:rsid w:val="00D43137"/>
    <w:rsid w:val="00D431A9"/>
    <w:rsid w:val="00D432D7"/>
    <w:rsid w:val="00D4353C"/>
    <w:rsid w:val="00D4358E"/>
    <w:rsid w:val="00D435CE"/>
    <w:rsid w:val="00D43625"/>
    <w:rsid w:val="00D437C6"/>
    <w:rsid w:val="00D43966"/>
    <w:rsid w:val="00D43A9E"/>
    <w:rsid w:val="00D43CB0"/>
    <w:rsid w:val="00D44017"/>
    <w:rsid w:val="00D44129"/>
    <w:rsid w:val="00D44298"/>
    <w:rsid w:val="00D44604"/>
    <w:rsid w:val="00D4477D"/>
    <w:rsid w:val="00D449E2"/>
    <w:rsid w:val="00D44A2A"/>
    <w:rsid w:val="00D451C5"/>
    <w:rsid w:val="00D4583C"/>
    <w:rsid w:val="00D45964"/>
    <w:rsid w:val="00D45B3B"/>
    <w:rsid w:val="00D45EF7"/>
    <w:rsid w:val="00D45FBB"/>
    <w:rsid w:val="00D46029"/>
    <w:rsid w:val="00D463F1"/>
    <w:rsid w:val="00D46744"/>
    <w:rsid w:val="00D467BB"/>
    <w:rsid w:val="00D46DAE"/>
    <w:rsid w:val="00D46E78"/>
    <w:rsid w:val="00D473AA"/>
    <w:rsid w:val="00D47406"/>
    <w:rsid w:val="00D47500"/>
    <w:rsid w:val="00D47827"/>
    <w:rsid w:val="00D478EC"/>
    <w:rsid w:val="00D479E6"/>
    <w:rsid w:val="00D47BC2"/>
    <w:rsid w:val="00D50087"/>
    <w:rsid w:val="00D5008A"/>
    <w:rsid w:val="00D501C3"/>
    <w:rsid w:val="00D5036E"/>
    <w:rsid w:val="00D50420"/>
    <w:rsid w:val="00D504FC"/>
    <w:rsid w:val="00D5090E"/>
    <w:rsid w:val="00D509B3"/>
    <w:rsid w:val="00D50AAC"/>
    <w:rsid w:val="00D50B58"/>
    <w:rsid w:val="00D51029"/>
    <w:rsid w:val="00D5118E"/>
    <w:rsid w:val="00D51369"/>
    <w:rsid w:val="00D51768"/>
    <w:rsid w:val="00D51886"/>
    <w:rsid w:val="00D51CA7"/>
    <w:rsid w:val="00D51E33"/>
    <w:rsid w:val="00D51E40"/>
    <w:rsid w:val="00D51EA4"/>
    <w:rsid w:val="00D52003"/>
    <w:rsid w:val="00D520E5"/>
    <w:rsid w:val="00D52191"/>
    <w:rsid w:val="00D52268"/>
    <w:rsid w:val="00D52700"/>
    <w:rsid w:val="00D528D4"/>
    <w:rsid w:val="00D528E4"/>
    <w:rsid w:val="00D52ABE"/>
    <w:rsid w:val="00D52E26"/>
    <w:rsid w:val="00D53321"/>
    <w:rsid w:val="00D53656"/>
    <w:rsid w:val="00D537E8"/>
    <w:rsid w:val="00D539EF"/>
    <w:rsid w:val="00D53CB6"/>
    <w:rsid w:val="00D53F2A"/>
    <w:rsid w:val="00D53F6A"/>
    <w:rsid w:val="00D541E7"/>
    <w:rsid w:val="00D54242"/>
    <w:rsid w:val="00D5433F"/>
    <w:rsid w:val="00D543E2"/>
    <w:rsid w:val="00D543E3"/>
    <w:rsid w:val="00D5472B"/>
    <w:rsid w:val="00D547CE"/>
    <w:rsid w:val="00D549F0"/>
    <w:rsid w:val="00D549F4"/>
    <w:rsid w:val="00D54B42"/>
    <w:rsid w:val="00D54EC2"/>
    <w:rsid w:val="00D55101"/>
    <w:rsid w:val="00D55290"/>
    <w:rsid w:val="00D55643"/>
    <w:rsid w:val="00D55675"/>
    <w:rsid w:val="00D5575A"/>
    <w:rsid w:val="00D55932"/>
    <w:rsid w:val="00D55A84"/>
    <w:rsid w:val="00D55A93"/>
    <w:rsid w:val="00D55C22"/>
    <w:rsid w:val="00D55D04"/>
    <w:rsid w:val="00D55D8B"/>
    <w:rsid w:val="00D55DBE"/>
    <w:rsid w:val="00D5605C"/>
    <w:rsid w:val="00D563A5"/>
    <w:rsid w:val="00D5643F"/>
    <w:rsid w:val="00D564E6"/>
    <w:rsid w:val="00D567DE"/>
    <w:rsid w:val="00D5684E"/>
    <w:rsid w:val="00D56A02"/>
    <w:rsid w:val="00D56BD7"/>
    <w:rsid w:val="00D5701F"/>
    <w:rsid w:val="00D5703F"/>
    <w:rsid w:val="00D57175"/>
    <w:rsid w:val="00D572DC"/>
    <w:rsid w:val="00D573B0"/>
    <w:rsid w:val="00D5761E"/>
    <w:rsid w:val="00D57A6F"/>
    <w:rsid w:val="00D57AEE"/>
    <w:rsid w:val="00D57F1D"/>
    <w:rsid w:val="00D602CE"/>
    <w:rsid w:val="00D603C0"/>
    <w:rsid w:val="00D604B8"/>
    <w:rsid w:val="00D60626"/>
    <w:rsid w:val="00D60633"/>
    <w:rsid w:val="00D60760"/>
    <w:rsid w:val="00D60794"/>
    <w:rsid w:val="00D607AF"/>
    <w:rsid w:val="00D6093D"/>
    <w:rsid w:val="00D60A61"/>
    <w:rsid w:val="00D60B23"/>
    <w:rsid w:val="00D60C44"/>
    <w:rsid w:val="00D60C48"/>
    <w:rsid w:val="00D60C89"/>
    <w:rsid w:val="00D60FBA"/>
    <w:rsid w:val="00D60FEB"/>
    <w:rsid w:val="00D6119D"/>
    <w:rsid w:val="00D61244"/>
    <w:rsid w:val="00D61444"/>
    <w:rsid w:val="00D6148D"/>
    <w:rsid w:val="00D617AC"/>
    <w:rsid w:val="00D6183E"/>
    <w:rsid w:val="00D61B37"/>
    <w:rsid w:val="00D61C6D"/>
    <w:rsid w:val="00D61FB4"/>
    <w:rsid w:val="00D62025"/>
    <w:rsid w:val="00D62293"/>
    <w:rsid w:val="00D623F5"/>
    <w:rsid w:val="00D624C4"/>
    <w:rsid w:val="00D6260A"/>
    <w:rsid w:val="00D62754"/>
    <w:rsid w:val="00D62808"/>
    <w:rsid w:val="00D6289C"/>
    <w:rsid w:val="00D62943"/>
    <w:rsid w:val="00D62A9E"/>
    <w:rsid w:val="00D62AF1"/>
    <w:rsid w:val="00D62B54"/>
    <w:rsid w:val="00D62C63"/>
    <w:rsid w:val="00D63097"/>
    <w:rsid w:val="00D6313E"/>
    <w:rsid w:val="00D631C2"/>
    <w:rsid w:val="00D634A0"/>
    <w:rsid w:val="00D63887"/>
    <w:rsid w:val="00D63AA5"/>
    <w:rsid w:val="00D63C4B"/>
    <w:rsid w:val="00D63D52"/>
    <w:rsid w:val="00D63DAB"/>
    <w:rsid w:val="00D63E89"/>
    <w:rsid w:val="00D63E8F"/>
    <w:rsid w:val="00D63E99"/>
    <w:rsid w:val="00D642EF"/>
    <w:rsid w:val="00D644E1"/>
    <w:rsid w:val="00D644F9"/>
    <w:rsid w:val="00D6453A"/>
    <w:rsid w:val="00D6514A"/>
    <w:rsid w:val="00D6529A"/>
    <w:rsid w:val="00D6531B"/>
    <w:rsid w:val="00D65712"/>
    <w:rsid w:val="00D660C8"/>
    <w:rsid w:val="00D6623C"/>
    <w:rsid w:val="00D66695"/>
    <w:rsid w:val="00D668CE"/>
    <w:rsid w:val="00D66B09"/>
    <w:rsid w:val="00D66CAC"/>
    <w:rsid w:val="00D66EE9"/>
    <w:rsid w:val="00D67019"/>
    <w:rsid w:val="00D6707D"/>
    <w:rsid w:val="00D677E8"/>
    <w:rsid w:val="00D677ED"/>
    <w:rsid w:val="00D67800"/>
    <w:rsid w:val="00D6797E"/>
    <w:rsid w:val="00D67BA2"/>
    <w:rsid w:val="00D67C85"/>
    <w:rsid w:val="00D67D63"/>
    <w:rsid w:val="00D67E4F"/>
    <w:rsid w:val="00D67EAF"/>
    <w:rsid w:val="00D67EED"/>
    <w:rsid w:val="00D70032"/>
    <w:rsid w:val="00D70072"/>
    <w:rsid w:val="00D700E0"/>
    <w:rsid w:val="00D70120"/>
    <w:rsid w:val="00D703CC"/>
    <w:rsid w:val="00D7040C"/>
    <w:rsid w:val="00D70427"/>
    <w:rsid w:val="00D7042A"/>
    <w:rsid w:val="00D70493"/>
    <w:rsid w:val="00D70846"/>
    <w:rsid w:val="00D709D8"/>
    <w:rsid w:val="00D70A3D"/>
    <w:rsid w:val="00D716EA"/>
    <w:rsid w:val="00D71702"/>
    <w:rsid w:val="00D71960"/>
    <w:rsid w:val="00D722DD"/>
    <w:rsid w:val="00D725E3"/>
    <w:rsid w:val="00D7263A"/>
    <w:rsid w:val="00D727B5"/>
    <w:rsid w:val="00D72845"/>
    <w:rsid w:val="00D72995"/>
    <w:rsid w:val="00D72BD6"/>
    <w:rsid w:val="00D72C74"/>
    <w:rsid w:val="00D72D4F"/>
    <w:rsid w:val="00D731C4"/>
    <w:rsid w:val="00D731F2"/>
    <w:rsid w:val="00D733D1"/>
    <w:rsid w:val="00D736B2"/>
    <w:rsid w:val="00D73850"/>
    <w:rsid w:val="00D73A4C"/>
    <w:rsid w:val="00D73BD5"/>
    <w:rsid w:val="00D73CAD"/>
    <w:rsid w:val="00D73D61"/>
    <w:rsid w:val="00D73DB6"/>
    <w:rsid w:val="00D7456C"/>
    <w:rsid w:val="00D74813"/>
    <w:rsid w:val="00D74986"/>
    <w:rsid w:val="00D749AC"/>
    <w:rsid w:val="00D74A00"/>
    <w:rsid w:val="00D74CB9"/>
    <w:rsid w:val="00D74E80"/>
    <w:rsid w:val="00D75061"/>
    <w:rsid w:val="00D75080"/>
    <w:rsid w:val="00D7534F"/>
    <w:rsid w:val="00D75402"/>
    <w:rsid w:val="00D7541B"/>
    <w:rsid w:val="00D75441"/>
    <w:rsid w:val="00D7595B"/>
    <w:rsid w:val="00D75D3F"/>
    <w:rsid w:val="00D75E1C"/>
    <w:rsid w:val="00D75E57"/>
    <w:rsid w:val="00D75E87"/>
    <w:rsid w:val="00D75FC9"/>
    <w:rsid w:val="00D7638D"/>
    <w:rsid w:val="00D7654B"/>
    <w:rsid w:val="00D76680"/>
    <w:rsid w:val="00D7671D"/>
    <w:rsid w:val="00D76840"/>
    <w:rsid w:val="00D76927"/>
    <w:rsid w:val="00D76C3F"/>
    <w:rsid w:val="00D76E7F"/>
    <w:rsid w:val="00D77514"/>
    <w:rsid w:val="00D777FD"/>
    <w:rsid w:val="00D77C7A"/>
    <w:rsid w:val="00D77E79"/>
    <w:rsid w:val="00D80170"/>
    <w:rsid w:val="00D80330"/>
    <w:rsid w:val="00D80506"/>
    <w:rsid w:val="00D8057A"/>
    <w:rsid w:val="00D8078E"/>
    <w:rsid w:val="00D80DEE"/>
    <w:rsid w:val="00D80F48"/>
    <w:rsid w:val="00D8149A"/>
    <w:rsid w:val="00D815D1"/>
    <w:rsid w:val="00D819B8"/>
    <w:rsid w:val="00D81C88"/>
    <w:rsid w:val="00D81D77"/>
    <w:rsid w:val="00D81DBA"/>
    <w:rsid w:val="00D81E64"/>
    <w:rsid w:val="00D81F2F"/>
    <w:rsid w:val="00D81FC0"/>
    <w:rsid w:val="00D8224E"/>
    <w:rsid w:val="00D823E8"/>
    <w:rsid w:val="00D828E7"/>
    <w:rsid w:val="00D82AB4"/>
    <w:rsid w:val="00D82B02"/>
    <w:rsid w:val="00D82FA1"/>
    <w:rsid w:val="00D831A9"/>
    <w:rsid w:val="00D832B6"/>
    <w:rsid w:val="00D83519"/>
    <w:rsid w:val="00D8357E"/>
    <w:rsid w:val="00D83D11"/>
    <w:rsid w:val="00D83E03"/>
    <w:rsid w:val="00D83FEC"/>
    <w:rsid w:val="00D84551"/>
    <w:rsid w:val="00D84627"/>
    <w:rsid w:val="00D84682"/>
    <w:rsid w:val="00D84811"/>
    <w:rsid w:val="00D84A2D"/>
    <w:rsid w:val="00D84A47"/>
    <w:rsid w:val="00D84C20"/>
    <w:rsid w:val="00D85181"/>
    <w:rsid w:val="00D853E8"/>
    <w:rsid w:val="00D85404"/>
    <w:rsid w:val="00D85478"/>
    <w:rsid w:val="00D855B6"/>
    <w:rsid w:val="00D8571D"/>
    <w:rsid w:val="00D85BF6"/>
    <w:rsid w:val="00D85CA8"/>
    <w:rsid w:val="00D85CAD"/>
    <w:rsid w:val="00D85EBA"/>
    <w:rsid w:val="00D85EBB"/>
    <w:rsid w:val="00D85F3E"/>
    <w:rsid w:val="00D85FAD"/>
    <w:rsid w:val="00D85FC1"/>
    <w:rsid w:val="00D8605C"/>
    <w:rsid w:val="00D86253"/>
    <w:rsid w:val="00D863B7"/>
    <w:rsid w:val="00D863C3"/>
    <w:rsid w:val="00D869E8"/>
    <w:rsid w:val="00D86C37"/>
    <w:rsid w:val="00D86D3C"/>
    <w:rsid w:val="00D86F88"/>
    <w:rsid w:val="00D8701C"/>
    <w:rsid w:val="00D87057"/>
    <w:rsid w:val="00D8731F"/>
    <w:rsid w:val="00D87940"/>
    <w:rsid w:val="00D87AA2"/>
    <w:rsid w:val="00D87B0C"/>
    <w:rsid w:val="00D87BA7"/>
    <w:rsid w:val="00D87BAF"/>
    <w:rsid w:val="00D87BF4"/>
    <w:rsid w:val="00D87DFB"/>
    <w:rsid w:val="00D87F1F"/>
    <w:rsid w:val="00D87F30"/>
    <w:rsid w:val="00D87F58"/>
    <w:rsid w:val="00D87FA3"/>
    <w:rsid w:val="00D90086"/>
    <w:rsid w:val="00D902B5"/>
    <w:rsid w:val="00D90473"/>
    <w:rsid w:val="00D9058D"/>
    <w:rsid w:val="00D905B0"/>
    <w:rsid w:val="00D905B6"/>
    <w:rsid w:val="00D90641"/>
    <w:rsid w:val="00D90792"/>
    <w:rsid w:val="00D907B9"/>
    <w:rsid w:val="00D909ED"/>
    <w:rsid w:val="00D909F0"/>
    <w:rsid w:val="00D90A5A"/>
    <w:rsid w:val="00D90D2D"/>
    <w:rsid w:val="00D90DC9"/>
    <w:rsid w:val="00D90E9F"/>
    <w:rsid w:val="00D90F55"/>
    <w:rsid w:val="00D91067"/>
    <w:rsid w:val="00D91326"/>
    <w:rsid w:val="00D91573"/>
    <w:rsid w:val="00D915F1"/>
    <w:rsid w:val="00D91626"/>
    <w:rsid w:val="00D91819"/>
    <w:rsid w:val="00D91827"/>
    <w:rsid w:val="00D91910"/>
    <w:rsid w:val="00D919F1"/>
    <w:rsid w:val="00D91BDE"/>
    <w:rsid w:val="00D92285"/>
    <w:rsid w:val="00D92522"/>
    <w:rsid w:val="00D926CA"/>
    <w:rsid w:val="00D926D9"/>
    <w:rsid w:val="00D92AA2"/>
    <w:rsid w:val="00D92CB5"/>
    <w:rsid w:val="00D92D4F"/>
    <w:rsid w:val="00D92FD3"/>
    <w:rsid w:val="00D93154"/>
    <w:rsid w:val="00D932C7"/>
    <w:rsid w:val="00D9341C"/>
    <w:rsid w:val="00D939F9"/>
    <w:rsid w:val="00D93BEC"/>
    <w:rsid w:val="00D940A4"/>
    <w:rsid w:val="00D942EE"/>
    <w:rsid w:val="00D94323"/>
    <w:rsid w:val="00D9450E"/>
    <w:rsid w:val="00D94589"/>
    <w:rsid w:val="00D9474A"/>
    <w:rsid w:val="00D94B07"/>
    <w:rsid w:val="00D94BDE"/>
    <w:rsid w:val="00D94C1A"/>
    <w:rsid w:val="00D94E1D"/>
    <w:rsid w:val="00D95482"/>
    <w:rsid w:val="00D95A94"/>
    <w:rsid w:val="00D95AA9"/>
    <w:rsid w:val="00D95C9B"/>
    <w:rsid w:val="00D95DBB"/>
    <w:rsid w:val="00D95DCD"/>
    <w:rsid w:val="00D96222"/>
    <w:rsid w:val="00D96644"/>
    <w:rsid w:val="00D967DD"/>
    <w:rsid w:val="00D96964"/>
    <w:rsid w:val="00D96AE1"/>
    <w:rsid w:val="00D96B00"/>
    <w:rsid w:val="00D970B1"/>
    <w:rsid w:val="00D9788A"/>
    <w:rsid w:val="00D978A5"/>
    <w:rsid w:val="00D978AD"/>
    <w:rsid w:val="00D97A1D"/>
    <w:rsid w:val="00D97B59"/>
    <w:rsid w:val="00D97D52"/>
    <w:rsid w:val="00DA020B"/>
    <w:rsid w:val="00DA0A22"/>
    <w:rsid w:val="00DA0B69"/>
    <w:rsid w:val="00DA0CBF"/>
    <w:rsid w:val="00DA0CD2"/>
    <w:rsid w:val="00DA0D5C"/>
    <w:rsid w:val="00DA0E20"/>
    <w:rsid w:val="00DA0F6D"/>
    <w:rsid w:val="00DA1199"/>
    <w:rsid w:val="00DA1283"/>
    <w:rsid w:val="00DA14BF"/>
    <w:rsid w:val="00DA15F5"/>
    <w:rsid w:val="00DA1658"/>
    <w:rsid w:val="00DA196C"/>
    <w:rsid w:val="00DA1A23"/>
    <w:rsid w:val="00DA1AB0"/>
    <w:rsid w:val="00DA1F0B"/>
    <w:rsid w:val="00DA1FE2"/>
    <w:rsid w:val="00DA215E"/>
    <w:rsid w:val="00DA267F"/>
    <w:rsid w:val="00DA272F"/>
    <w:rsid w:val="00DA2758"/>
    <w:rsid w:val="00DA292A"/>
    <w:rsid w:val="00DA2A2F"/>
    <w:rsid w:val="00DA2B18"/>
    <w:rsid w:val="00DA2BED"/>
    <w:rsid w:val="00DA2C50"/>
    <w:rsid w:val="00DA2D8D"/>
    <w:rsid w:val="00DA2D9C"/>
    <w:rsid w:val="00DA2F9E"/>
    <w:rsid w:val="00DA3243"/>
    <w:rsid w:val="00DA34C6"/>
    <w:rsid w:val="00DA36A4"/>
    <w:rsid w:val="00DA3721"/>
    <w:rsid w:val="00DA3910"/>
    <w:rsid w:val="00DA3A52"/>
    <w:rsid w:val="00DA414F"/>
    <w:rsid w:val="00DA4176"/>
    <w:rsid w:val="00DA43C1"/>
    <w:rsid w:val="00DA44E3"/>
    <w:rsid w:val="00DA4896"/>
    <w:rsid w:val="00DA492C"/>
    <w:rsid w:val="00DA4D80"/>
    <w:rsid w:val="00DA4F87"/>
    <w:rsid w:val="00DA5198"/>
    <w:rsid w:val="00DA52E4"/>
    <w:rsid w:val="00DA571F"/>
    <w:rsid w:val="00DA5794"/>
    <w:rsid w:val="00DA5B57"/>
    <w:rsid w:val="00DA5C56"/>
    <w:rsid w:val="00DA5D37"/>
    <w:rsid w:val="00DA5E4D"/>
    <w:rsid w:val="00DA5F0D"/>
    <w:rsid w:val="00DA63D5"/>
    <w:rsid w:val="00DA6879"/>
    <w:rsid w:val="00DA6997"/>
    <w:rsid w:val="00DA6A9E"/>
    <w:rsid w:val="00DA6E87"/>
    <w:rsid w:val="00DA730C"/>
    <w:rsid w:val="00DA7421"/>
    <w:rsid w:val="00DA74BE"/>
    <w:rsid w:val="00DA79D9"/>
    <w:rsid w:val="00DA7BDF"/>
    <w:rsid w:val="00DA7F99"/>
    <w:rsid w:val="00DA7FF5"/>
    <w:rsid w:val="00DB0422"/>
    <w:rsid w:val="00DB0CB7"/>
    <w:rsid w:val="00DB0DD3"/>
    <w:rsid w:val="00DB0E74"/>
    <w:rsid w:val="00DB0F01"/>
    <w:rsid w:val="00DB0F0F"/>
    <w:rsid w:val="00DB153A"/>
    <w:rsid w:val="00DB159A"/>
    <w:rsid w:val="00DB16D8"/>
    <w:rsid w:val="00DB19D9"/>
    <w:rsid w:val="00DB1A4B"/>
    <w:rsid w:val="00DB1EF3"/>
    <w:rsid w:val="00DB20C0"/>
    <w:rsid w:val="00DB2108"/>
    <w:rsid w:val="00DB28B3"/>
    <w:rsid w:val="00DB2903"/>
    <w:rsid w:val="00DB2D04"/>
    <w:rsid w:val="00DB2FEC"/>
    <w:rsid w:val="00DB3082"/>
    <w:rsid w:val="00DB33CE"/>
    <w:rsid w:val="00DB3662"/>
    <w:rsid w:val="00DB39B3"/>
    <w:rsid w:val="00DB3B26"/>
    <w:rsid w:val="00DB3BBF"/>
    <w:rsid w:val="00DB4020"/>
    <w:rsid w:val="00DB4097"/>
    <w:rsid w:val="00DB4253"/>
    <w:rsid w:val="00DB42FE"/>
    <w:rsid w:val="00DB4577"/>
    <w:rsid w:val="00DB47A4"/>
    <w:rsid w:val="00DB4999"/>
    <w:rsid w:val="00DB5024"/>
    <w:rsid w:val="00DB5073"/>
    <w:rsid w:val="00DB50DD"/>
    <w:rsid w:val="00DB53A8"/>
    <w:rsid w:val="00DB5563"/>
    <w:rsid w:val="00DB5892"/>
    <w:rsid w:val="00DB58B2"/>
    <w:rsid w:val="00DB596E"/>
    <w:rsid w:val="00DB5B13"/>
    <w:rsid w:val="00DB5B5A"/>
    <w:rsid w:val="00DB5C6B"/>
    <w:rsid w:val="00DB5EE9"/>
    <w:rsid w:val="00DB62E6"/>
    <w:rsid w:val="00DB635A"/>
    <w:rsid w:val="00DB667B"/>
    <w:rsid w:val="00DB66AF"/>
    <w:rsid w:val="00DB6CD7"/>
    <w:rsid w:val="00DB6CF1"/>
    <w:rsid w:val="00DB70BB"/>
    <w:rsid w:val="00DB7297"/>
    <w:rsid w:val="00DB744E"/>
    <w:rsid w:val="00DB78E1"/>
    <w:rsid w:val="00DB7987"/>
    <w:rsid w:val="00DB7E14"/>
    <w:rsid w:val="00DB7F46"/>
    <w:rsid w:val="00DBB5F9"/>
    <w:rsid w:val="00DC00B6"/>
    <w:rsid w:val="00DC01A1"/>
    <w:rsid w:val="00DC072B"/>
    <w:rsid w:val="00DC07B9"/>
    <w:rsid w:val="00DC0AB9"/>
    <w:rsid w:val="00DC0D5D"/>
    <w:rsid w:val="00DC1513"/>
    <w:rsid w:val="00DC1734"/>
    <w:rsid w:val="00DC1963"/>
    <w:rsid w:val="00DC1980"/>
    <w:rsid w:val="00DC1993"/>
    <w:rsid w:val="00DC19F0"/>
    <w:rsid w:val="00DC1DC6"/>
    <w:rsid w:val="00DC1F3D"/>
    <w:rsid w:val="00DC209F"/>
    <w:rsid w:val="00DC2278"/>
    <w:rsid w:val="00DC2479"/>
    <w:rsid w:val="00DC254A"/>
    <w:rsid w:val="00DC26F3"/>
    <w:rsid w:val="00DC2C0A"/>
    <w:rsid w:val="00DC2C6E"/>
    <w:rsid w:val="00DC2C71"/>
    <w:rsid w:val="00DC2FB7"/>
    <w:rsid w:val="00DC2FD0"/>
    <w:rsid w:val="00DC3101"/>
    <w:rsid w:val="00DC3399"/>
    <w:rsid w:val="00DC34EC"/>
    <w:rsid w:val="00DC3798"/>
    <w:rsid w:val="00DC3986"/>
    <w:rsid w:val="00DC3A89"/>
    <w:rsid w:val="00DC3D08"/>
    <w:rsid w:val="00DC3F13"/>
    <w:rsid w:val="00DC4037"/>
    <w:rsid w:val="00DC40A2"/>
    <w:rsid w:val="00DC40CC"/>
    <w:rsid w:val="00DC4146"/>
    <w:rsid w:val="00DC42C7"/>
    <w:rsid w:val="00DC449B"/>
    <w:rsid w:val="00DC469E"/>
    <w:rsid w:val="00DC4883"/>
    <w:rsid w:val="00DC4B31"/>
    <w:rsid w:val="00DC4F63"/>
    <w:rsid w:val="00DC5250"/>
    <w:rsid w:val="00DC527A"/>
    <w:rsid w:val="00DC5423"/>
    <w:rsid w:val="00DC57E1"/>
    <w:rsid w:val="00DC5C28"/>
    <w:rsid w:val="00DC5F3F"/>
    <w:rsid w:val="00DC5FEF"/>
    <w:rsid w:val="00DC60A8"/>
    <w:rsid w:val="00DC6A2E"/>
    <w:rsid w:val="00DC6A73"/>
    <w:rsid w:val="00DC6FDF"/>
    <w:rsid w:val="00DC782A"/>
    <w:rsid w:val="00DC7913"/>
    <w:rsid w:val="00DC799D"/>
    <w:rsid w:val="00DC7AFB"/>
    <w:rsid w:val="00DC7FE4"/>
    <w:rsid w:val="00DD0105"/>
    <w:rsid w:val="00DD023F"/>
    <w:rsid w:val="00DD0480"/>
    <w:rsid w:val="00DD049A"/>
    <w:rsid w:val="00DD0565"/>
    <w:rsid w:val="00DD05B9"/>
    <w:rsid w:val="00DD0A27"/>
    <w:rsid w:val="00DD0CAD"/>
    <w:rsid w:val="00DD1174"/>
    <w:rsid w:val="00DD117F"/>
    <w:rsid w:val="00DD124B"/>
    <w:rsid w:val="00DD1512"/>
    <w:rsid w:val="00DD1756"/>
    <w:rsid w:val="00DD1916"/>
    <w:rsid w:val="00DD1A95"/>
    <w:rsid w:val="00DD1E28"/>
    <w:rsid w:val="00DD1E4A"/>
    <w:rsid w:val="00DD231D"/>
    <w:rsid w:val="00DD2414"/>
    <w:rsid w:val="00DD2543"/>
    <w:rsid w:val="00DD2726"/>
    <w:rsid w:val="00DD2C98"/>
    <w:rsid w:val="00DD2E70"/>
    <w:rsid w:val="00DD3004"/>
    <w:rsid w:val="00DD347D"/>
    <w:rsid w:val="00DD3595"/>
    <w:rsid w:val="00DD3937"/>
    <w:rsid w:val="00DD3965"/>
    <w:rsid w:val="00DD39B5"/>
    <w:rsid w:val="00DD3B7D"/>
    <w:rsid w:val="00DD3C24"/>
    <w:rsid w:val="00DD3D2C"/>
    <w:rsid w:val="00DD3DCE"/>
    <w:rsid w:val="00DD3FB1"/>
    <w:rsid w:val="00DD41B0"/>
    <w:rsid w:val="00DD4225"/>
    <w:rsid w:val="00DD424E"/>
    <w:rsid w:val="00DD4536"/>
    <w:rsid w:val="00DD45F0"/>
    <w:rsid w:val="00DD4801"/>
    <w:rsid w:val="00DD4D07"/>
    <w:rsid w:val="00DD4D12"/>
    <w:rsid w:val="00DD4DCE"/>
    <w:rsid w:val="00DD4E79"/>
    <w:rsid w:val="00DD4EA0"/>
    <w:rsid w:val="00DD5298"/>
    <w:rsid w:val="00DD52EA"/>
    <w:rsid w:val="00DD5428"/>
    <w:rsid w:val="00DD5447"/>
    <w:rsid w:val="00DD5B29"/>
    <w:rsid w:val="00DD5BDB"/>
    <w:rsid w:val="00DD5BE9"/>
    <w:rsid w:val="00DD5FA5"/>
    <w:rsid w:val="00DD64F9"/>
    <w:rsid w:val="00DD653B"/>
    <w:rsid w:val="00DD6826"/>
    <w:rsid w:val="00DD6960"/>
    <w:rsid w:val="00DD6AD3"/>
    <w:rsid w:val="00DD6C56"/>
    <w:rsid w:val="00DD6CD0"/>
    <w:rsid w:val="00DD6E83"/>
    <w:rsid w:val="00DD7168"/>
    <w:rsid w:val="00DD737D"/>
    <w:rsid w:val="00DD743B"/>
    <w:rsid w:val="00DD7C67"/>
    <w:rsid w:val="00DE000F"/>
    <w:rsid w:val="00DE0012"/>
    <w:rsid w:val="00DE0333"/>
    <w:rsid w:val="00DE048A"/>
    <w:rsid w:val="00DE0560"/>
    <w:rsid w:val="00DE083D"/>
    <w:rsid w:val="00DE0A88"/>
    <w:rsid w:val="00DE124F"/>
    <w:rsid w:val="00DE1377"/>
    <w:rsid w:val="00DE1689"/>
    <w:rsid w:val="00DE18DC"/>
    <w:rsid w:val="00DE1923"/>
    <w:rsid w:val="00DE1B19"/>
    <w:rsid w:val="00DE1B45"/>
    <w:rsid w:val="00DE1B80"/>
    <w:rsid w:val="00DE1B9E"/>
    <w:rsid w:val="00DE1BDF"/>
    <w:rsid w:val="00DE1CAA"/>
    <w:rsid w:val="00DE1D9B"/>
    <w:rsid w:val="00DE1F01"/>
    <w:rsid w:val="00DE2056"/>
    <w:rsid w:val="00DE21BF"/>
    <w:rsid w:val="00DE232B"/>
    <w:rsid w:val="00DE24F1"/>
    <w:rsid w:val="00DE24F7"/>
    <w:rsid w:val="00DE2968"/>
    <w:rsid w:val="00DE2C64"/>
    <w:rsid w:val="00DE2DD5"/>
    <w:rsid w:val="00DE2DE7"/>
    <w:rsid w:val="00DE2F92"/>
    <w:rsid w:val="00DE302B"/>
    <w:rsid w:val="00DE321B"/>
    <w:rsid w:val="00DE322A"/>
    <w:rsid w:val="00DE33E1"/>
    <w:rsid w:val="00DE3B03"/>
    <w:rsid w:val="00DE3BCB"/>
    <w:rsid w:val="00DE3E15"/>
    <w:rsid w:val="00DE40F7"/>
    <w:rsid w:val="00DE434A"/>
    <w:rsid w:val="00DE43A8"/>
    <w:rsid w:val="00DE4408"/>
    <w:rsid w:val="00DE45FC"/>
    <w:rsid w:val="00DE47A9"/>
    <w:rsid w:val="00DE48C5"/>
    <w:rsid w:val="00DE4911"/>
    <w:rsid w:val="00DE4C3D"/>
    <w:rsid w:val="00DE4D2D"/>
    <w:rsid w:val="00DE51FB"/>
    <w:rsid w:val="00DE54AC"/>
    <w:rsid w:val="00DE54D7"/>
    <w:rsid w:val="00DE5767"/>
    <w:rsid w:val="00DE58B3"/>
    <w:rsid w:val="00DE59AC"/>
    <w:rsid w:val="00DE59FB"/>
    <w:rsid w:val="00DE5B0A"/>
    <w:rsid w:val="00DE5DEA"/>
    <w:rsid w:val="00DE5F4E"/>
    <w:rsid w:val="00DE6179"/>
    <w:rsid w:val="00DE625E"/>
    <w:rsid w:val="00DE638F"/>
    <w:rsid w:val="00DE63B2"/>
    <w:rsid w:val="00DE644B"/>
    <w:rsid w:val="00DE6ABF"/>
    <w:rsid w:val="00DE707D"/>
    <w:rsid w:val="00DE70C1"/>
    <w:rsid w:val="00DE7190"/>
    <w:rsid w:val="00DE71C3"/>
    <w:rsid w:val="00DE723C"/>
    <w:rsid w:val="00DE725E"/>
    <w:rsid w:val="00DE72F0"/>
    <w:rsid w:val="00DE732C"/>
    <w:rsid w:val="00DE744E"/>
    <w:rsid w:val="00DE7857"/>
    <w:rsid w:val="00DE795D"/>
    <w:rsid w:val="00DE7B4A"/>
    <w:rsid w:val="00DE7CA8"/>
    <w:rsid w:val="00DF0395"/>
    <w:rsid w:val="00DF04E7"/>
    <w:rsid w:val="00DF0681"/>
    <w:rsid w:val="00DF0DC5"/>
    <w:rsid w:val="00DF0E5C"/>
    <w:rsid w:val="00DF0FE0"/>
    <w:rsid w:val="00DF149D"/>
    <w:rsid w:val="00DF1592"/>
    <w:rsid w:val="00DF163C"/>
    <w:rsid w:val="00DF16AE"/>
    <w:rsid w:val="00DF1729"/>
    <w:rsid w:val="00DF17C9"/>
    <w:rsid w:val="00DF199A"/>
    <w:rsid w:val="00DF1B0E"/>
    <w:rsid w:val="00DF1B75"/>
    <w:rsid w:val="00DF1DEB"/>
    <w:rsid w:val="00DF2124"/>
    <w:rsid w:val="00DF21CF"/>
    <w:rsid w:val="00DF2401"/>
    <w:rsid w:val="00DF2480"/>
    <w:rsid w:val="00DF2574"/>
    <w:rsid w:val="00DF25D5"/>
    <w:rsid w:val="00DF2743"/>
    <w:rsid w:val="00DF2A2B"/>
    <w:rsid w:val="00DF2B18"/>
    <w:rsid w:val="00DF2DF3"/>
    <w:rsid w:val="00DF2F83"/>
    <w:rsid w:val="00DF3135"/>
    <w:rsid w:val="00DF33C1"/>
    <w:rsid w:val="00DF33EB"/>
    <w:rsid w:val="00DF3646"/>
    <w:rsid w:val="00DF3747"/>
    <w:rsid w:val="00DF3778"/>
    <w:rsid w:val="00DF37AA"/>
    <w:rsid w:val="00DF3AC2"/>
    <w:rsid w:val="00DF3AC6"/>
    <w:rsid w:val="00DF3C75"/>
    <w:rsid w:val="00DF3C85"/>
    <w:rsid w:val="00DF3C88"/>
    <w:rsid w:val="00DF3DFB"/>
    <w:rsid w:val="00DF3F8D"/>
    <w:rsid w:val="00DF42B4"/>
    <w:rsid w:val="00DF42C7"/>
    <w:rsid w:val="00DF436B"/>
    <w:rsid w:val="00DF4379"/>
    <w:rsid w:val="00DF45EA"/>
    <w:rsid w:val="00DF46DF"/>
    <w:rsid w:val="00DF491B"/>
    <w:rsid w:val="00DF4981"/>
    <w:rsid w:val="00DF49B9"/>
    <w:rsid w:val="00DF49C6"/>
    <w:rsid w:val="00DF4A33"/>
    <w:rsid w:val="00DF4A4C"/>
    <w:rsid w:val="00DF4DA5"/>
    <w:rsid w:val="00DF4DD0"/>
    <w:rsid w:val="00DF4EAF"/>
    <w:rsid w:val="00DF4F3A"/>
    <w:rsid w:val="00DF502F"/>
    <w:rsid w:val="00DF50EB"/>
    <w:rsid w:val="00DF51D2"/>
    <w:rsid w:val="00DF524D"/>
    <w:rsid w:val="00DF5325"/>
    <w:rsid w:val="00DF537C"/>
    <w:rsid w:val="00DF53AB"/>
    <w:rsid w:val="00DF562B"/>
    <w:rsid w:val="00DF59AA"/>
    <w:rsid w:val="00DF5CF7"/>
    <w:rsid w:val="00DF5D2E"/>
    <w:rsid w:val="00DF5EBA"/>
    <w:rsid w:val="00DF60D4"/>
    <w:rsid w:val="00DF61B8"/>
    <w:rsid w:val="00DF63F3"/>
    <w:rsid w:val="00DF65D9"/>
    <w:rsid w:val="00DF6760"/>
    <w:rsid w:val="00DF6A54"/>
    <w:rsid w:val="00DF6B25"/>
    <w:rsid w:val="00DF6FE8"/>
    <w:rsid w:val="00DF7030"/>
    <w:rsid w:val="00DF7068"/>
    <w:rsid w:val="00DF7205"/>
    <w:rsid w:val="00DF72BC"/>
    <w:rsid w:val="00DF72C6"/>
    <w:rsid w:val="00DF72F1"/>
    <w:rsid w:val="00DF7729"/>
    <w:rsid w:val="00DF7881"/>
    <w:rsid w:val="00DF7936"/>
    <w:rsid w:val="00DF7A63"/>
    <w:rsid w:val="00DF7F65"/>
    <w:rsid w:val="00E00528"/>
    <w:rsid w:val="00E00618"/>
    <w:rsid w:val="00E00703"/>
    <w:rsid w:val="00E0070F"/>
    <w:rsid w:val="00E008AC"/>
    <w:rsid w:val="00E00A37"/>
    <w:rsid w:val="00E00AEC"/>
    <w:rsid w:val="00E00BE0"/>
    <w:rsid w:val="00E00C84"/>
    <w:rsid w:val="00E00F78"/>
    <w:rsid w:val="00E0136C"/>
    <w:rsid w:val="00E014C8"/>
    <w:rsid w:val="00E0150F"/>
    <w:rsid w:val="00E015B2"/>
    <w:rsid w:val="00E015E5"/>
    <w:rsid w:val="00E01870"/>
    <w:rsid w:val="00E01963"/>
    <w:rsid w:val="00E019C0"/>
    <w:rsid w:val="00E01CA8"/>
    <w:rsid w:val="00E01DCD"/>
    <w:rsid w:val="00E020BF"/>
    <w:rsid w:val="00E0253F"/>
    <w:rsid w:val="00E02641"/>
    <w:rsid w:val="00E026F9"/>
    <w:rsid w:val="00E027AA"/>
    <w:rsid w:val="00E02869"/>
    <w:rsid w:val="00E02A17"/>
    <w:rsid w:val="00E02D08"/>
    <w:rsid w:val="00E02F3D"/>
    <w:rsid w:val="00E02F6A"/>
    <w:rsid w:val="00E030D8"/>
    <w:rsid w:val="00E030F4"/>
    <w:rsid w:val="00E03101"/>
    <w:rsid w:val="00E0314F"/>
    <w:rsid w:val="00E0329F"/>
    <w:rsid w:val="00E033C7"/>
    <w:rsid w:val="00E035D3"/>
    <w:rsid w:val="00E0362B"/>
    <w:rsid w:val="00E03698"/>
    <w:rsid w:val="00E036C6"/>
    <w:rsid w:val="00E03AA4"/>
    <w:rsid w:val="00E03AB0"/>
    <w:rsid w:val="00E03AD0"/>
    <w:rsid w:val="00E03C44"/>
    <w:rsid w:val="00E03CE8"/>
    <w:rsid w:val="00E03E77"/>
    <w:rsid w:val="00E03F3C"/>
    <w:rsid w:val="00E03FA8"/>
    <w:rsid w:val="00E04049"/>
    <w:rsid w:val="00E04420"/>
    <w:rsid w:val="00E045F4"/>
    <w:rsid w:val="00E04DD0"/>
    <w:rsid w:val="00E04E7A"/>
    <w:rsid w:val="00E04E94"/>
    <w:rsid w:val="00E04F47"/>
    <w:rsid w:val="00E05029"/>
    <w:rsid w:val="00E053AA"/>
    <w:rsid w:val="00E056FF"/>
    <w:rsid w:val="00E05A4D"/>
    <w:rsid w:val="00E05C61"/>
    <w:rsid w:val="00E05D58"/>
    <w:rsid w:val="00E05DA5"/>
    <w:rsid w:val="00E05FA2"/>
    <w:rsid w:val="00E05FDD"/>
    <w:rsid w:val="00E062BA"/>
    <w:rsid w:val="00E063D4"/>
    <w:rsid w:val="00E063F7"/>
    <w:rsid w:val="00E065C8"/>
    <w:rsid w:val="00E0674E"/>
    <w:rsid w:val="00E06A43"/>
    <w:rsid w:val="00E06E67"/>
    <w:rsid w:val="00E06F95"/>
    <w:rsid w:val="00E0753B"/>
    <w:rsid w:val="00E075DE"/>
    <w:rsid w:val="00E07885"/>
    <w:rsid w:val="00E079C1"/>
    <w:rsid w:val="00E07A26"/>
    <w:rsid w:val="00E07C66"/>
    <w:rsid w:val="00E07E2F"/>
    <w:rsid w:val="00E07EAD"/>
    <w:rsid w:val="00E10249"/>
    <w:rsid w:val="00E1031D"/>
    <w:rsid w:val="00E103A6"/>
    <w:rsid w:val="00E10584"/>
    <w:rsid w:val="00E105D0"/>
    <w:rsid w:val="00E10734"/>
    <w:rsid w:val="00E10D4E"/>
    <w:rsid w:val="00E10D94"/>
    <w:rsid w:val="00E10D99"/>
    <w:rsid w:val="00E10E70"/>
    <w:rsid w:val="00E10F3E"/>
    <w:rsid w:val="00E10F7B"/>
    <w:rsid w:val="00E111D3"/>
    <w:rsid w:val="00E1133B"/>
    <w:rsid w:val="00E1150B"/>
    <w:rsid w:val="00E11CB5"/>
    <w:rsid w:val="00E1219B"/>
    <w:rsid w:val="00E126B9"/>
    <w:rsid w:val="00E127F3"/>
    <w:rsid w:val="00E12988"/>
    <w:rsid w:val="00E12B0E"/>
    <w:rsid w:val="00E12B74"/>
    <w:rsid w:val="00E12E97"/>
    <w:rsid w:val="00E12ED0"/>
    <w:rsid w:val="00E12F13"/>
    <w:rsid w:val="00E12FC5"/>
    <w:rsid w:val="00E1327E"/>
    <w:rsid w:val="00E1342B"/>
    <w:rsid w:val="00E1355E"/>
    <w:rsid w:val="00E135B8"/>
    <w:rsid w:val="00E1362E"/>
    <w:rsid w:val="00E13AF5"/>
    <w:rsid w:val="00E13D67"/>
    <w:rsid w:val="00E13E1B"/>
    <w:rsid w:val="00E1413A"/>
    <w:rsid w:val="00E14297"/>
    <w:rsid w:val="00E1458E"/>
    <w:rsid w:val="00E147E7"/>
    <w:rsid w:val="00E1487D"/>
    <w:rsid w:val="00E14BBB"/>
    <w:rsid w:val="00E150F1"/>
    <w:rsid w:val="00E153A4"/>
    <w:rsid w:val="00E1540B"/>
    <w:rsid w:val="00E1558E"/>
    <w:rsid w:val="00E15759"/>
    <w:rsid w:val="00E15789"/>
    <w:rsid w:val="00E159D1"/>
    <w:rsid w:val="00E159F7"/>
    <w:rsid w:val="00E15F2F"/>
    <w:rsid w:val="00E16158"/>
    <w:rsid w:val="00E163BF"/>
    <w:rsid w:val="00E1643B"/>
    <w:rsid w:val="00E16A8F"/>
    <w:rsid w:val="00E16AA3"/>
    <w:rsid w:val="00E171BE"/>
    <w:rsid w:val="00E171FB"/>
    <w:rsid w:val="00E1723B"/>
    <w:rsid w:val="00E1743F"/>
    <w:rsid w:val="00E178EC"/>
    <w:rsid w:val="00E17CB4"/>
    <w:rsid w:val="00E20047"/>
    <w:rsid w:val="00E20434"/>
    <w:rsid w:val="00E20444"/>
    <w:rsid w:val="00E2050B"/>
    <w:rsid w:val="00E205FB"/>
    <w:rsid w:val="00E209E8"/>
    <w:rsid w:val="00E20AE7"/>
    <w:rsid w:val="00E20C04"/>
    <w:rsid w:val="00E20D27"/>
    <w:rsid w:val="00E2119D"/>
    <w:rsid w:val="00E212F3"/>
    <w:rsid w:val="00E2135D"/>
    <w:rsid w:val="00E21555"/>
    <w:rsid w:val="00E2159A"/>
    <w:rsid w:val="00E216CA"/>
    <w:rsid w:val="00E2173F"/>
    <w:rsid w:val="00E21A10"/>
    <w:rsid w:val="00E21CB0"/>
    <w:rsid w:val="00E2203F"/>
    <w:rsid w:val="00E220BB"/>
    <w:rsid w:val="00E22152"/>
    <w:rsid w:val="00E2221D"/>
    <w:rsid w:val="00E222AF"/>
    <w:rsid w:val="00E224FF"/>
    <w:rsid w:val="00E2264D"/>
    <w:rsid w:val="00E22A08"/>
    <w:rsid w:val="00E22ADC"/>
    <w:rsid w:val="00E22C6B"/>
    <w:rsid w:val="00E22CF9"/>
    <w:rsid w:val="00E22E18"/>
    <w:rsid w:val="00E234C8"/>
    <w:rsid w:val="00E235A9"/>
    <w:rsid w:val="00E23660"/>
    <w:rsid w:val="00E23843"/>
    <w:rsid w:val="00E23867"/>
    <w:rsid w:val="00E238F7"/>
    <w:rsid w:val="00E23965"/>
    <w:rsid w:val="00E23A17"/>
    <w:rsid w:val="00E23A9F"/>
    <w:rsid w:val="00E23B76"/>
    <w:rsid w:val="00E23C40"/>
    <w:rsid w:val="00E24311"/>
    <w:rsid w:val="00E24518"/>
    <w:rsid w:val="00E24528"/>
    <w:rsid w:val="00E24742"/>
    <w:rsid w:val="00E24981"/>
    <w:rsid w:val="00E24997"/>
    <w:rsid w:val="00E249BA"/>
    <w:rsid w:val="00E249FF"/>
    <w:rsid w:val="00E24A87"/>
    <w:rsid w:val="00E24F59"/>
    <w:rsid w:val="00E2543C"/>
    <w:rsid w:val="00E256CE"/>
    <w:rsid w:val="00E25E18"/>
    <w:rsid w:val="00E25EFE"/>
    <w:rsid w:val="00E26014"/>
    <w:rsid w:val="00E26544"/>
    <w:rsid w:val="00E2658E"/>
    <w:rsid w:val="00E265E9"/>
    <w:rsid w:val="00E266D3"/>
    <w:rsid w:val="00E26865"/>
    <w:rsid w:val="00E26870"/>
    <w:rsid w:val="00E26C05"/>
    <w:rsid w:val="00E26CE6"/>
    <w:rsid w:val="00E26D9D"/>
    <w:rsid w:val="00E26E1A"/>
    <w:rsid w:val="00E26E81"/>
    <w:rsid w:val="00E26F13"/>
    <w:rsid w:val="00E26FF3"/>
    <w:rsid w:val="00E2728B"/>
    <w:rsid w:val="00E274E9"/>
    <w:rsid w:val="00E2753E"/>
    <w:rsid w:val="00E27750"/>
    <w:rsid w:val="00E277C9"/>
    <w:rsid w:val="00E27A84"/>
    <w:rsid w:val="00E27B39"/>
    <w:rsid w:val="00E27C1F"/>
    <w:rsid w:val="00E27E8E"/>
    <w:rsid w:val="00E27F1A"/>
    <w:rsid w:val="00E30045"/>
    <w:rsid w:val="00E30370"/>
    <w:rsid w:val="00E30878"/>
    <w:rsid w:val="00E308DD"/>
    <w:rsid w:val="00E30A89"/>
    <w:rsid w:val="00E30AC1"/>
    <w:rsid w:val="00E31409"/>
    <w:rsid w:val="00E3174B"/>
    <w:rsid w:val="00E31B3E"/>
    <w:rsid w:val="00E31DC3"/>
    <w:rsid w:val="00E31F81"/>
    <w:rsid w:val="00E32156"/>
    <w:rsid w:val="00E32214"/>
    <w:rsid w:val="00E3226C"/>
    <w:rsid w:val="00E32835"/>
    <w:rsid w:val="00E32AA5"/>
    <w:rsid w:val="00E32B85"/>
    <w:rsid w:val="00E32BAA"/>
    <w:rsid w:val="00E32D28"/>
    <w:rsid w:val="00E32EC1"/>
    <w:rsid w:val="00E330B5"/>
    <w:rsid w:val="00E33247"/>
    <w:rsid w:val="00E33272"/>
    <w:rsid w:val="00E3332A"/>
    <w:rsid w:val="00E33851"/>
    <w:rsid w:val="00E339D2"/>
    <w:rsid w:val="00E33A67"/>
    <w:rsid w:val="00E33D2F"/>
    <w:rsid w:val="00E33EAF"/>
    <w:rsid w:val="00E34416"/>
    <w:rsid w:val="00E34885"/>
    <w:rsid w:val="00E348D1"/>
    <w:rsid w:val="00E34965"/>
    <w:rsid w:val="00E34B64"/>
    <w:rsid w:val="00E34CB5"/>
    <w:rsid w:val="00E34DE0"/>
    <w:rsid w:val="00E3503E"/>
    <w:rsid w:val="00E3538B"/>
    <w:rsid w:val="00E355E2"/>
    <w:rsid w:val="00E355ED"/>
    <w:rsid w:val="00E35708"/>
    <w:rsid w:val="00E3570C"/>
    <w:rsid w:val="00E358E8"/>
    <w:rsid w:val="00E364AF"/>
    <w:rsid w:val="00E36822"/>
    <w:rsid w:val="00E36B8C"/>
    <w:rsid w:val="00E36FF3"/>
    <w:rsid w:val="00E37077"/>
    <w:rsid w:val="00E370D2"/>
    <w:rsid w:val="00E37108"/>
    <w:rsid w:val="00E37423"/>
    <w:rsid w:val="00E37489"/>
    <w:rsid w:val="00E376D1"/>
    <w:rsid w:val="00E37A7D"/>
    <w:rsid w:val="00E40324"/>
    <w:rsid w:val="00E404E1"/>
    <w:rsid w:val="00E40661"/>
    <w:rsid w:val="00E406F5"/>
    <w:rsid w:val="00E4073A"/>
    <w:rsid w:val="00E407C5"/>
    <w:rsid w:val="00E409AD"/>
    <w:rsid w:val="00E40A62"/>
    <w:rsid w:val="00E40B0B"/>
    <w:rsid w:val="00E40D6A"/>
    <w:rsid w:val="00E41033"/>
    <w:rsid w:val="00E4109B"/>
    <w:rsid w:val="00E41187"/>
    <w:rsid w:val="00E412EC"/>
    <w:rsid w:val="00E41BAC"/>
    <w:rsid w:val="00E41C4F"/>
    <w:rsid w:val="00E41D27"/>
    <w:rsid w:val="00E41E22"/>
    <w:rsid w:val="00E41E8C"/>
    <w:rsid w:val="00E41FCE"/>
    <w:rsid w:val="00E42505"/>
    <w:rsid w:val="00E426CB"/>
    <w:rsid w:val="00E4283A"/>
    <w:rsid w:val="00E42873"/>
    <w:rsid w:val="00E429E4"/>
    <w:rsid w:val="00E42E4D"/>
    <w:rsid w:val="00E43369"/>
    <w:rsid w:val="00E43679"/>
    <w:rsid w:val="00E436A3"/>
    <w:rsid w:val="00E43D10"/>
    <w:rsid w:val="00E43D2D"/>
    <w:rsid w:val="00E44085"/>
    <w:rsid w:val="00E44272"/>
    <w:rsid w:val="00E442A6"/>
    <w:rsid w:val="00E442C7"/>
    <w:rsid w:val="00E445FF"/>
    <w:rsid w:val="00E446FE"/>
    <w:rsid w:val="00E44C7C"/>
    <w:rsid w:val="00E44DD1"/>
    <w:rsid w:val="00E44FE6"/>
    <w:rsid w:val="00E450E2"/>
    <w:rsid w:val="00E45668"/>
    <w:rsid w:val="00E45A7A"/>
    <w:rsid w:val="00E45ADB"/>
    <w:rsid w:val="00E45C65"/>
    <w:rsid w:val="00E45E26"/>
    <w:rsid w:val="00E46104"/>
    <w:rsid w:val="00E4613F"/>
    <w:rsid w:val="00E4659B"/>
    <w:rsid w:val="00E465A3"/>
    <w:rsid w:val="00E46A0A"/>
    <w:rsid w:val="00E46C2F"/>
    <w:rsid w:val="00E471B2"/>
    <w:rsid w:val="00E47358"/>
    <w:rsid w:val="00E47577"/>
    <w:rsid w:val="00E47666"/>
    <w:rsid w:val="00E4771F"/>
    <w:rsid w:val="00E4779B"/>
    <w:rsid w:val="00E477B4"/>
    <w:rsid w:val="00E4D8EE"/>
    <w:rsid w:val="00E50089"/>
    <w:rsid w:val="00E50329"/>
    <w:rsid w:val="00E506D0"/>
    <w:rsid w:val="00E50791"/>
    <w:rsid w:val="00E50A21"/>
    <w:rsid w:val="00E50DAF"/>
    <w:rsid w:val="00E50F85"/>
    <w:rsid w:val="00E50F9E"/>
    <w:rsid w:val="00E5105B"/>
    <w:rsid w:val="00E5112A"/>
    <w:rsid w:val="00E51197"/>
    <w:rsid w:val="00E51439"/>
    <w:rsid w:val="00E51505"/>
    <w:rsid w:val="00E51779"/>
    <w:rsid w:val="00E518E4"/>
    <w:rsid w:val="00E51AF6"/>
    <w:rsid w:val="00E51B39"/>
    <w:rsid w:val="00E51C97"/>
    <w:rsid w:val="00E520B6"/>
    <w:rsid w:val="00E5215F"/>
    <w:rsid w:val="00E5221D"/>
    <w:rsid w:val="00E52369"/>
    <w:rsid w:val="00E5270C"/>
    <w:rsid w:val="00E52845"/>
    <w:rsid w:val="00E52AFE"/>
    <w:rsid w:val="00E52D4A"/>
    <w:rsid w:val="00E52E53"/>
    <w:rsid w:val="00E52F07"/>
    <w:rsid w:val="00E53033"/>
    <w:rsid w:val="00E530B7"/>
    <w:rsid w:val="00E530F6"/>
    <w:rsid w:val="00E531FE"/>
    <w:rsid w:val="00E53585"/>
    <w:rsid w:val="00E53F2A"/>
    <w:rsid w:val="00E5432C"/>
    <w:rsid w:val="00E543AA"/>
    <w:rsid w:val="00E545EB"/>
    <w:rsid w:val="00E5481A"/>
    <w:rsid w:val="00E54C86"/>
    <w:rsid w:val="00E54D1D"/>
    <w:rsid w:val="00E54F10"/>
    <w:rsid w:val="00E54F9F"/>
    <w:rsid w:val="00E558E4"/>
    <w:rsid w:val="00E55C8C"/>
    <w:rsid w:val="00E5610F"/>
    <w:rsid w:val="00E562D5"/>
    <w:rsid w:val="00E56405"/>
    <w:rsid w:val="00E565BC"/>
    <w:rsid w:val="00E565BE"/>
    <w:rsid w:val="00E5666A"/>
    <w:rsid w:val="00E56724"/>
    <w:rsid w:val="00E568F4"/>
    <w:rsid w:val="00E56AF7"/>
    <w:rsid w:val="00E56B46"/>
    <w:rsid w:val="00E56D5B"/>
    <w:rsid w:val="00E56D6F"/>
    <w:rsid w:val="00E56FB5"/>
    <w:rsid w:val="00E57013"/>
    <w:rsid w:val="00E57052"/>
    <w:rsid w:val="00E57332"/>
    <w:rsid w:val="00E578A0"/>
    <w:rsid w:val="00E5797D"/>
    <w:rsid w:val="00E57CEA"/>
    <w:rsid w:val="00E60181"/>
    <w:rsid w:val="00E6058F"/>
    <w:rsid w:val="00E606EB"/>
    <w:rsid w:val="00E60759"/>
    <w:rsid w:val="00E607AF"/>
    <w:rsid w:val="00E609B4"/>
    <w:rsid w:val="00E609ED"/>
    <w:rsid w:val="00E60B79"/>
    <w:rsid w:val="00E60BF4"/>
    <w:rsid w:val="00E60C3A"/>
    <w:rsid w:val="00E6100D"/>
    <w:rsid w:val="00E6107B"/>
    <w:rsid w:val="00E61325"/>
    <w:rsid w:val="00E6132C"/>
    <w:rsid w:val="00E613A0"/>
    <w:rsid w:val="00E61510"/>
    <w:rsid w:val="00E61581"/>
    <w:rsid w:val="00E615B1"/>
    <w:rsid w:val="00E61886"/>
    <w:rsid w:val="00E61BB2"/>
    <w:rsid w:val="00E61C0D"/>
    <w:rsid w:val="00E61E3D"/>
    <w:rsid w:val="00E62295"/>
    <w:rsid w:val="00E62460"/>
    <w:rsid w:val="00E62575"/>
    <w:rsid w:val="00E62593"/>
    <w:rsid w:val="00E62891"/>
    <w:rsid w:val="00E62CD3"/>
    <w:rsid w:val="00E62D88"/>
    <w:rsid w:val="00E62ED4"/>
    <w:rsid w:val="00E62F20"/>
    <w:rsid w:val="00E632BB"/>
    <w:rsid w:val="00E6331B"/>
    <w:rsid w:val="00E63444"/>
    <w:rsid w:val="00E63547"/>
    <w:rsid w:val="00E63590"/>
    <w:rsid w:val="00E6360F"/>
    <w:rsid w:val="00E636EB"/>
    <w:rsid w:val="00E63830"/>
    <w:rsid w:val="00E63BE6"/>
    <w:rsid w:val="00E63F09"/>
    <w:rsid w:val="00E63F3C"/>
    <w:rsid w:val="00E641B2"/>
    <w:rsid w:val="00E6429E"/>
    <w:rsid w:val="00E644B2"/>
    <w:rsid w:val="00E646B6"/>
    <w:rsid w:val="00E64977"/>
    <w:rsid w:val="00E64C36"/>
    <w:rsid w:val="00E64D25"/>
    <w:rsid w:val="00E64D71"/>
    <w:rsid w:val="00E653CD"/>
    <w:rsid w:val="00E65517"/>
    <w:rsid w:val="00E6574F"/>
    <w:rsid w:val="00E65759"/>
    <w:rsid w:val="00E658E3"/>
    <w:rsid w:val="00E65A0A"/>
    <w:rsid w:val="00E65A10"/>
    <w:rsid w:val="00E65C46"/>
    <w:rsid w:val="00E65F01"/>
    <w:rsid w:val="00E66096"/>
    <w:rsid w:val="00E663C3"/>
    <w:rsid w:val="00E664B4"/>
    <w:rsid w:val="00E666A3"/>
    <w:rsid w:val="00E66708"/>
    <w:rsid w:val="00E6683E"/>
    <w:rsid w:val="00E6686F"/>
    <w:rsid w:val="00E6690C"/>
    <w:rsid w:val="00E66912"/>
    <w:rsid w:val="00E66F3B"/>
    <w:rsid w:val="00E66F46"/>
    <w:rsid w:val="00E6708D"/>
    <w:rsid w:val="00E672BC"/>
    <w:rsid w:val="00E672D6"/>
    <w:rsid w:val="00E67407"/>
    <w:rsid w:val="00E67450"/>
    <w:rsid w:val="00E67892"/>
    <w:rsid w:val="00E678C2"/>
    <w:rsid w:val="00E6795E"/>
    <w:rsid w:val="00E67BAC"/>
    <w:rsid w:val="00E67C2B"/>
    <w:rsid w:val="00E67C6A"/>
    <w:rsid w:val="00E67E83"/>
    <w:rsid w:val="00E70123"/>
    <w:rsid w:val="00E701F1"/>
    <w:rsid w:val="00E7037E"/>
    <w:rsid w:val="00E70388"/>
    <w:rsid w:val="00E70601"/>
    <w:rsid w:val="00E7062A"/>
    <w:rsid w:val="00E7066A"/>
    <w:rsid w:val="00E7082B"/>
    <w:rsid w:val="00E708BA"/>
    <w:rsid w:val="00E70965"/>
    <w:rsid w:val="00E70D5F"/>
    <w:rsid w:val="00E70EA3"/>
    <w:rsid w:val="00E710E6"/>
    <w:rsid w:val="00E7123C"/>
    <w:rsid w:val="00E71288"/>
    <w:rsid w:val="00E7128C"/>
    <w:rsid w:val="00E7129A"/>
    <w:rsid w:val="00E71458"/>
    <w:rsid w:val="00E7192C"/>
    <w:rsid w:val="00E71B1B"/>
    <w:rsid w:val="00E7231B"/>
    <w:rsid w:val="00E724F1"/>
    <w:rsid w:val="00E726CF"/>
    <w:rsid w:val="00E72BBA"/>
    <w:rsid w:val="00E72D59"/>
    <w:rsid w:val="00E72DE2"/>
    <w:rsid w:val="00E72F5D"/>
    <w:rsid w:val="00E7345F"/>
    <w:rsid w:val="00E735CE"/>
    <w:rsid w:val="00E735E4"/>
    <w:rsid w:val="00E736C4"/>
    <w:rsid w:val="00E73828"/>
    <w:rsid w:val="00E738C0"/>
    <w:rsid w:val="00E73B69"/>
    <w:rsid w:val="00E73B91"/>
    <w:rsid w:val="00E73BBE"/>
    <w:rsid w:val="00E73BEF"/>
    <w:rsid w:val="00E73F84"/>
    <w:rsid w:val="00E742CE"/>
    <w:rsid w:val="00E74408"/>
    <w:rsid w:val="00E745BB"/>
    <w:rsid w:val="00E74675"/>
    <w:rsid w:val="00E74703"/>
    <w:rsid w:val="00E74B91"/>
    <w:rsid w:val="00E74DEE"/>
    <w:rsid w:val="00E74F51"/>
    <w:rsid w:val="00E753CC"/>
    <w:rsid w:val="00E755E5"/>
    <w:rsid w:val="00E75A42"/>
    <w:rsid w:val="00E75C13"/>
    <w:rsid w:val="00E75E15"/>
    <w:rsid w:val="00E760F0"/>
    <w:rsid w:val="00E7614D"/>
    <w:rsid w:val="00E76171"/>
    <w:rsid w:val="00E7621A"/>
    <w:rsid w:val="00E76259"/>
    <w:rsid w:val="00E763BB"/>
    <w:rsid w:val="00E76449"/>
    <w:rsid w:val="00E765E9"/>
    <w:rsid w:val="00E7680B"/>
    <w:rsid w:val="00E768E4"/>
    <w:rsid w:val="00E76A12"/>
    <w:rsid w:val="00E76A29"/>
    <w:rsid w:val="00E76D8F"/>
    <w:rsid w:val="00E77064"/>
    <w:rsid w:val="00E773F4"/>
    <w:rsid w:val="00E77547"/>
    <w:rsid w:val="00E77726"/>
    <w:rsid w:val="00E7776A"/>
    <w:rsid w:val="00E777D6"/>
    <w:rsid w:val="00E77A02"/>
    <w:rsid w:val="00E80028"/>
    <w:rsid w:val="00E804F7"/>
    <w:rsid w:val="00E805ED"/>
    <w:rsid w:val="00E808C0"/>
    <w:rsid w:val="00E8097D"/>
    <w:rsid w:val="00E80DC0"/>
    <w:rsid w:val="00E80FD8"/>
    <w:rsid w:val="00E81353"/>
    <w:rsid w:val="00E81398"/>
    <w:rsid w:val="00E81581"/>
    <w:rsid w:val="00E81680"/>
    <w:rsid w:val="00E817E1"/>
    <w:rsid w:val="00E8186A"/>
    <w:rsid w:val="00E818DA"/>
    <w:rsid w:val="00E81BE5"/>
    <w:rsid w:val="00E81C5B"/>
    <w:rsid w:val="00E81E96"/>
    <w:rsid w:val="00E81E9F"/>
    <w:rsid w:val="00E81EF3"/>
    <w:rsid w:val="00E81FA8"/>
    <w:rsid w:val="00E8239D"/>
    <w:rsid w:val="00E82604"/>
    <w:rsid w:val="00E82934"/>
    <w:rsid w:val="00E82A13"/>
    <w:rsid w:val="00E82D5B"/>
    <w:rsid w:val="00E82F92"/>
    <w:rsid w:val="00E82FA1"/>
    <w:rsid w:val="00E83394"/>
    <w:rsid w:val="00E838E4"/>
    <w:rsid w:val="00E83D43"/>
    <w:rsid w:val="00E83D68"/>
    <w:rsid w:val="00E83E23"/>
    <w:rsid w:val="00E8409C"/>
    <w:rsid w:val="00E840D6"/>
    <w:rsid w:val="00E842A5"/>
    <w:rsid w:val="00E8430F"/>
    <w:rsid w:val="00E8438F"/>
    <w:rsid w:val="00E84698"/>
    <w:rsid w:val="00E8473B"/>
    <w:rsid w:val="00E847FC"/>
    <w:rsid w:val="00E8484E"/>
    <w:rsid w:val="00E84911"/>
    <w:rsid w:val="00E84942"/>
    <w:rsid w:val="00E84CFF"/>
    <w:rsid w:val="00E84DD7"/>
    <w:rsid w:val="00E84F5F"/>
    <w:rsid w:val="00E850B1"/>
    <w:rsid w:val="00E851A2"/>
    <w:rsid w:val="00E85872"/>
    <w:rsid w:val="00E8590D"/>
    <w:rsid w:val="00E85B81"/>
    <w:rsid w:val="00E85BC0"/>
    <w:rsid w:val="00E85CA2"/>
    <w:rsid w:val="00E85D7C"/>
    <w:rsid w:val="00E85E77"/>
    <w:rsid w:val="00E85F1E"/>
    <w:rsid w:val="00E860EF"/>
    <w:rsid w:val="00E86184"/>
    <w:rsid w:val="00E8648A"/>
    <w:rsid w:val="00E86818"/>
    <w:rsid w:val="00E86DE2"/>
    <w:rsid w:val="00E86F02"/>
    <w:rsid w:val="00E8711D"/>
    <w:rsid w:val="00E87122"/>
    <w:rsid w:val="00E871AE"/>
    <w:rsid w:val="00E8724B"/>
    <w:rsid w:val="00E874A7"/>
    <w:rsid w:val="00E87750"/>
    <w:rsid w:val="00E87789"/>
    <w:rsid w:val="00E8788F"/>
    <w:rsid w:val="00E878FA"/>
    <w:rsid w:val="00E879E1"/>
    <w:rsid w:val="00E879EB"/>
    <w:rsid w:val="00E87B68"/>
    <w:rsid w:val="00E87BA7"/>
    <w:rsid w:val="00E87BC7"/>
    <w:rsid w:val="00E90080"/>
    <w:rsid w:val="00E900D3"/>
    <w:rsid w:val="00E90134"/>
    <w:rsid w:val="00E903E9"/>
    <w:rsid w:val="00E90807"/>
    <w:rsid w:val="00E9088F"/>
    <w:rsid w:val="00E90891"/>
    <w:rsid w:val="00E909A6"/>
    <w:rsid w:val="00E90C16"/>
    <w:rsid w:val="00E90C3D"/>
    <w:rsid w:val="00E90CA0"/>
    <w:rsid w:val="00E90DB9"/>
    <w:rsid w:val="00E90EB7"/>
    <w:rsid w:val="00E9119E"/>
    <w:rsid w:val="00E911FC"/>
    <w:rsid w:val="00E9125D"/>
    <w:rsid w:val="00E9134D"/>
    <w:rsid w:val="00E913ED"/>
    <w:rsid w:val="00E913EF"/>
    <w:rsid w:val="00E9161E"/>
    <w:rsid w:val="00E916FA"/>
    <w:rsid w:val="00E91895"/>
    <w:rsid w:val="00E918C9"/>
    <w:rsid w:val="00E91AB7"/>
    <w:rsid w:val="00E91C60"/>
    <w:rsid w:val="00E92337"/>
    <w:rsid w:val="00E92B1F"/>
    <w:rsid w:val="00E92B58"/>
    <w:rsid w:val="00E92B9B"/>
    <w:rsid w:val="00E92CBA"/>
    <w:rsid w:val="00E93185"/>
    <w:rsid w:val="00E931C6"/>
    <w:rsid w:val="00E932C4"/>
    <w:rsid w:val="00E93400"/>
    <w:rsid w:val="00E934C4"/>
    <w:rsid w:val="00E93767"/>
    <w:rsid w:val="00E93839"/>
    <w:rsid w:val="00E93852"/>
    <w:rsid w:val="00E93A0E"/>
    <w:rsid w:val="00E93B28"/>
    <w:rsid w:val="00E93BED"/>
    <w:rsid w:val="00E93F60"/>
    <w:rsid w:val="00E93FAF"/>
    <w:rsid w:val="00E9406A"/>
    <w:rsid w:val="00E94206"/>
    <w:rsid w:val="00E94588"/>
    <w:rsid w:val="00E94607"/>
    <w:rsid w:val="00E94780"/>
    <w:rsid w:val="00E947D6"/>
    <w:rsid w:val="00E949D0"/>
    <w:rsid w:val="00E94A78"/>
    <w:rsid w:val="00E94B3D"/>
    <w:rsid w:val="00E94B95"/>
    <w:rsid w:val="00E94ECA"/>
    <w:rsid w:val="00E94EE7"/>
    <w:rsid w:val="00E94F01"/>
    <w:rsid w:val="00E94F48"/>
    <w:rsid w:val="00E9543D"/>
    <w:rsid w:val="00E9579D"/>
    <w:rsid w:val="00E9598A"/>
    <w:rsid w:val="00E95A18"/>
    <w:rsid w:val="00E95F0C"/>
    <w:rsid w:val="00E960F7"/>
    <w:rsid w:val="00E961B9"/>
    <w:rsid w:val="00E963F8"/>
    <w:rsid w:val="00E96B3D"/>
    <w:rsid w:val="00E96F04"/>
    <w:rsid w:val="00E96F77"/>
    <w:rsid w:val="00E97347"/>
    <w:rsid w:val="00E9743A"/>
    <w:rsid w:val="00E974E1"/>
    <w:rsid w:val="00E9761F"/>
    <w:rsid w:val="00E977F9"/>
    <w:rsid w:val="00E9785B"/>
    <w:rsid w:val="00E97B36"/>
    <w:rsid w:val="00E97D75"/>
    <w:rsid w:val="00E97EF2"/>
    <w:rsid w:val="00EA030C"/>
    <w:rsid w:val="00EA0591"/>
    <w:rsid w:val="00EA0953"/>
    <w:rsid w:val="00EA09A3"/>
    <w:rsid w:val="00EA0B12"/>
    <w:rsid w:val="00EA0C3C"/>
    <w:rsid w:val="00EA0C41"/>
    <w:rsid w:val="00EA0F01"/>
    <w:rsid w:val="00EA0F25"/>
    <w:rsid w:val="00EA0F63"/>
    <w:rsid w:val="00EA1069"/>
    <w:rsid w:val="00EA107E"/>
    <w:rsid w:val="00EA1663"/>
    <w:rsid w:val="00EA16FA"/>
    <w:rsid w:val="00EA17A4"/>
    <w:rsid w:val="00EA1965"/>
    <w:rsid w:val="00EA19D5"/>
    <w:rsid w:val="00EA1A60"/>
    <w:rsid w:val="00EA1AA4"/>
    <w:rsid w:val="00EA1E64"/>
    <w:rsid w:val="00EA2689"/>
    <w:rsid w:val="00EA26E7"/>
    <w:rsid w:val="00EA28A0"/>
    <w:rsid w:val="00EA2924"/>
    <w:rsid w:val="00EA29A9"/>
    <w:rsid w:val="00EA29D2"/>
    <w:rsid w:val="00EA2A3A"/>
    <w:rsid w:val="00EA2B1A"/>
    <w:rsid w:val="00EA2C00"/>
    <w:rsid w:val="00EA30EF"/>
    <w:rsid w:val="00EA3364"/>
    <w:rsid w:val="00EA346A"/>
    <w:rsid w:val="00EA3C1A"/>
    <w:rsid w:val="00EA4006"/>
    <w:rsid w:val="00EA428C"/>
    <w:rsid w:val="00EA42F3"/>
    <w:rsid w:val="00EA4369"/>
    <w:rsid w:val="00EA4444"/>
    <w:rsid w:val="00EA4D70"/>
    <w:rsid w:val="00EA4E0C"/>
    <w:rsid w:val="00EA4E3B"/>
    <w:rsid w:val="00EA5855"/>
    <w:rsid w:val="00EA5936"/>
    <w:rsid w:val="00EA5EF6"/>
    <w:rsid w:val="00EA65BD"/>
    <w:rsid w:val="00EA6756"/>
    <w:rsid w:val="00EA6988"/>
    <w:rsid w:val="00EA6D3E"/>
    <w:rsid w:val="00EA6E68"/>
    <w:rsid w:val="00EA70BF"/>
    <w:rsid w:val="00EA749F"/>
    <w:rsid w:val="00EA7B68"/>
    <w:rsid w:val="00EA7C22"/>
    <w:rsid w:val="00EA7C90"/>
    <w:rsid w:val="00EA7CDD"/>
    <w:rsid w:val="00EA7E21"/>
    <w:rsid w:val="00EB02F5"/>
    <w:rsid w:val="00EB032B"/>
    <w:rsid w:val="00EB033D"/>
    <w:rsid w:val="00EB0347"/>
    <w:rsid w:val="00EB06C9"/>
    <w:rsid w:val="00EB0745"/>
    <w:rsid w:val="00EB07F7"/>
    <w:rsid w:val="00EB0A0C"/>
    <w:rsid w:val="00EB0C2B"/>
    <w:rsid w:val="00EB119F"/>
    <w:rsid w:val="00EB121E"/>
    <w:rsid w:val="00EB12F3"/>
    <w:rsid w:val="00EB165F"/>
    <w:rsid w:val="00EB19EC"/>
    <w:rsid w:val="00EB1AE4"/>
    <w:rsid w:val="00EB1B21"/>
    <w:rsid w:val="00EB1BF8"/>
    <w:rsid w:val="00EB1C8B"/>
    <w:rsid w:val="00EB1DD2"/>
    <w:rsid w:val="00EB20B6"/>
    <w:rsid w:val="00EB238C"/>
    <w:rsid w:val="00EB24BE"/>
    <w:rsid w:val="00EB2841"/>
    <w:rsid w:val="00EB28C8"/>
    <w:rsid w:val="00EB2F39"/>
    <w:rsid w:val="00EB33D4"/>
    <w:rsid w:val="00EB355A"/>
    <w:rsid w:val="00EB36DE"/>
    <w:rsid w:val="00EB383F"/>
    <w:rsid w:val="00EB391E"/>
    <w:rsid w:val="00EB3929"/>
    <w:rsid w:val="00EB396E"/>
    <w:rsid w:val="00EB3B22"/>
    <w:rsid w:val="00EB3D7C"/>
    <w:rsid w:val="00EB4301"/>
    <w:rsid w:val="00EB44A0"/>
    <w:rsid w:val="00EB44A6"/>
    <w:rsid w:val="00EB44A7"/>
    <w:rsid w:val="00EB44CE"/>
    <w:rsid w:val="00EB475D"/>
    <w:rsid w:val="00EB47B1"/>
    <w:rsid w:val="00EB4A15"/>
    <w:rsid w:val="00EB4C0F"/>
    <w:rsid w:val="00EB4D78"/>
    <w:rsid w:val="00EB4E5A"/>
    <w:rsid w:val="00EB5281"/>
    <w:rsid w:val="00EB53B9"/>
    <w:rsid w:val="00EB53C7"/>
    <w:rsid w:val="00EB54FA"/>
    <w:rsid w:val="00EB5755"/>
    <w:rsid w:val="00EB5A1C"/>
    <w:rsid w:val="00EB5B41"/>
    <w:rsid w:val="00EB5D15"/>
    <w:rsid w:val="00EB5D81"/>
    <w:rsid w:val="00EB5EF7"/>
    <w:rsid w:val="00EB5F7E"/>
    <w:rsid w:val="00EB5F7F"/>
    <w:rsid w:val="00EB6386"/>
    <w:rsid w:val="00EB65EB"/>
    <w:rsid w:val="00EB6679"/>
    <w:rsid w:val="00EB690E"/>
    <w:rsid w:val="00EB6D88"/>
    <w:rsid w:val="00EB6D9F"/>
    <w:rsid w:val="00EB6F8B"/>
    <w:rsid w:val="00EB7098"/>
    <w:rsid w:val="00EB716E"/>
    <w:rsid w:val="00EB7439"/>
    <w:rsid w:val="00EB79B8"/>
    <w:rsid w:val="00EB7B66"/>
    <w:rsid w:val="00EB7DF8"/>
    <w:rsid w:val="00EB7E34"/>
    <w:rsid w:val="00EC02A8"/>
    <w:rsid w:val="00EC0320"/>
    <w:rsid w:val="00EC072F"/>
    <w:rsid w:val="00EC0740"/>
    <w:rsid w:val="00EC079A"/>
    <w:rsid w:val="00EC07C2"/>
    <w:rsid w:val="00EC0884"/>
    <w:rsid w:val="00EC08AE"/>
    <w:rsid w:val="00EC0911"/>
    <w:rsid w:val="00EC0ABB"/>
    <w:rsid w:val="00EC0B35"/>
    <w:rsid w:val="00EC0CB8"/>
    <w:rsid w:val="00EC0F1E"/>
    <w:rsid w:val="00EC1266"/>
    <w:rsid w:val="00EC1643"/>
    <w:rsid w:val="00EC1753"/>
    <w:rsid w:val="00EC17DD"/>
    <w:rsid w:val="00EC1C12"/>
    <w:rsid w:val="00EC1D5C"/>
    <w:rsid w:val="00EC2470"/>
    <w:rsid w:val="00EC251B"/>
    <w:rsid w:val="00EC26D0"/>
    <w:rsid w:val="00EC2716"/>
    <w:rsid w:val="00EC2810"/>
    <w:rsid w:val="00EC286E"/>
    <w:rsid w:val="00EC29FA"/>
    <w:rsid w:val="00EC2D9D"/>
    <w:rsid w:val="00EC2E0C"/>
    <w:rsid w:val="00EC2E84"/>
    <w:rsid w:val="00EC2EF6"/>
    <w:rsid w:val="00EC30DE"/>
    <w:rsid w:val="00EC3329"/>
    <w:rsid w:val="00EC3571"/>
    <w:rsid w:val="00EC3948"/>
    <w:rsid w:val="00EC3BDB"/>
    <w:rsid w:val="00EC3D2E"/>
    <w:rsid w:val="00EC3D52"/>
    <w:rsid w:val="00EC3DFB"/>
    <w:rsid w:val="00EC3F28"/>
    <w:rsid w:val="00EC4095"/>
    <w:rsid w:val="00EC4354"/>
    <w:rsid w:val="00EC43E4"/>
    <w:rsid w:val="00EC4667"/>
    <w:rsid w:val="00EC47ED"/>
    <w:rsid w:val="00EC4852"/>
    <w:rsid w:val="00EC494A"/>
    <w:rsid w:val="00EC4BD9"/>
    <w:rsid w:val="00EC4DE2"/>
    <w:rsid w:val="00EC4E03"/>
    <w:rsid w:val="00EC4F0B"/>
    <w:rsid w:val="00EC4FB2"/>
    <w:rsid w:val="00EC5126"/>
    <w:rsid w:val="00EC538C"/>
    <w:rsid w:val="00EC5445"/>
    <w:rsid w:val="00EC54D4"/>
    <w:rsid w:val="00EC5836"/>
    <w:rsid w:val="00EC5845"/>
    <w:rsid w:val="00EC5877"/>
    <w:rsid w:val="00EC58A7"/>
    <w:rsid w:val="00EC5910"/>
    <w:rsid w:val="00EC5957"/>
    <w:rsid w:val="00EC5AA6"/>
    <w:rsid w:val="00EC5B1B"/>
    <w:rsid w:val="00EC5B3A"/>
    <w:rsid w:val="00EC5B70"/>
    <w:rsid w:val="00EC5B87"/>
    <w:rsid w:val="00EC5D47"/>
    <w:rsid w:val="00EC6181"/>
    <w:rsid w:val="00EC6350"/>
    <w:rsid w:val="00EC65BE"/>
    <w:rsid w:val="00EC6818"/>
    <w:rsid w:val="00EC6B26"/>
    <w:rsid w:val="00EC6B8D"/>
    <w:rsid w:val="00EC72B1"/>
    <w:rsid w:val="00EC72DB"/>
    <w:rsid w:val="00EC772D"/>
    <w:rsid w:val="00EC7754"/>
    <w:rsid w:val="00EC77CA"/>
    <w:rsid w:val="00EC791F"/>
    <w:rsid w:val="00ED00C0"/>
    <w:rsid w:val="00ED01D6"/>
    <w:rsid w:val="00ED0298"/>
    <w:rsid w:val="00ED035E"/>
    <w:rsid w:val="00ED0360"/>
    <w:rsid w:val="00ED0572"/>
    <w:rsid w:val="00ED0702"/>
    <w:rsid w:val="00ED0A00"/>
    <w:rsid w:val="00ED0BFD"/>
    <w:rsid w:val="00ED0D20"/>
    <w:rsid w:val="00ED1061"/>
    <w:rsid w:val="00ED1163"/>
    <w:rsid w:val="00ED150A"/>
    <w:rsid w:val="00ED16E1"/>
    <w:rsid w:val="00ED1A6C"/>
    <w:rsid w:val="00ED1A7D"/>
    <w:rsid w:val="00ED1ACE"/>
    <w:rsid w:val="00ED1AD4"/>
    <w:rsid w:val="00ED1DB8"/>
    <w:rsid w:val="00ED1E73"/>
    <w:rsid w:val="00ED2336"/>
    <w:rsid w:val="00ED2427"/>
    <w:rsid w:val="00ED24E4"/>
    <w:rsid w:val="00ED267E"/>
    <w:rsid w:val="00ED2945"/>
    <w:rsid w:val="00ED2FBD"/>
    <w:rsid w:val="00ED2FD5"/>
    <w:rsid w:val="00ED3026"/>
    <w:rsid w:val="00ED303C"/>
    <w:rsid w:val="00ED30A6"/>
    <w:rsid w:val="00ED30AC"/>
    <w:rsid w:val="00ED341C"/>
    <w:rsid w:val="00ED350C"/>
    <w:rsid w:val="00ED355D"/>
    <w:rsid w:val="00ED3588"/>
    <w:rsid w:val="00ED35C8"/>
    <w:rsid w:val="00ED3744"/>
    <w:rsid w:val="00ED3756"/>
    <w:rsid w:val="00ED376D"/>
    <w:rsid w:val="00ED3809"/>
    <w:rsid w:val="00ED385B"/>
    <w:rsid w:val="00ED394E"/>
    <w:rsid w:val="00ED395B"/>
    <w:rsid w:val="00ED3A10"/>
    <w:rsid w:val="00ED3A18"/>
    <w:rsid w:val="00ED3A31"/>
    <w:rsid w:val="00ED3CB6"/>
    <w:rsid w:val="00ED3E83"/>
    <w:rsid w:val="00ED4095"/>
    <w:rsid w:val="00ED41D4"/>
    <w:rsid w:val="00ED45DA"/>
    <w:rsid w:val="00ED46BB"/>
    <w:rsid w:val="00ED476F"/>
    <w:rsid w:val="00ED4773"/>
    <w:rsid w:val="00ED484C"/>
    <w:rsid w:val="00ED4970"/>
    <w:rsid w:val="00ED4BF9"/>
    <w:rsid w:val="00ED4C5E"/>
    <w:rsid w:val="00ED4CE3"/>
    <w:rsid w:val="00ED5148"/>
    <w:rsid w:val="00ED5150"/>
    <w:rsid w:val="00ED519A"/>
    <w:rsid w:val="00ED5269"/>
    <w:rsid w:val="00ED5E01"/>
    <w:rsid w:val="00ED5E0F"/>
    <w:rsid w:val="00ED5F08"/>
    <w:rsid w:val="00ED61FF"/>
    <w:rsid w:val="00ED655E"/>
    <w:rsid w:val="00ED66E5"/>
    <w:rsid w:val="00ED6B3C"/>
    <w:rsid w:val="00ED6F96"/>
    <w:rsid w:val="00ED71D3"/>
    <w:rsid w:val="00ED723E"/>
    <w:rsid w:val="00ED73DE"/>
    <w:rsid w:val="00ED7418"/>
    <w:rsid w:val="00ED744D"/>
    <w:rsid w:val="00ED7870"/>
    <w:rsid w:val="00ED7A5F"/>
    <w:rsid w:val="00ED7E31"/>
    <w:rsid w:val="00ED7E44"/>
    <w:rsid w:val="00ED7F86"/>
    <w:rsid w:val="00EE0252"/>
    <w:rsid w:val="00EE0443"/>
    <w:rsid w:val="00EE0480"/>
    <w:rsid w:val="00EE0500"/>
    <w:rsid w:val="00EE051C"/>
    <w:rsid w:val="00EE06AE"/>
    <w:rsid w:val="00EE0848"/>
    <w:rsid w:val="00EE0AED"/>
    <w:rsid w:val="00EE0B0C"/>
    <w:rsid w:val="00EE0C78"/>
    <w:rsid w:val="00EE0D29"/>
    <w:rsid w:val="00EE0E2E"/>
    <w:rsid w:val="00EE102E"/>
    <w:rsid w:val="00EE1048"/>
    <w:rsid w:val="00EE10C1"/>
    <w:rsid w:val="00EE111A"/>
    <w:rsid w:val="00EE11A2"/>
    <w:rsid w:val="00EE12D9"/>
    <w:rsid w:val="00EE12E4"/>
    <w:rsid w:val="00EE1560"/>
    <w:rsid w:val="00EE178F"/>
    <w:rsid w:val="00EE189D"/>
    <w:rsid w:val="00EE1DE4"/>
    <w:rsid w:val="00EE1FCA"/>
    <w:rsid w:val="00EE1FE3"/>
    <w:rsid w:val="00EE2156"/>
    <w:rsid w:val="00EE2169"/>
    <w:rsid w:val="00EE21B1"/>
    <w:rsid w:val="00EE21E1"/>
    <w:rsid w:val="00EE26EA"/>
    <w:rsid w:val="00EE2A69"/>
    <w:rsid w:val="00EE2D55"/>
    <w:rsid w:val="00EE2ECA"/>
    <w:rsid w:val="00EE30DD"/>
    <w:rsid w:val="00EE31E3"/>
    <w:rsid w:val="00EE336B"/>
    <w:rsid w:val="00EE373F"/>
    <w:rsid w:val="00EE3AAE"/>
    <w:rsid w:val="00EE3BB2"/>
    <w:rsid w:val="00EE3E1B"/>
    <w:rsid w:val="00EE3F57"/>
    <w:rsid w:val="00EE4298"/>
    <w:rsid w:val="00EE442D"/>
    <w:rsid w:val="00EE44D7"/>
    <w:rsid w:val="00EE4501"/>
    <w:rsid w:val="00EE465E"/>
    <w:rsid w:val="00EE469A"/>
    <w:rsid w:val="00EE488F"/>
    <w:rsid w:val="00EE48F6"/>
    <w:rsid w:val="00EE4A09"/>
    <w:rsid w:val="00EE4DC8"/>
    <w:rsid w:val="00EE51B5"/>
    <w:rsid w:val="00EE5270"/>
    <w:rsid w:val="00EE52EB"/>
    <w:rsid w:val="00EE533F"/>
    <w:rsid w:val="00EE5361"/>
    <w:rsid w:val="00EE5582"/>
    <w:rsid w:val="00EE56E7"/>
    <w:rsid w:val="00EE573D"/>
    <w:rsid w:val="00EE5849"/>
    <w:rsid w:val="00EE5B4D"/>
    <w:rsid w:val="00EE5EAC"/>
    <w:rsid w:val="00EE690A"/>
    <w:rsid w:val="00EE6969"/>
    <w:rsid w:val="00EE6D78"/>
    <w:rsid w:val="00EE7263"/>
    <w:rsid w:val="00EE73DF"/>
    <w:rsid w:val="00EE7442"/>
    <w:rsid w:val="00EE753E"/>
    <w:rsid w:val="00EE764C"/>
    <w:rsid w:val="00EE7696"/>
    <w:rsid w:val="00EE78FA"/>
    <w:rsid w:val="00EE7BA4"/>
    <w:rsid w:val="00EE7DFF"/>
    <w:rsid w:val="00EE7FA7"/>
    <w:rsid w:val="00EEB1DB"/>
    <w:rsid w:val="00EF00B1"/>
    <w:rsid w:val="00EF026A"/>
    <w:rsid w:val="00EF02AE"/>
    <w:rsid w:val="00EF03DF"/>
    <w:rsid w:val="00EF04D3"/>
    <w:rsid w:val="00EF052E"/>
    <w:rsid w:val="00EF0765"/>
    <w:rsid w:val="00EF0B4D"/>
    <w:rsid w:val="00EF0CD3"/>
    <w:rsid w:val="00EF0DBD"/>
    <w:rsid w:val="00EF0E33"/>
    <w:rsid w:val="00EF0EFD"/>
    <w:rsid w:val="00EF1006"/>
    <w:rsid w:val="00EF102B"/>
    <w:rsid w:val="00EF1206"/>
    <w:rsid w:val="00EF13F7"/>
    <w:rsid w:val="00EF148A"/>
    <w:rsid w:val="00EF18A1"/>
    <w:rsid w:val="00EF198C"/>
    <w:rsid w:val="00EF1A35"/>
    <w:rsid w:val="00EF1AC4"/>
    <w:rsid w:val="00EF1ADD"/>
    <w:rsid w:val="00EF220C"/>
    <w:rsid w:val="00EF222F"/>
    <w:rsid w:val="00EF2645"/>
    <w:rsid w:val="00EF27A2"/>
    <w:rsid w:val="00EF2AF2"/>
    <w:rsid w:val="00EF2B84"/>
    <w:rsid w:val="00EF2E4A"/>
    <w:rsid w:val="00EF2F87"/>
    <w:rsid w:val="00EF2FF2"/>
    <w:rsid w:val="00EF3286"/>
    <w:rsid w:val="00EF3305"/>
    <w:rsid w:val="00EF3367"/>
    <w:rsid w:val="00EF33B5"/>
    <w:rsid w:val="00EF35C5"/>
    <w:rsid w:val="00EF3675"/>
    <w:rsid w:val="00EF3934"/>
    <w:rsid w:val="00EF3B1D"/>
    <w:rsid w:val="00EF3F8C"/>
    <w:rsid w:val="00EF40CF"/>
    <w:rsid w:val="00EF410E"/>
    <w:rsid w:val="00EF4310"/>
    <w:rsid w:val="00EF4324"/>
    <w:rsid w:val="00EF433B"/>
    <w:rsid w:val="00EF4528"/>
    <w:rsid w:val="00EF4544"/>
    <w:rsid w:val="00EF460F"/>
    <w:rsid w:val="00EF464A"/>
    <w:rsid w:val="00EF4865"/>
    <w:rsid w:val="00EF4A51"/>
    <w:rsid w:val="00EF4C3D"/>
    <w:rsid w:val="00EF4E15"/>
    <w:rsid w:val="00EF4EA1"/>
    <w:rsid w:val="00EF4EB5"/>
    <w:rsid w:val="00EF4F19"/>
    <w:rsid w:val="00EF5059"/>
    <w:rsid w:val="00EF509E"/>
    <w:rsid w:val="00EF5251"/>
    <w:rsid w:val="00EF5624"/>
    <w:rsid w:val="00EF5822"/>
    <w:rsid w:val="00EF5A0D"/>
    <w:rsid w:val="00EF5C6A"/>
    <w:rsid w:val="00EF5F32"/>
    <w:rsid w:val="00EF62EA"/>
    <w:rsid w:val="00EF6438"/>
    <w:rsid w:val="00EF6557"/>
    <w:rsid w:val="00EF670C"/>
    <w:rsid w:val="00EF673D"/>
    <w:rsid w:val="00EF6A96"/>
    <w:rsid w:val="00EF6BE6"/>
    <w:rsid w:val="00EF6CD3"/>
    <w:rsid w:val="00EF6DD1"/>
    <w:rsid w:val="00EF7063"/>
    <w:rsid w:val="00EF73A0"/>
    <w:rsid w:val="00EF73CA"/>
    <w:rsid w:val="00EF758E"/>
    <w:rsid w:val="00EF7659"/>
    <w:rsid w:val="00EF7682"/>
    <w:rsid w:val="00EF7758"/>
    <w:rsid w:val="00EF788A"/>
    <w:rsid w:val="00EF7D64"/>
    <w:rsid w:val="00EF7E08"/>
    <w:rsid w:val="00EF7FC6"/>
    <w:rsid w:val="00EFDE46"/>
    <w:rsid w:val="00F00113"/>
    <w:rsid w:val="00F00178"/>
    <w:rsid w:val="00F0035B"/>
    <w:rsid w:val="00F005E5"/>
    <w:rsid w:val="00F009F9"/>
    <w:rsid w:val="00F00BA0"/>
    <w:rsid w:val="00F00CDE"/>
    <w:rsid w:val="00F00D56"/>
    <w:rsid w:val="00F00DB2"/>
    <w:rsid w:val="00F00FE4"/>
    <w:rsid w:val="00F0128E"/>
    <w:rsid w:val="00F017C9"/>
    <w:rsid w:val="00F0189B"/>
    <w:rsid w:val="00F01E26"/>
    <w:rsid w:val="00F01F14"/>
    <w:rsid w:val="00F02074"/>
    <w:rsid w:val="00F02212"/>
    <w:rsid w:val="00F023A5"/>
    <w:rsid w:val="00F02430"/>
    <w:rsid w:val="00F0243C"/>
    <w:rsid w:val="00F0246F"/>
    <w:rsid w:val="00F02508"/>
    <w:rsid w:val="00F02783"/>
    <w:rsid w:val="00F0287A"/>
    <w:rsid w:val="00F02FDB"/>
    <w:rsid w:val="00F03173"/>
    <w:rsid w:val="00F033F4"/>
    <w:rsid w:val="00F0346C"/>
    <w:rsid w:val="00F0353D"/>
    <w:rsid w:val="00F038EC"/>
    <w:rsid w:val="00F03A37"/>
    <w:rsid w:val="00F03B7F"/>
    <w:rsid w:val="00F03DB9"/>
    <w:rsid w:val="00F03EEE"/>
    <w:rsid w:val="00F03F39"/>
    <w:rsid w:val="00F044DE"/>
    <w:rsid w:val="00F045A6"/>
    <w:rsid w:val="00F0469F"/>
    <w:rsid w:val="00F0484A"/>
    <w:rsid w:val="00F0484F"/>
    <w:rsid w:val="00F04862"/>
    <w:rsid w:val="00F04AB8"/>
    <w:rsid w:val="00F04B65"/>
    <w:rsid w:val="00F04BB1"/>
    <w:rsid w:val="00F0506E"/>
    <w:rsid w:val="00F0523B"/>
    <w:rsid w:val="00F05376"/>
    <w:rsid w:val="00F054A6"/>
    <w:rsid w:val="00F05573"/>
    <w:rsid w:val="00F05788"/>
    <w:rsid w:val="00F0587C"/>
    <w:rsid w:val="00F05DFE"/>
    <w:rsid w:val="00F06076"/>
    <w:rsid w:val="00F06195"/>
    <w:rsid w:val="00F06517"/>
    <w:rsid w:val="00F068EF"/>
    <w:rsid w:val="00F06902"/>
    <w:rsid w:val="00F06A5B"/>
    <w:rsid w:val="00F06A6E"/>
    <w:rsid w:val="00F06A9E"/>
    <w:rsid w:val="00F06E43"/>
    <w:rsid w:val="00F06F10"/>
    <w:rsid w:val="00F07049"/>
    <w:rsid w:val="00F0704D"/>
    <w:rsid w:val="00F07192"/>
    <w:rsid w:val="00F07244"/>
    <w:rsid w:val="00F076A1"/>
    <w:rsid w:val="00F0772E"/>
    <w:rsid w:val="00F07A72"/>
    <w:rsid w:val="00F07BE1"/>
    <w:rsid w:val="00F07E57"/>
    <w:rsid w:val="00F0FA78"/>
    <w:rsid w:val="00F10116"/>
    <w:rsid w:val="00F10222"/>
    <w:rsid w:val="00F10F64"/>
    <w:rsid w:val="00F10FC8"/>
    <w:rsid w:val="00F117B6"/>
    <w:rsid w:val="00F118C2"/>
    <w:rsid w:val="00F11E2C"/>
    <w:rsid w:val="00F11E9A"/>
    <w:rsid w:val="00F125A3"/>
    <w:rsid w:val="00F1283B"/>
    <w:rsid w:val="00F128F8"/>
    <w:rsid w:val="00F12CBE"/>
    <w:rsid w:val="00F12CD8"/>
    <w:rsid w:val="00F12D45"/>
    <w:rsid w:val="00F12F44"/>
    <w:rsid w:val="00F1300C"/>
    <w:rsid w:val="00F1328D"/>
    <w:rsid w:val="00F136B2"/>
    <w:rsid w:val="00F1377E"/>
    <w:rsid w:val="00F13A11"/>
    <w:rsid w:val="00F13AB8"/>
    <w:rsid w:val="00F13ACF"/>
    <w:rsid w:val="00F13B57"/>
    <w:rsid w:val="00F13B8B"/>
    <w:rsid w:val="00F13B8D"/>
    <w:rsid w:val="00F13CBB"/>
    <w:rsid w:val="00F13E72"/>
    <w:rsid w:val="00F140D3"/>
    <w:rsid w:val="00F142B5"/>
    <w:rsid w:val="00F148B4"/>
    <w:rsid w:val="00F149A5"/>
    <w:rsid w:val="00F14C71"/>
    <w:rsid w:val="00F14DA3"/>
    <w:rsid w:val="00F1510F"/>
    <w:rsid w:val="00F15510"/>
    <w:rsid w:val="00F1559C"/>
    <w:rsid w:val="00F15B6D"/>
    <w:rsid w:val="00F15F88"/>
    <w:rsid w:val="00F160D1"/>
    <w:rsid w:val="00F16339"/>
    <w:rsid w:val="00F16654"/>
    <w:rsid w:val="00F168AB"/>
    <w:rsid w:val="00F16DF5"/>
    <w:rsid w:val="00F16EAF"/>
    <w:rsid w:val="00F16ED0"/>
    <w:rsid w:val="00F16FC0"/>
    <w:rsid w:val="00F17083"/>
    <w:rsid w:val="00F1713E"/>
    <w:rsid w:val="00F17472"/>
    <w:rsid w:val="00F174F0"/>
    <w:rsid w:val="00F17E7D"/>
    <w:rsid w:val="00F200BE"/>
    <w:rsid w:val="00F2015C"/>
    <w:rsid w:val="00F20219"/>
    <w:rsid w:val="00F204B2"/>
    <w:rsid w:val="00F20509"/>
    <w:rsid w:val="00F207C8"/>
    <w:rsid w:val="00F20860"/>
    <w:rsid w:val="00F20B25"/>
    <w:rsid w:val="00F20CCF"/>
    <w:rsid w:val="00F20DA3"/>
    <w:rsid w:val="00F20EAB"/>
    <w:rsid w:val="00F20F3E"/>
    <w:rsid w:val="00F20FF3"/>
    <w:rsid w:val="00F21081"/>
    <w:rsid w:val="00F211E7"/>
    <w:rsid w:val="00F21340"/>
    <w:rsid w:val="00F21946"/>
    <w:rsid w:val="00F21AF8"/>
    <w:rsid w:val="00F21B6B"/>
    <w:rsid w:val="00F21C1C"/>
    <w:rsid w:val="00F21D0F"/>
    <w:rsid w:val="00F21D1C"/>
    <w:rsid w:val="00F21DCD"/>
    <w:rsid w:val="00F21E02"/>
    <w:rsid w:val="00F222BE"/>
    <w:rsid w:val="00F2251B"/>
    <w:rsid w:val="00F2258E"/>
    <w:rsid w:val="00F22783"/>
    <w:rsid w:val="00F22813"/>
    <w:rsid w:val="00F22A94"/>
    <w:rsid w:val="00F22C69"/>
    <w:rsid w:val="00F22D49"/>
    <w:rsid w:val="00F23183"/>
    <w:rsid w:val="00F2349C"/>
    <w:rsid w:val="00F2365A"/>
    <w:rsid w:val="00F23689"/>
    <w:rsid w:val="00F236A5"/>
    <w:rsid w:val="00F2389E"/>
    <w:rsid w:val="00F23AAD"/>
    <w:rsid w:val="00F23C04"/>
    <w:rsid w:val="00F24177"/>
    <w:rsid w:val="00F24196"/>
    <w:rsid w:val="00F241DD"/>
    <w:rsid w:val="00F245F5"/>
    <w:rsid w:val="00F24C3D"/>
    <w:rsid w:val="00F24D2F"/>
    <w:rsid w:val="00F24DB0"/>
    <w:rsid w:val="00F24E52"/>
    <w:rsid w:val="00F24EAC"/>
    <w:rsid w:val="00F2510A"/>
    <w:rsid w:val="00F25156"/>
    <w:rsid w:val="00F25168"/>
    <w:rsid w:val="00F251FD"/>
    <w:rsid w:val="00F257E9"/>
    <w:rsid w:val="00F25950"/>
    <w:rsid w:val="00F25A36"/>
    <w:rsid w:val="00F25DAB"/>
    <w:rsid w:val="00F26087"/>
    <w:rsid w:val="00F26341"/>
    <w:rsid w:val="00F26351"/>
    <w:rsid w:val="00F26396"/>
    <w:rsid w:val="00F2667A"/>
    <w:rsid w:val="00F266B4"/>
    <w:rsid w:val="00F26844"/>
    <w:rsid w:val="00F2697E"/>
    <w:rsid w:val="00F26A56"/>
    <w:rsid w:val="00F26B8F"/>
    <w:rsid w:val="00F26BE7"/>
    <w:rsid w:val="00F26C28"/>
    <w:rsid w:val="00F26FEF"/>
    <w:rsid w:val="00F270F0"/>
    <w:rsid w:val="00F2735C"/>
    <w:rsid w:val="00F2738C"/>
    <w:rsid w:val="00F27511"/>
    <w:rsid w:val="00F277CC"/>
    <w:rsid w:val="00F27824"/>
    <w:rsid w:val="00F27BA0"/>
    <w:rsid w:val="00F27E7B"/>
    <w:rsid w:val="00F27F16"/>
    <w:rsid w:val="00F27F61"/>
    <w:rsid w:val="00F30042"/>
    <w:rsid w:val="00F3011A"/>
    <w:rsid w:val="00F303B6"/>
    <w:rsid w:val="00F304B5"/>
    <w:rsid w:val="00F30540"/>
    <w:rsid w:val="00F30893"/>
    <w:rsid w:val="00F30E62"/>
    <w:rsid w:val="00F30F1C"/>
    <w:rsid w:val="00F3103E"/>
    <w:rsid w:val="00F31087"/>
    <w:rsid w:val="00F3114C"/>
    <w:rsid w:val="00F311C9"/>
    <w:rsid w:val="00F312CC"/>
    <w:rsid w:val="00F31334"/>
    <w:rsid w:val="00F314B5"/>
    <w:rsid w:val="00F31536"/>
    <w:rsid w:val="00F31644"/>
    <w:rsid w:val="00F31F89"/>
    <w:rsid w:val="00F320D3"/>
    <w:rsid w:val="00F32178"/>
    <w:rsid w:val="00F323BA"/>
    <w:rsid w:val="00F3268E"/>
    <w:rsid w:val="00F326E5"/>
    <w:rsid w:val="00F32EFC"/>
    <w:rsid w:val="00F33021"/>
    <w:rsid w:val="00F33458"/>
    <w:rsid w:val="00F33550"/>
    <w:rsid w:val="00F33648"/>
    <w:rsid w:val="00F33A57"/>
    <w:rsid w:val="00F33D63"/>
    <w:rsid w:val="00F33E09"/>
    <w:rsid w:val="00F3406F"/>
    <w:rsid w:val="00F3416D"/>
    <w:rsid w:val="00F34277"/>
    <w:rsid w:val="00F3437C"/>
    <w:rsid w:val="00F34932"/>
    <w:rsid w:val="00F3495A"/>
    <w:rsid w:val="00F34CC3"/>
    <w:rsid w:val="00F34D39"/>
    <w:rsid w:val="00F34E57"/>
    <w:rsid w:val="00F34E5B"/>
    <w:rsid w:val="00F34FBF"/>
    <w:rsid w:val="00F35001"/>
    <w:rsid w:val="00F3556F"/>
    <w:rsid w:val="00F357EE"/>
    <w:rsid w:val="00F3595F"/>
    <w:rsid w:val="00F35A2A"/>
    <w:rsid w:val="00F35F45"/>
    <w:rsid w:val="00F362B9"/>
    <w:rsid w:val="00F364C4"/>
    <w:rsid w:val="00F3650F"/>
    <w:rsid w:val="00F36610"/>
    <w:rsid w:val="00F3693A"/>
    <w:rsid w:val="00F36986"/>
    <w:rsid w:val="00F36E3B"/>
    <w:rsid w:val="00F36E76"/>
    <w:rsid w:val="00F36E9A"/>
    <w:rsid w:val="00F36F3F"/>
    <w:rsid w:val="00F37042"/>
    <w:rsid w:val="00F370C0"/>
    <w:rsid w:val="00F37150"/>
    <w:rsid w:val="00F3730A"/>
    <w:rsid w:val="00F37400"/>
    <w:rsid w:val="00F37625"/>
    <w:rsid w:val="00F37CCE"/>
    <w:rsid w:val="00F37DBB"/>
    <w:rsid w:val="00F37E52"/>
    <w:rsid w:val="00F4014B"/>
    <w:rsid w:val="00F403A4"/>
    <w:rsid w:val="00F40476"/>
    <w:rsid w:val="00F405E2"/>
    <w:rsid w:val="00F40620"/>
    <w:rsid w:val="00F40886"/>
    <w:rsid w:val="00F4088A"/>
    <w:rsid w:val="00F40BC5"/>
    <w:rsid w:val="00F40D84"/>
    <w:rsid w:val="00F40E0D"/>
    <w:rsid w:val="00F40FBE"/>
    <w:rsid w:val="00F41187"/>
    <w:rsid w:val="00F412FB"/>
    <w:rsid w:val="00F413F6"/>
    <w:rsid w:val="00F413FA"/>
    <w:rsid w:val="00F416FD"/>
    <w:rsid w:val="00F418D1"/>
    <w:rsid w:val="00F41904"/>
    <w:rsid w:val="00F41E42"/>
    <w:rsid w:val="00F41EEB"/>
    <w:rsid w:val="00F42260"/>
    <w:rsid w:val="00F424AD"/>
    <w:rsid w:val="00F424DF"/>
    <w:rsid w:val="00F4250C"/>
    <w:rsid w:val="00F425A8"/>
    <w:rsid w:val="00F4269D"/>
    <w:rsid w:val="00F428F0"/>
    <w:rsid w:val="00F4294F"/>
    <w:rsid w:val="00F42C40"/>
    <w:rsid w:val="00F42C77"/>
    <w:rsid w:val="00F42CA0"/>
    <w:rsid w:val="00F42EBA"/>
    <w:rsid w:val="00F42F36"/>
    <w:rsid w:val="00F432E9"/>
    <w:rsid w:val="00F4339B"/>
    <w:rsid w:val="00F4346D"/>
    <w:rsid w:val="00F43823"/>
    <w:rsid w:val="00F43A35"/>
    <w:rsid w:val="00F43DCC"/>
    <w:rsid w:val="00F43E59"/>
    <w:rsid w:val="00F43FBA"/>
    <w:rsid w:val="00F4429D"/>
    <w:rsid w:val="00F44608"/>
    <w:rsid w:val="00F4462B"/>
    <w:rsid w:val="00F44883"/>
    <w:rsid w:val="00F448C0"/>
    <w:rsid w:val="00F44952"/>
    <w:rsid w:val="00F44A03"/>
    <w:rsid w:val="00F44BD4"/>
    <w:rsid w:val="00F44C4D"/>
    <w:rsid w:val="00F44EBE"/>
    <w:rsid w:val="00F44FEC"/>
    <w:rsid w:val="00F45067"/>
    <w:rsid w:val="00F45397"/>
    <w:rsid w:val="00F45819"/>
    <w:rsid w:val="00F458F8"/>
    <w:rsid w:val="00F4599B"/>
    <w:rsid w:val="00F45A61"/>
    <w:rsid w:val="00F45B70"/>
    <w:rsid w:val="00F45FD8"/>
    <w:rsid w:val="00F460E7"/>
    <w:rsid w:val="00F46252"/>
    <w:rsid w:val="00F463F6"/>
    <w:rsid w:val="00F46438"/>
    <w:rsid w:val="00F46453"/>
    <w:rsid w:val="00F465B9"/>
    <w:rsid w:val="00F46910"/>
    <w:rsid w:val="00F46E44"/>
    <w:rsid w:val="00F46F8B"/>
    <w:rsid w:val="00F471F2"/>
    <w:rsid w:val="00F477CB"/>
    <w:rsid w:val="00F4799C"/>
    <w:rsid w:val="00F47A93"/>
    <w:rsid w:val="00F47DFD"/>
    <w:rsid w:val="00F47EE2"/>
    <w:rsid w:val="00F47FA6"/>
    <w:rsid w:val="00F47FD4"/>
    <w:rsid w:val="00F502F6"/>
    <w:rsid w:val="00F50330"/>
    <w:rsid w:val="00F5042E"/>
    <w:rsid w:val="00F504C2"/>
    <w:rsid w:val="00F50911"/>
    <w:rsid w:val="00F50E5B"/>
    <w:rsid w:val="00F50EA5"/>
    <w:rsid w:val="00F51328"/>
    <w:rsid w:val="00F51407"/>
    <w:rsid w:val="00F51494"/>
    <w:rsid w:val="00F51612"/>
    <w:rsid w:val="00F51914"/>
    <w:rsid w:val="00F51DAD"/>
    <w:rsid w:val="00F51FDB"/>
    <w:rsid w:val="00F521A0"/>
    <w:rsid w:val="00F5262A"/>
    <w:rsid w:val="00F52918"/>
    <w:rsid w:val="00F52A4C"/>
    <w:rsid w:val="00F52BCA"/>
    <w:rsid w:val="00F530E2"/>
    <w:rsid w:val="00F5335B"/>
    <w:rsid w:val="00F534BF"/>
    <w:rsid w:val="00F535A2"/>
    <w:rsid w:val="00F535E8"/>
    <w:rsid w:val="00F5394D"/>
    <w:rsid w:val="00F541FC"/>
    <w:rsid w:val="00F5420B"/>
    <w:rsid w:val="00F5427F"/>
    <w:rsid w:val="00F5428E"/>
    <w:rsid w:val="00F5429E"/>
    <w:rsid w:val="00F5473E"/>
    <w:rsid w:val="00F5481C"/>
    <w:rsid w:val="00F54EC2"/>
    <w:rsid w:val="00F553A3"/>
    <w:rsid w:val="00F554C9"/>
    <w:rsid w:val="00F55C7A"/>
    <w:rsid w:val="00F55CED"/>
    <w:rsid w:val="00F55FAB"/>
    <w:rsid w:val="00F56145"/>
    <w:rsid w:val="00F562CE"/>
    <w:rsid w:val="00F56533"/>
    <w:rsid w:val="00F566F1"/>
    <w:rsid w:val="00F567C1"/>
    <w:rsid w:val="00F56899"/>
    <w:rsid w:val="00F56982"/>
    <w:rsid w:val="00F56A0D"/>
    <w:rsid w:val="00F57172"/>
    <w:rsid w:val="00F572AB"/>
    <w:rsid w:val="00F574EC"/>
    <w:rsid w:val="00F574EF"/>
    <w:rsid w:val="00F5757D"/>
    <w:rsid w:val="00F575D8"/>
    <w:rsid w:val="00F57A09"/>
    <w:rsid w:val="00F57B6A"/>
    <w:rsid w:val="00F57C34"/>
    <w:rsid w:val="00F57D86"/>
    <w:rsid w:val="00F57F37"/>
    <w:rsid w:val="00F600EC"/>
    <w:rsid w:val="00F60100"/>
    <w:rsid w:val="00F6040A"/>
    <w:rsid w:val="00F60472"/>
    <w:rsid w:val="00F606D9"/>
    <w:rsid w:val="00F60C2E"/>
    <w:rsid w:val="00F60D4E"/>
    <w:rsid w:val="00F611E4"/>
    <w:rsid w:val="00F61247"/>
    <w:rsid w:val="00F61253"/>
    <w:rsid w:val="00F61592"/>
    <w:rsid w:val="00F61872"/>
    <w:rsid w:val="00F619B8"/>
    <w:rsid w:val="00F61D83"/>
    <w:rsid w:val="00F62216"/>
    <w:rsid w:val="00F622FB"/>
    <w:rsid w:val="00F62550"/>
    <w:rsid w:val="00F62647"/>
    <w:rsid w:val="00F627C4"/>
    <w:rsid w:val="00F629CB"/>
    <w:rsid w:val="00F62B67"/>
    <w:rsid w:val="00F62B7D"/>
    <w:rsid w:val="00F62CED"/>
    <w:rsid w:val="00F62E7E"/>
    <w:rsid w:val="00F62F8C"/>
    <w:rsid w:val="00F6305F"/>
    <w:rsid w:val="00F63455"/>
    <w:rsid w:val="00F63494"/>
    <w:rsid w:val="00F634E9"/>
    <w:rsid w:val="00F6355A"/>
    <w:rsid w:val="00F638FA"/>
    <w:rsid w:val="00F639B9"/>
    <w:rsid w:val="00F639D6"/>
    <w:rsid w:val="00F63A9C"/>
    <w:rsid w:val="00F63D9C"/>
    <w:rsid w:val="00F63DD3"/>
    <w:rsid w:val="00F644B7"/>
    <w:rsid w:val="00F645B4"/>
    <w:rsid w:val="00F64742"/>
    <w:rsid w:val="00F64768"/>
    <w:rsid w:val="00F6482D"/>
    <w:rsid w:val="00F6497F"/>
    <w:rsid w:val="00F64B82"/>
    <w:rsid w:val="00F64C25"/>
    <w:rsid w:val="00F64C33"/>
    <w:rsid w:val="00F64D57"/>
    <w:rsid w:val="00F64DB7"/>
    <w:rsid w:val="00F6505F"/>
    <w:rsid w:val="00F6506C"/>
    <w:rsid w:val="00F6521E"/>
    <w:rsid w:val="00F655F2"/>
    <w:rsid w:val="00F655F4"/>
    <w:rsid w:val="00F65673"/>
    <w:rsid w:val="00F65687"/>
    <w:rsid w:val="00F65AC3"/>
    <w:rsid w:val="00F65FF8"/>
    <w:rsid w:val="00F660E4"/>
    <w:rsid w:val="00F66C5C"/>
    <w:rsid w:val="00F66FE0"/>
    <w:rsid w:val="00F67020"/>
    <w:rsid w:val="00F67110"/>
    <w:rsid w:val="00F671C0"/>
    <w:rsid w:val="00F6723C"/>
    <w:rsid w:val="00F67291"/>
    <w:rsid w:val="00F672BE"/>
    <w:rsid w:val="00F67307"/>
    <w:rsid w:val="00F674F1"/>
    <w:rsid w:val="00F6750B"/>
    <w:rsid w:val="00F67651"/>
    <w:rsid w:val="00F676A6"/>
    <w:rsid w:val="00F677DF"/>
    <w:rsid w:val="00F67887"/>
    <w:rsid w:val="00F6791B"/>
    <w:rsid w:val="00F67948"/>
    <w:rsid w:val="00F67DB3"/>
    <w:rsid w:val="00F67F93"/>
    <w:rsid w:val="00F700EB"/>
    <w:rsid w:val="00F70575"/>
    <w:rsid w:val="00F7082D"/>
    <w:rsid w:val="00F7088F"/>
    <w:rsid w:val="00F708C5"/>
    <w:rsid w:val="00F70A21"/>
    <w:rsid w:val="00F70F27"/>
    <w:rsid w:val="00F71010"/>
    <w:rsid w:val="00F710ED"/>
    <w:rsid w:val="00F711B5"/>
    <w:rsid w:val="00F71443"/>
    <w:rsid w:val="00F7153F"/>
    <w:rsid w:val="00F718A8"/>
    <w:rsid w:val="00F71A5A"/>
    <w:rsid w:val="00F71CB4"/>
    <w:rsid w:val="00F7246E"/>
    <w:rsid w:val="00F724B2"/>
    <w:rsid w:val="00F724B9"/>
    <w:rsid w:val="00F72971"/>
    <w:rsid w:val="00F72BE7"/>
    <w:rsid w:val="00F72FC9"/>
    <w:rsid w:val="00F72FDF"/>
    <w:rsid w:val="00F73084"/>
    <w:rsid w:val="00F730EC"/>
    <w:rsid w:val="00F7320D"/>
    <w:rsid w:val="00F73262"/>
    <w:rsid w:val="00F7342F"/>
    <w:rsid w:val="00F7363A"/>
    <w:rsid w:val="00F7367E"/>
    <w:rsid w:val="00F73A45"/>
    <w:rsid w:val="00F73AD4"/>
    <w:rsid w:val="00F73B96"/>
    <w:rsid w:val="00F73BCF"/>
    <w:rsid w:val="00F73F46"/>
    <w:rsid w:val="00F7457A"/>
    <w:rsid w:val="00F74786"/>
    <w:rsid w:val="00F74829"/>
    <w:rsid w:val="00F748A1"/>
    <w:rsid w:val="00F74928"/>
    <w:rsid w:val="00F749FA"/>
    <w:rsid w:val="00F74A52"/>
    <w:rsid w:val="00F74C5C"/>
    <w:rsid w:val="00F74CAE"/>
    <w:rsid w:val="00F74D89"/>
    <w:rsid w:val="00F74E99"/>
    <w:rsid w:val="00F74F25"/>
    <w:rsid w:val="00F74F92"/>
    <w:rsid w:val="00F74FC7"/>
    <w:rsid w:val="00F74FF7"/>
    <w:rsid w:val="00F750FA"/>
    <w:rsid w:val="00F75128"/>
    <w:rsid w:val="00F75255"/>
    <w:rsid w:val="00F7526C"/>
    <w:rsid w:val="00F753E6"/>
    <w:rsid w:val="00F75406"/>
    <w:rsid w:val="00F755D3"/>
    <w:rsid w:val="00F75688"/>
    <w:rsid w:val="00F756D1"/>
    <w:rsid w:val="00F7599F"/>
    <w:rsid w:val="00F75BBE"/>
    <w:rsid w:val="00F75EB1"/>
    <w:rsid w:val="00F75FBF"/>
    <w:rsid w:val="00F760CF"/>
    <w:rsid w:val="00F7616A"/>
    <w:rsid w:val="00F76294"/>
    <w:rsid w:val="00F762EA"/>
    <w:rsid w:val="00F763D7"/>
    <w:rsid w:val="00F76848"/>
    <w:rsid w:val="00F76AF4"/>
    <w:rsid w:val="00F76DED"/>
    <w:rsid w:val="00F76E7F"/>
    <w:rsid w:val="00F76FF9"/>
    <w:rsid w:val="00F7721A"/>
    <w:rsid w:val="00F775A5"/>
    <w:rsid w:val="00F777E6"/>
    <w:rsid w:val="00F77E5D"/>
    <w:rsid w:val="00F77E5E"/>
    <w:rsid w:val="00F77EC6"/>
    <w:rsid w:val="00F8053E"/>
    <w:rsid w:val="00F80568"/>
    <w:rsid w:val="00F808D6"/>
    <w:rsid w:val="00F809E7"/>
    <w:rsid w:val="00F80A09"/>
    <w:rsid w:val="00F80C1C"/>
    <w:rsid w:val="00F80C27"/>
    <w:rsid w:val="00F80C4F"/>
    <w:rsid w:val="00F80C5D"/>
    <w:rsid w:val="00F80D6C"/>
    <w:rsid w:val="00F80EDB"/>
    <w:rsid w:val="00F80FBB"/>
    <w:rsid w:val="00F81144"/>
    <w:rsid w:val="00F81161"/>
    <w:rsid w:val="00F812D4"/>
    <w:rsid w:val="00F81740"/>
    <w:rsid w:val="00F818CD"/>
    <w:rsid w:val="00F81AEB"/>
    <w:rsid w:val="00F81BA7"/>
    <w:rsid w:val="00F81C2D"/>
    <w:rsid w:val="00F81C6C"/>
    <w:rsid w:val="00F81D19"/>
    <w:rsid w:val="00F81ECE"/>
    <w:rsid w:val="00F81F9B"/>
    <w:rsid w:val="00F82516"/>
    <w:rsid w:val="00F825BA"/>
    <w:rsid w:val="00F82921"/>
    <w:rsid w:val="00F82A41"/>
    <w:rsid w:val="00F82CE2"/>
    <w:rsid w:val="00F83533"/>
    <w:rsid w:val="00F83635"/>
    <w:rsid w:val="00F83644"/>
    <w:rsid w:val="00F83955"/>
    <w:rsid w:val="00F83C26"/>
    <w:rsid w:val="00F83CBF"/>
    <w:rsid w:val="00F83FBE"/>
    <w:rsid w:val="00F83FEB"/>
    <w:rsid w:val="00F840D5"/>
    <w:rsid w:val="00F84100"/>
    <w:rsid w:val="00F8487A"/>
    <w:rsid w:val="00F849A6"/>
    <w:rsid w:val="00F849BE"/>
    <w:rsid w:val="00F84A1C"/>
    <w:rsid w:val="00F84B97"/>
    <w:rsid w:val="00F84CA9"/>
    <w:rsid w:val="00F84F3C"/>
    <w:rsid w:val="00F84FC2"/>
    <w:rsid w:val="00F8545B"/>
    <w:rsid w:val="00F855F9"/>
    <w:rsid w:val="00F8563A"/>
    <w:rsid w:val="00F858C7"/>
    <w:rsid w:val="00F858DD"/>
    <w:rsid w:val="00F85C92"/>
    <w:rsid w:val="00F861D9"/>
    <w:rsid w:val="00F86217"/>
    <w:rsid w:val="00F8631A"/>
    <w:rsid w:val="00F86399"/>
    <w:rsid w:val="00F86448"/>
    <w:rsid w:val="00F8661F"/>
    <w:rsid w:val="00F8698D"/>
    <w:rsid w:val="00F8699A"/>
    <w:rsid w:val="00F86B30"/>
    <w:rsid w:val="00F86D2B"/>
    <w:rsid w:val="00F87205"/>
    <w:rsid w:val="00F87266"/>
    <w:rsid w:val="00F87553"/>
    <w:rsid w:val="00F87576"/>
    <w:rsid w:val="00F875E5"/>
    <w:rsid w:val="00F87631"/>
    <w:rsid w:val="00F87898"/>
    <w:rsid w:val="00F878F1"/>
    <w:rsid w:val="00F87C44"/>
    <w:rsid w:val="00F87DBE"/>
    <w:rsid w:val="00F87E5E"/>
    <w:rsid w:val="00F900F3"/>
    <w:rsid w:val="00F901DF"/>
    <w:rsid w:val="00F906AA"/>
    <w:rsid w:val="00F906B6"/>
    <w:rsid w:val="00F90A8F"/>
    <w:rsid w:val="00F90BF8"/>
    <w:rsid w:val="00F90CD9"/>
    <w:rsid w:val="00F90DF3"/>
    <w:rsid w:val="00F90E40"/>
    <w:rsid w:val="00F91371"/>
    <w:rsid w:val="00F915E3"/>
    <w:rsid w:val="00F91726"/>
    <w:rsid w:val="00F91876"/>
    <w:rsid w:val="00F91A29"/>
    <w:rsid w:val="00F91E0A"/>
    <w:rsid w:val="00F91E27"/>
    <w:rsid w:val="00F91F39"/>
    <w:rsid w:val="00F91FD8"/>
    <w:rsid w:val="00F92168"/>
    <w:rsid w:val="00F925EB"/>
    <w:rsid w:val="00F92969"/>
    <w:rsid w:val="00F92E32"/>
    <w:rsid w:val="00F92F32"/>
    <w:rsid w:val="00F9329F"/>
    <w:rsid w:val="00F9341F"/>
    <w:rsid w:val="00F9345D"/>
    <w:rsid w:val="00F93A37"/>
    <w:rsid w:val="00F93C6F"/>
    <w:rsid w:val="00F93DE9"/>
    <w:rsid w:val="00F9424F"/>
    <w:rsid w:val="00F942B9"/>
    <w:rsid w:val="00F9430E"/>
    <w:rsid w:val="00F94478"/>
    <w:rsid w:val="00F947F0"/>
    <w:rsid w:val="00F94C38"/>
    <w:rsid w:val="00F94EB3"/>
    <w:rsid w:val="00F9508B"/>
    <w:rsid w:val="00F95320"/>
    <w:rsid w:val="00F95963"/>
    <w:rsid w:val="00F95975"/>
    <w:rsid w:val="00F95C9A"/>
    <w:rsid w:val="00F95CAA"/>
    <w:rsid w:val="00F95D49"/>
    <w:rsid w:val="00F95F04"/>
    <w:rsid w:val="00F95F31"/>
    <w:rsid w:val="00F96000"/>
    <w:rsid w:val="00F961C3"/>
    <w:rsid w:val="00F96513"/>
    <w:rsid w:val="00F9683D"/>
    <w:rsid w:val="00F96B4C"/>
    <w:rsid w:val="00F96B52"/>
    <w:rsid w:val="00F96C73"/>
    <w:rsid w:val="00F96DF3"/>
    <w:rsid w:val="00F96F27"/>
    <w:rsid w:val="00F97271"/>
    <w:rsid w:val="00F97501"/>
    <w:rsid w:val="00F97902"/>
    <w:rsid w:val="00F97A37"/>
    <w:rsid w:val="00F97CE8"/>
    <w:rsid w:val="00F97F67"/>
    <w:rsid w:val="00F97F84"/>
    <w:rsid w:val="00FA0405"/>
    <w:rsid w:val="00FA053A"/>
    <w:rsid w:val="00FA08EF"/>
    <w:rsid w:val="00FA09A1"/>
    <w:rsid w:val="00FA0BF5"/>
    <w:rsid w:val="00FA0CFC"/>
    <w:rsid w:val="00FA0D2F"/>
    <w:rsid w:val="00FA0E7C"/>
    <w:rsid w:val="00FA0FC4"/>
    <w:rsid w:val="00FA0FC6"/>
    <w:rsid w:val="00FA1081"/>
    <w:rsid w:val="00FA13B9"/>
    <w:rsid w:val="00FA156B"/>
    <w:rsid w:val="00FA1636"/>
    <w:rsid w:val="00FA1A1F"/>
    <w:rsid w:val="00FA1A6D"/>
    <w:rsid w:val="00FA1BA4"/>
    <w:rsid w:val="00FA1CAD"/>
    <w:rsid w:val="00FA1E7B"/>
    <w:rsid w:val="00FA2072"/>
    <w:rsid w:val="00FA20DB"/>
    <w:rsid w:val="00FA2509"/>
    <w:rsid w:val="00FA250C"/>
    <w:rsid w:val="00FA2513"/>
    <w:rsid w:val="00FA2912"/>
    <w:rsid w:val="00FA2D90"/>
    <w:rsid w:val="00FA2E35"/>
    <w:rsid w:val="00FA303B"/>
    <w:rsid w:val="00FA3041"/>
    <w:rsid w:val="00FA31F2"/>
    <w:rsid w:val="00FA3457"/>
    <w:rsid w:val="00FA35B9"/>
    <w:rsid w:val="00FA39C3"/>
    <w:rsid w:val="00FA3A93"/>
    <w:rsid w:val="00FA3AE3"/>
    <w:rsid w:val="00FA3E9E"/>
    <w:rsid w:val="00FA3F06"/>
    <w:rsid w:val="00FA406F"/>
    <w:rsid w:val="00FA40AC"/>
    <w:rsid w:val="00FA42A0"/>
    <w:rsid w:val="00FA4366"/>
    <w:rsid w:val="00FA4543"/>
    <w:rsid w:val="00FA45AD"/>
    <w:rsid w:val="00FA4AFB"/>
    <w:rsid w:val="00FA4B50"/>
    <w:rsid w:val="00FA4C84"/>
    <w:rsid w:val="00FA4EFB"/>
    <w:rsid w:val="00FA570B"/>
    <w:rsid w:val="00FA578D"/>
    <w:rsid w:val="00FA57A4"/>
    <w:rsid w:val="00FA581C"/>
    <w:rsid w:val="00FA5869"/>
    <w:rsid w:val="00FA5DA2"/>
    <w:rsid w:val="00FA6013"/>
    <w:rsid w:val="00FA6551"/>
    <w:rsid w:val="00FA667B"/>
    <w:rsid w:val="00FA66BD"/>
    <w:rsid w:val="00FA685F"/>
    <w:rsid w:val="00FA6FA8"/>
    <w:rsid w:val="00FA7195"/>
    <w:rsid w:val="00FA7546"/>
    <w:rsid w:val="00FA7737"/>
    <w:rsid w:val="00FA7B83"/>
    <w:rsid w:val="00FA7C6E"/>
    <w:rsid w:val="00FA7DA1"/>
    <w:rsid w:val="00FA7EAF"/>
    <w:rsid w:val="00FA7EE8"/>
    <w:rsid w:val="00FB02B4"/>
    <w:rsid w:val="00FB0792"/>
    <w:rsid w:val="00FB0912"/>
    <w:rsid w:val="00FB097C"/>
    <w:rsid w:val="00FB09B2"/>
    <w:rsid w:val="00FB0E7E"/>
    <w:rsid w:val="00FB0F90"/>
    <w:rsid w:val="00FB13A9"/>
    <w:rsid w:val="00FB1517"/>
    <w:rsid w:val="00FB17A7"/>
    <w:rsid w:val="00FB1804"/>
    <w:rsid w:val="00FB1853"/>
    <w:rsid w:val="00FB1B07"/>
    <w:rsid w:val="00FB1BF9"/>
    <w:rsid w:val="00FB1C40"/>
    <w:rsid w:val="00FB208B"/>
    <w:rsid w:val="00FB2753"/>
    <w:rsid w:val="00FB29D4"/>
    <w:rsid w:val="00FB2AE1"/>
    <w:rsid w:val="00FB2AF0"/>
    <w:rsid w:val="00FB2D48"/>
    <w:rsid w:val="00FB2D57"/>
    <w:rsid w:val="00FB3028"/>
    <w:rsid w:val="00FB3194"/>
    <w:rsid w:val="00FB31AE"/>
    <w:rsid w:val="00FB324C"/>
    <w:rsid w:val="00FB3349"/>
    <w:rsid w:val="00FB33AC"/>
    <w:rsid w:val="00FB34D6"/>
    <w:rsid w:val="00FB358D"/>
    <w:rsid w:val="00FB35BC"/>
    <w:rsid w:val="00FB3805"/>
    <w:rsid w:val="00FB3B97"/>
    <w:rsid w:val="00FB3B98"/>
    <w:rsid w:val="00FB3BB2"/>
    <w:rsid w:val="00FB3C56"/>
    <w:rsid w:val="00FB3E06"/>
    <w:rsid w:val="00FB3E3B"/>
    <w:rsid w:val="00FB3ECC"/>
    <w:rsid w:val="00FB3EF4"/>
    <w:rsid w:val="00FB416A"/>
    <w:rsid w:val="00FB435A"/>
    <w:rsid w:val="00FB43DE"/>
    <w:rsid w:val="00FB4811"/>
    <w:rsid w:val="00FB4848"/>
    <w:rsid w:val="00FB4872"/>
    <w:rsid w:val="00FB4EAB"/>
    <w:rsid w:val="00FB4EE0"/>
    <w:rsid w:val="00FB5041"/>
    <w:rsid w:val="00FB50F0"/>
    <w:rsid w:val="00FB5148"/>
    <w:rsid w:val="00FB5489"/>
    <w:rsid w:val="00FB5751"/>
    <w:rsid w:val="00FB59E4"/>
    <w:rsid w:val="00FB5B0C"/>
    <w:rsid w:val="00FB5E23"/>
    <w:rsid w:val="00FB5F0A"/>
    <w:rsid w:val="00FB6145"/>
    <w:rsid w:val="00FB67CC"/>
    <w:rsid w:val="00FB693B"/>
    <w:rsid w:val="00FB6A9C"/>
    <w:rsid w:val="00FB6CC0"/>
    <w:rsid w:val="00FB6CCD"/>
    <w:rsid w:val="00FB6CD4"/>
    <w:rsid w:val="00FB70BA"/>
    <w:rsid w:val="00FB721C"/>
    <w:rsid w:val="00FB7543"/>
    <w:rsid w:val="00FB75AD"/>
    <w:rsid w:val="00FB7800"/>
    <w:rsid w:val="00FB7A61"/>
    <w:rsid w:val="00FB7C33"/>
    <w:rsid w:val="00FB7FB5"/>
    <w:rsid w:val="00FB95E1"/>
    <w:rsid w:val="00FC00A5"/>
    <w:rsid w:val="00FC01CE"/>
    <w:rsid w:val="00FC04B3"/>
    <w:rsid w:val="00FC0922"/>
    <w:rsid w:val="00FC0961"/>
    <w:rsid w:val="00FC0995"/>
    <w:rsid w:val="00FC0BD0"/>
    <w:rsid w:val="00FC0D57"/>
    <w:rsid w:val="00FC1223"/>
    <w:rsid w:val="00FC1497"/>
    <w:rsid w:val="00FC17EA"/>
    <w:rsid w:val="00FC1818"/>
    <w:rsid w:val="00FC18E7"/>
    <w:rsid w:val="00FC19CA"/>
    <w:rsid w:val="00FC1AFC"/>
    <w:rsid w:val="00FC2057"/>
    <w:rsid w:val="00FC20CD"/>
    <w:rsid w:val="00FC2136"/>
    <w:rsid w:val="00FC23C6"/>
    <w:rsid w:val="00FC2753"/>
    <w:rsid w:val="00FC2867"/>
    <w:rsid w:val="00FC2BA7"/>
    <w:rsid w:val="00FC2E75"/>
    <w:rsid w:val="00FC324E"/>
    <w:rsid w:val="00FC3310"/>
    <w:rsid w:val="00FC3AD2"/>
    <w:rsid w:val="00FC3EA7"/>
    <w:rsid w:val="00FC4177"/>
    <w:rsid w:val="00FC4291"/>
    <w:rsid w:val="00FC4A73"/>
    <w:rsid w:val="00FC4CA2"/>
    <w:rsid w:val="00FC532F"/>
    <w:rsid w:val="00FC5499"/>
    <w:rsid w:val="00FC54FE"/>
    <w:rsid w:val="00FC5513"/>
    <w:rsid w:val="00FC5576"/>
    <w:rsid w:val="00FC5899"/>
    <w:rsid w:val="00FC59C6"/>
    <w:rsid w:val="00FC5BB3"/>
    <w:rsid w:val="00FC5C60"/>
    <w:rsid w:val="00FC5D2E"/>
    <w:rsid w:val="00FC5D79"/>
    <w:rsid w:val="00FC6512"/>
    <w:rsid w:val="00FC6620"/>
    <w:rsid w:val="00FC692E"/>
    <w:rsid w:val="00FC6C3F"/>
    <w:rsid w:val="00FC6D96"/>
    <w:rsid w:val="00FC703F"/>
    <w:rsid w:val="00FC711C"/>
    <w:rsid w:val="00FC75DB"/>
    <w:rsid w:val="00FC78CB"/>
    <w:rsid w:val="00FCAC48"/>
    <w:rsid w:val="00FD007B"/>
    <w:rsid w:val="00FD020B"/>
    <w:rsid w:val="00FD03CF"/>
    <w:rsid w:val="00FD03EB"/>
    <w:rsid w:val="00FD0451"/>
    <w:rsid w:val="00FD0511"/>
    <w:rsid w:val="00FD0982"/>
    <w:rsid w:val="00FD0B23"/>
    <w:rsid w:val="00FD0FED"/>
    <w:rsid w:val="00FD107F"/>
    <w:rsid w:val="00FD1512"/>
    <w:rsid w:val="00FD1591"/>
    <w:rsid w:val="00FD1728"/>
    <w:rsid w:val="00FD1A1B"/>
    <w:rsid w:val="00FD1AAD"/>
    <w:rsid w:val="00FD1AC8"/>
    <w:rsid w:val="00FD1C0E"/>
    <w:rsid w:val="00FD1CE9"/>
    <w:rsid w:val="00FD1DF3"/>
    <w:rsid w:val="00FD1EBD"/>
    <w:rsid w:val="00FD2577"/>
    <w:rsid w:val="00FD259D"/>
    <w:rsid w:val="00FD27AF"/>
    <w:rsid w:val="00FD27BF"/>
    <w:rsid w:val="00FD27D1"/>
    <w:rsid w:val="00FD2A7C"/>
    <w:rsid w:val="00FD2C25"/>
    <w:rsid w:val="00FD2CC9"/>
    <w:rsid w:val="00FD2E2A"/>
    <w:rsid w:val="00FD2E66"/>
    <w:rsid w:val="00FD3133"/>
    <w:rsid w:val="00FD3208"/>
    <w:rsid w:val="00FD3225"/>
    <w:rsid w:val="00FD334A"/>
    <w:rsid w:val="00FD3616"/>
    <w:rsid w:val="00FD3651"/>
    <w:rsid w:val="00FD3826"/>
    <w:rsid w:val="00FD3A52"/>
    <w:rsid w:val="00FD3CDF"/>
    <w:rsid w:val="00FD3D4E"/>
    <w:rsid w:val="00FD3E34"/>
    <w:rsid w:val="00FD3FB8"/>
    <w:rsid w:val="00FD3FB9"/>
    <w:rsid w:val="00FD3FF7"/>
    <w:rsid w:val="00FD431D"/>
    <w:rsid w:val="00FD43C2"/>
    <w:rsid w:val="00FD43D3"/>
    <w:rsid w:val="00FD43F9"/>
    <w:rsid w:val="00FD48F5"/>
    <w:rsid w:val="00FD4CDF"/>
    <w:rsid w:val="00FD4D2C"/>
    <w:rsid w:val="00FD5438"/>
    <w:rsid w:val="00FD58A0"/>
    <w:rsid w:val="00FD5A38"/>
    <w:rsid w:val="00FD5AF9"/>
    <w:rsid w:val="00FD5D55"/>
    <w:rsid w:val="00FD5DBD"/>
    <w:rsid w:val="00FD5E18"/>
    <w:rsid w:val="00FD5E1B"/>
    <w:rsid w:val="00FD61F5"/>
    <w:rsid w:val="00FD63C8"/>
    <w:rsid w:val="00FD6411"/>
    <w:rsid w:val="00FD661F"/>
    <w:rsid w:val="00FD6779"/>
    <w:rsid w:val="00FD67D7"/>
    <w:rsid w:val="00FD6B94"/>
    <w:rsid w:val="00FD6EF4"/>
    <w:rsid w:val="00FD6FDE"/>
    <w:rsid w:val="00FD708A"/>
    <w:rsid w:val="00FD71E2"/>
    <w:rsid w:val="00FD734F"/>
    <w:rsid w:val="00FD737C"/>
    <w:rsid w:val="00FD74E0"/>
    <w:rsid w:val="00FD7AE2"/>
    <w:rsid w:val="00FD7AE3"/>
    <w:rsid w:val="00FD7B25"/>
    <w:rsid w:val="00FD7D2E"/>
    <w:rsid w:val="00FD7FD4"/>
    <w:rsid w:val="00FE027D"/>
    <w:rsid w:val="00FE0332"/>
    <w:rsid w:val="00FE03FB"/>
    <w:rsid w:val="00FE045A"/>
    <w:rsid w:val="00FE0570"/>
    <w:rsid w:val="00FE06DB"/>
    <w:rsid w:val="00FE08C2"/>
    <w:rsid w:val="00FE0BDB"/>
    <w:rsid w:val="00FE0D29"/>
    <w:rsid w:val="00FE0EBC"/>
    <w:rsid w:val="00FE1139"/>
    <w:rsid w:val="00FE13FC"/>
    <w:rsid w:val="00FE1515"/>
    <w:rsid w:val="00FE1606"/>
    <w:rsid w:val="00FE1730"/>
    <w:rsid w:val="00FE189E"/>
    <w:rsid w:val="00FE19D2"/>
    <w:rsid w:val="00FE1B91"/>
    <w:rsid w:val="00FE1BD9"/>
    <w:rsid w:val="00FE1DAB"/>
    <w:rsid w:val="00FE1EF0"/>
    <w:rsid w:val="00FE20B6"/>
    <w:rsid w:val="00FE20DF"/>
    <w:rsid w:val="00FE24DB"/>
    <w:rsid w:val="00FE26A4"/>
    <w:rsid w:val="00FE2E0E"/>
    <w:rsid w:val="00FE2E4A"/>
    <w:rsid w:val="00FE2E9A"/>
    <w:rsid w:val="00FE32EB"/>
    <w:rsid w:val="00FE362E"/>
    <w:rsid w:val="00FE37B6"/>
    <w:rsid w:val="00FE3805"/>
    <w:rsid w:val="00FE3AA5"/>
    <w:rsid w:val="00FE3AF7"/>
    <w:rsid w:val="00FE3B86"/>
    <w:rsid w:val="00FE3E83"/>
    <w:rsid w:val="00FE3EE9"/>
    <w:rsid w:val="00FE416B"/>
    <w:rsid w:val="00FE419D"/>
    <w:rsid w:val="00FE4247"/>
    <w:rsid w:val="00FE4280"/>
    <w:rsid w:val="00FE44DE"/>
    <w:rsid w:val="00FE44F0"/>
    <w:rsid w:val="00FE48A7"/>
    <w:rsid w:val="00FE48E6"/>
    <w:rsid w:val="00FE493B"/>
    <w:rsid w:val="00FE4BC2"/>
    <w:rsid w:val="00FE4BDE"/>
    <w:rsid w:val="00FE4C34"/>
    <w:rsid w:val="00FE4E0E"/>
    <w:rsid w:val="00FE50BB"/>
    <w:rsid w:val="00FE510B"/>
    <w:rsid w:val="00FE54D8"/>
    <w:rsid w:val="00FE558A"/>
    <w:rsid w:val="00FE55EA"/>
    <w:rsid w:val="00FE575D"/>
    <w:rsid w:val="00FE5C00"/>
    <w:rsid w:val="00FE5F3C"/>
    <w:rsid w:val="00FE649D"/>
    <w:rsid w:val="00FE6514"/>
    <w:rsid w:val="00FE667E"/>
    <w:rsid w:val="00FE6BD3"/>
    <w:rsid w:val="00FE6CC9"/>
    <w:rsid w:val="00FE6CD9"/>
    <w:rsid w:val="00FE6CE3"/>
    <w:rsid w:val="00FE6DA8"/>
    <w:rsid w:val="00FE7258"/>
    <w:rsid w:val="00FE7402"/>
    <w:rsid w:val="00FE75E6"/>
    <w:rsid w:val="00FE7609"/>
    <w:rsid w:val="00FE78FB"/>
    <w:rsid w:val="00FE7A38"/>
    <w:rsid w:val="00FE7A5F"/>
    <w:rsid w:val="00FF017C"/>
    <w:rsid w:val="00FF03E3"/>
    <w:rsid w:val="00FF0567"/>
    <w:rsid w:val="00FF0662"/>
    <w:rsid w:val="00FF06B5"/>
    <w:rsid w:val="00FF0843"/>
    <w:rsid w:val="00FF098C"/>
    <w:rsid w:val="00FF0C23"/>
    <w:rsid w:val="00FF0EE9"/>
    <w:rsid w:val="00FF0FFB"/>
    <w:rsid w:val="00FF105A"/>
    <w:rsid w:val="00FF110A"/>
    <w:rsid w:val="00FF13BF"/>
    <w:rsid w:val="00FF1440"/>
    <w:rsid w:val="00FF1C00"/>
    <w:rsid w:val="00FF1CE6"/>
    <w:rsid w:val="00FF1E41"/>
    <w:rsid w:val="00FF1F4A"/>
    <w:rsid w:val="00FF2595"/>
    <w:rsid w:val="00FF26DF"/>
    <w:rsid w:val="00FF27E8"/>
    <w:rsid w:val="00FF2A6A"/>
    <w:rsid w:val="00FF2B21"/>
    <w:rsid w:val="00FF2C9C"/>
    <w:rsid w:val="00FF2CDF"/>
    <w:rsid w:val="00FF2CE1"/>
    <w:rsid w:val="00FF2DC7"/>
    <w:rsid w:val="00FF2E58"/>
    <w:rsid w:val="00FF30FF"/>
    <w:rsid w:val="00FF33C4"/>
    <w:rsid w:val="00FF35EF"/>
    <w:rsid w:val="00FF3601"/>
    <w:rsid w:val="00FF37A6"/>
    <w:rsid w:val="00FF383F"/>
    <w:rsid w:val="00FF3A24"/>
    <w:rsid w:val="00FF3A92"/>
    <w:rsid w:val="00FF3CBD"/>
    <w:rsid w:val="00FF3D4B"/>
    <w:rsid w:val="00FF43D7"/>
    <w:rsid w:val="00FF4777"/>
    <w:rsid w:val="00FF4816"/>
    <w:rsid w:val="00FF482C"/>
    <w:rsid w:val="00FF4AF6"/>
    <w:rsid w:val="00FF4C68"/>
    <w:rsid w:val="00FF4DB7"/>
    <w:rsid w:val="00FF4E6B"/>
    <w:rsid w:val="00FF5177"/>
    <w:rsid w:val="00FF5511"/>
    <w:rsid w:val="00FF55EC"/>
    <w:rsid w:val="00FF5790"/>
    <w:rsid w:val="00FF57A4"/>
    <w:rsid w:val="00FF5B5E"/>
    <w:rsid w:val="00FF5B8F"/>
    <w:rsid w:val="00FF5E14"/>
    <w:rsid w:val="00FF5F32"/>
    <w:rsid w:val="00FF5FC4"/>
    <w:rsid w:val="00FF6092"/>
    <w:rsid w:val="00FF61BD"/>
    <w:rsid w:val="00FF62DE"/>
    <w:rsid w:val="00FF640A"/>
    <w:rsid w:val="00FF6468"/>
    <w:rsid w:val="00FF64A0"/>
    <w:rsid w:val="00FF663A"/>
    <w:rsid w:val="00FF664D"/>
    <w:rsid w:val="00FF666B"/>
    <w:rsid w:val="00FF666C"/>
    <w:rsid w:val="00FF6964"/>
    <w:rsid w:val="00FF6C14"/>
    <w:rsid w:val="00FF6D04"/>
    <w:rsid w:val="00FF6D41"/>
    <w:rsid w:val="00FF6E35"/>
    <w:rsid w:val="00FF6E53"/>
    <w:rsid w:val="00FF7B62"/>
    <w:rsid w:val="00FF7C17"/>
    <w:rsid w:val="00FF7C57"/>
    <w:rsid w:val="00FF7CE5"/>
    <w:rsid w:val="01080485"/>
    <w:rsid w:val="010DB5A6"/>
    <w:rsid w:val="0114A7DF"/>
    <w:rsid w:val="01165EA1"/>
    <w:rsid w:val="0116FD04"/>
    <w:rsid w:val="0119B691"/>
    <w:rsid w:val="0119EEE9"/>
    <w:rsid w:val="011EA1C6"/>
    <w:rsid w:val="0123C2BC"/>
    <w:rsid w:val="012B9AFE"/>
    <w:rsid w:val="0131E54E"/>
    <w:rsid w:val="013525B3"/>
    <w:rsid w:val="013592E9"/>
    <w:rsid w:val="013F6EEA"/>
    <w:rsid w:val="01423219"/>
    <w:rsid w:val="014635C8"/>
    <w:rsid w:val="014B01AE"/>
    <w:rsid w:val="01514B5F"/>
    <w:rsid w:val="0151B810"/>
    <w:rsid w:val="0152D105"/>
    <w:rsid w:val="015429A2"/>
    <w:rsid w:val="0158B31D"/>
    <w:rsid w:val="0158B400"/>
    <w:rsid w:val="01598FB6"/>
    <w:rsid w:val="015B22C3"/>
    <w:rsid w:val="015F08A8"/>
    <w:rsid w:val="0160A3B0"/>
    <w:rsid w:val="01621515"/>
    <w:rsid w:val="01623FB2"/>
    <w:rsid w:val="0162AF89"/>
    <w:rsid w:val="01652D13"/>
    <w:rsid w:val="01653E76"/>
    <w:rsid w:val="0165672F"/>
    <w:rsid w:val="016701C6"/>
    <w:rsid w:val="016ABEC6"/>
    <w:rsid w:val="016D14F0"/>
    <w:rsid w:val="0173EA60"/>
    <w:rsid w:val="017419C0"/>
    <w:rsid w:val="0174CAA8"/>
    <w:rsid w:val="01767347"/>
    <w:rsid w:val="0176C1AA"/>
    <w:rsid w:val="01793883"/>
    <w:rsid w:val="017A48B5"/>
    <w:rsid w:val="017AF206"/>
    <w:rsid w:val="017E556C"/>
    <w:rsid w:val="017E7545"/>
    <w:rsid w:val="017F23C7"/>
    <w:rsid w:val="017FF64D"/>
    <w:rsid w:val="018C2404"/>
    <w:rsid w:val="01942607"/>
    <w:rsid w:val="019AF3B1"/>
    <w:rsid w:val="019BE724"/>
    <w:rsid w:val="019C4331"/>
    <w:rsid w:val="01A0E2D5"/>
    <w:rsid w:val="01A19501"/>
    <w:rsid w:val="01A9A303"/>
    <w:rsid w:val="01A9B2A3"/>
    <w:rsid w:val="01A9C510"/>
    <w:rsid w:val="01B27A4D"/>
    <w:rsid w:val="01BCAD7B"/>
    <w:rsid w:val="01C170F8"/>
    <w:rsid w:val="01CB13E5"/>
    <w:rsid w:val="01CB27D3"/>
    <w:rsid w:val="01CDBE9C"/>
    <w:rsid w:val="01CF3F7D"/>
    <w:rsid w:val="01D5B643"/>
    <w:rsid w:val="01DD897A"/>
    <w:rsid w:val="01E521DC"/>
    <w:rsid w:val="01E8086E"/>
    <w:rsid w:val="01EAE844"/>
    <w:rsid w:val="01ED3C69"/>
    <w:rsid w:val="01EEA3AA"/>
    <w:rsid w:val="01FF0319"/>
    <w:rsid w:val="02022C2E"/>
    <w:rsid w:val="02040753"/>
    <w:rsid w:val="02044D98"/>
    <w:rsid w:val="02056742"/>
    <w:rsid w:val="020B25D4"/>
    <w:rsid w:val="020DC6E3"/>
    <w:rsid w:val="020DF6BF"/>
    <w:rsid w:val="020FB4A2"/>
    <w:rsid w:val="021274E4"/>
    <w:rsid w:val="021394C2"/>
    <w:rsid w:val="0215C3A9"/>
    <w:rsid w:val="021704A5"/>
    <w:rsid w:val="021BCBED"/>
    <w:rsid w:val="021C0535"/>
    <w:rsid w:val="021F427F"/>
    <w:rsid w:val="0220E6EE"/>
    <w:rsid w:val="022474F9"/>
    <w:rsid w:val="022557C8"/>
    <w:rsid w:val="022778F3"/>
    <w:rsid w:val="02289393"/>
    <w:rsid w:val="0228B772"/>
    <w:rsid w:val="0228E73E"/>
    <w:rsid w:val="022A5A8E"/>
    <w:rsid w:val="022A9396"/>
    <w:rsid w:val="022AB2E2"/>
    <w:rsid w:val="022CE644"/>
    <w:rsid w:val="023EDF15"/>
    <w:rsid w:val="02409C91"/>
    <w:rsid w:val="024A623C"/>
    <w:rsid w:val="024C717A"/>
    <w:rsid w:val="024DCD4E"/>
    <w:rsid w:val="024DE950"/>
    <w:rsid w:val="0254DA72"/>
    <w:rsid w:val="0254E9C6"/>
    <w:rsid w:val="02572482"/>
    <w:rsid w:val="025B14D4"/>
    <w:rsid w:val="025BA922"/>
    <w:rsid w:val="025C8A5A"/>
    <w:rsid w:val="025D2F0E"/>
    <w:rsid w:val="02618FDF"/>
    <w:rsid w:val="026A0A94"/>
    <w:rsid w:val="027241C7"/>
    <w:rsid w:val="02779252"/>
    <w:rsid w:val="02789D4F"/>
    <w:rsid w:val="027E8D7E"/>
    <w:rsid w:val="02804E5B"/>
    <w:rsid w:val="0285420D"/>
    <w:rsid w:val="0286AF46"/>
    <w:rsid w:val="028CC8D0"/>
    <w:rsid w:val="028D4EE1"/>
    <w:rsid w:val="028D5A2A"/>
    <w:rsid w:val="02946939"/>
    <w:rsid w:val="029830BB"/>
    <w:rsid w:val="029956D5"/>
    <w:rsid w:val="029A5C24"/>
    <w:rsid w:val="02AAAE0C"/>
    <w:rsid w:val="02AE973C"/>
    <w:rsid w:val="02AFEE4E"/>
    <w:rsid w:val="02B1A910"/>
    <w:rsid w:val="02B80BD3"/>
    <w:rsid w:val="02B85A27"/>
    <w:rsid w:val="02B88B79"/>
    <w:rsid w:val="02C30410"/>
    <w:rsid w:val="02C32E72"/>
    <w:rsid w:val="02C408EC"/>
    <w:rsid w:val="02C427C9"/>
    <w:rsid w:val="02C49F5B"/>
    <w:rsid w:val="02C56E5C"/>
    <w:rsid w:val="02C5CA9B"/>
    <w:rsid w:val="02C776C0"/>
    <w:rsid w:val="02C85CA6"/>
    <w:rsid w:val="02C9565F"/>
    <w:rsid w:val="02C9BB57"/>
    <w:rsid w:val="02CDFB5E"/>
    <w:rsid w:val="02D11C43"/>
    <w:rsid w:val="02D516D3"/>
    <w:rsid w:val="02DBFA8F"/>
    <w:rsid w:val="02DC12BF"/>
    <w:rsid w:val="02DE7A7F"/>
    <w:rsid w:val="02DF8D52"/>
    <w:rsid w:val="02E452DE"/>
    <w:rsid w:val="02E640DF"/>
    <w:rsid w:val="02EA779E"/>
    <w:rsid w:val="02EE031F"/>
    <w:rsid w:val="02F04775"/>
    <w:rsid w:val="02F63257"/>
    <w:rsid w:val="02FA7803"/>
    <w:rsid w:val="03029AAB"/>
    <w:rsid w:val="03036209"/>
    <w:rsid w:val="0303FC8F"/>
    <w:rsid w:val="03043682"/>
    <w:rsid w:val="03086538"/>
    <w:rsid w:val="030F4D2D"/>
    <w:rsid w:val="030FBAC1"/>
    <w:rsid w:val="0317DC32"/>
    <w:rsid w:val="03189D68"/>
    <w:rsid w:val="03190246"/>
    <w:rsid w:val="03232911"/>
    <w:rsid w:val="03250600"/>
    <w:rsid w:val="0329993E"/>
    <w:rsid w:val="032A7CF8"/>
    <w:rsid w:val="033BED2E"/>
    <w:rsid w:val="033E7E55"/>
    <w:rsid w:val="03432642"/>
    <w:rsid w:val="03446672"/>
    <w:rsid w:val="03472F74"/>
    <w:rsid w:val="034D7957"/>
    <w:rsid w:val="0351AF7E"/>
    <w:rsid w:val="0351BDA1"/>
    <w:rsid w:val="0352B4FF"/>
    <w:rsid w:val="035365F3"/>
    <w:rsid w:val="035445B9"/>
    <w:rsid w:val="0357BF35"/>
    <w:rsid w:val="035864A0"/>
    <w:rsid w:val="0359A901"/>
    <w:rsid w:val="0360C511"/>
    <w:rsid w:val="036578D9"/>
    <w:rsid w:val="0367FE27"/>
    <w:rsid w:val="03695B8D"/>
    <w:rsid w:val="0369AD13"/>
    <w:rsid w:val="036D5761"/>
    <w:rsid w:val="036DCBF2"/>
    <w:rsid w:val="036DE923"/>
    <w:rsid w:val="037624B3"/>
    <w:rsid w:val="037939D3"/>
    <w:rsid w:val="037E5764"/>
    <w:rsid w:val="037F1F7F"/>
    <w:rsid w:val="03813A8F"/>
    <w:rsid w:val="03833186"/>
    <w:rsid w:val="0386F8C6"/>
    <w:rsid w:val="038CFF61"/>
    <w:rsid w:val="03936C5D"/>
    <w:rsid w:val="03947869"/>
    <w:rsid w:val="0398BBD4"/>
    <w:rsid w:val="039CB837"/>
    <w:rsid w:val="03A13B2D"/>
    <w:rsid w:val="03A20B89"/>
    <w:rsid w:val="03A57A92"/>
    <w:rsid w:val="03A83DB3"/>
    <w:rsid w:val="03A8DB77"/>
    <w:rsid w:val="03A8F029"/>
    <w:rsid w:val="03AC37E5"/>
    <w:rsid w:val="03ADA762"/>
    <w:rsid w:val="03B1EB7F"/>
    <w:rsid w:val="03B307D7"/>
    <w:rsid w:val="03BB237D"/>
    <w:rsid w:val="03BE6056"/>
    <w:rsid w:val="03BFF308"/>
    <w:rsid w:val="03C0A83A"/>
    <w:rsid w:val="03C1E4CE"/>
    <w:rsid w:val="03CFA764"/>
    <w:rsid w:val="03D02EC8"/>
    <w:rsid w:val="03D2F054"/>
    <w:rsid w:val="03D33E11"/>
    <w:rsid w:val="03D5CA38"/>
    <w:rsid w:val="03D71C90"/>
    <w:rsid w:val="03D72771"/>
    <w:rsid w:val="03D85C13"/>
    <w:rsid w:val="03D9D319"/>
    <w:rsid w:val="03DC25EF"/>
    <w:rsid w:val="03DC8886"/>
    <w:rsid w:val="03DDBD54"/>
    <w:rsid w:val="03E32851"/>
    <w:rsid w:val="03E60A0E"/>
    <w:rsid w:val="03F1FADC"/>
    <w:rsid w:val="03F52B99"/>
    <w:rsid w:val="03F7D8EC"/>
    <w:rsid w:val="03FE5A3F"/>
    <w:rsid w:val="03FF5D42"/>
    <w:rsid w:val="04006FE5"/>
    <w:rsid w:val="0400A36D"/>
    <w:rsid w:val="0404FD9A"/>
    <w:rsid w:val="0404FE7F"/>
    <w:rsid w:val="0408E979"/>
    <w:rsid w:val="040D89E5"/>
    <w:rsid w:val="040F5C85"/>
    <w:rsid w:val="0418CA29"/>
    <w:rsid w:val="04190F9D"/>
    <w:rsid w:val="041F0BB3"/>
    <w:rsid w:val="0421C821"/>
    <w:rsid w:val="0426DA25"/>
    <w:rsid w:val="042F790F"/>
    <w:rsid w:val="042FE305"/>
    <w:rsid w:val="0432604C"/>
    <w:rsid w:val="04359DD2"/>
    <w:rsid w:val="0437AE05"/>
    <w:rsid w:val="0438044E"/>
    <w:rsid w:val="04380D89"/>
    <w:rsid w:val="04455856"/>
    <w:rsid w:val="044738A6"/>
    <w:rsid w:val="044769D7"/>
    <w:rsid w:val="044CFA3B"/>
    <w:rsid w:val="044D2BFD"/>
    <w:rsid w:val="044EB325"/>
    <w:rsid w:val="044ECDEF"/>
    <w:rsid w:val="044F1AE0"/>
    <w:rsid w:val="04567AC4"/>
    <w:rsid w:val="045AA36A"/>
    <w:rsid w:val="0462C814"/>
    <w:rsid w:val="04641BC3"/>
    <w:rsid w:val="0465AEBB"/>
    <w:rsid w:val="0469E6F9"/>
    <w:rsid w:val="046DB78C"/>
    <w:rsid w:val="046E7370"/>
    <w:rsid w:val="0474AA64"/>
    <w:rsid w:val="0474BB7A"/>
    <w:rsid w:val="0475FCBE"/>
    <w:rsid w:val="04794F79"/>
    <w:rsid w:val="0479C7A7"/>
    <w:rsid w:val="0479D6A9"/>
    <w:rsid w:val="047B1090"/>
    <w:rsid w:val="047D8BB1"/>
    <w:rsid w:val="047F62F4"/>
    <w:rsid w:val="04804B0D"/>
    <w:rsid w:val="0488B304"/>
    <w:rsid w:val="048C4297"/>
    <w:rsid w:val="0490FADA"/>
    <w:rsid w:val="04923E5D"/>
    <w:rsid w:val="0493B280"/>
    <w:rsid w:val="04963381"/>
    <w:rsid w:val="04970E0C"/>
    <w:rsid w:val="0497294D"/>
    <w:rsid w:val="049BBEAC"/>
    <w:rsid w:val="049D5CC3"/>
    <w:rsid w:val="049EFAB0"/>
    <w:rsid w:val="04A48D44"/>
    <w:rsid w:val="04A50406"/>
    <w:rsid w:val="04AA377E"/>
    <w:rsid w:val="04AD4F5C"/>
    <w:rsid w:val="04AF7403"/>
    <w:rsid w:val="04B21491"/>
    <w:rsid w:val="04B3B4FD"/>
    <w:rsid w:val="04B79B9F"/>
    <w:rsid w:val="04BE08FF"/>
    <w:rsid w:val="04C183B6"/>
    <w:rsid w:val="04C45782"/>
    <w:rsid w:val="04CE7106"/>
    <w:rsid w:val="04CEFA81"/>
    <w:rsid w:val="04D17B9E"/>
    <w:rsid w:val="04D360B7"/>
    <w:rsid w:val="04D4C518"/>
    <w:rsid w:val="04D68F73"/>
    <w:rsid w:val="04DA83CC"/>
    <w:rsid w:val="04DCDB47"/>
    <w:rsid w:val="04DEA9D3"/>
    <w:rsid w:val="04E08F92"/>
    <w:rsid w:val="04E19805"/>
    <w:rsid w:val="04E2D983"/>
    <w:rsid w:val="04E716F8"/>
    <w:rsid w:val="04E78C39"/>
    <w:rsid w:val="04E9887F"/>
    <w:rsid w:val="04EC6114"/>
    <w:rsid w:val="04ECF156"/>
    <w:rsid w:val="04F15316"/>
    <w:rsid w:val="04F19134"/>
    <w:rsid w:val="04F3773A"/>
    <w:rsid w:val="04F8E617"/>
    <w:rsid w:val="04FE36B9"/>
    <w:rsid w:val="04FE6196"/>
    <w:rsid w:val="05057274"/>
    <w:rsid w:val="0506EAE8"/>
    <w:rsid w:val="0514D224"/>
    <w:rsid w:val="051509F4"/>
    <w:rsid w:val="051963A9"/>
    <w:rsid w:val="051BBCD1"/>
    <w:rsid w:val="0521124D"/>
    <w:rsid w:val="05298ED7"/>
    <w:rsid w:val="052B3C9A"/>
    <w:rsid w:val="052C52A1"/>
    <w:rsid w:val="052CB37F"/>
    <w:rsid w:val="052EBFDE"/>
    <w:rsid w:val="052FD318"/>
    <w:rsid w:val="0539779D"/>
    <w:rsid w:val="053B1965"/>
    <w:rsid w:val="0542F43E"/>
    <w:rsid w:val="0547C5DE"/>
    <w:rsid w:val="0551DCCC"/>
    <w:rsid w:val="055A9D12"/>
    <w:rsid w:val="055B8616"/>
    <w:rsid w:val="055E508B"/>
    <w:rsid w:val="0560C47B"/>
    <w:rsid w:val="0564B5D1"/>
    <w:rsid w:val="0564C3E2"/>
    <w:rsid w:val="0565DF2E"/>
    <w:rsid w:val="0567CD0B"/>
    <w:rsid w:val="05685938"/>
    <w:rsid w:val="056A1B6B"/>
    <w:rsid w:val="0572D03F"/>
    <w:rsid w:val="0578408E"/>
    <w:rsid w:val="0579B471"/>
    <w:rsid w:val="057A187C"/>
    <w:rsid w:val="057A9B39"/>
    <w:rsid w:val="057CBDC9"/>
    <w:rsid w:val="05830FB4"/>
    <w:rsid w:val="058334C8"/>
    <w:rsid w:val="05894800"/>
    <w:rsid w:val="058DB43B"/>
    <w:rsid w:val="05913112"/>
    <w:rsid w:val="0592F380"/>
    <w:rsid w:val="059904DF"/>
    <w:rsid w:val="059E69E4"/>
    <w:rsid w:val="059FA854"/>
    <w:rsid w:val="05A1AAC0"/>
    <w:rsid w:val="05A57D96"/>
    <w:rsid w:val="05A9CB9B"/>
    <w:rsid w:val="05AA032F"/>
    <w:rsid w:val="05AE7C9C"/>
    <w:rsid w:val="05B03C70"/>
    <w:rsid w:val="05B771BF"/>
    <w:rsid w:val="05B98BCD"/>
    <w:rsid w:val="05BA0C50"/>
    <w:rsid w:val="05BDAE11"/>
    <w:rsid w:val="05C1EDEB"/>
    <w:rsid w:val="05D086A4"/>
    <w:rsid w:val="05D4A336"/>
    <w:rsid w:val="05D599FD"/>
    <w:rsid w:val="05D757A2"/>
    <w:rsid w:val="05D9972F"/>
    <w:rsid w:val="05DA8E87"/>
    <w:rsid w:val="05DBB4A3"/>
    <w:rsid w:val="05DECC7F"/>
    <w:rsid w:val="05E1BCD8"/>
    <w:rsid w:val="05E33654"/>
    <w:rsid w:val="05E51965"/>
    <w:rsid w:val="05E731BD"/>
    <w:rsid w:val="05E88084"/>
    <w:rsid w:val="05E9A5DA"/>
    <w:rsid w:val="05F2574C"/>
    <w:rsid w:val="05F64F5E"/>
    <w:rsid w:val="05F97FBD"/>
    <w:rsid w:val="05FAA62C"/>
    <w:rsid w:val="05FCC07D"/>
    <w:rsid w:val="05FE96F6"/>
    <w:rsid w:val="05FFF1F7"/>
    <w:rsid w:val="06015C74"/>
    <w:rsid w:val="06043E23"/>
    <w:rsid w:val="060A2FF6"/>
    <w:rsid w:val="060E666F"/>
    <w:rsid w:val="060EE078"/>
    <w:rsid w:val="06122B7D"/>
    <w:rsid w:val="0613DCEB"/>
    <w:rsid w:val="0615B043"/>
    <w:rsid w:val="0615E7A0"/>
    <w:rsid w:val="06163EC2"/>
    <w:rsid w:val="0618014C"/>
    <w:rsid w:val="061C770C"/>
    <w:rsid w:val="061EADE5"/>
    <w:rsid w:val="0622B5E3"/>
    <w:rsid w:val="06283A79"/>
    <w:rsid w:val="062ADA52"/>
    <w:rsid w:val="062B0A08"/>
    <w:rsid w:val="062C2F60"/>
    <w:rsid w:val="062D7BE9"/>
    <w:rsid w:val="062E9AD0"/>
    <w:rsid w:val="0631DA1F"/>
    <w:rsid w:val="06332E51"/>
    <w:rsid w:val="06340A45"/>
    <w:rsid w:val="0639BF8A"/>
    <w:rsid w:val="063A1035"/>
    <w:rsid w:val="063AEA8E"/>
    <w:rsid w:val="063D42A8"/>
    <w:rsid w:val="0648117F"/>
    <w:rsid w:val="06485CB2"/>
    <w:rsid w:val="064881D8"/>
    <w:rsid w:val="06518F40"/>
    <w:rsid w:val="0654D1C5"/>
    <w:rsid w:val="06554EB2"/>
    <w:rsid w:val="065A892C"/>
    <w:rsid w:val="065BF7B2"/>
    <w:rsid w:val="065EBBDE"/>
    <w:rsid w:val="066BC68E"/>
    <w:rsid w:val="066FE8B5"/>
    <w:rsid w:val="06721036"/>
    <w:rsid w:val="067214BD"/>
    <w:rsid w:val="06721AFA"/>
    <w:rsid w:val="067303E6"/>
    <w:rsid w:val="06747FAF"/>
    <w:rsid w:val="067591DD"/>
    <w:rsid w:val="06763CF0"/>
    <w:rsid w:val="067A2BC6"/>
    <w:rsid w:val="067B829B"/>
    <w:rsid w:val="0681BDEE"/>
    <w:rsid w:val="0683FA81"/>
    <w:rsid w:val="0684FA7E"/>
    <w:rsid w:val="06874EF5"/>
    <w:rsid w:val="0688CFA1"/>
    <w:rsid w:val="0688E43A"/>
    <w:rsid w:val="06899398"/>
    <w:rsid w:val="068ADDC9"/>
    <w:rsid w:val="068BDFEF"/>
    <w:rsid w:val="06910045"/>
    <w:rsid w:val="0693156B"/>
    <w:rsid w:val="06995F57"/>
    <w:rsid w:val="069AF3A5"/>
    <w:rsid w:val="069D4F5A"/>
    <w:rsid w:val="069F6A32"/>
    <w:rsid w:val="06A0703B"/>
    <w:rsid w:val="06A42F63"/>
    <w:rsid w:val="06A61C16"/>
    <w:rsid w:val="06A72085"/>
    <w:rsid w:val="06A90430"/>
    <w:rsid w:val="06AA5DDB"/>
    <w:rsid w:val="06AB11FF"/>
    <w:rsid w:val="06AC1807"/>
    <w:rsid w:val="06AC35FA"/>
    <w:rsid w:val="06B35C53"/>
    <w:rsid w:val="06B52005"/>
    <w:rsid w:val="06B56CB7"/>
    <w:rsid w:val="06B5E250"/>
    <w:rsid w:val="06BA00EB"/>
    <w:rsid w:val="06BF76D5"/>
    <w:rsid w:val="06BFA82E"/>
    <w:rsid w:val="06C1FC76"/>
    <w:rsid w:val="06C5A82E"/>
    <w:rsid w:val="06CC7401"/>
    <w:rsid w:val="06CD3A2A"/>
    <w:rsid w:val="06CEB258"/>
    <w:rsid w:val="06CF11CC"/>
    <w:rsid w:val="06D21354"/>
    <w:rsid w:val="06D24E46"/>
    <w:rsid w:val="06D51C66"/>
    <w:rsid w:val="06D57FCB"/>
    <w:rsid w:val="06D61AFF"/>
    <w:rsid w:val="06D65698"/>
    <w:rsid w:val="06DA5BF2"/>
    <w:rsid w:val="06DA7AF4"/>
    <w:rsid w:val="06DDBD94"/>
    <w:rsid w:val="06DE69C4"/>
    <w:rsid w:val="06E3EE8F"/>
    <w:rsid w:val="06E5247F"/>
    <w:rsid w:val="06E57031"/>
    <w:rsid w:val="06E95AEF"/>
    <w:rsid w:val="06E98226"/>
    <w:rsid w:val="06EBB8C8"/>
    <w:rsid w:val="06EED791"/>
    <w:rsid w:val="06F17869"/>
    <w:rsid w:val="06F1FE30"/>
    <w:rsid w:val="06F6F365"/>
    <w:rsid w:val="06FB2243"/>
    <w:rsid w:val="06FC2CF8"/>
    <w:rsid w:val="07038846"/>
    <w:rsid w:val="070426F9"/>
    <w:rsid w:val="07045F39"/>
    <w:rsid w:val="0705331F"/>
    <w:rsid w:val="0705F75A"/>
    <w:rsid w:val="07079A21"/>
    <w:rsid w:val="070BCCA2"/>
    <w:rsid w:val="070BED5D"/>
    <w:rsid w:val="070EAECD"/>
    <w:rsid w:val="070F9735"/>
    <w:rsid w:val="0710484C"/>
    <w:rsid w:val="0713A3FE"/>
    <w:rsid w:val="07159B07"/>
    <w:rsid w:val="0715F1E8"/>
    <w:rsid w:val="07160F73"/>
    <w:rsid w:val="071C628E"/>
    <w:rsid w:val="071EAE86"/>
    <w:rsid w:val="071F3695"/>
    <w:rsid w:val="072BE5E3"/>
    <w:rsid w:val="073081E1"/>
    <w:rsid w:val="07329C7B"/>
    <w:rsid w:val="07337506"/>
    <w:rsid w:val="0737E766"/>
    <w:rsid w:val="073ECAA4"/>
    <w:rsid w:val="07406F25"/>
    <w:rsid w:val="0740B640"/>
    <w:rsid w:val="074E6008"/>
    <w:rsid w:val="07502216"/>
    <w:rsid w:val="07559EF3"/>
    <w:rsid w:val="0756F327"/>
    <w:rsid w:val="0756F817"/>
    <w:rsid w:val="075B4789"/>
    <w:rsid w:val="07618F43"/>
    <w:rsid w:val="07643E97"/>
    <w:rsid w:val="076508E0"/>
    <w:rsid w:val="076A9F31"/>
    <w:rsid w:val="076F5EB0"/>
    <w:rsid w:val="0770FA6B"/>
    <w:rsid w:val="077280FF"/>
    <w:rsid w:val="077401A8"/>
    <w:rsid w:val="0776CC60"/>
    <w:rsid w:val="0778ABC4"/>
    <w:rsid w:val="077982EF"/>
    <w:rsid w:val="077BECF3"/>
    <w:rsid w:val="077D0598"/>
    <w:rsid w:val="077E925E"/>
    <w:rsid w:val="0780D9A4"/>
    <w:rsid w:val="07960F41"/>
    <w:rsid w:val="07988561"/>
    <w:rsid w:val="079AB7AD"/>
    <w:rsid w:val="079F65AD"/>
    <w:rsid w:val="07A83D08"/>
    <w:rsid w:val="07AE8F0A"/>
    <w:rsid w:val="07B04AD4"/>
    <w:rsid w:val="07B6B1B7"/>
    <w:rsid w:val="07BC4507"/>
    <w:rsid w:val="07BECF4D"/>
    <w:rsid w:val="07C2F98B"/>
    <w:rsid w:val="07C44FB9"/>
    <w:rsid w:val="07C7AAAE"/>
    <w:rsid w:val="07C880AF"/>
    <w:rsid w:val="07D486A5"/>
    <w:rsid w:val="07D4BD90"/>
    <w:rsid w:val="07D9EA81"/>
    <w:rsid w:val="07DAFDC6"/>
    <w:rsid w:val="07DC1884"/>
    <w:rsid w:val="07DDD5D1"/>
    <w:rsid w:val="07E45661"/>
    <w:rsid w:val="07E498C7"/>
    <w:rsid w:val="07E49F3D"/>
    <w:rsid w:val="07F0C94D"/>
    <w:rsid w:val="07F1A461"/>
    <w:rsid w:val="07F35B35"/>
    <w:rsid w:val="07F378FD"/>
    <w:rsid w:val="07F5BD19"/>
    <w:rsid w:val="07F6836F"/>
    <w:rsid w:val="07FD33EA"/>
    <w:rsid w:val="07FE63B9"/>
    <w:rsid w:val="07FEAD84"/>
    <w:rsid w:val="07FFEF7E"/>
    <w:rsid w:val="08039895"/>
    <w:rsid w:val="08039A94"/>
    <w:rsid w:val="0807966B"/>
    <w:rsid w:val="080AA65F"/>
    <w:rsid w:val="080C8C0F"/>
    <w:rsid w:val="080D1A54"/>
    <w:rsid w:val="080E14E1"/>
    <w:rsid w:val="08128C12"/>
    <w:rsid w:val="081372EC"/>
    <w:rsid w:val="081387DC"/>
    <w:rsid w:val="08163DC3"/>
    <w:rsid w:val="08183C3F"/>
    <w:rsid w:val="0818FC57"/>
    <w:rsid w:val="0819E0DA"/>
    <w:rsid w:val="0824BD02"/>
    <w:rsid w:val="082AC8D5"/>
    <w:rsid w:val="08335E6F"/>
    <w:rsid w:val="0833732F"/>
    <w:rsid w:val="0836ABE2"/>
    <w:rsid w:val="083C5787"/>
    <w:rsid w:val="083CB8D9"/>
    <w:rsid w:val="0840BDA0"/>
    <w:rsid w:val="0841E5A6"/>
    <w:rsid w:val="084D496F"/>
    <w:rsid w:val="084E773A"/>
    <w:rsid w:val="08536EB5"/>
    <w:rsid w:val="0858E51F"/>
    <w:rsid w:val="08590D75"/>
    <w:rsid w:val="0859179B"/>
    <w:rsid w:val="085C12B5"/>
    <w:rsid w:val="085E8D4F"/>
    <w:rsid w:val="08651A16"/>
    <w:rsid w:val="08655002"/>
    <w:rsid w:val="087186A5"/>
    <w:rsid w:val="0878AB9B"/>
    <w:rsid w:val="0878F9F8"/>
    <w:rsid w:val="08794943"/>
    <w:rsid w:val="087E1CE2"/>
    <w:rsid w:val="087F672C"/>
    <w:rsid w:val="0884C9CA"/>
    <w:rsid w:val="088F1C82"/>
    <w:rsid w:val="08948FC4"/>
    <w:rsid w:val="08965FBB"/>
    <w:rsid w:val="089A57BE"/>
    <w:rsid w:val="089B83CD"/>
    <w:rsid w:val="089E98B3"/>
    <w:rsid w:val="089ED560"/>
    <w:rsid w:val="08A7C6E2"/>
    <w:rsid w:val="08A7E200"/>
    <w:rsid w:val="08AA3F93"/>
    <w:rsid w:val="08AAF80C"/>
    <w:rsid w:val="08ABD66B"/>
    <w:rsid w:val="08BC062A"/>
    <w:rsid w:val="08BD2DB5"/>
    <w:rsid w:val="08C0AB39"/>
    <w:rsid w:val="08C0B0E4"/>
    <w:rsid w:val="08C318BD"/>
    <w:rsid w:val="08C89C06"/>
    <w:rsid w:val="08CE27DD"/>
    <w:rsid w:val="08D069AB"/>
    <w:rsid w:val="08D61120"/>
    <w:rsid w:val="08DACA99"/>
    <w:rsid w:val="08DE52BC"/>
    <w:rsid w:val="08EA725C"/>
    <w:rsid w:val="08EB64D6"/>
    <w:rsid w:val="08EB97ED"/>
    <w:rsid w:val="08EF3DE0"/>
    <w:rsid w:val="08F12C8F"/>
    <w:rsid w:val="08F264F5"/>
    <w:rsid w:val="08F3AFA9"/>
    <w:rsid w:val="08F66035"/>
    <w:rsid w:val="08F7254F"/>
    <w:rsid w:val="08FA80B7"/>
    <w:rsid w:val="0901918F"/>
    <w:rsid w:val="09069ABD"/>
    <w:rsid w:val="090BCAD8"/>
    <w:rsid w:val="090C824B"/>
    <w:rsid w:val="090CE13A"/>
    <w:rsid w:val="090DB0D4"/>
    <w:rsid w:val="090E94E6"/>
    <w:rsid w:val="0914F504"/>
    <w:rsid w:val="0916FCDC"/>
    <w:rsid w:val="091AB517"/>
    <w:rsid w:val="09213E7C"/>
    <w:rsid w:val="092229EB"/>
    <w:rsid w:val="092A604E"/>
    <w:rsid w:val="0937E77C"/>
    <w:rsid w:val="093A4CA7"/>
    <w:rsid w:val="093B4F26"/>
    <w:rsid w:val="093F38FA"/>
    <w:rsid w:val="09413238"/>
    <w:rsid w:val="094AAA56"/>
    <w:rsid w:val="094B6A68"/>
    <w:rsid w:val="094BB067"/>
    <w:rsid w:val="094E8A3E"/>
    <w:rsid w:val="094F5B89"/>
    <w:rsid w:val="09514106"/>
    <w:rsid w:val="0951B6C2"/>
    <w:rsid w:val="09533365"/>
    <w:rsid w:val="09565C6B"/>
    <w:rsid w:val="09595B39"/>
    <w:rsid w:val="095D3E42"/>
    <w:rsid w:val="095FA13F"/>
    <w:rsid w:val="096112F1"/>
    <w:rsid w:val="09620B50"/>
    <w:rsid w:val="09643BF6"/>
    <w:rsid w:val="0966A717"/>
    <w:rsid w:val="09679081"/>
    <w:rsid w:val="0967F24B"/>
    <w:rsid w:val="0968B311"/>
    <w:rsid w:val="09697DFD"/>
    <w:rsid w:val="096B5D02"/>
    <w:rsid w:val="096DB8D2"/>
    <w:rsid w:val="09733B24"/>
    <w:rsid w:val="0979372F"/>
    <w:rsid w:val="097D5BC3"/>
    <w:rsid w:val="09800C2F"/>
    <w:rsid w:val="0980AD88"/>
    <w:rsid w:val="0980CBC7"/>
    <w:rsid w:val="09829290"/>
    <w:rsid w:val="09862047"/>
    <w:rsid w:val="09874C1F"/>
    <w:rsid w:val="098A7DF6"/>
    <w:rsid w:val="098BC0EA"/>
    <w:rsid w:val="098EBB27"/>
    <w:rsid w:val="09955509"/>
    <w:rsid w:val="09964EBC"/>
    <w:rsid w:val="0999B79C"/>
    <w:rsid w:val="099CFF10"/>
    <w:rsid w:val="099DF87A"/>
    <w:rsid w:val="09A6C14F"/>
    <w:rsid w:val="09A91EC3"/>
    <w:rsid w:val="09A92E83"/>
    <w:rsid w:val="09B1B2EB"/>
    <w:rsid w:val="09B1FE6E"/>
    <w:rsid w:val="09B368B8"/>
    <w:rsid w:val="09B4DD7D"/>
    <w:rsid w:val="09B60972"/>
    <w:rsid w:val="09B6AF6E"/>
    <w:rsid w:val="09B6C13A"/>
    <w:rsid w:val="09B8431D"/>
    <w:rsid w:val="09B9776C"/>
    <w:rsid w:val="09C0560B"/>
    <w:rsid w:val="09C32192"/>
    <w:rsid w:val="09C7CC6B"/>
    <w:rsid w:val="09CEE299"/>
    <w:rsid w:val="09D324CE"/>
    <w:rsid w:val="09D54221"/>
    <w:rsid w:val="09DA23F4"/>
    <w:rsid w:val="09E0136B"/>
    <w:rsid w:val="09E58078"/>
    <w:rsid w:val="09E93DE7"/>
    <w:rsid w:val="09EB0422"/>
    <w:rsid w:val="09EC609C"/>
    <w:rsid w:val="09F18B53"/>
    <w:rsid w:val="09F50152"/>
    <w:rsid w:val="09F68882"/>
    <w:rsid w:val="09F90036"/>
    <w:rsid w:val="09FA3DAC"/>
    <w:rsid w:val="09FE02A8"/>
    <w:rsid w:val="0A0354B8"/>
    <w:rsid w:val="0A0A0B3E"/>
    <w:rsid w:val="0A0FABA0"/>
    <w:rsid w:val="0A0FF82E"/>
    <w:rsid w:val="0A0FFBB1"/>
    <w:rsid w:val="0A171161"/>
    <w:rsid w:val="0A1939EF"/>
    <w:rsid w:val="0A194948"/>
    <w:rsid w:val="0A22DD73"/>
    <w:rsid w:val="0A2620B0"/>
    <w:rsid w:val="0A27351F"/>
    <w:rsid w:val="0A27F944"/>
    <w:rsid w:val="0A2A86E5"/>
    <w:rsid w:val="0A2DBBAD"/>
    <w:rsid w:val="0A34421F"/>
    <w:rsid w:val="0A35D604"/>
    <w:rsid w:val="0A36281F"/>
    <w:rsid w:val="0A37576B"/>
    <w:rsid w:val="0A3E213D"/>
    <w:rsid w:val="0A42726D"/>
    <w:rsid w:val="0A46FDBB"/>
    <w:rsid w:val="0A472915"/>
    <w:rsid w:val="0A4A3773"/>
    <w:rsid w:val="0A4D787E"/>
    <w:rsid w:val="0A50681F"/>
    <w:rsid w:val="0A51C296"/>
    <w:rsid w:val="0A536764"/>
    <w:rsid w:val="0A55E4C1"/>
    <w:rsid w:val="0A568555"/>
    <w:rsid w:val="0A5AE991"/>
    <w:rsid w:val="0A5D06AF"/>
    <w:rsid w:val="0A614D83"/>
    <w:rsid w:val="0A64118C"/>
    <w:rsid w:val="0A67CAB3"/>
    <w:rsid w:val="0A67E29D"/>
    <w:rsid w:val="0A68B62F"/>
    <w:rsid w:val="0A6AF28A"/>
    <w:rsid w:val="0A6B6DBE"/>
    <w:rsid w:val="0A6EF13B"/>
    <w:rsid w:val="0A6F4774"/>
    <w:rsid w:val="0A6FEF10"/>
    <w:rsid w:val="0A704742"/>
    <w:rsid w:val="0A7238DD"/>
    <w:rsid w:val="0A76A6E4"/>
    <w:rsid w:val="0A76DFEA"/>
    <w:rsid w:val="0A7AFE86"/>
    <w:rsid w:val="0A7B961F"/>
    <w:rsid w:val="0A7C9034"/>
    <w:rsid w:val="0A7F972B"/>
    <w:rsid w:val="0A853354"/>
    <w:rsid w:val="0A92B730"/>
    <w:rsid w:val="0A9511AE"/>
    <w:rsid w:val="0A99EF2F"/>
    <w:rsid w:val="0A9AD13F"/>
    <w:rsid w:val="0A9C33B3"/>
    <w:rsid w:val="0A9D4640"/>
    <w:rsid w:val="0A9F4F3A"/>
    <w:rsid w:val="0A9FA9BA"/>
    <w:rsid w:val="0AA3FD7B"/>
    <w:rsid w:val="0AAAD532"/>
    <w:rsid w:val="0AAF10AF"/>
    <w:rsid w:val="0AB58FD4"/>
    <w:rsid w:val="0AB87B3C"/>
    <w:rsid w:val="0AB96853"/>
    <w:rsid w:val="0ABAD0CF"/>
    <w:rsid w:val="0AC0C9D1"/>
    <w:rsid w:val="0AC1D311"/>
    <w:rsid w:val="0AC26325"/>
    <w:rsid w:val="0AC3253B"/>
    <w:rsid w:val="0ACFEFB5"/>
    <w:rsid w:val="0AD2086D"/>
    <w:rsid w:val="0AD22D0D"/>
    <w:rsid w:val="0AD9141F"/>
    <w:rsid w:val="0AD9DC25"/>
    <w:rsid w:val="0ADFA06A"/>
    <w:rsid w:val="0AE0CFE0"/>
    <w:rsid w:val="0AE4EEBE"/>
    <w:rsid w:val="0AE836E5"/>
    <w:rsid w:val="0AE8EBCA"/>
    <w:rsid w:val="0AEBDF41"/>
    <w:rsid w:val="0AF2716D"/>
    <w:rsid w:val="0AF52220"/>
    <w:rsid w:val="0AF80AD4"/>
    <w:rsid w:val="0AFB8110"/>
    <w:rsid w:val="0B01FD5F"/>
    <w:rsid w:val="0B052B54"/>
    <w:rsid w:val="0B08138D"/>
    <w:rsid w:val="0B09A95B"/>
    <w:rsid w:val="0B0DC3C0"/>
    <w:rsid w:val="0B0DF9BF"/>
    <w:rsid w:val="0B148BE5"/>
    <w:rsid w:val="0B18F68C"/>
    <w:rsid w:val="0B1A560E"/>
    <w:rsid w:val="0B23C0A8"/>
    <w:rsid w:val="0B25E104"/>
    <w:rsid w:val="0B2634C8"/>
    <w:rsid w:val="0B2B92B5"/>
    <w:rsid w:val="0B2C8D5F"/>
    <w:rsid w:val="0B2E0E7B"/>
    <w:rsid w:val="0B2E73FE"/>
    <w:rsid w:val="0B2F9A23"/>
    <w:rsid w:val="0B3195D5"/>
    <w:rsid w:val="0B3247D7"/>
    <w:rsid w:val="0B32F3CC"/>
    <w:rsid w:val="0B36ABF7"/>
    <w:rsid w:val="0B37898B"/>
    <w:rsid w:val="0B3862C0"/>
    <w:rsid w:val="0B3A4489"/>
    <w:rsid w:val="0B3CD51D"/>
    <w:rsid w:val="0B4318E1"/>
    <w:rsid w:val="0B48F4B8"/>
    <w:rsid w:val="0B49188C"/>
    <w:rsid w:val="0B4AC124"/>
    <w:rsid w:val="0B4AEA70"/>
    <w:rsid w:val="0B4BFFC3"/>
    <w:rsid w:val="0B4D882C"/>
    <w:rsid w:val="0B4DAA3E"/>
    <w:rsid w:val="0B4E7D74"/>
    <w:rsid w:val="0B4EE51C"/>
    <w:rsid w:val="0B508AA6"/>
    <w:rsid w:val="0B53B099"/>
    <w:rsid w:val="0B57E57E"/>
    <w:rsid w:val="0B5B7536"/>
    <w:rsid w:val="0B5C133B"/>
    <w:rsid w:val="0B5D9673"/>
    <w:rsid w:val="0B5DD4A4"/>
    <w:rsid w:val="0B5FBF35"/>
    <w:rsid w:val="0B603981"/>
    <w:rsid w:val="0B665BCD"/>
    <w:rsid w:val="0B6AA27C"/>
    <w:rsid w:val="0B6D0252"/>
    <w:rsid w:val="0B6F0542"/>
    <w:rsid w:val="0B7E2D09"/>
    <w:rsid w:val="0B80EBAB"/>
    <w:rsid w:val="0B8120C7"/>
    <w:rsid w:val="0B831AEA"/>
    <w:rsid w:val="0B84202D"/>
    <w:rsid w:val="0B860199"/>
    <w:rsid w:val="0B8859B0"/>
    <w:rsid w:val="0B89C295"/>
    <w:rsid w:val="0B8C0856"/>
    <w:rsid w:val="0B8D4C1C"/>
    <w:rsid w:val="0B9357BD"/>
    <w:rsid w:val="0B9868A1"/>
    <w:rsid w:val="0B99B41D"/>
    <w:rsid w:val="0B9C95A5"/>
    <w:rsid w:val="0BA32CE2"/>
    <w:rsid w:val="0BA4FD25"/>
    <w:rsid w:val="0BA5255A"/>
    <w:rsid w:val="0BA616D9"/>
    <w:rsid w:val="0BA6AB3E"/>
    <w:rsid w:val="0BA6E4B8"/>
    <w:rsid w:val="0BA78EC3"/>
    <w:rsid w:val="0BA94707"/>
    <w:rsid w:val="0BAAF4BD"/>
    <w:rsid w:val="0BAB9ACA"/>
    <w:rsid w:val="0BACC45B"/>
    <w:rsid w:val="0BB4D421"/>
    <w:rsid w:val="0BBF8BCE"/>
    <w:rsid w:val="0BC4B664"/>
    <w:rsid w:val="0BC4B93A"/>
    <w:rsid w:val="0BC6066C"/>
    <w:rsid w:val="0BCACE71"/>
    <w:rsid w:val="0BCC12F5"/>
    <w:rsid w:val="0BCC90FD"/>
    <w:rsid w:val="0BD2E0BB"/>
    <w:rsid w:val="0BD4CE36"/>
    <w:rsid w:val="0BD64433"/>
    <w:rsid w:val="0BD97010"/>
    <w:rsid w:val="0BDD2F73"/>
    <w:rsid w:val="0BE04C79"/>
    <w:rsid w:val="0BE07427"/>
    <w:rsid w:val="0BE0D93E"/>
    <w:rsid w:val="0BE16CE1"/>
    <w:rsid w:val="0BE19C0A"/>
    <w:rsid w:val="0BE1C787"/>
    <w:rsid w:val="0BE94C76"/>
    <w:rsid w:val="0BF0BF7C"/>
    <w:rsid w:val="0BF89DB0"/>
    <w:rsid w:val="0BFC9655"/>
    <w:rsid w:val="0BFEA08C"/>
    <w:rsid w:val="0BFF1B5A"/>
    <w:rsid w:val="0C0054D1"/>
    <w:rsid w:val="0C0244A0"/>
    <w:rsid w:val="0C074D1D"/>
    <w:rsid w:val="0C083F82"/>
    <w:rsid w:val="0C0A746E"/>
    <w:rsid w:val="0C0B15C9"/>
    <w:rsid w:val="0C0B1722"/>
    <w:rsid w:val="0C0EC2E7"/>
    <w:rsid w:val="0C1B89CD"/>
    <w:rsid w:val="0C1CD5F0"/>
    <w:rsid w:val="0C1FC610"/>
    <w:rsid w:val="0C2376FA"/>
    <w:rsid w:val="0C2505F1"/>
    <w:rsid w:val="0C29EA58"/>
    <w:rsid w:val="0C2AE61A"/>
    <w:rsid w:val="0C2BC811"/>
    <w:rsid w:val="0C323A72"/>
    <w:rsid w:val="0C348C36"/>
    <w:rsid w:val="0C38315C"/>
    <w:rsid w:val="0C3C2F74"/>
    <w:rsid w:val="0C3CCCB3"/>
    <w:rsid w:val="0C3FC828"/>
    <w:rsid w:val="0C41E81C"/>
    <w:rsid w:val="0C422AEE"/>
    <w:rsid w:val="0C431F2A"/>
    <w:rsid w:val="0C47D042"/>
    <w:rsid w:val="0C4841E6"/>
    <w:rsid w:val="0C489081"/>
    <w:rsid w:val="0C4A669A"/>
    <w:rsid w:val="0C4AF40D"/>
    <w:rsid w:val="0C5E5960"/>
    <w:rsid w:val="0C615CC8"/>
    <w:rsid w:val="0C624B4B"/>
    <w:rsid w:val="0C65B0B8"/>
    <w:rsid w:val="0C6AF51D"/>
    <w:rsid w:val="0C75D1EB"/>
    <w:rsid w:val="0C7C4537"/>
    <w:rsid w:val="0C7D0244"/>
    <w:rsid w:val="0C834CD6"/>
    <w:rsid w:val="0C850EFB"/>
    <w:rsid w:val="0C8F1AFB"/>
    <w:rsid w:val="0C8FD7D3"/>
    <w:rsid w:val="0C924A75"/>
    <w:rsid w:val="0C97785F"/>
    <w:rsid w:val="0C97BD08"/>
    <w:rsid w:val="0C983B9A"/>
    <w:rsid w:val="0C99B17D"/>
    <w:rsid w:val="0C9A2D31"/>
    <w:rsid w:val="0C9C0EFE"/>
    <w:rsid w:val="0C9D9098"/>
    <w:rsid w:val="0C9FFAF7"/>
    <w:rsid w:val="0CA01AD4"/>
    <w:rsid w:val="0CA39184"/>
    <w:rsid w:val="0CA54996"/>
    <w:rsid w:val="0CA9B3EE"/>
    <w:rsid w:val="0CAB196A"/>
    <w:rsid w:val="0CB4B448"/>
    <w:rsid w:val="0CB665D6"/>
    <w:rsid w:val="0CBBC99B"/>
    <w:rsid w:val="0CBD5CEC"/>
    <w:rsid w:val="0CBF7404"/>
    <w:rsid w:val="0CBFAFEC"/>
    <w:rsid w:val="0CC3258E"/>
    <w:rsid w:val="0CC5A101"/>
    <w:rsid w:val="0CC5BB73"/>
    <w:rsid w:val="0CC6680D"/>
    <w:rsid w:val="0CCED63E"/>
    <w:rsid w:val="0CD0AA25"/>
    <w:rsid w:val="0CD1C504"/>
    <w:rsid w:val="0CD75799"/>
    <w:rsid w:val="0CDA4271"/>
    <w:rsid w:val="0CDA796D"/>
    <w:rsid w:val="0CE034F8"/>
    <w:rsid w:val="0CE1CFF6"/>
    <w:rsid w:val="0CE326EA"/>
    <w:rsid w:val="0CE423D5"/>
    <w:rsid w:val="0CE5AD5E"/>
    <w:rsid w:val="0CE79EED"/>
    <w:rsid w:val="0CE92A2F"/>
    <w:rsid w:val="0CEBAFAF"/>
    <w:rsid w:val="0CEBCCDF"/>
    <w:rsid w:val="0CEF8690"/>
    <w:rsid w:val="0CF19DAB"/>
    <w:rsid w:val="0CF213BE"/>
    <w:rsid w:val="0CF3E2E6"/>
    <w:rsid w:val="0CF638A0"/>
    <w:rsid w:val="0CFF104D"/>
    <w:rsid w:val="0CFF60F2"/>
    <w:rsid w:val="0D00959C"/>
    <w:rsid w:val="0D0A1324"/>
    <w:rsid w:val="0D0C8EDC"/>
    <w:rsid w:val="0D0F021D"/>
    <w:rsid w:val="0D0FE266"/>
    <w:rsid w:val="0D150D26"/>
    <w:rsid w:val="0D1DE21A"/>
    <w:rsid w:val="0D1DF6E6"/>
    <w:rsid w:val="0D1E8691"/>
    <w:rsid w:val="0D1F70E9"/>
    <w:rsid w:val="0D241FC6"/>
    <w:rsid w:val="0D24BA94"/>
    <w:rsid w:val="0D250D89"/>
    <w:rsid w:val="0D251084"/>
    <w:rsid w:val="0D2992E4"/>
    <w:rsid w:val="0D2A7C56"/>
    <w:rsid w:val="0D2B44DB"/>
    <w:rsid w:val="0D2D9E9A"/>
    <w:rsid w:val="0D32E9A5"/>
    <w:rsid w:val="0D3470BF"/>
    <w:rsid w:val="0D349258"/>
    <w:rsid w:val="0D381E2D"/>
    <w:rsid w:val="0D3B35CE"/>
    <w:rsid w:val="0D3DDD39"/>
    <w:rsid w:val="0D436D0D"/>
    <w:rsid w:val="0D44C68A"/>
    <w:rsid w:val="0D4ABB8E"/>
    <w:rsid w:val="0D50FE5D"/>
    <w:rsid w:val="0D5463FD"/>
    <w:rsid w:val="0D5BBE73"/>
    <w:rsid w:val="0D5D1D6E"/>
    <w:rsid w:val="0D5D8F9B"/>
    <w:rsid w:val="0D6321C2"/>
    <w:rsid w:val="0D67E8C1"/>
    <w:rsid w:val="0D6A9C92"/>
    <w:rsid w:val="0D74363C"/>
    <w:rsid w:val="0D7B1681"/>
    <w:rsid w:val="0D7FB6CD"/>
    <w:rsid w:val="0D805275"/>
    <w:rsid w:val="0D84C754"/>
    <w:rsid w:val="0D85CDE1"/>
    <w:rsid w:val="0D875FB4"/>
    <w:rsid w:val="0D8B9F67"/>
    <w:rsid w:val="0D900632"/>
    <w:rsid w:val="0D902275"/>
    <w:rsid w:val="0D937A1B"/>
    <w:rsid w:val="0D94FFE8"/>
    <w:rsid w:val="0D951921"/>
    <w:rsid w:val="0D97E0A6"/>
    <w:rsid w:val="0D9D5D22"/>
    <w:rsid w:val="0DA6BD52"/>
    <w:rsid w:val="0DAD64F5"/>
    <w:rsid w:val="0DAE43C6"/>
    <w:rsid w:val="0DAF1FA8"/>
    <w:rsid w:val="0DB25412"/>
    <w:rsid w:val="0DB3CD01"/>
    <w:rsid w:val="0DB448B9"/>
    <w:rsid w:val="0DB97B58"/>
    <w:rsid w:val="0DBD238C"/>
    <w:rsid w:val="0DBE8F31"/>
    <w:rsid w:val="0DC7C592"/>
    <w:rsid w:val="0DCB8D3E"/>
    <w:rsid w:val="0DCE9B07"/>
    <w:rsid w:val="0DD143F9"/>
    <w:rsid w:val="0DD55204"/>
    <w:rsid w:val="0DDC69C0"/>
    <w:rsid w:val="0DDD52F2"/>
    <w:rsid w:val="0DE7248B"/>
    <w:rsid w:val="0DED5621"/>
    <w:rsid w:val="0DEEBE7E"/>
    <w:rsid w:val="0DF5AAF7"/>
    <w:rsid w:val="0DF7AE13"/>
    <w:rsid w:val="0DF7FC9B"/>
    <w:rsid w:val="0DF85F0A"/>
    <w:rsid w:val="0DFB16DC"/>
    <w:rsid w:val="0DFEE54B"/>
    <w:rsid w:val="0E0390A4"/>
    <w:rsid w:val="0E0E2B1F"/>
    <w:rsid w:val="0E124B1C"/>
    <w:rsid w:val="0E15F984"/>
    <w:rsid w:val="0E1F8FAF"/>
    <w:rsid w:val="0E1F973D"/>
    <w:rsid w:val="0E20B2B5"/>
    <w:rsid w:val="0E26C20C"/>
    <w:rsid w:val="0E287466"/>
    <w:rsid w:val="0E2BA7D7"/>
    <w:rsid w:val="0E2F9F40"/>
    <w:rsid w:val="0E306C33"/>
    <w:rsid w:val="0E31ACA0"/>
    <w:rsid w:val="0E31F837"/>
    <w:rsid w:val="0E34037C"/>
    <w:rsid w:val="0E38BCFD"/>
    <w:rsid w:val="0E39EA31"/>
    <w:rsid w:val="0E456A7E"/>
    <w:rsid w:val="0E4A8894"/>
    <w:rsid w:val="0E4AEA14"/>
    <w:rsid w:val="0E4BBA0F"/>
    <w:rsid w:val="0E4F51E3"/>
    <w:rsid w:val="0E514068"/>
    <w:rsid w:val="0E538917"/>
    <w:rsid w:val="0E545D81"/>
    <w:rsid w:val="0E5961F1"/>
    <w:rsid w:val="0E60840E"/>
    <w:rsid w:val="0E614F72"/>
    <w:rsid w:val="0E64E37F"/>
    <w:rsid w:val="0E67AF2F"/>
    <w:rsid w:val="0E68C433"/>
    <w:rsid w:val="0E6C41A3"/>
    <w:rsid w:val="0E6D3649"/>
    <w:rsid w:val="0E72191A"/>
    <w:rsid w:val="0E722871"/>
    <w:rsid w:val="0E771BC0"/>
    <w:rsid w:val="0E78D56C"/>
    <w:rsid w:val="0E7CD457"/>
    <w:rsid w:val="0E881194"/>
    <w:rsid w:val="0E883F5D"/>
    <w:rsid w:val="0E8A723D"/>
    <w:rsid w:val="0E8CE4F5"/>
    <w:rsid w:val="0E8F457F"/>
    <w:rsid w:val="0E8F4D8D"/>
    <w:rsid w:val="0E90AA34"/>
    <w:rsid w:val="0E919E81"/>
    <w:rsid w:val="0E93505E"/>
    <w:rsid w:val="0E998543"/>
    <w:rsid w:val="0E9BF7DE"/>
    <w:rsid w:val="0E9FC765"/>
    <w:rsid w:val="0EA59ACA"/>
    <w:rsid w:val="0EA932F9"/>
    <w:rsid w:val="0EA96921"/>
    <w:rsid w:val="0EAD2F70"/>
    <w:rsid w:val="0EAFACD3"/>
    <w:rsid w:val="0EB35AE5"/>
    <w:rsid w:val="0EB89DF3"/>
    <w:rsid w:val="0EB8C090"/>
    <w:rsid w:val="0EB90318"/>
    <w:rsid w:val="0EBA93BF"/>
    <w:rsid w:val="0EBB1070"/>
    <w:rsid w:val="0EBC8F47"/>
    <w:rsid w:val="0EBDC2EC"/>
    <w:rsid w:val="0EC0FFCD"/>
    <w:rsid w:val="0EC3E4EE"/>
    <w:rsid w:val="0EC76953"/>
    <w:rsid w:val="0EC9EF84"/>
    <w:rsid w:val="0ECD34D0"/>
    <w:rsid w:val="0ECFF07D"/>
    <w:rsid w:val="0ED5A511"/>
    <w:rsid w:val="0ED96448"/>
    <w:rsid w:val="0EDB89EA"/>
    <w:rsid w:val="0EDCC750"/>
    <w:rsid w:val="0EDD9FAF"/>
    <w:rsid w:val="0EDEC90D"/>
    <w:rsid w:val="0EDF8C00"/>
    <w:rsid w:val="0EE7BA2D"/>
    <w:rsid w:val="0EE8B4E9"/>
    <w:rsid w:val="0EE8F29C"/>
    <w:rsid w:val="0EE9B4AB"/>
    <w:rsid w:val="0EEB0DDA"/>
    <w:rsid w:val="0EEEEB85"/>
    <w:rsid w:val="0EF06095"/>
    <w:rsid w:val="0EFADA60"/>
    <w:rsid w:val="0F06E5FC"/>
    <w:rsid w:val="0F07FEC6"/>
    <w:rsid w:val="0F0912CF"/>
    <w:rsid w:val="0F14BC44"/>
    <w:rsid w:val="0F1A5931"/>
    <w:rsid w:val="0F1BA0EC"/>
    <w:rsid w:val="0F2022EF"/>
    <w:rsid w:val="0F22CC50"/>
    <w:rsid w:val="0F2338AE"/>
    <w:rsid w:val="0F23955E"/>
    <w:rsid w:val="0F2459AF"/>
    <w:rsid w:val="0F25C865"/>
    <w:rsid w:val="0F26AB79"/>
    <w:rsid w:val="0F2C0163"/>
    <w:rsid w:val="0F3816A7"/>
    <w:rsid w:val="0F3CE6E4"/>
    <w:rsid w:val="0F3DA789"/>
    <w:rsid w:val="0F45D845"/>
    <w:rsid w:val="0F460291"/>
    <w:rsid w:val="0F4A5715"/>
    <w:rsid w:val="0F4CF638"/>
    <w:rsid w:val="0F507CB9"/>
    <w:rsid w:val="0F514321"/>
    <w:rsid w:val="0F597214"/>
    <w:rsid w:val="0F5D7E2D"/>
    <w:rsid w:val="0F5F6D65"/>
    <w:rsid w:val="0F5F995F"/>
    <w:rsid w:val="0F5FC8F0"/>
    <w:rsid w:val="0F69CDA6"/>
    <w:rsid w:val="0F6A3D3A"/>
    <w:rsid w:val="0F6B41CD"/>
    <w:rsid w:val="0F6D299D"/>
    <w:rsid w:val="0F6D3A5F"/>
    <w:rsid w:val="0F6E2645"/>
    <w:rsid w:val="0F717285"/>
    <w:rsid w:val="0F80A482"/>
    <w:rsid w:val="0F81765F"/>
    <w:rsid w:val="0F88C348"/>
    <w:rsid w:val="0F8D5286"/>
    <w:rsid w:val="0F8D9AA3"/>
    <w:rsid w:val="0F93D3C0"/>
    <w:rsid w:val="0F9816E4"/>
    <w:rsid w:val="0F9F6FD5"/>
    <w:rsid w:val="0FA20CA8"/>
    <w:rsid w:val="0FA33802"/>
    <w:rsid w:val="0FA5ACCD"/>
    <w:rsid w:val="0FAA0BF7"/>
    <w:rsid w:val="0FAE5BF6"/>
    <w:rsid w:val="0FB04383"/>
    <w:rsid w:val="0FB52607"/>
    <w:rsid w:val="0FB613E0"/>
    <w:rsid w:val="0FBB6010"/>
    <w:rsid w:val="0FC5BF71"/>
    <w:rsid w:val="0FC5E022"/>
    <w:rsid w:val="0FCC92FE"/>
    <w:rsid w:val="0FD20835"/>
    <w:rsid w:val="0FDA48BE"/>
    <w:rsid w:val="0FDB871B"/>
    <w:rsid w:val="0FE39118"/>
    <w:rsid w:val="0FE73881"/>
    <w:rsid w:val="0FE8C4C3"/>
    <w:rsid w:val="0FEA9109"/>
    <w:rsid w:val="0FEC34A0"/>
    <w:rsid w:val="0FF28728"/>
    <w:rsid w:val="0FF3DA22"/>
    <w:rsid w:val="0FF8F064"/>
    <w:rsid w:val="0FFA589B"/>
    <w:rsid w:val="100B241B"/>
    <w:rsid w:val="100D9D0B"/>
    <w:rsid w:val="100EB0C6"/>
    <w:rsid w:val="101038DB"/>
    <w:rsid w:val="1019B017"/>
    <w:rsid w:val="101CDFA4"/>
    <w:rsid w:val="101DE7F0"/>
    <w:rsid w:val="101E39E0"/>
    <w:rsid w:val="10200DFE"/>
    <w:rsid w:val="1025FCB4"/>
    <w:rsid w:val="10288634"/>
    <w:rsid w:val="10291699"/>
    <w:rsid w:val="1029EEE1"/>
    <w:rsid w:val="102B2CDE"/>
    <w:rsid w:val="102E6F16"/>
    <w:rsid w:val="103121B4"/>
    <w:rsid w:val="103543C0"/>
    <w:rsid w:val="103CFC37"/>
    <w:rsid w:val="103D905B"/>
    <w:rsid w:val="103E0F75"/>
    <w:rsid w:val="104095C0"/>
    <w:rsid w:val="1049B82D"/>
    <w:rsid w:val="104DAB1D"/>
    <w:rsid w:val="104EBEA3"/>
    <w:rsid w:val="104EF442"/>
    <w:rsid w:val="1051B58A"/>
    <w:rsid w:val="1054EF1D"/>
    <w:rsid w:val="10554275"/>
    <w:rsid w:val="1059AFDA"/>
    <w:rsid w:val="105D2395"/>
    <w:rsid w:val="105F27E5"/>
    <w:rsid w:val="105F33AA"/>
    <w:rsid w:val="1062E1D4"/>
    <w:rsid w:val="106DEF41"/>
    <w:rsid w:val="106F5BE3"/>
    <w:rsid w:val="106F875C"/>
    <w:rsid w:val="10793885"/>
    <w:rsid w:val="10825A69"/>
    <w:rsid w:val="10829669"/>
    <w:rsid w:val="1084B0A5"/>
    <w:rsid w:val="10855D52"/>
    <w:rsid w:val="10894BCC"/>
    <w:rsid w:val="1089A18F"/>
    <w:rsid w:val="108A39CB"/>
    <w:rsid w:val="1093BC20"/>
    <w:rsid w:val="10962442"/>
    <w:rsid w:val="10967ABA"/>
    <w:rsid w:val="10974A1C"/>
    <w:rsid w:val="109BF80F"/>
    <w:rsid w:val="109D9CE5"/>
    <w:rsid w:val="109DE3F9"/>
    <w:rsid w:val="109E8947"/>
    <w:rsid w:val="109F3020"/>
    <w:rsid w:val="10A41C6A"/>
    <w:rsid w:val="10A6395E"/>
    <w:rsid w:val="10AAAA52"/>
    <w:rsid w:val="10AAEBDE"/>
    <w:rsid w:val="10AF9DE5"/>
    <w:rsid w:val="10B2E567"/>
    <w:rsid w:val="10B4247D"/>
    <w:rsid w:val="10B59ABA"/>
    <w:rsid w:val="10BDD133"/>
    <w:rsid w:val="10C6B6E1"/>
    <w:rsid w:val="10C82BA4"/>
    <w:rsid w:val="10CCD3ED"/>
    <w:rsid w:val="10CF3456"/>
    <w:rsid w:val="10D0C5E5"/>
    <w:rsid w:val="10D3DCA2"/>
    <w:rsid w:val="10D7866A"/>
    <w:rsid w:val="10D903D6"/>
    <w:rsid w:val="10DD989A"/>
    <w:rsid w:val="10DF1105"/>
    <w:rsid w:val="10DF1C40"/>
    <w:rsid w:val="10E10C7E"/>
    <w:rsid w:val="10E2CFF1"/>
    <w:rsid w:val="10E80311"/>
    <w:rsid w:val="10E8B49E"/>
    <w:rsid w:val="10E99FEB"/>
    <w:rsid w:val="10EA3AEE"/>
    <w:rsid w:val="10F54275"/>
    <w:rsid w:val="10F6A556"/>
    <w:rsid w:val="10F910BC"/>
    <w:rsid w:val="1106DAC5"/>
    <w:rsid w:val="110A2DC9"/>
    <w:rsid w:val="110B496E"/>
    <w:rsid w:val="110EE399"/>
    <w:rsid w:val="1110692F"/>
    <w:rsid w:val="11114F18"/>
    <w:rsid w:val="1112F058"/>
    <w:rsid w:val="11135E01"/>
    <w:rsid w:val="111372D0"/>
    <w:rsid w:val="11168C17"/>
    <w:rsid w:val="111C77FB"/>
    <w:rsid w:val="111D18BE"/>
    <w:rsid w:val="111E71D6"/>
    <w:rsid w:val="11200B57"/>
    <w:rsid w:val="1122B5A3"/>
    <w:rsid w:val="1128E984"/>
    <w:rsid w:val="112BA631"/>
    <w:rsid w:val="112BC8DE"/>
    <w:rsid w:val="112BF742"/>
    <w:rsid w:val="112E99A9"/>
    <w:rsid w:val="1135DA6D"/>
    <w:rsid w:val="1136B10E"/>
    <w:rsid w:val="11370D64"/>
    <w:rsid w:val="113C3026"/>
    <w:rsid w:val="113D3BCA"/>
    <w:rsid w:val="1147D838"/>
    <w:rsid w:val="11483590"/>
    <w:rsid w:val="114A2415"/>
    <w:rsid w:val="114B47BE"/>
    <w:rsid w:val="114CAA9F"/>
    <w:rsid w:val="114E6127"/>
    <w:rsid w:val="114EAD1B"/>
    <w:rsid w:val="1153D29E"/>
    <w:rsid w:val="11547FB8"/>
    <w:rsid w:val="115A658A"/>
    <w:rsid w:val="115AD43F"/>
    <w:rsid w:val="115C056A"/>
    <w:rsid w:val="1161E6C4"/>
    <w:rsid w:val="116242AE"/>
    <w:rsid w:val="116C7477"/>
    <w:rsid w:val="116CCB4B"/>
    <w:rsid w:val="11710910"/>
    <w:rsid w:val="1175BF8D"/>
    <w:rsid w:val="1177EF89"/>
    <w:rsid w:val="117CD0BD"/>
    <w:rsid w:val="118833E0"/>
    <w:rsid w:val="1189C87A"/>
    <w:rsid w:val="118ADB6E"/>
    <w:rsid w:val="118C08F0"/>
    <w:rsid w:val="118C4862"/>
    <w:rsid w:val="119360DC"/>
    <w:rsid w:val="11971126"/>
    <w:rsid w:val="119E6B62"/>
    <w:rsid w:val="11A45BA6"/>
    <w:rsid w:val="11A49586"/>
    <w:rsid w:val="11A9A508"/>
    <w:rsid w:val="11ABDA9D"/>
    <w:rsid w:val="11AF3E0F"/>
    <w:rsid w:val="11B03B98"/>
    <w:rsid w:val="11B0F1D4"/>
    <w:rsid w:val="11B3447E"/>
    <w:rsid w:val="11B5F3BD"/>
    <w:rsid w:val="11B95687"/>
    <w:rsid w:val="11BB35A6"/>
    <w:rsid w:val="11BD3A11"/>
    <w:rsid w:val="11C02852"/>
    <w:rsid w:val="11C21E48"/>
    <w:rsid w:val="11C27A1A"/>
    <w:rsid w:val="11CD7F46"/>
    <w:rsid w:val="11D22FCF"/>
    <w:rsid w:val="11D4397D"/>
    <w:rsid w:val="11D4B2A2"/>
    <w:rsid w:val="11D7670A"/>
    <w:rsid w:val="11D8485B"/>
    <w:rsid w:val="11D9771C"/>
    <w:rsid w:val="11D9B8A4"/>
    <w:rsid w:val="11E95CCC"/>
    <w:rsid w:val="11EAD601"/>
    <w:rsid w:val="11EC7BF7"/>
    <w:rsid w:val="11ECA457"/>
    <w:rsid w:val="11EEB803"/>
    <w:rsid w:val="11EFE653"/>
    <w:rsid w:val="11F00F51"/>
    <w:rsid w:val="11F0BB08"/>
    <w:rsid w:val="11F394D0"/>
    <w:rsid w:val="11F56A29"/>
    <w:rsid w:val="11F74514"/>
    <w:rsid w:val="11F7E39D"/>
    <w:rsid w:val="11F8B8C7"/>
    <w:rsid w:val="11F9B143"/>
    <w:rsid w:val="11FE3123"/>
    <w:rsid w:val="12000740"/>
    <w:rsid w:val="12008DAA"/>
    <w:rsid w:val="12021BAD"/>
    <w:rsid w:val="1206157C"/>
    <w:rsid w:val="120F3C5D"/>
    <w:rsid w:val="120F6C3A"/>
    <w:rsid w:val="1215E148"/>
    <w:rsid w:val="1215E20B"/>
    <w:rsid w:val="1217CDDC"/>
    <w:rsid w:val="122016F0"/>
    <w:rsid w:val="122045B8"/>
    <w:rsid w:val="12213878"/>
    <w:rsid w:val="12285725"/>
    <w:rsid w:val="122D16BA"/>
    <w:rsid w:val="122F30E3"/>
    <w:rsid w:val="1230519F"/>
    <w:rsid w:val="123977C0"/>
    <w:rsid w:val="123CEF63"/>
    <w:rsid w:val="1244A747"/>
    <w:rsid w:val="124857D7"/>
    <w:rsid w:val="12486010"/>
    <w:rsid w:val="12488F09"/>
    <w:rsid w:val="124927DC"/>
    <w:rsid w:val="124BAB86"/>
    <w:rsid w:val="12503087"/>
    <w:rsid w:val="125102E1"/>
    <w:rsid w:val="1251BB83"/>
    <w:rsid w:val="12557E33"/>
    <w:rsid w:val="12560E07"/>
    <w:rsid w:val="1258700B"/>
    <w:rsid w:val="125E2AA9"/>
    <w:rsid w:val="12650620"/>
    <w:rsid w:val="1265AAB7"/>
    <w:rsid w:val="126E0BEB"/>
    <w:rsid w:val="126E1381"/>
    <w:rsid w:val="1272D480"/>
    <w:rsid w:val="12744902"/>
    <w:rsid w:val="1277A22E"/>
    <w:rsid w:val="12783747"/>
    <w:rsid w:val="12792F14"/>
    <w:rsid w:val="12893627"/>
    <w:rsid w:val="128A5FD3"/>
    <w:rsid w:val="128DB21C"/>
    <w:rsid w:val="129221EE"/>
    <w:rsid w:val="12937E2B"/>
    <w:rsid w:val="129B9ABE"/>
    <w:rsid w:val="12AE21AB"/>
    <w:rsid w:val="12B0D8F0"/>
    <w:rsid w:val="12B16627"/>
    <w:rsid w:val="12B5B007"/>
    <w:rsid w:val="12BB003D"/>
    <w:rsid w:val="12BC7C4F"/>
    <w:rsid w:val="12C362AC"/>
    <w:rsid w:val="12C6545D"/>
    <w:rsid w:val="12C6D924"/>
    <w:rsid w:val="12C7370D"/>
    <w:rsid w:val="12CFA098"/>
    <w:rsid w:val="12D6135F"/>
    <w:rsid w:val="12D7259E"/>
    <w:rsid w:val="12DA3026"/>
    <w:rsid w:val="12E12C39"/>
    <w:rsid w:val="12E7F017"/>
    <w:rsid w:val="12F1A42B"/>
    <w:rsid w:val="12F4D793"/>
    <w:rsid w:val="12F54ECC"/>
    <w:rsid w:val="12F8CDE1"/>
    <w:rsid w:val="12FB2A2D"/>
    <w:rsid w:val="12FD5347"/>
    <w:rsid w:val="12FE86B9"/>
    <w:rsid w:val="12FECF24"/>
    <w:rsid w:val="130045D8"/>
    <w:rsid w:val="1300DB2F"/>
    <w:rsid w:val="13058BBC"/>
    <w:rsid w:val="13089F83"/>
    <w:rsid w:val="130A6D5F"/>
    <w:rsid w:val="130B8511"/>
    <w:rsid w:val="130F3937"/>
    <w:rsid w:val="13116FB8"/>
    <w:rsid w:val="131D67C2"/>
    <w:rsid w:val="131FB27F"/>
    <w:rsid w:val="1321403E"/>
    <w:rsid w:val="1327B25C"/>
    <w:rsid w:val="1327CCD6"/>
    <w:rsid w:val="132C16EE"/>
    <w:rsid w:val="1331870A"/>
    <w:rsid w:val="133B14EE"/>
    <w:rsid w:val="133CD353"/>
    <w:rsid w:val="1340326E"/>
    <w:rsid w:val="1342AB03"/>
    <w:rsid w:val="1346D033"/>
    <w:rsid w:val="134BDC37"/>
    <w:rsid w:val="134DFB9F"/>
    <w:rsid w:val="134E1C57"/>
    <w:rsid w:val="134FEE44"/>
    <w:rsid w:val="1352DC77"/>
    <w:rsid w:val="13547A3A"/>
    <w:rsid w:val="1355C715"/>
    <w:rsid w:val="13586BB3"/>
    <w:rsid w:val="135BBC7A"/>
    <w:rsid w:val="135D0049"/>
    <w:rsid w:val="135D441F"/>
    <w:rsid w:val="136341F5"/>
    <w:rsid w:val="13655B14"/>
    <w:rsid w:val="136C709B"/>
    <w:rsid w:val="136D4999"/>
    <w:rsid w:val="136E542F"/>
    <w:rsid w:val="13717B5E"/>
    <w:rsid w:val="1372B4E5"/>
    <w:rsid w:val="137834A4"/>
    <w:rsid w:val="137D39D5"/>
    <w:rsid w:val="137DD9F0"/>
    <w:rsid w:val="1381E131"/>
    <w:rsid w:val="1381F35C"/>
    <w:rsid w:val="1382101B"/>
    <w:rsid w:val="1384E8CA"/>
    <w:rsid w:val="1385DCFE"/>
    <w:rsid w:val="138650F3"/>
    <w:rsid w:val="138ED39F"/>
    <w:rsid w:val="1391F2C5"/>
    <w:rsid w:val="1397B3E0"/>
    <w:rsid w:val="1398A9E5"/>
    <w:rsid w:val="13A1A631"/>
    <w:rsid w:val="13A60C66"/>
    <w:rsid w:val="13AC88F6"/>
    <w:rsid w:val="13AD1FAD"/>
    <w:rsid w:val="13ADD8E4"/>
    <w:rsid w:val="13BE04DD"/>
    <w:rsid w:val="13C8C19F"/>
    <w:rsid w:val="13CA469C"/>
    <w:rsid w:val="13D5AC60"/>
    <w:rsid w:val="13D9424C"/>
    <w:rsid w:val="13DF6CAC"/>
    <w:rsid w:val="13E28FC0"/>
    <w:rsid w:val="13E69B8C"/>
    <w:rsid w:val="13EB1952"/>
    <w:rsid w:val="13EC7B3A"/>
    <w:rsid w:val="13EEFE3A"/>
    <w:rsid w:val="13F13099"/>
    <w:rsid w:val="13F5F8B0"/>
    <w:rsid w:val="13FBD556"/>
    <w:rsid w:val="1401EB05"/>
    <w:rsid w:val="1408CEBE"/>
    <w:rsid w:val="140C950D"/>
    <w:rsid w:val="140E3DF8"/>
    <w:rsid w:val="14148CDA"/>
    <w:rsid w:val="1419F1EB"/>
    <w:rsid w:val="141ACBFB"/>
    <w:rsid w:val="14203ADE"/>
    <w:rsid w:val="1424FB56"/>
    <w:rsid w:val="14273A5B"/>
    <w:rsid w:val="1427BB1C"/>
    <w:rsid w:val="142D2137"/>
    <w:rsid w:val="14344B0E"/>
    <w:rsid w:val="1434D666"/>
    <w:rsid w:val="1439FF26"/>
    <w:rsid w:val="143F0688"/>
    <w:rsid w:val="14434F3F"/>
    <w:rsid w:val="14486287"/>
    <w:rsid w:val="14495385"/>
    <w:rsid w:val="144F5D96"/>
    <w:rsid w:val="14508C54"/>
    <w:rsid w:val="1451F499"/>
    <w:rsid w:val="1454538D"/>
    <w:rsid w:val="14559426"/>
    <w:rsid w:val="1455B83F"/>
    <w:rsid w:val="1457A4E7"/>
    <w:rsid w:val="1459A2CD"/>
    <w:rsid w:val="145D742B"/>
    <w:rsid w:val="14690BE7"/>
    <w:rsid w:val="146F0F42"/>
    <w:rsid w:val="14765CEC"/>
    <w:rsid w:val="1478A2F8"/>
    <w:rsid w:val="147A4A19"/>
    <w:rsid w:val="147E4493"/>
    <w:rsid w:val="14839296"/>
    <w:rsid w:val="14849067"/>
    <w:rsid w:val="148883A0"/>
    <w:rsid w:val="148AF1F1"/>
    <w:rsid w:val="148D0559"/>
    <w:rsid w:val="148E8EA7"/>
    <w:rsid w:val="148FD8CC"/>
    <w:rsid w:val="1491D51C"/>
    <w:rsid w:val="14959D54"/>
    <w:rsid w:val="1499AAA5"/>
    <w:rsid w:val="149BF403"/>
    <w:rsid w:val="149CBD49"/>
    <w:rsid w:val="14AFC246"/>
    <w:rsid w:val="14BB0A0F"/>
    <w:rsid w:val="14BB971E"/>
    <w:rsid w:val="14BBC469"/>
    <w:rsid w:val="14BEE0C1"/>
    <w:rsid w:val="14C1175D"/>
    <w:rsid w:val="14C3A7CF"/>
    <w:rsid w:val="14C6BD27"/>
    <w:rsid w:val="14D13460"/>
    <w:rsid w:val="14D52CBA"/>
    <w:rsid w:val="14DB0240"/>
    <w:rsid w:val="14EEF98C"/>
    <w:rsid w:val="14EF0AF0"/>
    <w:rsid w:val="14F4401A"/>
    <w:rsid w:val="14F458A7"/>
    <w:rsid w:val="14F5DCAB"/>
    <w:rsid w:val="14F62D78"/>
    <w:rsid w:val="14FDA465"/>
    <w:rsid w:val="14FF019A"/>
    <w:rsid w:val="15015968"/>
    <w:rsid w:val="15021B0B"/>
    <w:rsid w:val="1506BE39"/>
    <w:rsid w:val="1508B450"/>
    <w:rsid w:val="15110786"/>
    <w:rsid w:val="1511E9DD"/>
    <w:rsid w:val="1512958B"/>
    <w:rsid w:val="15167B60"/>
    <w:rsid w:val="1516F680"/>
    <w:rsid w:val="151981AD"/>
    <w:rsid w:val="151A0F15"/>
    <w:rsid w:val="151CBA25"/>
    <w:rsid w:val="151E02CB"/>
    <w:rsid w:val="15244519"/>
    <w:rsid w:val="15266C09"/>
    <w:rsid w:val="1526B5D6"/>
    <w:rsid w:val="15274F1F"/>
    <w:rsid w:val="152C04CB"/>
    <w:rsid w:val="152C1AB0"/>
    <w:rsid w:val="152DC34F"/>
    <w:rsid w:val="15350E96"/>
    <w:rsid w:val="15407393"/>
    <w:rsid w:val="15444761"/>
    <w:rsid w:val="1544CDC6"/>
    <w:rsid w:val="154CD302"/>
    <w:rsid w:val="154EDBA6"/>
    <w:rsid w:val="1550C79B"/>
    <w:rsid w:val="1553596E"/>
    <w:rsid w:val="15556FD0"/>
    <w:rsid w:val="1555D9E3"/>
    <w:rsid w:val="1556D983"/>
    <w:rsid w:val="15571A52"/>
    <w:rsid w:val="15663B95"/>
    <w:rsid w:val="15669242"/>
    <w:rsid w:val="156A7E14"/>
    <w:rsid w:val="156AF65A"/>
    <w:rsid w:val="156DEF2A"/>
    <w:rsid w:val="157B3BFD"/>
    <w:rsid w:val="15826F11"/>
    <w:rsid w:val="1585E2E6"/>
    <w:rsid w:val="158C00E5"/>
    <w:rsid w:val="158C9997"/>
    <w:rsid w:val="158D6F61"/>
    <w:rsid w:val="158ED278"/>
    <w:rsid w:val="15928715"/>
    <w:rsid w:val="1595BBEE"/>
    <w:rsid w:val="159772E3"/>
    <w:rsid w:val="1597CC6F"/>
    <w:rsid w:val="1599FE7C"/>
    <w:rsid w:val="159A4830"/>
    <w:rsid w:val="159AEF37"/>
    <w:rsid w:val="159D38CF"/>
    <w:rsid w:val="159F3CEC"/>
    <w:rsid w:val="159FDB48"/>
    <w:rsid w:val="15A19D85"/>
    <w:rsid w:val="15A220D8"/>
    <w:rsid w:val="15A6D23E"/>
    <w:rsid w:val="15AB8F1E"/>
    <w:rsid w:val="15AD6EB1"/>
    <w:rsid w:val="15AEAB17"/>
    <w:rsid w:val="15B341B0"/>
    <w:rsid w:val="15B57516"/>
    <w:rsid w:val="15BE034E"/>
    <w:rsid w:val="15C67DDB"/>
    <w:rsid w:val="15C711E9"/>
    <w:rsid w:val="15C77220"/>
    <w:rsid w:val="15CA17C8"/>
    <w:rsid w:val="15CB878E"/>
    <w:rsid w:val="15D03765"/>
    <w:rsid w:val="15D21B86"/>
    <w:rsid w:val="15D41F61"/>
    <w:rsid w:val="15D42CC2"/>
    <w:rsid w:val="15DA346E"/>
    <w:rsid w:val="15DF34F2"/>
    <w:rsid w:val="15E0A806"/>
    <w:rsid w:val="15E4FE67"/>
    <w:rsid w:val="15EBB514"/>
    <w:rsid w:val="15F34F58"/>
    <w:rsid w:val="15F9E94C"/>
    <w:rsid w:val="15FF3DDB"/>
    <w:rsid w:val="16034522"/>
    <w:rsid w:val="1608C2D2"/>
    <w:rsid w:val="16096D7B"/>
    <w:rsid w:val="160AD8FB"/>
    <w:rsid w:val="160AF135"/>
    <w:rsid w:val="160C5FD3"/>
    <w:rsid w:val="16143A47"/>
    <w:rsid w:val="1615D327"/>
    <w:rsid w:val="161720DC"/>
    <w:rsid w:val="161832E9"/>
    <w:rsid w:val="161F9C77"/>
    <w:rsid w:val="162156F2"/>
    <w:rsid w:val="16228C81"/>
    <w:rsid w:val="1622DD63"/>
    <w:rsid w:val="16241C4A"/>
    <w:rsid w:val="16267D37"/>
    <w:rsid w:val="162FA999"/>
    <w:rsid w:val="163A1616"/>
    <w:rsid w:val="163A67E9"/>
    <w:rsid w:val="163E5B78"/>
    <w:rsid w:val="164593BA"/>
    <w:rsid w:val="1645F947"/>
    <w:rsid w:val="1646F0B6"/>
    <w:rsid w:val="164B7D97"/>
    <w:rsid w:val="164D1DB4"/>
    <w:rsid w:val="16536FC3"/>
    <w:rsid w:val="1656D4CD"/>
    <w:rsid w:val="1657C119"/>
    <w:rsid w:val="16598B8F"/>
    <w:rsid w:val="165E4611"/>
    <w:rsid w:val="165EB6C0"/>
    <w:rsid w:val="165F0B1D"/>
    <w:rsid w:val="165F7E92"/>
    <w:rsid w:val="165F8EC5"/>
    <w:rsid w:val="165FB599"/>
    <w:rsid w:val="1660BAE7"/>
    <w:rsid w:val="16623E1E"/>
    <w:rsid w:val="1663431D"/>
    <w:rsid w:val="16635803"/>
    <w:rsid w:val="166572F8"/>
    <w:rsid w:val="16676D8F"/>
    <w:rsid w:val="1669B3F4"/>
    <w:rsid w:val="166D9FF6"/>
    <w:rsid w:val="166F9EA2"/>
    <w:rsid w:val="16790829"/>
    <w:rsid w:val="16807654"/>
    <w:rsid w:val="16840844"/>
    <w:rsid w:val="1684D86C"/>
    <w:rsid w:val="168562EB"/>
    <w:rsid w:val="168CCBA4"/>
    <w:rsid w:val="16937277"/>
    <w:rsid w:val="16982DC5"/>
    <w:rsid w:val="1699165A"/>
    <w:rsid w:val="169C7959"/>
    <w:rsid w:val="16A007CC"/>
    <w:rsid w:val="16A054F0"/>
    <w:rsid w:val="16A10360"/>
    <w:rsid w:val="16A3D82D"/>
    <w:rsid w:val="16A7770D"/>
    <w:rsid w:val="16A78434"/>
    <w:rsid w:val="16AA4D54"/>
    <w:rsid w:val="16ABD640"/>
    <w:rsid w:val="16AEAAA0"/>
    <w:rsid w:val="16B24D7E"/>
    <w:rsid w:val="16B38BF0"/>
    <w:rsid w:val="16B45671"/>
    <w:rsid w:val="16BD6F16"/>
    <w:rsid w:val="16C29D66"/>
    <w:rsid w:val="16C3D4BD"/>
    <w:rsid w:val="16C3E910"/>
    <w:rsid w:val="16C4D1BE"/>
    <w:rsid w:val="16C61151"/>
    <w:rsid w:val="16C6BE58"/>
    <w:rsid w:val="16C73319"/>
    <w:rsid w:val="16CB6792"/>
    <w:rsid w:val="16CD0118"/>
    <w:rsid w:val="16D1AD15"/>
    <w:rsid w:val="16D21F94"/>
    <w:rsid w:val="16D35871"/>
    <w:rsid w:val="16D3C2DE"/>
    <w:rsid w:val="16DA0A36"/>
    <w:rsid w:val="16E4754B"/>
    <w:rsid w:val="16E83193"/>
    <w:rsid w:val="16F02563"/>
    <w:rsid w:val="16F40308"/>
    <w:rsid w:val="16F6F83B"/>
    <w:rsid w:val="16F7622B"/>
    <w:rsid w:val="16FA7661"/>
    <w:rsid w:val="16FBE6F0"/>
    <w:rsid w:val="16FC2700"/>
    <w:rsid w:val="16FF41A5"/>
    <w:rsid w:val="1705FEA1"/>
    <w:rsid w:val="17063291"/>
    <w:rsid w:val="17064457"/>
    <w:rsid w:val="1707FD2C"/>
    <w:rsid w:val="170C7D9F"/>
    <w:rsid w:val="17105C63"/>
    <w:rsid w:val="17115A7C"/>
    <w:rsid w:val="1714C285"/>
    <w:rsid w:val="1715224C"/>
    <w:rsid w:val="171770F8"/>
    <w:rsid w:val="171AB01C"/>
    <w:rsid w:val="171CBBDA"/>
    <w:rsid w:val="172092CB"/>
    <w:rsid w:val="172B9D3E"/>
    <w:rsid w:val="17307A62"/>
    <w:rsid w:val="1731F326"/>
    <w:rsid w:val="17336DC6"/>
    <w:rsid w:val="1734B0DB"/>
    <w:rsid w:val="17380993"/>
    <w:rsid w:val="173B47BE"/>
    <w:rsid w:val="174166A0"/>
    <w:rsid w:val="1745A769"/>
    <w:rsid w:val="1745DEBA"/>
    <w:rsid w:val="1746C8B4"/>
    <w:rsid w:val="1747BB75"/>
    <w:rsid w:val="174AC93E"/>
    <w:rsid w:val="175260B7"/>
    <w:rsid w:val="17547C5E"/>
    <w:rsid w:val="1769338C"/>
    <w:rsid w:val="176A4F43"/>
    <w:rsid w:val="176F6C55"/>
    <w:rsid w:val="17756F32"/>
    <w:rsid w:val="177B8936"/>
    <w:rsid w:val="177CF104"/>
    <w:rsid w:val="17808EDE"/>
    <w:rsid w:val="17874E94"/>
    <w:rsid w:val="178D5312"/>
    <w:rsid w:val="178D8168"/>
    <w:rsid w:val="178EB362"/>
    <w:rsid w:val="178F8268"/>
    <w:rsid w:val="17942F6E"/>
    <w:rsid w:val="179B31A6"/>
    <w:rsid w:val="179E2DF2"/>
    <w:rsid w:val="179FF0B2"/>
    <w:rsid w:val="17A125BA"/>
    <w:rsid w:val="17A43B48"/>
    <w:rsid w:val="17A87F0D"/>
    <w:rsid w:val="17B139E8"/>
    <w:rsid w:val="17B2A95D"/>
    <w:rsid w:val="17B88C8C"/>
    <w:rsid w:val="17CC880E"/>
    <w:rsid w:val="17CD7615"/>
    <w:rsid w:val="17CDF6EF"/>
    <w:rsid w:val="17D0EC77"/>
    <w:rsid w:val="17D4196A"/>
    <w:rsid w:val="17D59609"/>
    <w:rsid w:val="17DA5317"/>
    <w:rsid w:val="17DC60FD"/>
    <w:rsid w:val="17DC6A74"/>
    <w:rsid w:val="17DD3F39"/>
    <w:rsid w:val="17DDD6AE"/>
    <w:rsid w:val="17DE2B9B"/>
    <w:rsid w:val="17DFE6D1"/>
    <w:rsid w:val="17E04D72"/>
    <w:rsid w:val="17E0DC3E"/>
    <w:rsid w:val="17E1B17B"/>
    <w:rsid w:val="17E6BB8B"/>
    <w:rsid w:val="17F2B3B9"/>
    <w:rsid w:val="17F339CF"/>
    <w:rsid w:val="17F8B247"/>
    <w:rsid w:val="17FC3DC2"/>
    <w:rsid w:val="17FC5834"/>
    <w:rsid w:val="17FC641E"/>
    <w:rsid w:val="1801CB42"/>
    <w:rsid w:val="18053B4B"/>
    <w:rsid w:val="18061764"/>
    <w:rsid w:val="18061A51"/>
    <w:rsid w:val="1808A81E"/>
    <w:rsid w:val="1809E3D8"/>
    <w:rsid w:val="180A198A"/>
    <w:rsid w:val="180A7B07"/>
    <w:rsid w:val="180F0AE4"/>
    <w:rsid w:val="180F22A1"/>
    <w:rsid w:val="1813E114"/>
    <w:rsid w:val="18147E9F"/>
    <w:rsid w:val="18151179"/>
    <w:rsid w:val="181595FB"/>
    <w:rsid w:val="18197C8D"/>
    <w:rsid w:val="181C2443"/>
    <w:rsid w:val="181D374F"/>
    <w:rsid w:val="181D8ABB"/>
    <w:rsid w:val="18268A0E"/>
    <w:rsid w:val="1828925D"/>
    <w:rsid w:val="182A82FE"/>
    <w:rsid w:val="182C9E82"/>
    <w:rsid w:val="18375679"/>
    <w:rsid w:val="18377A86"/>
    <w:rsid w:val="183CC6A0"/>
    <w:rsid w:val="183CE3C2"/>
    <w:rsid w:val="183F226E"/>
    <w:rsid w:val="1847FA41"/>
    <w:rsid w:val="184A4B29"/>
    <w:rsid w:val="184A74C9"/>
    <w:rsid w:val="184C2764"/>
    <w:rsid w:val="18531859"/>
    <w:rsid w:val="1856D7EF"/>
    <w:rsid w:val="185C6E59"/>
    <w:rsid w:val="185F3E16"/>
    <w:rsid w:val="1861F8F5"/>
    <w:rsid w:val="1865A0D3"/>
    <w:rsid w:val="186696A2"/>
    <w:rsid w:val="186C395B"/>
    <w:rsid w:val="186CD924"/>
    <w:rsid w:val="186DB193"/>
    <w:rsid w:val="18756266"/>
    <w:rsid w:val="18770796"/>
    <w:rsid w:val="18809C97"/>
    <w:rsid w:val="1886DD8A"/>
    <w:rsid w:val="1888B25F"/>
    <w:rsid w:val="188B1153"/>
    <w:rsid w:val="18909C81"/>
    <w:rsid w:val="1895449B"/>
    <w:rsid w:val="18966696"/>
    <w:rsid w:val="189885FA"/>
    <w:rsid w:val="1898CB87"/>
    <w:rsid w:val="18A380D4"/>
    <w:rsid w:val="18A4C7B2"/>
    <w:rsid w:val="18A62273"/>
    <w:rsid w:val="18A7B718"/>
    <w:rsid w:val="18B1ACEF"/>
    <w:rsid w:val="18B2DBB6"/>
    <w:rsid w:val="18B32BF8"/>
    <w:rsid w:val="18B6D46E"/>
    <w:rsid w:val="18B9A174"/>
    <w:rsid w:val="18BAA94D"/>
    <w:rsid w:val="18BC1910"/>
    <w:rsid w:val="18C09874"/>
    <w:rsid w:val="18CAF72B"/>
    <w:rsid w:val="18D3C8B8"/>
    <w:rsid w:val="18D78B11"/>
    <w:rsid w:val="18D9B243"/>
    <w:rsid w:val="18DBA95F"/>
    <w:rsid w:val="18E04D00"/>
    <w:rsid w:val="18E6261E"/>
    <w:rsid w:val="18EAFF36"/>
    <w:rsid w:val="18F10BFC"/>
    <w:rsid w:val="18F19E25"/>
    <w:rsid w:val="18F3202A"/>
    <w:rsid w:val="18F487C7"/>
    <w:rsid w:val="18FDFCDB"/>
    <w:rsid w:val="1901FAF8"/>
    <w:rsid w:val="1904116B"/>
    <w:rsid w:val="190776A1"/>
    <w:rsid w:val="1908A2F2"/>
    <w:rsid w:val="190A839B"/>
    <w:rsid w:val="190C052E"/>
    <w:rsid w:val="190CBE1A"/>
    <w:rsid w:val="190FD988"/>
    <w:rsid w:val="191120E8"/>
    <w:rsid w:val="19170EB8"/>
    <w:rsid w:val="191CC34B"/>
    <w:rsid w:val="192545C6"/>
    <w:rsid w:val="19278DE9"/>
    <w:rsid w:val="192DBC3D"/>
    <w:rsid w:val="1935EC22"/>
    <w:rsid w:val="19401D78"/>
    <w:rsid w:val="19413B2A"/>
    <w:rsid w:val="19440DD0"/>
    <w:rsid w:val="194869E1"/>
    <w:rsid w:val="19491957"/>
    <w:rsid w:val="194B06F8"/>
    <w:rsid w:val="194EAB3E"/>
    <w:rsid w:val="194FEA95"/>
    <w:rsid w:val="1951638D"/>
    <w:rsid w:val="195218F3"/>
    <w:rsid w:val="19531D6F"/>
    <w:rsid w:val="19535DFC"/>
    <w:rsid w:val="19545500"/>
    <w:rsid w:val="195806A0"/>
    <w:rsid w:val="19580C1B"/>
    <w:rsid w:val="19592169"/>
    <w:rsid w:val="195EE1DC"/>
    <w:rsid w:val="195F7E53"/>
    <w:rsid w:val="1961B2E8"/>
    <w:rsid w:val="196CFC86"/>
    <w:rsid w:val="1970B689"/>
    <w:rsid w:val="19737544"/>
    <w:rsid w:val="19762378"/>
    <w:rsid w:val="197824B3"/>
    <w:rsid w:val="197B9AD0"/>
    <w:rsid w:val="197F752F"/>
    <w:rsid w:val="1980B605"/>
    <w:rsid w:val="1983AD81"/>
    <w:rsid w:val="1989B230"/>
    <w:rsid w:val="198B7B67"/>
    <w:rsid w:val="198BD2BE"/>
    <w:rsid w:val="198E28E3"/>
    <w:rsid w:val="198FDB4A"/>
    <w:rsid w:val="199482A8"/>
    <w:rsid w:val="1997C897"/>
    <w:rsid w:val="19994F1F"/>
    <w:rsid w:val="199D6249"/>
    <w:rsid w:val="199E22F0"/>
    <w:rsid w:val="19A0741B"/>
    <w:rsid w:val="19A24719"/>
    <w:rsid w:val="19A34196"/>
    <w:rsid w:val="19A45E63"/>
    <w:rsid w:val="19AA25A3"/>
    <w:rsid w:val="19AF6430"/>
    <w:rsid w:val="19B484BF"/>
    <w:rsid w:val="19C12BE0"/>
    <w:rsid w:val="19C215CA"/>
    <w:rsid w:val="19C26439"/>
    <w:rsid w:val="19C48B7F"/>
    <w:rsid w:val="19C789BE"/>
    <w:rsid w:val="19C814E1"/>
    <w:rsid w:val="19CE3C2E"/>
    <w:rsid w:val="19D0343D"/>
    <w:rsid w:val="19D1B8ED"/>
    <w:rsid w:val="19D22A45"/>
    <w:rsid w:val="19D7EF38"/>
    <w:rsid w:val="19D8EEDA"/>
    <w:rsid w:val="19DF19B7"/>
    <w:rsid w:val="19E505EC"/>
    <w:rsid w:val="19E7FF69"/>
    <w:rsid w:val="19F00F6E"/>
    <w:rsid w:val="19F0DD1B"/>
    <w:rsid w:val="19F5EBCF"/>
    <w:rsid w:val="19F8ED5D"/>
    <w:rsid w:val="19FB05D5"/>
    <w:rsid w:val="19FB4241"/>
    <w:rsid w:val="1A032216"/>
    <w:rsid w:val="1A046774"/>
    <w:rsid w:val="1A066457"/>
    <w:rsid w:val="1A06A40E"/>
    <w:rsid w:val="1A0DA170"/>
    <w:rsid w:val="1A1025BD"/>
    <w:rsid w:val="1A105528"/>
    <w:rsid w:val="1A117C1D"/>
    <w:rsid w:val="1A1232B7"/>
    <w:rsid w:val="1A15556F"/>
    <w:rsid w:val="1A1575EC"/>
    <w:rsid w:val="1A1AAF9B"/>
    <w:rsid w:val="1A1EA4BA"/>
    <w:rsid w:val="1A1F31C9"/>
    <w:rsid w:val="1A26C41F"/>
    <w:rsid w:val="1A2946BF"/>
    <w:rsid w:val="1A2C90E2"/>
    <w:rsid w:val="1A31CB2E"/>
    <w:rsid w:val="1A340692"/>
    <w:rsid w:val="1A3C067D"/>
    <w:rsid w:val="1A3DA541"/>
    <w:rsid w:val="1A3E3D72"/>
    <w:rsid w:val="1A3F7B9E"/>
    <w:rsid w:val="1A4210AB"/>
    <w:rsid w:val="1A4233BC"/>
    <w:rsid w:val="1A44A840"/>
    <w:rsid w:val="1A473C02"/>
    <w:rsid w:val="1A47DE83"/>
    <w:rsid w:val="1A48342F"/>
    <w:rsid w:val="1A491AD4"/>
    <w:rsid w:val="1A4AB8DA"/>
    <w:rsid w:val="1A4C851C"/>
    <w:rsid w:val="1A5ACBB5"/>
    <w:rsid w:val="1A5D11D5"/>
    <w:rsid w:val="1A63877D"/>
    <w:rsid w:val="1A66DD84"/>
    <w:rsid w:val="1A6F4B27"/>
    <w:rsid w:val="1A762BC4"/>
    <w:rsid w:val="1A76DEC7"/>
    <w:rsid w:val="1A780948"/>
    <w:rsid w:val="1A798BD6"/>
    <w:rsid w:val="1A7B17FF"/>
    <w:rsid w:val="1A7BC350"/>
    <w:rsid w:val="1A7C0C27"/>
    <w:rsid w:val="1A7E84AA"/>
    <w:rsid w:val="1A824C36"/>
    <w:rsid w:val="1A84C75C"/>
    <w:rsid w:val="1A862E13"/>
    <w:rsid w:val="1A89C0E3"/>
    <w:rsid w:val="1A8BC45A"/>
    <w:rsid w:val="1A909A7A"/>
    <w:rsid w:val="1A91632B"/>
    <w:rsid w:val="1A9333B6"/>
    <w:rsid w:val="1A946725"/>
    <w:rsid w:val="1A94A7B5"/>
    <w:rsid w:val="1A97ADDA"/>
    <w:rsid w:val="1A9D45CE"/>
    <w:rsid w:val="1A9D960D"/>
    <w:rsid w:val="1A9E12BE"/>
    <w:rsid w:val="1A9E2AA3"/>
    <w:rsid w:val="1AA42771"/>
    <w:rsid w:val="1AA42E86"/>
    <w:rsid w:val="1AA4C946"/>
    <w:rsid w:val="1AA7995A"/>
    <w:rsid w:val="1AA982AA"/>
    <w:rsid w:val="1AAFD174"/>
    <w:rsid w:val="1AB41929"/>
    <w:rsid w:val="1ABB1424"/>
    <w:rsid w:val="1ABBA0CD"/>
    <w:rsid w:val="1ABCD880"/>
    <w:rsid w:val="1ABD09EF"/>
    <w:rsid w:val="1ABE9FA9"/>
    <w:rsid w:val="1ABEB4F7"/>
    <w:rsid w:val="1AC365EA"/>
    <w:rsid w:val="1AC4E399"/>
    <w:rsid w:val="1AC62815"/>
    <w:rsid w:val="1AC8661D"/>
    <w:rsid w:val="1AC9CBB1"/>
    <w:rsid w:val="1ACD30ED"/>
    <w:rsid w:val="1ACF27F9"/>
    <w:rsid w:val="1ACF8C72"/>
    <w:rsid w:val="1AD0756A"/>
    <w:rsid w:val="1ADAB2AE"/>
    <w:rsid w:val="1ADB1705"/>
    <w:rsid w:val="1ADD7C5F"/>
    <w:rsid w:val="1ADDD4BA"/>
    <w:rsid w:val="1AE47943"/>
    <w:rsid w:val="1AE76D9F"/>
    <w:rsid w:val="1AE7F9DD"/>
    <w:rsid w:val="1AE896DE"/>
    <w:rsid w:val="1AE9482E"/>
    <w:rsid w:val="1AEA898F"/>
    <w:rsid w:val="1AEC2EA3"/>
    <w:rsid w:val="1AECEF4A"/>
    <w:rsid w:val="1AEFBD53"/>
    <w:rsid w:val="1AF292E1"/>
    <w:rsid w:val="1AFA37EF"/>
    <w:rsid w:val="1AFAB23D"/>
    <w:rsid w:val="1AFD5338"/>
    <w:rsid w:val="1AFD8349"/>
    <w:rsid w:val="1AFEC79E"/>
    <w:rsid w:val="1B00D323"/>
    <w:rsid w:val="1B025F08"/>
    <w:rsid w:val="1B0993AA"/>
    <w:rsid w:val="1B0A9DBA"/>
    <w:rsid w:val="1B126050"/>
    <w:rsid w:val="1B13DF74"/>
    <w:rsid w:val="1B171586"/>
    <w:rsid w:val="1B25C6A8"/>
    <w:rsid w:val="1B29C0F2"/>
    <w:rsid w:val="1B2F7A78"/>
    <w:rsid w:val="1B2FD596"/>
    <w:rsid w:val="1B328CA0"/>
    <w:rsid w:val="1B34DC7B"/>
    <w:rsid w:val="1B38421E"/>
    <w:rsid w:val="1B391B49"/>
    <w:rsid w:val="1B4292ED"/>
    <w:rsid w:val="1B4596A2"/>
    <w:rsid w:val="1B45B66A"/>
    <w:rsid w:val="1B46A2CD"/>
    <w:rsid w:val="1B480C53"/>
    <w:rsid w:val="1B4A7DE3"/>
    <w:rsid w:val="1B4C5136"/>
    <w:rsid w:val="1B542265"/>
    <w:rsid w:val="1B543097"/>
    <w:rsid w:val="1B580E11"/>
    <w:rsid w:val="1B5B655C"/>
    <w:rsid w:val="1B5EABE2"/>
    <w:rsid w:val="1B5FF99B"/>
    <w:rsid w:val="1B67E56E"/>
    <w:rsid w:val="1B724767"/>
    <w:rsid w:val="1B76804A"/>
    <w:rsid w:val="1B77F8B2"/>
    <w:rsid w:val="1B78E41A"/>
    <w:rsid w:val="1B7B2B75"/>
    <w:rsid w:val="1B7BD977"/>
    <w:rsid w:val="1B8763B0"/>
    <w:rsid w:val="1B87D431"/>
    <w:rsid w:val="1B8C85C6"/>
    <w:rsid w:val="1B8FE7AE"/>
    <w:rsid w:val="1B927A40"/>
    <w:rsid w:val="1B9EEE5D"/>
    <w:rsid w:val="1BA21E7C"/>
    <w:rsid w:val="1BA27FE4"/>
    <w:rsid w:val="1BAC8306"/>
    <w:rsid w:val="1BADDE84"/>
    <w:rsid w:val="1BB0B3A6"/>
    <w:rsid w:val="1BB0E015"/>
    <w:rsid w:val="1BB57278"/>
    <w:rsid w:val="1BBD8CB2"/>
    <w:rsid w:val="1BBE0C62"/>
    <w:rsid w:val="1BC79713"/>
    <w:rsid w:val="1BC84466"/>
    <w:rsid w:val="1BCE1BF3"/>
    <w:rsid w:val="1BCF795C"/>
    <w:rsid w:val="1BD11153"/>
    <w:rsid w:val="1BD1D227"/>
    <w:rsid w:val="1BD1FB91"/>
    <w:rsid w:val="1BD43216"/>
    <w:rsid w:val="1BD58A9B"/>
    <w:rsid w:val="1BD6FB63"/>
    <w:rsid w:val="1BDB02C1"/>
    <w:rsid w:val="1BE08EFC"/>
    <w:rsid w:val="1BE2EF8F"/>
    <w:rsid w:val="1BE8E2B7"/>
    <w:rsid w:val="1BEA39BA"/>
    <w:rsid w:val="1BED0BD1"/>
    <w:rsid w:val="1BF3299E"/>
    <w:rsid w:val="1BF65C3C"/>
    <w:rsid w:val="1BF6B2C4"/>
    <w:rsid w:val="1BF8C2E2"/>
    <w:rsid w:val="1BFB122B"/>
    <w:rsid w:val="1BFBAA67"/>
    <w:rsid w:val="1BFFCEAF"/>
    <w:rsid w:val="1C00C637"/>
    <w:rsid w:val="1C02FE9A"/>
    <w:rsid w:val="1C0B1B59"/>
    <w:rsid w:val="1C0DC090"/>
    <w:rsid w:val="1C0EC374"/>
    <w:rsid w:val="1C138FD8"/>
    <w:rsid w:val="1C1436A7"/>
    <w:rsid w:val="1C15066F"/>
    <w:rsid w:val="1C1947F5"/>
    <w:rsid w:val="1C1D3AA1"/>
    <w:rsid w:val="1C1F694F"/>
    <w:rsid w:val="1C21F11E"/>
    <w:rsid w:val="1C25D62B"/>
    <w:rsid w:val="1C260737"/>
    <w:rsid w:val="1C289ED2"/>
    <w:rsid w:val="1C2DE1D9"/>
    <w:rsid w:val="1C2E01AF"/>
    <w:rsid w:val="1C337789"/>
    <w:rsid w:val="1C3826B8"/>
    <w:rsid w:val="1C3EF07C"/>
    <w:rsid w:val="1C3F3A98"/>
    <w:rsid w:val="1C434408"/>
    <w:rsid w:val="1C48C86E"/>
    <w:rsid w:val="1C4C38D2"/>
    <w:rsid w:val="1C514C5F"/>
    <w:rsid w:val="1C544645"/>
    <w:rsid w:val="1C57A968"/>
    <w:rsid w:val="1C57CB4E"/>
    <w:rsid w:val="1C585910"/>
    <w:rsid w:val="1C5A3088"/>
    <w:rsid w:val="1C5E0F33"/>
    <w:rsid w:val="1C627722"/>
    <w:rsid w:val="1C63E155"/>
    <w:rsid w:val="1C6537D4"/>
    <w:rsid w:val="1C701892"/>
    <w:rsid w:val="1C73D800"/>
    <w:rsid w:val="1C772C0E"/>
    <w:rsid w:val="1C7AB2FD"/>
    <w:rsid w:val="1C84ABC9"/>
    <w:rsid w:val="1C876C63"/>
    <w:rsid w:val="1C878832"/>
    <w:rsid w:val="1C8C0D42"/>
    <w:rsid w:val="1C8EB449"/>
    <w:rsid w:val="1C8EED1F"/>
    <w:rsid w:val="1C93B738"/>
    <w:rsid w:val="1C95B4BE"/>
    <w:rsid w:val="1C96ACED"/>
    <w:rsid w:val="1C994ABB"/>
    <w:rsid w:val="1C9A5DEA"/>
    <w:rsid w:val="1C9F63A9"/>
    <w:rsid w:val="1CA2FE4A"/>
    <w:rsid w:val="1CAE44D7"/>
    <w:rsid w:val="1CB213FB"/>
    <w:rsid w:val="1CB3709F"/>
    <w:rsid w:val="1CBB7B0A"/>
    <w:rsid w:val="1CC01A99"/>
    <w:rsid w:val="1CC360AD"/>
    <w:rsid w:val="1CC73073"/>
    <w:rsid w:val="1CC7C532"/>
    <w:rsid w:val="1CCC236A"/>
    <w:rsid w:val="1CCC9563"/>
    <w:rsid w:val="1CCDDC5E"/>
    <w:rsid w:val="1CD0F661"/>
    <w:rsid w:val="1CD55F91"/>
    <w:rsid w:val="1CD78956"/>
    <w:rsid w:val="1CDCD1BB"/>
    <w:rsid w:val="1CDE4D50"/>
    <w:rsid w:val="1CE0331F"/>
    <w:rsid w:val="1CE4757D"/>
    <w:rsid w:val="1CE57064"/>
    <w:rsid w:val="1CE7ECE9"/>
    <w:rsid w:val="1CE99570"/>
    <w:rsid w:val="1CEBBEA6"/>
    <w:rsid w:val="1CEBC299"/>
    <w:rsid w:val="1CF13680"/>
    <w:rsid w:val="1CF23C24"/>
    <w:rsid w:val="1CF2B940"/>
    <w:rsid w:val="1CF78FB8"/>
    <w:rsid w:val="1CF96295"/>
    <w:rsid w:val="1CFC16BE"/>
    <w:rsid w:val="1D023026"/>
    <w:rsid w:val="1D0D6B01"/>
    <w:rsid w:val="1D0F6E25"/>
    <w:rsid w:val="1D10A725"/>
    <w:rsid w:val="1D117A22"/>
    <w:rsid w:val="1D12A570"/>
    <w:rsid w:val="1D1DD086"/>
    <w:rsid w:val="1D21C691"/>
    <w:rsid w:val="1D21C6AA"/>
    <w:rsid w:val="1D222097"/>
    <w:rsid w:val="1D25635E"/>
    <w:rsid w:val="1D27E235"/>
    <w:rsid w:val="1D283A2B"/>
    <w:rsid w:val="1D2E5154"/>
    <w:rsid w:val="1D2EBD9B"/>
    <w:rsid w:val="1D391CFD"/>
    <w:rsid w:val="1D3E6F0B"/>
    <w:rsid w:val="1D3F45A3"/>
    <w:rsid w:val="1D3FC6DC"/>
    <w:rsid w:val="1D3FFB80"/>
    <w:rsid w:val="1D419448"/>
    <w:rsid w:val="1D44258E"/>
    <w:rsid w:val="1D474B13"/>
    <w:rsid w:val="1D493691"/>
    <w:rsid w:val="1D4B6060"/>
    <w:rsid w:val="1D4CCDF0"/>
    <w:rsid w:val="1D4DEF94"/>
    <w:rsid w:val="1D4EBB24"/>
    <w:rsid w:val="1D4F27B0"/>
    <w:rsid w:val="1D5331CE"/>
    <w:rsid w:val="1D53B375"/>
    <w:rsid w:val="1D55C56C"/>
    <w:rsid w:val="1D577317"/>
    <w:rsid w:val="1D5B52AF"/>
    <w:rsid w:val="1D68A83C"/>
    <w:rsid w:val="1D6B9409"/>
    <w:rsid w:val="1D7118FE"/>
    <w:rsid w:val="1D7929E8"/>
    <w:rsid w:val="1D7D2358"/>
    <w:rsid w:val="1D7DE0FB"/>
    <w:rsid w:val="1D82A1B7"/>
    <w:rsid w:val="1D82CCE8"/>
    <w:rsid w:val="1D838EDB"/>
    <w:rsid w:val="1D8797A0"/>
    <w:rsid w:val="1D89FDA9"/>
    <w:rsid w:val="1D8E481B"/>
    <w:rsid w:val="1D8F8A5E"/>
    <w:rsid w:val="1D95CB5B"/>
    <w:rsid w:val="1DA0674B"/>
    <w:rsid w:val="1DA34CCF"/>
    <w:rsid w:val="1DA48E70"/>
    <w:rsid w:val="1DA94529"/>
    <w:rsid w:val="1DA9B30B"/>
    <w:rsid w:val="1DAAC24F"/>
    <w:rsid w:val="1DAF48ED"/>
    <w:rsid w:val="1DB8891E"/>
    <w:rsid w:val="1DC22170"/>
    <w:rsid w:val="1DC39378"/>
    <w:rsid w:val="1DC3950C"/>
    <w:rsid w:val="1DC7B366"/>
    <w:rsid w:val="1DC834DA"/>
    <w:rsid w:val="1DC8C578"/>
    <w:rsid w:val="1DCE5ABE"/>
    <w:rsid w:val="1DD3489A"/>
    <w:rsid w:val="1DD47AB7"/>
    <w:rsid w:val="1DD79112"/>
    <w:rsid w:val="1DDB2FC5"/>
    <w:rsid w:val="1DDBD0E0"/>
    <w:rsid w:val="1DDEA7DB"/>
    <w:rsid w:val="1DE4C166"/>
    <w:rsid w:val="1DE8EEB3"/>
    <w:rsid w:val="1DE9CA2A"/>
    <w:rsid w:val="1DEBC89B"/>
    <w:rsid w:val="1DECBCE8"/>
    <w:rsid w:val="1DF8E938"/>
    <w:rsid w:val="1DFCEA7D"/>
    <w:rsid w:val="1E010984"/>
    <w:rsid w:val="1E04B75A"/>
    <w:rsid w:val="1E0668C5"/>
    <w:rsid w:val="1E0A594C"/>
    <w:rsid w:val="1E0B0F13"/>
    <w:rsid w:val="1E0B11E3"/>
    <w:rsid w:val="1E0C6C8A"/>
    <w:rsid w:val="1E1175EF"/>
    <w:rsid w:val="1E1E1838"/>
    <w:rsid w:val="1E23CA4F"/>
    <w:rsid w:val="1E2C3A18"/>
    <w:rsid w:val="1E2E1B75"/>
    <w:rsid w:val="1E2F6A46"/>
    <w:rsid w:val="1E31394D"/>
    <w:rsid w:val="1E320DA4"/>
    <w:rsid w:val="1E33824D"/>
    <w:rsid w:val="1E344492"/>
    <w:rsid w:val="1E3530E5"/>
    <w:rsid w:val="1E3AD543"/>
    <w:rsid w:val="1E3D41B6"/>
    <w:rsid w:val="1E3E008A"/>
    <w:rsid w:val="1E3E1603"/>
    <w:rsid w:val="1E405369"/>
    <w:rsid w:val="1E437143"/>
    <w:rsid w:val="1E43754D"/>
    <w:rsid w:val="1E4569C9"/>
    <w:rsid w:val="1E4E666A"/>
    <w:rsid w:val="1E4EAFAA"/>
    <w:rsid w:val="1E5040A0"/>
    <w:rsid w:val="1E515FE0"/>
    <w:rsid w:val="1E519482"/>
    <w:rsid w:val="1E535D36"/>
    <w:rsid w:val="1E5424B3"/>
    <w:rsid w:val="1E5540BF"/>
    <w:rsid w:val="1E56360F"/>
    <w:rsid w:val="1E564E15"/>
    <w:rsid w:val="1E5822AC"/>
    <w:rsid w:val="1E5A310F"/>
    <w:rsid w:val="1E62EF2D"/>
    <w:rsid w:val="1E63859B"/>
    <w:rsid w:val="1E64A794"/>
    <w:rsid w:val="1E650B84"/>
    <w:rsid w:val="1E653100"/>
    <w:rsid w:val="1E729CF4"/>
    <w:rsid w:val="1E7E3A5A"/>
    <w:rsid w:val="1E83B425"/>
    <w:rsid w:val="1E87B38E"/>
    <w:rsid w:val="1E89E83D"/>
    <w:rsid w:val="1E8DFD8E"/>
    <w:rsid w:val="1E931B20"/>
    <w:rsid w:val="1E93FB49"/>
    <w:rsid w:val="1E94E538"/>
    <w:rsid w:val="1E957CC7"/>
    <w:rsid w:val="1E98D0F6"/>
    <w:rsid w:val="1E99B2D4"/>
    <w:rsid w:val="1E9CE375"/>
    <w:rsid w:val="1EA00FDB"/>
    <w:rsid w:val="1EA19E38"/>
    <w:rsid w:val="1EA2D105"/>
    <w:rsid w:val="1EA49AED"/>
    <w:rsid w:val="1EA5AE99"/>
    <w:rsid w:val="1EABBEBD"/>
    <w:rsid w:val="1EAC9614"/>
    <w:rsid w:val="1EADCE77"/>
    <w:rsid w:val="1EB4C391"/>
    <w:rsid w:val="1EBCDA4A"/>
    <w:rsid w:val="1EBCF4E4"/>
    <w:rsid w:val="1EC497AF"/>
    <w:rsid w:val="1EC51065"/>
    <w:rsid w:val="1EC58EA9"/>
    <w:rsid w:val="1EC73F6B"/>
    <w:rsid w:val="1EC767DD"/>
    <w:rsid w:val="1ECD73CB"/>
    <w:rsid w:val="1ED19E40"/>
    <w:rsid w:val="1ED5951A"/>
    <w:rsid w:val="1ED7C325"/>
    <w:rsid w:val="1EDB259B"/>
    <w:rsid w:val="1EE0295F"/>
    <w:rsid w:val="1EE20CD2"/>
    <w:rsid w:val="1EE307EA"/>
    <w:rsid w:val="1EE51EFF"/>
    <w:rsid w:val="1EF1680D"/>
    <w:rsid w:val="1EF1AA5B"/>
    <w:rsid w:val="1EF41312"/>
    <w:rsid w:val="1EF4AF83"/>
    <w:rsid w:val="1EF7491E"/>
    <w:rsid w:val="1EFDC5D4"/>
    <w:rsid w:val="1F00A805"/>
    <w:rsid w:val="1F03F6DA"/>
    <w:rsid w:val="1F078363"/>
    <w:rsid w:val="1F0902AF"/>
    <w:rsid w:val="1F0F31E6"/>
    <w:rsid w:val="1F11D5AE"/>
    <w:rsid w:val="1F15DB0D"/>
    <w:rsid w:val="1F21289F"/>
    <w:rsid w:val="1F224BB9"/>
    <w:rsid w:val="1F260A68"/>
    <w:rsid w:val="1F26341A"/>
    <w:rsid w:val="1F2D37C1"/>
    <w:rsid w:val="1F2D61D4"/>
    <w:rsid w:val="1F325228"/>
    <w:rsid w:val="1F37F122"/>
    <w:rsid w:val="1F395028"/>
    <w:rsid w:val="1F3EA291"/>
    <w:rsid w:val="1F44DF49"/>
    <w:rsid w:val="1F46F5BF"/>
    <w:rsid w:val="1F471B9C"/>
    <w:rsid w:val="1F486C9C"/>
    <w:rsid w:val="1F4E35A1"/>
    <w:rsid w:val="1F544264"/>
    <w:rsid w:val="1F54CC44"/>
    <w:rsid w:val="1F56F34A"/>
    <w:rsid w:val="1F58E1DC"/>
    <w:rsid w:val="1F59C13D"/>
    <w:rsid w:val="1F59D9E8"/>
    <w:rsid w:val="1F60894A"/>
    <w:rsid w:val="1F681FEA"/>
    <w:rsid w:val="1F6FABC4"/>
    <w:rsid w:val="1F70F33D"/>
    <w:rsid w:val="1F7266D7"/>
    <w:rsid w:val="1F76E36D"/>
    <w:rsid w:val="1F7F3C8E"/>
    <w:rsid w:val="1F81BE5D"/>
    <w:rsid w:val="1F83CE04"/>
    <w:rsid w:val="1F84AEB1"/>
    <w:rsid w:val="1F8522E3"/>
    <w:rsid w:val="1F8A5B74"/>
    <w:rsid w:val="1F910B3C"/>
    <w:rsid w:val="1F92FC04"/>
    <w:rsid w:val="1F984A69"/>
    <w:rsid w:val="1F9BE024"/>
    <w:rsid w:val="1F9D64E3"/>
    <w:rsid w:val="1F9D9867"/>
    <w:rsid w:val="1FA38CD1"/>
    <w:rsid w:val="1FA3D32A"/>
    <w:rsid w:val="1FB0F6BA"/>
    <w:rsid w:val="1FB2B4CE"/>
    <w:rsid w:val="1FB4CD4A"/>
    <w:rsid w:val="1FB6B145"/>
    <w:rsid w:val="1FB86AB7"/>
    <w:rsid w:val="1FB918FF"/>
    <w:rsid w:val="1FBD5DD5"/>
    <w:rsid w:val="1FD1928A"/>
    <w:rsid w:val="1FD34F55"/>
    <w:rsid w:val="1FD9B447"/>
    <w:rsid w:val="1FE20259"/>
    <w:rsid w:val="1FE2ADE6"/>
    <w:rsid w:val="1FFE6F5E"/>
    <w:rsid w:val="1FFFA244"/>
    <w:rsid w:val="2000718A"/>
    <w:rsid w:val="20083060"/>
    <w:rsid w:val="2010D03E"/>
    <w:rsid w:val="201381C1"/>
    <w:rsid w:val="20157611"/>
    <w:rsid w:val="20166630"/>
    <w:rsid w:val="201786FC"/>
    <w:rsid w:val="201BBA26"/>
    <w:rsid w:val="20259EAC"/>
    <w:rsid w:val="2025B85D"/>
    <w:rsid w:val="2025E7AE"/>
    <w:rsid w:val="20272E85"/>
    <w:rsid w:val="202B13BC"/>
    <w:rsid w:val="202E61A3"/>
    <w:rsid w:val="202F7AE7"/>
    <w:rsid w:val="20305B90"/>
    <w:rsid w:val="20334D8A"/>
    <w:rsid w:val="20336E8D"/>
    <w:rsid w:val="203BB824"/>
    <w:rsid w:val="203BE03F"/>
    <w:rsid w:val="203E515D"/>
    <w:rsid w:val="20419468"/>
    <w:rsid w:val="20431507"/>
    <w:rsid w:val="204BA75C"/>
    <w:rsid w:val="2053D132"/>
    <w:rsid w:val="2056BAB8"/>
    <w:rsid w:val="20585238"/>
    <w:rsid w:val="205EF2D4"/>
    <w:rsid w:val="20618574"/>
    <w:rsid w:val="206280EB"/>
    <w:rsid w:val="2065A387"/>
    <w:rsid w:val="2066D039"/>
    <w:rsid w:val="2067C9A4"/>
    <w:rsid w:val="20689DD7"/>
    <w:rsid w:val="206AD732"/>
    <w:rsid w:val="206B3DA1"/>
    <w:rsid w:val="206E3722"/>
    <w:rsid w:val="2072D5AD"/>
    <w:rsid w:val="2073780C"/>
    <w:rsid w:val="20752DAC"/>
    <w:rsid w:val="20787774"/>
    <w:rsid w:val="207C3B3F"/>
    <w:rsid w:val="207F3A8A"/>
    <w:rsid w:val="2086785F"/>
    <w:rsid w:val="2087B6E6"/>
    <w:rsid w:val="2089971A"/>
    <w:rsid w:val="208A5914"/>
    <w:rsid w:val="208A9AF3"/>
    <w:rsid w:val="208BE901"/>
    <w:rsid w:val="208CABEA"/>
    <w:rsid w:val="208DD6A1"/>
    <w:rsid w:val="208E292C"/>
    <w:rsid w:val="208F01BD"/>
    <w:rsid w:val="209123C7"/>
    <w:rsid w:val="2096DAD7"/>
    <w:rsid w:val="209EF22E"/>
    <w:rsid w:val="209F32C4"/>
    <w:rsid w:val="209F6C6F"/>
    <w:rsid w:val="20A6BA74"/>
    <w:rsid w:val="20A7E422"/>
    <w:rsid w:val="20B1154C"/>
    <w:rsid w:val="20B3C849"/>
    <w:rsid w:val="20C71F1B"/>
    <w:rsid w:val="20C97E51"/>
    <w:rsid w:val="20CB177F"/>
    <w:rsid w:val="20CD7739"/>
    <w:rsid w:val="20CE8E5D"/>
    <w:rsid w:val="20CF618E"/>
    <w:rsid w:val="20D224A3"/>
    <w:rsid w:val="20D693F5"/>
    <w:rsid w:val="20D7EF60"/>
    <w:rsid w:val="20DA67E4"/>
    <w:rsid w:val="20DB360C"/>
    <w:rsid w:val="20DB9C8F"/>
    <w:rsid w:val="20DEC22D"/>
    <w:rsid w:val="20DFEBE2"/>
    <w:rsid w:val="20E5CED5"/>
    <w:rsid w:val="20E82D7B"/>
    <w:rsid w:val="20F227CF"/>
    <w:rsid w:val="20F3730D"/>
    <w:rsid w:val="20F5C93C"/>
    <w:rsid w:val="20F8A7AA"/>
    <w:rsid w:val="20F964D2"/>
    <w:rsid w:val="20FA558A"/>
    <w:rsid w:val="20FDC5CB"/>
    <w:rsid w:val="20FEF9E1"/>
    <w:rsid w:val="2100E2BE"/>
    <w:rsid w:val="2104099F"/>
    <w:rsid w:val="21068060"/>
    <w:rsid w:val="210C94EC"/>
    <w:rsid w:val="210FD7FA"/>
    <w:rsid w:val="2111D18C"/>
    <w:rsid w:val="21161D37"/>
    <w:rsid w:val="2116C190"/>
    <w:rsid w:val="2116D870"/>
    <w:rsid w:val="2117FC23"/>
    <w:rsid w:val="211ACF0D"/>
    <w:rsid w:val="211DCC9F"/>
    <w:rsid w:val="211F6ACB"/>
    <w:rsid w:val="212897B8"/>
    <w:rsid w:val="212A9ABD"/>
    <w:rsid w:val="212C9AFC"/>
    <w:rsid w:val="21340577"/>
    <w:rsid w:val="2135F352"/>
    <w:rsid w:val="213B8C11"/>
    <w:rsid w:val="213E697D"/>
    <w:rsid w:val="21403121"/>
    <w:rsid w:val="214334DB"/>
    <w:rsid w:val="214449C3"/>
    <w:rsid w:val="214576BD"/>
    <w:rsid w:val="2145A06C"/>
    <w:rsid w:val="2145B1AB"/>
    <w:rsid w:val="2147DA89"/>
    <w:rsid w:val="21494EF9"/>
    <w:rsid w:val="214B1EA5"/>
    <w:rsid w:val="214E56FE"/>
    <w:rsid w:val="21532729"/>
    <w:rsid w:val="2157C794"/>
    <w:rsid w:val="2157FC2D"/>
    <w:rsid w:val="21598A5B"/>
    <w:rsid w:val="215EB51A"/>
    <w:rsid w:val="21659E7B"/>
    <w:rsid w:val="216877D2"/>
    <w:rsid w:val="21697B35"/>
    <w:rsid w:val="2169B0A6"/>
    <w:rsid w:val="2169DDEF"/>
    <w:rsid w:val="2177718F"/>
    <w:rsid w:val="21781D22"/>
    <w:rsid w:val="217D3A72"/>
    <w:rsid w:val="2182E048"/>
    <w:rsid w:val="21868893"/>
    <w:rsid w:val="21871AD9"/>
    <w:rsid w:val="21881F26"/>
    <w:rsid w:val="2188D9A4"/>
    <w:rsid w:val="218CB80A"/>
    <w:rsid w:val="2193DFCD"/>
    <w:rsid w:val="21982868"/>
    <w:rsid w:val="2198C04A"/>
    <w:rsid w:val="2199442C"/>
    <w:rsid w:val="219C9672"/>
    <w:rsid w:val="21A2CFB2"/>
    <w:rsid w:val="21A34787"/>
    <w:rsid w:val="21A7109D"/>
    <w:rsid w:val="21A73676"/>
    <w:rsid w:val="21A7E7D5"/>
    <w:rsid w:val="21A83EA5"/>
    <w:rsid w:val="21AC62E5"/>
    <w:rsid w:val="21ACECA7"/>
    <w:rsid w:val="21ADB019"/>
    <w:rsid w:val="21AE2D03"/>
    <w:rsid w:val="21AF6BF7"/>
    <w:rsid w:val="21B06D30"/>
    <w:rsid w:val="21B077CC"/>
    <w:rsid w:val="21B6A37D"/>
    <w:rsid w:val="21BB6903"/>
    <w:rsid w:val="21BCB1C3"/>
    <w:rsid w:val="21BE4C22"/>
    <w:rsid w:val="21BF3EAB"/>
    <w:rsid w:val="21C45412"/>
    <w:rsid w:val="21C4EA71"/>
    <w:rsid w:val="21C91AB4"/>
    <w:rsid w:val="21CCB5B3"/>
    <w:rsid w:val="21CD486B"/>
    <w:rsid w:val="21D1B6D6"/>
    <w:rsid w:val="21D6E72E"/>
    <w:rsid w:val="21DBDAD6"/>
    <w:rsid w:val="21DDD5F3"/>
    <w:rsid w:val="21E144DB"/>
    <w:rsid w:val="21E5507C"/>
    <w:rsid w:val="21E713D7"/>
    <w:rsid w:val="21E8C209"/>
    <w:rsid w:val="21F094A4"/>
    <w:rsid w:val="21F275A0"/>
    <w:rsid w:val="21F383B6"/>
    <w:rsid w:val="21F5F6BA"/>
    <w:rsid w:val="21FC0DA7"/>
    <w:rsid w:val="21FCE745"/>
    <w:rsid w:val="220EA311"/>
    <w:rsid w:val="2216637D"/>
    <w:rsid w:val="2218706C"/>
    <w:rsid w:val="22191340"/>
    <w:rsid w:val="221989D7"/>
    <w:rsid w:val="22215A25"/>
    <w:rsid w:val="2221CE4A"/>
    <w:rsid w:val="22247AC6"/>
    <w:rsid w:val="22293988"/>
    <w:rsid w:val="222A9A9F"/>
    <w:rsid w:val="222BC843"/>
    <w:rsid w:val="222DFA55"/>
    <w:rsid w:val="223A1DB7"/>
    <w:rsid w:val="223B81CC"/>
    <w:rsid w:val="223C3E2E"/>
    <w:rsid w:val="223CB73F"/>
    <w:rsid w:val="22404E81"/>
    <w:rsid w:val="2247EEE7"/>
    <w:rsid w:val="224BBAC9"/>
    <w:rsid w:val="224EF971"/>
    <w:rsid w:val="2251D42B"/>
    <w:rsid w:val="2251DC84"/>
    <w:rsid w:val="22520D4B"/>
    <w:rsid w:val="22594FFC"/>
    <w:rsid w:val="225ADD37"/>
    <w:rsid w:val="225C8D8C"/>
    <w:rsid w:val="225F8519"/>
    <w:rsid w:val="22655A58"/>
    <w:rsid w:val="226BCA36"/>
    <w:rsid w:val="226DC189"/>
    <w:rsid w:val="226FB562"/>
    <w:rsid w:val="22780D06"/>
    <w:rsid w:val="227C40D3"/>
    <w:rsid w:val="22822328"/>
    <w:rsid w:val="2283172A"/>
    <w:rsid w:val="22840EEF"/>
    <w:rsid w:val="2285C7EC"/>
    <w:rsid w:val="2287DC66"/>
    <w:rsid w:val="2288505E"/>
    <w:rsid w:val="2291A5AB"/>
    <w:rsid w:val="22951F77"/>
    <w:rsid w:val="2299AA3C"/>
    <w:rsid w:val="229DFD89"/>
    <w:rsid w:val="22A1DF67"/>
    <w:rsid w:val="22A432C7"/>
    <w:rsid w:val="22A460CC"/>
    <w:rsid w:val="22A53994"/>
    <w:rsid w:val="22A8E6F1"/>
    <w:rsid w:val="22A9DB57"/>
    <w:rsid w:val="22B93869"/>
    <w:rsid w:val="22BA3FAF"/>
    <w:rsid w:val="22BCDD4B"/>
    <w:rsid w:val="22BDBECD"/>
    <w:rsid w:val="22BE83BF"/>
    <w:rsid w:val="22BF08F9"/>
    <w:rsid w:val="22BFB1BC"/>
    <w:rsid w:val="22C18AE8"/>
    <w:rsid w:val="22C6B06D"/>
    <w:rsid w:val="22CA6C8D"/>
    <w:rsid w:val="22CC3E4E"/>
    <w:rsid w:val="22D267FD"/>
    <w:rsid w:val="22D67639"/>
    <w:rsid w:val="22D89D8A"/>
    <w:rsid w:val="22D8EB29"/>
    <w:rsid w:val="22DA3335"/>
    <w:rsid w:val="22DAE996"/>
    <w:rsid w:val="22DC2C60"/>
    <w:rsid w:val="22DC4F0F"/>
    <w:rsid w:val="22E0B825"/>
    <w:rsid w:val="22E16F6B"/>
    <w:rsid w:val="22E53735"/>
    <w:rsid w:val="22E617E0"/>
    <w:rsid w:val="22E6B7DB"/>
    <w:rsid w:val="22E877E2"/>
    <w:rsid w:val="22E90658"/>
    <w:rsid w:val="22EA224D"/>
    <w:rsid w:val="22EB2908"/>
    <w:rsid w:val="22EDD3E0"/>
    <w:rsid w:val="22EE9809"/>
    <w:rsid w:val="22F15F63"/>
    <w:rsid w:val="22F68189"/>
    <w:rsid w:val="22F691CE"/>
    <w:rsid w:val="22FA402F"/>
    <w:rsid w:val="22FCA0BE"/>
    <w:rsid w:val="22FDFC04"/>
    <w:rsid w:val="22FF48D0"/>
    <w:rsid w:val="23049E0B"/>
    <w:rsid w:val="230AD478"/>
    <w:rsid w:val="230EDAAE"/>
    <w:rsid w:val="230FE495"/>
    <w:rsid w:val="2315F27F"/>
    <w:rsid w:val="231F0E32"/>
    <w:rsid w:val="231F6841"/>
    <w:rsid w:val="2325DD58"/>
    <w:rsid w:val="23265ADA"/>
    <w:rsid w:val="23286CE0"/>
    <w:rsid w:val="2329F637"/>
    <w:rsid w:val="23347AFF"/>
    <w:rsid w:val="2334D682"/>
    <w:rsid w:val="2336953F"/>
    <w:rsid w:val="233A0F10"/>
    <w:rsid w:val="233C0F48"/>
    <w:rsid w:val="2342A5DA"/>
    <w:rsid w:val="234939A9"/>
    <w:rsid w:val="234C1195"/>
    <w:rsid w:val="23566FE1"/>
    <w:rsid w:val="23567C54"/>
    <w:rsid w:val="235D1AE2"/>
    <w:rsid w:val="2361111E"/>
    <w:rsid w:val="2361CF96"/>
    <w:rsid w:val="23642156"/>
    <w:rsid w:val="2365E3D1"/>
    <w:rsid w:val="236889F1"/>
    <w:rsid w:val="23691F67"/>
    <w:rsid w:val="236B599D"/>
    <w:rsid w:val="236F51A0"/>
    <w:rsid w:val="236FC908"/>
    <w:rsid w:val="2370F058"/>
    <w:rsid w:val="23799933"/>
    <w:rsid w:val="2381F103"/>
    <w:rsid w:val="2393B7FB"/>
    <w:rsid w:val="239757C8"/>
    <w:rsid w:val="2398D7B4"/>
    <w:rsid w:val="239B569D"/>
    <w:rsid w:val="239E1672"/>
    <w:rsid w:val="239FE45E"/>
    <w:rsid w:val="239FE556"/>
    <w:rsid w:val="23A0ABAA"/>
    <w:rsid w:val="23A1AE62"/>
    <w:rsid w:val="23A27B9E"/>
    <w:rsid w:val="23A346EE"/>
    <w:rsid w:val="23A40D8A"/>
    <w:rsid w:val="23A43F0C"/>
    <w:rsid w:val="23A4F5D0"/>
    <w:rsid w:val="23A580C8"/>
    <w:rsid w:val="23AA41E1"/>
    <w:rsid w:val="23B8BF52"/>
    <w:rsid w:val="23BBC709"/>
    <w:rsid w:val="23BF35A9"/>
    <w:rsid w:val="23C1D88D"/>
    <w:rsid w:val="23C45B55"/>
    <w:rsid w:val="23C54818"/>
    <w:rsid w:val="23CDB723"/>
    <w:rsid w:val="23D2AA74"/>
    <w:rsid w:val="23D40CAB"/>
    <w:rsid w:val="23DAFC2D"/>
    <w:rsid w:val="23DBBF0A"/>
    <w:rsid w:val="23DCA37B"/>
    <w:rsid w:val="23DCB12B"/>
    <w:rsid w:val="23E17DE1"/>
    <w:rsid w:val="23E1F358"/>
    <w:rsid w:val="23ED3CF6"/>
    <w:rsid w:val="23EDD92A"/>
    <w:rsid w:val="23EEDACB"/>
    <w:rsid w:val="23F1B0E1"/>
    <w:rsid w:val="23F6D63E"/>
    <w:rsid w:val="24003E05"/>
    <w:rsid w:val="24043A46"/>
    <w:rsid w:val="240A20FD"/>
    <w:rsid w:val="240BFB01"/>
    <w:rsid w:val="240CA2F0"/>
    <w:rsid w:val="2417C665"/>
    <w:rsid w:val="241BD344"/>
    <w:rsid w:val="2428F400"/>
    <w:rsid w:val="242D2A16"/>
    <w:rsid w:val="242FE089"/>
    <w:rsid w:val="24312D1B"/>
    <w:rsid w:val="2439C72C"/>
    <w:rsid w:val="243D1271"/>
    <w:rsid w:val="24426905"/>
    <w:rsid w:val="2445123F"/>
    <w:rsid w:val="2446299C"/>
    <w:rsid w:val="244C4744"/>
    <w:rsid w:val="24565570"/>
    <w:rsid w:val="2457387B"/>
    <w:rsid w:val="2457AE3F"/>
    <w:rsid w:val="2459CB6B"/>
    <w:rsid w:val="245D145B"/>
    <w:rsid w:val="24677F5E"/>
    <w:rsid w:val="246C05BE"/>
    <w:rsid w:val="246C2F59"/>
    <w:rsid w:val="24705A60"/>
    <w:rsid w:val="24735D79"/>
    <w:rsid w:val="2475FB9D"/>
    <w:rsid w:val="2479E753"/>
    <w:rsid w:val="2479F961"/>
    <w:rsid w:val="247B7A60"/>
    <w:rsid w:val="2484893E"/>
    <w:rsid w:val="248CD274"/>
    <w:rsid w:val="248DCFD4"/>
    <w:rsid w:val="249269FC"/>
    <w:rsid w:val="2494F70C"/>
    <w:rsid w:val="24997527"/>
    <w:rsid w:val="249BA3E0"/>
    <w:rsid w:val="24A01D88"/>
    <w:rsid w:val="24A03C17"/>
    <w:rsid w:val="24A0D510"/>
    <w:rsid w:val="24A1ACBA"/>
    <w:rsid w:val="24A4CDCB"/>
    <w:rsid w:val="24A8726E"/>
    <w:rsid w:val="24ADDA05"/>
    <w:rsid w:val="24BACA92"/>
    <w:rsid w:val="24BCD8AC"/>
    <w:rsid w:val="24C215E4"/>
    <w:rsid w:val="24CA2E64"/>
    <w:rsid w:val="24D20A21"/>
    <w:rsid w:val="24D2198E"/>
    <w:rsid w:val="24D3AB57"/>
    <w:rsid w:val="24D5A14A"/>
    <w:rsid w:val="24D7A1A3"/>
    <w:rsid w:val="24D8DE20"/>
    <w:rsid w:val="24DCAEB0"/>
    <w:rsid w:val="24DCF670"/>
    <w:rsid w:val="24DEB15F"/>
    <w:rsid w:val="24DF88F8"/>
    <w:rsid w:val="24E08DE7"/>
    <w:rsid w:val="24E22078"/>
    <w:rsid w:val="24E283BC"/>
    <w:rsid w:val="24E39F47"/>
    <w:rsid w:val="24EA35C3"/>
    <w:rsid w:val="24EF25A0"/>
    <w:rsid w:val="24F97D35"/>
    <w:rsid w:val="24FB93FF"/>
    <w:rsid w:val="24FDE756"/>
    <w:rsid w:val="24FED007"/>
    <w:rsid w:val="25030AF0"/>
    <w:rsid w:val="2505E024"/>
    <w:rsid w:val="250AE0CE"/>
    <w:rsid w:val="250B4082"/>
    <w:rsid w:val="250BBFB5"/>
    <w:rsid w:val="250D57CA"/>
    <w:rsid w:val="250E8615"/>
    <w:rsid w:val="2511CDF1"/>
    <w:rsid w:val="2511E316"/>
    <w:rsid w:val="25142945"/>
    <w:rsid w:val="2514DE29"/>
    <w:rsid w:val="25150A7A"/>
    <w:rsid w:val="25191BE6"/>
    <w:rsid w:val="251C2DC9"/>
    <w:rsid w:val="251CC8D2"/>
    <w:rsid w:val="25237171"/>
    <w:rsid w:val="252552B2"/>
    <w:rsid w:val="25267E88"/>
    <w:rsid w:val="2528EDA9"/>
    <w:rsid w:val="252B7FF6"/>
    <w:rsid w:val="252D191C"/>
    <w:rsid w:val="252FD963"/>
    <w:rsid w:val="25307BC7"/>
    <w:rsid w:val="2530E345"/>
    <w:rsid w:val="2534BDFA"/>
    <w:rsid w:val="2535C9C7"/>
    <w:rsid w:val="25362CB4"/>
    <w:rsid w:val="2536BE08"/>
    <w:rsid w:val="253969B4"/>
    <w:rsid w:val="253AF9CD"/>
    <w:rsid w:val="253C0C36"/>
    <w:rsid w:val="253C9880"/>
    <w:rsid w:val="253E7FAA"/>
    <w:rsid w:val="253F97A9"/>
    <w:rsid w:val="2540CC2C"/>
    <w:rsid w:val="2543844F"/>
    <w:rsid w:val="2545D435"/>
    <w:rsid w:val="2548B4CC"/>
    <w:rsid w:val="254D7464"/>
    <w:rsid w:val="2553848E"/>
    <w:rsid w:val="25538E9E"/>
    <w:rsid w:val="255D8D92"/>
    <w:rsid w:val="255FABF4"/>
    <w:rsid w:val="25635C54"/>
    <w:rsid w:val="25640147"/>
    <w:rsid w:val="256C1A12"/>
    <w:rsid w:val="25794F79"/>
    <w:rsid w:val="257AEE83"/>
    <w:rsid w:val="257B0A14"/>
    <w:rsid w:val="2581B077"/>
    <w:rsid w:val="2582FBB9"/>
    <w:rsid w:val="2586E4B9"/>
    <w:rsid w:val="2590F4A2"/>
    <w:rsid w:val="259176BD"/>
    <w:rsid w:val="2594A358"/>
    <w:rsid w:val="2594B5B5"/>
    <w:rsid w:val="25958457"/>
    <w:rsid w:val="2595CB5F"/>
    <w:rsid w:val="259F32D6"/>
    <w:rsid w:val="25A14C10"/>
    <w:rsid w:val="25A57DFE"/>
    <w:rsid w:val="25A586B2"/>
    <w:rsid w:val="25A90272"/>
    <w:rsid w:val="25AEA587"/>
    <w:rsid w:val="25B0768E"/>
    <w:rsid w:val="25B381D9"/>
    <w:rsid w:val="25B5492B"/>
    <w:rsid w:val="25B76A0F"/>
    <w:rsid w:val="25B80038"/>
    <w:rsid w:val="25BB19EF"/>
    <w:rsid w:val="25BFFFC4"/>
    <w:rsid w:val="25C1912A"/>
    <w:rsid w:val="25C2AB11"/>
    <w:rsid w:val="25C2DF37"/>
    <w:rsid w:val="25C7238A"/>
    <w:rsid w:val="25CA1FB1"/>
    <w:rsid w:val="25CDAF49"/>
    <w:rsid w:val="25CEA55D"/>
    <w:rsid w:val="25D30094"/>
    <w:rsid w:val="25D635BB"/>
    <w:rsid w:val="25D71083"/>
    <w:rsid w:val="25D8C0A4"/>
    <w:rsid w:val="25D95EB2"/>
    <w:rsid w:val="25DF003C"/>
    <w:rsid w:val="25E155C1"/>
    <w:rsid w:val="25E689D5"/>
    <w:rsid w:val="25E9F741"/>
    <w:rsid w:val="25EAF94F"/>
    <w:rsid w:val="25ED1BA1"/>
    <w:rsid w:val="25F2D81E"/>
    <w:rsid w:val="25F365B5"/>
    <w:rsid w:val="25F5471A"/>
    <w:rsid w:val="25F84459"/>
    <w:rsid w:val="25FA87F8"/>
    <w:rsid w:val="25FBE3F5"/>
    <w:rsid w:val="26026E29"/>
    <w:rsid w:val="260534AD"/>
    <w:rsid w:val="260C4A90"/>
    <w:rsid w:val="26103333"/>
    <w:rsid w:val="2616A49D"/>
    <w:rsid w:val="26209566"/>
    <w:rsid w:val="2620D3E9"/>
    <w:rsid w:val="2622BE8A"/>
    <w:rsid w:val="262B12DF"/>
    <w:rsid w:val="262BA774"/>
    <w:rsid w:val="262BFDE3"/>
    <w:rsid w:val="262D0E94"/>
    <w:rsid w:val="262D9B09"/>
    <w:rsid w:val="262EB815"/>
    <w:rsid w:val="2632897A"/>
    <w:rsid w:val="26358779"/>
    <w:rsid w:val="2639F1BF"/>
    <w:rsid w:val="263CDAE5"/>
    <w:rsid w:val="263D761B"/>
    <w:rsid w:val="2640FBF4"/>
    <w:rsid w:val="264A1248"/>
    <w:rsid w:val="264FDA25"/>
    <w:rsid w:val="26504C4B"/>
    <w:rsid w:val="2653F8ED"/>
    <w:rsid w:val="2656AEF4"/>
    <w:rsid w:val="2657A8CE"/>
    <w:rsid w:val="265E6C8D"/>
    <w:rsid w:val="265F9470"/>
    <w:rsid w:val="26659364"/>
    <w:rsid w:val="26724B81"/>
    <w:rsid w:val="2678F99D"/>
    <w:rsid w:val="2679F940"/>
    <w:rsid w:val="268006CC"/>
    <w:rsid w:val="2681C487"/>
    <w:rsid w:val="268482EC"/>
    <w:rsid w:val="26868E7C"/>
    <w:rsid w:val="2687AA4F"/>
    <w:rsid w:val="268E3377"/>
    <w:rsid w:val="26918ADE"/>
    <w:rsid w:val="269192A3"/>
    <w:rsid w:val="26955748"/>
    <w:rsid w:val="2695705A"/>
    <w:rsid w:val="2699B7B7"/>
    <w:rsid w:val="269FCCE3"/>
    <w:rsid w:val="26A094B4"/>
    <w:rsid w:val="26A112A8"/>
    <w:rsid w:val="26A38416"/>
    <w:rsid w:val="26AA400A"/>
    <w:rsid w:val="26AA62E9"/>
    <w:rsid w:val="26AAFFDE"/>
    <w:rsid w:val="26AC8DF7"/>
    <w:rsid w:val="26AFFFBB"/>
    <w:rsid w:val="26B04FC6"/>
    <w:rsid w:val="26B2D3D7"/>
    <w:rsid w:val="26B5789C"/>
    <w:rsid w:val="26B61205"/>
    <w:rsid w:val="26B6F371"/>
    <w:rsid w:val="26B923C8"/>
    <w:rsid w:val="26C72987"/>
    <w:rsid w:val="26C77D9C"/>
    <w:rsid w:val="26CD392E"/>
    <w:rsid w:val="26D68D72"/>
    <w:rsid w:val="26DAB849"/>
    <w:rsid w:val="26DC1710"/>
    <w:rsid w:val="26E18386"/>
    <w:rsid w:val="26E746CB"/>
    <w:rsid w:val="26E804C9"/>
    <w:rsid w:val="26EA1246"/>
    <w:rsid w:val="26EE5BF7"/>
    <w:rsid w:val="26F4D99B"/>
    <w:rsid w:val="26F59477"/>
    <w:rsid w:val="26F7D3FC"/>
    <w:rsid w:val="26F9794F"/>
    <w:rsid w:val="26FB34DB"/>
    <w:rsid w:val="26FE0AD4"/>
    <w:rsid w:val="26FEE23D"/>
    <w:rsid w:val="270471D1"/>
    <w:rsid w:val="27072039"/>
    <w:rsid w:val="27090460"/>
    <w:rsid w:val="270A915F"/>
    <w:rsid w:val="270AB10B"/>
    <w:rsid w:val="27108CC9"/>
    <w:rsid w:val="27121204"/>
    <w:rsid w:val="2712E689"/>
    <w:rsid w:val="27147CE9"/>
    <w:rsid w:val="27166254"/>
    <w:rsid w:val="27186A61"/>
    <w:rsid w:val="27212474"/>
    <w:rsid w:val="272274CD"/>
    <w:rsid w:val="27244722"/>
    <w:rsid w:val="2726B36C"/>
    <w:rsid w:val="272B5496"/>
    <w:rsid w:val="272F2C29"/>
    <w:rsid w:val="27310A7B"/>
    <w:rsid w:val="27319BC6"/>
    <w:rsid w:val="2733EFF1"/>
    <w:rsid w:val="27350069"/>
    <w:rsid w:val="2738E5E8"/>
    <w:rsid w:val="273B53F0"/>
    <w:rsid w:val="273BE7FC"/>
    <w:rsid w:val="273C6CC7"/>
    <w:rsid w:val="273C9949"/>
    <w:rsid w:val="273D64BE"/>
    <w:rsid w:val="273E966F"/>
    <w:rsid w:val="2744D3D4"/>
    <w:rsid w:val="27486621"/>
    <w:rsid w:val="274A23C5"/>
    <w:rsid w:val="274CBE53"/>
    <w:rsid w:val="274DF638"/>
    <w:rsid w:val="274F08EF"/>
    <w:rsid w:val="274FE057"/>
    <w:rsid w:val="27510A89"/>
    <w:rsid w:val="2752BE18"/>
    <w:rsid w:val="2756C448"/>
    <w:rsid w:val="2757C501"/>
    <w:rsid w:val="275E1F2A"/>
    <w:rsid w:val="2760BB8A"/>
    <w:rsid w:val="27629427"/>
    <w:rsid w:val="2763BB4D"/>
    <w:rsid w:val="27657E27"/>
    <w:rsid w:val="27692B69"/>
    <w:rsid w:val="276DFC67"/>
    <w:rsid w:val="276F507C"/>
    <w:rsid w:val="2771D97A"/>
    <w:rsid w:val="27750CD0"/>
    <w:rsid w:val="277CF114"/>
    <w:rsid w:val="277F6B1F"/>
    <w:rsid w:val="27841EE5"/>
    <w:rsid w:val="27858BA8"/>
    <w:rsid w:val="2786B52F"/>
    <w:rsid w:val="278D3135"/>
    <w:rsid w:val="278D3570"/>
    <w:rsid w:val="278D502F"/>
    <w:rsid w:val="278F5879"/>
    <w:rsid w:val="27915881"/>
    <w:rsid w:val="27930296"/>
    <w:rsid w:val="279918CE"/>
    <w:rsid w:val="279969CB"/>
    <w:rsid w:val="279CE1E6"/>
    <w:rsid w:val="279D8DF7"/>
    <w:rsid w:val="279F4D99"/>
    <w:rsid w:val="27AF9FCC"/>
    <w:rsid w:val="27B344D1"/>
    <w:rsid w:val="27B473B0"/>
    <w:rsid w:val="27B6D35A"/>
    <w:rsid w:val="27B8B39F"/>
    <w:rsid w:val="27C04FEF"/>
    <w:rsid w:val="27C37C19"/>
    <w:rsid w:val="27C3A486"/>
    <w:rsid w:val="27C4DCD9"/>
    <w:rsid w:val="27CB32AF"/>
    <w:rsid w:val="27CCCAA8"/>
    <w:rsid w:val="27CE82DD"/>
    <w:rsid w:val="27D37A44"/>
    <w:rsid w:val="27D39A53"/>
    <w:rsid w:val="27D3E66A"/>
    <w:rsid w:val="27D4DA5B"/>
    <w:rsid w:val="27DDD698"/>
    <w:rsid w:val="27DE24A0"/>
    <w:rsid w:val="27E2963F"/>
    <w:rsid w:val="27E4FF34"/>
    <w:rsid w:val="27E59ED2"/>
    <w:rsid w:val="27EAF5CD"/>
    <w:rsid w:val="27EB7F5F"/>
    <w:rsid w:val="27EFFBE5"/>
    <w:rsid w:val="27F0C833"/>
    <w:rsid w:val="27F145E6"/>
    <w:rsid w:val="27F56AE5"/>
    <w:rsid w:val="27FFDDA0"/>
    <w:rsid w:val="28003A10"/>
    <w:rsid w:val="2804BE4D"/>
    <w:rsid w:val="28085A42"/>
    <w:rsid w:val="2809F1A5"/>
    <w:rsid w:val="280B9888"/>
    <w:rsid w:val="280D3ECA"/>
    <w:rsid w:val="280EC8D8"/>
    <w:rsid w:val="2810A103"/>
    <w:rsid w:val="2810B67E"/>
    <w:rsid w:val="281AC5C5"/>
    <w:rsid w:val="281CBD7D"/>
    <w:rsid w:val="281D2555"/>
    <w:rsid w:val="28214BF3"/>
    <w:rsid w:val="282280DD"/>
    <w:rsid w:val="28239EB2"/>
    <w:rsid w:val="2824DCD9"/>
    <w:rsid w:val="28257263"/>
    <w:rsid w:val="282705F8"/>
    <w:rsid w:val="28294CF6"/>
    <w:rsid w:val="282EA600"/>
    <w:rsid w:val="283767F5"/>
    <w:rsid w:val="2841E767"/>
    <w:rsid w:val="2843DE3B"/>
    <w:rsid w:val="2848CAF7"/>
    <w:rsid w:val="2849F7B5"/>
    <w:rsid w:val="284A200A"/>
    <w:rsid w:val="284E819B"/>
    <w:rsid w:val="2855081A"/>
    <w:rsid w:val="2856A71C"/>
    <w:rsid w:val="2858D2CD"/>
    <w:rsid w:val="285939A3"/>
    <w:rsid w:val="285A325E"/>
    <w:rsid w:val="285B2BF8"/>
    <w:rsid w:val="286B3C5B"/>
    <w:rsid w:val="2876FE37"/>
    <w:rsid w:val="28770592"/>
    <w:rsid w:val="28777D18"/>
    <w:rsid w:val="2877F252"/>
    <w:rsid w:val="2879AB68"/>
    <w:rsid w:val="287BFA75"/>
    <w:rsid w:val="287DF33D"/>
    <w:rsid w:val="287FB22B"/>
    <w:rsid w:val="28830326"/>
    <w:rsid w:val="28833403"/>
    <w:rsid w:val="288342D1"/>
    <w:rsid w:val="2889B9A0"/>
    <w:rsid w:val="2889BD69"/>
    <w:rsid w:val="288A5396"/>
    <w:rsid w:val="288F4621"/>
    <w:rsid w:val="289047F4"/>
    <w:rsid w:val="289278C4"/>
    <w:rsid w:val="289549B0"/>
    <w:rsid w:val="289D5B77"/>
    <w:rsid w:val="28A60165"/>
    <w:rsid w:val="28AAAF48"/>
    <w:rsid w:val="28AC0671"/>
    <w:rsid w:val="28AD19CB"/>
    <w:rsid w:val="28B04EB1"/>
    <w:rsid w:val="28B0F329"/>
    <w:rsid w:val="28B554E4"/>
    <w:rsid w:val="28BD5DEE"/>
    <w:rsid w:val="28BED601"/>
    <w:rsid w:val="28BF9EB3"/>
    <w:rsid w:val="28BFB1CA"/>
    <w:rsid w:val="28C00A7A"/>
    <w:rsid w:val="28C25B5F"/>
    <w:rsid w:val="28C27FFB"/>
    <w:rsid w:val="28D34602"/>
    <w:rsid w:val="28D3ED60"/>
    <w:rsid w:val="28D89D38"/>
    <w:rsid w:val="28DBCCF5"/>
    <w:rsid w:val="28DC5FD9"/>
    <w:rsid w:val="28DE526A"/>
    <w:rsid w:val="28DE794F"/>
    <w:rsid w:val="28DF2F2E"/>
    <w:rsid w:val="28E7ABCD"/>
    <w:rsid w:val="28F500BA"/>
    <w:rsid w:val="28F7CFB8"/>
    <w:rsid w:val="28F898F8"/>
    <w:rsid w:val="28F8DA82"/>
    <w:rsid w:val="28FD6527"/>
    <w:rsid w:val="2901E3F4"/>
    <w:rsid w:val="290479F6"/>
    <w:rsid w:val="29075407"/>
    <w:rsid w:val="290BD79E"/>
    <w:rsid w:val="290CDDFF"/>
    <w:rsid w:val="290D8C13"/>
    <w:rsid w:val="290DFA11"/>
    <w:rsid w:val="290E06E5"/>
    <w:rsid w:val="290F892D"/>
    <w:rsid w:val="29116A7E"/>
    <w:rsid w:val="2914B6D4"/>
    <w:rsid w:val="29165707"/>
    <w:rsid w:val="291A5697"/>
    <w:rsid w:val="291A6E66"/>
    <w:rsid w:val="291AD97C"/>
    <w:rsid w:val="291B26B6"/>
    <w:rsid w:val="291C829C"/>
    <w:rsid w:val="291D895A"/>
    <w:rsid w:val="291DBDA0"/>
    <w:rsid w:val="291F98C8"/>
    <w:rsid w:val="2922CAEA"/>
    <w:rsid w:val="2924D68A"/>
    <w:rsid w:val="29275EFD"/>
    <w:rsid w:val="292A22B6"/>
    <w:rsid w:val="292C350D"/>
    <w:rsid w:val="292D4198"/>
    <w:rsid w:val="2933138A"/>
    <w:rsid w:val="2934CE0A"/>
    <w:rsid w:val="29389B47"/>
    <w:rsid w:val="293AF82E"/>
    <w:rsid w:val="293BF764"/>
    <w:rsid w:val="293D7962"/>
    <w:rsid w:val="294031D2"/>
    <w:rsid w:val="294E4BE5"/>
    <w:rsid w:val="29503D8D"/>
    <w:rsid w:val="2954EE3D"/>
    <w:rsid w:val="295AA91C"/>
    <w:rsid w:val="29611B80"/>
    <w:rsid w:val="296455E4"/>
    <w:rsid w:val="2967963B"/>
    <w:rsid w:val="2967CD59"/>
    <w:rsid w:val="2968B96E"/>
    <w:rsid w:val="2976FDE4"/>
    <w:rsid w:val="2977E3EE"/>
    <w:rsid w:val="2979DE5D"/>
    <w:rsid w:val="2980EF22"/>
    <w:rsid w:val="29826ACF"/>
    <w:rsid w:val="2985F6C3"/>
    <w:rsid w:val="2988B38D"/>
    <w:rsid w:val="29891C1A"/>
    <w:rsid w:val="298AC039"/>
    <w:rsid w:val="298B8C3F"/>
    <w:rsid w:val="298C3DFF"/>
    <w:rsid w:val="298EFCD4"/>
    <w:rsid w:val="2990D19D"/>
    <w:rsid w:val="2991397B"/>
    <w:rsid w:val="2991CC7A"/>
    <w:rsid w:val="2994AC0D"/>
    <w:rsid w:val="299E66A6"/>
    <w:rsid w:val="29A66890"/>
    <w:rsid w:val="29A6967F"/>
    <w:rsid w:val="29AB12B6"/>
    <w:rsid w:val="29AB3053"/>
    <w:rsid w:val="29AC1970"/>
    <w:rsid w:val="29AC22CF"/>
    <w:rsid w:val="29B8444C"/>
    <w:rsid w:val="29BC27D5"/>
    <w:rsid w:val="29BE3729"/>
    <w:rsid w:val="29C73FE8"/>
    <w:rsid w:val="29C9FF09"/>
    <w:rsid w:val="29CA00F5"/>
    <w:rsid w:val="29CA515F"/>
    <w:rsid w:val="29D7AA3F"/>
    <w:rsid w:val="29DA668E"/>
    <w:rsid w:val="29DEF871"/>
    <w:rsid w:val="29DF9D38"/>
    <w:rsid w:val="29DFA3A9"/>
    <w:rsid w:val="29DFA896"/>
    <w:rsid w:val="29E30A8C"/>
    <w:rsid w:val="29E3CB89"/>
    <w:rsid w:val="29E5BE87"/>
    <w:rsid w:val="29EA757F"/>
    <w:rsid w:val="29EB90AE"/>
    <w:rsid w:val="29F12547"/>
    <w:rsid w:val="29F1AE4C"/>
    <w:rsid w:val="29F4F0B8"/>
    <w:rsid w:val="29F69D61"/>
    <w:rsid w:val="29F8165E"/>
    <w:rsid w:val="29F99FBD"/>
    <w:rsid w:val="29FCDE14"/>
    <w:rsid w:val="2A031216"/>
    <w:rsid w:val="2A04B500"/>
    <w:rsid w:val="2A05E791"/>
    <w:rsid w:val="2A0C27B4"/>
    <w:rsid w:val="2A10370A"/>
    <w:rsid w:val="2A1335C7"/>
    <w:rsid w:val="2A18B31D"/>
    <w:rsid w:val="2A1D66A8"/>
    <w:rsid w:val="2A1EF6F9"/>
    <w:rsid w:val="2A1FD59B"/>
    <w:rsid w:val="2A26CAC3"/>
    <w:rsid w:val="2A26F113"/>
    <w:rsid w:val="2A299DD1"/>
    <w:rsid w:val="2A33C047"/>
    <w:rsid w:val="2A34C591"/>
    <w:rsid w:val="2A384032"/>
    <w:rsid w:val="2A3BF255"/>
    <w:rsid w:val="2A44D521"/>
    <w:rsid w:val="2A487438"/>
    <w:rsid w:val="2A4C8F7C"/>
    <w:rsid w:val="2A4C9BF4"/>
    <w:rsid w:val="2A4F8A11"/>
    <w:rsid w:val="2A504B18"/>
    <w:rsid w:val="2A50E121"/>
    <w:rsid w:val="2A56051C"/>
    <w:rsid w:val="2A5795FC"/>
    <w:rsid w:val="2A580CE8"/>
    <w:rsid w:val="2A58716F"/>
    <w:rsid w:val="2A59B7D6"/>
    <w:rsid w:val="2A5F242E"/>
    <w:rsid w:val="2A61BB3E"/>
    <w:rsid w:val="2A626577"/>
    <w:rsid w:val="2A63FA1E"/>
    <w:rsid w:val="2A64311C"/>
    <w:rsid w:val="2A66860A"/>
    <w:rsid w:val="2A6CDABA"/>
    <w:rsid w:val="2A6D10C6"/>
    <w:rsid w:val="2A722FBB"/>
    <w:rsid w:val="2A784C70"/>
    <w:rsid w:val="2A78F49A"/>
    <w:rsid w:val="2A7AC53F"/>
    <w:rsid w:val="2A7B64AC"/>
    <w:rsid w:val="2A7CD59C"/>
    <w:rsid w:val="2A8172F0"/>
    <w:rsid w:val="2A8BB4FC"/>
    <w:rsid w:val="2A902DCA"/>
    <w:rsid w:val="2A9310EF"/>
    <w:rsid w:val="2A95024D"/>
    <w:rsid w:val="2A97CE09"/>
    <w:rsid w:val="2A9B9129"/>
    <w:rsid w:val="2A9EB097"/>
    <w:rsid w:val="2A9F86CA"/>
    <w:rsid w:val="2A9FC6CD"/>
    <w:rsid w:val="2AA04278"/>
    <w:rsid w:val="2AA5A5F4"/>
    <w:rsid w:val="2AA5DC27"/>
    <w:rsid w:val="2AAC297A"/>
    <w:rsid w:val="2AAD5580"/>
    <w:rsid w:val="2AB0B469"/>
    <w:rsid w:val="2AB1C77B"/>
    <w:rsid w:val="2AB48100"/>
    <w:rsid w:val="2AB48658"/>
    <w:rsid w:val="2ABDA560"/>
    <w:rsid w:val="2ABE0C26"/>
    <w:rsid w:val="2ABF2302"/>
    <w:rsid w:val="2ABF7BD9"/>
    <w:rsid w:val="2AC1C815"/>
    <w:rsid w:val="2AC65F1F"/>
    <w:rsid w:val="2AD15975"/>
    <w:rsid w:val="2AD288EE"/>
    <w:rsid w:val="2AD8F8D7"/>
    <w:rsid w:val="2AD93BF3"/>
    <w:rsid w:val="2ADB79E8"/>
    <w:rsid w:val="2ADFF2A1"/>
    <w:rsid w:val="2AE18F18"/>
    <w:rsid w:val="2AE2DC07"/>
    <w:rsid w:val="2AE49186"/>
    <w:rsid w:val="2AE5BB8D"/>
    <w:rsid w:val="2AE5D1B8"/>
    <w:rsid w:val="2AE7CAA1"/>
    <w:rsid w:val="2AEB7AEE"/>
    <w:rsid w:val="2AEC14CA"/>
    <w:rsid w:val="2AEC9CA5"/>
    <w:rsid w:val="2AF02380"/>
    <w:rsid w:val="2AF68001"/>
    <w:rsid w:val="2AF793BB"/>
    <w:rsid w:val="2B048701"/>
    <w:rsid w:val="2B0C96C4"/>
    <w:rsid w:val="2B0DCC14"/>
    <w:rsid w:val="2B0F479F"/>
    <w:rsid w:val="2B1318C3"/>
    <w:rsid w:val="2B13D5B0"/>
    <w:rsid w:val="2B15823E"/>
    <w:rsid w:val="2B174311"/>
    <w:rsid w:val="2B183694"/>
    <w:rsid w:val="2B1863F5"/>
    <w:rsid w:val="2B1A8E0D"/>
    <w:rsid w:val="2B239EC0"/>
    <w:rsid w:val="2B255CA9"/>
    <w:rsid w:val="2B2B4211"/>
    <w:rsid w:val="2B2D121C"/>
    <w:rsid w:val="2B2DD525"/>
    <w:rsid w:val="2B3DFE8D"/>
    <w:rsid w:val="2B48DDC3"/>
    <w:rsid w:val="2B4AF978"/>
    <w:rsid w:val="2B4CD23E"/>
    <w:rsid w:val="2B55704B"/>
    <w:rsid w:val="2B5795ED"/>
    <w:rsid w:val="2B58EA0A"/>
    <w:rsid w:val="2B592FB5"/>
    <w:rsid w:val="2B5B8784"/>
    <w:rsid w:val="2B616DB7"/>
    <w:rsid w:val="2B62886C"/>
    <w:rsid w:val="2B62C9C6"/>
    <w:rsid w:val="2B63F3EE"/>
    <w:rsid w:val="2B678F18"/>
    <w:rsid w:val="2B69D346"/>
    <w:rsid w:val="2B708D07"/>
    <w:rsid w:val="2B74BF7D"/>
    <w:rsid w:val="2B774600"/>
    <w:rsid w:val="2B7919B3"/>
    <w:rsid w:val="2B7A1C50"/>
    <w:rsid w:val="2B803328"/>
    <w:rsid w:val="2B805D2D"/>
    <w:rsid w:val="2B866ED3"/>
    <w:rsid w:val="2B8C70FB"/>
    <w:rsid w:val="2B8CD3EB"/>
    <w:rsid w:val="2B9CF461"/>
    <w:rsid w:val="2B9CF780"/>
    <w:rsid w:val="2B9EAA33"/>
    <w:rsid w:val="2BA08561"/>
    <w:rsid w:val="2BB05895"/>
    <w:rsid w:val="2BB190FC"/>
    <w:rsid w:val="2BB4E578"/>
    <w:rsid w:val="2BB94ACE"/>
    <w:rsid w:val="2BBBA361"/>
    <w:rsid w:val="2BBC7462"/>
    <w:rsid w:val="2BCAF8B2"/>
    <w:rsid w:val="2BCCEA72"/>
    <w:rsid w:val="2BCD13A4"/>
    <w:rsid w:val="2BD2AAE5"/>
    <w:rsid w:val="2BD7C8E4"/>
    <w:rsid w:val="2BE423C4"/>
    <w:rsid w:val="2BE63ED7"/>
    <w:rsid w:val="2BEC8D7F"/>
    <w:rsid w:val="2BF020A3"/>
    <w:rsid w:val="2BF08C7A"/>
    <w:rsid w:val="2BF44BB4"/>
    <w:rsid w:val="2BF4A599"/>
    <w:rsid w:val="2BFB74E8"/>
    <w:rsid w:val="2BFBC437"/>
    <w:rsid w:val="2C076A06"/>
    <w:rsid w:val="2C0842AA"/>
    <w:rsid w:val="2C0AD4D5"/>
    <w:rsid w:val="2C105B5F"/>
    <w:rsid w:val="2C17C521"/>
    <w:rsid w:val="2C188E48"/>
    <w:rsid w:val="2C1A111F"/>
    <w:rsid w:val="2C1D1ABC"/>
    <w:rsid w:val="2C208971"/>
    <w:rsid w:val="2C24AF4C"/>
    <w:rsid w:val="2C258EDE"/>
    <w:rsid w:val="2C2741E9"/>
    <w:rsid w:val="2C2AB888"/>
    <w:rsid w:val="2C2C8FC0"/>
    <w:rsid w:val="2C2F6EB9"/>
    <w:rsid w:val="2C2F7C80"/>
    <w:rsid w:val="2C34AB98"/>
    <w:rsid w:val="2C36C70E"/>
    <w:rsid w:val="2C3805C5"/>
    <w:rsid w:val="2C3A1569"/>
    <w:rsid w:val="2C3B8458"/>
    <w:rsid w:val="2C3BCDAB"/>
    <w:rsid w:val="2C403690"/>
    <w:rsid w:val="2C43F04D"/>
    <w:rsid w:val="2C4578EB"/>
    <w:rsid w:val="2C470DDC"/>
    <w:rsid w:val="2C4BC497"/>
    <w:rsid w:val="2C4BD454"/>
    <w:rsid w:val="2C4D7812"/>
    <w:rsid w:val="2C4DD763"/>
    <w:rsid w:val="2C543A69"/>
    <w:rsid w:val="2C577D47"/>
    <w:rsid w:val="2C58EAD9"/>
    <w:rsid w:val="2C5B67CB"/>
    <w:rsid w:val="2C5D147D"/>
    <w:rsid w:val="2C61B737"/>
    <w:rsid w:val="2C625932"/>
    <w:rsid w:val="2C631E7F"/>
    <w:rsid w:val="2C6368A4"/>
    <w:rsid w:val="2C65E89B"/>
    <w:rsid w:val="2C6A0609"/>
    <w:rsid w:val="2C6C35C1"/>
    <w:rsid w:val="2C6CF384"/>
    <w:rsid w:val="2C760706"/>
    <w:rsid w:val="2C7813B0"/>
    <w:rsid w:val="2C79B16A"/>
    <w:rsid w:val="2C7AC429"/>
    <w:rsid w:val="2C7BF09D"/>
    <w:rsid w:val="2C806EDD"/>
    <w:rsid w:val="2C8BF47D"/>
    <w:rsid w:val="2C9652A0"/>
    <w:rsid w:val="2C9ABCCC"/>
    <w:rsid w:val="2C9CBBD4"/>
    <w:rsid w:val="2CA05A30"/>
    <w:rsid w:val="2CA1DD94"/>
    <w:rsid w:val="2CA21906"/>
    <w:rsid w:val="2CA35A27"/>
    <w:rsid w:val="2CA5A0E5"/>
    <w:rsid w:val="2CAECCA2"/>
    <w:rsid w:val="2CAF0ECC"/>
    <w:rsid w:val="2CB27A38"/>
    <w:rsid w:val="2CB91AD3"/>
    <w:rsid w:val="2CBD6820"/>
    <w:rsid w:val="2CC3290E"/>
    <w:rsid w:val="2CC4A0DE"/>
    <w:rsid w:val="2CC4D558"/>
    <w:rsid w:val="2CCC2823"/>
    <w:rsid w:val="2CCC79FC"/>
    <w:rsid w:val="2CCFCF18"/>
    <w:rsid w:val="2CD197AA"/>
    <w:rsid w:val="2CD55A29"/>
    <w:rsid w:val="2CDCBC74"/>
    <w:rsid w:val="2CE37A77"/>
    <w:rsid w:val="2CE75AD5"/>
    <w:rsid w:val="2CE9E91A"/>
    <w:rsid w:val="2CEBF5EE"/>
    <w:rsid w:val="2CECF21E"/>
    <w:rsid w:val="2CED0DED"/>
    <w:rsid w:val="2CF0758E"/>
    <w:rsid w:val="2CF6EC80"/>
    <w:rsid w:val="2CFBA36B"/>
    <w:rsid w:val="2CFD420D"/>
    <w:rsid w:val="2D089E1D"/>
    <w:rsid w:val="2D08C974"/>
    <w:rsid w:val="2D09101C"/>
    <w:rsid w:val="2D0B77C8"/>
    <w:rsid w:val="2D0BFDCE"/>
    <w:rsid w:val="2D1571C3"/>
    <w:rsid w:val="2D1A9952"/>
    <w:rsid w:val="2D1E733F"/>
    <w:rsid w:val="2D1FBA59"/>
    <w:rsid w:val="2D210746"/>
    <w:rsid w:val="2D2139AD"/>
    <w:rsid w:val="2D26DB0B"/>
    <w:rsid w:val="2D2A396A"/>
    <w:rsid w:val="2D2D660C"/>
    <w:rsid w:val="2D2E236E"/>
    <w:rsid w:val="2D303AA0"/>
    <w:rsid w:val="2D30F0D3"/>
    <w:rsid w:val="2D33E369"/>
    <w:rsid w:val="2D360F75"/>
    <w:rsid w:val="2D41E4A4"/>
    <w:rsid w:val="2D46A5AF"/>
    <w:rsid w:val="2D475865"/>
    <w:rsid w:val="2D4B6EBF"/>
    <w:rsid w:val="2D4D7B31"/>
    <w:rsid w:val="2D4E6A64"/>
    <w:rsid w:val="2D50A7FF"/>
    <w:rsid w:val="2D54E41C"/>
    <w:rsid w:val="2D55ED5E"/>
    <w:rsid w:val="2D5DC473"/>
    <w:rsid w:val="2D602D9E"/>
    <w:rsid w:val="2D647281"/>
    <w:rsid w:val="2D654BFE"/>
    <w:rsid w:val="2D6CC6BC"/>
    <w:rsid w:val="2D6E268F"/>
    <w:rsid w:val="2D6E499A"/>
    <w:rsid w:val="2D6EB841"/>
    <w:rsid w:val="2D712ADC"/>
    <w:rsid w:val="2D71C647"/>
    <w:rsid w:val="2D71EADD"/>
    <w:rsid w:val="2D740484"/>
    <w:rsid w:val="2D754CDD"/>
    <w:rsid w:val="2D76A3FA"/>
    <w:rsid w:val="2D781F3B"/>
    <w:rsid w:val="2D7CA3F0"/>
    <w:rsid w:val="2D7E6A22"/>
    <w:rsid w:val="2D86FC64"/>
    <w:rsid w:val="2D8739BD"/>
    <w:rsid w:val="2D884F2B"/>
    <w:rsid w:val="2D90E6CB"/>
    <w:rsid w:val="2D9257B1"/>
    <w:rsid w:val="2D934D49"/>
    <w:rsid w:val="2D93BDBC"/>
    <w:rsid w:val="2D99F569"/>
    <w:rsid w:val="2D9C392E"/>
    <w:rsid w:val="2D9EB8C7"/>
    <w:rsid w:val="2DA36F91"/>
    <w:rsid w:val="2DA3F332"/>
    <w:rsid w:val="2DA5432A"/>
    <w:rsid w:val="2DA5A176"/>
    <w:rsid w:val="2DA5B7A2"/>
    <w:rsid w:val="2DA84365"/>
    <w:rsid w:val="2DA8EB9F"/>
    <w:rsid w:val="2DABF3B0"/>
    <w:rsid w:val="2DAD1EE0"/>
    <w:rsid w:val="2DB4C1B3"/>
    <w:rsid w:val="2DB76598"/>
    <w:rsid w:val="2DBAA6CB"/>
    <w:rsid w:val="2DBC38FC"/>
    <w:rsid w:val="2DC2DA59"/>
    <w:rsid w:val="2DC3121B"/>
    <w:rsid w:val="2DC617FC"/>
    <w:rsid w:val="2DC80F54"/>
    <w:rsid w:val="2DC927B0"/>
    <w:rsid w:val="2DCAFFCA"/>
    <w:rsid w:val="2DCEEC13"/>
    <w:rsid w:val="2DD0C3AA"/>
    <w:rsid w:val="2DD2CC2C"/>
    <w:rsid w:val="2DD4CA09"/>
    <w:rsid w:val="2DE66A25"/>
    <w:rsid w:val="2DE67765"/>
    <w:rsid w:val="2DF28674"/>
    <w:rsid w:val="2DF62D77"/>
    <w:rsid w:val="2DFB5990"/>
    <w:rsid w:val="2DFB5AB3"/>
    <w:rsid w:val="2DFBE071"/>
    <w:rsid w:val="2DFE0242"/>
    <w:rsid w:val="2DFF5833"/>
    <w:rsid w:val="2E0345E1"/>
    <w:rsid w:val="2E08F846"/>
    <w:rsid w:val="2E11B117"/>
    <w:rsid w:val="2E16EFB5"/>
    <w:rsid w:val="2E1C5A6B"/>
    <w:rsid w:val="2E24DA4E"/>
    <w:rsid w:val="2E276C06"/>
    <w:rsid w:val="2E2B31A8"/>
    <w:rsid w:val="2E2E2DA6"/>
    <w:rsid w:val="2E33D9A1"/>
    <w:rsid w:val="2E3565F6"/>
    <w:rsid w:val="2E394C3B"/>
    <w:rsid w:val="2E3F1AFC"/>
    <w:rsid w:val="2E41CD5E"/>
    <w:rsid w:val="2E441E70"/>
    <w:rsid w:val="2E44E7E4"/>
    <w:rsid w:val="2E45B913"/>
    <w:rsid w:val="2E45E551"/>
    <w:rsid w:val="2E479BB0"/>
    <w:rsid w:val="2E515D6B"/>
    <w:rsid w:val="2E61D19A"/>
    <w:rsid w:val="2E67E36C"/>
    <w:rsid w:val="2E68D819"/>
    <w:rsid w:val="2E6AAC5E"/>
    <w:rsid w:val="2E6EE261"/>
    <w:rsid w:val="2E705071"/>
    <w:rsid w:val="2E709351"/>
    <w:rsid w:val="2E722827"/>
    <w:rsid w:val="2E76C292"/>
    <w:rsid w:val="2E78C9B8"/>
    <w:rsid w:val="2E791A58"/>
    <w:rsid w:val="2E7F0FE4"/>
    <w:rsid w:val="2E80FE83"/>
    <w:rsid w:val="2E82A914"/>
    <w:rsid w:val="2E84AF39"/>
    <w:rsid w:val="2E8B617A"/>
    <w:rsid w:val="2E903870"/>
    <w:rsid w:val="2E96BAA1"/>
    <w:rsid w:val="2E99A193"/>
    <w:rsid w:val="2E9B6448"/>
    <w:rsid w:val="2EA074E6"/>
    <w:rsid w:val="2EA16D2A"/>
    <w:rsid w:val="2EA1BBCB"/>
    <w:rsid w:val="2EA3D777"/>
    <w:rsid w:val="2EA58D0A"/>
    <w:rsid w:val="2EA8CE41"/>
    <w:rsid w:val="2EAB4D81"/>
    <w:rsid w:val="2EADA551"/>
    <w:rsid w:val="2EB1056A"/>
    <w:rsid w:val="2EB145DB"/>
    <w:rsid w:val="2EB1579F"/>
    <w:rsid w:val="2EB2EC2F"/>
    <w:rsid w:val="2EB371A4"/>
    <w:rsid w:val="2EB517C4"/>
    <w:rsid w:val="2EB9753B"/>
    <w:rsid w:val="2EBA4C97"/>
    <w:rsid w:val="2EC22B5B"/>
    <w:rsid w:val="2EC268ED"/>
    <w:rsid w:val="2EC2AB0A"/>
    <w:rsid w:val="2EC5B08B"/>
    <w:rsid w:val="2EC8BE43"/>
    <w:rsid w:val="2EC9C332"/>
    <w:rsid w:val="2ED54A22"/>
    <w:rsid w:val="2ED665A6"/>
    <w:rsid w:val="2ED7918F"/>
    <w:rsid w:val="2EDC1E59"/>
    <w:rsid w:val="2EDD519A"/>
    <w:rsid w:val="2EE2A8E1"/>
    <w:rsid w:val="2EE2D903"/>
    <w:rsid w:val="2EE3F00F"/>
    <w:rsid w:val="2EE4C485"/>
    <w:rsid w:val="2EE5990B"/>
    <w:rsid w:val="2EE7235C"/>
    <w:rsid w:val="2EE8295D"/>
    <w:rsid w:val="2EE973A2"/>
    <w:rsid w:val="2EEECF94"/>
    <w:rsid w:val="2EEF6473"/>
    <w:rsid w:val="2EF6B42E"/>
    <w:rsid w:val="2EF6F884"/>
    <w:rsid w:val="2EFAB189"/>
    <w:rsid w:val="2EFFFACE"/>
    <w:rsid w:val="2F02AD6E"/>
    <w:rsid w:val="2F049BE9"/>
    <w:rsid w:val="2F140EBA"/>
    <w:rsid w:val="2F2051E8"/>
    <w:rsid w:val="2F205805"/>
    <w:rsid w:val="2F20E58F"/>
    <w:rsid w:val="2F35CA58"/>
    <w:rsid w:val="2F3C503D"/>
    <w:rsid w:val="2F432116"/>
    <w:rsid w:val="2F48789B"/>
    <w:rsid w:val="2F4936FE"/>
    <w:rsid w:val="2F4C8A50"/>
    <w:rsid w:val="2F53B53D"/>
    <w:rsid w:val="2F547DCB"/>
    <w:rsid w:val="2F56F2F7"/>
    <w:rsid w:val="2F57AAFA"/>
    <w:rsid w:val="2F5AD30C"/>
    <w:rsid w:val="2F5D99DA"/>
    <w:rsid w:val="2F612034"/>
    <w:rsid w:val="2F62594A"/>
    <w:rsid w:val="2F643082"/>
    <w:rsid w:val="2F6568DA"/>
    <w:rsid w:val="2F662123"/>
    <w:rsid w:val="2F6674CA"/>
    <w:rsid w:val="2F6C67D3"/>
    <w:rsid w:val="2F6C83A2"/>
    <w:rsid w:val="2F70DBF3"/>
    <w:rsid w:val="2F72C61A"/>
    <w:rsid w:val="2F7AF627"/>
    <w:rsid w:val="2F7B0514"/>
    <w:rsid w:val="2F7BADCE"/>
    <w:rsid w:val="2F7CBB82"/>
    <w:rsid w:val="2F83767A"/>
    <w:rsid w:val="2F83D0CF"/>
    <w:rsid w:val="2F840A9F"/>
    <w:rsid w:val="2F876110"/>
    <w:rsid w:val="2F8965AE"/>
    <w:rsid w:val="2F94B16B"/>
    <w:rsid w:val="2F9A9DA6"/>
    <w:rsid w:val="2F9C831C"/>
    <w:rsid w:val="2F9F7215"/>
    <w:rsid w:val="2FA28D55"/>
    <w:rsid w:val="2FAD61C6"/>
    <w:rsid w:val="2FADA4AE"/>
    <w:rsid w:val="2FAE0D2B"/>
    <w:rsid w:val="2FAE5190"/>
    <w:rsid w:val="2FB2C326"/>
    <w:rsid w:val="2FBB014A"/>
    <w:rsid w:val="2FBDE048"/>
    <w:rsid w:val="2FC06536"/>
    <w:rsid w:val="2FC08BC7"/>
    <w:rsid w:val="2FC93630"/>
    <w:rsid w:val="2FC94024"/>
    <w:rsid w:val="2FCB04DF"/>
    <w:rsid w:val="2FCD7833"/>
    <w:rsid w:val="2FCE8B8A"/>
    <w:rsid w:val="2FD10A09"/>
    <w:rsid w:val="2FD1375D"/>
    <w:rsid w:val="2FD4177D"/>
    <w:rsid w:val="2FD65E69"/>
    <w:rsid w:val="2FD85FC5"/>
    <w:rsid w:val="2FDA0200"/>
    <w:rsid w:val="2FDE8FE7"/>
    <w:rsid w:val="2FE1443F"/>
    <w:rsid w:val="2FE51422"/>
    <w:rsid w:val="2FED3FE6"/>
    <w:rsid w:val="2FEDF06B"/>
    <w:rsid w:val="2FF246FF"/>
    <w:rsid w:val="2FF38DE0"/>
    <w:rsid w:val="2FF4EA89"/>
    <w:rsid w:val="3000A17A"/>
    <w:rsid w:val="30015D30"/>
    <w:rsid w:val="300487F7"/>
    <w:rsid w:val="3004B7E7"/>
    <w:rsid w:val="30052B4E"/>
    <w:rsid w:val="300A1479"/>
    <w:rsid w:val="300B21CE"/>
    <w:rsid w:val="300D334A"/>
    <w:rsid w:val="301615AF"/>
    <w:rsid w:val="3019F9C4"/>
    <w:rsid w:val="301B86C0"/>
    <w:rsid w:val="301F12CD"/>
    <w:rsid w:val="30222F99"/>
    <w:rsid w:val="3023C76C"/>
    <w:rsid w:val="30282137"/>
    <w:rsid w:val="302ED5FB"/>
    <w:rsid w:val="3032AC17"/>
    <w:rsid w:val="303711FB"/>
    <w:rsid w:val="30372BCC"/>
    <w:rsid w:val="303A0570"/>
    <w:rsid w:val="304437D9"/>
    <w:rsid w:val="3044EC2B"/>
    <w:rsid w:val="3044FB02"/>
    <w:rsid w:val="304715A2"/>
    <w:rsid w:val="30493CC1"/>
    <w:rsid w:val="3049A8E8"/>
    <w:rsid w:val="304A19DF"/>
    <w:rsid w:val="305085E1"/>
    <w:rsid w:val="3052DD7E"/>
    <w:rsid w:val="30531929"/>
    <w:rsid w:val="305498B0"/>
    <w:rsid w:val="3055CC96"/>
    <w:rsid w:val="30599B99"/>
    <w:rsid w:val="305B0A50"/>
    <w:rsid w:val="305D1169"/>
    <w:rsid w:val="305D7F85"/>
    <w:rsid w:val="30656760"/>
    <w:rsid w:val="30673739"/>
    <w:rsid w:val="306A19EF"/>
    <w:rsid w:val="306A6220"/>
    <w:rsid w:val="306EB63C"/>
    <w:rsid w:val="3072DB76"/>
    <w:rsid w:val="30740215"/>
    <w:rsid w:val="3076B5D6"/>
    <w:rsid w:val="307D9926"/>
    <w:rsid w:val="307E4671"/>
    <w:rsid w:val="30809CB1"/>
    <w:rsid w:val="3082C645"/>
    <w:rsid w:val="3089D5E1"/>
    <w:rsid w:val="308A4119"/>
    <w:rsid w:val="3094A4ED"/>
    <w:rsid w:val="309B5BA4"/>
    <w:rsid w:val="309DCC5C"/>
    <w:rsid w:val="30A1C387"/>
    <w:rsid w:val="30A59BE2"/>
    <w:rsid w:val="30A8A2B4"/>
    <w:rsid w:val="30A9499C"/>
    <w:rsid w:val="30A953A7"/>
    <w:rsid w:val="30A99521"/>
    <w:rsid w:val="30ACC661"/>
    <w:rsid w:val="30B1C84A"/>
    <w:rsid w:val="30B460B7"/>
    <w:rsid w:val="30B96EBA"/>
    <w:rsid w:val="30B99013"/>
    <w:rsid w:val="30BC5991"/>
    <w:rsid w:val="30BD5556"/>
    <w:rsid w:val="30BD8027"/>
    <w:rsid w:val="30BE66C1"/>
    <w:rsid w:val="30C1C50A"/>
    <w:rsid w:val="30C1E13D"/>
    <w:rsid w:val="30CF5DD9"/>
    <w:rsid w:val="30D3AD84"/>
    <w:rsid w:val="30D69675"/>
    <w:rsid w:val="30D6B3AA"/>
    <w:rsid w:val="30D963F5"/>
    <w:rsid w:val="30D99AFE"/>
    <w:rsid w:val="30D9CC2C"/>
    <w:rsid w:val="30DE8DD8"/>
    <w:rsid w:val="30E0C953"/>
    <w:rsid w:val="30E34F9F"/>
    <w:rsid w:val="30E4063B"/>
    <w:rsid w:val="30E75077"/>
    <w:rsid w:val="30E98F50"/>
    <w:rsid w:val="30E9D1FE"/>
    <w:rsid w:val="30EF759B"/>
    <w:rsid w:val="30F047D8"/>
    <w:rsid w:val="30F078C1"/>
    <w:rsid w:val="30FB7E18"/>
    <w:rsid w:val="3103F7DD"/>
    <w:rsid w:val="3107DB43"/>
    <w:rsid w:val="3109B056"/>
    <w:rsid w:val="310BD788"/>
    <w:rsid w:val="3112699B"/>
    <w:rsid w:val="31173624"/>
    <w:rsid w:val="311C61AB"/>
    <w:rsid w:val="311CAF87"/>
    <w:rsid w:val="3121CA56"/>
    <w:rsid w:val="3124D921"/>
    <w:rsid w:val="3129691B"/>
    <w:rsid w:val="312ACFA4"/>
    <w:rsid w:val="312CE1B8"/>
    <w:rsid w:val="31326F1F"/>
    <w:rsid w:val="3135F9CD"/>
    <w:rsid w:val="3136C416"/>
    <w:rsid w:val="313ACAD6"/>
    <w:rsid w:val="313EE9D7"/>
    <w:rsid w:val="31450158"/>
    <w:rsid w:val="3155A761"/>
    <w:rsid w:val="31593F89"/>
    <w:rsid w:val="3162259C"/>
    <w:rsid w:val="3162FB5E"/>
    <w:rsid w:val="31649C45"/>
    <w:rsid w:val="316825FE"/>
    <w:rsid w:val="316955FA"/>
    <w:rsid w:val="316B782A"/>
    <w:rsid w:val="31702C4E"/>
    <w:rsid w:val="31712605"/>
    <w:rsid w:val="31728572"/>
    <w:rsid w:val="31741AE0"/>
    <w:rsid w:val="31777F36"/>
    <w:rsid w:val="3182EB7E"/>
    <w:rsid w:val="31842596"/>
    <w:rsid w:val="31860544"/>
    <w:rsid w:val="318BAC18"/>
    <w:rsid w:val="318CF1AC"/>
    <w:rsid w:val="31922BC1"/>
    <w:rsid w:val="31973EB8"/>
    <w:rsid w:val="3198BF8B"/>
    <w:rsid w:val="319BEB49"/>
    <w:rsid w:val="319E0471"/>
    <w:rsid w:val="319E59AA"/>
    <w:rsid w:val="31A23EEF"/>
    <w:rsid w:val="31AAAAAC"/>
    <w:rsid w:val="31AB7AC2"/>
    <w:rsid w:val="31AC59DE"/>
    <w:rsid w:val="31AE6772"/>
    <w:rsid w:val="31AF11B3"/>
    <w:rsid w:val="31B06C65"/>
    <w:rsid w:val="31B18114"/>
    <w:rsid w:val="31B67046"/>
    <w:rsid w:val="31C157B4"/>
    <w:rsid w:val="31C261F6"/>
    <w:rsid w:val="31C34C5B"/>
    <w:rsid w:val="31C7E7AA"/>
    <w:rsid w:val="31C96D71"/>
    <w:rsid w:val="31CA438E"/>
    <w:rsid w:val="31D60150"/>
    <w:rsid w:val="31D7AF2F"/>
    <w:rsid w:val="31E0AA59"/>
    <w:rsid w:val="31E1166D"/>
    <w:rsid w:val="31E704E3"/>
    <w:rsid w:val="31F0D06C"/>
    <w:rsid w:val="31F10B8E"/>
    <w:rsid w:val="31F37AB3"/>
    <w:rsid w:val="31F4900B"/>
    <w:rsid w:val="31FA37C4"/>
    <w:rsid w:val="31FF0340"/>
    <w:rsid w:val="32051AF7"/>
    <w:rsid w:val="32089237"/>
    <w:rsid w:val="32126959"/>
    <w:rsid w:val="3214E4CF"/>
    <w:rsid w:val="32178B8A"/>
    <w:rsid w:val="32183C43"/>
    <w:rsid w:val="321AFB99"/>
    <w:rsid w:val="32206E15"/>
    <w:rsid w:val="32259836"/>
    <w:rsid w:val="32330E70"/>
    <w:rsid w:val="323CB030"/>
    <w:rsid w:val="323F505D"/>
    <w:rsid w:val="3241C56E"/>
    <w:rsid w:val="3241F016"/>
    <w:rsid w:val="32449AF7"/>
    <w:rsid w:val="3244B2B6"/>
    <w:rsid w:val="324775FE"/>
    <w:rsid w:val="324C1078"/>
    <w:rsid w:val="324DB876"/>
    <w:rsid w:val="324EE1D4"/>
    <w:rsid w:val="325189B2"/>
    <w:rsid w:val="32550B11"/>
    <w:rsid w:val="32562399"/>
    <w:rsid w:val="325C0294"/>
    <w:rsid w:val="325CE220"/>
    <w:rsid w:val="326591FC"/>
    <w:rsid w:val="3269E457"/>
    <w:rsid w:val="326AD3C0"/>
    <w:rsid w:val="326CE68C"/>
    <w:rsid w:val="327801D7"/>
    <w:rsid w:val="327A646B"/>
    <w:rsid w:val="327D5E34"/>
    <w:rsid w:val="327DFE82"/>
    <w:rsid w:val="327FBCCA"/>
    <w:rsid w:val="327FF83F"/>
    <w:rsid w:val="3281013E"/>
    <w:rsid w:val="328EBE47"/>
    <w:rsid w:val="3293698B"/>
    <w:rsid w:val="3297F36F"/>
    <w:rsid w:val="329A803F"/>
    <w:rsid w:val="329AEB12"/>
    <w:rsid w:val="329F704A"/>
    <w:rsid w:val="329F8F8E"/>
    <w:rsid w:val="32A68C68"/>
    <w:rsid w:val="32A73F0D"/>
    <w:rsid w:val="32A77F8B"/>
    <w:rsid w:val="32A8D2F0"/>
    <w:rsid w:val="32AAC5E5"/>
    <w:rsid w:val="32AE0FE3"/>
    <w:rsid w:val="32B0B372"/>
    <w:rsid w:val="32B3AB97"/>
    <w:rsid w:val="32B3FE06"/>
    <w:rsid w:val="32B55DD6"/>
    <w:rsid w:val="32B6BB1B"/>
    <w:rsid w:val="32B8E14E"/>
    <w:rsid w:val="32BE06B7"/>
    <w:rsid w:val="32C3E22C"/>
    <w:rsid w:val="32C8E876"/>
    <w:rsid w:val="32CADA21"/>
    <w:rsid w:val="32D28438"/>
    <w:rsid w:val="32D32607"/>
    <w:rsid w:val="32D40100"/>
    <w:rsid w:val="32DA502D"/>
    <w:rsid w:val="32DD493D"/>
    <w:rsid w:val="32DE4D98"/>
    <w:rsid w:val="32DE987F"/>
    <w:rsid w:val="32E149C0"/>
    <w:rsid w:val="32E7AD9C"/>
    <w:rsid w:val="32E7CD61"/>
    <w:rsid w:val="32E8E880"/>
    <w:rsid w:val="32ED79B7"/>
    <w:rsid w:val="32F092DF"/>
    <w:rsid w:val="32F26014"/>
    <w:rsid w:val="32F30B22"/>
    <w:rsid w:val="32F4F3F6"/>
    <w:rsid w:val="32F6E391"/>
    <w:rsid w:val="32F81DF9"/>
    <w:rsid w:val="32F84EC3"/>
    <w:rsid w:val="32F8DB76"/>
    <w:rsid w:val="3300A19A"/>
    <w:rsid w:val="33146A3B"/>
    <w:rsid w:val="3314E059"/>
    <w:rsid w:val="331758B1"/>
    <w:rsid w:val="33215EE7"/>
    <w:rsid w:val="332540E5"/>
    <w:rsid w:val="332698B7"/>
    <w:rsid w:val="332ED7BB"/>
    <w:rsid w:val="3330AE7E"/>
    <w:rsid w:val="33368372"/>
    <w:rsid w:val="3337E112"/>
    <w:rsid w:val="33397C11"/>
    <w:rsid w:val="33410B92"/>
    <w:rsid w:val="334226EB"/>
    <w:rsid w:val="334558FB"/>
    <w:rsid w:val="334B904A"/>
    <w:rsid w:val="334D39B4"/>
    <w:rsid w:val="334F9A6A"/>
    <w:rsid w:val="3350CA45"/>
    <w:rsid w:val="33669268"/>
    <w:rsid w:val="336C65B4"/>
    <w:rsid w:val="336EC62E"/>
    <w:rsid w:val="336F6D55"/>
    <w:rsid w:val="33717187"/>
    <w:rsid w:val="33758439"/>
    <w:rsid w:val="337620B2"/>
    <w:rsid w:val="337AE99C"/>
    <w:rsid w:val="337FE86B"/>
    <w:rsid w:val="338716BB"/>
    <w:rsid w:val="3387490B"/>
    <w:rsid w:val="338C1AC3"/>
    <w:rsid w:val="338C4F68"/>
    <w:rsid w:val="338D808F"/>
    <w:rsid w:val="33900B5C"/>
    <w:rsid w:val="3391D2EA"/>
    <w:rsid w:val="33936979"/>
    <w:rsid w:val="3398B3F3"/>
    <w:rsid w:val="339E9924"/>
    <w:rsid w:val="33A1606A"/>
    <w:rsid w:val="33A2CF46"/>
    <w:rsid w:val="33A389F8"/>
    <w:rsid w:val="33A70F98"/>
    <w:rsid w:val="33A9928F"/>
    <w:rsid w:val="33AB51E6"/>
    <w:rsid w:val="33AB8107"/>
    <w:rsid w:val="33AC8F5E"/>
    <w:rsid w:val="33B30301"/>
    <w:rsid w:val="33B81D2E"/>
    <w:rsid w:val="33BD484B"/>
    <w:rsid w:val="33BD9777"/>
    <w:rsid w:val="33C7768D"/>
    <w:rsid w:val="33CAA3F8"/>
    <w:rsid w:val="33CE7F73"/>
    <w:rsid w:val="33D0062D"/>
    <w:rsid w:val="33D62B30"/>
    <w:rsid w:val="33D9A8FD"/>
    <w:rsid w:val="33DA6F3E"/>
    <w:rsid w:val="33DB78D8"/>
    <w:rsid w:val="33E50AC8"/>
    <w:rsid w:val="33EA5574"/>
    <w:rsid w:val="33F26ACC"/>
    <w:rsid w:val="3400F7D5"/>
    <w:rsid w:val="3403B6AC"/>
    <w:rsid w:val="34060EDB"/>
    <w:rsid w:val="3406D110"/>
    <w:rsid w:val="34088EE6"/>
    <w:rsid w:val="340A792E"/>
    <w:rsid w:val="340B1487"/>
    <w:rsid w:val="340CFB36"/>
    <w:rsid w:val="3410099B"/>
    <w:rsid w:val="3416945D"/>
    <w:rsid w:val="341A1859"/>
    <w:rsid w:val="341A6010"/>
    <w:rsid w:val="341E7948"/>
    <w:rsid w:val="34259D2A"/>
    <w:rsid w:val="34276D5E"/>
    <w:rsid w:val="342AF313"/>
    <w:rsid w:val="342BF281"/>
    <w:rsid w:val="342FEC34"/>
    <w:rsid w:val="34315591"/>
    <w:rsid w:val="3431E1B5"/>
    <w:rsid w:val="34329742"/>
    <w:rsid w:val="343C12C1"/>
    <w:rsid w:val="343DC98D"/>
    <w:rsid w:val="343E7CE7"/>
    <w:rsid w:val="34433F9A"/>
    <w:rsid w:val="34445C3F"/>
    <w:rsid w:val="34452EFE"/>
    <w:rsid w:val="3448BC99"/>
    <w:rsid w:val="3449E0E8"/>
    <w:rsid w:val="344ED7A3"/>
    <w:rsid w:val="3451E40F"/>
    <w:rsid w:val="34570957"/>
    <w:rsid w:val="345B924D"/>
    <w:rsid w:val="3463DB71"/>
    <w:rsid w:val="3464EAAB"/>
    <w:rsid w:val="34650B6E"/>
    <w:rsid w:val="34661E1C"/>
    <w:rsid w:val="3466825B"/>
    <w:rsid w:val="346A20B5"/>
    <w:rsid w:val="346A60A3"/>
    <w:rsid w:val="3470B725"/>
    <w:rsid w:val="34728567"/>
    <w:rsid w:val="34775690"/>
    <w:rsid w:val="347C3452"/>
    <w:rsid w:val="34803284"/>
    <w:rsid w:val="3481705A"/>
    <w:rsid w:val="3487B8D3"/>
    <w:rsid w:val="348A1A9C"/>
    <w:rsid w:val="348AA841"/>
    <w:rsid w:val="348C90E7"/>
    <w:rsid w:val="34919E97"/>
    <w:rsid w:val="3495849F"/>
    <w:rsid w:val="3495BFEB"/>
    <w:rsid w:val="34967DDB"/>
    <w:rsid w:val="349B2204"/>
    <w:rsid w:val="349CA5A0"/>
    <w:rsid w:val="349D2935"/>
    <w:rsid w:val="349FFBBD"/>
    <w:rsid w:val="34A296AA"/>
    <w:rsid w:val="34A2D2E0"/>
    <w:rsid w:val="34A4B6F5"/>
    <w:rsid w:val="34A6BCC7"/>
    <w:rsid w:val="34A7DEAF"/>
    <w:rsid w:val="34AA660B"/>
    <w:rsid w:val="34AF7E7C"/>
    <w:rsid w:val="34B34FBB"/>
    <w:rsid w:val="34B529D0"/>
    <w:rsid w:val="34B7A3F7"/>
    <w:rsid w:val="34BB86C1"/>
    <w:rsid w:val="34C2469C"/>
    <w:rsid w:val="34CB637A"/>
    <w:rsid w:val="34CE328D"/>
    <w:rsid w:val="34D2A00A"/>
    <w:rsid w:val="34D2A3B9"/>
    <w:rsid w:val="34D2BBFD"/>
    <w:rsid w:val="34D9583D"/>
    <w:rsid w:val="34D9A8FB"/>
    <w:rsid w:val="34DD4924"/>
    <w:rsid w:val="34E009E3"/>
    <w:rsid w:val="34E049B6"/>
    <w:rsid w:val="34E313AA"/>
    <w:rsid w:val="34E551EA"/>
    <w:rsid w:val="34EBDA15"/>
    <w:rsid w:val="34F15F50"/>
    <w:rsid w:val="34F66404"/>
    <w:rsid w:val="34F8F876"/>
    <w:rsid w:val="34FA4466"/>
    <w:rsid w:val="34FE2212"/>
    <w:rsid w:val="35010E33"/>
    <w:rsid w:val="3503D05D"/>
    <w:rsid w:val="35090027"/>
    <w:rsid w:val="3509BF3A"/>
    <w:rsid w:val="35120B2E"/>
    <w:rsid w:val="351CCA27"/>
    <w:rsid w:val="351D095E"/>
    <w:rsid w:val="352053D6"/>
    <w:rsid w:val="3521A2A5"/>
    <w:rsid w:val="3522D583"/>
    <w:rsid w:val="352613C1"/>
    <w:rsid w:val="35269304"/>
    <w:rsid w:val="3529DEA7"/>
    <w:rsid w:val="3530ECA1"/>
    <w:rsid w:val="35338209"/>
    <w:rsid w:val="353937CD"/>
    <w:rsid w:val="35400406"/>
    <w:rsid w:val="354189AA"/>
    <w:rsid w:val="354291E4"/>
    <w:rsid w:val="3542A31C"/>
    <w:rsid w:val="35443249"/>
    <w:rsid w:val="354DCACA"/>
    <w:rsid w:val="355113D4"/>
    <w:rsid w:val="3552123B"/>
    <w:rsid w:val="3552CA8E"/>
    <w:rsid w:val="355A55DF"/>
    <w:rsid w:val="355C6511"/>
    <w:rsid w:val="355F6279"/>
    <w:rsid w:val="355FCE94"/>
    <w:rsid w:val="35647A02"/>
    <w:rsid w:val="35665F5A"/>
    <w:rsid w:val="356D41EC"/>
    <w:rsid w:val="356D5B97"/>
    <w:rsid w:val="35792E14"/>
    <w:rsid w:val="357C6878"/>
    <w:rsid w:val="3582B47C"/>
    <w:rsid w:val="358B43FF"/>
    <w:rsid w:val="358CF28E"/>
    <w:rsid w:val="358D45EA"/>
    <w:rsid w:val="35916B5B"/>
    <w:rsid w:val="35924186"/>
    <w:rsid w:val="3592C426"/>
    <w:rsid w:val="359600B9"/>
    <w:rsid w:val="3599A14B"/>
    <w:rsid w:val="359C72BB"/>
    <w:rsid w:val="359D32BE"/>
    <w:rsid w:val="35A6624F"/>
    <w:rsid w:val="35A96A98"/>
    <w:rsid w:val="35A98194"/>
    <w:rsid w:val="35ACDCA6"/>
    <w:rsid w:val="35AE6727"/>
    <w:rsid w:val="35B17D68"/>
    <w:rsid w:val="35B3ADC1"/>
    <w:rsid w:val="35B87271"/>
    <w:rsid w:val="35C37AC7"/>
    <w:rsid w:val="35C45A62"/>
    <w:rsid w:val="35C50115"/>
    <w:rsid w:val="35C7999C"/>
    <w:rsid w:val="35C93BD5"/>
    <w:rsid w:val="35CB3874"/>
    <w:rsid w:val="35CC76E1"/>
    <w:rsid w:val="35D35AAD"/>
    <w:rsid w:val="35D4767B"/>
    <w:rsid w:val="35D85EA6"/>
    <w:rsid w:val="35DE7C1D"/>
    <w:rsid w:val="35E22467"/>
    <w:rsid w:val="35E25D8B"/>
    <w:rsid w:val="35E336FE"/>
    <w:rsid w:val="35E70BB0"/>
    <w:rsid w:val="35E97849"/>
    <w:rsid w:val="35E9B2EE"/>
    <w:rsid w:val="35EC2F20"/>
    <w:rsid w:val="35F12501"/>
    <w:rsid w:val="35F3F183"/>
    <w:rsid w:val="35F4662E"/>
    <w:rsid w:val="35FB3A61"/>
    <w:rsid w:val="36036947"/>
    <w:rsid w:val="360632E3"/>
    <w:rsid w:val="36199B3C"/>
    <w:rsid w:val="361D0B77"/>
    <w:rsid w:val="361EE33C"/>
    <w:rsid w:val="361FAB91"/>
    <w:rsid w:val="361FFB31"/>
    <w:rsid w:val="36232607"/>
    <w:rsid w:val="3623AE23"/>
    <w:rsid w:val="3624364F"/>
    <w:rsid w:val="36256F9E"/>
    <w:rsid w:val="3628171D"/>
    <w:rsid w:val="362C9FFC"/>
    <w:rsid w:val="362D5E83"/>
    <w:rsid w:val="3631D8FA"/>
    <w:rsid w:val="363737AB"/>
    <w:rsid w:val="3637B9DD"/>
    <w:rsid w:val="3641DBF9"/>
    <w:rsid w:val="364BA38E"/>
    <w:rsid w:val="364C622F"/>
    <w:rsid w:val="364E933E"/>
    <w:rsid w:val="365820B1"/>
    <w:rsid w:val="36595035"/>
    <w:rsid w:val="365BA891"/>
    <w:rsid w:val="365DB27D"/>
    <w:rsid w:val="36604040"/>
    <w:rsid w:val="36627CD9"/>
    <w:rsid w:val="366411C2"/>
    <w:rsid w:val="366DCA9D"/>
    <w:rsid w:val="366F46B3"/>
    <w:rsid w:val="367378F5"/>
    <w:rsid w:val="367435A0"/>
    <w:rsid w:val="367758BA"/>
    <w:rsid w:val="367AF7EF"/>
    <w:rsid w:val="367B3935"/>
    <w:rsid w:val="367B39D1"/>
    <w:rsid w:val="367D5F85"/>
    <w:rsid w:val="367F908C"/>
    <w:rsid w:val="36805554"/>
    <w:rsid w:val="36816CAA"/>
    <w:rsid w:val="36818DC9"/>
    <w:rsid w:val="36826BC1"/>
    <w:rsid w:val="3687A537"/>
    <w:rsid w:val="36883BB5"/>
    <w:rsid w:val="368F5716"/>
    <w:rsid w:val="369143EF"/>
    <w:rsid w:val="369928C7"/>
    <w:rsid w:val="369A4CEA"/>
    <w:rsid w:val="369B43BC"/>
    <w:rsid w:val="369C902C"/>
    <w:rsid w:val="369EE8AF"/>
    <w:rsid w:val="369F8C96"/>
    <w:rsid w:val="36A4D005"/>
    <w:rsid w:val="36A83F8D"/>
    <w:rsid w:val="36A8F354"/>
    <w:rsid w:val="36AECA46"/>
    <w:rsid w:val="36B0AF9C"/>
    <w:rsid w:val="36B33C0C"/>
    <w:rsid w:val="36B756F5"/>
    <w:rsid w:val="36BE5367"/>
    <w:rsid w:val="36BECA3A"/>
    <w:rsid w:val="36C9CE54"/>
    <w:rsid w:val="36CAF006"/>
    <w:rsid w:val="36CD01E2"/>
    <w:rsid w:val="36CF039F"/>
    <w:rsid w:val="36D25FEC"/>
    <w:rsid w:val="36DA6D93"/>
    <w:rsid w:val="36DBAA32"/>
    <w:rsid w:val="36DEE02B"/>
    <w:rsid w:val="36DFE807"/>
    <w:rsid w:val="36E1FF62"/>
    <w:rsid w:val="36E2F91B"/>
    <w:rsid w:val="36E7A72F"/>
    <w:rsid w:val="36EE3301"/>
    <w:rsid w:val="36F158F7"/>
    <w:rsid w:val="36F1B477"/>
    <w:rsid w:val="36F3618A"/>
    <w:rsid w:val="36F4476B"/>
    <w:rsid w:val="36F5A6A3"/>
    <w:rsid w:val="36FA841E"/>
    <w:rsid w:val="36FED375"/>
    <w:rsid w:val="3700B3C9"/>
    <w:rsid w:val="3701C51D"/>
    <w:rsid w:val="3704798D"/>
    <w:rsid w:val="3709A767"/>
    <w:rsid w:val="370B3693"/>
    <w:rsid w:val="370C3DB0"/>
    <w:rsid w:val="371063AA"/>
    <w:rsid w:val="3710AA45"/>
    <w:rsid w:val="37149F75"/>
    <w:rsid w:val="3715B1A6"/>
    <w:rsid w:val="37175F42"/>
    <w:rsid w:val="37209173"/>
    <w:rsid w:val="3724B05B"/>
    <w:rsid w:val="372C3154"/>
    <w:rsid w:val="372D47E8"/>
    <w:rsid w:val="3731614D"/>
    <w:rsid w:val="3731D54A"/>
    <w:rsid w:val="3734C7B9"/>
    <w:rsid w:val="373563D0"/>
    <w:rsid w:val="37371DE8"/>
    <w:rsid w:val="373AD784"/>
    <w:rsid w:val="373C0D24"/>
    <w:rsid w:val="373C230C"/>
    <w:rsid w:val="373D2C1E"/>
    <w:rsid w:val="374DF0EB"/>
    <w:rsid w:val="3752C5B5"/>
    <w:rsid w:val="37547157"/>
    <w:rsid w:val="3757E4D2"/>
    <w:rsid w:val="3766DDA7"/>
    <w:rsid w:val="3766F08E"/>
    <w:rsid w:val="3767D86E"/>
    <w:rsid w:val="3767EF33"/>
    <w:rsid w:val="376867E8"/>
    <w:rsid w:val="37707E79"/>
    <w:rsid w:val="37715140"/>
    <w:rsid w:val="3772BAC4"/>
    <w:rsid w:val="3775D6FD"/>
    <w:rsid w:val="377A271D"/>
    <w:rsid w:val="377D110A"/>
    <w:rsid w:val="377F791F"/>
    <w:rsid w:val="378150FD"/>
    <w:rsid w:val="37815C8A"/>
    <w:rsid w:val="3781EA34"/>
    <w:rsid w:val="3786CF77"/>
    <w:rsid w:val="378702D3"/>
    <w:rsid w:val="37871C4D"/>
    <w:rsid w:val="3789E8E0"/>
    <w:rsid w:val="378E6CA4"/>
    <w:rsid w:val="378F8F24"/>
    <w:rsid w:val="378F9244"/>
    <w:rsid w:val="37951B17"/>
    <w:rsid w:val="37956C2E"/>
    <w:rsid w:val="379A38CB"/>
    <w:rsid w:val="379AE5F3"/>
    <w:rsid w:val="37A235CE"/>
    <w:rsid w:val="37A6268D"/>
    <w:rsid w:val="37A86528"/>
    <w:rsid w:val="37AA5FC2"/>
    <w:rsid w:val="37AEB163"/>
    <w:rsid w:val="37B3F07E"/>
    <w:rsid w:val="37B3FA58"/>
    <w:rsid w:val="37B6AC8B"/>
    <w:rsid w:val="37B71D21"/>
    <w:rsid w:val="37B736A8"/>
    <w:rsid w:val="37BA60B5"/>
    <w:rsid w:val="37BE6761"/>
    <w:rsid w:val="37C12B05"/>
    <w:rsid w:val="37C1FD76"/>
    <w:rsid w:val="37C4E251"/>
    <w:rsid w:val="37CE1C76"/>
    <w:rsid w:val="37D2D7F1"/>
    <w:rsid w:val="37D508D7"/>
    <w:rsid w:val="37D6B72A"/>
    <w:rsid w:val="37D96813"/>
    <w:rsid w:val="37DB1ECE"/>
    <w:rsid w:val="37DB54A5"/>
    <w:rsid w:val="37E50C7A"/>
    <w:rsid w:val="37E77B34"/>
    <w:rsid w:val="37E872C8"/>
    <w:rsid w:val="37E99FA0"/>
    <w:rsid w:val="37EE4467"/>
    <w:rsid w:val="37EF0686"/>
    <w:rsid w:val="37F0E5E7"/>
    <w:rsid w:val="37F2087E"/>
    <w:rsid w:val="37FE6B4F"/>
    <w:rsid w:val="37FFFA66"/>
    <w:rsid w:val="38068DC7"/>
    <w:rsid w:val="3806D538"/>
    <w:rsid w:val="3807E4DC"/>
    <w:rsid w:val="380A21EB"/>
    <w:rsid w:val="380C1E54"/>
    <w:rsid w:val="38146E5C"/>
    <w:rsid w:val="381B88F4"/>
    <w:rsid w:val="381D161D"/>
    <w:rsid w:val="381DC294"/>
    <w:rsid w:val="381F9E28"/>
    <w:rsid w:val="3821005E"/>
    <w:rsid w:val="3821891C"/>
    <w:rsid w:val="382506EE"/>
    <w:rsid w:val="3825ADC9"/>
    <w:rsid w:val="38268769"/>
    <w:rsid w:val="3828F34F"/>
    <w:rsid w:val="382BE20A"/>
    <w:rsid w:val="382C5AA6"/>
    <w:rsid w:val="382FC0D7"/>
    <w:rsid w:val="382FCF75"/>
    <w:rsid w:val="3834D105"/>
    <w:rsid w:val="383C6A2C"/>
    <w:rsid w:val="3846EE00"/>
    <w:rsid w:val="38480E7B"/>
    <w:rsid w:val="384AFDDC"/>
    <w:rsid w:val="384FA1FC"/>
    <w:rsid w:val="3851D670"/>
    <w:rsid w:val="3854E27D"/>
    <w:rsid w:val="385C53BD"/>
    <w:rsid w:val="385CD455"/>
    <w:rsid w:val="385D43DA"/>
    <w:rsid w:val="385F40CD"/>
    <w:rsid w:val="3861C66F"/>
    <w:rsid w:val="386A0907"/>
    <w:rsid w:val="386A359B"/>
    <w:rsid w:val="386AF1EC"/>
    <w:rsid w:val="38752F9D"/>
    <w:rsid w:val="3876A3AD"/>
    <w:rsid w:val="38778A23"/>
    <w:rsid w:val="3877EF31"/>
    <w:rsid w:val="3883017A"/>
    <w:rsid w:val="38873F7B"/>
    <w:rsid w:val="388B98F4"/>
    <w:rsid w:val="389A6267"/>
    <w:rsid w:val="389B77E8"/>
    <w:rsid w:val="389DC06C"/>
    <w:rsid w:val="389F8F78"/>
    <w:rsid w:val="389FD2F9"/>
    <w:rsid w:val="38AB05C2"/>
    <w:rsid w:val="38ACF057"/>
    <w:rsid w:val="38ADE174"/>
    <w:rsid w:val="38B45D74"/>
    <w:rsid w:val="38B665F8"/>
    <w:rsid w:val="38B95744"/>
    <w:rsid w:val="38BAE6AC"/>
    <w:rsid w:val="38BF60C0"/>
    <w:rsid w:val="38BFD524"/>
    <w:rsid w:val="38C1D449"/>
    <w:rsid w:val="38C20483"/>
    <w:rsid w:val="38C415B7"/>
    <w:rsid w:val="38CCB24D"/>
    <w:rsid w:val="38CFF89D"/>
    <w:rsid w:val="38D28A16"/>
    <w:rsid w:val="38D2C392"/>
    <w:rsid w:val="38D5DB91"/>
    <w:rsid w:val="38D7A60E"/>
    <w:rsid w:val="38D7EF1A"/>
    <w:rsid w:val="38DC234C"/>
    <w:rsid w:val="38DDC4C0"/>
    <w:rsid w:val="38DDD6C0"/>
    <w:rsid w:val="38DED8A6"/>
    <w:rsid w:val="38E2D599"/>
    <w:rsid w:val="38E48ED6"/>
    <w:rsid w:val="38E9B5C6"/>
    <w:rsid w:val="38EF67BD"/>
    <w:rsid w:val="38EFE795"/>
    <w:rsid w:val="38F2182E"/>
    <w:rsid w:val="38F77657"/>
    <w:rsid w:val="38F77AA9"/>
    <w:rsid w:val="38F8BB43"/>
    <w:rsid w:val="38FD183F"/>
    <w:rsid w:val="38FE6CB4"/>
    <w:rsid w:val="38FEAD6B"/>
    <w:rsid w:val="3900F298"/>
    <w:rsid w:val="3903DEBA"/>
    <w:rsid w:val="39041250"/>
    <w:rsid w:val="3905F382"/>
    <w:rsid w:val="390F83BB"/>
    <w:rsid w:val="39159B39"/>
    <w:rsid w:val="3915E693"/>
    <w:rsid w:val="39173237"/>
    <w:rsid w:val="392073C7"/>
    <w:rsid w:val="3921D269"/>
    <w:rsid w:val="39226104"/>
    <w:rsid w:val="39277F2C"/>
    <w:rsid w:val="39289885"/>
    <w:rsid w:val="39298282"/>
    <w:rsid w:val="392C4C29"/>
    <w:rsid w:val="392CF223"/>
    <w:rsid w:val="392EAEBA"/>
    <w:rsid w:val="393165C4"/>
    <w:rsid w:val="3931E0C3"/>
    <w:rsid w:val="3932EB4C"/>
    <w:rsid w:val="3937DFE0"/>
    <w:rsid w:val="3941D859"/>
    <w:rsid w:val="394261E0"/>
    <w:rsid w:val="394AEDF7"/>
    <w:rsid w:val="394F1072"/>
    <w:rsid w:val="3954C011"/>
    <w:rsid w:val="3959E48E"/>
    <w:rsid w:val="395B9008"/>
    <w:rsid w:val="39621FCA"/>
    <w:rsid w:val="39632A97"/>
    <w:rsid w:val="3964FF8A"/>
    <w:rsid w:val="39691AC7"/>
    <w:rsid w:val="396D4480"/>
    <w:rsid w:val="396DE316"/>
    <w:rsid w:val="396FFE24"/>
    <w:rsid w:val="39700A97"/>
    <w:rsid w:val="39746E0C"/>
    <w:rsid w:val="39763D96"/>
    <w:rsid w:val="39768B38"/>
    <w:rsid w:val="398182CC"/>
    <w:rsid w:val="3984F630"/>
    <w:rsid w:val="3985B250"/>
    <w:rsid w:val="39865530"/>
    <w:rsid w:val="39933736"/>
    <w:rsid w:val="3994C0B9"/>
    <w:rsid w:val="39988F76"/>
    <w:rsid w:val="399AF5E6"/>
    <w:rsid w:val="39A2CDD8"/>
    <w:rsid w:val="39A47313"/>
    <w:rsid w:val="39A6F279"/>
    <w:rsid w:val="39A864B5"/>
    <w:rsid w:val="39A918D7"/>
    <w:rsid w:val="39AC7E1F"/>
    <w:rsid w:val="39ACB6CC"/>
    <w:rsid w:val="39AE4A07"/>
    <w:rsid w:val="39AE9B1F"/>
    <w:rsid w:val="39AEB140"/>
    <w:rsid w:val="39AF7D40"/>
    <w:rsid w:val="39B55648"/>
    <w:rsid w:val="39BAAB87"/>
    <w:rsid w:val="39BD7805"/>
    <w:rsid w:val="39C56C5E"/>
    <w:rsid w:val="39C8655F"/>
    <w:rsid w:val="39CA9217"/>
    <w:rsid w:val="39CEB013"/>
    <w:rsid w:val="39D04A83"/>
    <w:rsid w:val="39D8BA8D"/>
    <w:rsid w:val="39DA8CD4"/>
    <w:rsid w:val="39DC881B"/>
    <w:rsid w:val="39E45993"/>
    <w:rsid w:val="3A00A4C2"/>
    <w:rsid w:val="3A0CD7D3"/>
    <w:rsid w:val="3A0F393A"/>
    <w:rsid w:val="3A10D5ED"/>
    <w:rsid w:val="3A175E08"/>
    <w:rsid w:val="3A199316"/>
    <w:rsid w:val="3A1BAD1C"/>
    <w:rsid w:val="3A1BC909"/>
    <w:rsid w:val="3A1D2625"/>
    <w:rsid w:val="3A2089B9"/>
    <w:rsid w:val="3A22BBE1"/>
    <w:rsid w:val="3A239FB3"/>
    <w:rsid w:val="3A25FA98"/>
    <w:rsid w:val="3A2B1869"/>
    <w:rsid w:val="3A2EF3E0"/>
    <w:rsid w:val="3A3284E6"/>
    <w:rsid w:val="3A38A4B4"/>
    <w:rsid w:val="3A398940"/>
    <w:rsid w:val="3A3B0F9B"/>
    <w:rsid w:val="3A3ED3A7"/>
    <w:rsid w:val="3A3F40B2"/>
    <w:rsid w:val="3A40D73C"/>
    <w:rsid w:val="3A477B44"/>
    <w:rsid w:val="3A47D87A"/>
    <w:rsid w:val="3A4B7FE6"/>
    <w:rsid w:val="3A4D3429"/>
    <w:rsid w:val="3A515C95"/>
    <w:rsid w:val="3A571F60"/>
    <w:rsid w:val="3A5F8F69"/>
    <w:rsid w:val="3A659E6B"/>
    <w:rsid w:val="3A67A52C"/>
    <w:rsid w:val="3A690172"/>
    <w:rsid w:val="3A6B19E6"/>
    <w:rsid w:val="3A72B07B"/>
    <w:rsid w:val="3A730C19"/>
    <w:rsid w:val="3A767AFA"/>
    <w:rsid w:val="3A786DC0"/>
    <w:rsid w:val="3A821B7B"/>
    <w:rsid w:val="3A8631C6"/>
    <w:rsid w:val="3A89283B"/>
    <w:rsid w:val="3A8C3074"/>
    <w:rsid w:val="3A8CD1EF"/>
    <w:rsid w:val="3A927878"/>
    <w:rsid w:val="3A9314A9"/>
    <w:rsid w:val="3A981D64"/>
    <w:rsid w:val="3A999131"/>
    <w:rsid w:val="3A9C0DB6"/>
    <w:rsid w:val="3AA11553"/>
    <w:rsid w:val="3AABB12B"/>
    <w:rsid w:val="3AAD3E0B"/>
    <w:rsid w:val="3AADABEC"/>
    <w:rsid w:val="3AB182FA"/>
    <w:rsid w:val="3AB8F9BF"/>
    <w:rsid w:val="3AC0A89A"/>
    <w:rsid w:val="3AC2B462"/>
    <w:rsid w:val="3AC2D88D"/>
    <w:rsid w:val="3AC69E63"/>
    <w:rsid w:val="3AC7BB0B"/>
    <w:rsid w:val="3ACAD308"/>
    <w:rsid w:val="3AD02A6F"/>
    <w:rsid w:val="3AD3236A"/>
    <w:rsid w:val="3AD62EDB"/>
    <w:rsid w:val="3AE1399C"/>
    <w:rsid w:val="3AE159BB"/>
    <w:rsid w:val="3AE58EDA"/>
    <w:rsid w:val="3AE8B387"/>
    <w:rsid w:val="3AEA806A"/>
    <w:rsid w:val="3AF324E6"/>
    <w:rsid w:val="3AF55E54"/>
    <w:rsid w:val="3AF57373"/>
    <w:rsid w:val="3AF726B5"/>
    <w:rsid w:val="3AF8CF70"/>
    <w:rsid w:val="3AFAD23C"/>
    <w:rsid w:val="3AFB51BD"/>
    <w:rsid w:val="3B00214F"/>
    <w:rsid w:val="3B00427F"/>
    <w:rsid w:val="3B066163"/>
    <w:rsid w:val="3B0AAD6A"/>
    <w:rsid w:val="3B11552D"/>
    <w:rsid w:val="3B13119F"/>
    <w:rsid w:val="3B131741"/>
    <w:rsid w:val="3B135692"/>
    <w:rsid w:val="3B181EC0"/>
    <w:rsid w:val="3B1ECE05"/>
    <w:rsid w:val="3B203883"/>
    <w:rsid w:val="3B211D55"/>
    <w:rsid w:val="3B2157BF"/>
    <w:rsid w:val="3B22C207"/>
    <w:rsid w:val="3B258082"/>
    <w:rsid w:val="3B2A396F"/>
    <w:rsid w:val="3B2D96AA"/>
    <w:rsid w:val="3B2E2666"/>
    <w:rsid w:val="3B2EF665"/>
    <w:rsid w:val="3B2FC506"/>
    <w:rsid w:val="3B36BE90"/>
    <w:rsid w:val="3B3AFB1C"/>
    <w:rsid w:val="3B3D2A78"/>
    <w:rsid w:val="3B439016"/>
    <w:rsid w:val="3B43BBBF"/>
    <w:rsid w:val="3B441B81"/>
    <w:rsid w:val="3B450FA4"/>
    <w:rsid w:val="3B456217"/>
    <w:rsid w:val="3B46EA61"/>
    <w:rsid w:val="3B485BA0"/>
    <w:rsid w:val="3B492F39"/>
    <w:rsid w:val="3B4F76C5"/>
    <w:rsid w:val="3B55734F"/>
    <w:rsid w:val="3B5611C0"/>
    <w:rsid w:val="3B594A4F"/>
    <w:rsid w:val="3B59CA1D"/>
    <w:rsid w:val="3B59D8A5"/>
    <w:rsid w:val="3B59E188"/>
    <w:rsid w:val="3B5A9627"/>
    <w:rsid w:val="3B5AC80F"/>
    <w:rsid w:val="3B5C8A00"/>
    <w:rsid w:val="3B5E519A"/>
    <w:rsid w:val="3B66E74D"/>
    <w:rsid w:val="3B6A2DE4"/>
    <w:rsid w:val="3B6A5B1E"/>
    <w:rsid w:val="3B6A8923"/>
    <w:rsid w:val="3B6B9578"/>
    <w:rsid w:val="3B6D7292"/>
    <w:rsid w:val="3B6F2299"/>
    <w:rsid w:val="3B703B4B"/>
    <w:rsid w:val="3B709D24"/>
    <w:rsid w:val="3B75EDB3"/>
    <w:rsid w:val="3B783191"/>
    <w:rsid w:val="3B7D19D9"/>
    <w:rsid w:val="3B82D7BF"/>
    <w:rsid w:val="3B83EA03"/>
    <w:rsid w:val="3B854AE5"/>
    <w:rsid w:val="3B8AC818"/>
    <w:rsid w:val="3B8FFC86"/>
    <w:rsid w:val="3B97226B"/>
    <w:rsid w:val="3B990B36"/>
    <w:rsid w:val="3B9DDB2E"/>
    <w:rsid w:val="3BA00F61"/>
    <w:rsid w:val="3BA0F913"/>
    <w:rsid w:val="3BA15F3E"/>
    <w:rsid w:val="3BA5F22F"/>
    <w:rsid w:val="3BAD8488"/>
    <w:rsid w:val="3BADF8F8"/>
    <w:rsid w:val="3BB7573B"/>
    <w:rsid w:val="3BBFC4C2"/>
    <w:rsid w:val="3BC45992"/>
    <w:rsid w:val="3BC8F189"/>
    <w:rsid w:val="3BCAFB61"/>
    <w:rsid w:val="3BCC5E63"/>
    <w:rsid w:val="3BCE52B6"/>
    <w:rsid w:val="3BD00B09"/>
    <w:rsid w:val="3BD5C562"/>
    <w:rsid w:val="3BD9DA7B"/>
    <w:rsid w:val="3BDAF12B"/>
    <w:rsid w:val="3BDB73B7"/>
    <w:rsid w:val="3BDB9BE5"/>
    <w:rsid w:val="3BE36E00"/>
    <w:rsid w:val="3BE9D427"/>
    <w:rsid w:val="3BEE2D0C"/>
    <w:rsid w:val="3BEEC3D1"/>
    <w:rsid w:val="3BF01A68"/>
    <w:rsid w:val="3BF8313E"/>
    <w:rsid w:val="3BFA602A"/>
    <w:rsid w:val="3BFCEF45"/>
    <w:rsid w:val="3C10B35C"/>
    <w:rsid w:val="3C1508A2"/>
    <w:rsid w:val="3C1747B8"/>
    <w:rsid w:val="3C1A0F53"/>
    <w:rsid w:val="3C1C5895"/>
    <w:rsid w:val="3C24BB19"/>
    <w:rsid w:val="3C25256C"/>
    <w:rsid w:val="3C27C253"/>
    <w:rsid w:val="3C2D91C0"/>
    <w:rsid w:val="3C33198B"/>
    <w:rsid w:val="3C349844"/>
    <w:rsid w:val="3C391424"/>
    <w:rsid w:val="3C3AFFAC"/>
    <w:rsid w:val="3C3BB431"/>
    <w:rsid w:val="3C3D84E2"/>
    <w:rsid w:val="3C3DB240"/>
    <w:rsid w:val="3C3FFD73"/>
    <w:rsid w:val="3C44FE65"/>
    <w:rsid w:val="3C455C66"/>
    <w:rsid w:val="3C458888"/>
    <w:rsid w:val="3C4785B6"/>
    <w:rsid w:val="3C4B04BC"/>
    <w:rsid w:val="3C4D85EA"/>
    <w:rsid w:val="3C5CCB0B"/>
    <w:rsid w:val="3C5F7A9C"/>
    <w:rsid w:val="3C613D12"/>
    <w:rsid w:val="3C636735"/>
    <w:rsid w:val="3C67B4F7"/>
    <w:rsid w:val="3C69C37B"/>
    <w:rsid w:val="3C6D4620"/>
    <w:rsid w:val="3C71D4DA"/>
    <w:rsid w:val="3C7305F6"/>
    <w:rsid w:val="3C7A5505"/>
    <w:rsid w:val="3C7E9C9C"/>
    <w:rsid w:val="3C81AB28"/>
    <w:rsid w:val="3C855182"/>
    <w:rsid w:val="3C8C7A71"/>
    <w:rsid w:val="3C90365D"/>
    <w:rsid w:val="3C93A9AA"/>
    <w:rsid w:val="3C97739D"/>
    <w:rsid w:val="3CA0DCCC"/>
    <w:rsid w:val="3CA1C2E5"/>
    <w:rsid w:val="3CA330BC"/>
    <w:rsid w:val="3CA46046"/>
    <w:rsid w:val="3CA67174"/>
    <w:rsid w:val="3CA9C526"/>
    <w:rsid w:val="3CAC7BE3"/>
    <w:rsid w:val="3CB04FC2"/>
    <w:rsid w:val="3CB055D3"/>
    <w:rsid w:val="3CB06944"/>
    <w:rsid w:val="3CB1A150"/>
    <w:rsid w:val="3CB62592"/>
    <w:rsid w:val="3CB8A7E7"/>
    <w:rsid w:val="3CBD9F3E"/>
    <w:rsid w:val="3CBEA87E"/>
    <w:rsid w:val="3CC3C518"/>
    <w:rsid w:val="3CC65D77"/>
    <w:rsid w:val="3CC9ADA8"/>
    <w:rsid w:val="3CCAC3C7"/>
    <w:rsid w:val="3CCB2AB8"/>
    <w:rsid w:val="3CCBF127"/>
    <w:rsid w:val="3CD150B6"/>
    <w:rsid w:val="3CD166C5"/>
    <w:rsid w:val="3CD607E1"/>
    <w:rsid w:val="3CD6532A"/>
    <w:rsid w:val="3CD8C897"/>
    <w:rsid w:val="3CD9B13C"/>
    <w:rsid w:val="3CDD0D02"/>
    <w:rsid w:val="3CE18EB6"/>
    <w:rsid w:val="3CE29F9E"/>
    <w:rsid w:val="3CE60E46"/>
    <w:rsid w:val="3CE6BF4B"/>
    <w:rsid w:val="3CF1C50D"/>
    <w:rsid w:val="3CF38E67"/>
    <w:rsid w:val="3CFAE705"/>
    <w:rsid w:val="3CFC96AC"/>
    <w:rsid w:val="3D003C7D"/>
    <w:rsid w:val="3D07D932"/>
    <w:rsid w:val="3D082F0E"/>
    <w:rsid w:val="3D0A0751"/>
    <w:rsid w:val="3D0C73FD"/>
    <w:rsid w:val="3D0C75FC"/>
    <w:rsid w:val="3D0D1C37"/>
    <w:rsid w:val="3D0D6F33"/>
    <w:rsid w:val="3D0E03F7"/>
    <w:rsid w:val="3D121B76"/>
    <w:rsid w:val="3D15C39E"/>
    <w:rsid w:val="3D163BA5"/>
    <w:rsid w:val="3D17D3C6"/>
    <w:rsid w:val="3D19CDE3"/>
    <w:rsid w:val="3D1E97B7"/>
    <w:rsid w:val="3D1F358E"/>
    <w:rsid w:val="3D245D7A"/>
    <w:rsid w:val="3D24D790"/>
    <w:rsid w:val="3D24F41E"/>
    <w:rsid w:val="3D2B06B0"/>
    <w:rsid w:val="3D2C67E8"/>
    <w:rsid w:val="3D327D20"/>
    <w:rsid w:val="3D334F79"/>
    <w:rsid w:val="3D339846"/>
    <w:rsid w:val="3D364818"/>
    <w:rsid w:val="3D37B3DB"/>
    <w:rsid w:val="3D3ACD9F"/>
    <w:rsid w:val="3D3AF6F9"/>
    <w:rsid w:val="3D4010B1"/>
    <w:rsid w:val="3D423AD4"/>
    <w:rsid w:val="3D4E1342"/>
    <w:rsid w:val="3D4EE270"/>
    <w:rsid w:val="3D54F5E4"/>
    <w:rsid w:val="3D5643EC"/>
    <w:rsid w:val="3D5B9DE0"/>
    <w:rsid w:val="3D5DC016"/>
    <w:rsid w:val="3D64488A"/>
    <w:rsid w:val="3D64D17D"/>
    <w:rsid w:val="3D653D78"/>
    <w:rsid w:val="3D7184AE"/>
    <w:rsid w:val="3D7416A5"/>
    <w:rsid w:val="3D7A70FC"/>
    <w:rsid w:val="3D80E041"/>
    <w:rsid w:val="3D814A6C"/>
    <w:rsid w:val="3D81E1E4"/>
    <w:rsid w:val="3D82078E"/>
    <w:rsid w:val="3D887D98"/>
    <w:rsid w:val="3D9B23CE"/>
    <w:rsid w:val="3D9EAA59"/>
    <w:rsid w:val="3D9EBEA0"/>
    <w:rsid w:val="3DA7F287"/>
    <w:rsid w:val="3DABD03A"/>
    <w:rsid w:val="3DADEBD7"/>
    <w:rsid w:val="3DAE044D"/>
    <w:rsid w:val="3DAE5A0F"/>
    <w:rsid w:val="3DB22EF7"/>
    <w:rsid w:val="3DB5BF45"/>
    <w:rsid w:val="3DB88DE6"/>
    <w:rsid w:val="3DBA9D6B"/>
    <w:rsid w:val="3DC1C9AE"/>
    <w:rsid w:val="3DC29B06"/>
    <w:rsid w:val="3DCB77E0"/>
    <w:rsid w:val="3DCF73A6"/>
    <w:rsid w:val="3DDC730B"/>
    <w:rsid w:val="3DDF553B"/>
    <w:rsid w:val="3DE2ADAC"/>
    <w:rsid w:val="3DE6E014"/>
    <w:rsid w:val="3DEE76F5"/>
    <w:rsid w:val="3DEECA49"/>
    <w:rsid w:val="3DF2440A"/>
    <w:rsid w:val="3DFB9957"/>
    <w:rsid w:val="3E001906"/>
    <w:rsid w:val="3E0201AE"/>
    <w:rsid w:val="3E02E086"/>
    <w:rsid w:val="3E0347E2"/>
    <w:rsid w:val="3E0BD789"/>
    <w:rsid w:val="3E0C0486"/>
    <w:rsid w:val="3E0E524C"/>
    <w:rsid w:val="3E120E41"/>
    <w:rsid w:val="3E16CD93"/>
    <w:rsid w:val="3E201209"/>
    <w:rsid w:val="3E21F614"/>
    <w:rsid w:val="3E291978"/>
    <w:rsid w:val="3E2AEEF1"/>
    <w:rsid w:val="3E2DA4AC"/>
    <w:rsid w:val="3E30E8AA"/>
    <w:rsid w:val="3E32B9BE"/>
    <w:rsid w:val="3E394B74"/>
    <w:rsid w:val="3E46ABFF"/>
    <w:rsid w:val="3E48451E"/>
    <w:rsid w:val="3E49818A"/>
    <w:rsid w:val="3E4BA0B1"/>
    <w:rsid w:val="3E4F7AD5"/>
    <w:rsid w:val="3E5E0E6B"/>
    <w:rsid w:val="3E61A94B"/>
    <w:rsid w:val="3E69F94B"/>
    <w:rsid w:val="3E7045EE"/>
    <w:rsid w:val="3E7300C8"/>
    <w:rsid w:val="3E736F61"/>
    <w:rsid w:val="3E7B21FF"/>
    <w:rsid w:val="3E7F40B0"/>
    <w:rsid w:val="3E853FA9"/>
    <w:rsid w:val="3E866B25"/>
    <w:rsid w:val="3E8747BF"/>
    <w:rsid w:val="3E877E67"/>
    <w:rsid w:val="3E8C40A0"/>
    <w:rsid w:val="3E8C4207"/>
    <w:rsid w:val="3E8C7FF7"/>
    <w:rsid w:val="3E963EDB"/>
    <w:rsid w:val="3E96D62E"/>
    <w:rsid w:val="3E9DF8E7"/>
    <w:rsid w:val="3E9FB2AB"/>
    <w:rsid w:val="3EA25D5E"/>
    <w:rsid w:val="3EA614AF"/>
    <w:rsid w:val="3EA84FF1"/>
    <w:rsid w:val="3EA8566C"/>
    <w:rsid w:val="3EA98FA4"/>
    <w:rsid w:val="3EA9B28F"/>
    <w:rsid w:val="3EAA207E"/>
    <w:rsid w:val="3EAA26E6"/>
    <w:rsid w:val="3EAB2910"/>
    <w:rsid w:val="3EABF4AC"/>
    <w:rsid w:val="3EAE358F"/>
    <w:rsid w:val="3EB285F5"/>
    <w:rsid w:val="3EB2DC8E"/>
    <w:rsid w:val="3EB6FD1F"/>
    <w:rsid w:val="3EBA1495"/>
    <w:rsid w:val="3EBB11F1"/>
    <w:rsid w:val="3EBC99B3"/>
    <w:rsid w:val="3EC00B40"/>
    <w:rsid w:val="3ECA0B22"/>
    <w:rsid w:val="3ECA3B8C"/>
    <w:rsid w:val="3ED39758"/>
    <w:rsid w:val="3ED44647"/>
    <w:rsid w:val="3ED4E926"/>
    <w:rsid w:val="3ED72D95"/>
    <w:rsid w:val="3ED90D55"/>
    <w:rsid w:val="3ED92BB7"/>
    <w:rsid w:val="3EE4F924"/>
    <w:rsid w:val="3EE9655C"/>
    <w:rsid w:val="3EE9E2F4"/>
    <w:rsid w:val="3EEDA813"/>
    <w:rsid w:val="3EF2496C"/>
    <w:rsid w:val="3F01ACD8"/>
    <w:rsid w:val="3F021992"/>
    <w:rsid w:val="3F058492"/>
    <w:rsid w:val="3F09A8CB"/>
    <w:rsid w:val="3F0AFBF4"/>
    <w:rsid w:val="3F0F0DFB"/>
    <w:rsid w:val="3F1220E5"/>
    <w:rsid w:val="3F13FB35"/>
    <w:rsid w:val="3F17E19F"/>
    <w:rsid w:val="3F1E79CB"/>
    <w:rsid w:val="3F229C84"/>
    <w:rsid w:val="3F23FC2D"/>
    <w:rsid w:val="3F2AECA7"/>
    <w:rsid w:val="3F2BC346"/>
    <w:rsid w:val="3F32835D"/>
    <w:rsid w:val="3F34928A"/>
    <w:rsid w:val="3F36892A"/>
    <w:rsid w:val="3F3E1170"/>
    <w:rsid w:val="3F438BE4"/>
    <w:rsid w:val="3F452AB0"/>
    <w:rsid w:val="3F45D228"/>
    <w:rsid w:val="3F49DAA7"/>
    <w:rsid w:val="3F4CC6D2"/>
    <w:rsid w:val="3F4DC1EF"/>
    <w:rsid w:val="3F4E76AE"/>
    <w:rsid w:val="3F51059D"/>
    <w:rsid w:val="3F52E7FA"/>
    <w:rsid w:val="3F5498A1"/>
    <w:rsid w:val="3F5E7D0A"/>
    <w:rsid w:val="3F5F4F32"/>
    <w:rsid w:val="3F623FCB"/>
    <w:rsid w:val="3F64B8F8"/>
    <w:rsid w:val="3F663603"/>
    <w:rsid w:val="3F669874"/>
    <w:rsid w:val="3F67977B"/>
    <w:rsid w:val="3F716BE1"/>
    <w:rsid w:val="3F730D61"/>
    <w:rsid w:val="3F746782"/>
    <w:rsid w:val="3F74C8F0"/>
    <w:rsid w:val="3F75DD6E"/>
    <w:rsid w:val="3F76E30D"/>
    <w:rsid w:val="3F76E818"/>
    <w:rsid w:val="3F78490D"/>
    <w:rsid w:val="3F7CCF56"/>
    <w:rsid w:val="3F7FCF02"/>
    <w:rsid w:val="3F84D194"/>
    <w:rsid w:val="3F8998A7"/>
    <w:rsid w:val="3F8A49D4"/>
    <w:rsid w:val="3F8C7315"/>
    <w:rsid w:val="3F8CC2A0"/>
    <w:rsid w:val="3F91D5B8"/>
    <w:rsid w:val="3F93FE09"/>
    <w:rsid w:val="3F9468A5"/>
    <w:rsid w:val="3F94BF7A"/>
    <w:rsid w:val="3F95CA3D"/>
    <w:rsid w:val="3F95F92F"/>
    <w:rsid w:val="3F9A7EAD"/>
    <w:rsid w:val="3F9B44F1"/>
    <w:rsid w:val="3F9C5348"/>
    <w:rsid w:val="3F9F64F5"/>
    <w:rsid w:val="3FA8FA81"/>
    <w:rsid w:val="3FA9EE0A"/>
    <w:rsid w:val="3FAD2F33"/>
    <w:rsid w:val="3FC5B667"/>
    <w:rsid w:val="3FC6ED4E"/>
    <w:rsid w:val="3FC806BF"/>
    <w:rsid w:val="3FC8E5E8"/>
    <w:rsid w:val="3FC8EE8A"/>
    <w:rsid w:val="3FCB8476"/>
    <w:rsid w:val="3FCF1827"/>
    <w:rsid w:val="3FD0FA6C"/>
    <w:rsid w:val="3FD6085A"/>
    <w:rsid w:val="3FD8F1CF"/>
    <w:rsid w:val="3FD9D061"/>
    <w:rsid w:val="3FDE58E8"/>
    <w:rsid w:val="3FE4F524"/>
    <w:rsid w:val="3FE7C5E1"/>
    <w:rsid w:val="3FEB6551"/>
    <w:rsid w:val="3FEED7F8"/>
    <w:rsid w:val="3FF36EE3"/>
    <w:rsid w:val="3FF7105C"/>
    <w:rsid w:val="3FF7CECB"/>
    <w:rsid w:val="3FF80377"/>
    <w:rsid w:val="3FFACF9B"/>
    <w:rsid w:val="400198DC"/>
    <w:rsid w:val="40098715"/>
    <w:rsid w:val="400DBC04"/>
    <w:rsid w:val="40109252"/>
    <w:rsid w:val="40145148"/>
    <w:rsid w:val="401829DD"/>
    <w:rsid w:val="40185770"/>
    <w:rsid w:val="401C3DBF"/>
    <w:rsid w:val="401EDEB9"/>
    <w:rsid w:val="401F954A"/>
    <w:rsid w:val="401FF5D5"/>
    <w:rsid w:val="402956FD"/>
    <w:rsid w:val="40298214"/>
    <w:rsid w:val="402A60D1"/>
    <w:rsid w:val="402BE7B6"/>
    <w:rsid w:val="402DC716"/>
    <w:rsid w:val="4030CF42"/>
    <w:rsid w:val="4031BBBA"/>
    <w:rsid w:val="4038DA3B"/>
    <w:rsid w:val="4039D49B"/>
    <w:rsid w:val="403BEEB2"/>
    <w:rsid w:val="403BF980"/>
    <w:rsid w:val="403C42EF"/>
    <w:rsid w:val="4046FB76"/>
    <w:rsid w:val="4047F1EB"/>
    <w:rsid w:val="40488D2E"/>
    <w:rsid w:val="404A41B4"/>
    <w:rsid w:val="404AADEF"/>
    <w:rsid w:val="404CACAF"/>
    <w:rsid w:val="404EE5EE"/>
    <w:rsid w:val="404F3176"/>
    <w:rsid w:val="40565BE9"/>
    <w:rsid w:val="405E61A2"/>
    <w:rsid w:val="405F8385"/>
    <w:rsid w:val="4061C7E9"/>
    <w:rsid w:val="406731E9"/>
    <w:rsid w:val="406819C0"/>
    <w:rsid w:val="406B5313"/>
    <w:rsid w:val="4078DF77"/>
    <w:rsid w:val="407D1852"/>
    <w:rsid w:val="407D2F0D"/>
    <w:rsid w:val="40808588"/>
    <w:rsid w:val="4080D791"/>
    <w:rsid w:val="4082D0DC"/>
    <w:rsid w:val="4082D94B"/>
    <w:rsid w:val="4083D3C7"/>
    <w:rsid w:val="40850F48"/>
    <w:rsid w:val="40873D94"/>
    <w:rsid w:val="408BF427"/>
    <w:rsid w:val="408C127A"/>
    <w:rsid w:val="409096BE"/>
    <w:rsid w:val="40911E52"/>
    <w:rsid w:val="40924CD0"/>
    <w:rsid w:val="409435E2"/>
    <w:rsid w:val="409C3EF0"/>
    <w:rsid w:val="40A1EE45"/>
    <w:rsid w:val="40A246B6"/>
    <w:rsid w:val="40A2683F"/>
    <w:rsid w:val="40A3449F"/>
    <w:rsid w:val="40A71294"/>
    <w:rsid w:val="40A99F64"/>
    <w:rsid w:val="40B4476E"/>
    <w:rsid w:val="40B5174E"/>
    <w:rsid w:val="40BF7736"/>
    <w:rsid w:val="40CBE161"/>
    <w:rsid w:val="40D35504"/>
    <w:rsid w:val="40D50026"/>
    <w:rsid w:val="40DB5B11"/>
    <w:rsid w:val="40DCDF86"/>
    <w:rsid w:val="40DD1A35"/>
    <w:rsid w:val="40DD9B9B"/>
    <w:rsid w:val="40DFC138"/>
    <w:rsid w:val="40E1086C"/>
    <w:rsid w:val="40E59BFE"/>
    <w:rsid w:val="40EE8276"/>
    <w:rsid w:val="40EFA232"/>
    <w:rsid w:val="40F0AFF3"/>
    <w:rsid w:val="40F10E8A"/>
    <w:rsid w:val="40F239FA"/>
    <w:rsid w:val="40F40D6E"/>
    <w:rsid w:val="40F51FF9"/>
    <w:rsid w:val="40F56667"/>
    <w:rsid w:val="40F5E516"/>
    <w:rsid w:val="40FD407C"/>
    <w:rsid w:val="40FD8676"/>
    <w:rsid w:val="410055FA"/>
    <w:rsid w:val="410102E3"/>
    <w:rsid w:val="41010E4A"/>
    <w:rsid w:val="41018F54"/>
    <w:rsid w:val="41033570"/>
    <w:rsid w:val="41077758"/>
    <w:rsid w:val="410CF0AC"/>
    <w:rsid w:val="4113F502"/>
    <w:rsid w:val="41158C80"/>
    <w:rsid w:val="41186B0E"/>
    <w:rsid w:val="411A6A54"/>
    <w:rsid w:val="411C80F5"/>
    <w:rsid w:val="41237DD8"/>
    <w:rsid w:val="412A83E4"/>
    <w:rsid w:val="412DFD90"/>
    <w:rsid w:val="4133CF3F"/>
    <w:rsid w:val="41347D59"/>
    <w:rsid w:val="4138D9E4"/>
    <w:rsid w:val="41399F6F"/>
    <w:rsid w:val="413B4AFF"/>
    <w:rsid w:val="413B61C1"/>
    <w:rsid w:val="4140656A"/>
    <w:rsid w:val="4142AB53"/>
    <w:rsid w:val="41463FFE"/>
    <w:rsid w:val="41472DD5"/>
    <w:rsid w:val="414919C2"/>
    <w:rsid w:val="414BB39E"/>
    <w:rsid w:val="414FF9B2"/>
    <w:rsid w:val="4153067B"/>
    <w:rsid w:val="4153BB23"/>
    <w:rsid w:val="41585568"/>
    <w:rsid w:val="41588D9E"/>
    <w:rsid w:val="4158DCAC"/>
    <w:rsid w:val="415D9BBE"/>
    <w:rsid w:val="4162719B"/>
    <w:rsid w:val="4162AF83"/>
    <w:rsid w:val="4163A45B"/>
    <w:rsid w:val="4167C0F9"/>
    <w:rsid w:val="416A0ED9"/>
    <w:rsid w:val="416E9BAD"/>
    <w:rsid w:val="416F7114"/>
    <w:rsid w:val="41778AC8"/>
    <w:rsid w:val="417861EE"/>
    <w:rsid w:val="418587F7"/>
    <w:rsid w:val="41877A88"/>
    <w:rsid w:val="418AEE28"/>
    <w:rsid w:val="418E7890"/>
    <w:rsid w:val="41922A70"/>
    <w:rsid w:val="41997FAF"/>
    <w:rsid w:val="419A453C"/>
    <w:rsid w:val="419DEF76"/>
    <w:rsid w:val="41A1B0E4"/>
    <w:rsid w:val="41ABA8B6"/>
    <w:rsid w:val="41AF5A1D"/>
    <w:rsid w:val="41B0D636"/>
    <w:rsid w:val="41B74D17"/>
    <w:rsid w:val="41B795E0"/>
    <w:rsid w:val="41BA6879"/>
    <w:rsid w:val="41C5C592"/>
    <w:rsid w:val="41C970FA"/>
    <w:rsid w:val="41CB2CD8"/>
    <w:rsid w:val="41D1E3F8"/>
    <w:rsid w:val="41D3294B"/>
    <w:rsid w:val="41D5BD29"/>
    <w:rsid w:val="41DB084C"/>
    <w:rsid w:val="41DE0921"/>
    <w:rsid w:val="41E06992"/>
    <w:rsid w:val="41E15351"/>
    <w:rsid w:val="41E1F755"/>
    <w:rsid w:val="41E4A7B2"/>
    <w:rsid w:val="41EA1991"/>
    <w:rsid w:val="41EFD1A5"/>
    <w:rsid w:val="41EFDEA7"/>
    <w:rsid w:val="41FBB414"/>
    <w:rsid w:val="4201A14C"/>
    <w:rsid w:val="4208D0C7"/>
    <w:rsid w:val="4210E75B"/>
    <w:rsid w:val="42128E68"/>
    <w:rsid w:val="42135262"/>
    <w:rsid w:val="4215F6A2"/>
    <w:rsid w:val="421B0984"/>
    <w:rsid w:val="421E98F0"/>
    <w:rsid w:val="421F6D8B"/>
    <w:rsid w:val="4222C17C"/>
    <w:rsid w:val="422600A2"/>
    <w:rsid w:val="422B6345"/>
    <w:rsid w:val="422B87CB"/>
    <w:rsid w:val="422E44BC"/>
    <w:rsid w:val="422E7DC9"/>
    <w:rsid w:val="423156A0"/>
    <w:rsid w:val="42358252"/>
    <w:rsid w:val="4237D649"/>
    <w:rsid w:val="4239F6AB"/>
    <w:rsid w:val="423ADDB1"/>
    <w:rsid w:val="42414CA0"/>
    <w:rsid w:val="42418289"/>
    <w:rsid w:val="4245D9D5"/>
    <w:rsid w:val="424E6382"/>
    <w:rsid w:val="42509C5F"/>
    <w:rsid w:val="4256BE80"/>
    <w:rsid w:val="4260D429"/>
    <w:rsid w:val="42610096"/>
    <w:rsid w:val="42618024"/>
    <w:rsid w:val="426497F4"/>
    <w:rsid w:val="426C40D1"/>
    <w:rsid w:val="426CFD13"/>
    <w:rsid w:val="42706A13"/>
    <w:rsid w:val="4270F790"/>
    <w:rsid w:val="4276DFF0"/>
    <w:rsid w:val="427C2B61"/>
    <w:rsid w:val="427D039E"/>
    <w:rsid w:val="427F2A3A"/>
    <w:rsid w:val="427F41E4"/>
    <w:rsid w:val="42840692"/>
    <w:rsid w:val="4284A590"/>
    <w:rsid w:val="4284DFCA"/>
    <w:rsid w:val="42857E4F"/>
    <w:rsid w:val="4285AB2C"/>
    <w:rsid w:val="42865A06"/>
    <w:rsid w:val="4286FB8B"/>
    <w:rsid w:val="428A53DB"/>
    <w:rsid w:val="428B41F5"/>
    <w:rsid w:val="428D0A72"/>
    <w:rsid w:val="428E5ADB"/>
    <w:rsid w:val="4290D7C3"/>
    <w:rsid w:val="4295B51A"/>
    <w:rsid w:val="42967E57"/>
    <w:rsid w:val="42972049"/>
    <w:rsid w:val="42975502"/>
    <w:rsid w:val="42981D9C"/>
    <w:rsid w:val="42987E78"/>
    <w:rsid w:val="42A67946"/>
    <w:rsid w:val="42A68703"/>
    <w:rsid w:val="42AD7AAD"/>
    <w:rsid w:val="42ADA40A"/>
    <w:rsid w:val="42AE54E9"/>
    <w:rsid w:val="42B09147"/>
    <w:rsid w:val="42B3B349"/>
    <w:rsid w:val="42B5D6FF"/>
    <w:rsid w:val="42B710E2"/>
    <w:rsid w:val="42B813AA"/>
    <w:rsid w:val="42BB13B7"/>
    <w:rsid w:val="42BFBC2E"/>
    <w:rsid w:val="42C0134F"/>
    <w:rsid w:val="42C6E000"/>
    <w:rsid w:val="42C8857D"/>
    <w:rsid w:val="42CC69BC"/>
    <w:rsid w:val="42CE2A6A"/>
    <w:rsid w:val="42D97467"/>
    <w:rsid w:val="42DC47A8"/>
    <w:rsid w:val="42DE5357"/>
    <w:rsid w:val="42DE67CE"/>
    <w:rsid w:val="42E34478"/>
    <w:rsid w:val="42E512A2"/>
    <w:rsid w:val="42E62FFC"/>
    <w:rsid w:val="42E8B6F5"/>
    <w:rsid w:val="42EC1A9C"/>
    <w:rsid w:val="42EE0677"/>
    <w:rsid w:val="42EF3D09"/>
    <w:rsid w:val="42F150C7"/>
    <w:rsid w:val="42F435A6"/>
    <w:rsid w:val="42F5D957"/>
    <w:rsid w:val="42FCB8BA"/>
    <w:rsid w:val="4304A29D"/>
    <w:rsid w:val="43052568"/>
    <w:rsid w:val="43056E62"/>
    <w:rsid w:val="430B3334"/>
    <w:rsid w:val="430BA1D9"/>
    <w:rsid w:val="430D4F14"/>
    <w:rsid w:val="43111AA3"/>
    <w:rsid w:val="4311807C"/>
    <w:rsid w:val="4311EA12"/>
    <w:rsid w:val="43134F96"/>
    <w:rsid w:val="431541CB"/>
    <w:rsid w:val="4315D074"/>
    <w:rsid w:val="431D59AC"/>
    <w:rsid w:val="431F2515"/>
    <w:rsid w:val="43254DC2"/>
    <w:rsid w:val="4325947D"/>
    <w:rsid w:val="4327577B"/>
    <w:rsid w:val="432DFD87"/>
    <w:rsid w:val="433841D6"/>
    <w:rsid w:val="433CEB77"/>
    <w:rsid w:val="433DF42D"/>
    <w:rsid w:val="433E50E4"/>
    <w:rsid w:val="433FBEB6"/>
    <w:rsid w:val="43488B42"/>
    <w:rsid w:val="434AF631"/>
    <w:rsid w:val="434B5F5B"/>
    <w:rsid w:val="434F1CAF"/>
    <w:rsid w:val="435204EB"/>
    <w:rsid w:val="435236F7"/>
    <w:rsid w:val="43556E29"/>
    <w:rsid w:val="43665CE8"/>
    <w:rsid w:val="4368C0FF"/>
    <w:rsid w:val="43696425"/>
    <w:rsid w:val="436C71CB"/>
    <w:rsid w:val="436DEF60"/>
    <w:rsid w:val="4374C815"/>
    <w:rsid w:val="437827CA"/>
    <w:rsid w:val="4378A47E"/>
    <w:rsid w:val="437959F1"/>
    <w:rsid w:val="437C2877"/>
    <w:rsid w:val="437CF441"/>
    <w:rsid w:val="437D05D1"/>
    <w:rsid w:val="4380AB97"/>
    <w:rsid w:val="4388FF8B"/>
    <w:rsid w:val="438C22AA"/>
    <w:rsid w:val="43909C9F"/>
    <w:rsid w:val="43956C3E"/>
    <w:rsid w:val="43966E5D"/>
    <w:rsid w:val="439E4679"/>
    <w:rsid w:val="439FEF5B"/>
    <w:rsid w:val="43A2EF05"/>
    <w:rsid w:val="43A301EA"/>
    <w:rsid w:val="43A72537"/>
    <w:rsid w:val="43A88BC8"/>
    <w:rsid w:val="43AC76AB"/>
    <w:rsid w:val="43B57CC9"/>
    <w:rsid w:val="43B60650"/>
    <w:rsid w:val="43BAE6A3"/>
    <w:rsid w:val="43BBBE76"/>
    <w:rsid w:val="43CB6CF0"/>
    <w:rsid w:val="43CF045D"/>
    <w:rsid w:val="43D4F3BB"/>
    <w:rsid w:val="43E581C8"/>
    <w:rsid w:val="43E8B5DE"/>
    <w:rsid w:val="43EFB386"/>
    <w:rsid w:val="43F0E5A6"/>
    <w:rsid w:val="43F2CD07"/>
    <w:rsid w:val="43FB17AA"/>
    <w:rsid w:val="43FC8416"/>
    <w:rsid w:val="44006E4E"/>
    <w:rsid w:val="44056C07"/>
    <w:rsid w:val="44058F4A"/>
    <w:rsid w:val="4405CCA0"/>
    <w:rsid w:val="44102931"/>
    <w:rsid w:val="4411D14D"/>
    <w:rsid w:val="441573A2"/>
    <w:rsid w:val="441764DE"/>
    <w:rsid w:val="4417F52E"/>
    <w:rsid w:val="44194F47"/>
    <w:rsid w:val="441FD48F"/>
    <w:rsid w:val="44204D5E"/>
    <w:rsid w:val="4421FCBC"/>
    <w:rsid w:val="44239D62"/>
    <w:rsid w:val="4424537F"/>
    <w:rsid w:val="44250367"/>
    <w:rsid w:val="442AB4DC"/>
    <w:rsid w:val="442EFE1F"/>
    <w:rsid w:val="442F5A45"/>
    <w:rsid w:val="442F5D44"/>
    <w:rsid w:val="44346B3C"/>
    <w:rsid w:val="44390883"/>
    <w:rsid w:val="443BA79F"/>
    <w:rsid w:val="44422353"/>
    <w:rsid w:val="44430EC1"/>
    <w:rsid w:val="44475BA9"/>
    <w:rsid w:val="44493ABE"/>
    <w:rsid w:val="4455FB89"/>
    <w:rsid w:val="44589FB5"/>
    <w:rsid w:val="445A27CC"/>
    <w:rsid w:val="445EC627"/>
    <w:rsid w:val="4461D965"/>
    <w:rsid w:val="446233B7"/>
    <w:rsid w:val="4467FFA5"/>
    <w:rsid w:val="446FD339"/>
    <w:rsid w:val="44710F23"/>
    <w:rsid w:val="44722C23"/>
    <w:rsid w:val="44725D3D"/>
    <w:rsid w:val="44741CA4"/>
    <w:rsid w:val="4475F852"/>
    <w:rsid w:val="44767B49"/>
    <w:rsid w:val="44774450"/>
    <w:rsid w:val="4479121C"/>
    <w:rsid w:val="447C8E9A"/>
    <w:rsid w:val="4480378F"/>
    <w:rsid w:val="4481FD95"/>
    <w:rsid w:val="44843688"/>
    <w:rsid w:val="44866969"/>
    <w:rsid w:val="44875AAB"/>
    <w:rsid w:val="44880903"/>
    <w:rsid w:val="448FCDA1"/>
    <w:rsid w:val="44923D13"/>
    <w:rsid w:val="44967E8E"/>
    <w:rsid w:val="449A875A"/>
    <w:rsid w:val="449BD6B7"/>
    <w:rsid w:val="449DB1F5"/>
    <w:rsid w:val="449E13EC"/>
    <w:rsid w:val="449EA0E5"/>
    <w:rsid w:val="449F32E6"/>
    <w:rsid w:val="44A9DE73"/>
    <w:rsid w:val="44AAD215"/>
    <w:rsid w:val="44B41C3C"/>
    <w:rsid w:val="44B749FE"/>
    <w:rsid w:val="44B815F0"/>
    <w:rsid w:val="44C9DD7D"/>
    <w:rsid w:val="44D044B9"/>
    <w:rsid w:val="44D92A95"/>
    <w:rsid w:val="44DADE6A"/>
    <w:rsid w:val="44E06224"/>
    <w:rsid w:val="44E1F063"/>
    <w:rsid w:val="44E357C3"/>
    <w:rsid w:val="44E729AA"/>
    <w:rsid w:val="44E90277"/>
    <w:rsid w:val="44EC9247"/>
    <w:rsid w:val="44ED8A0E"/>
    <w:rsid w:val="44EF716A"/>
    <w:rsid w:val="44F16B30"/>
    <w:rsid w:val="44F39B0B"/>
    <w:rsid w:val="44F68766"/>
    <w:rsid w:val="44FB92CE"/>
    <w:rsid w:val="44FC48CC"/>
    <w:rsid w:val="44FF2AFB"/>
    <w:rsid w:val="44FF4122"/>
    <w:rsid w:val="450111CA"/>
    <w:rsid w:val="4508A6E4"/>
    <w:rsid w:val="450CA835"/>
    <w:rsid w:val="45120584"/>
    <w:rsid w:val="4518F84C"/>
    <w:rsid w:val="451B3AA3"/>
    <w:rsid w:val="45211E7E"/>
    <w:rsid w:val="4521CC55"/>
    <w:rsid w:val="4528085E"/>
    <w:rsid w:val="4529DF29"/>
    <w:rsid w:val="452D6502"/>
    <w:rsid w:val="4535044A"/>
    <w:rsid w:val="45367D3C"/>
    <w:rsid w:val="4538AA3A"/>
    <w:rsid w:val="4539EA13"/>
    <w:rsid w:val="453FF73D"/>
    <w:rsid w:val="4547F1CF"/>
    <w:rsid w:val="454A0C01"/>
    <w:rsid w:val="454EFCEF"/>
    <w:rsid w:val="454FC739"/>
    <w:rsid w:val="45503790"/>
    <w:rsid w:val="4550EB9D"/>
    <w:rsid w:val="4551B50C"/>
    <w:rsid w:val="4556391D"/>
    <w:rsid w:val="4556EADC"/>
    <w:rsid w:val="455E500C"/>
    <w:rsid w:val="4561322D"/>
    <w:rsid w:val="45640B76"/>
    <w:rsid w:val="45677977"/>
    <w:rsid w:val="456841B0"/>
    <w:rsid w:val="456BAF01"/>
    <w:rsid w:val="456D6A9C"/>
    <w:rsid w:val="456FA862"/>
    <w:rsid w:val="456FFF5D"/>
    <w:rsid w:val="4573E662"/>
    <w:rsid w:val="45775234"/>
    <w:rsid w:val="45784751"/>
    <w:rsid w:val="457BA390"/>
    <w:rsid w:val="457D9A58"/>
    <w:rsid w:val="45825277"/>
    <w:rsid w:val="4584D313"/>
    <w:rsid w:val="4588B07F"/>
    <w:rsid w:val="45913306"/>
    <w:rsid w:val="4591EC0D"/>
    <w:rsid w:val="459837F5"/>
    <w:rsid w:val="459C3F8D"/>
    <w:rsid w:val="459DDDC3"/>
    <w:rsid w:val="459E1E0C"/>
    <w:rsid w:val="45A1BD16"/>
    <w:rsid w:val="45A711D4"/>
    <w:rsid w:val="45AAE5B3"/>
    <w:rsid w:val="45AF0BA1"/>
    <w:rsid w:val="45BE4670"/>
    <w:rsid w:val="45C1355E"/>
    <w:rsid w:val="45C2A402"/>
    <w:rsid w:val="45C47704"/>
    <w:rsid w:val="45C5FFD3"/>
    <w:rsid w:val="45C6EB6B"/>
    <w:rsid w:val="45D2475D"/>
    <w:rsid w:val="45D61255"/>
    <w:rsid w:val="45DCA045"/>
    <w:rsid w:val="45DE60F8"/>
    <w:rsid w:val="45E04391"/>
    <w:rsid w:val="45E10E20"/>
    <w:rsid w:val="45E43267"/>
    <w:rsid w:val="45E937C5"/>
    <w:rsid w:val="45EBB0A8"/>
    <w:rsid w:val="45F1E126"/>
    <w:rsid w:val="45F37962"/>
    <w:rsid w:val="45F6D888"/>
    <w:rsid w:val="45FB7DFC"/>
    <w:rsid w:val="45FC4B8E"/>
    <w:rsid w:val="46004AC1"/>
    <w:rsid w:val="4601914E"/>
    <w:rsid w:val="4602BF50"/>
    <w:rsid w:val="460443A4"/>
    <w:rsid w:val="460AF810"/>
    <w:rsid w:val="460B6AE9"/>
    <w:rsid w:val="460D92D2"/>
    <w:rsid w:val="460DE8BA"/>
    <w:rsid w:val="460DFFD8"/>
    <w:rsid w:val="460F90B1"/>
    <w:rsid w:val="461243D7"/>
    <w:rsid w:val="4612DAE7"/>
    <w:rsid w:val="461340CD"/>
    <w:rsid w:val="4617F8B6"/>
    <w:rsid w:val="461B510C"/>
    <w:rsid w:val="461EACE1"/>
    <w:rsid w:val="461F5B1F"/>
    <w:rsid w:val="4620CEB8"/>
    <w:rsid w:val="4625A610"/>
    <w:rsid w:val="46265765"/>
    <w:rsid w:val="4627E444"/>
    <w:rsid w:val="46285C00"/>
    <w:rsid w:val="4633D774"/>
    <w:rsid w:val="4636D0BE"/>
    <w:rsid w:val="46374FB0"/>
    <w:rsid w:val="463C0477"/>
    <w:rsid w:val="463EBAF1"/>
    <w:rsid w:val="46406D9C"/>
    <w:rsid w:val="46415D41"/>
    <w:rsid w:val="4642A24A"/>
    <w:rsid w:val="46441E94"/>
    <w:rsid w:val="46450901"/>
    <w:rsid w:val="46453D25"/>
    <w:rsid w:val="46465382"/>
    <w:rsid w:val="46480FA3"/>
    <w:rsid w:val="464832E9"/>
    <w:rsid w:val="46489CD5"/>
    <w:rsid w:val="464941EE"/>
    <w:rsid w:val="4659789B"/>
    <w:rsid w:val="46680A1A"/>
    <w:rsid w:val="466BFBE8"/>
    <w:rsid w:val="466C55C3"/>
    <w:rsid w:val="467E3DAF"/>
    <w:rsid w:val="4682D833"/>
    <w:rsid w:val="4683FB97"/>
    <w:rsid w:val="468A7946"/>
    <w:rsid w:val="468C1398"/>
    <w:rsid w:val="469144B6"/>
    <w:rsid w:val="4694585D"/>
    <w:rsid w:val="469611D4"/>
    <w:rsid w:val="469A5ED1"/>
    <w:rsid w:val="469CE631"/>
    <w:rsid w:val="469FCDDE"/>
    <w:rsid w:val="46A0DBE6"/>
    <w:rsid w:val="46A3DDCE"/>
    <w:rsid w:val="46A45F77"/>
    <w:rsid w:val="46A5702B"/>
    <w:rsid w:val="46A6AEF3"/>
    <w:rsid w:val="46A7ECEB"/>
    <w:rsid w:val="46AA2E3B"/>
    <w:rsid w:val="46AB867D"/>
    <w:rsid w:val="46ADCDFD"/>
    <w:rsid w:val="46AF21E3"/>
    <w:rsid w:val="46AF9A9D"/>
    <w:rsid w:val="46B64C77"/>
    <w:rsid w:val="46B665FF"/>
    <w:rsid w:val="46B72DF8"/>
    <w:rsid w:val="46BFD750"/>
    <w:rsid w:val="46C4E099"/>
    <w:rsid w:val="46C650CD"/>
    <w:rsid w:val="46C70043"/>
    <w:rsid w:val="46C8E709"/>
    <w:rsid w:val="46CC3561"/>
    <w:rsid w:val="46CEECCD"/>
    <w:rsid w:val="46D03864"/>
    <w:rsid w:val="46D14BFF"/>
    <w:rsid w:val="46D46B04"/>
    <w:rsid w:val="46D5CC4E"/>
    <w:rsid w:val="46D5FCE1"/>
    <w:rsid w:val="46D8623C"/>
    <w:rsid w:val="46DC1A5A"/>
    <w:rsid w:val="46DEC589"/>
    <w:rsid w:val="46E06A33"/>
    <w:rsid w:val="46E8247B"/>
    <w:rsid w:val="46E8C986"/>
    <w:rsid w:val="46EA6368"/>
    <w:rsid w:val="46EB66D2"/>
    <w:rsid w:val="46ECB171"/>
    <w:rsid w:val="46EFDFC5"/>
    <w:rsid w:val="46F11C79"/>
    <w:rsid w:val="46F45707"/>
    <w:rsid w:val="46F7B9E9"/>
    <w:rsid w:val="46F8480C"/>
    <w:rsid w:val="4702D68F"/>
    <w:rsid w:val="470738DF"/>
    <w:rsid w:val="470BBEAB"/>
    <w:rsid w:val="4718E2D2"/>
    <w:rsid w:val="471B3D72"/>
    <w:rsid w:val="471CBB53"/>
    <w:rsid w:val="472563B0"/>
    <w:rsid w:val="472AFE9C"/>
    <w:rsid w:val="472CE46B"/>
    <w:rsid w:val="472F5D06"/>
    <w:rsid w:val="472F8094"/>
    <w:rsid w:val="473092B3"/>
    <w:rsid w:val="47354F21"/>
    <w:rsid w:val="47391E79"/>
    <w:rsid w:val="473AC5A0"/>
    <w:rsid w:val="474149B1"/>
    <w:rsid w:val="4746C1D6"/>
    <w:rsid w:val="474943AF"/>
    <w:rsid w:val="474E5AF3"/>
    <w:rsid w:val="4753E768"/>
    <w:rsid w:val="47551BBB"/>
    <w:rsid w:val="4757D7C6"/>
    <w:rsid w:val="475860C9"/>
    <w:rsid w:val="475A5288"/>
    <w:rsid w:val="475A5EFF"/>
    <w:rsid w:val="4760319D"/>
    <w:rsid w:val="476076BF"/>
    <w:rsid w:val="47623C4C"/>
    <w:rsid w:val="4763BC2C"/>
    <w:rsid w:val="476520BB"/>
    <w:rsid w:val="476668AA"/>
    <w:rsid w:val="476A18C2"/>
    <w:rsid w:val="476FD1CF"/>
    <w:rsid w:val="47740A93"/>
    <w:rsid w:val="4777553B"/>
    <w:rsid w:val="4779731A"/>
    <w:rsid w:val="4779F1BC"/>
    <w:rsid w:val="477A742E"/>
    <w:rsid w:val="477B8F0E"/>
    <w:rsid w:val="4782BD74"/>
    <w:rsid w:val="47837B89"/>
    <w:rsid w:val="47856740"/>
    <w:rsid w:val="47860345"/>
    <w:rsid w:val="478B7DDF"/>
    <w:rsid w:val="478D1EB2"/>
    <w:rsid w:val="478EE77E"/>
    <w:rsid w:val="4790DE0E"/>
    <w:rsid w:val="4793FF1D"/>
    <w:rsid w:val="47951BE6"/>
    <w:rsid w:val="4795854B"/>
    <w:rsid w:val="4797DE1F"/>
    <w:rsid w:val="479803A9"/>
    <w:rsid w:val="4798345C"/>
    <w:rsid w:val="479E3006"/>
    <w:rsid w:val="479FFC19"/>
    <w:rsid w:val="47A07EE0"/>
    <w:rsid w:val="47A0EAEC"/>
    <w:rsid w:val="47A1A89D"/>
    <w:rsid w:val="47AFC283"/>
    <w:rsid w:val="47B25671"/>
    <w:rsid w:val="47B439DC"/>
    <w:rsid w:val="47B984E1"/>
    <w:rsid w:val="47BA4EEB"/>
    <w:rsid w:val="47BC174B"/>
    <w:rsid w:val="47BC7EAC"/>
    <w:rsid w:val="47BDDD22"/>
    <w:rsid w:val="47C0B4AF"/>
    <w:rsid w:val="47C53E64"/>
    <w:rsid w:val="47C82C73"/>
    <w:rsid w:val="47C94A7A"/>
    <w:rsid w:val="47C9EA33"/>
    <w:rsid w:val="47CDEFA0"/>
    <w:rsid w:val="47CE659F"/>
    <w:rsid w:val="47D01A0F"/>
    <w:rsid w:val="47D293A9"/>
    <w:rsid w:val="47D4B99D"/>
    <w:rsid w:val="47D519A4"/>
    <w:rsid w:val="47D6DA61"/>
    <w:rsid w:val="47D9AEB1"/>
    <w:rsid w:val="47D9B720"/>
    <w:rsid w:val="47DAE814"/>
    <w:rsid w:val="47DCB77D"/>
    <w:rsid w:val="47DDEAB1"/>
    <w:rsid w:val="47DF9B00"/>
    <w:rsid w:val="47E3EECA"/>
    <w:rsid w:val="47E9A316"/>
    <w:rsid w:val="47EEF5D9"/>
    <w:rsid w:val="47F0D47E"/>
    <w:rsid w:val="47F4023B"/>
    <w:rsid w:val="47F76EB2"/>
    <w:rsid w:val="47F820A6"/>
    <w:rsid w:val="47F9093A"/>
    <w:rsid w:val="47FB2578"/>
    <w:rsid w:val="47FB467E"/>
    <w:rsid w:val="47FDDFAC"/>
    <w:rsid w:val="48073215"/>
    <w:rsid w:val="480A3ED3"/>
    <w:rsid w:val="480BFA10"/>
    <w:rsid w:val="480EE999"/>
    <w:rsid w:val="48116355"/>
    <w:rsid w:val="4819455E"/>
    <w:rsid w:val="481BABB5"/>
    <w:rsid w:val="481D2926"/>
    <w:rsid w:val="481EDA8F"/>
    <w:rsid w:val="48219708"/>
    <w:rsid w:val="482534B4"/>
    <w:rsid w:val="482A9D4B"/>
    <w:rsid w:val="482C7307"/>
    <w:rsid w:val="482DB326"/>
    <w:rsid w:val="48361911"/>
    <w:rsid w:val="483BAA42"/>
    <w:rsid w:val="483EA037"/>
    <w:rsid w:val="483EA89A"/>
    <w:rsid w:val="4844B44E"/>
    <w:rsid w:val="4844D594"/>
    <w:rsid w:val="484B93A2"/>
    <w:rsid w:val="484CD0AD"/>
    <w:rsid w:val="484CD5C5"/>
    <w:rsid w:val="484E6C8C"/>
    <w:rsid w:val="484EFB43"/>
    <w:rsid w:val="484EFDED"/>
    <w:rsid w:val="484F757F"/>
    <w:rsid w:val="4851781B"/>
    <w:rsid w:val="4858904A"/>
    <w:rsid w:val="48591194"/>
    <w:rsid w:val="485DEE44"/>
    <w:rsid w:val="4861C712"/>
    <w:rsid w:val="4864A269"/>
    <w:rsid w:val="486B5073"/>
    <w:rsid w:val="4875EC84"/>
    <w:rsid w:val="487DE873"/>
    <w:rsid w:val="487FC69B"/>
    <w:rsid w:val="4883A65B"/>
    <w:rsid w:val="4887CF84"/>
    <w:rsid w:val="48922A84"/>
    <w:rsid w:val="4895C57D"/>
    <w:rsid w:val="489A7052"/>
    <w:rsid w:val="489F6774"/>
    <w:rsid w:val="48AA64F8"/>
    <w:rsid w:val="48B536DE"/>
    <w:rsid w:val="48B557B7"/>
    <w:rsid w:val="48B6C074"/>
    <w:rsid w:val="48C27D5C"/>
    <w:rsid w:val="48C5E354"/>
    <w:rsid w:val="48D2143C"/>
    <w:rsid w:val="48D4F807"/>
    <w:rsid w:val="48D53ACE"/>
    <w:rsid w:val="48D6519B"/>
    <w:rsid w:val="48D78DBE"/>
    <w:rsid w:val="48D824D3"/>
    <w:rsid w:val="48D9604F"/>
    <w:rsid w:val="48D9B800"/>
    <w:rsid w:val="48E08E24"/>
    <w:rsid w:val="48E12616"/>
    <w:rsid w:val="48E1BE8B"/>
    <w:rsid w:val="48E3B645"/>
    <w:rsid w:val="48E7F2E4"/>
    <w:rsid w:val="48EA03FD"/>
    <w:rsid w:val="48EE246D"/>
    <w:rsid w:val="48F35ECE"/>
    <w:rsid w:val="48FB394B"/>
    <w:rsid w:val="48FCB52D"/>
    <w:rsid w:val="48FFB216"/>
    <w:rsid w:val="49023522"/>
    <w:rsid w:val="490440C3"/>
    <w:rsid w:val="49051788"/>
    <w:rsid w:val="4907FCA4"/>
    <w:rsid w:val="490B83F1"/>
    <w:rsid w:val="490E2483"/>
    <w:rsid w:val="491065F7"/>
    <w:rsid w:val="4911E895"/>
    <w:rsid w:val="491452F9"/>
    <w:rsid w:val="491662BC"/>
    <w:rsid w:val="491854B1"/>
    <w:rsid w:val="491E246D"/>
    <w:rsid w:val="4922730F"/>
    <w:rsid w:val="49274CC8"/>
    <w:rsid w:val="492792F3"/>
    <w:rsid w:val="492B255C"/>
    <w:rsid w:val="492C2D7B"/>
    <w:rsid w:val="492C6F0B"/>
    <w:rsid w:val="492DA625"/>
    <w:rsid w:val="49372B67"/>
    <w:rsid w:val="4937347A"/>
    <w:rsid w:val="493B34F3"/>
    <w:rsid w:val="493D515E"/>
    <w:rsid w:val="4940B7E3"/>
    <w:rsid w:val="49479C1E"/>
    <w:rsid w:val="494988F1"/>
    <w:rsid w:val="49510E02"/>
    <w:rsid w:val="4952308A"/>
    <w:rsid w:val="4952613B"/>
    <w:rsid w:val="49585573"/>
    <w:rsid w:val="4958BB9E"/>
    <w:rsid w:val="495915DE"/>
    <w:rsid w:val="49622046"/>
    <w:rsid w:val="49682400"/>
    <w:rsid w:val="4971F972"/>
    <w:rsid w:val="4976D477"/>
    <w:rsid w:val="4978BEB3"/>
    <w:rsid w:val="497B4831"/>
    <w:rsid w:val="497BBD2E"/>
    <w:rsid w:val="497D311A"/>
    <w:rsid w:val="497D31E7"/>
    <w:rsid w:val="497DA849"/>
    <w:rsid w:val="49815FF4"/>
    <w:rsid w:val="49831723"/>
    <w:rsid w:val="498AF972"/>
    <w:rsid w:val="498C40FB"/>
    <w:rsid w:val="498CF034"/>
    <w:rsid w:val="498DB2D8"/>
    <w:rsid w:val="4993A457"/>
    <w:rsid w:val="4995B138"/>
    <w:rsid w:val="49A05BE3"/>
    <w:rsid w:val="49A29781"/>
    <w:rsid w:val="49A8501E"/>
    <w:rsid w:val="49A91369"/>
    <w:rsid w:val="49A97635"/>
    <w:rsid w:val="49AF30AE"/>
    <w:rsid w:val="49B3F9EB"/>
    <w:rsid w:val="49B60E47"/>
    <w:rsid w:val="49B956D5"/>
    <w:rsid w:val="49BC42AB"/>
    <w:rsid w:val="49BE0B0B"/>
    <w:rsid w:val="49BE5B62"/>
    <w:rsid w:val="49C0DA2C"/>
    <w:rsid w:val="49C3B007"/>
    <w:rsid w:val="49CAD3A4"/>
    <w:rsid w:val="49CD8D4A"/>
    <w:rsid w:val="49CEC171"/>
    <w:rsid w:val="49CECF5D"/>
    <w:rsid w:val="49D037D1"/>
    <w:rsid w:val="49D23E35"/>
    <w:rsid w:val="49D379B0"/>
    <w:rsid w:val="49D4FF34"/>
    <w:rsid w:val="49D5C160"/>
    <w:rsid w:val="49D61486"/>
    <w:rsid w:val="49D8099D"/>
    <w:rsid w:val="49DA7F35"/>
    <w:rsid w:val="49DBC27B"/>
    <w:rsid w:val="49EC0A18"/>
    <w:rsid w:val="49EC315C"/>
    <w:rsid w:val="49EF5679"/>
    <w:rsid w:val="49EF7977"/>
    <w:rsid w:val="49F19E24"/>
    <w:rsid w:val="49F3E53A"/>
    <w:rsid w:val="49F5FB7B"/>
    <w:rsid w:val="4A023AAE"/>
    <w:rsid w:val="4A040606"/>
    <w:rsid w:val="4A0D3AB6"/>
    <w:rsid w:val="4A118D51"/>
    <w:rsid w:val="4A14147E"/>
    <w:rsid w:val="4A17EFB0"/>
    <w:rsid w:val="4A1F31E5"/>
    <w:rsid w:val="4A23A86A"/>
    <w:rsid w:val="4A23B93E"/>
    <w:rsid w:val="4A25152D"/>
    <w:rsid w:val="4A2D32CE"/>
    <w:rsid w:val="4A2DFC8E"/>
    <w:rsid w:val="4A384956"/>
    <w:rsid w:val="4A394493"/>
    <w:rsid w:val="4A3A5AE2"/>
    <w:rsid w:val="4A3B0B3F"/>
    <w:rsid w:val="4A422B76"/>
    <w:rsid w:val="4A4D4FD5"/>
    <w:rsid w:val="4A57305F"/>
    <w:rsid w:val="4A5F8F12"/>
    <w:rsid w:val="4A644577"/>
    <w:rsid w:val="4A65BAB0"/>
    <w:rsid w:val="4A6B21D6"/>
    <w:rsid w:val="4A7521DF"/>
    <w:rsid w:val="4A7C3394"/>
    <w:rsid w:val="4A8530ED"/>
    <w:rsid w:val="4A8D47DD"/>
    <w:rsid w:val="4A8EBACA"/>
    <w:rsid w:val="4A8FB055"/>
    <w:rsid w:val="4A94B87C"/>
    <w:rsid w:val="4A96A0AD"/>
    <w:rsid w:val="4A987D55"/>
    <w:rsid w:val="4A98C9B0"/>
    <w:rsid w:val="4A9923FE"/>
    <w:rsid w:val="4A9D4380"/>
    <w:rsid w:val="4A9DCCB0"/>
    <w:rsid w:val="4AA995BD"/>
    <w:rsid w:val="4AB67EC3"/>
    <w:rsid w:val="4AB837F7"/>
    <w:rsid w:val="4ABB2353"/>
    <w:rsid w:val="4ABFF2FC"/>
    <w:rsid w:val="4AC30050"/>
    <w:rsid w:val="4AC30D19"/>
    <w:rsid w:val="4AC968E1"/>
    <w:rsid w:val="4ACA86B1"/>
    <w:rsid w:val="4ACD4B22"/>
    <w:rsid w:val="4AD171E6"/>
    <w:rsid w:val="4AD313AC"/>
    <w:rsid w:val="4AD34A37"/>
    <w:rsid w:val="4AD3C36B"/>
    <w:rsid w:val="4AD808F1"/>
    <w:rsid w:val="4ADAD539"/>
    <w:rsid w:val="4ADC19F6"/>
    <w:rsid w:val="4AE115E7"/>
    <w:rsid w:val="4AE1F010"/>
    <w:rsid w:val="4AE1F298"/>
    <w:rsid w:val="4AEE85D7"/>
    <w:rsid w:val="4AEFC26F"/>
    <w:rsid w:val="4AF19049"/>
    <w:rsid w:val="4AF62038"/>
    <w:rsid w:val="4AF7800D"/>
    <w:rsid w:val="4AFE5EDD"/>
    <w:rsid w:val="4AFE711F"/>
    <w:rsid w:val="4B044593"/>
    <w:rsid w:val="4B086ACA"/>
    <w:rsid w:val="4B0D6A3A"/>
    <w:rsid w:val="4B14EE23"/>
    <w:rsid w:val="4B158B73"/>
    <w:rsid w:val="4B16C2D2"/>
    <w:rsid w:val="4B19F498"/>
    <w:rsid w:val="4B1C78ED"/>
    <w:rsid w:val="4B1D09DE"/>
    <w:rsid w:val="4B1E4F6E"/>
    <w:rsid w:val="4B1E7A67"/>
    <w:rsid w:val="4B1F2062"/>
    <w:rsid w:val="4B221695"/>
    <w:rsid w:val="4B2391FC"/>
    <w:rsid w:val="4B24810F"/>
    <w:rsid w:val="4B29D878"/>
    <w:rsid w:val="4B2BC4E5"/>
    <w:rsid w:val="4B2BE509"/>
    <w:rsid w:val="4B2ECF2B"/>
    <w:rsid w:val="4B39DA55"/>
    <w:rsid w:val="4B39EE79"/>
    <w:rsid w:val="4B3BDC00"/>
    <w:rsid w:val="4B49EDED"/>
    <w:rsid w:val="4B4C96E1"/>
    <w:rsid w:val="4B4E43D6"/>
    <w:rsid w:val="4B4EEB15"/>
    <w:rsid w:val="4B583C12"/>
    <w:rsid w:val="4B5A520A"/>
    <w:rsid w:val="4B5B3BC8"/>
    <w:rsid w:val="4B5C396A"/>
    <w:rsid w:val="4B5C8572"/>
    <w:rsid w:val="4B5E1756"/>
    <w:rsid w:val="4B5E9390"/>
    <w:rsid w:val="4B5EEF33"/>
    <w:rsid w:val="4B609B76"/>
    <w:rsid w:val="4B60C6F5"/>
    <w:rsid w:val="4B6114F4"/>
    <w:rsid w:val="4B6DBEFC"/>
    <w:rsid w:val="4B743504"/>
    <w:rsid w:val="4B78F62D"/>
    <w:rsid w:val="4B7E5B1C"/>
    <w:rsid w:val="4B7E8811"/>
    <w:rsid w:val="4B7ED253"/>
    <w:rsid w:val="4B83A596"/>
    <w:rsid w:val="4B8765CC"/>
    <w:rsid w:val="4B8CACFE"/>
    <w:rsid w:val="4B91F95A"/>
    <w:rsid w:val="4B966AA7"/>
    <w:rsid w:val="4B97E0E0"/>
    <w:rsid w:val="4BA1D40D"/>
    <w:rsid w:val="4BA41154"/>
    <w:rsid w:val="4BAA213B"/>
    <w:rsid w:val="4BAA6C54"/>
    <w:rsid w:val="4BAD5DB2"/>
    <w:rsid w:val="4BADD121"/>
    <w:rsid w:val="4BB5A004"/>
    <w:rsid w:val="4BB72CBF"/>
    <w:rsid w:val="4BB98C8E"/>
    <w:rsid w:val="4BBD02C9"/>
    <w:rsid w:val="4BC08BE6"/>
    <w:rsid w:val="4BC43DE4"/>
    <w:rsid w:val="4BC4EA8F"/>
    <w:rsid w:val="4BCF0C69"/>
    <w:rsid w:val="4BD4584F"/>
    <w:rsid w:val="4BD91199"/>
    <w:rsid w:val="4BDB3DDF"/>
    <w:rsid w:val="4BDC1337"/>
    <w:rsid w:val="4BE1E4E8"/>
    <w:rsid w:val="4BE33584"/>
    <w:rsid w:val="4BE34FAF"/>
    <w:rsid w:val="4BE3D70E"/>
    <w:rsid w:val="4BE7EAF8"/>
    <w:rsid w:val="4BE7F8FE"/>
    <w:rsid w:val="4BE9CFB7"/>
    <w:rsid w:val="4BED0DAD"/>
    <w:rsid w:val="4BEE4CF7"/>
    <w:rsid w:val="4BEE68F2"/>
    <w:rsid w:val="4BF9450D"/>
    <w:rsid w:val="4BF9F4D7"/>
    <w:rsid w:val="4BFAF170"/>
    <w:rsid w:val="4C085279"/>
    <w:rsid w:val="4C0D6AE0"/>
    <w:rsid w:val="4C0FF3ED"/>
    <w:rsid w:val="4C10B797"/>
    <w:rsid w:val="4C12FAB4"/>
    <w:rsid w:val="4C132387"/>
    <w:rsid w:val="4C15E0A2"/>
    <w:rsid w:val="4C1B6C97"/>
    <w:rsid w:val="4C1DF040"/>
    <w:rsid w:val="4C206051"/>
    <w:rsid w:val="4C255078"/>
    <w:rsid w:val="4C299DC4"/>
    <w:rsid w:val="4C2AE1D3"/>
    <w:rsid w:val="4C2D9CE1"/>
    <w:rsid w:val="4C34EFCD"/>
    <w:rsid w:val="4C35CD8C"/>
    <w:rsid w:val="4C36463C"/>
    <w:rsid w:val="4C3965AB"/>
    <w:rsid w:val="4C3CF483"/>
    <w:rsid w:val="4C4116BE"/>
    <w:rsid w:val="4C438637"/>
    <w:rsid w:val="4C43C8E5"/>
    <w:rsid w:val="4C443EAB"/>
    <w:rsid w:val="4C445B31"/>
    <w:rsid w:val="4C451A7F"/>
    <w:rsid w:val="4C45AE12"/>
    <w:rsid w:val="4C4A4C1B"/>
    <w:rsid w:val="4C4AD1DF"/>
    <w:rsid w:val="4C50C3FB"/>
    <w:rsid w:val="4C547320"/>
    <w:rsid w:val="4C55E36D"/>
    <w:rsid w:val="4C6274A3"/>
    <w:rsid w:val="4C634C88"/>
    <w:rsid w:val="4C674BBB"/>
    <w:rsid w:val="4C676215"/>
    <w:rsid w:val="4C679EA2"/>
    <w:rsid w:val="4C6E1BFC"/>
    <w:rsid w:val="4C790999"/>
    <w:rsid w:val="4C81A485"/>
    <w:rsid w:val="4C866730"/>
    <w:rsid w:val="4C877F8E"/>
    <w:rsid w:val="4C88318A"/>
    <w:rsid w:val="4C8AD934"/>
    <w:rsid w:val="4C8C5A35"/>
    <w:rsid w:val="4C8C6C9E"/>
    <w:rsid w:val="4C8FF410"/>
    <w:rsid w:val="4C900FCB"/>
    <w:rsid w:val="4C90CDC1"/>
    <w:rsid w:val="4C935B53"/>
    <w:rsid w:val="4C9A7C20"/>
    <w:rsid w:val="4C9F94F6"/>
    <w:rsid w:val="4CA33BBC"/>
    <w:rsid w:val="4CA51E2A"/>
    <w:rsid w:val="4CA57826"/>
    <w:rsid w:val="4CAA0A18"/>
    <w:rsid w:val="4CABF208"/>
    <w:rsid w:val="4CAF7657"/>
    <w:rsid w:val="4CAFEFCA"/>
    <w:rsid w:val="4CB20913"/>
    <w:rsid w:val="4CB338D0"/>
    <w:rsid w:val="4CB69005"/>
    <w:rsid w:val="4CB8B5E4"/>
    <w:rsid w:val="4CBAD601"/>
    <w:rsid w:val="4CC1ADE4"/>
    <w:rsid w:val="4CC414CA"/>
    <w:rsid w:val="4CC67D47"/>
    <w:rsid w:val="4CCDF6FC"/>
    <w:rsid w:val="4CD8F376"/>
    <w:rsid w:val="4CDB11A8"/>
    <w:rsid w:val="4CDBDA0B"/>
    <w:rsid w:val="4CDF1DF3"/>
    <w:rsid w:val="4CE6A097"/>
    <w:rsid w:val="4CE972C9"/>
    <w:rsid w:val="4CEBCAF3"/>
    <w:rsid w:val="4CF3E487"/>
    <w:rsid w:val="4CF8D044"/>
    <w:rsid w:val="4CFCD451"/>
    <w:rsid w:val="4D05C186"/>
    <w:rsid w:val="4D12AC6D"/>
    <w:rsid w:val="4D13C175"/>
    <w:rsid w:val="4D1E55D5"/>
    <w:rsid w:val="4D1FA36B"/>
    <w:rsid w:val="4D207420"/>
    <w:rsid w:val="4D29162C"/>
    <w:rsid w:val="4D2E1662"/>
    <w:rsid w:val="4D30474F"/>
    <w:rsid w:val="4D34F519"/>
    <w:rsid w:val="4D450931"/>
    <w:rsid w:val="4D45F2A8"/>
    <w:rsid w:val="4D4E20EF"/>
    <w:rsid w:val="4D526849"/>
    <w:rsid w:val="4D533B55"/>
    <w:rsid w:val="4D59D836"/>
    <w:rsid w:val="4D61E041"/>
    <w:rsid w:val="4D628846"/>
    <w:rsid w:val="4D64F4BE"/>
    <w:rsid w:val="4D6689FF"/>
    <w:rsid w:val="4D6C4D6E"/>
    <w:rsid w:val="4D6FBB6A"/>
    <w:rsid w:val="4D712F48"/>
    <w:rsid w:val="4D73821D"/>
    <w:rsid w:val="4D79AF30"/>
    <w:rsid w:val="4D7A3CBF"/>
    <w:rsid w:val="4D86CC66"/>
    <w:rsid w:val="4D8B0D2D"/>
    <w:rsid w:val="4D8B9A32"/>
    <w:rsid w:val="4D8F32F3"/>
    <w:rsid w:val="4D90B63E"/>
    <w:rsid w:val="4D9567D4"/>
    <w:rsid w:val="4D95C33B"/>
    <w:rsid w:val="4D98317B"/>
    <w:rsid w:val="4D9DE185"/>
    <w:rsid w:val="4D9E64DC"/>
    <w:rsid w:val="4D9F3955"/>
    <w:rsid w:val="4DA482EF"/>
    <w:rsid w:val="4DA4B216"/>
    <w:rsid w:val="4DA58D2C"/>
    <w:rsid w:val="4DA9455A"/>
    <w:rsid w:val="4DAB6671"/>
    <w:rsid w:val="4DACA24B"/>
    <w:rsid w:val="4DACBB30"/>
    <w:rsid w:val="4DADE3B6"/>
    <w:rsid w:val="4DAF01EA"/>
    <w:rsid w:val="4DAFF3B7"/>
    <w:rsid w:val="4DB980D2"/>
    <w:rsid w:val="4DBA7C22"/>
    <w:rsid w:val="4DC8F8BE"/>
    <w:rsid w:val="4DC9B939"/>
    <w:rsid w:val="4DD02449"/>
    <w:rsid w:val="4DD09B03"/>
    <w:rsid w:val="4DD66E3B"/>
    <w:rsid w:val="4DD706DE"/>
    <w:rsid w:val="4DD7DCD4"/>
    <w:rsid w:val="4DE0B6C7"/>
    <w:rsid w:val="4DE195A6"/>
    <w:rsid w:val="4DE537A6"/>
    <w:rsid w:val="4DE5CE4B"/>
    <w:rsid w:val="4DE64D31"/>
    <w:rsid w:val="4DE6D2B1"/>
    <w:rsid w:val="4DE967D0"/>
    <w:rsid w:val="4DECB3CB"/>
    <w:rsid w:val="4DF3BA8E"/>
    <w:rsid w:val="4DF3F4BC"/>
    <w:rsid w:val="4E01254E"/>
    <w:rsid w:val="4E03F2D6"/>
    <w:rsid w:val="4E054FBC"/>
    <w:rsid w:val="4E05686A"/>
    <w:rsid w:val="4E0C874A"/>
    <w:rsid w:val="4E0FFFB9"/>
    <w:rsid w:val="4E11E4BB"/>
    <w:rsid w:val="4E183D42"/>
    <w:rsid w:val="4E23BAF6"/>
    <w:rsid w:val="4E2516BD"/>
    <w:rsid w:val="4E27BAAC"/>
    <w:rsid w:val="4E29A2B9"/>
    <w:rsid w:val="4E2A1268"/>
    <w:rsid w:val="4E2D8D03"/>
    <w:rsid w:val="4E2EE538"/>
    <w:rsid w:val="4E2EEB87"/>
    <w:rsid w:val="4E301CD7"/>
    <w:rsid w:val="4E3E86D6"/>
    <w:rsid w:val="4E4CE01A"/>
    <w:rsid w:val="4E4D2C35"/>
    <w:rsid w:val="4E4D7D9C"/>
    <w:rsid w:val="4E4D9809"/>
    <w:rsid w:val="4E4DA25A"/>
    <w:rsid w:val="4E4F27FC"/>
    <w:rsid w:val="4E50C0B9"/>
    <w:rsid w:val="4E510526"/>
    <w:rsid w:val="4E52D031"/>
    <w:rsid w:val="4E530507"/>
    <w:rsid w:val="4E53B466"/>
    <w:rsid w:val="4E5AEE55"/>
    <w:rsid w:val="4E5DA570"/>
    <w:rsid w:val="4E63293F"/>
    <w:rsid w:val="4E6DD368"/>
    <w:rsid w:val="4E6E3812"/>
    <w:rsid w:val="4E6EBEDC"/>
    <w:rsid w:val="4E727A95"/>
    <w:rsid w:val="4E73DC23"/>
    <w:rsid w:val="4E7AABF5"/>
    <w:rsid w:val="4E80A4D9"/>
    <w:rsid w:val="4E90BFC2"/>
    <w:rsid w:val="4E914792"/>
    <w:rsid w:val="4E9523D8"/>
    <w:rsid w:val="4E978D0B"/>
    <w:rsid w:val="4E9CA172"/>
    <w:rsid w:val="4E9D01BD"/>
    <w:rsid w:val="4E9D745F"/>
    <w:rsid w:val="4E9E6805"/>
    <w:rsid w:val="4EA36F11"/>
    <w:rsid w:val="4EA73E43"/>
    <w:rsid w:val="4EA84477"/>
    <w:rsid w:val="4EAD7B7C"/>
    <w:rsid w:val="4EAEFC91"/>
    <w:rsid w:val="4EB577DE"/>
    <w:rsid w:val="4EBA0303"/>
    <w:rsid w:val="4EBBB495"/>
    <w:rsid w:val="4EBDDEA5"/>
    <w:rsid w:val="4EBF57DF"/>
    <w:rsid w:val="4EC05990"/>
    <w:rsid w:val="4EC0E053"/>
    <w:rsid w:val="4EC2C9D9"/>
    <w:rsid w:val="4EC94E52"/>
    <w:rsid w:val="4EC9E245"/>
    <w:rsid w:val="4ECAC757"/>
    <w:rsid w:val="4ECB4567"/>
    <w:rsid w:val="4ED2A6E2"/>
    <w:rsid w:val="4ED91C52"/>
    <w:rsid w:val="4EDA75B5"/>
    <w:rsid w:val="4EDAC50C"/>
    <w:rsid w:val="4EDD8A24"/>
    <w:rsid w:val="4EE27AF7"/>
    <w:rsid w:val="4EE7C717"/>
    <w:rsid w:val="4EE7E568"/>
    <w:rsid w:val="4EE92281"/>
    <w:rsid w:val="4EE969AB"/>
    <w:rsid w:val="4EEA372F"/>
    <w:rsid w:val="4EEAAEEA"/>
    <w:rsid w:val="4EEC8A88"/>
    <w:rsid w:val="4EF42C2A"/>
    <w:rsid w:val="4EFCAC14"/>
    <w:rsid w:val="4F00D1EA"/>
    <w:rsid w:val="4F014831"/>
    <w:rsid w:val="4F03BF46"/>
    <w:rsid w:val="4F05CE57"/>
    <w:rsid w:val="4F0F8909"/>
    <w:rsid w:val="4F121FBC"/>
    <w:rsid w:val="4F131C75"/>
    <w:rsid w:val="4F181F8E"/>
    <w:rsid w:val="4F1DC01D"/>
    <w:rsid w:val="4F282393"/>
    <w:rsid w:val="4F29E45E"/>
    <w:rsid w:val="4F343085"/>
    <w:rsid w:val="4F35CDF3"/>
    <w:rsid w:val="4F36DABC"/>
    <w:rsid w:val="4F3A158B"/>
    <w:rsid w:val="4F3A38D2"/>
    <w:rsid w:val="4F3BD258"/>
    <w:rsid w:val="4F3C841D"/>
    <w:rsid w:val="4F3F217F"/>
    <w:rsid w:val="4F48BB11"/>
    <w:rsid w:val="4F48F9C7"/>
    <w:rsid w:val="4F50EE87"/>
    <w:rsid w:val="4F5B0A32"/>
    <w:rsid w:val="4F5B496D"/>
    <w:rsid w:val="4F6811B2"/>
    <w:rsid w:val="4F695F66"/>
    <w:rsid w:val="4F69D520"/>
    <w:rsid w:val="4F70317E"/>
    <w:rsid w:val="4F72D331"/>
    <w:rsid w:val="4F743D94"/>
    <w:rsid w:val="4F744F27"/>
    <w:rsid w:val="4F76C80E"/>
    <w:rsid w:val="4F7BA093"/>
    <w:rsid w:val="4F7C7AB8"/>
    <w:rsid w:val="4F80B989"/>
    <w:rsid w:val="4F81F99F"/>
    <w:rsid w:val="4F8634D0"/>
    <w:rsid w:val="4F872653"/>
    <w:rsid w:val="4F8DDDFC"/>
    <w:rsid w:val="4F90EB4B"/>
    <w:rsid w:val="4F930BD6"/>
    <w:rsid w:val="4F955F6D"/>
    <w:rsid w:val="4F95ADE5"/>
    <w:rsid w:val="4F96E871"/>
    <w:rsid w:val="4F9CF7CE"/>
    <w:rsid w:val="4F9EF63F"/>
    <w:rsid w:val="4FA1AE74"/>
    <w:rsid w:val="4FA66141"/>
    <w:rsid w:val="4FA959E8"/>
    <w:rsid w:val="4FB4024D"/>
    <w:rsid w:val="4FBAE531"/>
    <w:rsid w:val="4FBB8165"/>
    <w:rsid w:val="4FBF3529"/>
    <w:rsid w:val="4FBF51B4"/>
    <w:rsid w:val="4FC0481F"/>
    <w:rsid w:val="4FC3B5EF"/>
    <w:rsid w:val="4FC49740"/>
    <w:rsid w:val="4FC4B3DA"/>
    <w:rsid w:val="4FC96645"/>
    <w:rsid w:val="4FC97ACE"/>
    <w:rsid w:val="4FCBC90B"/>
    <w:rsid w:val="4FCD9D9A"/>
    <w:rsid w:val="4FD1ABFB"/>
    <w:rsid w:val="4FD2D26D"/>
    <w:rsid w:val="4FD4AC36"/>
    <w:rsid w:val="4FE3B196"/>
    <w:rsid w:val="4FE5C766"/>
    <w:rsid w:val="4FE6AFD1"/>
    <w:rsid w:val="4FE6B477"/>
    <w:rsid w:val="4FE95471"/>
    <w:rsid w:val="4FF6C51A"/>
    <w:rsid w:val="4FFD4631"/>
    <w:rsid w:val="4FFEB9D6"/>
    <w:rsid w:val="4FFED801"/>
    <w:rsid w:val="500193B3"/>
    <w:rsid w:val="5010B789"/>
    <w:rsid w:val="50133618"/>
    <w:rsid w:val="501457D6"/>
    <w:rsid w:val="501C6B2B"/>
    <w:rsid w:val="501D5DA2"/>
    <w:rsid w:val="501DB21B"/>
    <w:rsid w:val="502464DE"/>
    <w:rsid w:val="50268D8F"/>
    <w:rsid w:val="5028BA01"/>
    <w:rsid w:val="502D2054"/>
    <w:rsid w:val="502DA3A1"/>
    <w:rsid w:val="50314468"/>
    <w:rsid w:val="5031D926"/>
    <w:rsid w:val="50351950"/>
    <w:rsid w:val="503823B8"/>
    <w:rsid w:val="503E8349"/>
    <w:rsid w:val="50473CB0"/>
    <w:rsid w:val="504AC4A0"/>
    <w:rsid w:val="504B0741"/>
    <w:rsid w:val="504BE66E"/>
    <w:rsid w:val="504FE779"/>
    <w:rsid w:val="50529B33"/>
    <w:rsid w:val="5054A1CC"/>
    <w:rsid w:val="5058C253"/>
    <w:rsid w:val="505CDB86"/>
    <w:rsid w:val="505DA7FC"/>
    <w:rsid w:val="505F43D1"/>
    <w:rsid w:val="505FF164"/>
    <w:rsid w:val="5061C949"/>
    <w:rsid w:val="50621070"/>
    <w:rsid w:val="50638921"/>
    <w:rsid w:val="50674787"/>
    <w:rsid w:val="5072BF5C"/>
    <w:rsid w:val="5074F01C"/>
    <w:rsid w:val="50791CF9"/>
    <w:rsid w:val="507A9446"/>
    <w:rsid w:val="507AC444"/>
    <w:rsid w:val="508363B1"/>
    <w:rsid w:val="508C843F"/>
    <w:rsid w:val="508FB48E"/>
    <w:rsid w:val="509165A8"/>
    <w:rsid w:val="50938484"/>
    <w:rsid w:val="50952CF5"/>
    <w:rsid w:val="50999401"/>
    <w:rsid w:val="509C27EA"/>
    <w:rsid w:val="50A085A6"/>
    <w:rsid w:val="50A11EF6"/>
    <w:rsid w:val="50A24E29"/>
    <w:rsid w:val="50A2B7E7"/>
    <w:rsid w:val="50A4D085"/>
    <w:rsid w:val="50A72E11"/>
    <w:rsid w:val="50A8908C"/>
    <w:rsid w:val="50AD7FF5"/>
    <w:rsid w:val="50B371AD"/>
    <w:rsid w:val="50B4818A"/>
    <w:rsid w:val="50B61CBA"/>
    <w:rsid w:val="50B7AF6D"/>
    <w:rsid w:val="50B861A4"/>
    <w:rsid w:val="50B8AEEA"/>
    <w:rsid w:val="50BC73F0"/>
    <w:rsid w:val="50BC755D"/>
    <w:rsid w:val="50BDACCD"/>
    <w:rsid w:val="50C5D25E"/>
    <w:rsid w:val="50C662F5"/>
    <w:rsid w:val="50C87FDC"/>
    <w:rsid w:val="50CA1790"/>
    <w:rsid w:val="50CE2283"/>
    <w:rsid w:val="50D92B5C"/>
    <w:rsid w:val="50DF5C94"/>
    <w:rsid w:val="50E58BBF"/>
    <w:rsid w:val="50E8893B"/>
    <w:rsid w:val="50ED4331"/>
    <w:rsid w:val="50EF05AB"/>
    <w:rsid w:val="50F4A145"/>
    <w:rsid w:val="50F8C0FC"/>
    <w:rsid w:val="50F8FD36"/>
    <w:rsid w:val="50FBD826"/>
    <w:rsid w:val="50FEDE0F"/>
    <w:rsid w:val="510466F7"/>
    <w:rsid w:val="5105FC4D"/>
    <w:rsid w:val="5106D09C"/>
    <w:rsid w:val="510F66CF"/>
    <w:rsid w:val="5114B79F"/>
    <w:rsid w:val="5116C9FA"/>
    <w:rsid w:val="5117CA01"/>
    <w:rsid w:val="5119E87F"/>
    <w:rsid w:val="511C7AD6"/>
    <w:rsid w:val="511CEB26"/>
    <w:rsid w:val="511DF1E6"/>
    <w:rsid w:val="511EAD82"/>
    <w:rsid w:val="512084A4"/>
    <w:rsid w:val="512554CE"/>
    <w:rsid w:val="5127E7F0"/>
    <w:rsid w:val="512F21FC"/>
    <w:rsid w:val="5133521C"/>
    <w:rsid w:val="513815A7"/>
    <w:rsid w:val="513B428D"/>
    <w:rsid w:val="513E0908"/>
    <w:rsid w:val="5142543E"/>
    <w:rsid w:val="5142D2DA"/>
    <w:rsid w:val="514342A5"/>
    <w:rsid w:val="5146BCED"/>
    <w:rsid w:val="5147E071"/>
    <w:rsid w:val="514C21CA"/>
    <w:rsid w:val="514C3E0C"/>
    <w:rsid w:val="51508EAF"/>
    <w:rsid w:val="5151A4D1"/>
    <w:rsid w:val="5152A829"/>
    <w:rsid w:val="5153970F"/>
    <w:rsid w:val="515AEEAC"/>
    <w:rsid w:val="51601241"/>
    <w:rsid w:val="5160D5AE"/>
    <w:rsid w:val="51627EA4"/>
    <w:rsid w:val="516382EA"/>
    <w:rsid w:val="5164CC68"/>
    <w:rsid w:val="5164E98D"/>
    <w:rsid w:val="51698B19"/>
    <w:rsid w:val="516EA30F"/>
    <w:rsid w:val="51711908"/>
    <w:rsid w:val="51713B73"/>
    <w:rsid w:val="5174ED7D"/>
    <w:rsid w:val="517641D3"/>
    <w:rsid w:val="51776FFA"/>
    <w:rsid w:val="517C98F0"/>
    <w:rsid w:val="517CBFAD"/>
    <w:rsid w:val="5180C60D"/>
    <w:rsid w:val="51818CAC"/>
    <w:rsid w:val="5182C634"/>
    <w:rsid w:val="518355C3"/>
    <w:rsid w:val="518A8F80"/>
    <w:rsid w:val="518B1610"/>
    <w:rsid w:val="518C9B92"/>
    <w:rsid w:val="5192D159"/>
    <w:rsid w:val="5192F697"/>
    <w:rsid w:val="5195567E"/>
    <w:rsid w:val="5196CC6B"/>
    <w:rsid w:val="51972839"/>
    <w:rsid w:val="51976ADA"/>
    <w:rsid w:val="51998924"/>
    <w:rsid w:val="519CDEBE"/>
    <w:rsid w:val="519E50F8"/>
    <w:rsid w:val="519F0EEA"/>
    <w:rsid w:val="519F8F23"/>
    <w:rsid w:val="51A37CD7"/>
    <w:rsid w:val="51A51349"/>
    <w:rsid w:val="51A51D7D"/>
    <w:rsid w:val="51A6062B"/>
    <w:rsid w:val="51B0263F"/>
    <w:rsid w:val="51B5FE2A"/>
    <w:rsid w:val="51B9FBD2"/>
    <w:rsid w:val="51C11654"/>
    <w:rsid w:val="51C1422B"/>
    <w:rsid w:val="51C6DDEB"/>
    <w:rsid w:val="51CD9DE6"/>
    <w:rsid w:val="51CE221C"/>
    <w:rsid w:val="51CEB91C"/>
    <w:rsid w:val="51CEC1BB"/>
    <w:rsid w:val="51CF16F2"/>
    <w:rsid w:val="51D2AFD8"/>
    <w:rsid w:val="51D36044"/>
    <w:rsid w:val="51E0B9D6"/>
    <w:rsid w:val="51E4A684"/>
    <w:rsid w:val="51E807C2"/>
    <w:rsid w:val="51E8E51F"/>
    <w:rsid w:val="51EA14EB"/>
    <w:rsid w:val="51EB09CA"/>
    <w:rsid w:val="51EDAA69"/>
    <w:rsid w:val="51F18359"/>
    <w:rsid w:val="51F37034"/>
    <w:rsid w:val="51F44403"/>
    <w:rsid w:val="51F76158"/>
    <w:rsid w:val="520058F0"/>
    <w:rsid w:val="5200AC6E"/>
    <w:rsid w:val="520177AD"/>
    <w:rsid w:val="5202A7F8"/>
    <w:rsid w:val="5205F685"/>
    <w:rsid w:val="5208673D"/>
    <w:rsid w:val="520C9254"/>
    <w:rsid w:val="5212A353"/>
    <w:rsid w:val="5214C8BD"/>
    <w:rsid w:val="52152CCB"/>
    <w:rsid w:val="5218478A"/>
    <w:rsid w:val="521975AA"/>
    <w:rsid w:val="52237AC3"/>
    <w:rsid w:val="5225BAB1"/>
    <w:rsid w:val="522AD15C"/>
    <w:rsid w:val="522AEDEA"/>
    <w:rsid w:val="522C7384"/>
    <w:rsid w:val="522F15EC"/>
    <w:rsid w:val="52366752"/>
    <w:rsid w:val="52385C6F"/>
    <w:rsid w:val="523BC4BC"/>
    <w:rsid w:val="52401836"/>
    <w:rsid w:val="52478A8A"/>
    <w:rsid w:val="524A0594"/>
    <w:rsid w:val="5250B1AD"/>
    <w:rsid w:val="52543327"/>
    <w:rsid w:val="52557C79"/>
    <w:rsid w:val="525A843E"/>
    <w:rsid w:val="5261B5BC"/>
    <w:rsid w:val="5265E7F1"/>
    <w:rsid w:val="52676C2D"/>
    <w:rsid w:val="5269DA9D"/>
    <w:rsid w:val="526EADAF"/>
    <w:rsid w:val="527428E0"/>
    <w:rsid w:val="5276BFFC"/>
    <w:rsid w:val="5277F9D7"/>
    <w:rsid w:val="527B4C73"/>
    <w:rsid w:val="527C32A0"/>
    <w:rsid w:val="527C96C1"/>
    <w:rsid w:val="527DFD30"/>
    <w:rsid w:val="527ECF97"/>
    <w:rsid w:val="527F2A54"/>
    <w:rsid w:val="5280562F"/>
    <w:rsid w:val="5285F68F"/>
    <w:rsid w:val="52862E73"/>
    <w:rsid w:val="5287D9C3"/>
    <w:rsid w:val="52881E77"/>
    <w:rsid w:val="52883048"/>
    <w:rsid w:val="528DE3E9"/>
    <w:rsid w:val="52944F75"/>
    <w:rsid w:val="52994B7E"/>
    <w:rsid w:val="529E5880"/>
    <w:rsid w:val="529F1E8C"/>
    <w:rsid w:val="529FB6A1"/>
    <w:rsid w:val="52A37C99"/>
    <w:rsid w:val="52AF553E"/>
    <w:rsid w:val="52B30193"/>
    <w:rsid w:val="52BB896F"/>
    <w:rsid w:val="52BE374D"/>
    <w:rsid w:val="52C1D7DB"/>
    <w:rsid w:val="52C2CE7E"/>
    <w:rsid w:val="52C604F8"/>
    <w:rsid w:val="52C67853"/>
    <w:rsid w:val="52C98BEF"/>
    <w:rsid w:val="52CA2460"/>
    <w:rsid w:val="52CC6F90"/>
    <w:rsid w:val="52CFA4D6"/>
    <w:rsid w:val="52CFB9B8"/>
    <w:rsid w:val="52D10E51"/>
    <w:rsid w:val="52D93640"/>
    <w:rsid w:val="52E163D6"/>
    <w:rsid w:val="52EA8347"/>
    <w:rsid w:val="52EA834F"/>
    <w:rsid w:val="52ECE3CF"/>
    <w:rsid w:val="52F37B20"/>
    <w:rsid w:val="52F5407F"/>
    <w:rsid w:val="52F54281"/>
    <w:rsid w:val="52FAE2B4"/>
    <w:rsid w:val="52FB45DD"/>
    <w:rsid w:val="5300B7A3"/>
    <w:rsid w:val="530209B4"/>
    <w:rsid w:val="53082797"/>
    <w:rsid w:val="5308B24E"/>
    <w:rsid w:val="530F48ED"/>
    <w:rsid w:val="5313DA1A"/>
    <w:rsid w:val="5313F6BF"/>
    <w:rsid w:val="531A1F9B"/>
    <w:rsid w:val="5323897B"/>
    <w:rsid w:val="53289F05"/>
    <w:rsid w:val="532DAFD5"/>
    <w:rsid w:val="532F3196"/>
    <w:rsid w:val="5332061A"/>
    <w:rsid w:val="53359D82"/>
    <w:rsid w:val="534076B9"/>
    <w:rsid w:val="53446A12"/>
    <w:rsid w:val="53450BE4"/>
    <w:rsid w:val="5345ECF4"/>
    <w:rsid w:val="53471A92"/>
    <w:rsid w:val="534D387A"/>
    <w:rsid w:val="534D4ED8"/>
    <w:rsid w:val="534EE73F"/>
    <w:rsid w:val="53506128"/>
    <w:rsid w:val="535415FC"/>
    <w:rsid w:val="5357023D"/>
    <w:rsid w:val="53586C26"/>
    <w:rsid w:val="53588085"/>
    <w:rsid w:val="535E86AF"/>
    <w:rsid w:val="53605B12"/>
    <w:rsid w:val="536284ED"/>
    <w:rsid w:val="53645172"/>
    <w:rsid w:val="536EFE9C"/>
    <w:rsid w:val="5372A3C7"/>
    <w:rsid w:val="5373BDB1"/>
    <w:rsid w:val="53777087"/>
    <w:rsid w:val="53781DD9"/>
    <w:rsid w:val="537A3393"/>
    <w:rsid w:val="537A6E40"/>
    <w:rsid w:val="537AD1A8"/>
    <w:rsid w:val="5381092C"/>
    <w:rsid w:val="53814730"/>
    <w:rsid w:val="53824F93"/>
    <w:rsid w:val="5382B4AD"/>
    <w:rsid w:val="53845091"/>
    <w:rsid w:val="538AA48C"/>
    <w:rsid w:val="5390D2DC"/>
    <w:rsid w:val="53972573"/>
    <w:rsid w:val="5397E1CB"/>
    <w:rsid w:val="53985BF0"/>
    <w:rsid w:val="5399AB49"/>
    <w:rsid w:val="539C6842"/>
    <w:rsid w:val="539DA33C"/>
    <w:rsid w:val="53A01183"/>
    <w:rsid w:val="53A5243C"/>
    <w:rsid w:val="53A9F24E"/>
    <w:rsid w:val="53AA18D3"/>
    <w:rsid w:val="53AEBD97"/>
    <w:rsid w:val="53B0AA8D"/>
    <w:rsid w:val="53B70DD6"/>
    <w:rsid w:val="53B86B6E"/>
    <w:rsid w:val="53BC5F2C"/>
    <w:rsid w:val="53C37F1F"/>
    <w:rsid w:val="53C97C75"/>
    <w:rsid w:val="53D8BCC0"/>
    <w:rsid w:val="53D8EBFE"/>
    <w:rsid w:val="53DADD6E"/>
    <w:rsid w:val="53E0CB8A"/>
    <w:rsid w:val="53E326B0"/>
    <w:rsid w:val="53E7D616"/>
    <w:rsid w:val="53E8970A"/>
    <w:rsid w:val="53E981B8"/>
    <w:rsid w:val="53E99307"/>
    <w:rsid w:val="53EF0E13"/>
    <w:rsid w:val="53F2DCED"/>
    <w:rsid w:val="53F5F3E4"/>
    <w:rsid w:val="53FB9BB5"/>
    <w:rsid w:val="53FBD18E"/>
    <w:rsid w:val="53FC05BA"/>
    <w:rsid w:val="53FC0A4A"/>
    <w:rsid w:val="53FDDADD"/>
    <w:rsid w:val="53FF17E0"/>
    <w:rsid w:val="540369D7"/>
    <w:rsid w:val="54083A05"/>
    <w:rsid w:val="54084A92"/>
    <w:rsid w:val="54084CB0"/>
    <w:rsid w:val="540862F1"/>
    <w:rsid w:val="54096A3E"/>
    <w:rsid w:val="540B767C"/>
    <w:rsid w:val="540F72C4"/>
    <w:rsid w:val="5412A2B1"/>
    <w:rsid w:val="5419693B"/>
    <w:rsid w:val="541A8112"/>
    <w:rsid w:val="541B7F7C"/>
    <w:rsid w:val="54229840"/>
    <w:rsid w:val="5428A8E0"/>
    <w:rsid w:val="54292F4D"/>
    <w:rsid w:val="54294ACB"/>
    <w:rsid w:val="542FA1AC"/>
    <w:rsid w:val="542FBE4F"/>
    <w:rsid w:val="5430768D"/>
    <w:rsid w:val="54322ABA"/>
    <w:rsid w:val="5432968C"/>
    <w:rsid w:val="543990A0"/>
    <w:rsid w:val="5439F226"/>
    <w:rsid w:val="5440BE11"/>
    <w:rsid w:val="5441AA63"/>
    <w:rsid w:val="5442811E"/>
    <w:rsid w:val="54452E68"/>
    <w:rsid w:val="5445B245"/>
    <w:rsid w:val="54470EB4"/>
    <w:rsid w:val="5447CBF3"/>
    <w:rsid w:val="544BA891"/>
    <w:rsid w:val="5458EE8F"/>
    <w:rsid w:val="545976FE"/>
    <w:rsid w:val="545A86B3"/>
    <w:rsid w:val="545C8FDA"/>
    <w:rsid w:val="5461014C"/>
    <w:rsid w:val="546620CE"/>
    <w:rsid w:val="546D7CA3"/>
    <w:rsid w:val="54717248"/>
    <w:rsid w:val="547173F8"/>
    <w:rsid w:val="5475BBF8"/>
    <w:rsid w:val="547EA1A7"/>
    <w:rsid w:val="5481CA7B"/>
    <w:rsid w:val="54836EA1"/>
    <w:rsid w:val="54848A81"/>
    <w:rsid w:val="548CB486"/>
    <w:rsid w:val="548F757F"/>
    <w:rsid w:val="549DC3C3"/>
    <w:rsid w:val="54A1C91B"/>
    <w:rsid w:val="54A24CC6"/>
    <w:rsid w:val="54A3E381"/>
    <w:rsid w:val="54A5B339"/>
    <w:rsid w:val="54A639BC"/>
    <w:rsid w:val="54A9790E"/>
    <w:rsid w:val="54ACFB56"/>
    <w:rsid w:val="54AD869B"/>
    <w:rsid w:val="54B20686"/>
    <w:rsid w:val="54B2A6DF"/>
    <w:rsid w:val="54B3BE9E"/>
    <w:rsid w:val="54B4E691"/>
    <w:rsid w:val="54B693B9"/>
    <w:rsid w:val="54B714D7"/>
    <w:rsid w:val="54BBC64A"/>
    <w:rsid w:val="54BF0984"/>
    <w:rsid w:val="54C2FB2F"/>
    <w:rsid w:val="54C81E15"/>
    <w:rsid w:val="54CBE50A"/>
    <w:rsid w:val="54CD6532"/>
    <w:rsid w:val="54CF6C70"/>
    <w:rsid w:val="54D177A0"/>
    <w:rsid w:val="54D2146C"/>
    <w:rsid w:val="54D5C412"/>
    <w:rsid w:val="54D62A51"/>
    <w:rsid w:val="54DA29B8"/>
    <w:rsid w:val="54DA6452"/>
    <w:rsid w:val="54DAE195"/>
    <w:rsid w:val="54DE51DD"/>
    <w:rsid w:val="54E2976D"/>
    <w:rsid w:val="54EAEA15"/>
    <w:rsid w:val="54EBFB5C"/>
    <w:rsid w:val="54F29CA8"/>
    <w:rsid w:val="54F2D6B8"/>
    <w:rsid w:val="54F36E86"/>
    <w:rsid w:val="54F3CBD3"/>
    <w:rsid w:val="54F5BDF1"/>
    <w:rsid w:val="54F913E9"/>
    <w:rsid w:val="54FDB771"/>
    <w:rsid w:val="54FDE022"/>
    <w:rsid w:val="54FE33F4"/>
    <w:rsid w:val="550258B6"/>
    <w:rsid w:val="55068DE8"/>
    <w:rsid w:val="551527AA"/>
    <w:rsid w:val="551D8E05"/>
    <w:rsid w:val="551E9CC8"/>
    <w:rsid w:val="5520510F"/>
    <w:rsid w:val="55225437"/>
    <w:rsid w:val="5526CF76"/>
    <w:rsid w:val="5526D6DF"/>
    <w:rsid w:val="5527A8E2"/>
    <w:rsid w:val="552A5F1D"/>
    <w:rsid w:val="552DD476"/>
    <w:rsid w:val="552E81A1"/>
    <w:rsid w:val="552F14CC"/>
    <w:rsid w:val="552FFCF4"/>
    <w:rsid w:val="5535997D"/>
    <w:rsid w:val="553A9D56"/>
    <w:rsid w:val="553C012C"/>
    <w:rsid w:val="553C717D"/>
    <w:rsid w:val="554642F5"/>
    <w:rsid w:val="554AC3D7"/>
    <w:rsid w:val="5551C54A"/>
    <w:rsid w:val="5557C500"/>
    <w:rsid w:val="5559DDFC"/>
    <w:rsid w:val="555A5066"/>
    <w:rsid w:val="555BB4EA"/>
    <w:rsid w:val="555C40D5"/>
    <w:rsid w:val="5564D6CB"/>
    <w:rsid w:val="5565F074"/>
    <w:rsid w:val="5573779E"/>
    <w:rsid w:val="55755E69"/>
    <w:rsid w:val="557B3523"/>
    <w:rsid w:val="5583F176"/>
    <w:rsid w:val="5583FED9"/>
    <w:rsid w:val="558745EA"/>
    <w:rsid w:val="558D7B9D"/>
    <w:rsid w:val="558E68F0"/>
    <w:rsid w:val="55904508"/>
    <w:rsid w:val="559A9CD3"/>
    <w:rsid w:val="559E784F"/>
    <w:rsid w:val="55A6CD47"/>
    <w:rsid w:val="55A78A03"/>
    <w:rsid w:val="55A95A50"/>
    <w:rsid w:val="55AF156E"/>
    <w:rsid w:val="55B220F6"/>
    <w:rsid w:val="55B6BF22"/>
    <w:rsid w:val="55B74BDF"/>
    <w:rsid w:val="55C12B50"/>
    <w:rsid w:val="55C34639"/>
    <w:rsid w:val="55CFAF19"/>
    <w:rsid w:val="55D262FC"/>
    <w:rsid w:val="55D321A2"/>
    <w:rsid w:val="55D4D17C"/>
    <w:rsid w:val="55D50A62"/>
    <w:rsid w:val="55DB0884"/>
    <w:rsid w:val="55E15504"/>
    <w:rsid w:val="55E19A6D"/>
    <w:rsid w:val="55E753B6"/>
    <w:rsid w:val="55E7D536"/>
    <w:rsid w:val="55E7F5C0"/>
    <w:rsid w:val="55FA9C01"/>
    <w:rsid w:val="55FF5B12"/>
    <w:rsid w:val="56003169"/>
    <w:rsid w:val="5605664D"/>
    <w:rsid w:val="560688F0"/>
    <w:rsid w:val="56075BF3"/>
    <w:rsid w:val="560CCF2B"/>
    <w:rsid w:val="5610BE33"/>
    <w:rsid w:val="56172788"/>
    <w:rsid w:val="561AEFF6"/>
    <w:rsid w:val="561C7DDA"/>
    <w:rsid w:val="56225F4F"/>
    <w:rsid w:val="562806EF"/>
    <w:rsid w:val="562E0867"/>
    <w:rsid w:val="562F5E0C"/>
    <w:rsid w:val="562FC728"/>
    <w:rsid w:val="56326B62"/>
    <w:rsid w:val="5632D81B"/>
    <w:rsid w:val="5634DC14"/>
    <w:rsid w:val="56372DAE"/>
    <w:rsid w:val="563D8911"/>
    <w:rsid w:val="564306F1"/>
    <w:rsid w:val="564C8808"/>
    <w:rsid w:val="564E49D1"/>
    <w:rsid w:val="56514DF4"/>
    <w:rsid w:val="56541474"/>
    <w:rsid w:val="56557C3A"/>
    <w:rsid w:val="565606E1"/>
    <w:rsid w:val="565934A5"/>
    <w:rsid w:val="565C4470"/>
    <w:rsid w:val="56606681"/>
    <w:rsid w:val="5662489C"/>
    <w:rsid w:val="566501BC"/>
    <w:rsid w:val="5668B809"/>
    <w:rsid w:val="56714219"/>
    <w:rsid w:val="567146AD"/>
    <w:rsid w:val="5672FAAE"/>
    <w:rsid w:val="56739507"/>
    <w:rsid w:val="56740673"/>
    <w:rsid w:val="567A8ED9"/>
    <w:rsid w:val="567CF458"/>
    <w:rsid w:val="567D062E"/>
    <w:rsid w:val="567E618B"/>
    <w:rsid w:val="5681D8DB"/>
    <w:rsid w:val="5682694F"/>
    <w:rsid w:val="56831DDF"/>
    <w:rsid w:val="5683BEB6"/>
    <w:rsid w:val="56875C56"/>
    <w:rsid w:val="56886C84"/>
    <w:rsid w:val="5691014D"/>
    <w:rsid w:val="56954914"/>
    <w:rsid w:val="56983B38"/>
    <w:rsid w:val="569F6504"/>
    <w:rsid w:val="56A12293"/>
    <w:rsid w:val="56A180E9"/>
    <w:rsid w:val="56A3CE90"/>
    <w:rsid w:val="56A70A70"/>
    <w:rsid w:val="56A7C3E1"/>
    <w:rsid w:val="56A8E708"/>
    <w:rsid w:val="56AB0588"/>
    <w:rsid w:val="56AC0A09"/>
    <w:rsid w:val="56AC248D"/>
    <w:rsid w:val="56AE1DA1"/>
    <w:rsid w:val="56B059B6"/>
    <w:rsid w:val="56B1472A"/>
    <w:rsid w:val="56B8C7CF"/>
    <w:rsid w:val="56B95DA4"/>
    <w:rsid w:val="56BF4AD6"/>
    <w:rsid w:val="56BFE274"/>
    <w:rsid w:val="56C130ED"/>
    <w:rsid w:val="56C591E6"/>
    <w:rsid w:val="56D0399E"/>
    <w:rsid w:val="56D07D0D"/>
    <w:rsid w:val="56D38EF8"/>
    <w:rsid w:val="56D98835"/>
    <w:rsid w:val="56D9B504"/>
    <w:rsid w:val="56DBB45C"/>
    <w:rsid w:val="56DBE0B9"/>
    <w:rsid w:val="56DE26EA"/>
    <w:rsid w:val="56DEBF56"/>
    <w:rsid w:val="56E05197"/>
    <w:rsid w:val="56E84540"/>
    <w:rsid w:val="56EB4008"/>
    <w:rsid w:val="56EBFFBE"/>
    <w:rsid w:val="56F03BB4"/>
    <w:rsid w:val="56F09E31"/>
    <w:rsid w:val="56F22EF5"/>
    <w:rsid w:val="56F45856"/>
    <w:rsid w:val="56F7AFE1"/>
    <w:rsid w:val="56F7BF8E"/>
    <w:rsid w:val="56F9B172"/>
    <w:rsid w:val="56F9DF39"/>
    <w:rsid w:val="56FA14EF"/>
    <w:rsid w:val="56FB9C9D"/>
    <w:rsid w:val="56FBF68F"/>
    <w:rsid w:val="5702736C"/>
    <w:rsid w:val="570291BB"/>
    <w:rsid w:val="5705CAEA"/>
    <w:rsid w:val="570B3DDB"/>
    <w:rsid w:val="570B4A54"/>
    <w:rsid w:val="570DBF0B"/>
    <w:rsid w:val="570DDFB0"/>
    <w:rsid w:val="57150ED0"/>
    <w:rsid w:val="5715E2B2"/>
    <w:rsid w:val="5716B63A"/>
    <w:rsid w:val="5718721A"/>
    <w:rsid w:val="57190184"/>
    <w:rsid w:val="571D2793"/>
    <w:rsid w:val="57206FF0"/>
    <w:rsid w:val="5721F315"/>
    <w:rsid w:val="572312DB"/>
    <w:rsid w:val="5723CE51"/>
    <w:rsid w:val="572BFF25"/>
    <w:rsid w:val="572C26E5"/>
    <w:rsid w:val="5732B9C5"/>
    <w:rsid w:val="57335A48"/>
    <w:rsid w:val="5737856C"/>
    <w:rsid w:val="573A68C9"/>
    <w:rsid w:val="573B19E0"/>
    <w:rsid w:val="573E3242"/>
    <w:rsid w:val="57441710"/>
    <w:rsid w:val="574B9482"/>
    <w:rsid w:val="574D659F"/>
    <w:rsid w:val="5755A2F5"/>
    <w:rsid w:val="5759014B"/>
    <w:rsid w:val="575C2AC5"/>
    <w:rsid w:val="575DB1FE"/>
    <w:rsid w:val="5760D60F"/>
    <w:rsid w:val="5766F2B5"/>
    <w:rsid w:val="576C1C64"/>
    <w:rsid w:val="576DFB6A"/>
    <w:rsid w:val="576EC6F3"/>
    <w:rsid w:val="5773C670"/>
    <w:rsid w:val="5774AD13"/>
    <w:rsid w:val="5779930D"/>
    <w:rsid w:val="5782747E"/>
    <w:rsid w:val="57830886"/>
    <w:rsid w:val="5784DCC2"/>
    <w:rsid w:val="57856F3D"/>
    <w:rsid w:val="57879154"/>
    <w:rsid w:val="5787DB9F"/>
    <w:rsid w:val="5789F423"/>
    <w:rsid w:val="578AFABD"/>
    <w:rsid w:val="578BABB7"/>
    <w:rsid w:val="578E06B9"/>
    <w:rsid w:val="579767BD"/>
    <w:rsid w:val="5798C16B"/>
    <w:rsid w:val="579CC859"/>
    <w:rsid w:val="579F836C"/>
    <w:rsid w:val="579F952D"/>
    <w:rsid w:val="57A42A47"/>
    <w:rsid w:val="57A996CD"/>
    <w:rsid w:val="57ABAB8C"/>
    <w:rsid w:val="57B037F7"/>
    <w:rsid w:val="57B0A1C6"/>
    <w:rsid w:val="57B19226"/>
    <w:rsid w:val="57B2A582"/>
    <w:rsid w:val="57B3EF3A"/>
    <w:rsid w:val="57B4B567"/>
    <w:rsid w:val="57BECDCF"/>
    <w:rsid w:val="57C27AC9"/>
    <w:rsid w:val="57C364A4"/>
    <w:rsid w:val="57C64FE8"/>
    <w:rsid w:val="57C71641"/>
    <w:rsid w:val="57C76477"/>
    <w:rsid w:val="57C93514"/>
    <w:rsid w:val="57CF0D59"/>
    <w:rsid w:val="57D5F095"/>
    <w:rsid w:val="57D6FF54"/>
    <w:rsid w:val="57D7DCBB"/>
    <w:rsid w:val="57DFC52F"/>
    <w:rsid w:val="57E121C0"/>
    <w:rsid w:val="57E1F93F"/>
    <w:rsid w:val="57E55CE2"/>
    <w:rsid w:val="57E59473"/>
    <w:rsid w:val="57E64FFE"/>
    <w:rsid w:val="57E814D9"/>
    <w:rsid w:val="57EBCD29"/>
    <w:rsid w:val="57EF03CB"/>
    <w:rsid w:val="57F18729"/>
    <w:rsid w:val="5801C71B"/>
    <w:rsid w:val="5805E1D7"/>
    <w:rsid w:val="58062678"/>
    <w:rsid w:val="5809782F"/>
    <w:rsid w:val="58104553"/>
    <w:rsid w:val="5812B8F3"/>
    <w:rsid w:val="58165646"/>
    <w:rsid w:val="5819B13E"/>
    <w:rsid w:val="581A2165"/>
    <w:rsid w:val="581A3242"/>
    <w:rsid w:val="582AC59E"/>
    <w:rsid w:val="582E27D6"/>
    <w:rsid w:val="5830842A"/>
    <w:rsid w:val="58323051"/>
    <w:rsid w:val="58384A24"/>
    <w:rsid w:val="583C5931"/>
    <w:rsid w:val="58435B83"/>
    <w:rsid w:val="5849B0D2"/>
    <w:rsid w:val="584BD097"/>
    <w:rsid w:val="584C5CCB"/>
    <w:rsid w:val="5853EB57"/>
    <w:rsid w:val="58547321"/>
    <w:rsid w:val="5855E37B"/>
    <w:rsid w:val="58572CF6"/>
    <w:rsid w:val="58575B28"/>
    <w:rsid w:val="58595B9F"/>
    <w:rsid w:val="58597288"/>
    <w:rsid w:val="585A6FD9"/>
    <w:rsid w:val="585E2EA1"/>
    <w:rsid w:val="585F1CDD"/>
    <w:rsid w:val="5860FBA8"/>
    <w:rsid w:val="5863DDEA"/>
    <w:rsid w:val="58661A95"/>
    <w:rsid w:val="58778E37"/>
    <w:rsid w:val="58794875"/>
    <w:rsid w:val="587BD3D8"/>
    <w:rsid w:val="58817639"/>
    <w:rsid w:val="5882877A"/>
    <w:rsid w:val="588E9545"/>
    <w:rsid w:val="588EA250"/>
    <w:rsid w:val="589055CE"/>
    <w:rsid w:val="5891FC45"/>
    <w:rsid w:val="589AB9A3"/>
    <w:rsid w:val="589D865B"/>
    <w:rsid w:val="589E2594"/>
    <w:rsid w:val="589FAADE"/>
    <w:rsid w:val="589FE13C"/>
    <w:rsid w:val="58A2025F"/>
    <w:rsid w:val="58A23228"/>
    <w:rsid w:val="58A518C5"/>
    <w:rsid w:val="58A6B9A5"/>
    <w:rsid w:val="58AA4054"/>
    <w:rsid w:val="58B3438D"/>
    <w:rsid w:val="58B4E356"/>
    <w:rsid w:val="58B961E7"/>
    <w:rsid w:val="58BCB0F2"/>
    <w:rsid w:val="58C1A28C"/>
    <w:rsid w:val="58C1FD40"/>
    <w:rsid w:val="58C390F8"/>
    <w:rsid w:val="58C86117"/>
    <w:rsid w:val="58C89359"/>
    <w:rsid w:val="58C9F972"/>
    <w:rsid w:val="58D7D8DF"/>
    <w:rsid w:val="58DBAC9A"/>
    <w:rsid w:val="58DD4849"/>
    <w:rsid w:val="58DE026F"/>
    <w:rsid w:val="58E06BB8"/>
    <w:rsid w:val="58E21DA3"/>
    <w:rsid w:val="58E2569C"/>
    <w:rsid w:val="58E32547"/>
    <w:rsid w:val="58E5753F"/>
    <w:rsid w:val="58ECD683"/>
    <w:rsid w:val="58F01216"/>
    <w:rsid w:val="59010EF3"/>
    <w:rsid w:val="5904E7FA"/>
    <w:rsid w:val="59077964"/>
    <w:rsid w:val="59081280"/>
    <w:rsid w:val="590CC6B5"/>
    <w:rsid w:val="591250F7"/>
    <w:rsid w:val="59148EA3"/>
    <w:rsid w:val="59154958"/>
    <w:rsid w:val="591646F8"/>
    <w:rsid w:val="59168B76"/>
    <w:rsid w:val="591A924C"/>
    <w:rsid w:val="5920ECE9"/>
    <w:rsid w:val="59248D11"/>
    <w:rsid w:val="59287632"/>
    <w:rsid w:val="59295241"/>
    <w:rsid w:val="592F9337"/>
    <w:rsid w:val="593478B5"/>
    <w:rsid w:val="593497D5"/>
    <w:rsid w:val="593AD721"/>
    <w:rsid w:val="593DCD3A"/>
    <w:rsid w:val="59430ADA"/>
    <w:rsid w:val="59495C45"/>
    <w:rsid w:val="594A84E4"/>
    <w:rsid w:val="59567F00"/>
    <w:rsid w:val="5957BD6F"/>
    <w:rsid w:val="5959926A"/>
    <w:rsid w:val="595A7890"/>
    <w:rsid w:val="595DD8B4"/>
    <w:rsid w:val="595EC1A6"/>
    <w:rsid w:val="5969E3AD"/>
    <w:rsid w:val="596E247D"/>
    <w:rsid w:val="596E4930"/>
    <w:rsid w:val="596EC3C7"/>
    <w:rsid w:val="596F6164"/>
    <w:rsid w:val="597471A3"/>
    <w:rsid w:val="59795A1B"/>
    <w:rsid w:val="59809B44"/>
    <w:rsid w:val="5981488E"/>
    <w:rsid w:val="598632E0"/>
    <w:rsid w:val="598CD130"/>
    <w:rsid w:val="598DD82C"/>
    <w:rsid w:val="598E6A8C"/>
    <w:rsid w:val="5997EED8"/>
    <w:rsid w:val="599B3590"/>
    <w:rsid w:val="599F632C"/>
    <w:rsid w:val="59A1A7CE"/>
    <w:rsid w:val="59A2296D"/>
    <w:rsid w:val="59A9C0E5"/>
    <w:rsid w:val="59AA0638"/>
    <w:rsid w:val="59AA5907"/>
    <w:rsid w:val="59AE5742"/>
    <w:rsid w:val="59B0609E"/>
    <w:rsid w:val="59B4A6F0"/>
    <w:rsid w:val="59BDF972"/>
    <w:rsid w:val="59BED01B"/>
    <w:rsid w:val="59CB2C3D"/>
    <w:rsid w:val="59D20C9F"/>
    <w:rsid w:val="59D2FD04"/>
    <w:rsid w:val="59D4360C"/>
    <w:rsid w:val="59D503A0"/>
    <w:rsid w:val="59D5A940"/>
    <w:rsid w:val="59D724E4"/>
    <w:rsid w:val="59D9BF74"/>
    <w:rsid w:val="59DC1688"/>
    <w:rsid w:val="59DC23E0"/>
    <w:rsid w:val="59DED1BF"/>
    <w:rsid w:val="59E070E5"/>
    <w:rsid w:val="59E15CCD"/>
    <w:rsid w:val="59E4E1E4"/>
    <w:rsid w:val="59EF3C81"/>
    <w:rsid w:val="59EFA3B0"/>
    <w:rsid w:val="59F657F2"/>
    <w:rsid w:val="59FA1F45"/>
    <w:rsid w:val="59FDD9FF"/>
    <w:rsid w:val="5A00486E"/>
    <w:rsid w:val="5A014998"/>
    <w:rsid w:val="5A05DEAD"/>
    <w:rsid w:val="5A0BE3FE"/>
    <w:rsid w:val="5A0C9A54"/>
    <w:rsid w:val="5A119534"/>
    <w:rsid w:val="5A143D23"/>
    <w:rsid w:val="5A1BE608"/>
    <w:rsid w:val="5A1CE17C"/>
    <w:rsid w:val="5A1D3243"/>
    <w:rsid w:val="5A20CB2E"/>
    <w:rsid w:val="5A211BC4"/>
    <w:rsid w:val="5A25E94E"/>
    <w:rsid w:val="5A2AE68B"/>
    <w:rsid w:val="5A31B236"/>
    <w:rsid w:val="5A31BE47"/>
    <w:rsid w:val="5A31DE75"/>
    <w:rsid w:val="5A35E587"/>
    <w:rsid w:val="5A361AAB"/>
    <w:rsid w:val="5A39D8B1"/>
    <w:rsid w:val="5A418942"/>
    <w:rsid w:val="5A4C3AF7"/>
    <w:rsid w:val="5A4F1C3D"/>
    <w:rsid w:val="5A4FE0DC"/>
    <w:rsid w:val="5A50D149"/>
    <w:rsid w:val="5A50E02E"/>
    <w:rsid w:val="5A51BE5C"/>
    <w:rsid w:val="5A52732B"/>
    <w:rsid w:val="5A54D069"/>
    <w:rsid w:val="5A57E55F"/>
    <w:rsid w:val="5A58FDE6"/>
    <w:rsid w:val="5A5A95A1"/>
    <w:rsid w:val="5A5BEE80"/>
    <w:rsid w:val="5A5D45CB"/>
    <w:rsid w:val="5A5FFDE7"/>
    <w:rsid w:val="5A654764"/>
    <w:rsid w:val="5A672D25"/>
    <w:rsid w:val="5A6ABC45"/>
    <w:rsid w:val="5A6F8732"/>
    <w:rsid w:val="5A70213F"/>
    <w:rsid w:val="5A728CA7"/>
    <w:rsid w:val="5A78329F"/>
    <w:rsid w:val="5A7A5121"/>
    <w:rsid w:val="5A7B8E5C"/>
    <w:rsid w:val="5A7EAE37"/>
    <w:rsid w:val="5A86404C"/>
    <w:rsid w:val="5A87BA41"/>
    <w:rsid w:val="5A91A858"/>
    <w:rsid w:val="5A9371CE"/>
    <w:rsid w:val="5A967529"/>
    <w:rsid w:val="5A9ADBC9"/>
    <w:rsid w:val="5AA036CA"/>
    <w:rsid w:val="5AA5AADF"/>
    <w:rsid w:val="5AA6B5B3"/>
    <w:rsid w:val="5AA9CE2C"/>
    <w:rsid w:val="5AA9DD40"/>
    <w:rsid w:val="5AAA9251"/>
    <w:rsid w:val="5AAB5991"/>
    <w:rsid w:val="5AB05784"/>
    <w:rsid w:val="5AB1180B"/>
    <w:rsid w:val="5AB511A7"/>
    <w:rsid w:val="5AB881CA"/>
    <w:rsid w:val="5AB88398"/>
    <w:rsid w:val="5AB98447"/>
    <w:rsid w:val="5ABC48B9"/>
    <w:rsid w:val="5ABEFC7C"/>
    <w:rsid w:val="5AC0C202"/>
    <w:rsid w:val="5AC9516C"/>
    <w:rsid w:val="5ACB50AE"/>
    <w:rsid w:val="5AD15D9D"/>
    <w:rsid w:val="5AD26F8D"/>
    <w:rsid w:val="5AD27FFC"/>
    <w:rsid w:val="5AD497B3"/>
    <w:rsid w:val="5AD7589C"/>
    <w:rsid w:val="5ADDA95F"/>
    <w:rsid w:val="5AE175C1"/>
    <w:rsid w:val="5AE6A71E"/>
    <w:rsid w:val="5AE7E192"/>
    <w:rsid w:val="5AE81946"/>
    <w:rsid w:val="5AE96300"/>
    <w:rsid w:val="5AEF1FE7"/>
    <w:rsid w:val="5AF6158E"/>
    <w:rsid w:val="5AFF2D94"/>
    <w:rsid w:val="5B01B803"/>
    <w:rsid w:val="5B080592"/>
    <w:rsid w:val="5B0CD98E"/>
    <w:rsid w:val="5B189253"/>
    <w:rsid w:val="5B1A07B5"/>
    <w:rsid w:val="5B1B9BD0"/>
    <w:rsid w:val="5B1ECC00"/>
    <w:rsid w:val="5B2218AD"/>
    <w:rsid w:val="5B26F16D"/>
    <w:rsid w:val="5B2A7921"/>
    <w:rsid w:val="5B351F5D"/>
    <w:rsid w:val="5B37370D"/>
    <w:rsid w:val="5B38EF7A"/>
    <w:rsid w:val="5B3BC3DD"/>
    <w:rsid w:val="5B3E4ED8"/>
    <w:rsid w:val="5B3E910E"/>
    <w:rsid w:val="5B3EADF4"/>
    <w:rsid w:val="5B3F4019"/>
    <w:rsid w:val="5B42F28A"/>
    <w:rsid w:val="5B4486CC"/>
    <w:rsid w:val="5B451B32"/>
    <w:rsid w:val="5B469C6C"/>
    <w:rsid w:val="5B4B17CA"/>
    <w:rsid w:val="5B4C3416"/>
    <w:rsid w:val="5B4C7590"/>
    <w:rsid w:val="5B4CD6A2"/>
    <w:rsid w:val="5B4D906D"/>
    <w:rsid w:val="5B4DE591"/>
    <w:rsid w:val="5B4F1D0F"/>
    <w:rsid w:val="5B509410"/>
    <w:rsid w:val="5B5564DA"/>
    <w:rsid w:val="5B5B0B1E"/>
    <w:rsid w:val="5B5B44B6"/>
    <w:rsid w:val="5B5FA191"/>
    <w:rsid w:val="5B64FBB1"/>
    <w:rsid w:val="5B652EB4"/>
    <w:rsid w:val="5B6A7165"/>
    <w:rsid w:val="5B6BF3D6"/>
    <w:rsid w:val="5B6DDD00"/>
    <w:rsid w:val="5B6E8E9A"/>
    <w:rsid w:val="5B740411"/>
    <w:rsid w:val="5B745684"/>
    <w:rsid w:val="5B7606F4"/>
    <w:rsid w:val="5B76872B"/>
    <w:rsid w:val="5B787DB7"/>
    <w:rsid w:val="5B7E55F6"/>
    <w:rsid w:val="5B7FB97D"/>
    <w:rsid w:val="5B8AC53F"/>
    <w:rsid w:val="5B8C305A"/>
    <w:rsid w:val="5B959A7D"/>
    <w:rsid w:val="5B97E421"/>
    <w:rsid w:val="5B9A32D6"/>
    <w:rsid w:val="5B9A5FEF"/>
    <w:rsid w:val="5B9A7D7C"/>
    <w:rsid w:val="5BA19201"/>
    <w:rsid w:val="5BA44AD8"/>
    <w:rsid w:val="5BA4978A"/>
    <w:rsid w:val="5BAA52C2"/>
    <w:rsid w:val="5BAC77AE"/>
    <w:rsid w:val="5BAD3DCE"/>
    <w:rsid w:val="5BAD751A"/>
    <w:rsid w:val="5BAF781B"/>
    <w:rsid w:val="5BBA8C1C"/>
    <w:rsid w:val="5BBC550A"/>
    <w:rsid w:val="5BBE7756"/>
    <w:rsid w:val="5BC10D04"/>
    <w:rsid w:val="5BC118BD"/>
    <w:rsid w:val="5BC1B793"/>
    <w:rsid w:val="5BC3E67B"/>
    <w:rsid w:val="5BC55117"/>
    <w:rsid w:val="5BC821F9"/>
    <w:rsid w:val="5BC84EED"/>
    <w:rsid w:val="5BCB77B8"/>
    <w:rsid w:val="5BD7179D"/>
    <w:rsid w:val="5BD7BA4F"/>
    <w:rsid w:val="5BDB6FEE"/>
    <w:rsid w:val="5BDCE67D"/>
    <w:rsid w:val="5BDD5248"/>
    <w:rsid w:val="5BE8F5DE"/>
    <w:rsid w:val="5BED1DAB"/>
    <w:rsid w:val="5BEEA97A"/>
    <w:rsid w:val="5BEEF2A8"/>
    <w:rsid w:val="5BEF9A25"/>
    <w:rsid w:val="5BF18195"/>
    <w:rsid w:val="5BF3C8DF"/>
    <w:rsid w:val="5BF527B1"/>
    <w:rsid w:val="5BFCD726"/>
    <w:rsid w:val="5BFD07BC"/>
    <w:rsid w:val="5C00E27A"/>
    <w:rsid w:val="5C0327CE"/>
    <w:rsid w:val="5C051C64"/>
    <w:rsid w:val="5C05D4FE"/>
    <w:rsid w:val="5C083831"/>
    <w:rsid w:val="5C087D38"/>
    <w:rsid w:val="5C0AA0FC"/>
    <w:rsid w:val="5C0BC438"/>
    <w:rsid w:val="5C0BEDBD"/>
    <w:rsid w:val="5C129E1C"/>
    <w:rsid w:val="5C1C511A"/>
    <w:rsid w:val="5C1E678C"/>
    <w:rsid w:val="5C1F3768"/>
    <w:rsid w:val="5C22AF29"/>
    <w:rsid w:val="5C303775"/>
    <w:rsid w:val="5C35C9A8"/>
    <w:rsid w:val="5C3702FE"/>
    <w:rsid w:val="5C387427"/>
    <w:rsid w:val="5C3CD596"/>
    <w:rsid w:val="5C3D1F10"/>
    <w:rsid w:val="5C3D4726"/>
    <w:rsid w:val="5C4026BE"/>
    <w:rsid w:val="5C4426B7"/>
    <w:rsid w:val="5C444AAA"/>
    <w:rsid w:val="5C4516D8"/>
    <w:rsid w:val="5C497DE3"/>
    <w:rsid w:val="5C4C2CA7"/>
    <w:rsid w:val="5C4E1964"/>
    <w:rsid w:val="5C53C6B6"/>
    <w:rsid w:val="5C54E7AD"/>
    <w:rsid w:val="5C5D5328"/>
    <w:rsid w:val="5C61B1E5"/>
    <w:rsid w:val="5C640725"/>
    <w:rsid w:val="5C685A0D"/>
    <w:rsid w:val="5C6AAF15"/>
    <w:rsid w:val="5C6CB8C2"/>
    <w:rsid w:val="5C6DFD8F"/>
    <w:rsid w:val="5C7857EB"/>
    <w:rsid w:val="5C7A065D"/>
    <w:rsid w:val="5C7A480F"/>
    <w:rsid w:val="5C8683AB"/>
    <w:rsid w:val="5C89478B"/>
    <w:rsid w:val="5C8B5D5E"/>
    <w:rsid w:val="5C8CCBF2"/>
    <w:rsid w:val="5C8ECFA7"/>
    <w:rsid w:val="5C9299D3"/>
    <w:rsid w:val="5C933156"/>
    <w:rsid w:val="5C93678A"/>
    <w:rsid w:val="5C99ECCD"/>
    <w:rsid w:val="5CA000DF"/>
    <w:rsid w:val="5CA481A5"/>
    <w:rsid w:val="5CA4A265"/>
    <w:rsid w:val="5CAC0ADD"/>
    <w:rsid w:val="5CAE4052"/>
    <w:rsid w:val="5CAFF50C"/>
    <w:rsid w:val="5CB2BAB4"/>
    <w:rsid w:val="5CB30428"/>
    <w:rsid w:val="5CB46E6E"/>
    <w:rsid w:val="5CC26B95"/>
    <w:rsid w:val="5CC2B849"/>
    <w:rsid w:val="5CC6B1F0"/>
    <w:rsid w:val="5CC7D2C5"/>
    <w:rsid w:val="5CCC27E8"/>
    <w:rsid w:val="5CD90088"/>
    <w:rsid w:val="5CD99961"/>
    <w:rsid w:val="5CDD7139"/>
    <w:rsid w:val="5CE0B7F6"/>
    <w:rsid w:val="5CE4DD7A"/>
    <w:rsid w:val="5CE546A0"/>
    <w:rsid w:val="5CEA557E"/>
    <w:rsid w:val="5CEEDF6D"/>
    <w:rsid w:val="5CF2BD65"/>
    <w:rsid w:val="5CFC346E"/>
    <w:rsid w:val="5CFE17BC"/>
    <w:rsid w:val="5D07B40D"/>
    <w:rsid w:val="5D0A3248"/>
    <w:rsid w:val="5D0DE801"/>
    <w:rsid w:val="5D0ECF82"/>
    <w:rsid w:val="5D0F9D63"/>
    <w:rsid w:val="5D0FD9A8"/>
    <w:rsid w:val="5D12D2FB"/>
    <w:rsid w:val="5D152F50"/>
    <w:rsid w:val="5D1C4636"/>
    <w:rsid w:val="5D1E50AB"/>
    <w:rsid w:val="5D219936"/>
    <w:rsid w:val="5D2AF54A"/>
    <w:rsid w:val="5D2C608C"/>
    <w:rsid w:val="5D2D4B95"/>
    <w:rsid w:val="5D2D65B1"/>
    <w:rsid w:val="5D317F40"/>
    <w:rsid w:val="5D41424C"/>
    <w:rsid w:val="5D43FDA4"/>
    <w:rsid w:val="5D44AC56"/>
    <w:rsid w:val="5D4968C7"/>
    <w:rsid w:val="5D4E1A9C"/>
    <w:rsid w:val="5D4F1824"/>
    <w:rsid w:val="5D50E631"/>
    <w:rsid w:val="5D58B098"/>
    <w:rsid w:val="5D5A45F5"/>
    <w:rsid w:val="5D5BF0D7"/>
    <w:rsid w:val="5D5FD56A"/>
    <w:rsid w:val="5D650919"/>
    <w:rsid w:val="5D7A997A"/>
    <w:rsid w:val="5D7C6827"/>
    <w:rsid w:val="5D80C115"/>
    <w:rsid w:val="5D888635"/>
    <w:rsid w:val="5D8A76E1"/>
    <w:rsid w:val="5D8F4F47"/>
    <w:rsid w:val="5D92E1DF"/>
    <w:rsid w:val="5D9E9A96"/>
    <w:rsid w:val="5DA062CC"/>
    <w:rsid w:val="5DA06BC1"/>
    <w:rsid w:val="5DA275D8"/>
    <w:rsid w:val="5DA6E334"/>
    <w:rsid w:val="5DA99A46"/>
    <w:rsid w:val="5DACB031"/>
    <w:rsid w:val="5DAFCA5D"/>
    <w:rsid w:val="5DB2E0AB"/>
    <w:rsid w:val="5DBAD20A"/>
    <w:rsid w:val="5DC15B2A"/>
    <w:rsid w:val="5DC4384D"/>
    <w:rsid w:val="5DC55040"/>
    <w:rsid w:val="5DC56181"/>
    <w:rsid w:val="5DC67D65"/>
    <w:rsid w:val="5DC797FD"/>
    <w:rsid w:val="5DC7CDB3"/>
    <w:rsid w:val="5DCB99B7"/>
    <w:rsid w:val="5DCC9D2D"/>
    <w:rsid w:val="5DD17379"/>
    <w:rsid w:val="5DD23FAF"/>
    <w:rsid w:val="5DD9DF6D"/>
    <w:rsid w:val="5DE42C76"/>
    <w:rsid w:val="5DE96177"/>
    <w:rsid w:val="5DF2A458"/>
    <w:rsid w:val="5DF7BA0D"/>
    <w:rsid w:val="5DF93FF9"/>
    <w:rsid w:val="5DF9E790"/>
    <w:rsid w:val="5E03170C"/>
    <w:rsid w:val="5E080F51"/>
    <w:rsid w:val="5E096D84"/>
    <w:rsid w:val="5E0DEB10"/>
    <w:rsid w:val="5E111AAF"/>
    <w:rsid w:val="5E15FA8C"/>
    <w:rsid w:val="5E17FAC2"/>
    <w:rsid w:val="5E1F91BB"/>
    <w:rsid w:val="5E226902"/>
    <w:rsid w:val="5E22D1A2"/>
    <w:rsid w:val="5E2B4B8B"/>
    <w:rsid w:val="5E2D79DD"/>
    <w:rsid w:val="5E3CA94C"/>
    <w:rsid w:val="5E3CD41B"/>
    <w:rsid w:val="5E3CFFE9"/>
    <w:rsid w:val="5E3D4831"/>
    <w:rsid w:val="5E419FC5"/>
    <w:rsid w:val="5E437E4B"/>
    <w:rsid w:val="5E43C348"/>
    <w:rsid w:val="5E4B76DB"/>
    <w:rsid w:val="5E4FA720"/>
    <w:rsid w:val="5E5016E2"/>
    <w:rsid w:val="5E50C653"/>
    <w:rsid w:val="5E5E9581"/>
    <w:rsid w:val="5E63396A"/>
    <w:rsid w:val="5E6435B7"/>
    <w:rsid w:val="5E670E65"/>
    <w:rsid w:val="5E6ED209"/>
    <w:rsid w:val="5E734CC1"/>
    <w:rsid w:val="5E741E3D"/>
    <w:rsid w:val="5E75F7CE"/>
    <w:rsid w:val="5E7976DD"/>
    <w:rsid w:val="5E7BEC4C"/>
    <w:rsid w:val="5E7E204F"/>
    <w:rsid w:val="5E7E6215"/>
    <w:rsid w:val="5E7FC22E"/>
    <w:rsid w:val="5E863C65"/>
    <w:rsid w:val="5E86921F"/>
    <w:rsid w:val="5E87EE34"/>
    <w:rsid w:val="5E87F2B4"/>
    <w:rsid w:val="5E8C9944"/>
    <w:rsid w:val="5E8CCAF0"/>
    <w:rsid w:val="5E91C345"/>
    <w:rsid w:val="5E92BC34"/>
    <w:rsid w:val="5E991E5D"/>
    <w:rsid w:val="5E9B0086"/>
    <w:rsid w:val="5E9C6EBA"/>
    <w:rsid w:val="5E9FE8EC"/>
    <w:rsid w:val="5EA2C034"/>
    <w:rsid w:val="5EA51C6D"/>
    <w:rsid w:val="5EA998E4"/>
    <w:rsid w:val="5EAF5435"/>
    <w:rsid w:val="5EB640BC"/>
    <w:rsid w:val="5EB689A4"/>
    <w:rsid w:val="5EBA2605"/>
    <w:rsid w:val="5EBB3410"/>
    <w:rsid w:val="5EBDDEA1"/>
    <w:rsid w:val="5EC5A44D"/>
    <w:rsid w:val="5EC60F07"/>
    <w:rsid w:val="5EC6D113"/>
    <w:rsid w:val="5ECE74B7"/>
    <w:rsid w:val="5ED644D0"/>
    <w:rsid w:val="5ED8F453"/>
    <w:rsid w:val="5ED90671"/>
    <w:rsid w:val="5EE0D198"/>
    <w:rsid w:val="5EE1C68E"/>
    <w:rsid w:val="5EE1E911"/>
    <w:rsid w:val="5EE5E520"/>
    <w:rsid w:val="5EE5F552"/>
    <w:rsid w:val="5EE7310A"/>
    <w:rsid w:val="5EF0BC44"/>
    <w:rsid w:val="5EF5F718"/>
    <w:rsid w:val="5EFDB71A"/>
    <w:rsid w:val="5EFF4043"/>
    <w:rsid w:val="5F003D46"/>
    <w:rsid w:val="5F01AFE4"/>
    <w:rsid w:val="5F05C722"/>
    <w:rsid w:val="5F088B9A"/>
    <w:rsid w:val="5F090AF6"/>
    <w:rsid w:val="5F0AE5C0"/>
    <w:rsid w:val="5F0CD278"/>
    <w:rsid w:val="5F0E5EBC"/>
    <w:rsid w:val="5F11ECBB"/>
    <w:rsid w:val="5F132534"/>
    <w:rsid w:val="5F16BD93"/>
    <w:rsid w:val="5F1A72D6"/>
    <w:rsid w:val="5F1A8AC7"/>
    <w:rsid w:val="5F1FFDD9"/>
    <w:rsid w:val="5F242E49"/>
    <w:rsid w:val="5F31659C"/>
    <w:rsid w:val="5F33B93C"/>
    <w:rsid w:val="5F426805"/>
    <w:rsid w:val="5F48BF11"/>
    <w:rsid w:val="5F4F7693"/>
    <w:rsid w:val="5F4FC58D"/>
    <w:rsid w:val="5F5DA4EF"/>
    <w:rsid w:val="5F61690D"/>
    <w:rsid w:val="5F617863"/>
    <w:rsid w:val="5F637A11"/>
    <w:rsid w:val="5F68AB48"/>
    <w:rsid w:val="5F6AACB8"/>
    <w:rsid w:val="5F6AEE0C"/>
    <w:rsid w:val="5F6B237E"/>
    <w:rsid w:val="5F6F45DB"/>
    <w:rsid w:val="5F7349CA"/>
    <w:rsid w:val="5F77D4B8"/>
    <w:rsid w:val="5F784D59"/>
    <w:rsid w:val="5F7F0A07"/>
    <w:rsid w:val="5F80AB69"/>
    <w:rsid w:val="5F83F84A"/>
    <w:rsid w:val="5F859718"/>
    <w:rsid w:val="5F8969E3"/>
    <w:rsid w:val="5F8F3423"/>
    <w:rsid w:val="5F8F5278"/>
    <w:rsid w:val="5F912DF7"/>
    <w:rsid w:val="5F929806"/>
    <w:rsid w:val="5F987982"/>
    <w:rsid w:val="5F9A357A"/>
    <w:rsid w:val="5F9A6E40"/>
    <w:rsid w:val="5FA34B17"/>
    <w:rsid w:val="5FA5AE23"/>
    <w:rsid w:val="5FA7EBD6"/>
    <w:rsid w:val="5FAD01CA"/>
    <w:rsid w:val="5FB6FE92"/>
    <w:rsid w:val="5FC1713A"/>
    <w:rsid w:val="5FC517D9"/>
    <w:rsid w:val="5FCCC461"/>
    <w:rsid w:val="5FCFA70E"/>
    <w:rsid w:val="5FD5CC6B"/>
    <w:rsid w:val="5FD6A539"/>
    <w:rsid w:val="5FDB30B3"/>
    <w:rsid w:val="5FDBC7F2"/>
    <w:rsid w:val="5FDF3582"/>
    <w:rsid w:val="5FE2F60A"/>
    <w:rsid w:val="5FE687EA"/>
    <w:rsid w:val="5FE6F7AB"/>
    <w:rsid w:val="5FE84A45"/>
    <w:rsid w:val="5FE947A8"/>
    <w:rsid w:val="5FF10F1B"/>
    <w:rsid w:val="5FF46F70"/>
    <w:rsid w:val="5FF5BFB5"/>
    <w:rsid w:val="5FF5D75F"/>
    <w:rsid w:val="5FF8BD04"/>
    <w:rsid w:val="60030D40"/>
    <w:rsid w:val="6003119A"/>
    <w:rsid w:val="600B2658"/>
    <w:rsid w:val="600D30FE"/>
    <w:rsid w:val="60126CA7"/>
    <w:rsid w:val="601438FD"/>
    <w:rsid w:val="60151298"/>
    <w:rsid w:val="60171004"/>
    <w:rsid w:val="601D29BA"/>
    <w:rsid w:val="60247653"/>
    <w:rsid w:val="60260B76"/>
    <w:rsid w:val="6027763D"/>
    <w:rsid w:val="6027B670"/>
    <w:rsid w:val="6028D3C0"/>
    <w:rsid w:val="6029DE72"/>
    <w:rsid w:val="6034A700"/>
    <w:rsid w:val="6036D0E7"/>
    <w:rsid w:val="60396098"/>
    <w:rsid w:val="603BBDF7"/>
    <w:rsid w:val="603CE6F2"/>
    <w:rsid w:val="6049C986"/>
    <w:rsid w:val="604AE258"/>
    <w:rsid w:val="604CA869"/>
    <w:rsid w:val="604EA4D5"/>
    <w:rsid w:val="604EF35B"/>
    <w:rsid w:val="6050B278"/>
    <w:rsid w:val="60518D8B"/>
    <w:rsid w:val="6054D87F"/>
    <w:rsid w:val="6054F95B"/>
    <w:rsid w:val="6058C802"/>
    <w:rsid w:val="6059FE57"/>
    <w:rsid w:val="605C690B"/>
    <w:rsid w:val="605D15EF"/>
    <w:rsid w:val="605EDDAD"/>
    <w:rsid w:val="605EE68A"/>
    <w:rsid w:val="605EF406"/>
    <w:rsid w:val="605FA17D"/>
    <w:rsid w:val="6065C20E"/>
    <w:rsid w:val="60690367"/>
    <w:rsid w:val="60691F86"/>
    <w:rsid w:val="606973D1"/>
    <w:rsid w:val="606A1013"/>
    <w:rsid w:val="606ED9A4"/>
    <w:rsid w:val="606F7057"/>
    <w:rsid w:val="6074442B"/>
    <w:rsid w:val="6076597C"/>
    <w:rsid w:val="60769296"/>
    <w:rsid w:val="607A9286"/>
    <w:rsid w:val="607AACF4"/>
    <w:rsid w:val="607CCD14"/>
    <w:rsid w:val="6084C88C"/>
    <w:rsid w:val="608A6DD4"/>
    <w:rsid w:val="608BCCEB"/>
    <w:rsid w:val="608C6443"/>
    <w:rsid w:val="608E5B4E"/>
    <w:rsid w:val="608EC9E1"/>
    <w:rsid w:val="608EF37D"/>
    <w:rsid w:val="60911020"/>
    <w:rsid w:val="6093CFEE"/>
    <w:rsid w:val="609B0B0D"/>
    <w:rsid w:val="609FE4D4"/>
    <w:rsid w:val="60A06752"/>
    <w:rsid w:val="60A17501"/>
    <w:rsid w:val="60A2E772"/>
    <w:rsid w:val="60A73CEA"/>
    <w:rsid w:val="60A7BD4F"/>
    <w:rsid w:val="60AADEDD"/>
    <w:rsid w:val="60AD50FD"/>
    <w:rsid w:val="60AE544B"/>
    <w:rsid w:val="60B50EB5"/>
    <w:rsid w:val="60B91352"/>
    <w:rsid w:val="60B96F67"/>
    <w:rsid w:val="60BA5A9A"/>
    <w:rsid w:val="60BCA307"/>
    <w:rsid w:val="60CCABC6"/>
    <w:rsid w:val="60D1965F"/>
    <w:rsid w:val="60D763BF"/>
    <w:rsid w:val="60D94B49"/>
    <w:rsid w:val="60D94E45"/>
    <w:rsid w:val="60DB2D09"/>
    <w:rsid w:val="60DFCAAA"/>
    <w:rsid w:val="60E1541C"/>
    <w:rsid w:val="60E29EFC"/>
    <w:rsid w:val="60E7A532"/>
    <w:rsid w:val="60EABD52"/>
    <w:rsid w:val="60EBDCEC"/>
    <w:rsid w:val="60EDA621"/>
    <w:rsid w:val="60EE13DF"/>
    <w:rsid w:val="60EE2583"/>
    <w:rsid w:val="60F1BBAD"/>
    <w:rsid w:val="60F370FA"/>
    <w:rsid w:val="60F9A477"/>
    <w:rsid w:val="60FE1733"/>
    <w:rsid w:val="6101471D"/>
    <w:rsid w:val="610C389E"/>
    <w:rsid w:val="610C4566"/>
    <w:rsid w:val="610F96BE"/>
    <w:rsid w:val="6110E93D"/>
    <w:rsid w:val="6114D4CE"/>
    <w:rsid w:val="61170A1B"/>
    <w:rsid w:val="611E2850"/>
    <w:rsid w:val="611FA901"/>
    <w:rsid w:val="61250E62"/>
    <w:rsid w:val="612BC50D"/>
    <w:rsid w:val="612BEEC4"/>
    <w:rsid w:val="612DCC34"/>
    <w:rsid w:val="612E3B7A"/>
    <w:rsid w:val="613136AB"/>
    <w:rsid w:val="6133F62D"/>
    <w:rsid w:val="613B733B"/>
    <w:rsid w:val="613DA307"/>
    <w:rsid w:val="613E95F4"/>
    <w:rsid w:val="614132BC"/>
    <w:rsid w:val="6143A963"/>
    <w:rsid w:val="6144E347"/>
    <w:rsid w:val="6147439A"/>
    <w:rsid w:val="614D8A57"/>
    <w:rsid w:val="614E2E08"/>
    <w:rsid w:val="6154C6F7"/>
    <w:rsid w:val="615543B2"/>
    <w:rsid w:val="615C0CAF"/>
    <w:rsid w:val="615D1611"/>
    <w:rsid w:val="6168E7B4"/>
    <w:rsid w:val="616A46ED"/>
    <w:rsid w:val="616AFA56"/>
    <w:rsid w:val="61737202"/>
    <w:rsid w:val="61739454"/>
    <w:rsid w:val="6174DD22"/>
    <w:rsid w:val="6177E629"/>
    <w:rsid w:val="6178CD18"/>
    <w:rsid w:val="6178D55D"/>
    <w:rsid w:val="617B4A8C"/>
    <w:rsid w:val="618060B9"/>
    <w:rsid w:val="618325D6"/>
    <w:rsid w:val="618391DA"/>
    <w:rsid w:val="61875E85"/>
    <w:rsid w:val="6189C9C9"/>
    <w:rsid w:val="618D5EA8"/>
    <w:rsid w:val="618DA3E3"/>
    <w:rsid w:val="618FE7B0"/>
    <w:rsid w:val="6198E9FE"/>
    <w:rsid w:val="619BB1FD"/>
    <w:rsid w:val="61A1EFAE"/>
    <w:rsid w:val="61A35F51"/>
    <w:rsid w:val="61A6290F"/>
    <w:rsid w:val="61A99F6B"/>
    <w:rsid w:val="61ABC033"/>
    <w:rsid w:val="61ADB3D9"/>
    <w:rsid w:val="61ADEF78"/>
    <w:rsid w:val="61AEC539"/>
    <w:rsid w:val="61B10F4C"/>
    <w:rsid w:val="61B3C47E"/>
    <w:rsid w:val="61B57ED0"/>
    <w:rsid w:val="61C34C44"/>
    <w:rsid w:val="61C3A3E8"/>
    <w:rsid w:val="61C7E232"/>
    <w:rsid w:val="61C9BC0E"/>
    <w:rsid w:val="61CB36DD"/>
    <w:rsid w:val="61CE5406"/>
    <w:rsid w:val="61D17353"/>
    <w:rsid w:val="61D44AA0"/>
    <w:rsid w:val="61D4D47F"/>
    <w:rsid w:val="61D5D168"/>
    <w:rsid w:val="61D6910B"/>
    <w:rsid w:val="61D6CB6C"/>
    <w:rsid w:val="61D7F0D0"/>
    <w:rsid w:val="61DB42AA"/>
    <w:rsid w:val="61E0595A"/>
    <w:rsid w:val="61E236B7"/>
    <w:rsid w:val="61E46599"/>
    <w:rsid w:val="61E48921"/>
    <w:rsid w:val="61E4B100"/>
    <w:rsid w:val="61E7BF3B"/>
    <w:rsid w:val="61EB8688"/>
    <w:rsid w:val="61EB9499"/>
    <w:rsid w:val="61EBD77D"/>
    <w:rsid w:val="61ED7F6E"/>
    <w:rsid w:val="61EEDA3C"/>
    <w:rsid w:val="61EF3C9A"/>
    <w:rsid w:val="61F22FEE"/>
    <w:rsid w:val="61FA1617"/>
    <w:rsid w:val="62033CE2"/>
    <w:rsid w:val="62059DE4"/>
    <w:rsid w:val="620A1EFA"/>
    <w:rsid w:val="621131FC"/>
    <w:rsid w:val="62131EA1"/>
    <w:rsid w:val="62174AE0"/>
    <w:rsid w:val="621A1EEA"/>
    <w:rsid w:val="621A61D6"/>
    <w:rsid w:val="621BE540"/>
    <w:rsid w:val="62226E0E"/>
    <w:rsid w:val="62227CF4"/>
    <w:rsid w:val="62265D1D"/>
    <w:rsid w:val="6228CE85"/>
    <w:rsid w:val="6229A785"/>
    <w:rsid w:val="62305D80"/>
    <w:rsid w:val="62314310"/>
    <w:rsid w:val="6232AF15"/>
    <w:rsid w:val="62381E03"/>
    <w:rsid w:val="623935C9"/>
    <w:rsid w:val="62399B6D"/>
    <w:rsid w:val="623BC5F2"/>
    <w:rsid w:val="623C7F39"/>
    <w:rsid w:val="623CBD81"/>
    <w:rsid w:val="624165CE"/>
    <w:rsid w:val="62422819"/>
    <w:rsid w:val="62466A8F"/>
    <w:rsid w:val="6246E7B0"/>
    <w:rsid w:val="624D8973"/>
    <w:rsid w:val="6250D9FA"/>
    <w:rsid w:val="625C5FE1"/>
    <w:rsid w:val="625D4D44"/>
    <w:rsid w:val="62639DBA"/>
    <w:rsid w:val="62656732"/>
    <w:rsid w:val="626861EC"/>
    <w:rsid w:val="6272DF0E"/>
    <w:rsid w:val="62738DC9"/>
    <w:rsid w:val="62751EA6"/>
    <w:rsid w:val="62793DA7"/>
    <w:rsid w:val="627BAD94"/>
    <w:rsid w:val="62832A58"/>
    <w:rsid w:val="62889005"/>
    <w:rsid w:val="628C8448"/>
    <w:rsid w:val="62908F42"/>
    <w:rsid w:val="629261FA"/>
    <w:rsid w:val="6294012E"/>
    <w:rsid w:val="629506FC"/>
    <w:rsid w:val="62960B42"/>
    <w:rsid w:val="629CF224"/>
    <w:rsid w:val="629E57CB"/>
    <w:rsid w:val="629F93CF"/>
    <w:rsid w:val="629FE28E"/>
    <w:rsid w:val="62A1384A"/>
    <w:rsid w:val="62A2D9BE"/>
    <w:rsid w:val="62A558B8"/>
    <w:rsid w:val="62A755A3"/>
    <w:rsid w:val="62A76C95"/>
    <w:rsid w:val="62A91718"/>
    <w:rsid w:val="62AA3470"/>
    <w:rsid w:val="62ABBA12"/>
    <w:rsid w:val="62B3CB69"/>
    <w:rsid w:val="62B6A87B"/>
    <w:rsid w:val="62BA3371"/>
    <w:rsid w:val="62C14D68"/>
    <w:rsid w:val="62C29287"/>
    <w:rsid w:val="62C2B550"/>
    <w:rsid w:val="62C2F973"/>
    <w:rsid w:val="62C36CE1"/>
    <w:rsid w:val="62C6D178"/>
    <w:rsid w:val="62D51192"/>
    <w:rsid w:val="62D6F1E5"/>
    <w:rsid w:val="62E4FF15"/>
    <w:rsid w:val="62E6FC33"/>
    <w:rsid w:val="62E88D2C"/>
    <w:rsid w:val="62E89FF0"/>
    <w:rsid w:val="62EBC232"/>
    <w:rsid w:val="62F1BBE1"/>
    <w:rsid w:val="62F63E4B"/>
    <w:rsid w:val="62F689ED"/>
    <w:rsid w:val="62F6D0B3"/>
    <w:rsid w:val="62FA40A9"/>
    <w:rsid w:val="62FFB2C4"/>
    <w:rsid w:val="630099FD"/>
    <w:rsid w:val="630272DA"/>
    <w:rsid w:val="6303BEB3"/>
    <w:rsid w:val="630525B1"/>
    <w:rsid w:val="630792C9"/>
    <w:rsid w:val="630E795C"/>
    <w:rsid w:val="630E8091"/>
    <w:rsid w:val="630F20E9"/>
    <w:rsid w:val="63183FE3"/>
    <w:rsid w:val="631D1D54"/>
    <w:rsid w:val="631E4922"/>
    <w:rsid w:val="631F350B"/>
    <w:rsid w:val="6328CE46"/>
    <w:rsid w:val="632A0E71"/>
    <w:rsid w:val="632B6F37"/>
    <w:rsid w:val="632E724D"/>
    <w:rsid w:val="632F19BB"/>
    <w:rsid w:val="6330D780"/>
    <w:rsid w:val="6332FCD0"/>
    <w:rsid w:val="6333C526"/>
    <w:rsid w:val="63340DB4"/>
    <w:rsid w:val="63357B09"/>
    <w:rsid w:val="63387044"/>
    <w:rsid w:val="633882C9"/>
    <w:rsid w:val="63388F88"/>
    <w:rsid w:val="633AC0E9"/>
    <w:rsid w:val="63474163"/>
    <w:rsid w:val="634C0108"/>
    <w:rsid w:val="63531BA7"/>
    <w:rsid w:val="635969CA"/>
    <w:rsid w:val="63612F55"/>
    <w:rsid w:val="6363C244"/>
    <w:rsid w:val="636A3BF7"/>
    <w:rsid w:val="63703530"/>
    <w:rsid w:val="637074F7"/>
    <w:rsid w:val="637288E2"/>
    <w:rsid w:val="6374B0B1"/>
    <w:rsid w:val="6374C1F9"/>
    <w:rsid w:val="6378EEE5"/>
    <w:rsid w:val="6382466A"/>
    <w:rsid w:val="638D87D8"/>
    <w:rsid w:val="638F22E3"/>
    <w:rsid w:val="63939757"/>
    <w:rsid w:val="6396AD94"/>
    <w:rsid w:val="63998309"/>
    <w:rsid w:val="639CC91F"/>
    <w:rsid w:val="63A05471"/>
    <w:rsid w:val="63A08A7D"/>
    <w:rsid w:val="63A545F7"/>
    <w:rsid w:val="63A64009"/>
    <w:rsid w:val="63A7A412"/>
    <w:rsid w:val="63A958A1"/>
    <w:rsid w:val="63A9CB1F"/>
    <w:rsid w:val="63ABC101"/>
    <w:rsid w:val="63AF5EEE"/>
    <w:rsid w:val="63AFEB21"/>
    <w:rsid w:val="63B537BA"/>
    <w:rsid w:val="63B784DC"/>
    <w:rsid w:val="63B98A6F"/>
    <w:rsid w:val="63BA56E4"/>
    <w:rsid w:val="63BB902E"/>
    <w:rsid w:val="63BFBC75"/>
    <w:rsid w:val="63C313A6"/>
    <w:rsid w:val="63C63999"/>
    <w:rsid w:val="63C87DF5"/>
    <w:rsid w:val="63CBEB5D"/>
    <w:rsid w:val="63CEBA96"/>
    <w:rsid w:val="63D50A85"/>
    <w:rsid w:val="63D833D3"/>
    <w:rsid w:val="63DB0A3E"/>
    <w:rsid w:val="63DD3E82"/>
    <w:rsid w:val="63DECB79"/>
    <w:rsid w:val="63E4A7B8"/>
    <w:rsid w:val="63E7079A"/>
    <w:rsid w:val="63EABB54"/>
    <w:rsid w:val="63F850FC"/>
    <w:rsid w:val="63FDE4C2"/>
    <w:rsid w:val="63FF0887"/>
    <w:rsid w:val="6403DB08"/>
    <w:rsid w:val="640404F6"/>
    <w:rsid w:val="6406A647"/>
    <w:rsid w:val="640DE77F"/>
    <w:rsid w:val="640FB065"/>
    <w:rsid w:val="64161894"/>
    <w:rsid w:val="641651E5"/>
    <w:rsid w:val="641718F3"/>
    <w:rsid w:val="641996BB"/>
    <w:rsid w:val="641CD2CE"/>
    <w:rsid w:val="641DCD58"/>
    <w:rsid w:val="6423E5D5"/>
    <w:rsid w:val="64269627"/>
    <w:rsid w:val="642E59B5"/>
    <w:rsid w:val="6431D636"/>
    <w:rsid w:val="64342EB0"/>
    <w:rsid w:val="643D53D8"/>
    <w:rsid w:val="64403FAB"/>
    <w:rsid w:val="64468D02"/>
    <w:rsid w:val="644DD562"/>
    <w:rsid w:val="64501858"/>
    <w:rsid w:val="6451CE66"/>
    <w:rsid w:val="64564ED0"/>
    <w:rsid w:val="6457A746"/>
    <w:rsid w:val="6463C997"/>
    <w:rsid w:val="64699186"/>
    <w:rsid w:val="646BD9D3"/>
    <w:rsid w:val="646FEB36"/>
    <w:rsid w:val="6474013A"/>
    <w:rsid w:val="6474F33A"/>
    <w:rsid w:val="6480841C"/>
    <w:rsid w:val="64841B5B"/>
    <w:rsid w:val="6488EBE2"/>
    <w:rsid w:val="64892E43"/>
    <w:rsid w:val="648A62F2"/>
    <w:rsid w:val="648FB886"/>
    <w:rsid w:val="648FF156"/>
    <w:rsid w:val="64907E64"/>
    <w:rsid w:val="649109EE"/>
    <w:rsid w:val="64913285"/>
    <w:rsid w:val="64921C77"/>
    <w:rsid w:val="64933475"/>
    <w:rsid w:val="649D73DC"/>
    <w:rsid w:val="649E1E40"/>
    <w:rsid w:val="64A0E667"/>
    <w:rsid w:val="64A1BDF3"/>
    <w:rsid w:val="64A2F368"/>
    <w:rsid w:val="64A33BA0"/>
    <w:rsid w:val="64A4265B"/>
    <w:rsid w:val="64A445FA"/>
    <w:rsid w:val="64B0A6E4"/>
    <w:rsid w:val="64B1D91E"/>
    <w:rsid w:val="64B2EEB3"/>
    <w:rsid w:val="64BA4F8B"/>
    <w:rsid w:val="64BAFF93"/>
    <w:rsid w:val="64BE33E6"/>
    <w:rsid w:val="64C159A9"/>
    <w:rsid w:val="64C446A9"/>
    <w:rsid w:val="64C452AD"/>
    <w:rsid w:val="64CB258A"/>
    <w:rsid w:val="64CBBEF9"/>
    <w:rsid w:val="64CC00F4"/>
    <w:rsid w:val="64CE9ABC"/>
    <w:rsid w:val="64D2A593"/>
    <w:rsid w:val="64D3D5BC"/>
    <w:rsid w:val="64D4D300"/>
    <w:rsid w:val="64E23187"/>
    <w:rsid w:val="64E62514"/>
    <w:rsid w:val="64E78511"/>
    <w:rsid w:val="64E91B71"/>
    <w:rsid w:val="64EC862B"/>
    <w:rsid w:val="64ECECFA"/>
    <w:rsid w:val="64ED1B6F"/>
    <w:rsid w:val="64ED7173"/>
    <w:rsid w:val="64EDB156"/>
    <w:rsid w:val="64EF75A2"/>
    <w:rsid w:val="64F0454D"/>
    <w:rsid w:val="64F69806"/>
    <w:rsid w:val="64FC74E9"/>
    <w:rsid w:val="65032833"/>
    <w:rsid w:val="650587CB"/>
    <w:rsid w:val="6505979E"/>
    <w:rsid w:val="6507B2B3"/>
    <w:rsid w:val="6508F1BC"/>
    <w:rsid w:val="65090A76"/>
    <w:rsid w:val="650A435F"/>
    <w:rsid w:val="650B37AE"/>
    <w:rsid w:val="650F3099"/>
    <w:rsid w:val="65132727"/>
    <w:rsid w:val="651706B8"/>
    <w:rsid w:val="65177B34"/>
    <w:rsid w:val="651B33DA"/>
    <w:rsid w:val="6527A735"/>
    <w:rsid w:val="652A83D1"/>
    <w:rsid w:val="6530BA86"/>
    <w:rsid w:val="6531F6A0"/>
    <w:rsid w:val="65331A40"/>
    <w:rsid w:val="653752EF"/>
    <w:rsid w:val="6538332E"/>
    <w:rsid w:val="653A8CE5"/>
    <w:rsid w:val="653EAC4B"/>
    <w:rsid w:val="65422C42"/>
    <w:rsid w:val="6542AD53"/>
    <w:rsid w:val="6542B287"/>
    <w:rsid w:val="6544624C"/>
    <w:rsid w:val="6544F727"/>
    <w:rsid w:val="65455D60"/>
    <w:rsid w:val="6548C091"/>
    <w:rsid w:val="6553D258"/>
    <w:rsid w:val="6567C844"/>
    <w:rsid w:val="656C098E"/>
    <w:rsid w:val="656C0B69"/>
    <w:rsid w:val="656D3FFA"/>
    <w:rsid w:val="656D8D45"/>
    <w:rsid w:val="6571E1BB"/>
    <w:rsid w:val="657398E9"/>
    <w:rsid w:val="6578F13C"/>
    <w:rsid w:val="65815449"/>
    <w:rsid w:val="658340F2"/>
    <w:rsid w:val="65836D6D"/>
    <w:rsid w:val="6583C929"/>
    <w:rsid w:val="65853E80"/>
    <w:rsid w:val="658BD176"/>
    <w:rsid w:val="658D2D04"/>
    <w:rsid w:val="6593C268"/>
    <w:rsid w:val="6593FA50"/>
    <w:rsid w:val="6598BEF1"/>
    <w:rsid w:val="659AED9D"/>
    <w:rsid w:val="659CAB06"/>
    <w:rsid w:val="65A23A8D"/>
    <w:rsid w:val="65A5F475"/>
    <w:rsid w:val="65A6FC28"/>
    <w:rsid w:val="65A78088"/>
    <w:rsid w:val="65A95702"/>
    <w:rsid w:val="65AC19BE"/>
    <w:rsid w:val="65ACF1B5"/>
    <w:rsid w:val="65AE2BC1"/>
    <w:rsid w:val="65AFBE9A"/>
    <w:rsid w:val="65B0DC3A"/>
    <w:rsid w:val="65B767FF"/>
    <w:rsid w:val="65BC6E88"/>
    <w:rsid w:val="65BEF9CF"/>
    <w:rsid w:val="65C0D578"/>
    <w:rsid w:val="65C1246A"/>
    <w:rsid w:val="65C51B24"/>
    <w:rsid w:val="65CEEF9E"/>
    <w:rsid w:val="65D1D82F"/>
    <w:rsid w:val="65D4002A"/>
    <w:rsid w:val="65D45389"/>
    <w:rsid w:val="65D6AD76"/>
    <w:rsid w:val="65DFD641"/>
    <w:rsid w:val="65E76F4B"/>
    <w:rsid w:val="65E8B104"/>
    <w:rsid w:val="65E9518E"/>
    <w:rsid w:val="65EB7BC8"/>
    <w:rsid w:val="65EB9FF2"/>
    <w:rsid w:val="65EC6871"/>
    <w:rsid w:val="65F35F81"/>
    <w:rsid w:val="65F6E9D3"/>
    <w:rsid w:val="6600148E"/>
    <w:rsid w:val="66009430"/>
    <w:rsid w:val="660169C4"/>
    <w:rsid w:val="660188DE"/>
    <w:rsid w:val="66025040"/>
    <w:rsid w:val="660A273C"/>
    <w:rsid w:val="660DE43A"/>
    <w:rsid w:val="661900A4"/>
    <w:rsid w:val="66199D5C"/>
    <w:rsid w:val="661C6D3A"/>
    <w:rsid w:val="661E95D1"/>
    <w:rsid w:val="662011FF"/>
    <w:rsid w:val="66216FE5"/>
    <w:rsid w:val="6622AF93"/>
    <w:rsid w:val="6623CC57"/>
    <w:rsid w:val="6626D765"/>
    <w:rsid w:val="6627128C"/>
    <w:rsid w:val="66289322"/>
    <w:rsid w:val="662A4175"/>
    <w:rsid w:val="662D2FFC"/>
    <w:rsid w:val="66399AB4"/>
    <w:rsid w:val="663A3ECA"/>
    <w:rsid w:val="66403DF5"/>
    <w:rsid w:val="66481F21"/>
    <w:rsid w:val="664CA3AB"/>
    <w:rsid w:val="6655626B"/>
    <w:rsid w:val="66586A41"/>
    <w:rsid w:val="665CA7F6"/>
    <w:rsid w:val="6660FDCC"/>
    <w:rsid w:val="66658490"/>
    <w:rsid w:val="66694E7E"/>
    <w:rsid w:val="6674EA20"/>
    <w:rsid w:val="667543B2"/>
    <w:rsid w:val="66764FA7"/>
    <w:rsid w:val="66793DB7"/>
    <w:rsid w:val="667A2D6B"/>
    <w:rsid w:val="66840D5F"/>
    <w:rsid w:val="6687520D"/>
    <w:rsid w:val="668B59D3"/>
    <w:rsid w:val="668BBC19"/>
    <w:rsid w:val="668CB264"/>
    <w:rsid w:val="66913551"/>
    <w:rsid w:val="669614C5"/>
    <w:rsid w:val="66978B90"/>
    <w:rsid w:val="66987C47"/>
    <w:rsid w:val="669F7593"/>
    <w:rsid w:val="66A3E03F"/>
    <w:rsid w:val="66A6581F"/>
    <w:rsid w:val="66AEF823"/>
    <w:rsid w:val="66B0E851"/>
    <w:rsid w:val="66B5385E"/>
    <w:rsid w:val="66B94C8B"/>
    <w:rsid w:val="66BAB5CF"/>
    <w:rsid w:val="66C291E0"/>
    <w:rsid w:val="66C2B341"/>
    <w:rsid w:val="66C71483"/>
    <w:rsid w:val="66C77234"/>
    <w:rsid w:val="66C7FE94"/>
    <w:rsid w:val="66CAE3E6"/>
    <w:rsid w:val="66CBEB29"/>
    <w:rsid w:val="66CFEEF2"/>
    <w:rsid w:val="66D352D7"/>
    <w:rsid w:val="66D7FFB0"/>
    <w:rsid w:val="66DC23FA"/>
    <w:rsid w:val="66DC49B9"/>
    <w:rsid w:val="66E58E90"/>
    <w:rsid w:val="66E5E889"/>
    <w:rsid w:val="66E80D1D"/>
    <w:rsid w:val="66EA4A3A"/>
    <w:rsid w:val="66F0CB4E"/>
    <w:rsid w:val="66F3B71E"/>
    <w:rsid w:val="66F487EA"/>
    <w:rsid w:val="66F48E25"/>
    <w:rsid w:val="66F6AFD3"/>
    <w:rsid w:val="66F95083"/>
    <w:rsid w:val="67034566"/>
    <w:rsid w:val="6704B0A7"/>
    <w:rsid w:val="67082810"/>
    <w:rsid w:val="671276A6"/>
    <w:rsid w:val="6714AC2A"/>
    <w:rsid w:val="6714F6C1"/>
    <w:rsid w:val="671554B2"/>
    <w:rsid w:val="67166DBB"/>
    <w:rsid w:val="6717E8B3"/>
    <w:rsid w:val="671A0CA7"/>
    <w:rsid w:val="671A34A5"/>
    <w:rsid w:val="671F0373"/>
    <w:rsid w:val="671FC9C3"/>
    <w:rsid w:val="6721FFF4"/>
    <w:rsid w:val="67241E07"/>
    <w:rsid w:val="6727C2CC"/>
    <w:rsid w:val="67348862"/>
    <w:rsid w:val="67393CFC"/>
    <w:rsid w:val="6739C9D7"/>
    <w:rsid w:val="673CFBC4"/>
    <w:rsid w:val="673DB62A"/>
    <w:rsid w:val="673F3149"/>
    <w:rsid w:val="673F9C6E"/>
    <w:rsid w:val="6748FC07"/>
    <w:rsid w:val="67510195"/>
    <w:rsid w:val="67521A6F"/>
    <w:rsid w:val="6752EB2B"/>
    <w:rsid w:val="6757709F"/>
    <w:rsid w:val="67584C3E"/>
    <w:rsid w:val="675E1629"/>
    <w:rsid w:val="6764B82E"/>
    <w:rsid w:val="6767947A"/>
    <w:rsid w:val="676A5FA7"/>
    <w:rsid w:val="676A7CDF"/>
    <w:rsid w:val="676CEB50"/>
    <w:rsid w:val="676E8752"/>
    <w:rsid w:val="67702B60"/>
    <w:rsid w:val="67704416"/>
    <w:rsid w:val="67756528"/>
    <w:rsid w:val="67768DBA"/>
    <w:rsid w:val="6776B874"/>
    <w:rsid w:val="677C6129"/>
    <w:rsid w:val="677D309C"/>
    <w:rsid w:val="67801B27"/>
    <w:rsid w:val="6783484A"/>
    <w:rsid w:val="6786C319"/>
    <w:rsid w:val="678904CC"/>
    <w:rsid w:val="678AB3E9"/>
    <w:rsid w:val="67945416"/>
    <w:rsid w:val="67958EDA"/>
    <w:rsid w:val="679D75E5"/>
    <w:rsid w:val="679DF95D"/>
    <w:rsid w:val="67A22ECD"/>
    <w:rsid w:val="67A32DD8"/>
    <w:rsid w:val="67A3E42A"/>
    <w:rsid w:val="67A4BD09"/>
    <w:rsid w:val="67A4D414"/>
    <w:rsid w:val="67A9C934"/>
    <w:rsid w:val="67A9FD28"/>
    <w:rsid w:val="67AA2600"/>
    <w:rsid w:val="67B45F7A"/>
    <w:rsid w:val="67BA45FA"/>
    <w:rsid w:val="67BAD904"/>
    <w:rsid w:val="67BC92E6"/>
    <w:rsid w:val="67C2895B"/>
    <w:rsid w:val="67C36454"/>
    <w:rsid w:val="67C9DF6B"/>
    <w:rsid w:val="67D0831C"/>
    <w:rsid w:val="67D70F26"/>
    <w:rsid w:val="67DB039A"/>
    <w:rsid w:val="67DB4456"/>
    <w:rsid w:val="67DCE6CD"/>
    <w:rsid w:val="67DF64BE"/>
    <w:rsid w:val="67DFD18B"/>
    <w:rsid w:val="67EB7171"/>
    <w:rsid w:val="67ED2397"/>
    <w:rsid w:val="67EF7641"/>
    <w:rsid w:val="67F0F5DD"/>
    <w:rsid w:val="67F191B8"/>
    <w:rsid w:val="67F81825"/>
    <w:rsid w:val="67FE8659"/>
    <w:rsid w:val="68057783"/>
    <w:rsid w:val="680A8DE9"/>
    <w:rsid w:val="680C8C4B"/>
    <w:rsid w:val="6811D915"/>
    <w:rsid w:val="6813582C"/>
    <w:rsid w:val="681ABEBE"/>
    <w:rsid w:val="681B1587"/>
    <w:rsid w:val="681B191C"/>
    <w:rsid w:val="682134B8"/>
    <w:rsid w:val="6827629D"/>
    <w:rsid w:val="68287512"/>
    <w:rsid w:val="682A595F"/>
    <w:rsid w:val="682A81FF"/>
    <w:rsid w:val="682B9FCD"/>
    <w:rsid w:val="682ED07A"/>
    <w:rsid w:val="6834DB28"/>
    <w:rsid w:val="68382155"/>
    <w:rsid w:val="683A4866"/>
    <w:rsid w:val="683C52BC"/>
    <w:rsid w:val="683FF981"/>
    <w:rsid w:val="684364F4"/>
    <w:rsid w:val="6843E65D"/>
    <w:rsid w:val="6844CE3C"/>
    <w:rsid w:val="68450604"/>
    <w:rsid w:val="684A0495"/>
    <w:rsid w:val="684FA624"/>
    <w:rsid w:val="68531DC7"/>
    <w:rsid w:val="68561D29"/>
    <w:rsid w:val="6856F86C"/>
    <w:rsid w:val="68578F9A"/>
    <w:rsid w:val="685873A6"/>
    <w:rsid w:val="68587802"/>
    <w:rsid w:val="685AA870"/>
    <w:rsid w:val="685BBCB6"/>
    <w:rsid w:val="685CD23E"/>
    <w:rsid w:val="685CD722"/>
    <w:rsid w:val="6863AE87"/>
    <w:rsid w:val="68659C86"/>
    <w:rsid w:val="68666E83"/>
    <w:rsid w:val="6869A4B2"/>
    <w:rsid w:val="686A0C13"/>
    <w:rsid w:val="686C2DD6"/>
    <w:rsid w:val="686EDF74"/>
    <w:rsid w:val="686F66B3"/>
    <w:rsid w:val="686FD59B"/>
    <w:rsid w:val="68706CEE"/>
    <w:rsid w:val="6874815B"/>
    <w:rsid w:val="68762FF8"/>
    <w:rsid w:val="687A56F5"/>
    <w:rsid w:val="687BF12C"/>
    <w:rsid w:val="6884D523"/>
    <w:rsid w:val="6888F4AD"/>
    <w:rsid w:val="688F2AC0"/>
    <w:rsid w:val="688F3B37"/>
    <w:rsid w:val="688F3FE6"/>
    <w:rsid w:val="68914AB0"/>
    <w:rsid w:val="6894EC52"/>
    <w:rsid w:val="6895C59A"/>
    <w:rsid w:val="6897429A"/>
    <w:rsid w:val="689C66EC"/>
    <w:rsid w:val="689D444D"/>
    <w:rsid w:val="689E61E5"/>
    <w:rsid w:val="68A2706F"/>
    <w:rsid w:val="68A9C1C8"/>
    <w:rsid w:val="68AEF758"/>
    <w:rsid w:val="68B30160"/>
    <w:rsid w:val="68B433D7"/>
    <w:rsid w:val="68C0619F"/>
    <w:rsid w:val="68C1BCC2"/>
    <w:rsid w:val="68C3F9C4"/>
    <w:rsid w:val="68C8BC05"/>
    <w:rsid w:val="68CC2C78"/>
    <w:rsid w:val="68CD2A02"/>
    <w:rsid w:val="68CD5A9A"/>
    <w:rsid w:val="68CF50A6"/>
    <w:rsid w:val="68CFBA01"/>
    <w:rsid w:val="68D5D54E"/>
    <w:rsid w:val="68D63E70"/>
    <w:rsid w:val="68D713EB"/>
    <w:rsid w:val="68DC1C34"/>
    <w:rsid w:val="68DDD151"/>
    <w:rsid w:val="68DF7E13"/>
    <w:rsid w:val="68E10C4C"/>
    <w:rsid w:val="68E2C5D2"/>
    <w:rsid w:val="68E52C72"/>
    <w:rsid w:val="68E787C6"/>
    <w:rsid w:val="68EA949B"/>
    <w:rsid w:val="68EC1E89"/>
    <w:rsid w:val="68EFA912"/>
    <w:rsid w:val="68EFFCA6"/>
    <w:rsid w:val="68F02C3E"/>
    <w:rsid w:val="68F53D2B"/>
    <w:rsid w:val="68F5DAC8"/>
    <w:rsid w:val="69020DAA"/>
    <w:rsid w:val="69052B82"/>
    <w:rsid w:val="690870C7"/>
    <w:rsid w:val="690A415C"/>
    <w:rsid w:val="690A8B56"/>
    <w:rsid w:val="690C8845"/>
    <w:rsid w:val="69122092"/>
    <w:rsid w:val="69186162"/>
    <w:rsid w:val="69190E0C"/>
    <w:rsid w:val="69192E8C"/>
    <w:rsid w:val="691AC945"/>
    <w:rsid w:val="691C2D51"/>
    <w:rsid w:val="691DAEA8"/>
    <w:rsid w:val="691E6D82"/>
    <w:rsid w:val="691E74CA"/>
    <w:rsid w:val="69263511"/>
    <w:rsid w:val="6926EF18"/>
    <w:rsid w:val="692C0398"/>
    <w:rsid w:val="692D72B2"/>
    <w:rsid w:val="692E8CB0"/>
    <w:rsid w:val="692EF69F"/>
    <w:rsid w:val="6931AD5D"/>
    <w:rsid w:val="6937EA93"/>
    <w:rsid w:val="693905BF"/>
    <w:rsid w:val="693B7DA5"/>
    <w:rsid w:val="69405467"/>
    <w:rsid w:val="6949D571"/>
    <w:rsid w:val="694AB34F"/>
    <w:rsid w:val="694FA420"/>
    <w:rsid w:val="69516AF5"/>
    <w:rsid w:val="6951FA2B"/>
    <w:rsid w:val="69590641"/>
    <w:rsid w:val="695C5045"/>
    <w:rsid w:val="695D6EE0"/>
    <w:rsid w:val="6964A35F"/>
    <w:rsid w:val="696A57E0"/>
    <w:rsid w:val="696AE5E5"/>
    <w:rsid w:val="696BABD1"/>
    <w:rsid w:val="696E49E8"/>
    <w:rsid w:val="696E7168"/>
    <w:rsid w:val="6970E0AF"/>
    <w:rsid w:val="6973AE87"/>
    <w:rsid w:val="6979E374"/>
    <w:rsid w:val="697CAEB1"/>
    <w:rsid w:val="69829DDB"/>
    <w:rsid w:val="69832C6E"/>
    <w:rsid w:val="6984551E"/>
    <w:rsid w:val="69898E49"/>
    <w:rsid w:val="698A4CA0"/>
    <w:rsid w:val="698A6A88"/>
    <w:rsid w:val="6993340B"/>
    <w:rsid w:val="699960E1"/>
    <w:rsid w:val="699A4C9A"/>
    <w:rsid w:val="699FAC1C"/>
    <w:rsid w:val="699FEED0"/>
    <w:rsid w:val="69A23998"/>
    <w:rsid w:val="69A751EC"/>
    <w:rsid w:val="69AA791A"/>
    <w:rsid w:val="69B0B841"/>
    <w:rsid w:val="69B1E0EB"/>
    <w:rsid w:val="69B30459"/>
    <w:rsid w:val="69B7F439"/>
    <w:rsid w:val="69BD7863"/>
    <w:rsid w:val="69C45767"/>
    <w:rsid w:val="69C7B04F"/>
    <w:rsid w:val="69CA51DC"/>
    <w:rsid w:val="69D1DED8"/>
    <w:rsid w:val="69D5093E"/>
    <w:rsid w:val="69D9BFB6"/>
    <w:rsid w:val="69DE93A6"/>
    <w:rsid w:val="69DFA690"/>
    <w:rsid w:val="69DFB629"/>
    <w:rsid w:val="69E03415"/>
    <w:rsid w:val="69E1D517"/>
    <w:rsid w:val="69E53C97"/>
    <w:rsid w:val="69ED81B8"/>
    <w:rsid w:val="69EE84FD"/>
    <w:rsid w:val="69F1233B"/>
    <w:rsid w:val="69F213CF"/>
    <w:rsid w:val="69F5C50A"/>
    <w:rsid w:val="69F819CE"/>
    <w:rsid w:val="69F9145B"/>
    <w:rsid w:val="6A006B77"/>
    <w:rsid w:val="6A00C6D7"/>
    <w:rsid w:val="6A091136"/>
    <w:rsid w:val="6A0BA1FB"/>
    <w:rsid w:val="6A0BF97D"/>
    <w:rsid w:val="6A0D6ABC"/>
    <w:rsid w:val="6A13DDC5"/>
    <w:rsid w:val="6A14FBB1"/>
    <w:rsid w:val="6A1BA9EC"/>
    <w:rsid w:val="6A1E8C4E"/>
    <w:rsid w:val="6A1F21F4"/>
    <w:rsid w:val="6A1F7495"/>
    <w:rsid w:val="6A236217"/>
    <w:rsid w:val="6A240815"/>
    <w:rsid w:val="6A2BD3B1"/>
    <w:rsid w:val="6A3013D9"/>
    <w:rsid w:val="6A310ECD"/>
    <w:rsid w:val="6A3331C1"/>
    <w:rsid w:val="6A345953"/>
    <w:rsid w:val="6A37BB85"/>
    <w:rsid w:val="6A3ADF9E"/>
    <w:rsid w:val="6A3BAB21"/>
    <w:rsid w:val="6A3CFC3D"/>
    <w:rsid w:val="6A3DF029"/>
    <w:rsid w:val="6A3E8BDE"/>
    <w:rsid w:val="6A4487FB"/>
    <w:rsid w:val="6A45487E"/>
    <w:rsid w:val="6A4D0570"/>
    <w:rsid w:val="6A4D7488"/>
    <w:rsid w:val="6A4E4656"/>
    <w:rsid w:val="6A4F7B5A"/>
    <w:rsid w:val="6A5905E0"/>
    <w:rsid w:val="6A5BCBCD"/>
    <w:rsid w:val="6A5D465C"/>
    <w:rsid w:val="6A60FC66"/>
    <w:rsid w:val="6A681304"/>
    <w:rsid w:val="6A6886E5"/>
    <w:rsid w:val="6A6AF433"/>
    <w:rsid w:val="6A6D9627"/>
    <w:rsid w:val="6A7156F2"/>
    <w:rsid w:val="6A768D5B"/>
    <w:rsid w:val="6A788169"/>
    <w:rsid w:val="6A79DABB"/>
    <w:rsid w:val="6A7ABB2D"/>
    <w:rsid w:val="6A8479B3"/>
    <w:rsid w:val="6A88805A"/>
    <w:rsid w:val="6A8D71EB"/>
    <w:rsid w:val="6A9539E2"/>
    <w:rsid w:val="6A963ABA"/>
    <w:rsid w:val="6A98AD6D"/>
    <w:rsid w:val="6AA0101B"/>
    <w:rsid w:val="6AA05033"/>
    <w:rsid w:val="6AA2E507"/>
    <w:rsid w:val="6AA665C3"/>
    <w:rsid w:val="6AA74B42"/>
    <w:rsid w:val="6AA8FD4D"/>
    <w:rsid w:val="6AAE20BE"/>
    <w:rsid w:val="6AAF848A"/>
    <w:rsid w:val="6AB09312"/>
    <w:rsid w:val="6AB2DECF"/>
    <w:rsid w:val="6ABAD3EB"/>
    <w:rsid w:val="6ABDA5A3"/>
    <w:rsid w:val="6AC20ACF"/>
    <w:rsid w:val="6AC4EF1B"/>
    <w:rsid w:val="6AC8AB15"/>
    <w:rsid w:val="6AD2F526"/>
    <w:rsid w:val="6AD41912"/>
    <w:rsid w:val="6AD467B5"/>
    <w:rsid w:val="6AD50A7D"/>
    <w:rsid w:val="6AD623EF"/>
    <w:rsid w:val="6AD84695"/>
    <w:rsid w:val="6AD887F8"/>
    <w:rsid w:val="6AD8DB55"/>
    <w:rsid w:val="6ADD61DE"/>
    <w:rsid w:val="6AE26756"/>
    <w:rsid w:val="6AE2DD93"/>
    <w:rsid w:val="6AE2F5BA"/>
    <w:rsid w:val="6AE4A421"/>
    <w:rsid w:val="6AE4E14C"/>
    <w:rsid w:val="6AE60005"/>
    <w:rsid w:val="6AE84BE9"/>
    <w:rsid w:val="6AF25B77"/>
    <w:rsid w:val="6AFC7922"/>
    <w:rsid w:val="6B026A2C"/>
    <w:rsid w:val="6B056B2F"/>
    <w:rsid w:val="6B095E86"/>
    <w:rsid w:val="6B0A946F"/>
    <w:rsid w:val="6B14957E"/>
    <w:rsid w:val="6B1B7ED6"/>
    <w:rsid w:val="6B27C11F"/>
    <w:rsid w:val="6B2B530F"/>
    <w:rsid w:val="6B2DF468"/>
    <w:rsid w:val="6B301E35"/>
    <w:rsid w:val="6B37BB88"/>
    <w:rsid w:val="6B38EE18"/>
    <w:rsid w:val="6B3E5BB5"/>
    <w:rsid w:val="6B4029FD"/>
    <w:rsid w:val="6B451425"/>
    <w:rsid w:val="6B45C2EE"/>
    <w:rsid w:val="6B48F40C"/>
    <w:rsid w:val="6B4A8601"/>
    <w:rsid w:val="6B4EB526"/>
    <w:rsid w:val="6B5609A2"/>
    <w:rsid w:val="6B5AFF28"/>
    <w:rsid w:val="6B5DD093"/>
    <w:rsid w:val="6B602082"/>
    <w:rsid w:val="6B63FA52"/>
    <w:rsid w:val="6B661D4E"/>
    <w:rsid w:val="6B6C116E"/>
    <w:rsid w:val="6B6F8B76"/>
    <w:rsid w:val="6B71EC17"/>
    <w:rsid w:val="6B83AAC0"/>
    <w:rsid w:val="6B86BB71"/>
    <w:rsid w:val="6B8C5F76"/>
    <w:rsid w:val="6B926889"/>
    <w:rsid w:val="6B94AA7D"/>
    <w:rsid w:val="6B9A0C2F"/>
    <w:rsid w:val="6B9BA34B"/>
    <w:rsid w:val="6B9DF5D6"/>
    <w:rsid w:val="6BA222FE"/>
    <w:rsid w:val="6BA2D3A7"/>
    <w:rsid w:val="6BA5DBC1"/>
    <w:rsid w:val="6BA76FB6"/>
    <w:rsid w:val="6BA86E73"/>
    <w:rsid w:val="6BAA85B8"/>
    <w:rsid w:val="6BAA92C7"/>
    <w:rsid w:val="6BAF1459"/>
    <w:rsid w:val="6BB2EDCD"/>
    <w:rsid w:val="6BB57D53"/>
    <w:rsid w:val="6BBA6C95"/>
    <w:rsid w:val="6BC01724"/>
    <w:rsid w:val="6BC40E62"/>
    <w:rsid w:val="6BC856A2"/>
    <w:rsid w:val="6BCAB8C1"/>
    <w:rsid w:val="6BCEDE71"/>
    <w:rsid w:val="6BCFE122"/>
    <w:rsid w:val="6BD4A2CA"/>
    <w:rsid w:val="6BDA88DC"/>
    <w:rsid w:val="6BDAC6BA"/>
    <w:rsid w:val="6BDB1A5F"/>
    <w:rsid w:val="6BE001E4"/>
    <w:rsid w:val="6BE2BDF4"/>
    <w:rsid w:val="6BE3C958"/>
    <w:rsid w:val="6BE8BBA0"/>
    <w:rsid w:val="6BEB3B38"/>
    <w:rsid w:val="6BED9F39"/>
    <w:rsid w:val="6BF0292C"/>
    <w:rsid w:val="6BF1016D"/>
    <w:rsid w:val="6BF25460"/>
    <w:rsid w:val="6BFEE71F"/>
    <w:rsid w:val="6BFF2435"/>
    <w:rsid w:val="6C019419"/>
    <w:rsid w:val="6C0642E5"/>
    <w:rsid w:val="6C0D8D58"/>
    <w:rsid w:val="6C1159A1"/>
    <w:rsid w:val="6C15343E"/>
    <w:rsid w:val="6C1A2713"/>
    <w:rsid w:val="6C1E1950"/>
    <w:rsid w:val="6C1F9B85"/>
    <w:rsid w:val="6C2191FD"/>
    <w:rsid w:val="6C233B08"/>
    <w:rsid w:val="6C255BB0"/>
    <w:rsid w:val="6C2648F9"/>
    <w:rsid w:val="6C29E454"/>
    <w:rsid w:val="6C31E94F"/>
    <w:rsid w:val="6C3456C6"/>
    <w:rsid w:val="6C3B37F1"/>
    <w:rsid w:val="6C4EFD3F"/>
    <w:rsid w:val="6C55FFA0"/>
    <w:rsid w:val="6C5819F8"/>
    <w:rsid w:val="6C62B893"/>
    <w:rsid w:val="6C66D494"/>
    <w:rsid w:val="6C673954"/>
    <w:rsid w:val="6C676FC1"/>
    <w:rsid w:val="6C6C1121"/>
    <w:rsid w:val="6C6F7AA7"/>
    <w:rsid w:val="6C6F8E45"/>
    <w:rsid w:val="6C71F450"/>
    <w:rsid w:val="6C7344D1"/>
    <w:rsid w:val="6C78DE92"/>
    <w:rsid w:val="6C82A7CB"/>
    <w:rsid w:val="6C8FA828"/>
    <w:rsid w:val="6C90686D"/>
    <w:rsid w:val="6C913307"/>
    <w:rsid w:val="6C95BFCF"/>
    <w:rsid w:val="6C96A6EC"/>
    <w:rsid w:val="6C97471F"/>
    <w:rsid w:val="6C98BEFA"/>
    <w:rsid w:val="6C98D4B5"/>
    <w:rsid w:val="6C99B64E"/>
    <w:rsid w:val="6C9AE42D"/>
    <w:rsid w:val="6CA56E1B"/>
    <w:rsid w:val="6CA8D8B9"/>
    <w:rsid w:val="6CB27E70"/>
    <w:rsid w:val="6CB4C33E"/>
    <w:rsid w:val="6CB603B6"/>
    <w:rsid w:val="6CCB3E15"/>
    <w:rsid w:val="6CCFD55A"/>
    <w:rsid w:val="6CCFE691"/>
    <w:rsid w:val="6CD555B1"/>
    <w:rsid w:val="6CD7EEAB"/>
    <w:rsid w:val="6CDF3301"/>
    <w:rsid w:val="6CE34FB7"/>
    <w:rsid w:val="6CE91542"/>
    <w:rsid w:val="6CF0D26B"/>
    <w:rsid w:val="6CF318E2"/>
    <w:rsid w:val="6CF50AA5"/>
    <w:rsid w:val="6CF82792"/>
    <w:rsid w:val="6CF85A4C"/>
    <w:rsid w:val="6CFA5DDA"/>
    <w:rsid w:val="6CFB3C98"/>
    <w:rsid w:val="6D02B52C"/>
    <w:rsid w:val="6D02DC63"/>
    <w:rsid w:val="6D05DA10"/>
    <w:rsid w:val="6D06CF22"/>
    <w:rsid w:val="6D0817E2"/>
    <w:rsid w:val="6D0F0787"/>
    <w:rsid w:val="6D0F7679"/>
    <w:rsid w:val="6D116A34"/>
    <w:rsid w:val="6D1312D1"/>
    <w:rsid w:val="6D172115"/>
    <w:rsid w:val="6D1C24A9"/>
    <w:rsid w:val="6D1D2EFD"/>
    <w:rsid w:val="6D1F1E93"/>
    <w:rsid w:val="6D205F83"/>
    <w:rsid w:val="6D23F8D7"/>
    <w:rsid w:val="6D256CA5"/>
    <w:rsid w:val="6D2B1CF0"/>
    <w:rsid w:val="6D34E929"/>
    <w:rsid w:val="6D370E27"/>
    <w:rsid w:val="6D392FB5"/>
    <w:rsid w:val="6D430050"/>
    <w:rsid w:val="6D438785"/>
    <w:rsid w:val="6D45BFDC"/>
    <w:rsid w:val="6D4607C6"/>
    <w:rsid w:val="6D476D59"/>
    <w:rsid w:val="6D4CAC6F"/>
    <w:rsid w:val="6D4F1BB4"/>
    <w:rsid w:val="6D514DB4"/>
    <w:rsid w:val="6D51AE88"/>
    <w:rsid w:val="6D545A2B"/>
    <w:rsid w:val="6D568447"/>
    <w:rsid w:val="6D579324"/>
    <w:rsid w:val="6D5819F3"/>
    <w:rsid w:val="6D5992A1"/>
    <w:rsid w:val="6D5BA089"/>
    <w:rsid w:val="6D61DDFF"/>
    <w:rsid w:val="6D6300FA"/>
    <w:rsid w:val="6D630C40"/>
    <w:rsid w:val="6D697305"/>
    <w:rsid w:val="6D6C37E2"/>
    <w:rsid w:val="6D6DA03A"/>
    <w:rsid w:val="6D6F93BE"/>
    <w:rsid w:val="6D714657"/>
    <w:rsid w:val="6D72E2B5"/>
    <w:rsid w:val="6D749830"/>
    <w:rsid w:val="6D79087E"/>
    <w:rsid w:val="6D7AE1A0"/>
    <w:rsid w:val="6D817E91"/>
    <w:rsid w:val="6D833876"/>
    <w:rsid w:val="6D8A1AF7"/>
    <w:rsid w:val="6D8B9DE7"/>
    <w:rsid w:val="6D8BA673"/>
    <w:rsid w:val="6D90F818"/>
    <w:rsid w:val="6D91A299"/>
    <w:rsid w:val="6D936551"/>
    <w:rsid w:val="6D939C0B"/>
    <w:rsid w:val="6D952C78"/>
    <w:rsid w:val="6D96BEC3"/>
    <w:rsid w:val="6D9A25AA"/>
    <w:rsid w:val="6D9B4E64"/>
    <w:rsid w:val="6D9D6F34"/>
    <w:rsid w:val="6D9E6627"/>
    <w:rsid w:val="6DA5D72F"/>
    <w:rsid w:val="6DA8C2AC"/>
    <w:rsid w:val="6DAA10A2"/>
    <w:rsid w:val="6DAE01B4"/>
    <w:rsid w:val="6DB046A8"/>
    <w:rsid w:val="6DBC7316"/>
    <w:rsid w:val="6DCA2AF4"/>
    <w:rsid w:val="6DCB67CF"/>
    <w:rsid w:val="6DCF6613"/>
    <w:rsid w:val="6DD26B49"/>
    <w:rsid w:val="6DD3FA8D"/>
    <w:rsid w:val="6DD9475E"/>
    <w:rsid w:val="6DDC37B0"/>
    <w:rsid w:val="6DDE5FDF"/>
    <w:rsid w:val="6DE09067"/>
    <w:rsid w:val="6DE45158"/>
    <w:rsid w:val="6DE7A23C"/>
    <w:rsid w:val="6DEB7D28"/>
    <w:rsid w:val="6DF03A6A"/>
    <w:rsid w:val="6DF3C075"/>
    <w:rsid w:val="6DFBA54B"/>
    <w:rsid w:val="6DFF6148"/>
    <w:rsid w:val="6E062550"/>
    <w:rsid w:val="6E08D9D8"/>
    <w:rsid w:val="6E0B22E3"/>
    <w:rsid w:val="6E0D0B79"/>
    <w:rsid w:val="6E0EF79C"/>
    <w:rsid w:val="6E14EBE1"/>
    <w:rsid w:val="6E1ACEE3"/>
    <w:rsid w:val="6E1CBCAF"/>
    <w:rsid w:val="6E1EF510"/>
    <w:rsid w:val="6E1F92A5"/>
    <w:rsid w:val="6E213295"/>
    <w:rsid w:val="6E23FAC4"/>
    <w:rsid w:val="6E27E202"/>
    <w:rsid w:val="6E2886EB"/>
    <w:rsid w:val="6E28D1E9"/>
    <w:rsid w:val="6E2D8BF6"/>
    <w:rsid w:val="6E2DED8A"/>
    <w:rsid w:val="6E33AFC0"/>
    <w:rsid w:val="6E36D65A"/>
    <w:rsid w:val="6E3BF82D"/>
    <w:rsid w:val="6E45107B"/>
    <w:rsid w:val="6E47953A"/>
    <w:rsid w:val="6E47C718"/>
    <w:rsid w:val="6E4BB0EC"/>
    <w:rsid w:val="6E4BFC96"/>
    <w:rsid w:val="6E507612"/>
    <w:rsid w:val="6E515BFA"/>
    <w:rsid w:val="6E544548"/>
    <w:rsid w:val="6E5DF470"/>
    <w:rsid w:val="6E60C0B9"/>
    <w:rsid w:val="6E64AAC4"/>
    <w:rsid w:val="6E67F493"/>
    <w:rsid w:val="6E6F606D"/>
    <w:rsid w:val="6E6FBF5B"/>
    <w:rsid w:val="6E751EE1"/>
    <w:rsid w:val="6E752134"/>
    <w:rsid w:val="6E764A6F"/>
    <w:rsid w:val="6E766F79"/>
    <w:rsid w:val="6E76B423"/>
    <w:rsid w:val="6E7AA209"/>
    <w:rsid w:val="6E7E5C56"/>
    <w:rsid w:val="6E7E902A"/>
    <w:rsid w:val="6E808881"/>
    <w:rsid w:val="6E82B390"/>
    <w:rsid w:val="6E849C7A"/>
    <w:rsid w:val="6E89B77E"/>
    <w:rsid w:val="6E8BD9F2"/>
    <w:rsid w:val="6E8EFA84"/>
    <w:rsid w:val="6E8FEF00"/>
    <w:rsid w:val="6E93DB68"/>
    <w:rsid w:val="6E984854"/>
    <w:rsid w:val="6E99B3A6"/>
    <w:rsid w:val="6E9C4FA2"/>
    <w:rsid w:val="6EA2FCB3"/>
    <w:rsid w:val="6EA44C66"/>
    <w:rsid w:val="6EA5BBF4"/>
    <w:rsid w:val="6EA6274B"/>
    <w:rsid w:val="6EACF2A8"/>
    <w:rsid w:val="6EAD5332"/>
    <w:rsid w:val="6EAEB2D5"/>
    <w:rsid w:val="6EBEBBC4"/>
    <w:rsid w:val="6EC48D76"/>
    <w:rsid w:val="6EC67DBD"/>
    <w:rsid w:val="6EC85F69"/>
    <w:rsid w:val="6ECE9AEB"/>
    <w:rsid w:val="6ECF2BE8"/>
    <w:rsid w:val="6ED029F0"/>
    <w:rsid w:val="6ED1FA80"/>
    <w:rsid w:val="6ED1FDC3"/>
    <w:rsid w:val="6ED20B66"/>
    <w:rsid w:val="6ED6F1EA"/>
    <w:rsid w:val="6ED834A6"/>
    <w:rsid w:val="6ED9BB6A"/>
    <w:rsid w:val="6EDFE55B"/>
    <w:rsid w:val="6EE3CF9B"/>
    <w:rsid w:val="6EE471DC"/>
    <w:rsid w:val="6EF1A15D"/>
    <w:rsid w:val="6EF61799"/>
    <w:rsid w:val="6EF80FBC"/>
    <w:rsid w:val="6EF83056"/>
    <w:rsid w:val="6EFEEA44"/>
    <w:rsid w:val="6EFEFFCA"/>
    <w:rsid w:val="6F00C421"/>
    <w:rsid w:val="6F0388A2"/>
    <w:rsid w:val="6F040A18"/>
    <w:rsid w:val="6F05F70F"/>
    <w:rsid w:val="6F06CF3F"/>
    <w:rsid w:val="6F07C39D"/>
    <w:rsid w:val="6F08731B"/>
    <w:rsid w:val="6F0E4F95"/>
    <w:rsid w:val="6F1414B6"/>
    <w:rsid w:val="6F142CFC"/>
    <w:rsid w:val="6F17811D"/>
    <w:rsid w:val="6F1881F5"/>
    <w:rsid w:val="6F236D4E"/>
    <w:rsid w:val="6F27B3E6"/>
    <w:rsid w:val="6F2BA2E7"/>
    <w:rsid w:val="6F364459"/>
    <w:rsid w:val="6F3701E4"/>
    <w:rsid w:val="6F39115F"/>
    <w:rsid w:val="6F3AFC4B"/>
    <w:rsid w:val="6F3BAEAC"/>
    <w:rsid w:val="6F3E7D08"/>
    <w:rsid w:val="6F3EC2BF"/>
    <w:rsid w:val="6F4614BE"/>
    <w:rsid w:val="6F47BBB5"/>
    <w:rsid w:val="6F47BC38"/>
    <w:rsid w:val="6F4CEEAB"/>
    <w:rsid w:val="6F55F19D"/>
    <w:rsid w:val="6F59A06D"/>
    <w:rsid w:val="6F5ABFD5"/>
    <w:rsid w:val="6F5EE3C9"/>
    <w:rsid w:val="6F6214E8"/>
    <w:rsid w:val="6F6A4C50"/>
    <w:rsid w:val="6F6ACB39"/>
    <w:rsid w:val="6F6B42B4"/>
    <w:rsid w:val="6F71CFF7"/>
    <w:rsid w:val="6F721601"/>
    <w:rsid w:val="6F7C73A9"/>
    <w:rsid w:val="6F88D526"/>
    <w:rsid w:val="6F89ADF8"/>
    <w:rsid w:val="6F8A034B"/>
    <w:rsid w:val="6F8BB56F"/>
    <w:rsid w:val="6F8EEDF1"/>
    <w:rsid w:val="6F9053CA"/>
    <w:rsid w:val="6F905C95"/>
    <w:rsid w:val="6F90CD4C"/>
    <w:rsid w:val="6F92906A"/>
    <w:rsid w:val="6F9783C5"/>
    <w:rsid w:val="6FA41915"/>
    <w:rsid w:val="6FA6486C"/>
    <w:rsid w:val="6FAD0C91"/>
    <w:rsid w:val="6FAEF7F8"/>
    <w:rsid w:val="6FB025ED"/>
    <w:rsid w:val="6FB1C60A"/>
    <w:rsid w:val="6FB2BA8E"/>
    <w:rsid w:val="6FB533D3"/>
    <w:rsid w:val="6FB84979"/>
    <w:rsid w:val="6FBACDB1"/>
    <w:rsid w:val="6FC24602"/>
    <w:rsid w:val="6FC3726D"/>
    <w:rsid w:val="6FC420ED"/>
    <w:rsid w:val="6FC5EC90"/>
    <w:rsid w:val="6FCB4CB1"/>
    <w:rsid w:val="6FCC284C"/>
    <w:rsid w:val="6FD245F7"/>
    <w:rsid w:val="6FD47913"/>
    <w:rsid w:val="6FD56F08"/>
    <w:rsid w:val="6FDBA1E6"/>
    <w:rsid w:val="6FE06859"/>
    <w:rsid w:val="6FE15B6B"/>
    <w:rsid w:val="6FE74B16"/>
    <w:rsid w:val="6FE9D652"/>
    <w:rsid w:val="6FEA6A76"/>
    <w:rsid w:val="6FED9D68"/>
    <w:rsid w:val="6FF59F1E"/>
    <w:rsid w:val="6FFC1CED"/>
    <w:rsid w:val="6FFC6757"/>
    <w:rsid w:val="6FFC9555"/>
    <w:rsid w:val="6FFF6150"/>
    <w:rsid w:val="700303AE"/>
    <w:rsid w:val="70069A74"/>
    <w:rsid w:val="700BE41E"/>
    <w:rsid w:val="700DB59F"/>
    <w:rsid w:val="70106B20"/>
    <w:rsid w:val="701664C5"/>
    <w:rsid w:val="70189C46"/>
    <w:rsid w:val="701A4F5C"/>
    <w:rsid w:val="701B1F25"/>
    <w:rsid w:val="701D5E5B"/>
    <w:rsid w:val="701EEB2F"/>
    <w:rsid w:val="7021CB5B"/>
    <w:rsid w:val="70237984"/>
    <w:rsid w:val="7024BDE1"/>
    <w:rsid w:val="7026E0C9"/>
    <w:rsid w:val="70282B7D"/>
    <w:rsid w:val="70322EDD"/>
    <w:rsid w:val="7033F096"/>
    <w:rsid w:val="7036D377"/>
    <w:rsid w:val="7037A921"/>
    <w:rsid w:val="70381EB4"/>
    <w:rsid w:val="7038F14C"/>
    <w:rsid w:val="703A43E2"/>
    <w:rsid w:val="70423C00"/>
    <w:rsid w:val="704548E6"/>
    <w:rsid w:val="7047563D"/>
    <w:rsid w:val="7048EEC0"/>
    <w:rsid w:val="704C2B6E"/>
    <w:rsid w:val="7055B688"/>
    <w:rsid w:val="70564DB2"/>
    <w:rsid w:val="7058AAAF"/>
    <w:rsid w:val="705F61B8"/>
    <w:rsid w:val="706880CA"/>
    <w:rsid w:val="706C8476"/>
    <w:rsid w:val="707165EC"/>
    <w:rsid w:val="70756D6E"/>
    <w:rsid w:val="7075822C"/>
    <w:rsid w:val="70760B9C"/>
    <w:rsid w:val="7078813A"/>
    <w:rsid w:val="707D75BB"/>
    <w:rsid w:val="707F1393"/>
    <w:rsid w:val="708454E7"/>
    <w:rsid w:val="70853CCD"/>
    <w:rsid w:val="7085F3CC"/>
    <w:rsid w:val="708DB1D5"/>
    <w:rsid w:val="708E0BEF"/>
    <w:rsid w:val="708E1EF1"/>
    <w:rsid w:val="708E2873"/>
    <w:rsid w:val="708FBAB5"/>
    <w:rsid w:val="709554C2"/>
    <w:rsid w:val="709D2BB2"/>
    <w:rsid w:val="709E08A2"/>
    <w:rsid w:val="70A2992D"/>
    <w:rsid w:val="70A2CC26"/>
    <w:rsid w:val="70A3B7C5"/>
    <w:rsid w:val="70A9893E"/>
    <w:rsid w:val="70AC867D"/>
    <w:rsid w:val="70ACCA31"/>
    <w:rsid w:val="70B7FF67"/>
    <w:rsid w:val="70B8DCFB"/>
    <w:rsid w:val="70C08619"/>
    <w:rsid w:val="70C32388"/>
    <w:rsid w:val="70C95925"/>
    <w:rsid w:val="70CAF55B"/>
    <w:rsid w:val="70CB2D33"/>
    <w:rsid w:val="70D0A66B"/>
    <w:rsid w:val="70D4D7C0"/>
    <w:rsid w:val="70DEDB23"/>
    <w:rsid w:val="70E097E1"/>
    <w:rsid w:val="70E41D19"/>
    <w:rsid w:val="70E5E9FB"/>
    <w:rsid w:val="70EA1BC8"/>
    <w:rsid w:val="70F201DC"/>
    <w:rsid w:val="70F37BBB"/>
    <w:rsid w:val="70F3E3DA"/>
    <w:rsid w:val="70FBE10E"/>
    <w:rsid w:val="70FC4822"/>
    <w:rsid w:val="71060207"/>
    <w:rsid w:val="710B7A3E"/>
    <w:rsid w:val="710BFCE8"/>
    <w:rsid w:val="710D5D6B"/>
    <w:rsid w:val="71100769"/>
    <w:rsid w:val="7115465F"/>
    <w:rsid w:val="711625F9"/>
    <w:rsid w:val="71179738"/>
    <w:rsid w:val="7118A898"/>
    <w:rsid w:val="711C05D4"/>
    <w:rsid w:val="7125AA1C"/>
    <w:rsid w:val="7127EE15"/>
    <w:rsid w:val="7129E1CC"/>
    <w:rsid w:val="712CB46A"/>
    <w:rsid w:val="712D7C22"/>
    <w:rsid w:val="712F6896"/>
    <w:rsid w:val="712FED66"/>
    <w:rsid w:val="713426D2"/>
    <w:rsid w:val="7134FB45"/>
    <w:rsid w:val="71360516"/>
    <w:rsid w:val="713FDB7F"/>
    <w:rsid w:val="7143167D"/>
    <w:rsid w:val="71432261"/>
    <w:rsid w:val="71433803"/>
    <w:rsid w:val="7144891D"/>
    <w:rsid w:val="71494A3D"/>
    <w:rsid w:val="714DC43D"/>
    <w:rsid w:val="714ED0EE"/>
    <w:rsid w:val="71515F1A"/>
    <w:rsid w:val="7153404E"/>
    <w:rsid w:val="7156DB9B"/>
    <w:rsid w:val="7162D016"/>
    <w:rsid w:val="71660BAC"/>
    <w:rsid w:val="71684E13"/>
    <w:rsid w:val="7169ED37"/>
    <w:rsid w:val="716A766A"/>
    <w:rsid w:val="716C2C70"/>
    <w:rsid w:val="716FD6EF"/>
    <w:rsid w:val="71703763"/>
    <w:rsid w:val="7170737C"/>
    <w:rsid w:val="717765BC"/>
    <w:rsid w:val="717A603C"/>
    <w:rsid w:val="717ADDAB"/>
    <w:rsid w:val="717D1982"/>
    <w:rsid w:val="717F5065"/>
    <w:rsid w:val="7180F0F4"/>
    <w:rsid w:val="71880D18"/>
    <w:rsid w:val="718C1CB1"/>
    <w:rsid w:val="718F2E4B"/>
    <w:rsid w:val="719320C9"/>
    <w:rsid w:val="71949EE9"/>
    <w:rsid w:val="7195B016"/>
    <w:rsid w:val="7195E56B"/>
    <w:rsid w:val="719924AF"/>
    <w:rsid w:val="719A58AA"/>
    <w:rsid w:val="719C1D06"/>
    <w:rsid w:val="719CAF38"/>
    <w:rsid w:val="71A2FF23"/>
    <w:rsid w:val="71A3EA72"/>
    <w:rsid w:val="71A441F7"/>
    <w:rsid w:val="71A5B286"/>
    <w:rsid w:val="71AB23F6"/>
    <w:rsid w:val="71B47F9F"/>
    <w:rsid w:val="71B735FD"/>
    <w:rsid w:val="71B82805"/>
    <w:rsid w:val="71BC7F61"/>
    <w:rsid w:val="71C3B847"/>
    <w:rsid w:val="71CE419D"/>
    <w:rsid w:val="71CEE622"/>
    <w:rsid w:val="71D2B3FD"/>
    <w:rsid w:val="71D7DE6E"/>
    <w:rsid w:val="71DA32D6"/>
    <w:rsid w:val="71DAC4E8"/>
    <w:rsid w:val="71E3A53C"/>
    <w:rsid w:val="71E615EE"/>
    <w:rsid w:val="71E678FD"/>
    <w:rsid w:val="71E81815"/>
    <w:rsid w:val="71F3B1EC"/>
    <w:rsid w:val="71F532AC"/>
    <w:rsid w:val="71F781FE"/>
    <w:rsid w:val="71FD7AE9"/>
    <w:rsid w:val="7204FBB8"/>
    <w:rsid w:val="720816EB"/>
    <w:rsid w:val="720B5911"/>
    <w:rsid w:val="720F1945"/>
    <w:rsid w:val="72199CBD"/>
    <w:rsid w:val="7221E26E"/>
    <w:rsid w:val="72223214"/>
    <w:rsid w:val="72260125"/>
    <w:rsid w:val="722AF818"/>
    <w:rsid w:val="722CB716"/>
    <w:rsid w:val="722E1696"/>
    <w:rsid w:val="723092BD"/>
    <w:rsid w:val="724300BF"/>
    <w:rsid w:val="72443552"/>
    <w:rsid w:val="724688EA"/>
    <w:rsid w:val="724E77C0"/>
    <w:rsid w:val="724F1EDC"/>
    <w:rsid w:val="725587AE"/>
    <w:rsid w:val="7255FBC9"/>
    <w:rsid w:val="7257586F"/>
    <w:rsid w:val="725B2D2C"/>
    <w:rsid w:val="725F4F28"/>
    <w:rsid w:val="72618DA8"/>
    <w:rsid w:val="7261E13F"/>
    <w:rsid w:val="7265EE63"/>
    <w:rsid w:val="726883BB"/>
    <w:rsid w:val="726A7E43"/>
    <w:rsid w:val="7270651B"/>
    <w:rsid w:val="7270E6AC"/>
    <w:rsid w:val="72733C0D"/>
    <w:rsid w:val="727A59CE"/>
    <w:rsid w:val="727FB591"/>
    <w:rsid w:val="728484B7"/>
    <w:rsid w:val="7285D2B0"/>
    <w:rsid w:val="728B6EC6"/>
    <w:rsid w:val="728D5041"/>
    <w:rsid w:val="728E6CC2"/>
    <w:rsid w:val="7290EC0F"/>
    <w:rsid w:val="7296E34E"/>
    <w:rsid w:val="729BD07D"/>
    <w:rsid w:val="729FABE8"/>
    <w:rsid w:val="72A02902"/>
    <w:rsid w:val="72A0CAF8"/>
    <w:rsid w:val="72A2BEAD"/>
    <w:rsid w:val="72A2F56B"/>
    <w:rsid w:val="72A3FD08"/>
    <w:rsid w:val="72B493CD"/>
    <w:rsid w:val="72B4AF48"/>
    <w:rsid w:val="72B630C8"/>
    <w:rsid w:val="72BA9010"/>
    <w:rsid w:val="72BACE88"/>
    <w:rsid w:val="72BE2758"/>
    <w:rsid w:val="72BEFEF4"/>
    <w:rsid w:val="72C0AD50"/>
    <w:rsid w:val="72C290D5"/>
    <w:rsid w:val="72C3A1C7"/>
    <w:rsid w:val="72C5E1A2"/>
    <w:rsid w:val="72C79FA9"/>
    <w:rsid w:val="72CF4B11"/>
    <w:rsid w:val="72D9EFBD"/>
    <w:rsid w:val="72E0EA10"/>
    <w:rsid w:val="72E4E5A0"/>
    <w:rsid w:val="72E5866A"/>
    <w:rsid w:val="72E5E07F"/>
    <w:rsid w:val="72EA7DF1"/>
    <w:rsid w:val="72EB6141"/>
    <w:rsid w:val="72EB7ECF"/>
    <w:rsid w:val="72EDF289"/>
    <w:rsid w:val="72F98157"/>
    <w:rsid w:val="72FC17A1"/>
    <w:rsid w:val="72FF9C3E"/>
    <w:rsid w:val="73062529"/>
    <w:rsid w:val="7308A063"/>
    <w:rsid w:val="730E686C"/>
    <w:rsid w:val="73123458"/>
    <w:rsid w:val="73160DFD"/>
    <w:rsid w:val="7316B557"/>
    <w:rsid w:val="73188E33"/>
    <w:rsid w:val="73228830"/>
    <w:rsid w:val="7323F46C"/>
    <w:rsid w:val="73252360"/>
    <w:rsid w:val="73294AB5"/>
    <w:rsid w:val="73305BFF"/>
    <w:rsid w:val="7330C1CA"/>
    <w:rsid w:val="73310E09"/>
    <w:rsid w:val="733131C7"/>
    <w:rsid w:val="7331FD5A"/>
    <w:rsid w:val="7332F142"/>
    <w:rsid w:val="73348D99"/>
    <w:rsid w:val="7337941D"/>
    <w:rsid w:val="7338E0DD"/>
    <w:rsid w:val="733BCB50"/>
    <w:rsid w:val="73461143"/>
    <w:rsid w:val="7346D4C8"/>
    <w:rsid w:val="734D6504"/>
    <w:rsid w:val="73510BF5"/>
    <w:rsid w:val="735679B8"/>
    <w:rsid w:val="735C08E8"/>
    <w:rsid w:val="735C5DD0"/>
    <w:rsid w:val="7360F591"/>
    <w:rsid w:val="736CC65A"/>
    <w:rsid w:val="736D435C"/>
    <w:rsid w:val="736EE106"/>
    <w:rsid w:val="736FEF71"/>
    <w:rsid w:val="7372417F"/>
    <w:rsid w:val="737CCFA3"/>
    <w:rsid w:val="737EADC7"/>
    <w:rsid w:val="73814D3F"/>
    <w:rsid w:val="738489C4"/>
    <w:rsid w:val="7385641C"/>
    <w:rsid w:val="73860210"/>
    <w:rsid w:val="73879F33"/>
    <w:rsid w:val="738A8953"/>
    <w:rsid w:val="738C7CB9"/>
    <w:rsid w:val="738EBC99"/>
    <w:rsid w:val="7390AD1D"/>
    <w:rsid w:val="7391544E"/>
    <w:rsid w:val="73990919"/>
    <w:rsid w:val="739CB2E3"/>
    <w:rsid w:val="73A12875"/>
    <w:rsid w:val="73A19C13"/>
    <w:rsid w:val="73A23704"/>
    <w:rsid w:val="73A63502"/>
    <w:rsid w:val="73A6B918"/>
    <w:rsid w:val="73A8701B"/>
    <w:rsid w:val="73AE33F3"/>
    <w:rsid w:val="73AF693B"/>
    <w:rsid w:val="73B0966C"/>
    <w:rsid w:val="73B5538F"/>
    <w:rsid w:val="73BDB6CC"/>
    <w:rsid w:val="73C017B7"/>
    <w:rsid w:val="73C11085"/>
    <w:rsid w:val="73C2B312"/>
    <w:rsid w:val="73C37239"/>
    <w:rsid w:val="73C3B91B"/>
    <w:rsid w:val="73C45334"/>
    <w:rsid w:val="73C9D3CC"/>
    <w:rsid w:val="73CAECBE"/>
    <w:rsid w:val="73D3D663"/>
    <w:rsid w:val="73D68616"/>
    <w:rsid w:val="73DA2F6A"/>
    <w:rsid w:val="73DCC148"/>
    <w:rsid w:val="73DD10B0"/>
    <w:rsid w:val="73DEF704"/>
    <w:rsid w:val="73E38FED"/>
    <w:rsid w:val="73E4DA53"/>
    <w:rsid w:val="73E634A1"/>
    <w:rsid w:val="73EE7701"/>
    <w:rsid w:val="73F20EEC"/>
    <w:rsid w:val="73FB550C"/>
    <w:rsid w:val="73FCBE17"/>
    <w:rsid w:val="73FFE2E5"/>
    <w:rsid w:val="7402781C"/>
    <w:rsid w:val="74063F4B"/>
    <w:rsid w:val="740D8C2E"/>
    <w:rsid w:val="7412BEC8"/>
    <w:rsid w:val="74148F55"/>
    <w:rsid w:val="741AD03B"/>
    <w:rsid w:val="7424AF08"/>
    <w:rsid w:val="7425CE35"/>
    <w:rsid w:val="7427DB26"/>
    <w:rsid w:val="742866A1"/>
    <w:rsid w:val="742E07C1"/>
    <w:rsid w:val="742E9500"/>
    <w:rsid w:val="7430D505"/>
    <w:rsid w:val="7434D44E"/>
    <w:rsid w:val="74379095"/>
    <w:rsid w:val="743B42A6"/>
    <w:rsid w:val="743C49F9"/>
    <w:rsid w:val="744676A5"/>
    <w:rsid w:val="74471150"/>
    <w:rsid w:val="7448F442"/>
    <w:rsid w:val="744945EA"/>
    <w:rsid w:val="744C162A"/>
    <w:rsid w:val="744F30EF"/>
    <w:rsid w:val="7454F4BA"/>
    <w:rsid w:val="745FC34F"/>
    <w:rsid w:val="74623D86"/>
    <w:rsid w:val="74654614"/>
    <w:rsid w:val="74669045"/>
    <w:rsid w:val="74699DBE"/>
    <w:rsid w:val="746A3F61"/>
    <w:rsid w:val="74713728"/>
    <w:rsid w:val="7475F82F"/>
    <w:rsid w:val="7477E564"/>
    <w:rsid w:val="747DD121"/>
    <w:rsid w:val="7480CD31"/>
    <w:rsid w:val="7486309A"/>
    <w:rsid w:val="748C5257"/>
    <w:rsid w:val="7490253C"/>
    <w:rsid w:val="7491D378"/>
    <w:rsid w:val="749306ED"/>
    <w:rsid w:val="749657EB"/>
    <w:rsid w:val="74980D81"/>
    <w:rsid w:val="749CC82C"/>
    <w:rsid w:val="749DBD07"/>
    <w:rsid w:val="74A2DE65"/>
    <w:rsid w:val="74A34BE7"/>
    <w:rsid w:val="74A965AE"/>
    <w:rsid w:val="74AA417C"/>
    <w:rsid w:val="74AAF2C3"/>
    <w:rsid w:val="74B765B1"/>
    <w:rsid w:val="74BA1D58"/>
    <w:rsid w:val="74BFE9F3"/>
    <w:rsid w:val="74C4748F"/>
    <w:rsid w:val="74C69DA1"/>
    <w:rsid w:val="74C6B64A"/>
    <w:rsid w:val="74C7DF42"/>
    <w:rsid w:val="74C8724E"/>
    <w:rsid w:val="74CD7ED3"/>
    <w:rsid w:val="74D00CB0"/>
    <w:rsid w:val="74D1DE77"/>
    <w:rsid w:val="74D2F59A"/>
    <w:rsid w:val="74D36ED3"/>
    <w:rsid w:val="74D47F69"/>
    <w:rsid w:val="74D54A17"/>
    <w:rsid w:val="74D88DE9"/>
    <w:rsid w:val="74D96511"/>
    <w:rsid w:val="74DCD89C"/>
    <w:rsid w:val="74DD743B"/>
    <w:rsid w:val="74DFE906"/>
    <w:rsid w:val="74E0306F"/>
    <w:rsid w:val="74E0ECD4"/>
    <w:rsid w:val="74E4ED1E"/>
    <w:rsid w:val="74E6CB30"/>
    <w:rsid w:val="74EE7877"/>
    <w:rsid w:val="74EFDEAD"/>
    <w:rsid w:val="74F073C9"/>
    <w:rsid w:val="74FA164D"/>
    <w:rsid w:val="75019A4C"/>
    <w:rsid w:val="750A12DA"/>
    <w:rsid w:val="750D0ED9"/>
    <w:rsid w:val="750D4F22"/>
    <w:rsid w:val="750DF670"/>
    <w:rsid w:val="75166A9D"/>
    <w:rsid w:val="751EA73F"/>
    <w:rsid w:val="75220399"/>
    <w:rsid w:val="75228653"/>
    <w:rsid w:val="75246AEF"/>
    <w:rsid w:val="7525450F"/>
    <w:rsid w:val="7526700F"/>
    <w:rsid w:val="7526B7F6"/>
    <w:rsid w:val="7527549E"/>
    <w:rsid w:val="7529181E"/>
    <w:rsid w:val="752AA169"/>
    <w:rsid w:val="752BAF9E"/>
    <w:rsid w:val="752CD4AA"/>
    <w:rsid w:val="752E5FCB"/>
    <w:rsid w:val="753014B7"/>
    <w:rsid w:val="753249D9"/>
    <w:rsid w:val="753D7F3F"/>
    <w:rsid w:val="754488D2"/>
    <w:rsid w:val="75480F23"/>
    <w:rsid w:val="755093BD"/>
    <w:rsid w:val="7551E2C0"/>
    <w:rsid w:val="75549278"/>
    <w:rsid w:val="7554B51B"/>
    <w:rsid w:val="755C9ECE"/>
    <w:rsid w:val="755F3FD3"/>
    <w:rsid w:val="7563D4EE"/>
    <w:rsid w:val="756465E6"/>
    <w:rsid w:val="75672D59"/>
    <w:rsid w:val="756AAB86"/>
    <w:rsid w:val="75837290"/>
    <w:rsid w:val="75852809"/>
    <w:rsid w:val="7588F64A"/>
    <w:rsid w:val="758A4396"/>
    <w:rsid w:val="758A6FCA"/>
    <w:rsid w:val="758CCD43"/>
    <w:rsid w:val="758CD786"/>
    <w:rsid w:val="758CF905"/>
    <w:rsid w:val="758E8BB2"/>
    <w:rsid w:val="758EEE46"/>
    <w:rsid w:val="75916668"/>
    <w:rsid w:val="7595EA53"/>
    <w:rsid w:val="7597A48B"/>
    <w:rsid w:val="7597D5A4"/>
    <w:rsid w:val="75981514"/>
    <w:rsid w:val="7599BC01"/>
    <w:rsid w:val="759B7A7C"/>
    <w:rsid w:val="759D7B47"/>
    <w:rsid w:val="759EC551"/>
    <w:rsid w:val="75A29E42"/>
    <w:rsid w:val="75A5DBAA"/>
    <w:rsid w:val="75AA3C2E"/>
    <w:rsid w:val="75AB9635"/>
    <w:rsid w:val="75ACC0F5"/>
    <w:rsid w:val="75ACDA25"/>
    <w:rsid w:val="75B1749A"/>
    <w:rsid w:val="75B4EEE9"/>
    <w:rsid w:val="75B5F377"/>
    <w:rsid w:val="75B6ECBA"/>
    <w:rsid w:val="75BEF63F"/>
    <w:rsid w:val="75C2B15C"/>
    <w:rsid w:val="75C35D06"/>
    <w:rsid w:val="75CE1CC6"/>
    <w:rsid w:val="75D00E7C"/>
    <w:rsid w:val="75D34E9B"/>
    <w:rsid w:val="75D39E9C"/>
    <w:rsid w:val="75DA1FA8"/>
    <w:rsid w:val="75DAC101"/>
    <w:rsid w:val="75DEA2AE"/>
    <w:rsid w:val="75DEAD26"/>
    <w:rsid w:val="75E0F1DE"/>
    <w:rsid w:val="75E11CE0"/>
    <w:rsid w:val="75E74C45"/>
    <w:rsid w:val="75E83535"/>
    <w:rsid w:val="75E893A8"/>
    <w:rsid w:val="75E8F4A8"/>
    <w:rsid w:val="75F23B30"/>
    <w:rsid w:val="75F41107"/>
    <w:rsid w:val="75F6FCF0"/>
    <w:rsid w:val="75F7C6D7"/>
    <w:rsid w:val="75F9F644"/>
    <w:rsid w:val="76063BEF"/>
    <w:rsid w:val="76064938"/>
    <w:rsid w:val="760930F6"/>
    <w:rsid w:val="760B829C"/>
    <w:rsid w:val="760D45AD"/>
    <w:rsid w:val="760E6990"/>
    <w:rsid w:val="7611088B"/>
    <w:rsid w:val="761193CD"/>
    <w:rsid w:val="7617458A"/>
    <w:rsid w:val="7617D215"/>
    <w:rsid w:val="7619AA37"/>
    <w:rsid w:val="761B6A05"/>
    <w:rsid w:val="762018FD"/>
    <w:rsid w:val="76263EB7"/>
    <w:rsid w:val="762A3B09"/>
    <w:rsid w:val="7630544A"/>
    <w:rsid w:val="76327D90"/>
    <w:rsid w:val="7637ED69"/>
    <w:rsid w:val="763A56E1"/>
    <w:rsid w:val="763A753C"/>
    <w:rsid w:val="763C7B38"/>
    <w:rsid w:val="763E9A27"/>
    <w:rsid w:val="76425804"/>
    <w:rsid w:val="7646E077"/>
    <w:rsid w:val="764DCEA0"/>
    <w:rsid w:val="765179F9"/>
    <w:rsid w:val="7652DA95"/>
    <w:rsid w:val="7656295D"/>
    <w:rsid w:val="765EC47E"/>
    <w:rsid w:val="7660C4DF"/>
    <w:rsid w:val="76635F08"/>
    <w:rsid w:val="7664666D"/>
    <w:rsid w:val="7668DF91"/>
    <w:rsid w:val="7669E955"/>
    <w:rsid w:val="766D02A0"/>
    <w:rsid w:val="766F9249"/>
    <w:rsid w:val="766FDC45"/>
    <w:rsid w:val="7674E71D"/>
    <w:rsid w:val="76790542"/>
    <w:rsid w:val="7681CA1B"/>
    <w:rsid w:val="7683748F"/>
    <w:rsid w:val="768438C0"/>
    <w:rsid w:val="76845793"/>
    <w:rsid w:val="768CCED8"/>
    <w:rsid w:val="76924712"/>
    <w:rsid w:val="76929CFE"/>
    <w:rsid w:val="769570A4"/>
    <w:rsid w:val="769A0834"/>
    <w:rsid w:val="769CDD98"/>
    <w:rsid w:val="769E31AC"/>
    <w:rsid w:val="769FA03E"/>
    <w:rsid w:val="76A2E893"/>
    <w:rsid w:val="76ACE080"/>
    <w:rsid w:val="76ACECCA"/>
    <w:rsid w:val="76AE9F3D"/>
    <w:rsid w:val="76B3A6CB"/>
    <w:rsid w:val="76B43697"/>
    <w:rsid w:val="76B7CD44"/>
    <w:rsid w:val="76BF416F"/>
    <w:rsid w:val="76C0904D"/>
    <w:rsid w:val="76C2E90F"/>
    <w:rsid w:val="76C4F9D8"/>
    <w:rsid w:val="76C59BFB"/>
    <w:rsid w:val="76CCAE55"/>
    <w:rsid w:val="76CD19AC"/>
    <w:rsid w:val="76D17786"/>
    <w:rsid w:val="76D1F21B"/>
    <w:rsid w:val="76D32E1C"/>
    <w:rsid w:val="76D3C23C"/>
    <w:rsid w:val="76D55A39"/>
    <w:rsid w:val="76D57534"/>
    <w:rsid w:val="76D8C937"/>
    <w:rsid w:val="76E0FA01"/>
    <w:rsid w:val="76EFBBEB"/>
    <w:rsid w:val="76F67EA1"/>
    <w:rsid w:val="76F963F1"/>
    <w:rsid w:val="76FA8740"/>
    <w:rsid w:val="76FADB71"/>
    <w:rsid w:val="76FAE884"/>
    <w:rsid w:val="76FBE515"/>
    <w:rsid w:val="77021425"/>
    <w:rsid w:val="7707823E"/>
    <w:rsid w:val="77083C11"/>
    <w:rsid w:val="770CFCCB"/>
    <w:rsid w:val="77148EAA"/>
    <w:rsid w:val="7716302C"/>
    <w:rsid w:val="771B2F8B"/>
    <w:rsid w:val="771ED55D"/>
    <w:rsid w:val="771F8A95"/>
    <w:rsid w:val="77213257"/>
    <w:rsid w:val="77278B5D"/>
    <w:rsid w:val="77289A87"/>
    <w:rsid w:val="772D9A78"/>
    <w:rsid w:val="77301C39"/>
    <w:rsid w:val="7735B758"/>
    <w:rsid w:val="77393062"/>
    <w:rsid w:val="773B6511"/>
    <w:rsid w:val="773ED833"/>
    <w:rsid w:val="77504972"/>
    <w:rsid w:val="77511EB4"/>
    <w:rsid w:val="77513475"/>
    <w:rsid w:val="775153DD"/>
    <w:rsid w:val="775E7F03"/>
    <w:rsid w:val="775EA2DF"/>
    <w:rsid w:val="776634FC"/>
    <w:rsid w:val="77672B22"/>
    <w:rsid w:val="7768CF5D"/>
    <w:rsid w:val="776AB87D"/>
    <w:rsid w:val="776B2269"/>
    <w:rsid w:val="7773252F"/>
    <w:rsid w:val="77741FA8"/>
    <w:rsid w:val="777517AA"/>
    <w:rsid w:val="77768BD7"/>
    <w:rsid w:val="777750BB"/>
    <w:rsid w:val="777904B6"/>
    <w:rsid w:val="777AFF01"/>
    <w:rsid w:val="777DA1EB"/>
    <w:rsid w:val="777FD90A"/>
    <w:rsid w:val="7782408A"/>
    <w:rsid w:val="77877CB5"/>
    <w:rsid w:val="778831CC"/>
    <w:rsid w:val="778AAE7B"/>
    <w:rsid w:val="778CAE33"/>
    <w:rsid w:val="778D5592"/>
    <w:rsid w:val="778D777D"/>
    <w:rsid w:val="77908508"/>
    <w:rsid w:val="7791F267"/>
    <w:rsid w:val="7794F8DB"/>
    <w:rsid w:val="77968EAB"/>
    <w:rsid w:val="77989425"/>
    <w:rsid w:val="779A9E25"/>
    <w:rsid w:val="77A26877"/>
    <w:rsid w:val="77A279D5"/>
    <w:rsid w:val="77A301DB"/>
    <w:rsid w:val="77A6A2F8"/>
    <w:rsid w:val="77A7A7EA"/>
    <w:rsid w:val="77AE6832"/>
    <w:rsid w:val="77B10071"/>
    <w:rsid w:val="77B62694"/>
    <w:rsid w:val="77B75271"/>
    <w:rsid w:val="77B83C16"/>
    <w:rsid w:val="77C01374"/>
    <w:rsid w:val="77C28EE4"/>
    <w:rsid w:val="77C2A00E"/>
    <w:rsid w:val="77C856FC"/>
    <w:rsid w:val="77C8C176"/>
    <w:rsid w:val="77CAA64E"/>
    <w:rsid w:val="77CFAE43"/>
    <w:rsid w:val="77D3137F"/>
    <w:rsid w:val="77D3B36E"/>
    <w:rsid w:val="77D55964"/>
    <w:rsid w:val="77D5A511"/>
    <w:rsid w:val="77D62F70"/>
    <w:rsid w:val="77D706EF"/>
    <w:rsid w:val="77DE85D9"/>
    <w:rsid w:val="77E1B6F7"/>
    <w:rsid w:val="77E8E00B"/>
    <w:rsid w:val="77EC2210"/>
    <w:rsid w:val="77EECF94"/>
    <w:rsid w:val="77F04691"/>
    <w:rsid w:val="77F0829F"/>
    <w:rsid w:val="77F32A38"/>
    <w:rsid w:val="77F41F6F"/>
    <w:rsid w:val="77F42AB0"/>
    <w:rsid w:val="77FCB202"/>
    <w:rsid w:val="77FD3982"/>
    <w:rsid w:val="780087A0"/>
    <w:rsid w:val="7804C8D6"/>
    <w:rsid w:val="78056D62"/>
    <w:rsid w:val="780A0CCE"/>
    <w:rsid w:val="780D80FC"/>
    <w:rsid w:val="7819571E"/>
    <w:rsid w:val="781B42E2"/>
    <w:rsid w:val="781BAB13"/>
    <w:rsid w:val="781BC737"/>
    <w:rsid w:val="781F1692"/>
    <w:rsid w:val="7820E618"/>
    <w:rsid w:val="78246A53"/>
    <w:rsid w:val="7824B8A3"/>
    <w:rsid w:val="78288AE4"/>
    <w:rsid w:val="7829AEF6"/>
    <w:rsid w:val="782BC5A0"/>
    <w:rsid w:val="7837F7FB"/>
    <w:rsid w:val="78393B0E"/>
    <w:rsid w:val="783957B4"/>
    <w:rsid w:val="783A7480"/>
    <w:rsid w:val="783E1980"/>
    <w:rsid w:val="783FC934"/>
    <w:rsid w:val="7846979E"/>
    <w:rsid w:val="78486C11"/>
    <w:rsid w:val="7848741C"/>
    <w:rsid w:val="785DB021"/>
    <w:rsid w:val="78676E03"/>
    <w:rsid w:val="7868B17D"/>
    <w:rsid w:val="7868E26D"/>
    <w:rsid w:val="78696E0A"/>
    <w:rsid w:val="786B44F2"/>
    <w:rsid w:val="786F0AF7"/>
    <w:rsid w:val="787261A4"/>
    <w:rsid w:val="78743346"/>
    <w:rsid w:val="78754531"/>
    <w:rsid w:val="78782EB3"/>
    <w:rsid w:val="7879AA39"/>
    <w:rsid w:val="78833534"/>
    <w:rsid w:val="7890B496"/>
    <w:rsid w:val="7890D6E6"/>
    <w:rsid w:val="78915710"/>
    <w:rsid w:val="789435BD"/>
    <w:rsid w:val="78987053"/>
    <w:rsid w:val="789CBD54"/>
    <w:rsid w:val="78A6D50A"/>
    <w:rsid w:val="78A7874E"/>
    <w:rsid w:val="78A858D5"/>
    <w:rsid w:val="78A923CF"/>
    <w:rsid w:val="78AB8263"/>
    <w:rsid w:val="78ABFAEC"/>
    <w:rsid w:val="78B2C81E"/>
    <w:rsid w:val="78B75397"/>
    <w:rsid w:val="78BD7D18"/>
    <w:rsid w:val="78C5BE88"/>
    <w:rsid w:val="78CED05A"/>
    <w:rsid w:val="78D4B167"/>
    <w:rsid w:val="78DC1C8D"/>
    <w:rsid w:val="78DCA293"/>
    <w:rsid w:val="78DF025C"/>
    <w:rsid w:val="78E2429C"/>
    <w:rsid w:val="78E72134"/>
    <w:rsid w:val="78E84776"/>
    <w:rsid w:val="78E95240"/>
    <w:rsid w:val="78ED4803"/>
    <w:rsid w:val="78EDC85A"/>
    <w:rsid w:val="78EEDA82"/>
    <w:rsid w:val="78EF1596"/>
    <w:rsid w:val="78F4A980"/>
    <w:rsid w:val="78F6EEA8"/>
    <w:rsid w:val="78F850AB"/>
    <w:rsid w:val="78FBCFD4"/>
    <w:rsid w:val="790AD6FD"/>
    <w:rsid w:val="790B7399"/>
    <w:rsid w:val="790CF7E0"/>
    <w:rsid w:val="790E6670"/>
    <w:rsid w:val="791065FF"/>
    <w:rsid w:val="79171F86"/>
    <w:rsid w:val="791BF2EC"/>
    <w:rsid w:val="791C4330"/>
    <w:rsid w:val="79272212"/>
    <w:rsid w:val="792809FE"/>
    <w:rsid w:val="792D968C"/>
    <w:rsid w:val="792F043E"/>
    <w:rsid w:val="7936B2B6"/>
    <w:rsid w:val="793F5A33"/>
    <w:rsid w:val="793F7BAC"/>
    <w:rsid w:val="79446D68"/>
    <w:rsid w:val="79465353"/>
    <w:rsid w:val="794AB0A8"/>
    <w:rsid w:val="794CB5DC"/>
    <w:rsid w:val="794E58D5"/>
    <w:rsid w:val="79506EF6"/>
    <w:rsid w:val="79525A21"/>
    <w:rsid w:val="795518BE"/>
    <w:rsid w:val="795928C3"/>
    <w:rsid w:val="795970AB"/>
    <w:rsid w:val="795AA879"/>
    <w:rsid w:val="795C5FF2"/>
    <w:rsid w:val="7960E77C"/>
    <w:rsid w:val="79630A3F"/>
    <w:rsid w:val="796A3BA8"/>
    <w:rsid w:val="796D4945"/>
    <w:rsid w:val="7976001E"/>
    <w:rsid w:val="797B7C33"/>
    <w:rsid w:val="7981A73B"/>
    <w:rsid w:val="798352A5"/>
    <w:rsid w:val="79836025"/>
    <w:rsid w:val="79837C33"/>
    <w:rsid w:val="7985E4A3"/>
    <w:rsid w:val="79863A58"/>
    <w:rsid w:val="79982C6E"/>
    <w:rsid w:val="799934EC"/>
    <w:rsid w:val="7999860A"/>
    <w:rsid w:val="799A9DA4"/>
    <w:rsid w:val="799B9E98"/>
    <w:rsid w:val="79A11558"/>
    <w:rsid w:val="79A16EE7"/>
    <w:rsid w:val="79A4E8C7"/>
    <w:rsid w:val="79A6AE0A"/>
    <w:rsid w:val="79A8D627"/>
    <w:rsid w:val="79ACDFCA"/>
    <w:rsid w:val="79B45076"/>
    <w:rsid w:val="79B6EEF0"/>
    <w:rsid w:val="79B8C8AD"/>
    <w:rsid w:val="79B9590E"/>
    <w:rsid w:val="79BB1C5C"/>
    <w:rsid w:val="79BC2FA4"/>
    <w:rsid w:val="79BD3A61"/>
    <w:rsid w:val="79C309EA"/>
    <w:rsid w:val="79C33B3B"/>
    <w:rsid w:val="79C55BD0"/>
    <w:rsid w:val="79C68B5A"/>
    <w:rsid w:val="79C79913"/>
    <w:rsid w:val="79C8497B"/>
    <w:rsid w:val="79C93321"/>
    <w:rsid w:val="79CCCE59"/>
    <w:rsid w:val="79D21FBD"/>
    <w:rsid w:val="79D4582C"/>
    <w:rsid w:val="79D6A578"/>
    <w:rsid w:val="79D6FE41"/>
    <w:rsid w:val="79D70588"/>
    <w:rsid w:val="79D90A8F"/>
    <w:rsid w:val="79DFA6F7"/>
    <w:rsid w:val="79E1319C"/>
    <w:rsid w:val="79E2B4F1"/>
    <w:rsid w:val="79E69FD2"/>
    <w:rsid w:val="79EDF6A0"/>
    <w:rsid w:val="79F9E6F4"/>
    <w:rsid w:val="79FACDBC"/>
    <w:rsid w:val="79FBD7FA"/>
    <w:rsid w:val="79FFC72A"/>
    <w:rsid w:val="7A01E6DF"/>
    <w:rsid w:val="7A06CFBC"/>
    <w:rsid w:val="7A07B8F4"/>
    <w:rsid w:val="7A09F11C"/>
    <w:rsid w:val="7A0F27A5"/>
    <w:rsid w:val="7A13C120"/>
    <w:rsid w:val="7A1A2916"/>
    <w:rsid w:val="7A1B1DF1"/>
    <w:rsid w:val="7A1C4342"/>
    <w:rsid w:val="7A1D2FF4"/>
    <w:rsid w:val="7A22177A"/>
    <w:rsid w:val="7A2277BF"/>
    <w:rsid w:val="7A227B14"/>
    <w:rsid w:val="7A28736F"/>
    <w:rsid w:val="7A2926A6"/>
    <w:rsid w:val="7A2BEA76"/>
    <w:rsid w:val="7A2D4111"/>
    <w:rsid w:val="7A2D869A"/>
    <w:rsid w:val="7A2E765F"/>
    <w:rsid w:val="7A35E860"/>
    <w:rsid w:val="7A37E303"/>
    <w:rsid w:val="7A3923BF"/>
    <w:rsid w:val="7A392CB1"/>
    <w:rsid w:val="7A405EB4"/>
    <w:rsid w:val="7A45221A"/>
    <w:rsid w:val="7A4905A0"/>
    <w:rsid w:val="7A4A0ADB"/>
    <w:rsid w:val="7A4BB42D"/>
    <w:rsid w:val="7A51D670"/>
    <w:rsid w:val="7A55D877"/>
    <w:rsid w:val="7A56A992"/>
    <w:rsid w:val="7A5A1698"/>
    <w:rsid w:val="7A5AD4FB"/>
    <w:rsid w:val="7A5C2179"/>
    <w:rsid w:val="7A5CBFB4"/>
    <w:rsid w:val="7A618434"/>
    <w:rsid w:val="7A627F77"/>
    <w:rsid w:val="7A637ADC"/>
    <w:rsid w:val="7A6494DD"/>
    <w:rsid w:val="7A699A44"/>
    <w:rsid w:val="7A6B6337"/>
    <w:rsid w:val="7A6E4C54"/>
    <w:rsid w:val="7A72467E"/>
    <w:rsid w:val="7A75E4D0"/>
    <w:rsid w:val="7A782A35"/>
    <w:rsid w:val="7A814F02"/>
    <w:rsid w:val="7A85EBD4"/>
    <w:rsid w:val="7A87A89A"/>
    <w:rsid w:val="7A8A92D5"/>
    <w:rsid w:val="7A8AE94E"/>
    <w:rsid w:val="7A8C294A"/>
    <w:rsid w:val="7A8CD757"/>
    <w:rsid w:val="7A8E2FA3"/>
    <w:rsid w:val="7A8EA533"/>
    <w:rsid w:val="7A95CC48"/>
    <w:rsid w:val="7A968A22"/>
    <w:rsid w:val="7A9713E2"/>
    <w:rsid w:val="7A9A14BD"/>
    <w:rsid w:val="7A9E7F82"/>
    <w:rsid w:val="7A9FFCDA"/>
    <w:rsid w:val="7AA39354"/>
    <w:rsid w:val="7AA63CA8"/>
    <w:rsid w:val="7AA98C86"/>
    <w:rsid w:val="7AB36F45"/>
    <w:rsid w:val="7ABB3795"/>
    <w:rsid w:val="7ABFE951"/>
    <w:rsid w:val="7ACBB432"/>
    <w:rsid w:val="7ACBDF33"/>
    <w:rsid w:val="7ACD297A"/>
    <w:rsid w:val="7AD04CF2"/>
    <w:rsid w:val="7AD08869"/>
    <w:rsid w:val="7ADB2452"/>
    <w:rsid w:val="7ADB88AD"/>
    <w:rsid w:val="7AE2279E"/>
    <w:rsid w:val="7AE987BD"/>
    <w:rsid w:val="7AE9E28F"/>
    <w:rsid w:val="7AEB5FDB"/>
    <w:rsid w:val="7B023271"/>
    <w:rsid w:val="7B0FFC72"/>
    <w:rsid w:val="7B112DA9"/>
    <w:rsid w:val="7B119428"/>
    <w:rsid w:val="7B15B844"/>
    <w:rsid w:val="7B169CD5"/>
    <w:rsid w:val="7B17AD04"/>
    <w:rsid w:val="7B1D3FE5"/>
    <w:rsid w:val="7B2789DC"/>
    <w:rsid w:val="7B2842C5"/>
    <w:rsid w:val="7B2B3278"/>
    <w:rsid w:val="7B2E0F6D"/>
    <w:rsid w:val="7B2EC600"/>
    <w:rsid w:val="7B30B80F"/>
    <w:rsid w:val="7B39413D"/>
    <w:rsid w:val="7B3C6215"/>
    <w:rsid w:val="7B40A1A0"/>
    <w:rsid w:val="7B42BB8B"/>
    <w:rsid w:val="7B493465"/>
    <w:rsid w:val="7B4CBA72"/>
    <w:rsid w:val="7B4E8FE5"/>
    <w:rsid w:val="7B5256CE"/>
    <w:rsid w:val="7B560691"/>
    <w:rsid w:val="7B5B96CF"/>
    <w:rsid w:val="7B5BA4FF"/>
    <w:rsid w:val="7B5BF866"/>
    <w:rsid w:val="7B5C68A2"/>
    <w:rsid w:val="7B5E54B3"/>
    <w:rsid w:val="7B603FFB"/>
    <w:rsid w:val="7B61DFB1"/>
    <w:rsid w:val="7B6285B1"/>
    <w:rsid w:val="7B62C39B"/>
    <w:rsid w:val="7B6AC28B"/>
    <w:rsid w:val="7B6AEF8F"/>
    <w:rsid w:val="7B7169EF"/>
    <w:rsid w:val="7B7214E9"/>
    <w:rsid w:val="7B74964F"/>
    <w:rsid w:val="7B77BCB2"/>
    <w:rsid w:val="7B7CEA19"/>
    <w:rsid w:val="7B81CD63"/>
    <w:rsid w:val="7B81FA74"/>
    <w:rsid w:val="7B84DE67"/>
    <w:rsid w:val="7B886809"/>
    <w:rsid w:val="7B89854B"/>
    <w:rsid w:val="7B8DFCE3"/>
    <w:rsid w:val="7B8E2687"/>
    <w:rsid w:val="7B8EA2E6"/>
    <w:rsid w:val="7B90FF7A"/>
    <w:rsid w:val="7B994016"/>
    <w:rsid w:val="7BA5C94A"/>
    <w:rsid w:val="7BA68D3C"/>
    <w:rsid w:val="7BA8BFD0"/>
    <w:rsid w:val="7BAB450D"/>
    <w:rsid w:val="7BAB55F4"/>
    <w:rsid w:val="7BB233FD"/>
    <w:rsid w:val="7BB421A3"/>
    <w:rsid w:val="7BB49286"/>
    <w:rsid w:val="7BB4F68A"/>
    <w:rsid w:val="7BB7DDE7"/>
    <w:rsid w:val="7BBDF6F2"/>
    <w:rsid w:val="7BBF2E9E"/>
    <w:rsid w:val="7BCA1CBB"/>
    <w:rsid w:val="7BCC000D"/>
    <w:rsid w:val="7BCC410C"/>
    <w:rsid w:val="7BD19283"/>
    <w:rsid w:val="7BD36B64"/>
    <w:rsid w:val="7BD86C99"/>
    <w:rsid w:val="7BE28FA6"/>
    <w:rsid w:val="7BE3F804"/>
    <w:rsid w:val="7BE6161D"/>
    <w:rsid w:val="7BE73A50"/>
    <w:rsid w:val="7BF08A10"/>
    <w:rsid w:val="7BF37333"/>
    <w:rsid w:val="7BF3F292"/>
    <w:rsid w:val="7BF77C62"/>
    <w:rsid w:val="7BFE4D8A"/>
    <w:rsid w:val="7BFED09E"/>
    <w:rsid w:val="7BFFC7E8"/>
    <w:rsid w:val="7C00080F"/>
    <w:rsid w:val="7C022883"/>
    <w:rsid w:val="7C048693"/>
    <w:rsid w:val="7C05FE15"/>
    <w:rsid w:val="7C064081"/>
    <w:rsid w:val="7C09320B"/>
    <w:rsid w:val="7C0EC666"/>
    <w:rsid w:val="7C0FCB92"/>
    <w:rsid w:val="7C13F69B"/>
    <w:rsid w:val="7C185EC2"/>
    <w:rsid w:val="7C1C65EF"/>
    <w:rsid w:val="7C1F4BD7"/>
    <w:rsid w:val="7C21C857"/>
    <w:rsid w:val="7C24EB14"/>
    <w:rsid w:val="7C25757D"/>
    <w:rsid w:val="7C26A786"/>
    <w:rsid w:val="7C274467"/>
    <w:rsid w:val="7C2A4038"/>
    <w:rsid w:val="7C2BF5F2"/>
    <w:rsid w:val="7C2F8E85"/>
    <w:rsid w:val="7C31DA57"/>
    <w:rsid w:val="7C3810B0"/>
    <w:rsid w:val="7C3AD3EF"/>
    <w:rsid w:val="7C40FF51"/>
    <w:rsid w:val="7C4B3229"/>
    <w:rsid w:val="7C4CF9F1"/>
    <w:rsid w:val="7C4E8FF8"/>
    <w:rsid w:val="7C4F9F42"/>
    <w:rsid w:val="7C507957"/>
    <w:rsid w:val="7C5159FD"/>
    <w:rsid w:val="7C522B21"/>
    <w:rsid w:val="7C555002"/>
    <w:rsid w:val="7C55BC71"/>
    <w:rsid w:val="7C563E9A"/>
    <w:rsid w:val="7C58601F"/>
    <w:rsid w:val="7C5A7064"/>
    <w:rsid w:val="7C5C414C"/>
    <w:rsid w:val="7C5E2807"/>
    <w:rsid w:val="7C5F4D4C"/>
    <w:rsid w:val="7C60A2A5"/>
    <w:rsid w:val="7C6199ED"/>
    <w:rsid w:val="7C6E61C0"/>
    <w:rsid w:val="7C707A6C"/>
    <w:rsid w:val="7C70852F"/>
    <w:rsid w:val="7C7D1C4D"/>
    <w:rsid w:val="7C811E64"/>
    <w:rsid w:val="7C850594"/>
    <w:rsid w:val="7C855BA4"/>
    <w:rsid w:val="7C88E1FC"/>
    <w:rsid w:val="7C89D3F9"/>
    <w:rsid w:val="7C8B660E"/>
    <w:rsid w:val="7C8CE941"/>
    <w:rsid w:val="7C907031"/>
    <w:rsid w:val="7C90859B"/>
    <w:rsid w:val="7C9315B3"/>
    <w:rsid w:val="7C93430A"/>
    <w:rsid w:val="7C99ED8E"/>
    <w:rsid w:val="7C9C395F"/>
    <w:rsid w:val="7C9E1827"/>
    <w:rsid w:val="7CA2601E"/>
    <w:rsid w:val="7CA7ED02"/>
    <w:rsid w:val="7CA9F61B"/>
    <w:rsid w:val="7CADF03D"/>
    <w:rsid w:val="7CB150DC"/>
    <w:rsid w:val="7CB65F5A"/>
    <w:rsid w:val="7CC19260"/>
    <w:rsid w:val="7CC2EF76"/>
    <w:rsid w:val="7CC32F3D"/>
    <w:rsid w:val="7CC4C777"/>
    <w:rsid w:val="7CCB16F1"/>
    <w:rsid w:val="7CCD201C"/>
    <w:rsid w:val="7CD43926"/>
    <w:rsid w:val="7CD834A7"/>
    <w:rsid w:val="7CDB1C2F"/>
    <w:rsid w:val="7CE08598"/>
    <w:rsid w:val="7CE3F5C4"/>
    <w:rsid w:val="7CE7972C"/>
    <w:rsid w:val="7CE98D4F"/>
    <w:rsid w:val="7CEA499E"/>
    <w:rsid w:val="7CEBFAFD"/>
    <w:rsid w:val="7CEC4A15"/>
    <w:rsid w:val="7CEE4D5E"/>
    <w:rsid w:val="7CEF7319"/>
    <w:rsid w:val="7CEF80AB"/>
    <w:rsid w:val="7CF9B1EF"/>
    <w:rsid w:val="7CFACF91"/>
    <w:rsid w:val="7CFD7E92"/>
    <w:rsid w:val="7CFDB785"/>
    <w:rsid w:val="7CFDD97C"/>
    <w:rsid w:val="7CFE31C9"/>
    <w:rsid w:val="7CFEA436"/>
    <w:rsid w:val="7CFF32FB"/>
    <w:rsid w:val="7D00E4CD"/>
    <w:rsid w:val="7D01A905"/>
    <w:rsid w:val="7D02B2A1"/>
    <w:rsid w:val="7D06A9C9"/>
    <w:rsid w:val="7D072A90"/>
    <w:rsid w:val="7D08B793"/>
    <w:rsid w:val="7D0BB21A"/>
    <w:rsid w:val="7D0CDAB9"/>
    <w:rsid w:val="7D0D13E7"/>
    <w:rsid w:val="7D12472E"/>
    <w:rsid w:val="7D1B1A5B"/>
    <w:rsid w:val="7D1C41A0"/>
    <w:rsid w:val="7D2839A3"/>
    <w:rsid w:val="7D2A78FE"/>
    <w:rsid w:val="7D2B0748"/>
    <w:rsid w:val="7D2F3BC6"/>
    <w:rsid w:val="7D34C822"/>
    <w:rsid w:val="7D386524"/>
    <w:rsid w:val="7D38CBC8"/>
    <w:rsid w:val="7D3B2815"/>
    <w:rsid w:val="7D3B45CD"/>
    <w:rsid w:val="7D3B5484"/>
    <w:rsid w:val="7D3ECA74"/>
    <w:rsid w:val="7D425580"/>
    <w:rsid w:val="7D46BC50"/>
    <w:rsid w:val="7D4B518E"/>
    <w:rsid w:val="7D4BBF86"/>
    <w:rsid w:val="7D4EB538"/>
    <w:rsid w:val="7D5531DF"/>
    <w:rsid w:val="7D577D45"/>
    <w:rsid w:val="7D5873F5"/>
    <w:rsid w:val="7D5D9228"/>
    <w:rsid w:val="7D5F5FCB"/>
    <w:rsid w:val="7D5F926C"/>
    <w:rsid w:val="7D616B76"/>
    <w:rsid w:val="7D67D3C7"/>
    <w:rsid w:val="7D681B1D"/>
    <w:rsid w:val="7D699A03"/>
    <w:rsid w:val="7D6ABA7E"/>
    <w:rsid w:val="7D6AD1A2"/>
    <w:rsid w:val="7D6BF36A"/>
    <w:rsid w:val="7D6CDD64"/>
    <w:rsid w:val="7D6D619F"/>
    <w:rsid w:val="7D702FDB"/>
    <w:rsid w:val="7D7A911B"/>
    <w:rsid w:val="7D7DE196"/>
    <w:rsid w:val="7D874E8A"/>
    <w:rsid w:val="7D88B92B"/>
    <w:rsid w:val="7D8E1BED"/>
    <w:rsid w:val="7D8E74D2"/>
    <w:rsid w:val="7D8FB66D"/>
    <w:rsid w:val="7D91B24F"/>
    <w:rsid w:val="7D95EF5B"/>
    <w:rsid w:val="7D9FCCAE"/>
    <w:rsid w:val="7DA24A8C"/>
    <w:rsid w:val="7DA37E72"/>
    <w:rsid w:val="7DB00F9A"/>
    <w:rsid w:val="7DB13647"/>
    <w:rsid w:val="7DB206AA"/>
    <w:rsid w:val="7DB9ADB4"/>
    <w:rsid w:val="7DBF908D"/>
    <w:rsid w:val="7DC22FE1"/>
    <w:rsid w:val="7DC8EBAE"/>
    <w:rsid w:val="7DCE9EE5"/>
    <w:rsid w:val="7DD438BB"/>
    <w:rsid w:val="7DD84713"/>
    <w:rsid w:val="7DDC1EE5"/>
    <w:rsid w:val="7DDC38C7"/>
    <w:rsid w:val="7DDFE7A6"/>
    <w:rsid w:val="7DE0DA85"/>
    <w:rsid w:val="7DE3FBA5"/>
    <w:rsid w:val="7DE45418"/>
    <w:rsid w:val="7DE6B387"/>
    <w:rsid w:val="7DE6FCB1"/>
    <w:rsid w:val="7DE87A73"/>
    <w:rsid w:val="7DE9F02C"/>
    <w:rsid w:val="7DF250B7"/>
    <w:rsid w:val="7DF2ED34"/>
    <w:rsid w:val="7DF4A858"/>
    <w:rsid w:val="7DFEFF20"/>
    <w:rsid w:val="7E0181DE"/>
    <w:rsid w:val="7E061F8D"/>
    <w:rsid w:val="7E0A80F2"/>
    <w:rsid w:val="7E0C78B6"/>
    <w:rsid w:val="7E0E7BD6"/>
    <w:rsid w:val="7E11874A"/>
    <w:rsid w:val="7E11E2F1"/>
    <w:rsid w:val="7E11EA38"/>
    <w:rsid w:val="7E12A987"/>
    <w:rsid w:val="7E166618"/>
    <w:rsid w:val="7E1BF26E"/>
    <w:rsid w:val="7E244D25"/>
    <w:rsid w:val="7E24CA52"/>
    <w:rsid w:val="7E278080"/>
    <w:rsid w:val="7E29A67D"/>
    <w:rsid w:val="7E2D79ED"/>
    <w:rsid w:val="7E2E57DF"/>
    <w:rsid w:val="7E332307"/>
    <w:rsid w:val="7E34CBCE"/>
    <w:rsid w:val="7E351CDA"/>
    <w:rsid w:val="7E364E9C"/>
    <w:rsid w:val="7E36CF72"/>
    <w:rsid w:val="7E39ED01"/>
    <w:rsid w:val="7E4532BF"/>
    <w:rsid w:val="7E47D4B0"/>
    <w:rsid w:val="7E4939E6"/>
    <w:rsid w:val="7E49EAEA"/>
    <w:rsid w:val="7E4BAE85"/>
    <w:rsid w:val="7E51E3E3"/>
    <w:rsid w:val="7E521F7D"/>
    <w:rsid w:val="7E525D4A"/>
    <w:rsid w:val="7E529487"/>
    <w:rsid w:val="7E5A58A6"/>
    <w:rsid w:val="7E5A9CCA"/>
    <w:rsid w:val="7E5DD549"/>
    <w:rsid w:val="7E5F02FC"/>
    <w:rsid w:val="7E6011E8"/>
    <w:rsid w:val="7E614EEA"/>
    <w:rsid w:val="7E649E11"/>
    <w:rsid w:val="7E673335"/>
    <w:rsid w:val="7E6B7436"/>
    <w:rsid w:val="7E6CB858"/>
    <w:rsid w:val="7E7265C2"/>
    <w:rsid w:val="7E765195"/>
    <w:rsid w:val="7E7651D7"/>
    <w:rsid w:val="7E7842EF"/>
    <w:rsid w:val="7E7BF057"/>
    <w:rsid w:val="7E7E2D46"/>
    <w:rsid w:val="7E7E75CB"/>
    <w:rsid w:val="7E869087"/>
    <w:rsid w:val="7E8921B6"/>
    <w:rsid w:val="7E8B1854"/>
    <w:rsid w:val="7E8E36DA"/>
    <w:rsid w:val="7E8F0B55"/>
    <w:rsid w:val="7E9196F5"/>
    <w:rsid w:val="7E9CCCE8"/>
    <w:rsid w:val="7E9E51ED"/>
    <w:rsid w:val="7E9E8F25"/>
    <w:rsid w:val="7EA19D82"/>
    <w:rsid w:val="7EA5F9BD"/>
    <w:rsid w:val="7EAAFC55"/>
    <w:rsid w:val="7EAB3A1D"/>
    <w:rsid w:val="7EAC4C99"/>
    <w:rsid w:val="7EAFE590"/>
    <w:rsid w:val="7EB2FC6C"/>
    <w:rsid w:val="7EB574ED"/>
    <w:rsid w:val="7EB6110A"/>
    <w:rsid w:val="7EBC234E"/>
    <w:rsid w:val="7EBD31B5"/>
    <w:rsid w:val="7EC30F01"/>
    <w:rsid w:val="7EC908A6"/>
    <w:rsid w:val="7EC961D7"/>
    <w:rsid w:val="7EC96D91"/>
    <w:rsid w:val="7ECAE8EF"/>
    <w:rsid w:val="7ECC2A89"/>
    <w:rsid w:val="7ED47605"/>
    <w:rsid w:val="7ED59C72"/>
    <w:rsid w:val="7ED7BCA3"/>
    <w:rsid w:val="7EDB36FB"/>
    <w:rsid w:val="7EDD2D29"/>
    <w:rsid w:val="7EE1165A"/>
    <w:rsid w:val="7EE1A16E"/>
    <w:rsid w:val="7EE1B298"/>
    <w:rsid w:val="7EE5699E"/>
    <w:rsid w:val="7EECDD9E"/>
    <w:rsid w:val="7EEDE6E9"/>
    <w:rsid w:val="7EEF0A29"/>
    <w:rsid w:val="7EF3F001"/>
    <w:rsid w:val="7EF6E546"/>
    <w:rsid w:val="7EF733BF"/>
    <w:rsid w:val="7EF87A48"/>
    <w:rsid w:val="7EFD345F"/>
    <w:rsid w:val="7EFDC836"/>
    <w:rsid w:val="7EFE02BD"/>
    <w:rsid w:val="7F02A37D"/>
    <w:rsid w:val="7F02D15D"/>
    <w:rsid w:val="7F03B64D"/>
    <w:rsid w:val="7F040E31"/>
    <w:rsid w:val="7F0662B2"/>
    <w:rsid w:val="7F0FC3F9"/>
    <w:rsid w:val="7F0FFEA8"/>
    <w:rsid w:val="7F112869"/>
    <w:rsid w:val="7F122488"/>
    <w:rsid w:val="7F12B420"/>
    <w:rsid w:val="7F12DBE7"/>
    <w:rsid w:val="7F148520"/>
    <w:rsid w:val="7F15ADA8"/>
    <w:rsid w:val="7F166984"/>
    <w:rsid w:val="7F1B9CF6"/>
    <w:rsid w:val="7F1E1D9E"/>
    <w:rsid w:val="7F216E93"/>
    <w:rsid w:val="7F22B383"/>
    <w:rsid w:val="7F24085F"/>
    <w:rsid w:val="7F24CA7B"/>
    <w:rsid w:val="7F288039"/>
    <w:rsid w:val="7F28C9A2"/>
    <w:rsid w:val="7F2ABBD2"/>
    <w:rsid w:val="7F2E276D"/>
    <w:rsid w:val="7F324006"/>
    <w:rsid w:val="7F3B5604"/>
    <w:rsid w:val="7F3BC46C"/>
    <w:rsid w:val="7F3C238F"/>
    <w:rsid w:val="7F3F43B2"/>
    <w:rsid w:val="7F4176B6"/>
    <w:rsid w:val="7F44571B"/>
    <w:rsid w:val="7F4D8D2A"/>
    <w:rsid w:val="7F507700"/>
    <w:rsid w:val="7F510C7E"/>
    <w:rsid w:val="7F568D99"/>
    <w:rsid w:val="7F591E3F"/>
    <w:rsid w:val="7F5BA936"/>
    <w:rsid w:val="7F61F31C"/>
    <w:rsid w:val="7F62B49F"/>
    <w:rsid w:val="7F64486C"/>
    <w:rsid w:val="7F690FEF"/>
    <w:rsid w:val="7F6ABA26"/>
    <w:rsid w:val="7F6B702D"/>
    <w:rsid w:val="7F71A730"/>
    <w:rsid w:val="7F7A1143"/>
    <w:rsid w:val="7F7AE72C"/>
    <w:rsid w:val="7F7AF627"/>
    <w:rsid w:val="7F7B4458"/>
    <w:rsid w:val="7F808464"/>
    <w:rsid w:val="7F8258BB"/>
    <w:rsid w:val="7F88A64B"/>
    <w:rsid w:val="7F8A29E9"/>
    <w:rsid w:val="7F961B42"/>
    <w:rsid w:val="7F96800E"/>
    <w:rsid w:val="7F9C6DBE"/>
    <w:rsid w:val="7F9DB80B"/>
    <w:rsid w:val="7F9E3C1C"/>
    <w:rsid w:val="7FA214CE"/>
    <w:rsid w:val="7FA652BF"/>
    <w:rsid w:val="7FA89784"/>
    <w:rsid w:val="7FAC92BD"/>
    <w:rsid w:val="7FAFDAF8"/>
    <w:rsid w:val="7FB0140E"/>
    <w:rsid w:val="7FB2BAD4"/>
    <w:rsid w:val="7FBDC455"/>
    <w:rsid w:val="7FBFA5D2"/>
    <w:rsid w:val="7FC11F96"/>
    <w:rsid w:val="7FC893FC"/>
    <w:rsid w:val="7FCBD95D"/>
    <w:rsid w:val="7FD3C04F"/>
    <w:rsid w:val="7FD47A2D"/>
    <w:rsid w:val="7FDB2380"/>
    <w:rsid w:val="7FDC1C3D"/>
    <w:rsid w:val="7FE1E365"/>
    <w:rsid w:val="7FE3A21B"/>
    <w:rsid w:val="7FE46D0E"/>
    <w:rsid w:val="7FE5024C"/>
    <w:rsid w:val="7FE53298"/>
    <w:rsid w:val="7FE6969A"/>
    <w:rsid w:val="7FEE82AD"/>
    <w:rsid w:val="7FEF9C8B"/>
    <w:rsid w:val="7FF40DA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F68D8"/>
  <w15:docId w15:val="{97745537-5CDE-4314-A43A-BF1D714C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28"/>
    <w:rPr>
      <w:rFonts w:asciiTheme="minorHAnsi" w:hAnsiTheme="minorHAnsi"/>
      <w:sz w:val="24"/>
      <w:szCs w:val="24"/>
    </w:rPr>
  </w:style>
  <w:style w:type="paragraph" w:styleId="Ttulo1">
    <w:name w:val="heading 1"/>
    <w:basedOn w:val="Ttulo3"/>
    <w:next w:val="Normal"/>
    <w:link w:val="Ttulo1Char"/>
    <w:qFormat/>
    <w:rsid w:val="00B46998"/>
    <w:pPr>
      <w:spacing w:line="312" w:lineRule="auto"/>
      <w:outlineLvl w:val="0"/>
    </w:pPr>
  </w:style>
  <w:style w:type="paragraph" w:styleId="Ttulo2">
    <w:name w:val="heading 2"/>
    <w:basedOn w:val="Corpodetexto2"/>
    <w:next w:val="Normal"/>
    <w:link w:val="Ttulo2Char"/>
    <w:qFormat/>
    <w:rsid w:val="00E03101"/>
    <w:pPr>
      <w:keepNext/>
      <w:spacing w:before="120" w:after="120" w:line="312" w:lineRule="auto"/>
      <w:outlineLvl w:val="1"/>
    </w:pPr>
    <w:rPr>
      <w:b/>
      <w:szCs w:val="24"/>
      <w:lang w:eastAsia="en-US"/>
    </w:rPr>
  </w:style>
  <w:style w:type="paragraph" w:styleId="Ttulo3">
    <w:name w:val="heading 3"/>
    <w:basedOn w:val="Normal"/>
    <w:next w:val="Normal"/>
    <w:link w:val="Ttulo3Char"/>
    <w:qFormat/>
    <w:rsid w:val="00E64C36"/>
    <w:pPr>
      <w:keepNext/>
      <w:jc w:val="center"/>
      <w:outlineLvl w:val="2"/>
    </w:pPr>
    <w:rPr>
      <w:szCs w:val="20"/>
    </w:rPr>
  </w:style>
  <w:style w:type="paragraph" w:styleId="Ttulo4">
    <w:name w:val="heading 4"/>
    <w:basedOn w:val="Normal"/>
    <w:next w:val="Normal"/>
    <w:link w:val="Ttulo4Char"/>
    <w:qFormat/>
    <w:rsid w:val="00E64C36"/>
    <w:pPr>
      <w:keepNext/>
      <w:spacing w:before="200" w:after="200"/>
      <w:ind w:firstLine="567"/>
      <w:jc w:val="both"/>
      <w:outlineLvl w:val="3"/>
    </w:pPr>
    <w:rPr>
      <w:b/>
      <w:szCs w:val="20"/>
    </w:rPr>
  </w:style>
  <w:style w:type="paragraph" w:styleId="Ttulo5">
    <w:name w:val="heading 5"/>
    <w:basedOn w:val="Normal"/>
    <w:next w:val="Normal"/>
    <w:link w:val="Ttulo5Char"/>
    <w:qFormat/>
    <w:rsid w:val="00E64C36"/>
    <w:pPr>
      <w:keepNext/>
      <w:outlineLvl w:val="4"/>
    </w:pPr>
    <w:rPr>
      <w:b/>
      <w:bCs/>
      <w:szCs w:val="20"/>
    </w:rPr>
  </w:style>
  <w:style w:type="paragraph" w:styleId="Ttulo6">
    <w:name w:val="heading 6"/>
    <w:basedOn w:val="Normal"/>
    <w:next w:val="Normal"/>
    <w:link w:val="Ttulo6Char"/>
    <w:qFormat/>
    <w:rsid w:val="00E64C36"/>
    <w:pPr>
      <w:keepNext/>
      <w:spacing w:before="200" w:after="200"/>
      <w:ind w:firstLine="567"/>
      <w:jc w:val="center"/>
      <w:outlineLvl w:val="5"/>
    </w:pPr>
    <w:rPr>
      <w:bCs/>
      <w:szCs w:val="20"/>
    </w:rPr>
  </w:style>
  <w:style w:type="paragraph" w:styleId="Ttulo7">
    <w:name w:val="heading 7"/>
    <w:basedOn w:val="Normal"/>
    <w:next w:val="Normal"/>
    <w:link w:val="Ttulo7Char"/>
    <w:qFormat/>
    <w:rsid w:val="00E64C36"/>
    <w:pPr>
      <w:keepNext/>
      <w:spacing w:before="200" w:after="200"/>
      <w:ind w:firstLine="567"/>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rsid w:val="00E64C36"/>
    <w:pPr>
      <w:ind w:firstLine="540"/>
    </w:pPr>
    <w:rPr>
      <w:bCs/>
    </w:rPr>
  </w:style>
  <w:style w:type="paragraph" w:customStyle="1" w:styleId="Corpodetexto21">
    <w:name w:val="Corpo de texto 21"/>
    <w:basedOn w:val="Normal"/>
    <w:rsid w:val="00E64C36"/>
    <w:pPr>
      <w:suppressAutoHyphens/>
      <w:jc w:val="both"/>
    </w:pPr>
    <w:rPr>
      <w:sz w:val="20"/>
      <w:lang w:eastAsia="ar-SA"/>
    </w:rPr>
  </w:style>
  <w:style w:type="paragraph" w:customStyle="1" w:styleId="Recuodecorpodetexto31">
    <w:name w:val="Recuo de corpo de texto 31"/>
    <w:basedOn w:val="Normal"/>
    <w:rsid w:val="00E64C36"/>
    <w:pPr>
      <w:suppressAutoHyphens/>
      <w:ind w:left="360"/>
      <w:jc w:val="both"/>
    </w:pPr>
    <w:rPr>
      <w:lang w:eastAsia="ar-SA"/>
    </w:rPr>
  </w:style>
  <w:style w:type="paragraph" w:styleId="Recuodecorpodetexto">
    <w:name w:val="Body Text Indent"/>
    <w:basedOn w:val="Normal"/>
    <w:link w:val="RecuodecorpodetextoChar"/>
    <w:semiHidden/>
    <w:rsid w:val="00E64C36"/>
    <w:pPr>
      <w:ind w:left="3686"/>
      <w:jc w:val="both"/>
    </w:pPr>
    <w:rPr>
      <w:i/>
      <w:szCs w:val="20"/>
    </w:rPr>
  </w:style>
  <w:style w:type="paragraph" w:styleId="Corpodetexto">
    <w:name w:val="Body Text"/>
    <w:basedOn w:val="Normal"/>
    <w:link w:val="CorpodetextoChar"/>
    <w:semiHidden/>
    <w:rsid w:val="00E64C36"/>
    <w:pPr>
      <w:jc w:val="both"/>
    </w:pPr>
    <w:rPr>
      <w:szCs w:val="20"/>
    </w:rPr>
  </w:style>
  <w:style w:type="paragraph" w:styleId="Corpodetexto2">
    <w:name w:val="Body Text 2"/>
    <w:basedOn w:val="Normal"/>
    <w:link w:val="Corpodetexto2Char"/>
    <w:semiHidden/>
    <w:rsid w:val="00E64C36"/>
    <w:pPr>
      <w:jc w:val="center"/>
    </w:pPr>
    <w:rPr>
      <w:szCs w:val="20"/>
    </w:rPr>
  </w:style>
  <w:style w:type="paragraph" w:styleId="Recuodecorpodetexto2">
    <w:name w:val="Body Text Indent 2"/>
    <w:basedOn w:val="Normal"/>
    <w:link w:val="Recuodecorpodetexto2Char"/>
    <w:semiHidden/>
    <w:rsid w:val="00E64C36"/>
    <w:pPr>
      <w:spacing w:before="200" w:after="200"/>
      <w:ind w:firstLine="567"/>
      <w:jc w:val="both"/>
    </w:pPr>
    <w:rPr>
      <w:szCs w:val="20"/>
    </w:rPr>
  </w:style>
  <w:style w:type="character" w:styleId="nfase">
    <w:name w:val="Emphasis"/>
    <w:uiPriority w:val="20"/>
    <w:qFormat/>
    <w:rsid w:val="00E64C36"/>
    <w:rPr>
      <w:i/>
    </w:rPr>
  </w:style>
  <w:style w:type="character" w:styleId="Nmerodepgina">
    <w:name w:val="page number"/>
    <w:basedOn w:val="Fontepargpadro"/>
    <w:semiHidden/>
    <w:rsid w:val="00E64C36"/>
  </w:style>
  <w:style w:type="paragraph" w:styleId="Cabealho">
    <w:name w:val="header"/>
    <w:basedOn w:val="Normal"/>
    <w:link w:val="CabealhoChar"/>
    <w:uiPriority w:val="99"/>
    <w:rsid w:val="00E64C36"/>
    <w:pPr>
      <w:tabs>
        <w:tab w:val="center" w:pos="4419"/>
        <w:tab w:val="right" w:pos="8838"/>
      </w:tabs>
    </w:pPr>
    <w:rPr>
      <w:sz w:val="20"/>
      <w:szCs w:val="20"/>
    </w:rPr>
  </w:style>
  <w:style w:type="paragraph" w:customStyle="1" w:styleId="Preformatted">
    <w:name w:val="Preformatted"/>
    <w:basedOn w:val="Normal"/>
    <w:rsid w:val="00AE1D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tulo3Char">
    <w:name w:val="Título 3 Char"/>
    <w:link w:val="Ttulo3"/>
    <w:rsid w:val="00CF08EC"/>
    <w:rPr>
      <w:sz w:val="24"/>
    </w:rPr>
  </w:style>
  <w:style w:type="paragraph" w:styleId="NormalWeb">
    <w:name w:val="Normal (Web)"/>
    <w:basedOn w:val="Normal"/>
    <w:uiPriority w:val="99"/>
    <w:rsid w:val="007536DE"/>
    <w:pPr>
      <w:spacing w:before="100" w:beforeAutospacing="1" w:after="100" w:afterAutospacing="1"/>
    </w:pPr>
    <w:rPr>
      <w:rFonts w:ascii="Arial Unicode MS" w:eastAsia="Arial Unicode MS" w:hAnsi="Arial Unicode MS" w:cs="Arial Unicode MS"/>
      <w:color w:val="000000"/>
    </w:rPr>
  </w:style>
  <w:style w:type="paragraph" w:customStyle="1" w:styleId="SDM">
    <w:name w:val="SDM"/>
    <w:basedOn w:val="Normal"/>
    <w:rsid w:val="007536DE"/>
    <w:pPr>
      <w:jc w:val="both"/>
    </w:pPr>
    <w:rPr>
      <w:bCs/>
    </w:rPr>
  </w:style>
  <w:style w:type="paragraph" w:styleId="PargrafodaLista">
    <w:name w:val="List Paragraph"/>
    <w:basedOn w:val="Normal"/>
    <w:uiPriority w:val="34"/>
    <w:qFormat/>
    <w:rsid w:val="0053162C"/>
    <w:pPr>
      <w:ind w:left="708"/>
    </w:pPr>
  </w:style>
  <w:style w:type="character" w:styleId="Refdenotaderodap">
    <w:name w:val="footnote reference"/>
    <w:rsid w:val="00D43625"/>
    <w:rPr>
      <w:vertAlign w:val="superscript"/>
    </w:rPr>
  </w:style>
  <w:style w:type="paragraph" w:styleId="Textodenotaderodap">
    <w:name w:val="footnote text"/>
    <w:aliases w:val="Footnote Text Char, Char,Char"/>
    <w:basedOn w:val="Normal"/>
    <w:link w:val="TextodenotaderodapChar"/>
    <w:uiPriority w:val="99"/>
    <w:unhideWhenUsed/>
    <w:rsid w:val="00D43625"/>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D43625"/>
  </w:style>
  <w:style w:type="paragraph" w:styleId="Rodap">
    <w:name w:val="footer"/>
    <w:basedOn w:val="Normal"/>
    <w:link w:val="RodapChar"/>
    <w:uiPriority w:val="99"/>
    <w:unhideWhenUsed/>
    <w:rsid w:val="000D2C3A"/>
    <w:pPr>
      <w:tabs>
        <w:tab w:val="center" w:pos="4252"/>
        <w:tab w:val="right" w:pos="8504"/>
      </w:tabs>
    </w:pPr>
  </w:style>
  <w:style w:type="character" w:customStyle="1" w:styleId="RodapChar">
    <w:name w:val="Rodapé Char"/>
    <w:link w:val="Rodap"/>
    <w:uiPriority w:val="99"/>
    <w:rsid w:val="000D2C3A"/>
    <w:rPr>
      <w:sz w:val="24"/>
      <w:szCs w:val="24"/>
    </w:rPr>
  </w:style>
  <w:style w:type="paragraph" w:customStyle="1" w:styleId="Default">
    <w:name w:val="Default"/>
    <w:rsid w:val="00136280"/>
    <w:pPr>
      <w:autoSpaceDE w:val="0"/>
      <w:autoSpaceDN w:val="0"/>
      <w:adjustRightInd w:val="0"/>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E027AA"/>
    <w:rPr>
      <w:rFonts w:ascii="Tahoma" w:hAnsi="Tahoma" w:cs="Tahoma"/>
      <w:sz w:val="16"/>
      <w:szCs w:val="16"/>
    </w:rPr>
  </w:style>
  <w:style w:type="character" w:customStyle="1" w:styleId="TextodebaloChar">
    <w:name w:val="Texto de balão Char"/>
    <w:basedOn w:val="Fontepargpadro"/>
    <w:link w:val="Textodebalo"/>
    <w:uiPriority w:val="99"/>
    <w:semiHidden/>
    <w:rsid w:val="00E027AA"/>
    <w:rPr>
      <w:rFonts w:ascii="Tahoma" w:hAnsi="Tahoma" w:cs="Tahoma"/>
      <w:sz w:val="16"/>
      <w:szCs w:val="16"/>
    </w:rPr>
  </w:style>
  <w:style w:type="character" w:customStyle="1" w:styleId="CabealhoChar">
    <w:name w:val="Cabeçalho Char"/>
    <w:basedOn w:val="Fontepargpadro"/>
    <w:link w:val="Cabealho"/>
    <w:uiPriority w:val="99"/>
    <w:rsid w:val="00947BD1"/>
  </w:style>
  <w:style w:type="character" w:styleId="Hyperlink">
    <w:name w:val="Hyperlink"/>
    <w:uiPriority w:val="99"/>
    <w:rsid w:val="00947BD1"/>
    <w:rPr>
      <w:color w:val="0000FF"/>
      <w:u w:val="single"/>
    </w:rPr>
  </w:style>
  <w:style w:type="character" w:styleId="Refdecomentrio">
    <w:name w:val="annotation reference"/>
    <w:basedOn w:val="Fontepargpadro"/>
    <w:uiPriority w:val="99"/>
    <w:semiHidden/>
    <w:unhideWhenUsed/>
    <w:rsid w:val="009D6C30"/>
    <w:rPr>
      <w:sz w:val="16"/>
      <w:szCs w:val="16"/>
    </w:rPr>
  </w:style>
  <w:style w:type="paragraph" w:styleId="Textodecomentrio">
    <w:name w:val="annotation text"/>
    <w:basedOn w:val="Normal"/>
    <w:link w:val="TextodecomentrioChar"/>
    <w:uiPriority w:val="99"/>
    <w:unhideWhenUsed/>
    <w:rsid w:val="009D6C30"/>
    <w:rPr>
      <w:sz w:val="20"/>
      <w:szCs w:val="20"/>
    </w:rPr>
  </w:style>
  <w:style w:type="character" w:customStyle="1" w:styleId="TextodecomentrioChar">
    <w:name w:val="Texto de comentário Char"/>
    <w:basedOn w:val="Fontepargpadro"/>
    <w:link w:val="Textodecomentrio"/>
    <w:uiPriority w:val="99"/>
    <w:rsid w:val="009D6C30"/>
  </w:style>
  <w:style w:type="paragraph" w:styleId="Assuntodocomentrio">
    <w:name w:val="annotation subject"/>
    <w:basedOn w:val="Textodecomentrio"/>
    <w:next w:val="Textodecomentrio"/>
    <w:link w:val="AssuntodocomentrioChar"/>
    <w:uiPriority w:val="99"/>
    <w:semiHidden/>
    <w:unhideWhenUsed/>
    <w:rsid w:val="009D6C30"/>
    <w:rPr>
      <w:b/>
      <w:bCs/>
    </w:rPr>
  </w:style>
  <w:style w:type="character" w:customStyle="1" w:styleId="AssuntodocomentrioChar">
    <w:name w:val="Assunto do comentário Char"/>
    <w:basedOn w:val="TextodecomentrioChar"/>
    <w:link w:val="Assuntodocomentrio"/>
    <w:uiPriority w:val="99"/>
    <w:semiHidden/>
    <w:rsid w:val="009D6C30"/>
    <w:rPr>
      <w:b/>
      <w:bCs/>
    </w:rPr>
  </w:style>
  <w:style w:type="paragraph" w:styleId="Textodenotadefim">
    <w:name w:val="endnote text"/>
    <w:basedOn w:val="Normal"/>
    <w:link w:val="TextodenotadefimChar"/>
    <w:uiPriority w:val="99"/>
    <w:semiHidden/>
    <w:unhideWhenUsed/>
    <w:rsid w:val="00531D4B"/>
    <w:rPr>
      <w:sz w:val="20"/>
      <w:szCs w:val="20"/>
    </w:rPr>
  </w:style>
  <w:style w:type="character" w:customStyle="1" w:styleId="TextodenotadefimChar">
    <w:name w:val="Texto de nota de fim Char"/>
    <w:basedOn w:val="Fontepargpadro"/>
    <w:link w:val="Textodenotadefim"/>
    <w:uiPriority w:val="99"/>
    <w:semiHidden/>
    <w:rsid w:val="00531D4B"/>
  </w:style>
  <w:style w:type="character" w:styleId="Refdenotadefim">
    <w:name w:val="endnote reference"/>
    <w:basedOn w:val="Fontepargpadro"/>
    <w:uiPriority w:val="99"/>
    <w:semiHidden/>
    <w:unhideWhenUsed/>
    <w:rsid w:val="00531D4B"/>
    <w:rPr>
      <w:vertAlign w:val="superscript"/>
    </w:rPr>
  </w:style>
  <w:style w:type="paragraph" w:customStyle="1" w:styleId="CM1">
    <w:name w:val="CM1"/>
    <w:basedOn w:val="Default"/>
    <w:next w:val="Default"/>
    <w:uiPriority w:val="99"/>
    <w:rsid w:val="00C97564"/>
    <w:rPr>
      <w:rFonts w:ascii="EU Albertina" w:eastAsia="Times New Roman" w:hAnsi="EU Albertina" w:cs="Times New Roman"/>
      <w:color w:val="auto"/>
    </w:rPr>
  </w:style>
  <w:style w:type="paragraph" w:customStyle="1" w:styleId="CM3">
    <w:name w:val="CM3"/>
    <w:basedOn w:val="Default"/>
    <w:next w:val="Default"/>
    <w:uiPriority w:val="99"/>
    <w:rsid w:val="00C97564"/>
    <w:rPr>
      <w:rFonts w:ascii="EU Albertina" w:eastAsia="Times New Roman" w:hAnsi="EU Albertina" w:cs="Times New Roman"/>
      <w:color w:val="auto"/>
    </w:rPr>
  </w:style>
  <w:style w:type="paragraph" w:customStyle="1" w:styleId="CM4">
    <w:name w:val="CM4"/>
    <w:basedOn w:val="Default"/>
    <w:next w:val="Default"/>
    <w:uiPriority w:val="99"/>
    <w:rsid w:val="00C97564"/>
    <w:rPr>
      <w:rFonts w:ascii="EU Albertina" w:eastAsia="Times New Roman" w:hAnsi="EU Albertina" w:cs="Times New Roman"/>
      <w:color w:val="auto"/>
    </w:rPr>
  </w:style>
  <w:style w:type="paragraph" w:customStyle="1" w:styleId="paragraph">
    <w:name w:val="paragraph"/>
    <w:basedOn w:val="Normal"/>
    <w:rsid w:val="00FE0D29"/>
    <w:pPr>
      <w:spacing w:before="100" w:beforeAutospacing="1" w:after="100" w:afterAutospacing="1"/>
    </w:pPr>
    <w:rPr>
      <w:lang w:val="en-US" w:eastAsia="en-US"/>
    </w:rPr>
  </w:style>
  <w:style w:type="character" w:customStyle="1" w:styleId="normaltextrun">
    <w:name w:val="normaltextrun"/>
    <w:basedOn w:val="Fontepargpadro"/>
    <w:rsid w:val="00FE0D29"/>
  </w:style>
  <w:style w:type="character" w:customStyle="1" w:styleId="eop">
    <w:name w:val="eop"/>
    <w:basedOn w:val="Fontepargpadro"/>
    <w:rsid w:val="00FE0D29"/>
  </w:style>
  <w:style w:type="character" w:customStyle="1" w:styleId="scxw255003023">
    <w:name w:val="scxw255003023"/>
    <w:basedOn w:val="Fontepargpadro"/>
    <w:rsid w:val="00FE0D29"/>
  </w:style>
  <w:style w:type="paragraph" w:customStyle="1" w:styleId="texto1">
    <w:name w:val="texto1"/>
    <w:basedOn w:val="Normal"/>
    <w:rsid w:val="0034644E"/>
    <w:pPr>
      <w:spacing w:before="100" w:beforeAutospacing="1" w:after="100" w:afterAutospacing="1"/>
    </w:pPr>
    <w:rPr>
      <w:lang w:val="en-US" w:eastAsia="en-US"/>
    </w:rPr>
  </w:style>
  <w:style w:type="character" w:customStyle="1" w:styleId="DeltaViewInsertion">
    <w:name w:val="DeltaView Insertion"/>
    <w:rsid w:val="007D57D3"/>
    <w:rPr>
      <w:color w:val="0000FF"/>
      <w:spacing w:val="0"/>
      <w:u w:val="double"/>
    </w:rPr>
  </w:style>
  <w:style w:type="paragraph" w:styleId="Reviso">
    <w:name w:val="Revision"/>
    <w:hidden/>
    <w:uiPriority w:val="99"/>
    <w:semiHidden/>
    <w:rsid w:val="007D57D3"/>
    <w:rPr>
      <w:sz w:val="24"/>
      <w:szCs w:val="24"/>
    </w:rPr>
  </w:style>
  <w:style w:type="paragraph" w:styleId="CabealhodoSumrio">
    <w:name w:val="TOC Heading"/>
    <w:basedOn w:val="Ttulo1"/>
    <w:next w:val="Normal"/>
    <w:uiPriority w:val="39"/>
    <w:semiHidden/>
    <w:unhideWhenUsed/>
    <w:qFormat/>
    <w:rsid w:val="003C64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Sumrio1">
    <w:name w:val="toc 1"/>
    <w:basedOn w:val="Normal"/>
    <w:next w:val="Normal"/>
    <w:autoRedefine/>
    <w:uiPriority w:val="39"/>
    <w:unhideWhenUsed/>
    <w:rsid w:val="005224B8"/>
    <w:pPr>
      <w:tabs>
        <w:tab w:val="right" w:leader="dot" w:pos="10196"/>
      </w:tabs>
      <w:spacing w:after="100"/>
    </w:pPr>
  </w:style>
  <w:style w:type="paragraph" w:styleId="Sumrio2">
    <w:name w:val="toc 2"/>
    <w:basedOn w:val="Normal"/>
    <w:next w:val="Normal"/>
    <w:autoRedefine/>
    <w:uiPriority w:val="39"/>
    <w:unhideWhenUsed/>
    <w:rsid w:val="003C6491"/>
    <w:pPr>
      <w:spacing w:after="100"/>
      <w:ind w:left="240"/>
    </w:pPr>
  </w:style>
  <w:style w:type="character" w:customStyle="1" w:styleId="Corpodetexto2Char">
    <w:name w:val="Corpo de texto 2 Char"/>
    <w:basedOn w:val="Fontepargpadro"/>
    <w:link w:val="Corpodetexto2"/>
    <w:semiHidden/>
    <w:rsid w:val="0062362F"/>
    <w:rPr>
      <w:sz w:val="24"/>
    </w:rPr>
  </w:style>
  <w:style w:type="paragraph" w:styleId="MapadoDocumento">
    <w:name w:val="Document Map"/>
    <w:basedOn w:val="Normal"/>
    <w:link w:val="MapadoDocumentoChar"/>
    <w:uiPriority w:val="99"/>
    <w:semiHidden/>
    <w:unhideWhenUsed/>
    <w:rsid w:val="003876BD"/>
    <w:rPr>
      <w:rFonts w:ascii="Lucida Grande" w:hAnsi="Lucida Grande"/>
    </w:rPr>
  </w:style>
  <w:style w:type="character" w:customStyle="1" w:styleId="MapadoDocumentoChar">
    <w:name w:val="Mapa do Documento Char"/>
    <w:basedOn w:val="Fontepargpadro"/>
    <w:link w:val="MapadoDocumento"/>
    <w:uiPriority w:val="99"/>
    <w:semiHidden/>
    <w:rsid w:val="003876BD"/>
    <w:rPr>
      <w:rFonts w:ascii="Lucida Grande" w:hAnsi="Lucida Grande"/>
      <w:sz w:val="24"/>
      <w:szCs w:val="24"/>
    </w:rPr>
  </w:style>
  <w:style w:type="character" w:customStyle="1" w:styleId="UnresolvedMention1">
    <w:name w:val="Unresolved Mention1"/>
    <w:basedOn w:val="Fontepargpadro"/>
    <w:uiPriority w:val="99"/>
    <w:unhideWhenUsed/>
    <w:rsid w:val="00824E61"/>
    <w:rPr>
      <w:color w:val="605E5C"/>
      <w:shd w:val="clear" w:color="auto" w:fill="E1DFDD"/>
    </w:rPr>
  </w:style>
  <w:style w:type="character" w:customStyle="1" w:styleId="Mention1">
    <w:name w:val="Mention1"/>
    <w:basedOn w:val="Fontepargpadro"/>
    <w:uiPriority w:val="99"/>
    <w:unhideWhenUsed/>
    <w:rsid w:val="00824E61"/>
    <w:rPr>
      <w:color w:val="2B579A"/>
      <w:shd w:val="clear" w:color="auto" w:fill="E1DFDD"/>
    </w:rPr>
  </w:style>
  <w:style w:type="character" w:customStyle="1" w:styleId="font81">
    <w:name w:val="font81"/>
    <w:basedOn w:val="Fontepargpadro"/>
    <w:rsid w:val="00AD1833"/>
    <w:rPr>
      <w:rFonts w:ascii="Calibri" w:hAnsi="Calibri" w:hint="default"/>
      <w:b/>
      <w:bCs/>
      <w:i w:val="0"/>
      <w:iCs w:val="0"/>
      <w:strike w:val="0"/>
      <w:dstrike w:val="0"/>
      <w:color w:val="000000"/>
      <w:sz w:val="20"/>
      <w:szCs w:val="20"/>
      <w:u w:val="none"/>
      <w:effect w:val="none"/>
    </w:rPr>
  </w:style>
  <w:style w:type="character" w:customStyle="1" w:styleId="font71">
    <w:name w:val="font71"/>
    <w:basedOn w:val="Fontepargpadro"/>
    <w:rsid w:val="00AD1833"/>
    <w:rPr>
      <w:rFonts w:ascii="Calibri Light" w:hAnsi="Calibri Light" w:hint="default"/>
      <w:b/>
      <w:bCs/>
      <w:i w:val="0"/>
      <w:iCs w:val="0"/>
      <w:strike w:val="0"/>
      <w:dstrike w:val="0"/>
      <w:color w:val="000000"/>
      <w:sz w:val="20"/>
      <w:szCs w:val="20"/>
      <w:u w:val="none"/>
      <w:effect w:val="none"/>
    </w:rPr>
  </w:style>
  <w:style w:type="character" w:styleId="Forte">
    <w:name w:val="Strong"/>
    <w:basedOn w:val="Fontepargpadro"/>
    <w:uiPriority w:val="22"/>
    <w:qFormat/>
    <w:rsid w:val="00096C4C"/>
    <w:rPr>
      <w:b/>
      <w:bCs/>
    </w:rPr>
  </w:style>
  <w:style w:type="paragraph" w:styleId="Sumrio3">
    <w:name w:val="toc 3"/>
    <w:basedOn w:val="Normal"/>
    <w:next w:val="Normal"/>
    <w:autoRedefine/>
    <w:uiPriority w:val="39"/>
    <w:unhideWhenUsed/>
    <w:rsid w:val="001353DC"/>
    <w:pPr>
      <w:tabs>
        <w:tab w:val="right" w:leader="dot" w:pos="10196"/>
      </w:tabs>
      <w:spacing w:after="100"/>
      <w:ind w:left="480"/>
    </w:pPr>
  </w:style>
  <w:style w:type="character" w:customStyle="1" w:styleId="Mention2">
    <w:name w:val="Mention2"/>
    <w:basedOn w:val="Fontepargpadro"/>
    <w:uiPriority w:val="99"/>
    <w:unhideWhenUsed/>
    <w:rsid w:val="00994F7D"/>
    <w:rPr>
      <w:color w:val="2B579A"/>
      <w:shd w:val="clear" w:color="auto" w:fill="E6E6E6"/>
    </w:rPr>
  </w:style>
  <w:style w:type="character" w:customStyle="1" w:styleId="Meno1">
    <w:name w:val="Menção1"/>
    <w:basedOn w:val="Fontepargpadro"/>
    <w:uiPriority w:val="99"/>
    <w:unhideWhenUsed/>
    <w:rsid w:val="00206E97"/>
    <w:rPr>
      <w:color w:val="2B579A"/>
      <w:shd w:val="clear" w:color="auto" w:fill="E6E6E6"/>
    </w:rPr>
  </w:style>
  <w:style w:type="character" w:customStyle="1" w:styleId="contextualspellingandgrammarerror">
    <w:name w:val="contextualspellingandgrammarerror"/>
    <w:basedOn w:val="Fontepargpadro"/>
    <w:rsid w:val="00134A3C"/>
  </w:style>
  <w:style w:type="character" w:customStyle="1" w:styleId="Meno2">
    <w:name w:val="Menção2"/>
    <w:basedOn w:val="Fontepargpadro"/>
    <w:uiPriority w:val="99"/>
    <w:unhideWhenUsed/>
    <w:rsid w:val="001E5F3D"/>
    <w:rPr>
      <w:color w:val="2B579A"/>
      <w:shd w:val="clear" w:color="auto" w:fill="E6E6E6"/>
    </w:rPr>
  </w:style>
  <w:style w:type="paragraph" w:customStyle="1" w:styleId="TtulodaResoluo">
    <w:name w:val="Título da Resolução"/>
    <w:basedOn w:val="Normal"/>
    <w:next w:val="Normal"/>
    <w:qFormat/>
    <w:rsid w:val="00D74986"/>
    <w:pPr>
      <w:keepNext/>
      <w:spacing w:before="120" w:after="120" w:line="312" w:lineRule="auto"/>
      <w:ind w:firstLine="567"/>
      <w:jc w:val="center"/>
      <w:outlineLvl w:val="0"/>
    </w:pPr>
    <w:rPr>
      <w:rFonts w:eastAsia="Calibri" w:cstheme="minorHAnsi"/>
      <w:caps/>
      <w:lang w:eastAsia="en-US"/>
    </w:rPr>
  </w:style>
  <w:style w:type="paragraph" w:customStyle="1" w:styleId="Ementa">
    <w:name w:val="Ementa"/>
    <w:basedOn w:val="Normal"/>
    <w:next w:val="Normal"/>
    <w:qFormat/>
    <w:rsid w:val="00D74986"/>
    <w:pPr>
      <w:spacing w:before="120" w:after="120" w:line="312" w:lineRule="auto"/>
      <w:ind w:left="5103"/>
      <w:jc w:val="both"/>
    </w:pPr>
    <w:rPr>
      <w:rFonts w:eastAsia="Calibri" w:cstheme="minorHAnsi"/>
      <w:lang w:eastAsia="en-US"/>
    </w:rPr>
  </w:style>
  <w:style w:type="character" w:customStyle="1" w:styleId="Ttulo1Char">
    <w:name w:val="Título 1 Char"/>
    <w:basedOn w:val="Fontepargpadro"/>
    <w:link w:val="Ttulo1"/>
    <w:rsid w:val="004301C4"/>
    <w:rPr>
      <w:rFonts w:asciiTheme="minorHAnsi" w:hAnsiTheme="minorHAnsi"/>
      <w:sz w:val="24"/>
    </w:rPr>
  </w:style>
  <w:style w:type="character" w:customStyle="1" w:styleId="Ttulo2Char">
    <w:name w:val="Título 2 Char"/>
    <w:basedOn w:val="Fontepargpadro"/>
    <w:link w:val="Ttulo2"/>
    <w:rsid w:val="004301C4"/>
    <w:rPr>
      <w:rFonts w:asciiTheme="minorHAnsi" w:hAnsiTheme="minorHAnsi"/>
      <w:b/>
      <w:sz w:val="24"/>
      <w:szCs w:val="24"/>
      <w:lang w:eastAsia="en-US"/>
    </w:rPr>
  </w:style>
  <w:style w:type="character" w:customStyle="1" w:styleId="Ttulo4Char">
    <w:name w:val="Título 4 Char"/>
    <w:basedOn w:val="Fontepargpadro"/>
    <w:link w:val="Ttulo4"/>
    <w:rsid w:val="004301C4"/>
    <w:rPr>
      <w:rFonts w:asciiTheme="minorHAnsi" w:hAnsiTheme="minorHAnsi"/>
      <w:b/>
      <w:sz w:val="24"/>
    </w:rPr>
  </w:style>
  <w:style w:type="character" w:customStyle="1" w:styleId="Ttulo5Char">
    <w:name w:val="Título 5 Char"/>
    <w:basedOn w:val="Fontepargpadro"/>
    <w:link w:val="Ttulo5"/>
    <w:rsid w:val="004301C4"/>
    <w:rPr>
      <w:rFonts w:asciiTheme="minorHAnsi" w:hAnsiTheme="minorHAnsi"/>
      <w:b/>
      <w:bCs/>
      <w:sz w:val="24"/>
    </w:rPr>
  </w:style>
  <w:style w:type="character" w:customStyle="1" w:styleId="Ttulo6Char">
    <w:name w:val="Título 6 Char"/>
    <w:basedOn w:val="Fontepargpadro"/>
    <w:link w:val="Ttulo6"/>
    <w:rsid w:val="004301C4"/>
    <w:rPr>
      <w:rFonts w:asciiTheme="minorHAnsi" w:hAnsiTheme="minorHAnsi"/>
      <w:bCs/>
      <w:sz w:val="24"/>
    </w:rPr>
  </w:style>
  <w:style w:type="character" w:customStyle="1" w:styleId="Ttulo7Char">
    <w:name w:val="Título 7 Char"/>
    <w:basedOn w:val="Fontepargpadro"/>
    <w:link w:val="Ttulo7"/>
    <w:rsid w:val="004301C4"/>
    <w:rPr>
      <w:rFonts w:asciiTheme="minorHAnsi" w:hAnsiTheme="minorHAnsi"/>
      <w:b/>
      <w:sz w:val="24"/>
    </w:rPr>
  </w:style>
  <w:style w:type="character" w:customStyle="1" w:styleId="Recuodecorpodetexto3Char">
    <w:name w:val="Recuo de corpo de texto 3 Char"/>
    <w:basedOn w:val="Fontepargpadro"/>
    <w:link w:val="Recuodecorpodetexto3"/>
    <w:semiHidden/>
    <w:rsid w:val="004301C4"/>
    <w:rPr>
      <w:rFonts w:asciiTheme="minorHAnsi" w:hAnsiTheme="minorHAnsi"/>
      <w:bCs/>
      <w:sz w:val="24"/>
      <w:szCs w:val="24"/>
    </w:rPr>
  </w:style>
  <w:style w:type="character" w:customStyle="1" w:styleId="RecuodecorpodetextoChar">
    <w:name w:val="Recuo de corpo de texto Char"/>
    <w:basedOn w:val="Fontepargpadro"/>
    <w:link w:val="Recuodecorpodetexto"/>
    <w:semiHidden/>
    <w:rsid w:val="004301C4"/>
    <w:rPr>
      <w:rFonts w:asciiTheme="minorHAnsi" w:hAnsiTheme="minorHAnsi"/>
      <w:i/>
      <w:sz w:val="24"/>
    </w:rPr>
  </w:style>
  <w:style w:type="character" w:customStyle="1" w:styleId="CorpodetextoChar">
    <w:name w:val="Corpo de texto Char"/>
    <w:basedOn w:val="Fontepargpadro"/>
    <w:link w:val="Corpodetexto"/>
    <w:semiHidden/>
    <w:rsid w:val="004301C4"/>
    <w:rPr>
      <w:rFonts w:asciiTheme="minorHAnsi" w:hAnsiTheme="minorHAnsi"/>
      <w:sz w:val="24"/>
    </w:rPr>
  </w:style>
  <w:style w:type="character" w:customStyle="1" w:styleId="Recuodecorpodetexto2Char">
    <w:name w:val="Recuo de corpo de texto 2 Char"/>
    <w:basedOn w:val="Fontepargpadro"/>
    <w:link w:val="Recuodecorpodetexto2"/>
    <w:semiHidden/>
    <w:rsid w:val="004301C4"/>
    <w:rPr>
      <w:rFonts w:asciiTheme="minorHAnsi" w:hAnsiTheme="minorHAnsi"/>
      <w:sz w:val="24"/>
    </w:rPr>
  </w:style>
  <w:style w:type="character" w:customStyle="1" w:styleId="Mention3">
    <w:name w:val="Mention3"/>
    <w:basedOn w:val="Fontepargpadro"/>
    <w:uiPriority w:val="99"/>
    <w:unhideWhenUsed/>
    <w:rsid w:val="00C74931"/>
    <w:rPr>
      <w:color w:val="2B579A"/>
      <w:shd w:val="clear" w:color="auto" w:fill="E6E6E6"/>
    </w:rPr>
  </w:style>
  <w:style w:type="character" w:customStyle="1" w:styleId="UnresolvedMention2">
    <w:name w:val="Unresolved Mention2"/>
    <w:basedOn w:val="Fontepargpadro"/>
    <w:uiPriority w:val="99"/>
    <w:unhideWhenUsed/>
    <w:rsid w:val="00C74931"/>
    <w:rPr>
      <w:color w:val="605E5C"/>
      <w:shd w:val="clear" w:color="auto" w:fill="E1DFDD"/>
    </w:rPr>
  </w:style>
  <w:style w:type="table" w:customStyle="1" w:styleId="TableGridLight1">
    <w:name w:val="Table Grid Light1"/>
    <w:basedOn w:val="Tabelanormal"/>
    <w:uiPriority w:val="40"/>
    <w:rsid w:val="00C7493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3">
    <w:name w:val="Menção3"/>
    <w:basedOn w:val="Fontepargpadro"/>
    <w:uiPriority w:val="99"/>
    <w:unhideWhenUsed/>
    <w:rPr>
      <w:color w:val="2B579A"/>
      <w:shd w:val="clear" w:color="auto" w:fill="E6E6E6"/>
    </w:rPr>
  </w:style>
  <w:style w:type="character" w:customStyle="1" w:styleId="MenoPendente1">
    <w:name w:val="Menção Pendente1"/>
    <w:basedOn w:val="Fontepargpadro"/>
    <w:uiPriority w:val="99"/>
    <w:unhideWhenUsed/>
    <w:rsid w:val="00E1558E"/>
    <w:rPr>
      <w:color w:val="605E5C"/>
      <w:shd w:val="clear" w:color="auto" w:fill="E1DFDD"/>
    </w:rPr>
  </w:style>
  <w:style w:type="character" w:customStyle="1" w:styleId="Meno4">
    <w:name w:val="Menção4"/>
    <w:basedOn w:val="Fontepargpadro"/>
    <w:uiPriority w:val="99"/>
    <w:unhideWhenUsed/>
    <w:rsid w:val="00E1558E"/>
    <w:rPr>
      <w:color w:val="2B579A"/>
      <w:shd w:val="clear" w:color="auto" w:fill="E1DFDD"/>
    </w:rPr>
  </w:style>
  <w:style w:type="paragraph" w:customStyle="1" w:styleId="Captulo">
    <w:name w:val="Capítulo"/>
    <w:basedOn w:val="Normal"/>
    <w:next w:val="Normal"/>
    <w:qFormat/>
    <w:rsid w:val="00B86CFE"/>
    <w:pPr>
      <w:keepNext/>
      <w:spacing w:before="360" w:after="120" w:line="312" w:lineRule="auto"/>
      <w:ind w:firstLine="567"/>
      <w:jc w:val="center"/>
      <w:outlineLvl w:val="1"/>
    </w:pPr>
    <w:rPr>
      <w:rFonts w:eastAsia="Calibri" w:cstheme="minorHAnsi"/>
      <w:caps/>
      <w:lang w:eastAsia="en-US"/>
    </w:rPr>
  </w:style>
  <w:style w:type="paragraph" w:customStyle="1" w:styleId="Seo">
    <w:name w:val="Seção"/>
    <w:basedOn w:val="Normal"/>
    <w:next w:val="Normal"/>
    <w:qFormat/>
    <w:rsid w:val="00886728"/>
    <w:pPr>
      <w:keepNext/>
      <w:spacing w:before="120" w:after="120" w:line="312" w:lineRule="auto"/>
      <w:ind w:firstLine="567"/>
      <w:jc w:val="center"/>
      <w:outlineLvl w:val="2"/>
    </w:pPr>
    <w:rPr>
      <w:rFonts w:eastAsia="Calibri" w:cstheme="minorHAnsi"/>
      <w:b/>
      <w:lang w:eastAsia="en-US"/>
    </w:rPr>
  </w:style>
  <w:style w:type="character" w:customStyle="1" w:styleId="MenoPendente2">
    <w:name w:val="Menção Pendente2"/>
    <w:basedOn w:val="Fontepargpadro"/>
    <w:uiPriority w:val="99"/>
    <w:unhideWhenUsed/>
    <w:rsid w:val="0076532B"/>
    <w:rPr>
      <w:color w:val="605E5C"/>
      <w:shd w:val="clear" w:color="auto" w:fill="E1DFDD"/>
    </w:rPr>
  </w:style>
  <w:style w:type="character" w:customStyle="1" w:styleId="Meno5">
    <w:name w:val="Menção5"/>
    <w:basedOn w:val="Fontepargpadro"/>
    <w:uiPriority w:val="99"/>
    <w:unhideWhenUsed/>
    <w:rsid w:val="0076532B"/>
    <w:rPr>
      <w:color w:val="2B579A"/>
      <w:shd w:val="clear" w:color="auto" w:fill="E1DFDD"/>
    </w:rPr>
  </w:style>
  <w:style w:type="character" w:customStyle="1" w:styleId="MenoPendente3">
    <w:name w:val="Menção Pendente3"/>
    <w:basedOn w:val="Fontepargpadro"/>
    <w:uiPriority w:val="99"/>
    <w:unhideWhenUsed/>
    <w:rsid w:val="009C5815"/>
    <w:rPr>
      <w:color w:val="605E5C"/>
      <w:shd w:val="clear" w:color="auto" w:fill="E1DFDD"/>
    </w:rPr>
  </w:style>
  <w:style w:type="character" w:customStyle="1" w:styleId="Meno6">
    <w:name w:val="Menção6"/>
    <w:basedOn w:val="Fontepargpadro"/>
    <w:uiPriority w:val="99"/>
    <w:unhideWhenUsed/>
    <w:rsid w:val="009C5815"/>
    <w:rPr>
      <w:color w:val="2B579A"/>
      <w:shd w:val="clear" w:color="auto" w:fill="E1DFDD"/>
    </w:rPr>
  </w:style>
  <w:style w:type="character" w:styleId="TtulodoLivro">
    <w:name w:val="Book Title"/>
    <w:basedOn w:val="Fontepargpadro"/>
    <w:uiPriority w:val="33"/>
    <w:qFormat/>
    <w:rsid w:val="007B07E4"/>
    <w:rPr>
      <w:b/>
      <w:bCs/>
      <w:smallCaps/>
      <w:spacing w:val="5"/>
    </w:rPr>
  </w:style>
  <w:style w:type="paragraph" w:styleId="Sumrio4">
    <w:name w:val="toc 4"/>
    <w:basedOn w:val="Normal"/>
    <w:next w:val="Normal"/>
    <w:autoRedefine/>
    <w:uiPriority w:val="39"/>
    <w:unhideWhenUsed/>
    <w:rsid w:val="00294E22"/>
    <w:pPr>
      <w:ind w:left="720"/>
    </w:pPr>
  </w:style>
  <w:style w:type="paragraph" w:styleId="Sumrio5">
    <w:name w:val="toc 5"/>
    <w:basedOn w:val="Normal"/>
    <w:next w:val="Normal"/>
    <w:autoRedefine/>
    <w:uiPriority w:val="39"/>
    <w:unhideWhenUsed/>
    <w:rsid w:val="00294E22"/>
    <w:pPr>
      <w:ind w:left="960"/>
    </w:pPr>
  </w:style>
  <w:style w:type="paragraph" w:styleId="Sumrio6">
    <w:name w:val="toc 6"/>
    <w:basedOn w:val="Normal"/>
    <w:next w:val="Normal"/>
    <w:autoRedefine/>
    <w:uiPriority w:val="39"/>
    <w:unhideWhenUsed/>
    <w:rsid w:val="00294E22"/>
    <w:pPr>
      <w:ind w:left="1200"/>
    </w:pPr>
  </w:style>
  <w:style w:type="paragraph" w:styleId="Sumrio7">
    <w:name w:val="toc 7"/>
    <w:basedOn w:val="Normal"/>
    <w:next w:val="Normal"/>
    <w:autoRedefine/>
    <w:uiPriority w:val="39"/>
    <w:unhideWhenUsed/>
    <w:rsid w:val="00294E22"/>
    <w:pPr>
      <w:ind w:left="1440"/>
    </w:pPr>
  </w:style>
  <w:style w:type="paragraph" w:styleId="Sumrio8">
    <w:name w:val="toc 8"/>
    <w:basedOn w:val="Normal"/>
    <w:next w:val="Normal"/>
    <w:autoRedefine/>
    <w:uiPriority w:val="39"/>
    <w:unhideWhenUsed/>
    <w:rsid w:val="00294E22"/>
    <w:pPr>
      <w:ind w:left="1680"/>
    </w:pPr>
  </w:style>
  <w:style w:type="paragraph" w:styleId="Sumrio9">
    <w:name w:val="toc 9"/>
    <w:basedOn w:val="Normal"/>
    <w:next w:val="Normal"/>
    <w:autoRedefine/>
    <w:uiPriority w:val="39"/>
    <w:unhideWhenUsed/>
    <w:rsid w:val="00294E22"/>
    <w:pPr>
      <w:ind w:left="1920"/>
    </w:pPr>
  </w:style>
  <w:style w:type="character" w:customStyle="1" w:styleId="cf01">
    <w:name w:val="cf01"/>
    <w:basedOn w:val="Fontepargpadro"/>
    <w:rsid w:val="002A5E79"/>
    <w:rPr>
      <w:rFonts w:ascii="Segoe UI" w:hAnsi="Segoe UI" w:cs="Segoe UI" w:hint="default"/>
      <w:sz w:val="18"/>
      <w:szCs w:val="18"/>
    </w:rPr>
  </w:style>
  <w:style w:type="character" w:customStyle="1" w:styleId="cf11">
    <w:name w:val="cf11"/>
    <w:basedOn w:val="Fontepargpadro"/>
    <w:rsid w:val="002A5E79"/>
    <w:rPr>
      <w:rFonts w:ascii="Segoe UI" w:hAnsi="Segoe UI" w:cs="Segoe UI" w:hint="default"/>
      <w:b/>
      <w:bCs/>
      <w:sz w:val="18"/>
      <w:szCs w:val="18"/>
    </w:rPr>
  </w:style>
  <w:style w:type="paragraph" w:customStyle="1" w:styleId="NormaAlterada">
    <w:name w:val="Norma Alterada"/>
    <w:basedOn w:val="Normal"/>
    <w:qFormat/>
    <w:rsid w:val="0054101D"/>
    <w:pPr>
      <w:tabs>
        <w:tab w:val="left" w:leader="dot" w:pos="5103"/>
      </w:tabs>
      <w:spacing w:before="120" w:after="120" w:line="312" w:lineRule="auto"/>
      <w:ind w:left="567"/>
      <w:jc w:val="both"/>
    </w:pPr>
    <w:rPr>
      <w:rFonts w:eastAsia="Calibr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971">
      <w:bodyDiv w:val="1"/>
      <w:marLeft w:val="0"/>
      <w:marRight w:val="0"/>
      <w:marTop w:val="0"/>
      <w:marBottom w:val="0"/>
      <w:divBdr>
        <w:top w:val="none" w:sz="0" w:space="0" w:color="auto"/>
        <w:left w:val="none" w:sz="0" w:space="0" w:color="auto"/>
        <w:bottom w:val="none" w:sz="0" w:space="0" w:color="auto"/>
        <w:right w:val="none" w:sz="0" w:space="0" w:color="auto"/>
      </w:divBdr>
      <w:divsChild>
        <w:div w:id="1858344958">
          <w:marLeft w:val="0"/>
          <w:marRight w:val="0"/>
          <w:marTop w:val="0"/>
          <w:marBottom w:val="0"/>
          <w:divBdr>
            <w:top w:val="none" w:sz="0" w:space="0" w:color="auto"/>
            <w:left w:val="none" w:sz="0" w:space="0" w:color="auto"/>
            <w:bottom w:val="none" w:sz="0" w:space="0" w:color="auto"/>
            <w:right w:val="none" w:sz="0" w:space="0" w:color="auto"/>
          </w:divBdr>
        </w:div>
      </w:divsChild>
    </w:div>
    <w:div w:id="169880395">
      <w:bodyDiv w:val="1"/>
      <w:marLeft w:val="0"/>
      <w:marRight w:val="0"/>
      <w:marTop w:val="0"/>
      <w:marBottom w:val="0"/>
      <w:divBdr>
        <w:top w:val="none" w:sz="0" w:space="0" w:color="auto"/>
        <w:left w:val="none" w:sz="0" w:space="0" w:color="auto"/>
        <w:bottom w:val="none" w:sz="0" w:space="0" w:color="auto"/>
        <w:right w:val="none" w:sz="0" w:space="0" w:color="auto"/>
      </w:divBdr>
    </w:div>
    <w:div w:id="183180076">
      <w:bodyDiv w:val="1"/>
      <w:marLeft w:val="0"/>
      <w:marRight w:val="0"/>
      <w:marTop w:val="0"/>
      <w:marBottom w:val="0"/>
      <w:divBdr>
        <w:top w:val="none" w:sz="0" w:space="0" w:color="auto"/>
        <w:left w:val="none" w:sz="0" w:space="0" w:color="auto"/>
        <w:bottom w:val="none" w:sz="0" w:space="0" w:color="auto"/>
        <w:right w:val="none" w:sz="0" w:space="0" w:color="auto"/>
      </w:divBdr>
    </w:div>
    <w:div w:id="241180460">
      <w:bodyDiv w:val="1"/>
      <w:marLeft w:val="0"/>
      <w:marRight w:val="0"/>
      <w:marTop w:val="0"/>
      <w:marBottom w:val="0"/>
      <w:divBdr>
        <w:top w:val="none" w:sz="0" w:space="0" w:color="auto"/>
        <w:left w:val="none" w:sz="0" w:space="0" w:color="auto"/>
        <w:bottom w:val="none" w:sz="0" w:space="0" w:color="auto"/>
        <w:right w:val="none" w:sz="0" w:space="0" w:color="auto"/>
      </w:divBdr>
    </w:div>
    <w:div w:id="338241048">
      <w:bodyDiv w:val="1"/>
      <w:marLeft w:val="0"/>
      <w:marRight w:val="0"/>
      <w:marTop w:val="0"/>
      <w:marBottom w:val="0"/>
      <w:divBdr>
        <w:top w:val="none" w:sz="0" w:space="0" w:color="auto"/>
        <w:left w:val="none" w:sz="0" w:space="0" w:color="auto"/>
        <w:bottom w:val="none" w:sz="0" w:space="0" w:color="auto"/>
        <w:right w:val="none" w:sz="0" w:space="0" w:color="auto"/>
      </w:divBdr>
      <w:divsChild>
        <w:div w:id="181365168">
          <w:marLeft w:val="0"/>
          <w:marRight w:val="0"/>
          <w:marTop w:val="0"/>
          <w:marBottom w:val="0"/>
          <w:divBdr>
            <w:top w:val="none" w:sz="0" w:space="0" w:color="auto"/>
            <w:left w:val="none" w:sz="0" w:space="0" w:color="auto"/>
            <w:bottom w:val="none" w:sz="0" w:space="0" w:color="auto"/>
            <w:right w:val="none" w:sz="0" w:space="0" w:color="auto"/>
          </w:divBdr>
          <w:divsChild>
            <w:div w:id="635842337">
              <w:marLeft w:val="0"/>
              <w:marRight w:val="0"/>
              <w:marTop w:val="0"/>
              <w:marBottom w:val="0"/>
              <w:divBdr>
                <w:top w:val="none" w:sz="0" w:space="0" w:color="auto"/>
                <w:left w:val="none" w:sz="0" w:space="0" w:color="auto"/>
                <w:bottom w:val="none" w:sz="0" w:space="0" w:color="auto"/>
                <w:right w:val="none" w:sz="0" w:space="0" w:color="auto"/>
              </w:divBdr>
            </w:div>
          </w:divsChild>
        </w:div>
        <w:div w:id="578832356">
          <w:marLeft w:val="0"/>
          <w:marRight w:val="0"/>
          <w:marTop w:val="0"/>
          <w:marBottom w:val="0"/>
          <w:divBdr>
            <w:top w:val="none" w:sz="0" w:space="0" w:color="auto"/>
            <w:left w:val="none" w:sz="0" w:space="0" w:color="auto"/>
            <w:bottom w:val="none" w:sz="0" w:space="0" w:color="auto"/>
            <w:right w:val="none" w:sz="0" w:space="0" w:color="auto"/>
          </w:divBdr>
          <w:divsChild>
            <w:div w:id="1018043822">
              <w:marLeft w:val="0"/>
              <w:marRight w:val="0"/>
              <w:marTop w:val="0"/>
              <w:marBottom w:val="0"/>
              <w:divBdr>
                <w:top w:val="none" w:sz="0" w:space="0" w:color="auto"/>
                <w:left w:val="none" w:sz="0" w:space="0" w:color="auto"/>
                <w:bottom w:val="none" w:sz="0" w:space="0" w:color="auto"/>
                <w:right w:val="none" w:sz="0" w:space="0" w:color="auto"/>
              </w:divBdr>
            </w:div>
          </w:divsChild>
        </w:div>
        <w:div w:id="846752716">
          <w:marLeft w:val="0"/>
          <w:marRight w:val="0"/>
          <w:marTop w:val="0"/>
          <w:marBottom w:val="0"/>
          <w:divBdr>
            <w:top w:val="none" w:sz="0" w:space="0" w:color="auto"/>
            <w:left w:val="none" w:sz="0" w:space="0" w:color="auto"/>
            <w:bottom w:val="none" w:sz="0" w:space="0" w:color="auto"/>
            <w:right w:val="none" w:sz="0" w:space="0" w:color="auto"/>
          </w:divBdr>
          <w:divsChild>
            <w:div w:id="428283019">
              <w:marLeft w:val="0"/>
              <w:marRight w:val="0"/>
              <w:marTop w:val="0"/>
              <w:marBottom w:val="0"/>
              <w:divBdr>
                <w:top w:val="none" w:sz="0" w:space="0" w:color="auto"/>
                <w:left w:val="none" w:sz="0" w:space="0" w:color="auto"/>
                <w:bottom w:val="none" w:sz="0" w:space="0" w:color="auto"/>
                <w:right w:val="none" w:sz="0" w:space="0" w:color="auto"/>
              </w:divBdr>
            </w:div>
          </w:divsChild>
        </w:div>
        <w:div w:id="1016619109">
          <w:marLeft w:val="0"/>
          <w:marRight w:val="0"/>
          <w:marTop w:val="0"/>
          <w:marBottom w:val="0"/>
          <w:divBdr>
            <w:top w:val="none" w:sz="0" w:space="0" w:color="auto"/>
            <w:left w:val="none" w:sz="0" w:space="0" w:color="auto"/>
            <w:bottom w:val="none" w:sz="0" w:space="0" w:color="auto"/>
            <w:right w:val="none" w:sz="0" w:space="0" w:color="auto"/>
          </w:divBdr>
          <w:divsChild>
            <w:div w:id="412628690">
              <w:marLeft w:val="0"/>
              <w:marRight w:val="0"/>
              <w:marTop w:val="0"/>
              <w:marBottom w:val="0"/>
              <w:divBdr>
                <w:top w:val="none" w:sz="0" w:space="0" w:color="auto"/>
                <w:left w:val="none" w:sz="0" w:space="0" w:color="auto"/>
                <w:bottom w:val="none" w:sz="0" w:space="0" w:color="auto"/>
                <w:right w:val="none" w:sz="0" w:space="0" w:color="auto"/>
              </w:divBdr>
            </w:div>
          </w:divsChild>
        </w:div>
        <w:div w:id="1688410038">
          <w:marLeft w:val="0"/>
          <w:marRight w:val="0"/>
          <w:marTop w:val="0"/>
          <w:marBottom w:val="0"/>
          <w:divBdr>
            <w:top w:val="none" w:sz="0" w:space="0" w:color="auto"/>
            <w:left w:val="none" w:sz="0" w:space="0" w:color="auto"/>
            <w:bottom w:val="none" w:sz="0" w:space="0" w:color="auto"/>
            <w:right w:val="none" w:sz="0" w:space="0" w:color="auto"/>
          </w:divBdr>
          <w:divsChild>
            <w:div w:id="1945305908">
              <w:marLeft w:val="0"/>
              <w:marRight w:val="0"/>
              <w:marTop w:val="0"/>
              <w:marBottom w:val="0"/>
              <w:divBdr>
                <w:top w:val="none" w:sz="0" w:space="0" w:color="auto"/>
                <w:left w:val="none" w:sz="0" w:space="0" w:color="auto"/>
                <w:bottom w:val="none" w:sz="0" w:space="0" w:color="auto"/>
                <w:right w:val="none" w:sz="0" w:space="0" w:color="auto"/>
              </w:divBdr>
            </w:div>
          </w:divsChild>
        </w:div>
        <w:div w:id="1731029083">
          <w:marLeft w:val="0"/>
          <w:marRight w:val="0"/>
          <w:marTop w:val="0"/>
          <w:marBottom w:val="0"/>
          <w:divBdr>
            <w:top w:val="none" w:sz="0" w:space="0" w:color="auto"/>
            <w:left w:val="none" w:sz="0" w:space="0" w:color="auto"/>
            <w:bottom w:val="none" w:sz="0" w:space="0" w:color="auto"/>
            <w:right w:val="none" w:sz="0" w:space="0" w:color="auto"/>
          </w:divBdr>
          <w:divsChild>
            <w:div w:id="7399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190">
      <w:bodyDiv w:val="1"/>
      <w:marLeft w:val="0"/>
      <w:marRight w:val="0"/>
      <w:marTop w:val="0"/>
      <w:marBottom w:val="0"/>
      <w:divBdr>
        <w:top w:val="none" w:sz="0" w:space="0" w:color="auto"/>
        <w:left w:val="none" w:sz="0" w:space="0" w:color="auto"/>
        <w:bottom w:val="none" w:sz="0" w:space="0" w:color="auto"/>
        <w:right w:val="none" w:sz="0" w:space="0" w:color="auto"/>
      </w:divBdr>
      <w:divsChild>
        <w:div w:id="459619109">
          <w:marLeft w:val="0"/>
          <w:marRight w:val="0"/>
          <w:marTop w:val="0"/>
          <w:marBottom w:val="0"/>
          <w:divBdr>
            <w:top w:val="none" w:sz="0" w:space="0" w:color="auto"/>
            <w:left w:val="none" w:sz="0" w:space="0" w:color="auto"/>
            <w:bottom w:val="none" w:sz="0" w:space="0" w:color="auto"/>
            <w:right w:val="none" w:sz="0" w:space="0" w:color="auto"/>
          </w:divBdr>
        </w:div>
      </w:divsChild>
    </w:div>
    <w:div w:id="362290738">
      <w:bodyDiv w:val="1"/>
      <w:marLeft w:val="0"/>
      <w:marRight w:val="0"/>
      <w:marTop w:val="0"/>
      <w:marBottom w:val="0"/>
      <w:divBdr>
        <w:top w:val="none" w:sz="0" w:space="0" w:color="auto"/>
        <w:left w:val="none" w:sz="0" w:space="0" w:color="auto"/>
        <w:bottom w:val="none" w:sz="0" w:space="0" w:color="auto"/>
        <w:right w:val="none" w:sz="0" w:space="0" w:color="auto"/>
      </w:divBdr>
      <w:divsChild>
        <w:div w:id="1879395297">
          <w:marLeft w:val="0"/>
          <w:marRight w:val="0"/>
          <w:marTop w:val="0"/>
          <w:marBottom w:val="0"/>
          <w:divBdr>
            <w:top w:val="none" w:sz="0" w:space="0" w:color="auto"/>
            <w:left w:val="none" w:sz="0" w:space="0" w:color="auto"/>
            <w:bottom w:val="none" w:sz="0" w:space="0" w:color="auto"/>
            <w:right w:val="none" w:sz="0" w:space="0" w:color="auto"/>
          </w:divBdr>
        </w:div>
      </w:divsChild>
    </w:div>
    <w:div w:id="397821391">
      <w:bodyDiv w:val="1"/>
      <w:marLeft w:val="0"/>
      <w:marRight w:val="0"/>
      <w:marTop w:val="0"/>
      <w:marBottom w:val="0"/>
      <w:divBdr>
        <w:top w:val="none" w:sz="0" w:space="0" w:color="auto"/>
        <w:left w:val="none" w:sz="0" w:space="0" w:color="auto"/>
        <w:bottom w:val="none" w:sz="0" w:space="0" w:color="auto"/>
        <w:right w:val="none" w:sz="0" w:space="0" w:color="auto"/>
      </w:divBdr>
    </w:div>
    <w:div w:id="429010074">
      <w:bodyDiv w:val="1"/>
      <w:marLeft w:val="0"/>
      <w:marRight w:val="0"/>
      <w:marTop w:val="0"/>
      <w:marBottom w:val="0"/>
      <w:divBdr>
        <w:top w:val="none" w:sz="0" w:space="0" w:color="auto"/>
        <w:left w:val="none" w:sz="0" w:space="0" w:color="auto"/>
        <w:bottom w:val="none" w:sz="0" w:space="0" w:color="auto"/>
        <w:right w:val="none" w:sz="0" w:space="0" w:color="auto"/>
      </w:divBdr>
    </w:div>
    <w:div w:id="440687785">
      <w:bodyDiv w:val="1"/>
      <w:marLeft w:val="0"/>
      <w:marRight w:val="0"/>
      <w:marTop w:val="0"/>
      <w:marBottom w:val="0"/>
      <w:divBdr>
        <w:top w:val="none" w:sz="0" w:space="0" w:color="auto"/>
        <w:left w:val="none" w:sz="0" w:space="0" w:color="auto"/>
        <w:bottom w:val="none" w:sz="0" w:space="0" w:color="auto"/>
        <w:right w:val="none" w:sz="0" w:space="0" w:color="auto"/>
      </w:divBdr>
    </w:div>
    <w:div w:id="462620778">
      <w:bodyDiv w:val="1"/>
      <w:marLeft w:val="0"/>
      <w:marRight w:val="0"/>
      <w:marTop w:val="0"/>
      <w:marBottom w:val="0"/>
      <w:divBdr>
        <w:top w:val="none" w:sz="0" w:space="0" w:color="auto"/>
        <w:left w:val="none" w:sz="0" w:space="0" w:color="auto"/>
        <w:bottom w:val="none" w:sz="0" w:space="0" w:color="auto"/>
        <w:right w:val="none" w:sz="0" w:space="0" w:color="auto"/>
      </w:divBdr>
    </w:div>
    <w:div w:id="480466614">
      <w:bodyDiv w:val="1"/>
      <w:marLeft w:val="0"/>
      <w:marRight w:val="0"/>
      <w:marTop w:val="0"/>
      <w:marBottom w:val="0"/>
      <w:divBdr>
        <w:top w:val="none" w:sz="0" w:space="0" w:color="auto"/>
        <w:left w:val="none" w:sz="0" w:space="0" w:color="auto"/>
        <w:bottom w:val="none" w:sz="0" w:space="0" w:color="auto"/>
        <w:right w:val="none" w:sz="0" w:space="0" w:color="auto"/>
      </w:divBdr>
      <w:divsChild>
        <w:div w:id="1817449144">
          <w:marLeft w:val="0"/>
          <w:marRight w:val="0"/>
          <w:marTop w:val="0"/>
          <w:marBottom w:val="0"/>
          <w:divBdr>
            <w:top w:val="none" w:sz="0" w:space="0" w:color="auto"/>
            <w:left w:val="none" w:sz="0" w:space="0" w:color="auto"/>
            <w:bottom w:val="none" w:sz="0" w:space="0" w:color="auto"/>
            <w:right w:val="none" w:sz="0" w:space="0" w:color="auto"/>
          </w:divBdr>
        </w:div>
      </w:divsChild>
    </w:div>
    <w:div w:id="502742431">
      <w:bodyDiv w:val="1"/>
      <w:marLeft w:val="0"/>
      <w:marRight w:val="0"/>
      <w:marTop w:val="0"/>
      <w:marBottom w:val="0"/>
      <w:divBdr>
        <w:top w:val="none" w:sz="0" w:space="0" w:color="auto"/>
        <w:left w:val="none" w:sz="0" w:space="0" w:color="auto"/>
        <w:bottom w:val="none" w:sz="0" w:space="0" w:color="auto"/>
        <w:right w:val="none" w:sz="0" w:space="0" w:color="auto"/>
      </w:divBdr>
    </w:div>
    <w:div w:id="512650312">
      <w:bodyDiv w:val="1"/>
      <w:marLeft w:val="0"/>
      <w:marRight w:val="0"/>
      <w:marTop w:val="0"/>
      <w:marBottom w:val="0"/>
      <w:divBdr>
        <w:top w:val="none" w:sz="0" w:space="0" w:color="auto"/>
        <w:left w:val="none" w:sz="0" w:space="0" w:color="auto"/>
        <w:bottom w:val="none" w:sz="0" w:space="0" w:color="auto"/>
        <w:right w:val="none" w:sz="0" w:space="0" w:color="auto"/>
      </w:divBdr>
    </w:div>
    <w:div w:id="518158062">
      <w:bodyDiv w:val="1"/>
      <w:marLeft w:val="0"/>
      <w:marRight w:val="0"/>
      <w:marTop w:val="0"/>
      <w:marBottom w:val="0"/>
      <w:divBdr>
        <w:top w:val="none" w:sz="0" w:space="0" w:color="auto"/>
        <w:left w:val="none" w:sz="0" w:space="0" w:color="auto"/>
        <w:bottom w:val="none" w:sz="0" w:space="0" w:color="auto"/>
        <w:right w:val="none" w:sz="0" w:space="0" w:color="auto"/>
      </w:divBdr>
    </w:div>
    <w:div w:id="538783441">
      <w:bodyDiv w:val="1"/>
      <w:marLeft w:val="0"/>
      <w:marRight w:val="0"/>
      <w:marTop w:val="0"/>
      <w:marBottom w:val="0"/>
      <w:divBdr>
        <w:top w:val="none" w:sz="0" w:space="0" w:color="auto"/>
        <w:left w:val="none" w:sz="0" w:space="0" w:color="auto"/>
        <w:bottom w:val="none" w:sz="0" w:space="0" w:color="auto"/>
        <w:right w:val="none" w:sz="0" w:space="0" w:color="auto"/>
      </w:divBdr>
    </w:div>
    <w:div w:id="562715284">
      <w:bodyDiv w:val="1"/>
      <w:marLeft w:val="0"/>
      <w:marRight w:val="0"/>
      <w:marTop w:val="0"/>
      <w:marBottom w:val="0"/>
      <w:divBdr>
        <w:top w:val="none" w:sz="0" w:space="0" w:color="auto"/>
        <w:left w:val="none" w:sz="0" w:space="0" w:color="auto"/>
        <w:bottom w:val="none" w:sz="0" w:space="0" w:color="auto"/>
        <w:right w:val="none" w:sz="0" w:space="0" w:color="auto"/>
      </w:divBdr>
    </w:div>
    <w:div w:id="562911787">
      <w:bodyDiv w:val="1"/>
      <w:marLeft w:val="0"/>
      <w:marRight w:val="0"/>
      <w:marTop w:val="0"/>
      <w:marBottom w:val="0"/>
      <w:divBdr>
        <w:top w:val="none" w:sz="0" w:space="0" w:color="auto"/>
        <w:left w:val="none" w:sz="0" w:space="0" w:color="auto"/>
        <w:bottom w:val="none" w:sz="0" w:space="0" w:color="auto"/>
        <w:right w:val="none" w:sz="0" w:space="0" w:color="auto"/>
      </w:divBdr>
      <w:divsChild>
        <w:div w:id="189493550">
          <w:marLeft w:val="0"/>
          <w:marRight w:val="0"/>
          <w:marTop w:val="0"/>
          <w:marBottom w:val="0"/>
          <w:divBdr>
            <w:top w:val="none" w:sz="0" w:space="0" w:color="auto"/>
            <w:left w:val="none" w:sz="0" w:space="0" w:color="auto"/>
            <w:bottom w:val="none" w:sz="0" w:space="0" w:color="auto"/>
            <w:right w:val="none" w:sz="0" w:space="0" w:color="auto"/>
          </w:divBdr>
        </w:div>
      </w:divsChild>
    </w:div>
    <w:div w:id="584188686">
      <w:bodyDiv w:val="1"/>
      <w:marLeft w:val="0"/>
      <w:marRight w:val="0"/>
      <w:marTop w:val="0"/>
      <w:marBottom w:val="0"/>
      <w:divBdr>
        <w:top w:val="none" w:sz="0" w:space="0" w:color="auto"/>
        <w:left w:val="none" w:sz="0" w:space="0" w:color="auto"/>
        <w:bottom w:val="none" w:sz="0" w:space="0" w:color="auto"/>
        <w:right w:val="none" w:sz="0" w:space="0" w:color="auto"/>
      </w:divBdr>
    </w:div>
    <w:div w:id="613559573">
      <w:bodyDiv w:val="1"/>
      <w:marLeft w:val="0"/>
      <w:marRight w:val="0"/>
      <w:marTop w:val="0"/>
      <w:marBottom w:val="0"/>
      <w:divBdr>
        <w:top w:val="none" w:sz="0" w:space="0" w:color="auto"/>
        <w:left w:val="none" w:sz="0" w:space="0" w:color="auto"/>
        <w:bottom w:val="none" w:sz="0" w:space="0" w:color="auto"/>
        <w:right w:val="none" w:sz="0" w:space="0" w:color="auto"/>
      </w:divBdr>
      <w:divsChild>
        <w:div w:id="1443795">
          <w:marLeft w:val="0"/>
          <w:marRight w:val="0"/>
          <w:marTop w:val="0"/>
          <w:marBottom w:val="0"/>
          <w:divBdr>
            <w:top w:val="none" w:sz="0" w:space="0" w:color="auto"/>
            <w:left w:val="none" w:sz="0" w:space="0" w:color="auto"/>
            <w:bottom w:val="none" w:sz="0" w:space="0" w:color="auto"/>
            <w:right w:val="none" w:sz="0" w:space="0" w:color="auto"/>
          </w:divBdr>
          <w:divsChild>
            <w:div w:id="1059133944">
              <w:marLeft w:val="0"/>
              <w:marRight w:val="0"/>
              <w:marTop w:val="0"/>
              <w:marBottom w:val="0"/>
              <w:divBdr>
                <w:top w:val="none" w:sz="0" w:space="0" w:color="auto"/>
                <w:left w:val="none" w:sz="0" w:space="0" w:color="auto"/>
                <w:bottom w:val="none" w:sz="0" w:space="0" w:color="auto"/>
                <w:right w:val="none" w:sz="0" w:space="0" w:color="auto"/>
              </w:divBdr>
            </w:div>
            <w:div w:id="13134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329">
      <w:bodyDiv w:val="1"/>
      <w:marLeft w:val="0"/>
      <w:marRight w:val="0"/>
      <w:marTop w:val="0"/>
      <w:marBottom w:val="0"/>
      <w:divBdr>
        <w:top w:val="none" w:sz="0" w:space="0" w:color="auto"/>
        <w:left w:val="none" w:sz="0" w:space="0" w:color="auto"/>
        <w:bottom w:val="none" w:sz="0" w:space="0" w:color="auto"/>
        <w:right w:val="none" w:sz="0" w:space="0" w:color="auto"/>
      </w:divBdr>
      <w:divsChild>
        <w:div w:id="1372799155">
          <w:marLeft w:val="0"/>
          <w:marRight w:val="0"/>
          <w:marTop w:val="0"/>
          <w:marBottom w:val="0"/>
          <w:divBdr>
            <w:top w:val="none" w:sz="0" w:space="0" w:color="auto"/>
            <w:left w:val="none" w:sz="0" w:space="0" w:color="auto"/>
            <w:bottom w:val="none" w:sz="0" w:space="0" w:color="auto"/>
            <w:right w:val="none" w:sz="0" w:space="0" w:color="auto"/>
          </w:divBdr>
        </w:div>
      </w:divsChild>
    </w:div>
    <w:div w:id="699279240">
      <w:bodyDiv w:val="1"/>
      <w:marLeft w:val="0"/>
      <w:marRight w:val="0"/>
      <w:marTop w:val="0"/>
      <w:marBottom w:val="0"/>
      <w:divBdr>
        <w:top w:val="none" w:sz="0" w:space="0" w:color="auto"/>
        <w:left w:val="none" w:sz="0" w:space="0" w:color="auto"/>
        <w:bottom w:val="none" w:sz="0" w:space="0" w:color="auto"/>
        <w:right w:val="none" w:sz="0" w:space="0" w:color="auto"/>
      </w:divBdr>
      <w:divsChild>
        <w:div w:id="1369648072">
          <w:marLeft w:val="0"/>
          <w:marRight w:val="0"/>
          <w:marTop w:val="0"/>
          <w:marBottom w:val="0"/>
          <w:divBdr>
            <w:top w:val="none" w:sz="0" w:space="0" w:color="auto"/>
            <w:left w:val="none" w:sz="0" w:space="0" w:color="auto"/>
            <w:bottom w:val="none" w:sz="0" w:space="0" w:color="auto"/>
            <w:right w:val="none" w:sz="0" w:space="0" w:color="auto"/>
          </w:divBdr>
        </w:div>
      </w:divsChild>
    </w:div>
    <w:div w:id="707679604">
      <w:bodyDiv w:val="1"/>
      <w:marLeft w:val="0"/>
      <w:marRight w:val="0"/>
      <w:marTop w:val="0"/>
      <w:marBottom w:val="0"/>
      <w:divBdr>
        <w:top w:val="none" w:sz="0" w:space="0" w:color="auto"/>
        <w:left w:val="none" w:sz="0" w:space="0" w:color="auto"/>
        <w:bottom w:val="none" w:sz="0" w:space="0" w:color="auto"/>
        <w:right w:val="none" w:sz="0" w:space="0" w:color="auto"/>
      </w:divBdr>
    </w:div>
    <w:div w:id="721372007">
      <w:bodyDiv w:val="1"/>
      <w:marLeft w:val="0"/>
      <w:marRight w:val="0"/>
      <w:marTop w:val="0"/>
      <w:marBottom w:val="0"/>
      <w:divBdr>
        <w:top w:val="none" w:sz="0" w:space="0" w:color="auto"/>
        <w:left w:val="none" w:sz="0" w:space="0" w:color="auto"/>
        <w:bottom w:val="none" w:sz="0" w:space="0" w:color="auto"/>
        <w:right w:val="none" w:sz="0" w:space="0" w:color="auto"/>
      </w:divBdr>
    </w:div>
    <w:div w:id="744187834">
      <w:bodyDiv w:val="1"/>
      <w:marLeft w:val="0"/>
      <w:marRight w:val="0"/>
      <w:marTop w:val="0"/>
      <w:marBottom w:val="0"/>
      <w:divBdr>
        <w:top w:val="none" w:sz="0" w:space="0" w:color="auto"/>
        <w:left w:val="none" w:sz="0" w:space="0" w:color="auto"/>
        <w:bottom w:val="none" w:sz="0" w:space="0" w:color="auto"/>
        <w:right w:val="none" w:sz="0" w:space="0" w:color="auto"/>
      </w:divBdr>
    </w:div>
    <w:div w:id="770586147">
      <w:bodyDiv w:val="1"/>
      <w:marLeft w:val="0"/>
      <w:marRight w:val="0"/>
      <w:marTop w:val="0"/>
      <w:marBottom w:val="0"/>
      <w:divBdr>
        <w:top w:val="none" w:sz="0" w:space="0" w:color="auto"/>
        <w:left w:val="none" w:sz="0" w:space="0" w:color="auto"/>
        <w:bottom w:val="none" w:sz="0" w:space="0" w:color="auto"/>
        <w:right w:val="none" w:sz="0" w:space="0" w:color="auto"/>
      </w:divBdr>
    </w:div>
    <w:div w:id="790785130">
      <w:bodyDiv w:val="1"/>
      <w:marLeft w:val="0"/>
      <w:marRight w:val="0"/>
      <w:marTop w:val="0"/>
      <w:marBottom w:val="0"/>
      <w:divBdr>
        <w:top w:val="none" w:sz="0" w:space="0" w:color="auto"/>
        <w:left w:val="none" w:sz="0" w:space="0" w:color="auto"/>
        <w:bottom w:val="none" w:sz="0" w:space="0" w:color="auto"/>
        <w:right w:val="none" w:sz="0" w:space="0" w:color="auto"/>
      </w:divBdr>
    </w:div>
    <w:div w:id="793016265">
      <w:bodyDiv w:val="1"/>
      <w:marLeft w:val="0"/>
      <w:marRight w:val="0"/>
      <w:marTop w:val="0"/>
      <w:marBottom w:val="0"/>
      <w:divBdr>
        <w:top w:val="none" w:sz="0" w:space="0" w:color="auto"/>
        <w:left w:val="none" w:sz="0" w:space="0" w:color="auto"/>
        <w:bottom w:val="none" w:sz="0" w:space="0" w:color="auto"/>
        <w:right w:val="none" w:sz="0" w:space="0" w:color="auto"/>
      </w:divBdr>
    </w:div>
    <w:div w:id="793912273">
      <w:bodyDiv w:val="1"/>
      <w:marLeft w:val="0"/>
      <w:marRight w:val="0"/>
      <w:marTop w:val="0"/>
      <w:marBottom w:val="0"/>
      <w:divBdr>
        <w:top w:val="none" w:sz="0" w:space="0" w:color="auto"/>
        <w:left w:val="none" w:sz="0" w:space="0" w:color="auto"/>
        <w:bottom w:val="none" w:sz="0" w:space="0" w:color="auto"/>
        <w:right w:val="none" w:sz="0" w:space="0" w:color="auto"/>
      </w:divBdr>
      <w:divsChild>
        <w:div w:id="309987089">
          <w:marLeft w:val="0"/>
          <w:marRight w:val="0"/>
          <w:marTop w:val="0"/>
          <w:marBottom w:val="0"/>
          <w:divBdr>
            <w:top w:val="none" w:sz="0" w:space="0" w:color="auto"/>
            <w:left w:val="none" w:sz="0" w:space="0" w:color="auto"/>
            <w:bottom w:val="none" w:sz="0" w:space="0" w:color="auto"/>
            <w:right w:val="none" w:sz="0" w:space="0" w:color="auto"/>
          </w:divBdr>
        </w:div>
      </w:divsChild>
    </w:div>
    <w:div w:id="850988831">
      <w:bodyDiv w:val="1"/>
      <w:marLeft w:val="0"/>
      <w:marRight w:val="0"/>
      <w:marTop w:val="0"/>
      <w:marBottom w:val="0"/>
      <w:divBdr>
        <w:top w:val="none" w:sz="0" w:space="0" w:color="auto"/>
        <w:left w:val="none" w:sz="0" w:space="0" w:color="auto"/>
        <w:bottom w:val="none" w:sz="0" w:space="0" w:color="auto"/>
        <w:right w:val="none" w:sz="0" w:space="0" w:color="auto"/>
      </w:divBdr>
    </w:div>
    <w:div w:id="855268765">
      <w:bodyDiv w:val="1"/>
      <w:marLeft w:val="0"/>
      <w:marRight w:val="0"/>
      <w:marTop w:val="0"/>
      <w:marBottom w:val="0"/>
      <w:divBdr>
        <w:top w:val="none" w:sz="0" w:space="0" w:color="auto"/>
        <w:left w:val="none" w:sz="0" w:space="0" w:color="auto"/>
        <w:bottom w:val="none" w:sz="0" w:space="0" w:color="auto"/>
        <w:right w:val="none" w:sz="0" w:space="0" w:color="auto"/>
      </w:divBdr>
      <w:divsChild>
        <w:div w:id="888298630">
          <w:marLeft w:val="0"/>
          <w:marRight w:val="0"/>
          <w:marTop w:val="0"/>
          <w:marBottom w:val="0"/>
          <w:divBdr>
            <w:top w:val="none" w:sz="0" w:space="0" w:color="auto"/>
            <w:left w:val="none" w:sz="0" w:space="0" w:color="auto"/>
            <w:bottom w:val="none" w:sz="0" w:space="0" w:color="auto"/>
            <w:right w:val="none" w:sz="0" w:space="0" w:color="auto"/>
          </w:divBdr>
        </w:div>
      </w:divsChild>
    </w:div>
    <w:div w:id="883249157">
      <w:bodyDiv w:val="1"/>
      <w:marLeft w:val="0"/>
      <w:marRight w:val="0"/>
      <w:marTop w:val="0"/>
      <w:marBottom w:val="0"/>
      <w:divBdr>
        <w:top w:val="none" w:sz="0" w:space="0" w:color="auto"/>
        <w:left w:val="none" w:sz="0" w:space="0" w:color="auto"/>
        <w:bottom w:val="none" w:sz="0" w:space="0" w:color="auto"/>
        <w:right w:val="none" w:sz="0" w:space="0" w:color="auto"/>
      </w:divBdr>
      <w:divsChild>
        <w:div w:id="885065676">
          <w:marLeft w:val="0"/>
          <w:marRight w:val="0"/>
          <w:marTop w:val="0"/>
          <w:marBottom w:val="0"/>
          <w:divBdr>
            <w:top w:val="none" w:sz="0" w:space="0" w:color="auto"/>
            <w:left w:val="none" w:sz="0" w:space="0" w:color="auto"/>
            <w:bottom w:val="none" w:sz="0" w:space="0" w:color="auto"/>
            <w:right w:val="none" w:sz="0" w:space="0" w:color="auto"/>
          </w:divBdr>
        </w:div>
      </w:divsChild>
    </w:div>
    <w:div w:id="895353584">
      <w:bodyDiv w:val="1"/>
      <w:marLeft w:val="0"/>
      <w:marRight w:val="0"/>
      <w:marTop w:val="0"/>
      <w:marBottom w:val="0"/>
      <w:divBdr>
        <w:top w:val="none" w:sz="0" w:space="0" w:color="auto"/>
        <w:left w:val="none" w:sz="0" w:space="0" w:color="auto"/>
        <w:bottom w:val="none" w:sz="0" w:space="0" w:color="auto"/>
        <w:right w:val="none" w:sz="0" w:space="0" w:color="auto"/>
      </w:divBdr>
      <w:divsChild>
        <w:div w:id="1537042644">
          <w:marLeft w:val="0"/>
          <w:marRight w:val="0"/>
          <w:marTop w:val="0"/>
          <w:marBottom w:val="0"/>
          <w:divBdr>
            <w:top w:val="none" w:sz="0" w:space="0" w:color="auto"/>
            <w:left w:val="none" w:sz="0" w:space="0" w:color="auto"/>
            <w:bottom w:val="none" w:sz="0" w:space="0" w:color="auto"/>
            <w:right w:val="none" w:sz="0" w:space="0" w:color="auto"/>
          </w:divBdr>
          <w:divsChild>
            <w:div w:id="441656678">
              <w:marLeft w:val="0"/>
              <w:marRight w:val="0"/>
              <w:marTop w:val="0"/>
              <w:marBottom w:val="0"/>
              <w:divBdr>
                <w:top w:val="none" w:sz="0" w:space="0" w:color="auto"/>
                <w:left w:val="none" w:sz="0" w:space="0" w:color="auto"/>
                <w:bottom w:val="none" w:sz="0" w:space="0" w:color="auto"/>
                <w:right w:val="none" w:sz="0" w:space="0" w:color="auto"/>
              </w:divBdr>
            </w:div>
            <w:div w:id="10552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654">
      <w:bodyDiv w:val="1"/>
      <w:marLeft w:val="0"/>
      <w:marRight w:val="0"/>
      <w:marTop w:val="0"/>
      <w:marBottom w:val="0"/>
      <w:divBdr>
        <w:top w:val="none" w:sz="0" w:space="0" w:color="auto"/>
        <w:left w:val="none" w:sz="0" w:space="0" w:color="auto"/>
        <w:bottom w:val="none" w:sz="0" w:space="0" w:color="auto"/>
        <w:right w:val="none" w:sz="0" w:space="0" w:color="auto"/>
      </w:divBdr>
    </w:div>
    <w:div w:id="931166356">
      <w:bodyDiv w:val="1"/>
      <w:marLeft w:val="0"/>
      <w:marRight w:val="0"/>
      <w:marTop w:val="0"/>
      <w:marBottom w:val="0"/>
      <w:divBdr>
        <w:top w:val="none" w:sz="0" w:space="0" w:color="auto"/>
        <w:left w:val="none" w:sz="0" w:space="0" w:color="auto"/>
        <w:bottom w:val="none" w:sz="0" w:space="0" w:color="auto"/>
        <w:right w:val="none" w:sz="0" w:space="0" w:color="auto"/>
      </w:divBdr>
    </w:div>
    <w:div w:id="943154821">
      <w:bodyDiv w:val="1"/>
      <w:marLeft w:val="0"/>
      <w:marRight w:val="0"/>
      <w:marTop w:val="0"/>
      <w:marBottom w:val="0"/>
      <w:divBdr>
        <w:top w:val="none" w:sz="0" w:space="0" w:color="auto"/>
        <w:left w:val="none" w:sz="0" w:space="0" w:color="auto"/>
        <w:bottom w:val="none" w:sz="0" w:space="0" w:color="auto"/>
        <w:right w:val="none" w:sz="0" w:space="0" w:color="auto"/>
      </w:divBdr>
    </w:div>
    <w:div w:id="949629826">
      <w:bodyDiv w:val="1"/>
      <w:marLeft w:val="0"/>
      <w:marRight w:val="0"/>
      <w:marTop w:val="0"/>
      <w:marBottom w:val="0"/>
      <w:divBdr>
        <w:top w:val="none" w:sz="0" w:space="0" w:color="auto"/>
        <w:left w:val="none" w:sz="0" w:space="0" w:color="auto"/>
        <w:bottom w:val="none" w:sz="0" w:space="0" w:color="auto"/>
        <w:right w:val="none" w:sz="0" w:space="0" w:color="auto"/>
      </w:divBdr>
      <w:divsChild>
        <w:div w:id="1863934387">
          <w:marLeft w:val="0"/>
          <w:marRight w:val="0"/>
          <w:marTop w:val="0"/>
          <w:marBottom w:val="0"/>
          <w:divBdr>
            <w:top w:val="none" w:sz="0" w:space="0" w:color="auto"/>
            <w:left w:val="none" w:sz="0" w:space="0" w:color="auto"/>
            <w:bottom w:val="none" w:sz="0" w:space="0" w:color="auto"/>
            <w:right w:val="none" w:sz="0" w:space="0" w:color="auto"/>
          </w:divBdr>
        </w:div>
      </w:divsChild>
    </w:div>
    <w:div w:id="975258922">
      <w:bodyDiv w:val="1"/>
      <w:marLeft w:val="0"/>
      <w:marRight w:val="0"/>
      <w:marTop w:val="0"/>
      <w:marBottom w:val="0"/>
      <w:divBdr>
        <w:top w:val="none" w:sz="0" w:space="0" w:color="auto"/>
        <w:left w:val="none" w:sz="0" w:space="0" w:color="auto"/>
        <w:bottom w:val="none" w:sz="0" w:space="0" w:color="auto"/>
        <w:right w:val="none" w:sz="0" w:space="0" w:color="auto"/>
      </w:divBdr>
    </w:div>
    <w:div w:id="1016494119">
      <w:bodyDiv w:val="1"/>
      <w:marLeft w:val="0"/>
      <w:marRight w:val="0"/>
      <w:marTop w:val="0"/>
      <w:marBottom w:val="0"/>
      <w:divBdr>
        <w:top w:val="none" w:sz="0" w:space="0" w:color="auto"/>
        <w:left w:val="none" w:sz="0" w:space="0" w:color="auto"/>
        <w:bottom w:val="none" w:sz="0" w:space="0" w:color="auto"/>
        <w:right w:val="none" w:sz="0" w:space="0" w:color="auto"/>
      </w:divBdr>
    </w:div>
    <w:div w:id="1017197459">
      <w:bodyDiv w:val="1"/>
      <w:marLeft w:val="0"/>
      <w:marRight w:val="0"/>
      <w:marTop w:val="0"/>
      <w:marBottom w:val="0"/>
      <w:divBdr>
        <w:top w:val="none" w:sz="0" w:space="0" w:color="auto"/>
        <w:left w:val="none" w:sz="0" w:space="0" w:color="auto"/>
        <w:bottom w:val="none" w:sz="0" w:space="0" w:color="auto"/>
        <w:right w:val="none" w:sz="0" w:space="0" w:color="auto"/>
      </w:divBdr>
      <w:divsChild>
        <w:div w:id="1325013175">
          <w:marLeft w:val="0"/>
          <w:marRight w:val="0"/>
          <w:marTop w:val="0"/>
          <w:marBottom w:val="0"/>
          <w:divBdr>
            <w:top w:val="none" w:sz="0" w:space="0" w:color="auto"/>
            <w:left w:val="none" w:sz="0" w:space="0" w:color="auto"/>
            <w:bottom w:val="none" w:sz="0" w:space="0" w:color="auto"/>
            <w:right w:val="none" w:sz="0" w:space="0" w:color="auto"/>
          </w:divBdr>
        </w:div>
      </w:divsChild>
    </w:div>
    <w:div w:id="1033075472">
      <w:bodyDiv w:val="1"/>
      <w:marLeft w:val="0"/>
      <w:marRight w:val="0"/>
      <w:marTop w:val="0"/>
      <w:marBottom w:val="0"/>
      <w:divBdr>
        <w:top w:val="none" w:sz="0" w:space="0" w:color="auto"/>
        <w:left w:val="none" w:sz="0" w:space="0" w:color="auto"/>
        <w:bottom w:val="none" w:sz="0" w:space="0" w:color="auto"/>
        <w:right w:val="none" w:sz="0" w:space="0" w:color="auto"/>
      </w:divBdr>
    </w:div>
    <w:div w:id="1036467963">
      <w:bodyDiv w:val="1"/>
      <w:marLeft w:val="0"/>
      <w:marRight w:val="0"/>
      <w:marTop w:val="0"/>
      <w:marBottom w:val="0"/>
      <w:divBdr>
        <w:top w:val="none" w:sz="0" w:space="0" w:color="auto"/>
        <w:left w:val="none" w:sz="0" w:space="0" w:color="auto"/>
        <w:bottom w:val="none" w:sz="0" w:space="0" w:color="auto"/>
        <w:right w:val="none" w:sz="0" w:space="0" w:color="auto"/>
      </w:divBdr>
      <w:divsChild>
        <w:div w:id="386339274">
          <w:marLeft w:val="0"/>
          <w:marRight w:val="0"/>
          <w:marTop w:val="0"/>
          <w:marBottom w:val="0"/>
          <w:divBdr>
            <w:top w:val="none" w:sz="0" w:space="0" w:color="auto"/>
            <w:left w:val="none" w:sz="0" w:space="0" w:color="auto"/>
            <w:bottom w:val="none" w:sz="0" w:space="0" w:color="auto"/>
            <w:right w:val="none" w:sz="0" w:space="0" w:color="auto"/>
          </w:divBdr>
          <w:divsChild>
            <w:div w:id="1700467817">
              <w:marLeft w:val="0"/>
              <w:marRight w:val="0"/>
              <w:marTop w:val="0"/>
              <w:marBottom w:val="0"/>
              <w:divBdr>
                <w:top w:val="none" w:sz="0" w:space="0" w:color="auto"/>
                <w:left w:val="none" w:sz="0" w:space="0" w:color="auto"/>
                <w:bottom w:val="none" w:sz="0" w:space="0" w:color="auto"/>
                <w:right w:val="none" w:sz="0" w:space="0" w:color="auto"/>
              </w:divBdr>
            </w:div>
          </w:divsChild>
        </w:div>
        <w:div w:id="852039654">
          <w:marLeft w:val="0"/>
          <w:marRight w:val="0"/>
          <w:marTop w:val="0"/>
          <w:marBottom w:val="0"/>
          <w:divBdr>
            <w:top w:val="none" w:sz="0" w:space="0" w:color="auto"/>
            <w:left w:val="none" w:sz="0" w:space="0" w:color="auto"/>
            <w:bottom w:val="none" w:sz="0" w:space="0" w:color="auto"/>
            <w:right w:val="none" w:sz="0" w:space="0" w:color="auto"/>
          </w:divBdr>
          <w:divsChild>
            <w:div w:id="32191326">
              <w:marLeft w:val="0"/>
              <w:marRight w:val="0"/>
              <w:marTop w:val="0"/>
              <w:marBottom w:val="0"/>
              <w:divBdr>
                <w:top w:val="none" w:sz="0" w:space="0" w:color="auto"/>
                <w:left w:val="none" w:sz="0" w:space="0" w:color="auto"/>
                <w:bottom w:val="none" w:sz="0" w:space="0" w:color="auto"/>
                <w:right w:val="none" w:sz="0" w:space="0" w:color="auto"/>
              </w:divBdr>
            </w:div>
          </w:divsChild>
        </w:div>
        <w:div w:id="1954819865">
          <w:marLeft w:val="0"/>
          <w:marRight w:val="0"/>
          <w:marTop w:val="0"/>
          <w:marBottom w:val="0"/>
          <w:divBdr>
            <w:top w:val="none" w:sz="0" w:space="0" w:color="auto"/>
            <w:left w:val="none" w:sz="0" w:space="0" w:color="auto"/>
            <w:bottom w:val="none" w:sz="0" w:space="0" w:color="auto"/>
            <w:right w:val="none" w:sz="0" w:space="0" w:color="auto"/>
          </w:divBdr>
          <w:divsChild>
            <w:div w:id="18230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954">
      <w:bodyDiv w:val="1"/>
      <w:marLeft w:val="0"/>
      <w:marRight w:val="0"/>
      <w:marTop w:val="0"/>
      <w:marBottom w:val="0"/>
      <w:divBdr>
        <w:top w:val="none" w:sz="0" w:space="0" w:color="auto"/>
        <w:left w:val="none" w:sz="0" w:space="0" w:color="auto"/>
        <w:bottom w:val="none" w:sz="0" w:space="0" w:color="auto"/>
        <w:right w:val="none" w:sz="0" w:space="0" w:color="auto"/>
      </w:divBdr>
    </w:div>
    <w:div w:id="1104692855">
      <w:bodyDiv w:val="1"/>
      <w:marLeft w:val="0"/>
      <w:marRight w:val="0"/>
      <w:marTop w:val="0"/>
      <w:marBottom w:val="0"/>
      <w:divBdr>
        <w:top w:val="none" w:sz="0" w:space="0" w:color="auto"/>
        <w:left w:val="none" w:sz="0" w:space="0" w:color="auto"/>
        <w:bottom w:val="none" w:sz="0" w:space="0" w:color="auto"/>
        <w:right w:val="none" w:sz="0" w:space="0" w:color="auto"/>
      </w:divBdr>
    </w:div>
    <w:div w:id="1105341709">
      <w:bodyDiv w:val="1"/>
      <w:marLeft w:val="0"/>
      <w:marRight w:val="0"/>
      <w:marTop w:val="0"/>
      <w:marBottom w:val="0"/>
      <w:divBdr>
        <w:top w:val="none" w:sz="0" w:space="0" w:color="auto"/>
        <w:left w:val="none" w:sz="0" w:space="0" w:color="auto"/>
        <w:bottom w:val="none" w:sz="0" w:space="0" w:color="auto"/>
        <w:right w:val="none" w:sz="0" w:space="0" w:color="auto"/>
      </w:divBdr>
    </w:div>
    <w:div w:id="1122574566">
      <w:bodyDiv w:val="1"/>
      <w:marLeft w:val="0"/>
      <w:marRight w:val="0"/>
      <w:marTop w:val="0"/>
      <w:marBottom w:val="0"/>
      <w:divBdr>
        <w:top w:val="none" w:sz="0" w:space="0" w:color="auto"/>
        <w:left w:val="none" w:sz="0" w:space="0" w:color="auto"/>
        <w:bottom w:val="none" w:sz="0" w:space="0" w:color="auto"/>
        <w:right w:val="none" w:sz="0" w:space="0" w:color="auto"/>
      </w:divBdr>
      <w:divsChild>
        <w:div w:id="679354896">
          <w:marLeft w:val="0"/>
          <w:marRight w:val="0"/>
          <w:marTop w:val="0"/>
          <w:marBottom w:val="0"/>
          <w:divBdr>
            <w:top w:val="none" w:sz="0" w:space="0" w:color="auto"/>
            <w:left w:val="none" w:sz="0" w:space="0" w:color="auto"/>
            <w:bottom w:val="none" w:sz="0" w:space="0" w:color="auto"/>
            <w:right w:val="none" w:sz="0" w:space="0" w:color="auto"/>
          </w:divBdr>
        </w:div>
      </w:divsChild>
    </w:div>
    <w:div w:id="1128820538">
      <w:bodyDiv w:val="1"/>
      <w:marLeft w:val="0"/>
      <w:marRight w:val="0"/>
      <w:marTop w:val="0"/>
      <w:marBottom w:val="0"/>
      <w:divBdr>
        <w:top w:val="none" w:sz="0" w:space="0" w:color="auto"/>
        <w:left w:val="none" w:sz="0" w:space="0" w:color="auto"/>
        <w:bottom w:val="none" w:sz="0" w:space="0" w:color="auto"/>
        <w:right w:val="none" w:sz="0" w:space="0" w:color="auto"/>
      </w:divBdr>
      <w:divsChild>
        <w:div w:id="546532824">
          <w:marLeft w:val="0"/>
          <w:marRight w:val="0"/>
          <w:marTop w:val="0"/>
          <w:marBottom w:val="0"/>
          <w:divBdr>
            <w:top w:val="none" w:sz="0" w:space="0" w:color="auto"/>
            <w:left w:val="none" w:sz="0" w:space="0" w:color="auto"/>
            <w:bottom w:val="none" w:sz="0" w:space="0" w:color="auto"/>
            <w:right w:val="none" w:sz="0" w:space="0" w:color="auto"/>
          </w:divBdr>
          <w:divsChild>
            <w:div w:id="1260916928">
              <w:marLeft w:val="0"/>
              <w:marRight w:val="0"/>
              <w:marTop w:val="0"/>
              <w:marBottom w:val="0"/>
              <w:divBdr>
                <w:top w:val="none" w:sz="0" w:space="0" w:color="auto"/>
                <w:left w:val="none" w:sz="0" w:space="0" w:color="auto"/>
                <w:bottom w:val="none" w:sz="0" w:space="0" w:color="auto"/>
                <w:right w:val="none" w:sz="0" w:space="0" w:color="auto"/>
              </w:divBdr>
            </w:div>
          </w:divsChild>
        </w:div>
        <w:div w:id="1617251059">
          <w:marLeft w:val="0"/>
          <w:marRight w:val="0"/>
          <w:marTop w:val="0"/>
          <w:marBottom w:val="0"/>
          <w:divBdr>
            <w:top w:val="none" w:sz="0" w:space="0" w:color="auto"/>
            <w:left w:val="none" w:sz="0" w:space="0" w:color="auto"/>
            <w:bottom w:val="none" w:sz="0" w:space="0" w:color="auto"/>
            <w:right w:val="none" w:sz="0" w:space="0" w:color="auto"/>
          </w:divBdr>
          <w:divsChild>
            <w:div w:id="597181437">
              <w:marLeft w:val="0"/>
              <w:marRight w:val="0"/>
              <w:marTop w:val="0"/>
              <w:marBottom w:val="0"/>
              <w:divBdr>
                <w:top w:val="none" w:sz="0" w:space="0" w:color="auto"/>
                <w:left w:val="none" w:sz="0" w:space="0" w:color="auto"/>
                <w:bottom w:val="none" w:sz="0" w:space="0" w:color="auto"/>
                <w:right w:val="none" w:sz="0" w:space="0" w:color="auto"/>
              </w:divBdr>
            </w:div>
          </w:divsChild>
        </w:div>
        <w:div w:id="1793549938">
          <w:marLeft w:val="0"/>
          <w:marRight w:val="0"/>
          <w:marTop w:val="0"/>
          <w:marBottom w:val="0"/>
          <w:divBdr>
            <w:top w:val="none" w:sz="0" w:space="0" w:color="auto"/>
            <w:left w:val="none" w:sz="0" w:space="0" w:color="auto"/>
            <w:bottom w:val="none" w:sz="0" w:space="0" w:color="auto"/>
            <w:right w:val="none" w:sz="0" w:space="0" w:color="auto"/>
          </w:divBdr>
          <w:divsChild>
            <w:div w:id="4556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574">
      <w:bodyDiv w:val="1"/>
      <w:marLeft w:val="0"/>
      <w:marRight w:val="0"/>
      <w:marTop w:val="0"/>
      <w:marBottom w:val="0"/>
      <w:divBdr>
        <w:top w:val="none" w:sz="0" w:space="0" w:color="auto"/>
        <w:left w:val="none" w:sz="0" w:space="0" w:color="auto"/>
        <w:bottom w:val="none" w:sz="0" w:space="0" w:color="auto"/>
        <w:right w:val="none" w:sz="0" w:space="0" w:color="auto"/>
      </w:divBdr>
    </w:div>
    <w:div w:id="1178348211">
      <w:bodyDiv w:val="1"/>
      <w:marLeft w:val="0"/>
      <w:marRight w:val="0"/>
      <w:marTop w:val="0"/>
      <w:marBottom w:val="0"/>
      <w:divBdr>
        <w:top w:val="none" w:sz="0" w:space="0" w:color="auto"/>
        <w:left w:val="none" w:sz="0" w:space="0" w:color="auto"/>
        <w:bottom w:val="none" w:sz="0" w:space="0" w:color="auto"/>
        <w:right w:val="none" w:sz="0" w:space="0" w:color="auto"/>
      </w:divBdr>
      <w:divsChild>
        <w:div w:id="438570827">
          <w:marLeft w:val="0"/>
          <w:marRight w:val="0"/>
          <w:marTop w:val="0"/>
          <w:marBottom w:val="0"/>
          <w:divBdr>
            <w:top w:val="none" w:sz="0" w:space="0" w:color="auto"/>
            <w:left w:val="none" w:sz="0" w:space="0" w:color="auto"/>
            <w:bottom w:val="none" w:sz="0" w:space="0" w:color="auto"/>
            <w:right w:val="none" w:sz="0" w:space="0" w:color="auto"/>
          </w:divBdr>
        </w:div>
        <w:div w:id="694891798">
          <w:marLeft w:val="0"/>
          <w:marRight w:val="0"/>
          <w:marTop w:val="0"/>
          <w:marBottom w:val="0"/>
          <w:divBdr>
            <w:top w:val="none" w:sz="0" w:space="0" w:color="auto"/>
            <w:left w:val="none" w:sz="0" w:space="0" w:color="auto"/>
            <w:bottom w:val="none" w:sz="0" w:space="0" w:color="auto"/>
            <w:right w:val="none" w:sz="0" w:space="0" w:color="auto"/>
          </w:divBdr>
        </w:div>
      </w:divsChild>
    </w:div>
    <w:div w:id="1184515186">
      <w:bodyDiv w:val="1"/>
      <w:marLeft w:val="0"/>
      <w:marRight w:val="0"/>
      <w:marTop w:val="0"/>
      <w:marBottom w:val="0"/>
      <w:divBdr>
        <w:top w:val="none" w:sz="0" w:space="0" w:color="auto"/>
        <w:left w:val="none" w:sz="0" w:space="0" w:color="auto"/>
        <w:bottom w:val="none" w:sz="0" w:space="0" w:color="auto"/>
        <w:right w:val="none" w:sz="0" w:space="0" w:color="auto"/>
      </w:divBdr>
      <w:divsChild>
        <w:div w:id="487867132">
          <w:marLeft w:val="0"/>
          <w:marRight w:val="0"/>
          <w:marTop w:val="0"/>
          <w:marBottom w:val="0"/>
          <w:divBdr>
            <w:top w:val="none" w:sz="0" w:space="0" w:color="auto"/>
            <w:left w:val="none" w:sz="0" w:space="0" w:color="auto"/>
            <w:bottom w:val="none" w:sz="0" w:space="0" w:color="auto"/>
            <w:right w:val="none" w:sz="0" w:space="0" w:color="auto"/>
          </w:divBdr>
        </w:div>
      </w:divsChild>
    </w:div>
    <w:div w:id="1249340428">
      <w:bodyDiv w:val="1"/>
      <w:marLeft w:val="0"/>
      <w:marRight w:val="0"/>
      <w:marTop w:val="0"/>
      <w:marBottom w:val="0"/>
      <w:divBdr>
        <w:top w:val="none" w:sz="0" w:space="0" w:color="auto"/>
        <w:left w:val="none" w:sz="0" w:space="0" w:color="auto"/>
        <w:bottom w:val="none" w:sz="0" w:space="0" w:color="auto"/>
        <w:right w:val="none" w:sz="0" w:space="0" w:color="auto"/>
      </w:divBdr>
      <w:divsChild>
        <w:div w:id="67191961">
          <w:marLeft w:val="0"/>
          <w:marRight w:val="0"/>
          <w:marTop w:val="0"/>
          <w:marBottom w:val="0"/>
          <w:divBdr>
            <w:top w:val="none" w:sz="0" w:space="0" w:color="auto"/>
            <w:left w:val="none" w:sz="0" w:space="0" w:color="auto"/>
            <w:bottom w:val="none" w:sz="0" w:space="0" w:color="auto"/>
            <w:right w:val="none" w:sz="0" w:space="0" w:color="auto"/>
          </w:divBdr>
        </w:div>
        <w:div w:id="186875499">
          <w:marLeft w:val="0"/>
          <w:marRight w:val="0"/>
          <w:marTop w:val="0"/>
          <w:marBottom w:val="0"/>
          <w:divBdr>
            <w:top w:val="none" w:sz="0" w:space="0" w:color="auto"/>
            <w:left w:val="none" w:sz="0" w:space="0" w:color="auto"/>
            <w:bottom w:val="none" w:sz="0" w:space="0" w:color="auto"/>
            <w:right w:val="none" w:sz="0" w:space="0" w:color="auto"/>
          </w:divBdr>
        </w:div>
        <w:div w:id="478349560">
          <w:marLeft w:val="0"/>
          <w:marRight w:val="0"/>
          <w:marTop w:val="0"/>
          <w:marBottom w:val="0"/>
          <w:divBdr>
            <w:top w:val="none" w:sz="0" w:space="0" w:color="auto"/>
            <w:left w:val="none" w:sz="0" w:space="0" w:color="auto"/>
            <w:bottom w:val="none" w:sz="0" w:space="0" w:color="auto"/>
            <w:right w:val="none" w:sz="0" w:space="0" w:color="auto"/>
          </w:divBdr>
        </w:div>
        <w:div w:id="485780231">
          <w:marLeft w:val="0"/>
          <w:marRight w:val="0"/>
          <w:marTop w:val="0"/>
          <w:marBottom w:val="0"/>
          <w:divBdr>
            <w:top w:val="none" w:sz="0" w:space="0" w:color="auto"/>
            <w:left w:val="none" w:sz="0" w:space="0" w:color="auto"/>
            <w:bottom w:val="none" w:sz="0" w:space="0" w:color="auto"/>
            <w:right w:val="none" w:sz="0" w:space="0" w:color="auto"/>
          </w:divBdr>
        </w:div>
        <w:div w:id="522943766">
          <w:marLeft w:val="0"/>
          <w:marRight w:val="0"/>
          <w:marTop w:val="0"/>
          <w:marBottom w:val="0"/>
          <w:divBdr>
            <w:top w:val="none" w:sz="0" w:space="0" w:color="auto"/>
            <w:left w:val="none" w:sz="0" w:space="0" w:color="auto"/>
            <w:bottom w:val="none" w:sz="0" w:space="0" w:color="auto"/>
            <w:right w:val="none" w:sz="0" w:space="0" w:color="auto"/>
          </w:divBdr>
        </w:div>
        <w:div w:id="707992136">
          <w:marLeft w:val="0"/>
          <w:marRight w:val="0"/>
          <w:marTop w:val="0"/>
          <w:marBottom w:val="0"/>
          <w:divBdr>
            <w:top w:val="none" w:sz="0" w:space="0" w:color="auto"/>
            <w:left w:val="none" w:sz="0" w:space="0" w:color="auto"/>
            <w:bottom w:val="none" w:sz="0" w:space="0" w:color="auto"/>
            <w:right w:val="none" w:sz="0" w:space="0" w:color="auto"/>
          </w:divBdr>
        </w:div>
        <w:div w:id="722094041">
          <w:marLeft w:val="0"/>
          <w:marRight w:val="0"/>
          <w:marTop w:val="0"/>
          <w:marBottom w:val="0"/>
          <w:divBdr>
            <w:top w:val="none" w:sz="0" w:space="0" w:color="auto"/>
            <w:left w:val="none" w:sz="0" w:space="0" w:color="auto"/>
            <w:bottom w:val="none" w:sz="0" w:space="0" w:color="auto"/>
            <w:right w:val="none" w:sz="0" w:space="0" w:color="auto"/>
          </w:divBdr>
        </w:div>
        <w:div w:id="781344979">
          <w:marLeft w:val="0"/>
          <w:marRight w:val="0"/>
          <w:marTop w:val="0"/>
          <w:marBottom w:val="0"/>
          <w:divBdr>
            <w:top w:val="none" w:sz="0" w:space="0" w:color="auto"/>
            <w:left w:val="none" w:sz="0" w:space="0" w:color="auto"/>
            <w:bottom w:val="none" w:sz="0" w:space="0" w:color="auto"/>
            <w:right w:val="none" w:sz="0" w:space="0" w:color="auto"/>
          </w:divBdr>
        </w:div>
        <w:div w:id="923758387">
          <w:marLeft w:val="0"/>
          <w:marRight w:val="0"/>
          <w:marTop w:val="0"/>
          <w:marBottom w:val="0"/>
          <w:divBdr>
            <w:top w:val="none" w:sz="0" w:space="0" w:color="auto"/>
            <w:left w:val="none" w:sz="0" w:space="0" w:color="auto"/>
            <w:bottom w:val="none" w:sz="0" w:space="0" w:color="auto"/>
            <w:right w:val="none" w:sz="0" w:space="0" w:color="auto"/>
          </w:divBdr>
        </w:div>
        <w:div w:id="1038286986">
          <w:marLeft w:val="0"/>
          <w:marRight w:val="0"/>
          <w:marTop w:val="0"/>
          <w:marBottom w:val="0"/>
          <w:divBdr>
            <w:top w:val="none" w:sz="0" w:space="0" w:color="auto"/>
            <w:left w:val="none" w:sz="0" w:space="0" w:color="auto"/>
            <w:bottom w:val="none" w:sz="0" w:space="0" w:color="auto"/>
            <w:right w:val="none" w:sz="0" w:space="0" w:color="auto"/>
          </w:divBdr>
        </w:div>
        <w:div w:id="1056515760">
          <w:marLeft w:val="0"/>
          <w:marRight w:val="0"/>
          <w:marTop w:val="0"/>
          <w:marBottom w:val="0"/>
          <w:divBdr>
            <w:top w:val="none" w:sz="0" w:space="0" w:color="auto"/>
            <w:left w:val="none" w:sz="0" w:space="0" w:color="auto"/>
            <w:bottom w:val="none" w:sz="0" w:space="0" w:color="auto"/>
            <w:right w:val="none" w:sz="0" w:space="0" w:color="auto"/>
          </w:divBdr>
        </w:div>
        <w:div w:id="1130905390">
          <w:marLeft w:val="0"/>
          <w:marRight w:val="0"/>
          <w:marTop w:val="0"/>
          <w:marBottom w:val="0"/>
          <w:divBdr>
            <w:top w:val="none" w:sz="0" w:space="0" w:color="auto"/>
            <w:left w:val="none" w:sz="0" w:space="0" w:color="auto"/>
            <w:bottom w:val="none" w:sz="0" w:space="0" w:color="auto"/>
            <w:right w:val="none" w:sz="0" w:space="0" w:color="auto"/>
          </w:divBdr>
        </w:div>
        <w:div w:id="1291665884">
          <w:marLeft w:val="0"/>
          <w:marRight w:val="0"/>
          <w:marTop w:val="0"/>
          <w:marBottom w:val="0"/>
          <w:divBdr>
            <w:top w:val="none" w:sz="0" w:space="0" w:color="auto"/>
            <w:left w:val="none" w:sz="0" w:space="0" w:color="auto"/>
            <w:bottom w:val="none" w:sz="0" w:space="0" w:color="auto"/>
            <w:right w:val="none" w:sz="0" w:space="0" w:color="auto"/>
          </w:divBdr>
        </w:div>
        <w:div w:id="1355034143">
          <w:marLeft w:val="0"/>
          <w:marRight w:val="0"/>
          <w:marTop w:val="0"/>
          <w:marBottom w:val="0"/>
          <w:divBdr>
            <w:top w:val="none" w:sz="0" w:space="0" w:color="auto"/>
            <w:left w:val="none" w:sz="0" w:space="0" w:color="auto"/>
            <w:bottom w:val="none" w:sz="0" w:space="0" w:color="auto"/>
            <w:right w:val="none" w:sz="0" w:space="0" w:color="auto"/>
          </w:divBdr>
        </w:div>
        <w:div w:id="1357542333">
          <w:marLeft w:val="0"/>
          <w:marRight w:val="0"/>
          <w:marTop w:val="0"/>
          <w:marBottom w:val="0"/>
          <w:divBdr>
            <w:top w:val="none" w:sz="0" w:space="0" w:color="auto"/>
            <w:left w:val="none" w:sz="0" w:space="0" w:color="auto"/>
            <w:bottom w:val="none" w:sz="0" w:space="0" w:color="auto"/>
            <w:right w:val="none" w:sz="0" w:space="0" w:color="auto"/>
          </w:divBdr>
        </w:div>
        <w:div w:id="1374960109">
          <w:marLeft w:val="0"/>
          <w:marRight w:val="0"/>
          <w:marTop w:val="0"/>
          <w:marBottom w:val="0"/>
          <w:divBdr>
            <w:top w:val="none" w:sz="0" w:space="0" w:color="auto"/>
            <w:left w:val="none" w:sz="0" w:space="0" w:color="auto"/>
            <w:bottom w:val="none" w:sz="0" w:space="0" w:color="auto"/>
            <w:right w:val="none" w:sz="0" w:space="0" w:color="auto"/>
          </w:divBdr>
        </w:div>
        <w:div w:id="1427993648">
          <w:marLeft w:val="0"/>
          <w:marRight w:val="0"/>
          <w:marTop w:val="0"/>
          <w:marBottom w:val="0"/>
          <w:divBdr>
            <w:top w:val="none" w:sz="0" w:space="0" w:color="auto"/>
            <w:left w:val="none" w:sz="0" w:space="0" w:color="auto"/>
            <w:bottom w:val="none" w:sz="0" w:space="0" w:color="auto"/>
            <w:right w:val="none" w:sz="0" w:space="0" w:color="auto"/>
          </w:divBdr>
        </w:div>
        <w:div w:id="1539246293">
          <w:marLeft w:val="0"/>
          <w:marRight w:val="0"/>
          <w:marTop w:val="0"/>
          <w:marBottom w:val="0"/>
          <w:divBdr>
            <w:top w:val="none" w:sz="0" w:space="0" w:color="auto"/>
            <w:left w:val="none" w:sz="0" w:space="0" w:color="auto"/>
            <w:bottom w:val="none" w:sz="0" w:space="0" w:color="auto"/>
            <w:right w:val="none" w:sz="0" w:space="0" w:color="auto"/>
          </w:divBdr>
        </w:div>
        <w:div w:id="1621182455">
          <w:marLeft w:val="0"/>
          <w:marRight w:val="0"/>
          <w:marTop w:val="0"/>
          <w:marBottom w:val="0"/>
          <w:divBdr>
            <w:top w:val="none" w:sz="0" w:space="0" w:color="auto"/>
            <w:left w:val="none" w:sz="0" w:space="0" w:color="auto"/>
            <w:bottom w:val="none" w:sz="0" w:space="0" w:color="auto"/>
            <w:right w:val="none" w:sz="0" w:space="0" w:color="auto"/>
          </w:divBdr>
        </w:div>
        <w:div w:id="1719158194">
          <w:marLeft w:val="0"/>
          <w:marRight w:val="0"/>
          <w:marTop w:val="0"/>
          <w:marBottom w:val="0"/>
          <w:divBdr>
            <w:top w:val="none" w:sz="0" w:space="0" w:color="auto"/>
            <w:left w:val="none" w:sz="0" w:space="0" w:color="auto"/>
            <w:bottom w:val="none" w:sz="0" w:space="0" w:color="auto"/>
            <w:right w:val="none" w:sz="0" w:space="0" w:color="auto"/>
          </w:divBdr>
        </w:div>
        <w:div w:id="1762529385">
          <w:marLeft w:val="0"/>
          <w:marRight w:val="0"/>
          <w:marTop w:val="0"/>
          <w:marBottom w:val="0"/>
          <w:divBdr>
            <w:top w:val="none" w:sz="0" w:space="0" w:color="auto"/>
            <w:left w:val="none" w:sz="0" w:space="0" w:color="auto"/>
            <w:bottom w:val="none" w:sz="0" w:space="0" w:color="auto"/>
            <w:right w:val="none" w:sz="0" w:space="0" w:color="auto"/>
          </w:divBdr>
        </w:div>
        <w:div w:id="1812673131">
          <w:marLeft w:val="0"/>
          <w:marRight w:val="0"/>
          <w:marTop w:val="0"/>
          <w:marBottom w:val="0"/>
          <w:divBdr>
            <w:top w:val="none" w:sz="0" w:space="0" w:color="auto"/>
            <w:left w:val="none" w:sz="0" w:space="0" w:color="auto"/>
            <w:bottom w:val="none" w:sz="0" w:space="0" w:color="auto"/>
            <w:right w:val="none" w:sz="0" w:space="0" w:color="auto"/>
          </w:divBdr>
        </w:div>
        <w:div w:id="1818377862">
          <w:marLeft w:val="0"/>
          <w:marRight w:val="0"/>
          <w:marTop w:val="0"/>
          <w:marBottom w:val="0"/>
          <w:divBdr>
            <w:top w:val="none" w:sz="0" w:space="0" w:color="auto"/>
            <w:left w:val="none" w:sz="0" w:space="0" w:color="auto"/>
            <w:bottom w:val="none" w:sz="0" w:space="0" w:color="auto"/>
            <w:right w:val="none" w:sz="0" w:space="0" w:color="auto"/>
          </w:divBdr>
        </w:div>
        <w:div w:id="1840005405">
          <w:marLeft w:val="0"/>
          <w:marRight w:val="0"/>
          <w:marTop w:val="0"/>
          <w:marBottom w:val="0"/>
          <w:divBdr>
            <w:top w:val="none" w:sz="0" w:space="0" w:color="auto"/>
            <w:left w:val="none" w:sz="0" w:space="0" w:color="auto"/>
            <w:bottom w:val="none" w:sz="0" w:space="0" w:color="auto"/>
            <w:right w:val="none" w:sz="0" w:space="0" w:color="auto"/>
          </w:divBdr>
        </w:div>
        <w:div w:id="1942102420">
          <w:marLeft w:val="0"/>
          <w:marRight w:val="0"/>
          <w:marTop w:val="0"/>
          <w:marBottom w:val="0"/>
          <w:divBdr>
            <w:top w:val="none" w:sz="0" w:space="0" w:color="auto"/>
            <w:left w:val="none" w:sz="0" w:space="0" w:color="auto"/>
            <w:bottom w:val="none" w:sz="0" w:space="0" w:color="auto"/>
            <w:right w:val="none" w:sz="0" w:space="0" w:color="auto"/>
          </w:divBdr>
        </w:div>
        <w:div w:id="2042709199">
          <w:marLeft w:val="0"/>
          <w:marRight w:val="0"/>
          <w:marTop w:val="0"/>
          <w:marBottom w:val="0"/>
          <w:divBdr>
            <w:top w:val="none" w:sz="0" w:space="0" w:color="auto"/>
            <w:left w:val="none" w:sz="0" w:space="0" w:color="auto"/>
            <w:bottom w:val="none" w:sz="0" w:space="0" w:color="auto"/>
            <w:right w:val="none" w:sz="0" w:space="0" w:color="auto"/>
          </w:divBdr>
        </w:div>
        <w:div w:id="2073851251">
          <w:marLeft w:val="0"/>
          <w:marRight w:val="0"/>
          <w:marTop w:val="0"/>
          <w:marBottom w:val="0"/>
          <w:divBdr>
            <w:top w:val="none" w:sz="0" w:space="0" w:color="auto"/>
            <w:left w:val="none" w:sz="0" w:space="0" w:color="auto"/>
            <w:bottom w:val="none" w:sz="0" w:space="0" w:color="auto"/>
            <w:right w:val="none" w:sz="0" w:space="0" w:color="auto"/>
          </w:divBdr>
        </w:div>
      </w:divsChild>
    </w:div>
    <w:div w:id="1322612299">
      <w:bodyDiv w:val="1"/>
      <w:marLeft w:val="0"/>
      <w:marRight w:val="0"/>
      <w:marTop w:val="0"/>
      <w:marBottom w:val="0"/>
      <w:divBdr>
        <w:top w:val="none" w:sz="0" w:space="0" w:color="auto"/>
        <w:left w:val="none" w:sz="0" w:space="0" w:color="auto"/>
        <w:bottom w:val="none" w:sz="0" w:space="0" w:color="auto"/>
        <w:right w:val="none" w:sz="0" w:space="0" w:color="auto"/>
      </w:divBdr>
    </w:div>
    <w:div w:id="1325815161">
      <w:bodyDiv w:val="1"/>
      <w:marLeft w:val="0"/>
      <w:marRight w:val="0"/>
      <w:marTop w:val="0"/>
      <w:marBottom w:val="0"/>
      <w:divBdr>
        <w:top w:val="none" w:sz="0" w:space="0" w:color="auto"/>
        <w:left w:val="none" w:sz="0" w:space="0" w:color="auto"/>
        <w:bottom w:val="none" w:sz="0" w:space="0" w:color="auto"/>
        <w:right w:val="none" w:sz="0" w:space="0" w:color="auto"/>
      </w:divBdr>
    </w:div>
    <w:div w:id="1468551746">
      <w:bodyDiv w:val="1"/>
      <w:marLeft w:val="0"/>
      <w:marRight w:val="0"/>
      <w:marTop w:val="0"/>
      <w:marBottom w:val="0"/>
      <w:divBdr>
        <w:top w:val="none" w:sz="0" w:space="0" w:color="auto"/>
        <w:left w:val="none" w:sz="0" w:space="0" w:color="auto"/>
        <w:bottom w:val="none" w:sz="0" w:space="0" w:color="auto"/>
        <w:right w:val="none" w:sz="0" w:space="0" w:color="auto"/>
      </w:divBdr>
      <w:divsChild>
        <w:div w:id="1533766586">
          <w:marLeft w:val="0"/>
          <w:marRight w:val="0"/>
          <w:marTop w:val="0"/>
          <w:marBottom w:val="0"/>
          <w:divBdr>
            <w:top w:val="none" w:sz="0" w:space="0" w:color="auto"/>
            <w:left w:val="none" w:sz="0" w:space="0" w:color="auto"/>
            <w:bottom w:val="none" w:sz="0" w:space="0" w:color="auto"/>
            <w:right w:val="none" w:sz="0" w:space="0" w:color="auto"/>
          </w:divBdr>
        </w:div>
      </w:divsChild>
    </w:div>
    <w:div w:id="1504473410">
      <w:bodyDiv w:val="1"/>
      <w:marLeft w:val="0"/>
      <w:marRight w:val="0"/>
      <w:marTop w:val="0"/>
      <w:marBottom w:val="0"/>
      <w:divBdr>
        <w:top w:val="none" w:sz="0" w:space="0" w:color="auto"/>
        <w:left w:val="none" w:sz="0" w:space="0" w:color="auto"/>
        <w:bottom w:val="none" w:sz="0" w:space="0" w:color="auto"/>
        <w:right w:val="none" w:sz="0" w:space="0" w:color="auto"/>
      </w:divBdr>
      <w:divsChild>
        <w:div w:id="2245576">
          <w:marLeft w:val="0"/>
          <w:marRight w:val="0"/>
          <w:marTop w:val="0"/>
          <w:marBottom w:val="0"/>
          <w:divBdr>
            <w:top w:val="none" w:sz="0" w:space="0" w:color="auto"/>
            <w:left w:val="none" w:sz="0" w:space="0" w:color="auto"/>
            <w:bottom w:val="none" w:sz="0" w:space="0" w:color="auto"/>
            <w:right w:val="none" w:sz="0" w:space="0" w:color="auto"/>
          </w:divBdr>
        </w:div>
        <w:div w:id="651639815">
          <w:marLeft w:val="0"/>
          <w:marRight w:val="0"/>
          <w:marTop w:val="0"/>
          <w:marBottom w:val="0"/>
          <w:divBdr>
            <w:top w:val="none" w:sz="0" w:space="0" w:color="auto"/>
            <w:left w:val="none" w:sz="0" w:space="0" w:color="auto"/>
            <w:bottom w:val="none" w:sz="0" w:space="0" w:color="auto"/>
            <w:right w:val="none" w:sz="0" w:space="0" w:color="auto"/>
          </w:divBdr>
        </w:div>
      </w:divsChild>
    </w:div>
    <w:div w:id="1727489021">
      <w:bodyDiv w:val="1"/>
      <w:marLeft w:val="0"/>
      <w:marRight w:val="0"/>
      <w:marTop w:val="0"/>
      <w:marBottom w:val="0"/>
      <w:divBdr>
        <w:top w:val="none" w:sz="0" w:space="0" w:color="auto"/>
        <w:left w:val="none" w:sz="0" w:space="0" w:color="auto"/>
        <w:bottom w:val="none" w:sz="0" w:space="0" w:color="auto"/>
        <w:right w:val="none" w:sz="0" w:space="0" w:color="auto"/>
      </w:divBdr>
    </w:div>
    <w:div w:id="1739286819">
      <w:bodyDiv w:val="1"/>
      <w:marLeft w:val="0"/>
      <w:marRight w:val="0"/>
      <w:marTop w:val="0"/>
      <w:marBottom w:val="0"/>
      <w:divBdr>
        <w:top w:val="none" w:sz="0" w:space="0" w:color="auto"/>
        <w:left w:val="none" w:sz="0" w:space="0" w:color="auto"/>
        <w:bottom w:val="none" w:sz="0" w:space="0" w:color="auto"/>
        <w:right w:val="none" w:sz="0" w:space="0" w:color="auto"/>
      </w:divBdr>
      <w:divsChild>
        <w:div w:id="1551728628">
          <w:marLeft w:val="0"/>
          <w:marRight w:val="0"/>
          <w:marTop w:val="0"/>
          <w:marBottom w:val="0"/>
          <w:divBdr>
            <w:top w:val="none" w:sz="0" w:space="0" w:color="auto"/>
            <w:left w:val="none" w:sz="0" w:space="0" w:color="auto"/>
            <w:bottom w:val="none" w:sz="0" w:space="0" w:color="auto"/>
            <w:right w:val="none" w:sz="0" w:space="0" w:color="auto"/>
          </w:divBdr>
          <w:divsChild>
            <w:div w:id="55327576">
              <w:marLeft w:val="0"/>
              <w:marRight w:val="0"/>
              <w:marTop w:val="0"/>
              <w:marBottom w:val="0"/>
              <w:divBdr>
                <w:top w:val="none" w:sz="0" w:space="0" w:color="auto"/>
                <w:left w:val="none" w:sz="0" w:space="0" w:color="auto"/>
                <w:bottom w:val="none" w:sz="0" w:space="0" w:color="auto"/>
                <w:right w:val="none" w:sz="0" w:space="0" w:color="auto"/>
              </w:divBdr>
              <w:divsChild>
                <w:div w:id="1216895526">
                  <w:marLeft w:val="0"/>
                  <w:marRight w:val="0"/>
                  <w:marTop w:val="0"/>
                  <w:marBottom w:val="0"/>
                  <w:divBdr>
                    <w:top w:val="none" w:sz="0" w:space="0" w:color="auto"/>
                    <w:left w:val="none" w:sz="0" w:space="0" w:color="auto"/>
                    <w:bottom w:val="none" w:sz="0" w:space="0" w:color="auto"/>
                    <w:right w:val="none" w:sz="0" w:space="0" w:color="auto"/>
                  </w:divBdr>
                  <w:divsChild>
                    <w:div w:id="632711541">
                      <w:marLeft w:val="0"/>
                      <w:marRight w:val="0"/>
                      <w:marTop w:val="0"/>
                      <w:marBottom w:val="0"/>
                      <w:divBdr>
                        <w:top w:val="none" w:sz="0" w:space="0" w:color="auto"/>
                        <w:left w:val="none" w:sz="0" w:space="0" w:color="auto"/>
                        <w:bottom w:val="none" w:sz="0" w:space="0" w:color="auto"/>
                        <w:right w:val="none" w:sz="0" w:space="0" w:color="auto"/>
                      </w:divBdr>
                      <w:divsChild>
                        <w:div w:id="19608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7325">
              <w:marLeft w:val="0"/>
              <w:marRight w:val="0"/>
              <w:marTop w:val="0"/>
              <w:marBottom w:val="0"/>
              <w:divBdr>
                <w:top w:val="none" w:sz="0" w:space="0" w:color="auto"/>
                <w:left w:val="none" w:sz="0" w:space="0" w:color="auto"/>
                <w:bottom w:val="none" w:sz="0" w:space="0" w:color="auto"/>
                <w:right w:val="none" w:sz="0" w:space="0" w:color="auto"/>
              </w:divBdr>
              <w:divsChild>
                <w:div w:id="467090324">
                  <w:marLeft w:val="0"/>
                  <w:marRight w:val="0"/>
                  <w:marTop w:val="0"/>
                  <w:marBottom w:val="0"/>
                  <w:divBdr>
                    <w:top w:val="none" w:sz="0" w:space="0" w:color="auto"/>
                    <w:left w:val="none" w:sz="0" w:space="0" w:color="auto"/>
                    <w:bottom w:val="none" w:sz="0" w:space="0" w:color="auto"/>
                    <w:right w:val="none" w:sz="0" w:space="0" w:color="auto"/>
                  </w:divBdr>
                  <w:divsChild>
                    <w:div w:id="49767662">
                      <w:marLeft w:val="0"/>
                      <w:marRight w:val="0"/>
                      <w:marTop w:val="0"/>
                      <w:marBottom w:val="0"/>
                      <w:divBdr>
                        <w:top w:val="none" w:sz="0" w:space="0" w:color="auto"/>
                        <w:left w:val="none" w:sz="0" w:space="0" w:color="auto"/>
                        <w:bottom w:val="none" w:sz="0" w:space="0" w:color="auto"/>
                        <w:right w:val="none" w:sz="0" w:space="0" w:color="auto"/>
                      </w:divBdr>
                      <w:divsChild>
                        <w:div w:id="616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927">
              <w:marLeft w:val="0"/>
              <w:marRight w:val="0"/>
              <w:marTop w:val="0"/>
              <w:marBottom w:val="0"/>
              <w:divBdr>
                <w:top w:val="none" w:sz="0" w:space="0" w:color="auto"/>
                <w:left w:val="none" w:sz="0" w:space="0" w:color="auto"/>
                <w:bottom w:val="none" w:sz="0" w:space="0" w:color="auto"/>
                <w:right w:val="none" w:sz="0" w:space="0" w:color="auto"/>
              </w:divBdr>
              <w:divsChild>
                <w:div w:id="38475602">
                  <w:marLeft w:val="0"/>
                  <w:marRight w:val="0"/>
                  <w:marTop w:val="0"/>
                  <w:marBottom w:val="0"/>
                  <w:divBdr>
                    <w:top w:val="none" w:sz="0" w:space="0" w:color="auto"/>
                    <w:left w:val="none" w:sz="0" w:space="0" w:color="auto"/>
                    <w:bottom w:val="none" w:sz="0" w:space="0" w:color="auto"/>
                    <w:right w:val="none" w:sz="0" w:space="0" w:color="auto"/>
                  </w:divBdr>
                  <w:divsChild>
                    <w:div w:id="2116054934">
                      <w:marLeft w:val="0"/>
                      <w:marRight w:val="0"/>
                      <w:marTop w:val="0"/>
                      <w:marBottom w:val="0"/>
                      <w:divBdr>
                        <w:top w:val="none" w:sz="0" w:space="0" w:color="auto"/>
                        <w:left w:val="none" w:sz="0" w:space="0" w:color="auto"/>
                        <w:bottom w:val="none" w:sz="0" w:space="0" w:color="auto"/>
                        <w:right w:val="none" w:sz="0" w:space="0" w:color="auto"/>
                      </w:divBdr>
                      <w:divsChild>
                        <w:div w:id="6405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681">
              <w:marLeft w:val="0"/>
              <w:marRight w:val="0"/>
              <w:marTop w:val="0"/>
              <w:marBottom w:val="0"/>
              <w:divBdr>
                <w:top w:val="none" w:sz="0" w:space="0" w:color="auto"/>
                <w:left w:val="none" w:sz="0" w:space="0" w:color="auto"/>
                <w:bottom w:val="none" w:sz="0" w:space="0" w:color="auto"/>
                <w:right w:val="none" w:sz="0" w:space="0" w:color="auto"/>
              </w:divBdr>
            </w:div>
            <w:div w:id="955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897">
      <w:bodyDiv w:val="1"/>
      <w:marLeft w:val="0"/>
      <w:marRight w:val="0"/>
      <w:marTop w:val="0"/>
      <w:marBottom w:val="0"/>
      <w:divBdr>
        <w:top w:val="none" w:sz="0" w:space="0" w:color="auto"/>
        <w:left w:val="none" w:sz="0" w:space="0" w:color="auto"/>
        <w:bottom w:val="none" w:sz="0" w:space="0" w:color="auto"/>
        <w:right w:val="none" w:sz="0" w:space="0" w:color="auto"/>
      </w:divBdr>
    </w:div>
    <w:div w:id="1811971967">
      <w:bodyDiv w:val="1"/>
      <w:marLeft w:val="0"/>
      <w:marRight w:val="0"/>
      <w:marTop w:val="0"/>
      <w:marBottom w:val="0"/>
      <w:divBdr>
        <w:top w:val="none" w:sz="0" w:space="0" w:color="auto"/>
        <w:left w:val="none" w:sz="0" w:space="0" w:color="auto"/>
        <w:bottom w:val="none" w:sz="0" w:space="0" w:color="auto"/>
        <w:right w:val="none" w:sz="0" w:space="0" w:color="auto"/>
      </w:divBdr>
      <w:divsChild>
        <w:div w:id="113138672">
          <w:marLeft w:val="0"/>
          <w:marRight w:val="0"/>
          <w:marTop w:val="0"/>
          <w:marBottom w:val="0"/>
          <w:divBdr>
            <w:top w:val="none" w:sz="0" w:space="0" w:color="auto"/>
            <w:left w:val="none" w:sz="0" w:space="0" w:color="auto"/>
            <w:bottom w:val="none" w:sz="0" w:space="0" w:color="auto"/>
            <w:right w:val="none" w:sz="0" w:space="0" w:color="auto"/>
          </w:divBdr>
          <w:divsChild>
            <w:div w:id="875582467">
              <w:marLeft w:val="0"/>
              <w:marRight w:val="0"/>
              <w:marTop w:val="0"/>
              <w:marBottom w:val="0"/>
              <w:divBdr>
                <w:top w:val="none" w:sz="0" w:space="0" w:color="auto"/>
                <w:left w:val="none" w:sz="0" w:space="0" w:color="auto"/>
                <w:bottom w:val="none" w:sz="0" w:space="0" w:color="auto"/>
                <w:right w:val="none" w:sz="0" w:space="0" w:color="auto"/>
              </w:divBdr>
            </w:div>
          </w:divsChild>
        </w:div>
        <w:div w:id="209270567">
          <w:marLeft w:val="0"/>
          <w:marRight w:val="0"/>
          <w:marTop w:val="0"/>
          <w:marBottom w:val="0"/>
          <w:divBdr>
            <w:top w:val="none" w:sz="0" w:space="0" w:color="auto"/>
            <w:left w:val="none" w:sz="0" w:space="0" w:color="auto"/>
            <w:bottom w:val="none" w:sz="0" w:space="0" w:color="auto"/>
            <w:right w:val="none" w:sz="0" w:space="0" w:color="auto"/>
          </w:divBdr>
          <w:divsChild>
            <w:div w:id="1924221297">
              <w:marLeft w:val="0"/>
              <w:marRight w:val="0"/>
              <w:marTop w:val="0"/>
              <w:marBottom w:val="0"/>
              <w:divBdr>
                <w:top w:val="none" w:sz="0" w:space="0" w:color="auto"/>
                <w:left w:val="none" w:sz="0" w:space="0" w:color="auto"/>
                <w:bottom w:val="none" w:sz="0" w:space="0" w:color="auto"/>
                <w:right w:val="none" w:sz="0" w:space="0" w:color="auto"/>
              </w:divBdr>
            </w:div>
          </w:divsChild>
        </w:div>
        <w:div w:id="475561934">
          <w:marLeft w:val="0"/>
          <w:marRight w:val="0"/>
          <w:marTop w:val="0"/>
          <w:marBottom w:val="0"/>
          <w:divBdr>
            <w:top w:val="none" w:sz="0" w:space="0" w:color="auto"/>
            <w:left w:val="none" w:sz="0" w:space="0" w:color="auto"/>
            <w:bottom w:val="none" w:sz="0" w:space="0" w:color="auto"/>
            <w:right w:val="none" w:sz="0" w:space="0" w:color="auto"/>
          </w:divBdr>
          <w:divsChild>
            <w:div w:id="1914394157">
              <w:marLeft w:val="0"/>
              <w:marRight w:val="0"/>
              <w:marTop w:val="0"/>
              <w:marBottom w:val="0"/>
              <w:divBdr>
                <w:top w:val="none" w:sz="0" w:space="0" w:color="auto"/>
                <w:left w:val="none" w:sz="0" w:space="0" w:color="auto"/>
                <w:bottom w:val="none" w:sz="0" w:space="0" w:color="auto"/>
                <w:right w:val="none" w:sz="0" w:space="0" w:color="auto"/>
              </w:divBdr>
            </w:div>
          </w:divsChild>
        </w:div>
        <w:div w:id="604927687">
          <w:marLeft w:val="0"/>
          <w:marRight w:val="0"/>
          <w:marTop w:val="0"/>
          <w:marBottom w:val="0"/>
          <w:divBdr>
            <w:top w:val="none" w:sz="0" w:space="0" w:color="auto"/>
            <w:left w:val="none" w:sz="0" w:space="0" w:color="auto"/>
            <w:bottom w:val="none" w:sz="0" w:space="0" w:color="auto"/>
            <w:right w:val="none" w:sz="0" w:space="0" w:color="auto"/>
          </w:divBdr>
          <w:divsChild>
            <w:div w:id="736900898">
              <w:marLeft w:val="0"/>
              <w:marRight w:val="0"/>
              <w:marTop w:val="0"/>
              <w:marBottom w:val="0"/>
              <w:divBdr>
                <w:top w:val="none" w:sz="0" w:space="0" w:color="auto"/>
                <w:left w:val="none" w:sz="0" w:space="0" w:color="auto"/>
                <w:bottom w:val="none" w:sz="0" w:space="0" w:color="auto"/>
                <w:right w:val="none" w:sz="0" w:space="0" w:color="auto"/>
              </w:divBdr>
            </w:div>
          </w:divsChild>
        </w:div>
        <w:div w:id="870147985">
          <w:marLeft w:val="0"/>
          <w:marRight w:val="0"/>
          <w:marTop w:val="0"/>
          <w:marBottom w:val="0"/>
          <w:divBdr>
            <w:top w:val="none" w:sz="0" w:space="0" w:color="auto"/>
            <w:left w:val="none" w:sz="0" w:space="0" w:color="auto"/>
            <w:bottom w:val="none" w:sz="0" w:space="0" w:color="auto"/>
            <w:right w:val="none" w:sz="0" w:space="0" w:color="auto"/>
          </w:divBdr>
          <w:divsChild>
            <w:div w:id="1966307094">
              <w:marLeft w:val="0"/>
              <w:marRight w:val="0"/>
              <w:marTop w:val="0"/>
              <w:marBottom w:val="0"/>
              <w:divBdr>
                <w:top w:val="none" w:sz="0" w:space="0" w:color="auto"/>
                <w:left w:val="none" w:sz="0" w:space="0" w:color="auto"/>
                <w:bottom w:val="none" w:sz="0" w:space="0" w:color="auto"/>
                <w:right w:val="none" w:sz="0" w:space="0" w:color="auto"/>
              </w:divBdr>
            </w:div>
          </w:divsChild>
        </w:div>
        <w:div w:id="888566037">
          <w:marLeft w:val="0"/>
          <w:marRight w:val="0"/>
          <w:marTop w:val="0"/>
          <w:marBottom w:val="0"/>
          <w:divBdr>
            <w:top w:val="none" w:sz="0" w:space="0" w:color="auto"/>
            <w:left w:val="none" w:sz="0" w:space="0" w:color="auto"/>
            <w:bottom w:val="none" w:sz="0" w:space="0" w:color="auto"/>
            <w:right w:val="none" w:sz="0" w:space="0" w:color="auto"/>
          </w:divBdr>
          <w:divsChild>
            <w:div w:id="1155103357">
              <w:marLeft w:val="0"/>
              <w:marRight w:val="0"/>
              <w:marTop w:val="0"/>
              <w:marBottom w:val="0"/>
              <w:divBdr>
                <w:top w:val="none" w:sz="0" w:space="0" w:color="auto"/>
                <w:left w:val="none" w:sz="0" w:space="0" w:color="auto"/>
                <w:bottom w:val="none" w:sz="0" w:space="0" w:color="auto"/>
                <w:right w:val="none" w:sz="0" w:space="0" w:color="auto"/>
              </w:divBdr>
            </w:div>
          </w:divsChild>
        </w:div>
        <w:div w:id="966083093">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
          </w:divsChild>
        </w:div>
        <w:div w:id="990718534">
          <w:marLeft w:val="0"/>
          <w:marRight w:val="0"/>
          <w:marTop w:val="0"/>
          <w:marBottom w:val="0"/>
          <w:divBdr>
            <w:top w:val="none" w:sz="0" w:space="0" w:color="auto"/>
            <w:left w:val="none" w:sz="0" w:space="0" w:color="auto"/>
            <w:bottom w:val="none" w:sz="0" w:space="0" w:color="auto"/>
            <w:right w:val="none" w:sz="0" w:space="0" w:color="auto"/>
          </w:divBdr>
          <w:divsChild>
            <w:div w:id="174149966">
              <w:marLeft w:val="0"/>
              <w:marRight w:val="0"/>
              <w:marTop w:val="0"/>
              <w:marBottom w:val="0"/>
              <w:divBdr>
                <w:top w:val="none" w:sz="0" w:space="0" w:color="auto"/>
                <w:left w:val="none" w:sz="0" w:space="0" w:color="auto"/>
                <w:bottom w:val="none" w:sz="0" w:space="0" w:color="auto"/>
                <w:right w:val="none" w:sz="0" w:space="0" w:color="auto"/>
              </w:divBdr>
            </w:div>
          </w:divsChild>
        </w:div>
        <w:div w:id="998116400">
          <w:marLeft w:val="0"/>
          <w:marRight w:val="0"/>
          <w:marTop w:val="0"/>
          <w:marBottom w:val="0"/>
          <w:divBdr>
            <w:top w:val="none" w:sz="0" w:space="0" w:color="auto"/>
            <w:left w:val="none" w:sz="0" w:space="0" w:color="auto"/>
            <w:bottom w:val="none" w:sz="0" w:space="0" w:color="auto"/>
            <w:right w:val="none" w:sz="0" w:space="0" w:color="auto"/>
          </w:divBdr>
          <w:divsChild>
            <w:div w:id="865797592">
              <w:marLeft w:val="0"/>
              <w:marRight w:val="0"/>
              <w:marTop w:val="0"/>
              <w:marBottom w:val="0"/>
              <w:divBdr>
                <w:top w:val="none" w:sz="0" w:space="0" w:color="auto"/>
                <w:left w:val="none" w:sz="0" w:space="0" w:color="auto"/>
                <w:bottom w:val="none" w:sz="0" w:space="0" w:color="auto"/>
                <w:right w:val="none" w:sz="0" w:space="0" w:color="auto"/>
              </w:divBdr>
            </w:div>
          </w:divsChild>
        </w:div>
        <w:div w:id="1079208126">
          <w:marLeft w:val="0"/>
          <w:marRight w:val="0"/>
          <w:marTop w:val="0"/>
          <w:marBottom w:val="0"/>
          <w:divBdr>
            <w:top w:val="none" w:sz="0" w:space="0" w:color="auto"/>
            <w:left w:val="none" w:sz="0" w:space="0" w:color="auto"/>
            <w:bottom w:val="none" w:sz="0" w:space="0" w:color="auto"/>
            <w:right w:val="none" w:sz="0" w:space="0" w:color="auto"/>
          </w:divBdr>
          <w:divsChild>
            <w:div w:id="1557887410">
              <w:marLeft w:val="0"/>
              <w:marRight w:val="0"/>
              <w:marTop w:val="0"/>
              <w:marBottom w:val="0"/>
              <w:divBdr>
                <w:top w:val="none" w:sz="0" w:space="0" w:color="auto"/>
                <w:left w:val="none" w:sz="0" w:space="0" w:color="auto"/>
                <w:bottom w:val="none" w:sz="0" w:space="0" w:color="auto"/>
                <w:right w:val="none" w:sz="0" w:space="0" w:color="auto"/>
              </w:divBdr>
            </w:div>
          </w:divsChild>
        </w:div>
        <w:div w:id="1252543744">
          <w:marLeft w:val="0"/>
          <w:marRight w:val="0"/>
          <w:marTop w:val="0"/>
          <w:marBottom w:val="0"/>
          <w:divBdr>
            <w:top w:val="none" w:sz="0" w:space="0" w:color="auto"/>
            <w:left w:val="none" w:sz="0" w:space="0" w:color="auto"/>
            <w:bottom w:val="none" w:sz="0" w:space="0" w:color="auto"/>
            <w:right w:val="none" w:sz="0" w:space="0" w:color="auto"/>
          </w:divBdr>
          <w:divsChild>
            <w:div w:id="1618637924">
              <w:marLeft w:val="0"/>
              <w:marRight w:val="0"/>
              <w:marTop w:val="0"/>
              <w:marBottom w:val="0"/>
              <w:divBdr>
                <w:top w:val="none" w:sz="0" w:space="0" w:color="auto"/>
                <w:left w:val="none" w:sz="0" w:space="0" w:color="auto"/>
                <w:bottom w:val="none" w:sz="0" w:space="0" w:color="auto"/>
                <w:right w:val="none" w:sz="0" w:space="0" w:color="auto"/>
              </w:divBdr>
            </w:div>
          </w:divsChild>
        </w:div>
        <w:div w:id="1349988672">
          <w:marLeft w:val="0"/>
          <w:marRight w:val="0"/>
          <w:marTop w:val="0"/>
          <w:marBottom w:val="0"/>
          <w:divBdr>
            <w:top w:val="none" w:sz="0" w:space="0" w:color="auto"/>
            <w:left w:val="none" w:sz="0" w:space="0" w:color="auto"/>
            <w:bottom w:val="none" w:sz="0" w:space="0" w:color="auto"/>
            <w:right w:val="none" w:sz="0" w:space="0" w:color="auto"/>
          </w:divBdr>
          <w:divsChild>
            <w:div w:id="1704593197">
              <w:marLeft w:val="0"/>
              <w:marRight w:val="0"/>
              <w:marTop w:val="0"/>
              <w:marBottom w:val="0"/>
              <w:divBdr>
                <w:top w:val="none" w:sz="0" w:space="0" w:color="auto"/>
                <w:left w:val="none" w:sz="0" w:space="0" w:color="auto"/>
                <w:bottom w:val="none" w:sz="0" w:space="0" w:color="auto"/>
                <w:right w:val="none" w:sz="0" w:space="0" w:color="auto"/>
              </w:divBdr>
            </w:div>
          </w:divsChild>
        </w:div>
        <w:div w:id="1479152849">
          <w:marLeft w:val="0"/>
          <w:marRight w:val="0"/>
          <w:marTop w:val="0"/>
          <w:marBottom w:val="0"/>
          <w:divBdr>
            <w:top w:val="none" w:sz="0" w:space="0" w:color="auto"/>
            <w:left w:val="none" w:sz="0" w:space="0" w:color="auto"/>
            <w:bottom w:val="none" w:sz="0" w:space="0" w:color="auto"/>
            <w:right w:val="none" w:sz="0" w:space="0" w:color="auto"/>
          </w:divBdr>
          <w:divsChild>
            <w:div w:id="856315572">
              <w:marLeft w:val="0"/>
              <w:marRight w:val="0"/>
              <w:marTop w:val="0"/>
              <w:marBottom w:val="0"/>
              <w:divBdr>
                <w:top w:val="none" w:sz="0" w:space="0" w:color="auto"/>
                <w:left w:val="none" w:sz="0" w:space="0" w:color="auto"/>
                <w:bottom w:val="none" w:sz="0" w:space="0" w:color="auto"/>
                <w:right w:val="none" w:sz="0" w:space="0" w:color="auto"/>
              </w:divBdr>
            </w:div>
          </w:divsChild>
        </w:div>
        <w:div w:id="1976526442">
          <w:marLeft w:val="0"/>
          <w:marRight w:val="0"/>
          <w:marTop w:val="0"/>
          <w:marBottom w:val="0"/>
          <w:divBdr>
            <w:top w:val="none" w:sz="0" w:space="0" w:color="auto"/>
            <w:left w:val="none" w:sz="0" w:space="0" w:color="auto"/>
            <w:bottom w:val="none" w:sz="0" w:space="0" w:color="auto"/>
            <w:right w:val="none" w:sz="0" w:space="0" w:color="auto"/>
          </w:divBdr>
          <w:divsChild>
            <w:div w:id="308436057">
              <w:marLeft w:val="0"/>
              <w:marRight w:val="0"/>
              <w:marTop w:val="0"/>
              <w:marBottom w:val="0"/>
              <w:divBdr>
                <w:top w:val="none" w:sz="0" w:space="0" w:color="auto"/>
                <w:left w:val="none" w:sz="0" w:space="0" w:color="auto"/>
                <w:bottom w:val="none" w:sz="0" w:space="0" w:color="auto"/>
                <w:right w:val="none" w:sz="0" w:space="0" w:color="auto"/>
              </w:divBdr>
            </w:div>
          </w:divsChild>
        </w:div>
        <w:div w:id="2004624575">
          <w:marLeft w:val="0"/>
          <w:marRight w:val="0"/>
          <w:marTop w:val="0"/>
          <w:marBottom w:val="0"/>
          <w:divBdr>
            <w:top w:val="none" w:sz="0" w:space="0" w:color="auto"/>
            <w:left w:val="none" w:sz="0" w:space="0" w:color="auto"/>
            <w:bottom w:val="none" w:sz="0" w:space="0" w:color="auto"/>
            <w:right w:val="none" w:sz="0" w:space="0" w:color="auto"/>
          </w:divBdr>
          <w:divsChild>
            <w:div w:id="207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8122">
      <w:bodyDiv w:val="1"/>
      <w:marLeft w:val="0"/>
      <w:marRight w:val="0"/>
      <w:marTop w:val="0"/>
      <w:marBottom w:val="0"/>
      <w:divBdr>
        <w:top w:val="none" w:sz="0" w:space="0" w:color="auto"/>
        <w:left w:val="none" w:sz="0" w:space="0" w:color="auto"/>
        <w:bottom w:val="none" w:sz="0" w:space="0" w:color="auto"/>
        <w:right w:val="none" w:sz="0" w:space="0" w:color="auto"/>
      </w:divBdr>
    </w:div>
    <w:div w:id="1853565724">
      <w:bodyDiv w:val="1"/>
      <w:marLeft w:val="0"/>
      <w:marRight w:val="0"/>
      <w:marTop w:val="0"/>
      <w:marBottom w:val="0"/>
      <w:divBdr>
        <w:top w:val="none" w:sz="0" w:space="0" w:color="auto"/>
        <w:left w:val="none" w:sz="0" w:space="0" w:color="auto"/>
        <w:bottom w:val="none" w:sz="0" w:space="0" w:color="auto"/>
        <w:right w:val="none" w:sz="0" w:space="0" w:color="auto"/>
      </w:divBdr>
      <w:divsChild>
        <w:div w:id="927234119">
          <w:marLeft w:val="0"/>
          <w:marRight w:val="0"/>
          <w:marTop w:val="0"/>
          <w:marBottom w:val="0"/>
          <w:divBdr>
            <w:top w:val="none" w:sz="0" w:space="0" w:color="auto"/>
            <w:left w:val="none" w:sz="0" w:space="0" w:color="auto"/>
            <w:bottom w:val="none" w:sz="0" w:space="0" w:color="auto"/>
            <w:right w:val="none" w:sz="0" w:space="0" w:color="auto"/>
          </w:divBdr>
        </w:div>
      </w:divsChild>
    </w:div>
    <w:div w:id="1912763770">
      <w:bodyDiv w:val="1"/>
      <w:marLeft w:val="0"/>
      <w:marRight w:val="0"/>
      <w:marTop w:val="0"/>
      <w:marBottom w:val="0"/>
      <w:divBdr>
        <w:top w:val="none" w:sz="0" w:space="0" w:color="auto"/>
        <w:left w:val="none" w:sz="0" w:space="0" w:color="auto"/>
        <w:bottom w:val="none" w:sz="0" w:space="0" w:color="auto"/>
        <w:right w:val="none" w:sz="0" w:space="0" w:color="auto"/>
      </w:divBdr>
    </w:div>
    <w:div w:id="1915043802">
      <w:bodyDiv w:val="1"/>
      <w:marLeft w:val="0"/>
      <w:marRight w:val="0"/>
      <w:marTop w:val="0"/>
      <w:marBottom w:val="0"/>
      <w:divBdr>
        <w:top w:val="none" w:sz="0" w:space="0" w:color="auto"/>
        <w:left w:val="none" w:sz="0" w:space="0" w:color="auto"/>
        <w:bottom w:val="none" w:sz="0" w:space="0" w:color="auto"/>
        <w:right w:val="none" w:sz="0" w:space="0" w:color="auto"/>
      </w:divBdr>
      <w:divsChild>
        <w:div w:id="2087409529">
          <w:marLeft w:val="0"/>
          <w:marRight w:val="0"/>
          <w:marTop w:val="0"/>
          <w:marBottom w:val="0"/>
          <w:divBdr>
            <w:top w:val="none" w:sz="0" w:space="0" w:color="auto"/>
            <w:left w:val="none" w:sz="0" w:space="0" w:color="auto"/>
            <w:bottom w:val="none" w:sz="0" w:space="0" w:color="auto"/>
            <w:right w:val="none" w:sz="0" w:space="0" w:color="auto"/>
          </w:divBdr>
        </w:div>
      </w:divsChild>
    </w:div>
    <w:div w:id="1929344689">
      <w:bodyDiv w:val="1"/>
      <w:marLeft w:val="0"/>
      <w:marRight w:val="0"/>
      <w:marTop w:val="0"/>
      <w:marBottom w:val="0"/>
      <w:divBdr>
        <w:top w:val="none" w:sz="0" w:space="0" w:color="auto"/>
        <w:left w:val="none" w:sz="0" w:space="0" w:color="auto"/>
        <w:bottom w:val="none" w:sz="0" w:space="0" w:color="auto"/>
        <w:right w:val="none" w:sz="0" w:space="0" w:color="auto"/>
      </w:divBdr>
      <w:divsChild>
        <w:div w:id="734472404">
          <w:marLeft w:val="0"/>
          <w:marRight w:val="0"/>
          <w:marTop w:val="0"/>
          <w:marBottom w:val="0"/>
          <w:divBdr>
            <w:top w:val="none" w:sz="0" w:space="0" w:color="auto"/>
            <w:left w:val="none" w:sz="0" w:space="0" w:color="auto"/>
            <w:bottom w:val="none" w:sz="0" w:space="0" w:color="auto"/>
            <w:right w:val="none" w:sz="0" w:space="0" w:color="auto"/>
          </w:divBdr>
        </w:div>
      </w:divsChild>
    </w:div>
    <w:div w:id="1929732624">
      <w:bodyDiv w:val="1"/>
      <w:marLeft w:val="0"/>
      <w:marRight w:val="0"/>
      <w:marTop w:val="0"/>
      <w:marBottom w:val="0"/>
      <w:divBdr>
        <w:top w:val="none" w:sz="0" w:space="0" w:color="auto"/>
        <w:left w:val="none" w:sz="0" w:space="0" w:color="auto"/>
        <w:bottom w:val="none" w:sz="0" w:space="0" w:color="auto"/>
        <w:right w:val="none" w:sz="0" w:space="0" w:color="auto"/>
      </w:divBdr>
    </w:div>
    <w:div w:id="1999311264">
      <w:bodyDiv w:val="1"/>
      <w:marLeft w:val="0"/>
      <w:marRight w:val="0"/>
      <w:marTop w:val="0"/>
      <w:marBottom w:val="0"/>
      <w:divBdr>
        <w:top w:val="none" w:sz="0" w:space="0" w:color="auto"/>
        <w:left w:val="none" w:sz="0" w:space="0" w:color="auto"/>
        <w:bottom w:val="none" w:sz="0" w:space="0" w:color="auto"/>
        <w:right w:val="none" w:sz="0" w:space="0" w:color="auto"/>
      </w:divBdr>
    </w:div>
    <w:div w:id="2005232737">
      <w:bodyDiv w:val="1"/>
      <w:marLeft w:val="0"/>
      <w:marRight w:val="0"/>
      <w:marTop w:val="0"/>
      <w:marBottom w:val="0"/>
      <w:divBdr>
        <w:top w:val="none" w:sz="0" w:space="0" w:color="auto"/>
        <w:left w:val="none" w:sz="0" w:space="0" w:color="auto"/>
        <w:bottom w:val="none" w:sz="0" w:space="0" w:color="auto"/>
        <w:right w:val="none" w:sz="0" w:space="0" w:color="auto"/>
      </w:divBdr>
      <w:divsChild>
        <w:div w:id="1716930985">
          <w:marLeft w:val="0"/>
          <w:marRight w:val="0"/>
          <w:marTop w:val="0"/>
          <w:marBottom w:val="0"/>
          <w:divBdr>
            <w:top w:val="none" w:sz="0" w:space="0" w:color="auto"/>
            <w:left w:val="none" w:sz="0" w:space="0" w:color="auto"/>
            <w:bottom w:val="none" w:sz="0" w:space="0" w:color="auto"/>
            <w:right w:val="none" w:sz="0" w:space="0" w:color="auto"/>
          </w:divBdr>
        </w:div>
      </w:divsChild>
    </w:div>
    <w:div w:id="2024890396">
      <w:bodyDiv w:val="1"/>
      <w:marLeft w:val="0"/>
      <w:marRight w:val="0"/>
      <w:marTop w:val="0"/>
      <w:marBottom w:val="0"/>
      <w:divBdr>
        <w:top w:val="none" w:sz="0" w:space="0" w:color="auto"/>
        <w:left w:val="none" w:sz="0" w:space="0" w:color="auto"/>
        <w:bottom w:val="none" w:sz="0" w:space="0" w:color="auto"/>
        <w:right w:val="none" w:sz="0" w:space="0" w:color="auto"/>
      </w:divBdr>
    </w:div>
    <w:div w:id="2042826074">
      <w:bodyDiv w:val="1"/>
      <w:marLeft w:val="0"/>
      <w:marRight w:val="0"/>
      <w:marTop w:val="0"/>
      <w:marBottom w:val="0"/>
      <w:divBdr>
        <w:top w:val="none" w:sz="0" w:space="0" w:color="auto"/>
        <w:left w:val="none" w:sz="0" w:space="0" w:color="auto"/>
        <w:bottom w:val="none" w:sz="0" w:space="0" w:color="auto"/>
        <w:right w:val="none" w:sz="0" w:space="0" w:color="auto"/>
      </w:divBdr>
    </w:div>
    <w:div w:id="20687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D10C825-CE7E-4893-86FF-6F45BC7FF1C1}">
    <t:Anchor>
      <t:Comment id="450755110"/>
    </t:Anchor>
    <t:History>
      <t:Event id="{DE716E0B-16AD-4FCA-AE70-01AAD249BE26}" time="2020-11-16T20:32:55Z">
        <t:Attribution userId="S::berwanger@cvm.gov.br::52106e5f-c8ff-4501-b497-d873ebcbb54c" userProvider="AD" userName="Antonio Carlos Berwanger"/>
        <t:Anchor>
          <t:Comment id="880678517"/>
        </t:Anchor>
        <t:Create/>
      </t:Event>
      <t:Event id="{8E267194-30CC-44E8-9B58-24B7F1652606}" time="2020-11-16T20:32:55Z">
        <t:Attribution userId="S::berwanger@cvm.gov.br::52106e5f-c8ff-4501-b497-d873ebcbb54c" userProvider="AD" userName="Antonio Carlos Berwanger"/>
        <t:Anchor>
          <t:Comment id="880678517"/>
        </t:Anchor>
        <t:Assign userId="S::JoaoL@cvm.gov.br::ac16734f-0cca-4811-a655-94091b3b44d7" userProvider="AD" userName="João Lombardi Vargas"/>
      </t:Event>
      <t:Event id="{854012B1-5509-435A-9E93-2B660DD9199D}" time="2020-11-16T20:32:55Z">
        <t:Attribution userId="S::berwanger@cvm.gov.br::52106e5f-c8ff-4501-b497-d873ebcbb54c" userProvider="AD" userName="Antonio Carlos Berwanger"/>
        <t:Anchor>
          <t:Comment id="880678517"/>
        </t:Anchor>
        <t:SetTitle title="OK como princípio! @João Lombardi Vargas"/>
      </t:Event>
    </t:History>
  </t:Task>
  <t:Task id="{056561C1-20F6-4F49-8935-76478BFE092F}">
    <t:Anchor>
      <t:Comment id="593287893"/>
    </t:Anchor>
    <t:History>
      <t:Event id="{32DE174E-6F98-4172-BCD1-364B1B79D33A}" time="2020-11-16T18:54:20Z">
        <t:Attribution userId="S::berwanger@cvm.gov.br::52106e5f-c8ff-4501-b497-d873ebcbb54c" userProvider="AD" userName="Antonio Carlos Berwanger"/>
        <t:Anchor>
          <t:Comment id="95996985"/>
        </t:Anchor>
        <t:Create/>
      </t:Event>
      <t:Event id="{B9A0CA7E-1B05-4168-A6E3-A2DB37414901}" time="2020-11-16T18:54:20Z">
        <t:Attribution userId="S::berwanger@cvm.gov.br::52106e5f-c8ff-4501-b497-d873ebcbb54c" userProvider="AD" userName="Antonio Carlos Berwanger"/>
        <t:Anchor>
          <t:Comment id="95996985"/>
        </t:Anchor>
        <t:Assign userId="S::JoaoL@cvm.gov.br::ac16734f-0cca-4811-a655-94091b3b44d7" userProvider="AD" userName="João Lombardi Vargas"/>
      </t:Event>
      <t:Event id="{AAC66332-7CE8-4784-ACA9-68C48BCCA234}" time="2020-11-16T18:54:20Z">
        <t:Attribution userId="S::berwanger@cvm.gov.br::52106e5f-c8ff-4501-b497-d873ebcbb54c" userProvider="AD" userName="Antonio Carlos Berwanger"/>
        <t:Anchor>
          <t:Comment id="95996985"/>
        </t:Anchor>
        <t:SetTitle title="transferir para seção específica. @João Lombardi Vargas"/>
      </t:Event>
    </t:History>
  </t:Task>
  <t:Task id="{B19AF3BF-5D42-4EB8-A2A0-98DAD89954CA}">
    <t:Anchor>
      <t:Comment id="1595734793"/>
    </t:Anchor>
    <t:History>
      <t:Event id="{14E0BCD4-CF1E-4DDD-89EC-70D38F3BF627}" time="2020-12-18T15:11:07Z">
        <t:Attribution userId="S::berwanger@cvm.gov.br::52106e5f-c8ff-4501-b497-d873ebcbb54c" userProvider="AD" userName="Antonio Carlos Berwanger"/>
        <t:Anchor>
          <t:Comment id="1915874435"/>
        </t:Anchor>
        <t:Create/>
      </t:Event>
      <t:Event id="{61CC3DC1-685B-40E1-A0F0-3DD4AE8C84AC}" time="2020-12-18T15:11:07Z">
        <t:Attribution userId="S::berwanger@cvm.gov.br::52106e5f-c8ff-4501-b497-d873ebcbb54c" userProvider="AD" userName="Antonio Carlos Berwanger"/>
        <t:Anchor>
          <t:Comment id="1915874435"/>
        </t:Anchor>
        <t:Assign userId="S::RSouza@cvm.gov.br::a3872d2b-e3ba-4185-87e8-f9ebcd136cdb" userProvider="AD" userName="Raphael Acácio Gomes dos Santos de Souza"/>
      </t:Event>
      <t:Event id="{DAE87046-11F7-4216-ADBD-CDA28146A5FC}" time="2020-12-18T15:11:07Z">
        <t:Attribution userId="S::berwanger@cvm.gov.br::52106e5f-c8ff-4501-b497-d873ebcbb54c" userProvider="AD" userName="Antonio Carlos Berwanger"/>
        <t:Anchor>
          <t:Comment id="1915874435"/>
        </t:Anchor>
        <t:SetTitle title="Gosto da solução, mas temo que a redação fique confusa. Quer tentar? @Raphael Acácio Gomes dos Santos de Souza"/>
      </t:Event>
    </t:History>
  </t:Task>
  <t:Task id="{23D6A4D1-8825-4671-B853-3E99AD05E6ED}">
    <t:Anchor>
      <t:Comment id="815723944"/>
    </t:Anchor>
    <t:History>
      <t:Event id="{2636FD51-3A23-400D-982D-24A126E503E8}" time="2020-11-16T20:32:55Z">
        <t:Attribution userId="S::berwanger@cvm.gov.br::52106e5f-c8ff-4501-b497-d873ebcbb54c" userProvider="AD" userName="Antonio Carlos Berwanger"/>
        <t:Anchor>
          <t:Comment id="348846301"/>
        </t:Anchor>
        <t:Create/>
      </t:Event>
      <t:Event id="{5AECBBBB-19BA-439B-BC78-581C2E52A1CA}" time="2020-11-16T20:32:55Z">
        <t:Attribution userId="S::berwanger@cvm.gov.br::52106e5f-c8ff-4501-b497-d873ebcbb54c" userProvider="AD" userName="Antonio Carlos Berwanger"/>
        <t:Anchor>
          <t:Comment id="348846301"/>
        </t:Anchor>
        <t:Assign userId="S::JoaoL@cvm.gov.br::ac16734f-0cca-4811-a655-94091b3b44d7" userProvider="AD" userName="João Lombardi Vargas"/>
      </t:Event>
      <t:Event id="{4806EF82-10DB-424E-BC65-3C05DEB508ED}" time="2020-11-16T20:32:55Z">
        <t:Attribution userId="S::berwanger@cvm.gov.br::52106e5f-c8ff-4501-b497-d873ebcbb54c" userProvider="AD" userName="Antonio Carlos Berwanger"/>
        <t:Anchor>
          <t:Comment id="348846301"/>
        </t:Anchor>
        <t:SetTitle title="OK como princípio! @João Lombardi Vargas"/>
      </t:Event>
    </t:History>
  </t:Task>
  <t:Task id="{FFD9CB27-5D48-42C6-B175-CDDFE6E9B364}">
    <t:Anchor>
      <t:Comment id="1654748624"/>
    </t:Anchor>
    <t:History>
      <t:Event id="{7E76C1AA-FE6A-4468-8F48-C09EADF2A905}" time="2020-11-16T19:26:45Z">
        <t:Attribution userId="S::berwanger@cvm.gov.br::52106e5f-c8ff-4501-b497-d873ebcbb54c" userProvider="AD" userName="Antonio Carlos Berwanger"/>
        <t:Anchor>
          <t:Comment id="1761349267"/>
        </t:Anchor>
        <t:Create/>
      </t:Event>
      <t:Event id="{08D30D6A-E78C-4EDE-B386-124BC92D2616}" time="2020-11-16T19:26:45Z">
        <t:Attribution userId="S::berwanger@cvm.gov.br::52106e5f-c8ff-4501-b497-d873ebcbb54c" userProvider="AD" userName="Antonio Carlos Berwanger"/>
        <t:Anchor>
          <t:Comment id="1761349267"/>
        </t:Anchor>
        <t:Assign userId="S::JoaoL@cvm.gov.br::ac16734f-0cca-4811-a655-94091b3b44d7" userProvider="AD" userName="João Lombardi Vargas"/>
      </t:Event>
      <t:Event id="{231E8CEF-7C67-4333-862E-00C2B3AA1E53}" time="2020-11-16T19:26:45Z">
        <t:Attribution userId="S::berwanger@cvm.gov.br::52106e5f-c8ff-4501-b497-d873ebcbb54c" userProvider="AD" userName="Antonio Carlos Berwanger"/>
        <t:Anchor>
          <t:Comment id="1761349267"/>
        </t:Anchor>
        <t:SetTitle title="alterar o termo. @João Lombardi Vargas"/>
      </t:Event>
    </t:History>
  </t:Task>
  <t:Task id="{A46B6FD7-2BD9-4952-9F9A-E7FED250CD61}">
    <t:Anchor>
      <t:Comment id="595840710"/>
    </t:Anchor>
    <t:History>
      <t:Event id="{3E4E0739-310F-407D-9503-0B9D9C2D3656}" time="2020-12-16T20:07:51Z">
        <t:Attribution userId="S::berwanger@cvm.gov.br::52106e5f-c8ff-4501-b497-d873ebcbb54c" userProvider="AD" userName="Antonio Carlos Berwanger"/>
        <t:Anchor>
          <t:Comment id="1685417429"/>
        </t:Anchor>
        <t:Create/>
      </t:Event>
      <t:Event id="{9A24F223-82F1-4511-80EC-CAE98B5FE153}" time="2020-12-16T20:07:51Z">
        <t:Attribution userId="S::berwanger@cvm.gov.br::52106e5f-c8ff-4501-b497-d873ebcbb54c" userProvider="AD" userName="Antonio Carlos Berwanger"/>
        <t:Anchor>
          <t:Comment id="1685417429"/>
        </t:Anchor>
        <t:Assign userId="S::cbenevides@cvm.gov.br::5e5f2572-36ed-4c62-b596-106d86d871ce" userProvider="AD" userName="Cláudio do Rego Barros Benevides"/>
      </t:Event>
      <t:Event id="{5FF83696-C02D-4FD9-B149-5A0D3494365E}" time="2020-12-16T20:07:51Z">
        <t:Attribution userId="S::berwanger@cvm.gov.br::52106e5f-c8ff-4501-b497-d873ebcbb54c" userProvider="AD" userName="Antonio Carlos Berwanger"/>
        <t:Anchor>
          <t:Comment id="1685417429"/>
        </t:Anchor>
        <t:SetTitle title="@Cláudio do Rego Barros Benevides , você insere lá e depois retira aqui?"/>
      </t:Event>
      <t:Event id="{A114FFE5-1BF3-4AA4-9A06-AD59649D4E68}" time="2020-12-17T15:28:16Z">
        <t:Attribution userId="S::berwanger@cvm.gov.br::52106e5f-c8ff-4501-b497-d873ebcbb54c" userProvider="AD" userName="Antonio Carlos Berwanger"/>
        <t:Progress percentComplete="100"/>
      </t:Event>
    </t:History>
  </t:Task>
  <t:Task id="{3EBC3975-1A57-4B9E-BC44-302CC126004F}">
    <t:Anchor>
      <t:Comment id="856101937"/>
    </t:Anchor>
    <t:History>
      <t:Event id="{5936A159-D63F-44A9-B976-F95FDC031D54}" time="2020-11-16T19:57:50Z">
        <t:Attribution userId="S::berwanger@cvm.gov.br::52106e5f-c8ff-4501-b497-d873ebcbb54c" userProvider="AD" userName="Antonio Carlos Berwanger"/>
        <t:Anchor>
          <t:Comment id="308791875"/>
        </t:Anchor>
        <t:Create/>
      </t:Event>
      <t:Event id="{48E551ED-1910-4E11-AFAF-3DF324E2C80D}" time="2020-11-16T19:57:50Z">
        <t:Attribution userId="S::berwanger@cvm.gov.br::52106e5f-c8ff-4501-b497-d873ebcbb54c" userProvider="AD" userName="Antonio Carlos Berwanger"/>
        <t:Anchor>
          <t:Comment id="308791875"/>
        </t:Anchor>
        <t:Assign userId="S::JoaoL@cvm.gov.br::ac16734f-0cca-4811-a655-94091b3b44d7" userProvider="AD" userName="João Lombardi Vargas"/>
      </t:Event>
      <t:Event id="{09F3D2E3-0F05-4779-877F-6AADE4DEABD5}" time="2020-11-16T19:57:50Z">
        <t:Attribution userId="S::berwanger@cvm.gov.br::52106e5f-c8ff-4501-b497-d873ebcbb54c" userProvider="AD" userName="Antonio Carlos Berwanger"/>
        <t:Anchor>
          <t:Comment id="308791875"/>
        </t:Anchor>
        <t:SetTitle title="ok! @João Lombardi Vargas"/>
      </t:Event>
    </t:History>
  </t:Task>
  <t:Task id="{F41CAB10-9BB2-40FC-AAD0-D8302A4DA816}">
    <t:Anchor>
      <t:Comment id="1410719974"/>
    </t:Anchor>
    <t:History>
      <t:Event id="{447D3021-2EF3-4A00-AD47-74762F831618}" time="2020-11-16T20:56:27Z">
        <t:Attribution userId="S::berwanger@cvm.gov.br::52106e5f-c8ff-4501-b497-d873ebcbb54c" userProvider="AD" userName="Antonio Carlos Berwanger"/>
        <t:Anchor>
          <t:Comment id="1437620599"/>
        </t:Anchor>
        <t:Create/>
      </t:Event>
      <t:Event id="{16F07511-4A29-48E9-B28F-DBBF99290EE4}" time="2020-11-16T20:56:27Z">
        <t:Attribution userId="S::berwanger@cvm.gov.br::52106e5f-c8ff-4501-b497-d873ebcbb54c" userProvider="AD" userName="Antonio Carlos Berwanger"/>
        <t:Anchor>
          <t:Comment id="1437620599"/>
        </t:Anchor>
        <t:Assign userId="S::JoaoL@cvm.gov.br::ac16734f-0cca-4811-a655-94091b3b44d7" userProvider="AD" userName="João Lombardi Vargas"/>
      </t:Event>
      <t:Event id="{74F4E2BF-AFD5-4F76-B3B5-82EC5000F80D}" time="2020-11-16T20:56:27Z">
        <t:Attribution userId="S::berwanger@cvm.gov.br::52106e5f-c8ff-4501-b497-d873ebcbb54c" userProvider="AD" userName="Antonio Carlos Berwanger"/>
        <t:Anchor>
          <t:Comment id="1437620599"/>
        </t:Anchor>
        <t:SetTitle title="@João Lombardi Vargas , pode implementar."/>
      </t:Event>
    </t:History>
  </t:Task>
  <t:Task id="{0113254B-7803-49C6-A789-05372630FEAC}">
    <t:Anchor>
      <t:Comment id="699220985"/>
    </t:Anchor>
    <t:History>
      <t:Event id="{CA519E41-56B6-4E9D-9CD1-FFE715183B1D}" time="2020-11-16T20:32:55Z">
        <t:Attribution userId="S::berwanger@cvm.gov.br::52106e5f-c8ff-4501-b497-d873ebcbb54c" userProvider="AD" userName="Antonio Carlos Berwanger"/>
        <t:Anchor>
          <t:Comment id="84281617"/>
        </t:Anchor>
        <t:Create/>
      </t:Event>
      <t:Event id="{57A5C26C-2689-4F0B-9ED7-2AD451E186FD}" time="2020-11-16T20:32:55Z">
        <t:Attribution userId="S::berwanger@cvm.gov.br::52106e5f-c8ff-4501-b497-d873ebcbb54c" userProvider="AD" userName="Antonio Carlos Berwanger"/>
        <t:Anchor>
          <t:Comment id="84281617"/>
        </t:Anchor>
        <t:Assign userId="S::JoaoL@cvm.gov.br::ac16734f-0cca-4811-a655-94091b3b44d7" userProvider="AD" userName="João Lombardi Vargas"/>
      </t:Event>
      <t:Event id="{529CF627-ED29-43BD-A53D-A0762128245D}" time="2020-11-16T20:32:55Z">
        <t:Attribution userId="S::berwanger@cvm.gov.br::52106e5f-c8ff-4501-b497-d873ebcbb54c" userProvider="AD" userName="Antonio Carlos Berwanger"/>
        <t:Anchor>
          <t:Comment id="84281617"/>
        </t:Anchor>
        <t:SetTitle title="OK como princípio! @João Lombardi Vargas"/>
      </t:Event>
    </t:History>
  </t:Task>
  <t:Task id="{152A813C-8A42-4FFA-900F-4BB42841A1A7}">
    <t:Anchor>
      <t:Comment id="593046106"/>
    </t:Anchor>
    <t:History>
      <t:Event id="{2C2BC850-AE2B-47F9-A9F9-47B8CB65B20E}" time="2020-11-17T03:16:30Z">
        <t:Attribution userId="S::berwanger@cvm.gov.br::52106e5f-c8ff-4501-b497-d873ebcbb54c" userProvider="AD" userName="Antonio Carlos Berwanger"/>
        <t:Anchor>
          <t:Comment id="881031973"/>
        </t:Anchor>
        <t:Create/>
      </t:Event>
      <t:Event id="{F35080CD-4984-4C7D-B9A3-845C4A3E97BF}" time="2020-11-17T03:16:30Z">
        <t:Attribution userId="S::berwanger@cvm.gov.br::52106e5f-c8ff-4501-b497-d873ebcbb54c" userProvider="AD" userName="Antonio Carlos Berwanger"/>
        <t:Anchor>
          <t:Comment id="881031973"/>
        </t:Anchor>
        <t:Assign userId="S::cbenevides@cvm.gov.br::5e5f2572-36ed-4c62-b596-106d86d871ce" userProvider="AD" userName="Cláudio do Rego Barros Benevides"/>
      </t:Event>
      <t:Event id="{7A05C3C5-B3DB-4860-AA4C-C88CC3C420CE}" time="2020-11-17T03:16:30Z">
        <t:Attribution userId="S::berwanger@cvm.gov.br::52106e5f-c8ff-4501-b497-d873ebcbb54c" userProvider="AD" userName="Antonio Carlos Berwanger"/>
        <t:Anchor>
          <t:Comment id="881031973"/>
        </t:Anchor>
        <t:SetTitle title="Esse aqui não discutimos... alguma posição @João Lombardi Vargas e @Cláudio do Rego Barros Benevides"/>
      </t:Event>
    </t:History>
  </t:Task>
  <t:Task id="{91FC8DF8-C2FA-4CB9-8DB1-460947A3D820}">
    <t:Anchor>
      <t:Comment id="595995676"/>
    </t:Anchor>
    <t:History>
      <t:Event id="{A2BC08D0-9A7C-431A-9BB8-14D5DBD180F5}" time="2020-12-18T15:22:58Z">
        <t:Attribution userId="S::berwanger@cvm.gov.br::52106e5f-c8ff-4501-b497-d873ebcbb54c" userProvider="AD" userName="Antonio Carlos Berwanger"/>
        <t:Anchor>
          <t:Comment id="1875488644"/>
        </t:Anchor>
        <t:Create/>
      </t:Event>
      <t:Event id="{42129153-62C3-4271-9A7A-50C608813176}" time="2020-12-18T15:22:58Z">
        <t:Attribution userId="S::berwanger@cvm.gov.br::52106e5f-c8ff-4501-b497-d873ebcbb54c" userProvider="AD" userName="Antonio Carlos Berwanger"/>
        <t:Anchor>
          <t:Comment id="1875488644"/>
        </t:Anchor>
        <t:Assign userId="S::RSouza@cvm.gov.br::a3872d2b-e3ba-4185-87e8-f9ebcd136cdb" userProvider="AD" userName="Raphael Acácio Gomes dos Santos de Souza"/>
      </t:Event>
      <t:Event id="{E689C577-A127-45BB-A014-1AA8C313852D}" time="2020-12-18T15:22:58Z">
        <t:Attribution userId="S::berwanger@cvm.gov.br::52106e5f-c8ff-4501-b497-d873ebcbb54c" userProvider="AD" userName="Antonio Carlos Berwanger"/>
        <t:Anchor>
          <t:Comment id="1875488644"/>
        </t:Anchor>
        <t:SetTitle title="@Raphael Acácio Gomes dos Santos de Souza"/>
      </t:Event>
      <t:Event id="{B4F69BFC-2AAC-455B-8FD6-90B9D3CAB9AE}" time="2020-12-18T15:54:24Z">
        <t:Attribution userId="S::rsouza@cvm.gov.br::a3872d2b-e3ba-4185-87e8-f9ebcd136cdb" userProvider="AD" userName="Raphael Acácio Gomes dos Santos de Souza"/>
        <t:Progress percentComplete="100"/>
      </t:Event>
    </t:History>
  </t:Task>
  <t:Task id="{EAA337C6-15EB-42A7-92B0-89F717884A51}">
    <t:Anchor>
      <t:Comment id="1831387471"/>
    </t:Anchor>
    <t:History>
      <t:Event id="{66835079-84AE-4689-98D7-A1D9CF8170DE}" time="2020-11-17T03:58:28Z">
        <t:Attribution userId="S::berwanger@cvm.gov.br::52106e5f-c8ff-4501-b497-d873ebcbb54c" userProvider="AD" userName="Antonio Carlos Berwanger"/>
        <t:Anchor>
          <t:Comment id="1831387471"/>
        </t:Anchor>
        <t:Create/>
      </t:Event>
      <t:Event id="{B1489CE8-F1F3-4DBF-BA15-836E1064ABB7}" time="2020-11-17T03:58:28Z">
        <t:Attribution userId="S::berwanger@cvm.gov.br::52106e5f-c8ff-4501-b497-d873ebcbb54c" userProvider="AD" userName="Antonio Carlos Berwanger"/>
        <t:Anchor>
          <t:Comment id="1831387471"/>
        </t:Anchor>
        <t:Assign userId="S::JoaoL@cvm.gov.br::ac16734f-0cca-4811-a655-94091b3b44d7" userProvider="AD" userName="João Lombardi Vargas"/>
      </t:Event>
      <t:Event id="{7107F6DB-3BDB-4F50-9946-1556F6EB6FDF}" time="2020-11-17T03:58:28Z">
        <t:Attribution userId="S::berwanger@cvm.gov.br::52106e5f-c8ff-4501-b497-d873ebcbb54c" userProvider="AD" userName="Antonio Carlos Berwanger"/>
        <t:Anchor>
          <t:Comment id="1831387471"/>
        </t:Anchor>
        <t:SetTitle title="Incluir referência aos anexos E, F, G. @João Lombardi Vargas"/>
      </t:Event>
    </t:History>
  </t:Task>
  <t:Task id="{1E30749A-37A5-42B0-A65C-5F4E49537CC1}">
    <t:Anchor>
      <t:Comment id="593044555"/>
    </t:Anchor>
    <t:History>
      <t:Event id="{DCC04ADE-F726-492C-8BA1-58088DECA837}" time="2020-11-17T04:05:44Z">
        <t:Attribution userId="S::berwanger@cvm.gov.br::52106e5f-c8ff-4501-b497-d873ebcbb54c" userProvider="AD" userName="Antonio Carlos Berwanger"/>
        <t:Anchor>
          <t:Comment id="2125943926"/>
        </t:Anchor>
        <t:Create/>
      </t:Event>
      <t:Event id="{F88CDA18-6751-45C3-ACAC-311D30AED725}" time="2020-11-17T04:05:44Z">
        <t:Attribution userId="S::berwanger@cvm.gov.br::52106e5f-c8ff-4501-b497-d873ebcbb54c" userProvider="AD" userName="Antonio Carlos Berwanger"/>
        <t:Anchor>
          <t:Comment id="2125943926"/>
        </t:Anchor>
        <t:Assign userId="S::cbenevides@cvm.gov.br::5e5f2572-36ed-4c62-b596-106d86d871ce" userProvider="AD" userName="Cláudio do Rego Barros Benevides"/>
      </t:Event>
      <t:Event id="{96C24F2F-FFCC-4892-8CC5-56222C855970}" time="2020-11-17T04:05:44Z">
        <t:Attribution userId="S::berwanger@cvm.gov.br::52106e5f-c8ff-4501-b497-d873ebcbb54c" userProvider="AD" userName="Antonio Carlos Berwanger"/>
        <t:Anchor>
          <t:Comment id="2125943926"/>
        </t:Anchor>
        <t:SetTitle title="@Cláudio do Rego Barros Benevides , pode colocar esse dispositivo específico lá no grupo com a SRE e perguntar sobre essa limitação da prioridade e o risco de isso causar diluição, por favor? De onde veio esse número mágico?"/>
      </t:Event>
    </t:History>
  </t:Task>
  <t:Task id="{709591DF-0116-4419-BD73-D7B6F51429DB}">
    <t:Anchor>
      <t:Comment id="2100442431"/>
    </t:Anchor>
    <t:History>
      <t:Event id="{65D70EAC-A7CC-4A1A-A338-6DA57B2D6F63}" time="2020-11-17T04:09:01Z">
        <t:Attribution userId="S::berwanger@cvm.gov.br::52106e5f-c8ff-4501-b497-d873ebcbb54c" userProvider="AD" userName="Antonio Carlos Berwanger"/>
        <t:Anchor>
          <t:Comment id="1557565003"/>
        </t:Anchor>
        <t:Create/>
      </t:Event>
      <t:Event id="{CCD19A4C-5389-4FDB-8C8C-D0C333A25E35}" time="2020-11-17T04:09:01Z">
        <t:Attribution userId="S::berwanger@cvm.gov.br::52106e5f-c8ff-4501-b497-d873ebcbb54c" userProvider="AD" userName="Antonio Carlos Berwanger"/>
        <t:Anchor>
          <t:Comment id="1557565003"/>
        </t:Anchor>
        <t:Assign userId="S::cbenevides@cvm.gov.br::5e5f2572-36ed-4c62-b596-106d86d871ce" userProvider="AD" userName="Cláudio do Rego Barros Benevides"/>
      </t:Event>
      <t:Event id="{851024A2-ECD0-4F39-BAE7-7529883E69B1}" time="2020-11-17T04:09:01Z">
        <t:Attribution userId="S::berwanger@cvm.gov.br::52106e5f-c8ff-4501-b497-d873ebcbb54c" userProvider="AD" userName="Antonio Carlos Berwanger"/>
        <t:Anchor>
          <t:Comment id="1557565003"/>
        </t:Anchor>
        <t:SetTitle title="@Cláudio do Rego Barros Benevides , favor checar esse aqui com a SRE tbm. Que raio de &quot;vendas&quot; é isso aqui..."/>
      </t:Event>
    </t:History>
  </t:Task>
  <t:Task id="{35768F84-A468-4FBA-9998-A620AA5FD39E}">
    <t:Anchor>
      <t:Comment id="595994619"/>
    </t:Anchor>
    <t:History>
      <t:Event id="{C163B70C-0CFF-4232-98DE-502C277D8214}" time="2020-12-18T15:15:06Z">
        <t:Attribution userId="S::berwanger@cvm.gov.br::52106e5f-c8ff-4501-b497-d873ebcbb54c" userProvider="AD" userName="Antonio Carlos Berwanger"/>
        <t:Anchor>
          <t:Comment id="319226731"/>
        </t:Anchor>
        <t:Create/>
      </t:Event>
      <t:Event id="{9468B037-48DE-4413-8652-F5C38E3AE3B6}" time="2020-12-18T15:15:06Z">
        <t:Attribution userId="S::berwanger@cvm.gov.br::52106e5f-c8ff-4501-b497-d873ebcbb54c" userProvider="AD" userName="Antonio Carlos Berwanger"/>
        <t:Anchor>
          <t:Comment id="319226731"/>
        </t:Anchor>
        <t:Assign userId="S::RSouza@cvm.gov.br::a3872d2b-e3ba-4185-87e8-f9ebcd136cdb" userProvider="AD" userName="Raphael Acácio Gomes dos Santos de Souza"/>
      </t:Event>
      <t:Event id="{7F8F00BA-18A2-4C0B-9107-4A8257D427C6}" time="2020-12-18T15:15:06Z">
        <t:Attribution userId="S::berwanger@cvm.gov.br::52106e5f-c8ff-4501-b497-d873ebcbb54c" userProvider="AD" userName="Antonio Carlos Berwanger"/>
        <t:Anchor>
          <t:Comment id="319226731"/>
        </t:Anchor>
        <t:SetTitle title="Ok, vamos colocar lá então. @Raphael Acácio Gomes dos Santos de Souza"/>
      </t:Event>
      <t:Event id="{08CB4856-BFEC-4FEC-BEA9-0929E5FAA781}" time="2020-12-18T15:47:45Z">
        <t:Attribution userId="S::rsouza@cvm.gov.br::a3872d2b-e3ba-4185-87e8-f9ebcd136cdb" userProvider="AD" userName="Raphael Acácio Gomes dos Santos de Souza"/>
        <t:Progress percentComplete="100"/>
      </t:Event>
    </t:History>
  </t:Task>
  <t:Task id="{D38D29B4-D9E7-45EB-ABC7-2A99F0B6A520}">
    <t:Anchor>
      <t:Comment id="3842031"/>
    </t:Anchor>
    <t:History>
      <t:Event id="{778AD3FC-25FF-427E-AC36-7B14A23B760E}" time="2021-01-27T14:19:31Z">
        <t:Attribution userId="S::berwanger@cvm.gov.br::52106e5f-c8ff-4501-b497-d873ebcbb54c" userProvider="AD" userName="Antonio Carlos Berwanger"/>
        <t:Anchor>
          <t:Comment id="3842031"/>
        </t:Anchor>
        <t:Create/>
      </t:Event>
      <t:Event id="{E2E7FD27-367F-47F1-8F96-08BE84FDD3C7}" time="2021-01-27T14:19:31Z">
        <t:Attribution userId="S::berwanger@cvm.gov.br::52106e5f-c8ff-4501-b497-d873ebcbb54c" userProvider="AD" userName="Antonio Carlos Berwanger"/>
        <t:Anchor>
          <t:Comment id="3842031"/>
        </t:Anchor>
        <t:Assign userId="S::JoaoL@cvm.gov.br::ac16734f-0cca-4811-a655-94091b3b44d7" userProvider="AD" userName="João Lombardi Vargas"/>
      </t:Event>
      <t:Event id="{E46746E4-C5FF-41F5-84B8-5251C5553920}" time="2021-01-27T14:19:31Z">
        <t:Attribution userId="S::berwanger@cvm.gov.br::52106e5f-c8ff-4501-b497-d873ebcbb54c" userProvider="AD" userName="Antonio Carlos Berwanger"/>
        <t:Anchor>
          <t:Comment id="3842031"/>
        </t:Anchor>
        <t:SetTitle title="Checar. @João Lombardi Vargas"/>
      </t:Event>
    </t:History>
  </t:Task>
  <t:Task id="{687D93FC-33D4-446E-9ED8-D98A4A03AC2D}">
    <t:Anchor>
      <t:Comment id="593910852"/>
    </t:Anchor>
    <t:History>
      <t:Event id="{67B6E57F-1422-4003-B6E6-A4ACA9E3DE68}" time="2020-12-18T15:17:23Z">
        <t:Attribution userId="S::berwanger@cvm.gov.br::52106e5f-c8ff-4501-b497-d873ebcbb54c" userProvider="AD" userName="Antonio Carlos Berwanger"/>
        <t:Anchor>
          <t:Comment id="1921207757"/>
        </t:Anchor>
        <t:Create/>
      </t:Event>
      <t:Event id="{03D4CF32-EE3F-46B0-B847-E0863B80541D}" time="2020-12-18T15:17:23Z">
        <t:Attribution userId="S::berwanger@cvm.gov.br::52106e5f-c8ff-4501-b497-d873ebcbb54c" userProvider="AD" userName="Antonio Carlos Berwanger"/>
        <t:Anchor>
          <t:Comment id="1921207757"/>
        </t:Anchor>
        <t:Assign userId="S::cbenevides@cvm.gov.br::5e5f2572-36ed-4c62-b596-106d86d871ce" userProvider="AD" userName="Cláudio do Rego Barros Benevides"/>
      </t:Event>
      <t:Event id="{5C050757-2540-4A33-AB17-5431B002863F}" time="2020-12-18T15:17:23Z">
        <t:Attribution userId="S::berwanger@cvm.gov.br::52106e5f-c8ff-4501-b497-d873ebcbb54c" userProvider="AD" userName="Antonio Carlos Berwanger"/>
        <t:Anchor>
          <t:Comment id="1921207757"/>
        </t:Anchor>
        <t:SetTitle title="@Cláudio do Rego Barros Benevides"/>
      </t:Event>
    </t:History>
  </t:Task>
  <t:Task id="{2C919B3A-CCDC-4C52-A0F6-33E52527355B}">
    <t:Anchor>
      <t:Comment id="596017692"/>
    </t:Anchor>
    <t:History>
      <t:Event id="{6BB69E00-7C99-44E5-B8F3-DD86D744C817}" time="2020-12-18T15:23:19Z">
        <t:Attribution userId="S::berwanger@cvm.gov.br::52106e5f-c8ff-4501-b497-d873ebcbb54c" userProvider="AD" userName="Antonio Carlos Berwanger"/>
        <t:Anchor>
          <t:Comment id="1917557173"/>
        </t:Anchor>
        <t:Create/>
      </t:Event>
      <t:Event id="{1756621B-CA30-4F69-831C-5AEC3AB326A3}" time="2020-12-18T15:23:19Z">
        <t:Attribution userId="S::berwanger@cvm.gov.br::52106e5f-c8ff-4501-b497-d873ebcbb54c" userProvider="AD" userName="Antonio Carlos Berwanger"/>
        <t:Anchor>
          <t:Comment id="1917557173"/>
        </t:Anchor>
        <t:Assign userId="S::JoaoL@cvm.gov.br::ac16734f-0cca-4811-a655-94091b3b44d7" userProvider="AD" userName="João Lombardi Vargas"/>
      </t:Event>
      <t:Event id="{B1500695-F7EB-4587-A5E2-C66E37B2CCD7}" time="2020-12-18T15:23:19Z">
        <t:Attribution userId="S::berwanger@cvm.gov.br::52106e5f-c8ff-4501-b497-d873ebcbb54c" userProvider="AD" userName="Antonio Carlos Berwanger"/>
        <t:Anchor>
          <t:Comment id="1917557173"/>
        </t:Anchor>
        <t:SetTitle title="@João Lombardi Vargas"/>
      </t:Event>
    </t:History>
  </t:Task>
  <t:Task id="{A5ED2841-F653-4F4B-B987-006C1E7B0B60}">
    <t:Anchor>
      <t:Comment id="179067752"/>
    </t:Anchor>
    <t:History>
      <t:Event id="{9F610C22-4276-4A72-B3B6-F82052A5A76C}" time="2020-12-18T15:22:58Z">
        <t:Attribution userId="S::berwanger@cvm.gov.br::52106e5f-c8ff-4501-b497-d873ebcbb54c" userProvider="AD" userName="Antonio Carlos Berwanger"/>
        <t:Anchor>
          <t:Comment id="2105962060"/>
        </t:Anchor>
        <t:Create/>
      </t:Event>
      <t:Event id="{1C478632-2FAF-4ED6-BA94-2063F5AA8B61}" time="2020-12-18T15:22:58Z">
        <t:Attribution userId="S::berwanger@cvm.gov.br::52106e5f-c8ff-4501-b497-d873ebcbb54c" userProvider="AD" userName="Antonio Carlos Berwanger"/>
        <t:Anchor>
          <t:Comment id="2105962060"/>
        </t:Anchor>
        <t:Assign userId="S::RSouza@cvm.gov.br::a3872d2b-e3ba-4185-87e8-f9ebcd136cdb" userProvider="AD" userName="Raphael Acácio Gomes dos Santos de Souza"/>
      </t:Event>
      <t:Event id="{D73DCC08-165D-49F4-9449-E81066B85058}" time="2020-12-18T15:22:58Z">
        <t:Attribution userId="S::berwanger@cvm.gov.br::52106e5f-c8ff-4501-b497-d873ebcbb54c" userProvider="AD" userName="Antonio Carlos Berwanger"/>
        <t:Anchor>
          <t:Comment id="2105962060"/>
        </t:Anchor>
        <t:SetTitle title="@Raphael Acácio Gomes dos Santos de Souza"/>
      </t:Event>
    </t:History>
  </t:Task>
  <t:Task id="{94F1EB57-FD72-4025-9C40-BC98A3566440}">
    <t:Anchor>
      <t:Comment id="1072463025"/>
    </t:Anchor>
    <t:History>
      <t:Event id="{DC580C90-79BB-4939-AD0A-0A0A0E889ED4}" time="2020-12-18T15:22:58Z">
        <t:Attribution userId="S::berwanger@cvm.gov.br::52106e5f-c8ff-4501-b497-d873ebcbb54c" userProvider="AD" userName="Antonio Carlos Berwanger"/>
        <t:Anchor>
          <t:Comment id="886715870"/>
        </t:Anchor>
        <t:Create/>
      </t:Event>
      <t:Event id="{F02DA08D-0336-4C12-8CFE-CE94665E9164}" time="2020-12-18T15:22:58Z">
        <t:Attribution userId="S::berwanger@cvm.gov.br::52106e5f-c8ff-4501-b497-d873ebcbb54c" userProvider="AD" userName="Antonio Carlos Berwanger"/>
        <t:Anchor>
          <t:Comment id="886715870"/>
        </t:Anchor>
        <t:Assign userId="S::RSouza@cvm.gov.br::a3872d2b-e3ba-4185-87e8-f9ebcd136cdb" userProvider="AD" userName="Raphael Acácio Gomes dos Santos de Souza"/>
      </t:Event>
      <t:Event id="{D736ACD3-1C00-4005-B8E9-46D144008121}" time="2020-12-18T15:22:58Z">
        <t:Attribution userId="S::berwanger@cvm.gov.br::52106e5f-c8ff-4501-b497-d873ebcbb54c" userProvider="AD" userName="Antonio Carlos Berwanger"/>
        <t:Anchor>
          <t:Comment id="886715870"/>
        </t:Anchor>
        <t:SetTitle title="@Raphael Acácio Gomes dos Santos de Souza"/>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Props1.xml><?xml version="1.0" encoding="utf-8"?>
<ds:datastoreItem xmlns:ds="http://schemas.openxmlformats.org/officeDocument/2006/customXml" ds:itemID="{877F5273-A1C3-49BC-8B25-18B5CBD5A51F}">
  <ds:schemaRefs>
    <ds:schemaRef ds:uri="http://schemas.microsoft.com/sharepoint/v3/contenttype/forms"/>
  </ds:schemaRefs>
</ds:datastoreItem>
</file>

<file path=customXml/itemProps2.xml><?xml version="1.0" encoding="utf-8"?>
<ds:datastoreItem xmlns:ds="http://schemas.openxmlformats.org/officeDocument/2006/customXml" ds:itemID="{775EA4C6-7F73-45DE-95C7-405EC22A4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C1062-56FA-49BF-9CBA-67B4929E8C88}">
  <ds:schemaRefs>
    <ds:schemaRef ds:uri="http://schemas.openxmlformats.org/officeDocument/2006/bibliography"/>
  </ds:schemaRefs>
</ds:datastoreItem>
</file>

<file path=customXml/itemProps4.xml><?xml version="1.0" encoding="utf-8"?>
<ds:datastoreItem xmlns:ds="http://schemas.openxmlformats.org/officeDocument/2006/customXml" ds:itemID="{0C42E2A7-A18D-4CFB-A5D2-85B01516BE04}">
  <ds:schemaRefs>
    <ds:schemaRef ds:uri="http://schemas.openxmlformats.org/officeDocument/2006/bibliography"/>
  </ds:schemaRefs>
</ds:datastoreItem>
</file>

<file path=customXml/itemProps5.xml><?xml version="1.0" encoding="utf-8"?>
<ds:datastoreItem xmlns:ds="http://schemas.openxmlformats.org/officeDocument/2006/customXml" ds:itemID="{D05E6E86-1564-4B47-B06D-ADBF05233F58}">
  <ds:schemaRefs>
    <ds:schemaRef ds:uri="http://schemas.microsoft.com/office/2006/metadata/properties"/>
    <ds:schemaRef ds:uri="http://schemas.microsoft.com/office/infopath/2007/PartnerControls"/>
    <ds:schemaRef ds:uri="15cb24ba-756a-4ce4-ac9a-5f0544b5554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139</Pages>
  <Words>41346</Words>
  <Characters>223271</Characters>
  <Application>Microsoft Office Word</Application>
  <DocSecurity>0</DocSecurity>
  <Lines>1860</Lines>
  <Paragraphs>528</Paragraphs>
  <ScaleCrop>false</ScaleCrop>
  <HeadingPairs>
    <vt:vector size="2" baseType="variant">
      <vt:variant>
        <vt:lpstr>Título</vt:lpstr>
      </vt:variant>
      <vt:variant>
        <vt:i4>1</vt:i4>
      </vt:variant>
    </vt:vector>
  </HeadingPairs>
  <TitlesOfParts>
    <vt:vector size="1" baseType="lpstr">
      <vt:lpstr>Resolução CVM nº 160 (texto consolidado)</vt:lpstr>
    </vt:vector>
  </TitlesOfParts>
  <Company/>
  <LinksUpToDate>false</LinksUpToDate>
  <CharactersWithSpaces>264089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160 (texto consolidado)</dc:title>
  <dc:subject/>
  <dc:creator>CVM</dc:creator>
  <cp:keywords/>
  <cp:lastModifiedBy>Renato Sterental Goldberg</cp:lastModifiedBy>
  <cp:revision>6</cp:revision>
  <cp:lastPrinted>2021-03-06T11:27:00Z</cp:lastPrinted>
  <dcterms:created xsi:type="dcterms:W3CDTF">2023-05-30T22:00:00Z</dcterms:created>
  <dcterms:modified xsi:type="dcterms:W3CDTF">2023-06-01T12:06:00Z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af2fc796-9f54-4825-bea3-4f51b5f85ae1</vt:lpwstr>
  </property>
  <property fmtid="{D5CDD505-2E9C-101B-9397-08002B2CF9AE}" pid="3" name="MAIL_MSG_ID1">
    <vt:lpwstr>cDAAG8WauhVQp5GDXQNyKn+oaiJFTi4buFL0RuVBR47Y7v2IPCvDB5vMk9DuDL5KB6H+Qg5XOwHVGlbU_x000d_
0zPIaJnAm1PiBHNtDnIUDbo1vQUlHrcPnMMfLS/5EM9nzsnw7PWFZjD7dCT80MZvapz5HmoGyl34_x000d_
ApHvk0JJw1iLNDxLPjx+9oLCNB65UCzl9i7bukBqlQeceSY06kisIXkcAIL2JA==</vt:lpwstr>
  </property>
  <property fmtid="{D5CDD505-2E9C-101B-9397-08002B2CF9AE}" pid="4" name="RESPONSE_SENDER_NAME">
    <vt:lpwstr>4AAAv2pPQheLA5W8wdweV1tVTw5Ksf+sqBmnObHLWMCmxkOtnjKuVFGBNA==</vt:lpwstr>
  </property>
  <property fmtid="{D5CDD505-2E9C-101B-9397-08002B2CF9AE}" pid="5" name="EMAIL_OWNER_ADDRESS">
    <vt:lpwstr>sAAA2RgG6J6jCJ1//jjw5Zw8yz+TDinkBfmLbbyHgj9OdPo=</vt:lpwstr>
  </property>
  <property fmtid="{D5CDD505-2E9C-101B-9397-08002B2CF9AE}" pid="6" name="_DocHome">
    <vt:i4>-583888228</vt:i4>
  </property>
  <property fmtid="{D5CDD505-2E9C-101B-9397-08002B2CF9AE}" pid="7" name="ContentTypeId">
    <vt:lpwstr>0x010100D7D80EA79C60684B97B4965E6E8E525D</vt:lpwstr>
  </property>
</Properties>
</file>