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6F3D" w14:textId="7ABA2DC9" w:rsidR="00893D49" w:rsidRPr="00D960C9" w:rsidRDefault="00893D49" w:rsidP="00581FA2">
      <w:pPr>
        <w:pStyle w:val="TtulodaResoluo"/>
        <w:rPr>
          <w:rFonts w:asciiTheme="minorHAnsi" w:hAnsiTheme="minorHAnsi" w:cstheme="minorHAnsi"/>
        </w:rPr>
      </w:pPr>
      <w:bookmarkStart w:id="0" w:name="_Toc57836184"/>
      <w:bookmarkStart w:id="1" w:name="_Toc114818957"/>
      <w:bookmarkStart w:id="2" w:name="_Toc161141186"/>
      <w:r w:rsidRPr="0097459F">
        <w:t xml:space="preserve">RESOLUÇÃO CVM Nº </w:t>
      </w:r>
      <w:r w:rsidR="00A01063" w:rsidRPr="0097459F">
        <w:t xml:space="preserve">175, </w:t>
      </w:r>
      <w:r w:rsidRPr="0097459F">
        <w:t xml:space="preserve">DE </w:t>
      </w:r>
      <w:r w:rsidR="008F775D" w:rsidRPr="0097459F">
        <w:t>23</w:t>
      </w:r>
      <w:r w:rsidR="00A01063" w:rsidRPr="0097459F">
        <w:t xml:space="preserve"> </w:t>
      </w:r>
      <w:r w:rsidRPr="0097459F">
        <w:t xml:space="preserve">DE </w:t>
      </w:r>
      <w:r w:rsidR="00A01063" w:rsidRPr="0097459F">
        <w:t xml:space="preserve">DEZEMBRO </w:t>
      </w:r>
      <w:r w:rsidRPr="0097459F">
        <w:t xml:space="preserve">DE </w:t>
      </w:r>
      <w:bookmarkEnd w:id="0"/>
      <w:r w:rsidR="00544AA8" w:rsidRPr="0097459F">
        <w:rPr>
          <w:rFonts w:cstheme="minorHAnsi"/>
        </w:rPr>
        <w:t>2022</w:t>
      </w:r>
      <w:bookmarkEnd w:id="1"/>
      <w:r w:rsidR="003359FF">
        <w:rPr>
          <w:rFonts w:cstheme="minorHAnsi"/>
        </w:rPr>
        <w:t>,</w:t>
      </w:r>
      <w:r w:rsidR="00D960C9" w:rsidRPr="00D960C9">
        <w:rPr>
          <w:rFonts w:ascii="Times New Roman" w:hAnsi="Times New Roman" w:cs="Times New Roman"/>
          <w:b/>
          <w:bCs/>
          <w:color w:val="0D0D0D"/>
        </w:rPr>
        <w:t xml:space="preserve"> </w:t>
      </w:r>
      <w:r w:rsidR="00D960C9" w:rsidRPr="00D960C9">
        <w:rPr>
          <w:rFonts w:asciiTheme="minorHAnsi" w:hAnsiTheme="minorHAnsi" w:cstheme="minorHAnsi"/>
          <w:color w:val="0D0D0D"/>
        </w:rPr>
        <w:t>COM AS ALTERAÇÕES INTRODUZIDAS PELA</w:t>
      </w:r>
      <w:r w:rsidR="00133362">
        <w:rPr>
          <w:rFonts w:asciiTheme="minorHAnsi" w:hAnsiTheme="minorHAnsi" w:cstheme="minorHAnsi"/>
          <w:color w:val="0D0D0D"/>
        </w:rPr>
        <w:t>s</w:t>
      </w:r>
      <w:r w:rsidR="00D960C9" w:rsidRPr="00D960C9">
        <w:rPr>
          <w:rFonts w:asciiTheme="minorHAnsi" w:hAnsiTheme="minorHAnsi" w:cstheme="minorHAnsi"/>
          <w:color w:val="0D0D0D"/>
        </w:rPr>
        <w:t xml:space="preserve"> </w:t>
      </w:r>
      <w:r w:rsidR="005F4953">
        <w:rPr>
          <w:rFonts w:asciiTheme="minorHAnsi" w:hAnsiTheme="minorHAnsi" w:cstheme="minorHAnsi"/>
          <w:color w:val="0D0D0D"/>
        </w:rPr>
        <w:t>RESOLUÇ</w:t>
      </w:r>
      <w:r w:rsidR="00134910">
        <w:rPr>
          <w:rFonts w:asciiTheme="minorHAnsi" w:hAnsiTheme="minorHAnsi" w:cstheme="minorHAnsi"/>
          <w:color w:val="0D0D0D"/>
        </w:rPr>
        <w:t>ÕES</w:t>
      </w:r>
      <w:r w:rsidR="00D960C9" w:rsidRPr="00D960C9">
        <w:rPr>
          <w:rFonts w:asciiTheme="minorHAnsi" w:hAnsiTheme="minorHAnsi" w:cstheme="minorHAnsi"/>
          <w:color w:val="0D0D0D"/>
        </w:rPr>
        <w:t xml:space="preserve"> CVM Nº </w:t>
      </w:r>
      <w:r w:rsidR="00D960C9">
        <w:rPr>
          <w:rFonts w:asciiTheme="minorHAnsi" w:hAnsiTheme="minorHAnsi" w:cstheme="minorHAnsi"/>
        </w:rPr>
        <w:t>181/23</w:t>
      </w:r>
      <w:r w:rsidR="00307F61">
        <w:rPr>
          <w:rFonts w:asciiTheme="minorHAnsi" w:hAnsiTheme="minorHAnsi" w:cstheme="minorHAnsi"/>
        </w:rPr>
        <w:t xml:space="preserve">, </w:t>
      </w:r>
      <w:r w:rsidR="00133362">
        <w:rPr>
          <w:rFonts w:asciiTheme="minorHAnsi" w:hAnsiTheme="minorHAnsi" w:cstheme="minorHAnsi"/>
        </w:rPr>
        <w:t>184/23</w:t>
      </w:r>
      <w:r w:rsidR="00551557">
        <w:rPr>
          <w:rFonts w:asciiTheme="minorHAnsi" w:hAnsiTheme="minorHAnsi" w:cstheme="minorHAnsi"/>
        </w:rPr>
        <w:t xml:space="preserve">, </w:t>
      </w:r>
      <w:r w:rsidR="00307F61">
        <w:rPr>
          <w:rFonts w:asciiTheme="minorHAnsi" w:hAnsiTheme="minorHAnsi" w:cstheme="minorHAnsi"/>
        </w:rPr>
        <w:t>187/23</w:t>
      </w:r>
      <w:r w:rsidR="00551557">
        <w:rPr>
          <w:rFonts w:asciiTheme="minorHAnsi" w:hAnsiTheme="minorHAnsi" w:cstheme="minorHAnsi"/>
        </w:rPr>
        <w:t xml:space="preserve"> e 200/24.</w:t>
      </w:r>
      <w:bookmarkEnd w:id="2"/>
    </w:p>
    <w:p w14:paraId="086E4C5B" w14:textId="5EB24447" w:rsidR="00893D49" w:rsidRPr="0097459F" w:rsidRDefault="00893D49" w:rsidP="00581FA2">
      <w:pPr>
        <w:pStyle w:val="Ementa"/>
      </w:pPr>
      <w:r w:rsidRPr="0097459F">
        <w:t>Dispõe sobre a constituição, o funcionamento e a divulgação de informações dos fundos de investimento, bem como sobre a prestação de serviços para os fundos</w:t>
      </w:r>
      <w:r w:rsidR="0070514A" w:rsidRPr="0097459F">
        <w:rPr>
          <w:rFonts w:cstheme="minorHAnsi"/>
        </w:rPr>
        <w:t>, e revoga as normas que especifica</w:t>
      </w:r>
      <w:r w:rsidR="00C3047F" w:rsidRPr="0097459F">
        <w:t>.</w:t>
      </w:r>
    </w:p>
    <w:p w14:paraId="0A7406B2" w14:textId="77777777" w:rsidR="00893D49" w:rsidRPr="0097459F" w:rsidRDefault="00893D49" w:rsidP="00C20BBD">
      <w:pPr>
        <w:pStyle w:val="Captulo"/>
        <w:rPr>
          <w:rFonts w:asciiTheme="minorHAnsi" w:hAnsiTheme="minorHAnsi"/>
        </w:rPr>
      </w:pPr>
      <w:bookmarkStart w:id="3" w:name="_Toc114818958"/>
      <w:bookmarkStart w:id="4" w:name="_Toc57836185"/>
      <w:bookmarkStart w:id="5" w:name="_Toc161141187"/>
      <w:r w:rsidRPr="0097459F">
        <w:rPr>
          <w:rFonts w:asciiTheme="minorHAnsi" w:hAnsiTheme="minorHAnsi"/>
        </w:rPr>
        <w:t>SUMÁRIO</w:t>
      </w:r>
      <w:bookmarkEnd w:id="3"/>
      <w:bookmarkEnd w:id="4"/>
      <w:bookmarkEnd w:id="5"/>
    </w:p>
    <w:p w14:paraId="3951A203" w14:textId="0C2AE3F5" w:rsidR="0024171D" w:rsidRDefault="00893D49">
      <w:pPr>
        <w:pStyle w:val="Sumrio1"/>
        <w:rPr>
          <w:rFonts w:eastAsiaTheme="minorEastAsia" w:cstheme="minorBidi"/>
          <w:kern w:val="2"/>
          <w14:ligatures w14:val="standardContextual"/>
        </w:rPr>
      </w:pPr>
      <w:r w:rsidRPr="0097459F">
        <w:rPr>
          <w:rFonts w:ascii="Calibri" w:hAnsi="Calibri"/>
          <w:color w:val="000000" w:themeColor="text1"/>
          <w:shd w:val="clear" w:color="auto" w:fill="E6E6E6"/>
        </w:rPr>
        <w:fldChar w:fldCharType="begin"/>
      </w:r>
      <w:r w:rsidRPr="0097459F">
        <w:rPr>
          <w:rFonts w:ascii="Calibri" w:hAnsi="Calibri"/>
          <w:color w:val="000000" w:themeColor="text1"/>
        </w:rPr>
        <w:instrText xml:space="preserve"> TOC \o "1-3" \h \z \u </w:instrText>
      </w:r>
      <w:r w:rsidRPr="0097459F">
        <w:rPr>
          <w:rFonts w:ascii="Calibri" w:hAnsi="Calibri"/>
          <w:color w:val="000000" w:themeColor="text1"/>
          <w:shd w:val="clear" w:color="auto" w:fill="E6E6E6"/>
        </w:rPr>
        <w:fldChar w:fldCharType="separate"/>
      </w:r>
      <w:hyperlink w:anchor="_Toc161141186" w:history="1">
        <w:r w:rsidR="0024171D" w:rsidRPr="00F06B07">
          <w:rPr>
            <w:rStyle w:val="Hyperlink"/>
          </w:rPr>
          <w:t>RESOLUÇÃO CVM Nº 175, DE 23 DE DEZEMBRO DE 2022,</w:t>
        </w:r>
        <w:r w:rsidR="0024171D" w:rsidRPr="00F06B07">
          <w:rPr>
            <w:rStyle w:val="Hyperlink"/>
            <w:rFonts w:ascii="Times New Roman" w:hAnsi="Times New Roman" w:cs="Times New Roman"/>
            <w:b/>
            <w:bCs/>
          </w:rPr>
          <w:t xml:space="preserve"> </w:t>
        </w:r>
        <w:r w:rsidR="0024171D" w:rsidRPr="00F06B07">
          <w:rPr>
            <w:rStyle w:val="Hyperlink"/>
          </w:rPr>
          <w:t>COM AS ALTERAÇÕES INTRODUZIDAS PELAs RESOLUÇÕES CVM Nº 181/23, 184/23, 187/23 e 200/24.</w:t>
        </w:r>
        <w:r w:rsidR="0024171D">
          <w:rPr>
            <w:webHidden/>
          </w:rPr>
          <w:tab/>
        </w:r>
        <w:r w:rsidR="0024171D">
          <w:rPr>
            <w:webHidden/>
          </w:rPr>
          <w:fldChar w:fldCharType="begin"/>
        </w:r>
        <w:r w:rsidR="0024171D">
          <w:rPr>
            <w:webHidden/>
          </w:rPr>
          <w:instrText xml:space="preserve"> PAGEREF _Toc161141186 \h </w:instrText>
        </w:r>
        <w:r w:rsidR="0024171D">
          <w:rPr>
            <w:webHidden/>
          </w:rPr>
        </w:r>
        <w:r w:rsidR="0024171D">
          <w:rPr>
            <w:webHidden/>
          </w:rPr>
          <w:fldChar w:fldCharType="separate"/>
        </w:r>
        <w:r w:rsidR="0024171D">
          <w:rPr>
            <w:webHidden/>
          </w:rPr>
          <w:t>1</w:t>
        </w:r>
        <w:r w:rsidR="0024171D">
          <w:rPr>
            <w:webHidden/>
          </w:rPr>
          <w:fldChar w:fldCharType="end"/>
        </w:r>
      </w:hyperlink>
    </w:p>
    <w:p w14:paraId="0BC11C25" w14:textId="062104D2" w:rsidR="0024171D" w:rsidRDefault="0024171D">
      <w:pPr>
        <w:pStyle w:val="Sumrio2"/>
        <w:rPr>
          <w:rFonts w:eastAsiaTheme="minorEastAsia" w:cstheme="minorBidi"/>
          <w:b w:val="0"/>
          <w:bCs w:val="0"/>
          <w:kern w:val="2"/>
          <w14:ligatures w14:val="standardContextual"/>
        </w:rPr>
      </w:pPr>
      <w:hyperlink w:anchor="_Toc161141187" w:history="1">
        <w:r w:rsidRPr="00F06B07">
          <w:rPr>
            <w:rStyle w:val="Hyperlink"/>
          </w:rPr>
          <w:t>SUMÁRIO</w:t>
        </w:r>
        <w:r>
          <w:rPr>
            <w:webHidden/>
          </w:rPr>
          <w:tab/>
        </w:r>
        <w:r>
          <w:rPr>
            <w:webHidden/>
          </w:rPr>
          <w:fldChar w:fldCharType="begin"/>
        </w:r>
        <w:r>
          <w:rPr>
            <w:webHidden/>
          </w:rPr>
          <w:instrText xml:space="preserve"> PAGEREF _Toc161141187 \h </w:instrText>
        </w:r>
        <w:r>
          <w:rPr>
            <w:webHidden/>
          </w:rPr>
        </w:r>
        <w:r>
          <w:rPr>
            <w:webHidden/>
          </w:rPr>
          <w:fldChar w:fldCharType="separate"/>
        </w:r>
        <w:r>
          <w:rPr>
            <w:webHidden/>
          </w:rPr>
          <w:t>1</w:t>
        </w:r>
        <w:r>
          <w:rPr>
            <w:webHidden/>
          </w:rPr>
          <w:fldChar w:fldCharType="end"/>
        </w:r>
      </w:hyperlink>
    </w:p>
    <w:p w14:paraId="0A615CC2" w14:textId="71382182" w:rsidR="0024171D" w:rsidRDefault="0024171D">
      <w:pPr>
        <w:pStyle w:val="Sumrio2"/>
        <w:rPr>
          <w:rFonts w:eastAsiaTheme="minorEastAsia" w:cstheme="minorBidi"/>
          <w:b w:val="0"/>
          <w:bCs w:val="0"/>
          <w:kern w:val="2"/>
          <w14:ligatures w14:val="standardContextual"/>
        </w:rPr>
      </w:pPr>
      <w:hyperlink w:anchor="_Toc161141188" w:history="1">
        <w:r w:rsidRPr="00F06B07">
          <w:rPr>
            <w:rStyle w:val="Hyperlink"/>
          </w:rPr>
          <w:t>CAPÍTULO I – ÂMBITO E FINALIDADE</w:t>
        </w:r>
        <w:r>
          <w:rPr>
            <w:webHidden/>
          </w:rPr>
          <w:tab/>
        </w:r>
        <w:r>
          <w:rPr>
            <w:webHidden/>
          </w:rPr>
          <w:fldChar w:fldCharType="begin"/>
        </w:r>
        <w:r>
          <w:rPr>
            <w:webHidden/>
          </w:rPr>
          <w:instrText xml:space="preserve"> PAGEREF _Toc161141188 \h </w:instrText>
        </w:r>
        <w:r>
          <w:rPr>
            <w:webHidden/>
          </w:rPr>
        </w:r>
        <w:r>
          <w:rPr>
            <w:webHidden/>
          </w:rPr>
          <w:fldChar w:fldCharType="separate"/>
        </w:r>
        <w:r>
          <w:rPr>
            <w:webHidden/>
          </w:rPr>
          <w:t>11</w:t>
        </w:r>
        <w:r>
          <w:rPr>
            <w:webHidden/>
          </w:rPr>
          <w:fldChar w:fldCharType="end"/>
        </w:r>
      </w:hyperlink>
    </w:p>
    <w:p w14:paraId="5430437C" w14:textId="3F902AEE" w:rsidR="0024171D" w:rsidRDefault="0024171D">
      <w:pPr>
        <w:pStyle w:val="Sumrio2"/>
        <w:rPr>
          <w:rFonts w:eastAsiaTheme="minorEastAsia" w:cstheme="minorBidi"/>
          <w:b w:val="0"/>
          <w:bCs w:val="0"/>
          <w:kern w:val="2"/>
          <w14:ligatures w14:val="standardContextual"/>
        </w:rPr>
      </w:pPr>
      <w:hyperlink w:anchor="_Toc161141189" w:history="1">
        <w:r w:rsidRPr="00F06B07">
          <w:rPr>
            <w:rStyle w:val="Hyperlink"/>
          </w:rPr>
          <w:t>CAPÍTULO II – DEFINIÇÕES</w:t>
        </w:r>
        <w:r>
          <w:rPr>
            <w:webHidden/>
          </w:rPr>
          <w:tab/>
        </w:r>
        <w:r>
          <w:rPr>
            <w:webHidden/>
          </w:rPr>
          <w:fldChar w:fldCharType="begin"/>
        </w:r>
        <w:r>
          <w:rPr>
            <w:webHidden/>
          </w:rPr>
          <w:instrText xml:space="preserve"> PAGEREF _Toc161141189 \h </w:instrText>
        </w:r>
        <w:r>
          <w:rPr>
            <w:webHidden/>
          </w:rPr>
        </w:r>
        <w:r>
          <w:rPr>
            <w:webHidden/>
          </w:rPr>
          <w:fldChar w:fldCharType="separate"/>
        </w:r>
        <w:r>
          <w:rPr>
            <w:webHidden/>
          </w:rPr>
          <w:t>11</w:t>
        </w:r>
        <w:r>
          <w:rPr>
            <w:webHidden/>
          </w:rPr>
          <w:fldChar w:fldCharType="end"/>
        </w:r>
      </w:hyperlink>
    </w:p>
    <w:p w14:paraId="5A99D10D" w14:textId="4D215BCD" w:rsidR="0024171D" w:rsidRDefault="0024171D">
      <w:pPr>
        <w:pStyle w:val="Sumrio2"/>
        <w:rPr>
          <w:rFonts w:eastAsiaTheme="minorEastAsia" w:cstheme="minorBidi"/>
          <w:b w:val="0"/>
          <w:bCs w:val="0"/>
          <w:kern w:val="2"/>
          <w14:ligatures w14:val="standardContextual"/>
        </w:rPr>
      </w:pPr>
      <w:hyperlink w:anchor="_Toc161141190" w:history="1">
        <w:r w:rsidRPr="00F06B07">
          <w:rPr>
            <w:rStyle w:val="Hyperlink"/>
          </w:rPr>
          <w:t>CAPÍTULO III – CARACTERÍSTICAS, CONSTITUIÇÃO E COMUNICAÇÃO</w:t>
        </w:r>
        <w:r>
          <w:rPr>
            <w:webHidden/>
          </w:rPr>
          <w:tab/>
        </w:r>
        <w:r>
          <w:rPr>
            <w:webHidden/>
          </w:rPr>
          <w:fldChar w:fldCharType="begin"/>
        </w:r>
        <w:r>
          <w:rPr>
            <w:webHidden/>
          </w:rPr>
          <w:instrText xml:space="preserve"> PAGEREF _Toc161141190 \h </w:instrText>
        </w:r>
        <w:r>
          <w:rPr>
            <w:webHidden/>
          </w:rPr>
        </w:r>
        <w:r>
          <w:rPr>
            <w:webHidden/>
          </w:rPr>
          <w:fldChar w:fldCharType="separate"/>
        </w:r>
        <w:r>
          <w:rPr>
            <w:webHidden/>
          </w:rPr>
          <w:t>15</w:t>
        </w:r>
        <w:r>
          <w:rPr>
            <w:webHidden/>
          </w:rPr>
          <w:fldChar w:fldCharType="end"/>
        </w:r>
      </w:hyperlink>
    </w:p>
    <w:p w14:paraId="59F5B3DE" w14:textId="5C2178FE" w:rsidR="0024171D" w:rsidRDefault="0024171D">
      <w:pPr>
        <w:pStyle w:val="Sumrio3"/>
        <w:rPr>
          <w:rFonts w:asciiTheme="minorHAnsi" w:eastAsiaTheme="minorEastAsia" w:hAnsiTheme="minorHAnsi" w:cstheme="minorBidi"/>
          <w:noProof/>
          <w:kern w:val="2"/>
          <w14:ligatures w14:val="standardContextual"/>
        </w:rPr>
      </w:pPr>
      <w:hyperlink w:anchor="_Toc161141191" w:history="1">
        <w:r w:rsidRPr="00F06B07">
          <w:rPr>
            <w:rStyle w:val="Hyperlink"/>
            <w:noProof/>
          </w:rPr>
          <w:t>Seção I – Características Gerais</w:t>
        </w:r>
        <w:r>
          <w:rPr>
            <w:noProof/>
            <w:webHidden/>
          </w:rPr>
          <w:tab/>
        </w:r>
        <w:r>
          <w:rPr>
            <w:noProof/>
            <w:webHidden/>
          </w:rPr>
          <w:fldChar w:fldCharType="begin"/>
        </w:r>
        <w:r>
          <w:rPr>
            <w:noProof/>
            <w:webHidden/>
          </w:rPr>
          <w:instrText xml:space="preserve"> PAGEREF _Toc161141191 \h </w:instrText>
        </w:r>
        <w:r>
          <w:rPr>
            <w:noProof/>
            <w:webHidden/>
          </w:rPr>
        </w:r>
        <w:r>
          <w:rPr>
            <w:noProof/>
            <w:webHidden/>
          </w:rPr>
          <w:fldChar w:fldCharType="separate"/>
        </w:r>
        <w:r>
          <w:rPr>
            <w:noProof/>
            <w:webHidden/>
          </w:rPr>
          <w:t>15</w:t>
        </w:r>
        <w:r>
          <w:rPr>
            <w:noProof/>
            <w:webHidden/>
          </w:rPr>
          <w:fldChar w:fldCharType="end"/>
        </w:r>
      </w:hyperlink>
    </w:p>
    <w:p w14:paraId="420224D0" w14:textId="25967715" w:rsidR="0024171D" w:rsidRDefault="0024171D">
      <w:pPr>
        <w:pStyle w:val="Sumrio3"/>
        <w:rPr>
          <w:rFonts w:asciiTheme="minorHAnsi" w:eastAsiaTheme="minorEastAsia" w:hAnsiTheme="minorHAnsi" w:cstheme="minorBidi"/>
          <w:noProof/>
          <w:kern w:val="2"/>
          <w14:ligatures w14:val="standardContextual"/>
        </w:rPr>
      </w:pPr>
      <w:hyperlink w:anchor="_Toc161141192" w:history="1">
        <w:r w:rsidRPr="00F06B07">
          <w:rPr>
            <w:rStyle w:val="Hyperlink"/>
            <w:noProof/>
          </w:rPr>
          <w:t>Seção II – Constituição e Registro</w:t>
        </w:r>
        <w:r>
          <w:rPr>
            <w:noProof/>
            <w:webHidden/>
          </w:rPr>
          <w:tab/>
        </w:r>
        <w:r>
          <w:rPr>
            <w:noProof/>
            <w:webHidden/>
          </w:rPr>
          <w:fldChar w:fldCharType="begin"/>
        </w:r>
        <w:r>
          <w:rPr>
            <w:noProof/>
            <w:webHidden/>
          </w:rPr>
          <w:instrText xml:space="preserve"> PAGEREF _Toc161141192 \h </w:instrText>
        </w:r>
        <w:r>
          <w:rPr>
            <w:noProof/>
            <w:webHidden/>
          </w:rPr>
        </w:r>
        <w:r>
          <w:rPr>
            <w:noProof/>
            <w:webHidden/>
          </w:rPr>
          <w:fldChar w:fldCharType="separate"/>
        </w:r>
        <w:r>
          <w:rPr>
            <w:noProof/>
            <w:webHidden/>
          </w:rPr>
          <w:t>16</w:t>
        </w:r>
        <w:r>
          <w:rPr>
            <w:noProof/>
            <w:webHidden/>
          </w:rPr>
          <w:fldChar w:fldCharType="end"/>
        </w:r>
      </w:hyperlink>
    </w:p>
    <w:p w14:paraId="674B1F3E" w14:textId="534DAA3A" w:rsidR="0024171D" w:rsidRDefault="0024171D">
      <w:pPr>
        <w:pStyle w:val="Sumrio3"/>
        <w:rPr>
          <w:rFonts w:asciiTheme="minorHAnsi" w:eastAsiaTheme="minorEastAsia" w:hAnsiTheme="minorHAnsi" w:cstheme="minorBidi"/>
          <w:noProof/>
          <w:kern w:val="2"/>
          <w14:ligatures w14:val="standardContextual"/>
        </w:rPr>
      </w:pPr>
      <w:hyperlink w:anchor="_Toc161141193" w:history="1">
        <w:r w:rsidRPr="00F06B07">
          <w:rPr>
            <w:rStyle w:val="Hyperlink"/>
            <w:noProof/>
          </w:rPr>
          <w:t>Seção III – Comunicação</w:t>
        </w:r>
        <w:r>
          <w:rPr>
            <w:noProof/>
            <w:webHidden/>
          </w:rPr>
          <w:tab/>
        </w:r>
        <w:r>
          <w:rPr>
            <w:noProof/>
            <w:webHidden/>
          </w:rPr>
          <w:fldChar w:fldCharType="begin"/>
        </w:r>
        <w:r>
          <w:rPr>
            <w:noProof/>
            <w:webHidden/>
          </w:rPr>
          <w:instrText xml:space="preserve"> PAGEREF _Toc161141193 \h </w:instrText>
        </w:r>
        <w:r>
          <w:rPr>
            <w:noProof/>
            <w:webHidden/>
          </w:rPr>
        </w:r>
        <w:r>
          <w:rPr>
            <w:noProof/>
            <w:webHidden/>
          </w:rPr>
          <w:fldChar w:fldCharType="separate"/>
        </w:r>
        <w:r>
          <w:rPr>
            <w:noProof/>
            <w:webHidden/>
          </w:rPr>
          <w:t>18</w:t>
        </w:r>
        <w:r>
          <w:rPr>
            <w:noProof/>
            <w:webHidden/>
          </w:rPr>
          <w:fldChar w:fldCharType="end"/>
        </w:r>
      </w:hyperlink>
    </w:p>
    <w:p w14:paraId="47FA8C01" w14:textId="07D1797A" w:rsidR="0024171D" w:rsidRDefault="0024171D">
      <w:pPr>
        <w:pStyle w:val="Sumrio2"/>
        <w:rPr>
          <w:rFonts w:eastAsiaTheme="minorEastAsia" w:cstheme="minorBidi"/>
          <w:b w:val="0"/>
          <w:bCs w:val="0"/>
          <w:kern w:val="2"/>
          <w14:ligatures w14:val="standardContextual"/>
        </w:rPr>
      </w:pPr>
      <w:hyperlink w:anchor="_Toc161141194" w:history="1">
        <w:r w:rsidRPr="00F06B07">
          <w:rPr>
            <w:rStyle w:val="Hyperlink"/>
          </w:rPr>
          <w:t>CAPÍTULO IV – COTAS</w:t>
        </w:r>
        <w:r>
          <w:rPr>
            <w:webHidden/>
          </w:rPr>
          <w:tab/>
        </w:r>
        <w:r>
          <w:rPr>
            <w:webHidden/>
          </w:rPr>
          <w:fldChar w:fldCharType="begin"/>
        </w:r>
        <w:r>
          <w:rPr>
            <w:webHidden/>
          </w:rPr>
          <w:instrText xml:space="preserve"> PAGEREF _Toc161141194 \h </w:instrText>
        </w:r>
        <w:r>
          <w:rPr>
            <w:webHidden/>
          </w:rPr>
        </w:r>
        <w:r>
          <w:rPr>
            <w:webHidden/>
          </w:rPr>
          <w:fldChar w:fldCharType="separate"/>
        </w:r>
        <w:r>
          <w:rPr>
            <w:webHidden/>
          </w:rPr>
          <w:t>19</w:t>
        </w:r>
        <w:r>
          <w:rPr>
            <w:webHidden/>
          </w:rPr>
          <w:fldChar w:fldCharType="end"/>
        </w:r>
      </w:hyperlink>
    </w:p>
    <w:p w14:paraId="71D9CD37" w14:textId="31FEB346" w:rsidR="0024171D" w:rsidRDefault="0024171D">
      <w:pPr>
        <w:pStyle w:val="Sumrio3"/>
        <w:rPr>
          <w:rFonts w:asciiTheme="minorHAnsi" w:eastAsiaTheme="minorEastAsia" w:hAnsiTheme="minorHAnsi" w:cstheme="minorBidi"/>
          <w:noProof/>
          <w:kern w:val="2"/>
          <w14:ligatures w14:val="standardContextual"/>
        </w:rPr>
      </w:pPr>
      <w:hyperlink w:anchor="_Toc161141195"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_Toc161141195 \h </w:instrText>
        </w:r>
        <w:r>
          <w:rPr>
            <w:noProof/>
            <w:webHidden/>
          </w:rPr>
        </w:r>
        <w:r>
          <w:rPr>
            <w:noProof/>
            <w:webHidden/>
          </w:rPr>
          <w:fldChar w:fldCharType="separate"/>
        </w:r>
        <w:r>
          <w:rPr>
            <w:noProof/>
            <w:webHidden/>
          </w:rPr>
          <w:t>19</w:t>
        </w:r>
        <w:r>
          <w:rPr>
            <w:noProof/>
            <w:webHidden/>
          </w:rPr>
          <w:fldChar w:fldCharType="end"/>
        </w:r>
      </w:hyperlink>
    </w:p>
    <w:p w14:paraId="4BA2A26D" w14:textId="2B7B582D" w:rsidR="0024171D" w:rsidRDefault="0024171D">
      <w:pPr>
        <w:pStyle w:val="Sumrio3"/>
        <w:rPr>
          <w:rFonts w:asciiTheme="minorHAnsi" w:eastAsiaTheme="minorEastAsia" w:hAnsiTheme="minorHAnsi" w:cstheme="minorBidi"/>
          <w:noProof/>
          <w:kern w:val="2"/>
          <w14:ligatures w14:val="standardContextual"/>
        </w:rPr>
      </w:pPr>
      <w:hyperlink w:anchor="_Toc161141196" w:history="1">
        <w:r w:rsidRPr="00F06B07">
          <w:rPr>
            <w:rStyle w:val="Hyperlink"/>
            <w:noProof/>
          </w:rPr>
          <w:t>Seção II – Emissão</w:t>
        </w:r>
        <w:r>
          <w:rPr>
            <w:noProof/>
            <w:webHidden/>
          </w:rPr>
          <w:tab/>
        </w:r>
        <w:r>
          <w:rPr>
            <w:noProof/>
            <w:webHidden/>
          </w:rPr>
          <w:fldChar w:fldCharType="begin"/>
        </w:r>
        <w:r>
          <w:rPr>
            <w:noProof/>
            <w:webHidden/>
          </w:rPr>
          <w:instrText xml:space="preserve"> PAGEREF _Toc161141196 \h </w:instrText>
        </w:r>
        <w:r>
          <w:rPr>
            <w:noProof/>
            <w:webHidden/>
          </w:rPr>
        </w:r>
        <w:r>
          <w:rPr>
            <w:noProof/>
            <w:webHidden/>
          </w:rPr>
          <w:fldChar w:fldCharType="separate"/>
        </w:r>
        <w:r>
          <w:rPr>
            <w:noProof/>
            <w:webHidden/>
          </w:rPr>
          <w:t>21</w:t>
        </w:r>
        <w:r>
          <w:rPr>
            <w:noProof/>
            <w:webHidden/>
          </w:rPr>
          <w:fldChar w:fldCharType="end"/>
        </w:r>
      </w:hyperlink>
    </w:p>
    <w:p w14:paraId="393E1BB8" w14:textId="67E5441F" w:rsidR="0024171D" w:rsidRDefault="0024171D">
      <w:pPr>
        <w:pStyle w:val="Sumrio3"/>
        <w:rPr>
          <w:rFonts w:asciiTheme="minorHAnsi" w:eastAsiaTheme="minorEastAsia" w:hAnsiTheme="minorHAnsi" w:cstheme="minorBidi"/>
          <w:noProof/>
          <w:kern w:val="2"/>
          <w14:ligatures w14:val="standardContextual"/>
        </w:rPr>
      </w:pPr>
      <w:hyperlink w:anchor="_Toc161141197" w:history="1">
        <w:r w:rsidRPr="00F06B07">
          <w:rPr>
            <w:rStyle w:val="Hyperlink"/>
            <w:rFonts w:cstheme="minorHAnsi"/>
            <w:noProof/>
          </w:rPr>
          <w:t xml:space="preserve">Seção III – </w:t>
        </w:r>
        <w:r w:rsidRPr="00F06B07">
          <w:rPr>
            <w:rStyle w:val="Hyperlink"/>
            <w:noProof/>
          </w:rPr>
          <w:t>Distribuição</w:t>
        </w:r>
        <w:r>
          <w:rPr>
            <w:noProof/>
            <w:webHidden/>
          </w:rPr>
          <w:tab/>
        </w:r>
        <w:r>
          <w:rPr>
            <w:noProof/>
            <w:webHidden/>
          </w:rPr>
          <w:fldChar w:fldCharType="begin"/>
        </w:r>
        <w:r>
          <w:rPr>
            <w:noProof/>
            <w:webHidden/>
          </w:rPr>
          <w:instrText xml:space="preserve"> PAGEREF _Toc161141197 \h </w:instrText>
        </w:r>
        <w:r>
          <w:rPr>
            <w:noProof/>
            <w:webHidden/>
          </w:rPr>
        </w:r>
        <w:r>
          <w:rPr>
            <w:noProof/>
            <w:webHidden/>
          </w:rPr>
          <w:fldChar w:fldCharType="separate"/>
        </w:r>
        <w:r>
          <w:rPr>
            <w:noProof/>
            <w:webHidden/>
          </w:rPr>
          <w:t>22</w:t>
        </w:r>
        <w:r>
          <w:rPr>
            <w:noProof/>
            <w:webHidden/>
          </w:rPr>
          <w:fldChar w:fldCharType="end"/>
        </w:r>
      </w:hyperlink>
    </w:p>
    <w:p w14:paraId="1EBA3FCE" w14:textId="1BAB0125" w:rsidR="0024171D" w:rsidRDefault="0024171D">
      <w:pPr>
        <w:pStyle w:val="Sumrio3"/>
        <w:rPr>
          <w:rFonts w:asciiTheme="minorHAnsi" w:eastAsiaTheme="minorEastAsia" w:hAnsiTheme="minorHAnsi" w:cstheme="minorBidi"/>
          <w:noProof/>
          <w:kern w:val="2"/>
          <w14:ligatures w14:val="standardContextual"/>
        </w:rPr>
      </w:pPr>
      <w:hyperlink w:anchor="_Toc161141198" w:history="1">
        <w:r w:rsidRPr="00F06B07">
          <w:rPr>
            <w:rStyle w:val="Hyperlink"/>
            <w:rFonts w:cstheme="minorHAnsi"/>
            <w:noProof/>
          </w:rPr>
          <w:t xml:space="preserve">Subseção I – </w:t>
        </w:r>
        <w:r w:rsidRPr="00F06B07">
          <w:rPr>
            <w:rStyle w:val="Hyperlink"/>
            <w:noProof/>
          </w:rPr>
          <w:t>Disposições</w:t>
        </w:r>
        <w:r w:rsidRPr="00F06B07">
          <w:rPr>
            <w:rStyle w:val="Hyperlink"/>
            <w:rFonts w:cstheme="minorHAnsi"/>
            <w:noProof/>
          </w:rPr>
          <w:t xml:space="preserve"> Gerais</w:t>
        </w:r>
        <w:r>
          <w:rPr>
            <w:noProof/>
            <w:webHidden/>
          </w:rPr>
          <w:tab/>
        </w:r>
        <w:r>
          <w:rPr>
            <w:noProof/>
            <w:webHidden/>
          </w:rPr>
          <w:fldChar w:fldCharType="begin"/>
        </w:r>
        <w:r>
          <w:rPr>
            <w:noProof/>
            <w:webHidden/>
          </w:rPr>
          <w:instrText xml:space="preserve"> PAGEREF _Toc161141198 \h </w:instrText>
        </w:r>
        <w:r>
          <w:rPr>
            <w:noProof/>
            <w:webHidden/>
          </w:rPr>
        </w:r>
        <w:r>
          <w:rPr>
            <w:noProof/>
            <w:webHidden/>
          </w:rPr>
          <w:fldChar w:fldCharType="separate"/>
        </w:r>
        <w:r>
          <w:rPr>
            <w:noProof/>
            <w:webHidden/>
          </w:rPr>
          <w:t>22</w:t>
        </w:r>
        <w:r>
          <w:rPr>
            <w:noProof/>
            <w:webHidden/>
          </w:rPr>
          <w:fldChar w:fldCharType="end"/>
        </w:r>
      </w:hyperlink>
    </w:p>
    <w:p w14:paraId="6A2E9322" w14:textId="1015788F" w:rsidR="0024171D" w:rsidRDefault="0024171D">
      <w:pPr>
        <w:pStyle w:val="Sumrio3"/>
        <w:rPr>
          <w:rFonts w:asciiTheme="minorHAnsi" w:eastAsiaTheme="minorEastAsia" w:hAnsiTheme="minorHAnsi" w:cstheme="minorBidi"/>
          <w:noProof/>
          <w:kern w:val="2"/>
          <w14:ligatures w14:val="standardContextual"/>
        </w:rPr>
      </w:pPr>
      <w:hyperlink w:anchor="_Toc161141199" w:history="1">
        <w:r w:rsidRPr="00F06B07">
          <w:rPr>
            <w:rStyle w:val="Hyperlink"/>
            <w:rFonts w:cstheme="minorHAnsi"/>
            <w:noProof/>
          </w:rPr>
          <w:t>Subseção</w:t>
        </w:r>
        <w:r w:rsidRPr="00F06B07">
          <w:rPr>
            <w:rStyle w:val="Hyperlink"/>
            <w:noProof/>
          </w:rPr>
          <w:t xml:space="preserve"> II – Regime Aberto</w:t>
        </w:r>
        <w:r>
          <w:rPr>
            <w:noProof/>
            <w:webHidden/>
          </w:rPr>
          <w:tab/>
        </w:r>
        <w:r>
          <w:rPr>
            <w:noProof/>
            <w:webHidden/>
          </w:rPr>
          <w:fldChar w:fldCharType="begin"/>
        </w:r>
        <w:r>
          <w:rPr>
            <w:noProof/>
            <w:webHidden/>
          </w:rPr>
          <w:instrText xml:space="preserve"> PAGEREF _Toc161141199 \h </w:instrText>
        </w:r>
        <w:r>
          <w:rPr>
            <w:noProof/>
            <w:webHidden/>
          </w:rPr>
        </w:r>
        <w:r>
          <w:rPr>
            <w:noProof/>
            <w:webHidden/>
          </w:rPr>
          <w:fldChar w:fldCharType="separate"/>
        </w:r>
        <w:r>
          <w:rPr>
            <w:noProof/>
            <w:webHidden/>
          </w:rPr>
          <w:t>22</w:t>
        </w:r>
        <w:r>
          <w:rPr>
            <w:noProof/>
            <w:webHidden/>
          </w:rPr>
          <w:fldChar w:fldCharType="end"/>
        </w:r>
      </w:hyperlink>
    </w:p>
    <w:p w14:paraId="17CF5C44" w14:textId="381C4D47" w:rsidR="0024171D" w:rsidRDefault="0024171D">
      <w:pPr>
        <w:pStyle w:val="Sumrio3"/>
        <w:rPr>
          <w:rFonts w:asciiTheme="minorHAnsi" w:eastAsiaTheme="minorEastAsia" w:hAnsiTheme="minorHAnsi" w:cstheme="minorBidi"/>
          <w:noProof/>
          <w:kern w:val="2"/>
          <w14:ligatures w14:val="standardContextual"/>
        </w:rPr>
      </w:pPr>
      <w:hyperlink w:anchor="_Toc161141200" w:history="1">
        <w:r w:rsidRPr="00F06B07">
          <w:rPr>
            <w:rStyle w:val="Hyperlink"/>
            <w:noProof/>
          </w:rPr>
          <w:t>Subseção III – Regime Fechado</w:t>
        </w:r>
        <w:r>
          <w:rPr>
            <w:noProof/>
            <w:webHidden/>
          </w:rPr>
          <w:tab/>
        </w:r>
        <w:r>
          <w:rPr>
            <w:noProof/>
            <w:webHidden/>
          </w:rPr>
          <w:fldChar w:fldCharType="begin"/>
        </w:r>
        <w:r>
          <w:rPr>
            <w:noProof/>
            <w:webHidden/>
          </w:rPr>
          <w:instrText xml:space="preserve"> PAGEREF _Toc161141200 \h </w:instrText>
        </w:r>
        <w:r>
          <w:rPr>
            <w:noProof/>
            <w:webHidden/>
          </w:rPr>
        </w:r>
        <w:r>
          <w:rPr>
            <w:noProof/>
            <w:webHidden/>
          </w:rPr>
          <w:fldChar w:fldCharType="separate"/>
        </w:r>
        <w:r>
          <w:rPr>
            <w:noProof/>
            <w:webHidden/>
          </w:rPr>
          <w:t>23</w:t>
        </w:r>
        <w:r>
          <w:rPr>
            <w:noProof/>
            <w:webHidden/>
          </w:rPr>
          <w:fldChar w:fldCharType="end"/>
        </w:r>
      </w:hyperlink>
    </w:p>
    <w:p w14:paraId="0913592D" w14:textId="41DF1315" w:rsidR="0024171D" w:rsidRDefault="0024171D">
      <w:pPr>
        <w:pStyle w:val="Sumrio3"/>
        <w:rPr>
          <w:rFonts w:asciiTheme="minorHAnsi" w:eastAsiaTheme="minorEastAsia" w:hAnsiTheme="minorHAnsi" w:cstheme="minorBidi"/>
          <w:noProof/>
          <w:kern w:val="2"/>
          <w14:ligatures w14:val="standardContextual"/>
        </w:rPr>
      </w:pPr>
      <w:hyperlink w:anchor="_Toc161141201" w:history="1">
        <w:r w:rsidRPr="00F06B07">
          <w:rPr>
            <w:rStyle w:val="Hyperlink"/>
            <w:noProof/>
          </w:rPr>
          <w:t>Subseção IV – Subscrição e Integralização</w:t>
        </w:r>
        <w:r>
          <w:rPr>
            <w:noProof/>
            <w:webHidden/>
          </w:rPr>
          <w:tab/>
        </w:r>
        <w:r>
          <w:rPr>
            <w:noProof/>
            <w:webHidden/>
          </w:rPr>
          <w:fldChar w:fldCharType="begin"/>
        </w:r>
        <w:r>
          <w:rPr>
            <w:noProof/>
            <w:webHidden/>
          </w:rPr>
          <w:instrText xml:space="preserve"> PAGEREF _Toc161141201 \h </w:instrText>
        </w:r>
        <w:r>
          <w:rPr>
            <w:noProof/>
            <w:webHidden/>
          </w:rPr>
        </w:r>
        <w:r>
          <w:rPr>
            <w:noProof/>
            <w:webHidden/>
          </w:rPr>
          <w:fldChar w:fldCharType="separate"/>
        </w:r>
        <w:r>
          <w:rPr>
            <w:noProof/>
            <w:webHidden/>
          </w:rPr>
          <w:t>23</w:t>
        </w:r>
        <w:r>
          <w:rPr>
            <w:noProof/>
            <w:webHidden/>
          </w:rPr>
          <w:fldChar w:fldCharType="end"/>
        </w:r>
      </w:hyperlink>
    </w:p>
    <w:p w14:paraId="4650B6DD" w14:textId="0B44A71E" w:rsidR="0024171D" w:rsidRDefault="0024171D">
      <w:pPr>
        <w:pStyle w:val="Sumrio3"/>
        <w:rPr>
          <w:rFonts w:asciiTheme="minorHAnsi" w:eastAsiaTheme="minorEastAsia" w:hAnsiTheme="minorHAnsi" w:cstheme="minorBidi"/>
          <w:noProof/>
          <w:kern w:val="2"/>
          <w14:ligatures w14:val="standardContextual"/>
        </w:rPr>
      </w:pPr>
      <w:hyperlink w:anchor="_Toc161141202" w:history="1">
        <w:r w:rsidRPr="00F06B07">
          <w:rPr>
            <w:rStyle w:val="Hyperlink"/>
            <w:noProof/>
          </w:rPr>
          <w:t>Subseção V – Investimento por Conta e Ordem</w:t>
        </w:r>
        <w:r>
          <w:rPr>
            <w:noProof/>
            <w:webHidden/>
          </w:rPr>
          <w:tab/>
        </w:r>
        <w:r>
          <w:rPr>
            <w:noProof/>
            <w:webHidden/>
          </w:rPr>
          <w:fldChar w:fldCharType="begin"/>
        </w:r>
        <w:r>
          <w:rPr>
            <w:noProof/>
            <w:webHidden/>
          </w:rPr>
          <w:instrText xml:space="preserve"> PAGEREF _Toc161141202 \h </w:instrText>
        </w:r>
        <w:r>
          <w:rPr>
            <w:noProof/>
            <w:webHidden/>
          </w:rPr>
        </w:r>
        <w:r>
          <w:rPr>
            <w:noProof/>
            <w:webHidden/>
          </w:rPr>
          <w:fldChar w:fldCharType="separate"/>
        </w:r>
        <w:r>
          <w:rPr>
            <w:noProof/>
            <w:webHidden/>
          </w:rPr>
          <w:t>25</w:t>
        </w:r>
        <w:r>
          <w:rPr>
            <w:noProof/>
            <w:webHidden/>
          </w:rPr>
          <w:fldChar w:fldCharType="end"/>
        </w:r>
      </w:hyperlink>
    </w:p>
    <w:p w14:paraId="218419DF" w14:textId="047E3E5F" w:rsidR="0024171D" w:rsidRDefault="0024171D">
      <w:pPr>
        <w:pStyle w:val="Sumrio3"/>
        <w:rPr>
          <w:rFonts w:asciiTheme="minorHAnsi" w:eastAsiaTheme="minorEastAsia" w:hAnsiTheme="minorHAnsi" w:cstheme="minorBidi"/>
          <w:noProof/>
          <w:kern w:val="2"/>
          <w14:ligatures w14:val="standardContextual"/>
        </w:rPr>
      </w:pPr>
      <w:hyperlink w:anchor="_Toc161141203" w:history="1">
        <w:r w:rsidRPr="00F06B07">
          <w:rPr>
            <w:rStyle w:val="Hyperlink"/>
            <w:noProof/>
          </w:rPr>
          <w:t>Subseção VI – Participação Política de Investidor por Conta e Ordem</w:t>
        </w:r>
        <w:r>
          <w:rPr>
            <w:noProof/>
            <w:webHidden/>
          </w:rPr>
          <w:tab/>
        </w:r>
        <w:r>
          <w:rPr>
            <w:noProof/>
            <w:webHidden/>
          </w:rPr>
          <w:fldChar w:fldCharType="begin"/>
        </w:r>
        <w:r>
          <w:rPr>
            <w:noProof/>
            <w:webHidden/>
          </w:rPr>
          <w:instrText xml:space="preserve"> PAGEREF _Toc161141203 \h </w:instrText>
        </w:r>
        <w:r>
          <w:rPr>
            <w:noProof/>
            <w:webHidden/>
          </w:rPr>
        </w:r>
        <w:r>
          <w:rPr>
            <w:noProof/>
            <w:webHidden/>
          </w:rPr>
          <w:fldChar w:fldCharType="separate"/>
        </w:r>
        <w:r>
          <w:rPr>
            <w:noProof/>
            <w:webHidden/>
          </w:rPr>
          <w:t>28</w:t>
        </w:r>
        <w:r>
          <w:rPr>
            <w:noProof/>
            <w:webHidden/>
          </w:rPr>
          <w:fldChar w:fldCharType="end"/>
        </w:r>
      </w:hyperlink>
    </w:p>
    <w:p w14:paraId="63E154D4" w14:textId="53365229" w:rsidR="0024171D" w:rsidRDefault="0024171D">
      <w:pPr>
        <w:pStyle w:val="Sumrio3"/>
        <w:rPr>
          <w:rFonts w:asciiTheme="minorHAnsi" w:eastAsiaTheme="minorEastAsia" w:hAnsiTheme="minorHAnsi" w:cstheme="minorBidi"/>
          <w:noProof/>
          <w:kern w:val="2"/>
          <w14:ligatures w14:val="standardContextual"/>
        </w:rPr>
      </w:pPr>
      <w:hyperlink w:anchor="_Toc161141204" w:history="1">
        <w:r w:rsidRPr="00F06B07">
          <w:rPr>
            <w:rStyle w:val="Hyperlink"/>
            <w:noProof/>
          </w:rPr>
          <w:t>Seção IV – Resgate e Amortização</w:t>
        </w:r>
        <w:r>
          <w:rPr>
            <w:noProof/>
            <w:webHidden/>
          </w:rPr>
          <w:tab/>
        </w:r>
        <w:r>
          <w:rPr>
            <w:noProof/>
            <w:webHidden/>
          </w:rPr>
          <w:fldChar w:fldCharType="begin"/>
        </w:r>
        <w:r>
          <w:rPr>
            <w:noProof/>
            <w:webHidden/>
          </w:rPr>
          <w:instrText xml:space="preserve"> PAGEREF _Toc161141204 \h </w:instrText>
        </w:r>
        <w:r>
          <w:rPr>
            <w:noProof/>
            <w:webHidden/>
          </w:rPr>
        </w:r>
        <w:r>
          <w:rPr>
            <w:noProof/>
            <w:webHidden/>
          </w:rPr>
          <w:fldChar w:fldCharType="separate"/>
        </w:r>
        <w:r>
          <w:rPr>
            <w:noProof/>
            <w:webHidden/>
          </w:rPr>
          <w:t>29</w:t>
        </w:r>
        <w:r>
          <w:rPr>
            <w:noProof/>
            <w:webHidden/>
          </w:rPr>
          <w:fldChar w:fldCharType="end"/>
        </w:r>
      </w:hyperlink>
    </w:p>
    <w:p w14:paraId="56803A88" w14:textId="6C987B7A" w:rsidR="0024171D" w:rsidRDefault="0024171D">
      <w:pPr>
        <w:pStyle w:val="Sumrio3"/>
        <w:rPr>
          <w:rFonts w:asciiTheme="minorHAnsi" w:eastAsiaTheme="minorEastAsia" w:hAnsiTheme="minorHAnsi" w:cstheme="minorBidi"/>
          <w:noProof/>
          <w:kern w:val="2"/>
          <w14:ligatures w14:val="standardContextual"/>
        </w:rPr>
      </w:pPr>
      <w:hyperlink w:anchor="_Toc161141205" w:history="1">
        <w:r w:rsidRPr="00F06B07">
          <w:rPr>
            <w:rStyle w:val="Hyperlink"/>
            <w:bCs/>
            <w:noProof/>
          </w:rPr>
          <w:t>Seção V –</w:t>
        </w:r>
        <w:r w:rsidRPr="00F06B07">
          <w:rPr>
            <w:rStyle w:val="Hyperlink"/>
            <w:noProof/>
          </w:rPr>
          <w:t xml:space="preserve"> Negociação com </w:t>
        </w:r>
        <w:r w:rsidRPr="00F06B07">
          <w:rPr>
            <w:rStyle w:val="Hyperlink"/>
            <w:bCs/>
            <w:noProof/>
          </w:rPr>
          <w:t>Uso Indevido de Informação Privilegiada</w:t>
        </w:r>
        <w:r>
          <w:rPr>
            <w:noProof/>
            <w:webHidden/>
          </w:rPr>
          <w:tab/>
        </w:r>
        <w:r>
          <w:rPr>
            <w:noProof/>
            <w:webHidden/>
          </w:rPr>
          <w:fldChar w:fldCharType="begin"/>
        </w:r>
        <w:r>
          <w:rPr>
            <w:noProof/>
            <w:webHidden/>
          </w:rPr>
          <w:instrText xml:space="preserve"> PAGEREF _Toc161141205 \h </w:instrText>
        </w:r>
        <w:r>
          <w:rPr>
            <w:noProof/>
            <w:webHidden/>
          </w:rPr>
        </w:r>
        <w:r>
          <w:rPr>
            <w:noProof/>
            <w:webHidden/>
          </w:rPr>
          <w:fldChar w:fldCharType="separate"/>
        </w:r>
        <w:r>
          <w:rPr>
            <w:noProof/>
            <w:webHidden/>
          </w:rPr>
          <w:t>31</w:t>
        </w:r>
        <w:r>
          <w:rPr>
            <w:noProof/>
            <w:webHidden/>
          </w:rPr>
          <w:fldChar w:fldCharType="end"/>
        </w:r>
      </w:hyperlink>
    </w:p>
    <w:p w14:paraId="1052545E" w14:textId="0429210B" w:rsidR="0024171D" w:rsidRDefault="0024171D">
      <w:pPr>
        <w:pStyle w:val="Sumrio2"/>
        <w:rPr>
          <w:rFonts w:eastAsiaTheme="minorEastAsia" w:cstheme="minorBidi"/>
          <w:b w:val="0"/>
          <w:bCs w:val="0"/>
          <w:kern w:val="2"/>
          <w14:ligatures w14:val="standardContextual"/>
        </w:rPr>
      </w:pPr>
      <w:hyperlink w:anchor="_Toc161141206" w:history="1">
        <w:r w:rsidRPr="00F06B07">
          <w:rPr>
            <w:rStyle w:val="Hyperlink"/>
          </w:rPr>
          <w:t>CAPÍTULO V – DOCUMENTOS E INFORMAÇÕES</w:t>
        </w:r>
        <w:r>
          <w:rPr>
            <w:webHidden/>
          </w:rPr>
          <w:tab/>
        </w:r>
        <w:r>
          <w:rPr>
            <w:webHidden/>
          </w:rPr>
          <w:fldChar w:fldCharType="begin"/>
        </w:r>
        <w:r>
          <w:rPr>
            <w:webHidden/>
          </w:rPr>
          <w:instrText xml:space="preserve"> PAGEREF _Toc161141206 \h </w:instrText>
        </w:r>
        <w:r>
          <w:rPr>
            <w:webHidden/>
          </w:rPr>
        </w:r>
        <w:r>
          <w:rPr>
            <w:webHidden/>
          </w:rPr>
          <w:fldChar w:fldCharType="separate"/>
        </w:r>
        <w:r>
          <w:rPr>
            <w:webHidden/>
          </w:rPr>
          <w:t>33</w:t>
        </w:r>
        <w:r>
          <w:rPr>
            <w:webHidden/>
          </w:rPr>
          <w:fldChar w:fldCharType="end"/>
        </w:r>
      </w:hyperlink>
    </w:p>
    <w:p w14:paraId="417B4F46" w14:textId="20442F9A" w:rsidR="0024171D" w:rsidRDefault="0024171D">
      <w:pPr>
        <w:pStyle w:val="Sumrio3"/>
        <w:rPr>
          <w:rFonts w:asciiTheme="minorHAnsi" w:eastAsiaTheme="minorEastAsia" w:hAnsiTheme="minorHAnsi" w:cstheme="minorBidi"/>
          <w:noProof/>
          <w:kern w:val="2"/>
          <w14:ligatures w14:val="standardContextual"/>
        </w:rPr>
      </w:pPr>
      <w:hyperlink w:anchor="_Toc161141207"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_Toc161141207 \h </w:instrText>
        </w:r>
        <w:r>
          <w:rPr>
            <w:noProof/>
            <w:webHidden/>
          </w:rPr>
        </w:r>
        <w:r>
          <w:rPr>
            <w:noProof/>
            <w:webHidden/>
          </w:rPr>
          <w:fldChar w:fldCharType="separate"/>
        </w:r>
        <w:r>
          <w:rPr>
            <w:noProof/>
            <w:webHidden/>
          </w:rPr>
          <w:t>33</w:t>
        </w:r>
        <w:r>
          <w:rPr>
            <w:noProof/>
            <w:webHidden/>
          </w:rPr>
          <w:fldChar w:fldCharType="end"/>
        </w:r>
      </w:hyperlink>
    </w:p>
    <w:p w14:paraId="329D01F4" w14:textId="7067B64A" w:rsidR="0024171D" w:rsidRDefault="0024171D">
      <w:pPr>
        <w:pStyle w:val="Sumrio3"/>
        <w:rPr>
          <w:rFonts w:asciiTheme="minorHAnsi" w:eastAsiaTheme="minorEastAsia" w:hAnsiTheme="minorHAnsi" w:cstheme="minorBidi"/>
          <w:noProof/>
          <w:kern w:val="2"/>
          <w14:ligatures w14:val="standardContextual"/>
        </w:rPr>
      </w:pPr>
      <w:hyperlink w:anchor="_Toc161141208" w:history="1">
        <w:r w:rsidRPr="00F06B07">
          <w:rPr>
            <w:rStyle w:val="Hyperlink"/>
            <w:noProof/>
          </w:rPr>
          <w:t>Seção II – Regulamento</w:t>
        </w:r>
        <w:r>
          <w:rPr>
            <w:noProof/>
            <w:webHidden/>
          </w:rPr>
          <w:tab/>
        </w:r>
        <w:r>
          <w:rPr>
            <w:noProof/>
            <w:webHidden/>
          </w:rPr>
          <w:fldChar w:fldCharType="begin"/>
        </w:r>
        <w:r>
          <w:rPr>
            <w:noProof/>
            <w:webHidden/>
          </w:rPr>
          <w:instrText xml:space="preserve"> PAGEREF _Toc161141208 \h </w:instrText>
        </w:r>
        <w:r>
          <w:rPr>
            <w:noProof/>
            <w:webHidden/>
          </w:rPr>
        </w:r>
        <w:r>
          <w:rPr>
            <w:noProof/>
            <w:webHidden/>
          </w:rPr>
          <w:fldChar w:fldCharType="separate"/>
        </w:r>
        <w:r>
          <w:rPr>
            <w:noProof/>
            <w:webHidden/>
          </w:rPr>
          <w:t>34</w:t>
        </w:r>
        <w:r>
          <w:rPr>
            <w:noProof/>
            <w:webHidden/>
          </w:rPr>
          <w:fldChar w:fldCharType="end"/>
        </w:r>
      </w:hyperlink>
    </w:p>
    <w:p w14:paraId="4C60B918" w14:textId="4C7C7CA9" w:rsidR="0024171D" w:rsidRDefault="0024171D">
      <w:pPr>
        <w:pStyle w:val="Sumrio3"/>
        <w:rPr>
          <w:rFonts w:asciiTheme="minorHAnsi" w:eastAsiaTheme="minorEastAsia" w:hAnsiTheme="minorHAnsi" w:cstheme="minorBidi"/>
          <w:noProof/>
          <w:kern w:val="2"/>
          <w14:ligatures w14:val="standardContextual"/>
        </w:rPr>
      </w:pPr>
      <w:hyperlink w:anchor="_Toc161141209" w:history="1">
        <w:r w:rsidRPr="00F06B07">
          <w:rPr>
            <w:rStyle w:val="Hyperlink"/>
            <w:noProof/>
          </w:rPr>
          <w:t>Seção III – Material de Divulgação</w:t>
        </w:r>
        <w:r>
          <w:rPr>
            <w:noProof/>
            <w:webHidden/>
          </w:rPr>
          <w:tab/>
        </w:r>
        <w:r>
          <w:rPr>
            <w:noProof/>
            <w:webHidden/>
          </w:rPr>
          <w:fldChar w:fldCharType="begin"/>
        </w:r>
        <w:r>
          <w:rPr>
            <w:noProof/>
            <w:webHidden/>
          </w:rPr>
          <w:instrText xml:space="preserve"> PAGEREF _Toc161141209 \h </w:instrText>
        </w:r>
        <w:r>
          <w:rPr>
            <w:noProof/>
            <w:webHidden/>
          </w:rPr>
        </w:r>
        <w:r>
          <w:rPr>
            <w:noProof/>
            <w:webHidden/>
          </w:rPr>
          <w:fldChar w:fldCharType="separate"/>
        </w:r>
        <w:r>
          <w:rPr>
            <w:noProof/>
            <w:webHidden/>
          </w:rPr>
          <w:t>39</w:t>
        </w:r>
        <w:r>
          <w:rPr>
            <w:noProof/>
            <w:webHidden/>
          </w:rPr>
          <w:fldChar w:fldCharType="end"/>
        </w:r>
      </w:hyperlink>
    </w:p>
    <w:p w14:paraId="35A9A430" w14:textId="1BD18584" w:rsidR="0024171D" w:rsidRDefault="0024171D">
      <w:pPr>
        <w:pStyle w:val="Sumrio2"/>
        <w:rPr>
          <w:rFonts w:eastAsiaTheme="minorEastAsia" w:cstheme="minorBidi"/>
          <w:b w:val="0"/>
          <w:bCs w:val="0"/>
          <w:kern w:val="2"/>
          <w14:ligatures w14:val="standardContextual"/>
        </w:rPr>
      </w:pPr>
      <w:hyperlink w:anchor="_Toc161141210" w:history="1">
        <w:r w:rsidRPr="00F06B07">
          <w:rPr>
            <w:rStyle w:val="Hyperlink"/>
          </w:rPr>
          <w:t>CAPÍTULO VI – DIVULGAÇÃO DE INFORMAÇÕES</w:t>
        </w:r>
        <w:r>
          <w:rPr>
            <w:webHidden/>
          </w:rPr>
          <w:tab/>
        </w:r>
        <w:r>
          <w:rPr>
            <w:webHidden/>
          </w:rPr>
          <w:fldChar w:fldCharType="begin"/>
        </w:r>
        <w:r>
          <w:rPr>
            <w:webHidden/>
          </w:rPr>
          <w:instrText xml:space="preserve"> PAGEREF _Toc161141210 \h </w:instrText>
        </w:r>
        <w:r>
          <w:rPr>
            <w:webHidden/>
          </w:rPr>
        </w:r>
        <w:r>
          <w:rPr>
            <w:webHidden/>
          </w:rPr>
          <w:fldChar w:fldCharType="separate"/>
        </w:r>
        <w:r>
          <w:rPr>
            <w:webHidden/>
          </w:rPr>
          <w:t>42</w:t>
        </w:r>
        <w:r>
          <w:rPr>
            <w:webHidden/>
          </w:rPr>
          <w:fldChar w:fldCharType="end"/>
        </w:r>
      </w:hyperlink>
    </w:p>
    <w:p w14:paraId="480C9071" w14:textId="7D739ED9" w:rsidR="0024171D" w:rsidRDefault="0024171D">
      <w:pPr>
        <w:pStyle w:val="Sumrio3"/>
        <w:rPr>
          <w:rFonts w:asciiTheme="minorHAnsi" w:eastAsiaTheme="minorEastAsia" w:hAnsiTheme="minorHAnsi" w:cstheme="minorBidi"/>
          <w:noProof/>
          <w:kern w:val="2"/>
          <w14:ligatures w14:val="standardContextual"/>
        </w:rPr>
      </w:pPr>
      <w:hyperlink w:anchor="_Toc161141211"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_Toc161141211 \h </w:instrText>
        </w:r>
        <w:r>
          <w:rPr>
            <w:noProof/>
            <w:webHidden/>
          </w:rPr>
        </w:r>
        <w:r>
          <w:rPr>
            <w:noProof/>
            <w:webHidden/>
          </w:rPr>
          <w:fldChar w:fldCharType="separate"/>
        </w:r>
        <w:r>
          <w:rPr>
            <w:noProof/>
            <w:webHidden/>
          </w:rPr>
          <w:t>42</w:t>
        </w:r>
        <w:r>
          <w:rPr>
            <w:noProof/>
            <w:webHidden/>
          </w:rPr>
          <w:fldChar w:fldCharType="end"/>
        </w:r>
      </w:hyperlink>
    </w:p>
    <w:p w14:paraId="250E1213" w14:textId="5F313ECC" w:rsidR="0024171D" w:rsidRDefault="0024171D">
      <w:pPr>
        <w:pStyle w:val="Sumrio3"/>
        <w:rPr>
          <w:rFonts w:asciiTheme="minorHAnsi" w:eastAsiaTheme="minorEastAsia" w:hAnsiTheme="minorHAnsi" w:cstheme="minorBidi"/>
          <w:noProof/>
          <w:kern w:val="2"/>
          <w14:ligatures w14:val="standardContextual"/>
        </w:rPr>
      </w:pPr>
      <w:hyperlink w:anchor="_Toc161141212" w:history="1">
        <w:r w:rsidRPr="00F06B07">
          <w:rPr>
            <w:rStyle w:val="Hyperlink"/>
            <w:rFonts w:cstheme="minorHAnsi"/>
            <w:noProof/>
          </w:rPr>
          <w:t>Seção II – Fatos Relevantes</w:t>
        </w:r>
        <w:r>
          <w:rPr>
            <w:noProof/>
            <w:webHidden/>
          </w:rPr>
          <w:tab/>
        </w:r>
        <w:r>
          <w:rPr>
            <w:noProof/>
            <w:webHidden/>
          </w:rPr>
          <w:fldChar w:fldCharType="begin"/>
        </w:r>
        <w:r>
          <w:rPr>
            <w:noProof/>
            <w:webHidden/>
          </w:rPr>
          <w:instrText xml:space="preserve"> PAGEREF _Toc161141212 \h </w:instrText>
        </w:r>
        <w:r>
          <w:rPr>
            <w:noProof/>
            <w:webHidden/>
          </w:rPr>
        </w:r>
        <w:r>
          <w:rPr>
            <w:noProof/>
            <w:webHidden/>
          </w:rPr>
          <w:fldChar w:fldCharType="separate"/>
        </w:r>
        <w:r>
          <w:rPr>
            <w:noProof/>
            <w:webHidden/>
          </w:rPr>
          <w:t>42</w:t>
        </w:r>
        <w:r>
          <w:rPr>
            <w:noProof/>
            <w:webHidden/>
          </w:rPr>
          <w:fldChar w:fldCharType="end"/>
        </w:r>
      </w:hyperlink>
    </w:p>
    <w:p w14:paraId="27D82045" w14:textId="53553193" w:rsidR="0024171D" w:rsidRDefault="0024171D">
      <w:pPr>
        <w:pStyle w:val="Sumrio3"/>
        <w:rPr>
          <w:rFonts w:asciiTheme="minorHAnsi" w:eastAsiaTheme="minorEastAsia" w:hAnsiTheme="minorHAnsi" w:cstheme="minorBidi"/>
          <w:noProof/>
          <w:kern w:val="2"/>
          <w14:ligatures w14:val="standardContextual"/>
        </w:rPr>
      </w:pPr>
      <w:hyperlink w:anchor="_Toc161141213" w:history="1">
        <w:r w:rsidRPr="00F06B07">
          <w:rPr>
            <w:rStyle w:val="Hyperlink"/>
            <w:noProof/>
          </w:rPr>
          <w:t>Seção III – Demonstrações Contábeis e Relatórios de Auditoria</w:t>
        </w:r>
        <w:r>
          <w:rPr>
            <w:noProof/>
            <w:webHidden/>
          </w:rPr>
          <w:tab/>
        </w:r>
        <w:r>
          <w:rPr>
            <w:noProof/>
            <w:webHidden/>
          </w:rPr>
          <w:fldChar w:fldCharType="begin"/>
        </w:r>
        <w:r>
          <w:rPr>
            <w:noProof/>
            <w:webHidden/>
          </w:rPr>
          <w:instrText xml:space="preserve"> PAGEREF _Toc161141213 \h </w:instrText>
        </w:r>
        <w:r>
          <w:rPr>
            <w:noProof/>
            <w:webHidden/>
          </w:rPr>
        </w:r>
        <w:r>
          <w:rPr>
            <w:noProof/>
            <w:webHidden/>
          </w:rPr>
          <w:fldChar w:fldCharType="separate"/>
        </w:r>
        <w:r>
          <w:rPr>
            <w:noProof/>
            <w:webHidden/>
          </w:rPr>
          <w:t>44</w:t>
        </w:r>
        <w:r>
          <w:rPr>
            <w:noProof/>
            <w:webHidden/>
          </w:rPr>
          <w:fldChar w:fldCharType="end"/>
        </w:r>
      </w:hyperlink>
    </w:p>
    <w:p w14:paraId="295AC7D7" w14:textId="64A5C0EB" w:rsidR="0024171D" w:rsidRDefault="0024171D">
      <w:pPr>
        <w:pStyle w:val="Sumrio2"/>
        <w:rPr>
          <w:rFonts w:eastAsiaTheme="minorEastAsia" w:cstheme="minorBidi"/>
          <w:b w:val="0"/>
          <w:bCs w:val="0"/>
          <w:kern w:val="2"/>
          <w14:ligatures w14:val="standardContextual"/>
        </w:rPr>
      </w:pPr>
      <w:hyperlink w:anchor="_Toc161141214" w:history="1">
        <w:r w:rsidRPr="00F06B07">
          <w:rPr>
            <w:rStyle w:val="Hyperlink"/>
          </w:rPr>
          <w:t>CAPÍTULO VII – ASSEMBLEIA DE COTISTAS</w:t>
        </w:r>
        <w:r>
          <w:rPr>
            <w:webHidden/>
          </w:rPr>
          <w:tab/>
        </w:r>
        <w:r>
          <w:rPr>
            <w:webHidden/>
          </w:rPr>
          <w:fldChar w:fldCharType="begin"/>
        </w:r>
        <w:r>
          <w:rPr>
            <w:webHidden/>
          </w:rPr>
          <w:instrText xml:space="preserve"> PAGEREF _Toc161141214 \h </w:instrText>
        </w:r>
        <w:r>
          <w:rPr>
            <w:webHidden/>
          </w:rPr>
        </w:r>
        <w:r>
          <w:rPr>
            <w:webHidden/>
          </w:rPr>
          <w:fldChar w:fldCharType="separate"/>
        </w:r>
        <w:r>
          <w:rPr>
            <w:webHidden/>
          </w:rPr>
          <w:t>44</w:t>
        </w:r>
        <w:r>
          <w:rPr>
            <w:webHidden/>
          </w:rPr>
          <w:fldChar w:fldCharType="end"/>
        </w:r>
      </w:hyperlink>
    </w:p>
    <w:p w14:paraId="1AB1559B" w14:textId="4B05E609" w:rsidR="0024171D" w:rsidRDefault="0024171D">
      <w:pPr>
        <w:pStyle w:val="Sumrio3"/>
        <w:rPr>
          <w:rFonts w:asciiTheme="minorHAnsi" w:eastAsiaTheme="minorEastAsia" w:hAnsiTheme="minorHAnsi" w:cstheme="minorBidi"/>
          <w:noProof/>
          <w:kern w:val="2"/>
          <w14:ligatures w14:val="standardContextual"/>
        </w:rPr>
      </w:pPr>
      <w:hyperlink w:anchor="_Toc161141215" w:history="1">
        <w:r w:rsidRPr="00F06B07">
          <w:rPr>
            <w:rStyle w:val="Hyperlink"/>
            <w:noProof/>
          </w:rPr>
          <w:t>Seção I – Competência</w:t>
        </w:r>
        <w:r>
          <w:rPr>
            <w:noProof/>
            <w:webHidden/>
          </w:rPr>
          <w:tab/>
        </w:r>
        <w:r>
          <w:rPr>
            <w:noProof/>
            <w:webHidden/>
          </w:rPr>
          <w:fldChar w:fldCharType="begin"/>
        </w:r>
        <w:r>
          <w:rPr>
            <w:noProof/>
            <w:webHidden/>
          </w:rPr>
          <w:instrText xml:space="preserve"> PAGEREF _Toc161141215 \h </w:instrText>
        </w:r>
        <w:r>
          <w:rPr>
            <w:noProof/>
            <w:webHidden/>
          </w:rPr>
        </w:r>
        <w:r>
          <w:rPr>
            <w:noProof/>
            <w:webHidden/>
          </w:rPr>
          <w:fldChar w:fldCharType="separate"/>
        </w:r>
        <w:r>
          <w:rPr>
            <w:noProof/>
            <w:webHidden/>
          </w:rPr>
          <w:t>44</w:t>
        </w:r>
        <w:r>
          <w:rPr>
            <w:noProof/>
            <w:webHidden/>
          </w:rPr>
          <w:fldChar w:fldCharType="end"/>
        </w:r>
      </w:hyperlink>
    </w:p>
    <w:p w14:paraId="202DCE43" w14:textId="11637992" w:rsidR="0024171D" w:rsidRDefault="0024171D">
      <w:pPr>
        <w:pStyle w:val="Sumrio3"/>
        <w:rPr>
          <w:rFonts w:asciiTheme="minorHAnsi" w:eastAsiaTheme="minorEastAsia" w:hAnsiTheme="minorHAnsi" w:cstheme="minorBidi"/>
          <w:noProof/>
          <w:kern w:val="2"/>
          <w14:ligatures w14:val="standardContextual"/>
        </w:rPr>
      </w:pPr>
      <w:hyperlink w:anchor="_Toc161141216" w:history="1">
        <w:r w:rsidRPr="00F06B07">
          <w:rPr>
            <w:rStyle w:val="Hyperlink"/>
            <w:noProof/>
          </w:rPr>
          <w:t>Seção II – Convocação e Instalação</w:t>
        </w:r>
        <w:r>
          <w:rPr>
            <w:noProof/>
            <w:webHidden/>
          </w:rPr>
          <w:tab/>
        </w:r>
        <w:r>
          <w:rPr>
            <w:noProof/>
            <w:webHidden/>
          </w:rPr>
          <w:fldChar w:fldCharType="begin"/>
        </w:r>
        <w:r>
          <w:rPr>
            <w:noProof/>
            <w:webHidden/>
          </w:rPr>
          <w:instrText xml:space="preserve"> PAGEREF _Toc161141216 \h </w:instrText>
        </w:r>
        <w:r>
          <w:rPr>
            <w:noProof/>
            <w:webHidden/>
          </w:rPr>
        </w:r>
        <w:r>
          <w:rPr>
            <w:noProof/>
            <w:webHidden/>
          </w:rPr>
          <w:fldChar w:fldCharType="separate"/>
        </w:r>
        <w:r>
          <w:rPr>
            <w:noProof/>
            <w:webHidden/>
          </w:rPr>
          <w:t>46</w:t>
        </w:r>
        <w:r>
          <w:rPr>
            <w:noProof/>
            <w:webHidden/>
          </w:rPr>
          <w:fldChar w:fldCharType="end"/>
        </w:r>
      </w:hyperlink>
    </w:p>
    <w:p w14:paraId="184EA799" w14:textId="700A3CFC" w:rsidR="0024171D" w:rsidRDefault="0024171D">
      <w:pPr>
        <w:pStyle w:val="Sumrio3"/>
        <w:rPr>
          <w:rFonts w:asciiTheme="minorHAnsi" w:eastAsiaTheme="minorEastAsia" w:hAnsiTheme="minorHAnsi" w:cstheme="minorBidi"/>
          <w:noProof/>
          <w:kern w:val="2"/>
          <w14:ligatures w14:val="standardContextual"/>
        </w:rPr>
      </w:pPr>
      <w:hyperlink w:anchor="_Toc161141217" w:history="1">
        <w:r w:rsidRPr="00F06B07">
          <w:rPr>
            <w:rStyle w:val="Hyperlink"/>
            <w:noProof/>
          </w:rPr>
          <w:t>Seção III – Deliberações</w:t>
        </w:r>
        <w:r>
          <w:rPr>
            <w:noProof/>
            <w:webHidden/>
          </w:rPr>
          <w:tab/>
        </w:r>
        <w:r>
          <w:rPr>
            <w:noProof/>
            <w:webHidden/>
          </w:rPr>
          <w:fldChar w:fldCharType="begin"/>
        </w:r>
        <w:r>
          <w:rPr>
            <w:noProof/>
            <w:webHidden/>
          </w:rPr>
          <w:instrText xml:space="preserve"> PAGEREF _Toc161141217 \h </w:instrText>
        </w:r>
        <w:r>
          <w:rPr>
            <w:noProof/>
            <w:webHidden/>
          </w:rPr>
        </w:r>
        <w:r>
          <w:rPr>
            <w:noProof/>
            <w:webHidden/>
          </w:rPr>
          <w:fldChar w:fldCharType="separate"/>
        </w:r>
        <w:r>
          <w:rPr>
            <w:noProof/>
            <w:webHidden/>
          </w:rPr>
          <w:t>48</w:t>
        </w:r>
        <w:r>
          <w:rPr>
            <w:noProof/>
            <w:webHidden/>
          </w:rPr>
          <w:fldChar w:fldCharType="end"/>
        </w:r>
      </w:hyperlink>
    </w:p>
    <w:p w14:paraId="1C806875" w14:textId="36A0E0AC" w:rsidR="0024171D" w:rsidRDefault="0024171D">
      <w:pPr>
        <w:pStyle w:val="Sumrio2"/>
        <w:rPr>
          <w:rFonts w:eastAsiaTheme="minorEastAsia" w:cstheme="minorBidi"/>
          <w:b w:val="0"/>
          <w:bCs w:val="0"/>
          <w:kern w:val="2"/>
          <w14:ligatures w14:val="standardContextual"/>
        </w:rPr>
      </w:pPr>
      <w:hyperlink w:anchor="_Toc161141218" w:history="1">
        <w:r w:rsidRPr="00F06B07">
          <w:rPr>
            <w:rStyle w:val="Hyperlink"/>
          </w:rPr>
          <w:t>CAPÍTULO VIII – PRESTAÇÃO DE SERVIÇOS</w:t>
        </w:r>
        <w:r>
          <w:rPr>
            <w:webHidden/>
          </w:rPr>
          <w:tab/>
        </w:r>
        <w:r>
          <w:rPr>
            <w:webHidden/>
          </w:rPr>
          <w:fldChar w:fldCharType="begin"/>
        </w:r>
        <w:r>
          <w:rPr>
            <w:webHidden/>
          </w:rPr>
          <w:instrText xml:space="preserve"> PAGEREF _Toc161141218 \h </w:instrText>
        </w:r>
        <w:r>
          <w:rPr>
            <w:webHidden/>
          </w:rPr>
        </w:r>
        <w:r>
          <w:rPr>
            <w:webHidden/>
          </w:rPr>
          <w:fldChar w:fldCharType="separate"/>
        </w:r>
        <w:r>
          <w:rPr>
            <w:webHidden/>
          </w:rPr>
          <w:t>50</w:t>
        </w:r>
        <w:r>
          <w:rPr>
            <w:webHidden/>
          </w:rPr>
          <w:fldChar w:fldCharType="end"/>
        </w:r>
      </w:hyperlink>
    </w:p>
    <w:p w14:paraId="05341C1C" w14:textId="05BCBEF3" w:rsidR="0024171D" w:rsidRDefault="0024171D">
      <w:pPr>
        <w:pStyle w:val="Sumrio3"/>
        <w:rPr>
          <w:rFonts w:asciiTheme="minorHAnsi" w:eastAsiaTheme="minorEastAsia" w:hAnsiTheme="minorHAnsi" w:cstheme="minorBidi"/>
          <w:noProof/>
          <w:kern w:val="2"/>
          <w14:ligatures w14:val="standardContextual"/>
        </w:rPr>
      </w:pPr>
      <w:hyperlink w:anchor="_Toc161141219"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_Toc161141219 \h </w:instrText>
        </w:r>
        <w:r>
          <w:rPr>
            <w:noProof/>
            <w:webHidden/>
          </w:rPr>
        </w:r>
        <w:r>
          <w:rPr>
            <w:noProof/>
            <w:webHidden/>
          </w:rPr>
          <w:fldChar w:fldCharType="separate"/>
        </w:r>
        <w:r>
          <w:rPr>
            <w:noProof/>
            <w:webHidden/>
          </w:rPr>
          <w:t>50</w:t>
        </w:r>
        <w:r>
          <w:rPr>
            <w:noProof/>
            <w:webHidden/>
          </w:rPr>
          <w:fldChar w:fldCharType="end"/>
        </w:r>
      </w:hyperlink>
    </w:p>
    <w:p w14:paraId="3B271C37" w14:textId="7DAF82C9" w:rsidR="0024171D" w:rsidRDefault="0024171D">
      <w:pPr>
        <w:pStyle w:val="Sumrio3"/>
        <w:rPr>
          <w:rFonts w:asciiTheme="minorHAnsi" w:eastAsiaTheme="minorEastAsia" w:hAnsiTheme="minorHAnsi" w:cstheme="minorBidi"/>
          <w:noProof/>
          <w:kern w:val="2"/>
          <w14:ligatures w14:val="standardContextual"/>
        </w:rPr>
      </w:pPr>
      <w:hyperlink w:anchor="_Toc161141220" w:history="1">
        <w:r w:rsidRPr="00F06B07">
          <w:rPr>
            <w:rStyle w:val="Hyperlink"/>
            <w:noProof/>
          </w:rPr>
          <w:t>Seção II – Serviços Essenciais</w:t>
        </w:r>
        <w:r>
          <w:rPr>
            <w:noProof/>
            <w:webHidden/>
          </w:rPr>
          <w:tab/>
        </w:r>
        <w:r>
          <w:rPr>
            <w:noProof/>
            <w:webHidden/>
          </w:rPr>
          <w:fldChar w:fldCharType="begin"/>
        </w:r>
        <w:r>
          <w:rPr>
            <w:noProof/>
            <w:webHidden/>
          </w:rPr>
          <w:instrText xml:space="preserve"> PAGEREF _Toc161141220 \h </w:instrText>
        </w:r>
        <w:r>
          <w:rPr>
            <w:noProof/>
            <w:webHidden/>
          </w:rPr>
        </w:r>
        <w:r>
          <w:rPr>
            <w:noProof/>
            <w:webHidden/>
          </w:rPr>
          <w:fldChar w:fldCharType="separate"/>
        </w:r>
        <w:r>
          <w:rPr>
            <w:noProof/>
            <w:webHidden/>
          </w:rPr>
          <w:t>50</w:t>
        </w:r>
        <w:r>
          <w:rPr>
            <w:noProof/>
            <w:webHidden/>
          </w:rPr>
          <w:fldChar w:fldCharType="end"/>
        </w:r>
      </w:hyperlink>
    </w:p>
    <w:p w14:paraId="66722CBD" w14:textId="58D1CA72" w:rsidR="0024171D" w:rsidRDefault="0024171D">
      <w:pPr>
        <w:pStyle w:val="Sumrio3"/>
        <w:rPr>
          <w:rFonts w:asciiTheme="minorHAnsi" w:eastAsiaTheme="minorEastAsia" w:hAnsiTheme="minorHAnsi" w:cstheme="minorBidi"/>
          <w:noProof/>
          <w:kern w:val="2"/>
          <w14:ligatures w14:val="standardContextual"/>
        </w:rPr>
      </w:pPr>
      <w:hyperlink w:anchor="_Toc161141221" w:history="1">
        <w:r w:rsidRPr="00F06B07">
          <w:rPr>
            <w:rStyle w:val="Hyperlink"/>
            <w:rFonts w:cstheme="minorHAnsi"/>
            <w:noProof/>
          </w:rPr>
          <w:t>Subseção I – Funções do Administrador</w:t>
        </w:r>
        <w:r>
          <w:rPr>
            <w:noProof/>
            <w:webHidden/>
          </w:rPr>
          <w:tab/>
        </w:r>
        <w:r>
          <w:rPr>
            <w:noProof/>
            <w:webHidden/>
          </w:rPr>
          <w:fldChar w:fldCharType="begin"/>
        </w:r>
        <w:r>
          <w:rPr>
            <w:noProof/>
            <w:webHidden/>
          </w:rPr>
          <w:instrText xml:space="preserve"> PAGEREF _Toc161141221 \h </w:instrText>
        </w:r>
        <w:r>
          <w:rPr>
            <w:noProof/>
            <w:webHidden/>
          </w:rPr>
        </w:r>
        <w:r>
          <w:rPr>
            <w:noProof/>
            <w:webHidden/>
          </w:rPr>
          <w:fldChar w:fldCharType="separate"/>
        </w:r>
        <w:r>
          <w:rPr>
            <w:noProof/>
            <w:webHidden/>
          </w:rPr>
          <w:t>50</w:t>
        </w:r>
        <w:r>
          <w:rPr>
            <w:noProof/>
            <w:webHidden/>
          </w:rPr>
          <w:fldChar w:fldCharType="end"/>
        </w:r>
      </w:hyperlink>
    </w:p>
    <w:p w14:paraId="452B48CB" w14:textId="180A1704" w:rsidR="0024171D" w:rsidRDefault="0024171D">
      <w:pPr>
        <w:pStyle w:val="Sumrio3"/>
        <w:rPr>
          <w:rFonts w:asciiTheme="minorHAnsi" w:eastAsiaTheme="minorEastAsia" w:hAnsiTheme="minorHAnsi" w:cstheme="minorBidi"/>
          <w:noProof/>
          <w:kern w:val="2"/>
          <w14:ligatures w14:val="standardContextual"/>
        </w:rPr>
      </w:pPr>
      <w:hyperlink w:anchor="_Toc161141222" w:history="1">
        <w:r w:rsidRPr="00F06B07">
          <w:rPr>
            <w:rStyle w:val="Hyperlink"/>
            <w:rFonts w:cstheme="minorHAnsi"/>
            <w:noProof/>
          </w:rPr>
          <w:t>Subseção II – Funções do Gestor</w:t>
        </w:r>
        <w:r>
          <w:rPr>
            <w:noProof/>
            <w:webHidden/>
          </w:rPr>
          <w:tab/>
        </w:r>
        <w:r>
          <w:rPr>
            <w:noProof/>
            <w:webHidden/>
          </w:rPr>
          <w:fldChar w:fldCharType="begin"/>
        </w:r>
        <w:r>
          <w:rPr>
            <w:noProof/>
            <w:webHidden/>
          </w:rPr>
          <w:instrText xml:space="preserve"> PAGEREF _Toc161141222 \h </w:instrText>
        </w:r>
        <w:r>
          <w:rPr>
            <w:noProof/>
            <w:webHidden/>
          </w:rPr>
        </w:r>
        <w:r>
          <w:rPr>
            <w:noProof/>
            <w:webHidden/>
          </w:rPr>
          <w:fldChar w:fldCharType="separate"/>
        </w:r>
        <w:r>
          <w:rPr>
            <w:noProof/>
            <w:webHidden/>
          </w:rPr>
          <w:t>51</w:t>
        </w:r>
        <w:r>
          <w:rPr>
            <w:noProof/>
            <w:webHidden/>
          </w:rPr>
          <w:fldChar w:fldCharType="end"/>
        </w:r>
      </w:hyperlink>
    </w:p>
    <w:p w14:paraId="2894706F" w14:textId="76463198" w:rsidR="0024171D" w:rsidRDefault="0024171D">
      <w:pPr>
        <w:pStyle w:val="Sumrio3"/>
        <w:rPr>
          <w:rFonts w:asciiTheme="minorHAnsi" w:eastAsiaTheme="minorEastAsia" w:hAnsiTheme="minorHAnsi" w:cstheme="minorBidi"/>
          <w:noProof/>
          <w:kern w:val="2"/>
          <w14:ligatures w14:val="standardContextual"/>
        </w:rPr>
      </w:pPr>
      <w:hyperlink w:anchor="_Toc161141223" w:history="1">
        <w:r w:rsidRPr="00F06B07">
          <w:rPr>
            <w:rStyle w:val="Hyperlink"/>
            <w:rFonts w:cstheme="minorHAnsi"/>
            <w:noProof/>
          </w:rPr>
          <w:t>Subseção III – Negociação de Ativos</w:t>
        </w:r>
        <w:r>
          <w:rPr>
            <w:noProof/>
            <w:webHidden/>
          </w:rPr>
          <w:tab/>
        </w:r>
        <w:r>
          <w:rPr>
            <w:noProof/>
            <w:webHidden/>
          </w:rPr>
          <w:fldChar w:fldCharType="begin"/>
        </w:r>
        <w:r>
          <w:rPr>
            <w:noProof/>
            <w:webHidden/>
          </w:rPr>
          <w:instrText xml:space="preserve"> PAGEREF _Toc161141223 \h </w:instrText>
        </w:r>
        <w:r>
          <w:rPr>
            <w:noProof/>
            <w:webHidden/>
          </w:rPr>
        </w:r>
        <w:r>
          <w:rPr>
            <w:noProof/>
            <w:webHidden/>
          </w:rPr>
          <w:fldChar w:fldCharType="separate"/>
        </w:r>
        <w:r>
          <w:rPr>
            <w:noProof/>
            <w:webHidden/>
          </w:rPr>
          <w:t>52</w:t>
        </w:r>
        <w:r>
          <w:rPr>
            <w:noProof/>
            <w:webHidden/>
          </w:rPr>
          <w:fldChar w:fldCharType="end"/>
        </w:r>
      </w:hyperlink>
    </w:p>
    <w:p w14:paraId="61AA203F" w14:textId="22A284AA" w:rsidR="0024171D" w:rsidRDefault="0024171D">
      <w:pPr>
        <w:pStyle w:val="Sumrio3"/>
        <w:rPr>
          <w:rFonts w:asciiTheme="minorHAnsi" w:eastAsiaTheme="minorEastAsia" w:hAnsiTheme="minorHAnsi" w:cstheme="minorBidi"/>
          <w:noProof/>
          <w:kern w:val="2"/>
          <w14:ligatures w14:val="standardContextual"/>
        </w:rPr>
      </w:pPr>
      <w:hyperlink w:anchor="_Toc161141224" w:history="1">
        <w:r w:rsidRPr="00F06B07">
          <w:rPr>
            <w:rStyle w:val="Hyperlink"/>
            <w:bCs/>
            <w:noProof/>
            <w:bdr w:val="none" w:sz="0" w:space="0" w:color="auto" w:frame="1"/>
          </w:rPr>
          <w:t xml:space="preserve">Subseção III-A – Ordens em </w:t>
        </w:r>
        <w:r w:rsidRPr="00F06B07">
          <w:rPr>
            <w:rStyle w:val="Hyperlink"/>
            <w:rFonts w:cstheme="minorHAnsi"/>
            <w:noProof/>
          </w:rPr>
          <w:t>Mercados</w:t>
        </w:r>
        <w:r w:rsidRPr="00F06B07">
          <w:rPr>
            <w:rStyle w:val="Hyperlink"/>
            <w:bCs/>
            <w:noProof/>
            <w:bdr w:val="none" w:sz="0" w:space="0" w:color="auto" w:frame="1"/>
          </w:rPr>
          <w:t xml:space="preserve"> Organizados</w:t>
        </w:r>
        <w:r>
          <w:rPr>
            <w:noProof/>
            <w:webHidden/>
          </w:rPr>
          <w:tab/>
        </w:r>
        <w:r>
          <w:rPr>
            <w:noProof/>
            <w:webHidden/>
          </w:rPr>
          <w:fldChar w:fldCharType="begin"/>
        </w:r>
        <w:r>
          <w:rPr>
            <w:noProof/>
            <w:webHidden/>
          </w:rPr>
          <w:instrText xml:space="preserve"> PAGEREF _Toc161141224 \h </w:instrText>
        </w:r>
        <w:r>
          <w:rPr>
            <w:noProof/>
            <w:webHidden/>
          </w:rPr>
        </w:r>
        <w:r>
          <w:rPr>
            <w:noProof/>
            <w:webHidden/>
          </w:rPr>
          <w:fldChar w:fldCharType="separate"/>
        </w:r>
        <w:r>
          <w:rPr>
            <w:noProof/>
            <w:webHidden/>
          </w:rPr>
          <w:t>53</w:t>
        </w:r>
        <w:r>
          <w:rPr>
            <w:noProof/>
            <w:webHidden/>
          </w:rPr>
          <w:fldChar w:fldCharType="end"/>
        </w:r>
      </w:hyperlink>
    </w:p>
    <w:p w14:paraId="56A40D7E" w14:textId="551B8BAB" w:rsidR="0024171D" w:rsidRDefault="0024171D">
      <w:pPr>
        <w:pStyle w:val="Sumrio3"/>
        <w:rPr>
          <w:rFonts w:asciiTheme="minorHAnsi" w:eastAsiaTheme="minorEastAsia" w:hAnsiTheme="minorHAnsi" w:cstheme="minorBidi"/>
          <w:noProof/>
          <w:kern w:val="2"/>
          <w14:ligatures w14:val="standardContextual"/>
        </w:rPr>
      </w:pPr>
      <w:hyperlink w:anchor="_Toc161141225" w:history="1">
        <w:r w:rsidRPr="00F06B07">
          <w:rPr>
            <w:rStyle w:val="Hyperlink"/>
            <w:rFonts w:cstheme="minorHAnsi"/>
            <w:noProof/>
          </w:rPr>
          <w:t>Subseção IV – Limites de Composição e Concentração da Carteira</w:t>
        </w:r>
        <w:r>
          <w:rPr>
            <w:noProof/>
            <w:webHidden/>
          </w:rPr>
          <w:tab/>
        </w:r>
        <w:r>
          <w:rPr>
            <w:noProof/>
            <w:webHidden/>
          </w:rPr>
          <w:fldChar w:fldCharType="begin"/>
        </w:r>
        <w:r>
          <w:rPr>
            <w:noProof/>
            <w:webHidden/>
          </w:rPr>
          <w:instrText xml:space="preserve"> PAGEREF _Toc161141225 \h </w:instrText>
        </w:r>
        <w:r>
          <w:rPr>
            <w:noProof/>
            <w:webHidden/>
          </w:rPr>
        </w:r>
        <w:r>
          <w:rPr>
            <w:noProof/>
            <w:webHidden/>
          </w:rPr>
          <w:fldChar w:fldCharType="separate"/>
        </w:r>
        <w:r>
          <w:rPr>
            <w:noProof/>
            <w:webHidden/>
          </w:rPr>
          <w:t>53</w:t>
        </w:r>
        <w:r>
          <w:rPr>
            <w:noProof/>
            <w:webHidden/>
          </w:rPr>
          <w:fldChar w:fldCharType="end"/>
        </w:r>
      </w:hyperlink>
    </w:p>
    <w:p w14:paraId="6EA6773C" w14:textId="5DD93455" w:rsidR="0024171D" w:rsidRDefault="0024171D">
      <w:pPr>
        <w:pStyle w:val="Sumrio3"/>
        <w:rPr>
          <w:rFonts w:asciiTheme="minorHAnsi" w:eastAsiaTheme="minorEastAsia" w:hAnsiTheme="minorHAnsi" w:cstheme="minorBidi"/>
          <w:noProof/>
          <w:kern w:val="2"/>
          <w14:ligatures w14:val="standardContextual"/>
        </w:rPr>
      </w:pPr>
      <w:hyperlink w:anchor="_Toc161141226" w:history="1">
        <w:r w:rsidRPr="00F06B07">
          <w:rPr>
            <w:rStyle w:val="Hyperlink"/>
            <w:bCs/>
            <w:noProof/>
          </w:rPr>
          <w:t>Subseção V</w:t>
        </w:r>
        <w:r w:rsidRPr="00F06B07">
          <w:rPr>
            <w:rStyle w:val="Hyperlink"/>
            <w:noProof/>
          </w:rPr>
          <w:t>– Gestão de Liquidez</w:t>
        </w:r>
        <w:r>
          <w:rPr>
            <w:noProof/>
            <w:webHidden/>
          </w:rPr>
          <w:tab/>
        </w:r>
        <w:r>
          <w:rPr>
            <w:noProof/>
            <w:webHidden/>
          </w:rPr>
          <w:fldChar w:fldCharType="begin"/>
        </w:r>
        <w:r>
          <w:rPr>
            <w:noProof/>
            <w:webHidden/>
          </w:rPr>
          <w:instrText xml:space="preserve"> PAGEREF _Toc161141226 \h </w:instrText>
        </w:r>
        <w:r>
          <w:rPr>
            <w:noProof/>
            <w:webHidden/>
          </w:rPr>
        </w:r>
        <w:r>
          <w:rPr>
            <w:noProof/>
            <w:webHidden/>
          </w:rPr>
          <w:fldChar w:fldCharType="separate"/>
        </w:r>
        <w:r>
          <w:rPr>
            <w:noProof/>
            <w:webHidden/>
          </w:rPr>
          <w:t>54</w:t>
        </w:r>
        <w:r>
          <w:rPr>
            <w:noProof/>
            <w:webHidden/>
          </w:rPr>
          <w:fldChar w:fldCharType="end"/>
        </w:r>
      </w:hyperlink>
    </w:p>
    <w:p w14:paraId="0339182F" w14:textId="06043BF0" w:rsidR="0024171D" w:rsidRDefault="0024171D">
      <w:pPr>
        <w:pStyle w:val="Sumrio3"/>
        <w:rPr>
          <w:rFonts w:asciiTheme="minorHAnsi" w:eastAsiaTheme="minorEastAsia" w:hAnsiTheme="minorHAnsi" w:cstheme="minorBidi"/>
          <w:noProof/>
          <w:kern w:val="2"/>
          <w14:ligatures w14:val="standardContextual"/>
        </w:rPr>
      </w:pPr>
      <w:hyperlink w:anchor="_Toc161141227" w:history="1">
        <w:r w:rsidRPr="00F06B07">
          <w:rPr>
            <w:rStyle w:val="Hyperlink"/>
            <w:rFonts w:cstheme="minorHAnsi"/>
            <w:noProof/>
          </w:rPr>
          <w:t>Subseção VI – Direito de Voto</w:t>
        </w:r>
        <w:r>
          <w:rPr>
            <w:noProof/>
            <w:webHidden/>
          </w:rPr>
          <w:tab/>
        </w:r>
        <w:r>
          <w:rPr>
            <w:noProof/>
            <w:webHidden/>
          </w:rPr>
          <w:fldChar w:fldCharType="begin"/>
        </w:r>
        <w:r>
          <w:rPr>
            <w:noProof/>
            <w:webHidden/>
          </w:rPr>
          <w:instrText xml:space="preserve"> PAGEREF _Toc161141227 \h </w:instrText>
        </w:r>
        <w:r>
          <w:rPr>
            <w:noProof/>
            <w:webHidden/>
          </w:rPr>
        </w:r>
        <w:r>
          <w:rPr>
            <w:noProof/>
            <w:webHidden/>
          </w:rPr>
          <w:fldChar w:fldCharType="separate"/>
        </w:r>
        <w:r>
          <w:rPr>
            <w:noProof/>
            <w:webHidden/>
          </w:rPr>
          <w:t>55</w:t>
        </w:r>
        <w:r>
          <w:rPr>
            <w:noProof/>
            <w:webHidden/>
          </w:rPr>
          <w:fldChar w:fldCharType="end"/>
        </w:r>
      </w:hyperlink>
    </w:p>
    <w:p w14:paraId="40617F64" w14:textId="125DFEC8" w:rsidR="0024171D" w:rsidRDefault="0024171D">
      <w:pPr>
        <w:pStyle w:val="Sumrio3"/>
        <w:rPr>
          <w:rFonts w:asciiTheme="minorHAnsi" w:eastAsiaTheme="minorEastAsia" w:hAnsiTheme="minorHAnsi" w:cstheme="minorBidi"/>
          <w:noProof/>
          <w:kern w:val="2"/>
          <w14:ligatures w14:val="standardContextual"/>
        </w:rPr>
      </w:pPr>
      <w:hyperlink w:anchor="_Toc161141228" w:history="1">
        <w:r w:rsidRPr="00F06B07">
          <w:rPr>
            <w:rStyle w:val="Hyperlink"/>
            <w:rFonts w:cstheme="minorHAnsi"/>
            <w:noProof/>
          </w:rPr>
          <w:t>Subseção VII – Contratação de Agência de Classificação de Risco de Crédito</w:t>
        </w:r>
        <w:r>
          <w:rPr>
            <w:noProof/>
            <w:webHidden/>
          </w:rPr>
          <w:tab/>
        </w:r>
        <w:r>
          <w:rPr>
            <w:noProof/>
            <w:webHidden/>
          </w:rPr>
          <w:fldChar w:fldCharType="begin"/>
        </w:r>
        <w:r>
          <w:rPr>
            <w:noProof/>
            <w:webHidden/>
          </w:rPr>
          <w:instrText xml:space="preserve"> PAGEREF _Toc161141228 \h </w:instrText>
        </w:r>
        <w:r>
          <w:rPr>
            <w:noProof/>
            <w:webHidden/>
          </w:rPr>
        </w:r>
        <w:r>
          <w:rPr>
            <w:noProof/>
            <w:webHidden/>
          </w:rPr>
          <w:fldChar w:fldCharType="separate"/>
        </w:r>
        <w:r>
          <w:rPr>
            <w:noProof/>
            <w:webHidden/>
          </w:rPr>
          <w:t>55</w:t>
        </w:r>
        <w:r>
          <w:rPr>
            <w:noProof/>
            <w:webHidden/>
          </w:rPr>
          <w:fldChar w:fldCharType="end"/>
        </w:r>
      </w:hyperlink>
    </w:p>
    <w:p w14:paraId="776101A2" w14:textId="123C9D27" w:rsidR="0024171D" w:rsidRDefault="0024171D">
      <w:pPr>
        <w:pStyle w:val="Sumrio3"/>
        <w:rPr>
          <w:rFonts w:asciiTheme="minorHAnsi" w:eastAsiaTheme="minorEastAsia" w:hAnsiTheme="minorHAnsi" w:cstheme="minorBidi"/>
          <w:noProof/>
          <w:kern w:val="2"/>
          <w14:ligatures w14:val="standardContextual"/>
        </w:rPr>
      </w:pPr>
      <w:hyperlink w:anchor="_Toc161141229" w:history="1">
        <w:r w:rsidRPr="00F06B07">
          <w:rPr>
            <w:rStyle w:val="Hyperlink"/>
            <w:rFonts w:cstheme="minorHAnsi"/>
            <w:noProof/>
          </w:rPr>
          <w:t>Subseção VIII – Constituição de Conselhos Consultivos e Comitês</w:t>
        </w:r>
        <w:r>
          <w:rPr>
            <w:noProof/>
            <w:webHidden/>
          </w:rPr>
          <w:tab/>
        </w:r>
        <w:r>
          <w:rPr>
            <w:noProof/>
            <w:webHidden/>
          </w:rPr>
          <w:fldChar w:fldCharType="begin"/>
        </w:r>
        <w:r>
          <w:rPr>
            <w:noProof/>
            <w:webHidden/>
          </w:rPr>
          <w:instrText xml:space="preserve"> PAGEREF _Toc161141229 \h </w:instrText>
        </w:r>
        <w:r>
          <w:rPr>
            <w:noProof/>
            <w:webHidden/>
          </w:rPr>
        </w:r>
        <w:r>
          <w:rPr>
            <w:noProof/>
            <w:webHidden/>
          </w:rPr>
          <w:fldChar w:fldCharType="separate"/>
        </w:r>
        <w:r>
          <w:rPr>
            <w:noProof/>
            <w:webHidden/>
          </w:rPr>
          <w:t>56</w:t>
        </w:r>
        <w:r>
          <w:rPr>
            <w:noProof/>
            <w:webHidden/>
          </w:rPr>
          <w:fldChar w:fldCharType="end"/>
        </w:r>
      </w:hyperlink>
    </w:p>
    <w:p w14:paraId="5F88A0AE" w14:textId="61B23647" w:rsidR="0024171D" w:rsidRDefault="0024171D">
      <w:pPr>
        <w:pStyle w:val="Sumrio3"/>
        <w:rPr>
          <w:rFonts w:asciiTheme="minorHAnsi" w:eastAsiaTheme="minorEastAsia" w:hAnsiTheme="minorHAnsi" w:cstheme="minorBidi"/>
          <w:noProof/>
          <w:kern w:val="2"/>
          <w14:ligatures w14:val="standardContextual"/>
        </w:rPr>
      </w:pPr>
      <w:hyperlink w:anchor="_Toc161141230" w:history="1">
        <w:r w:rsidRPr="00F06B07">
          <w:rPr>
            <w:rStyle w:val="Hyperlink"/>
            <w:noProof/>
          </w:rPr>
          <w:t>Seção III – Remuneração</w:t>
        </w:r>
        <w:r>
          <w:rPr>
            <w:noProof/>
            <w:webHidden/>
          </w:rPr>
          <w:tab/>
        </w:r>
        <w:r>
          <w:rPr>
            <w:noProof/>
            <w:webHidden/>
          </w:rPr>
          <w:fldChar w:fldCharType="begin"/>
        </w:r>
        <w:r>
          <w:rPr>
            <w:noProof/>
            <w:webHidden/>
          </w:rPr>
          <w:instrText xml:space="preserve"> PAGEREF _Toc161141230 \h </w:instrText>
        </w:r>
        <w:r>
          <w:rPr>
            <w:noProof/>
            <w:webHidden/>
          </w:rPr>
        </w:r>
        <w:r>
          <w:rPr>
            <w:noProof/>
            <w:webHidden/>
          </w:rPr>
          <w:fldChar w:fldCharType="separate"/>
        </w:r>
        <w:r>
          <w:rPr>
            <w:noProof/>
            <w:webHidden/>
          </w:rPr>
          <w:t>57</w:t>
        </w:r>
        <w:r>
          <w:rPr>
            <w:noProof/>
            <w:webHidden/>
          </w:rPr>
          <w:fldChar w:fldCharType="end"/>
        </w:r>
      </w:hyperlink>
    </w:p>
    <w:p w14:paraId="178924BB" w14:textId="7F95DA3D" w:rsidR="0024171D" w:rsidRDefault="0024171D">
      <w:pPr>
        <w:pStyle w:val="Sumrio3"/>
        <w:rPr>
          <w:rFonts w:asciiTheme="minorHAnsi" w:eastAsiaTheme="minorEastAsia" w:hAnsiTheme="minorHAnsi" w:cstheme="minorBidi"/>
          <w:noProof/>
          <w:kern w:val="2"/>
          <w14:ligatures w14:val="standardContextual"/>
        </w:rPr>
      </w:pPr>
      <w:hyperlink w:anchor="_Toc161141231" w:history="1">
        <w:r w:rsidRPr="00F06B07">
          <w:rPr>
            <w:rStyle w:val="Hyperlink"/>
            <w:noProof/>
          </w:rPr>
          <w:t>Seção IV – Vedações</w:t>
        </w:r>
        <w:r>
          <w:rPr>
            <w:noProof/>
            <w:webHidden/>
          </w:rPr>
          <w:tab/>
        </w:r>
        <w:r>
          <w:rPr>
            <w:noProof/>
            <w:webHidden/>
          </w:rPr>
          <w:fldChar w:fldCharType="begin"/>
        </w:r>
        <w:r>
          <w:rPr>
            <w:noProof/>
            <w:webHidden/>
          </w:rPr>
          <w:instrText xml:space="preserve"> PAGEREF _Toc161141231 \h </w:instrText>
        </w:r>
        <w:r>
          <w:rPr>
            <w:noProof/>
            <w:webHidden/>
          </w:rPr>
        </w:r>
        <w:r>
          <w:rPr>
            <w:noProof/>
            <w:webHidden/>
          </w:rPr>
          <w:fldChar w:fldCharType="separate"/>
        </w:r>
        <w:r>
          <w:rPr>
            <w:noProof/>
            <w:webHidden/>
          </w:rPr>
          <w:t>58</w:t>
        </w:r>
        <w:r>
          <w:rPr>
            <w:noProof/>
            <w:webHidden/>
          </w:rPr>
          <w:fldChar w:fldCharType="end"/>
        </w:r>
      </w:hyperlink>
    </w:p>
    <w:p w14:paraId="0352D488" w14:textId="692ECD90" w:rsidR="0024171D" w:rsidRDefault="0024171D">
      <w:pPr>
        <w:pStyle w:val="Sumrio3"/>
        <w:rPr>
          <w:rFonts w:asciiTheme="minorHAnsi" w:eastAsiaTheme="minorEastAsia" w:hAnsiTheme="minorHAnsi" w:cstheme="minorBidi"/>
          <w:noProof/>
          <w:kern w:val="2"/>
          <w14:ligatures w14:val="standardContextual"/>
        </w:rPr>
      </w:pPr>
      <w:hyperlink w:anchor="_Toc161141232" w:history="1">
        <w:r w:rsidRPr="00F06B07">
          <w:rPr>
            <w:rStyle w:val="Hyperlink"/>
            <w:noProof/>
          </w:rPr>
          <w:t>Seção V – Obrigações</w:t>
        </w:r>
        <w:r>
          <w:rPr>
            <w:noProof/>
            <w:webHidden/>
          </w:rPr>
          <w:tab/>
        </w:r>
        <w:r>
          <w:rPr>
            <w:noProof/>
            <w:webHidden/>
          </w:rPr>
          <w:fldChar w:fldCharType="begin"/>
        </w:r>
        <w:r>
          <w:rPr>
            <w:noProof/>
            <w:webHidden/>
          </w:rPr>
          <w:instrText xml:space="preserve"> PAGEREF _Toc161141232 \h </w:instrText>
        </w:r>
        <w:r>
          <w:rPr>
            <w:noProof/>
            <w:webHidden/>
          </w:rPr>
        </w:r>
        <w:r>
          <w:rPr>
            <w:noProof/>
            <w:webHidden/>
          </w:rPr>
          <w:fldChar w:fldCharType="separate"/>
        </w:r>
        <w:r>
          <w:rPr>
            <w:noProof/>
            <w:webHidden/>
          </w:rPr>
          <w:t>59</w:t>
        </w:r>
        <w:r>
          <w:rPr>
            <w:noProof/>
            <w:webHidden/>
          </w:rPr>
          <w:fldChar w:fldCharType="end"/>
        </w:r>
      </w:hyperlink>
    </w:p>
    <w:p w14:paraId="1BB01A88" w14:textId="2F52A48A" w:rsidR="0024171D" w:rsidRDefault="0024171D">
      <w:pPr>
        <w:pStyle w:val="Sumrio3"/>
        <w:rPr>
          <w:rFonts w:asciiTheme="minorHAnsi" w:eastAsiaTheme="minorEastAsia" w:hAnsiTheme="minorHAnsi" w:cstheme="minorBidi"/>
          <w:noProof/>
          <w:kern w:val="2"/>
          <w14:ligatures w14:val="standardContextual"/>
        </w:rPr>
      </w:pPr>
      <w:hyperlink w:anchor="_Toc161141233" w:history="1">
        <w:r w:rsidRPr="00F06B07">
          <w:rPr>
            <w:rStyle w:val="Hyperlink"/>
            <w:noProof/>
          </w:rPr>
          <w:t>Seção VI – Normas de Conduta</w:t>
        </w:r>
        <w:r>
          <w:rPr>
            <w:noProof/>
            <w:webHidden/>
          </w:rPr>
          <w:tab/>
        </w:r>
        <w:r>
          <w:rPr>
            <w:noProof/>
            <w:webHidden/>
          </w:rPr>
          <w:fldChar w:fldCharType="begin"/>
        </w:r>
        <w:r>
          <w:rPr>
            <w:noProof/>
            <w:webHidden/>
          </w:rPr>
          <w:instrText xml:space="preserve"> PAGEREF _Toc161141233 \h </w:instrText>
        </w:r>
        <w:r>
          <w:rPr>
            <w:noProof/>
            <w:webHidden/>
          </w:rPr>
        </w:r>
        <w:r>
          <w:rPr>
            <w:noProof/>
            <w:webHidden/>
          </w:rPr>
          <w:fldChar w:fldCharType="separate"/>
        </w:r>
        <w:r>
          <w:rPr>
            <w:noProof/>
            <w:webHidden/>
          </w:rPr>
          <w:t>60</w:t>
        </w:r>
        <w:r>
          <w:rPr>
            <w:noProof/>
            <w:webHidden/>
          </w:rPr>
          <w:fldChar w:fldCharType="end"/>
        </w:r>
      </w:hyperlink>
    </w:p>
    <w:p w14:paraId="4DF6A4EE" w14:textId="6EC8EE7C" w:rsidR="0024171D" w:rsidRDefault="0024171D">
      <w:pPr>
        <w:pStyle w:val="Sumrio3"/>
        <w:rPr>
          <w:rFonts w:asciiTheme="minorHAnsi" w:eastAsiaTheme="minorEastAsia" w:hAnsiTheme="minorHAnsi" w:cstheme="minorBidi"/>
          <w:noProof/>
          <w:kern w:val="2"/>
          <w14:ligatures w14:val="standardContextual"/>
        </w:rPr>
      </w:pPr>
      <w:hyperlink w:anchor="_Toc161141234" w:history="1">
        <w:r w:rsidRPr="00F06B07">
          <w:rPr>
            <w:rStyle w:val="Hyperlink"/>
            <w:noProof/>
          </w:rPr>
          <w:t>Seção VII – Substituição de Prestador de Serviço Essencial</w:t>
        </w:r>
        <w:r>
          <w:rPr>
            <w:noProof/>
            <w:webHidden/>
          </w:rPr>
          <w:tab/>
        </w:r>
        <w:r>
          <w:rPr>
            <w:noProof/>
            <w:webHidden/>
          </w:rPr>
          <w:fldChar w:fldCharType="begin"/>
        </w:r>
        <w:r>
          <w:rPr>
            <w:noProof/>
            <w:webHidden/>
          </w:rPr>
          <w:instrText xml:space="preserve"> PAGEREF _Toc161141234 \h </w:instrText>
        </w:r>
        <w:r>
          <w:rPr>
            <w:noProof/>
            <w:webHidden/>
          </w:rPr>
        </w:r>
        <w:r>
          <w:rPr>
            <w:noProof/>
            <w:webHidden/>
          </w:rPr>
          <w:fldChar w:fldCharType="separate"/>
        </w:r>
        <w:r>
          <w:rPr>
            <w:noProof/>
            <w:webHidden/>
          </w:rPr>
          <w:t>61</w:t>
        </w:r>
        <w:r>
          <w:rPr>
            <w:noProof/>
            <w:webHidden/>
          </w:rPr>
          <w:fldChar w:fldCharType="end"/>
        </w:r>
      </w:hyperlink>
    </w:p>
    <w:p w14:paraId="0A2220EC" w14:textId="6F6E537C" w:rsidR="0024171D" w:rsidRDefault="0024171D">
      <w:pPr>
        <w:pStyle w:val="Sumrio2"/>
        <w:rPr>
          <w:rFonts w:eastAsiaTheme="minorEastAsia" w:cstheme="minorBidi"/>
          <w:b w:val="0"/>
          <w:bCs w:val="0"/>
          <w:kern w:val="2"/>
          <w14:ligatures w14:val="standardContextual"/>
        </w:rPr>
      </w:pPr>
      <w:hyperlink w:anchor="_Toc161141235" w:history="1">
        <w:r w:rsidRPr="00F06B07">
          <w:rPr>
            <w:rStyle w:val="Hyperlink"/>
          </w:rPr>
          <w:t>CAPÍTULO IX – CARTEIRA</w:t>
        </w:r>
        <w:r>
          <w:rPr>
            <w:webHidden/>
          </w:rPr>
          <w:tab/>
        </w:r>
        <w:r>
          <w:rPr>
            <w:webHidden/>
          </w:rPr>
          <w:fldChar w:fldCharType="begin"/>
        </w:r>
        <w:r>
          <w:rPr>
            <w:webHidden/>
          </w:rPr>
          <w:instrText xml:space="preserve"> PAGEREF _Toc161141235 \h </w:instrText>
        </w:r>
        <w:r>
          <w:rPr>
            <w:webHidden/>
          </w:rPr>
        </w:r>
        <w:r>
          <w:rPr>
            <w:webHidden/>
          </w:rPr>
          <w:fldChar w:fldCharType="separate"/>
        </w:r>
        <w:r>
          <w:rPr>
            <w:webHidden/>
          </w:rPr>
          <w:t>62</w:t>
        </w:r>
        <w:r>
          <w:rPr>
            <w:webHidden/>
          </w:rPr>
          <w:fldChar w:fldCharType="end"/>
        </w:r>
      </w:hyperlink>
    </w:p>
    <w:p w14:paraId="5A55A4C5" w14:textId="5C6D458A" w:rsidR="0024171D" w:rsidRDefault="0024171D">
      <w:pPr>
        <w:pStyle w:val="Sumrio2"/>
        <w:rPr>
          <w:rFonts w:eastAsiaTheme="minorEastAsia" w:cstheme="minorBidi"/>
          <w:b w:val="0"/>
          <w:bCs w:val="0"/>
          <w:kern w:val="2"/>
          <w14:ligatures w14:val="standardContextual"/>
        </w:rPr>
      </w:pPr>
      <w:hyperlink w:anchor="_Toc161141236" w:history="1">
        <w:r w:rsidRPr="00F06B07">
          <w:rPr>
            <w:rStyle w:val="Hyperlink"/>
          </w:rPr>
          <w:t>CAPÍTULO X – CLASSES RESTRITAS E PREVIDENCIÁRIAS</w:t>
        </w:r>
        <w:r>
          <w:rPr>
            <w:webHidden/>
          </w:rPr>
          <w:tab/>
        </w:r>
        <w:r>
          <w:rPr>
            <w:webHidden/>
          </w:rPr>
          <w:fldChar w:fldCharType="begin"/>
        </w:r>
        <w:r>
          <w:rPr>
            <w:webHidden/>
          </w:rPr>
          <w:instrText xml:space="preserve"> PAGEREF _Toc161141236 \h </w:instrText>
        </w:r>
        <w:r>
          <w:rPr>
            <w:webHidden/>
          </w:rPr>
        </w:r>
        <w:r>
          <w:rPr>
            <w:webHidden/>
          </w:rPr>
          <w:fldChar w:fldCharType="separate"/>
        </w:r>
        <w:r>
          <w:rPr>
            <w:webHidden/>
          </w:rPr>
          <w:t>62</w:t>
        </w:r>
        <w:r>
          <w:rPr>
            <w:webHidden/>
          </w:rPr>
          <w:fldChar w:fldCharType="end"/>
        </w:r>
      </w:hyperlink>
    </w:p>
    <w:p w14:paraId="229F0BC2" w14:textId="006F0C85" w:rsidR="0024171D" w:rsidRDefault="0024171D">
      <w:pPr>
        <w:pStyle w:val="Sumrio3"/>
        <w:rPr>
          <w:rFonts w:asciiTheme="minorHAnsi" w:eastAsiaTheme="minorEastAsia" w:hAnsiTheme="minorHAnsi" w:cstheme="minorBidi"/>
          <w:noProof/>
          <w:kern w:val="2"/>
          <w14:ligatures w14:val="standardContextual"/>
        </w:rPr>
      </w:pPr>
      <w:hyperlink w:anchor="_Toc161141237" w:history="1">
        <w:r w:rsidRPr="00F06B07">
          <w:rPr>
            <w:rStyle w:val="Hyperlink"/>
            <w:noProof/>
          </w:rPr>
          <w:t>Seção I – Classes Restritas</w:t>
        </w:r>
        <w:r>
          <w:rPr>
            <w:noProof/>
            <w:webHidden/>
          </w:rPr>
          <w:tab/>
        </w:r>
        <w:r>
          <w:rPr>
            <w:noProof/>
            <w:webHidden/>
          </w:rPr>
          <w:fldChar w:fldCharType="begin"/>
        </w:r>
        <w:r>
          <w:rPr>
            <w:noProof/>
            <w:webHidden/>
          </w:rPr>
          <w:instrText xml:space="preserve"> PAGEREF _Toc161141237 \h </w:instrText>
        </w:r>
        <w:r>
          <w:rPr>
            <w:noProof/>
            <w:webHidden/>
          </w:rPr>
        </w:r>
        <w:r>
          <w:rPr>
            <w:noProof/>
            <w:webHidden/>
          </w:rPr>
          <w:fldChar w:fldCharType="separate"/>
        </w:r>
        <w:r>
          <w:rPr>
            <w:noProof/>
            <w:webHidden/>
          </w:rPr>
          <w:t>62</w:t>
        </w:r>
        <w:r>
          <w:rPr>
            <w:noProof/>
            <w:webHidden/>
          </w:rPr>
          <w:fldChar w:fldCharType="end"/>
        </w:r>
      </w:hyperlink>
    </w:p>
    <w:p w14:paraId="4A92E46C" w14:textId="1C753263" w:rsidR="0024171D" w:rsidRDefault="0024171D">
      <w:pPr>
        <w:pStyle w:val="Sumrio3"/>
        <w:rPr>
          <w:rFonts w:asciiTheme="minorHAnsi" w:eastAsiaTheme="minorEastAsia" w:hAnsiTheme="minorHAnsi" w:cstheme="minorBidi"/>
          <w:noProof/>
          <w:kern w:val="2"/>
          <w14:ligatures w14:val="standardContextual"/>
        </w:rPr>
      </w:pPr>
      <w:hyperlink w:anchor="_Toc161141238" w:history="1">
        <w:r w:rsidRPr="00F06B07">
          <w:rPr>
            <w:rStyle w:val="Hyperlink"/>
            <w:noProof/>
          </w:rPr>
          <w:t xml:space="preserve">Seção II – </w:t>
        </w:r>
        <w:r w:rsidRPr="00F06B07">
          <w:rPr>
            <w:rStyle w:val="Hyperlink"/>
            <w:rFonts w:cstheme="minorHAnsi"/>
            <w:noProof/>
          </w:rPr>
          <w:t>Classes Exclusivas</w:t>
        </w:r>
        <w:r>
          <w:rPr>
            <w:noProof/>
            <w:webHidden/>
          </w:rPr>
          <w:tab/>
        </w:r>
        <w:r>
          <w:rPr>
            <w:noProof/>
            <w:webHidden/>
          </w:rPr>
          <w:fldChar w:fldCharType="begin"/>
        </w:r>
        <w:r>
          <w:rPr>
            <w:noProof/>
            <w:webHidden/>
          </w:rPr>
          <w:instrText xml:space="preserve"> PAGEREF _Toc161141238 \h </w:instrText>
        </w:r>
        <w:r>
          <w:rPr>
            <w:noProof/>
            <w:webHidden/>
          </w:rPr>
        </w:r>
        <w:r>
          <w:rPr>
            <w:noProof/>
            <w:webHidden/>
          </w:rPr>
          <w:fldChar w:fldCharType="separate"/>
        </w:r>
        <w:r>
          <w:rPr>
            <w:noProof/>
            <w:webHidden/>
          </w:rPr>
          <w:t>64</w:t>
        </w:r>
        <w:r>
          <w:rPr>
            <w:noProof/>
            <w:webHidden/>
          </w:rPr>
          <w:fldChar w:fldCharType="end"/>
        </w:r>
      </w:hyperlink>
    </w:p>
    <w:p w14:paraId="0051E000" w14:textId="6E4CCF8B" w:rsidR="0024171D" w:rsidRDefault="0024171D">
      <w:pPr>
        <w:pStyle w:val="Sumrio3"/>
        <w:rPr>
          <w:rFonts w:asciiTheme="minorHAnsi" w:eastAsiaTheme="minorEastAsia" w:hAnsiTheme="minorHAnsi" w:cstheme="minorBidi"/>
          <w:noProof/>
          <w:kern w:val="2"/>
          <w14:ligatures w14:val="standardContextual"/>
        </w:rPr>
      </w:pPr>
      <w:hyperlink w:anchor="_Toc161141239" w:history="1">
        <w:r w:rsidRPr="00F06B07">
          <w:rPr>
            <w:rStyle w:val="Hyperlink"/>
            <w:noProof/>
          </w:rPr>
          <w:t>Seção III – Classes Previdenciárias</w:t>
        </w:r>
        <w:r>
          <w:rPr>
            <w:noProof/>
            <w:webHidden/>
          </w:rPr>
          <w:tab/>
        </w:r>
        <w:r>
          <w:rPr>
            <w:noProof/>
            <w:webHidden/>
          </w:rPr>
          <w:fldChar w:fldCharType="begin"/>
        </w:r>
        <w:r>
          <w:rPr>
            <w:noProof/>
            <w:webHidden/>
          </w:rPr>
          <w:instrText xml:space="preserve"> PAGEREF _Toc161141239 \h </w:instrText>
        </w:r>
        <w:r>
          <w:rPr>
            <w:noProof/>
            <w:webHidden/>
          </w:rPr>
        </w:r>
        <w:r>
          <w:rPr>
            <w:noProof/>
            <w:webHidden/>
          </w:rPr>
          <w:fldChar w:fldCharType="separate"/>
        </w:r>
        <w:r>
          <w:rPr>
            <w:noProof/>
            <w:webHidden/>
          </w:rPr>
          <w:t>64</w:t>
        </w:r>
        <w:r>
          <w:rPr>
            <w:noProof/>
            <w:webHidden/>
          </w:rPr>
          <w:fldChar w:fldCharType="end"/>
        </w:r>
      </w:hyperlink>
    </w:p>
    <w:p w14:paraId="600B0E87" w14:textId="2FAC0410" w:rsidR="0024171D" w:rsidRDefault="0024171D">
      <w:pPr>
        <w:pStyle w:val="Sumrio2"/>
        <w:rPr>
          <w:rFonts w:eastAsiaTheme="minorEastAsia" w:cstheme="minorBidi"/>
          <w:b w:val="0"/>
          <w:bCs w:val="0"/>
          <w:kern w:val="2"/>
          <w14:ligatures w14:val="standardContextual"/>
        </w:rPr>
      </w:pPr>
      <w:hyperlink w:anchor="_Toc161141240" w:history="1">
        <w:r w:rsidRPr="00F06B07">
          <w:rPr>
            <w:rStyle w:val="Hyperlink"/>
          </w:rPr>
          <w:t>CAPÍTULO XI – ENCARGOS</w:t>
        </w:r>
        <w:r>
          <w:rPr>
            <w:webHidden/>
          </w:rPr>
          <w:tab/>
        </w:r>
        <w:r>
          <w:rPr>
            <w:webHidden/>
          </w:rPr>
          <w:fldChar w:fldCharType="begin"/>
        </w:r>
        <w:r>
          <w:rPr>
            <w:webHidden/>
          </w:rPr>
          <w:instrText xml:space="preserve"> PAGEREF _Toc161141240 \h </w:instrText>
        </w:r>
        <w:r>
          <w:rPr>
            <w:webHidden/>
          </w:rPr>
        </w:r>
        <w:r>
          <w:rPr>
            <w:webHidden/>
          </w:rPr>
          <w:fldChar w:fldCharType="separate"/>
        </w:r>
        <w:r>
          <w:rPr>
            <w:webHidden/>
          </w:rPr>
          <w:t>64</w:t>
        </w:r>
        <w:r>
          <w:rPr>
            <w:webHidden/>
          </w:rPr>
          <w:fldChar w:fldCharType="end"/>
        </w:r>
      </w:hyperlink>
    </w:p>
    <w:p w14:paraId="23394988" w14:textId="6CCE5822" w:rsidR="0024171D" w:rsidRDefault="0024171D">
      <w:pPr>
        <w:pStyle w:val="Sumrio2"/>
        <w:rPr>
          <w:rFonts w:eastAsiaTheme="minorEastAsia" w:cstheme="minorBidi"/>
          <w:b w:val="0"/>
          <w:bCs w:val="0"/>
          <w:kern w:val="2"/>
          <w14:ligatures w14:val="standardContextual"/>
        </w:rPr>
      </w:pPr>
      <w:hyperlink w:anchor="_Toc161141241" w:history="1">
        <w:r w:rsidRPr="00F06B07">
          <w:rPr>
            <w:rStyle w:val="Hyperlink"/>
          </w:rPr>
          <w:t>CAPÍTULO XII – INCORPORAÇÃO, FUSÃO, CISÃO E TRANSFORMAÇÃO</w:t>
        </w:r>
        <w:r>
          <w:rPr>
            <w:webHidden/>
          </w:rPr>
          <w:tab/>
        </w:r>
        <w:r>
          <w:rPr>
            <w:webHidden/>
          </w:rPr>
          <w:fldChar w:fldCharType="begin"/>
        </w:r>
        <w:r>
          <w:rPr>
            <w:webHidden/>
          </w:rPr>
          <w:instrText xml:space="preserve"> PAGEREF _Toc161141241 \h </w:instrText>
        </w:r>
        <w:r>
          <w:rPr>
            <w:webHidden/>
          </w:rPr>
        </w:r>
        <w:r>
          <w:rPr>
            <w:webHidden/>
          </w:rPr>
          <w:fldChar w:fldCharType="separate"/>
        </w:r>
        <w:r>
          <w:rPr>
            <w:webHidden/>
          </w:rPr>
          <w:t>67</w:t>
        </w:r>
        <w:r>
          <w:rPr>
            <w:webHidden/>
          </w:rPr>
          <w:fldChar w:fldCharType="end"/>
        </w:r>
      </w:hyperlink>
    </w:p>
    <w:p w14:paraId="67C6AB43" w14:textId="6E3A5FD5" w:rsidR="0024171D" w:rsidRDefault="0024171D">
      <w:pPr>
        <w:pStyle w:val="Sumrio2"/>
        <w:rPr>
          <w:rFonts w:eastAsiaTheme="minorEastAsia" w:cstheme="minorBidi"/>
          <w:b w:val="0"/>
          <w:bCs w:val="0"/>
          <w:kern w:val="2"/>
          <w14:ligatures w14:val="standardContextual"/>
        </w:rPr>
      </w:pPr>
      <w:hyperlink w:anchor="_Toc161141242" w:history="1">
        <w:r w:rsidRPr="00F06B07">
          <w:rPr>
            <w:rStyle w:val="Hyperlink"/>
          </w:rPr>
          <w:t>CAPÍTULO XIII – PATRIMÔNIO LÍQUIDO NEGATIVO COM LIMITAÇÃO DE RESPONSABILIDADE</w:t>
        </w:r>
        <w:r>
          <w:rPr>
            <w:webHidden/>
          </w:rPr>
          <w:tab/>
        </w:r>
        <w:r>
          <w:rPr>
            <w:webHidden/>
          </w:rPr>
          <w:fldChar w:fldCharType="begin"/>
        </w:r>
        <w:r>
          <w:rPr>
            <w:webHidden/>
          </w:rPr>
          <w:instrText xml:space="preserve"> PAGEREF _Toc161141242 \h </w:instrText>
        </w:r>
        <w:r>
          <w:rPr>
            <w:webHidden/>
          </w:rPr>
        </w:r>
        <w:r>
          <w:rPr>
            <w:webHidden/>
          </w:rPr>
          <w:fldChar w:fldCharType="separate"/>
        </w:r>
        <w:r>
          <w:rPr>
            <w:webHidden/>
          </w:rPr>
          <w:t>68</w:t>
        </w:r>
        <w:r>
          <w:rPr>
            <w:webHidden/>
          </w:rPr>
          <w:fldChar w:fldCharType="end"/>
        </w:r>
      </w:hyperlink>
    </w:p>
    <w:p w14:paraId="4BA526C5" w14:textId="23E56861" w:rsidR="0024171D" w:rsidRDefault="0024171D">
      <w:pPr>
        <w:pStyle w:val="Sumrio2"/>
        <w:rPr>
          <w:rFonts w:eastAsiaTheme="minorEastAsia" w:cstheme="minorBidi"/>
          <w:b w:val="0"/>
          <w:bCs w:val="0"/>
          <w:kern w:val="2"/>
          <w14:ligatures w14:val="standardContextual"/>
        </w:rPr>
      </w:pPr>
      <w:hyperlink w:anchor="_Toc161141243" w:history="1">
        <w:r w:rsidRPr="00F06B07">
          <w:rPr>
            <w:rStyle w:val="Hyperlink"/>
          </w:rPr>
          <w:t>CAPÍTULO XIV – LIQUIDAÇÃO E ENCERRAMENTO</w:t>
        </w:r>
        <w:r>
          <w:rPr>
            <w:webHidden/>
          </w:rPr>
          <w:tab/>
        </w:r>
        <w:r>
          <w:rPr>
            <w:webHidden/>
          </w:rPr>
          <w:fldChar w:fldCharType="begin"/>
        </w:r>
        <w:r>
          <w:rPr>
            <w:webHidden/>
          </w:rPr>
          <w:instrText xml:space="preserve"> PAGEREF _Toc161141243 \h </w:instrText>
        </w:r>
        <w:r>
          <w:rPr>
            <w:webHidden/>
          </w:rPr>
        </w:r>
        <w:r>
          <w:rPr>
            <w:webHidden/>
          </w:rPr>
          <w:fldChar w:fldCharType="separate"/>
        </w:r>
        <w:r>
          <w:rPr>
            <w:webHidden/>
          </w:rPr>
          <w:t>71</w:t>
        </w:r>
        <w:r>
          <w:rPr>
            <w:webHidden/>
          </w:rPr>
          <w:fldChar w:fldCharType="end"/>
        </w:r>
      </w:hyperlink>
    </w:p>
    <w:p w14:paraId="19CD2FF5" w14:textId="578464D0" w:rsidR="0024171D" w:rsidRDefault="0024171D">
      <w:pPr>
        <w:pStyle w:val="Sumrio3"/>
        <w:rPr>
          <w:rFonts w:asciiTheme="minorHAnsi" w:eastAsiaTheme="minorEastAsia" w:hAnsiTheme="minorHAnsi" w:cstheme="minorBidi"/>
          <w:noProof/>
          <w:kern w:val="2"/>
          <w14:ligatures w14:val="standardContextual"/>
        </w:rPr>
      </w:pPr>
      <w:hyperlink w:anchor="_Toc161141244" w:history="1">
        <w:r w:rsidRPr="00F06B07">
          <w:rPr>
            <w:rStyle w:val="Hyperlink"/>
            <w:noProof/>
          </w:rPr>
          <w:t>Seção I – Liquidação</w:t>
        </w:r>
        <w:r>
          <w:rPr>
            <w:noProof/>
            <w:webHidden/>
          </w:rPr>
          <w:tab/>
        </w:r>
        <w:r>
          <w:rPr>
            <w:noProof/>
            <w:webHidden/>
          </w:rPr>
          <w:fldChar w:fldCharType="begin"/>
        </w:r>
        <w:r>
          <w:rPr>
            <w:noProof/>
            <w:webHidden/>
          </w:rPr>
          <w:instrText xml:space="preserve"> PAGEREF _Toc161141244 \h </w:instrText>
        </w:r>
        <w:r>
          <w:rPr>
            <w:noProof/>
            <w:webHidden/>
          </w:rPr>
        </w:r>
        <w:r>
          <w:rPr>
            <w:noProof/>
            <w:webHidden/>
          </w:rPr>
          <w:fldChar w:fldCharType="separate"/>
        </w:r>
        <w:r>
          <w:rPr>
            <w:noProof/>
            <w:webHidden/>
          </w:rPr>
          <w:t>71</w:t>
        </w:r>
        <w:r>
          <w:rPr>
            <w:noProof/>
            <w:webHidden/>
          </w:rPr>
          <w:fldChar w:fldCharType="end"/>
        </w:r>
      </w:hyperlink>
    </w:p>
    <w:p w14:paraId="6FB57C0E" w14:textId="728912F6" w:rsidR="0024171D" w:rsidRDefault="0024171D">
      <w:pPr>
        <w:pStyle w:val="Sumrio3"/>
        <w:rPr>
          <w:rFonts w:asciiTheme="minorHAnsi" w:eastAsiaTheme="minorEastAsia" w:hAnsiTheme="minorHAnsi" w:cstheme="minorBidi"/>
          <w:noProof/>
          <w:kern w:val="2"/>
          <w14:ligatures w14:val="standardContextual"/>
        </w:rPr>
      </w:pPr>
      <w:hyperlink w:anchor="_Toc161141245" w:history="1">
        <w:r w:rsidRPr="00F06B07">
          <w:rPr>
            <w:rStyle w:val="Hyperlink"/>
            <w:noProof/>
          </w:rPr>
          <w:t>Seção II – Encerramento</w:t>
        </w:r>
        <w:r>
          <w:rPr>
            <w:noProof/>
            <w:webHidden/>
          </w:rPr>
          <w:tab/>
        </w:r>
        <w:r>
          <w:rPr>
            <w:noProof/>
            <w:webHidden/>
          </w:rPr>
          <w:fldChar w:fldCharType="begin"/>
        </w:r>
        <w:r>
          <w:rPr>
            <w:noProof/>
            <w:webHidden/>
          </w:rPr>
          <w:instrText xml:space="preserve"> PAGEREF _Toc161141245 \h </w:instrText>
        </w:r>
        <w:r>
          <w:rPr>
            <w:noProof/>
            <w:webHidden/>
          </w:rPr>
        </w:r>
        <w:r>
          <w:rPr>
            <w:noProof/>
            <w:webHidden/>
          </w:rPr>
          <w:fldChar w:fldCharType="separate"/>
        </w:r>
        <w:r>
          <w:rPr>
            <w:noProof/>
            <w:webHidden/>
          </w:rPr>
          <w:t>73</w:t>
        </w:r>
        <w:r>
          <w:rPr>
            <w:noProof/>
            <w:webHidden/>
          </w:rPr>
          <w:fldChar w:fldCharType="end"/>
        </w:r>
      </w:hyperlink>
    </w:p>
    <w:p w14:paraId="20650BD1" w14:textId="3A46B955" w:rsidR="0024171D" w:rsidRDefault="0024171D">
      <w:pPr>
        <w:pStyle w:val="Sumrio2"/>
        <w:rPr>
          <w:rFonts w:eastAsiaTheme="minorEastAsia" w:cstheme="minorBidi"/>
          <w:b w:val="0"/>
          <w:bCs w:val="0"/>
          <w:kern w:val="2"/>
          <w14:ligatures w14:val="standardContextual"/>
        </w:rPr>
      </w:pPr>
      <w:hyperlink w:anchor="_Toc161141246" w:history="1">
        <w:r w:rsidRPr="00F06B07">
          <w:rPr>
            <w:rStyle w:val="Hyperlink"/>
          </w:rPr>
          <w:t>CAPÍTULO XV – MANUTENÇÃO DE ARQUIVOS</w:t>
        </w:r>
        <w:r>
          <w:rPr>
            <w:webHidden/>
          </w:rPr>
          <w:tab/>
        </w:r>
        <w:r>
          <w:rPr>
            <w:webHidden/>
          </w:rPr>
          <w:fldChar w:fldCharType="begin"/>
        </w:r>
        <w:r>
          <w:rPr>
            <w:webHidden/>
          </w:rPr>
          <w:instrText xml:space="preserve"> PAGEREF _Toc161141246 \h </w:instrText>
        </w:r>
        <w:r>
          <w:rPr>
            <w:webHidden/>
          </w:rPr>
        </w:r>
        <w:r>
          <w:rPr>
            <w:webHidden/>
          </w:rPr>
          <w:fldChar w:fldCharType="separate"/>
        </w:r>
        <w:r>
          <w:rPr>
            <w:webHidden/>
          </w:rPr>
          <w:t>73</w:t>
        </w:r>
        <w:r>
          <w:rPr>
            <w:webHidden/>
          </w:rPr>
          <w:fldChar w:fldCharType="end"/>
        </w:r>
      </w:hyperlink>
    </w:p>
    <w:p w14:paraId="5F830599" w14:textId="2C18902A" w:rsidR="0024171D" w:rsidRDefault="0024171D">
      <w:pPr>
        <w:pStyle w:val="Sumrio2"/>
        <w:rPr>
          <w:rFonts w:eastAsiaTheme="minorEastAsia" w:cstheme="minorBidi"/>
          <w:b w:val="0"/>
          <w:bCs w:val="0"/>
          <w:kern w:val="2"/>
          <w14:ligatures w14:val="standardContextual"/>
        </w:rPr>
      </w:pPr>
      <w:hyperlink w:anchor="_Toc161141247" w:history="1">
        <w:r w:rsidRPr="00F06B07">
          <w:rPr>
            <w:rStyle w:val="Hyperlink"/>
          </w:rPr>
          <w:t>CAPÍTULO XVI – PENALIDADES E MULTA COMINATÓRIA</w:t>
        </w:r>
        <w:r>
          <w:rPr>
            <w:webHidden/>
          </w:rPr>
          <w:tab/>
        </w:r>
        <w:r>
          <w:rPr>
            <w:webHidden/>
          </w:rPr>
          <w:fldChar w:fldCharType="begin"/>
        </w:r>
        <w:r>
          <w:rPr>
            <w:webHidden/>
          </w:rPr>
          <w:instrText xml:space="preserve"> PAGEREF _Toc161141247 \h </w:instrText>
        </w:r>
        <w:r>
          <w:rPr>
            <w:webHidden/>
          </w:rPr>
        </w:r>
        <w:r>
          <w:rPr>
            <w:webHidden/>
          </w:rPr>
          <w:fldChar w:fldCharType="separate"/>
        </w:r>
        <w:r>
          <w:rPr>
            <w:webHidden/>
          </w:rPr>
          <w:t>74</w:t>
        </w:r>
        <w:r>
          <w:rPr>
            <w:webHidden/>
          </w:rPr>
          <w:fldChar w:fldCharType="end"/>
        </w:r>
      </w:hyperlink>
    </w:p>
    <w:p w14:paraId="407AB305" w14:textId="07225C81" w:rsidR="0024171D" w:rsidRDefault="0024171D">
      <w:pPr>
        <w:pStyle w:val="Sumrio2"/>
        <w:rPr>
          <w:rFonts w:eastAsiaTheme="minorEastAsia" w:cstheme="minorBidi"/>
          <w:b w:val="0"/>
          <w:bCs w:val="0"/>
          <w:kern w:val="2"/>
          <w14:ligatures w14:val="standardContextual"/>
        </w:rPr>
      </w:pPr>
      <w:hyperlink w:anchor="_Toc161141248" w:history="1">
        <w:r w:rsidRPr="00F06B07">
          <w:rPr>
            <w:rStyle w:val="Hyperlink"/>
          </w:rPr>
          <w:t>CAPÍTULO XVII – DISPOSIÇÕES FINAIS E TRANSITÓRIAS</w:t>
        </w:r>
        <w:r>
          <w:rPr>
            <w:webHidden/>
          </w:rPr>
          <w:tab/>
        </w:r>
        <w:r>
          <w:rPr>
            <w:webHidden/>
          </w:rPr>
          <w:fldChar w:fldCharType="begin"/>
        </w:r>
        <w:r>
          <w:rPr>
            <w:webHidden/>
          </w:rPr>
          <w:instrText xml:space="preserve"> PAGEREF _Toc161141248 \h </w:instrText>
        </w:r>
        <w:r>
          <w:rPr>
            <w:webHidden/>
          </w:rPr>
        </w:r>
        <w:r>
          <w:rPr>
            <w:webHidden/>
          </w:rPr>
          <w:fldChar w:fldCharType="separate"/>
        </w:r>
        <w:r>
          <w:rPr>
            <w:webHidden/>
          </w:rPr>
          <w:t>75</w:t>
        </w:r>
        <w:r>
          <w:rPr>
            <w:webHidden/>
          </w:rPr>
          <w:fldChar w:fldCharType="end"/>
        </w:r>
      </w:hyperlink>
    </w:p>
    <w:p w14:paraId="3E32AAFF" w14:textId="55E7D101" w:rsidR="0024171D" w:rsidRDefault="0024171D">
      <w:pPr>
        <w:pStyle w:val="Sumrio1"/>
        <w:rPr>
          <w:rFonts w:eastAsiaTheme="minorEastAsia" w:cstheme="minorBidi"/>
          <w:kern w:val="2"/>
          <w14:ligatures w14:val="standardContextual"/>
        </w:rPr>
      </w:pPr>
      <w:hyperlink w:anchor="_Toc161141249" w:history="1">
        <w:r w:rsidRPr="00F06B07">
          <w:rPr>
            <w:rStyle w:val="Hyperlink"/>
          </w:rPr>
          <w:t>ANEXO NORMATIVO I – FUNDOS DE INVESTIMENTO FINANCEIRO</w:t>
        </w:r>
        <w:r>
          <w:rPr>
            <w:webHidden/>
          </w:rPr>
          <w:tab/>
        </w:r>
        <w:r>
          <w:rPr>
            <w:webHidden/>
          </w:rPr>
          <w:fldChar w:fldCharType="begin"/>
        </w:r>
        <w:r>
          <w:rPr>
            <w:webHidden/>
          </w:rPr>
          <w:instrText xml:space="preserve"> PAGEREF _Toc161141249 \h </w:instrText>
        </w:r>
        <w:r>
          <w:rPr>
            <w:webHidden/>
          </w:rPr>
        </w:r>
        <w:r>
          <w:rPr>
            <w:webHidden/>
          </w:rPr>
          <w:fldChar w:fldCharType="separate"/>
        </w:r>
        <w:r>
          <w:rPr>
            <w:webHidden/>
          </w:rPr>
          <w:t>82</w:t>
        </w:r>
        <w:r>
          <w:rPr>
            <w:webHidden/>
          </w:rPr>
          <w:fldChar w:fldCharType="end"/>
        </w:r>
      </w:hyperlink>
    </w:p>
    <w:p w14:paraId="38D6CCDB" w14:textId="200FF5B7" w:rsidR="0024171D" w:rsidRDefault="0024171D">
      <w:pPr>
        <w:pStyle w:val="Sumrio2"/>
        <w:rPr>
          <w:rFonts w:eastAsiaTheme="minorEastAsia" w:cstheme="minorBidi"/>
          <w:b w:val="0"/>
          <w:bCs w:val="0"/>
          <w:kern w:val="2"/>
          <w14:ligatures w14:val="standardContextual"/>
        </w:rPr>
      </w:pPr>
      <w:hyperlink w:anchor="_Toc161141250" w:history="1">
        <w:r w:rsidRPr="00F06B07">
          <w:rPr>
            <w:rStyle w:val="Hyperlink"/>
          </w:rPr>
          <w:t>CAPÍTULO I – ÂMBITO E FINALIDADE</w:t>
        </w:r>
        <w:r>
          <w:rPr>
            <w:webHidden/>
          </w:rPr>
          <w:tab/>
        </w:r>
        <w:r>
          <w:rPr>
            <w:webHidden/>
          </w:rPr>
          <w:fldChar w:fldCharType="begin"/>
        </w:r>
        <w:r>
          <w:rPr>
            <w:webHidden/>
          </w:rPr>
          <w:instrText xml:space="preserve"> PAGEREF _Toc161141250 \h </w:instrText>
        </w:r>
        <w:r>
          <w:rPr>
            <w:webHidden/>
          </w:rPr>
        </w:r>
        <w:r>
          <w:rPr>
            <w:webHidden/>
          </w:rPr>
          <w:fldChar w:fldCharType="separate"/>
        </w:r>
        <w:r>
          <w:rPr>
            <w:webHidden/>
          </w:rPr>
          <w:t>82</w:t>
        </w:r>
        <w:r>
          <w:rPr>
            <w:webHidden/>
          </w:rPr>
          <w:fldChar w:fldCharType="end"/>
        </w:r>
      </w:hyperlink>
    </w:p>
    <w:p w14:paraId="237DCDB2" w14:textId="76CDA447" w:rsidR="0024171D" w:rsidRDefault="0024171D">
      <w:pPr>
        <w:pStyle w:val="Sumrio2"/>
        <w:rPr>
          <w:rFonts w:eastAsiaTheme="minorEastAsia" w:cstheme="minorBidi"/>
          <w:b w:val="0"/>
          <w:bCs w:val="0"/>
          <w:kern w:val="2"/>
          <w14:ligatures w14:val="standardContextual"/>
        </w:rPr>
      </w:pPr>
      <w:hyperlink w:anchor="_Toc161141251" w:history="1">
        <w:r w:rsidRPr="00F06B07">
          <w:rPr>
            <w:rStyle w:val="Hyperlink"/>
          </w:rPr>
          <w:t>CAPÍTULO II – DEFINIÇÕES</w:t>
        </w:r>
        <w:r>
          <w:rPr>
            <w:webHidden/>
          </w:rPr>
          <w:tab/>
        </w:r>
        <w:r>
          <w:rPr>
            <w:webHidden/>
          </w:rPr>
          <w:fldChar w:fldCharType="begin"/>
        </w:r>
        <w:r>
          <w:rPr>
            <w:webHidden/>
          </w:rPr>
          <w:instrText xml:space="preserve"> PAGEREF _Toc161141251 \h </w:instrText>
        </w:r>
        <w:r>
          <w:rPr>
            <w:webHidden/>
          </w:rPr>
        </w:r>
        <w:r>
          <w:rPr>
            <w:webHidden/>
          </w:rPr>
          <w:fldChar w:fldCharType="separate"/>
        </w:r>
        <w:r>
          <w:rPr>
            <w:webHidden/>
          </w:rPr>
          <w:t>82</w:t>
        </w:r>
        <w:r>
          <w:rPr>
            <w:webHidden/>
          </w:rPr>
          <w:fldChar w:fldCharType="end"/>
        </w:r>
      </w:hyperlink>
    </w:p>
    <w:p w14:paraId="2C48DADD" w14:textId="4597BFED" w:rsidR="0024171D" w:rsidRDefault="0024171D">
      <w:pPr>
        <w:pStyle w:val="Sumrio2"/>
        <w:rPr>
          <w:rFonts w:eastAsiaTheme="minorEastAsia" w:cstheme="minorBidi"/>
          <w:b w:val="0"/>
          <w:bCs w:val="0"/>
          <w:kern w:val="2"/>
          <w14:ligatures w14:val="standardContextual"/>
        </w:rPr>
      </w:pPr>
      <w:hyperlink w:anchor="_Toc161141252" w:history="1">
        <w:r w:rsidRPr="00F06B07">
          <w:rPr>
            <w:rStyle w:val="Hyperlink"/>
          </w:rPr>
          <w:t>CAPÍTULO III – CARACTERÍSTICAS E CONSTITUIÇÃO</w:t>
        </w:r>
        <w:r>
          <w:rPr>
            <w:webHidden/>
          </w:rPr>
          <w:tab/>
        </w:r>
        <w:r>
          <w:rPr>
            <w:webHidden/>
          </w:rPr>
          <w:fldChar w:fldCharType="begin"/>
        </w:r>
        <w:r>
          <w:rPr>
            <w:webHidden/>
          </w:rPr>
          <w:instrText xml:space="preserve"> PAGEREF _Toc161141252 \h </w:instrText>
        </w:r>
        <w:r>
          <w:rPr>
            <w:webHidden/>
          </w:rPr>
        </w:r>
        <w:r>
          <w:rPr>
            <w:webHidden/>
          </w:rPr>
          <w:fldChar w:fldCharType="separate"/>
        </w:r>
        <w:r>
          <w:rPr>
            <w:webHidden/>
          </w:rPr>
          <w:t>85</w:t>
        </w:r>
        <w:r>
          <w:rPr>
            <w:webHidden/>
          </w:rPr>
          <w:fldChar w:fldCharType="end"/>
        </w:r>
      </w:hyperlink>
    </w:p>
    <w:p w14:paraId="020128C8" w14:textId="2D5CD9DA" w:rsidR="0024171D" w:rsidRDefault="0024171D">
      <w:pPr>
        <w:pStyle w:val="Sumrio2"/>
        <w:rPr>
          <w:rFonts w:eastAsiaTheme="minorEastAsia" w:cstheme="minorBidi"/>
          <w:b w:val="0"/>
          <w:bCs w:val="0"/>
          <w:kern w:val="2"/>
          <w14:ligatures w14:val="standardContextual"/>
        </w:rPr>
      </w:pPr>
      <w:hyperlink w:anchor="_Toc161141253" w:history="1">
        <w:r w:rsidRPr="00F06B07">
          <w:rPr>
            <w:rStyle w:val="Hyperlink"/>
          </w:rPr>
          <w:t>CAPÍTULO IV – COTAS</w:t>
        </w:r>
        <w:r>
          <w:rPr>
            <w:webHidden/>
          </w:rPr>
          <w:tab/>
        </w:r>
        <w:r>
          <w:rPr>
            <w:webHidden/>
          </w:rPr>
          <w:fldChar w:fldCharType="begin"/>
        </w:r>
        <w:r>
          <w:rPr>
            <w:webHidden/>
          </w:rPr>
          <w:instrText xml:space="preserve"> PAGEREF _Toc161141253 \h </w:instrText>
        </w:r>
        <w:r>
          <w:rPr>
            <w:webHidden/>
          </w:rPr>
        </w:r>
        <w:r>
          <w:rPr>
            <w:webHidden/>
          </w:rPr>
          <w:fldChar w:fldCharType="separate"/>
        </w:r>
        <w:r>
          <w:rPr>
            <w:webHidden/>
          </w:rPr>
          <w:t>86</w:t>
        </w:r>
        <w:r>
          <w:rPr>
            <w:webHidden/>
          </w:rPr>
          <w:fldChar w:fldCharType="end"/>
        </w:r>
      </w:hyperlink>
    </w:p>
    <w:p w14:paraId="018621A1" w14:textId="005B588B" w:rsidR="0024171D" w:rsidRDefault="0024171D">
      <w:pPr>
        <w:pStyle w:val="Sumrio3"/>
        <w:rPr>
          <w:rFonts w:asciiTheme="minorHAnsi" w:eastAsiaTheme="minorEastAsia" w:hAnsiTheme="minorHAnsi" w:cstheme="minorBidi"/>
          <w:noProof/>
          <w:kern w:val="2"/>
          <w14:ligatures w14:val="standardContextual"/>
        </w:rPr>
      </w:pPr>
      <w:hyperlink w:anchor="_Toc161141254"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_Toc161141254 \h </w:instrText>
        </w:r>
        <w:r>
          <w:rPr>
            <w:noProof/>
            <w:webHidden/>
          </w:rPr>
        </w:r>
        <w:r>
          <w:rPr>
            <w:noProof/>
            <w:webHidden/>
          </w:rPr>
          <w:fldChar w:fldCharType="separate"/>
        </w:r>
        <w:r>
          <w:rPr>
            <w:noProof/>
            <w:webHidden/>
          </w:rPr>
          <w:t>86</w:t>
        </w:r>
        <w:r>
          <w:rPr>
            <w:noProof/>
            <w:webHidden/>
          </w:rPr>
          <w:fldChar w:fldCharType="end"/>
        </w:r>
      </w:hyperlink>
    </w:p>
    <w:p w14:paraId="11C4CDF9" w14:textId="094071C4" w:rsidR="0024171D" w:rsidRDefault="0024171D">
      <w:pPr>
        <w:pStyle w:val="Sumrio3"/>
        <w:rPr>
          <w:rFonts w:asciiTheme="minorHAnsi" w:eastAsiaTheme="minorEastAsia" w:hAnsiTheme="minorHAnsi" w:cstheme="minorBidi"/>
          <w:noProof/>
          <w:kern w:val="2"/>
          <w14:ligatures w14:val="standardContextual"/>
        </w:rPr>
      </w:pPr>
      <w:hyperlink w:anchor="_Toc161141255" w:history="1">
        <w:r w:rsidRPr="00F06B07">
          <w:rPr>
            <w:rStyle w:val="Hyperlink"/>
            <w:noProof/>
          </w:rPr>
          <w:t>Seção II – Distribuição e Subscrição</w:t>
        </w:r>
        <w:r>
          <w:rPr>
            <w:noProof/>
            <w:webHidden/>
          </w:rPr>
          <w:tab/>
        </w:r>
        <w:r>
          <w:rPr>
            <w:noProof/>
            <w:webHidden/>
          </w:rPr>
          <w:fldChar w:fldCharType="begin"/>
        </w:r>
        <w:r>
          <w:rPr>
            <w:noProof/>
            <w:webHidden/>
          </w:rPr>
          <w:instrText xml:space="preserve"> PAGEREF _Toc161141255 \h </w:instrText>
        </w:r>
        <w:r>
          <w:rPr>
            <w:noProof/>
            <w:webHidden/>
          </w:rPr>
        </w:r>
        <w:r>
          <w:rPr>
            <w:noProof/>
            <w:webHidden/>
          </w:rPr>
          <w:fldChar w:fldCharType="separate"/>
        </w:r>
        <w:r>
          <w:rPr>
            <w:noProof/>
            <w:webHidden/>
          </w:rPr>
          <w:t>87</w:t>
        </w:r>
        <w:r>
          <w:rPr>
            <w:noProof/>
            <w:webHidden/>
          </w:rPr>
          <w:fldChar w:fldCharType="end"/>
        </w:r>
      </w:hyperlink>
    </w:p>
    <w:p w14:paraId="461E8193" w14:textId="1796B772" w:rsidR="0024171D" w:rsidRDefault="0024171D">
      <w:pPr>
        <w:pStyle w:val="Sumrio2"/>
        <w:rPr>
          <w:rFonts w:eastAsiaTheme="minorEastAsia" w:cstheme="minorBidi"/>
          <w:b w:val="0"/>
          <w:bCs w:val="0"/>
          <w:kern w:val="2"/>
          <w14:ligatures w14:val="standardContextual"/>
        </w:rPr>
      </w:pPr>
      <w:hyperlink w:anchor="_Toc161141256" w:history="1">
        <w:r w:rsidRPr="00F06B07">
          <w:rPr>
            <w:rStyle w:val="Hyperlink"/>
          </w:rPr>
          <w:t>CAPÍTULO V – DOCUMENTOS E INFORMAÇÕES</w:t>
        </w:r>
        <w:r>
          <w:rPr>
            <w:webHidden/>
          </w:rPr>
          <w:tab/>
        </w:r>
        <w:r>
          <w:rPr>
            <w:webHidden/>
          </w:rPr>
          <w:fldChar w:fldCharType="begin"/>
        </w:r>
        <w:r>
          <w:rPr>
            <w:webHidden/>
          </w:rPr>
          <w:instrText xml:space="preserve"> PAGEREF _Toc161141256 \h </w:instrText>
        </w:r>
        <w:r>
          <w:rPr>
            <w:webHidden/>
          </w:rPr>
        </w:r>
        <w:r>
          <w:rPr>
            <w:webHidden/>
          </w:rPr>
          <w:fldChar w:fldCharType="separate"/>
        </w:r>
        <w:r>
          <w:rPr>
            <w:webHidden/>
          </w:rPr>
          <w:t>88</w:t>
        </w:r>
        <w:r>
          <w:rPr>
            <w:webHidden/>
          </w:rPr>
          <w:fldChar w:fldCharType="end"/>
        </w:r>
      </w:hyperlink>
    </w:p>
    <w:p w14:paraId="1B5DACFE" w14:textId="1E9D029E" w:rsidR="0024171D" w:rsidRDefault="0024171D">
      <w:pPr>
        <w:pStyle w:val="Sumrio3"/>
        <w:rPr>
          <w:rFonts w:asciiTheme="minorHAnsi" w:eastAsiaTheme="minorEastAsia" w:hAnsiTheme="minorHAnsi" w:cstheme="minorBidi"/>
          <w:noProof/>
          <w:kern w:val="2"/>
          <w14:ligatures w14:val="standardContextual"/>
        </w:rPr>
      </w:pPr>
      <w:hyperlink w:anchor="_Toc161141257"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_Toc161141257 \h </w:instrText>
        </w:r>
        <w:r>
          <w:rPr>
            <w:noProof/>
            <w:webHidden/>
          </w:rPr>
        </w:r>
        <w:r>
          <w:rPr>
            <w:noProof/>
            <w:webHidden/>
          </w:rPr>
          <w:fldChar w:fldCharType="separate"/>
        </w:r>
        <w:r>
          <w:rPr>
            <w:noProof/>
            <w:webHidden/>
          </w:rPr>
          <w:t>88</w:t>
        </w:r>
        <w:r>
          <w:rPr>
            <w:noProof/>
            <w:webHidden/>
          </w:rPr>
          <w:fldChar w:fldCharType="end"/>
        </w:r>
      </w:hyperlink>
    </w:p>
    <w:p w14:paraId="73C247FD" w14:textId="64844450" w:rsidR="0024171D" w:rsidRDefault="0024171D">
      <w:pPr>
        <w:pStyle w:val="Sumrio3"/>
        <w:rPr>
          <w:rFonts w:asciiTheme="minorHAnsi" w:eastAsiaTheme="minorEastAsia" w:hAnsiTheme="minorHAnsi" w:cstheme="minorBidi"/>
          <w:noProof/>
          <w:kern w:val="2"/>
          <w14:ligatures w14:val="standardContextual"/>
        </w:rPr>
      </w:pPr>
      <w:hyperlink w:anchor="_Toc161141258" w:history="1">
        <w:r w:rsidRPr="00F06B07">
          <w:rPr>
            <w:rStyle w:val="Hyperlink"/>
            <w:noProof/>
          </w:rPr>
          <w:t>Seção II – Lâmina de Informações Básicas</w:t>
        </w:r>
        <w:r>
          <w:rPr>
            <w:noProof/>
            <w:webHidden/>
          </w:rPr>
          <w:tab/>
        </w:r>
        <w:r>
          <w:rPr>
            <w:noProof/>
            <w:webHidden/>
          </w:rPr>
          <w:fldChar w:fldCharType="begin"/>
        </w:r>
        <w:r>
          <w:rPr>
            <w:noProof/>
            <w:webHidden/>
          </w:rPr>
          <w:instrText xml:space="preserve"> PAGEREF _Toc161141258 \h </w:instrText>
        </w:r>
        <w:r>
          <w:rPr>
            <w:noProof/>
            <w:webHidden/>
          </w:rPr>
        </w:r>
        <w:r>
          <w:rPr>
            <w:noProof/>
            <w:webHidden/>
          </w:rPr>
          <w:fldChar w:fldCharType="separate"/>
        </w:r>
        <w:r>
          <w:rPr>
            <w:noProof/>
            <w:webHidden/>
          </w:rPr>
          <w:t>88</w:t>
        </w:r>
        <w:r>
          <w:rPr>
            <w:noProof/>
            <w:webHidden/>
          </w:rPr>
          <w:fldChar w:fldCharType="end"/>
        </w:r>
      </w:hyperlink>
    </w:p>
    <w:p w14:paraId="7F50AC31" w14:textId="4F591DEF" w:rsidR="0024171D" w:rsidRDefault="0024171D">
      <w:pPr>
        <w:pStyle w:val="Sumrio3"/>
        <w:rPr>
          <w:rFonts w:asciiTheme="minorHAnsi" w:eastAsiaTheme="minorEastAsia" w:hAnsiTheme="minorHAnsi" w:cstheme="minorBidi"/>
          <w:noProof/>
          <w:kern w:val="2"/>
          <w14:ligatures w14:val="standardContextual"/>
        </w:rPr>
      </w:pPr>
      <w:hyperlink w:anchor="_Toc161141259" w:history="1">
        <w:r w:rsidRPr="00F06B07">
          <w:rPr>
            <w:rStyle w:val="Hyperlink"/>
            <w:noProof/>
          </w:rPr>
          <w:t>Seção III – Regulamento</w:t>
        </w:r>
        <w:r>
          <w:rPr>
            <w:noProof/>
            <w:webHidden/>
          </w:rPr>
          <w:tab/>
        </w:r>
        <w:r>
          <w:rPr>
            <w:noProof/>
            <w:webHidden/>
          </w:rPr>
          <w:fldChar w:fldCharType="begin"/>
        </w:r>
        <w:r>
          <w:rPr>
            <w:noProof/>
            <w:webHidden/>
          </w:rPr>
          <w:instrText xml:space="preserve"> PAGEREF _Toc161141259 \h </w:instrText>
        </w:r>
        <w:r>
          <w:rPr>
            <w:noProof/>
            <w:webHidden/>
          </w:rPr>
        </w:r>
        <w:r>
          <w:rPr>
            <w:noProof/>
            <w:webHidden/>
          </w:rPr>
          <w:fldChar w:fldCharType="separate"/>
        </w:r>
        <w:r>
          <w:rPr>
            <w:noProof/>
            <w:webHidden/>
          </w:rPr>
          <w:t>89</w:t>
        </w:r>
        <w:r>
          <w:rPr>
            <w:noProof/>
            <w:webHidden/>
          </w:rPr>
          <w:fldChar w:fldCharType="end"/>
        </w:r>
      </w:hyperlink>
    </w:p>
    <w:p w14:paraId="54EADA99" w14:textId="586ABDA0" w:rsidR="0024171D" w:rsidRDefault="0024171D">
      <w:pPr>
        <w:pStyle w:val="Sumrio3"/>
        <w:rPr>
          <w:rFonts w:asciiTheme="minorHAnsi" w:eastAsiaTheme="minorEastAsia" w:hAnsiTheme="minorHAnsi" w:cstheme="minorBidi"/>
          <w:noProof/>
          <w:kern w:val="2"/>
          <w14:ligatures w14:val="standardContextual"/>
        </w:rPr>
      </w:pPr>
      <w:hyperlink w:anchor="_Toc161141260" w:history="1">
        <w:r w:rsidRPr="00F06B07">
          <w:rPr>
            <w:rStyle w:val="Hyperlink"/>
            <w:noProof/>
          </w:rPr>
          <w:t>Seção IV – Material de Divulgação</w:t>
        </w:r>
        <w:r>
          <w:rPr>
            <w:noProof/>
            <w:webHidden/>
          </w:rPr>
          <w:tab/>
        </w:r>
        <w:r>
          <w:rPr>
            <w:noProof/>
            <w:webHidden/>
          </w:rPr>
          <w:fldChar w:fldCharType="begin"/>
        </w:r>
        <w:r>
          <w:rPr>
            <w:noProof/>
            <w:webHidden/>
          </w:rPr>
          <w:instrText xml:space="preserve"> PAGEREF _Toc161141260 \h </w:instrText>
        </w:r>
        <w:r>
          <w:rPr>
            <w:noProof/>
            <w:webHidden/>
          </w:rPr>
        </w:r>
        <w:r>
          <w:rPr>
            <w:noProof/>
            <w:webHidden/>
          </w:rPr>
          <w:fldChar w:fldCharType="separate"/>
        </w:r>
        <w:r>
          <w:rPr>
            <w:noProof/>
            <w:webHidden/>
          </w:rPr>
          <w:t>90</w:t>
        </w:r>
        <w:r>
          <w:rPr>
            <w:noProof/>
            <w:webHidden/>
          </w:rPr>
          <w:fldChar w:fldCharType="end"/>
        </w:r>
      </w:hyperlink>
    </w:p>
    <w:p w14:paraId="50D0F0BB" w14:textId="01487A14" w:rsidR="0024171D" w:rsidRDefault="0024171D">
      <w:pPr>
        <w:pStyle w:val="Sumrio2"/>
        <w:rPr>
          <w:rFonts w:eastAsiaTheme="minorEastAsia" w:cstheme="minorBidi"/>
          <w:b w:val="0"/>
          <w:bCs w:val="0"/>
          <w:kern w:val="2"/>
          <w14:ligatures w14:val="standardContextual"/>
        </w:rPr>
      </w:pPr>
      <w:hyperlink w:anchor="_Toc161141261" w:history="1">
        <w:r w:rsidRPr="00F06B07">
          <w:rPr>
            <w:rStyle w:val="Hyperlink"/>
          </w:rPr>
          <w:t>CAPÍTULO VI – DIVULGAÇÃO DE INFORMAÇÕES</w:t>
        </w:r>
        <w:r>
          <w:rPr>
            <w:webHidden/>
          </w:rPr>
          <w:tab/>
        </w:r>
        <w:r>
          <w:rPr>
            <w:webHidden/>
          </w:rPr>
          <w:fldChar w:fldCharType="begin"/>
        </w:r>
        <w:r>
          <w:rPr>
            <w:webHidden/>
          </w:rPr>
          <w:instrText xml:space="preserve"> PAGEREF _Toc161141261 \h </w:instrText>
        </w:r>
        <w:r>
          <w:rPr>
            <w:webHidden/>
          </w:rPr>
        </w:r>
        <w:r>
          <w:rPr>
            <w:webHidden/>
          </w:rPr>
          <w:fldChar w:fldCharType="separate"/>
        </w:r>
        <w:r>
          <w:rPr>
            <w:webHidden/>
          </w:rPr>
          <w:t>91</w:t>
        </w:r>
        <w:r>
          <w:rPr>
            <w:webHidden/>
          </w:rPr>
          <w:fldChar w:fldCharType="end"/>
        </w:r>
      </w:hyperlink>
    </w:p>
    <w:p w14:paraId="7AB004E8" w14:textId="7FC49FB6" w:rsidR="0024171D" w:rsidRDefault="0024171D">
      <w:pPr>
        <w:pStyle w:val="Sumrio2"/>
        <w:rPr>
          <w:rFonts w:eastAsiaTheme="minorEastAsia" w:cstheme="minorBidi"/>
          <w:b w:val="0"/>
          <w:bCs w:val="0"/>
          <w:kern w:val="2"/>
          <w14:ligatures w14:val="standardContextual"/>
        </w:rPr>
      </w:pPr>
      <w:hyperlink w:anchor="_Toc161141262" w:history="1">
        <w:r w:rsidRPr="00F06B07">
          <w:rPr>
            <w:rStyle w:val="Hyperlink"/>
          </w:rPr>
          <w:t>CAPÍTULO VII – PRESTAÇÃO DE SERVIÇOS</w:t>
        </w:r>
        <w:r>
          <w:rPr>
            <w:webHidden/>
          </w:rPr>
          <w:tab/>
        </w:r>
        <w:r>
          <w:rPr>
            <w:webHidden/>
          </w:rPr>
          <w:fldChar w:fldCharType="begin"/>
        </w:r>
        <w:r>
          <w:rPr>
            <w:webHidden/>
          </w:rPr>
          <w:instrText xml:space="preserve"> PAGEREF _Toc161141262 \h </w:instrText>
        </w:r>
        <w:r>
          <w:rPr>
            <w:webHidden/>
          </w:rPr>
        </w:r>
        <w:r>
          <w:rPr>
            <w:webHidden/>
          </w:rPr>
          <w:fldChar w:fldCharType="separate"/>
        </w:r>
        <w:r>
          <w:rPr>
            <w:webHidden/>
          </w:rPr>
          <w:t>95</w:t>
        </w:r>
        <w:r>
          <w:rPr>
            <w:webHidden/>
          </w:rPr>
          <w:fldChar w:fldCharType="end"/>
        </w:r>
      </w:hyperlink>
    </w:p>
    <w:p w14:paraId="4DB9235A" w14:textId="220A81AA" w:rsidR="0024171D" w:rsidRDefault="0024171D">
      <w:pPr>
        <w:pStyle w:val="Sumrio3"/>
        <w:rPr>
          <w:rFonts w:asciiTheme="minorHAnsi" w:eastAsiaTheme="minorEastAsia" w:hAnsiTheme="minorHAnsi" w:cstheme="minorBidi"/>
          <w:noProof/>
          <w:kern w:val="2"/>
          <w14:ligatures w14:val="standardContextual"/>
        </w:rPr>
      </w:pPr>
      <w:hyperlink w:anchor="_Toc161141263" w:history="1">
        <w:r w:rsidRPr="00F06B07">
          <w:rPr>
            <w:rStyle w:val="Hyperlink"/>
            <w:noProof/>
          </w:rPr>
          <w:t>Seção I – Obrigações do Administrador, Gestor e Custodiante</w:t>
        </w:r>
        <w:r>
          <w:rPr>
            <w:noProof/>
            <w:webHidden/>
          </w:rPr>
          <w:tab/>
        </w:r>
        <w:r>
          <w:rPr>
            <w:noProof/>
            <w:webHidden/>
          </w:rPr>
          <w:fldChar w:fldCharType="begin"/>
        </w:r>
        <w:r>
          <w:rPr>
            <w:noProof/>
            <w:webHidden/>
          </w:rPr>
          <w:instrText xml:space="preserve"> PAGEREF _Toc161141263 \h </w:instrText>
        </w:r>
        <w:r>
          <w:rPr>
            <w:noProof/>
            <w:webHidden/>
          </w:rPr>
        </w:r>
        <w:r>
          <w:rPr>
            <w:noProof/>
            <w:webHidden/>
          </w:rPr>
          <w:fldChar w:fldCharType="separate"/>
        </w:r>
        <w:r>
          <w:rPr>
            <w:noProof/>
            <w:webHidden/>
          </w:rPr>
          <w:t>95</w:t>
        </w:r>
        <w:r>
          <w:rPr>
            <w:noProof/>
            <w:webHidden/>
          </w:rPr>
          <w:fldChar w:fldCharType="end"/>
        </w:r>
      </w:hyperlink>
    </w:p>
    <w:p w14:paraId="528E2343" w14:textId="099A5D55" w:rsidR="0024171D" w:rsidRDefault="0024171D">
      <w:pPr>
        <w:pStyle w:val="Sumrio3"/>
        <w:rPr>
          <w:rFonts w:asciiTheme="minorHAnsi" w:eastAsiaTheme="minorEastAsia" w:hAnsiTheme="minorHAnsi" w:cstheme="minorBidi"/>
          <w:noProof/>
          <w:kern w:val="2"/>
          <w14:ligatures w14:val="standardContextual"/>
        </w:rPr>
      </w:pPr>
      <w:hyperlink w:anchor="_Toc161141264" w:history="1">
        <w:r w:rsidRPr="00F06B07">
          <w:rPr>
            <w:rStyle w:val="Hyperlink"/>
            <w:noProof/>
          </w:rPr>
          <w:t>Seção II – Taxa de Performance</w:t>
        </w:r>
        <w:r>
          <w:rPr>
            <w:noProof/>
            <w:webHidden/>
          </w:rPr>
          <w:tab/>
        </w:r>
        <w:r>
          <w:rPr>
            <w:noProof/>
            <w:webHidden/>
          </w:rPr>
          <w:fldChar w:fldCharType="begin"/>
        </w:r>
        <w:r>
          <w:rPr>
            <w:noProof/>
            <w:webHidden/>
          </w:rPr>
          <w:instrText xml:space="preserve"> PAGEREF _Toc161141264 \h </w:instrText>
        </w:r>
        <w:r>
          <w:rPr>
            <w:noProof/>
            <w:webHidden/>
          </w:rPr>
        </w:r>
        <w:r>
          <w:rPr>
            <w:noProof/>
            <w:webHidden/>
          </w:rPr>
          <w:fldChar w:fldCharType="separate"/>
        </w:r>
        <w:r>
          <w:rPr>
            <w:noProof/>
            <w:webHidden/>
          </w:rPr>
          <w:t>96</w:t>
        </w:r>
        <w:r>
          <w:rPr>
            <w:noProof/>
            <w:webHidden/>
          </w:rPr>
          <w:fldChar w:fldCharType="end"/>
        </w:r>
      </w:hyperlink>
    </w:p>
    <w:p w14:paraId="31EBACF0" w14:textId="16F00FFF" w:rsidR="0024171D" w:rsidRDefault="0024171D">
      <w:pPr>
        <w:pStyle w:val="Sumrio3"/>
        <w:rPr>
          <w:rFonts w:asciiTheme="minorHAnsi" w:eastAsiaTheme="minorEastAsia" w:hAnsiTheme="minorHAnsi" w:cstheme="minorBidi"/>
          <w:noProof/>
          <w:kern w:val="2"/>
          <w14:ligatures w14:val="standardContextual"/>
        </w:rPr>
      </w:pPr>
      <w:hyperlink w:anchor="_Toc161141265" w:history="1">
        <w:r w:rsidRPr="00F06B07">
          <w:rPr>
            <w:rStyle w:val="Hyperlink"/>
            <w:noProof/>
          </w:rPr>
          <w:t>Seção III – Vedações</w:t>
        </w:r>
        <w:r>
          <w:rPr>
            <w:noProof/>
            <w:webHidden/>
          </w:rPr>
          <w:tab/>
        </w:r>
        <w:r>
          <w:rPr>
            <w:noProof/>
            <w:webHidden/>
          </w:rPr>
          <w:fldChar w:fldCharType="begin"/>
        </w:r>
        <w:r>
          <w:rPr>
            <w:noProof/>
            <w:webHidden/>
          </w:rPr>
          <w:instrText xml:space="preserve"> PAGEREF _Toc161141265 \h </w:instrText>
        </w:r>
        <w:r>
          <w:rPr>
            <w:noProof/>
            <w:webHidden/>
          </w:rPr>
        </w:r>
        <w:r>
          <w:rPr>
            <w:noProof/>
            <w:webHidden/>
          </w:rPr>
          <w:fldChar w:fldCharType="separate"/>
        </w:r>
        <w:r>
          <w:rPr>
            <w:noProof/>
            <w:webHidden/>
          </w:rPr>
          <w:t>99</w:t>
        </w:r>
        <w:r>
          <w:rPr>
            <w:noProof/>
            <w:webHidden/>
          </w:rPr>
          <w:fldChar w:fldCharType="end"/>
        </w:r>
      </w:hyperlink>
    </w:p>
    <w:p w14:paraId="395646BC" w14:textId="2C6B3361" w:rsidR="0024171D" w:rsidRDefault="0024171D">
      <w:pPr>
        <w:pStyle w:val="Sumrio2"/>
        <w:rPr>
          <w:rFonts w:eastAsiaTheme="minorEastAsia" w:cstheme="minorBidi"/>
          <w:b w:val="0"/>
          <w:bCs w:val="0"/>
          <w:kern w:val="2"/>
          <w14:ligatures w14:val="standardContextual"/>
        </w:rPr>
      </w:pPr>
      <w:hyperlink w:anchor="_Toc161141266" w:history="1">
        <w:r w:rsidRPr="00F06B07">
          <w:rPr>
            <w:rStyle w:val="Hyperlink"/>
          </w:rPr>
          <w:t>CAPÍTULO VIII – CARTEIRA</w:t>
        </w:r>
        <w:r>
          <w:rPr>
            <w:webHidden/>
          </w:rPr>
          <w:tab/>
        </w:r>
        <w:r>
          <w:rPr>
            <w:webHidden/>
          </w:rPr>
          <w:fldChar w:fldCharType="begin"/>
        </w:r>
        <w:r>
          <w:rPr>
            <w:webHidden/>
          </w:rPr>
          <w:instrText xml:space="preserve"> PAGEREF _Toc161141266 \h </w:instrText>
        </w:r>
        <w:r>
          <w:rPr>
            <w:webHidden/>
          </w:rPr>
        </w:r>
        <w:r>
          <w:rPr>
            <w:webHidden/>
          </w:rPr>
          <w:fldChar w:fldCharType="separate"/>
        </w:r>
        <w:r>
          <w:rPr>
            <w:webHidden/>
          </w:rPr>
          <w:t>100</w:t>
        </w:r>
        <w:r>
          <w:rPr>
            <w:webHidden/>
          </w:rPr>
          <w:fldChar w:fldCharType="end"/>
        </w:r>
      </w:hyperlink>
    </w:p>
    <w:p w14:paraId="3DE46214" w14:textId="0857A635" w:rsidR="0024171D" w:rsidRDefault="0024171D">
      <w:pPr>
        <w:pStyle w:val="Sumrio3"/>
        <w:rPr>
          <w:rFonts w:asciiTheme="minorHAnsi" w:eastAsiaTheme="minorEastAsia" w:hAnsiTheme="minorHAnsi" w:cstheme="minorBidi"/>
          <w:noProof/>
          <w:kern w:val="2"/>
          <w14:ligatures w14:val="standardContextual"/>
        </w:rPr>
      </w:pPr>
      <w:hyperlink w:anchor="_Toc161141267"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_Toc161141267 \h </w:instrText>
        </w:r>
        <w:r>
          <w:rPr>
            <w:noProof/>
            <w:webHidden/>
          </w:rPr>
        </w:r>
        <w:r>
          <w:rPr>
            <w:noProof/>
            <w:webHidden/>
          </w:rPr>
          <w:fldChar w:fldCharType="separate"/>
        </w:r>
        <w:r>
          <w:rPr>
            <w:noProof/>
            <w:webHidden/>
          </w:rPr>
          <w:t>100</w:t>
        </w:r>
        <w:r>
          <w:rPr>
            <w:noProof/>
            <w:webHidden/>
          </w:rPr>
          <w:fldChar w:fldCharType="end"/>
        </w:r>
      </w:hyperlink>
    </w:p>
    <w:p w14:paraId="7D93738D" w14:textId="3CF3CDC7" w:rsidR="0024171D" w:rsidRDefault="0024171D">
      <w:pPr>
        <w:pStyle w:val="Sumrio3"/>
        <w:rPr>
          <w:rFonts w:asciiTheme="minorHAnsi" w:eastAsiaTheme="minorEastAsia" w:hAnsiTheme="minorHAnsi" w:cstheme="minorBidi"/>
          <w:noProof/>
          <w:kern w:val="2"/>
          <w14:ligatures w14:val="standardContextual"/>
        </w:rPr>
      </w:pPr>
      <w:hyperlink w:anchor="_Toc161141268" w:history="1">
        <w:r w:rsidRPr="00F06B07">
          <w:rPr>
            <w:rStyle w:val="Hyperlink"/>
            <w:noProof/>
          </w:rPr>
          <w:t>Seção II – Ativos Financeiros no Brasil</w:t>
        </w:r>
        <w:r>
          <w:rPr>
            <w:noProof/>
            <w:webHidden/>
          </w:rPr>
          <w:tab/>
        </w:r>
        <w:r>
          <w:rPr>
            <w:noProof/>
            <w:webHidden/>
          </w:rPr>
          <w:fldChar w:fldCharType="begin"/>
        </w:r>
        <w:r>
          <w:rPr>
            <w:noProof/>
            <w:webHidden/>
          </w:rPr>
          <w:instrText xml:space="preserve"> PAGEREF _Toc161141268 \h </w:instrText>
        </w:r>
        <w:r>
          <w:rPr>
            <w:noProof/>
            <w:webHidden/>
          </w:rPr>
        </w:r>
        <w:r>
          <w:rPr>
            <w:noProof/>
            <w:webHidden/>
          </w:rPr>
          <w:fldChar w:fldCharType="separate"/>
        </w:r>
        <w:r>
          <w:rPr>
            <w:noProof/>
            <w:webHidden/>
          </w:rPr>
          <w:t>100</w:t>
        </w:r>
        <w:r>
          <w:rPr>
            <w:noProof/>
            <w:webHidden/>
          </w:rPr>
          <w:fldChar w:fldCharType="end"/>
        </w:r>
      </w:hyperlink>
    </w:p>
    <w:p w14:paraId="1CC4E3B5" w14:textId="09F4C2EB" w:rsidR="0024171D" w:rsidRDefault="0024171D">
      <w:pPr>
        <w:pStyle w:val="Sumrio3"/>
        <w:rPr>
          <w:rFonts w:asciiTheme="minorHAnsi" w:eastAsiaTheme="minorEastAsia" w:hAnsiTheme="minorHAnsi" w:cstheme="minorBidi"/>
          <w:noProof/>
          <w:kern w:val="2"/>
          <w14:ligatures w14:val="standardContextual"/>
        </w:rPr>
      </w:pPr>
      <w:hyperlink w:anchor="_Toc161141269" w:history="1">
        <w:r w:rsidRPr="00F06B07">
          <w:rPr>
            <w:rStyle w:val="Hyperlink"/>
            <w:noProof/>
          </w:rPr>
          <w:t>Seção III – Ativos Financeiros no Exterior</w:t>
        </w:r>
        <w:r>
          <w:rPr>
            <w:noProof/>
            <w:webHidden/>
          </w:rPr>
          <w:tab/>
        </w:r>
        <w:r>
          <w:rPr>
            <w:noProof/>
            <w:webHidden/>
          </w:rPr>
          <w:fldChar w:fldCharType="begin"/>
        </w:r>
        <w:r>
          <w:rPr>
            <w:noProof/>
            <w:webHidden/>
          </w:rPr>
          <w:instrText xml:space="preserve"> PAGEREF _Toc161141269 \h </w:instrText>
        </w:r>
        <w:r>
          <w:rPr>
            <w:noProof/>
            <w:webHidden/>
          </w:rPr>
        </w:r>
        <w:r>
          <w:rPr>
            <w:noProof/>
            <w:webHidden/>
          </w:rPr>
          <w:fldChar w:fldCharType="separate"/>
        </w:r>
        <w:r>
          <w:rPr>
            <w:noProof/>
            <w:webHidden/>
          </w:rPr>
          <w:t>101</w:t>
        </w:r>
        <w:r>
          <w:rPr>
            <w:noProof/>
            <w:webHidden/>
          </w:rPr>
          <w:fldChar w:fldCharType="end"/>
        </w:r>
      </w:hyperlink>
    </w:p>
    <w:p w14:paraId="4860576B" w14:textId="52B798EE" w:rsidR="0024171D" w:rsidRDefault="0024171D">
      <w:pPr>
        <w:pStyle w:val="Sumrio3"/>
        <w:rPr>
          <w:rFonts w:asciiTheme="minorHAnsi" w:eastAsiaTheme="minorEastAsia" w:hAnsiTheme="minorHAnsi" w:cstheme="minorBidi"/>
          <w:noProof/>
          <w:kern w:val="2"/>
          <w14:ligatures w14:val="standardContextual"/>
        </w:rPr>
      </w:pPr>
      <w:hyperlink w:anchor="_Toc161141270" w:history="1">
        <w:r w:rsidRPr="00F06B07">
          <w:rPr>
            <w:rStyle w:val="Hyperlink"/>
            <w:noProof/>
          </w:rPr>
          <w:t>Seção IV – Limites por Emissor</w:t>
        </w:r>
        <w:r>
          <w:rPr>
            <w:noProof/>
            <w:webHidden/>
          </w:rPr>
          <w:tab/>
        </w:r>
        <w:r>
          <w:rPr>
            <w:noProof/>
            <w:webHidden/>
          </w:rPr>
          <w:fldChar w:fldCharType="begin"/>
        </w:r>
        <w:r>
          <w:rPr>
            <w:noProof/>
            <w:webHidden/>
          </w:rPr>
          <w:instrText xml:space="preserve"> PAGEREF _Toc161141270 \h </w:instrText>
        </w:r>
        <w:r>
          <w:rPr>
            <w:noProof/>
            <w:webHidden/>
          </w:rPr>
        </w:r>
        <w:r>
          <w:rPr>
            <w:noProof/>
            <w:webHidden/>
          </w:rPr>
          <w:fldChar w:fldCharType="separate"/>
        </w:r>
        <w:r>
          <w:rPr>
            <w:noProof/>
            <w:webHidden/>
          </w:rPr>
          <w:t>106</w:t>
        </w:r>
        <w:r>
          <w:rPr>
            <w:noProof/>
            <w:webHidden/>
          </w:rPr>
          <w:fldChar w:fldCharType="end"/>
        </w:r>
      </w:hyperlink>
    </w:p>
    <w:p w14:paraId="33067458" w14:textId="3819A4A8" w:rsidR="0024171D" w:rsidRDefault="0024171D">
      <w:pPr>
        <w:pStyle w:val="Sumrio3"/>
        <w:rPr>
          <w:rFonts w:asciiTheme="minorHAnsi" w:eastAsiaTheme="minorEastAsia" w:hAnsiTheme="minorHAnsi" w:cstheme="minorBidi"/>
          <w:noProof/>
          <w:kern w:val="2"/>
          <w14:ligatures w14:val="standardContextual"/>
        </w:rPr>
      </w:pPr>
      <w:hyperlink w:anchor="_Toc161141271" w:history="1">
        <w:r w:rsidRPr="00F06B07">
          <w:rPr>
            <w:rStyle w:val="Hyperlink"/>
            <w:noProof/>
          </w:rPr>
          <w:t>Seção V – Limites por Modalidade de Ativo Financeiro</w:t>
        </w:r>
        <w:r>
          <w:rPr>
            <w:noProof/>
            <w:webHidden/>
          </w:rPr>
          <w:tab/>
        </w:r>
        <w:r>
          <w:rPr>
            <w:noProof/>
            <w:webHidden/>
          </w:rPr>
          <w:fldChar w:fldCharType="begin"/>
        </w:r>
        <w:r>
          <w:rPr>
            <w:noProof/>
            <w:webHidden/>
          </w:rPr>
          <w:instrText xml:space="preserve"> PAGEREF _Toc161141271 \h </w:instrText>
        </w:r>
        <w:r>
          <w:rPr>
            <w:noProof/>
            <w:webHidden/>
          </w:rPr>
        </w:r>
        <w:r>
          <w:rPr>
            <w:noProof/>
            <w:webHidden/>
          </w:rPr>
          <w:fldChar w:fldCharType="separate"/>
        </w:r>
        <w:r>
          <w:rPr>
            <w:noProof/>
            <w:webHidden/>
          </w:rPr>
          <w:t>110</w:t>
        </w:r>
        <w:r>
          <w:rPr>
            <w:noProof/>
            <w:webHidden/>
          </w:rPr>
          <w:fldChar w:fldCharType="end"/>
        </w:r>
      </w:hyperlink>
    </w:p>
    <w:p w14:paraId="19AA30F5" w14:textId="763B5378" w:rsidR="0024171D" w:rsidRDefault="0024171D">
      <w:pPr>
        <w:pStyle w:val="Sumrio3"/>
        <w:rPr>
          <w:rFonts w:asciiTheme="minorHAnsi" w:eastAsiaTheme="minorEastAsia" w:hAnsiTheme="minorHAnsi" w:cstheme="minorBidi"/>
          <w:noProof/>
          <w:kern w:val="2"/>
          <w14:ligatures w14:val="standardContextual"/>
        </w:rPr>
      </w:pPr>
      <w:hyperlink w:anchor="_Toc161141272" w:history="1">
        <w:r w:rsidRPr="00F06B07">
          <w:rPr>
            <w:rStyle w:val="Hyperlink"/>
            <w:noProof/>
          </w:rPr>
          <w:t>Seção VI – Deveres Quanto aos Limites de Concentração</w:t>
        </w:r>
        <w:r>
          <w:rPr>
            <w:noProof/>
            <w:webHidden/>
          </w:rPr>
          <w:tab/>
        </w:r>
        <w:r>
          <w:rPr>
            <w:noProof/>
            <w:webHidden/>
          </w:rPr>
          <w:fldChar w:fldCharType="begin"/>
        </w:r>
        <w:r>
          <w:rPr>
            <w:noProof/>
            <w:webHidden/>
          </w:rPr>
          <w:instrText xml:space="preserve"> PAGEREF _Toc161141272 \h </w:instrText>
        </w:r>
        <w:r>
          <w:rPr>
            <w:noProof/>
            <w:webHidden/>
          </w:rPr>
        </w:r>
        <w:r>
          <w:rPr>
            <w:noProof/>
            <w:webHidden/>
          </w:rPr>
          <w:fldChar w:fldCharType="separate"/>
        </w:r>
        <w:r>
          <w:rPr>
            <w:noProof/>
            <w:webHidden/>
          </w:rPr>
          <w:t>113</w:t>
        </w:r>
        <w:r>
          <w:rPr>
            <w:noProof/>
            <w:webHidden/>
          </w:rPr>
          <w:fldChar w:fldCharType="end"/>
        </w:r>
      </w:hyperlink>
    </w:p>
    <w:p w14:paraId="3124EA71" w14:textId="632D563B" w:rsidR="0024171D" w:rsidRDefault="0024171D">
      <w:pPr>
        <w:pStyle w:val="Sumrio3"/>
        <w:rPr>
          <w:rFonts w:asciiTheme="minorHAnsi" w:eastAsiaTheme="minorEastAsia" w:hAnsiTheme="minorHAnsi" w:cstheme="minorBidi"/>
          <w:noProof/>
          <w:kern w:val="2"/>
          <w14:ligatures w14:val="standardContextual"/>
        </w:rPr>
      </w:pPr>
      <w:hyperlink w:anchor="_Toc161141273" w:history="1">
        <w:r w:rsidRPr="00F06B07">
          <w:rPr>
            <w:rStyle w:val="Hyperlink"/>
            <w:noProof/>
          </w:rPr>
          <w:t>Seção VII – Tipificação</w:t>
        </w:r>
        <w:r>
          <w:rPr>
            <w:noProof/>
            <w:webHidden/>
          </w:rPr>
          <w:tab/>
        </w:r>
        <w:r>
          <w:rPr>
            <w:noProof/>
            <w:webHidden/>
          </w:rPr>
          <w:fldChar w:fldCharType="begin"/>
        </w:r>
        <w:r>
          <w:rPr>
            <w:noProof/>
            <w:webHidden/>
          </w:rPr>
          <w:instrText xml:space="preserve"> PAGEREF _Toc161141273 \h </w:instrText>
        </w:r>
        <w:r>
          <w:rPr>
            <w:noProof/>
            <w:webHidden/>
          </w:rPr>
        </w:r>
        <w:r>
          <w:rPr>
            <w:noProof/>
            <w:webHidden/>
          </w:rPr>
          <w:fldChar w:fldCharType="separate"/>
        </w:r>
        <w:r>
          <w:rPr>
            <w:noProof/>
            <w:webHidden/>
          </w:rPr>
          <w:t>115</w:t>
        </w:r>
        <w:r>
          <w:rPr>
            <w:noProof/>
            <w:webHidden/>
          </w:rPr>
          <w:fldChar w:fldCharType="end"/>
        </w:r>
      </w:hyperlink>
    </w:p>
    <w:p w14:paraId="7042B6CE" w14:textId="5DCF2461" w:rsidR="0024171D" w:rsidRDefault="0024171D">
      <w:pPr>
        <w:pStyle w:val="Sumrio3"/>
        <w:rPr>
          <w:rFonts w:asciiTheme="minorHAnsi" w:eastAsiaTheme="minorEastAsia" w:hAnsiTheme="minorHAnsi" w:cstheme="minorBidi"/>
          <w:noProof/>
          <w:kern w:val="2"/>
          <w14:ligatures w14:val="standardContextual"/>
        </w:rPr>
      </w:pPr>
      <w:hyperlink w:anchor="_Toc161141274" w:history="1">
        <w:r w:rsidRPr="00F06B07">
          <w:rPr>
            <w:rStyle w:val="Hyperlink"/>
            <w:noProof/>
          </w:rPr>
          <w:t>Subseção I – Fundos de Renda Fixa</w:t>
        </w:r>
        <w:r>
          <w:rPr>
            <w:noProof/>
            <w:webHidden/>
          </w:rPr>
          <w:tab/>
        </w:r>
        <w:r>
          <w:rPr>
            <w:noProof/>
            <w:webHidden/>
          </w:rPr>
          <w:fldChar w:fldCharType="begin"/>
        </w:r>
        <w:r>
          <w:rPr>
            <w:noProof/>
            <w:webHidden/>
          </w:rPr>
          <w:instrText xml:space="preserve"> PAGEREF _Toc161141274 \h </w:instrText>
        </w:r>
        <w:r>
          <w:rPr>
            <w:noProof/>
            <w:webHidden/>
          </w:rPr>
        </w:r>
        <w:r>
          <w:rPr>
            <w:noProof/>
            <w:webHidden/>
          </w:rPr>
          <w:fldChar w:fldCharType="separate"/>
        </w:r>
        <w:r>
          <w:rPr>
            <w:noProof/>
            <w:webHidden/>
          </w:rPr>
          <w:t>115</w:t>
        </w:r>
        <w:r>
          <w:rPr>
            <w:noProof/>
            <w:webHidden/>
          </w:rPr>
          <w:fldChar w:fldCharType="end"/>
        </w:r>
      </w:hyperlink>
    </w:p>
    <w:p w14:paraId="4A6C0129" w14:textId="794E9444" w:rsidR="0024171D" w:rsidRDefault="0024171D">
      <w:pPr>
        <w:pStyle w:val="Sumrio3"/>
        <w:rPr>
          <w:rFonts w:asciiTheme="minorHAnsi" w:eastAsiaTheme="minorEastAsia" w:hAnsiTheme="minorHAnsi" w:cstheme="minorBidi"/>
          <w:noProof/>
          <w:kern w:val="2"/>
          <w14:ligatures w14:val="standardContextual"/>
        </w:rPr>
      </w:pPr>
      <w:hyperlink w:anchor="_Toc161141275" w:history="1">
        <w:r w:rsidRPr="00F06B07">
          <w:rPr>
            <w:rStyle w:val="Hyperlink"/>
            <w:noProof/>
          </w:rPr>
          <w:t>Subseção II – Fundos de Ações</w:t>
        </w:r>
        <w:r>
          <w:rPr>
            <w:noProof/>
            <w:webHidden/>
          </w:rPr>
          <w:tab/>
        </w:r>
        <w:r>
          <w:rPr>
            <w:noProof/>
            <w:webHidden/>
          </w:rPr>
          <w:fldChar w:fldCharType="begin"/>
        </w:r>
        <w:r>
          <w:rPr>
            <w:noProof/>
            <w:webHidden/>
          </w:rPr>
          <w:instrText xml:space="preserve"> PAGEREF _Toc161141275 \h </w:instrText>
        </w:r>
        <w:r>
          <w:rPr>
            <w:noProof/>
            <w:webHidden/>
          </w:rPr>
        </w:r>
        <w:r>
          <w:rPr>
            <w:noProof/>
            <w:webHidden/>
          </w:rPr>
          <w:fldChar w:fldCharType="separate"/>
        </w:r>
        <w:r>
          <w:rPr>
            <w:noProof/>
            <w:webHidden/>
          </w:rPr>
          <w:t>119</w:t>
        </w:r>
        <w:r>
          <w:rPr>
            <w:noProof/>
            <w:webHidden/>
          </w:rPr>
          <w:fldChar w:fldCharType="end"/>
        </w:r>
      </w:hyperlink>
    </w:p>
    <w:p w14:paraId="2C755358" w14:textId="11A50A9D" w:rsidR="0024171D" w:rsidRDefault="0024171D">
      <w:pPr>
        <w:pStyle w:val="Sumrio3"/>
        <w:rPr>
          <w:rFonts w:asciiTheme="minorHAnsi" w:eastAsiaTheme="minorEastAsia" w:hAnsiTheme="minorHAnsi" w:cstheme="minorBidi"/>
          <w:noProof/>
          <w:kern w:val="2"/>
          <w14:ligatures w14:val="standardContextual"/>
        </w:rPr>
      </w:pPr>
      <w:hyperlink w:anchor="_Toc161141276" w:history="1">
        <w:r w:rsidRPr="00F06B07">
          <w:rPr>
            <w:rStyle w:val="Hyperlink"/>
            <w:noProof/>
          </w:rPr>
          <w:t>Subseção III – Fundos Cambiais</w:t>
        </w:r>
        <w:r>
          <w:rPr>
            <w:noProof/>
            <w:webHidden/>
          </w:rPr>
          <w:tab/>
        </w:r>
        <w:r>
          <w:rPr>
            <w:noProof/>
            <w:webHidden/>
          </w:rPr>
          <w:fldChar w:fldCharType="begin"/>
        </w:r>
        <w:r>
          <w:rPr>
            <w:noProof/>
            <w:webHidden/>
          </w:rPr>
          <w:instrText xml:space="preserve"> PAGEREF _Toc161141276 \h </w:instrText>
        </w:r>
        <w:r>
          <w:rPr>
            <w:noProof/>
            <w:webHidden/>
          </w:rPr>
        </w:r>
        <w:r>
          <w:rPr>
            <w:noProof/>
            <w:webHidden/>
          </w:rPr>
          <w:fldChar w:fldCharType="separate"/>
        </w:r>
        <w:r>
          <w:rPr>
            <w:noProof/>
            <w:webHidden/>
          </w:rPr>
          <w:t>122</w:t>
        </w:r>
        <w:r>
          <w:rPr>
            <w:noProof/>
            <w:webHidden/>
          </w:rPr>
          <w:fldChar w:fldCharType="end"/>
        </w:r>
      </w:hyperlink>
    </w:p>
    <w:p w14:paraId="2C0B1B74" w14:textId="37241C4A" w:rsidR="0024171D" w:rsidRDefault="0024171D">
      <w:pPr>
        <w:pStyle w:val="Sumrio3"/>
        <w:rPr>
          <w:rFonts w:asciiTheme="minorHAnsi" w:eastAsiaTheme="minorEastAsia" w:hAnsiTheme="minorHAnsi" w:cstheme="minorBidi"/>
          <w:noProof/>
          <w:kern w:val="2"/>
          <w14:ligatures w14:val="standardContextual"/>
        </w:rPr>
      </w:pPr>
      <w:hyperlink w:anchor="_Toc161141277" w:history="1">
        <w:r w:rsidRPr="00F06B07">
          <w:rPr>
            <w:rStyle w:val="Hyperlink"/>
            <w:noProof/>
          </w:rPr>
          <w:t>Subseção IV – Fundos Multimercado</w:t>
        </w:r>
        <w:r>
          <w:rPr>
            <w:noProof/>
            <w:webHidden/>
          </w:rPr>
          <w:tab/>
        </w:r>
        <w:r>
          <w:rPr>
            <w:noProof/>
            <w:webHidden/>
          </w:rPr>
          <w:fldChar w:fldCharType="begin"/>
        </w:r>
        <w:r>
          <w:rPr>
            <w:noProof/>
            <w:webHidden/>
          </w:rPr>
          <w:instrText xml:space="preserve"> PAGEREF _Toc161141277 \h </w:instrText>
        </w:r>
        <w:r>
          <w:rPr>
            <w:noProof/>
            <w:webHidden/>
          </w:rPr>
        </w:r>
        <w:r>
          <w:rPr>
            <w:noProof/>
            <w:webHidden/>
          </w:rPr>
          <w:fldChar w:fldCharType="separate"/>
        </w:r>
        <w:r>
          <w:rPr>
            <w:noProof/>
            <w:webHidden/>
          </w:rPr>
          <w:t>122</w:t>
        </w:r>
        <w:r>
          <w:rPr>
            <w:noProof/>
            <w:webHidden/>
          </w:rPr>
          <w:fldChar w:fldCharType="end"/>
        </w:r>
      </w:hyperlink>
    </w:p>
    <w:p w14:paraId="41290BBB" w14:textId="00E44FC7" w:rsidR="0024171D" w:rsidRDefault="0024171D">
      <w:pPr>
        <w:pStyle w:val="Sumrio3"/>
        <w:rPr>
          <w:rFonts w:asciiTheme="minorHAnsi" w:eastAsiaTheme="minorEastAsia" w:hAnsiTheme="minorHAnsi" w:cstheme="minorBidi"/>
          <w:noProof/>
          <w:kern w:val="2"/>
          <w14:ligatures w14:val="standardContextual"/>
        </w:rPr>
      </w:pPr>
      <w:hyperlink w:anchor="_Toc161141278" w:history="1">
        <w:r w:rsidRPr="00F06B07">
          <w:rPr>
            <w:rStyle w:val="Hyperlink"/>
            <w:noProof/>
          </w:rPr>
          <w:t xml:space="preserve">Subseção V – </w:t>
        </w:r>
        <w:r w:rsidRPr="00F06B07">
          <w:rPr>
            <w:rStyle w:val="Hyperlink"/>
            <w:rFonts w:cstheme="minorHAnsi"/>
            <w:noProof/>
          </w:rPr>
          <w:t>Fundos Incentivados em Infraestrutura</w:t>
        </w:r>
        <w:r>
          <w:rPr>
            <w:noProof/>
            <w:webHidden/>
          </w:rPr>
          <w:tab/>
        </w:r>
        <w:r>
          <w:rPr>
            <w:noProof/>
            <w:webHidden/>
          </w:rPr>
          <w:fldChar w:fldCharType="begin"/>
        </w:r>
        <w:r>
          <w:rPr>
            <w:noProof/>
            <w:webHidden/>
          </w:rPr>
          <w:instrText xml:space="preserve"> PAGEREF _Toc161141278 \h </w:instrText>
        </w:r>
        <w:r>
          <w:rPr>
            <w:noProof/>
            <w:webHidden/>
          </w:rPr>
        </w:r>
        <w:r>
          <w:rPr>
            <w:noProof/>
            <w:webHidden/>
          </w:rPr>
          <w:fldChar w:fldCharType="separate"/>
        </w:r>
        <w:r>
          <w:rPr>
            <w:noProof/>
            <w:webHidden/>
          </w:rPr>
          <w:t>123</w:t>
        </w:r>
        <w:r>
          <w:rPr>
            <w:noProof/>
            <w:webHidden/>
          </w:rPr>
          <w:fldChar w:fldCharType="end"/>
        </w:r>
      </w:hyperlink>
    </w:p>
    <w:p w14:paraId="5EB3CF90" w14:textId="4AA9FA40" w:rsidR="0024171D" w:rsidRDefault="0024171D">
      <w:pPr>
        <w:pStyle w:val="Sumrio3"/>
        <w:rPr>
          <w:rFonts w:asciiTheme="minorHAnsi" w:eastAsiaTheme="minorEastAsia" w:hAnsiTheme="minorHAnsi" w:cstheme="minorBidi"/>
          <w:noProof/>
          <w:kern w:val="2"/>
          <w14:ligatures w14:val="standardContextual"/>
        </w:rPr>
      </w:pPr>
      <w:hyperlink w:anchor="_Toc161141279" w:history="1">
        <w:r w:rsidRPr="00F06B07">
          <w:rPr>
            <w:rStyle w:val="Hyperlink"/>
            <w:rFonts w:cstheme="minorHAnsi"/>
            <w:noProof/>
          </w:rPr>
          <w:t>Subseção VI – Fundo Destinado à Garantia de Locação Imobiliária</w:t>
        </w:r>
        <w:r>
          <w:rPr>
            <w:noProof/>
            <w:webHidden/>
          </w:rPr>
          <w:tab/>
        </w:r>
        <w:r>
          <w:rPr>
            <w:noProof/>
            <w:webHidden/>
          </w:rPr>
          <w:fldChar w:fldCharType="begin"/>
        </w:r>
        <w:r>
          <w:rPr>
            <w:noProof/>
            <w:webHidden/>
          </w:rPr>
          <w:instrText xml:space="preserve"> PAGEREF _Toc161141279 \h </w:instrText>
        </w:r>
        <w:r>
          <w:rPr>
            <w:noProof/>
            <w:webHidden/>
          </w:rPr>
        </w:r>
        <w:r>
          <w:rPr>
            <w:noProof/>
            <w:webHidden/>
          </w:rPr>
          <w:fldChar w:fldCharType="separate"/>
        </w:r>
        <w:r>
          <w:rPr>
            <w:noProof/>
            <w:webHidden/>
          </w:rPr>
          <w:t>124</w:t>
        </w:r>
        <w:r>
          <w:rPr>
            <w:noProof/>
            <w:webHidden/>
          </w:rPr>
          <w:fldChar w:fldCharType="end"/>
        </w:r>
      </w:hyperlink>
    </w:p>
    <w:p w14:paraId="332E9DDB" w14:textId="4B9716A8" w:rsidR="0024171D" w:rsidRDefault="0024171D">
      <w:pPr>
        <w:pStyle w:val="Sumrio3"/>
        <w:rPr>
          <w:rFonts w:asciiTheme="minorHAnsi" w:eastAsiaTheme="minorEastAsia" w:hAnsiTheme="minorHAnsi" w:cstheme="minorBidi"/>
          <w:noProof/>
          <w:kern w:val="2"/>
          <w14:ligatures w14:val="standardContextual"/>
        </w:rPr>
      </w:pPr>
      <w:hyperlink w:anchor="_Toc161141280" w:history="1">
        <w:r w:rsidRPr="00F06B07">
          <w:rPr>
            <w:rStyle w:val="Hyperlink"/>
            <w:rFonts w:cstheme="minorHAnsi"/>
            <w:noProof/>
          </w:rPr>
          <w:t>Subseção VII – Concentração em Crédito Privado</w:t>
        </w:r>
        <w:r>
          <w:rPr>
            <w:noProof/>
            <w:webHidden/>
          </w:rPr>
          <w:tab/>
        </w:r>
        <w:r>
          <w:rPr>
            <w:noProof/>
            <w:webHidden/>
          </w:rPr>
          <w:fldChar w:fldCharType="begin"/>
        </w:r>
        <w:r>
          <w:rPr>
            <w:noProof/>
            <w:webHidden/>
          </w:rPr>
          <w:instrText xml:space="preserve"> PAGEREF _Toc161141280 \h </w:instrText>
        </w:r>
        <w:r>
          <w:rPr>
            <w:noProof/>
            <w:webHidden/>
          </w:rPr>
        </w:r>
        <w:r>
          <w:rPr>
            <w:noProof/>
            <w:webHidden/>
          </w:rPr>
          <w:fldChar w:fldCharType="separate"/>
        </w:r>
        <w:r>
          <w:rPr>
            <w:noProof/>
            <w:webHidden/>
          </w:rPr>
          <w:t>126</w:t>
        </w:r>
        <w:r>
          <w:rPr>
            <w:noProof/>
            <w:webHidden/>
          </w:rPr>
          <w:fldChar w:fldCharType="end"/>
        </w:r>
      </w:hyperlink>
    </w:p>
    <w:p w14:paraId="1E6AAC88" w14:textId="6C5DF08B" w:rsidR="0024171D" w:rsidRDefault="0024171D">
      <w:pPr>
        <w:pStyle w:val="Sumrio3"/>
        <w:rPr>
          <w:rFonts w:asciiTheme="minorHAnsi" w:eastAsiaTheme="minorEastAsia" w:hAnsiTheme="minorHAnsi" w:cstheme="minorBidi"/>
          <w:noProof/>
          <w:kern w:val="2"/>
          <w14:ligatures w14:val="standardContextual"/>
        </w:rPr>
      </w:pPr>
      <w:hyperlink w:anchor="_Toc161141281" w:history="1">
        <w:r w:rsidRPr="00F06B07">
          <w:rPr>
            <w:rStyle w:val="Hyperlink"/>
            <w:noProof/>
          </w:rPr>
          <w:t xml:space="preserve">Seção </w:t>
        </w:r>
        <w:r w:rsidRPr="00F06B07">
          <w:rPr>
            <w:rStyle w:val="Hyperlink"/>
            <w:rFonts w:cstheme="minorHAnsi"/>
            <w:noProof/>
          </w:rPr>
          <w:t xml:space="preserve">VIII – </w:t>
        </w:r>
        <w:r w:rsidRPr="00F06B07">
          <w:rPr>
            <w:rStyle w:val="Hyperlink"/>
            <w:noProof/>
          </w:rPr>
          <w:t>Investimento em Cotas</w:t>
        </w:r>
        <w:r w:rsidRPr="00F06B07">
          <w:rPr>
            <w:rStyle w:val="Hyperlink"/>
            <w:rFonts w:cstheme="minorHAnsi"/>
            <w:noProof/>
          </w:rPr>
          <w:t xml:space="preserve"> de Outros Fundos de Investimento Financeiro</w:t>
        </w:r>
        <w:r>
          <w:rPr>
            <w:noProof/>
            <w:webHidden/>
          </w:rPr>
          <w:tab/>
        </w:r>
        <w:r>
          <w:rPr>
            <w:noProof/>
            <w:webHidden/>
          </w:rPr>
          <w:fldChar w:fldCharType="begin"/>
        </w:r>
        <w:r>
          <w:rPr>
            <w:noProof/>
            <w:webHidden/>
          </w:rPr>
          <w:instrText xml:space="preserve"> PAGEREF _Toc161141281 \h </w:instrText>
        </w:r>
        <w:r>
          <w:rPr>
            <w:noProof/>
            <w:webHidden/>
          </w:rPr>
        </w:r>
        <w:r>
          <w:rPr>
            <w:noProof/>
            <w:webHidden/>
          </w:rPr>
          <w:fldChar w:fldCharType="separate"/>
        </w:r>
        <w:r>
          <w:rPr>
            <w:noProof/>
            <w:webHidden/>
          </w:rPr>
          <w:t>127</w:t>
        </w:r>
        <w:r>
          <w:rPr>
            <w:noProof/>
            <w:webHidden/>
          </w:rPr>
          <w:fldChar w:fldCharType="end"/>
        </w:r>
      </w:hyperlink>
    </w:p>
    <w:p w14:paraId="7D69AC4D" w14:textId="61226203" w:rsidR="0024171D" w:rsidRDefault="0024171D">
      <w:pPr>
        <w:pStyle w:val="Sumrio3"/>
        <w:rPr>
          <w:rFonts w:asciiTheme="minorHAnsi" w:eastAsiaTheme="minorEastAsia" w:hAnsiTheme="minorHAnsi" w:cstheme="minorBidi"/>
          <w:noProof/>
          <w:kern w:val="2"/>
          <w14:ligatures w14:val="standardContextual"/>
        </w:rPr>
      </w:pPr>
      <w:hyperlink w:anchor="_Toc161141282" w:history="1">
        <w:r w:rsidRPr="00F06B07">
          <w:rPr>
            <w:rStyle w:val="Hyperlink"/>
            <w:noProof/>
          </w:rPr>
          <w:t>Seção IX – Exposição a Risco de Capital</w:t>
        </w:r>
        <w:r>
          <w:rPr>
            <w:noProof/>
            <w:webHidden/>
          </w:rPr>
          <w:tab/>
        </w:r>
        <w:r>
          <w:rPr>
            <w:noProof/>
            <w:webHidden/>
          </w:rPr>
          <w:fldChar w:fldCharType="begin"/>
        </w:r>
        <w:r>
          <w:rPr>
            <w:noProof/>
            <w:webHidden/>
          </w:rPr>
          <w:instrText xml:space="preserve"> PAGEREF _Toc161141282 \h </w:instrText>
        </w:r>
        <w:r>
          <w:rPr>
            <w:noProof/>
            <w:webHidden/>
          </w:rPr>
        </w:r>
        <w:r>
          <w:rPr>
            <w:noProof/>
            <w:webHidden/>
          </w:rPr>
          <w:fldChar w:fldCharType="separate"/>
        </w:r>
        <w:r>
          <w:rPr>
            <w:noProof/>
            <w:webHidden/>
          </w:rPr>
          <w:t>127</w:t>
        </w:r>
        <w:r>
          <w:rPr>
            <w:noProof/>
            <w:webHidden/>
          </w:rPr>
          <w:fldChar w:fldCharType="end"/>
        </w:r>
      </w:hyperlink>
    </w:p>
    <w:p w14:paraId="5A041070" w14:textId="58FBF596" w:rsidR="0024171D" w:rsidRDefault="0024171D">
      <w:pPr>
        <w:pStyle w:val="Sumrio2"/>
        <w:rPr>
          <w:rFonts w:eastAsiaTheme="minorEastAsia" w:cstheme="minorBidi"/>
          <w:b w:val="0"/>
          <w:bCs w:val="0"/>
          <w:kern w:val="2"/>
          <w14:ligatures w14:val="standardContextual"/>
        </w:rPr>
      </w:pPr>
      <w:hyperlink w:anchor="_Toc161141283" w:history="1">
        <w:r w:rsidRPr="00F06B07">
          <w:rPr>
            <w:rStyle w:val="Hyperlink"/>
          </w:rPr>
          <w:t>CAPÍTULO IX – CLASSES RESTRITAS</w:t>
        </w:r>
        <w:r>
          <w:rPr>
            <w:webHidden/>
          </w:rPr>
          <w:tab/>
        </w:r>
        <w:r>
          <w:rPr>
            <w:webHidden/>
          </w:rPr>
          <w:fldChar w:fldCharType="begin"/>
        </w:r>
        <w:r>
          <w:rPr>
            <w:webHidden/>
          </w:rPr>
          <w:instrText xml:space="preserve"> PAGEREF _Toc161141283 \h </w:instrText>
        </w:r>
        <w:r>
          <w:rPr>
            <w:webHidden/>
          </w:rPr>
        </w:r>
        <w:r>
          <w:rPr>
            <w:webHidden/>
          </w:rPr>
          <w:fldChar w:fldCharType="separate"/>
        </w:r>
        <w:r>
          <w:rPr>
            <w:webHidden/>
          </w:rPr>
          <w:t>128</w:t>
        </w:r>
        <w:r>
          <w:rPr>
            <w:webHidden/>
          </w:rPr>
          <w:fldChar w:fldCharType="end"/>
        </w:r>
      </w:hyperlink>
    </w:p>
    <w:p w14:paraId="68F78C4D" w14:textId="730078A8" w:rsidR="0024171D" w:rsidRDefault="0024171D">
      <w:pPr>
        <w:pStyle w:val="Sumrio2"/>
        <w:rPr>
          <w:rFonts w:eastAsiaTheme="minorEastAsia" w:cstheme="minorBidi"/>
          <w:b w:val="0"/>
          <w:bCs w:val="0"/>
          <w:kern w:val="2"/>
          <w14:ligatures w14:val="standardContextual"/>
        </w:rPr>
      </w:pPr>
      <w:hyperlink w:anchor="_Toc161141284" w:history="1">
        <w:r w:rsidRPr="00F06B07">
          <w:rPr>
            <w:rStyle w:val="Hyperlink"/>
          </w:rPr>
          <w:t>CAPÍTULO X – ENCARGOS</w:t>
        </w:r>
        <w:r>
          <w:rPr>
            <w:webHidden/>
          </w:rPr>
          <w:tab/>
        </w:r>
        <w:r>
          <w:rPr>
            <w:webHidden/>
          </w:rPr>
          <w:fldChar w:fldCharType="begin"/>
        </w:r>
        <w:r>
          <w:rPr>
            <w:webHidden/>
          </w:rPr>
          <w:instrText xml:space="preserve"> PAGEREF _Toc161141284 \h </w:instrText>
        </w:r>
        <w:r>
          <w:rPr>
            <w:webHidden/>
          </w:rPr>
        </w:r>
        <w:r>
          <w:rPr>
            <w:webHidden/>
          </w:rPr>
          <w:fldChar w:fldCharType="separate"/>
        </w:r>
        <w:r>
          <w:rPr>
            <w:webHidden/>
          </w:rPr>
          <w:t>129</w:t>
        </w:r>
        <w:r>
          <w:rPr>
            <w:webHidden/>
          </w:rPr>
          <w:fldChar w:fldCharType="end"/>
        </w:r>
      </w:hyperlink>
    </w:p>
    <w:p w14:paraId="7BCE4A39" w14:textId="293C4F1E" w:rsidR="0024171D" w:rsidRDefault="0024171D">
      <w:pPr>
        <w:pStyle w:val="Sumrio2"/>
        <w:rPr>
          <w:rFonts w:eastAsiaTheme="minorEastAsia" w:cstheme="minorBidi"/>
          <w:b w:val="0"/>
          <w:bCs w:val="0"/>
          <w:kern w:val="2"/>
          <w14:ligatures w14:val="standardContextual"/>
        </w:rPr>
      </w:pPr>
      <w:hyperlink w:anchor="_Toc161141285" w:history="1">
        <w:r w:rsidRPr="00F06B07">
          <w:rPr>
            <w:rStyle w:val="Hyperlink"/>
          </w:rPr>
          <w:t>CAPÍTULO XI – LIQUIDAÇÃO</w:t>
        </w:r>
        <w:r>
          <w:rPr>
            <w:webHidden/>
          </w:rPr>
          <w:tab/>
        </w:r>
        <w:r>
          <w:rPr>
            <w:webHidden/>
          </w:rPr>
          <w:fldChar w:fldCharType="begin"/>
        </w:r>
        <w:r>
          <w:rPr>
            <w:webHidden/>
          </w:rPr>
          <w:instrText xml:space="preserve"> PAGEREF _Toc161141285 \h </w:instrText>
        </w:r>
        <w:r>
          <w:rPr>
            <w:webHidden/>
          </w:rPr>
        </w:r>
        <w:r>
          <w:rPr>
            <w:webHidden/>
          </w:rPr>
          <w:fldChar w:fldCharType="separate"/>
        </w:r>
        <w:r>
          <w:rPr>
            <w:webHidden/>
          </w:rPr>
          <w:t>130</w:t>
        </w:r>
        <w:r>
          <w:rPr>
            <w:webHidden/>
          </w:rPr>
          <w:fldChar w:fldCharType="end"/>
        </w:r>
      </w:hyperlink>
    </w:p>
    <w:p w14:paraId="34026E42" w14:textId="5A2F8AFE" w:rsidR="0024171D" w:rsidRDefault="0024171D">
      <w:pPr>
        <w:pStyle w:val="Sumrio2"/>
        <w:rPr>
          <w:rFonts w:eastAsiaTheme="minorEastAsia" w:cstheme="minorBidi"/>
          <w:b w:val="0"/>
          <w:bCs w:val="0"/>
          <w:kern w:val="2"/>
          <w14:ligatures w14:val="standardContextual"/>
        </w:rPr>
      </w:pPr>
      <w:hyperlink w:anchor="_Toc161141286" w:history="1">
        <w:r w:rsidRPr="00F06B07">
          <w:rPr>
            <w:rStyle w:val="Hyperlink"/>
          </w:rPr>
          <w:t>CAPÍTULO XII – PENALIDADES E MULTA COMINATÓRIA</w:t>
        </w:r>
        <w:r>
          <w:rPr>
            <w:webHidden/>
          </w:rPr>
          <w:tab/>
        </w:r>
        <w:r>
          <w:rPr>
            <w:webHidden/>
          </w:rPr>
          <w:fldChar w:fldCharType="begin"/>
        </w:r>
        <w:r>
          <w:rPr>
            <w:webHidden/>
          </w:rPr>
          <w:instrText xml:space="preserve"> PAGEREF _Toc161141286 \h </w:instrText>
        </w:r>
        <w:r>
          <w:rPr>
            <w:webHidden/>
          </w:rPr>
        </w:r>
        <w:r>
          <w:rPr>
            <w:webHidden/>
          </w:rPr>
          <w:fldChar w:fldCharType="separate"/>
        </w:r>
        <w:r>
          <w:rPr>
            <w:webHidden/>
          </w:rPr>
          <w:t>130</w:t>
        </w:r>
        <w:r>
          <w:rPr>
            <w:webHidden/>
          </w:rPr>
          <w:fldChar w:fldCharType="end"/>
        </w:r>
      </w:hyperlink>
    </w:p>
    <w:p w14:paraId="5C4CB610" w14:textId="2A70E86E" w:rsidR="0024171D" w:rsidRDefault="0024171D">
      <w:pPr>
        <w:pStyle w:val="Sumrio1"/>
        <w:rPr>
          <w:rFonts w:eastAsiaTheme="minorEastAsia" w:cstheme="minorBidi"/>
          <w:kern w:val="2"/>
          <w14:ligatures w14:val="standardContextual"/>
        </w:rPr>
      </w:pPr>
      <w:hyperlink w:anchor="_Toc161141287" w:history="1">
        <w:r w:rsidRPr="00F06B07">
          <w:rPr>
            <w:rStyle w:val="Hyperlink"/>
          </w:rPr>
          <w:t>ANEXO NORMATIVO II – FUNDOS DE INVESTIMENTO EM DIREITOS CREDITÓRIOS</w:t>
        </w:r>
        <w:r>
          <w:rPr>
            <w:webHidden/>
          </w:rPr>
          <w:tab/>
        </w:r>
        <w:r>
          <w:rPr>
            <w:webHidden/>
          </w:rPr>
          <w:fldChar w:fldCharType="begin"/>
        </w:r>
        <w:r>
          <w:rPr>
            <w:webHidden/>
          </w:rPr>
          <w:instrText xml:space="preserve"> PAGEREF _Toc161141287 \h </w:instrText>
        </w:r>
        <w:r>
          <w:rPr>
            <w:webHidden/>
          </w:rPr>
        </w:r>
        <w:r>
          <w:rPr>
            <w:webHidden/>
          </w:rPr>
          <w:fldChar w:fldCharType="separate"/>
        </w:r>
        <w:r>
          <w:rPr>
            <w:webHidden/>
          </w:rPr>
          <w:t>131</w:t>
        </w:r>
        <w:r>
          <w:rPr>
            <w:webHidden/>
          </w:rPr>
          <w:fldChar w:fldCharType="end"/>
        </w:r>
      </w:hyperlink>
    </w:p>
    <w:p w14:paraId="05F166B9" w14:textId="3802DE75" w:rsidR="0024171D" w:rsidRDefault="0024171D">
      <w:pPr>
        <w:pStyle w:val="Sumrio2"/>
        <w:rPr>
          <w:rFonts w:eastAsiaTheme="minorEastAsia" w:cstheme="minorBidi"/>
          <w:b w:val="0"/>
          <w:bCs w:val="0"/>
          <w:kern w:val="2"/>
          <w14:ligatures w14:val="standardContextual"/>
        </w:rPr>
      </w:pPr>
      <w:hyperlink w:anchor="_Toc161141288" w:history="1">
        <w:r w:rsidRPr="00F06B07">
          <w:rPr>
            <w:rStyle w:val="Hyperlink"/>
          </w:rPr>
          <w:t>CAPÍTULO I – ÂMBITO e FINALIDADE</w:t>
        </w:r>
        <w:r>
          <w:rPr>
            <w:webHidden/>
          </w:rPr>
          <w:tab/>
        </w:r>
        <w:r>
          <w:rPr>
            <w:webHidden/>
          </w:rPr>
          <w:fldChar w:fldCharType="begin"/>
        </w:r>
        <w:r>
          <w:rPr>
            <w:webHidden/>
          </w:rPr>
          <w:instrText xml:space="preserve"> PAGEREF _Toc161141288 \h </w:instrText>
        </w:r>
        <w:r>
          <w:rPr>
            <w:webHidden/>
          </w:rPr>
        </w:r>
        <w:r>
          <w:rPr>
            <w:webHidden/>
          </w:rPr>
          <w:fldChar w:fldCharType="separate"/>
        </w:r>
        <w:r>
          <w:rPr>
            <w:webHidden/>
          </w:rPr>
          <w:t>131</w:t>
        </w:r>
        <w:r>
          <w:rPr>
            <w:webHidden/>
          </w:rPr>
          <w:fldChar w:fldCharType="end"/>
        </w:r>
      </w:hyperlink>
    </w:p>
    <w:p w14:paraId="18FE71B2" w14:textId="00CD520A" w:rsidR="0024171D" w:rsidRDefault="0024171D">
      <w:pPr>
        <w:pStyle w:val="Sumrio2"/>
        <w:rPr>
          <w:rFonts w:eastAsiaTheme="minorEastAsia" w:cstheme="minorBidi"/>
          <w:b w:val="0"/>
          <w:bCs w:val="0"/>
          <w:kern w:val="2"/>
          <w14:ligatures w14:val="standardContextual"/>
        </w:rPr>
      </w:pPr>
      <w:hyperlink w:anchor="_Toc161141289" w:history="1">
        <w:r w:rsidRPr="00F06B07">
          <w:rPr>
            <w:rStyle w:val="Hyperlink"/>
          </w:rPr>
          <w:t>CAPÍTULO II – DEFINIÇÕES</w:t>
        </w:r>
        <w:r>
          <w:rPr>
            <w:webHidden/>
          </w:rPr>
          <w:tab/>
        </w:r>
        <w:r>
          <w:rPr>
            <w:webHidden/>
          </w:rPr>
          <w:fldChar w:fldCharType="begin"/>
        </w:r>
        <w:r>
          <w:rPr>
            <w:webHidden/>
          </w:rPr>
          <w:instrText xml:space="preserve"> PAGEREF _Toc161141289 \h </w:instrText>
        </w:r>
        <w:r>
          <w:rPr>
            <w:webHidden/>
          </w:rPr>
        </w:r>
        <w:r>
          <w:rPr>
            <w:webHidden/>
          </w:rPr>
          <w:fldChar w:fldCharType="separate"/>
        </w:r>
        <w:r>
          <w:rPr>
            <w:webHidden/>
          </w:rPr>
          <w:t>131</w:t>
        </w:r>
        <w:r>
          <w:rPr>
            <w:webHidden/>
          </w:rPr>
          <w:fldChar w:fldCharType="end"/>
        </w:r>
      </w:hyperlink>
    </w:p>
    <w:p w14:paraId="745C6CC3" w14:textId="55537AAA" w:rsidR="0024171D" w:rsidRDefault="0024171D">
      <w:pPr>
        <w:pStyle w:val="Sumrio2"/>
        <w:rPr>
          <w:rFonts w:eastAsiaTheme="minorEastAsia" w:cstheme="minorBidi"/>
          <w:b w:val="0"/>
          <w:bCs w:val="0"/>
          <w:kern w:val="2"/>
          <w14:ligatures w14:val="standardContextual"/>
        </w:rPr>
      </w:pPr>
      <w:hyperlink w:anchor="_Toc161141290" w:history="1">
        <w:r w:rsidRPr="00F06B07">
          <w:rPr>
            <w:rStyle w:val="Hyperlink"/>
          </w:rPr>
          <w:t>CAPÍTULO III – CARACTERÍSTICAS E CONSTITUIÇÃO</w:t>
        </w:r>
        <w:r>
          <w:rPr>
            <w:webHidden/>
          </w:rPr>
          <w:tab/>
        </w:r>
        <w:r>
          <w:rPr>
            <w:webHidden/>
          </w:rPr>
          <w:fldChar w:fldCharType="begin"/>
        </w:r>
        <w:r>
          <w:rPr>
            <w:webHidden/>
          </w:rPr>
          <w:instrText xml:space="preserve"> PAGEREF _Toc161141290 \h </w:instrText>
        </w:r>
        <w:r>
          <w:rPr>
            <w:webHidden/>
          </w:rPr>
        </w:r>
        <w:r>
          <w:rPr>
            <w:webHidden/>
          </w:rPr>
          <w:fldChar w:fldCharType="separate"/>
        </w:r>
        <w:r>
          <w:rPr>
            <w:webHidden/>
          </w:rPr>
          <w:t>134</w:t>
        </w:r>
        <w:r>
          <w:rPr>
            <w:webHidden/>
          </w:rPr>
          <w:fldChar w:fldCharType="end"/>
        </w:r>
      </w:hyperlink>
    </w:p>
    <w:p w14:paraId="18C57066" w14:textId="5BC05889" w:rsidR="0024171D" w:rsidRDefault="0024171D">
      <w:pPr>
        <w:pStyle w:val="Sumrio2"/>
        <w:rPr>
          <w:rFonts w:eastAsiaTheme="minorEastAsia" w:cstheme="minorBidi"/>
          <w:b w:val="0"/>
          <w:bCs w:val="0"/>
          <w:kern w:val="2"/>
          <w14:ligatures w14:val="standardContextual"/>
        </w:rPr>
      </w:pPr>
      <w:hyperlink w:anchor="_Toc161141291" w:history="1">
        <w:r w:rsidRPr="00F06B07">
          <w:rPr>
            <w:rStyle w:val="Hyperlink"/>
          </w:rPr>
          <w:t>CAPÍTULO IV – COTAS</w:t>
        </w:r>
        <w:r>
          <w:rPr>
            <w:webHidden/>
          </w:rPr>
          <w:tab/>
        </w:r>
        <w:r>
          <w:rPr>
            <w:webHidden/>
          </w:rPr>
          <w:fldChar w:fldCharType="begin"/>
        </w:r>
        <w:r>
          <w:rPr>
            <w:webHidden/>
          </w:rPr>
          <w:instrText xml:space="preserve"> PAGEREF _Toc161141291 \h </w:instrText>
        </w:r>
        <w:r>
          <w:rPr>
            <w:webHidden/>
          </w:rPr>
        </w:r>
        <w:r>
          <w:rPr>
            <w:webHidden/>
          </w:rPr>
          <w:fldChar w:fldCharType="separate"/>
        </w:r>
        <w:r>
          <w:rPr>
            <w:webHidden/>
          </w:rPr>
          <w:t>136</w:t>
        </w:r>
        <w:r>
          <w:rPr>
            <w:webHidden/>
          </w:rPr>
          <w:fldChar w:fldCharType="end"/>
        </w:r>
      </w:hyperlink>
    </w:p>
    <w:p w14:paraId="6975C0C2" w14:textId="10F26DF0" w:rsidR="0024171D" w:rsidRDefault="0024171D">
      <w:pPr>
        <w:pStyle w:val="Sumrio3"/>
        <w:rPr>
          <w:rFonts w:asciiTheme="minorHAnsi" w:eastAsiaTheme="minorEastAsia" w:hAnsiTheme="minorHAnsi" w:cstheme="minorBidi"/>
          <w:noProof/>
          <w:kern w:val="2"/>
          <w14:ligatures w14:val="standardContextual"/>
        </w:rPr>
      </w:pPr>
      <w:hyperlink w:anchor="_Toc161141292" w:history="1">
        <w:r w:rsidRPr="00F06B07">
          <w:rPr>
            <w:rStyle w:val="Hyperlink"/>
            <w:noProof/>
          </w:rPr>
          <w:t>Seção I – Emissão</w:t>
        </w:r>
        <w:r>
          <w:rPr>
            <w:noProof/>
            <w:webHidden/>
          </w:rPr>
          <w:tab/>
        </w:r>
        <w:r>
          <w:rPr>
            <w:noProof/>
            <w:webHidden/>
          </w:rPr>
          <w:fldChar w:fldCharType="begin"/>
        </w:r>
        <w:r>
          <w:rPr>
            <w:noProof/>
            <w:webHidden/>
          </w:rPr>
          <w:instrText xml:space="preserve"> PAGEREF _Toc161141292 \h </w:instrText>
        </w:r>
        <w:r>
          <w:rPr>
            <w:noProof/>
            <w:webHidden/>
          </w:rPr>
        </w:r>
        <w:r>
          <w:rPr>
            <w:noProof/>
            <w:webHidden/>
          </w:rPr>
          <w:fldChar w:fldCharType="separate"/>
        </w:r>
        <w:r>
          <w:rPr>
            <w:noProof/>
            <w:webHidden/>
          </w:rPr>
          <w:t>136</w:t>
        </w:r>
        <w:r>
          <w:rPr>
            <w:noProof/>
            <w:webHidden/>
          </w:rPr>
          <w:fldChar w:fldCharType="end"/>
        </w:r>
      </w:hyperlink>
    </w:p>
    <w:p w14:paraId="6570CC28" w14:textId="0623298E" w:rsidR="0024171D" w:rsidRDefault="0024171D">
      <w:pPr>
        <w:pStyle w:val="Sumrio3"/>
        <w:rPr>
          <w:rFonts w:asciiTheme="minorHAnsi" w:eastAsiaTheme="minorEastAsia" w:hAnsiTheme="minorHAnsi" w:cstheme="minorBidi"/>
          <w:noProof/>
          <w:kern w:val="2"/>
          <w14:ligatures w14:val="standardContextual"/>
        </w:rPr>
      </w:pPr>
      <w:hyperlink w:anchor="_Toc161141293" w:history="1">
        <w:r w:rsidRPr="00F06B07">
          <w:rPr>
            <w:rStyle w:val="Hyperlink"/>
            <w:noProof/>
          </w:rPr>
          <w:t>Seção II – Distribuição</w:t>
        </w:r>
        <w:r>
          <w:rPr>
            <w:noProof/>
            <w:webHidden/>
          </w:rPr>
          <w:tab/>
        </w:r>
        <w:r>
          <w:rPr>
            <w:noProof/>
            <w:webHidden/>
          </w:rPr>
          <w:fldChar w:fldCharType="begin"/>
        </w:r>
        <w:r>
          <w:rPr>
            <w:noProof/>
            <w:webHidden/>
          </w:rPr>
          <w:instrText xml:space="preserve"> PAGEREF _Toc161141293 \h </w:instrText>
        </w:r>
        <w:r>
          <w:rPr>
            <w:noProof/>
            <w:webHidden/>
          </w:rPr>
        </w:r>
        <w:r>
          <w:rPr>
            <w:noProof/>
            <w:webHidden/>
          </w:rPr>
          <w:fldChar w:fldCharType="separate"/>
        </w:r>
        <w:r>
          <w:rPr>
            <w:noProof/>
            <w:webHidden/>
          </w:rPr>
          <w:t>136</w:t>
        </w:r>
        <w:r>
          <w:rPr>
            <w:noProof/>
            <w:webHidden/>
          </w:rPr>
          <w:fldChar w:fldCharType="end"/>
        </w:r>
      </w:hyperlink>
    </w:p>
    <w:p w14:paraId="33551A23" w14:textId="7B91D767" w:rsidR="0024171D" w:rsidRDefault="0024171D">
      <w:pPr>
        <w:pStyle w:val="Sumrio3"/>
        <w:rPr>
          <w:rFonts w:asciiTheme="minorHAnsi" w:eastAsiaTheme="minorEastAsia" w:hAnsiTheme="minorHAnsi" w:cstheme="minorBidi"/>
          <w:noProof/>
          <w:kern w:val="2"/>
          <w14:ligatures w14:val="standardContextual"/>
        </w:rPr>
      </w:pPr>
      <w:hyperlink w:anchor="_Toc161141294" w:history="1">
        <w:r w:rsidRPr="00F06B07">
          <w:rPr>
            <w:rStyle w:val="Hyperlink"/>
            <w:noProof/>
          </w:rPr>
          <w:t>Seção III – Subscrição e Integralização</w:t>
        </w:r>
        <w:r>
          <w:rPr>
            <w:noProof/>
            <w:webHidden/>
          </w:rPr>
          <w:tab/>
        </w:r>
        <w:r>
          <w:rPr>
            <w:noProof/>
            <w:webHidden/>
          </w:rPr>
          <w:fldChar w:fldCharType="begin"/>
        </w:r>
        <w:r>
          <w:rPr>
            <w:noProof/>
            <w:webHidden/>
          </w:rPr>
          <w:instrText xml:space="preserve"> PAGEREF _Toc161141294 \h </w:instrText>
        </w:r>
        <w:r>
          <w:rPr>
            <w:noProof/>
            <w:webHidden/>
          </w:rPr>
        </w:r>
        <w:r>
          <w:rPr>
            <w:noProof/>
            <w:webHidden/>
          </w:rPr>
          <w:fldChar w:fldCharType="separate"/>
        </w:r>
        <w:r>
          <w:rPr>
            <w:noProof/>
            <w:webHidden/>
          </w:rPr>
          <w:t>138</w:t>
        </w:r>
        <w:r>
          <w:rPr>
            <w:noProof/>
            <w:webHidden/>
          </w:rPr>
          <w:fldChar w:fldCharType="end"/>
        </w:r>
      </w:hyperlink>
    </w:p>
    <w:p w14:paraId="62D87100" w14:textId="05A52F3F" w:rsidR="0024171D" w:rsidRDefault="0024171D">
      <w:pPr>
        <w:pStyle w:val="Sumrio3"/>
        <w:rPr>
          <w:rFonts w:asciiTheme="minorHAnsi" w:eastAsiaTheme="minorEastAsia" w:hAnsiTheme="minorHAnsi" w:cstheme="minorBidi"/>
          <w:noProof/>
          <w:kern w:val="2"/>
          <w14:ligatures w14:val="standardContextual"/>
        </w:rPr>
      </w:pPr>
      <w:hyperlink w:anchor="_Toc161141295" w:history="1">
        <w:r w:rsidRPr="00F06B07">
          <w:rPr>
            <w:rStyle w:val="Hyperlink"/>
            <w:noProof/>
          </w:rPr>
          <w:t>Seção IV – Resgate e Amortização</w:t>
        </w:r>
        <w:r>
          <w:rPr>
            <w:noProof/>
            <w:webHidden/>
          </w:rPr>
          <w:tab/>
        </w:r>
        <w:r>
          <w:rPr>
            <w:noProof/>
            <w:webHidden/>
          </w:rPr>
          <w:fldChar w:fldCharType="begin"/>
        </w:r>
        <w:r>
          <w:rPr>
            <w:noProof/>
            <w:webHidden/>
          </w:rPr>
          <w:instrText xml:space="preserve"> PAGEREF _Toc161141295 \h </w:instrText>
        </w:r>
        <w:r>
          <w:rPr>
            <w:noProof/>
            <w:webHidden/>
          </w:rPr>
        </w:r>
        <w:r>
          <w:rPr>
            <w:noProof/>
            <w:webHidden/>
          </w:rPr>
          <w:fldChar w:fldCharType="separate"/>
        </w:r>
        <w:r>
          <w:rPr>
            <w:noProof/>
            <w:webHidden/>
          </w:rPr>
          <w:t>138</w:t>
        </w:r>
        <w:r>
          <w:rPr>
            <w:noProof/>
            <w:webHidden/>
          </w:rPr>
          <w:fldChar w:fldCharType="end"/>
        </w:r>
      </w:hyperlink>
    </w:p>
    <w:p w14:paraId="2474075C" w14:textId="1C0BB4DE" w:rsidR="0024171D" w:rsidRDefault="0024171D">
      <w:pPr>
        <w:pStyle w:val="Sumrio2"/>
        <w:rPr>
          <w:rFonts w:eastAsiaTheme="minorEastAsia" w:cstheme="minorBidi"/>
          <w:b w:val="0"/>
          <w:bCs w:val="0"/>
          <w:kern w:val="2"/>
          <w14:ligatures w14:val="standardContextual"/>
        </w:rPr>
      </w:pPr>
      <w:hyperlink w:anchor="_Toc161141296" w:history="1">
        <w:r w:rsidRPr="00F06B07">
          <w:rPr>
            <w:rStyle w:val="Hyperlink"/>
          </w:rPr>
          <w:t>CAPÍTULO V – DOCUMENTOS E INFORMAÇÕES</w:t>
        </w:r>
        <w:r>
          <w:rPr>
            <w:webHidden/>
          </w:rPr>
          <w:tab/>
        </w:r>
        <w:r>
          <w:rPr>
            <w:webHidden/>
          </w:rPr>
          <w:fldChar w:fldCharType="begin"/>
        </w:r>
        <w:r>
          <w:rPr>
            <w:webHidden/>
          </w:rPr>
          <w:instrText xml:space="preserve"> PAGEREF _Toc161141296 \h </w:instrText>
        </w:r>
        <w:r>
          <w:rPr>
            <w:webHidden/>
          </w:rPr>
        </w:r>
        <w:r>
          <w:rPr>
            <w:webHidden/>
          </w:rPr>
          <w:fldChar w:fldCharType="separate"/>
        </w:r>
        <w:r>
          <w:rPr>
            <w:webHidden/>
          </w:rPr>
          <w:t>139</w:t>
        </w:r>
        <w:r>
          <w:rPr>
            <w:webHidden/>
          </w:rPr>
          <w:fldChar w:fldCharType="end"/>
        </w:r>
      </w:hyperlink>
    </w:p>
    <w:p w14:paraId="124B1FA7" w14:textId="387787CD" w:rsidR="0024171D" w:rsidRDefault="0024171D">
      <w:pPr>
        <w:pStyle w:val="Sumrio3"/>
        <w:rPr>
          <w:rFonts w:asciiTheme="minorHAnsi" w:eastAsiaTheme="minorEastAsia" w:hAnsiTheme="minorHAnsi" w:cstheme="minorBidi"/>
          <w:noProof/>
          <w:kern w:val="2"/>
          <w14:ligatures w14:val="standardContextual"/>
        </w:rPr>
      </w:pPr>
      <w:hyperlink w:anchor="_Toc161141297" w:history="1">
        <w:r w:rsidRPr="00F06B07">
          <w:rPr>
            <w:rStyle w:val="Hyperlink"/>
            <w:noProof/>
          </w:rPr>
          <w:t>Seção I – Lâmina de Informações Básicas</w:t>
        </w:r>
        <w:r>
          <w:rPr>
            <w:noProof/>
            <w:webHidden/>
          </w:rPr>
          <w:tab/>
        </w:r>
        <w:r>
          <w:rPr>
            <w:noProof/>
            <w:webHidden/>
          </w:rPr>
          <w:fldChar w:fldCharType="begin"/>
        </w:r>
        <w:r>
          <w:rPr>
            <w:noProof/>
            <w:webHidden/>
          </w:rPr>
          <w:instrText xml:space="preserve"> PAGEREF _Toc161141297 \h </w:instrText>
        </w:r>
        <w:r>
          <w:rPr>
            <w:noProof/>
            <w:webHidden/>
          </w:rPr>
        </w:r>
        <w:r>
          <w:rPr>
            <w:noProof/>
            <w:webHidden/>
          </w:rPr>
          <w:fldChar w:fldCharType="separate"/>
        </w:r>
        <w:r>
          <w:rPr>
            <w:noProof/>
            <w:webHidden/>
          </w:rPr>
          <w:t>139</w:t>
        </w:r>
        <w:r>
          <w:rPr>
            <w:noProof/>
            <w:webHidden/>
          </w:rPr>
          <w:fldChar w:fldCharType="end"/>
        </w:r>
      </w:hyperlink>
    </w:p>
    <w:p w14:paraId="670A0B3A" w14:textId="083C589E" w:rsidR="0024171D" w:rsidRDefault="0024171D">
      <w:pPr>
        <w:pStyle w:val="Sumrio3"/>
        <w:rPr>
          <w:rFonts w:asciiTheme="minorHAnsi" w:eastAsiaTheme="minorEastAsia" w:hAnsiTheme="minorHAnsi" w:cstheme="minorBidi"/>
          <w:noProof/>
          <w:kern w:val="2"/>
          <w14:ligatures w14:val="standardContextual"/>
        </w:rPr>
      </w:pPr>
      <w:hyperlink w:anchor="_Toc161141298" w:history="1">
        <w:r w:rsidRPr="00F06B07">
          <w:rPr>
            <w:rStyle w:val="Hyperlink"/>
            <w:noProof/>
          </w:rPr>
          <w:t>Seção II – Regulamento</w:t>
        </w:r>
        <w:r>
          <w:rPr>
            <w:noProof/>
            <w:webHidden/>
          </w:rPr>
          <w:tab/>
        </w:r>
        <w:r>
          <w:rPr>
            <w:noProof/>
            <w:webHidden/>
          </w:rPr>
          <w:fldChar w:fldCharType="begin"/>
        </w:r>
        <w:r>
          <w:rPr>
            <w:noProof/>
            <w:webHidden/>
          </w:rPr>
          <w:instrText xml:space="preserve"> PAGEREF _Toc161141298 \h </w:instrText>
        </w:r>
        <w:r>
          <w:rPr>
            <w:noProof/>
            <w:webHidden/>
          </w:rPr>
        </w:r>
        <w:r>
          <w:rPr>
            <w:noProof/>
            <w:webHidden/>
          </w:rPr>
          <w:fldChar w:fldCharType="separate"/>
        </w:r>
        <w:r>
          <w:rPr>
            <w:noProof/>
            <w:webHidden/>
          </w:rPr>
          <w:t>140</w:t>
        </w:r>
        <w:r>
          <w:rPr>
            <w:noProof/>
            <w:webHidden/>
          </w:rPr>
          <w:fldChar w:fldCharType="end"/>
        </w:r>
      </w:hyperlink>
    </w:p>
    <w:p w14:paraId="075DADCE" w14:textId="763D0762" w:rsidR="0024171D" w:rsidRDefault="0024171D">
      <w:pPr>
        <w:pStyle w:val="Sumrio3"/>
        <w:rPr>
          <w:rFonts w:asciiTheme="minorHAnsi" w:eastAsiaTheme="minorEastAsia" w:hAnsiTheme="minorHAnsi" w:cstheme="minorBidi"/>
          <w:noProof/>
          <w:kern w:val="2"/>
          <w14:ligatures w14:val="standardContextual"/>
        </w:rPr>
      </w:pPr>
      <w:hyperlink w:anchor="_Toc161141299" w:history="1">
        <w:r w:rsidRPr="00F06B07">
          <w:rPr>
            <w:rStyle w:val="Hyperlink"/>
            <w:noProof/>
          </w:rPr>
          <w:t>Seção III – Material de Divulgação</w:t>
        </w:r>
        <w:r>
          <w:rPr>
            <w:noProof/>
            <w:webHidden/>
          </w:rPr>
          <w:tab/>
        </w:r>
        <w:r>
          <w:rPr>
            <w:noProof/>
            <w:webHidden/>
          </w:rPr>
          <w:fldChar w:fldCharType="begin"/>
        </w:r>
        <w:r>
          <w:rPr>
            <w:noProof/>
            <w:webHidden/>
          </w:rPr>
          <w:instrText xml:space="preserve"> PAGEREF _Toc161141299 \h </w:instrText>
        </w:r>
        <w:r>
          <w:rPr>
            <w:noProof/>
            <w:webHidden/>
          </w:rPr>
        </w:r>
        <w:r>
          <w:rPr>
            <w:noProof/>
            <w:webHidden/>
          </w:rPr>
          <w:fldChar w:fldCharType="separate"/>
        </w:r>
        <w:r>
          <w:rPr>
            <w:noProof/>
            <w:webHidden/>
          </w:rPr>
          <w:t>141</w:t>
        </w:r>
        <w:r>
          <w:rPr>
            <w:noProof/>
            <w:webHidden/>
          </w:rPr>
          <w:fldChar w:fldCharType="end"/>
        </w:r>
      </w:hyperlink>
    </w:p>
    <w:p w14:paraId="2FE1635F" w14:textId="2346F6A5" w:rsidR="0024171D" w:rsidRDefault="0024171D">
      <w:pPr>
        <w:pStyle w:val="Sumrio2"/>
        <w:rPr>
          <w:rFonts w:eastAsiaTheme="minorEastAsia" w:cstheme="minorBidi"/>
          <w:b w:val="0"/>
          <w:bCs w:val="0"/>
          <w:kern w:val="2"/>
          <w14:ligatures w14:val="standardContextual"/>
        </w:rPr>
      </w:pPr>
      <w:hyperlink w:anchor="_Toc161141300" w:history="1">
        <w:r w:rsidRPr="00F06B07">
          <w:rPr>
            <w:rStyle w:val="Hyperlink"/>
          </w:rPr>
          <w:t>CAPÍTULO VI – INFORMAÇÕES</w:t>
        </w:r>
        <w:r>
          <w:rPr>
            <w:webHidden/>
          </w:rPr>
          <w:tab/>
        </w:r>
        <w:r>
          <w:rPr>
            <w:webHidden/>
          </w:rPr>
          <w:fldChar w:fldCharType="begin"/>
        </w:r>
        <w:r>
          <w:rPr>
            <w:webHidden/>
          </w:rPr>
          <w:instrText xml:space="preserve"> PAGEREF _Toc161141300 \h </w:instrText>
        </w:r>
        <w:r>
          <w:rPr>
            <w:webHidden/>
          </w:rPr>
        </w:r>
        <w:r>
          <w:rPr>
            <w:webHidden/>
          </w:rPr>
          <w:fldChar w:fldCharType="separate"/>
        </w:r>
        <w:r>
          <w:rPr>
            <w:webHidden/>
          </w:rPr>
          <w:t>142</w:t>
        </w:r>
        <w:r>
          <w:rPr>
            <w:webHidden/>
          </w:rPr>
          <w:fldChar w:fldCharType="end"/>
        </w:r>
      </w:hyperlink>
    </w:p>
    <w:p w14:paraId="74ADFB71" w14:textId="233596CB" w:rsidR="0024171D" w:rsidRDefault="0024171D">
      <w:pPr>
        <w:pStyle w:val="Sumrio2"/>
        <w:rPr>
          <w:rFonts w:eastAsiaTheme="minorEastAsia" w:cstheme="minorBidi"/>
          <w:b w:val="0"/>
          <w:bCs w:val="0"/>
          <w:kern w:val="2"/>
          <w14:ligatures w14:val="standardContextual"/>
        </w:rPr>
      </w:pPr>
      <w:hyperlink w:anchor="_Toc161141301" w:history="1">
        <w:r w:rsidRPr="00F06B07">
          <w:rPr>
            <w:rStyle w:val="Hyperlink"/>
          </w:rPr>
          <w:t>CAPÍTULO VII – ASSEMBLEIAS DE COTISTAS</w:t>
        </w:r>
        <w:r>
          <w:rPr>
            <w:webHidden/>
          </w:rPr>
          <w:tab/>
        </w:r>
        <w:r>
          <w:rPr>
            <w:webHidden/>
          </w:rPr>
          <w:fldChar w:fldCharType="begin"/>
        </w:r>
        <w:r>
          <w:rPr>
            <w:webHidden/>
          </w:rPr>
          <w:instrText xml:space="preserve"> PAGEREF _Toc161141301 \h </w:instrText>
        </w:r>
        <w:r>
          <w:rPr>
            <w:webHidden/>
          </w:rPr>
        </w:r>
        <w:r>
          <w:rPr>
            <w:webHidden/>
          </w:rPr>
          <w:fldChar w:fldCharType="separate"/>
        </w:r>
        <w:r>
          <w:rPr>
            <w:webHidden/>
          </w:rPr>
          <w:t>145</w:t>
        </w:r>
        <w:r>
          <w:rPr>
            <w:webHidden/>
          </w:rPr>
          <w:fldChar w:fldCharType="end"/>
        </w:r>
      </w:hyperlink>
    </w:p>
    <w:p w14:paraId="51940646" w14:textId="203AC0FE" w:rsidR="0024171D" w:rsidRDefault="0024171D">
      <w:pPr>
        <w:pStyle w:val="Sumrio2"/>
        <w:rPr>
          <w:rFonts w:eastAsiaTheme="minorEastAsia" w:cstheme="minorBidi"/>
          <w:b w:val="0"/>
          <w:bCs w:val="0"/>
          <w:kern w:val="2"/>
          <w14:ligatures w14:val="standardContextual"/>
        </w:rPr>
      </w:pPr>
      <w:hyperlink w:anchor="_Toc161141302" w:history="1">
        <w:r w:rsidRPr="00F06B07">
          <w:rPr>
            <w:rStyle w:val="Hyperlink"/>
          </w:rPr>
          <w:t>CAPÍTULO VIII – PRESTAÇÃO DE SERVIÇOS</w:t>
        </w:r>
        <w:r>
          <w:rPr>
            <w:webHidden/>
          </w:rPr>
          <w:tab/>
        </w:r>
        <w:r>
          <w:rPr>
            <w:webHidden/>
          </w:rPr>
          <w:fldChar w:fldCharType="begin"/>
        </w:r>
        <w:r>
          <w:rPr>
            <w:webHidden/>
          </w:rPr>
          <w:instrText xml:space="preserve"> PAGEREF _Toc161141302 \h </w:instrText>
        </w:r>
        <w:r>
          <w:rPr>
            <w:webHidden/>
          </w:rPr>
        </w:r>
        <w:r>
          <w:rPr>
            <w:webHidden/>
          </w:rPr>
          <w:fldChar w:fldCharType="separate"/>
        </w:r>
        <w:r>
          <w:rPr>
            <w:webHidden/>
          </w:rPr>
          <w:t>146</w:t>
        </w:r>
        <w:r>
          <w:rPr>
            <w:webHidden/>
          </w:rPr>
          <w:fldChar w:fldCharType="end"/>
        </w:r>
      </w:hyperlink>
    </w:p>
    <w:p w14:paraId="36C19EBF" w14:textId="22A92CD9" w:rsidR="0024171D" w:rsidRDefault="0024171D">
      <w:pPr>
        <w:pStyle w:val="Sumrio3"/>
        <w:rPr>
          <w:rFonts w:asciiTheme="minorHAnsi" w:eastAsiaTheme="minorEastAsia" w:hAnsiTheme="minorHAnsi" w:cstheme="minorBidi"/>
          <w:noProof/>
          <w:kern w:val="2"/>
          <w14:ligatures w14:val="standardContextual"/>
        </w:rPr>
      </w:pPr>
      <w:hyperlink w:anchor="_Toc161141303" w:history="1">
        <w:r w:rsidRPr="00F06B07">
          <w:rPr>
            <w:rStyle w:val="Hyperlink"/>
            <w:noProof/>
          </w:rPr>
          <w:t>Seção I – Administração</w:t>
        </w:r>
        <w:r>
          <w:rPr>
            <w:noProof/>
            <w:webHidden/>
          </w:rPr>
          <w:tab/>
        </w:r>
        <w:r>
          <w:rPr>
            <w:noProof/>
            <w:webHidden/>
          </w:rPr>
          <w:fldChar w:fldCharType="begin"/>
        </w:r>
        <w:r>
          <w:rPr>
            <w:noProof/>
            <w:webHidden/>
          </w:rPr>
          <w:instrText xml:space="preserve"> PAGEREF _Toc161141303 \h </w:instrText>
        </w:r>
        <w:r>
          <w:rPr>
            <w:noProof/>
            <w:webHidden/>
          </w:rPr>
        </w:r>
        <w:r>
          <w:rPr>
            <w:noProof/>
            <w:webHidden/>
          </w:rPr>
          <w:fldChar w:fldCharType="separate"/>
        </w:r>
        <w:r>
          <w:rPr>
            <w:noProof/>
            <w:webHidden/>
          </w:rPr>
          <w:t>146</w:t>
        </w:r>
        <w:r>
          <w:rPr>
            <w:noProof/>
            <w:webHidden/>
          </w:rPr>
          <w:fldChar w:fldCharType="end"/>
        </w:r>
      </w:hyperlink>
    </w:p>
    <w:p w14:paraId="3CF3CDC5" w14:textId="45D72E59" w:rsidR="0024171D" w:rsidRDefault="0024171D">
      <w:pPr>
        <w:pStyle w:val="Sumrio3"/>
        <w:rPr>
          <w:rFonts w:asciiTheme="minorHAnsi" w:eastAsiaTheme="minorEastAsia" w:hAnsiTheme="minorHAnsi" w:cstheme="minorBidi"/>
          <w:noProof/>
          <w:kern w:val="2"/>
          <w14:ligatures w14:val="standardContextual"/>
        </w:rPr>
      </w:pPr>
      <w:hyperlink w:anchor="_Toc161141304" w:history="1">
        <w:r w:rsidRPr="00F06B07">
          <w:rPr>
            <w:rStyle w:val="Hyperlink"/>
            <w:noProof/>
          </w:rPr>
          <w:t>Seção II – Gestão</w:t>
        </w:r>
        <w:r>
          <w:rPr>
            <w:noProof/>
            <w:webHidden/>
          </w:rPr>
          <w:tab/>
        </w:r>
        <w:r>
          <w:rPr>
            <w:noProof/>
            <w:webHidden/>
          </w:rPr>
          <w:fldChar w:fldCharType="begin"/>
        </w:r>
        <w:r>
          <w:rPr>
            <w:noProof/>
            <w:webHidden/>
          </w:rPr>
          <w:instrText xml:space="preserve"> PAGEREF _Toc161141304 \h </w:instrText>
        </w:r>
        <w:r>
          <w:rPr>
            <w:noProof/>
            <w:webHidden/>
          </w:rPr>
        </w:r>
        <w:r>
          <w:rPr>
            <w:noProof/>
            <w:webHidden/>
          </w:rPr>
          <w:fldChar w:fldCharType="separate"/>
        </w:r>
        <w:r>
          <w:rPr>
            <w:noProof/>
            <w:webHidden/>
          </w:rPr>
          <w:t>149</w:t>
        </w:r>
        <w:r>
          <w:rPr>
            <w:noProof/>
            <w:webHidden/>
          </w:rPr>
          <w:fldChar w:fldCharType="end"/>
        </w:r>
      </w:hyperlink>
    </w:p>
    <w:p w14:paraId="7029C3DF" w14:textId="073442A5" w:rsidR="0024171D" w:rsidRDefault="0024171D">
      <w:pPr>
        <w:pStyle w:val="Sumrio3"/>
        <w:rPr>
          <w:rFonts w:asciiTheme="minorHAnsi" w:eastAsiaTheme="minorEastAsia" w:hAnsiTheme="minorHAnsi" w:cstheme="minorBidi"/>
          <w:noProof/>
          <w:kern w:val="2"/>
          <w14:ligatures w14:val="standardContextual"/>
        </w:rPr>
      </w:pPr>
      <w:hyperlink w:anchor="_Toc161141305" w:history="1">
        <w:r w:rsidRPr="00F06B07">
          <w:rPr>
            <w:rStyle w:val="Hyperlink"/>
            <w:noProof/>
          </w:rPr>
          <w:t>Seção III – Verificação do Lastro</w:t>
        </w:r>
        <w:r>
          <w:rPr>
            <w:noProof/>
            <w:webHidden/>
          </w:rPr>
          <w:tab/>
        </w:r>
        <w:r>
          <w:rPr>
            <w:noProof/>
            <w:webHidden/>
          </w:rPr>
          <w:fldChar w:fldCharType="begin"/>
        </w:r>
        <w:r>
          <w:rPr>
            <w:noProof/>
            <w:webHidden/>
          </w:rPr>
          <w:instrText xml:space="preserve"> PAGEREF _Toc161141305 \h </w:instrText>
        </w:r>
        <w:r>
          <w:rPr>
            <w:noProof/>
            <w:webHidden/>
          </w:rPr>
        </w:r>
        <w:r>
          <w:rPr>
            <w:noProof/>
            <w:webHidden/>
          </w:rPr>
          <w:fldChar w:fldCharType="separate"/>
        </w:r>
        <w:r>
          <w:rPr>
            <w:noProof/>
            <w:webHidden/>
          </w:rPr>
          <w:t>152</w:t>
        </w:r>
        <w:r>
          <w:rPr>
            <w:noProof/>
            <w:webHidden/>
          </w:rPr>
          <w:fldChar w:fldCharType="end"/>
        </w:r>
      </w:hyperlink>
    </w:p>
    <w:p w14:paraId="0D4C42E4" w14:textId="12EDD771" w:rsidR="0024171D" w:rsidRDefault="0024171D">
      <w:pPr>
        <w:pStyle w:val="Sumrio3"/>
        <w:rPr>
          <w:rFonts w:asciiTheme="minorHAnsi" w:eastAsiaTheme="minorEastAsia" w:hAnsiTheme="minorHAnsi" w:cstheme="minorBidi"/>
          <w:noProof/>
          <w:kern w:val="2"/>
          <w14:ligatures w14:val="standardContextual"/>
        </w:rPr>
      </w:pPr>
      <w:hyperlink w:anchor="_Toc161141306" w:history="1">
        <w:r w:rsidRPr="00F06B07">
          <w:rPr>
            <w:rStyle w:val="Hyperlink"/>
            <w:noProof/>
          </w:rPr>
          <w:t>Seção IV – Custódia</w:t>
        </w:r>
        <w:r>
          <w:rPr>
            <w:noProof/>
            <w:webHidden/>
          </w:rPr>
          <w:tab/>
        </w:r>
        <w:r>
          <w:rPr>
            <w:noProof/>
            <w:webHidden/>
          </w:rPr>
          <w:fldChar w:fldCharType="begin"/>
        </w:r>
        <w:r>
          <w:rPr>
            <w:noProof/>
            <w:webHidden/>
          </w:rPr>
          <w:instrText xml:space="preserve"> PAGEREF _Toc161141306 \h </w:instrText>
        </w:r>
        <w:r>
          <w:rPr>
            <w:noProof/>
            <w:webHidden/>
          </w:rPr>
        </w:r>
        <w:r>
          <w:rPr>
            <w:noProof/>
            <w:webHidden/>
          </w:rPr>
          <w:fldChar w:fldCharType="separate"/>
        </w:r>
        <w:r>
          <w:rPr>
            <w:noProof/>
            <w:webHidden/>
          </w:rPr>
          <w:t>153</w:t>
        </w:r>
        <w:r>
          <w:rPr>
            <w:noProof/>
            <w:webHidden/>
          </w:rPr>
          <w:fldChar w:fldCharType="end"/>
        </w:r>
      </w:hyperlink>
    </w:p>
    <w:p w14:paraId="41AEE87D" w14:textId="1EE1D5F8" w:rsidR="0024171D" w:rsidRDefault="0024171D">
      <w:pPr>
        <w:pStyle w:val="Sumrio3"/>
        <w:rPr>
          <w:rFonts w:asciiTheme="minorHAnsi" w:eastAsiaTheme="minorEastAsia" w:hAnsiTheme="minorHAnsi" w:cstheme="minorBidi"/>
          <w:noProof/>
          <w:kern w:val="2"/>
          <w14:ligatures w14:val="standardContextual"/>
        </w:rPr>
      </w:pPr>
      <w:hyperlink w:anchor="_Toc161141307" w:history="1">
        <w:r w:rsidRPr="00F06B07">
          <w:rPr>
            <w:rStyle w:val="Hyperlink"/>
            <w:noProof/>
          </w:rPr>
          <w:t>Seção V – Vedações</w:t>
        </w:r>
        <w:r>
          <w:rPr>
            <w:noProof/>
            <w:webHidden/>
          </w:rPr>
          <w:tab/>
        </w:r>
        <w:r>
          <w:rPr>
            <w:noProof/>
            <w:webHidden/>
          </w:rPr>
          <w:fldChar w:fldCharType="begin"/>
        </w:r>
        <w:r>
          <w:rPr>
            <w:noProof/>
            <w:webHidden/>
          </w:rPr>
          <w:instrText xml:space="preserve"> PAGEREF _Toc161141307 \h </w:instrText>
        </w:r>
        <w:r>
          <w:rPr>
            <w:noProof/>
            <w:webHidden/>
          </w:rPr>
        </w:r>
        <w:r>
          <w:rPr>
            <w:noProof/>
            <w:webHidden/>
          </w:rPr>
          <w:fldChar w:fldCharType="separate"/>
        </w:r>
        <w:r>
          <w:rPr>
            <w:noProof/>
            <w:webHidden/>
          </w:rPr>
          <w:t>154</w:t>
        </w:r>
        <w:r>
          <w:rPr>
            <w:noProof/>
            <w:webHidden/>
          </w:rPr>
          <w:fldChar w:fldCharType="end"/>
        </w:r>
      </w:hyperlink>
    </w:p>
    <w:p w14:paraId="6E19DE12" w14:textId="23F565F2" w:rsidR="0024171D" w:rsidRDefault="0024171D">
      <w:pPr>
        <w:pStyle w:val="Sumrio2"/>
        <w:rPr>
          <w:rFonts w:eastAsiaTheme="minorEastAsia" w:cstheme="minorBidi"/>
          <w:b w:val="0"/>
          <w:bCs w:val="0"/>
          <w:kern w:val="2"/>
          <w14:ligatures w14:val="standardContextual"/>
        </w:rPr>
      </w:pPr>
      <w:hyperlink w:anchor="_Toc161141308" w:history="1">
        <w:r w:rsidRPr="00F06B07">
          <w:rPr>
            <w:rStyle w:val="Hyperlink"/>
          </w:rPr>
          <w:t>CAPÍTULO IX – CARTEIRA</w:t>
        </w:r>
        <w:r>
          <w:rPr>
            <w:webHidden/>
          </w:rPr>
          <w:tab/>
        </w:r>
        <w:r>
          <w:rPr>
            <w:webHidden/>
          </w:rPr>
          <w:fldChar w:fldCharType="begin"/>
        </w:r>
        <w:r>
          <w:rPr>
            <w:webHidden/>
          </w:rPr>
          <w:instrText xml:space="preserve"> PAGEREF _Toc161141308 \h </w:instrText>
        </w:r>
        <w:r>
          <w:rPr>
            <w:webHidden/>
          </w:rPr>
        </w:r>
        <w:r>
          <w:rPr>
            <w:webHidden/>
          </w:rPr>
          <w:fldChar w:fldCharType="separate"/>
        </w:r>
        <w:r>
          <w:rPr>
            <w:webHidden/>
          </w:rPr>
          <w:t>155</w:t>
        </w:r>
        <w:r>
          <w:rPr>
            <w:webHidden/>
          </w:rPr>
          <w:fldChar w:fldCharType="end"/>
        </w:r>
      </w:hyperlink>
    </w:p>
    <w:p w14:paraId="7169507F" w14:textId="045ACA79" w:rsidR="0024171D" w:rsidRDefault="0024171D">
      <w:pPr>
        <w:pStyle w:val="Sumrio3"/>
        <w:rPr>
          <w:rFonts w:asciiTheme="minorHAnsi" w:eastAsiaTheme="minorEastAsia" w:hAnsiTheme="minorHAnsi" w:cstheme="minorBidi"/>
          <w:noProof/>
          <w:kern w:val="2"/>
          <w14:ligatures w14:val="standardContextual"/>
        </w:rPr>
      </w:pPr>
      <w:hyperlink w:anchor="_Toc161141309" w:history="1">
        <w:r w:rsidRPr="00F06B07">
          <w:rPr>
            <w:rStyle w:val="Hyperlink"/>
            <w:noProof/>
          </w:rPr>
          <w:t>Seção I – Enquadramento e Concentração</w:t>
        </w:r>
        <w:r>
          <w:rPr>
            <w:noProof/>
            <w:webHidden/>
          </w:rPr>
          <w:tab/>
        </w:r>
        <w:r>
          <w:rPr>
            <w:noProof/>
            <w:webHidden/>
          </w:rPr>
          <w:fldChar w:fldCharType="begin"/>
        </w:r>
        <w:r>
          <w:rPr>
            <w:noProof/>
            <w:webHidden/>
          </w:rPr>
          <w:instrText xml:space="preserve"> PAGEREF _Toc161141309 \h </w:instrText>
        </w:r>
        <w:r>
          <w:rPr>
            <w:noProof/>
            <w:webHidden/>
          </w:rPr>
        </w:r>
        <w:r>
          <w:rPr>
            <w:noProof/>
            <w:webHidden/>
          </w:rPr>
          <w:fldChar w:fldCharType="separate"/>
        </w:r>
        <w:r>
          <w:rPr>
            <w:noProof/>
            <w:webHidden/>
          </w:rPr>
          <w:t>155</w:t>
        </w:r>
        <w:r>
          <w:rPr>
            <w:noProof/>
            <w:webHidden/>
          </w:rPr>
          <w:fldChar w:fldCharType="end"/>
        </w:r>
      </w:hyperlink>
    </w:p>
    <w:p w14:paraId="704210FE" w14:textId="48B3C84D" w:rsidR="0024171D" w:rsidRDefault="0024171D">
      <w:pPr>
        <w:pStyle w:val="Sumrio3"/>
        <w:rPr>
          <w:rFonts w:asciiTheme="minorHAnsi" w:eastAsiaTheme="minorEastAsia" w:hAnsiTheme="minorHAnsi" w:cstheme="minorBidi"/>
          <w:noProof/>
          <w:kern w:val="2"/>
          <w14:ligatures w14:val="standardContextual"/>
        </w:rPr>
      </w:pPr>
      <w:hyperlink w:anchor="_Toc161141310" w:history="1">
        <w:r w:rsidRPr="00F06B07">
          <w:rPr>
            <w:rStyle w:val="Hyperlink"/>
            <w:noProof/>
          </w:rPr>
          <w:t>Seção II – Investimento em Cotas</w:t>
        </w:r>
        <w:r>
          <w:rPr>
            <w:noProof/>
            <w:webHidden/>
          </w:rPr>
          <w:tab/>
        </w:r>
        <w:r>
          <w:rPr>
            <w:noProof/>
            <w:webHidden/>
          </w:rPr>
          <w:fldChar w:fldCharType="begin"/>
        </w:r>
        <w:r>
          <w:rPr>
            <w:noProof/>
            <w:webHidden/>
          </w:rPr>
          <w:instrText xml:space="preserve"> PAGEREF _Toc161141310 \h </w:instrText>
        </w:r>
        <w:r>
          <w:rPr>
            <w:noProof/>
            <w:webHidden/>
          </w:rPr>
        </w:r>
        <w:r>
          <w:rPr>
            <w:noProof/>
            <w:webHidden/>
          </w:rPr>
          <w:fldChar w:fldCharType="separate"/>
        </w:r>
        <w:r>
          <w:rPr>
            <w:noProof/>
            <w:webHidden/>
          </w:rPr>
          <w:t>157</w:t>
        </w:r>
        <w:r>
          <w:rPr>
            <w:noProof/>
            <w:webHidden/>
          </w:rPr>
          <w:fldChar w:fldCharType="end"/>
        </w:r>
      </w:hyperlink>
    </w:p>
    <w:p w14:paraId="3192E007" w14:textId="5FC38176" w:rsidR="0024171D" w:rsidRDefault="0024171D">
      <w:pPr>
        <w:pStyle w:val="Sumrio2"/>
        <w:rPr>
          <w:rFonts w:eastAsiaTheme="minorEastAsia" w:cstheme="minorBidi"/>
          <w:b w:val="0"/>
          <w:bCs w:val="0"/>
          <w:kern w:val="2"/>
          <w14:ligatures w14:val="standardContextual"/>
        </w:rPr>
      </w:pPr>
      <w:hyperlink w:anchor="_Toc161141311" w:history="1">
        <w:r w:rsidRPr="00F06B07">
          <w:rPr>
            <w:rStyle w:val="Hyperlink"/>
          </w:rPr>
          <w:t>CAPÍTULO X – CLASSES RESTRITAS</w:t>
        </w:r>
        <w:r>
          <w:rPr>
            <w:webHidden/>
          </w:rPr>
          <w:tab/>
        </w:r>
        <w:r>
          <w:rPr>
            <w:webHidden/>
          </w:rPr>
          <w:fldChar w:fldCharType="begin"/>
        </w:r>
        <w:r>
          <w:rPr>
            <w:webHidden/>
          </w:rPr>
          <w:instrText xml:space="preserve"> PAGEREF _Toc161141311 \h </w:instrText>
        </w:r>
        <w:r>
          <w:rPr>
            <w:webHidden/>
          </w:rPr>
        </w:r>
        <w:r>
          <w:rPr>
            <w:webHidden/>
          </w:rPr>
          <w:fldChar w:fldCharType="separate"/>
        </w:r>
        <w:r>
          <w:rPr>
            <w:webHidden/>
          </w:rPr>
          <w:t>158</w:t>
        </w:r>
        <w:r>
          <w:rPr>
            <w:webHidden/>
          </w:rPr>
          <w:fldChar w:fldCharType="end"/>
        </w:r>
      </w:hyperlink>
    </w:p>
    <w:p w14:paraId="6AA93AD7" w14:textId="021F135E" w:rsidR="0024171D" w:rsidRDefault="0024171D">
      <w:pPr>
        <w:pStyle w:val="Sumrio2"/>
        <w:rPr>
          <w:rFonts w:eastAsiaTheme="minorEastAsia" w:cstheme="minorBidi"/>
          <w:b w:val="0"/>
          <w:bCs w:val="0"/>
          <w:kern w:val="2"/>
          <w14:ligatures w14:val="standardContextual"/>
        </w:rPr>
      </w:pPr>
      <w:hyperlink w:anchor="_Toc161141312" w:history="1">
        <w:r w:rsidRPr="00F06B07">
          <w:rPr>
            <w:rStyle w:val="Hyperlink"/>
          </w:rPr>
          <w:t>CAPÍTULO XI – ENCARGOS</w:t>
        </w:r>
        <w:r>
          <w:rPr>
            <w:webHidden/>
          </w:rPr>
          <w:tab/>
        </w:r>
        <w:r>
          <w:rPr>
            <w:webHidden/>
          </w:rPr>
          <w:fldChar w:fldCharType="begin"/>
        </w:r>
        <w:r>
          <w:rPr>
            <w:webHidden/>
          </w:rPr>
          <w:instrText xml:space="preserve"> PAGEREF _Toc161141312 \h </w:instrText>
        </w:r>
        <w:r>
          <w:rPr>
            <w:webHidden/>
          </w:rPr>
        </w:r>
        <w:r>
          <w:rPr>
            <w:webHidden/>
          </w:rPr>
          <w:fldChar w:fldCharType="separate"/>
        </w:r>
        <w:r>
          <w:rPr>
            <w:webHidden/>
          </w:rPr>
          <w:t>159</w:t>
        </w:r>
        <w:r>
          <w:rPr>
            <w:webHidden/>
          </w:rPr>
          <w:fldChar w:fldCharType="end"/>
        </w:r>
      </w:hyperlink>
    </w:p>
    <w:p w14:paraId="79434330" w14:textId="54556851" w:rsidR="0024171D" w:rsidRDefault="0024171D">
      <w:pPr>
        <w:pStyle w:val="Sumrio2"/>
        <w:rPr>
          <w:rFonts w:eastAsiaTheme="minorEastAsia" w:cstheme="minorBidi"/>
          <w:b w:val="0"/>
          <w:bCs w:val="0"/>
          <w:kern w:val="2"/>
          <w14:ligatures w14:val="standardContextual"/>
        </w:rPr>
      </w:pPr>
      <w:hyperlink w:anchor="_Toc161141313" w:history="1">
        <w:r w:rsidRPr="00F06B07">
          <w:rPr>
            <w:rStyle w:val="Hyperlink"/>
          </w:rPr>
          <w:t>CAPÍTULO XII – LIQUIDAÇÃO</w:t>
        </w:r>
        <w:r>
          <w:rPr>
            <w:webHidden/>
          </w:rPr>
          <w:tab/>
        </w:r>
        <w:r>
          <w:rPr>
            <w:webHidden/>
          </w:rPr>
          <w:fldChar w:fldCharType="begin"/>
        </w:r>
        <w:r>
          <w:rPr>
            <w:webHidden/>
          </w:rPr>
          <w:instrText xml:space="preserve"> PAGEREF _Toc161141313 \h </w:instrText>
        </w:r>
        <w:r>
          <w:rPr>
            <w:webHidden/>
          </w:rPr>
        </w:r>
        <w:r>
          <w:rPr>
            <w:webHidden/>
          </w:rPr>
          <w:fldChar w:fldCharType="separate"/>
        </w:r>
        <w:r>
          <w:rPr>
            <w:webHidden/>
          </w:rPr>
          <w:t>159</w:t>
        </w:r>
        <w:r>
          <w:rPr>
            <w:webHidden/>
          </w:rPr>
          <w:fldChar w:fldCharType="end"/>
        </w:r>
      </w:hyperlink>
    </w:p>
    <w:p w14:paraId="247576A9" w14:textId="442D1B1E" w:rsidR="0024171D" w:rsidRDefault="0024171D">
      <w:pPr>
        <w:pStyle w:val="Sumrio2"/>
        <w:rPr>
          <w:rFonts w:eastAsiaTheme="minorEastAsia" w:cstheme="minorBidi"/>
          <w:b w:val="0"/>
          <w:bCs w:val="0"/>
          <w:kern w:val="2"/>
          <w14:ligatures w14:val="standardContextual"/>
        </w:rPr>
      </w:pPr>
      <w:hyperlink w:anchor="_Toc161141314" w:history="1">
        <w:r w:rsidRPr="00F06B07">
          <w:rPr>
            <w:rStyle w:val="Hyperlink"/>
          </w:rPr>
          <w:t>CAPÍTULO XIII – PENALIDADES</w:t>
        </w:r>
        <w:r>
          <w:rPr>
            <w:webHidden/>
          </w:rPr>
          <w:tab/>
        </w:r>
        <w:r>
          <w:rPr>
            <w:webHidden/>
          </w:rPr>
          <w:fldChar w:fldCharType="begin"/>
        </w:r>
        <w:r>
          <w:rPr>
            <w:webHidden/>
          </w:rPr>
          <w:instrText xml:space="preserve"> PAGEREF _Toc161141314 \h </w:instrText>
        </w:r>
        <w:r>
          <w:rPr>
            <w:webHidden/>
          </w:rPr>
        </w:r>
        <w:r>
          <w:rPr>
            <w:webHidden/>
          </w:rPr>
          <w:fldChar w:fldCharType="separate"/>
        </w:r>
        <w:r>
          <w:rPr>
            <w:webHidden/>
          </w:rPr>
          <w:t>160</w:t>
        </w:r>
        <w:r>
          <w:rPr>
            <w:webHidden/>
          </w:rPr>
          <w:fldChar w:fldCharType="end"/>
        </w:r>
      </w:hyperlink>
    </w:p>
    <w:p w14:paraId="4955EC5D" w14:textId="66DFA2E0" w:rsidR="0024171D" w:rsidRDefault="0024171D">
      <w:pPr>
        <w:pStyle w:val="Sumrio2"/>
        <w:rPr>
          <w:rFonts w:eastAsiaTheme="minorEastAsia" w:cstheme="minorBidi"/>
          <w:b w:val="0"/>
          <w:bCs w:val="0"/>
          <w:kern w:val="2"/>
          <w14:ligatures w14:val="standardContextual"/>
        </w:rPr>
      </w:pPr>
      <w:hyperlink w:anchor="_Toc161141315" w:history="1">
        <w:r w:rsidRPr="00F06B07">
          <w:rPr>
            <w:rStyle w:val="Hyperlink"/>
          </w:rPr>
          <w:t>CAPÍTULO XIV – DISPOSIÇÕES FINAIS E TRANSITÓRIAS</w:t>
        </w:r>
        <w:r>
          <w:rPr>
            <w:webHidden/>
          </w:rPr>
          <w:tab/>
        </w:r>
        <w:r>
          <w:rPr>
            <w:webHidden/>
          </w:rPr>
          <w:fldChar w:fldCharType="begin"/>
        </w:r>
        <w:r>
          <w:rPr>
            <w:webHidden/>
          </w:rPr>
          <w:instrText xml:space="preserve"> PAGEREF _Toc161141315 \h </w:instrText>
        </w:r>
        <w:r>
          <w:rPr>
            <w:webHidden/>
          </w:rPr>
        </w:r>
        <w:r>
          <w:rPr>
            <w:webHidden/>
          </w:rPr>
          <w:fldChar w:fldCharType="separate"/>
        </w:r>
        <w:r>
          <w:rPr>
            <w:webHidden/>
          </w:rPr>
          <w:t>160</w:t>
        </w:r>
        <w:r>
          <w:rPr>
            <w:webHidden/>
          </w:rPr>
          <w:fldChar w:fldCharType="end"/>
        </w:r>
      </w:hyperlink>
    </w:p>
    <w:p w14:paraId="005983C1" w14:textId="7734EB10" w:rsidR="0024171D" w:rsidRDefault="0024171D">
      <w:pPr>
        <w:pStyle w:val="Sumrio1"/>
        <w:rPr>
          <w:rFonts w:eastAsiaTheme="minorEastAsia" w:cstheme="minorBidi"/>
          <w:kern w:val="2"/>
          <w14:ligatures w14:val="standardContextual"/>
        </w:rPr>
      </w:pPr>
      <w:hyperlink w:anchor="_Toc161141316" w:history="1">
        <w:r w:rsidRPr="00F06B07">
          <w:rPr>
            <w:rStyle w:val="Hyperlink"/>
          </w:rPr>
          <w:t>ANEXO NORMATIVO III – FUNDOS DE INVESTIMENTO IMOBILIÁRIO</w:t>
        </w:r>
        <w:r>
          <w:rPr>
            <w:webHidden/>
          </w:rPr>
          <w:tab/>
        </w:r>
        <w:r>
          <w:rPr>
            <w:webHidden/>
          </w:rPr>
          <w:fldChar w:fldCharType="begin"/>
        </w:r>
        <w:r>
          <w:rPr>
            <w:webHidden/>
          </w:rPr>
          <w:instrText xml:space="preserve"> PAGEREF _Toc161141316 \h </w:instrText>
        </w:r>
        <w:r>
          <w:rPr>
            <w:webHidden/>
          </w:rPr>
        </w:r>
        <w:r>
          <w:rPr>
            <w:webHidden/>
          </w:rPr>
          <w:fldChar w:fldCharType="separate"/>
        </w:r>
        <w:r>
          <w:rPr>
            <w:webHidden/>
          </w:rPr>
          <w:t>161</w:t>
        </w:r>
        <w:r>
          <w:rPr>
            <w:webHidden/>
          </w:rPr>
          <w:fldChar w:fldCharType="end"/>
        </w:r>
      </w:hyperlink>
    </w:p>
    <w:p w14:paraId="05204009" w14:textId="2A9C9AF6" w:rsidR="0024171D" w:rsidRDefault="0024171D">
      <w:pPr>
        <w:pStyle w:val="Sumrio2"/>
        <w:rPr>
          <w:rFonts w:eastAsiaTheme="minorEastAsia" w:cstheme="minorBidi"/>
          <w:b w:val="0"/>
          <w:bCs w:val="0"/>
          <w:kern w:val="2"/>
          <w14:ligatures w14:val="standardContextual"/>
        </w:rPr>
      </w:pPr>
      <w:hyperlink w:anchor="_Toc161141317" w:history="1">
        <w:r w:rsidRPr="00F06B07">
          <w:rPr>
            <w:rStyle w:val="Hyperlink"/>
          </w:rPr>
          <w:t>CAPÍTULO I – ÂMBITO E FINALIDADE</w:t>
        </w:r>
        <w:r>
          <w:rPr>
            <w:webHidden/>
          </w:rPr>
          <w:tab/>
        </w:r>
        <w:r>
          <w:rPr>
            <w:webHidden/>
          </w:rPr>
          <w:fldChar w:fldCharType="begin"/>
        </w:r>
        <w:r>
          <w:rPr>
            <w:webHidden/>
          </w:rPr>
          <w:instrText xml:space="preserve"> PAGEREF _Toc161141317 \h </w:instrText>
        </w:r>
        <w:r>
          <w:rPr>
            <w:webHidden/>
          </w:rPr>
        </w:r>
        <w:r>
          <w:rPr>
            <w:webHidden/>
          </w:rPr>
          <w:fldChar w:fldCharType="separate"/>
        </w:r>
        <w:r>
          <w:rPr>
            <w:webHidden/>
          </w:rPr>
          <w:t>161</w:t>
        </w:r>
        <w:r>
          <w:rPr>
            <w:webHidden/>
          </w:rPr>
          <w:fldChar w:fldCharType="end"/>
        </w:r>
      </w:hyperlink>
    </w:p>
    <w:p w14:paraId="4145403C" w14:textId="5EE00D32" w:rsidR="0024171D" w:rsidRDefault="0024171D">
      <w:pPr>
        <w:pStyle w:val="Sumrio2"/>
        <w:rPr>
          <w:rFonts w:eastAsiaTheme="minorEastAsia" w:cstheme="minorBidi"/>
          <w:b w:val="0"/>
          <w:bCs w:val="0"/>
          <w:kern w:val="2"/>
          <w14:ligatures w14:val="standardContextual"/>
        </w:rPr>
      </w:pPr>
      <w:hyperlink w:anchor="_Toc161141318" w:history="1">
        <w:r w:rsidRPr="00F06B07">
          <w:rPr>
            <w:rStyle w:val="Hyperlink"/>
          </w:rPr>
          <w:t>CAPÍTULO II – CARACTERÍSTICAS E CONSTITUIÇÃO</w:t>
        </w:r>
        <w:r>
          <w:rPr>
            <w:webHidden/>
          </w:rPr>
          <w:tab/>
        </w:r>
        <w:r>
          <w:rPr>
            <w:webHidden/>
          </w:rPr>
          <w:fldChar w:fldCharType="begin"/>
        </w:r>
        <w:r>
          <w:rPr>
            <w:webHidden/>
          </w:rPr>
          <w:instrText xml:space="preserve"> PAGEREF _Toc161141318 \h </w:instrText>
        </w:r>
        <w:r>
          <w:rPr>
            <w:webHidden/>
          </w:rPr>
        </w:r>
        <w:r>
          <w:rPr>
            <w:webHidden/>
          </w:rPr>
          <w:fldChar w:fldCharType="separate"/>
        </w:r>
        <w:r>
          <w:rPr>
            <w:webHidden/>
          </w:rPr>
          <w:t>161</w:t>
        </w:r>
        <w:r>
          <w:rPr>
            <w:webHidden/>
          </w:rPr>
          <w:fldChar w:fldCharType="end"/>
        </w:r>
      </w:hyperlink>
    </w:p>
    <w:p w14:paraId="18BE1108" w14:textId="06177638" w:rsidR="0024171D" w:rsidRDefault="0024171D">
      <w:pPr>
        <w:pStyle w:val="Sumrio3"/>
        <w:rPr>
          <w:rFonts w:asciiTheme="minorHAnsi" w:eastAsiaTheme="minorEastAsia" w:hAnsiTheme="minorHAnsi" w:cstheme="minorBidi"/>
          <w:noProof/>
          <w:kern w:val="2"/>
          <w14:ligatures w14:val="standardContextual"/>
        </w:rPr>
      </w:pPr>
      <w:hyperlink w:anchor="_Toc161141319" w:history="1">
        <w:r w:rsidRPr="00F06B07">
          <w:rPr>
            <w:rStyle w:val="Hyperlink"/>
            <w:noProof/>
          </w:rPr>
          <w:t>Seção I – Características Gerais</w:t>
        </w:r>
        <w:r>
          <w:rPr>
            <w:noProof/>
            <w:webHidden/>
          </w:rPr>
          <w:tab/>
        </w:r>
        <w:r>
          <w:rPr>
            <w:noProof/>
            <w:webHidden/>
          </w:rPr>
          <w:fldChar w:fldCharType="begin"/>
        </w:r>
        <w:r>
          <w:rPr>
            <w:noProof/>
            <w:webHidden/>
          </w:rPr>
          <w:instrText xml:space="preserve"> PAGEREF _Toc161141319 \h </w:instrText>
        </w:r>
        <w:r>
          <w:rPr>
            <w:noProof/>
            <w:webHidden/>
          </w:rPr>
        </w:r>
        <w:r>
          <w:rPr>
            <w:noProof/>
            <w:webHidden/>
          </w:rPr>
          <w:fldChar w:fldCharType="separate"/>
        </w:r>
        <w:r>
          <w:rPr>
            <w:noProof/>
            <w:webHidden/>
          </w:rPr>
          <w:t>161</w:t>
        </w:r>
        <w:r>
          <w:rPr>
            <w:noProof/>
            <w:webHidden/>
          </w:rPr>
          <w:fldChar w:fldCharType="end"/>
        </w:r>
      </w:hyperlink>
    </w:p>
    <w:p w14:paraId="4EA01B53" w14:textId="7D350872" w:rsidR="0024171D" w:rsidRDefault="0024171D">
      <w:pPr>
        <w:pStyle w:val="Sumrio3"/>
        <w:rPr>
          <w:rFonts w:asciiTheme="minorHAnsi" w:eastAsiaTheme="minorEastAsia" w:hAnsiTheme="minorHAnsi" w:cstheme="minorBidi"/>
          <w:noProof/>
          <w:kern w:val="2"/>
          <w14:ligatures w14:val="standardContextual"/>
        </w:rPr>
      </w:pPr>
      <w:hyperlink w:anchor="_Toc161141320" w:history="1">
        <w:r w:rsidRPr="00F06B07">
          <w:rPr>
            <w:rStyle w:val="Hyperlink"/>
            <w:noProof/>
          </w:rPr>
          <w:t>Seção II – Constituição</w:t>
        </w:r>
        <w:r>
          <w:rPr>
            <w:noProof/>
            <w:webHidden/>
          </w:rPr>
          <w:tab/>
        </w:r>
        <w:r>
          <w:rPr>
            <w:noProof/>
            <w:webHidden/>
          </w:rPr>
          <w:fldChar w:fldCharType="begin"/>
        </w:r>
        <w:r>
          <w:rPr>
            <w:noProof/>
            <w:webHidden/>
          </w:rPr>
          <w:instrText xml:space="preserve"> PAGEREF _Toc161141320 \h </w:instrText>
        </w:r>
        <w:r>
          <w:rPr>
            <w:noProof/>
            <w:webHidden/>
          </w:rPr>
        </w:r>
        <w:r>
          <w:rPr>
            <w:noProof/>
            <w:webHidden/>
          </w:rPr>
          <w:fldChar w:fldCharType="separate"/>
        </w:r>
        <w:r>
          <w:rPr>
            <w:noProof/>
            <w:webHidden/>
          </w:rPr>
          <w:t>161</w:t>
        </w:r>
        <w:r>
          <w:rPr>
            <w:noProof/>
            <w:webHidden/>
          </w:rPr>
          <w:fldChar w:fldCharType="end"/>
        </w:r>
      </w:hyperlink>
    </w:p>
    <w:p w14:paraId="6F451A90" w14:textId="64A39D62" w:rsidR="0024171D" w:rsidRDefault="0024171D">
      <w:pPr>
        <w:pStyle w:val="Sumrio2"/>
        <w:rPr>
          <w:rFonts w:eastAsiaTheme="minorEastAsia" w:cstheme="minorBidi"/>
          <w:b w:val="0"/>
          <w:bCs w:val="0"/>
          <w:kern w:val="2"/>
          <w14:ligatures w14:val="standardContextual"/>
        </w:rPr>
      </w:pPr>
      <w:hyperlink w:anchor="_Toc161141321" w:history="1">
        <w:r w:rsidRPr="00F06B07">
          <w:rPr>
            <w:rStyle w:val="Hyperlink"/>
          </w:rPr>
          <w:t>CAPÍTULO III – COTAS</w:t>
        </w:r>
        <w:r>
          <w:rPr>
            <w:webHidden/>
          </w:rPr>
          <w:tab/>
        </w:r>
        <w:r>
          <w:rPr>
            <w:webHidden/>
          </w:rPr>
          <w:fldChar w:fldCharType="begin"/>
        </w:r>
        <w:r>
          <w:rPr>
            <w:webHidden/>
          </w:rPr>
          <w:instrText xml:space="preserve"> PAGEREF _Toc161141321 \h </w:instrText>
        </w:r>
        <w:r>
          <w:rPr>
            <w:webHidden/>
          </w:rPr>
        </w:r>
        <w:r>
          <w:rPr>
            <w:webHidden/>
          </w:rPr>
          <w:fldChar w:fldCharType="separate"/>
        </w:r>
        <w:r>
          <w:rPr>
            <w:webHidden/>
          </w:rPr>
          <w:t>162</w:t>
        </w:r>
        <w:r>
          <w:rPr>
            <w:webHidden/>
          </w:rPr>
          <w:fldChar w:fldCharType="end"/>
        </w:r>
      </w:hyperlink>
    </w:p>
    <w:p w14:paraId="4918F73B" w14:textId="30CF1669" w:rsidR="0024171D" w:rsidRDefault="0024171D">
      <w:pPr>
        <w:pStyle w:val="Sumrio3"/>
        <w:rPr>
          <w:rFonts w:asciiTheme="minorHAnsi" w:eastAsiaTheme="minorEastAsia" w:hAnsiTheme="minorHAnsi" w:cstheme="minorBidi"/>
          <w:noProof/>
          <w:kern w:val="2"/>
          <w14:ligatures w14:val="standardContextual"/>
        </w:rPr>
      </w:pPr>
      <w:hyperlink w:anchor="_Toc161141322" w:history="1">
        <w:r w:rsidRPr="00F06B07">
          <w:rPr>
            <w:rStyle w:val="Hyperlink"/>
            <w:noProof/>
          </w:rPr>
          <w:t>Seção I – Recompra</w:t>
        </w:r>
        <w:r>
          <w:rPr>
            <w:noProof/>
            <w:webHidden/>
          </w:rPr>
          <w:tab/>
        </w:r>
        <w:r>
          <w:rPr>
            <w:noProof/>
            <w:webHidden/>
          </w:rPr>
          <w:fldChar w:fldCharType="begin"/>
        </w:r>
        <w:r>
          <w:rPr>
            <w:noProof/>
            <w:webHidden/>
          </w:rPr>
          <w:instrText xml:space="preserve"> PAGEREF _Toc161141322 \h </w:instrText>
        </w:r>
        <w:r>
          <w:rPr>
            <w:noProof/>
            <w:webHidden/>
          </w:rPr>
        </w:r>
        <w:r>
          <w:rPr>
            <w:noProof/>
            <w:webHidden/>
          </w:rPr>
          <w:fldChar w:fldCharType="separate"/>
        </w:r>
        <w:r>
          <w:rPr>
            <w:noProof/>
            <w:webHidden/>
          </w:rPr>
          <w:t>162</w:t>
        </w:r>
        <w:r>
          <w:rPr>
            <w:noProof/>
            <w:webHidden/>
          </w:rPr>
          <w:fldChar w:fldCharType="end"/>
        </w:r>
      </w:hyperlink>
    </w:p>
    <w:p w14:paraId="5DD16215" w14:textId="18486F11" w:rsidR="0024171D" w:rsidRDefault="0024171D">
      <w:pPr>
        <w:pStyle w:val="Sumrio3"/>
        <w:rPr>
          <w:rFonts w:asciiTheme="minorHAnsi" w:eastAsiaTheme="minorEastAsia" w:hAnsiTheme="minorHAnsi" w:cstheme="minorBidi"/>
          <w:noProof/>
          <w:kern w:val="2"/>
          <w14:ligatures w14:val="standardContextual"/>
        </w:rPr>
      </w:pPr>
      <w:hyperlink w:anchor="_Toc161141323" w:history="1">
        <w:r w:rsidRPr="00F06B07">
          <w:rPr>
            <w:rStyle w:val="Hyperlink"/>
            <w:noProof/>
          </w:rPr>
          <w:t>Seção II – Distribuição</w:t>
        </w:r>
        <w:r>
          <w:rPr>
            <w:noProof/>
            <w:webHidden/>
          </w:rPr>
          <w:tab/>
        </w:r>
        <w:r>
          <w:rPr>
            <w:noProof/>
            <w:webHidden/>
          </w:rPr>
          <w:fldChar w:fldCharType="begin"/>
        </w:r>
        <w:r>
          <w:rPr>
            <w:noProof/>
            <w:webHidden/>
          </w:rPr>
          <w:instrText xml:space="preserve"> PAGEREF _Toc161141323 \h </w:instrText>
        </w:r>
        <w:r>
          <w:rPr>
            <w:noProof/>
            <w:webHidden/>
          </w:rPr>
        </w:r>
        <w:r>
          <w:rPr>
            <w:noProof/>
            <w:webHidden/>
          </w:rPr>
          <w:fldChar w:fldCharType="separate"/>
        </w:r>
        <w:r>
          <w:rPr>
            <w:noProof/>
            <w:webHidden/>
          </w:rPr>
          <w:t>162</w:t>
        </w:r>
        <w:r>
          <w:rPr>
            <w:noProof/>
            <w:webHidden/>
          </w:rPr>
          <w:fldChar w:fldCharType="end"/>
        </w:r>
      </w:hyperlink>
    </w:p>
    <w:p w14:paraId="44AC9CB1" w14:textId="6F5A3AAA" w:rsidR="0024171D" w:rsidRDefault="0024171D">
      <w:pPr>
        <w:pStyle w:val="Sumrio3"/>
        <w:rPr>
          <w:rFonts w:asciiTheme="minorHAnsi" w:eastAsiaTheme="minorEastAsia" w:hAnsiTheme="minorHAnsi" w:cstheme="minorBidi"/>
          <w:noProof/>
          <w:kern w:val="2"/>
          <w14:ligatures w14:val="standardContextual"/>
        </w:rPr>
      </w:pPr>
      <w:hyperlink w:anchor="_Toc161141324" w:history="1">
        <w:r w:rsidRPr="00F06B07">
          <w:rPr>
            <w:rStyle w:val="Hyperlink"/>
            <w:noProof/>
          </w:rPr>
          <w:t>Seção III – Integralização e Subscrição</w:t>
        </w:r>
        <w:r>
          <w:rPr>
            <w:noProof/>
            <w:webHidden/>
          </w:rPr>
          <w:tab/>
        </w:r>
        <w:r>
          <w:rPr>
            <w:noProof/>
            <w:webHidden/>
          </w:rPr>
          <w:fldChar w:fldCharType="begin"/>
        </w:r>
        <w:r>
          <w:rPr>
            <w:noProof/>
            <w:webHidden/>
          </w:rPr>
          <w:instrText xml:space="preserve"> PAGEREF _Toc161141324 \h </w:instrText>
        </w:r>
        <w:r>
          <w:rPr>
            <w:noProof/>
            <w:webHidden/>
          </w:rPr>
        </w:r>
        <w:r>
          <w:rPr>
            <w:noProof/>
            <w:webHidden/>
          </w:rPr>
          <w:fldChar w:fldCharType="separate"/>
        </w:r>
        <w:r>
          <w:rPr>
            <w:noProof/>
            <w:webHidden/>
          </w:rPr>
          <w:t>162</w:t>
        </w:r>
        <w:r>
          <w:rPr>
            <w:noProof/>
            <w:webHidden/>
          </w:rPr>
          <w:fldChar w:fldCharType="end"/>
        </w:r>
      </w:hyperlink>
    </w:p>
    <w:p w14:paraId="2D03FCB5" w14:textId="05330647" w:rsidR="0024171D" w:rsidRDefault="0024171D">
      <w:pPr>
        <w:pStyle w:val="Sumrio2"/>
        <w:rPr>
          <w:rFonts w:eastAsiaTheme="minorEastAsia" w:cstheme="minorBidi"/>
          <w:b w:val="0"/>
          <w:bCs w:val="0"/>
          <w:kern w:val="2"/>
          <w14:ligatures w14:val="standardContextual"/>
        </w:rPr>
      </w:pPr>
      <w:hyperlink w:anchor="_Toc161141325" w:history="1">
        <w:r w:rsidRPr="00F06B07">
          <w:rPr>
            <w:rStyle w:val="Hyperlink"/>
          </w:rPr>
          <w:t>CAPÍTULO IV – REGULAMENTO</w:t>
        </w:r>
        <w:r>
          <w:rPr>
            <w:webHidden/>
          </w:rPr>
          <w:tab/>
        </w:r>
        <w:r>
          <w:rPr>
            <w:webHidden/>
          </w:rPr>
          <w:fldChar w:fldCharType="begin"/>
        </w:r>
        <w:r>
          <w:rPr>
            <w:webHidden/>
          </w:rPr>
          <w:instrText xml:space="preserve"> PAGEREF _Toc161141325 \h </w:instrText>
        </w:r>
        <w:r>
          <w:rPr>
            <w:webHidden/>
          </w:rPr>
        </w:r>
        <w:r>
          <w:rPr>
            <w:webHidden/>
          </w:rPr>
          <w:fldChar w:fldCharType="separate"/>
        </w:r>
        <w:r>
          <w:rPr>
            <w:webHidden/>
          </w:rPr>
          <w:t>163</w:t>
        </w:r>
        <w:r>
          <w:rPr>
            <w:webHidden/>
          </w:rPr>
          <w:fldChar w:fldCharType="end"/>
        </w:r>
      </w:hyperlink>
    </w:p>
    <w:p w14:paraId="0D026D65" w14:textId="4DF62A4F" w:rsidR="0024171D" w:rsidRDefault="0024171D">
      <w:pPr>
        <w:pStyle w:val="Sumrio2"/>
        <w:rPr>
          <w:rFonts w:eastAsiaTheme="minorEastAsia" w:cstheme="minorBidi"/>
          <w:b w:val="0"/>
          <w:bCs w:val="0"/>
          <w:kern w:val="2"/>
          <w14:ligatures w14:val="standardContextual"/>
        </w:rPr>
      </w:pPr>
      <w:hyperlink w:anchor="_Toc161141326" w:history="1">
        <w:r w:rsidRPr="00F06B07">
          <w:rPr>
            <w:rStyle w:val="Hyperlink"/>
          </w:rPr>
          <w:t>CAPÍTULO V – ASSEMBLEIA DE COTISTAS</w:t>
        </w:r>
        <w:r>
          <w:rPr>
            <w:webHidden/>
          </w:rPr>
          <w:tab/>
        </w:r>
        <w:r>
          <w:rPr>
            <w:webHidden/>
          </w:rPr>
          <w:fldChar w:fldCharType="begin"/>
        </w:r>
        <w:r>
          <w:rPr>
            <w:webHidden/>
          </w:rPr>
          <w:instrText xml:space="preserve"> PAGEREF _Toc161141326 \h </w:instrText>
        </w:r>
        <w:r>
          <w:rPr>
            <w:webHidden/>
          </w:rPr>
        </w:r>
        <w:r>
          <w:rPr>
            <w:webHidden/>
          </w:rPr>
          <w:fldChar w:fldCharType="separate"/>
        </w:r>
        <w:r>
          <w:rPr>
            <w:webHidden/>
          </w:rPr>
          <w:t>165</w:t>
        </w:r>
        <w:r>
          <w:rPr>
            <w:webHidden/>
          </w:rPr>
          <w:fldChar w:fldCharType="end"/>
        </w:r>
      </w:hyperlink>
    </w:p>
    <w:p w14:paraId="312B73AA" w14:textId="53E65E7F" w:rsidR="0024171D" w:rsidRDefault="0024171D">
      <w:pPr>
        <w:pStyle w:val="Sumrio3"/>
        <w:rPr>
          <w:rFonts w:asciiTheme="minorHAnsi" w:eastAsiaTheme="minorEastAsia" w:hAnsiTheme="minorHAnsi" w:cstheme="minorBidi"/>
          <w:noProof/>
          <w:kern w:val="2"/>
          <w14:ligatures w14:val="standardContextual"/>
        </w:rPr>
      </w:pPr>
      <w:hyperlink w:anchor="_Toc161141327" w:history="1">
        <w:r w:rsidRPr="00F06B07">
          <w:rPr>
            <w:rStyle w:val="Hyperlink"/>
            <w:noProof/>
          </w:rPr>
          <w:t>Seção I – Competência</w:t>
        </w:r>
        <w:r>
          <w:rPr>
            <w:noProof/>
            <w:webHidden/>
          </w:rPr>
          <w:tab/>
        </w:r>
        <w:r>
          <w:rPr>
            <w:noProof/>
            <w:webHidden/>
          </w:rPr>
          <w:fldChar w:fldCharType="begin"/>
        </w:r>
        <w:r>
          <w:rPr>
            <w:noProof/>
            <w:webHidden/>
          </w:rPr>
          <w:instrText xml:space="preserve"> PAGEREF _Toc161141327 \h </w:instrText>
        </w:r>
        <w:r>
          <w:rPr>
            <w:noProof/>
            <w:webHidden/>
          </w:rPr>
        </w:r>
        <w:r>
          <w:rPr>
            <w:noProof/>
            <w:webHidden/>
          </w:rPr>
          <w:fldChar w:fldCharType="separate"/>
        </w:r>
        <w:r>
          <w:rPr>
            <w:noProof/>
            <w:webHidden/>
          </w:rPr>
          <w:t>165</w:t>
        </w:r>
        <w:r>
          <w:rPr>
            <w:noProof/>
            <w:webHidden/>
          </w:rPr>
          <w:fldChar w:fldCharType="end"/>
        </w:r>
      </w:hyperlink>
    </w:p>
    <w:p w14:paraId="6B010E88" w14:textId="4198D2F8" w:rsidR="0024171D" w:rsidRDefault="0024171D">
      <w:pPr>
        <w:pStyle w:val="Sumrio3"/>
        <w:rPr>
          <w:rFonts w:asciiTheme="minorHAnsi" w:eastAsiaTheme="minorEastAsia" w:hAnsiTheme="minorHAnsi" w:cstheme="minorBidi"/>
          <w:noProof/>
          <w:kern w:val="2"/>
          <w14:ligatures w14:val="standardContextual"/>
        </w:rPr>
      </w:pPr>
      <w:hyperlink w:anchor="_Toc161141328" w:history="1">
        <w:r w:rsidRPr="00F06B07">
          <w:rPr>
            <w:rStyle w:val="Hyperlink"/>
            <w:noProof/>
          </w:rPr>
          <w:t>Seção II – Convocação e Instalação</w:t>
        </w:r>
        <w:r>
          <w:rPr>
            <w:noProof/>
            <w:webHidden/>
          </w:rPr>
          <w:tab/>
        </w:r>
        <w:r>
          <w:rPr>
            <w:noProof/>
            <w:webHidden/>
          </w:rPr>
          <w:fldChar w:fldCharType="begin"/>
        </w:r>
        <w:r>
          <w:rPr>
            <w:noProof/>
            <w:webHidden/>
          </w:rPr>
          <w:instrText xml:space="preserve"> PAGEREF _Toc161141328 \h </w:instrText>
        </w:r>
        <w:r>
          <w:rPr>
            <w:noProof/>
            <w:webHidden/>
          </w:rPr>
        </w:r>
        <w:r>
          <w:rPr>
            <w:noProof/>
            <w:webHidden/>
          </w:rPr>
          <w:fldChar w:fldCharType="separate"/>
        </w:r>
        <w:r>
          <w:rPr>
            <w:noProof/>
            <w:webHidden/>
          </w:rPr>
          <w:t>166</w:t>
        </w:r>
        <w:r>
          <w:rPr>
            <w:noProof/>
            <w:webHidden/>
          </w:rPr>
          <w:fldChar w:fldCharType="end"/>
        </w:r>
      </w:hyperlink>
    </w:p>
    <w:p w14:paraId="22976614" w14:textId="2C46B779" w:rsidR="0024171D" w:rsidRDefault="0024171D">
      <w:pPr>
        <w:pStyle w:val="Sumrio3"/>
        <w:rPr>
          <w:rFonts w:asciiTheme="minorHAnsi" w:eastAsiaTheme="minorEastAsia" w:hAnsiTheme="minorHAnsi" w:cstheme="minorBidi"/>
          <w:noProof/>
          <w:kern w:val="2"/>
          <w14:ligatures w14:val="standardContextual"/>
        </w:rPr>
      </w:pPr>
      <w:hyperlink w:anchor="_Toc161141329" w:history="1">
        <w:r w:rsidRPr="00F06B07">
          <w:rPr>
            <w:rStyle w:val="Hyperlink"/>
            <w:noProof/>
          </w:rPr>
          <w:t>Seção III – Deliberações</w:t>
        </w:r>
        <w:r>
          <w:rPr>
            <w:noProof/>
            <w:webHidden/>
          </w:rPr>
          <w:tab/>
        </w:r>
        <w:r>
          <w:rPr>
            <w:noProof/>
            <w:webHidden/>
          </w:rPr>
          <w:fldChar w:fldCharType="begin"/>
        </w:r>
        <w:r>
          <w:rPr>
            <w:noProof/>
            <w:webHidden/>
          </w:rPr>
          <w:instrText xml:space="preserve"> PAGEREF _Toc161141329 \h </w:instrText>
        </w:r>
        <w:r>
          <w:rPr>
            <w:noProof/>
            <w:webHidden/>
          </w:rPr>
        </w:r>
        <w:r>
          <w:rPr>
            <w:noProof/>
            <w:webHidden/>
          </w:rPr>
          <w:fldChar w:fldCharType="separate"/>
        </w:r>
        <w:r>
          <w:rPr>
            <w:noProof/>
            <w:webHidden/>
          </w:rPr>
          <w:t>167</w:t>
        </w:r>
        <w:r>
          <w:rPr>
            <w:noProof/>
            <w:webHidden/>
          </w:rPr>
          <w:fldChar w:fldCharType="end"/>
        </w:r>
      </w:hyperlink>
    </w:p>
    <w:p w14:paraId="2533CBAF" w14:textId="5A22CE8F" w:rsidR="0024171D" w:rsidRDefault="0024171D">
      <w:pPr>
        <w:pStyle w:val="Sumrio3"/>
        <w:rPr>
          <w:rFonts w:asciiTheme="minorHAnsi" w:eastAsiaTheme="minorEastAsia" w:hAnsiTheme="minorHAnsi" w:cstheme="minorBidi"/>
          <w:noProof/>
          <w:kern w:val="2"/>
          <w14:ligatures w14:val="standardContextual"/>
        </w:rPr>
      </w:pPr>
      <w:hyperlink w:anchor="_Toc161141330" w:history="1">
        <w:r w:rsidRPr="00F06B07">
          <w:rPr>
            <w:rStyle w:val="Hyperlink"/>
            <w:noProof/>
          </w:rPr>
          <w:t>Seção IV – Representante dos Cotistas</w:t>
        </w:r>
        <w:r>
          <w:rPr>
            <w:noProof/>
            <w:webHidden/>
          </w:rPr>
          <w:tab/>
        </w:r>
        <w:r>
          <w:rPr>
            <w:noProof/>
            <w:webHidden/>
          </w:rPr>
          <w:fldChar w:fldCharType="begin"/>
        </w:r>
        <w:r>
          <w:rPr>
            <w:noProof/>
            <w:webHidden/>
          </w:rPr>
          <w:instrText xml:space="preserve"> PAGEREF _Toc161141330 \h </w:instrText>
        </w:r>
        <w:r>
          <w:rPr>
            <w:noProof/>
            <w:webHidden/>
          </w:rPr>
        </w:r>
        <w:r>
          <w:rPr>
            <w:noProof/>
            <w:webHidden/>
          </w:rPr>
          <w:fldChar w:fldCharType="separate"/>
        </w:r>
        <w:r>
          <w:rPr>
            <w:noProof/>
            <w:webHidden/>
          </w:rPr>
          <w:t>169</w:t>
        </w:r>
        <w:r>
          <w:rPr>
            <w:noProof/>
            <w:webHidden/>
          </w:rPr>
          <w:fldChar w:fldCharType="end"/>
        </w:r>
      </w:hyperlink>
    </w:p>
    <w:p w14:paraId="4F19B7D0" w14:textId="7638BB19" w:rsidR="0024171D" w:rsidRDefault="0024171D">
      <w:pPr>
        <w:pStyle w:val="Sumrio2"/>
        <w:rPr>
          <w:rFonts w:eastAsiaTheme="minorEastAsia" w:cstheme="minorBidi"/>
          <w:b w:val="0"/>
          <w:bCs w:val="0"/>
          <w:kern w:val="2"/>
          <w14:ligatures w14:val="standardContextual"/>
        </w:rPr>
      </w:pPr>
      <w:hyperlink w:anchor="_Toc161141331" w:history="1">
        <w:r w:rsidRPr="00F06B07">
          <w:rPr>
            <w:rStyle w:val="Hyperlink"/>
          </w:rPr>
          <w:t>CAPÍTULO VI – PRESTAÇÃO DE SERVIÇOS</w:t>
        </w:r>
        <w:r>
          <w:rPr>
            <w:webHidden/>
          </w:rPr>
          <w:tab/>
        </w:r>
        <w:r>
          <w:rPr>
            <w:webHidden/>
          </w:rPr>
          <w:fldChar w:fldCharType="begin"/>
        </w:r>
        <w:r>
          <w:rPr>
            <w:webHidden/>
          </w:rPr>
          <w:instrText xml:space="preserve"> PAGEREF _Toc161141331 \h </w:instrText>
        </w:r>
        <w:r>
          <w:rPr>
            <w:webHidden/>
          </w:rPr>
        </w:r>
        <w:r>
          <w:rPr>
            <w:webHidden/>
          </w:rPr>
          <w:fldChar w:fldCharType="separate"/>
        </w:r>
        <w:r>
          <w:rPr>
            <w:webHidden/>
          </w:rPr>
          <w:t>171</w:t>
        </w:r>
        <w:r>
          <w:rPr>
            <w:webHidden/>
          </w:rPr>
          <w:fldChar w:fldCharType="end"/>
        </w:r>
      </w:hyperlink>
    </w:p>
    <w:p w14:paraId="28AD8C18" w14:textId="36AC3722" w:rsidR="0024171D" w:rsidRDefault="0024171D">
      <w:pPr>
        <w:pStyle w:val="Sumrio3"/>
        <w:rPr>
          <w:rFonts w:asciiTheme="minorHAnsi" w:eastAsiaTheme="minorEastAsia" w:hAnsiTheme="minorHAnsi" w:cstheme="minorBidi"/>
          <w:noProof/>
          <w:kern w:val="2"/>
          <w14:ligatures w14:val="standardContextual"/>
        </w:rPr>
      </w:pPr>
      <w:hyperlink w:anchor="_Toc161141332"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_Toc161141332 \h </w:instrText>
        </w:r>
        <w:r>
          <w:rPr>
            <w:noProof/>
            <w:webHidden/>
          </w:rPr>
        </w:r>
        <w:r>
          <w:rPr>
            <w:noProof/>
            <w:webHidden/>
          </w:rPr>
          <w:fldChar w:fldCharType="separate"/>
        </w:r>
        <w:r>
          <w:rPr>
            <w:noProof/>
            <w:webHidden/>
          </w:rPr>
          <w:t>171</w:t>
        </w:r>
        <w:r>
          <w:rPr>
            <w:noProof/>
            <w:webHidden/>
          </w:rPr>
          <w:fldChar w:fldCharType="end"/>
        </w:r>
      </w:hyperlink>
    </w:p>
    <w:p w14:paraId="24E42CEB" w14:textId="663A9E22" w:rsidR="0024171D" w:rsidRDefault="0024171D">
      <w:pPr>
        <w:pStyle w:val="Sumrio3"/>
        <w:rPr>
          <w:rFonts w:asciiTheme="minorHAnsi" w:eastAsiaTheme="minorEastAsia" w:hAnsiTheme="minorHAnsi" w:cstheme="minorBidi"/>
          <w:noProof/>
          <w:kern w:val="2"/>
          <w14:ligatures w14:val="standardContextual"/>
        </w:rPr>
      </w:pPr>
      <w:hyperlink w:anchor="_Toc161141333" w:history="1">
        <w:r w:rsidRPr="00F06B07">
          <w:rPr>
            <w:rStyle w:val="Hyperlink"/>
            <w:noProof/>
          </w:rPr>
          <w:t>Seção II – Administração</w:t>
        </w:r>
        <w:r>
          <w:rPr>
            <w:noProof/>
            <w:webHidden/>
          </w:rPr>
          <w:tab/>
        </w:r>
        <w:r>
          <w:rPr>
            <w:noProof/>
            <w:webHidden/>
          </w:rPr>
          <w:fldChar w:fldCharType="begin"/>
        </w:r>
        <w:r>
          <w:rPr>
            <w:noProof/>
            <w:webHidden/>
          </w:rPr>
          <w:instrText xml:space="preserve"> PAGEREF _Toc161141333 \h </w:instrText>
        </w:r>
        <w:r>
          <w:rPr>
            <w:noProof/>
            <w:webHidden/>
          </w:rPr>
        </w:r>
        <w:r>
          <w:rPr>
            <w:noProof/>
            <w:webHidden/>
          </w:rPr>
          <w:fldChar w:fldCharType="separate"/>
        </w:r>
        <w:r>
          <w:rPr>
            <w:noProof/>
            <w:webHidden/>
          </w:rPr>
          <w:t>173</w:t>
        </w:r>
        <w:r>
          <w:rPr>
            <w:noProof/>
            <w:webHidden/>
          </w:rPr>
          <w:fldChar w:fldCharType="end"/>
        </w:r>
      </w:hyperlink>
    </w:p>
    <w:p w14:paraId="609BEFB0" w14:textId="35C67F71" w:rsidR="0024171D" w:rsidRDefault="0024171D">
      <w:pPr>
        <w:pStyle w:val="Sumrio3"/>
        <w:rPr>
          <w:rFonts w:asciiTheme="minorHAnsi" w:eastAsiaTheme="minorEastAsia" w:hAnsiTheme="minorHAnsi" w:cstheme="minorBidi"/>
          <w:noProof/>
          <w:kern w:val="2"/>
          <w14:ligatures w14:val="standardContextual"/>
        </w:rPr>
      </w:pPr>
      <w:hyperlink w:anchor="_Toc161141334" w:history="1">
        <w:r w:rsidRPr="00F06B07">
          <w:rPr>
            <w:rStyle w:val="Hyperlink"/>
            <w:noProof/>
          </w:rPr>
          <w:t>Seção III – Vedações</w:t>
        </w:r>
        <w:r>
          <w:rPr>
            <w:noProof/>
            <w:webHidden/>
          </w:rPr>
          <w:tab/>
        </w:r>
        <w:r>
          <w:rPr>
            <w:noProof/>
            <w:webHidden/>
          </w:rPr>
          <w:fldChar w:fldCharType="begin"/>
        </w:r>
        <w:r>
          <w:rPr>
            <w:noProof/>
            <w:webHidden/>
          </w:rPr>
          <w:instrText xml:space="preserve"> PAGEREF _Toc161141334 \h </w:instrText>
        </w:r>
        <w:r>
          <w:rPr>
            <w:noProof/>
            <w:webHidden/>
          </w:rPr>
        </w:r>
        <w:r>
          <w:rPr>
            <w:noProof/>
            <w:webHidden/>
          </w:rPr>
          <w:fldChar w:fldCharType="separate"/>
        </w:r>
        <w:r>
          <w:rPr>
            <w:noProof/>
            <w:webHidden/>
          </w:rPr>
          <w:t>176</w:t>
        </w:r>
        <w:r>
          <w:rPr>
            <w:noProof/>
            <w:webHidden/>
          </w:rPr>
          <w:fldChar w:fldCharType="end"/>
        </w:r>
      </w:hyperlink>
    </w:p>
    <w:p w14:paraId="5947153E" w14:textId="0025FC2F" w:rsidR="0024171D" w:rsidRDefault="0024171D">
      <w:pPr>
        <w:pStyle w:val="Sumrio3"/>
        <w:rPr>
          <w:rFonts w:asciiTheme="minorHAnsi" w:eastAsiaTheme="minorEastAsia" w:hAnsiTheme="minorHAnsi" w:cstheme="minorBidi"/>
          <w:noProof/>
          <w:kern w:val="2"/>
          <w14:ligatures w14:val="standardContextual"/>
        </w:rPr>
      </w:pPr>
      <w:hyperlink w:anchor="_Toc161141335" w:history="1">
        <w:r w:rsidRPr="00F06B07">
          <w:rPr>
            <w:rStyle w:val="Hyperlink"/>
            <w:noProof/>
          </w:rPr>
          <w:t>Seção IV – Remuneração</w:t>
        </w:r>
        <w:r>
          <w:rPr>
            <w:noProof/>
            <w:webHidden/>
          </w:rPr>
          <w:tab/>
        </w:r>
        <w:r>
          <w:rPr>
            <w:noProof/>
            <w:webHidden/>
          </w:rPr>
          <w:fldChar w:fldCharType="begin"/>
        </w:r>
        <w:r>
          <w:rPr>
            <w:noProof/>
            <w:webHidden/>
          </w:rPr>
          <w:instrText xml:space="preserve"> PAGEREF _Toc161141335 \h </w:instrText>
        </w:r>
        <w:r>
          <w:rPr>
            <w:noProof/>
            <w:webHidden/>
          </w:rPr>
        </w:r>
        <w:r>
          <w:rPr>
            <w:noProof/>
            <w:webHidden/>
          </w:rPr>
          <w:fldChar w:fldCharType="separate"/>
        </w:r>
        <w:r>
          <w:rPr>
            <w:noProof/>
            <w:webHidden/>
          </w:rPr>
          <w:t>177</w:t>
        </w:r>
        <w:r>
          <w:rPr>
            <w:noProof/>
            <w:webHidden/>
          </w:rPr>
          <w:fldChar w:fldCharType="end"/>
        </w:r>
      </w:hyperlink>
    </w:p>
    <w:p w14:paraId="1706D15B" w14:textId="0BEB2A67" w:rsidR="0024171D" w:rsidRDefault="0024171D">
      <w:pPr>
        <w:pStyle w:val="Sumrio3"/>
        <w:rPr>
          <w:rFonts w:asciiTheme="minorHAnsi" w:eastAsiaTheme="minorEastAsia" w:hAnsiTheme="minorHAnsi" w:cstheme="minorBidi"/>
          <w:noProof/>
          <w:kern w:val="2"/>
          <w14:ligatures w14:val="standardContextual"/>
        </w:rPr>
      </w:pPr>
      <w:hyperlink w:anchor="_Toc161141336" w:history="1">
        <w:r w:rsidRPr="00F06B07">
          <w:rPr>
            <w:rStyle w:val="Hyperlink"/>
            <w:noProof/>
          </w:rPr>
          <w:t>Seção V – Substituição do Administrador</w:t>
        </w:r>
        <w:r>
          <w:rPr>
            <w:noProof/>
            <w:webHidden/>
          </w:rPr>
          <w:tab/>
        </w:r>
        <w:r>
          <w:rPr>
            <w:noProof/>
            <w:webHidden/>
          </w:rPr>
          <w:fldChar w:fldCharType="begin"/>
        </w:r>
        <w:r>
          <w:rPr>
            <w:noProof/>
            <w:webHidden/>
          </w:rPr>
          <w:instrText xml:space="preserve"> PAGEREF _Toc161141336 \h </w:instrText>
        </w:r>
        <w:r>
          <w:rPr>
            <w:noProof/>
            <w:webHidden/>
          </w:rPr>
        </w:r>
        <w:r>
          <w:rPr>
            <w:noProof/>
            <w:webHidden/>
          </w:rPr>
          <w:fldChar w:fldCharType="separate"/>
        </w:r>
        <w:r>
          <w:rPr>
            <w:noProof/>
            <w:webHidden/>
          </w:rPr>
          <w:t>178</w:t>
        </w:r>
        <w:r>
          <w:rPr>
            <w:noProof/>
            <w:webHidden/>
          </w:rPr>
          <w:fldChar w:fldCharType="end"/>
        </w:r>
      </w:hyperlink>
    </w:p>
    <w:p w14:paraId="7B9A3DC3" w14:textId="16CF72D0" w:rsidR="0024171D" w:rsidRDefault="0024171D">
      <w:pPr>
        <w:pStyle w:val="Sumrio2"/>
        <w:rPr>
          <w:rFonts w:eastAsiaTheme="minorEastAsia" w:cstheme="minorBidi"/>
          <w:b w:val="0"/>
          <w:bCs w:val="0"/>
          <w:kern w:val="2"/>
          <w14:ligatures w14:val="standardContextual"/>
        </w:rPr>
      </w:pPr>
      <w:hyperlink w:anchor="_Toc161141337" w:history="1">
        <w:r w:rsidRPr="00F06B07">
          <w:rPr>
            <w:rStyle w:val="Hyperlink"/>
          </w:rPr>
          <w:t>CAPÍTULO VII – DIVULGAÇÃO DE INFORMAÇÕES</w:t>
        </w:r>
        <w:r>
          <w:rPr>
            <w:webHidden/>
          </w:rPr>
          <w:tab/>
        </w:r>
        <w:r>
          <w:rPr>
            <w:webHidden/>
          </w:rPr>
          <w:fldChar w:fldCharType="begin"/>
        </w:r>
        <w:r>
          <w:rPr>
            <w:webHidden/>
          </w:rPr>
          <w:instrText xml:space="preserve"> PAGEREF _Toc161141337 \h </w:instrText>
        </w:r>
        <w:r>
          <w:rPr>
            <w:webHidden/>
          </w:rPr>
        </w:r>
        <w:r>
          <w:rPr>
            <w:webHidden/>
          </w:rPr>
          <w:fldChar w:fldCharType="separate"/>
        </w:r>
        <w:r>
          <w:rPr>
            <w:webHidden/>
          </w:rPr>
          <w:t>179</w:t>
        </w:r>
        <w:r>
          <w:rPr>
            <w:webHidden/>
          </w:rPr>
          <w:fldChar w:fldCharType="end"/>
        </w:r>
      </w:hyperlink>
    </w:p>
    <w:p w14:paraId="67405A66" w14:textId="696AA029" w:rsidR="0024171D" w:rsidRDefault="0024171D">
      <w:pPr>
        <w:pStyle w:val="Sumrio3"/>
        <w:rPr>
          <w:rFonts w:asciiTheme="minorHAnsi" w:eastAsiaTheme="minorEastAsia" w:hAnsiTheme="minorHAnsi" w:cstheme="minorBidi"/>
          <w:noProof/>
          <w:kern w:val="2"/>
          <w14:ligatures w14:val="standardContextual"/>
        </w:rPr>
      </w:pPr>
      <w:hyperlink w:anchor="_Toc161141338" w:history="1">
        <w:r w:rsidRPr="00F06B07">
          <w:rPr>
            <w:rStyle w:val="Hyperlink"/>
            <w:noProof/>
          </w:rPr>
          <w:t>Seção I – Informações Periódicas</w:t>
        </w:r>
        <w:r>
          <w:rPr>
            <w:noProof/>
            <w:webHidden/>
          </w:rPr>
          <w:tab/>
        </w:r>
        <w:r>
          <w:rPr>
            <w:noProof/>
            <w:webHidden/>
          </w:rPr>
          <w:fldChar w:fldCharType="begin"/>
        </w:r>
        <w:r>
          <w:rPr>
            <w:noProof/>
            <w:webHidden/>
          </w:rPr>
          <w:instrText xml:space="preserve"> PAGEREF _Toc161141338 \h </w:instrText>
        </w:r>
        <w:r>
          <w:rPr>
            <w:noProof/>
            <w:webHidden/>
          </w:rPr>
        </w:r>
        <w:r>
          <w:rPr>
            <w:noProof/>
            <w:webHidden/>
          </w:rPr>
          <w:fldChar w:fldCharType="separate"/>
        </w:r>
        <w:r>
          <w:rPr>
            <w:noProof/>
            <w:webHidden/>
          </w:rPr>
          <w:t>179</w:t>
        </w:r>
        <w:r>
          <w:rPr>
            <w:noProof/>
            <w:webHidden/>
          </w:rPr>
          <w:fldChar w:fldCharType="end"/>
        </w:r>
      </w:hyperlink>
    </w:p>
    <w:p w14:paraId="2AD8DEF0" w14:textId="3ED9DFA3" w:rsidR="0024171D" w:rsidRDefault="0024171D">
      <w:pPr>
        <w:pStyle w:val="Sumrio3"/>
        <w:rPr>
          <w:rFonts w:asciiTheme="minorHAnsi" w:eastAsiaTheme="minorEastAsia" w:hAnsiTheme="minorHAnsi" w:cstheme="minorBidi"/>
          <w:noProof/>
          <w:kern w:val="2"/>
          <w14:ligatures w14:val="standardContextual"/>
        </w:rPr>
      </w:pPr>
      <w:hyperlink w:anchor="_Toc161141339" w:history="1">
        <w:r w:rsidRPr="00F06B07">
          <w:rPr>
            <w:rStyle w:val="Hyperlink"/>
            <w:noProof/>
          </w:rPr>
          <w:t>Seção II – Informações Eventuais</w:t>
        </w:r>
        <w:r>
          <w:rPr>
            <w:noProof/>
            <w:webHidden/>
          </w:rPr>
          <w:tab/>
        </w:r>
        <w:r>
          <w:rPr>
            <w:noProof/>
            <w:webHidden/>
          </w:rPr>
          <w:fldChar w:fldCharType="begin"/>
        </w:r>
        <w:r>
          <w:rPr>
            <w:noProof/>
            <w:webHidden/>
          </w:rPr>
          <w:instrText xml:space="preserve"> PAGEREF _Toc161141339 \h </w:instrText>
        </w:r>
        <w:r>
          <w:rPr>
            <w:noProof/>
            <w:webHidden/>
          </w:rPr>
        </w:r>
        <w:r>
          <w:rPr>
            <w:noProof/>
            <w:webHidden/>
          </w:rPr>
          <w:fldChar w:fldCharType="separate"/>
        </w:r>
        <w:r>
          <w:rPr>
            <w:noProof/>
            <w:webHidden/>
          </w:rPr>
          <w:t>180</w:t>
        </w:r>
        <w:r>
          <w:rPr>
            <w:noProof/>
            <w:webHidden/>
          </w:rPr>
          <w:fldChar w:fldCharType="end"/>
        </w:r>
      </w:hyperlink>
    </w:p>
    <w:p w14:paraId="5CED5588" w14:textId="1CD38C86" w:rsidR="0024171D" w:rsidRDefault="0024171D">
      <w:pPr>
        <w:pStyle w:val="Sumrio3"/>
        <w:rPr>
          <w:rFonts w:asciiTheme="minorHAnsi" w:eastAsiaTheme="minorEastAsia" w:hAnsiTheme="minorHAnsi" w:cstheme="minorBidi"/>
          <w:noProof/>
          <w:kern w:val="2"/>
          <w14:ligatures w14:val="standardContextual"/>
        </w:rPr>
      </w:pPr>
      <w:hyperlink w:anchor="_Toc161141340" w:history="1">
        <w:r w:rsidRPr="00F06B07">
          <w:rPr>
            <w:rStyle w:val="Hyperlink"/>
            <w:noProof/>
          </w:rPr>
          <w:t>Seção III – Uso Indevido de Informação Privilegiada</w:t>
        </w:r>
        <w:r>
          <w:rPr>
            <w:noProof/>
            <w:webHidden/>
          </w:rPr>
          <w:tab/>
        </w:r>
        <w:r>
          <w:rPr>
            <w:noProof/>
            <w:webHidden/>
          </w:rPr>
          <w:fldChar w:fldCharType="begin"/>
        </w:r>
        <w:r>
          <w:rPr>
            <w:noProof/>
            <w:webHidden/>
          </w:rPr>
          <w:instrText xml:space="preserve"> PAGEREF _Toc161141340 \h </w:instrText>
        </w:r>
        <w:r>
          <w:rPr>
            <w:noProof/>
            <w:webHidden/>
          </w:rPr>
        </w:r>
        <w:r>
          <w:rPr>
            <w:noProof/>
            <w:webHidden/>
          </w:rPr>
          <w:fldChar w:fldCharType="separate"/>
        </w:r>
        <w:r>
          <w:rPr>
            <w:noProof/>
            <w:webHidden/>
          </w:rPr>
          <w:t>181</w:t>
        </w:r>
        <w:r>
          <w:rPr>
            <w:noProof/>
            <w:webHidden/>
          </w:rPr>
          <w:fldChar w:fldCharType="end"/>
        </w:r>
      </w:hyperlink>
    </w:p>
    <w:p w14:paraId="17F73307" w14:textId="09A23A9B" w:rsidR="0024171D" w:rsidRDefault="0024171D">
      <w:pPr>
        <w:pStyle w:val="Sumrio2"/>
        <w:rPr>
          <w:rFonts w:eastAsiaTheme="minorEastAsia" w:cstheme="minorBidi"/>
          <w:b w:val="0"/>
          <w:bCs w:val="0"/>
          <w:kern w:val="2"/>
          <w14:ligatures w14:val="standardContextual"/>
        </w:rPr>
      </w:pPr>
      <w:hyperlink w:anchor="_Toc161141341" w:history="1">
        <w:r w:rsidRPr="00F06B07">
          <w:rPr>
            <w:rStyle w:val="Hyperlink"/>
          </w:rPr>
          <w:t>CAPÍTULO VIII – CARTEIRA DE ATIVOS</w:t>
        </w:r>
        <w:r>
          <w:rPr>
            <w:webHidden/>
          </w:rPr>
          <w:tab/>
        </w:r>
        <w:r>
          <w:rPr>
            <w:webHidden/>
          </w:rPr>
          <w:fldChar w:fldCharType="begin"/>
        </w:r>
        <w:r>
          <w:rPr>
            <w:webHidden/>
          </w:rPr>
          <w:instrText xml:space="preserve"> PAGEREF _Toc161141341 \h </w:instrText>
        </w:r>
        <w:r>
          <w:rPr>
            <w:webHidden/>
          </w:rPr>
        </w:r>
        <w:r>
          <w:rPr>
            <w:webHidden/>
          </w:rPr>
          <w:fldChar w:fldCharType="separate"/>
        </w:r>
        <w:r>
          <w:rPr>
            <w:webHidden/>
          </w:rPr>
          <w:t>182</w:t>
        </w:r>
        <w:r>
          <w:rPr>
            <w:webHidden/>
          </w:rPr>
          <w:fldChar w:fldCharType="end"/>
        </w:r>
      </w:hyperlink>
    </w:p>
    <w:p w14:paraId="016D473F" w14:textId="2D3714A5" w:rsidR="0024171D" w:rsidRDefault="0024171D">
      <w:pPr>
        <w:pStyle w:val="Sumrio2"/>
        <w:rPr>
          <w:rFonts w:eastAsiaTheme="minorEastAsia" w:cstheme="minorBidi"/>
          <w:b w:val="0"/>
          <w:bCs w:val="0"/>
          <w:kern w:val="2"/>
          <w14:ligatures w14:val="standardContextual"/>
        </w:rPr>
      </w:pPr>
      <w:hyperlink w:anchor="_Toc161141342" w:history="1">
        <w:r w:rsidRPr="00F06B07">
          <w:rPr>
            <w:rStyle w:val="Hyperlink"/>
          </w:rPr>
          <w:t>CAPÍTULO IX – ENCARGOS</w:t>
        </w:r>
        <w:r>
          <w:rPr>
            <w:webHidden/>
          </w:rPr>
          <w:tab/>
        </w:r>
        <w:r>
          <w:rPr>
            <w:webHidden/>
          </w:rPr>
          <w:fldChar w:fldCharType="begin"/>
        </w:r>
        <w:r>
          <w:rPr>
            <w:webHidden/>
          </w:rPr>
          <w:instrText xml:space="preserve"> PAGEREF _Toc161141342 \h </w:instrText>
        </w:r>
        <w:r>
          <w:rPr>
            <w:webHidden/>
          </w:rPr>
        </w:r>
        <w:r>
          <w:rPr>
            <w:webHidden/>
          </w:rPr>
          <w:fldChar w:fldCharType="separate"/>
        </w:r>
        <w:r>
          <w:rPr>
            <w:webHidden/>
          </w:rPr>
          <w:t>184</w:t>
        </w:r>
        <w:r>
          <w:rPr>
            <w:webHidden/>
          </w:rPr>
          <w:fldChar w:fldCharType="end"/>
        </w:r>
      </w:hyperlink>
    </w:p>
    <w:p w14:paraId="5852FC19" w14:textId="609C09A0" w:rsidR="0024171D" w:rsidRDefault="0024171D">
      <w:pPr>
        <w:pStyle w:val="Sumrio2"/>
        <w:rPr>
          <w:rFonts w:eastAsiaTheme="minorEastAsia" w:cstheme="minorBidi"/>
          <w:b w:val="0"/>
          <w:bCs w:val="0"/>
          <w:kern w:val="2"/>
          <w14:ligatures w14:val="standardContextual"/>
        </w:rPr>
      </w:pPr>
      <w:hyperlink w:anchor="_Toc161141343" w:history="1">
        <w:r w:rsidRPr="00F06B07">
          <w:rPr>
            <w:rStyle w:val="Hyperlink"/>
          </w:rPr>
          <w:t>CAPÍTULO X – TRANSFORMAÇÃO, INCORPORAÇÃO, FUSÃO E CISÃO</w:t>
        </w:r>
        <w:r>
          <w:rPr>
            <w:webHidden/>
          </w:rPr>
          <w:tab/>
        </w:r>
        <w:r>
          <w:rPr>
            <w:webHidden/>
          </w:rPr>
          <w:fldChar w:fldCharType="begin"/>
        </w:r>
        <w:r>
          <w:rPr>
            <w:webHidden/>
          </w:rPr>
          <w:instrText xml:space="preserve"> PAGEREF _Toc161141343 \h </w:instrText>
        </w:r>
        <w:r>
          <w:rPr>
            <w:webHidden/>
          </w:rPr>
        </w:r>
        <w:r>
          <w:rPr>
            <w:webHidden/>
          </w:rPr>
          <w:fldChar w:fldCharType="separate"/>
        </w:r>
        <w:r>
          <w:rPr>
            <w:webHidden/>
          </w:rPr>
          <w:t>184</w:t>
        </w:r>
        <w:r>
          <w:rPr>
            <w:webHidden/>
          </w:rPr>
          <w:fldChar w:fldCharType="end"/>
        </w:r>
      </w:hyperlink>
    </w:p>
    <w:p w14:paraId="029E3E7A" w14:textId="5C39705A" w:rsidR="0024171D" w:rsidRDefault="0024171D">
      <w:pPr>
        <w:pStyle w:val="Sumrio2"/>
        <w:rPr>
          <w:rFonts w:eastAsiaTheme="minorEastAsia" w:cstheme="minorBidi"/>
          <w:b w:val="0"/>
          <w:bCs w:val="0"/>
          <w:kern w:val="2"/>
          <w14:ligatures w14:val="standardContextual"/>
        </w:rPr>
      </w:pPr>
      <w:hyperlink w:anchor="_Toc161141344" w:history="1">
        <w:r w:rsidRPr="00F06B07">
          <w:rPr>
            <w:rStyle w:val="Hyperlink"/>
          </w:rPr>
          <w:t>CAPÍTULO XI – CLASSES RESTRITAS</w:t>
        </w:r>
        <w:r>
          <w:rPr>
            <w:webHidden/>
          </w:rPr>
          <w:tab/>
        </w:r>
        <w:r>
          <w:rPr>
            <w:webHidden/>
          </w:rPr>
          <w:fldChar w:fldCharType="begin"/>
        </w:r>
        <w:r>
          <w:rPr>
            <w:webHidden/>
          </w:rPr>
          <w:instrText xml:space="preserve"> PAGEREF _Toc161141344 \h </w:instrText>
        </w:r>
        <w:r>
          <w:rPr>
            <w:webHidden/>
          </w:rPr>
        </w:r>
        <w:r>
          <w:rPr>
            <w:webHidden/>
          </w:rPr>
          <w:fldChar w:fldCharType="separate"/>
        </w:r>
        <w:r>
          <w:rPr>
            <w:webHidden/>
          </w:rPr>
          <w:t>185</w:t>
        </w:r>
        <w:r>
          <w:rPr>
            <w:webHidden/>
          </w:rPr>
          <w:fldChar w:fldCharType="end"/>
        </w:r>
      </w:hyperlink>
    </w:p>
    <w:p w14:paraId="0BCF82C6" w14:textId="4C8D2724" w:rsidR="0024171D" w:rsidRDefault="0024171D">
      <w:pPr>
        <w:pStyle w:val="Sumrio2"/>
        <w:rPr>
          <w:rFonts w:eastAsiaTheme="minorEastAsia" w:cstheme="minorBidi"/>
          <w:b w:val="0"/>
          <w:bCs w:val="0"/>
          <w:kern w:val="2"/>
          <w14:ligatures w14:val="standardContextual"/>
        </w:rPr>
      </w:pPr>
      <w:hyperlink w:anchor="_Toc161141345" w:history="1">
        <w:r w:rsidRPr="00F06B07">
          <w:rPr>
            <w:rStyle w:val="Hyperlink"/>
          </w:rPr>
          <w:t>CAPÍTULO XII – PENALIDADES</w:t>
        </w:r>
        <w:r>
          <w:rPr>
            <w:webHidden/>
          </w:rPr>
          <w:tab/>
        </w:r>
        <w:r>
          <w:rPr>
            <w:webHidden/>
          </w:rPr>
          <w:fldChar w:fldCharType="begin"/>
        </w:r>
        <w:r>
          <w:rPr>
            <w:webHidden/>
          </w:rPr>
          <w:instrText xml:space="preserve"> PAGEREF _Toc161141345 \h </w:instrText>
        </w:r>
        <w:r>
          <w:rPr>
            <w:webHidden/>
          </w:rPr>
        </w:r>
        <w:r>
          <w:rPr>
            <w:webHidden/>
          </w:rPr>
          <w:fldChar w:fldCharType="separate"/>
        </w:r>
        <w:r>
          <w:rPr>
            <w:webHidden/>
          </w:rPr>
          <w:t>186</w:t>
        </w:r>
        <w:r>
          <w:rPr>
            <w:webHidden/>
          </w:rPr>
          <w:fldChar w:fldCharType="end"/>
        </w:r>
      </w:hyperlink>
    </w:p>
    <w:p w14:paraId="32D89F1A" w14:textId="27A362C7" w:rsidR="0024171D" w:rsidRDefault="0024171D">
      <w:pPr>
        <w:pStyle w:val="Sumrio1"/>
        <w:rPr>
          <w:rFonts w:eastAsiaTheme="minorEastAsia" w:cstheme="minorBidi"/>
          <w:kern w:val="2"/>
          <w14:ligatures w14:val="standardContextual"/>
        </w:rPr>
      </w:pPr>
      <w:hyperlink w:anchor="_Toc161141346" w:history="1">
        <w:r w:rsidRPr="00F06B07">
          <w:rPr>
            <w:rStyle w:val="Hyperlink"/>
          </w:rPr>
          <w:t>ANEXO NORMATIVO IV – FUNDOS DE INVESTIMENTO EM PARTICIPAÇÕES</w:t>
        </w:r>
        <w:r>
          <w:rPr>
            <w:webHidden/>
          </w:rPr>
          <w:tab/>
        </w:r>
        <w:r>
          <w:rPr>
            <w:webHidden/>
          </w:rPr>
          <w:fldChar w:fldCharType="begin"/>
        </w:r>
        <w:r>
          <w:rPr>
            <w:webHidden/>
          </w:rPr>
          <w:instrText xml:space="preserve"> PAGEREF _Toc161141346 \h </w:instrText>
        </w:r>
        <w:r>
          <w:rPr>
            <w:webHidden/>
          </w:rPr>
        </w:r>
        <w:r>
          <w:rPr>
            <w:webHidden/>
          </w:rPr>
          <w:fldChar w:fldCharType="separate"/>
        </w:r>
        <w:r>
          <w:rPr>
            <w:webHidden/>
          </w:rPr>
          <w:t>187</w:t>
        </w:r>
        <w:r>
          <w:rPr>
            <w:webHidden/>
          </w:rPr>
          <w:fldChar w:fldCharType="end"/>
        </w:r>
      </w:hyperlink>
    </w:p>
    <w:p w14:paraId="3B5C899E" w14:textId="6A457D76" w:rsidR="0024171D" w:rsidRDefault="0024171D">
      <w:pPr>
        <w:pStyle w:val="Sumrio2"/>
        <w:rPr>
          <w:rFonts w:eastAsiaTheme="minorEastAsia" w:cstheme="minorBidi"/>
          <w:b w:val="0"/>
          <w:bCs w:val="0"/>
          <w:kern w:val="2"/>
          <w14:ligatures w14:val="standardContextual"/>
        </w:rPr>
      </w:pPr>
      <w:hyperlink w:anchor="_Toc161141347" w:history="1">
        <w:r w:rsidRPr="00F06B07">
          <w:rPr>
            <w:rStyle w:val="Hyperlink"/>
          </w:rPr>
          <w:t>CAPÍTULO I – ÂMBITO E FINALIDADE</w:t>
        </w:r>
        <w:r>
          <w:rPr>
            <w:webHidden/>
          </w:rPr>
          <w:tab/>
        </w:r>
        <w:r>
          <w:rPr>
            <w:webHidden/>
          </w:rPr>
          <w:fldChar w:fldCharType="begin"/>
        </w:r>
        <w:r>
          <w:rPr>
            <w:webHidden/>
          </w:rPr>
          <w:instrText xml:space="preserve"> PAGEREF _Toc161141347 \h </w:instrText>
        </w:r>
        <w:r>
          <w:rPr>
            <w:webHidden/>
          </w:rPr>
        </w:r>
        <w:r>
          <w:rPr>
            <w:webHidden/>
          </w:rPr>
          <w:fldChar w:fldCharType="separate"/>
        </w:r>
        <w:r>
          <w:rPr>
            <w:webHidden/>
          </w:rPr>
          <w:t>187</w:t>
        </w:r>
        <w:r>
          <w:rPr>
            <w:webHidden/>
          </w:rPr>
          <w:fldChar w:fldCharType="end"/>
        </w:r>
      </w:hyperlink>
    </w:p>
    <w:p w14:paraId="6818538A" w14:textId="5821D57C" w:rsidR="0024171D" w:rsidRDefault="0024171D">
      <w:pPr>
        <w:pStyle w:val="Sumrio2"/>
        <w:rPr>
          <w:rFonts w:eastAsiaTheme="minorEastAsia" w:cstheme="minorBidi"/>
          <w:b w:val="0"/>
          <w:bCs w:val="0"/>
          <w:kern w:val="2"/>
          <w14:ligatures w14:val="standardContextual"/>
        </w:rPr>
      </w:pPr>
      <w:hyperlink w:anchor="_Toc161141348" w:history="1">
        <w:r w:rsidRPr="00F06B07">
          <w:rPr>
            <w:rStyle w:val="Hyperlink"/>
          </w:rPr>
          <w:t>CAPÍTULO II – CARACTERÍSTICAS E CONSTITUIÇÃO</w:t>
        </w:r>
        <w:r>
          <w:rPr>
            <w:webHidden/>
          </w:rPr>
          <w:tab/>
        </w:r>
        <w:r>
          <w:rPr>
            <w:webHidden/>
          </w:rPr>
          <w:fldChar w:fldCharType="begin"/>
        </w:r>
        <w:r>
          <w:rPr>
            <w:webHidden/>
          </w:rPr>
          <w:instrText xml:space="preserve"> PAGEREF _Toc161141348 \h </w:instrText>
        </w:r>
        <w:r>
          <w:rPr>
            <w:webHidden/>
          </w:rPr>
        </w:r>
        <w:r>
          <w:rPr>
            <w:webHidden/>
          </w:rPr>
          <w:fldChar w:fldCharType="separate"/>
        </w:r>
        <w:r>
          <w:rPr>
            <w:webHidden/>
          </w:rPr>
          <w:t>187</w:t>
        </w:r>
        <w:r>
          <w:rPr>
            <w:webHidden/>
          </w:rPr>
          <w:fldChar w:fldCharType="end"/>
        </w:r>
      </w:hyperlink>
    </w:p>
    <w:p w14:paraId="0849D544" w14:textId="10DAC2C8" w:rsidR="0024171D" w:rsidRDefault="0024171D">
      <w:pPr>
        <w:pStyle w:val="Sumrio2"/>
        <w:rPr>
          <w:rFonts w:eastAsiaTheme="minorEastAsia" w:cstheme="minorBidi"/>
          <w:b w:val="0"/>
          <w:bCs w:val="0"/>
          <w:kern w:val="2"/>
          <w14:ligatures w14:val="standardContextual"/>
        </w:rPr>
      </w:pPr>
      <w:hyperlink w:anchor="_Toc161141349" w:history="1">
        <w:r w:rsidRPr="00F06B07">
          <w:rPr>
            <w:rStyle w:val="Hyperlink"/>
          </w:rPr>
          <w:t>CAPÍTULO III – REGULAMENTO</w:t>
        </w:r>
        <w:r>
          <w:rPr>
            <w:webHidden/>
          </w:rPr>
          <w:tab/>
        </w:r>
        <w:r>
          <w:rPr>
            <w:webHidden/>
          </w:rPr>
          <w:fldChar w:fldCharType="begin"/>
        </w:r>
        <w:r>
          <w:rPr>
            <w:webHidden/>
          </w:rPr>
          <w:instrText xml:space="preserve"> PAGEREF _Toc161141349 \h </w:instrText>
        </w:r>
        <w:r>
          <w:rPr>
            <w:webHidden/>
          </w:rPr>
        </w:r>
        <w:r>
          <w:rPr>
            <w:webHidden/>
          </w:rPr>
          <w:fldChar w:fldCharType="separate"/>
        </w:r>
        <w:r>
          <w:rPr>
            <w:webHidden/>
          </w:rPr>
          <w:t>190</w:t>
        </w:r>
        <w:r>
          <w:rPr>
            <w:webHidden/>
          </w:rPr>
          <w:fldChar w:fldCharType="end"/>
        </w:r>
      </w:hyperlink>
    </w:p>
    <w:p w14:paraId="1387360C" w14:textId="0E04AA32" w:rsidR="0024171D" w:rsidRDefault="0024171D">
      <w:pPr>
        <w:pStyle w:val="Sumrio2"/>
        <w:rPr>
          <w:rFonts w:eastAsiaTheme="minorEastAsia" w:cstheme="minorBidi"/>
          <w:b w:val="0"/>
          <w:bCs w:val="0"/>
          <w:kern w:val="2"/>
          <w14:ligatures w14:val="standardContextual"/>
        </w:rPr>
      </w:pPr>
      <w:hyperlink w:anchor="_Toc161141350" w:history="1">
        <w:r w:rsidRPr="00F06B07">
          <w:rPr>
            <w:rStyle w:val="Hyperlink"/>
          </w:rPr>
          <w:t>CAPÍTULO IV – CARTEIRA</w:t>
        </w:r>
        <w:r>
          <w:rPr>
            <w:webHidden/>
          </w:rPr>
          <w:tab/>
        </w:r>
        <w:r>
          <w:rPr>
            <w:webHidden/>
          </w:rPr>
          <w:fldChar w:fldCharType="begin"/>
        </w:r>
        <w:r>
          <w:rPr>
            <w:webHidden/>
          </w:rPr>
          <w:instrText xml:space="preserve"> PAGEREF _Toc161141350 \h </w:instrText>
        </w:r>
        <w:r>
          <w:rPr>
            <w:webHidden/>
          </w:rPr>
        </w:r>
        <w:r>
          <w:rPr>
            <w:webHidden/>
          </w:rPr>
          <w:fldChar w:fldCharType="separate"/>
        </w:r>
        <w:r>
          <w:rPr>
            <w:webHidden/>
          </w:rPr>
          <w:t>192</w:t>
        </w:r>
        <w:r>
          <w:rPr>
            <w:webHidden/>
          </w:rPr>
          <w:fldChar w:fldCharType="end"/>
        </w:r>
      </w:hyperlink>
    </w:p>
    <w:p w14:paraId="45312182" w14:textId="5EC8F4BA" w:rsidR="0024171D" w:rsidRDefault="0024171D">
      <w:pPr>
        <w:pStyle w:val="Sumrio2"/>
        <w:rPr>
          <w:rFonts w:eastAsiaTheme="minorEastAsia" w:cstheme="minorBidi"/>
          <w:b w:val="0"/>
          <w:bCs w:val="0"/>
          <w:kern w:val="2"/>
          <w14:ligatures w14:val="standardContextual"/>
        </w:rPr>
      </w:pPr>
      <w:hyperlink w:anchor="_Toc161141351" w:history="1">
        <w:r w:rsidRPr="00F06B07">
          <w:rPr>
            <w:rStyle w:val="Hyperlink"/>
          </w:rPr>
          <w:t>CAPÍTULO V – CLASSIFICAÇÃO</w:t>
        </w:r>
        <w:r>
          <w:rPr>
            <w:webHidden/>
          </w:rPr>
          <w:tab/>
        </w:r>
        <w:r>
          <w:rPr>
            <w:webHidden/>
          </w:rPr>
          <w:fldChar w:fldCharType="begin"/>
        </w:r>
        <w:r>
          <w:rPr>
            <w:webHidden/>
          </w:rPr>
          <w:instrText xml:space="preserve"> PAGEREF _Toc161141351 \h </w:instrText>
        </w:r>
        <w:r>
          <w:rPr>
            <w:webHidden/>
          </w:rPr>
        </w:r>
        <w:r>
          <w:rPr>
            <w:webHidden/>
          </w:rPr>
          <w:fldChar w:fldCharType="separate"/>
        </w:r>
        <w:r>
          <w:rPr>
            <w:webHidden/>
          </w:rPr>
          <w:t>195</w:t>
        </w:r>
        <w:r>
          <w:rPr>
            <w:webHidden/>
          </w:rPr>
          <w:fldChar w:fldCharType="end"/>
        </w:r>
      </w:hyperlink>
    </w:p>
    <w:p w14:paraId="08DF4615" w14:textId="263AE4A9" w:rsidR="0024171D" w:rsidRDefault="0024171D">
      <w:pPr>
        <w:pStyle w:val="Sumrio3"/>
        <w:rPr>
          <w:rFonts w:asciiTheme="minorHAnsi" w:eastAsiaTheme="minorEastAsia" w:hAnsiTheme="minorHAnsi" w:cstheme="minorBidi"/>
          <w:noProof/>
          <w:kern w:val="2"/>
          <w14:ligatures w14:val="standardContextual"/>
        </w:rPr>
      </w:pPr>
      <w:hyperlink w:anchor="_Toc161141352" w:history="1">
        <w:r w:rsidRPr="00F06B07">
          <w:rPr>
            <w:rStyle w:val="Hyperlink"/>
            <w:noProof/>
          </w:rPr>
          <w:t>Seção I – Disposições Gerais</w:t>
        </w:r>
        <w:r>
          <w:rPr>
            <w:noProof/>
            <w:webHidden/>
          </w:rPr>
          <w:tab/>
        </w:r>
        <w:r>
          <w:rPr>
            <w:noProof/>
            <w:webHidden/>
          </w:rPr>
          <w:fldChar w:fldCharType="begin"/>
        </w:r>
        <w:r>
          <w:rPr>
            <w:noProof/>
            <w:webHidden/>
          </w:rPr>
          <w:instrText xml:space="preserve"> PAGEREF _Toc161141352 \h </w:instrText>
        </w:r>
        <w:r>
          <w:rPr>
            <w:noProof/>
            <w:webHidden/>
          </w:rPr>
        </w:r>
        <w:r>
          <w:rPr>
            <w:noProof/>
            <w:webHidden/>
          </w:rPr>
          <w:fldChar w:fldCharType="separate"/>
        </w:r>
        <w:r>
          <w:rPr>
            <w:noProof/>
            <w:webHidden/>
          </w:rPr>
          <w:t>195</w:t>
        </w:r>
        <w:r>
          <w:rPr>
            <w:noProof/>
            <w:webHidden/>
          </w:rPr>
          <w:fldChar w:fldCharType="end"/>
        </w:r>
      </w:hyperlink>
    </w:p>
    <w:p w14:paraId="78903C89" w14:textId="16DC1CA7" w:rsidR="0024171D" w:rsidRDefault="0024171D">
      <w:pPr>
        <w:pStyle w:val="Sumrio3"/>
        <w:rPr>
          <w:rFonts w:asciiTheme="minorHAnsi" w:eastAsiaTheme="minorEastAsia" w:hAnsiTheme="minorHAnsi" w:cstheme="minorBidi"/>
          <w:noProof/>
          <w:kern w:val="2"/>
          <w14:ligatures w14:val="standardContextual"/>
        </w:rPr>
      </w:pPr>
      <w:hyperlink w:anchor="_Toc161141353" w:history="1">
        <w:r w:rsidRPr="00F06B07">
          <w:rPr>
            <w:rStyle w:val="Hyperlink"/>
            <w:noProof/>
          </w:rPr>
          <w:t>Seção II – Capital Semente</w:t>
        </w:r>
        <w:r>
          <w:rPr>
            <w:noProof/>
            <w:webHidden/>
          </w:rPr>
          <w:tab/>
        </w:r>
        <w:r>
          <w:rPr>
            <w:noProof/>
            <w:webHidden/>
          </w:rPr>
          <w:fldChar w:fldCharType="begin"/>
        </w:r>
        <w:r>
          <w:rPr>
            <w:noProof/>
            <w:webHidden/>
          </w:rPr>
          <w:instrText xml:space="preserve"> PAGEREF _Toc161141353 \h </w:instrText>
        </w:r>
        <w:r>
          <w:rPr>
            <w:noProof/>
            <w:webHidden/>
          </w:rPr>
        </w:r>
        <w:r>
          <w:rPr>
            <w:noProof/>
            <w:webHidden/>
          </w:rPr>
          <w:fldChar w:fldCharType="separate"/>
        </w:r>
        <w:r>
          <w:rPr>
            <w:noProof/>
            <w:webHidden/>
          </w:rPr>
          <w:t>195</w:t>
        </w:r>
        <w:r>
          <w:rPr>
            <w:noProof/>
            <w:webHidden/>
          </w:rPr>
          <w:fldChar w:fldCharType="end"/>
        </w:r>
      </w:hyperlink>
    </w:p>
    <w:p w14:paraId="506F5AB7" w14:textId="32C57E3F" w:rsidR="0024171D" w:rsidRDefault="0024171D">
      <w:pPr>
        <w:pStyle w:val="Sumrio3"/>
        <w:rPr>
          <w:rFonts w:asciiTheme="minorHAnsi" w:eastAsiaTheme="minorEastAsia" w:hAnsiTheme="minorHAnsi" w:cstheme="minorBidi"/>
          <w:noProof/>
          <w:kern w:val="2"/>
          <w14:ligatures w14:val="standardContextual"/>
        </w:rPr>
      </w:pPr>
      <w:hyperlink w:anchor="_Toc161141354" w:history="1">
        <w:r w:rsidRPr="00F06B07">
          <w:rPr>
            <w:rStyle w:val="Hyperlink"/>
            <w:noProof/>
          </w:rPr>
          <w:t>Seção III – Empresas Emergentes</w:t>
        </w:r>
        <w:r>
          <w:rPr>
            <w:noProof/>
            <w:webHidden/>
          </w:rPr>
          <w:tab/>
        </w:r>
        <w:r>
          <w:rPr>
            <w:noProof/>
            <w:webHidden/>
          </w:rPr>
          <w:fldChar w:fldCharType="begin"/>
        </w:r>
        <w:r>
          <w:rPr>
            <w:noProof/>
            <w:webHidden/>
          </w:rPr>
          <w:instrText xml:space="preserve"> PAGEREF _Toc161141354 \h </w:instrText>
        </w:r>
        <w:r>
          <w:rPr>
            <w:noProof/>
            <w:webHidden/>
          </w:rPr>
        </w:r>
        <w:r>
          <w:rPr>
            <w:noProof/>
            <w:webHidden/>
          </w:rPr>
          <w:fldChar w:fldCharType="separate"/>
        </w:r>
        <w:r>
          <w:rPr>
            <w:noProof/>
            <w:webHidden/>
          </w:rPr>
          <w:t>196</w:t>
        </w:r>
        <w:r>
          <w:rPr>
            <w:noProof/>
            <w:webHidden/>
          </w:rPr>
          <w:fldChar w:fldCharType="end"/>
        </w:r>
      </w:hyperlink>
    </w:p>
    <w:p w14:paraId="5AF7FD90" w14:textId="2C1F6053" w:rsidR="0024171D" w:rsidRDefault="0024171D">
      <w:pPr>
        <w:pStyle w:val="Sumrio3"/>
        <w:rPr>
          <w:rFonts w:asciiTheme="minorHAnsi" w:eastAsiaTheme="minorEastAsia" w:hAnsiTheme="minorHAnsi" w:cstheme="minorBidi"/>
          <w:noProof/>
          <w:kern w:val="2"/>
          <w14:ligatures w14:val="standardContextual"/>
        </w:rPr>
      </w:pPr>
      <w:hyperlink w:anchor="_Toc161141355" w:history="1">
        <w:r w:rsidRPr="00F06B07">
          <w:rPr>
            <w:rStyle w:val="Hyperlink"/>
            <w:noProof/>
          </w:rPr>
          <w:t>Seção IV – Infraestrutura e Produção Econômica Intensiva em Pesquisa, Desenvolvimento e Inovação (PD&amp;I)</w:t>
        </w:r>
        <w:r>
          <w:rPr>
            <w:noProof/>
            <w:webHidden/>
          </w:rPr>
          <w:tab/>
        </w:r>
        <w:r>
          <w:rPr>
            <w:noProof/>
            <w:webHidden/>
          </w:rPr>
          <w:fldChar w:fldCharType="begin"/>
        </w:r>
        <w:r>
          <w:rPr>
            <w:noProof/>
            <w:webHidden/>
          </w:rPr>
          <w:instrText xml:space="preserve"> PAGEREF _Toc161141355 \h </w:instrText>
        </w:r>
        <w:r>
          <w:rPr>
            <w:noProof/>
            <w:webHidden/>
          </w:rPr>
        </w:r>
        <w:r>
          <w:rPr>
            <w:noProof/>
            <w:webHidden/>
          </w:rPr>
          <w:fldChar w:fldCharType="separate"/>
        </w:r>
        <w:r>
          <w:rPr>
            <w:noProof/>
            <w:webHidden/>
          </w:rPr>
          <w:t>197</w:t>
        </w:r>
        <w:r>
          <w:rPr>
            <w:noProof/>
            <w:webHidden/>
          </w:rPr>
          <w:fldChar w:fldCharType="end"/>
        </w:r>
      </w:hyperlink>
    </w:p>
    <w:p w14:paraId="76C76A68" w14:textId="05026D2A" w:rsidR="0024171D" w:rsidRDefault="0024171D">
      <w:pPr>
        <w:pStyle w:val="Sumrio3"/>
        <w:rPr>
          <w:rFonts w:asciiTheme="minorHAnsi" w:eastAsiaTheme="minorEastAsia" w:hAnsiTheme="minorHAnsi" w:cstheme="minorBidi"/>
          <w:noProof/>
          <w:kern w:val="2"/>
          <w14:ligatures w14:val="standardContextual"/>
        </w:rPr>
      </w:pPr>
      <w:hyperlink w:anchor="_Toc161141356" w:history="1">
        <w:r w:rsidRPr="00F06B07">
          <w:rPr>
            <w:rStyle w:val="Hyperlink"/>
            <w:noProof/>
          </w:rPr>
          <w:t>Seção V – Multiestratégia</w:t>
        </w:r>
        <w:r>
          <w:rPr>
            <w:noProof/>
            <w:webHidden/>
          </w:rPr>
          <w:tab/>
        </w:r>
        <w:r>
          <w:rPr>
            <w:noProof/>
            <w:webHidden/>
          </w:rPr>
          <w:fldChar w:fldCharType="begin"/>
        </w:r>
        <w:r>
          <w:rPr>
            <w:noProof/>
            <w:webHidden/>
          </w:rPr>
          <w:instrText xml:space="preserve"> PAGEREF _Toc161141356 \h </w:instrText>
        </w:r>
        <w:r>
          <w:rPr>
            <w:noProof/>
            <w:webHidden/>
          </w:rPr>
        </w:r>
        <w:r>
          <w:rPr>
            <w:noProof/>
            <w:webHidden/>
          </w:rPr>
          <w:fldChar w:fldCharType="separate"/>
        </w:r>
        <w:r>
          <w:rPr>
            <w:noProof/>
            <w:webHidden/>
          </w:rPr>
          <w:t>198</w:t>
        </w:r>
        <w:r>
          <w:rPr>
            <w:noProof/>
            <w:webHidden/>
          </w:rPr>
          <w:fldChar w:fldCharType="end"/>
        </w:r>
      </w:hyperlink>
    </w:p>
    <w:p w14:paraId="5B4A039A" w14:textId="05A92FD2" w:rsidR="0024171D" w:rsidRDefault="0024171D">
      <w:pPr>
        <w:pStyle w:val="Sumrio2"/>
        <w:rPr>
          <w:rFonts w:eastAsiaTheme="minorEastAsia" w:cstheme="minorBidi"/>
          <w:b w:val="0"/>
          <w:bCs w:val="0"/>
          <w:kern w:val="2"/>
          <w14:ligatures w14:val="standardContextual"/>
        </w:rPr>
      </w:pPr>
      <w:hyperlink w:anchor="_Toc161141357" w:history="1">
        <w:r w:rsidRPr="00F06B07">
          <w:rPr>
            <w:rStyle w:val="Hyperlink"/>
          </w:rPr>
          <w:t>CAPÍTULO VI – COTAS</w:t>
        </w:r>
        <w:r>
          <w:rPr>
            <w:webHidden/>
          </w:rPr>
          <w:tab/>
        </w:r>
        <w:r>
          <w:rPr>
            <w:webHidden/>
          </w:rPr>
          <w:fldChar w:fldCharType="begin"/>
        </w:r>
        <w:r>
          <w:rPr>
            <w:webHidden/>
          </w:rPr>
          <w:instrText xml:space="preserve"> PAGEREF _Toc161141357 \h </w:instrText>
        </w:r>
        <w:r>
          <w:rPr>
            <w:webHidden/>
          </w:rPr>
        </w:r>
        <w:r>
          <w:rPr>
            <w:webHidden/>
          </w:rPr>
          <w:fldChar w:fldCharType="separate"/>
        </w:r>
        <w:r>
          <w:rPr>
            <w:webHidden/>
          </w:rPr>
          <w:t>199</w:t>
        </w:r>
        <w:r>
          <w:rPr>
            <w:webHidden/>
          </w:rPr>
          <w:fldChar w:fldCharType="end"/>
        </w:r>
      </w:hyperlink>
    </w:p>
    <w:p w14:paraId="41791378" w14:textId="3187295C" w:rsidR="0024171D" w:rsidRDefault="0024171D">
      <w:pPr>
        <w:pStyle w:val="Sumrio2"/>
        <w:rPr>
          <w:rFonts w:eastAsiaTheme="minorEastAsia" w:cstheme="minorBidi"/>
          <w:b w:val="0"/>
          <w:bCs w:val="0"/>
          <w:kern w:val="2"/>
          <w14:ligatures w14:val="standardContextual"/>
        </w:rPr>
      </w:pPr>
      <w:hyperlink w:anchor="_Toc161141358" w:history="1">
        <w:r w:rsidRPr="00F06B07">
          <w:rPr>
            <w:rStyle w:val="Hyperlink"/>
          </w:rPr>
          <w:t>CAPÍTULO VII – ASSEMBLEIA DE COTISTAS</w:t>
        </w:r>
        <w:r>
          <w:rPr>
            <w:webHidden/>
          </w:rPr>
          <w:tab/>
        </w:r>
        <w:r>
          <w:rPr>
            <w:webHidden/>
          </w:rPr>
          <w:fldChar w:fldCharType="begin"/>
        </w:r>
        <w:r>
          <w:rPr>
            <w:webHidden/>
          </w:rPr>
          <w:instrText xml:space="preserve"> PAGEREF _Toc161141358 \h </w:instrText>
        </w:r>
        <w:r>
          <w:rPr>
            <w:webHidden/>
          </w:rPr>
        </w:r>
        <w:r>
          <w:rPr>
            <w:webHidden/>
          </w:rPr>
          <w:fldChar w:fldCharType="separate"/>
        </w:r>
        <w:r>
          <w:rPr>
            <w:webHidden/>
          </w:rPr>
          <w:t>200</w:t>
        </w:r>
        <w:r>
          <w:rPr>
            <w:webHidden/>
          </w:rPr>
          <w:fldChar w:fldCharType="end"/>
        </w:r>
      </w:hyperlink>
    </w:p>
    <w:p w14:paraId="5CECCB58" w14:textId="74D17046" w:rsidR="0024171D" w:rsidRDefault="0024171D">
      <w:pPr>
        <w:pStyle w:val="Sumrio3"/>
        <w:rPr>
          <w:rFonts w:asciiTheme="minorHAnsi" w:eastAsiaTheme="minorEastAsia" w:hAnsiTheme="minorHAnsi" w:cstheme="minorBidi"/>
          <w:noProof/>
          <w:kern w:val="2"/>
          <w14:ligatures w14:val="standardContextual"/>
        </w:rPr>
      </w:pPr>
      <w:hyperlink w:anchor="_Toc161141359" w:history="1">
        <w:r w:rsidRPr="00F06B07">
          <w:rPr>
            <w:rStyle w:val="Hyperlink"/>
            <w:noProof/>
          </w:rPr>
          <w:t>Seção I – Competência</w:t>
        </w:r>
        <w:r>
          <w:rPr>
            <w:noProof/>
            <w:webHidden/>
          </w:rPr>
          <w:tab/>
        </w:r>
        <w:r>
          <w:rPr>
            <w:noProof/>
            <w:webHidden/>
          </w:rPr>
          <w:fldChar w:fldCharType="begin"/>
        </w:r>
        <w:r>
          <w:rPr>
            <w:noProof/>
            <w:webHidden/>
          </w:rPr>
          <w:instrText xml:space="preserve"> PAGEREF _Toc161141359 \h </w:instrText>
        </w:r>
        <w:r>
          <w:rPr>
            <w:noProof/>
            <w:webHidden/>
          </w:rPr>
        </w:r>
        <w:r>
          <w:rPr>
            <w:noProof/>
            <w:webHidden/>
          </w:rPr>
          <w:fldChar w:fldCharType="separate"/>
        </w:r>
        <w:r>
          <w:rPr>
            <w:noProof/>
            <w:webHidden/>
          </w:rPr>
          <w:t>200</w:t>
        </w:r>
        <w:r>
          <w:rPr>
            <w:noProof/>
            <w:webHidden/>
          </w:rPr>
          <w:fldChar w:fldCharType="end"/>
        </w:r>
      </w:hyperlink>
    </w:p>
    <w:p w14:paraId="0341C644" w14:textId="02902D17" w:rsidR="0024171D" w:rsidRDefault="0024171D">
      <w:pPr>
        <w:pStyle w:val="Sumrio3"/>
        <w:rPr>
          <w:rFonts w:asciiTheme="minorHAnsi" w:eastAsiaTheme="minorEastAsia" w:hAnsiTheme="minorHAnsi" w:cstheme="minorBidi"/>
          <w:noProof/>
          <w:kern w:val="2"/>
          <w14:ligatures w14:val="standardContextual"/>
        </w:rPr>
      </w:pPr>
      <w:hyperlink w:anchor="_Toc161141360" w:history="1">
        <w:r w:rsidRPr="00F06B07">
          <w:rPr>
            <w:rStyle w:val="Hyperlink"/>
            <w:noProof/>
          </w:rPr>
          <w:t>Seção II – Deliberação</w:t>
        </w:r>
        <w:r>
          <w:rPr>
            <w:noProof/>
            <w:webHidden/>
          </w:rPr>
          <w:tab/>
        </w:r>
        <w:r>
          <w:rPr>
            <w:noProof/>
            <w:webHidden/>
          </w:rPr>
          <w:fldChar w:fldCharType="begin"/>
        </w:r>
        <w:r>
          <w:rPr>
            <w:noProof/>
            <w:webHidden/>
          </w:rPr>
          <w:instrText xml:space="preserve"> PAGEREF _Toc161141360 \h </w:instrText>
        </w:r>
        <w:r>
          <w:rPr>
            <w:noProof/>
            <w:webHidden/>
          </w:rPr>
        </w:r>
        <w:r>
          <w:rPr>
            <w:noProof/>
            <w:webHidden/>
          </w:rPr>
          <w:fldChar w:fldCharType="separate"/>
        </w:r>
        <w:r>
          <w:rPr>
            <w:noProof/>
            <w:webHidden/>
          </w:rPr>
          <w:t>201</w:t>
        </w:r>
        <w:r>
          <w:rPr>
            <w:noProof/>
            <w:webHidden/>
          </w:rPr>
          <w:fldChar w:fldCharType="end"/>
        </w:r>
      </w:hyperlink>
    </w:p>
    <w:p w14:paraId="0D5FC346" w14:textId="2117573B" w:rsidR="0024171D" w:rsidRDefault="0024171D">
      <w:pPr>
        <w:pStyle w:val="Sumrio2"/>
        <w:rPr>
          <w:rFonts w:eastAsiaTheme="minorEastAsia" w:cstheme="minorBidi"/>
          <w:b w:val="0"/>
          <w:bCs w:val="0"/>
          <w:kern w:val="2"/>
          <w14:ligatures w14:val="standardContextual"/>
        </w:rPr>
      </w:pPr>
      <w:hyperlink w:anchor="_Toc161141361" w:history="1">
        <w:r w:rsidRPr="00F06B07">
          <w:rPr>
            <w:rStyle w:val="Hyperlink"/>
          </w:rPr>
          <w:t>CAPÍTULO VIII – PRESTAÇÃO DE SERVIÇOS</w:t>
        </w:r>
        <w:r>
          <w:rPr>
            <w:webHidden/>
          </w:rPr>
          <w:tab/>
        </w:r>
        <w:r>
          <w:rPr>
            <w:webHidden/>
          </w:rPr>
          <w:fldChar w:fldCharType="begin"/>
        </w:r>
        <w:r>
          <w:rPr>
            <w:webHidden/>
          </w:rPr>
          <w:instrText xml:space="preserve"> PAGEREF _Toc161141361 \h </w:instrText>
        </w:r>
        <w:r>
          <w:rPr>
            <w:webHidden/>
          </w:rPr>
        </w:r>
        <w:r>
          <w:rPr>
            <w:webHidden/>
          </w:rPr>
          <w:fldChar w:fldCharType="separate"/>
        </w:r>
        <w:r>
          <w:rPr>
            <w:webHidden/>
          </w:rPr>
          <w:t>202</w:t>
        </w:r>
        <w:r>
          <w:rPr>
            <w:webHidden/>
          </w:rPr>
          <w:fldChar w:fldCharType="end"/>
        </w:r>
      </w:hyperlink>
    </w:p>
    <w:p w14:paraId="2DD2FA1F" w14:textId="34352D00" w:rsidR="0024171D" w:rsidRDefault="0024171D">
      <w:pPr>
        <w:pStyle w:val="Sumrio3"/>
        <w:rPr>
          <w:rFonts w:asciiTheme="minorHAnsi" w:eastAsiaTheme="minorEastAsia" w:hAnsiTheme="minorHAnsi" w:cstheme="minorBidi"/>
          <w:noProof/>
          <w:kern w:val="2"/>
          <w14:ligatures w14:val="standardContextual"/>
        </w:rPr>
      </w:pPr>
      <w:hyperlink w:anchor="_Toc161141362" w:history="1">
        <w:r w:rsidRPr="00F06B07">
          <w:rPr>
            <w:rStyle w:val="Hyperlink"/>
            <w:noProof/>
          </w:rPr>
          <w:t>Seção I – Obrigações</w:t>
        </w:r>
        <w:r>
          <w:rPr>
            <w:noProof/>
            <w:webHidden/>
          </w:rPr>
          <w:tab/>
        </w:r>
        <w:r>
          <w:rPr>
            <w:noProof/>
            <w:webHidden/>
          </w:rPr>
          <w:fldChar w:fldCharType="begin"/>
        </w:r>
        <w:r>
          <w:rPr>
            <w:noProof/>
            <w:webHidden/>
          </w:rPr>
          <w:instrText xml:space="preserve"> PAGEREF _Toc161141362 \h </w:instrText>
        </w:r>
        <w:r>
          <w:rPr>
            <w:noProof/>
            <w:webHidden/>
          </w:rPr>
        </w:r>
        <w:r>
          <w:rPr>
            <w:noProof/>
            <w:webHidden/>
          </w:rPr>
          <w:fldChar w:fldCharType="separate"/>
        </w:r>
        <w:r>
          <w:rPr>
            <w:noProof/>
            <w:webHidden/>
          </w:rPr>
          <w:t>202</w:t>
        </w:r>
        <w:r>
          <w:rPr>
            <w:noProof/>
            <w:webHidden/>
          </w:rPr>
          <w:fldChar w:fldCharType="end"/>
        </w:r>
      </w:hyperlink>
    </w:p>
    <w:p w14:paraId="11D24FC1" w14:textId="2074F1A6" w:rsidR="0024171D" w:rsidRDefault="0024171D">
      <w:pPr>
        <w:pStyle w:val="Sumrio3"/>
        <w:rPr>
          <w:rFonts w:asciiTheme="minorHAnsi" w:eastAsiaTheme="minorEastAsia" w:hAnsiTheme="minorHAnsi" w:cstheme="minorBidi"/>
          <w:noProof/>
          <w:kern w:val="2"/>
          <w14:ligatures w14:val="standardContextual"/>
        </w:rPr>
      </w:pPr>
      <w:hyperlink w:anchor="_Toc161141363" w:history="1">
        <w:r w:rsidRPr="00F06B07">
          <w:rPr>
            <w:rStyle w:val="Hyperlink"/>
            <w:noProof/>
          </w:rPr>
          <w:t>Seção II – Vedações</w:t>
        </w:r>
        <w:r>
          <w:rPr>
            <w:noProof/>
            <w:webHidden/>
          </w:rPr>
          <w:tab/>
        </w:r>
        <w:r>
          <w:rPr>
            <w:noProof/>
            <w:webHidden/>
          </w:rPr>
          <w:fldChar w:fldCharType="begin"/>
        </w:r>
        <w:r>
          <w:rPr>
            <w:noProof/>
            <w:webHidden/>
          </w:rPr>
          <w:instrText xml:space="preserve"> PAGEREF _Toc161141363 \h </w:instrText>
        </w:r>
        <w:r>
          <w:rPr>
            <w:noProof/>
            <w:webHidden/>
          </w:rPr>
        </w:r>
        <w:r>
          <w:rPr>
            <w:noProof/>
            <w:webHidden/>
          </w:rPr>
          <w:fldChar w:fldCharType="separate"/>
        </w:r>
        <w:r>
          <w:rPr>
            <w:noProof/>
            <w:webHidden/>
          </w:rPr>
          <w:t>203</w:t>
        </w:r>
        <w:r>
          <w:rPr>
            <w:noProof/>
            <w:webHidden/>
          </w:rPr>
          <w:fldChar w:fldCharType="end"/>
        </w:r>
      </w:hyperlink>
    </w:p>
    <w:p w14:paraId="4C4A6672" w14:textId="76457E97" w:rsidR="0024171D" w:rsidRDefault="0024171D">
      <w:pPr>
        <w:pStyle w:val="Sumrio2"/>
        <w:rPr>
          <w:rFonts w:eastAsiaTheme="minorEastAsia" w:cstheme="minorBidi"/>
          <w:b w:val="0"/>
          <w:bCs w:val="0"/>
          <w:kern w:val="2"/>
          <w14:ligatures w14:val="standardContextual"/>
        </w:rPr>
      </w:pPr>
      <w:hyperlink w:anchor="_Toc161141364" w:history="1">
        <w:r w:rsidRPr="00F06B07">
          <w:rPr>
            <w:rStyle w:val="Hyperlink"/>
          </w:rPr>
          <w:t>CAPÍTULO IX – ENCARGOS</w:t>
        </w:r>
        <w:r>
          <w:rPr>
            <w:webHidden/>
          </w:rPr>
          <w:tab/>
        </w:r>
        <w:r>
          <w:rPr>
            <w:webHidden/>
          </w:rPr>
          <w:fldChar w:fldCharType="begin"/>
        </w:r>
        <w:r>
          <w:rPr>
            <w:webHidden/>
          </w:rPr>
          <w:instrText xml:space="preserve"> PAGEREF _Toc161141364 \h </w:instrText>
        </w:r>
        <w:r>
          <w:rPr>
            <w:webHidden/>
          </w:rPr>
        </w:r>
        <w:r>
          <w:rPr>
            <w:webHidden/>
          </w:rPr>
          <w:fldChar w:fldCharType="separate"/>
        </w:r>
        <w:r>
          <w:rPr>
            <w:webHidden/>
          </w:rPr>
          <w:t>204</w:t>
        </w:r>
        <w:r>
          <w:rPr>
            <w:webHidden/>
          </w:rPr>
          <w:fldChar w:fldCharType="end"/>
        </w:r>
      </w:hyperlink>
    </w:p>
    <w:p w14:paraId="5D48FA41" w14:textId="4202ECD6" w:rsidR="0024171D" w:rsidRDefault="0024171D">
      <w:pPr>
        <w:pStyle w:val="Sumrio2"/>
        <w:rPr>
          <w:rFonts w:eastAsiaTheme="minorEastAsia" w:cstheme="minorBidi"/>
          <w:b w:val="0"/>
          <w:bCs w:val="0"/>
          <w:kern w:val="2"/>
          <w14:ligatures w14:val="standardContextual"/>
        </w:rPr>
      </w:pPr>
      <w:hyperlink w:anchor="_Toc161141365" w:history="1">
        <w:r w:rsidRPr="00F06B07">
          <w:rPr>
            <w:rStyle w:val="Hyperlink"/>
          </w:rPr>
          <w:t>CAPÍTULO X – DIVULGAÇÃO DE INFORMAÇÕES</w:t>
        </w:r>
        <w:r>
          <w:rPr>
            <w:webHidden/>
          </w:rPr>
          <w:tab/>
        </w:r>
        <w:r>
          <w:rPr>
            <w:webHidden/>
          </w:rPr>
          <w:fldChar w:fldCharType="begin"/>
        </w:r>
        <w:r>
          <w:rPr>
            <w:webHidden/>
          </w:rPr>
          <w:instrText xml:space="preserve"> PAGEREF _Toc161141365 \h </w:instrText>
        </w:r>
        <w:r>
          <w:rPr>
            <w:webHidden/>
          </w:rPr>
        </w:r>
        <w:r>
          <w:rPr>
            <w:webHidden/>
          </w:rPr>
          <w:fldChar w:fldCharType="separate"/>
        </w:r>
        <w:r>
          <w:rPr>
            <w:webHidden/>
          </w:rPr>
          <w:t>205</w:t>
        </w:r>
        <w:r>
          <w:rPr>
            <w:webHidden/>
          </w:rPr>
          <w:fldChar w:fldCharType="end"/>
        </w:r>
      </w:hyperlink>
    </w:p>
    <w:p w14:paraId="53B57D75" w14:textId="7FEDA42C" w:rsidR="0024171D" w:rsidRDefault="0024171D">
      <w:pPr>
        <w:pStyle w:val="Sumrio2"/>
        <w:rPr>
          <w:rFonts w:eastAsiaTheme="minorEastAsia" w:cstheme="minorBidi"/>
          <w:b w:val="0"/>
          <w:bCs w:val="0"/>
          <w:kern w:val="2"/>
          <w14:ligatures w14:val="standardContextual"/>
        </w:rPr>
      </w:pPr>
      <w:hyperlink w:anchor="_Toc161141366" w:history="1">
        <w:r w:rsidRPr="00F06B07">
          <w:rPr>
            <w:rStyle w:val="Hyperlink"/>
          </w:rPr>
          <w:t>CAPÍTULO XI – PENALIDADES E MULTA COMINATÓRIA</w:t>
        </w:r>
        <w:r>
          <w:rPr>
            <w:webHidden/>
          </w:rPr>
          <w:tab/>
        </w:r>
        <w:r>
          <w:rPr>
            <w:webHidden/>
          </w:rPr>
          <w:fldChar w:fldCharType="begin"/>
        </w:r>
        <w:r>
          <w:rPr>
            <w:webHidden/>
          </w:rPr>
          <w:instrText xml:space="preserve"> PAGEREF _Toc161141366 \h </w:instrText>
        </w:r>
        <w:r>
          <w:rPr>
            <w:webHidden/>
          </w:rPr>
        </w:r>
        <w:r>
          <w:rPr>
            <w:webHidden/>
          </w:rPr>
          <w:fldChar w:fldCharType="separate"/>
        </w:r>
        <w:r>
          <w:rPr>
            <w:webHidden/>
          </w:rPr>
          <w:t>207</w:t>
        </w:r>
        <w:r>
          <w:rPr>
            <w:webHidden/>
          </w:rPr>
          <w:fldChar w:fldCharType="end"/>
        </w:r>
      </w:hyperlink>
    </w:p>
    <w:p w14:paraId="749AD648" w14:textId="1A081D15" w:rsidR="0024171D" w:rsidRDefault="0024171D">
      <w:pPr>
        <w:pStyle w:val="Sumrio2"/>
        <w:rPr>
          <w:rFonts w:eastAsiaTheme="minorEastAsia" w:cstheme="minorBidi"/>
          <w:b w:val="0"/>
          <w:bCs w:val="0"/>
          <w:kern w:val="2"/>
          <w14:ligatures w14:val="standardContextual"/>
        </w:rPr>
      </w:pPr>
      <w:hyperlink w:anchor="_Toc161141367" w:history="1">
        <w:r w:rsidRPr="00F06B07">
          <w:rPr>
            <w:rStyle w:val="Hyperlink"/>
          </w:rPr>
          <w:t>CAPÍTULO XII – DISPOSIÇÕES TRANSITÓRIAS</w:t>
        </w:r>
        <w:r>
          <w:rPr>
            <w:webHidden/>
          </w:rPr>
          <w:tab/>
        </w:r>
        <w:r>
          <w:rPr>
            <w:webHidden/>
          </w:rPr>
          <w:fldChar w:fldCharType="begin"/>
        </w:r>
        <w:r>
          <w:rPr>
            <w:webHidden/>
          </w:rPr>
          <w:instrText xml:space="preserve"> PAGEREF _Toc161141367 \h </w:instrText>
        </w:r>
        <w:r>
          <w:rPr>
            <w:webHidden/>
          </w:rPr>
        </w:r>
        <w:r>
          <w:rPr>
            <w:webHidden/>
          </w:rPr>
          <w:fldChar w:fldCharType="separate"/>
        </w:r>
        <w:r>
          <w:rPr>
            <w:webHidden/>
          </w:rPr>
          <w:t>207</w:t>
        </w:r>
        <w:r>
          <w:rPr>
            <w:webHidden/>
          </w:rPr>
          <w:fldChar w:fldCharType="end"/>
        </w:r>
      </w:hyperlink>
    </w:p>
    <w:p w14:paraId="731B6DC2" w14:textId="6C498E9E" w:rsidR="0024171D" w:rsidRDefault="0024171D">
      <w:pPr>
        <w:pStyle w:val="Sumrio1"/>
        <w:rPr>
          <w:rFonts w:eastAsiaTheme="minorEastAsia" w:cstheme="minorBidi"/>
          <w:kern w:val="2"/>
          <w14:ligatures w14:val="standardContextual"/>
        </w:rPr>
      </w:pPr>
      <w:hyperlink w:anchor="_Toc161141368" w:history="1">
        <w:r w:rsidRPr="00F06B07">
          <w:rPr>
            <w:rStyle w:val="Hyperlink"/>
          </w:rPr>
          <w:t>ANEXO NORMATIVO V – FUNDOS DE ÍNDICE</w:t>
        </w:r>
        <w:r>
          <w:rPr>
            <w:webHidden/>
          </w:rPr>
          <w:tab/>
        </w:r>
        <w:r>
          <w:rPr>
            <w:webHidden/>
          </w:rPr>
          <w:fldChar w:fldCharType="begin"/>
        </w:r>
        <w:r>
          <w:rPr>
            <w:webHidden/>
          </w:rPr>
          <w:instrText xml:space="preserve"> PAGEREF _Toc161141368 \h </w:instrText>
        </w:r>
        <w:r>
          <w:rPr>
            <w:webHidden/>
          </w:rPr>
        </w:r>
        <w:r>
          <w:rPr>
            <w:webHidden/>
          </w:rPr>
          <w:fldChar w:fldCharType="separate"/>
        </w:r>
        <w:r>
          <w:rPr>
            <w:webHidden/>
          </w:rPr>
          <w:t>209</w:t>
        </w:r>
        <w:r>
          <w:rPr>
            <w:webHidden/>
          </w:rPr>
          <w:fldChar w:fldCharType="end"/>
        </w:r>
      </w:hyperlink>
    </w:p>
    <w:p w14:paraId="7E4E9100" w14:textId="50FF0F20" w:rsidR="0024171D" w:rsidRDefault="0024171D">
      <w:pPr>
        <w:pStyle w:val="Sumrio2"/>
        <w:rPr>
          <w:rFonts w:eastAsiaTheme="minorEastAsia" w:cstheme="minorBidi"/>
          <w:b w:val="0"/>
          <w:bCs w:val="0"/>
          <w:kern w:val="2"/>
          <w14:ligatures w14:val="standardContextual"/>
        </w:rPr>
      </w:pPr>
      <w:hyperlink w:anchor="_Toc161141369" w:history="1">
        <w:r w:rsidRPr="00F06B07">
          <w:rPr>
            <w:rStyle w:val="Hyperlink"/>
          </w:rPr>
          <w:t>CAPÍTULO I – ÂMBITO E FINALIDADE</w:t>
        </w:r>
        <w:r>
          <w:rPr>
            <w:webHidden/>
          </w:rPr>
          <w:tab/>
        </w:r>
        <w:r>
          <w:rPr>
            <w:webHidden/>
          </w:rPr>
          <w:fldChar w:fldCharType="begin"/>
        </w:r>
        <w:r>
          <w:rPr>
            <w:webHidden/>
          </w:rPr>
          <w:instrText xml:space="preserve"> PAGEREF _Toc161141369 \h </w:instrText>
        </w:r>
        <w:r>
          <w:rPr>
            <w:webHidden/>
          </w:rPr>
        </w:r>
        <w:r>
          <w:rPr>
            <w:webHidden/>
          </w:rPr>
          <w:fldChar w:fldCharType="separate"/>
        </w:r>
        <w:r>
          <w:rPr>
            <w:webHidden/>
          </w:rPr>
          <w:t>209</w:t>
        </w:r>
        <w:r>
          <w:rPr>
            <w:webHidden/>
          </w:rPr>
          <w:fldChar w:fldCharType="end"/>
        </w:r>
      </w:hyperlink>
    </w:p>
    <w:p w14:paraId="271DB200" w14:textId="5B480F57" w:rsidR="0024171D" w:rsidRDefault="0024171D">
      <w:pPr>
        <w:pStyle w:val="Sumrio2"/>
        <w:rPr>
          <w:rFonts w:eastAsiaTheme="minorEastAsia" w:cstheme="minorBidi"/>
          <w:b w:val="0"/>
          <w:bCs w:val="0"/>
          <w:kern w:val="2"/>
          <w14:ligatures w14:val="standardContextual"/>
        </w:rPr>
      </w:pPr>
      <w:hyperlink w:anchor="_Toc161141370" w:history="1">
        <w:r w:rsidRPr="00F06B07">
          <w:rPr>
            <w:rStyle w:val="Hyperlink"/>
          </w:rPr>
          <w:t>CAPÍTULO II – CARACTERÍSTICAS E CONSTITUIÇÃO</w:t>
        </w:r>
        <w:r>
          <w:rPr>
            <w:webHidden/>
          </w:rPr>
          <w:tab/>
        </w:r>
        <w:r>
          <w:rPr>
            <w:webHidden/>
          </w:rPr>
          <w:fldChar w:fldCharType="begin"/>
        </w:r>
        <w:r>
          <w:rPr>
            <w:webHidden/>
          </w:rPr>
          <w:instrText xml:space="preserve"> PAGEREF _Toc161141370 \h </w:instrText>
        </w:r>
        <w:r>
          <w:rPr>
            <w:webHidden/>
          </w:rPr>
        </w:r>
        <w:r>
          <w:rPr>
            <w:webHidden/>
          </w:rPr>
          <w:fldChar w:fldCharType="separate"/>
        </w:r>
        <w:r>
          <w:rPr>
            <w:webHidden/>
          </w:rPr>
          <w:t>209</w:t>
        </w:r>
        <w:r>
          <w:rPr>
            <w:webHidden/>
          </w:rPr>
          <w:fldChar w:fldCharType="end"/>
        </w:r>
      </w:hyperlink>
    </w:p>
    <w:p w14:paraId="39426D5C" w14:textId="1760B391" w:rsidR="0024171D" w:rsidRDefault="0024171D">
      <w:pPr>
        <w:pStyle w:val="Sumrio2"/>
        <w:rPr>
          <w:rFonts w:eastAsiaTheme="minorEastAsia" w:cstheme="minorBidi"/>
          <w:b w:val="0"/>
          <w:bCs w:val="0"/>
          <w:kern w:val="2"/>
          <w14:ligatures w14:val="standardContextual"/>
        </w:rPr>
      </w:pPr>
      <w:hyperlink w:anchor="_Toc161141371" w:history="1">
        <w:r w:rsidRPr="00F06B07">
          <w:rPr>
            <w:rStyle w:val="Hyperlink"/>
          </w:rPr>
          <w:t>CAPÍTULO III – PRESTAÇÃO DE SERVIÇOS</w:t>
        </w:r>
        <w:r>
          <w:rPr>
            <w:webHidden/>
          </w:rPr>
          <w:tab/>
        </w:r>
        <w:r>
          <w:rPr>
            <w:webHidden/>
          </w:rPr>
          <w:fldChar w:fldCharType="begin"/>
        </w:r>
        <w:r>
          <w:rPr>
            <w:webHidden/>
          </w:rPr>
          <w:instrText xml:space="preserve"> PAGEREF _Toc161141371 \h </w:instrText>
        </w:r>
        <w:r>
          <w:rPr>
            <w:webHidden/>
          </w:rPr>
        </w:r>
        <w:r>
          <w:rPr>
            <w:webHidden/>
          </w:rPr>
          <w:fldChar w:fldCharType="separate"/>
        </w:r>
        <w:r>
          <w:rPr>
            <w:webHidden/>
          </w:rPr>
          <w:t>211</w:t>
        </w:r>
        <w:r>
          <w:rPr>
            <w:webHidden/>
          </w:rPr>
          <w:fldChar w:fldCharType="end"/>
        </w:r>
      </w:hyperlink>
    </w:p>
    <w:p w14:paraId="446A4793" w14:textId="636607E7" w:rsidR="0024171D" w:rsidRDefault="0024171D">
      <w:pPr>
        <w:pStyle w:val="Sumrio2"/>
        <w:rPr>
          <w:rFonts w:eastAsiaTheme="minorEastAsia" w:cstheme="minorBidi"/>
          <w:b w:val="0"/>
          <w:bCs w:val="0"/>
          <w:kern w:val="2"/>
          <w14:ligatures w14:val="standardContextual"/>
        </w:rPr>
      </w:pPr>
      <w:hyperlink w:anchor="_Toc161141372" w:history="1">
        <w:r w:rsidRPr="00F06B07">
          <w:rPr>
            <w:rStyle w:val="Hyperlink"/>
          </w:rPr>
          <w:t>CAPÍTULO IV – COTAS</w:t>
        </w:r>
        <w:r>
          <w:rPr>
            <w:webHidden/>
          </w:rPr>
          <w:tab/>
        </w:r>
        <w:r>
          <w:rPr>
            <w:webHidden/>
          </w:rPr>
          <w:fldChar w:fldCharType="begin"/>
        </w:r>
        <w:r>
          <w:rPr>
            <w:webHidden/>
          </w:rPr>
          <w:instrText xml:space="preserve"> PAGEREF _Toc161141372 \h </w:instrText>
        </w:r>
        <w:r>
          <w:rPr>
            <w:webHidden/>
          </w:rPr>
        </w:r>
        <w:r>
          <w:rPr>
            <w:webHidden/>
          </w:rPr>
          <w:fldChar w:fldCharType="separate"/>
        </w:r>
        <w:r>
          <w:rPr>
            <w:webHidden/>
          </w:rPr>
          <w:t>211</w:t>
        </w:r>
        <w:r>
          <w:rPr>
            <w:webHidden/>
          </w:rPr>
          <w:fldChar w:fldCharType="end"/>
        </w:r>
      </w:hyperlink>
    </w:p>
    <w:p w14:paraId="3C48B47C" w14:textId="40BF099E" w:rsidR="0024171D" w:rsidRDefault="0024171D">
      <w:pPr>
        <w:pStyle w:val="Sumrio2"/>
        <w:rPr>
          <w:rFonts w:eastAsiaTheme="minorEastAsia" w:cstheme="minorBidi"/>
          <w:b w:val="0"/>
          <w:bCs w:val="0"/>
          <w:kern w:val="2"/>
          <w14:ligatures w14:val="standardContextual"/>
        </w:rPr>
      </w:pPr>
      <w:hyperlink w:anchor="_Toc161141373" w:history="1">
        <w:r w:rsidRPr="00F06B07">
          <w:rPr>
            <w:rStyle w:val="Hyperlink"/>
          </w:rPr>
          <w:t>CAPÍTULO V – NEGOCIAÇÃO NO MERCADO SECUNDÁRIO</w:t>
        </w:r>
        <w:r>
          <w:rPr>
            <w:webHidden/>
          </w:rPr>
          <w:tab/>
        </w:r>
        <w:r>
          <w:rPr>
            <w:webHidden/>
          </w:rPr>
          <w:fldChar w:fldCharType="begin"/>
        </w:r>
        <w:r>
          <w:rPr>
            <w:webHidden/>
          </w:rPr>
          <w:instrText xml:space="preserve"> PAGEREF _Toc161141373 \h </w:instrText>
        </w:r>
        <w:r>
          <w:rPr>
            <w:webHidden/>
          </w:rPr>
        </w:r>
        <w:r>
          <w:rPr>
            <w:webHidden/>
          </w:rPr>
          <w:fldChar w:fldCharType="separate"/>
        </w:r>
        <w:r>
          <w:rPr>
            <w:webHidden/>
          </w:rPr>
          <w:t>214</w:t>
        </w:r>
        <w:r>
          <w:rPr>
            <w:webHidden/>
          </w:rPr>
          <w:fldChar w:fldCharType="end"/>
        </w:r>
      </w:hyperlink>
    </w:p>
    <w:p w14:paraId="4C40C9F8" w14:textId="36224EFC" w:rsidR="0024171D" w:rsidRDefault="0024171D">
      <w:pPr>
        <w:pStyle w:val="Sumrio2"/>
        <w:rPr>
          <w:rFonts w:eastAsiaTheme="minorEastAsia" w:cstheme="minorBidi"/>
          <w:b w:val="0"/>
          <w:bCs w:val="0"/>
          <w:kern w:val="2"/>
          <w14:ligatures w14:val="standardContextual"/>
        </w:rPr>
      </w:pPr>
      <w:hyperlink w:anchor="_Toc161141374" w:history="1">
        <w:r w:rsidRPr="00F06B07">
          <w:rPr>
            <w:rStyle w:val="Hyperlink"/>
          </w:rPr>
          <w:t>CAPÍTULO VI – REGULAMENTO</w:t>
        </w:r>
        <w:r>
          <w:rPr>
            <w:webHidden/>
          </w:rPr>
          <w:tab/>
        </w:r>
        <w:r>
          <w:rPr>
            <w:webHidden/>
          </w:rPr>
          <w:fldChar w:fldCharType="begin"/>
        </w:r>
        <w:r>
          <w:rPr>
            <w:webHidden/>
          </w:rPr>
          <w:instrText xml:space="preserve"> PAGEREF _Toc161141374 \h </w:instrText>
        </w:r>
        <w:r>
          <w:rPr>
            <w:webHidden/>
          </w:rPr>
        </w:r>
        <w:r>
          <w:rPr>
            <w:webHidden/>
          </w:rPr>
          <w:fldChar w:fldCharType="separate"/>
        </w:r>
        <w:r>
          <w:rPr>
            <w:webHidden/>
          </w:rPr>
          <w:t>215</w:t>
        </w:r>
        <w:r>
          <w:rPr>
            <w:webHidden/>
          </w:rPr>
          <w:fldChar w:fldCharType="end"/>
        </w:r>
      </w:hyperlink>
    </w:p>
    <w:p w14:paraId="6C910F86" w14:textId="2DBD026B" w:rsidR="0024171D" w:rsidRDefault="0024171D">
      <w:pPr>
        <w:pStyle w:val="Sumrio2"/>
        <w:rPr>
          <w:rFonts w:eastAsiaTheme="minorEastAsia" w:cstheme="minorBidi"/>
          <w:b w:val="0"/>
          <w:bCs w:val="0"/>
          <w:kern w:val="2"/>
          <w14:ligatures w14:val="standardContextual"/>
        </w:rPr>
      </w:pPr>
      <w:hyperlink w:anchor="_Toc161141375" w:history="1">
        <w:r w:rsidRPr="00F06B07">
          <w:rPr>
            <w:rStyle w:val="Hyperlink"/>
          </w:rPr>
          <w:t>CAPÍTULO VII – ASSEMBLEIA DE COTISTAS</w:t>
        </w:r>
        <w:r>
          <w:rPr>
            <w:webHidden/>
          </w:rPr>
          <w:tab/>
        </w:r>
        <w:r>
          <w:rPr>
            <w:webHidden/>
          </w:rPr>
          <w:fldChar w:fldCharType="begin"/>
        </w:r>
        <w:r>
          <w:rPr>
            <w:webHidden/>
          </w:rPr>
          <w:instrText xml:space="preserve"> PAGEREF _Toc161141375 \h </w:instrText>
        </w:r>
        <w:r>
          <w:rPr>
            <w:webHidden/>
          </w:rPr>
        </w:r>
        <w:r>
          <w:rPr>
            <w:webHidden/>
          </w:rPr>
          <w:fldChar w:fldCharType="separate"/>
        </w:r>
        <w:r>
          <w:rPr>
            <w:webHidden/>
          </w:rPr>
          <w:t>216</w:t>
        </w:r>
        <w:r>
          <w:rPr>
            <w:webHidden/>
          </w:rPr>
          <w:fldChar w:fldCharType="end"/>
        </w:r>
      </w:hyperlink>
    </w:p>
    <w:p w14:paraId="140D7F1E" w14:textId="29CD35CA" w:rsidR="0024171D" w:rsidRDefault="0024171D">
      <w:pPr>
        <w:pStyle w:val="Sumrio3"/>
        <w:rPr>
          <w:rFonts w:asciiTheme="minorHAnsi" w:eastAsiaTheme="minorEastAsia" w:hAnsiTheme="minorHAnsi" w:cstheme="minorBidi"/>
          <w:noProof/>
          <w:kern w:val="2"/>
          <w14:ligatures w14:val="standardContextual"/>
        </w:rPr>
      </w:pPr>
      <w:hyperlink w:anchor="_Toc161141376" w:history="1">
        <w:r w:rsidRPr="00F06B07">
          <w:rPr>
            <w:rStyle w:val="Hyperlink"/>
            <w:noProof/>
          </w:rPr>
          <w:t>Seção I – Competência</w:t>
        </w:r>
        <w:r>
          <w:rPr>
            <w:noProof/>
            <w:webHidden/>
          </w:rPr>
          <w:tab/>
        </w:r>
        <w:r>
          <w:rPr>
            <w:noProof/>
            <w:webHidden/>
          </w:rPr>
          <w:fldChar w:fldCharType="begin"/>
        </w:r>
        <w:r>
          <w:rPr>
            <w:noProof/>
            <w:webHidden/>
          </w:rPr>
          <w:instrText xml:space="preserve"> PAGEREF _Toc161141376 \h </w:instrText>
        </w:r>
        <w:r>
          <w:rPr>
            <w:noProof/>
            <w:webHidden/>
          </w:rPr>
        </w:r>
        <w:r>
          <w:rPr>
            <w:noProof/>
            <w:webHidden/>
          </w:rPr>
          <w:fldChar w:fldCharType="separate"/>
        </w:r>
        <w:r>
          <w:rPr>
            <w:noProof/>
            <w:webHidden/>
          </w:rPr>
          <w:t>216</w:t>
        </w:r>
        <w:r>
          <w:rPr>
            <w:noProof/>
            <w:webHidden/>
          </w:rPr>
          <w:fldChar w:fldCharType="end"/>
        </w:r>
      </w:hyperlink>
    </w:p>
    <w:p w14:paraId="64D26A0D" w14:textId="006851A6" w:rsidR="0024171D" w:rsidRDefault="0024171D">
      <w:pPr>
        <w:pStyle w:val="Sumrio3"/>
        <w:rPr>
          <w:rFonts w:asciiTheme="minorHAnsi" w:eastAsiaTheme="minorEastAsia" w:hAnsiTheme="minorHAnsi" w:cstheme="minorBidi"/>
          <w:noProof/>
          <w:kern w:val="2"/>
          <w14:ligatures w14:val="standardContextual"/>
        </w:rPr>
      </w:pPr>
      <w:hyperlink w:anchor="_Toc161141377" w:history="1">
        <w:r w:rsidRPr="00F06B07">
          <w:rPr>
            <w:rStyle w:val="Hyperlink"/>
            <w:noProof/>
          </w:rPr>
          <w:t>Seção II – Convocação</w:t>
        </w:r>
        <w:r>
          <w:rPr>
            <w:noProof/>
            <w:webHidden/>
          </w:rPr>
          <w:tab/>
        </w:r>
        <w:r>
          <w:rPr>
            <w:noProof/>
            <w:webHidden/>
          </w:rPr>
          <w:fldChar w:fldCharType="begin"/>
        </w:r>
        <w:r>
          <w:rPr>
            <w:noProof/>
            <w:webHidden/>
          </w:rPr>
          <w:instrText xml:space="preserve"> PAGEREF _Toc161141377 \h </w:instrText>
        </w:r>
        <w:r>
          <w:rPr>
            <w:noProof/>
            <w:webHidden/>
          </w:rPr>
        </w:r>
        <w:r>
          <w:rPr>
            <w:noProof/>
            <w:webHidden/>
          </w:rPr>
          <w:fldChar w:fldCharType="separate"/>
        </w:r>
        <w:r>
          <w:rPr>
            <w:noProof/>
            <w:webHidden/>
          </w:rPr>
          <w:t>217</w:t>
        </w:r>
        <w:r>
          <w:rPr>
            <w:noProof/>
            <w:webHidden/>
          </w:rPr>
          <w:fldChar w:fldCharType="end"/>
        </w:r>
      </w:hyperlink>
    </w:p>
    <w:p w14:paraId="773B71DA" w14:textId="1E499265" w:rsidR="0024171D" w:rsidRDefault="0024171D">
      <w:pPr>
        <w:pStyle w:val="Sumrio3"/>
        <w:rPr>
          <w:rFonts w:asciiTheme="minorHAnsi" w:eastAsiaTheme="minorEastAsia" w:hAnsiTheme="minorHAnsi" w:cstheme="minorBidi"/>
          <w:noProof/>
          <w:kern w:val="2"/>
          <w14:ligatures w14:val="standardContextual"/>
        </w:rPr>
      </w:pPr>
      <w:hyperlink w:anchor="_Toc161141378" w:history="1">
        <w:r w:rsidRPr="00F06B07">
          <w:rPr>
            <w:rStyle w:val="Hyperlink"/>
            <w:noProof/>
          </w:rPr>
          <w:t>Seção III – Deliberação</w:t>
        </w:r>
        <w:r>
          <w:rPr>
            <w:noProof/>
            <w:webHidden/>
          </w:rPr>
          <w:tab/>
        </w:r>
        <w:r>
          <w:rPr>
            <w:noProof/>
            <w:webHidden/>
          </w:rPr>
          <w:fldChar w:fldCharType="begin"/>
        </w:r>
        <w:r>
          <w:rPr>
            <w:noProof/>
            <w:webHidden/>
          </w:rPr>
          <w:instrText xml:space="preserve"> PAGEREF _Toc161141378 \h </w:instrText>
        </w:r>
        <w:r>
          <w:rPr>
            <w:noProof/>
            <w:webHidden/>
          </w:rPr>
        </w:r>
        <w:r>
          <w:rPr>
            <w:noProof/>
            <w:webHidden/>
          </w:rPr>
          <w:fldChar w:fldCharType="separate"/>
        </w:r>
        <w:r>
          <w:rPr>
            <w:noProof/>
            <w:webHidden/>
          </w:rPr>
          <w:t>219</w:t>
        </w:r>
        <w:r>
          <w:rPr>
            <w:noProof/>
            <w:webHidden/>
          </w:rPr>
          <w:fldChar w:fldCharType="end"/>
        </w:r>
      </w:hyperlink>
    </w:p>
    <w:p w14:paraId="3E8B9F13" w14:textId="7D2F8A22" w:rsidR="0024171D" w:rsidRDefault="0024171D">
      <w:pPr>
        <w:pStyle w:val="Sumrio3"/>
        <w:rPr>
          <w:rFonts w:asciiTheme="minorHAnsi" w:eastAsiaTheme="minorEastAsia" w:hAnsiTheme="minorHAnsi" w:cstheme="minorBidi"/>
          <w:noProof/>
          <w:kern w:val="2"/>
          <w14:ligatures w14:val="standardContextual"/>
        </w:rPr>
      </w:pPr>
      <w:hyperlink w:anchor="_Toc161141379" w:history="1">
        <w:r w:rsidRPr="00F06B07">
          <w:rPr>
            <w:rStyle w:val="Hyperlink"/>
            <w:noProof/>
          </w:rPr>
          <w:t>Seção IV – Representação Direta</w:t>
        </w:r>
        <w:r>
          <w:rPr>
            <w:noProof/>
            <w:webHidden/>
          </w:rPr>
          <w:tab/>
        </w:r>
        <w:r>
          <w:rPr>
            <w:noProof/>
            <w:webHidden/>
          </w:rPr>
          <w:fldChar w:fldCharType="begin"/>
        </w:r>
        <w:r>
          <w:rPr>
            <w:noProof/>
            <w:webHidden/>
          </w:rPr>
          <w:instrText xml:space="preserve"> PAGEREF _Toc161141379 \h </w:instrText>
        </w:r>
        <w:r>
          <w:rPr>
            <w:noProof/>
            <w:webHidden/>
          </w:rPr>
        </w:r>
        <w:r>
          <w:rPr>
            <w:noProof/>
            <w:webHidden/>
          </w:rPr>
          <w:fldChar w:fldCharType="separate"/>
        </w:r>
        <w:r>
          <w:rPr>
            <w:noProof/>
            <w:webHidden/>
          </w:rPr>
          <w:t>219</w:t>
        </w:r>
        <w:r>
          <w:rPr>
            <w:noProof/>
            <w:webHidden/>
          </w:rPr>
          <w:fldChar w:fldCharType="end"/>
        </w:r>
      </w:hyperlink>
    </w:p>
    <w:p w14:paraId="0D625E84" w14:textId="063A6DD3" w:rsidR="0024171D" w:rsidRDefault="0024171D">
      <w:pPr>
        <w:pStyle w:val="Sumrio2"/>
        <w:rPr>
          <w:rFonts w:eastAsiaTheme="minorEastAsia" w:cstheme="minorBidi"/>
          <w:b w:val="0"/>
          <w:bCs w:val="0"/>
          <w:kern w:val="2"/>
          <w14:ligatures w14:val="standardContextual"/>
        </w:rPr>
      </w:pPr>
      <w:hyperlink w:anchor="_Toc161141380" w:history="1">
        <w:r w:rsidRPr="00F06B07">
          <w:rPr>
            <w:rStyle w:val="Hyperlink"/>
          </w:rPr>
          <w:t>CAPÍTULO VIII – DIVULGAÇÃO DE INFORMAÇÕES</w:t>
        </w:r>
        <w:r>
          <w:rPr>
            <w:webHidden/>
          </w:rPr>
          <w:tab/>
        </w:r>
        <w:r>
          <w:rPr>
            <w:webHidden/>
          </w:rPr>
          <w:fldChar w:fldCharType="begin"/>
        </w:r>
        <w:r>
          <w:rPr>
            <w:webHidden/>
          </w:rPr>
          <w:instrText xml:space="preserve"> PAGEREF _Toc161141380 \h </w:instrText>
        </w:r>
        <w:r>
          <w:rPr>
            <w:webHidden/>
          </w:rPr>
        </w:r>
        <w:r>
          <w:rPr>
            <w:webHidden/>
          </w:rPr>
          <w:fldChar w:fldCharType="separate"/>
        </w:r>
        <w:r>
          <w:rPr>
            <w:webHidden/>
          </w:rPr>
          <w:t>220</w:t>
        </w:r>
        <w:r>
          <w:rPr>
            <w:webHidden/>
          </w:rPr>
          <w:fldChar w:fldCharType="end"/>
        </w:r>
      </w:hyperlink>
    </w:p>
    <w:p w14:paraId="11D0B3CA" w14:textId="47F994C7" w:rsidR="0024171D" w:rsidRDefault="0024171D">
      <w:pPr>
        <w:pStyle w:val="Sumrio3"/>
        <w:rPr>
          <w:rFonts w:asciiTheme="minorHAnsi" w:eastAsiaTheme="minorEastAsia" w:hAnsiTheme="minorHAnsi" w:cstheme="minorBidi"/>
          <w:noProof/>
          <w:kern w:val="2"/>
          <w14:ligatures w14:val="standardContextual"/>
        </w:rPr>
      </w:pPr>
      <w:hyperlink w:anchor="_Toc161141381" w:history="1">
        <w:r w:rsidRPr="00F06B07">
          <w:rPr>
            <w:rStyle w:val="Hyperlink"/>
            <w:noProof/>
          </w:rPr>
          <w:t>Seção I – Página Eletrônica do Fundo na Rede Mundial de Computadores</w:t>
        </w:r>
        <w:r>
          <w:rPr>
            <w:noProof/>
            <w:webHidden/>
          </w:rPr>
          <w:tab/>
        </w:r>
        <w:r>
          <w:rPr>
            <w:noProof/>
            <w:webHidden/>
          </w:rPr>
          <w:fldChar w:fldCharType="begin"/>
        </w:r>
        <w:r>
          <w:rPr>
            <w:noProof/>
            <w:webHidden/>
          </w:rPr>
          <w:instrText xml:space="preserve"> PAGEREF _Toc161141381 \h </w:instrText>
        </w:r>
        <w:r>
          <w:rPr>
            <w:noProof/>
            <w:webHidden/>
          </w:rPr>
        </w:r>
        <w:r>
          <w:rPr>
            <w:noProof/>
            <w:webHidden/>
          </w:rPr>
          <w:fldChar w:fldCharType="separate"/>
        </w:r>
        <w:r>
          <w:rPr>
            <w:noProof/>
            <w:webHidden/>
          </w:rPr>
          <w:t>220</w:t>
        </w:r>
        <w:r>
          <w:rPr>
            <w:noProof/>
            <w:webHidden/>
          </w:rPr>
          <w:fldChar w:fldCharType="end"/>
        </w:r>
      </w:hyperlink>
    </w:p>
    <w:p w14:paraId="0E8E0AF4" w14:textId="47456A88" w:rsidR="0024171D" w:rsidRDefault="0024171D">
      <w:pPr>
        <w:pStyle w:val="Sumrio3"/>
        <w:rPr>
          <w:rFonts w:asciiTheme="minorHAnsi" w:eastAsiaTheme="minorEastAsia" w:hAnsiTheme="minorHAnsi" w:cstheme="minorBidi"/>
          <w:noProof/>
          <w:kern w:val="2"/>
          <w14:ligatures w14:val="standardContextual"/>
        </w:rPr>
      </w:pPr>
      <w:hyperlink w:anchor="_Toc161141382" w:history="1">
        <w:r w:rsidRPr="00F06B07">
          <w:rPr>
            <w:rStyle w:val="Hyperlink"/>
            <w:noProof/>
          </w:rPr>
          <w:t>Seção II – Material de Divulgação dos Fundos de Índice</w:t>
        </w:r>
        <w:r>
          <w:rPr>
            <w:noProof/>
            <w:webHidden/>
          </w:rPr>
          <w:tab/>
        </w:r>
        <w:r>
          <w:rPr>
            <w:noProof/>
            <w:webHidden/>
          </w:rPr>
          <w:fldChar w:fldCharType="begin"/>
        </w:r>
        <w:r>
          <w:rPr>
            <w:noProof/>
            <w:webHidden/>
          </w:rPr>
          <w:instrText xml:space="preserve"> PAGEREF _Toc161141382 \h </w:instrText>
        </w:r>
        <w:r>
          <w:rPr>
            <w:noProof/>
            <w:webHidden/>
          </w:rPr>
        </w:r>
        <w:r>
          <w:rPr>
            <w:noProof/>
            <w:webHidden/>
          </w:rPr>
          <w:fldChar w:fldCharType="separate"/>
        </w:r>
        <w:r>
          <w:rPr>
            <w:noProof/>
            <w:webHidden/>
          </w:rPr>
          <w:t>225</w:t>
        </w:r>
        <w:r>
          <w:rPr>
            <w:noProof/>
            <w:webHidden/>
          </w:rPr>
          <w:fldChar w:fldCharType="end"/>
        </w:r>
      </w:hyperlink>
    </w:p>
    <w:p w14:paraId="7A46D973" w14:textId="75EE0E5A" w:rsidR="0024171D" w:rsidRDefault="0024171D">
      <w:pPr>
        <w:pStyle w:val="Sumrio2"/>
        <w:rPr>
          <w:rFonts w:eastAsiaTheme="minorEastAsia" w:cstheme="minorBidi"/>
          <w:b w:val="0"/>
          <w:bCs w:val="0"/>
          <w:kern w:val="2"/>
          <w14:ligatures w14:val="standardContextual"/>
        </w:rPr>
      </w:pPr>
      <w:hyperlink w:anchor="_Toc161141383" w:history="1">
        <w:r w:rsidRPr="00F06B07">
          <w:rPr>
            <w:rStyle w:val="Hyperlink"/>
          </w:rPr>
          <w:t>CAPÍTULO IX – DEMONSTRAÇÕES CONTÁBEIS</w:t>
        </w:r>
        <w:r>
          <w:rPr>
            <w:webHidden/>
          </w:rPr>
          <w:tab/>
        </w:r>
        <w:r>
          <w:rPr>
            <w:webHidden/>
          </w:rPr>
          <w:fldChar w:fldCharType="begin"/>
        </w:r>
        <w:r>
          <w:rPr>
            <w:webHidden/>
          </w:rPr>
          <w:instrText xml:space="preserve"> PAGEREF _Toc161141383 \h </w:instrText>
        </w:r>
        <w:r>
          <w:rPr>
            <w:webHidden/>
          </w:rPr>
        </w:r>
        <w:r>
          <w:rPr>
            <w:webHidden/>
          </w:rPr>
          <w:fldChar w:fldCharType="separate"/>
        </w:r>
        <w:r>
          <w:rPr>
            <w:webHidden/>
          </w:rPr>
          <w:t>225</w:t>
        </w:r>
        <w:r>
          <w:rPr>
            <w:webHidden/>
          </w:rPr>
          <w:fldChar w:fldCharType="end"/>
        </w:r>
      </w:hyperlink>
    </w:p>
    <w:p w14:paraId="0B11146E" w14:textId="69ABAFA9" w:rsidR="0024171D" w:rsidRDefault="0024171D">
      <w:pPr>
        <w:pStyle w:val="Sumrio2"/>
        <w:rPr>
          <w:rFonts w:eastAsiaTheme="minorEastAsia" w:cstheme="minorBidi"/>
          <w:b w:val="0"/>
          <w:bCs w:val="0"/>
          <w:kern w:val="2"/>
          <w14:ligatures w14:val="standardContextual"/>
        </w:rPr>
      </w:pPr>
      <w:hyperlink w:anchor="_Toc161141384" w:history="1">
        <w:r w:rsidRPr="00F06B07">
          <w:rPr>
            <w:rStyle w:val="Hyperlink"/>
          </w:rPr>
          <w:t>CAPÍTULO X – CARTEIRA</w:t>
        </w:r>
        <w:r>
          <w:rPr>
            <w:webHidden/>
          </w:rPr>
          <w:tab/>
        </w:r>
        <w:r>
          <w:rPr>
            <w:webHidden/>
          </w:rPr>
          <w:fldChar w:fldCharType="begin"/>
        </w:r>
        <w:r>
          <w:rPr>
            <w:webHidden/>
          </w:rPr>
          <w:instrText xml:space="preserve"> PAGEREF _Toc161141384 \h </w:instrText>
        </w:r>
        <w:r>
          <w:rPr>
            <w:webHidden/>
          </w:rPr>
        </w:r>
        <w:r>
          <w:rPr>
            <w:webHidden/>
          </w:rPr>
          <w:fldChar w:fldCharType="separate"/>
        </w:r>
        <w:r>
          <w:rPr>
            <w:webHidden/>
          </w:rPr>
          <w:t>226</w:t>
        </w:r>
        <w:r>
          <w:rPr>
            <w:webHidden/>
          </w:rPr>
          <w:fldChar w:fldCharType="end"/>
        </w:r>
      </w:hyperlink>
    </w:p>
    <w:p w14:paraId="294978FC" w14:textId="21C0A2D5" w:rsidR="0024171D" w:rsidRDefault="0024171D">
      <w:pPr>
        <w:pStyle w:val="Sumrio2"/>
        <w:rPr>
          <w:rFonts w:eastAsiaTheme="minorEastAsia" w:cstheme="minorBidi"/>
          <w:b w:val="0"/>
          <w:bCs w:val="0"/>
          <w:kern w:val="2"/>
          <w14:ligatures w14:val="standardContextual"/>
        </w:rPr>
      </w:pPr>
      <w:hyperlink w:anchor="_Toc161141385" w:history="1">
        <w:r w:rsidRPr="00F06B07">
          <w:rPr>
            <w:rStyle w:val="Hyperlink"/>
          </w:rPr>
          <w:t>CAPÍTULO XI – ENCARGOS</w:t>
        </w:r>
        <w:r>
          <w:rPr>
            <w:webHidden/>
          </w:rPr>
          <w:tab/>
        </w:r>
        <w:r>
          <w:rPr>
            <w:webHidden/>
          </w:rPr>
          <w:fldChar w:fldCharType="begin"/>
        </w:r>
        <w:r>
          <w:rPr>
            <w:webHidden/>
          </w:rPr>
          <w:instrText xml:space="preserve"> PAGEREF _Toc161141385 \h </w:instrText>
        </w:r>
        <w:r>
          <w:rPr>
            <w:webHidden/>
          </w:rPr>
        </w:r>
        <w:r>
          <w:rPr>
            <w:webHidden/>
          </w:rPr>
          <w:fldChar w:fldCharType="separate"/>
        </w:r>
        <w:r>
          <w:rPr>
            <w:webHidden/>
          </w:rPr>
          <w:t>228</w:t>
        </w:r>
        <w:r>
          <w:rPr>
            <w:webHidden/>
          </w:rPr>
          <w:fldChar w:fldCharType="end"/>
        </w:r>
      </w:hyperlink>
    </w:p>
    <w:p w14:paraId="02B317CB" w14:textId="7E9511EC" w:rsidR="0024171D" w:rsidRDefault="0024171D">
      <w:pPr>
        <w:pStyle w:val="Sumrio2"/>
        <w:rPr>
          <w:rFonts w:eastAsiaTheme="minorEastAsia" w:cstheme="minorBidi"/>
          <w:b w:val="0"/>
          <w:bCs w:val="0"/>
          <w:kern w:val="2"/>
          <w14:ligatures w14:val="standardContextual"/>
        </w:rPr>
      </w:pPr>
      <w:hyperlink w:anchor="_Toc161141386" w:history="1">
        <w:r w:rsidRPr="00F06B07">
          <w:rPr>
            <w:rStyle w:val="Hyperlink"/>
          </w:rPr>
          <w:t>CAPÍTULO XII – INCORPORAÇÃO, FUSÃO, CISÃO, TRANSFORMAÇÃO, LIQUIDAÇÃO E ENCERRAMENTO DO FUNDO</w:t>
        </w:r>
        <w:r>
          <w:rPr>
            <w:webHidden/>
          </w:rPr>
          <w:tab/>
        </w:r>
        <w:r>
          <w:rPr>
            <w:webHidden/>
          </w:rPr>
          <w:fldChar w:fldCharType="begin"/>
        </w:r>
        <w:r>
          <w:rPr>
            <w:webHidden/>
          </w:rPr>
          <w:instrText xml:space="preserve"> PAGEREF _Toc161141386 \h </w:instrText>
        </w:r>
        <w:r>
          <w:rPr>
            <w:webHidden/>
          </w:rPr>
        </w:r>
        <w:r>
          <w:rPr>
            <w:webHidden/>
          </w:rPr>
          <w:fldChar w:fldCharType="separate"/>
        </w:r>
        <w:r>
          <w:rPr>
            <w:webHidden/>
          </w:rPr>
          <w:t>229</w:t>
        </w:r>
        <w:r>
          <w:rPr>
            <w:webHidden/>
          </w:rPr>
          <w:fldChar w:fldCharType="end"/>
        </w:r>
      </w:hyperlink>
    </w:p>
    <w:p w14:paraId="2BA47BB9" w14:textId="493EFF57" w:rsidR="0024171D" w:rsidRDefault="0024171D">
      <w:pPr>
        <w:pStyle w:val="Sumrio2"/>
        <w:rPr>
          <w:rFonts w:eastAsiaTheme="minorEastAsia" w:cstheme="minorBidi"/>
          <w:b w:val="0"/>
          <w:bCs w:val="0"/>
          <w:kern w:val="2"/>
          <w14:ligatures w14:val="standardContextual"/>
        </w:rPr>
      </w:pPr>
      <w:hyperlink w:anchor="_Toc161141387" w:history="1">
        <w:r w:rsidRPr="00F06B07">
          <w:rPr>
            <w:rStyle w:val="Hyperlink"/>
          </w:rPr>
          <w:t>CAPÍTULO XIII – CERTIFICADOS DE DEPÓSITO DE COTAS DE FUNDOS DE ÍNDICE NEGOCIADAS NO EXTERIOR</w:t>
        </w:r>
        <w:r>
          <w:rPr>
            <w:webHidden/>
          </w:rPr>
          <w:tab/>
        </w:r>
        <w:r>
          <w:rPr>
            <w:webHidden/>
          </w:rPr>
          <w:fldChar w:fldCharType="begin"/>
        </w:r>
        <w:r>
          <w:rPr>
            <w:webHidden/>
          </w:rPr>
          <w:instrText xml:space="preserve"> PAGEREF _Toc161141387 \h </w:instrText>
        </w:r>
        <w:r>
          <w:rPr>
            <w:webHidden/>
          </w:rPr>
        </w:r>
        <w:r>
          <w:rPr>
            <w:webHidden/>
          </w:rPr>
          <w:fldChar w:fldCharType="separate"/>
        </w:r>
        <w:r>
          <w:rPr>
            <w:webHidden/>
          </w:rPr>
          <w:t>229</w:t>
        </w:r>
        <w:r>
          <w:rPr>
            <w:webHidden/>
          </w:rPr>
          <w:fldChar w:fldCharType="end"/>
        </w:r>
      </w:hyperlink>
    </w:p>
    <w:p w14:paraId="602B2BCB" w14:textId="5D391ED8" w:rsidR="0024171D" w:rsidRDefault="0024171D">
      <w:pPr>
        <w:pStyle w:val="Sumrio3"/>
        <w:rPr>
          <w:rFonts w:asciiTheme="minorHAnsi" w:eastAsiaTheme="minorEastAsia" w:hAnsiTheme="minorHAnsi" w:cstheme="minorBidi"/>
          <w:noProof/>
          <w:kern w:val="2"/>
          <w14:ligatures w14:val="standardContextual"/>
        </w:rPr>
      </w:pPr>
      <w:hyperlink w:anchor="_Toc161141388" w:history="1">
        <w:r w:rsidRPr="00F06B07">
          <w:rPr>
            <w:rStyle w:val="Hyperlink"/>
            <w:noProof/>
          </w:rPr>
          <w:t>Seção I – Definições e Características Gerais</w:t>
        </w:r>
        <w:r>
          <w:rPr>
            <w:noProof/>
            <w:webHidden/>
          </w:rPr>
          <w:tab/>
        </w:r>
        <w:r>
          <w:rPr>
            <w:noProof/>
            <w:webHidden/>
          </w:rPr>
          <w:fldChar w:fldCharType="begin"/>
        </w:r>
        <w:r>
          <w:rPr>
            <w:noProof/>
            <w:webHidden/>
          </w:rPr>
          <w:instrText xml:space="preserve"> PAGEREF _Toc161141388 \h </w:instrText>
        </w:r>
        <w:r>
          <w:rPr>
            <w:noProof/>
            <w:webHidden/>
          </w:rPr>
        </w:r>
        <w:r>
          <w:rPr>
            <w:noProof/>
            <w:webHidden/>
          </w:rPr>
          <w:fldChar w:fldCharType="separate"/>
        </w:r>
        <w:r>
          <w:rPr>
            <w:noProof/>
            <w:webHidden/>
          </w:rPr>
          <w:t>229</w:t>
        </w:r>
        <w:r>
          <w:rPr>
            <w:noProof/>
            <w:webHidden/>
          </w:rPr>
          <w:fldChar w:fldCharType="end"/>
        </w:r>
      </w:hyperlink>
    </w:p>
    <w:p w14:paraId="733BF571" w14:textId="14A4594A" w:rsidR="0024171D" w:rsidRDefault="0024171D">
      <w:pPr>
        <w:pStyle w:val="Sumrio3"/>
        <w:rPr>
          <w:rFonts w:asciiTheme="minorHAnsi" w:eastAsiaTheme="minorEastAsia" w:hAnsiTheme="minorHAnsi" w:cstheme="minorBidi"/>
          <w:noProof/>
          <w:kern w:val="2"/>
          <w14:ligatures w14:val="standardContextual"/>
        </w:rPr>
      </w:pPr>
      <w:hyperlink w:anchor="_Toc161141389" w:history="1">
        <w:r w:rsidRPr="00F06B07">
          <w:rPr>
            <w:rStyle w:val="Hyperlink"/>
            <w:noProof/>
          </w:rPr>
          <w:t>Seção II – Informações a Serem Prestadas pela Instituição Depositária</w:t>
        </w:r>
        <w:r>
          <w:rPr>
            <w:noProof/>
            <w:webHidden/>
          </w:rPr>
          <w:tab/>
        </w:r>
        <w:r>
          <w:rPr>
            <w:noProof/>
            <w:webHidden/>
          </w:rPr>
          <w:fldChar w:fldCharType="begin"/>
        </w:r>
        <w:r>
          <w:rPr>
            <w:noProof/>
            <w:webHidden/>
          </w:rPr>
          <w:instrText xml:space="preserve"> PAGEREF _Toc161141389 \h </w:instrText>
        </w:r>
        <w:r>
          <w:rPr>
            <w:noProof/>
            <w:webHidden/>
          </w:rPr>
        </w:r>
        <w:r>
          <w:rPr>
            <w:noProof/>
            <w:webHidden/>
          </w:rPr>
          <w:fldChar w:fldCharType="separate"/>
        </w:r>
        <w:r>
          <w:rPr>
            <w:noProof/>
            <w:webHidden/>
          </w:rPr>
          <w:t>231</w:t>
        </w:r>
        <w:r>
          <w:rPr>
            <w:noProof/>
            <w:webHidden/>
          </w:rPr>
          <w:fldChar w:fldCharType="end"/>
        </w:r>
      </w:hyperlink>
    </w:p>
    <w:p w14:paraId="5E43E310" w14:textId="2A3BE743" w:rsidR="0024171D" w:rsidRDefault="0024171D">
      <w:pPr>
        <w:pStyle w:val="Sumrio3"/>
        <w:rPr>
          <w:rFonts w:asciiTheme="minorHAnsi" w:eastAsiaTheme="minorEastAsia" w:hAnsiTheme="minorHAnsi" w:cstheme="minorBidi"/>
          <w:noProof/>
          <w:kern w:val="2"/>
          <w14:ligatures w14:val="standardContextual"/>
        </w:rPr>
      </w:pPr>
      <w:hyperlink w:anchor="_Toc161141390" w:history="1">
        <w:r w:rsidRPr="00F06B07">
          <w:rPr>
            <w:rStyle w:val="Hyperlink"/>
            <w:noProof/>
          </w:rPr>
          <w:t>Seção III – Material de Divulgação do BDR-ETF</w:t>
        </w:r>
        <w:r>
          <w:rPr>
            <w:noProof/>
            <w:webHidden/>
          </w:rPr>
          <w:tab/>
        </w:r>
        <w:r>
          <w:rPr>
            <w:noProof/>
            <w:webHidden/>
          </w:rPr>
          <w:fldChar w:fldCharType="begin"/>
        </w:r>
        <w:r>
          <w:rPr>
            <w:noProof/>
            <w:webHidden/>
          </w:rPr>
          <w:instrText xml:space="preserve"> PAGEREF _Toc161141390 \h </w:instrText>
        </w:r>
        <w:r>
          <w:rPr>
            <w:noProof/>
            <w:webHidden/>
          </w:rPr>
        </w:r>
        <w:r>
          <w:rPr>
            <w:noProof/>
            <w:webHidden/>
          </w:rPr>
          <w:fldChar w:fldCharType="separate"/>
        </w:r>
        <w:r>
          <w:rPr>
            <w:noProof/>
            <w:webHidden/>
          </w:rPr>
          <w:t>234</w:t>
        </w:r>
        <w:r>
          <w:rPr>
            <w:noProof/>
            <w:webHidden/>
          </w:rPr>
          <w:fldChar w:fldCharType="end"/>
        </w:r>
      </w:hyperlink>
    </w:p>
    <w:p w14:paraId="6D6AD61E" w14:textId="73066A7D" w:rsidR="0024171D" w:rsidRDefault="0024171D">
      <w:pPr>
        <w:pStyle w:val="Sumrio3"/>
        <w:rPr>
          <w:rFonts w:asciiTheme="minorHAnsi" w:eastAsiaTheme="minorEastAsia" w:hAnsiTheme="minorHAnsi" w:cstheme="minorBidi"/>
          <w:noProof/>
          <w:kern w:val="2"/>
          <w14:ligatures w14:val="standardContextual"/>
        </w:rPr>
      </w:pPr>
      <w:hyperlink w:anchor="_Toc161141391" w:history="1">
        <w:r w:rsidRPr="00F06B07">
          <w:rPr>
            <w:rStyle w:val="Hyperlink"/>
            <w:noProof/>
          </w:rPr>
          <w:t>Seção IV – Registro do Programa</w:t>
        </w:r>
        <w:r>
          <w:rPr>
            <w:noProof/>
            <w:webHidden/>
          </w:rPr>
          <w:tab/>
        </w:r>
        <w:r>
          <w:rPr>
            <w:noProof/>
            <w:webHidden/>
          </w:rPr>
          <w:fldChar w:fldCharType="begin"/>
        </w:r>
        <w:r>
          <w:rPr>
            <w:noProof/>
            <w:webHidden/>
          </w:rPr>
          <w:instrText xml:space="preserve"> PAGEREF _Toc161141391 \h </w:instrText>
        </w:r>
        <w:r>
          <w:rPr>
            <w:noProof/>
            <w:webHidden/>
          </w:rPr>
        </w:r>
        <w:r>
          <w:rPr>
            <w:noProof/>
            <w:webHidden/>
          </w:rPr>
          <w:fldChar w:fldCharType="separate"/>
        </w:r>
        <w:r>
          <w:rPr>
            <w:noProof/>
            <w:webHidden/>
          </w:rPr>
          <w:t>235</w:t>
        </w:r>
        <w:r>
          <w:rPr>
            <w:noProof/>
            <w:webHidden/>
          </w:rPr>
          <w:fldChar w:fldCharType="end"/>
        </w:r>
      </w:hyperlink>
    </w:p>
    <w:p w14:paraId="36A54006" w14:textId="61B4E798" w:rsidR="0024171D" w:rsidRDefault="0024171D">
      <w:pPr>
        <w:pStyle w:val="Sumrio2"/>
        <w:rPr>
          <w:rFonts w:eastAsiaTheme="minorEastAsia" w:cstheme="minorBidi"/>
          <w:b w:val="0"/>
          <w:bCs w:val="0"/>
          <w:kern w:val="2"/>
          <w14:ligatures w14:val="standardContextual"/>
        </w:rPr>
      </w:pPr>
      <w:hyperlink w:anchor="_Toc161141392" w:history="1">
        <w:r w:rsidRPr="00F06B07">
          <w:rPr>
            <w:rStyle w:val="Hyperlink"/>
          </w:rPr>
          <w:t>CAPÍTULO XIV – PENALIDADES</w:t>
        </w:r>
        <w:r>
          <w:rPr>
            <w:webHidden/>
          </w:rPr>
          <w:tab/>
        </w:r>
        <w:r>
          <w:rPr>
            <w:webHidden/>
          </w:rPr>
          <w:fldChar w:fldCharType="begin"/>
        </w:r>
        <w:r>
          <w:rPr>
            <w:webHidden/>
          </w:rPr>
          <w:instrText xml:space="preserve"> PAGEREF _Toc161141392 \h </w:instrText>
        </w:r>
        <w:r>
          <w:rPr>
            <w:webHidden/>
          </w:rPr>
        </w:r>
        <w:r>
          <w:rPr>
            <w:webHidden/>
          </w:rPr>
          <w:fldChar w:fldCharType="separate"/>
        </w:r>
        <w:r>
          <w:rPr>
            <w:webHidden/>
          </w:rPr>
          <w:t>236</w:t>
        </w:r>
        <w:r>
          <w:rPr>
            <w:webHidden/>
          </w:rPr>
          <w:fldChar w:fldCharType="end"/>
        </w:r>
      </w:hyperlink>
    </w:p>
    <w:p w14:paraId="7C95FB38" w14:textId="16F999E3" w:rsidR="0024171D" w:rsidRDefault="0024171D">
      <w:pPr>
        <w:pStyle w:val="Sumrio2"/>
        <w:rPr>
          <w:rFonts w:eastAsiaTheme="minorEastAsia" w:cstheme="minorBidi"/>
          <w:b w:val="0"/>
          <w:bCs w:val="0"/>
          <w:kern w:val="2"/>
          <w14:ligatures w14:val="standardContextual"/>
        </w:rPr>
      </w:pPr>
      <w:hyperlink w:anchor="_Toc161141393" w:history="1">
        <w:r w:rsidRPr="00F06B07">
          <w:rPr>
            <w:rStyle w:val="Hyperlink"/>
          </w:rPr>
          <w:t>CAPÍTULO XV – DISPOSIÇÕES FINAIS</w:t>
        </w:r>
        <w:r>
          <w:rPr>
            <w:webHidden/>
          </w:rPr>
          <w:tab/>
        </w:r>
        <w:r>
          <w:rPr>
            <w:webHidden/>
          </w:rPr>
          <w:fldChar w:fldCharType="begin"/>
        </w:r>
        <w:r>
          <w:rPr>
            <w:webHidden/>
          </w:rPr>
          <w:instrText xml:space="preserve"> PAGEREF _Toc161141393 \h </w:instrText>
        </w:r>
        <w:r>
          <w:rPr>
            <w:webHidden/>
          </w:rPr>
        </w:r>
        <w:r>
          <w:rPr>
            <w:webHidden/>
          </w:rPr>
          <w:fldChar w:fldCharType="separate"/>
        </w:r>
        <w:r>
          <w:rPr>
            <w:webHidden/>
          </w:rPr>
          <w:t>236</w:t>
        </w:r>
        <w:r>
          <w:rPr>
            <w:webHidden/>
          </w:rPr>
          <w:fldChar w:fldCharType="end"/>
        </w:r>
      </w:hyperlink>
    </w:p>
    <w:p w14:paraId="20D399C4" w14:textId="00C37928" w:rsidR="0024171D" w:rsidRDefault="0024171D">
      <w:pPr>
        <w:pStyle w:val="Sumrio1"/>
        <w:rPr>
          <w:rFonts w:eastAsiaTheme="minorEastAsia" w:cstheme="minorBidi"/>
          <w:kern w:val="2"/>
          <w14:ligatures w14:val="standardContextual"/>
        </w:rPr>
      </w:pPr>
      <w:hyperlink w:anchor="_Toc161141394" w:history="1">
        <w:r w:rsidRPr="00F06B07">
          <w:rPr>
            <w:rStyle w:val="Hyperlink"/>
          </w:rPr>
          <w:t>ANEXO NORMATIVO VII – FUNDOS MÚTUOS DE PRIVATIZAÇÃO – FGTS</w:t>
        </w:r>
        <w:r>
          <w:rPr>
            <w:webHidden/>
          </w:rPr>
          <w:tab/>
        </w:r>
        <w:r>
          <w:rPr>
            <w:webHidden/>
          </w:rPr>
          <w:fldChar w:fldCharType="begin"/>
        </w:r>
        <w:r>
          <w:rPr>
            <w:webHidden/>
          </w:rPr>
          <w:instrText xml:space="preserve"> PAGEREF _Toc161141394 \h </w:instrText>
        </w:r>
        <w:r>
          <w:rPr>
            <w:webHidden/>
          </w:rPr>
        </w:r>
        <w:r>
          <w:rPr>
            <w:webHidden/>
          </w:rPr>
          <w:fldChar w:fldCharType="separate"/>
        </w:r>
        <w:r>
          <w:rPr>
            <w:webHidden/>
          </w:rPr>
          <w:t>237</w:t>
        </w:r>
        <w:r>
          <w:rPr>
            <w:webHidden/>
          </w:rPr>
          <w:fldChar w:fldCharType="end"/>
        </w:r>
      </w:hyperlink>
    </w:p>
    <w:p w14:paraId="70BEC8F2" w14:textId="6CBFBD5D" w:rsidR="0024171D" w:rsidRDefault="0024171D">
      <w:pPr>
        <w:pStyle w:val="Sumrio2"/>
        <w:rPr>
          <w:rFonts w:eastAsiaTheme="minorEastAsia" w:cstheme="minorBidi"/>
          <w:b w:val="0"/>
          <w:bCs w:val="0"/>
          <w:kern w:val="2"/>
          <w14:ligatures w14:val="standardContextual"/>
        </w:rPr>
      </w:pPr>
      <w:hyperlink w:anchor="_Toc161141395" w:history="1">
        <w:r w:rsidRPr="00F06B07">
          <w:rPr>
            <w:rStyle w:val="Hyperlink"/>
          </w:rPr>
          <w:t>CAPÍTULO I – ÂMBITO E FINALIDADE</w:t>
        </w:r>
        <w:r>
          <w:rPr>
            <w:webHidden/>
          </w:rPr>
          <w:tab/>
        </w:r>
        <w:r>
          <w:rPr>
            <w:webHidden/>
          </w:rPr>
          <w:fldChar w:fldCharType="begin"/>
        </w:r>
        <w:r>
          <w:rPr>
            <w:webHidden/>
          </w:rPr>
          <w:instrText xml:space="preserve"> PAGEREF _Toc161141395 \h </w:instrText>
        </w:r>
        <w:r>
          <w:rPr>
            <w:webHidden/>
          </w:rPr>
        </w:r>
        <w:r>
          <w:rPr>
            <w:webHidden/>
          </w:rPr>
          <w:fldChar w:fldCharType="separate"/>
        </w:r>
        <w:r>
          <w:rPr>
            <w:webHidden/>
          </w:rPr>
          <w:t>237</w:t>
        </w:r>
        <w:r>
          <w:rPr>
            <w:webHidden/>
          </w:rPr>
          <w:fldChar w:fldCharType="end"/>
        </w:r>
      </w:hyperlink>
    </w:p>
    <w:p w14:paraId="622FD676" w14:textId="6658C12A" w:rsidR="0024171D" w:rsidRDefault="0024171D">
      <w:pPr>
        <w:pStyle w:val="Sumrio2"/>
        <w:rPr>
          <w:rFonts w:eastAsiaTheme="minorEastAsia" w:cstheme="minorBidi"/>
          <w:b w:val="0"/>
          <w:bCs w:val="0"/>
          <w:kern w:val="2"/>
          <w14:ligatures w14:val="standardContextual"/>
        </w:rPr>
      </w:pPr>
      <w:hyperlink w:anchor="_Toc161141396" w:history="1">
        <w:r w:rsidRPr="00F06B07">
          <w:rPr>
            <w:rStyle w:val="Hyperlink"/>
          </w:rPr>
          <w:t>CAPÍTULO II – CARACTERÍSTICAS E CONSTITUIÇÃO</w:t>
        </w:r>
        <w:r>
          <w:rPr>
            <w:webHidden/>
          </w:rPr>
          <w:tab/>
        </w:r>
        <w:r>
          <w:rPr>
            <w:webHidden/>
          </w:rPr>
          <w:fldChar w:fldCharType="begin"/>
        </w:r>
        <w:r>
          <w:rPr>
            <w:webHidden/>
          </w:rPr>
          <w:instrText xml:space="preserve"> PAGEREF _Toc161141396 \h </w:instrText>
        </w:r>
        <w:r>
          <w:rPr>
            <w:webHidden/>
          </w:rPr>
        </w:r>
        <w:r>
          <w:rPr>
            <w:webHidden/>
          </w:rPr>
          <w:fldChar w:fldCharType="separate"/>
        </w:r>
        <w:r>
          <w:rPr>
            <w:webHidden/>
          </w:rPr>
          <w:t>237</w:t>
        </w:r>
        <w:r>
          <w:rPr>
            <w:webHidden/>
          </w:rPr>
          <w:fldChar w:fldCharType="end"/>
        </w:r>
      </w:hyperlink>
    </w:p>
    <w:p w14:paraId="60435218" w14:textId="6BACF31A" w:rsidR="0024171D" w:rsidRDefault="0024171D">
      <w:pPr>
        <w:pStyle w:val="Sumrio2"/>
        <w:rPr>
          <w:rFonts w:eastAsiaTheme="minorEastAsia" w:cstheme="minorBidi"/>
          <w:b w:val="0"/>
          <w:bCs w:val="0"/>
          <w:kern w:val="2"/>
          <w14:ligatures w14:val="standardContextual"/>
        </w:rPr>
      </w:pPr>
      <w:hyperlink w:anchor="_Toc161141397" w:history="1">
        <w:r w:rsidRPr="00F06B07">
          <w:rPr>
            <w:rStyle w:val="Hyperlink"/>
          </w:rPr>
          <w:t>CAPÍTULO III – REGULAMENTO</w:t>
        </w:r>
        <w:r>
          <w:rPr>
            <w:webHidden/>
          </w:rPr>
          <w:tab/>
        </w:r>
        <w:r>
          <w:rPr>
            <w:webHidden/>
          </w:rPr>
          <w:fldChar w:fldCharType="begin"/>
        </w:r>
        <w:r>
          <w:rPr>
            <w:webHidden/>
          </w:rPr>
          <w:instrText xml:space="preserve"> PAGEREF _Toc161141397 \h </w:instrText>
        </w:r>
        <w:r>
          <w:rPr>
            <w:webHidden/>
          </w:rPr>
        </w:r>
        <w:r>
          <w:rPr>
            <w:webHidden/>
          </w:rPr>
          <w:fldChar w:fldCharType="separate"/>
        </w:r>
        <w:r>
          <w:rPr>
            <w:webHidden/>
          </w:rPr>
          <w:t>237</w:t>
        </w:r>
        <w:r>
          <w:rPr>
            <w:webHidden/>
          </w:rPr>
          <w:fldChar w:fldCharType="end"/>
        </w:r>
      </w:hyperlink>
    </w:p>
    <w:p w14:paraId="11B14BC5" w14:textId="59BD75DB" w:rsidR="0024171D" w:rsidRDefault="0024171D">
      <w:pPr>
        <w:pStyle w:val="Sumrio2"/>
        <w:rPr>
          <w:rFonts w:eastAsiaTheme="minorEastAsia" w:cstheme="minorBidi"/>
          <w:b w:val="0"/>
          <w:bCs w:val="0"/>
          <w:kern w:val="2"/>
          <w14:ligatures w14:val="standardContextual"/>
        </w:rPr>
      </w:pPr>
      <w:hyperlink w:anchor="_Toc161141398" w:history="1">
        <w:r w:rsidRPr="00F06B07">
          <w:rPr>
            <w:rStyle w:val="Hyperlink"/>
          </w:rPr>
          <w:t>CAPÍTULO IV – PRESTAÇÃO DE SERVIÇOS</w:t>
        </w:r>
        <w:r>
          <w:rPr>
            <w:webHidden/>
          </w:rPr>
          <w:tab/>
        </w:r>
        <w:r>
          <w:rPr>
            <w:webHidden/>
          </w:rPr>
          <w:fldChar w:fldCharType="begin"/>
        </w:r>
        <w:r>
          <w:rPr>
            <w:webHidden/>
          </w:rPr>
          <w:instrText xml:space="preserve"> PAGEREF _Toc161141398 \h </w:instrText>
        </w:r>
        <w:r>
          <w:rPr>
            <w:webHidden/>
          </w:rPr>
        </w:r>
        <w:r>
          <w:rPr>
            <w:webHidden/>
          </w:rPr>
          <w:fldChar w:fldCharType="separate"/>
        </w:r>
        <w:r>
          <w:rPr>
            <w:webHidden/>
          </w:rPr>
          <w:t>238</w:t>
        </w:r>
        <w:r>
          <w:rPr>
            <w:webHidden/>
          </w:rPr>
          <w:fldChar w:fldCharType="end"/>
        </w:r>
      </w:hyperlink>
    </w:p>
    <w:p w14:paraId="59B4915E" w14:textId="703E9657" w:rsidR="0024171D" w:rsidRDefault="0024171D">
      <w:pPr>
        <w:pStyle w:val="Sumrio2"/>
        <w:rPr>
          <w:rFonts w:eastAsiaTheme="minorEastAsia" w:cstheme="minorBidi"/>
          <w:b w:val="0"/>
          <w:bCs w:val="0"/>
          <w:kern w:val="2"/>
          <w14:ligatures w14:val="standardContextual"/>
        </w:rPr>
      </w:pPr>
      <w:hyperlink w:anchor="_Toc161141399" w:history="1">
        <w:r w:rsidRPr="00F06B07">
          <w:rPr>
            <w:rStyle w:val="Hyperlink"/>
          </w:rPr>
          <w:t>CAPÍTULO V – ASSEMBLEIA DE COTISTAS</w:t>
        </w:r>
        <w:r>
          <w:rPr>
            <w:webHidden/>
          </w:rPr>
          <w:tab/>
        </w:r>
        <w:r>
          <w:rPr>
            <w:webHidden/>
          </w:rPr>
          <w:fldChar w:fldCharType="begin"/>
        </w:r>
        <w:r>
          <w:rPr>
            <w:webHidden/>
          </w:rPr>
          <w:instrText xml:space="preserve"> PAGEREF _Toc161141399 \h </w:instrText>
        </w:r>
        <w:r>
          <w:rPr>
            <w:webHidden/>
          </w:rPr>
        </w:r>
        <w:r>
          <w:rPr>
            <w:webHidden/>
          </w:rPr>
          <w:fldChar w:fldCharType="separate"/>
        </w:r>
        <w:r>
          <w:rPr>
            <w:webHidden/>
          </w:rPr>
          <w:t>239</w:t>
        </w:r>
        <w:r>
          <w:rPr>
            <w:webHidden/>
          </w:rPr>
          <w:fldChar w:fldCharType="end"/>
        </w:r>
      </w:hyperlink>
    </w:p>
    <w:p w14:paraId="7F39A3F4" w14:textId="6E1EB136" w:rsidR="0024171D" w:rsidRDefault="0024171D">
      <w:pPr>
        <w:pStyle w:val="Sumrio2"/>
        <w:rPr>
          <w:rFonts w:eastAsiaTheme="minorEastAsia" w:cstheme="minorBidi"/>
          <w:b w:val="0"/>
          <w:bCs w:val="0"/>
          <w:kern w:val="2"/>
          <w14:ligatures w14:val="standardContextual"/>
        </w:rPr>
      </w:pPr>
      <w:hyperlink w:anchor="_Toc161141400" w:history="1">
        <w:r w:rsidRPr="00F06B07">
          <w:rPr>
            <w:rStyle w:val="Hyperlink"/>
          </w:rPr>
          <w:t>CAPÍTULO VI – COTAS</w:t>
        </w:r>
        <w:r>
          <w:rPr>
            <w:webHidden/>
          </w:rPr>
          <w:tab/>
        </w:r>
        <w:r>
          <w:rPr>
            <w:webHidden/>
          </w:rPr>
          <w:fldChar w:fldCharType="begin"/>
        </w:r>
        <w:r>
          <w:rPr>
            <w:webHidden/>
          </w:rPr>
          <w:instrText xml:space="preserve"> PAGEREF _Toc161141400 \h </w:instrText>
        </w:r>
        <w:r>
          <w:rPr>
            <w:webHidden/>
          </w:rPr>
        </w:r>
        <w:r>
          <w:rPr>
            <w:webHidden/>
          </w:rPr>
          <w:fldChar w:fldCharType="separate"/>
        </w:r>
        <w:r>
          <w:rPr>
            <w:webHidden/>
          </w:rPr>
          <w:t>240</w:t>
        </w:r>
        <w:r>
          <w:rPr>
            <w:webHidden/>
          </w:rPr>
          <w:fldChar w:fldCharType="end"/>
        </w:r>
      </w:hyperlink>
    </w:p>
    <w:p w14:paraId="6153BB8E" w14:textId="0BFD11B8" w:rsidR="0024171D" w:rsidRDefault="0024171D">
      <w:pPr>
        <w:pStyle w:val="Sumrio2"/>
        <w:rPr>
          <w:rFonts w:eastAsiaTheme="minorEastAsia" w:cstheme="minorBidi"/>
          <w:b w:val="0"/>
          <w:bCs w:val="0"/>
          <w:kern w:val="2"/>
          <w14:ligatures w14:val="standardContextual"/>
        </w:rPr>
      </w:pPr>
      <w:hyperlink w:anchor="_Toc161141401" w:history="1">
        <w:r w:rsidRPr="00F06B07">
          <w:rPr>
            <w:rStyle w:val="Hyperlink"/>
          </w:rPr>
          <w:t>CAPÍTULO VII – CARTEIRA</w:t>
        </w:r>
        <w:r>
          <w:rPr>
            <w:webHidden/>
          </w:rPr>
          <w:tab/>
        </w:r>
        <w:r>
          <w:rPr>
            <w:webHidden/>
          </w:rPr>
          <w:fldChar w:fldCharType="begin"/>
        </w:r>
        <w:r>
          <w:rPr>
            <w:webHidden/>
          </w:rPr>
          <w:instrText xml:space="preserve"> PAGEREF _Toc161141401 \h </w:instrText>
        </w:r>
        <w:r>
          <w:rPr>
            <w:webHidden/>
          </w:rPr>
        </w:r>
        <w:r>
          <w:rPr>
            <w:webHidden/>
          </w:rPr>
          <w:fldChar w:fldCharType="separate"/>
        </w:r>
        <w:r>
          <w:rPr>
            <w:webHidden/>
          </w:rPr>
          <w:t>241</w:t>
        </w:r>
        <w:r>
          <w:rPr>
            <w:webHidden/>
          </w:rPr>
          <w:fldChar w:fldCharType="end"/>
        </w:r>
      </w:hyperlink>
    </w:p>
    <w:p w14:paraId="644F106C" w14:textId="7BDC8FAF" w:rsidR="0024171D" w:rsidRDefault="0024171D">
      <w:pPr>
        <w:pStyle w:val="Sumrio2"/>
        <w:rPr>
          <w:rFonts w:eastAsiaTheme="minorEastAsia" w:cstheme="minorBidi"/>
          <w:b w:val="0"/>
          <w:bCs w:val="0"/>
          <w:kern w:val="2"/>
          <w14:ligatures w14:val="standardContextual"/>
        </w:rPr>
      </w:pPr>
      <w:hyperlink w:anchor="_Toc161141402" w:history="1">
        <w:r w:rsidRPr="00F06B07">
          <w:rPr>
            <w:rStyle w:val="Hyperlink"/>
          </w:rPr>
          <w:t>CAPÍTULO VIII – ENCARGOS</w:t>
        </w:r>
        <w:r>
          <w:rPr>
            <w:webHidden/>
          </w:rPr>
          <w:tab/>
        </w:r>
        <w:r>
          <w:rPr>
            <w:webHidden/>
          </w:rPr>
          <w:fldChar w:fldCharType="begin"/>
        </w:r>
        <w:r>
          <w:rPr>
            <w:webHidden/>
          </w:rPr>
          <w:instrText xml:space="preserve"> PAGEREF _Toc161141402 \h </w:instrText>
        </w:r>
        <w:r>
          <w:rPr>
            <w:webHidden/>
          </w:rPr>
        </w:r>
        <w:r>
          <w:rPr>
            <w:webHidden/>
          </w:rPr>
          <w:fldChar w:fldCharType="separate"/>
        </w:r>
        <w:r>
          <w:rPr>
            <w:webHidden/>
          </w:rPr>
          <w:t>243</w:t>
        </w:r>
        <w:r>
          <w:rPr>
            <w:webHidden/>
          </w:rPr>
          <w:fldChar w:fldCharType="end"/>
        </w:r>
      </w:hyperlink>
    </w:p>
    <w:p w14:paraId="4835F745" w14:textId="6340B641" w:rsidR="0024171D" w:rsidRDefault="0024171D">
      <w:pPr>
        <w:pStyle w:val="Sumrio2"/>
        <w:rPr>
          <w:rFonts w:eastAsiaTheme="minorEastAsia" w:cstheme="minorBidi"/>
          <w:b w:val="0"/>
          <w:bCs w:val="0"/>
          <w:kern w:val="2"/>
          <w14:ligatures w14:val="standardContextual"/>
        </w:rPr>
      </w:pPr>
      <w:hyperlink w:anchor="_Toc161141403" w:history="1">
        <w:r w:rsidRPr="00F06B07">
          <w:rPr>
            <w:rStyle w:val="Hyperlink"/>
          </w:rPr>
          <w:t>CAPÍTULO IX – DIVULGAÇÃO DE INFORMAÇÕES</w:t>
        </w:r>
        <w:r>
          <w:rPr>
            <w:webHidden/>
          </w:rPr>
          <w:tab/>
        </w:r>
        <w:r>
          <w:rPr>
            <w:webHidden/>
          </w:rPr>
          <w:fldChar w:fldCharType="begin"/>
        </w:r>
        <w:r>
          <w:rPr>
            <w:webHidden/>
          </w:rPr>
          <w:instrText xml:space="preserve"> PAGEREF _Toc161141403 \h </w:instrText>
        </w:r>
        <w:r>
          <w:rPr>
            <w:webHidden/>
          </w:rPr>
        </w:r>
        <w:r>
          <w:rPr>
            <w:webHidden/>
          </w:rPr>
          <w:fldChar w:fldCharType="separate"/>
        </w:r>
        <w:r>
          <w:rPr>
            <w:webHidden/>
          </w:rPr>
          <w:t>243</w:t>
        </w:r>
        <w:r>
          <w:rPr>
            <w:webHidden/>
          </w:rPr>
          <w:fldChar w:fldCharType="end"/>
        </w:r>
      </w:hyperlink>
    </w:p>
    <w:p w14:paraId="595BEB74" w14:textId="4EBF8A9F" w:rsidR="0024171D" w:rsidRDefault="0024171D">
      <w:pPr>
        <w:pStyle w:val="Sumrio2"/>
        <w:rPr>
          <w:rFonts w:eastAsiaTheme="minorEastAsia" w:cstheme="minorBidi"/>
          <w:b w:val="0"/>
          <w:bCs w:val="0"/>
          <w:kern w:val="2"/>
          <w14:ligatures w14:val="standardContextual"/>
        </w:rPr>
      </w:pPr>
      <w:hyperlink w:anchor="_Toc161141404" w:history="1">
        <w:r w:rsidRPr="00F06B07">
          <w:rPr>
            <w:rStyle w:val="Hyperlink"/>
          </w:rPr>
          <w:t>CAPÍTULO X – DISPOSIÇÕES FINAIS</w:t>
        </w:r>
        <w:r>
          <w:rPr>
            <w:webHidden/>
          </w:rPr>
          <w:tab/>
        </w:r>
        <w:r>
          <w:rPr>
            <w:webHidden/>
          </w:rPr>
          <w:fldChar w:fldCharType="begin"/>
        </w:r>
        <w:r>
          <w:rPr>
            <w:webHidden/>
          </w:rPr>
          <w:instrText xml:space="preserve"> PAGEREF _Toc161141404 \h </w:instrText>
        </w:r>
        <w:r>
          <w:rPr>
            <w:webHidden/>
          </w:rPr>
        </w:r>
        <w:r>
          <w:rPr>
            <w:webHidden/>
          </w:rPr>
          <w:fldChar w:fldCharType="separate"/>
        </w:r>
        <w:r>
          <w:rPr>
            <w:webHidden/>
          </w:rPr>
          <w:t>244</w:t>
        </w:r>
        <w:r>
          <w:rPr>
            <w:webHidden/>
          </w:rPr>
          <w:fldChar w:fldCharType="end"/>
        </w:r>
      </w:hyperlink>
    </w:p>
    <w:p w14:paraId="3664B5BB" w14:textId="0DF73205" w:rsidR="0024171D" w:rsidRDefault="0024171D">
      <w:pPr>
        <w:pStyle w:val="Sumrio1"/>
        <w:rPr>
          <w:rFonts w:eastAsiaTheme="minorEastAsia" w:cstheme="minorBidi"/>
          <w:kern w:val="2"/>
          <w14:ligatures w14:val="standardContextual"/>
        </w:rPr>
      </w:pPr>
      <w:hyperlink w:anchor="_Toc161141405" w:history="1">
        <w:r w:rsidRPr="00F06B07">
          <w:rPr>
            <w:rStyle w:val="Hyperlink"/>
          </w:rPr>
          <w:t>ANEXO NORMATIVO VIII – FUNDOS DE FINANCIAMENTO DA INDÚSTRIA CINEMATOGRÁFICA NACIONAL</w:t>
        </w:r>
        <w:r>
          <w:rPr>
            <w:webHidden/>
          </w:rPr>
          <w:tab/>
        </w:r>
        <w:r>
          <w:rPr>
            <w:webHidden/>
          </w:rPr>
          <w:fldChar w:fldCharType="begin"/>
        </w:r>
        <w:r>
          <w:rPr>
            <w:webHidden/>
          </w:rPr>
          <w:instrText xml:space="preserve"> PAGEREF _Toc161141405 \h </w:instrText>
        </w:r>
        <w:r>
          <w:rPr>
            <w:webHidden/>
          </w:rPr>
        </w:r>
        <w:r>
          <w:rPr>
            <w:webHidden/>
          </w:rPr>
          <w:fldChar w:fldCharType="separate"/>
        </w:r>
        <w:r>
          <w:rPr>
            <w:webHidden/>
          </w:rPr>
          <w:t>245</w:t>
        </w:r>
        <w:r>
          <w:rPr>
            <w:webHidden/>
          </w:rPr>
          <w:fldChar w:fldCharType="end"/>
        </w:r>
      </w:hyperlink>
    </w:p>
    <w:p w14:paraId="509C92AF" w14:textId="50F89EE5" w:rsidR="0024171D" w:rsidRDefault="0024171D">
      <w:pPr>
        <w:pStyle w:val="Sumrio2"/>
        <w:rPr>
          <w:rFonts w:eastAsiaTheme="minorEastAsia" w:cstheme="minorBidi"/>
          <w:b w:val="0"/>
          <w:bCs w:val="0"/>
          <w:kern w:val="2"/>
          <w14:ligatures w14:val="standardContextual"/>
        </w:rPr>
      </w:pPr>
      <w:hyperlink w:anchor="_Toc161141406" w:history="1">
        <w:r w:rsidRPr="00F06B07">
          <w:rPr>
            <w:rStyle w:val="Hyperlink"/>
          </w:rPr>
          <w:t>CAPÍTULO I – ÂMBITO E FINALIDADE</w:t>
        </w:r>
        <w:r>
          <w:rPr>
            <w:webHidden/>
          </w:rPr>
          <w:tab/>
        </w:r>
        <w:r>
          <w:rPr>
            <w:webHidden/>
          </w:rPr>
          <w:fldChar w:fldCharType="begin"/>
        </w:r>
        <w:r>
          <w:rPr>
            <w:webHidden/>
          </w:rPr>
          <w:instrText xml:space="preserve"> PAGEREF _Toc161141406 \h </w:instrText>
        </w:r>
        <w:r>
          <w:rPr>
            <w:webHidden/>
          </w:rPr>
        </w:r>
        <w:r>
          <w:rPr>
            <w:webHidden/>
          </w:rPr>
          <w:fldChar w:fldCharType="separate"/>
        </w:r>
        <w:r>
          <w:rPr>
            <w:webHidden/>
          </w:rPr>
          <w:t>245</w:t>
        </w:r>
        <w:r>
          <w:rPr>
            <w:webHidden/>
          </w:rPr>
          <w:fldChar w:fldCharType="end"/>
        </w:r>
      </w:hyperlink>
    </w:p>
    <w:p w14:paraId="21B435EB" w14:textId="0AADA6D1" w:rsidR="0024171D" w:rsidRDefault="0024171D">
      <w:pPr>
        <w:pStyle w:val="Sumrio2"/>
        <w:rPr>
          <w:rFonts w:eastAsiaTheme="minorEastAsia" w:cstheme="minorBidi"/>
          <w:b w:val="0"/>
          <w:bCs w:val="0"/>
          <w:kern w:val="2"/>
          <w14:ligatures w14:val="standardContextual"/>
        </w:rPr>
      </w:pPr>
      <w:hyperlink w:anchor="_Toc161141407" w:history="1">
        <w:r w:rsidRPr="00F06B07">
          <w:rPr>
            <w:rStyle w:val="Hyperlink"/>
          </w:rPr>
          <w:t>CAPÍTULO II – DEFINIÇÕES</w:t>
        </w:r>
        <w:r>
          <w:rPr>
            <w:webHidden/>
          </w:rPr>
          <w:tab/>
        </w:r>
        <w:r>
          <w:rPr>
            <w:webHidden/>
          </w:rPr>
          <w:fldChar w:fldCharType="begin"/>
        </w:r>
        <w:r>
          <w:rPr>
            <w:webHidden/>
          </w:rPr>
          <w:instrText xml:space="preserve"> PAGEREF _Toc161141407 \h </w:instrText>
        </w:r>
        <w:r>
          <w:rPr>
            <w:webHidden/>
          </w:rPr>
        </w:r>
        <w:r>
          <w:rPr>
            <w:webHidden/>
          </w:rPr>
          <w:fldChar w:fldCharType="separate"/>
        </w:r>
        <w:r>
          <w:rPr>
            <w:webHidden/>
          </w:rPr>
          <w:t>245</w:t>
        </w:r>
        <w:r>
          <w:rPr>
            <w:webHidden/>
          </w:rPr>
          <w:fldChar w:fldCharType="end"/>
        </w:r>
      </w:hyperlink>
    </w:p>
    <w:p w14:paraId="198532E5" w14:textId="439DAD50" w:rsidR="0024171D" w:rsidRDefault="0024171D">
      <w:pPr>
        <w:pStyle w:val="Sumrio2"/>
        <w:rPr>
          <w:rFonts w:eastAsiaTheme="minorEastAsia" w:cstheme="minorBidi"/>
          <w:b w:val="0"/>
          <w:bCs w:val="0"/>
          <w:kern w:val="2"/>
          <w14:ligatures w14:val="standardContextual"/>
        </w:rPr>
      </w:pPr>
      <w:hyperlink w:anchor="_Toc161141408" w:history="1">
        <w:r w:rsidRPr="00F06B07">
          <w:rPr>
            <w:rStyle w:val="Hyperlink"/>
          </w:rPr>
          <w:t>CAPÍTULO III – CARACTERÍSTICAS E CONSTITUIÇÃO</w:t>
        </w:r>
        <w:r>
          <w:rPr>
            <w:webHidden/>
          </w:rPr>
          <w:tab/>
        </w:r>
        <w:r>
          <w:rPr>
            <w:webHidden/>
          </w:rPr>
          <w:fldChar w:fldCharType="begin"/>
        </w:r>
        <w:r>
          <w:rPr>
            <w:webHidden/>
          </w:rPr>
          <w:instrText xml:space="preserve"> PAGEREF _Toc161141408 \h </w:instrText>
        </w:r>
        <w:r>
          <w:rPr>
            <w:webHidden/>
          </w:rPr>
        </w:r>
        <w:r>
          <w:rPr>
            <w:webHidden/>
          </w:rPr>
          <w:fldChar w:fldCharType="separate"/>
        </w:r>
        <w:r>
          <w:rPr>
            <w:webHidden/>
          </w:rPr>
          <w:t>246</w:t>
        </w:r>
        <w:r>
          <w:rPr>
            <w:webHidden/>
          </w:rPr>
          <w:fldChar w:fldCharType="end"/>
        </w:r>
      </w:hyperlink>
    </w:p>
    <w:p w14:paraId="25FE2959" w14:textId="4EECB8E6" w:rsidR="0024171D" w:rsidRDefault="0024171D">
      <w:pPr>
        <w:pStyle w:val="Sumrio2"/>
        <w:rPr>
          <w:rFonts w:eastAsiaTheme="minorEastAsia" w:cstheme="minorBidi"/>
          <w:b w:val="0"/>
          <w:bCs w:val="0"/>
          <w:kern w:val="2"/>
          <w14:ligatures w14:val="standardContextual"/>
        </w:rPr>
      </w:pPr>
      <w:hyperlink w:anchor="_Toc161141409" w:history="1">
        <w:r w:rsidRPr="00F06B07">
          <w:rPr>
            <w:rStyle w:val="Hyperlink"/>
          </w:rPr>
          <w:t>CAPÍTULO IV – CARTEIRA</w:t>
        </w:r>
        <w:r>
          <w:rPr>
            <w:webHidden/>
          </w:rPr>
          <w:tab/>
        </w:r>
        <w:r>
          <w:rPr>
            <w:webHidden/>
          </w:rPr>
          <w:fldChar w:fldCharType="begin"/>
        </w:r>
        <w:r>
          <w:rPr>
            <w:webHidden/>
          </w:rPr>
          <w:instrText xml:space="preserve"> PAGEREF _Toc161141409 \h </w:instrText>
        </w:r>
        <w:r>
          <w:rPr>
            <w:webHidden/>
          </w:rPr>
        </w:r>
        <w:r>
          <w:rPr>
            <w:webHidden/>
          </w:rPr>
          <w:fldChar w:fldCharType="separate"/>
        </w:r>
        <w:r>
          <w:rPr>
            <w:webHidden/>
          </w:rPr>
          <w:t>246</w:t>
        </w:r>
        <w:r>
          <w:rPr>
            <w:webHidden/>
          </w:rPr>
          <w:fldChar w:fldCharType="end"/>
        </w:r>
      </w:hyperlink>
    </w:p>
    <w:p w14:paraId="228510FA" w14:textId="4EBEE06C" w:rsidR="0024171D" w:rsidRDefault="0024171D">
      <w:pPr>
        <w:pStyle w:val="Sumrio2"/>
        <w:rPr>
          <w:rFonts w:eastAsiaTheme="minorEastAsia" w:cstheme="minorBidi"/>
          <w:b w:val="0"/>
          <w:bCs w:val="0"/>
          <w:kern w:val="2"/>
          <w14:ligatures w14:val="standardContextual"/>
        </w:rPr>
      </w:pPr>
      <w:hyperlink w:anchor="_Toc161141410" w:history="1">
        <w:r w:rsidRPr="00F06B07">
          <w:rPr>
            <w:rStyle w:val="Hyperlink"/>
          </w:rPr>
          <w:t>CAPÍTULO V – COTAS</w:t>
        </w:r>
        <w:r>
          <w:rPr>
            <w:webHidden/>
          </w:rPr>
          <w:tab/>
        </w:r>
        <w:r>
          <w:rPr>
            <w:webHidden/>
          </w:rPr>
          <w:fldChar w:fldCharType="begin"/>
        </w:r>
        <w:r>
          <w:rPr>
            <w:webHidden/>
          </w:rPr>
          <w:instrText xml:space="preserve"> PAGEREF _Toc161141410 \h </w:instrText>
        </w:r>
        <w:r>
          <w:rPr>
            <w:webHidden/>
          </w:rPr>
        </w:r>
        <w:r>
          <w:rPr>
            <w:webHidden/>
          </w:rPr>
          <w:fldChar w:fldCharType="separate"/>
        </w:r>
        <w:r>
          <w:rPr>
            <w:webHidden/>
          </w:rPr>
          <w:t>248</w:t>
        </w:r>
        <w:r>
          <w:rPr>
            <w:webHidden/>
          </w:rPr>
          <w:fldChar w:fldCharType="end"/>
        </w:r>
      </w:hyperlink>
    </w:p>
    <w:p w14:paraId="65E911E5" w14:textId="5CD3E9EA" w:rsidR="0024171D" w:rsidRDefault="0024171D">
      <w:pPr>
        <w:pStyle w:val="Sumrio2"/>
        <w:rPr>
          <w:rFonts w:eastAsiaTheme="minorEastAsia" w:cstheme="minorBidi"/>
          <w:b w:val="0"/>
          <w:bCs w:val="0"/>
          <w:kern w:val="2"/>
          <w14:ligatures w14:val="standardContextual"/>
        </w:rPr>
      </w:pPr>
      <w:hyperlink w:anchor="_Toc161141411" w:history="1">
        <w:r w:rsidRPr="00F06B07">
          <w:rPr>
            <w:rStyle w:val="Hyperlink"/>
          </w:rPr>
          <w:t>CAPÍTULO VI – REGULAMENTO</w:t>
        </w:r>
        <w:r>
          <w:rPr>
            <w:webHidden/>
          </w:rPr>
          <w:tab/>
        </w:r>
        <w:r>
          <w:rPr>
            <w:webHidden/>
          </w:rPr>
          <w:fldChar w:fldCharType="begin"/>
        </w:r>
        <w:r>
          <w:rPr>
            <w:webHidden/>
          </w:rPr>
          <w:instrText xml:space="preserve"> PAGEREF _Toc161141411 \h </w:instrText>
        </w:r>
        <w:r>
          <w:rPr>
            <w:webHidden/>
          </w:rPr>
        </w:r>
        <w:r>
          <w:rPr>
            <w:webHidden/>
          </w:rPr>
          <w:fldChar w:fldCharType="separate"/>
        </w:r>
        <w:r>
          <w:rPr>
            <w:webHidden/>
          </w:rPr>
          <w:t>249</w:t>
        </w:r>
        <w:r>
          <w:rPr>
            <w:webHidden/>
          </w:rPr>
          <w:fldChar w:fldCharType="end"/>
        </w:r>
      </w:hyperlink>
    </w:p>
    <w:p w14:paraId="39607E8B" w14:textId="18168CD6" w:rsidR="0024171D" w:rsidRDefault="0024171D">
      <w:pPr>
        <w:pStyle w:val="Sumrio2"/>
        <w:rPr>
          <w:rFonts w:eastAsiaTheme="minorEastAsia" w:cstheme="minorBidi"/>
          <w:b w:val="0"/>
          <w:bCs w:val="0"/>
          <w:kern w:val="2"/>
          <w14:ligatures w14:val="standardContextual"/>
        </w:rPr>
      </w:pPr>
      <w:hyperlink w:anchor="_Toc161141412" w:history="1">
        <w:r w:rsidRPr="00F06B07">
          <w:rPr>
            <w:rStyle w:val="Hyperlink"/>
          </w:rPr>
          <w:t>CAPÍTULO VII – PRESTAÇÃO DE SERVIÇOS</w:t>
        </w:r>
        <w:r>
          <w:rPr>
            <w:webHidden/>
          </w:rPr>
          <w:tab/>
        </w:r>
        <w:r>
          <w:rPr>
            <w:webHidden/>
          </w:rPr>
          <w:fldChar w:fldCharType="begin"/>
        </w:r>
        <w:r>
          <w:rPr>
            <w:webHidden/>
          </w:rPr>
          <w:instrText xml:space="preserve"> PAGEREF _Toc161141412 \h </w:instrText>
        </w:r>
        <w:r>
          <w:rPr>
            <w:webHidden/>
          </w:rPr>
        </w:r>
        <w:r>
          <w:rPr>
            <w:webHidden/>
          </w:rPr>
          <w:fldChar w:fldCharType="separate"/>
        </w:r>
        <w:r>
          <w:rPr>
            <w:webHidden/>
          </w:rPr>
          <w:t>250</w:t>
        </w:r>
        <w:r>
          <w:rPr>
            <w:webHidden/>
          </w:rPr>
          <w:fldChar w:fldCharType="end"/>
        </w:r>
      </w:hyperlink>
    </w:p>
    <w:p w14:paraId="45E37A1B" w14:textId="03719CB3" w:rsidR="0024171D" w:rsidRDefault="0024171D">
      <w:pPr>
        <w:pStyle w:val="Sumrio2"/>
        <w:rPr>
          <w:rFonts w:eastAsiaTheme="minorEastAsia" w:cstheme="minorBidi"/>
          <w:b w:val="0"/>
          <w:bCs w:val="0"/>
          <w:kern w:val="2"/>
          <w14:ligatures w14:val="standardContextual"/>
        </w:rPr>
      </w:pPr>
      <w:hyperlink w:anchor="_Toc161141413" w:history="1">
        <w:r w:rsidRPr="00F06B07">
          <w:rPr>
            <w:rStyle w:val="Hyperlink"/>
          </w:rPr>
          <w:t>CAPÍTULO VIII – DIVULGAÇÃO DE INFORMAÇÕES</w:t>
        </w:r>
        <w:r>
          <w:rPr>
            <w:webHidden/>
          </w:rPr>
          <w:tab/>
        </w:r>
        <w:r>
          <w:rPr>
            <w:webHidden/>
          </w:rPr>
          <w:fldChar w:fldCharType="begin"/>
        </w:r>
        <w:r>
          <w:rPr>
            <w:webHidden/>
          </w:rPr>
          <w:instrText xml:space="preserve"> PAGEREF _Toc161141413 \h </w:instrText>
        </w:r>
        <w:r>
          <w:rPr>
            <w:webHidden/>
          </w:rPr>
        </w:r>
        <w:r>
          <w:rPr>
            <w:webHidden/>
          </w:rPr>
          <w:fldChar w:fldCharType="separate"/>
        </w:r>
        <w:r>
          <w:rPr>
            <w:webHidden/>
          </w:rPr>
          <w:t>250</w:t>
        </w:r>
        <w:r>
          <w:rPr>
            <w:webHidden/>
          </w:rPr>
          <w:fldChar w:fldCharType="end"/>
        </w:r>
      </w:hyperlink>
    </w:p>
    <w:p w14:paraId="42D02EF5" w14:textId="1E877255" w:rsidR="0024171D" w:rsidRDefault="0024171D">
      <w:pPr>
        <w:pStyle w:val="Sumrio1"/>
        <w:rPr>
          <w:rFonts w:eastAsiaTheme="minorEastAsia" w:cstheme="minorBidi"/>
          <w:kern w:val="2"/>
          <w14:ligatures w14:val="standardContextual"/>
        </w:rPr>
      </w:pPr>
      <w:hyperlink w:anchor="_Toc161141414" w:history="1">
        <w:r w:rsidRPr="00F06B07">
          <w:rPr>
            <w:rStyle w:val="Hyperlink"/>
          </w:rPr>
          <w:t>ANEXO NORMATIVO IX – FUNDOS MÚTUOS DE AÇÕES INCENTIVADAS</w:t>
        </w:r>
        <w:r>
          <w:rPr>
            <w:webHidden/>
          </w:rPr>
          <w:tab/>
        </w:r>
        <w:r>
          <w:rPr>
            <w:webHidden/>
          </w:rPr>
          <w:fldChar w:fldCharType="begin"/>
        </w:r>
        <w:r>
          <w:rPr>
            <w:webHidden/>
          </w:rPr>
          <w:instrText xml:space="preserve"> PAGEREF _Toc161141414 \h </w:instrText>
        </w:r>
        <w:r>
          <w:rPr>
            <w:webHidden/>
          </w:rPr>
        </w:r>
        <w:r>
          <w:rPr>
            <w:webHidden/>
          </w:rPr>
          <w:fldChar w:fldCharType="separate"/>
        </w:r>
        <w:r>
          <w:rPr>
            <w:webHidden/>
          </w:rPr>
          <w:t>253</w:t>
        </w:r>
        <w:r>
          <w:rPr>
            <w:webHidden/>
          </w:rPr>
          <w:fldChar w:fldCharType="end"/>
        </w:r>
      </w:hyperlink>
    </w:p>
    <w:p w14:paraId="47A63BFA" w14:textId="31AADE25" w:rsidR="0024171D" w:rsidRDefault="0024171D">
      <w:pPr>
        <w:pStyle w:val="Sumrio2"/>
        <w:rPr>
          <w:rFonts w:eastAsiaTheme="minorEastAsia" w:cstheme="minorBidi"/>
          <w:b w:val="0"/>
          <w:bCs w:val="0"/>
          <w:kern w:val="2"/>
          <w14:ligatures w14:val="standardContextual"/>
        </w:rPr>
      </w:pPr>
      <w:hyperlink w:anchor="_Toc161141415" w:history="1">
        <w:r w:rsidRPr="00F06B07">
          <w:rPr>
            <w:rStyle w:val="Hyperlink"/>
          </w:rPr>
          <w:t>CAPÍTULO I – ÂMBITO E FINALIDADE</w:t>
        </w:r>
        <w:r>
          <w:rPr>
            <w:webHidden/>
          </w:rPr>
          <w:tab/>
        </w:r>
        <w:r>
          <w:rPr>
            <w:webHidden/>
          </w:rPr>
          <w:fldChar w:fldCharType="begin"/>
        </w:r>
        <w:r>
          <w:rPr>
            <w:webHidden/>
          </w:rPr>
          <w:instrText xml:space="preserve"> PAGEREF _Toc161141415 \h </w:instrText>
        </w:r>
        <w:r>
          <w:rPr>
            <w:webHidden/>
          </w:rPr>
        </w:r>
        <w:r>
          <w:rPr>
            <w:webHidden/>
          </w:rPr>
          <w:fldChar w:fldCharType="separate"/>
        </w:r>
        <w:r>
          <w:rPr>
            <w:webHidden/>
          </w:rPr>
          <w:t>253</w:t>
        </w:r>
        <w:r>
          <w:rPr>
            <w:webHidden/>
          </w:rPr>
          <w:fldChar w:fldCharType="end"/>
        </w:r>
      </w:hyperlink>
    </w:p>
    <w:p w14:paraId="4F57D0E4" w14:textId="51CF576B" w:rsidR="0024171D" w:rsidRDefault="0024171D">
      <w:pPr>
        <w:pStyle w:val="Sumrio2"/>
        <w:rPr>
          <w:rFonts w:eastAsiaTheme="minorEastAsia" w:cstheme="minorBidi"/>
          <w:b w:val="0"/>
          <w:bCs w:val="0"/>
          <w:kern w:val="2"/>
          <w14:ligatures w14:val="standardContextual"/>
        </w:rPr>
      </w:pPr>
      <w:hyperlink w:anchor="_Toc161141416" w:history="1">
        <w:r w:rsidRPr="00F06B07">
          <w:rPr>
            <w:rStyle w:val="Hyperlink"/>
          </w:rPr>
          <w:t>CAPÍTULO II – CARACTERÍSTICAS E CONSTITUIÇÃO</w:t>
        </w:r>
        <w:r>
          <w:rPr>
            <w:webHidden/>
          </w:rPr>
          <w:tab/>
        </w:r>
        <w:r>
          <w:rPr>
            <w:webHidden/>
          </w:rPr>
          <w:fldChar w:fldCharType="begin"/>
        </w:r>
        <w:r>
          <w:rPr>
            <w:webHidden/>
          </w:rPr>
          <w:instrText xml:space="preserve"> PAGEREF _Toc161141416 \h </w:instrText>
        </w:r>
        <w:r>
          <w:rPr>
            <w:webHidden/>
          </w:rPr>
        </w:r>
        <w:r>
          <w:rPr>
            <w:webHidden/>
          </w:rPr>
          <w:fldChar w:fldCharType="separate"/>
        </w:r>
        <w:r>
          <w:rPr>
            <w:webHidden/>
          </w:rPr>
          <w:t>253</w:t>
        </w:r>
        <w:r>
          <w:rPr>
            <w:webHidden/>
          </w:rPr>
          <w:fldChar w:fldCharType="end"/>
        </w:r>
      </w:hyperlink>
    </w:p>
    <w:p w14:paraId="76F5AA52" w14:textId="17F2931F" w:rsidR="0024171D" w:rsidRDefault="0024171D">
      <w:pPr>
        <w:pStyle w:val="Sumrio2"/>
        <w:rPr>
          <w:rFonts w:eastAsiaTheme="minorEastAsia" w:cstheme="minorBidi"/>
          <w:b w:val="0"/>
          <w:bCs w:val="0"/>
          <w:kern w:val="2"/>
          <w14:ligatures w14:val="standardContextual"/>
        </w:rPr>
      </w:pPr>
      <w:hyperlink w:anchor="_Toc161141417" w:history="1">
        <w:r w:rsidRPr="00F06B07">
          <w:rPr>
            <w:rStyle w:val="Hyperlink"/>
          </w:rPr>
          <w:t>CAPÍTULO III – REGULAMENTO</w:t>
        </w:r>
        <w:r>
          <w:rPr>
            <w:webHidden/>
          </w:rPr>
          <w:tab/>
        </w:r>
        <w:r>
          <w:rPr>
            <w:webHidden/>
          </w:rPr>
          <w:fldChar w:fldCharType="begin"/>
        </w:r>
        <w:r>
          <w:rPr>
            <w:webHidden/>
          </w:rPr>
          <w:instrText xml:space="preserve"> PAGEREF _Toc161141417 \h </w:instrText>
        </w:r>
        <w:r>
          <w:rPr>
            <w:webHidden/>
          </w:rPr>
        </w:r>
        <w:r>
          <w:rPr>
            <w:webHidden/>
          </w:rPr>
          <w:fldChar w:fldCharType="separate"/>
        </w:r>
        <w:r>
          <w:rPr>
            <w:webHidden/>
          </w:rPr>
          <w:t>253</w:t>
        </w:r>
        <w:r>
          <w:rPr>
            <w:webHidden/>
          </w:rPr>
          <w:fldChar w:fldCharType="end"/>
        </w:r>
      </w:hyperlink>
    </w:p>
    <w:p w14:paraId="4993F06B" w14:textId="5C77B3D6" w:rsidR="0024171D" w:rsidRDefault="0024171D">
      <w:pPr>
        <w:pStyle w:val="Sumrio2"/>
        <w:rPr>
          <w:rFonts w:eastAsiaTheme="minorEastAsia" w:cstheme="minorBidi"/>
          <w:b w:val="0"/>
          <w:bCs w:val="0"/>
          <w:kern w:val="2"/>
          <w14:ligatures w14:val="standardContextual"/>
        </w:rPr>
      </w:pPr>
      <w:hyperlink w:anchor="_Toc161141418" w:history="1">
        <w:r w:rsidRPr="00F06B07">
          <w:rPr>
            <w:rStyle w:val="Hyperlink"/>
          </w:rPr>
          <w:t>CAPÍTULO IV – PRESTAÇÃO DE SERVIÇOS</w:t>
        </w:r>
        <w:r>
          <w:rPr>
            <w:webHidden/>
          </w:rPr>
          <w:tab/>
        </w:r>
        <w:r>
          <w:rPr>
            <w:webHidden/>
          </w:rPr>
          <w:fldChar w:fldCharType="begin"/>
        </w:r>
        <w:r>
          <w:rPr>
            <w:webHidden/>
          </w:rPr>
          <w:instrText xml:space="preserve"> PAGEREF _Toc161141418 \h </w:instrText>
        </w:r>
        <w:r>
          <w:rPr>
            <w:webHidden/>
          </w:rPr>
        </w:r>
        <w:r>
          <w:rPr>
            <w:webHidden/>
          </w:rPr>
          <w:fldChar w:fldCharType="separate"/>
        </w:r>
        <w:r>
          <w:rPr>
            <w:webHidden/>
          </w:rPr>
          <w:t>253</w:t>
        </w:r>
        <w:r>
          <w:rPr>
            <w:webHidden/>
          </w:rPr>
          <w:fldChar w:fldCharType="end"/>
        </w:r>
      </w:hyperlink>
    </w:p>
    <w:p w14:paraId="4B7B109D" w14:textId="32777CB7" w:rsidR="0024171D" w:rsidRDefault="0024171D">
      <w:pPr>
        <w:pStyle w:val="Sumrio2"/>
        <w:rPr>
          <w:rFonts w:eastAsiaTheme="minorEastAsia" w:cstheme="minorBidi"/>
          <w:b w:val="0"/>
          <w:bCs w:val="0"/>
          <w:kern w:val="2"/>
          <w14:ligatures w14:val="standardContextual"/>
        </w:rPr>
      </w:pPr>
      <w:hyperlink w:anchor="_Toc161141419" w:history="1">
        <w:r w:rsidRPr="00F06B07">
          <w:rPr>
            <w:rStyle w:val="Hyperlink"/>
          </w:rPr>
          <w:t>CAPÍTULO V – ENCARGOS</w:t>
        </w:r>
        <w:r>
          <w:rPr>
            <w:webHidden/>
          </w:rPr>
          <w:tab/>
        </w:r>
        <w:r>
          <w:rPr>
            <w:webHidden/>
          </w:rPr>
          <w:fldChar w:fldCharType="begin"/>
        </w:r>
        <w:r>
          <w:rPr>
            <w:webHidden/>
          </w:rPr>
          <w:instrText xml:space="preserve"> PAGEREF _Toc161141419 \h </w:instrText>
        </w:r>
        <w:r>
          <w:rPr>
            <w:webHidden/>
          </w:rPr>
        </w:r>
        <w:r>
          <w:rPr>
            <w:webHidden/>
          </w:rPr>
          <w:fldChar w:fldCharType="separate"/>
        </w:r>
        <w:r>
          <w:rPr>
            <w:webHidden/>
          </w:rPr>
          <w:t>254</w:t>
        </w:r>
        <w:r>
          <w:rPr>
            <w:webHidden/>
          </w:rPr>
          <w:fldChar w:fldCharType="end"/>
        </w:r>
      </w:hyperlink>
    </w:p>
    <w:p w14:paraId="4B392569" w14:textId="47AE12DD" w:rsidR="0024171D" w:rsidRDefault="0024171D">
      <w:pPr>
        <w:pStyle w:val="Sumrio2"/>
        <w:rPr>
          <w:rFonts w:eastAsiaTheme="minorEastAsia" w:cstheme="minorBidi"/>
          <w:b w:val="0"/>
          <w:bCs w:val="0"/>
          <w:kern w:val="2"/>
          <w14:ligatures w14:val="standardContextual"/>
        </w:rPr>
      </w:pPr>
      <w:hyperlink w:anchor="_Toc161141420" w:history="1">
        <w:r w:rsidRPr="00F06B07">
          <w:rPr>
            <w:rStyle w:val="Hyperlink"/>
          </w:rPr>
          <w:t>CAPÍTULO VI – CARTEIRA</w:t>
        </w:r>
        <w:r>
          <w:rPr>
            <w:webHidden/>
          </w:rPr>
          <w:tab/>
        </w:r>
        <w:r>
          <w:rPr>
            <w:webHidden/>
          </w:rPr>
          <w:fldChar w:fldCharType="begin"/>
        </w:r>
        <w:r>
          <w:rPr>
            <w:webHidden/>
          </w:rPr>
          <w:instrText xml:space="preserve"> PAGEREF _Toc161141420 \h </w:instrText>
        </w:r>
        <w:r>
          <w:rPr>
            <w:webHidden/>
          </w:rPr>
        </w:r>
        <w:r>
          <w:rPr>
            <w:webHidden/>
          </w:rPr>
          <w:fldChar w:fldCharType="separate"/>
        </w:r>
        <w:r>
          <w:rPr>
            <w:webHidden/>
          </w:rPr>
          <w:t>254</w:t>
        </w:r>
        <w:r>
          <w:rPr>
            <w:webHidden/>
          </w:rPr>
          <w:fldChar w:fldCharType="end"/>
        </w:r>
      </w:hyperlink>
    </w:p>
    <w:p w14:paraId="6A5D06D5" w14:textId="4C41C328" w:rsidR="0024171D" w:rsidRDefault="0024171D">
      <w:pPr>
        <w:pStyle w:val="Sumrio2"/>
        <w:rPr>
          <w:rFonts w:eastAsiaTheme="minorEastAsia" w:cstheme="minorBidi"/>
          <w:b w:val="0"/>
          <w:bCs w:val="0"/>
          <w:kern w:val="2"/>
          <w14:ligatures w14:val="standardContextual"/>
        </w:rPr>
      </w:pPr>
      <w:hyperlink w:anchor="_Toc161141421" w:history="1">
        <w:r w:rsidRPr="00F06B07">
          <w:rPr>
            <w:rStyle w:val="Hyperlink"/>
          </w:rPr>
          <w:t>CAPÍTULO VII – COTAS</w:t>
        </w:r>
        <w:r>
          <w:rPr>
            <w:webHidden/>
          </w:rPr>
          <w:tab/>
        </w:r>
        <w:r>
          <w:rPr>
            <w:webHidden/>
          </w:rPr>
          <w:fldChar w:fldCharType="begin"/>
        </w:r>
        <w:r>
          <w:rPr>
            <w:webHidden/>
          </w:rPr>
          <w:instrText xml:space="preserve"> PAGEREF _Toc161141421 \h </w:instrText>
        </w:r>
        <w:r>
          <w:rPr>
            <w:webHidden/>
          </w:rPr>
        </w:r>
        <w:r>
          <w:rPr>
            <w:webHidden/>
          </w:rPr>
          <w:fldChar w:fldCharType="separate"/>
        </w:r>
        <w:r>
          <w:rPr>
            <w:webHidden/>
          </w:rPr>
          <w:t>256</w:t>
        </w:r>
        <w:r>
          <w:rPr>
            <w:webHidden/>
          </w:rPr>
          <w:fldChar w:fldCharType="end"/>
        </w:r>
      </w:hyperlink>
    </w:p>
    <w:p w14:paraId="0DDC037B" w14:textId="2ACCBB13" w:rsidR="0024171D" w:rsidRDefault="0024171D">
      <w:pPr>
        <w:pStyle w:val="Sumrio2"/>
        <w:rPr>
          <w:rFonts w:eastAsiaTheme="minorEastAsia" w:cstheme="minorBidi"/>
          <w:b w:val="0"/>
          <w:bCs w:val="0"/>
          <w:kern w:val="2"/>
          <w14:ligatures w14:val="standardContextual"/>
        </w:rPr>
      </w:pPr>
      <w:hyperlink w:anchor="_Toc161141422" w:history="1">
        <w:r w:rsidRPr="00F06B07">
          <w:rPr>
            <w:rStyle w:val="Hyperlink"/>
          </w:rPr>
          <w:t>CAPÍTULO VIII – DIVULGAÇÃO DE INFORMAÇÕES</w:t>
        </w:r>
        <w:r>
          <w:rPr>
            <w:webHidden/>
          </w:rPr>
          <w:tab/>
        </w:r>
        <w:r>
          <w:rPr>
            <w:webHidden/>
          </w:rPr>
          <w:fldChar w:fldCharType="begin"/>
        </w:r>
        <w:r>
          <w:rPr>
            <w:webHidden/>
          </w:rPr>
          <w:instrText xml:space="preserve"> PAGEREF _Toc161141422 \h </w:instrText>
        </w:r>
        <w:r>
          <w:rPr>
            <w:webHidden/>
          </w:rPr>
        </w:r>
        <w:r>
          <w:rPr>
            <w:webHidden/>
          </w:rPr>
          <w:fldChar w:fldCharType="separate"/>
        </w:r>
        <w:r>
          <w:rPr>
            <w:webHidden/>
          </w:rPr>
          <w:t>256</w:t>
        </w:r>
        <w:r>
          <w:rPr>
            <w:webHidden/>
          </w:rPr>
          <w:fldChar w:fldCharType="end"/>
        </w:r>
      </w:hyperlink>
    </w:p>
    <w:p w14:paraId="4C7E40F4" w14:textId="4EF3740A" w:rsidR="0024171D" w:rsidRDefault="0024171D">
      <w:pPr>
        <w:pStyle w:val="Sumrio1"/>
        <w:rPr>
          <w:rFonts w:eastAsiaTheme="minorEastAsia" w:cstheme="minorBidi"/>
          <w:kern w:val="2"/>
          <w14:ligatures w14:val="standardContextual"/>
        </w:rPr>
      </w:pPr>
      <w:hyperlink w:anchor="_Toc161141423" w:history="1">
        <w:r w:rsidRPr="00F06B07">
          <w:rPr>
            <w:rStyle w:val="Hyperlink"/>
          </w:rPr>
          <w:t>ANEXO NORMATIVO X – FUNDOS DE INVESTIMENTO CULTURAL E ARTÍSTICO</w:t>
        </w:r>
        <w:r>
          <w:rPr>
            <w:webHidden/>
          </w:rPr>
          <w:tab/>
        </w:r>
        <w:r>
          <w:rPr>
            <w:webHidden/>
          </w:rPr>
          <w:fldChar w:fldCharType="begin"/>
        </w:r>
        <w:r>
          <w:rPr>
            <w:webHidden/>
          </w:rPr>
          <w:instrText xml:space="preserve"> PAGEREF _Toc161141423 \h </w:instrText>
        </w:r>
        <w:r>
          <w:rPr>
            <w:webHidden/>
          </w:rPr>
        </w:r>
        <w:r>
          <w:rPr>
            <w:webHidden/>
          </w:rPr>
          <w:fldChar w:fldCharType="separate"/>
        </w:r>
        <w:r>
          <w:rPr>
            <w:webHidden/>
          </w:rPr>
          <w:t>258</w:t>
        </w:r>
        <w:r>
          <w:rPr>
            <w:webHidden/>
          </w:rPr>
          <w:fldChar w:fldCharType="end"/>
        </w:r>
      </w:hyperlink>
    </w:p>
    <w:p w14:paraId="228E9E1E" w14:textId="5A6697EA" w:rsidR="0024171D" w:rsidRDefault="0024171D">
      <w:pPr>
        <w:pStyle w:val="Sumrio2"/>
        <w:rPr>
          <w:rFonts w:eastAsiaTheme="minorEastAsia" w:cstheme="minorBidi"/>
          <w:b w:val="0"/>
          <w:bCs w:val="0"/>
          <w:kern w:val="2"/>
          <w14:ligatures w14:val="standardContextual"/>
        </w:rPr>
      </w:pPr>
      <w:hyperlink w:anchor="_Toc161141424" w:history="1">
        <w:r w:rsidRPr="00F06B07">
          <w:rPr>
            <w:rStyle w:val="Hyperlink"/>
          </w:rPr>
          <w:t>CAPÍTULO I – ÂMBITO E FINALIDADE</w:t>
        </w:r>
        <w:r>
          <w:rPr>
            <w:webHidden/>
          </w:rPr>
          <w:tab/>
        </w:r>
        <w:r>
          <w:rPr>
            <w:webHidden/>
          </w:rPr>
          <w:fldChar w:fldCharType="begin"/>
        </w:r>
        <w:r>
          <w:rPr>
            <w:webHidden/>
          </w:rPr>
          <w:instrText xml:space="preserve"> PAGEREF _Toc161141424 \h </w:instrText>
        </w:r>
        <w:r>
          <w:rPr>
            <w:webHidden/>
          </w:rPr>
        </w:r>
        <w:r>
          <w:rPr>
            <w:webHidden/>
          </w:rPr>
          <w:fldChar w:fldCharType="separate"/>
        </w:r>
        <w:r>
          <w:rPr>
            <w:webHidden/>
          </w:rPr>
          <w:t>258</w:t>
        </w:r>
        <w:r>
          <w:rPr>
            <w:webHidden/>
          </w:rPr>
          <w:fldChar w:fldCharType="end"/>
        </w:r>
      </w:hyperlink>
    </w:p>
    <w:p w14:paraId="5454B7B1" w14:textId="24F4DDD1" w:rsidR="0024171D" w:rsidRDefault="0024171D">
      <w:pPr>
        <w:pStyle w:val="Sumrio2"/>
        <w:rPr>
          <w:rFonts w:eastAsiaTheme="minorEastAsia" w:cstheme="minorBidi"/>
          <w:b w:val="0"/>
          <w:bCs w:val="0"/>
          <w:kern w:val="2"/>
          <w14:ligatures w14:val="standardContextual"/>
        </w:rPr>
      </w:pPr>
      <w:hyperlink w:anchor="_Toc161141425" w:history="1">
        <w:r w:rsidRPr="00F06B07">
          <w:rPr>
            <w:rStyle w:val="Hyperlink"/>
          </w:rPr>
          <w:t>CAPÍTULO II – CARACTERÍSTICAS E CONSTITUIÇÃO</w:t>
        </w:r>
        <w:r>
          <w:rPr>
            <w:webHidden/>
          </w:rPr>
          <w:tab/>
        </w:r>
        <w:r>
          <w:rPr>
            <w:webHidden/>
          </w:rPr>
          <w:fldChar w:fldCharType="begin"/>
        </w:r>
        <w:r>
          <w:rPr>
            <w:webHidden/>
          </w:rPr>
          <w:instrText xml:space="preserve"> PAGEREF _Toc161141425 \h </w:instrText>
        </w:r>
        <w:r>
          <w:rPr>
            <w:webHidden/>
          </w:rPr>
        </w:r>
        <w:r>
          <w:rPr>
            <w:webHidden/>
          </w:rPr>
          <w:fldChar w:fldCharType="separate"/>
        </w:r>
        <w:r>
          <w:rPr>
            <w:webHidden/>
          </w:rPr>
          <w:t>258</w:t>
        </w:r>
        <w:r>
          <w:rPr>
            <w:webHidden/>
          </w:rPr>
          <w:fldChar w:fldCharType="end"/>
        </w:r>
      </w:hyperlink>
    </w:p>
    <w:p w14:paraId="5117F67D" w14:textId="42C78871" w:rsidR="0024171D" w:rsidRDefault="0024171D">
      <w:pPr>
        <w:pStyle w:val="Sumrio2"/>
        <w:rPr>
          <w:rFonts w:eastAsiaTheme="minorEastAsia" w:cstheme="minorBidi"/>
          <w:b w:val="0"/>
          <w:bCs w:val="0"/>
          <w:kern w:val="2"/>
          <w14:ligatures w14:val="standardContextual"/>
        </w:rPr>
      </w:pPr>
      <w:hyperlink w:anchor="_Toc161141426" w:history="1">
        <w:r w:rsidRPr="00F06B07">
          <w:rPr>
            <w:rStyle w:val="Hyperlink"/>
          </w:rPr>
          <w:t>CAPÍTULO III – DOCUMENTOS E INFORMAÇÕES</w:t>
        </w:r>
        <w:r>
          <w:rPr>
            <w:webHidden/>
          </w:rPr>
          <w:tab/>
        </w:r>
        <w:r>
          <w:rPr>
            <w:webHidden/>
          </w:rPr>
          <w:fldChar w:fldCharType="begin"/>
        </w:r>
        <w:r>
          <w:rPr>
            <w:webHidden/>
          </w:rPr>
          <w:instrText xml:space="preserve"> PAGEREF _Toc161141426 \h </w:instrText>
        </w:r>
        <w:r>
          <w:rPr>
            <w:webHidden/>
          </w:rPr>
        </w:r>
        <w:r>
          <w:rPr>
            <w:webHidden/>
          </w:rPr>
          <w:fldChar w:fldCharType="separate"/>
        </w:r>
        <w:r>
          <w:rPr>
            <w:webHidden/>
          </w:rPr>
          <w:t>258</w:t>
        </w:r>
        <w:r>
          <w:rPr>
            <w:webHidden/>
          </w:rPr>
          <w:fldChar w:fldCharType="end"/>
        </w:r>
      </w:hyperlink>
    </w:p>
    <w:p w14:paraId="1F57F68C" w14:textId="3E0D7F59" w:rsidR="0024171D" w:rsidRDefault="0024171D">
      <w:pPr>
        <w:pStyle w:val="Sumrio2"/>
        <w:rPr>
          <w:rFonts w:eastAsiaTheme="minorEastAsia" w:cstheme="minorBidi"/>
          <w:b w:val="0"/>
          <w:bCs w:val="0"/>
          <w:kern w:val="2"/>
          <w14:ligatures w14:val="standardContextual"/>
        </w:rPr>
      </w:pPr>
      <w:hyperlink w:anchor="_Toc161141427" w:history="1">
        <w:r w:rsidRPr="00F06B07">
          <w:rPr>
            <w:rStyle w:val="Hyperlink"/>
          </w:rPr>
          <w:t>CAPÍTULO IV – CARTEIRA</w:t>
        </w:r>
        <w:r>
          <w:rPr>
            <w:webHidden/>
          </w:rPr>
          <w:tab/>
        </w:r>
        <w:r>
          <w:rPr>
            <w:webHidden/>
          </w:rPr>
          <w:fldChar w:fldCharType="begin"/>
        </w:r>
        <w:r>
          <w:rPr>
            <w:webHidden/>
          </w:rPr>
          <w:instrText xml:space="preserve"> PAGEREF _Toc161141427 \h </w:instrText>
        </w:r>
        <w:r>
          <w:rPr>
            <w:webHidden/>
          </w:rPr>
        </w:r>
        <w:r>
          <w:rPr>
            <w:webHidden/>
          </w:rPr>
          <w:fldChar w:fldCharType="separate"/>
        </w:r>
        <w:r>
          <w:rPr>
            <w:webHidden/>
          </w:rPr>
          <w:t>260</w:t>
        </w:r>
        <w:r>
          <w:rPr>
            <w:webHidden/>
          </w:rPr>
          <w:fldChar w:fldCharType="end"/>
        </w:r>
      </w:hyperlink>
    </w:p>
    <w:p w14:paraId="0C9A2A3C" w14:textId="1E336A2A" w:rsidR="0024171D" w:rsidRDefault="0024171D">
      <w:pPr>
        <w:pStyle w:val="Sumrio2"/>
        <w:rPr>
          <w:rFonts w:eastAsiaTheme="minorEastAsia" w:cstheme="minorBidi"/>
          <w:b w:val="0"/>
          <w:bCs w:val="0"/>
          <w:kern w:val="2"/>
          <w14:ligatures w14:val="standardContextual"/>
        </w:rPr>
      </w:pPr>
      <w:hyperlink w:anchor="_Toc161141428" w:history="1">
        <w:r w:rsidRPr="00F06B07">
          <w:rPr>
            <w:rStyle w:val="Hyperlink"/>
          </w:rPr>
          <w:t>CAPÍTULO V – PRESTAÇÃO DE SERVIÇOS</w:t>
        </w:r>
        <w:r>
          <w:rPr>
            <w:webHidden/>
          </w:rPr>
          <w:tab/>
        </w:r>
        <w:r>
          <w:rPr>
            <w:webHidden/>
          </w:rPr>
          <w:fldChar w:fldCharType="begin"/>
        </w:r>
        <w:r>
          <w:rPr>
            <w:webHidden/>
          </w:rPr>
          <w:instrText xml:space="preserve"> PAGEREF _Toc161141428 \h </w:instrText>
        </w:r>
        <w:r>
          <w:rPr>
            <w:webHidden/>
          </w:rPr>
        </w:r>
        <w:r>
          <w:rPr>
            <w:webHidden/>
          </w:rPr>
          <w:fldChar w:fldCharType="separate"/>
        </w:r>
        <w:r>
          <w:rPr>
            <w:webHidden/>
          </w:rPr>
          <w:t>260</w:t>
        </w:r>
        <w:r>
          <w:rPr>
            <w:webHidden/>
          </w:rPr>
          <w:fldChar w:fldCharType="end"/>
        </w:r>
      </w:hyperlink>
    </w:p>
    <w:p w14:paraId="1152FD51" w14:textId="5619EA1D" w:rsidR="0024171D" w:rsidRDefault="0024171D">
      <w:pPr>
        <w:pStyle w:val="Sumrio1"/>
        <w:rPr>
          <w:rFonts w:eastAsiaTheme="minorEastAsia" w:cstheme="minorBidi"/>
          <w:kern w:val="2"/>
          <w14:ligatures w14:val="standardContextual"/>
        </w:rPr>
      </w:pPr>
      <w:hyperlink w:anchor="_Toc161141429" w:history="1">
        <w:r w:rsidRPr="00F06B07">
          <w:rPr>
            <w:rStyle w:val="Hyperlink"/>
          </w:rPr>
          <w:t>ANEXO NORMATIVO XI – FUNDOS PREVIDENCIÁRIOS</w:t>
        </w:r>
        <w:r>
          <w:rPr>
            <w:webHidden/>
          </w:rPr>
          <w:tab/>
        </w:r>
        <w:r>
          <w:rPr>
            <w:webHidden/>
          </w:rPr>
          <w:fldChar w:fldCharType="begin"/>
        </w:r>
        <w:r>
          <w:rPr>
            <w:webHidden/>
          </w:rPr>
          <w:instrText xml:space="preserve"> PAGEREF _Toc161141429 \h </w:instrText>
        </w:r>
        <w:r>
          <w:rPr>
            <w:webHidden/>
          </w:rPr>
        </w:r>
        <w:r>
          <w:rPr>
            <w:webHidden/>
          </w:rPr>
          <w:fldChar w:fldCharType="separate"/>
        </w:r>
        <w:r>
          <w:rPr>
            <w:webHidden/>
          </w:rPr>
          <w:t>262</w:t>
        </w:r>
        <w:r>
          <w:rPr>
            <w:webHidden/>
          </w:rPr>
          <w:fldChar w:fldCharType="end"/>
        </w:r>
      </w:hyperlink>
    </w:p>
    <w:p w14:paraId="37CCC4C6" w14:textId="0F0D1B56" w:rsidR="0024171D" w:rsidRDefault="0024171D">
      <w:pPr>
        <w:pStyle w:val="Sumrio2"/>
        <w:rPr>
          <w:rFonts w:eastAsiaTheme="minorEastAsia" w:cstheme="minorBidi"/>
          <w:b w:val="0"/>
          <w:bCs w:val="0"/>
          <w:kern w:val="2"/>
          <w14:ligatures w14:val="standardContextual"/>
        </w:rPr>
      </w:pPr>
      <w:hyperlink w:anchor="_Toc161141430" w:history="1">
        <w:r w:rsidRPr="00F06B07">
          <w:rPr>
            <w:rStyle w:val="Hyperlink"/>
          </w:rPr>
          <w:t>CAPÍTULO I – ÂMBITO E FINALIDADE</w:t>
        </w:r>
        <w:r>
          <w:rPr>
            <w:webHidden/>
          </w:rPr>
          <w:tab/>
        </w:r>
        <w:r>
          <w:rPr>
            <w:webHidden/>
          </w:rPr>
          <w:fldChar w:fldCharType="begin"/>
        </w:r>
        <w:r>
          <w:rPr>
            <w:webHidden/>
          </w:rPr>
          <w:instrText xml:space="preserve"> PAGEREF _Toc161141430 \h </w:instrText>
        </w:r>
        <w:r>
          <w:rPr>
            <w:webHidden/>
          </w:rPr>
        </w:r>
        <w:r>
          <w:rPr>
            <w:webHidden/>
          </w:rPr>
          <w:fldChar w:fldCharType="separate"/>
        </w:r>
        <w:r>
          <w:rPr>
            <w:webHidden/>
          </w:rPr>
          <w:t>262</w:t>
        </w:r>
        <w:r>
          <w:rPr>
            <w:webHidden/>
          </w:rPr>
          <w:fldChar w:fldCharType="end"/>
        </w:r>
      </w:hyperlink>
    </w:p>
    <w:p w14:paraId="45A5AA2F" w14:textId="204928B2" w:rsidR="0024171D" w:rsidRDefault="0024171D">
      <w:pPr>
        <w:pStyle w:val="Sumrio2"/>
        <w:rPr>
          <w:rFonts w:eastAsiaTheme="minorEastAsia" w:cstheme="minorBidi"/>
          <w:b w:val="0"/>
          <w:bCs w:val="0"/>
          <w:kern w:val="2"/>
          <w14:ligatures w14:val="standardContextual"/>
        </w:rPr>
      </w:pPr>
      <w:hyperlink w:anchor="_Toc161141431" w:history="1">
        <w:r w:rsidRPr="00F06B07">
          <w:rPr>
            <w:rStyle w:val="Hyperlink"/>
          </w:rPr>
          <w:t>CAPÍTULO II – CARACTERÍSTICAS E CONSTITUIÇÃO</w:t>
        </w:r>
        <w:r>
          <w:rPr>
            <w:webHidden/>
          </w:rPr>
          <w:tab/>
        </w:r>
        <w:r>
          <w:rPr>
            <w:webHidden/>
          </w:rPr>
          <w:fldChar w:fldCharType="begin"/>
        </w:r>
        <w:r>
          <w:rPr>
            <w:webHidden/>
          </w:rPr>
          <w:instrText xml:space="preserve"> PAGEREF _Toc161141431 \h </w:instrText>
        </w:r>
        <w:r>
          <w:rPr>
            <w:webHidden/>
          </w:rPr>
        </w:r>
        <w:r>
          <w:rPr>
            <w:webHidden/>
          </w:rPr>
          <w:fldChar w:fldCharType="separate"/>
        </w:r>
        <w:r>
          <w:rPr>
            <w:webHidden/>
          </w:rPr>
          <w:t>262</w:t>
        </w:r>
        <w:r>
          <w:rPr>
            <w:webHidden/>
          </w:rPr>
          <w:fldChar w:fldCharType="end"/>
        </w:r>
      </w:hyperlink>
    </w:p>
    <w:p w14:paraId="7F7EA722" w14:textId="0C1AFFD4" w:rsidR="0024171D" w:rsidRDefault="0024171D">
      <w:pPr>
        <w:pStyle w:val="Sumrio2"/>
        <w:rPr>
          <w:rFonts w:eastAsiaTheme="minorEastAsia" w:cstheme="minorBidi"/>
          <w:b w:val="0"/>
          <w:bCs w:val="0"/>
          <w:kern w:val="2"/>
          <w14:ligatures w14:val="standardContextual"/>
        </w:rPr>
      </w:pPr>
      <w:hyperlink w:anchor="_Toc161141432" w:history="1">
        <w:r w:rsidRPr="00F06B07">
          <w:rPr>
            <w:rStyle w:val="Hyperlink"/>
          </w:rPr>
          <w:t>CAPÍTULO III – CARTEIRA</w:t>
        </w:r>
        <w:r>
          <w:rPr>
            <w:webHidden/>
          </w:rPr>
          <w:tab/>
        </w:r>
        <w:r>
          <w:rPr>
            <w:webHidden/>
          </w:rPr>
          <w:fldChar w:fldCharType="begin"/>
        </w:r>
        <w:r>
          <w:rPr>
            <w:webHidden/>
          </w:rPr>
          <w:instrText xml:space="preserve"> PAGEREF _Toc161141432 \h </w:instrText>
        </w:r>
        <w:r>
          <w:rPr>
            <w:webHidden/>
          </w:rPr>
        </w:r>
        <w:r>
          <w:rPr>
            <w:webHidden/>
          </w:rPr>
          <w:fldChar w:fldCharType="separate"/>
        </w:r>
        <w:r>
          <w:rPr>
            <w:webHidden/>
          </w:rPr>
          <w:t>263</w:t>
        </w:r>
        <w:r>
          <w:rPr>
            <w:webHidden/>
          </w:rPr>
          <w:fldChar w:fldCharType="end"/>
        </w:r>
      </w:hyperlink>
    </w:p>
    <w:p w14:paraId="38DED04B" w14:textId="208DB91E" w:rsidR="0024171D" w:rsidRDefault="0024171D">
      <w:pPr>
        <w:pStyle w:val="Sumrio2"/>
        <w:rPr>
          <w:rFonts w:eastAsiaTheme="minorEastAsia" w:cstheme="minorBidi"/>
          <w:b w:val="0"/>
          <w:bCs w:val="0"/>
          <w:kern w:val="2"/>
          <w14:ligatures w14:val="standardContextual"/>
        </w:rPr>
      </w:pPr>
      <w:hyperlink w:anchor="_Toc161141433" w:history="1">
        <w:r w:rsidRPr="00F06B07">
          <w:rPr>
            <w:rStyle w:val="Hyperlink"/>
          </w:rPr>
          <w:t>CAPÍTULO IV – PRESTAÇÃO DE SERVIÇOS</w:t>
        </w:r>
        <w:r>
          <w:rPr>
            <w:webHidden/>
          </w:rPr>
          <w:tab/>
        </w:r>
        <w:r>
          <w:rPr>
            <w:webHidden/>
          </w:rPr>
          <w:fldChar w:fldCharType="begin"/>
        </w:r>
        <w:r>
          <w:rPr>
            <w:webHidden/>
          </w:rPr>
          <w:instrText xml:space="preserve"> PAGEREF _Toc161141433 \h </w:instrText>
        </w:r>
        <w:r>
          <w:rPr>
            <w:webHidden/>
          </w:rPr>
        </w:r>
        <w:r>
          <w:rPr>
            <w:webHidden/>
          </w:rPr>
          <w:fldChar w:fldCharType="separate"/>
        </w:r>
        <w:r>
          <w:rPr>
            <w:webHidden/>
          </w:rPr>
          <w:t>263</w:t>
        </w:r>
        <w:r>
          <w:rPr>
            <w:webHidden/>
          </w:rPr>
          <w:fldChar w:fldCharType="end"/>
        </w:r>
      </w:hyperlink>
    </w:p>
    <w:p w14:paraId="56E99A59" w14:textId="6A901058" w:rsidR="0024171D" w:rsidRDefault="0024171D">
      <w:pPr>
        <w:pStyle w:val="Sumrio2"/>
        <w:rPr>
          <w:rFonts w:eastAsiaTheme="minorEastAsia" w:cstheme="minorBidi"/>
          <w:b w:val="0"/>
          <w:bCs w:val="0"/>
          <w:kern w:val="2"/>
          <w14:ligatures w14:val="standardContextual"/>
        </w:rPr>
      </w:pPr>
      <w:hyperlink w:anchor="_Toc161141434" w:history="1">
        <w:r w:rsidRPr="00F06B07">
          <w:rPr>
            <w:rStyle w:val="Hyperlink"/>
          </w:rPr>
          <w:t>CAPÍTULO V – COTAS</w:t>
        </w:r>
        <w:r>
          <w:rPr>
            <w:webHidden/>
          </w:rPr>
          <w:tab/>
        </w:r>
        <w:r>
          <w:rPr>
            <w:webHidden/>
          </w:rPr>
          <w:fldChar w:fldCharType="begin"/>
        </w:r>
        <w:r>
          <w:rPr>
            <w:webHidden/>
          </w:rPr>
          <w:instrText xml:space="preserve"> PAGEREF _Toc161141434 \h </w:instrText>
        </w:r>
        <w:r>
          <w:rPr>
            <w:webHidden/>
          </w:rPr>
        </w:r>
        <w:r>
          <w:rPr>
            <w:webHidden/>
          </w:rPr>
          <w:fldChar w:fldCharType="separate"/>
        </w:r>
        <w:r>
          <w:rPr>
            <w:webHidden/>
          </w:rPr>
          <w:t>264</w:t>
        </w:r>
        <w:r>
          <w:rPr>
            <w:webHidden/>
          </w:rPr>
          <w:fldChar w:fldCharType="end"/>
        </w:r>
      </w:hyperlink>
    </w:p>
    <w:p w14:paraId="5AD31EA6" w14:textId="73B802B6" w:rsidR="0024171D" w:rsidRDefault="0024171D">
      <w:pPr>
        <w:pStyle w:val="Sumrio1"/>
        <w:rPr>
          <w:rFonts w:eastAsiaTheme="minorEastAsia" w:cstheme="minorBidi"/>
          <w:kern w:val="2"/>
          <w14:ligatures w14:val="standardContextual"/>
        </w:rPr>
      </w:pPr>
      <w:hyperlink w:anchor="_Toc161141435" w:history="1">
        <w:r w:rsidRPr="00F06B07">
          <w:rPr>
            <w:rStyle w:val="Hyperlink"/>
          </w:rPr>
          <w:t>ANEXO NORMATIVO XII – FUNDOS DE INVESTIMENTO EM DIREITOS CREDITÓRIOS DO PROGRAMA DE INCENTIVO À IMPLEMENTAÇÃO DE PROJETOS DE INTERESSE SOCIAL</w:t>
        </w:r>
        <w:r>
          <w:rPr>
            <w:webHidden/>
          </w:rPr>
          <w:tab/>
        </w:r>
        <w:r>
          <w:rPr>
            <w:webHidden/>
          </w:rPr>
          <w:fldChar w:fldCharType="begin"/>
        </w:r>
        <w:r>
          <w:rPr>
            <w:webHidden/>
          </w:rPr>
          <w:instrText xml:space="preserve"> PAGEREF _Toc161141435 \h </w:instrText>
        </w:r>
        <w:r>
          <w:rPr>
            <w:webHidden/>
          </w:rPr>
        </w:r>
        <w:r>
          <w:rPr>
            <w:webHidden/>
          </w:rPr>
          <w:fldChar w:fldCharType="separate"/>
        </w:r>
        <w:r>
          <w:rPr>
            <w:webHidden/>
          </w:rPr>
          <w:t>267</w:t>
        </w:r>
        <w:r>
          <w:rPr>
            <w:webHidden/>
          </w:rPr>
          <w:fldChar w:fldCharType="end"/>
        </w:r>
      </w:hyperlink>
    </w:p>
    <w:p w14:paraId="704BA9BB" w14:textId="550316A3" w:rsidR="0024171D" w:rsidRDefault="0024171D">
      <w:pPr>
        <w:pStyle w:val="Sumrio2"/>
        <w:rPr>
          <w:rFonts w:eastAsiaTheme="minorEastAsia" w:cstheme="minorBidi"/>
          <w:b w:val="0"/>
          <w:bCs w:val="0"/>
          <w:kern w:val="2"/>
          <w14:ligatures w14:val="standardContextual"/>
        </w:rPr>
      </w:pPr>
      <w:hyperlink w:anchor="_Toc161141436" w:history="1">
        <w:r w:rsidRPr="00F06B07">
          <w:rPr>
            <w:rStyle w:val="Hyperlink"/>
          </w:rPr>
          <w:t>CAPÍTULO I – ÂMBITO E FINALIDADE</w:t>
        </w:r>
        <w:r>
          <w:rPr>
            <w:webHidden/>
          </w:rPr>
          <w:tab/>
        </w:r>
        <w:r>
          <w:rPr>
            <w:webHidden/>
          </w:rPr>
          <w:fldChar w:fldCharType="begin"/>
        </w:r>
        <w:r>
          <w:rPr>
            <w:webHidden/>
          </w:rPr>
          <w:instrText xml:space="preserve"> PAGEREF _Toc161141436 \h </w:instrText>
        </w:r>
        <w:r>
          <w:rPr>
            <w:webHidden/>
          </w:rPr>
        </w:r>
        <w:r>
          <w:rPr>
            <w:webHidden/>
          </w:rPr>
          <w:fldChar w:fldCharType="separate"/>
        </w:r>
        <w:r>
          <w:rPr>
            <w:webHidden/>
          </w:rPr>
          <w:t>267</w:t>
        </w:r>
        <w:r>
          <w:rPr>
            <w:webHidden/>
          </w:rPr>
          <w:fldChar w:fldCharType="end"/>
        </w:r>
      </w:hyperlink>
    </w:p>
    <w:p w14:paraId="21BB6C90" w14:textId="5A60DAED" w:rsidR="0024171D" w:rsidRDefault="0024171D">
      <w:pPr>
        <w:pStyle w:val="Sumrio2"/>
        <w:rPr>
          <w:rFonts w:eastAsiaTheme="minorEastAsia" w:cstheme="minorBidi"/>
          <w:b w:val="0"/>
          <w:bCs w:val="0"/>
          <w:kern w:val="2"/>
          <w14:ligatures w14:val="standardContextual"/>
        </w:rPr>
      </w:pPr>
      <w:hyperlink w:anchor="_Toc161141437" w:history="1">
        <w:r w:rsidRPr="00F06B07">
          <w:rPr>
            <w:rStyle w:val="Hyperlink"/>
          </w:rPr>
          <w:t>CAPÍTULO II – DEFINIÇÕES</w:t>
        </w:r>
        <w:r>
          <w:rPr>
            <w:webHidden/>
          </w:rPr>
          <w:tab/>
        </w:r>
        <w:r>
          <w:rPr>
            <w:webHidden/>
          </w:rPr>
          <w:fldChar w:fldCharType="begin"/>
        </w:r>
        <w:r>
          <w:rPr>
            <w:webHidden/>
          </w:rPr>
          <w:instrText xml:space="preserve"> PAGEREF _Toc161141437 \h </w:instrText>
        </w:r>
        <w:r>
          <w:rPr>
            <w:webHidden/>
          </w:rPr>
        </w:r>
        <w:r>
          <w:rPr>
            <w:webHidden/>
          </w:rPr>
          <w:fldChar w:fldCharType="separate"/>
        </w:r>
        <w:r>
          <w:rPr>
            <w:webHidden/>
          </w:rPr>
          <w:t>267</w:t>
        </w:r>
        <w:r>
          <w:rPr>
            <w:webHidden/>
          </w:rPr>
          <w:fldChar w:fldCharType="end"/>
        </w:r>
      </w:hyperlink>
    </w:p>
    <w:p w14:paraId="2E408D15" w14:textId="754944E9" w:rsidR="0024171D" w:rsidRDefault="0024171D">
      <w:pPr>
        <w:pStyle w:val="Sumrio2"/>
        <w:rPr>
          <w:rFonts w:eastAsiaTheme="minorEastAsia" w:cstheme="minorBidi"/>
          <w:b w:val="0"/>
          <w:bCs w:val="0"/>
          <w:kern w:val="2"/>
          <w14:ligatures w14:val="standardContextual"/>
        </w:rPr>
      </w:pPr>
      <w:hyperlink w:anchor="_Toc161141438" w:history="1">
        <w:r w:rsidRPr="00F06B07">
          <w:rPr>
            <w:rStyle w:val="Hyperlink"/>
          </w:rPr>
          <w:t>CAPÍTULO III – CARACTERÍSTICAS E CONSTITUIÇÃO</w:t>
        </w:r>
        <w:r>
          <w:rPr>
            <w:webHidden/>
          </w:rPr>
          <w:tab/>
        </w:r>
        <w:r>
          <w:rPr>
            <w:webHidden/>
          </w:rPr>
          <w:fldChar w:fldCharType="begin"/>
        </w:r>
        <w:r>
          <w:rPr>
            <w:webHidden/>
          </w:rPr>
          <w:instrText xml:space="preserve"> PAGEREF _Toc161141438 \h </w:instrText>
        </w:r>
        <w:r>
          <w:rPr>
            <w:webHidden/>
          </w:rPr>
        </w:r>
        <w:r>
          <w:rPr>
            <w:webHidden/>
          </w:rPr>
          <w:fldChar w:fldCharType="separate"/>
        </w:r>
        <w:r>
          <w:rPr>
            <w:webHidden/>
          </w:rPr>
          <w:t>267</w:t>
        </w:r>
        <w:r>
          <w:rPr>
            <w:webHidden/>
          </w:rPr>
          <w:fldChar w:fldCharType="end"/>
        </w:r>
      </w:hyperlink>
    </w:p>
    <w:p w14:paraId="7D711E04" w14:textId="235623EA" w:rsidR="0024171D" w:rsidRDefault="0024171D">
      <w:pPr>
        <w:pStyle w:val="Sumrio2"/>
        <w:rPr>
          <w:rFonts w:eastAsiaTheme="minorEastAsia" w:cstheme="minorBidi"/>
          <w:b w:val="0"/>
          <w:bCs w:val="0"/>
          <w:kern w:val="2"/>
          <w14:ligatures w14:val="standardContextual"/>
        </w:rPr>
      </w:pPr>
      <w:hyperlink w:anchor="_Toc161141439" w:history="1">
        <w:r w:rsidRPr="00F06B07">
          <w:rPr>
            <w:rStyle w:val="Hyperlink"/>
          </w:rPr>
          <w:t>CAPÍTULO IV – COTAS</w:t>
        </w:r>
        <w:r>
          <w:rPr>
            <w:webHidden/>
          </w:rPr>
          <w:tab/>
        </w:r>
        <w:r>
          <w:rPr>
            <w:webHidden/>
          </w:rPr>
          <w:fldChar w:fldCharType="begin"/>
        </w:r>
        <w:r>
          <w:rPr>
            <w:webHidden/>
          </w:rPr>
          <w:instrText xml:space="preserve"> PAGEREF _Toc161141439 \h </w:instrText>
        </w:r>
        <w:r>
          <w:rPr>
            <w:webHidden/>
          </w:rPr>
        </w:r>
        <w:r>
          <w:rPr>
            <w:webHidden/>
          </w:rPr>
          <w:fldChar w:fldCharType="separate"/>
        </w:r>
        <w:r>
          <w:rPr>
            <w:webHidden/>
          </w:rPr>
          <w:t>268</w:t>
        </w:r>
        <w:r>
          <w:rPr>
            <w:webHidden/>
          </w:rPr>
          <w:fldChar w:fldCharType="end"/>
        </w:r>
      </w:hyperlink>
    </w:p>
    <w:p w14:paraId="779972EA" w14:textId="7C85CDF1" w:rsidR="0024171D" w:rsidRDefault="0024171D">
      <w:pPr>
        <w:pStyle w:val="Sumrio2"/>
        <w:rPr>
          <w:rFonts w:eastAsiaTheme="minorEastAsia" w:cstheme="minorBidi"/>
          <w:b w:val="0"/>
          <w:bCs w:val="0"/>
          <w:kern w:val="2"/>
          <w14:ligatures w14:val="standardContextual"/>
        </w:rPr>
      </w:pPr>
      <w:hyperlink w:anchor="_Toc161141440" w:history="1">
        <w:r w:rsidRPr="00F06B07">
          <w:rPr>
            <w:rStyle w:val="Hyperlink"/>
          </w:rPr>
          <w:t>CAPÍTULO V – REGULAMENTO</w:t>
        </w:r>
        <w:r>
          <w:rPr>
            <w:webHidden/>
          </w:rPr>
          <w:tab/>
        </w:r>
        <w:r>
          <w:rPr>
            <w:webHidden/>
          </w:rPr>
          <w:fldChar w:fldCharType="begin"/>
        </w:r>
        <w:r>
          <w:rPr>
            <w:webHidden/>
          </w:rPr>
          <w:instrText xml:space="preserve"> PAGEREF _Toc161141440 \h </w:instrText>
        </w:r>
        <w:r>
          <w:rPr>
            <w:webHidden/>
          </w:rPr>
        </w:r>
        <w:r>
          <w:rPr>
            <w:webHidden/>
          </w:rPr>
          <w:fldChar w:fldCharType="separate"/>
        </w:r>
        <w:r>
          <w:rPr>
            <w:webHidden/>
          </w:rPr>
          <w:t>268</w:t>
        </w:r>
        <w:r>
          <w:rPr>
            <w:webHidden/>
          </w:rPr>
          <w:fldChar w:fldCharType="end"/>
        </w:r>
      </w:hyperlink>
    </w:p>
    <w:p w14:paraId="54DA77C3" w14:textId="014B1FB2" w:rsidR="0024171D" w:rsidRDefault="0024171D">
      <w:pPr>
        <w:pStyle w:val="Sumrio2"/>
        <w:rPr>
          <w:rFonts w:eastAsiaTheme="minorEastAsia" w:cstheme="minorBidi"/>
          <w:b w:val="0"/>
          <w:bCs w:val="0"/>
          <w:kern w:val="2"/>
          <w14:ligatures w14:val="standardContextual"/>
        </w:rPr>
      </w:pPr>
      <w:hyperlink w:anchor="_Toc161141441" w:history="1">
        <w:r w:rsidRPr="00F06B07">
          <w:rPr>
            <w:rStyle w:val="Hyperlink"/>
          </w:rPr>
          <w:t>CAPÍTULO VI – REPRESENTANTE DOS COTISTAS</w:t>
        </w:r>
        <w:r>
          <w:rPr>
            <w:webHidden/>
          </w:rPr>
          <w:tab/>
        </w:r>
        <w:r>
          <w:rPr>
            <w:webHidden/>
          </w:rPr>
          <w:fldChar w:fldCharType="begin"/>
        </w:r>
        <w:r>
          <w:rPr>
            <w:webHidden/>
          </w:rPr>
          <w:instrText xml:space="preserve"> PAGEREF _Toc161141441 \h </w:instrText>
        </w:r>
        <w:r>
          <w:rPr>
            <w:webHidden/>
          </w:rPr>
        </w:r>
        <w:r>
          <w:rPr>
            <w:webHidden/>
          </w:rPr>
          <w:fldChar w:fldCharType="separate"/>
        </w:r>
        <w:r>
          <w:rPr>
            <w:webHidden/>
          </w:rPr>
          <w:t>269</w:t>
        </w:r>
        <w:r>
          <w:rPr>
            <w:webHidden/>
          </w:rPr>
          <w:fldChar w:fldCharType="end"/>
        </w:r>
      </w:hyperlink>
    </w:p>
    <w:p w14:paraId="5C315E50" w14:textId="3775D899" w:rsidR="0024171D" w:rsidRDefault="0024171D">
      <w:pPr>
        <w:pStyle w:val="Sumrio2"/>
        <w:rPr>
          <w:rFonts w:eastAsiaTheme="minorEastAsia" w:cstheme="minorBidi"/>
          <w:b w:val="0"/>
          <w:bCs w:val="0"/>
          <w:kern w:val="2"/>
          <w14:ligatures w14:val="standardContextual"/>
        </w:rPr>
      </w:pPr>
      <w:hyperlink w:anchor="_Toc161141442" w:history="1">
        <w:r w:rsidRPr="00F06B07">
          <w:rPr>
            <w:rStyle w:val="Hyperlink"/>
          </w:rPr>
          <w:t>CAPÍTULO VII – PRESTAÇÃO DE SERVIÇOS</w:t>
        </w:r>
        <w:r>
          <w:rPr>
            <w:webHidden/>
          </w:rPr>
          <w:tab/>
        </w:r>
        <w:r>
          <w:rPr>
            <w:webHidden/>
          </w:rPr>
          <w:fldChar w:fldCharType="begin"/>
        </w:r>
        <w:r>
          <w:rPr>
            <w:webHidden/>
          </w:rPr>
          <w:instrText xml:space="preserve"> PAGEREF _Toc161141442 \h </w:instrText>
        </w:r>
        <w:r>
          <w:rPr>
            <w:webHidden/>
          </w:rPr>
        </w:r>
        <w:r>
          <w:rPr>
            <w:webHidden/>
          </w:rPr>
          <w:fldChar w:fldCharType="separate"/>
        </w:r>
        <w:r>
          <w:rPr>
            <w:webHidden/>
          </w:rPr>
          <w:t>269</w:t>
        </w:r>
        <w:r>
          <w:rPr>
            <w:webHidden/>
          </w:rPr>
          <w:fldChar w:fldCharType="end"/>
        </w:r>
      </w:hyperlink>
    </w:p>
    <w:p w14:paraId="6CFC012C" w14:textId="58522E51" w:rsidR="0024171D" w:rsidRDefault="0024171D">
      <w:pPr>
        <w:pStyle w:val="Sumrio2"/>
        <w:rPr>
          <w:rFonts w:eastAsiaTheme="minorEastAsia" w:cstheme="minorBidi"/>
          <w:b w:val="0"/>
          <w:bCs w:val="0"/>
          <w:kern w:val="2"/>
          <w14:ligatures w14:val="standardContextual"/>
        </w:rPr>
      </w:pPr>
      <w:hyperlink w:anchor="_Toc161141443" w:history="1">
        <w:r w:rsidRPr="00F06B07">
          <w:rPr>
            <w:rStyle w:val="Hyperlink"/>
          </w:rPr>
          <w:t>CAPÍTULO VIII – CARTEIRA</w:t>
        </w:r>
        <w:r>
          <w:rPr>
            <w:webHidden/>
          </w:rPr>
          <w:tab/>
        </w:r>
        <w:r>
          <w:rPr>
            <w:webHidden/>
          </w:rPr>
          <w:fldChar w:fldCharType="begin"/>
        </w:r>
        <w:r>
          <w:rPr>
            <w:webHidden/>
          </w:rPr>
          <w:instrText xml:space="preserve"> PAGEREF _Toc161141443 \h </w:instrText>
        </w:r>
        <w:r>
          <w:rPr>
            <w:webHidden/>
          </w:rPr>
        </w:r>
        <w:r>
          <w:rPr>
            <w:webHidden/>
          </w:rPr>
          <w:fldChar w:fldCharType="separate"/>
        </w:r>
        <w:r>
          <w:rPr>
            <w:webHidden/>
          </w:rPr>
          <w:t>269</w:t>
        </w:r>
        <w:r>
          <w:rPr>
            <w:webHidden/>
          </w:rPr>
          <w:fldChar w:fldCharType="end"/>
        </w:r>
      </w:hyperlink>
    </w:p>
    <w:p w14:paraId="1AC5D439" w14:textId="0C87A668" w:rsidR="0024171D" w:rsidRDefault="0024171D">
      <w:pPr>
        <w:pStyle w:val="Sumrio2"/>
        <w:rPr>
          <w:rFonts w:eastAsiaTheme="minorEastAsia" w:cstheme="minorBidi"/>
          <w:b w:val="0"/>
          <w:bCs w:val="0"/>
          <w:kern w:val="2"/>
          <w14:ligatures w14:val="standardContextual"/>
        </w:rPr>
      </w:pPr>
      <w:hyperlink w:anchor="_Toc161141444" w:history="1">
        <w:r w:rsidRPr="00F06B07">
          <w:rPr>
            <w:rStyle w:val="Hyperlink"/>
          </w:rPr>
          <w:t>CAPÍTULO IX – ENCARGOS</w:t>
        </w:r>
        <w:r>
          <w:rPr>
            <w:webHidden/>
          </w:rPr>
          <w:tab/>
        </w:r>
        <w:r>
          <w:rPr>
            <w:webHidden/>
          </w:rPr>
          <w:fldChar w:fldCharType="begin"/>
        </w:r>
        <w:r>
          <w:rPr>
            <w:webHidden/>
          </w:rPr>
          <w:instrText xml:space="preserve"> PAGEREF _Toc161141444 \h </w:instrText>
        </w:r>
        <w:r>
          <w:rPr>
            <w:webHidden/>
          </w:rPr>
        </w:r>
        <w:r>
          <w:rPr>
            <w:webHidden/>
          </w:rPr>
          <w:fldChar w:fldCharType="separate"/>
        </w:r>
        <w:r>
          <w:rPr>
            <w:webHidden/>
          </w:rPr>
          <w:t>270</w:t>
        </w:r>
        <w:r>
          <w:rPr>
            <w:webHidden/>
          </w:rPr>
          <w:fldChar w:fldCharType="end"/>
        </w:r>
      </w:hyperlink>
    </w:p>
    <w:p w14:paraId="326B3D17" w14:textId="5DB14E48" w:rsidR="0024171D" w:rsidRDefault="0024171D">
      <w:pPr>
        <w:pStyle w:val="Sumrio2"/>
        <w:rPr>
          <w:rFonts w:eastAsiaTheme="minorEastAsia" w:cstheme="minorBidi"/>
          <w:b w:val="0"/>
          <w:bCs w:val="0"/>
          <w:kern w:val="2"/>
          <w14:ligatures w14:val="standardContextual"/>
        </w:rPr>
      </w:pPr>
      <w:hyperlink w:anchor="_Toc161141445" w:history="1">
        <w:r w:rsidRPr="00F06B07">
          <w:rPr>
            <w:rStyle w:val="Hyperlink"/>
          </w:rPr>
          <w:t>CAPÍTULO X – PENALIDADES</w:t>
        </w:r>
        <w:r>
          <w:rPr>
            <w:webHidden/>
          </w:rPr>
          <w:tab/>
        </w:r>
        <w:r>
          <w:rPr>
            <w:webHidden/>
          </w:rPr>
          <w:fldChar w:fldCharType="begin"/>
        </w:r>
        <w:r>
          <w:rPr>
            <w:webHidden/>
          </w:rPr>
          <w:instrText xml:space="preserve"> PAGEREF _Toc161141445 \h </w:instrText>
        </w:r>
        <w:r>
          <w:rPr>
            <w:webHidden/>
          </w:rPr>
        </w:r>
        <w:r>
          <w:rPr>
            <w:webHidden/>
          </w:rPr>
          <w:fldChar w:fldCharType="separate"/>
        </w:r>
        <w:r>
          <w:rPr>
            <w:webHidden/>
          </w:rPr>
          <w:t>270</w:t>
        </w:r>
        <w:r>
          <w:rPr>
            <w:webHidden/>
          </w:rPr>
          <w:fldChar w:fldCharType="end"/>
        </w:r>
      </w:hyperlink>
    </w:p>
    <w:p w14:paraId="57135F8A" w14:textId="0CEFAA1D" w:rsidR="0024171D" w:rsidRDefault="0024171D">
      <w:pPr>
        <w:pStyle w:val="Sumrio1"/>
        <w:rPr>
          <w:rFonts w:eastAsiaTheme="minorEastAsia" w:cstheme="minorBidi"/>
          <w:kern w:val="2"/>
          <w14:ligatures w14:val="standardContextual"/>
        </w:rPr>
      </w:pPr>
      <w:hyperlink w:anchor="_Toc161141446" w:history="1">
        <w:r w:rsidRPr="00F06B07">
          <w:rPr>
            <w:rStyle w:val="Hyperlink"/>
          </w:rPr>
          <w:t>SUPLEMENTO A – TERMO DE CIÊNCIA E ASSUNÇÃO DE RESPONSABILIDADE ILIMITADA</w:t>
        </w:r>
        <w:r>
          <w:rPr>
            <w:webHidden/>
          </w:rPr>
          <w:tab/>
        </w:r>
        <w:r>
          <w:rPr>
            <w:webHidden/>
          </w:rPr>
          <w:fldChar w:fldCharType="begin"/>
        </w:r>
        <w:r>
          <w:rPr>
            <w:webHidden/>
          </w:rPr>
          <w:instrText xml:space="preserve"> PAGEREF _Toc161141446 \h </w:instrText>
        </w:r>
        <w:r>
          <w:rPr>
            <w:webHidden/>
          </w:rPr>
        </w:r>
        <w:r>
          <w:rPr>
            <w:webHidden/>
          </w:rPr>
          <w:fldChar w:fldCharType="separate"/>
        </w:r>
        <w:r>
          <w:rPr>
            <w:webHidden/>
          </w:rPr>
          <w:t>271</w:t>
        </w:r>
        <w:r>
          <w:rPr>
            <w:webHidden/>
          </w:rPr>
          <w:fldChar w:fldCharType="end"/>
        </w:r>
      </w:hyperlink>
    </w:p>
    <w:p w14:paraId="1D451637" w14:textId="2BA19366" w:rsidR="0024171D" w:rsidRDefault="0024171D">
      <w:pPr>
        <w:pStyle w:val="Sumrio1"/>
        <w:rPr>
          <w:rFonts w:eastAsiaTheme="minorEastAsia" w:cstheme="minorBidi"/>
          <w:kern w:val="2"/>
          <w14:ligatures w14:val="standardContextual"/>
        </w:rPr>
      </w:pPr>
      <w:hyperlink w:anchor="_Toc161141447" w:history="1">
        <w:r w:rsidRPr="00F06B07">
          <w:rPr>
            <w:rStyle w:val="Hyperlink"/>
          </w:rPr>
          <w:t>SUPLEMENTO B – LÂMINA DE INFORMAÇÕES BÁSICAS – FIF</w:t>
        </w:r>
        <w:r>
          <w:rPr>
            <w:webHidden/>
          </w:rPr>
          <w:tab/>
        </w:r>
        <w:r>
          <w:rPr>
            <w:webHidden/>
          </w:rPr>
          <w:fldChar w:fldCharType="begin"/>
        </w:r>
        <w:r>
          <w:rPr>
            <w:webHidden/>
          </w:rPr>
          <w:instrText xml:space="preserve"> PAGEREF _Toc161141447 \h </w:instrText>
        </w:r>
        <w:r>
          <w:rPr>
            <w:webHidden/>
          </w:rPr>
        </w:r>
        <w:r>
          <w:rPr>
            <w:webHidden/>
          </w:rPr>
          <w:fldChar w:fldCharType="separate"/>
        </w:r>
        <w:r>
          <w:rPr>
            <w:webHidden/>
          </w:rPr>
          <w:t>272</w:t>
        </w:r>
        <w:r>
          <w:rPr>
            <w:webHidden/>
          </w:rPr>
          <w:fldChar w:fldCharType="end"/>
        </w:r>
      </w:hyperlink>
    </w:p>
    <w:p w14:paraId="7E71F0BA" w14:textId="46D0D99F" w:rsidR="0024171D" w:rsidRDefault="0024171D">
      <w:pPr>
        <w:pStyle w:val="Sumrio1"/>
        <w:rPr>
          <w:rFonts w:eastAsiaTheme="minorEastAsia" w:cstheme="minorBidi"/>
          <w:kern w:val="2"/>
          <w14:ligatures w14:val="standardContextual"/>
        </w:rPr>
      </w:pPr>
      <w:hyperlink w:anchor="_Toc161141448" w:history="1">
        <w:r w:rsidRPr="00F06B07">
          <w:rPr>
            <w:rStyle w:val="Hyperlink"/>
          </w:rPr>
          <w:t>SUPLEMENTO C – DEMONSTRAÇÃO DE DESEMPENHO – FIF</w:t>
        </w:r>
        <w:r>
          <w:rPr>
            <w:webHidden/>
          </w:rPr>
          <w:tab/>
        </w:r>
        <w:r>
          <w:rPr>
            <w:webHidden/>
          </w:rPr>
          <w:fldChar w:fldCharType="begin"/>
        </w:r>
        <w:r>
          <w:rPr>
            <w:webHidden/>
          </w:rPr>
          <w:instrText xml:space="preserve"> PAGEREF _Toc161141448 \h </w:instrText>
        </w:r>
        <w:r>
          <w:rPr>
            <w:webHidden/>
          </w:rPr>
        </w:r>
        <w:r>
          <w:rPr>
            <w:webHidden/>
          </w:rPr>
          <w:fldChar w:fldCharType="separate"/>
        </w:r>
        <w:r>
          <w:rPr>
            <w:webHidden/>
          </w:rPr>
          <w:t>280</w:t>
        </w:r>
        <w:r>
          <w:rPr>
            <w:webHidden/>
          </w:rPr>
          <w:fldChar w:fldCharType="end"/>
        </w:r>
      </w:hyperlink>
    </w:p>
    <w:p w14:paraId="742D0AF9" w14:textId="61868E75" w:rsidR="0024171D" w:rsidRDefault="0024171D">
      <w:pPr>
        <w:pStyle w:val="Sumrio1"/>
        <w:rPr>
          <w:rFonts w:eastAsiaTheme="minorEastAsia" w:cstheme="minorBidi"/>
          <w:kern w:val="2"/>
          <w14:ligatures w14:val="standardContextual"/>
        </w:rPr>
      </w:pPr>
      <w:hyperlink w:anchor="_Toc161141449" w:history="1">
        <w:r w:rsidRPr="00F06B07">
          <w:rPr>
            <w:rStyle w:val="Hyperlink"/>
          </w:rPr>
          <w:t>SUPLEMENTO D – PERFIL MENSAL – FIF</w:t>
        </w:r>
        <w:r>
          <w:rPr>
            <w:webHidden/>
          </w:rPr>
          <w:tab/>
        </w:r>
        <w:r>
          <w:rPr>
            <w:webHidden/>
          </w:rPr>
          <w:fldChar w:fldCharType="begin"/>
        </w:r>
        <w:r>
          <w:rPr>
            <w:webHidden/>
          </w:rPr>
          <w:instrText xml:space="preserve"> PAGEREF _Toc161141449 \h </w:instrText>
        </w:r>
        <w:r>
          <w:rPr>
            <w:webHidden/>
          </w:rPr>
        </w:r>
        <w:r>
          <w:rPr>
            <w:webHidden/>
          </w:rPr>
          <w:fldChar w:fldCharType="separate"/>
        </w:r>
        <w:r>
          <w:rPr>
            <w:webHidden/>
          </w:rPr>
          <w:t>285</w:t>
        </w:r>
        <w:r>
          <w:rPr>
            <w:webHidden/>
          </w:rPr>
          <w:fldChar w:fldCharType="end"/>
        </w:r>
      </w:hyperlink>
    </w:p>
    <w:p w14:paraId="7F0AF8F3" w14:textId="1DD10449" w:rsidR="0024171D" w:rsidRDefault="0024171D">
      <w:pPr>
        <w:pStyle w:val="Sumrio1"/>
        <w:rPr>
          <w:rFonts w:eastAsiaTheme="minorEastAsia" w:cstheme="minorBidi"/>
          <w:kern w:val="2"/>
          <w14:ligatures w14:val="standardContextual"/>
        </w:rPr>
      </w:pPr>
      <w:hyperlink w:anchor="_Toc161141450" w:history="1">
        <w:r w:rsidRPr="00F06B07">
          <w:rPr>
            <w:rStyle w:val="Hyperlink"/>
          </w:rPr>
          <w:t>SUPLEMENTO E – LÂMINA DE INFORMAÇÕES BÁSICAS – FIDC</w:t>
        </w:r>
        <w:r>
          <w:rPr>
            <w:webHidden/>
          </w:rPr>
          <w:tab/>
        </w:r>
        <w:r>
          <w:rPr>
            <w:webHidden/>
          </w:rPr>
          <w:fldChar w:fldCharType="begin"/>
        </w:r>
        <w:r>
          <w:rPr>
            <w:webHidden/>
          </w:rPr>
          <w:instrText xml:space="preserve"> PAGEREF _Toc161141450 \h </w:instrText>
        </w:r>
        <w:r>
          <w:rPr>
            <w:webHidden/>
          </w:rPr>
        </w:r>
        <w:r>
          <w:rPr>
            <w:webHidden/>
          </w:rPr>
          <w:fldChar w:fldCharType="separate"/>
        </w:r>
        <w:r>
          <w:rPr>
            <w:webHidden/>
          </w:rPr>
          <w:t>291</w:t>
        </w:r>
        <w:r>
          <w:rPr>
            <w:webHidden/>
          </w:rPr>
          <w:fldChar w:fldCharType="end"/>
        </w:r>
      </w:hyperlink>
    </w:p>
    <w:p w14:paraId="62FD8447" w14:textId="0B401232" w:rsidR="0024171D" w:rsidRDefault="0024171D">
      <w:pPr>
        <w:pStyle w:val="Sumrio1"/>
        <w:rPr>
          <w:rFonts w:eastAsiaTheme="minorEastAsia" w:cstheme="minorBidi"/>
          <w:kern w:val="2"/>
          <w14:ligatures w14:val="standardContextual"/>
        </w:rPr>
      </w:pPr>
      <w:hyperlink w:anchor="_Toc161141451" w:history="1">
        <w:r w:rsidRPr="00F06B07">
          <w:rPr>
            <w:rStyle w:val="Hyperlink"/>
          </w:rPr>
          <w:t>SUPLEMENTO F – LÂMINA DE INFORMAÇÕES BÁSICAS DE CLASSES DE INVESTIMENTO EM COTAS DE FIDC</w:t>
        </w:r>
        <w:r>
          <w:rPr>
            <w:webHidden/>
          </w:rPr>
          <w:tab/>
        </w:r>
        <w:r>
          <w:rPr>
            <w:webHidden/>
          </w:rPr>
          <w:fldChar w:fldCharType="begin"/>
        </w:r>
        <w:r>
          <w:rPr>
            <w:webHidden/>
          </w:rPr>
          <w:instrText xml:space="preserve"> PAGEREF _Toc161141451 \h </w:instrText>
        </w:r>
        <w:r>
          <w:rPr>
            <w:webHidden/>
          </w:rPr>
        </w:r>
        <w:r>
          <w:rPr>
            <w:webHidden/>
          </w:rPr>
          <w:fldChar w:fldCharType="separate"/>
        </w:r>
        <w:r>
          <w:rPr>
            <w:webHidden/>
          </w:rPr>
          <w:t>295</w:t>
        </w:r>
        <w:r>
          <w:rPr>
            <w:webHidden/>
          </w:rPr>
          <w:fldChar w:fldCharType="end"/>
        </w:r>
      </w:hyperlink>
    </w:p>
    <w:p w14:paraId="32C87754" w14:textId="60D5BDF0" w:rsidR="0024171D" w:rsidRDefault="0024171D">
      <w:pPr>
        <w:pStyle w:val="Sumrio1"/>
        <w:rPr>
          <w:rFonts w:eastAsiaTheme="minorEastAsia" w:cstheme="minorBidi"/>
          <w:kern w:val="2"/>
          <w14:ligatures w14:val="standardContextual"/>
        </w:rPr>
      </w:pPr>
      <w:hyperlink w:anchor="_Toc161141452" w:history="1">
        <w:r w:rsidRPr="00F06B07">
          <w:rPr>
            <w:rStyle w:val="Hyperlink"/>
          </w:rPr>
          <w:t>SUPLEMENTO G - INFORME MENSAL – FIDC</w:t>
        </w:r>
        <w:r>
          <w:rPr>
            <w:webHidden/>
          </w:rPr>
          <w:tab/>
        </w:r>
        <w:r>
          <w:rPr>
            <w:webHidden/>
          </w:rPr>
          <w:fldChar w:fldCharType="begin"/>
        </w:r>
        <w:r>
          <w:rPr>
            <w:webHidden/>
          </w:rPr>
          <w:instrText xml:space="preserve"> PAGEREF _Toc161141452 \h </w:instrText>
        </w:r>
        <w:r>
          <w:rPr>
            <w:webHidden/>
          </w:rPr>
        </w:r>
        <w:r>
          <w:rPr>
            <w:webHidden/>
          </w:rPr>
          <w:fldChar w:fldCharType="separate"/>
        </w:r>
        <w:r>
          <w:rPr>
            <w:webHidden/>
          </w:rPr>
          <w:t>298</w:t>
        </w:r>
        <w:r>
          <w:rPr>
            <w:webHidden/>
          </w:rPr>
          <w:fldChar w:fldCharType="end"/>
        </w:r>
      </w:hyperlink>
    </w:p>
    <w:p w14:paraId="4F969BB2" w14:textId="537BD11C" w:rsidR="0024171D" w:rsidRDefault="0024171D">
      <w:pPr>
        <w:pStyle w:val="Sumrio1"/>
        <w:rPr>
          <w:rFonts w:eastAsiaTheme="minorEastAsia" w:cstheme="minorBidi"/>
          <w:kern w:val="2"/>
          <w14:ligatures w14:val="standardContextual"/>
        </w:rPr>
      </w:pPr>
      <w:hyperlink w:anchor="_Toc161141453" w:history="1">
        <w:r w:rsidRPr="00F06B07">
          <w:rPr>
            <w:rStyle w:val="Hyperlink"/>
          </w:rPr>
          <w:t>SUPLEMENTO H – LAUDO DE AVALIAÇÃO – FII</w:t>
        </w:r>
        <w:r>
          <w:rPr>
            <w:webHidden/>
          </w:rPr>
          <w:tab/>
        </w:r>
        <w:r>
          <w:rPr>
            <w:webHidden/>
          </w:rPr>
          <w:fldChar w:fldCharType="begin"/>
        </w:r>
        <w:r>
          <w:rPr>
            <w:webHidden/>
          </w:rPr>
          <w:instrText xml:space="preserve"> PAGEREF _Toc161141453 \h </w:instrText>
        </w:r>
        <w:r>
          <w:rPr>
            <w:webHidden/>
          </w:rPr>
        </w:r>
        <w:r>
          <w:rPr>
            <w:webHidden/>
          </w:rPr>
          <w:fldChar w:fldCharType="separate"/>
        </w:r>
        <w:r>
          <w:rPr>
            <w:webHidden/>
          </w:rPr>
          <w:t>329</w:t>
        </w:r>
        <w:r>
          <w:rPr>
            <w:webHidden/>
          </w:rPr>
          <w:fldChar w:fldCharType="end"/>
        </w:r>
      </w:hyperlink>
    </w:p>
    <w:p w14:paraId="5FDFCEC2" w14:textId="358B0296" w:rsidR="0024171D" w:rsidRDefault="0024171D">
      <w:pPr>
        <w:pStyle w:val="Sumrio1"/>
        <w:rPr>
          <w:rFonts w:eastAsiaTheme="minorEastAsia" w:cstheme="minorBidi"/>
          <w:kern w:val="2"/>
          <w14:ligatures w14:val="standardContextual"/>
        </w:rPr>
      </w:pPr>
      <w:hyperlink w:anchor="_Toc161141454" w:history="1">
        <w:r w:rsidRPr="00F06B07">
          <w:rPr>
            <w:rStyle w:val="Hyperlink"/>
          </w:rPr>
          <w:t>SUPLEMENTO I – INFORME MENSAL – FII</w:t>
        </w:r>
        <w:r>
          <w:rPr>
            <w:webHidden/>
          </w:rPr>
          <w:tab/>
        </w:r>
        <w:r>
          <w:rPr>
            <w:webHidden/>
          </w:rPr>
          <w:fldChar w:fldCharType="begin"/>
        </w:r>
        <w:r>
          <w:rPr>
            <w:webHidden/>
          </w:rPr>
          <w:instrText xml:space="preserve"> PAGEREF _Toc161141454 \h </w:instrText>
        </w:r>
        <w:r>
          <w:rPr>
            <w:webHidden/>
          </w:rPr>
        </w:r>
        <w:r>
          <w:rPr>
            <w:webHidden/>
          </w:rPr>
          <w:fldChar w:fldCharType="separate"/>
        </w:r>
        <w:r>
          <w:rPr>
            <w:webHidden/>
          </w:rPr>
          <w:t>331</w:t>
        </w:r>
        <w:r>
          <w:rPr>
            <w:webHidden/>
          </w:rPr>
          <w:fldChar w:fldCharType="end"/>
        </w:r>
      </w:hyperlink>
    </w:p>
    <w:p w14:paraId="280BD32D" w14:textId="5854E25D" w:rsidR="0024171D" w:rsidRDefault="0024171D">
      <w:pPr>
        <w:pStyle w:val="Sumrio1"/>
        <w:rPr>
          <w:rFonts w:eastAsiaTheme="minorEastAsia" w:cstheme="minorBidi"/>
          <w:kern w:val="2"/>
          <w14:ligatures w14:val="standardContextual"/>
        </w:rPr>
      </w:pPr>
      <w:hyperlink w:anchor="_Toc161141455" w:history="1">
        <w:r w:rsidRPr="00F06B07">
          <w:rPr>
            <w:rStyle w:val="Hyperlink"/>
          </w:rPr>
          <w:t>SUPLEMENTO J – INFORME TRIMESTRAL –FII</w:t>
        </w:r>
        <w:r>
          <w:rPr>
            <w:webHidden/>
          </w:rPr>
          <w:tab/>
        </w:r>
        <w:r>
          <w:rPr>
            <w:webHidden/>
          </w:rPr>
          <w:fldChar w:fldCharType="begin"/>
        </w:r>
        <w:r>
          <w:rPr>
            <w:webHidden/>
          </w:rPr>
          <w:instrText xml:space="preserve"> PAGEREF _Toc161141455 \h </w:instrText>
        </w:r>
        <w:r>
          <w:rPr>
            <w:webHidden/>
          </w:rPr>
        </w:r>
        <w:r>
          <w:rPr>
            <w:webHidden/>
          </w:rPr>
          <w:fldChar w:fldCharType="separate"/>
        </w:r>
        <w:r>
          <w:rPr>
            <w:webHidden/>
          </w:rPr>
          <w:t>335</w:t>
        </w:r>
        <w:r>
          <w:rPr>
            <w:webHidden/>
          </w:rPr>
          <w:fldChar w:fldCharType="end"/>
        </w:r>
      </w:hyperlink>
    </w:p>
    <w:p w14:paraId="68B131FF" w14:textId="38B5EB38" w:rsidR="0024171D" w:rsidRDefault="0024171D">
      <w:pPr>
        <w:pStyle w:val="Sumrio1"/>
        <w:rPr>
          <w:rFonts w:eastAsiaTheme="minorEastAsia" w:cstheme="minorBidi"/>
          <w:kern w:val="2"/>
          <w14:ligatures w14:val="standardContextual"/>
        </w:rPr>
      </w:pPr>
      <w:hyperlink w:anchor="_Toc161141456" w:history="1">
        <w:r w:rsidRPr="00F06B07">
          <w:rPr>
            <w:rStyle w:val="Hyperlink"/>
          </w:rPr>
          <w:t>SUPLEMENTO K – INFORME ANUAL – FII</w:t>
        </w:r>
        <w:r>
          <w:rPr>
            <w:webHidden/>
          </w:rPr>
          <w:tab/>
        </w:r>
        <w:r>
          <w:rPr>
            <w:webHidden/>
          </w:rPr>
          <w:fldChar w:fldCharType="begin"/>
        </w:r>
        <w:r>
          <w:rPr>
            <w:webHidden/>
          </w:rPr>
          <w:instrText xml:space="preserve"> PAGEREF _Toc161141456 \h </w:instrText>
        </w:r>
        <w:r>
          <w:rPr>
            <w:webHidden/>
          </w:rPr>
        </w:r>
        <w:r>
          <w:rPr>
            <w:webHidden/>
          </w:rPr>
          <w:fldChar w:fldCharType="separate"/>
        </w:r>
        <w:r>
          <w:rPr>
            <w:webHidden/>
          </w:rPr>
          <w:t>346</w:t>
        </w:r>
        <w:r>
          <w:rPr>
            <w:webHidden/>
          </w:rPr>
          <w:fldChar w:fldCharType="end"/>
        </w:r>
      </w:hyperlink>
    </w:p>
    <w:p w14:paraId="70D7FCDE" w14:textId="57AC093D" w:rsidR="0024171D" w:rsidRDefault="0024171D">
      <w:pPr>
        <w:pStyle w:val="Sumrio1"/>
        <w:rPr>
          <w:rFonts w:eastAsiaTheme="minorEastAsia" w:cstheme="minorBidi"/>
          <w:kern w:val="2"/>
          <w14:ligatures w14:val="standardContextual"/>
        </w:rPr>
      </w:pPr>
      <w:hyperlink w:anchor="_Toc161141457" w:history="1">
        <w:r w:rsidRPr="00F06B07">
          <w:rPr>
            <w:rStyle w:val="Hyperlink"/>
          </w:rPr>
          <w:t>SUPLEMENTO L – INFORME QUADRIMESTRAL – FIP</w:t>
        </w:r>
        <w:r>
          <w:rPr>
            <w:webHidden/>
          </w:rPr>
          <w:tab/>
        </w:r>
        <w:r>
          <w:rPr>
            <w:webHidden/>
          </w:rPr>
          <w:fldChar w:fldCharType="begin"/>
        </w:r>
        <w:r>
          <w:rPr>
            <w:webHidden/>
          </w:rPr>
          <w:instrText xml:space="preserve"> PAGEREF _Toc161141457 \h </w:instrText>
        </w:r>
        <w:r>
          <w:rPr>
            <w:webHidden/>
          </w:rPr>
        </w:r>
        <w:r>
          <w:rPr>
            <w:webHidden/>
          </w:rPr>
          <w:fldChar w:fldCharType="separate"/>
        </w:r>
        <w:r>
          <w:rPr>
            <w:webHidden/>
          </w:rPr>
          <w:t>352</w:t>
        </w:r>
        <w:r>
          <w:rPr>
            <w:webHidden/>
          </w:rPr>
          <w:fldChar w:fldCharType="end"/>
        </w:r>
      </w:hyperlink>
    </w:p>
    <w:p w14:paraId="290CCCCE" w14:textId="553C783E" w:rsidR="0024171D" w:rsidRDefault="0024171D">
      <w:pPr>
        <w:pStyle w:val="Sumrio1"/>
        <w:rPr>
          <w:rFonts w:eastAsiaTheme="minorEastAsia" w:cstheme="minorBidi"/>
          <w:kern w:val="2"/>
          <w14:ligatures w14:val="standardContextual"/>
        </w:rPr>
      </w:pPr>
      <w:hyperlink w:anchor="_Toc161141458" w:history="1">
        <w:r w:rsidRPr="00F06B07">
          <w:rPr>
            <w:rStyle w:val="Hyperlink"/>
          </w:rPr>
          <w:t>SUPLEMENTO M – INFORME DIÁRIO DO FMP–FGTS</w:t>
        </w:r>
        <w:r>
          <w:rPr>
            <w:webHidden/>
          </w:rPr>
          <w:tab/>
        </w:r>
        <w:r>
          <w:rPr>
            <w:webHidden/>
          </w:rPr>
          <w:fldChar w:fldCharType="begin"/>
        </w:r>
        <w:r>
          <w:rPr>
            <w:webHidden/>
          </w:rPr>
          <w:instrText xml:space="preserve"> PAGEREF _Toc161141458 \h </w:instrText>
        </w:r>
        <w:r>
          <w:rPr>
            <w:webHidden/>
          </w:rPr>
        </w:r>
        <w:r>
          <w:rPr>
            <w:webHidden/>
          </w:rPr>
          <w:fldChar w:fldCharType="separate"/>
        </w:r>
        <w:r>
          <w:rPr>
            <w:webHidden/>
          </w:rPr>
          <w:t>355</w:t>
        </w:r>
        <w:r>
          <w:rPr>
            <w:webHidden/>
          </w:rPr>
          <w:fldChar w:fldCharType="end"/>
        </w:r>
      </w:hyperlink>
    </w:p>
    <w:p w14:paraId="3499568E" w14:textId="6B19D3EC" w:rsidR="00705553" w:rsidRDefault="00893D49" w:rsidP="00134910">
      <w:pPr>
        <w:pStyle w:val="Sumrio1"/>
        <w:rPr>
          <w:shd w:val="clear" w:color="auto" w:fill="E6E6E6"/>
        </w:rPr>
      </w:pPr>
      <w:r w:rsidRPr="0097459F">
        <w:rPr>
          <w:shd w:val="clear" w:color="auto" w:fill="E6E6E6"/>
        </w:rPr>
        <w:fldChar w:fldCharType="end"/>
      </w:r>
    </w:p>
    <w:p w14:paraId="40D8D9A4" w14:textId="2E9566E6" w:rsidR="00893D49" w:rsidRPr="0097459F" w:rsidRDefault="00893D49" w:rsidP="00134910">
      <w:pPr>
        <w:pStyle w:val="Sumrio1"/>
      </w:pPr>
      <w:r w:rsidRPr="0097459F">
        <w:br w:type="page"/>
      </w:r>
    </w:p>
    <w:p w14:paraId="5A224470" w14:textId="55F8F37B" w:rsidR="00893D49" w:rsidRPr="0097459F" w:rsidRDefault="4AF9F487" w:rsidP="00C20BBD">
      <w:pPr>
        <w:pStyle w:val="Normalalteradora"/>
      </w:pPr>
      <w:r w:rsidRPr="0097459F">
        <w:lastRenderedPageBreak/>
        <w:t xml:space="preserve">O </w:t>
      </w:r>
      <w:r w:rsidRPr="0097459F">
        <w:rPr>
          <w:b/>
          <w:bCs/>
        </w:rPr>
        <w:t xml:space="preserve">PRESIDENTE DA COMISSÃO DE VALORES MOBILIÁRIOS </w:t>
      </w:r>
      <w:r w:rsidR="00ED6C12" w:rsidRPr="0097459F">
        <w:rPr>
          <w:b/>
          <w:bCs/>
        </w:rPr>
        <w:t>–</w:t>
      </w:r>
      <w:r w:rsidRPr="0097459F">
        <w:rPr>
          <w:b/>
          <w:bCs/>
        </w:rPr>
        <w:t xml:space="preserve"> CVM</w:t>
      </w:r>
      <w:r w:rsidRPr="0097459F">
        <w:t xml:space="preserve"> torna público que o Colegiado, em reunião realizada em </w:t>
      </w:r>
      <w:r w:rsidR="00E66FAE" w:rsidRPr="0097459F">
        <w:t xml:space="preserve">14 de dezembro de 2022, </w:t>
      </w:r>
      <w:r w:rsidRPr="0097459F">
        <w:rPr>
          <w:rFonts w:eastAsia="Calibri"/>
          <w:spacing w:val="2"/>
        </w:rPr>
        <w:t>com</w:t>
      </w:r>
      <w:r w:rsidRPr="0097459F">
        <w:t xml:space="preserve"> </w:t>
      </w:r>
      <w:r w:rsidRPr="0097459F">
        <w:rPr>
          <w:rFonts w:eastAsia="Calibri"/>
        </w:rPr>
        <w:t>fundamento</w:t>
      </w:r>
      <w:r w:rsidRPr="0097459F">
        <w:t xml:space="preserve"> no disposto nos </w:t>
      </w:r>
      <w:proofErr w:type="spellStart"/>
      <w:r w:rsidRPr="0097459F">
        <w:t>arts</w:t>
      </w:r>
      <w:proofErr w:type="spellEnd"/>
      <w:r w:rsidRPr="0097459F">
        <w:t xml:space="preserve">. 2º, inciso V, 8º, inciso I, 19 e 23, § 2º, da Lei nº 6.385, de 7 de dezembro de </w:t>
      </w:r>
      <w:r w:rsidRPr="0097459F">
        <w:rPr>
          <w:rFonts w:eastAsia="Calibri"/>
          <w:spacing w:val="2"/>
        </w:rPr>
        <w:t>1976</w:t>
      </w:r>
      <w:r w:rsidRPr="0097459F">
        <w:t xml:space="preserve">, </w:t>
      </w:r>
      <w:r w:rsidR="1BFE5355" w:rsidRPr="0097459F">
        <w:t>n</w:t>
      </w:r>
      <w:r w:rsidRPr="0097459F">
        <w:rPr>
          <w:shd w:val="clear" w:color="auto" w:fill="FFFFFF"/>
        </w:rPr>
        <w:t>a Lei n</w:t>
      </w:r>
      <w:r w:rsidR="1BFE5355" w:rsidRPr="0097459F">
        <w:rPr>
          <w:shd w:val="clear" w:color="auto" w:fill="FFFFFF"/>
        </w:rPr>
        <w:t>º 8.167, de 16 de janeiro de 1991</w:t>
      </w:r>
      <w:r w:rsidR="1F88B109" w:rsidRPr="0097459F">
        <w:rPr>
          <w:shd w:val="clear" w:color="auto" w:fill="FFFFFF"/>
        </w:rPr>
        <w:t>, n</w:t>
      </w:r>
      <w:r w:rsidRPr="0097459F">
        <w:t>a Lei nº 8.313, de 23 de dezembro de 1991,</w:t>
      </w:r>
      <w:r w:rsidR="1F88B109" w:rsidRPr="0097459F">
        <w:t xml:space="preserve"> </w:t>
      </w:r>
      <w:r w:rsidR="1BFE5355" w:rsidRPr="0097459F">
        <w:t xml:space="preserve">na Lei nº 8.668, de 25 de junho de 1993, </w:t>
      </w:r>
      <w:r w:rsidR="1F88B109" w:rsidRPr="0097459F">
        <w:t xml:space="preserve">na Lei nº 9.491, de 9 de setembro de 1997, </w:t>
      </w:r>
      <w:r w:rsidR="00E66FAE" w:rsidRPr="0097459F">
        <w:t>na Lei nº 9.635, de 15 de maio de 1998</w:t>
      </w:r>
      <w:r w:rsidR="35CADAAF" w:rsidRPr="0097459F">
        <w:t xml:space="preserve">, na Medida Provisória no 2.228-1, de 6 de setembro de 2001, </w:t>
      </w:r>
      <w:r w:rsidR="00ED6C12" w:rsidRPr="0097459F">
        <w:t xml:space="preserve">nos </w:t>
      </w:r>
      <w:proofErr w:type="spellStart"/>
      <w:r w:rsidR="00ED6C12" w:rsidRPr="0097459F">
        <w:t>arts</w:t>
      </w:r>
      <w:proofErr w:type="spellEnd"/>
      <w:r w:rsidR="00ED6C12" w:rsidRPr="0097459F">
        <w:t xml:space="preserve">. 1.368-C a 1.368-F da Lei nº 10.406, de 10 de janeiro de 2002, </w:t>
      </w:r>
      <w:r w:rsidR="1BFE5355" w:rsidRPr="0097459F">
        <w:t xml:space="preserve">na </w:t>
      </w:r>
      <w:r w:rsidR="35CADAAF" w:rsidRPr="0097459F">
        <w:rPr>
          <w:shd w:val="clear" w:color="auto" w:fill="FFFFFF"/>
        </w:rPr>
        <w:t xml:space="preserve">Lei nº 10.735, de </w:t>
      </w:r>
      <w:r w:rsidR="1BFE5355" w:rsidRPr="0097459F">
        <w:rPr>
          <w:shd w:val="clear" w:color="auto" w:fill="FFFFFF"/>
        </w:rPr>
        <w:t xml:space="preserve">11 de setembro de 2003, </w:t>
      </w:r>
      <w:r w:rsidR="35CADAAF" w:rsidRPr="0097459F">
        <w:t xml:space="preserve">na Lei nº 10.973, de 2 de dezembro de 2004, </w:t>
      </w:r>
      <w:r w:rsidR="1BFE5355" w:rsidRPr="0097459F">
        <w:t>na Lei nº 11.196, de 21 de novembro de 2005, na Lei nº 11.478, de 29 de maio de 2007</w:t>
      </w:r>
      <w:r w:rsidR="35CADAAF" w:rsidRPr="0097459F">
        <w:t xml:space="preserve">, </w:t>
      </w:r>
      <w:r w:rsidR="1BFE5355" w:rsidRPr="0097459F">
        <w:t xml:space="preserve">na Lei nº 12.431, de 24 de junho de 2011, </w:t>
      </w:r>
      <w:r w:rsidR="1F88B109" w:rsidRPr="0097459F">
        <w:t>na Resolução CMN nº 1.787, de 1º de fevereiro de 1991, na Resolução CMN nº 2.424, de 1º de outubro de 1997,</w:t>
      </w:r>
      <w:r w:rsidR="3658C652" w:rsidRPr="0097459F">
        <w:t xml:space="preserve"> </w:t>
      </w:r>
      <w:r w:rsidR="35CADAAF" w:rsidRPr="0097459F">
        <w:t xml:space="preserve">e </w:t>
      </w:r>
      <w:r w:rsidRPr="0097459F">
        <w:t xml:space="preserve">na Resolução CMN nº 2.907, de 29 de novembro de 2001, </w:t>
      </w:r>
      <w:r w:rsidRPr="0097459F">
        <w:rPr>
          <w:b/>
          <w:bCs/>
        </w:rPr>
        <w:t>APROVOU</w:t>
      </w:r>
      <w:r w:rsidRPr="0097459F">
        <w:t xml:space="preserve"> a seguinte Resolução:</w:t>
      </w:r>
    </w:p>
    <w:p w14:paraId="6FA8710C" w14:textId="77777777" w:rsidR="00893D49" w:rsidRPr="0097459F" w:rsidRDefault="00893D49" w:rsidP="00C20BBD">
      <w:pPr>
        <w:pStyle w:val="Captulo"/>
        <w:rPr>
          <w:rFonts w:asciiTheme="minorHAnsi" w:hAnsiTheme="minorHAnsi"/>
        </w:rPr>
      </w:pPr>
      <w:bookmarkStart w:id="6" w:name="_Toc53594426"/>
      <w:bookmarkStart w:id="7" w:name="_Toc53595451"/>
      <w:bookmarkStart w:id="8" w:name="_Toc53594178"/>
      <w:bookmarkStart w:id="9" w:name="_Toc114818959"/>
      <w:bookmarkStart w:id="10" w:name="_Toc57836186"/>
      <w:bookmarkStart w:id="11" w:name="_Toc161141188"/>
      <w:r w:rsidRPr="0097459F">
        <w:rPr>
          <w:rFonts w:asciiTheme="minorHAnsi" w:hAnsiTheme="minorHAnsi"/>
        </w:rPr>
        <w:t>CAPÍTULO I – ÂMBITO E FINALIDADE</w:t>
      </w:r>
      <w:bookmarkEnd w:id="6"/>
      <w:bookmarkEnd w:id="7"/>
      <w:bookmarkEnd w:id="8"/>
      <w:bookmarkEnd w:id="9"/>
      <w:bookmarkEnd w:id="10"/>
      <w:bookmarkEnd w:id="11"/>
    </w:p>
    <w:p w14:paraId="6EB07ED5" w14:textId="6E33BC35" w:rsidR="00F734EE" w:rsidRPr="0097459F" w:rsidRDefault="00F734EE" w:rsidP="00C20BBD">
      <w:pPr>
        <w:ind w:firstLine="567"/>
        <w:jc w:val="center"/>
        <w:rPr>
          <w:rFonts w:asciiTheme="minorHAnsi" w:hAnsiTheme="minorHAnsi" w:cstheme="minorHAnsi"/>
          <w:sz w:val="24"/>
          <w:szCs w:val="24"/>
        </w:rPr>
      </w:pPr>
      <w:r w:rsidRPr="0097459F">
        <w:rPr>
          <w:rFonts w:asciiTheme="minorHAnsi" w:hAnsiTheme="minorHAnsi" w:cstheme="minorHAnsi"/>
          <w:b/>
          <w:sz w:val="24"/>
          <w:szCs w:val="24"/>
        </w:rPr>
        <w:t>Seção I – Abrangência</w:t>
      </w:r>
    </w:p>
    <w:p w14:paraId="2C05DCEF" w14:textId="4A99E55B" w:rsidR="00893D49" w:rsidRPr="0097459F" w:rsidRDefault="00893D49" w:rsidP="00C20BBD">
      <w:pPr>
        <w:pStyle w:val="Normalalteradora"/>
      </w:pPr>
      <w:r w:rsidRPr="0097459F">
        <w:t>Art. 1</w:t>
      </w:r>
      <w:proofErr w:type="gramStart"/>
      <w:r w:rsidRPr="0097459F">
        <w:t>º  Esta</w:t>
      </w:r>
      <w:proofErr w:type="gramEnd"/>
      <w:r w:rsidRPr="0097459F">
        <w:t xml:space="preserve"> Resolução dispõe sobre a constituição, o funcionamento e a divulgação de informações dos fundos de investimento, bem como sobre a prestação de serviços para os fundos.</w:t>
      </w:r>
    </w:p>
    <w:p w14:paraId="5A091B12" w14:textId="01B70C19" w:rsidR="00F734EE" w:rsidRPr="0097459F" w:rsidRDefault="00F734EE" w:rsidP="00C20BBD">
      <w:pPr>
        <w:ind w:firstLine="567"/>
        <w:jc w:val="center"/>
        <w:rPr>
          <w:rFonts w:asciiTheme="minorHAnsi" w:hAnsiTheme="minorHAnsi" w:cstheme="minorHAnsi"/>
          <w:sz w:val="24"/>
          <w:szCs w:val="24"/>
        </w:rPr>
      </w:pPr>
      <w:r w:rsidRPr="0097459F">
        <w:rPr>
          <w:rFonts w:asciiTheme="minorHAnsi" w:hAnsiTheme="minorHAnsi" w:cstheme="minorHAnsi"/>
          <w:b/>
          <w:sz w:val="24"/>
          <w:szCs w:val="24"/>
        </w:rPr>
        <w:t>Seção II – Parte Geral e Anexos Normativos</w:t>
      </w:r>
    </w:p>
    <w:p w14:paraId="77F99529" w14:textId="17AA544E" w:rsidR="00893D49" w:rsidRPr="0097459F" w:rsidRDefault="00F734EE" w:rsidP="00C20BBD">
      <w:pPr>
        <w:pStyle w:val="Normalalteradora"/>
        <w:rPr>
          <w:rFonts w:cstheme="minorHAnsi"/>
        </w:rPr>
      </w:pPr>
      <w:r w:rsidRPr="0097459F">
        <w:rPr>
          <w:rFonts w:cstheme="minorHAnsi"/>
        </w:rPr>
        <w:t>Art. 2</w:t>
      </w:r>
      <w:proofErr w:type="gramStart"/>
      <w:r w:rsidR="00893D49" w:rsidRPr="0097459F">
        <w:rPr>
          <w:rFonts w:cstheme="minorHAnsi"/>
        </w:rPr>
        <w:t>º  As</w:t>
      </w:r>
      <w:proofErr w:type="gramEnd"/>
      <w:r w:rsidR="00893D49" w:rsidRPr="0097459F">
        <w:rPr>
          <w:rFonts w:cstheme="minorHAnsi"/>
        </w:rPr>
        <w:t xml:space="preserve"> regras estabelecidas nesta </w:t>
      </w:r>
      <w:r w:rsidR="00B45383" w:rsidRPr="0097459F">
        <w:rPr>
          <w:rFonts w:cstheme="minorHAnsi"/>
        </w:rPr>
        <w:t xml:space="preserve">parte </w:t>
      </w:r>
      <w:r w:rsidR="00DD0F93" w:rsidRPr="0097459F">
        <w:rPr>
          <w:rFonts w:cstheme="minorHAnsi"/>
        </w:rPr>
        <w:t>g</w:t>
      </w:r>
      <w:r w:rsidRPr="0097459F">
        <w:rPr>
          <w:rFonts w:cstheme="minorHAnsi"/>
        </w:rPr>
        <w:t>eral da Resolução</w:t>
      </w:r>
      <w:r w:rsidR="00B45383" w:rsidRPr="0097459F">
        <w:rPr>
          <w:rFonts w:cstheme="minorHAnsi"/>
        </w:rPr>
        <w:t xml:space="preserve"> </w:t>
      </w:r>
      <w:r w:rsidR="00893D49" w:rsidRPr="0097459F">
        <w:rPr>
          <w:rFonts w:cstheme="minorHAnsi"/>
        </w:rPr>
        <w:t>são aplicáveis a todas as categorias de fundos</w:t>
      </w:r>
      <w:r w:rsidR="00B160C2" w:rsidRPr="0097459F">
        <w:rPr>
          <w:rFonts w:cstheme="minorHAnsi"/>
        </w:rPr>
        <w:t xml:space="preserve"> disciplinadas nesta Resolução</w:t>
      </w:r>
      <w:r w:rsidR="00893D49" w:rsidRPr="0097459F">
        <w:rPr>
          <w:rFonts w:cstheme="minorHAnsi"/>
        </w:rPr>
        <w:t xml:space="preserve">, sem prejuízo </w:t>
      </w:r>
      <w:r w:rsidR="00306401" w:rsidRPr="0097459F">
        <w:rPr>
          <w:rFonts w:cstheme="minorHAnsi"/>
        </w:rPr>
        <w:t xml:space="preserve">das regras </w:t>
      </w:r>
      <w:r w:rsidR="0053607A" w:rsidRPr="0097459F">
        <w:rPr>
          <w:rFonts w:cstheme="minorHAnsi"/>
        </w:rPr>
        <w:t xml:space="preserve">específicas </w:t>
      </w:r>
      <w:r w:rsidR="00893D49" w:rsidRPr="0097459F">
        <w:rPr>
          <w:rFonts w:cstheme="minorHAnsi"/>
        </w:rPr>
        <w:t>dispost</w:t>
      </w:r>
      <w:r w:rsidR="00306401" w:rsidRPr="0097459F">
        <w:rPr>
          <w:rFonts w:cstheme="minorHAnsi"/>
        </w:rPr>
        <w:t>as</w:t>
      </w:r>
      <w:r w:rsidR="00893D49" w:rsidRPr="0097459F">
        <w:rPr>
          <w:rFonts w:cstheme="minorHAnsi"/>
        </w:rPr>
        <w:t xml:space="preserve"> nos Anexos Normativos, conforme o </w:t>
      </w:r>
      <w:r w:rsidRPr="0097459F">
        <w:rPr>
          <w:rFonts w:cstheme="minorHAnsi"/>
        </w:rPr>
        <w:t>parágrafo único</w:t>
      </w:r>
      <w:r w:rsidR="00893D49" w:rsidRPr="0097459F">
        <w:rPr>
          <w:rFonts w:cstheme="minorHAnsi"/>
        </w:rPr>
        <w:t>.</w:t>
      </w:r>
    </w:p>
    <w:p w14:paraId="3CDC4C04" w14:textId="3566D20E" w:rsidR="00893D49" w:rsidRPr="0097459F" w:rsidRDefault="00F734EE" w:rsidP="00C20BBD">
      <w:pPr>
        <w:pStyle w:val="Normalalteradora"/>
        <w:rPr>
          <w:rFonts w:cstheme="minorHAnsi"/>
        </w:rPr>
      </w:pPr>
      <w:r w:rsidRPr="0097459F">
        <w:t>Parágrafo único.</w:t>
      </w:r>
      <w:r w:rsidR="00893D49" w:rsidRPr="0097459F">
        <w:t xml:space="preserve">  As regras </w:t>
      </w:r>
      <w:r w:rsidR="00E72C8B" w:rsidRPr="0097459F">
        <w:t xml:space="preserve">dispostas nesta parte </w:t>
      </w:r>
      <w:r w:rsidR="00DD0F93" w:rsidRPr="0097459F">
        <w:t>g</w:t>
      </w:r>
      <w:r w:rsidRPr="0097459F">
        <w:t>eral</w:t>
      </w:r>
      <w:r w:rsidR="00E72C8B" w:rsidRPr="0097459F">
        <w:t xml:space="preserve"> da Resolução </w:t>
      </w:r>
      <w:r w:rsidR="00893D49" w:rsidRPr="0097459F">
        <w:t xml:space="preserve">são complementadas pelas regras específicas aplicáveis a cada categoria de fundo, </w:t>
      </w:r>
      <w:r w:rsidR="00E72C8B" w:rsidRPr="0097459F">
        <w:t>conforme dispostas nos</w:t>
      </w:r>
      <w:r w:rsidR="00893D49" w:rsidRPr="0097459F">
        <w:t xml:space="preserve"> Anexos Normativos e demais regulamentações aplicáveis</w:t>
      </w:r>
      <w:r w:rsidR="00E72C8B" w:rsidRPr="0097459F">
        <w:t xml:space="preserve">, </w:t>
      </w:r>
      <w:r w:rsidR="00544AA8" w:rsidRPr="0097459F">
        <w:t>prevalecendo</w:t>
      </w:r>
      <w:r w:rsidR="00986612" w:rsidRPr="0097459F">
        <w:t>, em caso de conflito,</w:t>
      </w:r>
      <w:r w:rsidR="00544AA8" w:rsidRPr="0097459F">
        <w:t xml:space="preserve"> </w:t>
      </w:r>
      <w:r w:rsidR="00E72C8B" w:rsidRPr="0097459F">
        <w:t xml:space="preserve">a </w:t>
      </w:r>
      <w:r w:rsidR="00544AA8" w:rsidRPr="0097459F">
        <w:t>regra</w:t>
      </w:r>
      <w:r w:rsidR="00E72C8B" w:rsidRPr="0097459F">
        <w:t xml:space="preserve"> específica sobre a regra geral</w:t>
      </w:r>
      <w:r w:rsidR="00893D49" w:rsidRPr="0097459F">
        <w:t>.</w:t>
      </w:r>
    </w:p>
    <w:p w14:paraId="6A5D14AF" w14:textId="77777777" w:rsidR="00893D49" w:rsidRPr="0097459F" w:rsidRDefault="00893D49" w:rsidP="00C20BBD">
      <w:pPr>
        <w:pStyle w:val="Captulo"/>
        <w:rPr>
          <w:rFonts w:asciiTheme="minorHAnsi" w:hAnsiTheme="minorHAnsi" w:cstheme="minorHAnsi"/>
        </w:rPr>
      </w:pPr>
      <w:bookmarkStart w:id="12" w:name="_Toc53594427"/>
      <w:bookmarkStart w:id="13" w:name="_Toc53595452"/>
      <w:bookmarkStart w:id="14" w:name="_Toc53594179"/>
      <w:bookmarkStart w:id="15" w:name="_Toc114818960"/>
      <w:bookmarkStart w:id="16" w:name="_Toc57836187"/>
      <w:bookmarkStart w:id="17" w:name="_Toc161141189"/>
      <w:r w:rsidRPr="0097459F">
        <w:rPr>
          <w:rFonts w:asciiTheme="minorHAnsi" w:hAnsiTheme="minorHAnsi" w:cstheme="minorHAnsi"/>
        </w:rPr>
        <w:t>CAPÍTULO II – DEFINIÇÕES</w:t>
      </w:r>
      <w:bookmarkEnd w:id="12"/>
      <w:bookmarkEnd w:id="13"/>
      <w:bookmarkEnd w:id="14"/>
      <w:bookmarkEnd w:id="15"/>
      <w:bookmarkEnd w:id="16"/>
      <w:bookmarkEnd w:id="17"/>
    </w:p>
    <w:p w14:paraId="0FEF789C" w14:textId="0DE977B3" w:rsidR="00893D49" w:rsidRPr="0097459F" w:rsidRDefault="00893D49" w:rsidP="00C20BBD">
      <w:pPr>
        <w:pStyle w:val="Normalalteradora"/>
        <w:rPr>
          <w:rFonts w:cstheme="minorHAnsi"/>
        </w:rPr>
      </w:pPr>
      <w:r w:rsidRPr="0097459F">
        <w:rPr>
          <w:rFonts w:cstheme="minorHAnsi"/>
        </w:rPr>
        <w:t xml:space="preserve">Art. </w:t>
      </w:r>
      <w:r w:rsidR="00F734EE" w:rsidRPr="0097459F">
        <w:rPr>
          <w:rFonts w:cstheme="minorHAnsi"/>
        </w:rPr>
        <w:t>3</w:t>
      </w:r>
      <w:proofErr w:type="gramStart"/>
      <w:r w:rsidR="00F734EE" w:rsidRPr="0097459F">
        <w:rPr>
          <w:rFonts w:cstheme="minorHAnsi"/>
        </w:rPr>
        <w:t>º</w:t>
      </w:r>
      <w:r w:rsidRPr="0097459F">
        <w:rPr>
          <w:rFonts w:cstheme="minorHAnsi"/>
        </w:rPr>
        <w:t xml:space="preserve">  Para</w:t>
      </w:r>
      <w:proofErr w:type="gramEnd"/>
      <w:r w:rsidRPr="0097459F">
        <w:rPr>
          <w:rFonts w:cstheme="minorHAnsi"/>
        </w:rPr>
        <w:t xml:space="preserve"> os efeitos desta Resolução, entende-se por:</w:t>
      </w:r>
    </w:p>
    <w:p w14:paraId="2A38AEAA" w14:textId="5A3FA6A8" w:rsidR="00893D49" w:rsidRPr="0097459F" w:rsidRDefault="00893D49" w:rsidP="00C20BBD">
      <w:pPr>
        <w:pStyle w:val="Normalalteradora"/>
        <w:rPr>
          <w:rFonts w:cstheme="minorHAnsi"/>
        </w:rPr>
      </w:pPr>
      <w:r w:rsidRPr="0097459F">
        <w:rPr>
          <w:rFonts w:cstheme="minorHAnsi"/>
        </w:rPr>
        <w:lastRenderedPageBreak/>
        <w:t xml:space="preserve">I – </w:t>
      </w:r>
      <w:proofErr w:type="gramStart"/>
      <w:r w:rsidRPr="0097459F">
        <w:rPr>
          <w:rFonts w:cstheme="minorHAnsi"/>
        </w:rPr>
        <w:t>administrador</w:t>
      </w:r>
      <w:proofErr w:type="gramEnd"/>
      <w:r w:rsidRPr="0097459F">
        <w:rPr>
          <w:rFonts w:cstheme="minorHAnsi"/>
        </w:rPr>
        <w:t xml:space="preserve"> (do fundo): pessoa jurídica autorizada pela CVM para o exercício profissional de administração de carteiras de valores mobiliários, na categoria de </w:t>
      </w:r>
      <w:r w:rsidR="00222400" w:rsidRPr="0097459F">
        <w:rPr>
          <w:rFonts w:cstheme="minorHAnsi"/>
        </w:rPr>
        <w:t>“</w:t>
      </w:r>
      <w:r w:rsidRPr="0097459F">
        <w:rPr>
          <w:rFonts w:cstheme="minorHAnsi"/>
        </w:rPr>
        <w:t>administrador fiduciário</w:t>
      </w:r>
      <w:r w:rsidR="00222400" w:rsidRPr="0097459F">
        <w:rPr>
          <w:rFonts w:cstheme="minorHAnsi"/>
        </w:rPr>
        <w:t>”</w:t>
      </w:r>
      <w:r w:rsidRPr="0097459F">
        <w:rPr>
          <w:rFonts w:cstheme="minorHAnsi"/>
        </w:rPr>
        <w:t xml:space="preserve">, e responsável pela administração do fundo; </w:t>
      </w:r>
    </w:p>
    <w:p w14:paraId="5B918A7F"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agência</w:t>
      </w:r>
      <w:proofErr w:type="gramEnd"/>
      <w:r w:rsidRPr="0097459F">
        <w:rPr>
          <w:rFonts w:cstheme="minorHAnsi"/>
        </w:rPr>
        <w:t xml:space="preserve"> de classificação de risco de crédito: pessoa jurídica registrada ou reconhecida pela CVM que exerce profissionalmente a atividade de classificação de risco de crédito no âmbito do mercado de valores mobiliários;</w:t>
      </w:r>
    </w:p>
    <w:p w14:paraId="797B02B3" w14:textId="74E5FEF8" w:rsidR="00893D49" w:rsidRPr="0097459F" w:rsidRDefault="00893D49" w:rsidP="00C20BBD">
      <w:pPr>
        <w:pStyle w:val="Normalalteradora"/>
        <w:rPr>
          <w:rFonts w:cstheme="minorHAnsi"/>
        </w:rPr>
      </w:pPr>
      <w:r w:rsidRPr="0097459F">
        <w:rPr>
          <w:rFonts w:cstheme="minorHAnsi"/>
        </w:rPr>
        <w:t>III – amortização (de cotas): pagamento uniforme realizado a todos os cotistas de determinada classe</w:t>
      </w:r>
      <w:r w:rsidR="00A46003" w:rsidRPr="0097459F">
        <w:rPr>
          <w:rFonts w:cstheme="minorHAnsi"/>
        </w:rPr>
        <w:t xml:space="preserve"> ou subclasse</w:t>
      </w:r>
      <w:r w:rsidRPr="0097459F">
        <w:rPr>
          <w:rFonts w:cstheme="minorHAnsi"/>
        </w:rPr>
        <w:t xml:space="preserve">, de parcela do valor de suas cotas, sem redução do número de cotas emitidas, efetuado em conformidade com o disposto no regulamento ou com deliberação da assembleia de cotistas; </w:t>
      </w:r>
    </w:p>
    <w:p w14:paraId="7F2381B0" w14:textId="02B77D18"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anexos</w:t>
      </w:r>
      <w:proofErr w:type="gramEnd"/>
      <w:r w:rsidRPr="0097459F">
        <w:rPr>
          <w:rFonts w:cstheme="minorHAnsi"/>
        </w:rPr>
        <w:t xml:space="preserve"> (descritivos de classes): partes do regulamento do fundo essenciais à constituição de classes de cotas, que regem o funcionamento das classes de modo complementar ao disciplinado pelo regulamento;</w:t>
      </w:r>
    </w:p>
    <w:p w14:paraId="24125867" w14:textId="05F9AAD2" w:rsidR="004A654C" w:rsidRPr="0097459F" w:rsidRDefault="004A654C" w:rsidP="00C20BBD">
      <w:pPr>
        <w:pStyle w:val="Normalalteradora"/>
        <w:rPr>
          <w:rFonts w:cstheme="minorHAnsi"/>
        </w:rPr>
      </w:pPr>
      <w:r w:rsidRPr="0097459F">
        <w:rPr>
          <w:rFonts w:cstheme="minorHAnsi"/>
        </w:rPr>
        <w:t xml:space="preserve">V – </w:t>
      </w:r>
      <w:proofErr w:type="gramStart"/>
      <w:r w:rsidRPr="0097459F">
        <w:rPr>
          <w:rFonts w:cstheme="minorHAnsi"/>
        </w:rPr>
        <w:t>apêndices</w:t>
      </w:r>
      <w:proofErr w:type="gramEnd"/>
      <w:r w:rsidRPr="0097459F">
        <w:rPr>
          <w:rFonts w:cstheme="minorHAnsi"/>
        </w:rPr>
        <w:t xml:space="preserve"> (descritivos de subclasses): partes do anexo da classe que disciplinam as características específicas de cada subclasse de cotas, se houver;</w:t>
      </w:r>
    </w:p>
    <w:p w14:paraId="3637204A" w14:textId="7904869F" w:rsidR="00893D49" w:rsidRPr="0097459F" w:rsidRDefault="00893D49" w:rsidP="00C20BBD">
      <w:pPr>
        <w:pStyle w:val="Normalalteradora"/>
        <w:rPr>
          <w:rFonts w:cstheme="minorHAnsi"/>
        </w:rPr>
      </w:pPr>
      <w:r w:rsidRPr="0097459F">
        <w:rPr>
          <w:rFonts w:cstheme="minorHAnsi"/>
        </w:rPr>
        <w:t xml:space="preserve">VI – </w:t>
      </w:r>
      <w:proofErr w:type="gramStart"/>
      <w:r w:rsidRPr="0097459F">
        <w:rPr>
          <w:rFonts w:cstheme="minorHAnsi"/>
        </w:rPr>
        <w:t>assembleia</w:t>
      </w:r>
      <w:proofErr w:type="gramEnd"/>
      <w:r w:rsidRPr="0097459F">
        <w:rPr>
          <w:rFonts w:cstheme="minorHAnsi"/>
        </w:rPr>
        <w:t xml:space="preserve"> especial de cotistas: assembleia para a qual são convocados somente os cotistas de determinada classe </w:t>
      </w:r>
      <w:r w:rsidR="00A8038C" w:rsidRPr="0097459F">
        <w:rPr>
          <w:rFonts w:cstheme="minorHAnsi"/>
        </w:rPr>
        <w:t xml:space="preserve">ou subclasse </w:t>
      </w:r>
      <w:r w:rsidRPr="0097459F">
        <w:rPr>
          <w:rFonts w:cstheme="minorHAnsi"/>
        </w:rPr>
        <w:t>de cotas;</w:t>
      </w:r>
    </w:p>
    <w:p w14:paraId="227FF09C" w14:textId="77777777" w:rsidR="00893D49" w:rsidRPr="0097459F" w:rsidRDefault="00893D49" w:rsidP="00C20BBD">
      <w:pPr>
        <w:pStyle w:val="Normalalteradora"/>
        <w:rPr>
          <w:rFonts w:cstheme="minorHAnsi"/>
        </w:rPr>
      </w:pPr>
      <w:r w:rsidRPr="0097459F">
        <w:rPr>
          <w:rFonts w:cstheme="minorHAnsi"/>
        </w:rPr>
        <w:t>VII – assembleia geral de cotistas: assembleia para a qual são convocados todos os cotistas do fundo;</w:t>
      </w:r>
    </w:p>
    <w:p w14:paraId="56E98BD3" w14:textId="76F06A5D" w:rsidR="00C8389D" w:rsidRPr="0097459F" w:rsidRDefault="00C8389D" w:rsidP="00C20BBD">
      <w:pPr>
        <w:pStyle w:val="Normalalteradora"/>
      </w:pPr>
      <w:r w:rsidRPr="0097459F">
        <w:t>VII</w:t>
      </w:r>
      <w:r w:rsidR="00865461" w:rsidRPr="0097459F">
        <w:t>I</w:t>
      </w:r>
      <w:r w:rsidRPr="0097459F">
        <w:t xml:space="preserve"> </w:t>
      </w:r>
      <w:r w:rsidR="00865461" w:rsidRPr="0097459F">
        <w:t>–</w:t>
      </w:r>
      <w:r w:rsidRPr="0097459F">
        <w:t xml:space="preserve"> categoria (do fundo): </w:t>
      </w:r>
      <w:r w:rsidR="004A1543" w:rsidRPr="0097459F">
        <w:rPr>
          <w:rStyle w:val="normaltextrun"/>
          <w:rFonts w:ascii="Calibri" w:hAnsi="Calibri" w:cs="Calibri"/>
          <w:color w:val="000000" w:themeColor="text1"/>
        </w:rPr>
        <w:t>classificação</w:t>
      </w:r>
      <w:r w:rsidRPr="0097459F">
        <w:rPr>
          <w:rStyle w:val="normaltextrun"/>
          <w:rFonts w:ascii="Calibri" w:hAnsi="Calibri" w:cs="Calibri"/>
          <w:color w:val="000000" w:themeColor="text1"/>
        </w:rPr>
        <w:t xml:space="preserve"> decorrente da política de investimentos do fundo, conforme previstas nos </w:t>
      </w:r>
      <w:r w:rsidR="00B50BB9" w:rsidRPr="0097459F">
        <w:rPr>
          <w:rStyle w:val="normaltextrun"/>
          <w:rFonts w:ascii="Calibri" w:hAnsi="Calibri" w:cs="Calibri"/>
          <w:color w:val="000000" w:themeColor="text1"/>
        </w:rPr>
        <w:t>A</w:t>
      </w:r>
      <w:r w:rsidRPr="0097459F">
        <w:rPr>
          <w:rStyle w:val="normaltextrun"/>
          <w:rFonts w:ascii="Calibri" w:hAnsi="Calibri" w:cs="Calibri"/>
          <w:color w:val="000000" w:themeColor="text1"/>
        </w:rPr>
        <w:t xml:space="preserve">nexos </w:t>
      </w:r>
      <w:r w:rsidR="00B50BB9" w:rsidRPr="0097459F">
        <w:rPr>
          <w:rStyle w:val="normaltextrun"/>
          <w:rFonts w:ascii="Calibri" w:hAnsi="Calibri" w:cs="Calibri"/>
          <w:color w:val="000000" w:themeColor="text1"/>
        </w:rPr>
        <w:t>N</w:t>
      </w:r>
      <w:r w:rsidRPr="0097459F">
        <w:rPr>
          <w:rStyle w:val="normaltextrun"/>
          <w:rFonts w:ascii="Calibri" w:hAnsi="Calibri" w:cs="Calibri"/>
          <w:color w:val="000000" w:themeColor="text1"/>
        </w:rPr>
        <w:t xml:space="preserve">ormativos, observado que cada </w:t>
      </w:r>
      <w:r w:rsidR="00B50BB9" w:rsidRPr="0097459F">
        <w:rPr>
          <w:rStyle w:val="normaltextrun"/>
          <w:rFonts w:ascii="Calibri" w:hAnsi="Calibri" w:cs="Calibri"/>
          <w:color w:val="000000" w:themeColor="text1"/>
        </w:rPr>
        <w:t>A</w:t>
      </w:r>
      <w:r w:rsidRPr="0097459F">
        <w:rPr>
          <w:rStyle w:val="normaltextrun"/>
          <w:rFonts w:ascii="Calibri" w:hAnsi="Calibri" w:cs="Calibri"/>
          <w:color w:val="000000" w:themeColor="text1"/>
        </w:rPr>
        <w:t xml:space="preserve">nexo </w:t>
      </w:r>
      <w:r w:rsidR="00B50BB9" w:rsidRPr="0097459F">
        <w:rPr>
          <w:rStyle w:val="normaltextrun"/>
          <w:rFonts w:ascii="Calibri" w:hAnsi="Calibri" w:cs="Calibri"/>
          <w:color w:val="000000" w:themeColor="text1"/>
        </w:rPr>
        <w:t>N</w:t>
      </w:r>
      <w:r w:rsidR="004A1543" w:rsidRPr="0097459F">
        <w:rPr>
          <w:rStyle w:val="normaltextrun"/>
          <w:rFonts w:ascii="Calibri" w:hAnsi="Calibri" w:cs="Calibri"/>
          <w:color w:val="000000" w:themeColor="text1"/>
        </w:rPr>
        <w:t xml:space="preserve">ormativo </w:t>
      </w:r>
      <w:r w:rsidRPr="0097459F">
        <w:rPr>
          <w:rStyle w:val="normaltextrun"/>
          <w:rFonts w:ascii="Calibri" w:hAnsi="Calibri" w:cs="Calibri"/>
          <w:color w:val="000000" w:themeColor="text1"/>
        </w:rPr>
        <w:t>disciplina uma única categoria</w:t>
      </w:r>
      <w:r w:rsidR="004A1543" w:rsidRPr="0097459F">
        <w:rPr>
          <w:rStyle w:val="normaltextrun"/>
          <w:rFonts w:ascii="Calibri" w:hAnsi="Calibri" w:cs="Calibri"/>
          <w:color w:val="000000" w:themeColor="text1"/>
        </w:rPr>
        <w:t>;</w:t>
      </w:r>
    </w:p>
    <w:p w14:paraId="56EA8479" w14:textId="3CD0C00B" w:rsidR="00893D49" w:rsidRPr="0097459F" w:rsidRDefault="00865461" w:rsidP="00C20BBD">
      <w:pPr>
        <w:pStyle w:val="Normalalteradora"/>
        <w:rPr>
          <w:rFonts w:cstheme="minorHAnsi"/>
        </w:rPr>
      </w:pPr>
      <w:r w:rsidRPr="0097459F">
        <w:rPr>
          <w:rFonts w:cstheme="minorHAnsi"/>
        </w:rPr>
        <w:t>I</w:t>
      </w:r>
      <w:r w:rsidR="00893D49" w:rsidRPr="0097459F">
        <w:rPr>
          <w:rFonts w:cstheme="minorHAnsi"/>
        </w:rPr>
        <w:t xml:space="preserve">X – </w:t>
      </w:r>
      <w:proofErr w:type="gramStart"/>
      <w:r w:rsidR="00893D49" w:rsidRPr="0097459F">
        <w:rPr>
          <w:rFonts w:cstheme="minorHAnsi"/>
        </w:rPr>
        <w:t>classe</w:t>
      </w:r>
      <w:proofErr w:type="gramEnd"/>
      <w:r w:rsidR="00893D49" w:rsidRPr="0097459F">
        <w:rPr>
          <w:rFonts w:cstheme="minorHAnsi"/>
        </w:rPr>
        <w:t xml:space="preserve"> aberta e classe fechada: termos definidos no § </w:t>
      </w:r>
      <w:r w:rsidR="002574EE" w:rsidRPr="0097459F">
        <w:rPr>
          <w:rFonts w:cstheme="minorHAnsi"/>
        </w:rPr>
        <w:t xml:space="preserve">7º </w:t>
      </w:r>
      <w:r w:rsidR="00893D49" w:rsidRPr="0097459F">
        <w:rPr>
          <w:rFonts w:cstheme="minorHAnsi"/>
        </w:rPr>
        <w:t xml:space="preserve">do art. </w:t>
      </w:r>
      <w:r w:rsidR="00AC216E" w:rsidRPr="0097459F">
        <w:rPr>
          <w:rFonts w:cstheme="minorHAnsi"/>
        </w:rPr>
        <w:t>5º</w:t>
      </w:r>
      <w:r w:rsidR="00893D49" w:rsidRPr="0097459F">
        <w:rPr>
          <w:rFonts w:cstheme="minorHAnsi"/>
        </w:rPr>
        <w:t>;</w:t>
      </w:r>
    </w:p>
    <w:p w14:paraId="7DE8EEF8" w14:textId="1E7B808F" w:rsidR="00A8038C" w:rsidRPr="0097459F" w:rsidRDefault="00B723C5" w:rsidP="00C20BBD">
      <w:pPr>
        <w:pStyle w:val="Normalalteradora"/>
        <w:rPr>
          <w:rFonts w:cstheme="minorHAnsi"/>
        </w:rPr>
      </w:pPr>
      <w:r w:rsidRPr="0097459F">
        <w:rPr>
          <w:rFonts w:cstheme="minorHAnsi"/>
        </w:rPr>
        <w:t>X</w:t>
      </w:r>
      <w:r w:rsidR="00A8038C" w:rsidRPr="0097459F">
        <w:rPr>
          <w:rFonts w:cstheme="minorHAnsi"/>
        </w:rPr>
        <w:t xml:space="preserve"> – </w:t>
      </w:r>
      <w:proofErr w:type="gramStart"/>
      <w:r w:rsidR="00A8038C" w:rsidRPr="0097459F">
        <w:rPr>
          <w:rFonts w:cstheme="minorHAnsi"/>
        </w:rPr>
        <w:t>classe</w:t>
      </w:r>
      <w:proofErr w:type="gramEnd"/>
      <w:r w:rsidR="00A8038C" w:rsidRPr="0097459F">
        <w:rPr>
          <w:rFonts w:cstheme="minorHAnsi"/>
        </w:rPr>
        <w:t xml:space="preserve"> exclusiva: termo definido no art. </w:t>
      </w:r>
      <w:r w:rsidR="006F5042" w:rsidRPr="0097459F">
        <w:rPr>
          <w:rFonts w:cstheme="minorHAnsi"/>
        </w:rPr>
        <w:t>115</w:t>
      </w:r>
      <w:r w:rsidR="00A8038C" w:rsidRPr="0097459F">
        <w:rPr>
          <w:rFonts w:cstheme="minorHAnsi"/>
        </w:rPr>
        <w:t>;</w:t>
      </w:r>
    </w:p>
    <w:p w14:paraId="400EA874" w14:textId="22602A0A" w:rsidR="00F80DF6" w:rsidRPr="0097459F" w:rsidRDefault="00B723C5" w:rsidP="00C20BBD">
      <w:pPr>
        <w:pStyle w:val="Normalalteradora"/>
        <w:rPr>
          <w:rFonts w:cstheme="minorHAnsi"/>
        </w:rPr>
      </w:pPr>
      <w:r w:rsidRPr="0097459F">
        <w:rPr>
          <w:rFonts w:cstheme="minorHAnsi"/>
        </w:rPr>
        <w:t>XI</w:t>
      </w:r>
      <w:r w:rsidR="00F80DF6" w:rsidRPr="0097459F">
        <w:rPr>
          <w:rFonts w:cstheme="minorHAnsi"/>
        </w:rPr>
        <w:t xml:space="preserve"> – classe previdenciária: termo definido no art. </w:t>
      </w:r>
      <w:r w:rsidR="006F5042" w:rsidRPr="0097459F">
        <w:rPr>
          <w:rFonts w:cstheme="minorHAnsi"/>
        </w:rPr>
        <w:t>116</w:t>
      </w:r>
      <w:r w:rsidR="00F80DF6" w:rsidRPr="0097459F">
        <w:rPr>
          <w:rFonts w:cstheme="minorHAnsi"/>
        </w:rPr>
        <w:t>;</w:t>
      </w:r>
    </w:p>
    <w:p w14:paraId="27E9BBEC" w14:textId="0E64B9D3" w:rsidR="00F80DF6" w:rsidRPr="0097459F" w:rsidRDefault="00B723C5" w:rsidP="00C20BBD">
      <w:pPr>
        <w:pStyle w:val="Normalalteradora"/>
        <w:rPr>
          <w:rFonts w:cstheme="minorHAnsi"/>
        </w:rPr>
      </w:pPr>
      <w:r w:rsidRPr="0097459F">
        <w:rPr>
          <w:rFonts w:cstheme="minorHAnsi"/>
        </w:rPr>
        <w:t>XI</w:t>
      </w:r>
      <w:r w:rsidR="00865461" w:rsidRPr="0097459F">
        <w:rPr>
          <w:rFonts w:cstheme="minorHAnsi"/>
        </w:rPr>
        <w:t>I</w:t>
      </w:r>
      <w:r w:rsidR="00F80DF6" w:rsidRPr="0097459F">
        <w:rPr>
          <w:rFonts w:cstheme="minorHAnsi"/>
        </w:rPr>
        <w:t xml:space="preserve"> – classe restrita: termo definido no art. </w:t>
      </w:r>
      <w:r w:rsidR="006F5042" w:rsidRPr="0097459F">
        <w:rPr>
          <w:rFonts w:cstheme="minorHAnsi"/>
        </w:rPr>
        <w:t>111</w:t>
      </w:r>
      <w:r w:rsidR="00F80DF6" w:rsidRPr="0097459F">
        <w:rPr>
          <w:rFonts w:cstheme="minorHAnsi"/>
        </w:rPr>
        <w:t>;</w:t>
      </w:r>
    </w:p>
    <w:p w14:paraId="6C249834" w14:textId="2624C58D" w:rsidR="00893D49" w:rsidRPr="0097459F" w:rsidRDefault="00893D49" w:rsidP="00C20BBD">
      <w:pPr>
        <w:pStyle w:val="Normalalteradora"/>
        <w:rPr>
          <w:rFonts w:cstheme="minorHAnsi"/>
        </w:rPr>
      </w:pPr>
      <w:r w:rsidRPr="0097459F">
        <w:rPr>
          <w:rFonts w:cstheme="minorHAnsi"/>
        </w:rPr>
        <w:t>XII</w:t>
      </w:r>
      <w:r w:rsidR="00865461" w:rsidRPr="0097459F">
        <w:rPr>
          <w:rFonts w:cstheme="minorHAnsi"/>
        </w:rPr>
        <w:t>I</w:t>
      </w:r>
      <w:r w:rsidRPr="0097459F">
        <w:rPr>
          <w:rFonts w:cstheme="minorHAnsi"/>
        </w:rPr>
        <w:t xml:space="preserve"> – cotas: termo definido no art. 14;</w:t>
      </w:r>
    </w:p>
    <w:p w14:paraId="650DF2E4" w14:textId="4C182BB0" w:rsidR="009F753F" w:rsidRPr="0097459F" w:rsidRDefault="00865461" w:rsidP="00C20BBD">
      <w:pPr>
        <w:pStyle w:val="Normalalteradora"/>
        <w:rPr>
          <w:rFonts w:cstheme="minorHAnsi"/>
        </w:rPr>
      </w:pPr>
      <w:r w:rsidRPr="0097459F">
        <w:rPr>
          <w:rFonts w:cstheme="minorHAnsi"/>
        </w:rPr>
        <w:t>XIV</w:t>
      </w:r>
      <w:r w:rsidR="00893D49" w:rsidRPr="0097459F">
        <w:rPr>
          <w:rFonts w:cstheme="minorHAnsi"/>
        </w:rPr>
        <w:t xml:space="preserve"> – cotista: aquele que detém cotas de um fundo de investimento, inscrito no registro de cotistas </w:t>
      </w:r>
      <w:r w:rsidR="005B31DC" w:rsidRPr="0097459F">
        <w:rPr>
          <w:rFonts w:cstheme="minorHAnsi"/>
        </w:rPr>
        <w:t>de sua classe de cotas</w:t>
      </w:r>
      <w:r w:rsidR="00893D49" w:rsidRPr="0097459F">
        <w:rPr>
          <w:rFonts w:cstheme="minorHAnsi"/>
        </w:rPr>
        <w:t>, o que pode se dar por meio de sistemas informatizados;</w:t>
      </w:r>
    </w:p>
    <w:p w14:paraId="52EFE353" w14:textId="18C58875" w:rsidR="00893D49" w:rsidRPr="0097459F" w:rsidRDefault="00B723C5" w:rsidP="00C20BBD">
      <w:pPr>
        <w:pStyle w:val="Normalalteradora"/>
        <w:rPr>
          <w:rFonts w:cstheme="minorHAnsi"/>
        </w:rPr>
      </w:pPr>
      <w:r w:rsidRPr="0097459F">
        <w:rPr>
          <w:rFonts w:cstheme="minorHAnsi"/>
        </w:rPr>
        <w:lastRenderedPageBreak/>
        <w:t>X</w:t>
      </w:r>
      <w:r w:rsidR="00865461" w:rsidRPr="0097459F">
        <w:rPr>
          <w:rFonts w:cstheme="minorHAnsi"/>
        </w:rPr>
        <w:t>V</w:t>
      </w:r>
      <w:r w:rsidRPr="0097459F">
        <w:rPr>
          <w:rFonts w:cstheme="minorHAnsi"/>
        </w:rPr>
        <w:t xml:space="preserve"> </w:t>
      </w:r>
      <w:r w:rsidR="00865461" w:rsidRPr="0097459F">
        <w:rPr>
          <w:rFonts w:cstheme="minorHAnsi"/>
        </w:rPr>
        <w:t>–</w:t>
      </w:r>
      <w:r w:rsidR="00286A59" w:rsidRPr="0097459F">
        <w:rPr>
          <w:rFonts w:cstheme="minorHAnsi"/>
        </w:rPr>
        <w:t xml:space="preserve"> </w:t>
      </w:r>
      <w:proofErr w:type="gramStart"/>
      <w:r w:rsidR="002F69BE" w:rsidRPr="0097459F">
        <w:rPr>
          <w:rFonts w:cstheme="minorHAnsi"/>
        </w:rPr>
        <w:t>c</w:t>
      </w:r>
      <w:r w:rsidR="009F753F" w:rsidRPr="0097459F">
        <w:rPr>
          <w:rFonts w:cstheme="minorHAnsi"/>
        </w:rPr>
        <w:t>otista</w:t>
      </w:r>
      <w:proofErr w:type="gramEnd"/>
      <w:r w:rsidR="009F753F" w:rsidRPr="0097459F">
        <w:rPr>
          <w:rFonts w:cstheme="minorHAnsi"/>
        </w:rPr>
        <w:t xml:space="preserve"> </w:t>
      </w:r>
      <w:r w:rsidR="00D04201" w:rsidRPr="0097459F">
        <w:rPr>
          <w:rFonts w:cstheme="minorHAnsi"/>
        </w:rPr>
        <w:t>efetivo</w:t>
      </w:r>
      <w:r w:rsidR="009F753F" w:rsidRPr="0097459F">
        <w:rPr>
          <w:rFonts w:cstheme="minorHAnsi"/>
        </w:rPr>
        <w:t xml:space="preserve">: </w:t>
      </w:r>
      <w:r w:rsidR="00286A59" w:rsidRPr="0097459F">
        <w:rPr>
          <w:rFonts w:cstheme="minorHAnsi"/>
        </w:rPr>
        <w:t xml:space="preserve">cotista que ingressa na classe por meio de </w:t>
      </w:r>
      <w:r w:rsidR="0093120B" w:rsidRPr="0097459F">
        <w:rPr>
          <w:rFonts w:cstheme="minorHAnsi"/>
        </w:rPr>
        <w:t>subscrição</w:t>
      </w:r>
      <w:r w:rsidR="00286A59" w:rsidRPr="0097459F">
        <w:rPr>
          <w:rFonts w:cstheme="minorHAnsi"/>
        </w:rPr>
        <w:t xml:space="preserve"> por conta e ordem</w:t>
      </w:r>
      <w:r w:rsidR="0093120B" w:rsidRPr="0097459F">
        <w:rPr>
          <w:rFonts w:cstheme="minorHAnsi"/>
        </w:rPr>
        <w:t xml:space="preserve"> do distribuidor</w:t>
      </w:r>
      <w:r w:rsidR="002F69BE" w:rsidRPr="0097459F">
        <w:rPr>
          <w:rFonts w:cstheme="minorHAnsi"/>
        </w:rPr>
        <w:t>;</w:t>
      </w:r>
    </w:p>
    <w:p w14:paraId="04CF21CC" w14:textId="1BF33D3A" w:rsidR="00FB196B" w:rsidRPr="0097459F" w:rsidRDefault="00FB196B" w:rsidP="00C20BBD">
      <w:pPr>
        <w:pStyle w:val="Normalalteradora"/>
        <w:rPr>
          <w:rFonts w:cstheme="minorHAnsi"/>
        </w:rPr>
      </w:pPr>
      <w:r w:rsidRPr="0097459F">
        <w:rPr>
          <w:rFonts w:cstheme="minorHAnsi"/>
        </w:rPr>
        <w:t>X</w:t>
      </w:r>
      <w:r w:rsidR="00865461" w:rsidRPr="0097459F">
        <w:rPr>
          <w:rFonts w:cstheme="minorHAnsi"/>
        </w:rPr>
        <w:t>VI</w:t>
      </w:r>
      <w:r w:rsidRPr="0097459F">
        <w:rPr>
          <w:rFonts w:cstheme="minorHAnsi"/>
        </w:rPr>
        <w:t xml:space="preserve"> – custódia: atividade cujo escopo está definido em norma específica que dispõe sobre a prestação de serviços de custódia de valores mobiliários;</w:t>
      </w:r>
    </w:p>
    <w:p w14:paraId="57F0B84C" w14:textId="7B113B6F" w:rsidR="00893D49" w:rsidRPr="0097459F" w:rsidRDefault="00893D49" w:rsidP="00C20BBD">
      <w:pPr>
        <w:pStyle w:val="Normalalteradora"/>
        <w:rPr>
          <w:rFonts w:cstheme="minorHAnsi"/>
        </w:rPr>
      </w:pPr>
      <w:r w:rsidRPr="0097459F">
        <w:rPr>
          <w:rFonts w:cstheme="minorHAnsi"/>
        </w:rPr>
        <w:t>X</w:t>
      </w:r>
      <w:r w:rsidR="00865461" w:rsidRPr="0097459F">
        <w:rPr>
          <w:rFonts w:cstheme="minorHAnsi"/>
        </w:rPr>
        <w:t>VII</w:t>
      </w:r>
      <w:r w:rsidRPr="0097459F">
        <w:rPr>
          <w:rFonts w:cstheme="minorHAnsi"/>
        </w:rPr>
        <w:t xml:space="preserve"> – data da </w:t>
      </w:r>
      <w:r w:rsidR="00D04201" w:rsidRPr="0097459F">
        <w:rPr>
          <w:rFonts w:cstheme="minorHAnsi"/>
        </w:rPr>
        <w:t>integralização</w:t>
      </w:r>
      <w:r w:rsidRPr="0097459F">
        <w:rPr>
          <w:rFonts w:cstheme="minorHAnsi"/>
        </w:rPr>
        <w:t>: a data da efetiva disponibilização,</w:t>
      </w:r>
      <w:r w:rsidRPr="0097459F" w:rsidDel="00EE1051">
        <w:rPr>
          <w:rFonts w:cstheme="minorHAnsi"/>
        </w:rPr>
        <w:t xml:space="preserve"> </w:t>
      </w:r>
      <w:r w:rsidRPr="0097459F">
        <w:rPr>
          <w:rFonts w:cstheme="minorHAnsi"/>
        </w:rPr>
        <w:t xml:space="preserve">para </w:t>
      </w:r>
      <w:r w:rsidR="005B31DC" w:rsidRPr="0097459F">
        <w:rPr>
          <w:rFonts w:cstheme="minorHAnsi"/>
        </w:rPr>
        <w:t>a classe</w:t>
      </w:r>
      <w:r w:rsidRPr="0097459F">
        <w:rPr>
          <w:rFonts w:cstheme="minorHAnsi"/>
        </w:rPr>
        <w:t xml:space="preserve">, dos recursos investidos pelo </w:t>
      </w:r>
      <w:r w:rsidR="00A5022C" w:rsidRPr="0097459F">
        <w:rPr>
          <w:rFonts w:cstheme="minorHAnsi"/>
        </w:rPr>
        <w:t xml:space="preserve">investidor </w:t>
      </w:r>
      <w:r w:rsidRPr="0097459F">
        <w:rPr>
          <w:rFonts w:cstheme="minorHAnsi"/>
        </w:rPr>
        <w:t>ou pelo distribuidor que atue por conta e ordem de seus clientes;</w:t>
      </w:r>
    </w:p>
    <w:p w14:paraId="48DB30F2" w14:textId="2FA285CE" w:rsidR="00893D49" w:rsidRPr="0097459F" w:rsidRDefault="00893D49" w:rsidP="00C20BBD">
      <w:pPr>
        <w:pStyle w:val="Normalalteradora"/>
        <w:rPr>
          <w:rFonts w:cstheme="minorHAnsi"/>
        </w:rPr>
      </w:pPr>
      <w:r w:rsidRPr="0097459F">
        <w:rPr>
          <w:rFonts w:cstheme="minorHAnsi"/>
        </w:rPr>
        <w:t>XV</w:t>
      </w:r>
      <w:r w:rsidR="00865461" w:rsidRPr="0097459F">
        <w:rPr>
          <w:rFonts w:cstheme="minorHAnsi"/>
        </w:rPr>
        <w:t>III</w:t>
      </w:r>
      <w:r w:rsidRPr="0097459F">
        <w:rPr>
          <w:rFonts w:cstheme="minorHAnsi"/>
        </w:rPr>
        <w:t xml:space="preserve"> – data de conversão de cotas: a data aferida consoante o prazo indicado no regulamento para apuração do valor da cota para efeito da aplicação e do pagamento do resgate ou amortização;</w:t>
      </w:r>
    </w:p>
    <w:p w14:paraId="1BF19EFD" w14:textId="5D676F3C" w:rsidR="00893D49" w:rsidRPr="0097459F" w:rsidRDefault="00893D49" w:rsidP="00C20BBD">
      <w:pPr>
        <w:pStyle w:val="Normalalteradora"/>
        <w:rPr>
          <w:rFonts w:cstheme="minorHAnsi"/>
        </w:rPr>
      </w:pPr>
      <w:r w:rsidRPr="0097459F">
        <w:rPr>
          <w:rFonts w:cstheme="minorHAnsi"/>
        </w:rPr>
        <w:t>X</w:t>
      </w:r>
      <w:r w:rsidR="00865461" w:rsidRPr="0097459F">
        <w:rPr>
          <w:rFonts w:cstheme="minorHAnsi"/>
        </w:rPr>
        <w:t>IX</w:t>
      </w:r>
      <w:r w:rsidRPr="0097459F">
        <w:rPr>
          <w:rFonts w:cstheme="minorHAnsi"/>
        </w:rPr>
        <w:t xml:space="preserve"> – data de pagamento de resgate: a data do efetivo pagamento, </w:t>
      </w:r>
      <w:r w:rsidR="005B31DC" w:rsidRPr="0097459F">
        <w:rPr>
          <w:rFonts w:cstheme="minorHAnsi"/>
        </w:rPr>
        <w:t>pela classe</w:t>
      </w:r>
      <w:r w:rsidRPr="0097459F">
        <w:rPr>
          <w:rFonts w:cstheme="minorHAnsi"/>
        </w:rPr>
        <w:t>, do valor líquido devido ao cotista que efetuou pedido de resgate;</w:t>
      </w:r>
    </w:p>
    <w:p w14:paraId="1F6D190B" w14:textId="03CADDC2" w:rsidR="00893D49" w:rsidRPr="0097459F" w:rsidRDefault="00865461" w:rsidP="00C20BBD">
      <w:pPr>
        <w:pStyle w:val="Normalalteradora"/>
        <w:rPr>
          <w:rFonts w:cstheme="minorHAnsi"/>
        </w:rPr>
      </w:pPr>
      <w:r w:rsidRPr="0097459F">
        <w:rPr>
          <w:rFonts w:cstheme="minorHAnsi"/>
        </w:rPr>
        <w:t>XX</w:t>
      </w:r>
      <w:r w:rsidR="00893D49" w:rsidRPr="0097459F">
        <w:rPr>
          <w:rFonts w:cstheme="minorHAnsi"/>
        </w:rPr>
        <w:t xml:space="preserve"> – </w:t>
      </w:r>
      <w:proofErr w:type="gramStart"/>
      <w:r w:rsidR="00893D49" w:rsidRPr="0097459F">
        <w:rPr>
          <w:rFonts w:cstheme="minorHAnsi"/>
        </w:rPr>
        <w:t>data</w:t>
      </w:r>
      <w:proofErr w:type="gramEnd"/>
      <w:r w:rsidR="00893D49" w:rsidRPr="0097459F">
        <w:rPr>
          <w:rFonts w:cstheme="minorHAnsi"/>
        </w:rPr>
        <w:t xml:space="preserve"> do pedido de resgate: a data em que o cotista solicita o resgate de parte ou da totalidade das cotas de sua propriedade; </w:t>
      </w:r>
    </w:p>
    <w:p w14:paraId="37667943" w14:textId="5C4C7C7C" w:rsidR="00893D49" w:rsidRPr="0097459F" w:rsidRDefault="00865461" w:rsidP="00C20BBD">
      <w:pPr>
        <w:pStyle w:val="Normalalteradora"/>
        <w:rPr>
          <w:rFonts w:cstheme="minorHAnsi"/>
        </w:rPr>
      </w:pPr>
      <w:r w:rsidRPr="0097459F">
        <w:rPr>
          <w:rFonts w:cstheme="minorHAnsi"/>
        </w:rPr>
        <w:t>XXI</w:t>
      </w:r>
      <w:r w:rsidR="00893D49" w:rsidRPr="0097459F">
        <w:rPr>
          <w:rFonts w:cstheme="minorHAnsi"/>
        </w:rPr>
        <w:t xml:space="preserve"> – distribuidor: intermediário contratado pelo gestor, em nome do fundo, para realizar a distribuição de cotas;</w:t>
      </w:r>
    </w:p>
    <w:p w14:paraId="7146D701" w14:textId="2923BE78" w:rsidR="00893D49" w:rsidRPr="0097459F" w:rsidRDefault="00893D49" w:rsidP="00C20BBD">
      <w:pPr>
        <w:pStyle w:val="Normalalteradora"/>
        <w:rPr>
          <w:rFonts w:cstheme="minorHAnsi"/>
        </w:rPr>
      </w:pPr>
      <w:bookmarkStart w:id="18" w:name="_Hlk48278737"/>
      <w:r w:rsidRPr="0097459F">
        <w:rPr>
          <w:rFonts w:cstheme="minorHAnsi"/>
        </w:rPr>
        <w:t>XX</w:t>
      </w:r>
      <w:r w:rsidR="00865461" w:rsidRPr="0097459F">
        <w:rPr>
          <w:rFonts w:cstheme="minorHAnsi"/>
        </w:rPr>
        <w:t>II</w:t>
      </w:r>
      <w:r w:rsidRPr="0097459F">
        <w:rPr>
          <w:rFonts w:cstheme="minorHAnsi"/>
        </w:rPr>
        <w:t xml:space="preserve"> – encargos do fundo: despesas específicas que podem ser debitadas diretamente da classe de cotas</w:t>
      </w:r>
      <w:r w:rsidR="004F0CEE" w:rsidRPr="0097459F">
        <w:rPr>
          <w:rFonts w:cstheme="minorHAnsi"/>
        </w:rPr>
        <w:t>,</w:t>
      </w:r>
      <w:r w:rsidRPr="0097459F">
        <w:rPr>
          <w:rFonts w:cstheme="minorHAnsi"/>
        </w:rPr>
        <w:t xml:space="preserve"> não </w:t>
      </w:r>
      <w:r w:rsidR="004F0CEE" w:rsidRPr="0097459F">
        <w:rPr>
          <w:rFonts w:cstheme="minorHAnsi"/>
        </w:rPr>
        <w:t xml:space="preserve">estando </w:t>
      </w:r>
      <w:r w:rsidRPr="0097459F">
        <w:rPr>
          <w:rFonts w:cstheme="minorHAnsi"/>
        </w:rPr>
        <w:t>inclusas nas taxas destinadas aos prestadores de serviços</w:t>
      </w:r>
      <w:r w:rsidR="00B71EF2" w:rsidRPr="0097459F">
        <w:rPr>
          <w:rFonts w:cstheme="minorHAnsi"/>
        </w:rPr>
        <w:t xml:space="preserve"> essenciais</w:t>
      </w:r>
      <w:r w:rsidRPr="0097459F">
        <w:rPr>
          <w:rFonts w:cstheme="minorHAnsi"/>
        </w:rPr>
        <w:t>;</w:t>
      </w:r>
      <w:bookmarkEnd w:id="18"/>
    </w:p>
    <w:p w14:paraId="45B32F22" w14:textId="34698BAE"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III</w:t>
      </w:r>
      <w:r w:rsidRPr="0097459F">
        <w:rPr>
          <w:rFonts w:cstheme="minorHAnsi"/>
        </w:rPr>
        <w:t xml:space="preserve"> – escrituração: atividade cujo escopo está definido em norma específica que dispõe sobre a prestação de serviços de escrituração de valores mobiliários;</w:t>
      </w:r>
    </w:p>
    <w:p w14:paraId="0624093E" w14:textId="4F17A8EA"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IV</w:t>
      </w:r>
      <w:r w:rsidRPr="0097459F">
        <w:rPr>
          <w:rFonts w:cstheme="minorHAnsi"/>
        </w:rPr>
        <w:t xml:space="preserve"> – exposição </w:t>
      </w:r>
      <w:proofErr w:type="spellStart"/>
      <w:r w:rsidRPr="0097459F">
        <w:rPr>
          <w:rFonts w:cstheme="minorHAnsi"/>
        </w:rPr>
        <w:t>a</w:t>
      </w:r>
      <w:proofErr w:type="spellEnd"/>
      <w:r w:rsidRPr="0097459F">
        <w:rPr>
          <w:rFonts w:cstheme="minorHAnsi"/>
        </w:rPr>
        <w:t xml:space="preserve"> risco de capital:  exposição da classe de cotas ao risco de seu patrimônio líquido ficar negativo em decorrência de aplicações de sua carteira de ativos;</w:t>
      </w:r>
    </w:p>
    <w:p w14:paraId="2F83337E" w14:textId="4DC4207C" w:rsidR="00893D49" w:rsidRPr="0097459F" w:rsidRDefault="00893D49" w:rsidP="00C20BBD">
      <w:pPr>
        <w:pStyle w:val="Normalalteradora"/>
        <w:rPr>
          <w:rFonts w:cstheme="minorHAnsi"/>
        </w:rPr>
      </w:pPr>
      <w:r w:rsidRPr="0097459F">
        <w:rPr>
          <w:rFonts w:cstheme="minorHAnsi"/>
        </w:rPr>
        <w:t>XX</w:t>
      </w:r>
      <w:r w:rsidR="00865461" w:rsidRPr="0097459F">
        <w:rPr>
          <w:rFonts w:cstheme="minorHAnsi"/>
        </w:rPr>
        <w:t>V</w:t>
      </w:r>
      <w:r w:rsidRPr="0097459F">
        <w:rPr>
          <w:rFonts w:cstheme="minorHAnsi"/>
        </w:rPr>
        <w:t xml:space="preserve"> – fundo (de investimento): termo definido no art. </w:t>
      </w:r>
      <w:r w:rsidR="00AC216E" w:rsidRPr="0097459F">
        <w:rPr>
          <w:rFonts w:cstheme="minorHAnsi"/>
        </w:rPr>
        <w:t>4º</w:t>
      </w:r>
      <w:r w:rsidRPr="0097459F">
        <w:rPr>
          <w:rFonts w:cstheme="minorHAnsi"/>
        </w:rPr>
        <w:t>;</w:t>
      </w:r>
    </w:p>
    <w:p w14:paraId="5E6B8881" w14:textId="227F85E7" w:rsidR="00893D49" w:rsidRPr="0097459F" w:rsidRDefault="00893D49" w:rsidP="00C20BBD">
      <w:pPr>
        <w:pStyle w:val="Normalalteradora"/>
        <w:rPr>
          <w:rFonts w:cstheme="minorHAnsi"/>
        </w:rPr>
      </w:pPr>
      <w:r w:rsidRPr="0097459F">
        <w:rPr>
          <w:rFonts w:cstheme="minorHAnsi"/>
        </w:rPr>
        <w:t>XXV</w:t>
      </w:r>
      <w:r w:rsidR="00865461" w:rsidRPr="0097459F">
        <w:rPr>
          <w:rFonts w:cstheme="minorHAnsi"/>
        </w:rPr>
        <w:t>I</w:t>
      </w:r>
      <w:r w:rsidRPr="0097459F">
        <w:rPr>
          <w:rFonts w:cstheme="minorHAnsi"/>
        </w:rPr>
        <w:t xml:space="preserve"> – gestão (da carteira</w:t>
      </w:r>
      <w:r w:rsidR="00C46EE6" w:rsidRPr="0097459F">
        <w:rPr>
          <w:rFonts w:cstheme="minorHAnsi"/>
        </w:rPr>
        <w:t xml:space="preserve"> de ativos</w:t>
      </w:r>
      <w:r w:rsidRPr="0097459F">
        <w:rPr>
          <w:rFonts w:cstheme="minorHAnsi"/>
        </w:rPr>
        <w:t xml:space="preserve">): gestão </w:t>
      </w:r>
      <w:r w:rsidR="00D84912" w:rsidRPr="0097459F">
        <w:rPr>
          <w:rFonts w:cstheme="minorHAnsi"/>
        </w:rPr>
        <w:t>dos ativos integrantes da carteira</w:t>
      </w:r>
      <w:r w:rsidRPr="0097459F">
        <w:rPr>
          <w:rFonts w:cstheme="minorHAnsi"/>
        </w:rPr>
        <w:t xml:space="preserve">, conforme estabelecido </w:t>
      </w:r>
      <w:r w:rsidR="00A135EA" w:rsidRPr="0097459F">
        <w:rPr>
          <w:rFonts w:cstheme="minorHAnsi"/>
        </w:rPr>
        <w:t>no Regulamento</w:t>
      </w:r>
      <w:r w:rsidRPr="0097459F">
        <w:rPr>
          <w:rFonts w:cstheme="minorHAnsi"/>
        </w:rPr>
        <w:t>;</w:t>
      </w:r>
    </w:p>
    <w:p w14:paraId="5E60B0A0" w14:textId="710AA7D7" w:rsidR="00893D49" w:rsidRPr="0097459F" w:rsidRDefault="00893D49" w:rsidP="00C20BBD">
      <w:pPr>
        <w:pStyle w:val="Normalalteradora"/>
      </w:pPr>
      <w:r w:rsidRPr="0097459F">
        <w:t>XXV</w:t>
      </w:r>
      <w:r w:rsidR="00865461" w:rsidRPr="0097459F">
        <w:t>II</w:t>
      </w:r>
      <w:r w:rsidRPr="0097459F">
        <w:t xml:space="preserve"> – gestor (do fundo): pessoa natural ou jurídica autorizada pela CVM para o exercício de administração de carteiras de valores mobiliários, na categoria “gestor de recursos”, cuja atribuição é realizar a gestão da carteira de ativos;</w:t>
      </w:r>
    </w:p>
    <w:p w14:paraId="3E64E25F" w14:textId="3D05AC01" w:rsidR="00893D49" w:rsidRPr="0097459F" w:rsidRDefault="00893D49" w:rsidP="00C20BBD">
      <w:pPr>
        <w:pStyle w:val="Normalalteradora"/>
        <w:rPr>
          <w:rFonts w:cstheme="minorHAnsi"/>
        </w:rPr>
      </w:pPr>
      <w:r w:rsidRPr="0097459F">
        <w:rPr>
          <w:rFonts w:cstheme="minorHAnsi"/>
        </w:rPr>
        <w:lastRenderedPageBreak/>
        <w:t>XXVII</w:t>
      </w:r>
      <w:r w:rsidR="00865461" w:rsidRPr="0097459F">
        <w:rPr>
          <w:rFonts w:cstheme="minorHAnsi"/>
        </w:rPr>
        <w:t>I</w:t>
      </w:r>
      <w:r w:rsidRPr="0097459F">
        <w:rPr>
          <w:rFonts w:cstheme="minorHAnsi"/>
        </w:rPr>
        <w:t xml:space="preserve"> – intermediário: instituição habilitada a atuar como integrante do sistema de distribuição, por conta própria e de terceiros, na negociação de valores mobiliários em mercados regulamentados de valores mobiliários; </w:t>
      </w:r>
    </w:p>
    <w:p w14:paraId="0F52737F" w14:textId="7E18C630" w:rsidR="00C032E0" w:rsidRPr="0097459F" w:rsidRDefault="00C032E0" w:rsidP="00C20BBD">
      <w:pPr>
        <w:pStyle w:val="Normalalteradora"/>
        <w:rPr>
          <w:rFonts w:cstheme="minorHAnsi"/>
        </w:rPr>
      </w:pPr>
      <w:r w:rsidRPr="0097459F">
        <w:rPr>
          <w:rFonts w:cstheme="minorHAnsi"/>
        </w:rPr>
        <w:t xml:space="preserve">XXIX </w:t>
      </w:r>
      <w:r w:rsidR="00175AE0" w:rsidRPr="0097459F">
        <w:rPr>
          <w:rFonts w:cstheme="minorHAnsi"/>
        </w:rPr>
        <w:t>–</w:t>
      </w:r>
      <w:r w:rsidRPr="0097459F">
        <w:rPr>
          <w:rFonts w:cstheme="minorHAnsi"/>
        </w:rPr>
        <w:t xml:space="preserve"> </w:t>
      </w:r>
      <w:r w:rsidR="008A78A1" w:rsidRPr="0097459F">
        <w:t>partes</w:t>
      </w:r>
      <w:r w:rsidR="00175AE0">
        <w:t xml:space="preserve"> </w:t>
      </w:r>
      <w:r w:rsidR="008A78A1" w:rsidRPr="0097459F">
        <w:t>relacionadas: tal como definidas pelas regras contábeis expedidas pela CVM que tratam dessa matéria;</w:t>
      </w:r>
    </w:p>
    <w:p w14:paraId="3F4D3346" w14:textId="38E117FC" w:rsidR="00893D49" w:rsidRPr="0097459F" w:rsidRDefault="002C3305" w:rsidP="00C20BBD">
      <w:pPr>
        <w:pStyle w:val="Normalalteradora"/>
        <w:rPr>
          <w:rFonts w:cstheme="minorHAnsi"/>
        </w:rPr>
      </w:pPr>
      <w:r w:rsidRPr="0097459F">
        <w:rPr>
          <w:rFonts w:cstheme="minorHAnsi"/>
        </w:rPr>
        <w:t>XXX</w:t>
      </w:r>
      <w:r w:rsidR="00893D49" w:rsidRPr="0097459F">
        <w:rPr>
          <w:rFonts w:cstheme="minorHAnsi"/>
        </w:rPr>
        <w:t xml:space="preserve"> – prestadores de serviços essenciais: administrador e gestor</w:t>
      </w:r>
      <w:r w:rsidR="00C959D1" w:rsidRPr="0097459F">
        <w:t xml:space="preserve"> </w:t>
      </w:r>
      <w:r w:rsidR="00B723C5" w:rsidRPr="0097459F">
        <w:t>do fundo</w:t>
      </w:r>
      <w:r w:rsidR="00893D49" w:rsidRPr="0097459F">
        <w:rPr>
          <w:rFonts w:cstheme="minorHAnsi"/>
        </w:rPr>
        <w:t>;</w:t>
      </w:r>
    </w:p>
    <w:p w14:paraId="0FB4D954" w14:textId="5A565F29" w:rsidR="00893D49" w:rsidRPr="0097459F" w:rsidRDefault="002C3305" w:rsidP="00C20BBD">
      <w:pPr>
        <w:pStyle w:val="Normalalteradora"/>
        <w:rPr>
          <w:rFonts w:cstheme="minorHAnsi"/>
        </w:rPr>
      </w:pPr>
      <w:r w:rsidRPr="0097459F">
        <w:rPr>
          <w:rFonts w:cstheme="minorHAnsi"/>
        </w:rPr>
        <w:t>XXXI</w:t>
      </w:r>
      <w:r w:rsidR="00893D49" w:rsidRPr="0097459F">
        <w:rPr>
          <w:rFonts w:cstheme="minorHAnsi"/>
        </w:rPr>
        <w:t xml:space="preserve"> – regulamento</w:t>
      </w:r>
      <w:r w:rsidR="00625F94" w:rsidRPr="0097459F">
        <w:rPr>
          <w:rFonts w:cstheme="minorHAnsi"/>
        </w:rPr>
        <w:t xml:space="preserve"> (do fundo)</w:t>
      </w:r>
      <w:r w:rsidR="00893D49" w:rsidRPr="0097459F">
        <w:rPr>
          <w:rFonts w:cstheme="minorHAnsi"/>
        </w:rPr>
        <w:t xml:space="preserve">: é o documento </w:t>
      </w:r>
      <w:r w:rsidR="00625F94" w:rsidRPr="0097459F">
        <w:rPr>
          <w:rFonts w:cstheme="minorHAnsi"/>
        </w:rPr>
        <w:t xml:space="preserve">que rege a </w:t>
      </w:r>
      <w:r w:rsidR="00893D49" w:rsidRPr="0097459F">
        <w:rPr>
          <w:rFonts w:cstheme="minorHAnsi"/>
        </w:rPr>
        <w:t xml:space="preserve">constituição </w:t>
      </w:r>
      <w:r w:rsidR="00625F94" w:rsidRPr="0097459F">
        <w:rPr>
          <w:rFonts w:cstheme="minorHAnsi"/>
        </w:rPr>
        <w:t xml:space="preserve">e o funcionamento </w:t>
      </w:r>
      <w:r w:rsidR="00893D49" w:rsidRPr="0097459F">
        <w:rPr>
          <w:rFonts w:cstheme="minorHAnsi"/>
        </w:rPr>
        <w:t xml:space="preserve">do fundo de investimento </w:t>
      </w:r>
      <w:r w:rsidR="00286A59" w:rsidRPr="0097459F">
        <w:rPr>
          <w:rFonts w:cstheme="minorHAnsi"/>
        </w:rPr>
        <w:t xml:space="preserve">e </w:t>
      </w:r>
      <w:r w:rsidR="00893D49" w:rsidRPr="0097459F">
        <w:rPr>
          <w:rFonts w:cstheme="minorHAnsi"/>
        </w:rPr>
        <w:t xml:space="preserve">contém, no mínimo, as disposições obrigatórias previstas nesta Resolução; </w:t>
      </w:r>
    </w:p>
    <w:p w14:paraId="1FE194E0" w14:textId="24913ED4" w:rsidR="00C44DD7" w:rsidRPr="0097459F" w:rsidRDefault="000C62AD" w:rsidP="00C20BBD">
      <w:pPr>
        <w:pStyle w:val="Normalalteradora"/>
      </w:pPr>
      <w:r w:rsidRPr="0097459F">
        <w:t>XXX</w:t>
      </w:r>
      <w:r w:rsidR="002C3305" w:rsidRPr="0097459F">
        <w:t>II</w:t>
      </w:r>
      <w:r w:rsidR="00C44DD7" w:rsidRPr="0097459F">
        <w:t xml:space="preserve"> – Superintendência competente</w:t>
      </w:r>
      <w:r w:rsidR="00F42C23" w:rsidRPr="0097459F">
        <w:t xml:space="preserve">: superintendência </w:t>
      </w:r>
      <w:r w:rsidR="00C44DD7" w:rsidRPr="0097459F">
        <w:t>responsável pelo registro</w:t>
      </w:r>
      <w:r w:rsidR="002D32D5" w:rsidRPr="0097459F">
        <w:t>,</w:t>
      </w:r>
      <w:r w:rsidR="00C44DD7" w:rsidRPr="0097459F">
        <w:t xml:space="preserve"> supervisão </w:t>
      </w:r>
      <w:r w:rsidR="00A711DF" w:rsidRPr="0097459F">
        <w:t xml:space="preserve">e </w:t>
      </w:r>
      <w:r w:rsidR="008F150C" w:rsidRPr="0097459F">
        <w:t>demais</w:t>
      </w:r>
      <w:r w:rsidR="00A711DF" w:rsidRPr="0097459F">
        <w:t xml:space="preserve"> matérias relacionadas</w:t>
      </w:r>
      <w:r w:rsidR="006E4357" w:rsidRPr="0097459F">
        <w:t xml:space="preserve"> </w:t>
      </w:r>
      <w:r w:rsidR="008F150C" w:rsidRPr="0097459F">
        <w:t>ao</w:t>
      </w:r>
      <w:r w:rsidR="002D32D5" w:rsidRPr="0097459F">
        <w:t xml:space="preserve"> fundo de investimento</w:t>
      </w:r>
      <w:r w:rsidR="00C44DD7" w:rsidRPr="0097459F">
        <w:t xml:space="preserve">, nos termos </w:t>
      </w:r>
      <w:r w:rsidR="00982E60" w:rsidRPr="0097459F">
        <w:t>d</w:t>
      </w:r>
      <w:r w:rsidR="00C44DD7" w:rsidRPr="0097459F">
        <w:t>o Regimento Interno da CVM;</w:t>
      </w:r>
    </w:p>
    <w:p w14:paraId="28021747" w14:textId="64F71AA1" w:rsidR="00893D49" w:rsidRPr="0097459F" w:rsidRDefault="00893D49" w:rsidP="00C20BBD">
      <w:pPr>
        <w:pStyle w:val="Normalalteradora"/>
        <w:rPr>
          <w:rFonts w:cstheme="minorHAnsi"/>
        </w:rPr>
      </w:pPr>
      <w:r w:rsidRPr="0097459F">
        <w:rPr>
          <w:rFonts w:cstheme="minorHAnsi"/>
        </w:rPr>
        <w:t>XXX</w:t>
      </w:r>
      <w:r w:rsidR="002D32D5" w:rsidRPr="0097459F">
        <w:rPr>
          <w:rFonts w:cstheme="minorHAnsi"/>
        </w:rPr>
        <w:t>I</w:t>
      </w:r>
      <w:r w:rsidR="002C3305" w:rsidRPr="0097459F">
        <w:rPr>
          <w:rFonts w:cstheme="minorHAnsi"/>
        </w:rPr>
        <w:t>II</w:t>
      </w:r>
      <w:r w:rsidRPr="0097459F">
        <w:rPr>
          <w:rFonts w:cstheme="minorHAnsi"/>
        </w:rPr>
        <w:t xml:space="preserve"> – taxa de administração: taxa </w:t>
      </w:r>
      <w:r w:rsidR="00515C72" w:rsidRPr="0097459F">
        <w:rPr>
          <w:rFonts w:cstheme="minorHAnsi"/>
        </w:rPr>
        <w:t xml:space="preserve">cobrada </w:t>
      </w:r>
      <w:r w:rsidR="00306401" w:rsidRPr="0097459F">
        <w:rPr>
          <w:rFonts w:cstheme="minorHAnsi"/>
        </w:rPr>
        <w:t>do fundo</w:t>
      </w:r>
      <w:r w:rsidRPr="0097459F">
        <w:rPr>
          <w:rFonts w:cstheme="minorHAnsi"/>
        </w:rPr>
        <w:t xml:space="preserve"> para remunerar o administrador e os prestadores dos serviços por ele contratados </w:t>
      </w:r>
      <w:r w:rsidR="00601332" w:rsidRPr="0097459F">
        <w:rPr>
          <w:rFonts w:cstheme="minorHAnsi"/>
        </w:rPr>
        <w:t xml:space="preserve">e </w:t>
      </w:r>
      <w:r w:rsidR="00473E56" w:rsidRPr="0097459F">
        <w:rPr>
          <w:rFonts w:cstheme="minorHAnsi"/>
        </w:rPr>
        <w:t>que não constituam encargos do</w:t>
      </w:r>
      <w:r w:rsidRPr="0097459F">
        <w:rPr>
          <w:rFonts w:cstheme="minorHAnsi"/>
        </w:rPr>
        <w:t xml:space="preserve"> fundo;</w:t>
      </w:r>
    </w:p>
    <w:p w14:paraId="25F470FC" w14:textId="2381F124" w:rsidR="00833799" w:rsidRPr="0097459F" w:rsidRDefault="00833799" w:rsidP="00833799">
      <w:pPr>
        <w:pStyle w:val="Normalalteradora"/>
        <w:rPr>
          <w:rFonts w:cstheme="minorHAnsi"/>
        </w:rPr>
      </w:pPr>
      <w:r w:rsidRPr="0097459F">
        <w:rPr>
          <w:rFonts w:cstheme="minorHAnsi"/>
        </w:rPr>
        <w:t>XXX</w:t>
      </w:r>
      <w:r>
        <w:rPr>
          <w:rFonts w:cstheme="minorHAnsi"/>
        </w:rPr>
        <w:t>I</w:t>
      </w:r>
      <w:r w:rsidRPr="0097459F">
        <w:rPr>
          <w:rFonts w:cstheme="minorHAnsi"/>
        </w:rPr>
        <w:t>V – taxa de gestão: taxa cobrada do fundo para remunerar o gestor e os prestadores dos serviços por ele contratados e que não constituam encargos do fundo;</w:t>
      </w:r>
    </w:p>
    <w:p w14:paraId="7343B543" w14:textId="46DE3DF4" w:rsidR="00893D49" w:rsidRPr="0097459F" w:rsidRDefault="002C3305" w:rsidP="00C20BBD">
      <w:pPr>
        <w:pStyle w:val="Normalalteradora"/>
        <w:rPr>
          <w:rFonts w:cstheme="minorHAnsi"/>
        </w:rPr>
      </w:pPr>
      <w:r w:rsidRPr="0097459F">
        <w:rPr>
          <w:rFonts w:cstheme="minorHAnsi"/>
        </w:rPr>
        <w:t>XXXV</w:t>
      </w:r>
      <w:r w:rsidR="00893D49" w:rsidRPr="0097459F">
        <w:rPr>
          <w:rFonts w:cstheme="minorHAnsi"/>
        </w:rPr>
        <w:t xml:space="preserve"> – taxa de </w:t>
      </w:r>
      <w:r w:rsidR="00494D99" w:rsidRPr="0097459F">
        <w:rPr>
          <w:rFonts w:cstheme="minorHAnsi"/>
        </w:rPr>
        <w:t>ingresso</w:t>
      </w:r>
      <w:r w:rsidR="00893D49" w:rsidRPr="0097459F">
        <w:rPr>
          <w:rFonts w:cstheme="minorHAnsi"/>
        </w:rPr>
        <w:t xml:space="preserve">: taxa paga pelo cotista ao </w:t>
      </w:r>
      <w:r w:rsidR="00026DEE" w:rsidRPr="0097459F">
        <w:rPr>
          <w:rFonts w:cstheme="minorHAnsi"/>
        </w:rPr>
        <w:t xml:space="preserve">patrimônio </w:t>
      </w:r>
      <w:r w:rsidR="00611ED4" w:rsidRPr="0097459F">
        <w:rPr>
          <w:rFonts w:cstheme="minorHAnsi"/>
        </w:rPr>
        <w:t>da classe</w:t>
      </w:r>
      <w:r w:rsidR="00026DEE" w:rsidRPr="0097459F">
        <w:rPr>
          <w:rFonts w:cstheme="minorHAnsi"/>
        </w:rPr>
        <w:t xml:space="preserve"> ao </w:t>
      </w:r>
      <w:r w:rsidR="00893D49" w:rsidRPr="0097459F">
        <w:rPr>
          <w:rFonts w:cstheme="minorHAnsi"/>
        </w:rPr>
        <w:t xml:space="preserve">aplicar recursos em </w:t>
      </w:r>
      <w:r w:rsidR="00494D99" w:rsidRPr="0097459F">
        <w:rPr>
          <w:rFonts w:cstheme="minorHAnsi"/>
        </w:rPr>
        <w:t>uma classe de cotas</w:t>
      </w:r>
      <w:r w:rsidR="00893D49" w:rsidRPr="0097459F">
        <w:rPr>
          <w:rFonts w:cstheme="minorHAnsi"/>
        </w:rPr>
        <w:t>, conforme previsão do regulamento;</w:t>
      </w:r>
    </w:p>
    <w:p w14:paraId="661401D3" w14:textId="494D17AC" w:rsidR="00893D49" w:rsidRPr="0097459F" w:rsidRDefault="002C3305" w:rsidP="00C20BBD">
      <w:pPr>
        <w:pStyle w:val="Normalalteradora"/>
        <w:rPr>
          <w:rFonts w:cstheme="minorHAnsi"/>
        </w:rPr>
      </w:pPr>
      <w:bookmarkStart w:id="19" w:name="_Hlk49439247"/>
      <w:r w:rsidRPr="0097459F">
        <w:rPr>
          <w:rFonts w:cstheme="minorHAnsi"/>
        </w:rPr>
        <w:t>XXXVI</w:t>
      </w:r>
      <w:r w:rsidR="00893D49" w:rsidRPr="0097459F">
        <w:rPr>
          <w:rFonts w:cstheme="minorHAnsi"/>
        </w:rPr>
        <w:t xml:space="preserve"> – taxa de saída: taxa paga pelo cotista</w:t>
      </w:r>
      <w:r w:rsidR="00026DEE" w:rsidRPr="0097459F">
        <w:rPr>
          <w:rFonts w:cstheme="minorHAnsi"/>
        </w:rPr>
        <w:t xml:space="preserve"> ao patrimônio </w:t>
      </w:r>
      <w:r w:rsidR="00C8389D" w:rsidRPr="0097459F">
        <w:rPr>
          <w:rFonts w:cstheme="minorHAnsi"/>
        </w:rPr>
        <w:t>da classe</w:t>
      </w:r>
      <w:r w:rsidR="00893D49" w:rsidRPr="0097459F">
        <w:rPr>
          <w:rFonts w:cstheme="minorHAnsi"/>
        </w:rPr>
        <w:t xml:space="preserve"> ao resgatar recursos de </w:t>
      </w:r>
      <w:r w:rsidR="001B7CA2" w:rsidRPr="0097459F">
        <w:rPr>
          <w:rFonts w:cstheme="minorHAnsi"/>
        </w:rPr>
        <w:t>uma classe de cotas</w:t>
      </w:r>
      <w:r w:rsidR="00893D49" w:rsidRPr="0097459F">
        <w:rPr>
          <w:rFonts w:cstheme="minorHAnsi"/>
        </w:rPr>
        <w:t>, conforme previsão do regulamento;</w:t>
      </w:r>
    </w:p>
    <w:p w14:paraId="1516D521" w14:textId="437F0CC6" w:rsidR="00D710D4" w:rsidRPr="0097459F" w:rsidRDefault="002C3305" w:rsidP="00C20BBD">
      <w:pPr>
        <w:pStyle w:val="Normalalteradora"/>
      </w:pPr>
      <w:r w:rsidRPr="0097459F">
        <w:t>XXXVII</w:t>
      </w:r>
      <w:r w:rsidR="00D710D4" w:rsidRPr="0097459F">
        <w:t xml:space="preserve"> – taxa máxima de distribuição de cotas: </w:t>
      </w:r>
      <w:r w:rsidR="00C422FD" w:rsidRPr="0097459F">
        <w:t xml:space="preserve">taxa </w:t>
      </w:r>
      <w:r w:rsidR="00515C72" w:rsidRPr="0097459F">
        <w:t>cobrada do fundo</w:t>
      </w:r>
      <w:r w:rsidR="00C422FD" w:rsidRPr="0097459F">
        <w:t>, representativa do montante total para remunera</w:t>
      </w:r>
      <w:r w:rsidR="002639E8" w:rsidRPr="0097459F">
        <w:t>ção dos distribuidores, expressa</w:t>
      </w:r>
      <w:r w:rsidR="00C422FD" w:rsidRPr="0097459F">
        <w:t xml:space="preserve"> em percentual anual do patrimônio líquido (base 252 dias)</w:t>
      </w:r>
      <w:r w:rsidR="00B41BC3" w:rsidRPr="0097459F">
        <w:t>;</w:t>
      </w:r>
    </w:p>
    <w:bookmarkEnd w:id="19"/>
    <w:p w14:paraId="40211692" w14:textId="6A3CFDBA" w:rsidR="00893D49" w:rsidRPr="0097459F" w:rsidRDefault="002C3305" w:rsidP="00C20BBD">
      <w:pPr>
        <w:pStyle w:val="Normalalteradora"/>
        <w:rPr>
          <w:rFonts w:cstheme="minorHAnsi"/>
        </w:rPr>
      </w:pPr>
      <w:r w:rsidRPr="0097459F">
        <w:rPr>
          <w:rFonts w:cstheme="minorHAnsi"/>
        </w:rPr>
        <w:t>XXXVIII</w:t>
      </w:r>
      <w:r w:rsidR="00893D49" w:rsidRPr="0097459F">
        <w:rPr>
          <w:rFonts w:cstheme="minorHAnsi"/>
        </w:rPr>
        <w:t xml:space="preserve"> – valor da cota (do dia): termo definido no art. 14, §§ </w:t>
      </w:r>
      <w:r w:rsidR="00143D5E" w:rsidRPr="0097459F">
        <w:rPr>
          <w:rFonts w:cstheme="minorHAnsi"/>
        </w:rPr>
        <w:t xml:space="preserve">1º </w:t>
      </w:r>
      <w:r w:rsidR="00893D49" w:rsidRPr="0097459F">
        <w:rPr>
          <w:rFonts w:cstheme="minorHAnsi"/>
        </w:rPr>
        <w:t xml:space="preserve">e </w:t>
      </w:r>
      <w:r w:rsidR="00143D5E" w:rsidRPr="0097459F">
        <w:rPr>
          <w:rFonts w:cstheme="minorHAnsi"/>
        </w:rPr>
        <w:t>2º</w:t>
      </w:r>
      <w:r w:rsidR="00893D49" w:rsidRPr="0097459F">
        <w:rPr>
          <w:rFonts w:cstheme="minorHAnsi"/>
        </w:rPr>
        <w:t>, conforme o caso;</w:t>
      </w:r>
    </w:p>
    <w:p w14:paraId="506BBF8C" w14:textId="18C57796" w:rsidR="00893D49" w:rsidRPr="0097459F" w:rsidRDefault="005E67F3" w:rsidP="00C20BBD">
      <w:pPr>
        <w:pStyle w:val="Normalalteradora"/>
        <w:rPr>
          <w:rFonts w:cstheme="minorHAnsi"/>
        </w:rPr>
      </w:pPr>
      <w:r w:rsidRPr="0097459F">
        <w:rPr>
          <w:rFonts w:cstheme="minorHAnsi"/>
        </w:rPr>
        <w:t>XXXIX</w:t>
      </w:r>
      <w:r w:rsidR="00893D49" w:rsidRPr="0097459F">
        <w:rPr>
          <w:rFonts w:cstheme="minorHAnsi"/>
        </w:rPr>
        <w:t xml:space="preserve"> – vínculo familiar: ascendentes, descendentes ou parentes afins, civis e colaterais até o segundo grau;</w:t>
      </w:r>
    </w:p>
    <w:p w14:paraId="50A035E6" w14:textId="4E078877" w:rsidR="00893D49" w:rsidRPr="0097459F" w:rsidRDefault="005E67F3" w:rsidP="00C20BBD">
      <w:pPr>
        <w:pStyle w:val="Normalalteradora"/>
        <w:rPr>
          <w:rFonts w:cstheme="minorHAnsi"/>
        </w:rPr>
      </w:pPr>
      <w:r w:rsidRPr="0097459F">
        <w:rPr>
          <w:rFonts w:cstheme="minorHAnsi"/>
        </w:rPr>
        <w:t>XL</w:t>
      </w:r>
      <w:r w:rsidR="00893D49" w:rsidRPr="0097459F">
        <w:rPr>
          <w:rFonts w:cstheme="minorHAnsi"/>
        </w:rPr>
        <w:t xml:space="preserve"> – </w:t>
      </w:r>
      <w:proofErr w:type="gramStart"/>
      <w:r w:rsidR="00893D49" w:rsidRPr="0097459F">
        <w:rPr>
          <w:rFonts w:cstheme="minorHAnsi"/>
        </w:rPr>
        <w:t>vínculo</w:t>
      </w:r>
      <w:proofErr w:type="gramEnd"/>
      <w:r w:rsidR="00893D49" w:rsidRPr="0097459F">
        <w:rPr>
          <w:rFonts w:cstheme="minorHAnsi"/>
        </w:rPr>
        <w:t xml:space="preserve"> societário familiar: vínculo decorrente da participação direta ou indireta em veículo de investimento constituído com o objetivo de consolidar patrimônio de um grupo de pessoas que tenham vínculo familiar</w:t>
      </w:r>
      <w:r w:rsidR="00007E56" w:rsidRPr="0097459F">
        <w:rPr>
          <w:rFonts w:cstheme="minorHAnsi"/>
        </w:rPr>
        <w:t>; e</w:t>
      </w:r>
      <w:bookmarkStart w:id="20" w:name="_Hlk37660981"/>
      <w:bookmarkStart w:id="21" w:name="_Hlk42691773"/>
    </w:p>
    <w:p w14:paraId="4BF8551B" w14:textId="31D9A29F" w:rsidR="00091CBC" w:rsidRPr="0097459F" w:rsidRDefault="005E67F3" w:rsidP="00C20BBD">
      <w:pPr>
        <w:spacing w:before="120" w:after="120" w:line="312" w:lineRule="auto"/>
        <w:ind w:firstLine="567"/>
        <w:jc w:val="both"/>
        <w:rPr>
          <w:rFonts w:cstheme="minorHAnsi"/>
          <w:sz w:val="24"/>
          <w:szCs w:val="24"/>
        </w:rPr>
      </w:pPr>
      <w:r w:rsidRPr="0097459F">
        <w:rPr>
          <w:rFonts w:asciiTheme="minorHAnsi" w:eastAsia="Times New Roman" w:hAnsiTheme="minorHAnsi" w:cstheme="minorHAnsi"/>
          <w:sz w:val="24"/>
          <w:szCs w:val="24"/>
          <w:lang w:eastAsia="pt-BR"/>
        </w:rPr>
        <w:lastRenderedPageBreak/>
        <w:t>XLI</w:t>
      </w:r>
      <w:r w:rsidR="00091CBC" w:rsidRPr="0097459F">
        <w:rPr>
          <w:rFonts w:asciiTheme="minorHAnsi" w:eastAsia="Times New Roman" w:hAnsiTheme="minorHAnsi" w:cstheme="minorHAnsi"/>
          <w:sz w:val="24"/>
          <w:szCs w:val="24"/>
          <w:lang w:eastAsia="pt-BR"/>
        </w:rPr>
        <w:t xml:space="preserve"> </w:t>
      </w:r>
      <w:r w:rsidR="00007E56" w:rsidRPr="0097459F">
        <w:rPr>
          <w:rFonts w:asciiTheme="minorHAnsi" w:eastAsia="Times New Roman" w:hAnsiTheme="minorHAnsi" w:cstheme="minorHAnsi"/>
          <w:sz w:val="24"/>
          <w:szCs w:val="24"/>
          <w:lang w:eastAsia="pt-BR"/>
        </w:rPr>
        <w:t>–</w:t>
      </w:r>
      <w:r w:rsidR="00091CBC" w:rsidRPr="0097459F">
        <w:rPr>
          <w:rFonts w:asciiTheme="minorHAnsi" w:eastAsia="Times New Roman" w:hAnsiTheme="minorHAnsi" w:cstheme="minorHAnsi"/>
          <w:sz w:val="24"/>
          <w:szCs w:val="24"/>
          <w:lang w:eastAsia="pt-BR"/>
        </w:rPr>
        <w:t xml:space="preserve"> vínculo por interesse único e indissociável: vínculo decorrente de controle comum</w:t>
      </w:r>
      <w:r w:rsidR="00E66FAE" w:rsidRPr="0097459F">
        <w:rPr>
          <w:rFonts w:asciiTheme="minorHAnsi" w:eastAsia="Times New Roman" w:hAnsiTheme="minorHAnsi" w:cstheme="minorHAnsi"/>
          <w:sz w:val="24"/>
          <w:szCs w:val="24"/>
          <w:lang w:eastAsia="pt-BR"/>
        </w:rPr>
        <w:t xml:space="preserve">, conforme definido nas normas contábeis, </w:t>
      </w:r>
      <w:r w:rsidR="00091CBC" w:rsidRPr="0097459F">
        <w:rPr>
          <w:rFonts w:asciiTheme="minorHAnsi" w:eastAsia="Times New Roman" w:hAnsiTheme="minorHAnsi" w:cstheme="minorHAnsi"/>
          <w:sz w:val="24"/>
          <w:szCs w:val="24"/>
          <w:lang w:eastAsia="pt-BR"/>
        </w:rPr>
        <w:t>ou de acordo que obrigue os cotistas a votar</w:t>
      </w:r>
      <w:r w:rsidR="00312C1C" w:rsidRPr="0097459F">
        <w:rPr>
          <w:rFonts w:asciiTheme="minorHAnsi" w:eastAsia="Times New Roman" w:hAnsiTheme="minorHAnsi" w:cstheme="minorHAnsi"/>
          <w:sz w:val="24"/>
          <w:szCs w:val="24"/>
          <w:lang w:eastAsia="pt-BR"/>
        </w:rPr>
        <w:t>em</w:t>
      </w:r>
      <w:r w:rsidR="00091CBC" w:rsidRPr="0097459F">
        <w:rPr>
          <w:rFonts w:asciiTheme="minorHAnsi" w:eastAsia="Times New Roman" w:hAnsiTheme="minorHAnsi" w:cstheme="minorHAnsi"/>
          <w:sz w:val="24"/>
          <w:szCs w:val="24"/>
          <w:lang w:eastAsia="pt-BR"/>
        </w:rPr>
        <w:t xml:space="preserve"> em conjunto nas assembleias.</w:t>
      </w:r>
    </w:p>
    <w:p w14:paraId="18F3A10A" w14:textId="104F1C7A" w:rsidR="00403D3B" w:rsidRPr="0097459F" w:rsidRDefault="04E4BC49" w:rsidP="00C20BBD">
      <w:pPr>
        <w:pStyle w:val="Normalalteradora"/>
      </w:pPr>
      <w:r w:rsidRPr="0097459F">
        <w:t>Parágrafo único</w:t>
      </w:r>
      <w:r w:rsidR="0648B55E" w:rsidRPr="0097459F">
        <w:t>.</w:t>
      </w:r>
      <w:r w:rsidRPr="0097459F">
        <w:t xml:space="preserve"> </w:t>
      </w:r>
      <w:r w:rsidR="1F743F34" w:rsidRPr="0097459F">
        <w:t xml:space="preserve"> </w:t>
      </w:r>
      <w:r w:rsidRPr="0097459F">
        <w:t>Para fins do correto entendimento desta Resolução:</w:t>
      </w:r>
    </w:p>
    <w:p w14:paraId="51FC440D" w14:textId="5D3AEC75" w:rsidR="000B5C69" w:rsidRPr="0097459F" w:rsidRDefault="000B5C69" w:rsidP="00C20BBD">
      <w:pPr>
        <w:pStyle w:val="Normalalteradora"/>
        <w:rPr>
          <w:rFonts w:cstheme="minorHAnsi"/>
        </w:rPr>
      </w:pPr>
      <w:r w:rsidRPr="0097459F">
        <w:rPr>
          <w:rFonts w:cstheme="minorHAnsi"/>
        </w:rPr>
        <w:t xml:space="preserve">I – </w:t>
      </w:r>
      <w:proofErr w:type="gramStart"/>
      <w:r w:rsidRPr="0097459F">
        <w:rPr>
          <w:rFonts w:cstheme="minorHAnsi"/>
        </w:rPr>
        <w:t>as</w:t>
      </w:r>
      <w:proofErr w:type="gramEnd"/>
      <w:r w:rsidRPr="0097459F">
        <w:rPr>
          <w:rFonts w:cstheme="minorHAnsi"/>
        </w:rPr>
        <w:t xml:space="preserve"> referências a “fundo” ou a “fundo de investimento” </w:t>
      </w:r>
      <w:r w:rsidR="00A33BF6" w:rsidRPr="0097459F">
        <w:rPr>
          <w:rFonts w:cstheme="minorHAnsi"/>
        </w:rPr>
        <w:t xml:space="preserve">alcançam </w:t>
      </w:r>
      <w:r w:rsidR="00ED357E" w:rsidRPr="0097459F">
        <w:rPr>
          <w:rFonts w:cstheme="minorHAnsi"/>
        </w:rPr>
        <w:t>tod</w:t>
      </w:r>
      <w:r w:rsidR="00A33BF6" w:rsidRPr="0097459F">
        <w:rPr>
          <w:rFonts w:cstheme="minorHAnsi"/>
        </w:rPr>
        <w:t>as</w:t>
      </w:r>
      <w:r w:rsidR="00ED357E" w:rsidRPr="0097459F">
        <w:rPr>
          <w:rFonts w:cstheme="minorHAnsi"/>
        </w:rPr>
        <w:t xml:space="preserve"> as suas</w:t>
      </w:r>
      <w:r w:rsidR="00A33BF6" w:rsidRPr="0097459F">
        <w:rPr>
          <w:rFonts w:cstheme="minorHAnsi"/>
        </w:rPr>
        <w:t xml:space="preserve"> classes de cotas</w:t>
      </w:r>
      <w:r w:rsidRPr="0097459F">
        <w:rPr>
          <w:rFonts w:cstheme="minorHAnsi"/>
        </w:rPr>
        <w:t>;</w:t>
      </w:r>
    </w:p>
    <w:p w14:paraId="6AB430C4" w14:textId="1EBD9982" w:rsidR="00403D3B" w:rsidRPr="0097459F" w:rsidRDefault="00403D3B" w:rsidP="00C20BBD">
      <w:pPr>
        <w:pStyle w:val="Normalalteradora"/>
        <w:rPr>
          <w:rFonts w:cstheme="minorHAnsi"/>
        </w:rPr>
      </w:pPr>
      <w:r w:rsidRPr="0097459F">
        <w:rPr>
          <w:rFonts w:cstheme="minorHAnsi"/>
        </w:rPr>
        <w:t>I</w:t>
      </w:r>
      <w:r w:rsidR="000B5C69" w:rsidRPr="0097459F">
        <w:rPr>
          <w:rFonts w:cstheme="minorHAnsi"/>
        </w:rPr>
        <w:t>I</w:t>
      </w:r>
      <w:r w:rsidRPr="0097459F">
        <w:rPr>
          <w:rFonts w:cstheme="minorHAnsi"/>
        </w:rPr>
        <w:t xml:space="preserve"> </w:t>
      </w:r>
      <w:r w:rsidR="00146F39" w:rsidRPr="0097459F">
        <w:rPr>
          <w:rFonts w:cstheme="minorHAnsi"/>
        </w:rPr>
        <w:t>–</w:t>
      </w:r>
      <w:r w:rsidRPr="0097459F">
        <w:rPr>
          <w:rFonts w:cstheme="minorHAnsi"/>
        </w:rPr>
        <w:t xml:space="preserve"> </w:t>
      </w:r>
      <w:proofErr w:type="gramStart"/>
      <w:r w:rsidRPr="0097459F">
        <w:rPr>
          <w:rFonts w:cstheme="minorHAnsi"/>
        </w:rPr>
        <w:t>as</w:t>
      </w:r>
      <w:proofErr w:type="gramEnd"/>
      <w:r w:rsidR="00146F39" w:rsidRPr="0097459F">
        <w:rPr>
          <w:rFonts w:cstheme="minorHAnsi"/>
        </w:rPr>
        <w:t xml:space="preserve"> </w:t>
      </w:r>
      <w:r w:rsidRPr="0097459F">
        <w:rPr>
          <w:rFonts w:cstheme="minorHAnsi"/>
        </w:rPr>
        <w:t xml:space="preserve">referências </w:t>
      </w:r>
      <w:r w:rsidR="00007E56" w:rsidRPr="0097459F">
        <w:rPr>
          <w:rFonts w:cstheme="minorHAnsi"/>
        </w:rPr>
        <w:t>a</w:t>
      </w:r>
      <w:r w:rsidRPr="0097459F">
        <w:rPr>
          <w:rFonts w:cstheme="minorHAnsi"/>
        </w:rPr>
        <w:t xml:space="preserve"> </w:t>
      </w:r>
      <w:r w:rsidR="000B5C69" w:rsidRPr="0097459F">
        <w:rPr>
          <w:rFonts w:cstheme="minorHAnsi"/>
        </w:rPr>
        <w:t>“</w:t>
      </w:r>
      <w:r w:rsidRPr="0097459F">
        <w:rPr>
          <w:rFonts w:cstheme="minorHAnsi"/>
        </w:rPr>
        <w:t>classe</w:t>
      </w:r>
      <w:r w:rsidR="000B5C69" w:rsidRPr="0097459F">
        <w:rPr>
          <w:rFonts w:cstheme="minorHAnsi"/>
        </w:rPr>
        <w:t>”</w:t>
      </w:r>
      <w:r w:rsidRPr="0097459F">
        <w:rPr>
          <w:rFonts w:cstheme="minorHAnsi"/>
        </w:rPr>
        <w:t xml:space="preserve"> e </w:t>
      </w:r>
      <w:r w:rsidR="00007E56" w:rsidRPr="0097459F">
        <w:rPr>
          <w:rFonts w:cstheme="minorHAnsi"/>
        </w:rPr>
        <w:t>a</w:t>
      </w:r>
      <w:r w:rsidRPr="0097459F">
        <w:rPr>
          <w:rFonts w:cstheme="minorHAnsi"/>
        </w:rPr>
        <w:t xml:space="preserve"> </w:t>
      </w:r>
      <w:r w:rsidR="00007E56" w:rsidRPr="0097459F">
        <w:rPr>
          <w:rFonts w:cstheme="minorHAnsi"/>
        </w:rPr>
        <w:t>“</w:t>
      </w:r>
      <w:r w:rsidRPr="0097459F">
        <w:rPr>
          <w:rFonts w:cstheme="minorHAnsi"/>
        </w:rPr>
        <w:t>classe de cotas</w:t>
      </w:r>
      <w:r w:rsidR="000B5C69" w:rsidRPr="0097459F">
        <w:rPr>
          <w:rFonts w:cstheme="minorHAnsi"/>
        </w:rPr>
        <w:t>”</w:t>
      </w:r>
      <w:r w:rsidRPr="0097459F">
        <w:rPr>
          <w:rFonts w:cstheme="minorHAnsi"/>
        </w:rPr>
        <w:t xml:space="preserve"> alcançam os fundos de investimento que emitem cotas em classe única; e </w:t>
      </w:r>
    </w:p>
    <w:p w14:paraId="0D1A5A4A" w14:textId="6629A28D" w:rsidR="00403D3B" w:rsidRPr="0097459F" w:rsidRDefault="00403D3B" w:rsidP="00C20BBD">
      <w:pPr>
        <w:pStyle w:val="Normalalteradora"/>
        <w:rPr>
          <w:rFonts w:cstheme="minorHAnsi"/>
        </w:rPr>
      </w:pPr>
      <w:r w:rsidRPr="0097459F">
        <w:rPr>
          <w:rFonts w:cstheme="minorHAnsi"/>
        </w:rPr>
        <w:t>I</w:t>
      </w:r>
      <w:r w:rsidR="000B5C69" w:rsidRPr="0097459F">
        <w:rPr>
          <w:rFonts w:cstheme="minorHAnsi"/>
        </w:rPr>
        <w:t>I</w:t>
      </w:r>
      <w:r w:rsidRPr="0097459F">
        <w:rPr>
          <w:rFonts w:cstheme="minorHAnsi"/>
        </w:rPr>
        <w:t xml:space="preserve">I </w:t>
      </w:r>
      <w:r w:rsidR="00146F39" w:rsidRPr="0097459F">
        <w:rPr>
          <w:rFonts w:cstheme="minorHAnsi"/>
        </w:rPr>
        <w:t>–</w:t>
      </w:r>
      <w:r w:rsidRPr="0097459F">
        <w:rPr>
          <w:rFonts w:cstheme="minorHAnsi"/>
        </w:rPr>
        <w:t xml:space="preserve"> as</w:t>
      </w:r>
      <w:r w:rsidR="00146F39" w:rsidRPr="0097459F">
        <w:rPr>
          <w:rFonts w:cstheme="minorHAnsi"/>
        </w:rPr>
        <w:t xml:space="preserve"> </w:t>
      </w:r>
      <w:r w:rsidRPr="0097459F">
        <w:rPr>
          <w:rFonts w:cstheme="minorHAnsi"/>
        </w:rPr>
        <w:t xml:space="preserve">referências a </w:t>
      </w:r>
      <w:r w:rsidR="000B5C69" w:rsidRPr="0097459F">
        <w:rPr>
          <w:rFonts w:cstheme="minorHAnsi"/>
        </w:rPr>
        <w:t>“</w:t>
      </w:r>
      <w:r w:rsidRPr="0097459F">
        <w:rPr>
          <w:rFonts w:cstheme="minorHAnsi"/>
        </w:rPr>
        <w:t>regulamento</w:t>
      </w:r>
      <w:r w:rsidR="000B5C69" w:rsidRPr="0097459F">
        <w:rPr>
          <w:rFonts w:cstheme="minorHAnsi"/>
        </w:rPr>
        <w:t>”</w:t>
      </w:r>
      <w:r w:rsidRPr="0097459F">
        <w:rPr>
          <w:rFonts w:cstheme="minorHAnsi"/>
        </w:rPr>
        <w:t xml:space="preserve"> e a </w:t>
      </w:r>
      <w:r w:rsidR="000B5C69" w:rsidRPr="0097459F">
        <w:rPr>
          <w:rFonts w:cstheme="minorHAnsi"/>
        </w:rPr>
        <w:t>“</w:t>
      </w:r>
      <w:r w:rsidRPr="0097459F">
        <w:rPr>
          <w:rFonts w:cstheme="minorHAnsi"/>
        </w:rPr>
        <w:t>regulamento do fundo</w:t>
      </w:r>
      <w:r w:rsidR="000B5C69" w:rsidRPr="0097459F">
        <w:rPr>
          <w:rFonts w:cstheme="minorHAnsi"/>
        </w:rPr>
        <w:t>”</w:t>
      </w:r>
      <w:r w:rsidRPr="0097459F">
        <w:rPr>
          <w:rFonts w:cstheme="minorHAnsi"/>
        </w:rPr>
        <w:t xml:space="preserve"> alcançam</w:t>
      </w:r>
      <w:r w:rsidR="00D5554A" w:rsidRPr="0097459F">
        <w:rPr>
          <w:rFonts w:cstheme="minorHAnsi"/>
        </w:rPr>
        <w:t xml:space="preserve"> </w:t>
      </w:r>
      <w:r w:rsidRPr="0097459F">
        <w:rPr>
          <w:rFonts w:cstheme="minorHAnsi"/>
        </w:rPr>
        <w:t>os anexos descritivos das classes de cotas e os ap</w:t>
      </w:r>
      <w:r w:rsidR="00D5554A" w:rsidRPr="0097459F">
        <w:rPr>
          <w:rFonts w:cstheme="minorHAnsi"/>
        </w:rPr>
        <w:t xml:space="preserve">êndices das </w:t>
      </w:r>
      <w:r w:rsidRPr="0097459F">
        <w:rPr>
          <w:rFonts w:cstheme="minorHAnsi"/>
        </w:rPr>
        <w:t>subclasses.</w:t>
      </w:r>
    </w:p>
    <w:p w14:paraId="2D40A2CE" w14:textId="77777777" w:rsidR="00893D49" w:rsidRPr="0097459F" w:rsidRDefault="00893D49" w:rsidP="00C20BBD">
      <w:pPr>
        <w:pStyle w:val="Captulo"/>
        <w:rPr>
          <w:rFonts w:asciiTheme="minorHAnsi" w:hAnsiTheme="minorHAnsi" w:cstheme="minorHAnsi"/>
        </w:rPr>
      </w:pPr>
      <w:bookmarkStart w:id="22" w:name="3"/>
      <w:bookmarkStart w:id="23" w:name="_Toc53594428"/>
      <w:bookmarkStart w:id="24" w:name="_Toc53595453"/>
      <w:bookmarkStart w:id="25" w:name="_Toc53594180"/>
      <w:bookmarkStart w:id="26" w:name="_Toc114818961"/>
      <w:bookmarkStart w:id="27" w:name="_Toc57836188"/>
      <w:bookmarkStart w:id="28" w:name="_Toc161141190"/>
      <w:bookmarkEnd w:id="20"/>
      <w:bookmarkEnd w:id="21"/>
      <w:bookmarkEnd w:id="22"/>
      <w:r w:rsidRPr="0097459F">
        <w:rPr>
          <w:rFonts w:asciiTheme="minorHAnsi" w:hAnsiTheme="minorHAnsi" w:cstheme="minorHAnsi"/>
        </w:rPr>
        <w:t>CAPÍTULO III – CARACTERÍSTICAS, CONSTITUIÇÃO E COMUNICAÇÃO</w:t>
      </w:r>
      <w:bookmarkEnd w:id="23"/>
      <w:bookmarkEnd w:id="24"/>
      <w:bookmarkEnd w:id="25"/>
      <w:bookmarkEnd w:id="26"/>
      <w:bookmarkEnd w:id="27"/>
      <w:bookmarkEnd w:id="28"/>
    </w:p>
    <w:p w14:paraId="23B2820B" w14:textId="77777777" w:rsidR="00893D49" w:rsidRPr="0097459F" w:rsidRDefault="00893D49" w:rsidP="00C20BBD">
      <w:pPr>
        <w:pStyle w:val="seo0"/>
        <w:rPr>
          <w:rFonts w:asciiTheme="minorHAnsi" w:hAnsiTheme="minorHAnsi"/>
        </w:rPr>
      </w:pPr>
      <w:bookmarkStart w:id="29" w:name="_Toc53594429"/>
      <w:bookmarkStart w:id="30" w:name="_Toc53595454"/>
      <w:bookmarkStart w:id="31" w:name="_Toc53594181"/>
      <w:bookmarkStart w:id="32" w:name="_Toc114818962"/>
      <w:bookmarkStart w:id="33" w:name="_Toc57836189"/>
      <w:bookmarkStart w:id="34" w:name="_Toc161141191"/>
      <w:r w:rsidRPr="0097459F">
        <w:rPr>
          <w:rFonts w:asciiTheme="minorHAnsi" w:hAnsiTheme="minorHAnsi"/>
        </w:rPr>
        <w:t>Seção I – Características Gerais</w:t>
      </w:r>
      <w:bookmarkEnd w:id="29"/>
      <w:bookmarkEnd w:id="30"/>
      <w:bookmarkEnd w:id="31"/>
      <w:bookmarkEnd w:id="32"/>
      <w:bookmarkEnd w:id="33"/>
      <w:bookmarkEnd w:id="34"/>
    </w:p>
    <w:p w14:paraId="1233A53C" w14:textId="69451FF8" w:rsidR="00893D49" w:rsidRPr="0097459F" w:rsidRDefault="00893D49" w:rsidP="00C20BBD">
      <w:pPr>
        <w:pStyle w:val="Normalalteradora"/>
        <w:rPr>
          <w:rFonts w:cstheme="minorHAnsi"/>
        </w:rPr>
      </w:pPr>
      <w:r w:rsidRPr="0097459F">
        <w:rPr>
          <w:rFonts w:cstheme="minorHAnsi"/>
        </w:rPr>
        <w:t xml:space="preserve">Art. </w:t>
      </w:r>
      <w:r w:rsidR="00312C1C" w:rsidRPr="0097459F">
        <w:rPr>
          <w:rFonts w:cstheme="minorHAnsi"/>
        </w:rPr>
        <w:t>4</w:t>
      </w:r>
      <w:proofErr w:type="gramStart"/>
      <w:r w:rsidRPr="0097459F">
        <w:rPr>
          <w:rFonts w:cstheme="minorHAnsi"/>
        </w:rPr>
        <w:t>º  O</w:t>
      </w:r>
      <w:proofErr w:type="gramEnd"/>
      <w:r w:rsidRPr="0097459F">
        <w:rPr>
          <w:rFonts w:cstheme="minorHAnsi"/>
        </w:rPr>
        <w:t xml:space="preserve"> fundo de investimento é uma comunhão de recursos, constituído sob a forma de condomínio de natureza especial, destinado à aplicação em ativos financeiros, bens e direitos, de acordo com a regra específica aplicável à categoria do fundo.</w:t>
      </w:r>
    </w:p>
    <w:p w14:paraId="42C6E505" w14:textId="1087DDB2" w:rsidR="00893D49" w:rsidRPr="0097459F" w:rsidRDefault="00893D49" w:rsidP="00C20BBD">
      <w:pPr>
        <w:pStyle w:val="Normalalteradora"/>
        <w:rPr>
          <w:rFonts w:cstheme="minorHAnsi"/>
        </w:rPr>
      </w:pPr>
      <w:r w:rsidRPr="0097459F">
        <w:rPr>
          <w:rFonts w:cstheme="minorHAnsi"/>
        </w:rPr>
        <w:t xml:space="preserve">Art. </w:t>
      </w:r>
      <w:r w:rsidR="00312C1C" w:rsidRPr="0097459F">
        <w:rPr>
          <w:rFonts w:cstheme="minorHAnsi"/>
        </w:rPr>
        <w:t>5</w:t>
      </w:r>
      <w:proofErr w:type="gramStart"/>
      <w:r w:rsidRPr="0097459F">
        <w:rPr>
          <w:rFonts w:cstheme="minorHAnsi"/>
        </w:rPr>
        <w:t>º  O</w:t>
      </w:r>
      <w:proofErr w:type="gramEnd"/>
      <w:r w:rsidRPr="0097459F">
        <w:rPr>
          <w:rFonts w:cstheme="minorHAnsi"/>
        </w:rPr>
        <w:t xml:space="preserve"> regulamento do fundo de investimento pode prever a existência de diferentes classes de cotas, com direitos e obrigações distintos, devendo o administrador constituir um patrimônio segregado para cada classe de cotas.</w:t>
      </w:r>
    </w:p>
    <w:p w14:paraId="70F6228B" w14:textId="63A8497D" w:rsidR="003B03EB" w:rsidRPr="0097459F" w:rsidRDefault="66656AB2" w:rsidP="00C20BBD">
      <w:pPr>
        <w:pStyle w:val="Normalalteradora"/>
      </w:pPr>
      <w:r w:rsidRPr="0097459F">
        <w:t>§</w:t>
      </w:r>
      <w:r w:rsidR="00F50172" w:rsidRPr="0097459F">
        <w:t xml:space="preserve"> </w:t>
      </w:r>
      <w:r w:rsidRPr="0097459F">
        <w:t>1</w:t>
      </w:r>
      <w:proofErr w:type="gramStart"/>
      <w:r w:rsidRPr="0097459F">
        <w:t>º  Todas</w:t>
      </w:r>
      <w:proofErr w:type="gramEnd"/>
      <w:r w:rsidRPr="0097459F">
        <w:t xml:space="preserve"> as classes devem pertencer à mesma categoria do fundo, não sendo</w:t>
      </w:r>
      <w:r w:rsidR="4EB9C067" w:rsidRPr="0097459F">
        <w:t xml:space="preserve"> </w:t>
      </w:r>
      <w:r w:rsidRPr="0097459F">
        <w:t xml:space="preserve">permitida a </w:t>
      </w:r>
      <w:r w:rsidR="00C075E8" w:rsidRPr="0097459F">
        <w:t xml:space="preserve">constituição </w:t>
      </w:r>
      <w:r w:rsidRPr="0097459F">
        <w:t xml:space="preserve">de classes de cotas que alterem o tratamento tributário </w:t>
      </w:r>
      <w:r w:rsidR="003B03EB" w:rsidRPr="0097459F">
        <w:t xml:space="preserve">aplicável em relação ao </w:t>
      </w:r>
      <w:r w:rsidRPr="0097459F">
        <w:t>fundo</w:t>
      </w:r>
      <w:r w:rsidR="656622FC" w:rsidRPr="0097459F">
        <w:t xml:space="preserve"> </w:t>
      </w:r>
      <w:r w:rsidR="43A139DC" w:rsidRPr="0097459F">
        <w:t>ou</w:t>
      </w:r>
      <w:r w:rsidR="4EB9C067" w:rsidRPr="0097459F">
        <w:t xml:space="preserve"> </w:t>
      </w:r>
      <w:r w:rsidR="003B03EB" w:rsidRPr="0097459F">
        <w:t xml:space="preserve">às </w:t>
      </w:r>
      <w:r w:rsidR="656622FC" w:rsidRPr="0097459F">
        <w:t>demais classes</w:t>
      </w:r>
      <w:r w:rsidR="003B03EB" w:rsidRPr="0097459F">
        <w:t xml:space="preserve"> existentes</w:t>
      </w:r>
      <w:r w:rsidRPr="0097459F">
        <w:t>.</w:t>
      </w:r>
    </w:p>
    <w:p w14:paraId="135248DB" w14:textId="39779FA9" w:rsidR="00893D49" w:rsidRPr="0097459F" w:rsidRDefault="00893D49" w:rsidP="00C20BBD">
      <w:pPr>
        <w:pStyle w:val="Normalalteradora"/>
        <w:rPr>
          <w:rFonts w:eastAsiaTheme="minorEastAsia"/>
        </w:rPr>
      </w:pPr>
      <w:bookmarkStart w:id="35" w:name="_Hlk47180541"/>
      <w:r w:rsidRPr="0097459F">
        <w:rPr>
          <w:rFonts w:eastAsiaTheme="minorEastAsia"/>
        </w:rPr>
        <w:t>§ 2</w:t>
      </w:r>
      <w:proofErr w:type="gramStart"/>
      <w:r w:rsidRPr="0097459F">
        <w:rPr>
          <w:rFonts w:eastAsiaTheme="minorEastAsia"/>
        </w:rPr>
        <w:t>º  Cada</w:t>
      </w:r>
      <w:proofErr w:type="gramEnd"/>
      <w:r w:rsidRPr="0097459F">
        <w:rPr>
          <w:rFonts w:eastAsiaTheme="minorEastAsia"/>
        </w:rPr>
        <w:t xml:space="preserve"> patrimônio segregado responde somente por obrigações </w:t>
      </w:r>
      <w:r w:rsidR="004E66B5" w:rsidRPr="0097459F">
        <w:rPr>
          <w:rFonts w:eastAsiaTheme="minorEastAsia"/>
        </w:rPr>
        <w:t xml:space="preserve">referentes </w:t>
      </w:r>
      <w:r w:rsidRPr="0097459F">
        <w:rPr>
          <w:rFonts w:eastAsiaTheme="minorEastAsia"/>
        </w:rPr>
        <w:t>à respectiva classe de cotas.</w:t>
      </w:r>
    </w:p>
    <w:bookmarkEnd w:id="35"/>
    <w:p w14:paraId="41BE6FD8" w14:textId="7983B1D1" w:rsidR="00B35BA2" w:rsidRPr="0097459F" w:rsidRDefault="00893D49" w:rsidP="00C20BBD">
      <w:pPr>
        <w:pStyle w:val="Normalalteradora"/>
        <w:rPr>
          <w:rFonts w:eastAsiaTheme="minorEastAsia"/>
        </w:rPr>
      </w:pPr>
      <w:r w:rsidRPr="0097459F">
        <w:rPr>
          <w:rFonts w:eastAsiaTheme="minorEastAsia"/>
        </w:rPr>
        <w:t>§ 3</w:t>
      </w:r>
      <w:proofErr w:type="gramStart"/>
      <w:r w:rsidRPr="0097459F">
        <w:rPr>
          <w:rFonts w:eastAsiaTheme="minorEastAsia"/>
        </w:rPr>
        <w:t>º  O</w:t>
      </w:r>
      <w:proofErr w:type="gramEnd"/>
      <w:r w:rsidRPr="0097459F">
        <w:rPr>
          <w:rFonts w:eastAsiaTheme="minorEastAsia"/>
        </w:rPr>
        <w:t xml:space="preserve"> fundo que não contar com diferentes classes de cotas </w:t>
      </w:r>
      <w:r w:rsidR="00273C0F" w:rsidRPr="0097459F">
        <w:rPr>
          <w:rFonts w:eastAsiaTheme="minorEastAsia"/>
        </w:rPr>
        <w:t xml:space="preserve">deve efetuar </w:t>
      </w:r>
      <w:r w:rsidRPr="0097459F">
        <w:rPr>
          <w:rFonts w:eastAsiaTheme="minorEastAsia"/>
        </w:rPr>
        <w:t>emissões de cotas em classe única, preservada a possibilidade de serem constituídas subclasses</w:t>
      </w:r>
      <w:r w:rsidR="00AD5192" w:rsidRPr="0097459F">
        <w:rPr>
          <w:rFonts w:eastAsiaTheme="minorEastAsia"/>
        </w:rPr>
        <w:t>.</w:t>
      </w:r>
    </w:p>
    <w:p w14:paraId="7FA6020F" w14:textId="0F7ADAD0" w:rsidR="00583911" w:rsidRPr="0097459F" w:rsidRDefault="00583911" w:rsidP="00C20BBD">
      <w:pPr>
        <w:pStyle w:val="Normalalteradora"/>
      </w:pPr>
      <w:r w:rsidRPr="0097459F">
        <w:rPr>
          <w:rFonts w:eastAsiaTheme="minorEastAsia"/>
        </w:rPr>
        <w:t>§ 4</w:t>
      </w:r>
      <w:proofErr w:type="gramStart"/>
      <w:r w:rsidRPr="0097459F">
        <w:rPr>
          <w:rFonts w:eastAsiaTheme="minorEastAsia"/>
        </w:rPr>
        <w:t xml:space="preserve">º </w:t>
      </w:r>
      <w:r w:rsidR="00A01063" w:rsidRPr="0097459F">
        <w:rPr>
          <w:rFonts w:eastAsiaTheme="minorEastAsia"/>
        </w:rPr>
        <w:t xml:space="preserve"> </w:t>
      </w:r>
      <w:r w:rsidRPr="0097459F">
        <w:rPr>
          <w:rFonts w:eastAsiaTheme="minorEastAsia"/>
        </w:rPr>
        <w:t>É</w:t>
      </w:r>
      <w:proofErr w:type="gramEnd"/>
      <w:r w:rsidRPr="0097459F">
        <w:rPr>
          <w:rFonts w:eastAsiaTheme="minorEastAsia"/>
        </w:rPr>
        <w:t xml:space="preserve"> </w:t>
      </w:r>
      <w:r w:rsidRPr="0097459F">
        <w:rPr>
          <w:rFonts w:cstheme="minorHAnsi"/>
        </w:rPr>
        <w:t>vedada a afetação ou a vinculação, a qualquer título, de parcela do patrimônio de uma classe de cotas a qualquer subclasse</w:t>
      </w:r>
      <w:r w:rsidR="008837E0" w:rsidRPr="0097459F">
        <w:rPr>
          <w:rFonts w:cstheme="minorHAnsi"/>
        </w:rPr>
        <w:t>.</w:t>
      </w:r>
    </w:p>
    <w:p w14:paraId="46F5C1D2" w14:textId="489ED52C" w:rsidR="00DA398B" w:rsidRPr="0097459F" w:rsidRDefault="00DA398B" w:rsidP="00C20BBD">
      <w:pPr>
        <w:pStyle w:val="Normalalteradora"/>
      </w:pPr>
      <w:r w:rsidRPr="0097459F">
        <w:rPr>
          <w:rFonts w:cstheme="minorHAnsi"/>
        </w:rPr>
        <w:lastRenderedPageBreak/>
        <w:t xml:space="preserve">§ </w:t>
      </w:r>
      <w:r w:rsidR="00C73D23" w:rsidRPr="0097459F">
        <w:rPr>
          <w:rFonts w:cstheme="minorHAnsi"/>
        </w:rPr>
        <w:t>5</w:t>
      </w:r>
      <w:proofErr w:type="gramStart"/>
      <w:r w:rsidRPr="0097459F">
        <w:rPr>
          <w:rFonts w:cstheme="minorHAnsi"/>
        </w:rPr>
        <w:t xml:space="preserve">º  </w:t>
      </w:r>
      <w:r w:rsidRPr="0097459F">
        <w:t>As</w:t>
      </w:r>
      <w:proofErr w:type="gramEnd"/>
      <w:r w:rsidRPr="0097459F">
        <w:t xml:space="preserve"> subclasses de cotas podem ser diferenciadas exclusivamente por:</w:t>
      </w:r>
    </w:p>
    <w:p w14:paraId="0309A747" w14:textId="048525E0" w:rsidR="00DA398B" w:rsidRPr="0097459F" w:rsidRDefault="00DA398B" w:rsidP="00C20BBD">
      <w:pPr>
        <w:pStyle w:val="Normalalteradora"/>
      </w:pPr>
      <w:r w:rsidRPr="0097459F">
        <w:t xml:space="preserve">I – </w:t>
      </w:r>
      <w:proofErr w:type="gramStart"/>
      <w:r w:rsidRPr="0097459F">
        <w:t>público-alvo</w:t>
      </w:r>
      <w:proofErr w:type="gramEnd"/>
      <w:r w:rsidRPr="0097459F">
        <w:t>;</w:t>
      </w:r>
    </w:p>
    <w:p w14:paraId="79386339" w14:textId="2F5F711B" w:rsidR="00DA398B" w:rsidRPr="0097459F" w:rsidRDefault="00DA398B" w:rsidP="00C20BBD">
      <w:pPr>
        <w:pStyle w:val="Normalalteradora"/>
      </w:pPr>
      <w:r w:rsidRPr="0097459F">
        <w:t xml:space="preserve">II </w:t>
      </w:r>
      <w:r w:rsidR="00B17F7B" w:rsidRPr="0097459F">
        <w:t>–</w:t>
      </w:r>
      <w:r w:rsidRPr="0097459F">
        <w:t xml:space="preserve"> prazos e condições de aplicação, amortização e resgate; e</w:t>
      </w:r>
    </w:p>
    <w:p w14:paraId="20F46345" w14:textId="77777777" w:rsidR="00C73D23" w:rsidRPr="0097459F" w:rsidRDefault="00604234" w:rsidP="00C20BBD">
      <w:pPr>
        <w:pStyle w:val="Normalalteradora"/>
      </w:pPr>
      <w:r w:rsidRPr="0097459F">
        <w:t>I</w:t>
      </w:r>
      <w:r w:rsidR="00DA398B" w:rsidRPr="0097459F">
        <w:t>II – taxas de administração, gestão, máxima de distribuição, ingresso e saída</w:t>
      </w:r>
      <w:r w:rsidR="00C73D23" w:rsidRPr="0097459F">
        <w:t>.</w:t>
      </w:r>
    </w:p>
    <w:p w14:paraId="21765827" w14:textId="50EBFE81" w:rsidR="00E471B0" w:rsidRPr="0097459F" w:rsidRDefault="00E471B0" w:rsidP="00C20BBD">
      <w:pPr>
        <w:pStyle w:val="Normalalteradora"/>
        <w:rPr>
          <w:rFonts w:cstheme="minorHAnsi"/>
        </w:rPr>
      </w:pPr>
      <w:r w:rsidRPr="0097459F">
        <w:rPr>
          <w:rFonts w:cstheme="minorHAnsi"/>
        </w:rPr>
        <w:t xml:space="preserve">§ </w:t>
      </w:r>
      <w:r w:rsidR="00C73D23" w:rsidRPr="0097459F">
        <w:rPr>
          <w:rFonts w:cstheme="minorHAnsi"/>
        </w:rPr>
        <w:t>6</w:t>
      </w:r>
      <w:proofErr w:type="gramStart"/>
      <w:r w:rsidRPr="0097459F">
        <w:rPr>
          <w:rFonts w:cstheme="minorHAnsi"/>
        </w:rPr>
        <w:t>º  As</w:t>
      </w:r>
      <w:proofErr w:type="gramEnd"/>
      <w:r w:rsidRPr="0097459F">
        <w:rPr>
          <w:rFonts w:cstheme="minorHAnsi"/>
        </w:rPr>
        <w:t xml:space="preserve"> subclasses de classes restritas podem ser diferenciadas </w:t>
      </w:r>
      <w:r w:rsidR="00072EA2" w:rsidRPr="0097459F">
        <w:rPr>
          <w:rFonts w:cstheme="minorHAnsi"/>
        </w:rPr>
        <w:t xml:space="preserve">no regulamento </w:t>
      </w:r>
      <w:r w:rsidRPr="0097459F">
        <w:rPr>
          <w:rFonts w:cstheme="minorHAnsi"/>
        </w:rPr>
        <w:t xml:space="preserve">por </w:t>
      </w:r>
      <w:r w:rsidR="0051107D" w:rsidRPr="0097459F">
        <w:rPr>
          <w:rFonts w:cstheme="minorHAnsi"/>
        </w:rPr>
        <w:t xml:space="preserve">outros </w:t>
      </w:r>
      <w:r w:rsidR="00B073AF" w:rsidRPr="0097459F">
        <w:rPr>
          <w:rFonts w:cstheme="minorHAnsi"/>
        </w:rPr>
        <w:t xml:space="preserve">direitos econômicos e </w:t>
      </w:r>
      <w:r w:rsidRPr="0097459F">
        <w:rPr>
          <w:rFonts w:cstheme="minorHAnsi"/>
        </w:rPr>
        <w:t>direitos políticos.</w:t>
      </w:r>
    </w:p>
    <w:p w14:paraId="5DB0B41B" w14:textId="7F124236" w:rsidR="00893D49" w:rsidRPr="0097459F" w:rsidRDefault="4AF9F487" w:rsidP="00C20BBD">
      <w:pPr>
        <w:pStyle w:val="Normalalteradora"/>
      </w:pPr>
      <w:r w:rsidRPr="0097459F">
        <w:t xml:space="preserve">§ </w:t>
      </w:r>
      <w:r w:rsidR="4519D6B8" w:rsidRPr="0097459F">
        <w:t>7</w:t>
      </w:r>
      <w:proofErr w:type="gramStart"/>
      <w:r w:rsidR="4519D6B8" w:rsidRPr="0097459F">
        <w:t xml:space="preserve">º </w:t>
      </w:r>
      <w:r w:rsidR="0008193C" w:rsidRPr="0097459F">
        <w:t xml:space="preserve"> </w:t>
      </w:r>
      <w:r w:rsidRPr="0097459F">
        <w:t>Denominam</w:t>
      </w:r>
      <w:proofErr w:type="gramEnd"/>
      <w:r w:rsidRPr="0097459F">
        <w:t>-se:</w:t>
      </w:r>
    </w:p>
    <w:p w14:paraId="5EFA599B" w14:textId="03806BC6"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aberta</w:t>
      </w:r>
      <w:proofErr w:type="gramEnd"/>
      <w:r w:rsidRPr="0097459F">
        <w:rPr>
          <w:rFonts w:cstheme="minorHAnsi"/>
        </w:rPr>
        <w:t>: a classe cujo regulamento admite que as cotas sejam resgatadas; e</w:t>
      </w:r>
    </w:p>
    <w:p w14:paraId="454C7B6E"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fechada</w:t>
      </w:r>
      <w:proofErr w:type="gramEnd"/>
      <w:r w:rsidRPr="0097459F">
        <w:rPr>
          <w:rFonts w:cstheme="minorHAnsi"/>
        </w:rPr>
        <w:t>: a classe cujo regulamento não admite o resgate de cotas.</w:t>
      </w:r>
    </w:p>
    <w:p w14:paraId="74EB1707" w14:textId="13B1BEB3" w:rsidR="00893D49" w:rsidRPr="0097459F" w:rsidRDefault="00893D49" w:rsidP="00C20BBD">
      <w:pPr>
        <w:pStyle w:val="Normalalteradora"/>
        <w:rPr>
          <w:rFonts w:cstheme="minorHAnsi"/>
        </w:rPr>
      </w:pPr>
      <w:r w:rsidRPr="0097459F">
        <w:rPr>
          <w:rFonts w:cstheme="minorHAnsi"/>
        </w:rPr>
        <w:t xml:space="preserve">Art. </w:t>
      </w:r>
      <w:r w:rsidR="0008193C" w:rsidRPr="0097459F">
        <w:rPr>
          <w:rFonts w:cstheme="minorHAnsi"/>
        </w:rPr>
        <w:t>6</w:t>
      </w:r>
      <w:proofErr w:type="gramStart"/>
      <w:r w:rsidR="0008193C" w:rsidRPr="0097459F">
        <w:rPr>
          <w:rFonts w:cstheme="minorHAnsi"/>
        </w:rPr>
        <w:t>º</w:t>
      </w:r>
      <w:r w:rsidRPr="0097459F">
        <w:rPr>
          <w:rFonts w:cstheme="minorHAnsi"/>
        </w:rPr>
        <w:t xml:space="preserve">  Da</w:t>
      </w:r>
      <w:proofErr w:type="gramEnd"/>
      <w:r w:rsidRPr="0097459F">
        <w:rPr>
          <w:rFonts w:cstheme="minorHAnsi"/>
        </w:rPr>
        <w:t xml:space="preserve"> denominação do fundo deve constar </w:t>
      </w:r>
      <w:r w:rsidR="00503340" w:rsidRPr="0097459F">
        <w:rPr>
          <w:rFonts w:cstheme="minorHAnsi"/>
        </w:rPr>
        <w:t xml:space="preserve">a expressão “Fundo de Investimento”, acrescida de </w:t>
      </w:r>
      <w:r w:rsidRPr="0097459F">
        <w:rPr>
          <w:rFonts w:cstheme="minorHAnsi"/>
        </w:rPr>
        <w:t>referência a sua categoria.</w:t>
      </w:r>
    </w:p>
    <w:p w14:paraId="79DF6AD0" w14:textId="5FC073D7"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Caso</w:t>
      </w:r>
      <w:proofErr w:type="gramEnd"/>
      <w:r w:rsidRPr="0097459F">
        <w:rPr>
          <w:rFonts w:cstheme="minorHAnsi"/>
        </w:rPr>
        <w:t xml:space="preserve"> o fundo conte com diferentes classes de cotas, cada classe deve possuir denominação própria, </w:t>
      </w:r>
      <w:r w:rsidR="00305DE1" w:rsidRPr="0097459F">
        <w:rPr>
          <w:rFonts w:cstheme="minorHAnsi"/>
        </w:rPr>
        <w:t>acrescida de referência a sua categoria</w:t>
      </w:r>
      <w:r w:rsidRPr="0097459F">
        <w:rPr>
          <w:rFonts w:cstheme="minorHAnsi"/>
        </w:rPr>
        <w:t>.</w:t>
      </w:r>
    </w:p>
    <w:p w14:paraId="0B11B6C2" w14:textId="611D22AE"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À</w:t>
      </w:r>
      <w:proofErr w:type="gramEnd"/>
      <w:r w:rsidRPr="0097459F">
        <w:rPr>
          <w:rFonts w:cstheme="minorHAnsi"/>
        </w:rPr>
        <w:t xml:space="preserve"> denominação do fundo e de suas classes não podem ser acrescidos termos ou expressões que induzam </w:t>
      </w:r>
      <w:r w:rsidR="00515C72" w:rsidRPr="0097459F">
        <w:rPr>
          <w:rFonts w:cstheme="minorHAnsi"/>
        </w:rPr>
        <w:t xml:space="preserve">à </w:t>
      </w:r>
      <w:r w:rsidRPr="0097459F">
        <w:rPr>
          <w:rFonts w:cstheme="minorHAnsi"/>
        </w:rPr>
        <w:t>interpretação indevida quanto a seus objetivos, políticas de investimentos, público-alvo ou eventual tratamento tributário específico a que estejam sujeitos o fundo</w:t>
      </w:r>
      <w:r w:rsidR="00EC19E5" w:rsidRPr="0097459F">
        <w:rPr>
          <w:rFonts w:cstheme="minorHAnsi"/>
        </w:rPr>
        <w:t>, as classes</w:t>
      </w:r>
      <w:r w:rsidRPr="0097459F">
        <w:rPr>
          <w:rFonts w:cstheme="minorHAnsi"/>
        </w:rPr>
        <w:t xml:space="preserve"> ou </w:t>
      </w:r>
      <w:r w:rsidR="00EC19E5" w:rsidRPr="0097459F">
        <w:rPr>
          <w:rFonts w:cstheme="minorHAnsi"/>
        </w:rPr>
        <w:t xml:space="preserve">os </w:t>
      </w:r>
      <w:r w:rsidRPr="0097459F">
        <w:rPr>
          <w:rFonts w:cstheme="minorHAnsi"/>
        </w:rPr>
        <w:t>cotistas.</w:t>
      </w:r>
    </w:p>
    <w:p w14:paraId="419CFA6E" w14:textId="707E3E23" w:rsidR="00893D49" w:rsidRPr="0097459F" w:rsidRDefault="4AF9F487" w:rsidP="00C20BBD">
      <w:pPr>
        <w:pStyle w:val="Normalalteradora"/>
      </w:pPr>
      <w:r w:rsidRPr="0097459F">
        <w:t>§ 3</w:t>
      </w:r>
      <w:proofErr w:type="gramStart"/>
      <w:r w:rsidRPr="0097459F">
        <w:t>º  Caso</w:t>
      </w:r>
      <w:proofErr w:type="gramEnd"/>
      <w:r w:rsidRPr="0097459F">
        <w:t xml:space="preserve"> o regulamento limite a responsabilidade dos cotistas ao valor por eles subscrito, à denominação </w:t>
      </w:r>
      <w:r w:rsidR="665BB298" w:rsidRPr="0097459F">
        <w:t xml:space="preserve">da classe </w:t>
      </w:r>
      <w:r w:rsidRPr="0097459F">
        <w:t xml:space="preserve">deve ser acrescido o sufixo “Responsabilidade </w:t>
      </w:r>
      <w:r w:rsidR="72280D2F" w:rsidRPr="0097459F">
        <w:t>Limitada</w:t>
      </w:r>
      <w:r w:rsidRPr="0097459F">
        <w:t>”.</w:t>
      </w:r>
    </w:p>
    <w:p w14:paraId="3E403284" w14:textId="5C0DB72A" w:rsidR="00893D49" w:rsidRPr="0097459F" w:rsidRDefault="00893D49" w:rsidP="00C20BBD">
      <w:pPr>
        <w:pStyle w:val="Seo"/>
        <w:rPr>
          <w:rFonts w:asciiTheme="minorHAnsi" w:hAnsiTheme="minorHAnsi"/>
        </w:rPr>
      </w:pPr>
      <w:bookmarkStart w:id="36" w:name="_Toc53594430"/>
      <w:bookmarkStart w:id="37" w:name="_Toc53595455"/>
      <w:bookmarkStart w:id="38" w:name="_Toc53594182"/>
      <w:bookmarkStart w:id="39" w:name="_Toc114818963"/>
      <w:bookmarkStart w:id="40" w:name="_Toc57836190"/>
      <w:bookmarkStart w:id="41" w:name="_Toc161141192"/>
      <w:r w:rsidRPr="0097459F">
        <w:rPr>
          <w:rFonts w:asciiTheme="minorHAnsi" w:hAnsiTheme="minorHAnsi"/>
        </w:rPr>
        <w:t>Seção II – Constituição e Registro</w:t>
      </w:r>
      <w:bookmarkEnd w:id="36"/>
      <w:bookmarkEnd w:id="37"/>
      <w:bookmarkEnd w:id="38"/>
      <w:bookmarkEnd w:id="39"/>
      <w:bookmarkEnd w:id="40"/>
      <w:bookmarkEnd w:id="41"/>
      <w:r w:rsidRPr="0097459F">
        <w:rPr>
          <w:rFonts w:asciiTheme="minorHAnsi" w:hAnsiTheme="minorHAnsi"/>
        </w:rPr>
        <w:t xml:space="preserve"> </w:t>
      </w:r>
    </w:p>
    <w:p w14:paraId="3FDEC2A7" w14:textId="1FDF3A78" w:rsidR="00893D49" w:rsidRPr="0097459F" w:rsidRDefault="00893D49" w:rsidP="00C20BBD">
      <w:pPr>
        <w:pStyle w:val="Normalalteradora"/>
        <w:rPr>
          <w:rFonts w:cstheme="minorHAnsi"/>
        </w:rPr>
      </w:pPr>
      <w:bookmarkStart w:id="42" w:name="_Hlk37229134"/>
      <w:r w:rsidRPr="0097459F">
        <w:rPr>
          <w:rFonts w:cstheme="minorHAnsi"/>
        </w:rPr>
        <w:t xml:space="preserve">Art. </w:t>
      </w:r>
      <w:r w:rsidR="0008193C" w:rsidRPr="0097459F">
        <w:rPr>
          <w:rFonts w:cstheme="minorHAnsi"/>
        </w:rPr>
        <w:t>7</w:t>
      </w:r>
      <w:proofErr w:type="gramStart"/>
      <w:r w:rsidRPr="0097459F">
        <w:rPr>
          <w:rFonts w:cstheme="minorHAnsi"/>
        </w:rPr>
        <w:t>º  O</w:t>
      </w:r>
      <w:proofErr w:type="gramEnd"/>
      <w:r w:rsidRPr="0097459F">
        <w:rPr>
          <w:rFonts w:cstheme="minorHAnsi"/>
        </w:rPr>
        <w:t xml:space="preserve"> fundo de investimento </w:t>
      </w:r>
      <w:r w:rsidR="00273C0F" w:rsidRPr="0097459F">
        <w:rPr>
          <w:rFonts w:cstheme="minorHAnsi"/>
        </w:rPr>
        <w:t xml:space="preserve">deve ser </w:t>
      </w:r>
      <w:r w:rsidRPr="0097459F">
        <w:rPr>
          <w:rFonts w:cstheme="minorHAnsi"/>
        </w:rPr>
        <w:t>constituído por deliberação conjunta dos prestadores de serviços essenciais, a quem incumbe aprovar, no mesmo ato, o seu regulamento.</w:t>
      </w:r>
    </w:p>
    <w:bookmarkEnd w:id="42"/>
    <w:p w14:paraId="5FDE4C32" w14:textId="7DFE1502" w:rsidR="00893D49" w:rsidRPr="0097459F" w:rsidRDefault="00893D49" w:rsidP="00C20BBD">
      <w:pPr>
        <w:pStyle w:val="Normalalteradora"/>
        <w:rPr>
          <w:rFonts w:cstheme="minorHAnsi"/>
        </w:rPr>
      </w:pPr>
      <w:r w:rsidRPr="0097459F">
        <w:rPr>
          <w:rFonts w:cstheme="minorHAnsi"/>
        </w:rPr>
        <w:t xml:space="preserve">Art. </w:t>
      </w:r>
      <w:r w:rsidR="00AC6F0B" w:rsidRPr="0097459F">
        <w:rPr>
          <w:rFonts w:cstheme="minorHAnsi"/>
        </w:rPr>
        <w:t>8</w:t>
      </w:r>
      <w:proofErr w:type="gramStart"/>
      <w:r w:rsidR="00AC6F0B" w:rsidRPr="0097459F">
        <w:rPr>
          <w:rFonts w:cstheme="minorHAnsi"/>
        </w:rPr>
        <w:t>º</w:t>
      </w:r>
      <w:r w:rsidRPr="0097459F">
        <w:rPr>
          <w:rFonts w:cstheme="minorHAnsi"/>
        </w:rPr>
        <w:t xml:space="preserve">  O</w:t>
      </w:r>
      <w:proofErr w:type="gramEnd"/>
      <w:r w:rsidRPr="0097459F">
        <w:rPr>
          <w:rFonts w:cstheme="minorHAnsi"/>
        </w:rPr>
        <w:t xml:space="preserve"> funcionamento do fundo depende do seu prévio registro na CVM.</w:t>
      </w:r>
    </w:p>
    <w:p w14:paraId="6E1DF799" w14:textId="1E4D5E34"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O</w:t>
      </w:r>
      <w:proofErr w:type="gramEnd"/>
      <w:r w:rsidRPr="0097459F">
        <w:rPr>
          <w:rFonts w:cstheme="minorHAnsi"/>
        </w:rPr>
        <w:t xml:space="preserve"> registro de funcionamento </w:t>
      </w:r>
      <w:r w:rsidR="00AC6F0B" w:rsidRPr="0097459F">
        <w:rPr>
          <w:rFonts w:cstheme="minorHAnsi"/>
        </w:rPr>
        <w:t xml:space="preserve">é </w:t>
      </w:r>
      <w:r w:rsidRPr="0097459F">
        <w:rPr>
          <w:rFonts w:cstheme="minorHAnsi"/>
        </w:rPr>
        <w:t>automaticamente concedido em decorrência do envio de documentos e informações pelo administrador por meio de sistema eletrônico, conforme especificado no art. 10 e nas regras específicas de cada categoria de fundo.</w:t>
      </w:r>
    </w:p>
    <w:p w14:paraId="0EB095D5" w14:textId="2698860E" w:rsidR="00893D49" w:rsidRPr="0097459F" w:rsidRDefault="00893D49" w:rsidP="00C20BBD">
      <w:pPr>
        <w:pStyle w:val="Normalalteradora"/>
        <w:rPr>
          <w:rFonts w:cstheme="minorHAnsi"/>
        </w:rPr>
      </w:pPr>
      <w:r w:rsidRPr="0097459F">
        <w:rPr>
          <w:rFonts w:cstheme="minorHAnsi"/>
        </w:rPr>
        <w:lastRenderedPageBreak/>
        <w:t>§ 2</w:t>
      </w:r>
      <w:proofErr w:type="gramStart"/>
      <w:r w:rsidRPr="0097459F">
        <w:rPr>
          <w:rFonts w:cstheme="minorHAnsi"/>
        </w:rPr>
        <w:t>º  Caso</w:t>
      </w:r>
      <w:proofErr w:type="gramEnd"/>
      <w:r w:rsidRPr="0097459F">
        <w:rPr>
          <w:rFonts w:cstheme="minorHAnsi"/>
        </w:rPr>
        <w:t xml:space="preserve"> o fundo tenha mais de uma classe de cotas, cada classe deve obter seu </w:t>
      </w:r>
      <w:r w:rsidR="00515C72" w:rsidRPr="0097459F">
        <w:rPr>
          <w:rFonts w:cstheme="minorHAnsi"/>
        </w:rPr>
        <w:t xml:space="preserve">próprio </w:t>
      </w:r>
      <w:r w:rsidRPr="0097459F">
        <w:rPr>
          <w:rFonts w:cstheme="minorHAnsi"/>
        </w:rPr>
        <w:t xml:space="preserve">registro de funcionamento, o qual pode ser requerido à CVM </w:t>
      </w:r>
      <w:r w:rsidR="00EC19E5" w:rsidRPr="0097459F">
        <w:rPr>
          <w:rFonts w:cstheme="minorHAnsi"/>
        </w:rPr>
        <w:t xml:space="preserve">concomitantemente ou </w:t>
      </w:r>
      <w:r w:rsidRPr="0097459F">
        <w:rPr>
          <w:rFonts w:cstheme="minorHAnsi"/>
        </w:rPr>
        <w:t>após a obtenção do registro do fundo.</w:t>
      </w:r>
    </w:p>
    <w:p w14:paraId="2770B990" w14:textId="7219E3A2"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Após</w:t>
      </w:r>
      <w:proofErr w:type="gramEnd"/>
      <w:r w:rsidRPr="0097459F">
        <w:rPr>
          <w:rFonts w:cstheme="minorHAnsi"/>
        </w:rPr>
        <w:t xml:space="preserve"> 90 (noventa) dias do início de atividades, a classe de cotas que mantiver, a qualquer tempo, patrimônio líquido diário inferior a R$ 1.000.000,00 (um milhão de reais) pelo período de 90 (noventa) dias consecutivos deve ser imediatamente liquidada ou incorporada a outra classe de cotas pelo administrador.</w:t>
      </w:r>
    </w:p>
    <w:p w14:paraId="2A8B9118" w14:textId="7D6899EF" w:rsidR="00893D49" w:rsidRPr="0097459F" w:rsidRDefault="00893D49" w:rsidP="00C20BBD">
      <w:pPr>
        <w:pStyle w:val="Normalalteradora"/>
        <w:rPr>
          <w:rFonts w:cstheme="minorHAnsi"/>
        </w:rPr>
      </w:pPr>
      <w:r w:rsidRPr="0097459F">
        <w:rPr>
          <w:rFonts w:cstheme="minorHAnsi"/>
        </w:rPr>
        <w:t>§ 4</w:t>
      </w:r>
      <w:proofErr w:type="gramStart"/>
      <w:r w:rsidRPr="0097459F">
        <w:rPr>
          <w:rFonts w:cstheme="minorHAnsi"/>
        </w:rPr>
        <w:t xml:space="preserve">º  </w:t>
      </w:r>
      <w:r w:rsidR="007B42B5" w:rsidRPr="0097459F">
        <w:rPr>
          <w:rFonts w:cstheme="minorHAnsi"/>
        </w:rPr>
        <w:t>Na</w:t>
      </w:r>
      <w:proofErr w:type="gramEnd"/>
      <w:r w:rsidR="007B42B5" w:rsidRPr="0097459F">
        <w:rPr>
          <w:rFonts w:cstheme="minorHAnsi"/>
        </w:rPr>
        <w:t xml:space="preserve"> </w:t>
      </w:r>
      <w:r w:rsidRPr="0097459F">
        <w:rPr>
          <w:rFonts w:cstheme="minorHAnsi"/>
        </w:rPr>
        <w:t>hipótese de o administrador não adotar as medidas dispostas no</w:t>
      </w:r>
      <w:r w:rsidRPr="0097459F">
        <w:rPr>
          <w:rFonts w:cstheme="minorHAnsi"/>
          <w:bCs/>
        </w:rPr>
        <w:t xml:space="preserve"> § 3º</w:t>
      </w:r>
      <w:r w:rsidR="007B42B5" w:rsidRPr="0097459F">
        <w:rPr>
          <w:rFonts w:cstheme="minorHAnsi"/>
          <w:bCs/>
        </w:rPr>
        <w:t xml:space="preserve">, </w:t>
      </w:r>
      <w:r w:rsidR="007B42B5" w:rsidRPr="0097459F">
        <w:rPr>
          <w:rFonts w:cstheme="minorHAnsi"/>
        </w:rPr>
        <w:t>a Superintendência competente pode cancelar o registro de funcionamento da classe de cotas</w:t>
      </w:r>
      <w:r w:rsidRPr="0097459F">
        <w:rPr>
          <w:rFonts w:cstheme="minorHAnsi"/>
        </w:rPr>
        <w:t>.</w:t>
      </w:r>
    </w:p>
    <w:p w14:paraId="52F2C4ED" w14:textId="3AB97D0A" w:rsidR="00F50735" w:rsidRPr="0097459F" w:rsidRDefault="00F50735" w:rsidP="00C20BBD">
      <w:pPr>
        <w:pStyle w:val="Normalalteradora"/>
        <w:rPr>
          <w:rFonts w:cstheme="minorHAnsi"/>
        </w:rPr>
      </w:pPr>
      <w:r w:rsidRPr="0097459F">
        <w:rPr>
          <w:rFonts w:cstheme="minorHAnsi"/>
        </w:rPr>
        <w:t>§ 5</w:t>
      </w:r>
      <w:proofErr w:type="gramStart"/>
      <w:r w:rsidRPr="0097459F">
        <w:rPr>
          <w:rFonts w:cstheme="minorHAnsi"/>
        </w:rPr>
        <w:t>º  A</w:t>
      </w:r>
      <w:proofErr w:type="gramEnd"/>
      <w:r w:rsidRPr="0097459F">
        <w:rPr>
          <w:rFonts w:cstheme="minorHAnsi"/>
        </w:rPr>
        <w:t xml:space="preserve"> Superintendência competente pode dispensar a liquidação ou incorporação da classe de cotas referidas no § 3º, desde que:</w:t>
      </w:r>
    </w:p>
    <w:p w14:paraId="4679A56B" w14:textId="5B495532"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w:t>
      </w:r>
      <w:proofErr w:type="gramStart"/>
      <w:r w:rsidRPr="0097459F">
        <w:rPr>
          <w:rFonts w:asciiTheme="minorHAnsi" w:eastAsia="Times New Roman" w:hAnsiTheme="minorHAnsi" w:cstheme="minorHAnsi"/>
          <w:sz w:val="24"/>
          <w:szCs w:val="24"/>
          <w:lang w:eastAsia="pt-BR"/>
        </w:rPr>
        <w:t>a</w:t>
      </w:r>
      <w:proofErr w:type="gramEnd"/>
      <w:r w:rsidR="00FA3DA0" w:rsidRPr="0097459F">
        <w:rPr>
          <w:rFonts w:asciiTheme="minorHAnsi" w:eastAsia="Times New Roman" w:hAnsiTheme="minorHAnsi" w:cstheme="minorHAnsi"/>
          <w:sz w:val="24"/>
          <w:szCs w:val="24"/>
          <w:lang w:eastAsia="pt-BR"/>
        </w:rPr>
        <w:t xml:space="preserve"> </w:t>
      </w:r>
      <w:r w:rsidRPr="0097459F">
        <w:rPr>
          <w:rFonts w:asciiTheme="minorHAnsi" w:eastAsia="Times New Roman" w:hAnsiTheme="minorHAnsi" w:cstheme="minorHAnsi"/>
          <w:sz w:val="24"/>
          <w:szCs w:val="24"/>
          <w:lang w:eastAsia="pt-BR"/>
        </w:rPr>
        <w:t xml:space="preserve">dispensa seja objeto de pedido circunstanciado </w:t>
      </w:r>
      <w:r w:rsidR="001E3B2A" w:rsidRPr="0097459F">
        <w:rPr>
          <w:rFonts w:asciiTheme="minorHAnsi" w:eastAsia="Times New Roman" w:hAnsiTheme="minorHAnsi" w:cstheme="minorHAnsi"/>
          <w:sz w:val="24"/>
          <w:szCs w:val="24"/>
          <w:lang w:eastAsia="pt-BR"/>
        </w:rPr>
        <w:t xml:space="preserve">de </w:t>
      </w:r>
      <w:r w:rsidRPr="0097459F">
        <w:rPr>
          <w:rFonts w:asciiTheme="minorHAnsi" w:eastAsia="Times New Roman" w:hAnsiTheme="minorHAnsi" w:cstheme="minorHAnsi"/>
          <w:sz w:val="24"/>
          <w:szCs w:val="24"/>
          <w:lang w:eastAsia="pt-BR"/>
        </w:rPr>
        <w:t xml:space="preserve">prestador de serviço </w:t>
      </w:r>
      <w:r w:rsidR="001E3B2A" w:rsidRPr="0097459F">
        <w:rPr>
          <w:rFonts w:asciiTheme="minorHAnsi" w:eastAsia="Times New Roman" w:hAnsiTheme="minorHAnsi" w:cstheme="minorHAnsi"/>
          <w:sz w:val="24"/>
          <w:szCs w:val="24"/>
          <w:lang w:eastAsia="pt-BR"/>
        </w:rPr>
        <w:t>essencial</w:t>
      </w:r>
      <w:r w:rsidRPr="0097459F">
        <w:rPr>
          <w:rFonts w:asciiTheme="minorHAnsi" w:eastAsia="Times New Roman" w:hAnsiTheme="minorHAnsi" w:cstheme="minorHAnsi"/>
          <w:sz w:val="24"/>
          <w:szCs w:val="24"/>
          <w:lang w:eastAsia="pt-BR"/>
        </w:rPr>
        <w:t>;</w:t>
      </w:r>
    </w:p>
    <w:p w14:paraId="43CBD43C" w14:textId="383599F6"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w:t>
      </w:r>
      <w:proofErr w:type="gramStart"/>
      <w:r w:rsidRPr="0097459F">
        <w:rPr>
          <w:rFonts w:asciiTheme="minorHAnsi" w:eastAsia="Times New Roman" w:hAnsiTheme="minorHAnsi" w:cstheme="minorHAnsi"/>
          <w:sz w:val="24"/>
          <w:szCs w:val="24"/>
          <w:lang w:eastAsia="pt-BR"/>
        </w:rPr>
        <w:t>a</w:t>
      </w:r>
      <w:proofErr w:type="gramEnd"/>
      <w:r w:rsidRPr="0097459F">
        <w:rPr>
          <w:rFonts w:asciiTheme="minorHAnsi" w:eastAsia="Times New Roman" w:hAnsiTheme="minorHAnsi" w:cstheme="minorHAnsi"/>
          <w:sz w:val="24"/>
          <w:szCs w:val="24"/>
          <w:lang w:eastAsia="pt-BR"/>
        </w:rPr>
        <w:t xml:space="preserve"> dispensa seja aprovada pela </w:t>
      </w:r>
      <w:r w:rsidR="0038373E" w:rsidRPr="0097459F">
        <w:rPr>
          <w:rFonts w:asciiTheme="minorHAnsi" w:eastAsia="Times New Roman" w:hAnsiTheme="minorHAnsi" w:cstheme="minorHAnsi"/>
          <w:sz w:val="24"/>
          <w:szCs w:val="24"/>
          <w:lang w:eastAsia="pt-BR"/>
        </w:rPr>
        <w:t>maioria simples</w:t>
      </w:r>
      <w:r w:rsidRPr="0097459F">
        <w:rPr>
          <w:rFonts w:asciiTheme="minorHAnsi" w:eastAsia="Times New Roman" w:hAnsiTheme="minorHAnsi" w:cstheme="minorHAnsi"/>
          <w:sz w:val="24"/>
          <w:szCs w:val="24"/>
          <w:lang w:eastAsia="pt-BR"/>
        </w:rPr>
        <w:t xml:space="preserve"> dos cotistas </w:t>
      </w:r>
      <w:r w:rsidR="0038373E" w:rsidRPr="0097459F">
        <w:rPr>
          <w:rFonts w:asciiTheme="minorHAnsi" w:eastAsia="Times New Roman" w:hAnsiTheme="minorHAnsi" w:cstheme="minorHAnsi"/>
          <w:sz w:val="24"/>
          <w:szCs w:val="24"/>
          <w:lang w:eastAsia="pt-BR"/>
        </w:rPr>
        <w:t>presentes</w:t>
      </w:r>
      <w:r w:rsidRPr="0097459F">
        <w:rPr>
          <w:rFonts w:asciiTheme="minorHAnsi" w:eastAsia="Times New Roman" w:hAnsiTheme="minorHAnsi" w:cstheme="minorHAnsi"/>
          <w:sz w:val="24"/>
          <w:szCs w:val="24"/>
          <w:lang w:eastAsia="pt-BR"/>
        </w:rPr>
        <w:t xml:space="preserve"> em assembleia;</w:t>
      </w:r>
    </w:p>
    <w:p w14:paraId="695BB1E3" w14:textId="31A7F7F8" w:rsidR="00F50735" w:rsidRPr="0097459F" w:rsidRDefault="00F50735"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III </w:t>
      </w:r>
      <w:r w:rsidR="00FA3DA0" w:rsidRPr="0097459F">
        <w:rPr>
          <w:rFonts w:asciiTheme="minorHAnsi" w:eastAsia="Times New Roman" w:hAnsiTheme="minorHAnsi" w:cstheme="minorHAnsi"/>
          <w:sz w:val="24"/>
          <w:szCs w:val="24"/>
          <w:lang w:eastAsia="pt-BR"/>
        </w:rPr>
        <w:t>–</w:t>
      </w:r>
      <w:r w:rsidRPr="0097459F">
        <w:rPr>
          <w:rFonts w:asciiTheme="minorHAnsi" w:eastAsia="Times New Roman" w:hAnsiTheme="minorHAnsi" w:cstheme="minorHAnsi"/>
          <w:sz w:val="24"/>
          <w:szCs w:val="24"/>
          <w:lang w:eastAsia="pt-BR"/>
        </w:rPr>
        <w:t xml:space="preserve"> ocorra comprovação de situação excepcional que impeça a liquidação de todos os ativos remanescentes na carteira</w:t>
      </w:r>
      <w:r w:rsidR="00D40B2C" w:rsidRPr="0097459F">
        <w:rPr>
          <w:rFonts w:asciiTheme="minorHAnsi" w:eastAsia="Times New Roman" w:hAnsiTheme="minorHAnsi" w:cstheme="minorHAnsi"/>
          <w:sz w:val="24"/>
          <w:szCs w:val="24"/>
          <w:lang w:eastAsia="pt-BR"/>
        </w:rPr>
        <w:t xml:space="preserve"> relativa à classe em questão</w:t>
      </w:r>
      <w:r w:rsidR="00FD01A8" w:rsidRPr="0097459F">
        <w:rPr>
          <w:rFonts w:asciiTheme="minorHAnsi" w:eastAsia="Times New Roman" w:hAnsiTheme="minorHAnsi" w:cstheme="minorHAnsi"/>
          <w:sz w:val="24"/>
          <w:szCs w:val="24"/>
          <w:lang w:eastAsia="pt-BR"/>
        </w:rPr>
        <w:t>; e</w:t>
      </w:r>
    </w:p>
    <w:p w14:paraId="0AA4BA42" w14:textId="6A69E246" w:rsidR="00FD01A8" w:rsidRPr="0097459F" w:rsidRDefault="00FD01A8" w:rsidP="00C20BBD">
      <w:pPr>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IV – </w:t>
      </w:r>
      <w:proofErr w:type="gramStart"/>
      <w:r w:rsidRPr="0097459F">
        <w:rPr>
          <w:rFonts w:asciiTheme="minorHAnsi" w:eastAsia="Times New Roman" w:hAnsiTheme="minorHAnsi" w:cstheme="minorHAnsi"/>
          <w:sz w:val="24"/>
          <w:szCs w:val="24"/>
          <w:lang w:eastAsia="pt-BR"/>
        </w:rPr>
        <w:t>as</w:t>
      </w:r>
      <w:proofErr w:type="gramEnd"/>
      <w:r w:rsidRPr="0097459F">
        <w:rPr>
          <w:rFonts w:asciiTheme="minorHAnsi" w:eastAsia="Times New Roman" w:hAnsiTheme="minorHAnsi" w:cstheme="minorHAnsi"/>
          <w:sz w:val="24"/>
          <w:szCs w:val="24"/>
          <w:lang w:eastAsia="pt-BR"/>
        </w:rPr>
        <w:t xml:space="preserve"> cotas da classe não sejam mais ofertadas publicamente.</w:t>
      </w:r>
    </w:p>
    <w:p w14:paraId="63A0D3AB" w14:textId="5E50AAE1" w:rsidR="00C73D23" w:rsidRPr="0097459F" w:rsidRDefault="00893D49" w:rsidP="00C20BBD">
      <w:pPr>
        <w:pStyle w:val="Normalalteradora"/>
        <w:rPr>
          <w:rFonts w:cstheme="minorHAnsi"/>
        </w:rPr>
      </w:pPr>
      <w:r w:rsidRPr="0097459F">
        <w:rPr>
          <w:rFonts w:cstheme="minorHAnsi"/>
        </w:rPr>
        <w:t xml:space="preserve">Art. </w:t>
      </w:r>
      <w:r w:rsidR="00AC6F0B" w:rsidRPr="0097459F">
        <w:rPr>
          <w:rFonts w:cstheme="minorHAnsi"/>
        </w:rPr>
        <w:t>9</w:t>
      </w:r>
      <w:proofErr w:type="gramStart"/>
      <w:r w:rsidR="00AC6F0B" w:rsidRPr="0097459F">
        <w:rPr>
          <w:rFonts w:cstheme="minorHAnsi"/>
        </w:rPr>
        <w:t>º</w:t>
      </w:r>
      <w:r w:rsidRPr="0097459F">
        <w:rPr>
          <w:rFonts w:cstheme="minorHAnsi"/>
        </w:rPr>
        <w:t xml:space="preserve">  </w:t>
      </w:r>
      <w:r w:rsidR="00660F44" w:rsidRPr="0097459F">
        <w:rPr>
          <w:rFonts w:cstheme="minorHAnsi"/>
        </w:rPr>
        <w:t>A</w:t>
      </w:r>
      <w:proofErr w:type="gramEnd"/>
      <w:r w:rsidR="00660F44" w:rsidRPr="0097459F">
        <w:rPr>
          <w:rFonts w:cstheme="minorHAnsi"/>
        </w:rPr>
        <w:t xml:space="preserve"> Superintendência competente pode indeferir o pedido de</w:t>
      </w:r>
      <w:r w:rsidRPr="0097459F">
        <w:rPr>
          <w:rFonts w:cstheme="minorHAnsi"/>
        </w:rPr>
        <w:t xml:space="preserve"> registro de funcionamento </w:t>
      </w:r>
      <w:r w:rsidR="00660F44" w:rsidRPr="0097459F">
        <w:rPr>
          <w:rFonts w:cstheme="minorHAnsi"/>
        </w:rPr>
        <w:t xml:space="preserve">de </w:t>
      </w:r>
      <w:r w:rsidR="00C20E87" w:rsidRPr="0097459F">
        <w:rPr>
          <w:rFonts w:cstheme="minorHAnsi"/>
        </w:rPr>
        <w:t xml:space="preserve">fundo, </w:t>
      </w:r>
      <w:r w:rsidR="00670513" w:rsidRPr="0097459F">
        <w:rPr>
          <w:rFonts w:cstheme="minorHAnsi"/>
        </w:rPr>
        <w:t>classe</w:t>
      </w:r>
      <w:r w:rsidR="00660F44" w:rsidRPr="0097459F">
        <w:rPr>
          <w:rFonts w:cstheme="minorHAnsi"/>
        </w:rPr>
        <w:t xml:space="preserve"> </w:t>
      </w:r>
      <w:r w:rsidR="00C20E87" w:rsidRPr="0097459F">
        <w:rPr>
          <w:rFonts w:cstheme="minorHAnsi"/>
        </w:rPr>
        <w:t xml:space="preserve">e subclasse </w:t>
      </w:r>
      <w:r w:rsidR="00660F44" w:rsidRPr="0097459F">
        <w:rPr>
          <w:rFonts w:cstheme="minorHAnsi"/>
        </w:rPr>
        <w:t>de cotas</w:t>
      </w:r>
      <w:r w:rsidRPr="0097459F">
        <w:rPr>
          <w:rFonts w:cstheme="minorHAnsi"/>
        </w:rPr>
        <w:t xml:space="preserve"> cujo administrador esteja em atraso por mais de 60 (sessenta) dias no cumprimento dos prazos de entrega das informações periódicas previstas na regulamentação</w:t>
      </w:r>
      <w:r w:rsidR="00C20E87" w:rsidRPr="0097459F">
        <w:rPr>
          <w:rFonts w:cstheme="minorHAnsi"/>
        </w:rPr>
        <w:t xml:space="preserve"> de fundos de investimento</w:t>
      </w:r>
      <w:r w:rsidRPr="0097459F">
        <w:rPr>
          <w:rFonts w:cstheme="minorHAnsi"/>
        </w:rPr>
        <w:t>.</w:t>
      </w:r>
    </w:p>
    <w:p w14:paraId="74AB627E" w14:textId="5670872C" w:rsidR="00893D49" w:rsidRPr="0097459F" w:rsidRDefault="007F36DE" w:rsidP="00C20BBD">
      <w:pPr>
        <w:pStyle w:val="Normalalteradora"/>
        <w:rPr>
          <w:rFonts w:cstheme="minorHAnsi"/>
        </w:rPr>
      </w:pPr>
      <w:r w:rsidRPr="0097459F">
        <w:rPr>
          <w:rFonts w:cstheme="minorHAnsi"/>
        </w:rPr>
        <w:t>Parágrafo único.</w:t>
      </w:r>
      <w:r w:rsidR="00893D49" w:rsidRPr="0097459F">
        <w:rPr>
          <w:rFonts w:cstheme="minorHAnsi"/>
        </w:rPr>
        <w:t xml:space="preserve">  Na análise </w:t>
      </w:r>
      <w:r w:rsidRPr="0097459F">
        <w:rPr>
          <w:rFonts w:cstheme="minorHAnsi"/>
        </w:rPr>
        <w:t>da matéria prevista no</w:t>
      </w:r>
      <w:r w:rsidR="00893D49" w:rsidRPr="0097459F">
        <w:rPr>
          <w:rFonts w:cstheme="minorHAnsi"/>
        </w:rPr>
        <w:t xml:space="preserve"> </w:t>
      </w:r>
      <w:r w:rsidR="00893D49" w:rsidRPr="0097459F">
        <w:rPr>
          <w:rFonts w:cstheme="minorHAnsi"/>
          <w:b/>
        </w:rPr>
        <w:t>caput</w:t>
      </w:r>
      <w:r w:rsidR="00893D49" w:rsidRPr="0097459F">
        <w:rPr>
          <w:rFonts w:cstheme="minorHAnsi"/>
        </w:rPr>
        <w:t xml:space="preserve">, a </w:t>
      </w:r>
      <w:r w:rsidR="00670513" w:rsidRPr="0097459F">
        <w:rPr>
          <w:rFonts w:cstheme="minorHAnsi"/>
        </w:rPr>
        <w:t>Superintendência competente</w:t>
      </w:r>
      <w:r w:rsidR="00893D49" w:rsidRPr="0097459F">
        <w:rPr>
          <w:rFonts w:cstheme="minorHAnsi"/>
        </w:rPr>
        <w:t xml:space="preserve"> </w:t>
      </w:r>
      <w:r w:rsidR="00636C77" w:rsidRPr="0097459F">
        <w:rPr>
          <w:rFonts w:cstheme="minorHAnsi"/>
        </w:rPr>
        <w:t xml:space="preserve">deve </w:t>
      </w:r>
      <w:r w:rsidR="00893D49" w:rsidRPr="0097459F">
        <w:rPr>
          <w:rFonts w:cstheme="minorHAnsi"/>
        </w:rPr>
        <w:t xml:space="preserve">considerar, </w:t>
      </w:r>
      <w:r w:rsidR="00D40B2C" w:rsidRPr="0097459F">
        <w:rPr>
          <w:rFonts w:cstheme="minorHAnsi"/>
        </w:rPr>
        <w:t xml:space="preserve">entre </w:t>
      </w:r>
      <w:r w:rsidR="00893D49" w:rsidRPr="0097459F">
        <w:rPr>
          <w:rFonts w:cstheme="minorHAnsi"/>
        </w:rPr>
        <w:t>outros fatores:</w:t>
      </w:r>
    </w:p>
    <w:p w14:paraId="6DEE729C" w14:textId="5BA52395"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se</w:t>
      </w:r>
      <w:proofErr w:type="gramEnd"/>
      <w:r w:rsidRPr="0097459F">
        <w:rPr>
          <w:rFonts w:cstheme="minorHAnsi"/>
        </w:rPr>
        <w:t xml:space="preserve"> houve alteração de prestador de serviço essencial após o início do atraso a que se refere o </w:t>
      </w:r>
      <w:r w:rsidR="00FE0BD7" w:rsidRPr="0097459F">
        <w:rPr>
          <w:rFonts w:cstheme="minorHAnsi"/>
          <w:b/>
        </w:rPr>
        <w:t>caput</w:t>
      </w:r>
      <w:r w:rsidRPr="0097459F">
        <w:rPr>
          <w:rFonts w:cstheme="minorHAnsi"/>
        </w:rPr>
        <w:t>;</w:t>
      </w:r>
    </w:p>
    <w:p w14:paraId="6FAFBEBC" w14:textId="1D81C40C"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se</w:t>
      </w:r>
      <w:proofErr w:type="gramEnd"/>
      <w:r w:rsidRPr="0097459F">
        <w:rPr>
          <w:rFonts w:cstheme="minorHAnsi"/>
        </w:rPr>
        <w:t xml:space="preserve"> o atraso decorre de indisponibilidade de informações por parte de </w:t>
      </w:r>
      <w:r w:rsidR="00C20E87" w:rsidRPr="0097459F">
        <w:rPr>
          <w:rFonts w:cstheme="minorHAnsi"/>
        </w:rPr>
        <w:t>outros fundos</w:t>
      </w:r>
      <w:r w:rsidR="00F6762C" w:rsidRPr="0097459F">
        <w:rPr>
          <w:rFonts w:cstheme="minorHAnsi"/>
        </w:rPr>
        <w:t xml:space="preserve"> </w:t>
      </w:r>
      <w:r w:rsidRPr="0097459F">
        <w:rPr>
          <w:rFonts w:cstheme="minorHAnsi"/>
        </w:rPr>
        <w:t xml:space="preserve">ou </w:t>
      </w:r>
      <w:r w:rsidR="00F6762C" w:rsidRPr="0097459F">
        <w:rPr>
          <w:rFonts w:cstheme="minorHAnsi"/>
        </w:rPr>
        <w:t xml:space="preserve">outros </w:t>
      </w:r>
      <w:r w:rsidRPr="0097459F">
        <w:rPr>
          <w:rFonts w:cstheme="minorHAnsi"/>
        </w:rPr>
        <w:t xml:space="preserve">emissores de valores mobiliários nos quais </w:t>
      </w:r>
      <w:r w:rsidR="00F6762C" w:rsidRPr="0097459F">
        <w:rPr>
          <w:rFonts w:cstheme="minorHAnsi"/>
        </w:rPr>
        <w:t>a classe</w:t>
      </w:r>
      <w:r w:rsidRPr="0097459F">
        <w:rPr>
          <w:rFonts w:cstheme="minorHAnsi"/>
        </w:rPr>
        <w:t xml:space="preserve"> invista, sem que o administrador tenha dado causa a essa indisponibilidade ou tenha meios para saná-la; e</w:t>
      </w:r>
    </w:p>
    <w:p w14:paraId="44351A13" w14:textId="78DB7484" w:rsidR="00893D49" w:rsidRPr="0097459F" w:rsidRDefault="00893D49" w:rsidP="00C20BBD">
      <w:pPr>
        <w:pStyle w:val="Normalalteradora"/>
        <w:rPr>
          <w:rFonts w:cstheme="minorHAnsi"/>
        </w:rPr>
      </w:pPr>
      <w:r w:rsidRPr="0097459F">
        <w:rPr>
          <w:rFonts w:cstheme="minorHAnsi"/>
        </w:rPr>
        <w:lastRenderedPageBreak/>
        <w:t xml:space="preserve">III – a quantidade de </w:t>
      </w:r>
      <w:r w:rsidR="0038373E" w:rsidRPr="0097459F">
        <w:rPr>
          <w:rFonts w:cstheme="minorHAnsi"/>
        </w:rPr>
        <w:t xml:space="preserve">fundos </w:t>
      </w:r>
      <w:r w:rsidR="00F6762C" w:rsidRPr="0097459F">
        <w:rPr>
          <w:rFonts w:cstheme="minorHAnsi"/>
        </w:rPr>
        <w:t>administrad</w:t>
      </w:r>
      <w:r w:rsidR="0038373E" w:rsidRPr="0097459F">
        <w:rPr>
          <w:rFonts w:cstheme="minorHAnsi"/>
        </w:rPr>
        <w:t>o</w:t>
      </w:r>
      <w:r w:rsidR="00F6762C" w:rsidRPr="0097459F">
        <w:rPr>
          <w:rFonts w:cstheme="minorHAnsi"/>
        </w:rPr>
        <w:t xml:space="preserve">s </w:t>
      </w:r>
      <w:r w:rsidRPr="0097459F">
        <w:rPr>
          <w:rFonts w:cstheme="minorHAnsi"/>
        </w:rPr>
        <w:t>pelo requerente que tenham informações periódicas em atraso.</w:t>
      </w:r>
    </w:p>
    <w:p w14:paraId="69B9BAE3" w14:textId="77777777" w:rsidR="00893D49" w:rsidRPr="0097459F" w:rsidRDefault="00893D49" w:rsidP="00C20BBD">
      <w:pPr>
        <w:pStyle w:val="Normalalteradora"/>
        <w:rPr>
          <w:rFonts w:cstheme="minorHAnsi"/>
        </w:rPr>
      </w:pPr>
      <w:r w:rsidRPr="0097459F">
        <w:rPr>
          <w:rFonts w:cstheme="minorHAnsi"/>
        </w:rPr>
        <w:t xml:space="preserve">Art. 10.  O pedido de registro de funcionamento do fundo e, se for o caso, de cada classe de cotas, deve ser instruído com os seguintes documentos e informações: </w:t>
      </w:r>
    </w:p>
    <w:p w14:paraId="15437FE4" w14:textId="144D6E08"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regulamento</w:t>
      </w:r>
      <w:proofErr w:type="gramEnd"/>
      <w:r w:rsidRPr="0097459F">
        <w:rPr>
          <w:rFonts w:cstheme="minorHAnsi"/>
        </w:rPr>
        <w:t xml:space="preserve"> do fundo e, se existirem diferentes classes de cotas, seus anexos</w:t>
      </w:r>
      <w:r w:rsidR="00F6762C" w:rsidRPr="0097459F">
        <w:rPr>
          <w:rFonts w:cstheme="minorHAnsi"/>
        </w:rPr>
        <w:t xml:space="preserve">, o que inclui </w:t>
      </w:r>
      <w:r w:rsidR="00AD05E0" w:rsidRPr="0097459F">
        <w:rPr>
          <w:rFonts w:cstheme="minorHAnsi"/>
        </w:rPr>
        <w:t>apêndices</w:t>
      </w:r>
      <w:r w:rsidR="00F6762C" w:rsidRPr="0097459F">
        <w:rPr>
          <w:rFonts w:cstheme="minorHAnsi"/>
        </w:rPr>
        <w:t xml:space="preserve"> </w:t>
      </w:r>
      <w:r w:rsidR="002639E8" w:rsidRPr="0097459F">
        <w:rPr>
          <w:rFonts w:cstheme="minorHAnsi"/>
        </w:rPr>
        <w:t xml:space="preserve">descritivos </w:t>
      </w:r>
      <w:r w:rsidR="00F6762C" w:rsidRPr="0097459F">
        <w:rPr>
          <w:rFonts w:cstheme="minorHAnsi"/>
        </w:rPr>
        <w:t>de subclasses, se for o caso</w:t>
      </w:r>
      <w:r w:rsidRPr="0097459F">
        <w:rPr>
          <w:rFonts w:cstheme="minorHAnsi"/>
        </w:rPr>
        <w:t>;</w:t>
      </w:r>
    </w:p>
    <w:p w14:paraId="598E171B" w14:textId="06230219" w:rsidR="00893D49" w:rsidRPr="0097459F" w:rsidRDefault="00893D49" w:rsidP="00C20BBD">
      <w:pPr>
        <w:pStyle w:val="Normalalteradora"/>
        <w:rPr>
          <w:rFonts w:cstheme="minorHAnsi"/>
        </w:rPr>
      </w:pPr>
      <w:r w:rsidRPr="0097459F">
        <w:rPr>
          <w:rFonts w:cstheme="minorHAnsi"/>
        </w:rPr>
        <w:t xml:space="preserve">II – </w:t>
      </w:r>
      <w:proofErr w:type="gramStart"/>
      <w:r w:rsidR="00F6762C" w:rsidRPr="0097459F">
        <w:rPr>
          <w:rFonts w:cstheme="minorHAnsi"/>
        </w:rPr>
        <w:t>instrumento</w:t>
      </w:r>
      <w:proofErr w:type="gramEnd"/>
      <w:r w:rsidR="00F6762C" w:rsidRPr="0097459F">
        <w:rPr>
          <w:rFonts w:cstheme="minorHAnsi"/>
        </w:rPr>
        <w:t xml:space="preserve"> de deliberação de que trata o art. </w:t>
      </w:r>
      <w:r w:rsidR="00B447CE" w:rsidRPr="0097459F">
        <w:rPr>
          <w:rFonts w:cstheme="minorHAnsi"/>
        </w:rPr>
        <w:t>7º</w:t>
      </w:r>
      <w:r w:rsidR="00F6762C" w:rsidRPr="0097459F">
        <w:rPr>
          <w:rFonts w:cstheme="minorHAnsi"/>
        </w:rPr>
        <w:t xml:space="preserve">, que deve incluir </w:t>
      </w:r>
      <w:r w:rsidR="00086B20" w:rsidRPr="0097459F">
        <w:rPr>
          <w:rFonts w:cstheme="minorHAnsi"/>
        </w:rPr>
        <w:t xml:space="preserve">declarações </w:t>
      </w:r>
      <w:r w:rsidRPr="0097459F">
        <w:rPr>
          <w:rFonts w:cstheme="minorHAnsi"/>
        </w:rPr>
        <w:t>dos prestadores de serviços essenciais de que o regulamento está plenamente aderente à legislação vigente;</w:t>
      </w:r>
    </w:p>
    <w:p w14:paraId="3B195960" w14:textId="6F6B8F77" w:rsidR="00893D49" w:rsidRPr="0097459F" w:rsidRDefault="00893D49" w:rsidP="00C20BBD">
      <w:pPr>
        <w:pStyle w:val="Normalalteradora"/>
        <w:rPr>
          <w:rFonts w:cstheme="minorHAnsi"/>
        </w:rPr>
      </w:pPr>
      <w:r w:rsidRPr="0097459F">
        <w:rPr>
          <w:rFonts w:cstheme="minorHAnsi"/>
        </w:rPr>
        <w:t xml:space="preserve">III – identificação dos prestadores de serviços contratados por cada prestador de serviço essencial em nome do fundo, informando resumidamente os serviços a serem prestados, </w:t>
      </w:r>
      <w:r w:rsidR="00A56D94" w:rsidRPr="0097459F">
        <w:rPr>
          <w:rFonts w:cstheme="minorHAnsi"/>
        </w:rPr>
        <w:t>as</w:t>
      </w:r>
      <w:r w:rsidR="00774EAC" w:rsidRPr="0097459F">
        <w:rPr>
          <w:rFonts w:cstheme="minorHAnsi"/>
        </w:rPr>
        <w:t xml:space="preserve"> </w:t>
      </w:r>
      <w:r w:rsidR="00A56D94" w:rsidRPr="0097459F">
        <w:rPr>
          <w:rFonts w:cstheme="minorHAnsi"/>
        </w:rPr>
        <w:t>classes</w:t>
      </w:r>
      <w:r w:rsidR="00774EAC" w:rsidRPr="0097459F">
        <w:rPr>
          <w:rFonts w:cstheme="minorHAnsi"/>
        </w:rPr>
        <w:t xml:space="preserve"> de cota que </w:t>
      </w:r>
      <w:r w:rsidR="00A56D94" w:rsidRPr="0097459F">
        <w:rPr>
          <w:rFonts w:cstheme="minorHAnsi"/>
        </w:rPr>
        <w:t>serão</w:t>
      </w:r>
      <w:r w:rsidR="00774EAC" w:rsidRPr="0097459F">
        <w:rPr>
          <w:rFonts w:cstheme="minorHAnsi"/>
        </w:rPr>
        <w:t xml:space="preserve"> </w:t>
      </w:r>
      <w:r w:rsidR="00A56D94" w:rsidRPr="0097459F">
        <w:rPr>
          <w:rFonts w:cstheme="minorHAnsi"/>
        </w:rPr>
        <w:t xml:space="preserve">servidas, </w:t>
      </w:r>
      <w:r w:rsidRPr="0097459F">
        <w:rPr>
          <w:rFonts w:cstheme="minorHAnsi"/>
        </w:rPr>
        <w:t>nome e CNPJ ou CPF, conforme o caso;</w:t>
      </w:r>
      <w:r w:rsidR="008500B6" w:rsidRPr="0097459F">
        <w:rPr>
          <w:rFonts w:cstheme="minorHAnsi"/>
        </w:rPr>
        <w:t xml:space="preserve"> e</w:t>
      </w:r>
    </w:p>
    <w:p w14:paraId="02015D22" w14:textId="7086F6A2" w:rsidR="00893D49" w:rsidRPr="0097459F" w:rsidRDefault="002574EE" w:rsidP="00C20BBD">
      <w:pPr>
        <w:pStyle w:val="Normalalteradora"/>
        <w:rPr>
          <w:rFonts w:cstheme="minorHAnsi"/>
        </w:rPr>
      </w:pPr>
      <w:r w:rsidRPr="0097459F">
        <w:rPr>
          <w:rFonts w:cstheme="minorHAnsi"/>
        </w:rPr>
        <w:t>I</w:t>
      </w:r>
      <w:r w:rsidR="00893D49" w:rsidRPr="0097459F">
        <w:rPr>
          <w:rFonts w:cstheme="minorHAnsi"/>
        </w:rPr>
        <w:t xml:space="preserve">V – </w:t>
      </w:r>
      <w:proofErr w:type="gramStart"/>
      <w:r w:rsidR="00893D49" w:rsidRPr="0097459F">
        <w:rPr>
          <w:rFonts w:cstheme="minorHAnsi"/>
        </w:rPr>
        <w:t>no</w:t>
      </w:r>
      <w:proofErr w:type="gramEnd"/>
      <w:r w:rsidR="00893D49" w:rsidRPr="0097459F">
        <w:rPr>
          <w:rFonts w:cstheme="minorHAnsi"/>
        </w:rPr>
        <w:t xml:space="preserve"> caso de classe fechada, patrimônio inicial mínimo.</w:t>
      </w:r>
    </w:p>
    <w:p w14:paraId="095E91C2" w14:textId="1312B896" w:rsidR="00893D49" w:rsidRPr="0097459F" w:rsidRDefault="00893D49" w:rsidP="00C20BBD">
      <w:pPr>
        <w:pStyle w:val="Normalalteradora"/>
        <w:rPr>
          <w:rFonts w:cstheme="minorHAnsi"/>
        </w:rPr>
      </w:pPr>
      <w:r w:rsidRPr="0097459F">
        <w:rPr>
          <w:rFonts w:cstheme="minorHAnsi"/>
        </w:rPr>
        <w:t xml:space="preserve">Parágrafo único.  A disponibilização do regulamento na página da CVM na </w:t>
      </w:r>
      <w:r w:rsidR="00C20E87" w:rsidRPr="0097459F">
        <w:rPr>
          <w:rFonts w:cstheme="minorHAnsi"/>
        </w:rPr>
        <w:t>rede mundial de computadores</w:t>
      </w:r>
      <w:r w:rsidRPr="0097459F">
        <w:rPr>
          <w:rFonts w:cstheme="minorHAnsi"/>
        </w:rPr>
        <w:t xml:space="preserve"> é condição suficiente para garantir a sua publicidade e a oponibilidade de efeitos em relação a terceiros.</w:t>
      </w:r>
    </w:p>
    <w:p w14:paraId="77131A41" w14:textId="66F96970" w:rsidR="00724477" w:rsidRPr="0097459F" w:rsidRDefault="00893D49" w:rsidP="00C20BBD">
      <w:pPr>
        <w:pStyle w:val="Normalalteradora"/>
        <w:rPr>
          <w:rFonts w:cstheme="minorHAnsi"/>
        </w:rPr>
      </w:pPr>
      <w:bookmarkStart w:id="43" w:name="_DV_M74"/>
      <w:bookmarkEnd w:id="43"/>
      <w:r w:rsidRPr="0097459F">
        <w:rPr>
          <w:rFonts w:cstheme="minorHAnsi"/>
        </w:rPr>
        <w:t xml:space="preserve">Art. 11.  A </w:t>
      </w:r>
      <w:r w:rsidR="00F42C23" w:rsidRPr="0097459F">
        <w:rPr>
          <w:rFonts w:cstheme="minorHAnsi"/>
        </w:rPr>
        <w:t>Superintendência competente</w:t>
      </w:r>
      <w:r w:rsidR="00A8428E" w:rsidRPr="0097459F">
        <w:rPr>
          <w:rFonts w:cstheme="minorHAnsi"/>
        </w:rPr>
        <w:t xml:space="preserve"> </w:t>
      </w:r>
      <w:r w:rsidR="007248E1" w:rsidRPr="0097459F">
        <w:rPr>
          <w:rFonts w:cstheme="minorHAnsi"/>
        </w:rPr>
        <w:t xml:space="preserve">deve </w:t>
      </w:r>
      <w:r w:rsidRPr="0097459F">
        <w:rPr>
          <w:rFonts w:cstheme="minorHAnsi"/>
        </w:rPr>
        <w:t>cancelar o registro de funcionamento:</w:t>
      </w:r>
    </w:p>
    <w:p w14:paraId="0FE6D25F" w14:textId="59C09BA9" w:rsidR="00000D94"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da</w:t>
      </w:r>
      <w:proofErr w:type="gramEnd"/>
      <w:r w:rsidRPr="0097459F">
        <w:rPr>
          <w:rFonts w:cstheme="minorHAnsi"/>
        </w:rPr>
        <w:t xml:space="preserve"> classe aberta que não houver atendido ao disposto no § 3º do art. </w:t>
      </w:r>
      <w:r w:rsidR="004B5B01" w:rsidRPr="0097459F">
        <w:rPr>
          <w:rFonts w:cstheme="minorHAnsi"/>
        </w:rPr>
        <w:t>8º</w:t>
      </w:r>
      <w:r w:rsidRPr="0097459F">
        <w:rPr>
          <w:rFonts w:cstheme="minorHAnsi"/>
        </w:rPr>
        <w:t>;</w:t>
      </w:r>
      <w:r w:rsidR="001C77C6" w:rsidRPr="0097459F">
        <w:rPr>
          <w:rFonts w:cstheme="minorHAnsi"/>
        </w:rPr>
        <w:t xml:space="preserve"> e</w:t>
      </w:r>
    </w:p>
    <w:p w14:paraId="1AA4E47D" w14:textId="0352CE91" w:rsidR="00000D94" w:rsidRPr="0097459F" w:rsidRDefault="00893D49" w:rsidP="00C20BBD">
      <w:pPr>
        <w:pStyle w:val="Normalalteradora"/>
      </w:pPr>
      <w:r w:rsidRPr="0097459F">
        <w:t xml:space="preserve">II – </w:t>
      </w:r>
      <w:proofErr w:type="gramStart"/>
      <w:r w:rsidRPr="0097459F">
        <w:t>da</w:t>
      </w:r>
      <w:proofErr w:type="gramEnd"/>
      <w:r w:rsidRPr="0097459F">
        <w:t xml:space="preserve"> classe fechada, quando após o decurso do prazo de distribuição de cotas constitutivas da classe, não for subscrito o patrimônio inicial mínimo.</w:t>
      </w:r>
    </w:p>
    <w:p w14:paraId="59D2CCD8" w14:textId="6B51532A" w:rsidR="00893D49" w:rsidRPr="00330293" w:rsidRDefault="00893D49" w:rsidP="00424614">
      <w:pPr>
        <w:pStyle w:val="Seo"/>
      </w:pPr>
      <w:bookmarkStart w:id="44" w:name="_Toc53594431"/>
      <w:bookmarkStart w:id="45" w:name="_Toc53595456"/>
      <w:bookmarkStart w:id="46" w:name="_Toc53594183"/>
      <w:bookmarkStart w:id="47" w:name="_Toc57836191"/>
      <w:bookmarkStart w:id="48" w:name="_Toc161141193"/>
      <w:r w:rsidRPr="00330293">
        <w:t>Seção III – Comunicação</w:t>
      </w:r>
      <w:bookmarkEnd w:id="44"/>
      <w:bookmarkEnd w:id="45"/>
      <w:bookmarkEnd w:id="46"/>
      <w:bookmarkEnd w:id="47"/>
      <w:bookmarkEnd w:id="48"/>
    </w:p>
    <w:p w14:paraId="07095A56" w14:textId="5B40C48E" w:rsidR="00893D49" w:rsidRPr="0097459F" w:rsidRDefault="00893D49" w:rsidP="00C20BBD">
      <w:pPr>
        <w:pStyle w:val="Normalalteradora"/>
        <w:rPr>
          <w:rFonts w:cstheme="minorHAnsi"/>
        </w:rPr>
      </w:pPr>
      <w:r w:rsidRPr="0097459F">
        <w:rPr>
          <w:rFonts w:cstheme="minorHAnsi"/>
        </w:rPr>
        <w:t xml:space="preserve">Art. 12.  As informações ou documentos para os quais essa Resolução exija </w:t>
      </w:r>
      <w:r w:rsidR="00345E25" w:rsidRPr="0097459F">
        <w:rPr>
          <w:rFonts w:cstheme="minorHAnsi"/>
        </w:rPr>
        <w:t xml:space="preserve">“encaminhamento”, </w:t>
      </w:r>
      <w:r w:rsidRPr="0097459F">
        <w:rPr>
          <w:rFonts w:cstheme="minorHAnsi"/>
        </w:rPr>
        <w:t xml:space="preserve">“comunicação”, “acesso”, “envio”, “divulgação” ou “disponibilização” devem ser </w:t>
      </w:r>
      <w:r w:rsidR="00F70356" w:rsidRPr="0097459F">
        <w:rPr>
          <w:rFonts w:cstheme="minorHAnsi"/>
        </w:rPr>
        <w:t xml:space="preserve">passíveis de acesso </w:t>
      </w:r>
      <w:r w:rsidRPr="0097459F">
        <w:rPr>
          <w:rFonts w:cstheme="minorHAnsi"/>
        </w:rPr>
        <w:t xml:space="preserve">por meio eletrônico </w:t>
      </w:r>
      <w:r w:rsidR="00345E25" w:rsidRPr="0097459F">
        <w:rPr>
          <w:rFonts w:cstheme="minorHAnsi"/>
        </w:rPr>
        <w:t xml:space="preserve">pelos </w:t>
      </w:r>
      <w:r w:rsidRPr="0097459F">
        <w:rPr>
          <w:rFonts w:cstheme="minorHAnsi"/>
        </w:rPr>
        <w:t>cotistas</w:t>
      </w:r>
      <w:r w:rsidR="00345E25" w:rsidRPr="0097459F">
        <w:rPr>
          <w:rFonts w:cstheme="minorHAnsi"/>
        </w:rPr>
        <w:t xml:space="preserve"> e demais destinatários especificados nesta Resolução</w:t>
      </w:r>
      <w:r w:rsidRPr="0097459F">
        <w:rPr>
          <w:rFonts w:cstheme="minorHAnsi"/>
        </w:rPr>
        <w:t>.</w:t>
      </w:r>
    </w:p>
    <w:p w14:paraId="0CDB4460" w14:textId="2E0C9DDD"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obrigação prevista no </w:t>
      </w:r>
      <w:r w:rsidRPr="0097459F">
        <w:rPr>
          <w:rFonts w:cstheme="minorHAnsi"/>
          <w:b/>
        </w:rPr>
        <w:t xml:space="preserve">caput </w:t>
      </w:r>
      <w:r w:rsidRPr="0097459F">
        <w:rPr>
          <w:rFonts w:cstheme="minorHAnsi"/>
        </w:rPr>
        <w:t xml:space="preserve">é considerada cumprida na data </w:t>
      </w:r>
      <w:r w:rsidR="006716EF" w:rsidRPr="0097459F">
        <w:rPr>
          <w:rFonts w:cstheme="minorHAnsi"/>
        </w:rPr>
        <w:t xml:space="preserve">em </w:t>
      </w:r>
      <w:r w:rsidR="00F70356" w:rsidRPr="0097459F">
        <w:rPr>
          <w:rFonts w:cstheme="minorHAnsi"/>
        </w:rPr>
        <w:t>que</w:t>
      </w:r>
      <w:r w:rsidR="006716EF" w:rsidRPr="0097459F">
        <w:rPr>
          <w:rFonts w:cstheme="minorHAnsi"/>
        </w:rPr>
        <w:t xml:space="preserve"> a informação ou documento</w:t>
      </w:r>
      <w:r w:rsidRPr="0097459F">
        <w:rPr>
          <w:rFonts w:cstheme="minorHAnsi"/>
        </w:rPr>
        <w:t xml:space="preserve"> </w:t>
      </w:r>
      <w:r w:rsidR="006716EF" w:rsidRPr="0097459F">
        <w:rPr>
          <w:rFonts w:cstheme="minorHAnsi"/>
        </w:rPr>
        <w:t>é</w:t>
      </w:r>
      <w:r w:rsidR="00C02A98" w:rsidRPr="0097459F">
        <w:rPr>
          <w:rFonts w:cstheme="minorHAnsi"/>
        </w:rPr>
        <w:t xml:space="preserve"> tornada acessível</w:t>
      </w:r>
      <w:r w:rsidR="006716EF" w:rsidRPr="0097459F">
        <w:rPr>
          <w:rFonts w:cstheme="minorHAnsi"/>
        </w:rPr>
        <w:t xml:space="preserve"> </w:t>
      </w:r>
      <w:r w:rsidR="00C02A98" w:rsidRPr="0097459F">
        <w:rPr>
          <w:rFonts w:cstheme="minorHAnsi"/>
        </w:rPr>
        <w:t xml:space="preserve">para os </w:t>
      </w:r>
      <w:r w:rsidRPr="0097459F">
        <w:rPr>
          <w:rFonts w:cstheme="minorHAnsi"/>
        </w:rPr>
        <w:t>cotistas.</w:t>
      </w:r>
    </w:p>
    <w:p w14:paraId="52DAD404" w14:textId="17753DB5" w:rsidR="00893D49" w:rsidRPr="0097459F" w:rsidRDefault="00893D49" w:rsidP="00C20BBD">
      <w:pPr>
        <w:pStyle w:val="Normalalteradora"/>
        <w:rPr>
          <w:rFonts w:cstheme="minorHAnsi"/>
        </w:rPr>
      </w:pPr>
      <w:r w:rsidRPr="0097459F">
        <w:rPr>
          <w:rFonts w:cstheme="minorHAnsi"/>
        </w:rPr>
        <w:lastRenderedPageBreak/>
        <w:t>§ 2</w:t>
      </w:r>
      <w:proofErr w:type="gramStart"/>
      <w:r w:rsidRPr="0097459F">
        <w:rPr>
          <w:rFonts w:cstheme="minorHAnsi"/>
        </w:rPr>
        <w:t>º  O</w:t>
      </w:r>
      <w:proofErr w:type="gramEnd"/>
      <w:r w:rsidRPr="0097459F">
        <w:rPr>
          <w:rFonts w:cstheme="minorHAnsi"/>
        </w:rPr>
        <w:t xml:space="preserve"> regulamento pode prever o envio de correspondências por meio físico aos cotistas que fizerem tal solicitação, hipótese na qual deve especificar se os custos de envio serão suportados pelo fundo ou pelos cotistas que optarem por tal recebimento.</w:t>
      </w:r>
    </w:p>
    <w:p w14:paraId="30047FAF" w14:textId="6C8A10C6"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Nas</w:t>
      </w:r>
      <w:proofErr w:type="gramEnd"/>
      <w:r w:rsidRPr="0097459F">
        <w:rPr>
          <w:rFonts w:cstheme="minorHAnsi"/>
        </w:rPr>
        <w:t xml:space="preserve"> hipóteses em que esta Resolução exija “atestado”, “ciência”, “manifestação” ou “concordância” dos cotistas, admite-se que estas se materializem por meio </w:t>
      </w:r>
      <w:r w:rsidR="001C77C6" w:rsidRPr="0097459F">
        <w:rPr>
          <w:rFonts w:cstheme="minorHAnsi"/>
        </w:rPr>
        <w:t>eletrônico</w:t>
      </w:r>
      <w:r w:rsidRPr="0097459F">
        <w:rPr>
          <w:rFonts w:cstheme="minorHAnsi"/>
        </w:rPr>
        <w:t>, observado que:</w:t>
      </w:r>
    </w:p>
    <w:p w14:paraId="37A33B6F" w14:textId="17A40EB0"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os</w:t>
      </w:r>
      <w:proofErr w:type="gramEnd"/>
      <w:r w:rsidRPr="0097459F">
        <w:rPr>
          <w:rFonts w:cstheme="minorHAnsi"/>
        </w:rPr>
        <w:t xml:space="preserve"> procedimentos aplicáveis devem estar disciplinados no regulamento do fundo e serem passíveis de verificação; e</w:t>
      </w:r>
    </w:p>
    <w:p w14:paraId="0C2BE985" w14:textId="77777777" w:rsidR="00893D49" w:rsidRPr="0097459F" w:rsidRDefault="00893D49" w:rsidP="00C20BBD">
      <w:pPr>
        <w:pStyle w:val="Normalalteradora"/>
        <w:rPr>
          <w:rFonts w:cstheme="minorHAnsi"/>
        </w:rPr>
      </w:pPr>
      <w:proofErr w:type="gramStart"/>
      <w:r w:rsidRPr="0097459F">
        <w:rPr>
          <w:rFonts w:cstheme="minorHAnsi"/>
        </w:rPr>
        <w:t>II  –</w:t>
      </w:r>
      <w:proofErr w:type="gramEnd"/>
      <w:r w:rsidRPr="0097459F">
        <w:rPr>
          <w:rFonts w:cstheme="minorHAnsi"/>
        </w:rPr>
        <w:t xml:space="preserve"> toda manifestação dos cotistas deve ser armazenada pelo administrador.</w:t>
      </w:r>
    </w:p>
    <w:p w14:paraId="0BAA3EC7" w14:textId="1611D8FA" w:rsidR="00893D49" w:rsidRPr="0097459F" w:rsidRDefault="00893D49" w:rsidP="00C20BBD">
      <w:pPr>
        <w:pStyle w:val="Normalalteradora"/>
        <w:rPr>
          <w:rFonts w:cstheme="minorHAnsi"/>
        </w:rPr>
      </w:pPr>
      <w:r w:rsidRPr="0097459F">
        <w:rPr>
          <w:rFonts w:cstheme="minorHAnsi"/>
        </w:rPr>
        <w:t xml:space="preserve">Art. 13.  Caso o cotista não tenha comunicado ao administrador a atualização de seu endereço </w:t>
      </w:r>
      <w:r w:rsidR="008B247A" w:rsidRPr="0097459F">
        <w:rPr>
          <w:rFonts w:cstheme="minorHAnsi"/>
        </w:rPr>
        <w:t xml:space="preserve">físico </w:t>
      </w:r>
      <w:r w:rsidR="00F91CA6" w:rsidRPr="0097459F">
        <w:rPr>
          <w:rFonts w:cstheme="minorHAnsi"/>
        </w:rPr>
        <w:t>ou</w:t>
      </w:r>
      <w:r w:rsidR="008B247A" w:rsidRPr="0097459F">
        <w:rPr>
          <w:rFonts w:cstheme="minorHAnsi"/>
        </w:rPr>
        <w:t xml:space="preserve"> </w:t>
      </w:r>
      <w:r w:rsidRPr="0097459F">
        <w:rPr>
          <w:rFonts w:cstheme="minorHAnsi"/>
        </w:rPr>
        <w:t xml:space="preserve">eletrônico, o administrador fica exonerado do dever de envio das informações e comunicações previstas nesta Resolução ou no </w:t>
      </w:r>
      <w:r w:rsidR="0059377A" w:rsidRPr="0097459F">
        <w:rPr>
          <w:rFonts w:cstheme="minorHAnsi"/>
        </w:rPr>
        <w:t>regulamento do fundo</w:t>
      </w:r>
      <w:r w:rsidRPr="0097459F">
        <w:rPr>
          <w:rFonts w:cstheme="minorHAnsi"/>
        </w:rPr>
        <w:t xml:space="preserve">, a partir da </w:t>
      </w:r>
      <w:r w:rsidR="00797B77" w:rsidRPr="0097459F">
        <w:rPr>
          <w:rFonts w:cstheme="minorHAnsi"/>
        </w:rPr>
        <w:t xml:space="preserve">primeira </w:t>
      </w:r>
      <w:r w:rsidRPr="0097459F">
        <w:rPr>
          <w:rFonts w:cstheme="minorHAnsi"/>
        </w:rPr>
        <w:t>correspondência que houver sido devolvida por incorreção no endereço declarado.</w:t>
      </w:r>
    </w:p>
    <w:p w14:paraId="1D371942" w14:textId="0F171429" w:rsidR="00893D49" w:rsidRPr="0097459F" w:rsidRDefault="4AF9F487" w:rsidP="00C20BBD">
      <w:pPr>
        <w:pStyle w:val="Normalalteradora"/>
      </w:pPr>
      <w:r w:rsidRPr="0097459F">
        <w:t xml:space="preserve">Parágrafo único.  O administrador deve </w:t>
      </w:r>
      <w:r w:rsidR="1AEF6B79" w:rsidRPr="0097459F">
        <w:t xml:space="preserve">preservar </w:t>
      </w:r>
      <w:r w:rsidRPr="0097459F">
        <w:t xml:space="preserve">a correspondência devolvida ou seu registro eletrônico enquanto o cotista não </w:t>
      </w:r>
      <w:r w:rsidR="302B4970" w:rsidRPr="0097459F">
        <w:t>efetuar o</w:t>
      </w:r>
      <w:r w:rsidRPr="0097459F">
        <w:t xml:space="preserve"> resgate </w:t>
      </w:r>
      <w:r w:rsidR="2B922AB0" w:rsidRPr="0097459F">
        <w:t xml:space="preserve">ou amortização </w:t>
      </w:r>
      <w:r w:rsidRPr="0097459F">
        <w:t>total de suas cotas</w:t>
      </w:r>
      <w:r w:rsidR="004158AE" w:rsidRPr="0097459F">
        <w:t xml:space="preserve">, sem prejuízo do disposto no art. </w:t>
      </w:r>
      <w:r w:rsidR="00143D5E" w:rsidRPr="0097459F">
        <w:t>130</w:t>
      </w:r>
      <w:r w:rsidRPr="0097459F">
        <w:t>.</w:t>
      </w:r>
    </w:p>
    <w:p w14:paraId="65D0BEF5" w14:textId="77777777" w:rsidR="00893D49" w:rsidRPr="0097459F" w:rsidRDefault="00893D49" w:rsidP="00C20BBD">
      <w:pPr>
        <w:pStyle w:val="Captulo"/>
        <w:rPr>
          <w:rFonts w:asciiTheme="minorHAnsi" w:hAnsiTheme="minorHAnsi"/>
        </w:rPr>
      </w:pPr>
      <w:bookmarkStart w:id="49" w:name="_Toc53594432"/>
      <w:bookmarkStart w:id="50" w:name="_Toc53595457"/>
      <w:bookmarkStart w:id="51" w:name="_Toc53594184"/>
      <w:bookmarkStart w:id="52" w:name="_Toc114818964"/>
      <w:bookmarkStart w:id="53" w:name="_Toc57836192"/>
      <w:bookmarkStart w:id="54" w:name="_Toc161141194"/>
      <w:r w:rsidRPr="0097459F">
        <w:rPr>
          <w:rFonts w:asciiTheme="minorHAnsi" w:hAnsiTheme="minorHAnsi"/>
        </w:rPr>
        <w:t>CAPÍTULO IV – COTAS</w:t>
      </w:r>
      <w:bookmarkEnd w:id="49"/>
      <w:bookmarkEnd w:id="50"/>
      <w:bookmarkEnd w:id="51"/>
      <w:bookmarkEnd w:id="52"/>
      <w:bookmarkEnd w:id="53"/>
      <w:bookmarkEnd w:id="54"/>
    </w:p>
    <w:p w14:paraId="143AAFDF" w14:textId="77777777" w:rsidR="00893D49" w:rsidRPr="0097459F" w:rsidRDefault="00893D49" w:rsidP="00C20BBD">
      <w:pPr>
        <w:pStyle w:val="Seo"/>
        <w:rPr>
          <w:rFonts w:asciiTheme="minorHAnsi" w:hAnsiTheme="minorHAnsi"/>
        </w:rPr>
      </w:pPr>
      <w:bookmarkStart w:id="55" w:name="_Toc53594433"/>
      <w:bookmarkStart w:id="56" w:name="_Toc53595458"/>
      <w:bookmarkStart w:id="57" w:name="_Toc53594185"/>
      <w:bookmarkStart w:id="58" w:name="_Toc114818965"/>
      <w:bookmarkStart w:id="59" w:name="_Toc57836193"/>
      <w:bookmarkStart w:id="60" w:name="_Toc161141195"/>
      <w:r w:rsidRPr="0097459F">
        <w:rPr>
          <w:rFonts w:asciiTheme="minorHAnsi" w:hAnsiTheme="minorHAnsi"/>
        </w:rPr>
        <w:t>Seção I – Disposições Gerais</w:t>
      </w:r>
      <w:bookmarkEnd w:id="55"/>
      <w:bookmarkEnd w:id="56"/>
      <w:bookmarkEnd w:id="57"/>
      <w:bookmarkEnd w:id="58"/>
      <w:bookmarkEnd w:id="59"/>
      <w:bookmarkEnd w:id="60"/>
    </w:p>
    <w:p w14:paraId="2A79C2F3" w14:textId="7C04FF9E" w:rsidR="00893D49" w:rsidRPr="0097459F" w:rsidRDefault="00893D49" w:rsidP="00C20BBD">
      <w:pPr>
        <w:pStyle w:val="Normalalteradora"/>
        <w:rPr>
          <w:rFonts w:cstheme="minorHAnsi"/>
        </w:rPr>
      </w:pPr>
      <w:r w:rsidRPr="0097459F">
        <w:rPr>
          <w:rFonts w:cstheme="minorHAnsi"/>
        </w:rPr>
        <w:t xml:space="preserve">Art. 14.  </w:t>
      </w:r>
      <w:r w:rsidR="001C77C6" w:rsidRPr="0097459F">
        <w:rPr>
          <w:rFonts w:cstheme="minorHAnsi"/>
        </w:rPr>
        <w:t>As cotas são escriturais, nominativas e correspondem a frações do patrimônio da classe</w:t>
      </w:r>
      <w:r w:rsidR="0059377A" w:rsidRPr="0097459F">
        <w:rPr>
          <w:rFonts w:cstheme="minorHAnsi"/>
        </w:rPr>
        <w:t xml:space="preserve"> de cotas</w:t>
      </w:r>
      <w:r w:rsidR="001C77C6" w:rsidRPr="0097459F">
        <w:rPr>
          <w:rFonts w:cstheme="minorHAnsi"/>
        </w:rPr>
        <w:t>, conferindo direitos e obrigações aos cotistas, conforme previsto</w:t>
      </w:r>
      <w:r w:rsidR="000E0D99" w:rsidRPr="0097459F">
        <w:rPr>
          <w:rFonts w:cstheme="minorHAnsi"/>
        </w:rPr>
        <w:t>s</w:t>
      </w:r>
      <w:r w:rsidR="001C77C6" w:rsidRPr="0097459F">
        <w:rPr>
          <w:rFonts w:cstheme="minorHAnsi"/>
        </w:rPr>
        <w:t xml:space="preserve"> no regulamento.</w:t>
      </w:r>
    </w:p>
    <w:p w14:paraId="63B35A49" w14:textId="166F2519" w:rsidR="00893D49" w:rsidRPr="0097459F" w:rsidRDefault="00070724" w:rsidP="00C20BBD">
      <w:pPr>
        <w:pStyle w:val="Normalalteradora"/>
        <w:rPr>
          <w:rFonts w:cstheme="minorHAnsi"/>
        </w:rPr>
      </w:pPr>
      <w:r w:rsidRPr="0097459F">
        <w:rPr>
          <w:rFonts w:cstheme="minorHAnsi"/>
        </w:rPr>
        <w:t>§ 1</w:t>
      </w:r>
      <w:proofErr w:type="gramStart"/>
      <w:r w:rsidRPr="0097459F">
        <w:rPr>
          <w:rFonts w:cstheme="minorHAnsi"/>
        </w:rPr>
        <w:t>º  O</w:t>
      </w:r>
      <w:proofErr w:type="gramEnd"/>
      <w:r w:rsidR="00893D49" w:rsidRPr="0097459F">
        <w:rPr>
          <w:rFonts w:cstheme="minorHAnsi"/>
        </w:rPr>
        <w:t xml:space="preserve"> valor da cota resulta da divisão do valor do patrimônio líquido da respectiva classe pelo número de cotas da mesma classe.</w:t>
      </w:r>
    </w:p>
    <w:p w14:paraId="108F1359" w14:textId="58E03ED5" w:rsidR="001C77C6" w:rsidRPr="0097459F" w:rsidRDefault="594F75F2" w:rsidP="2889066B">
      <w:pPr>
        <w:pStyle w:val="Normalalteradora"/>
      </w:pPr>
      <w:r w:rsidRPr="0097459F">
        <w:t xml:space="preserve">§ </w:t>
      </w:r>
      <w:r w:rsidR="00BE2765" w:rsidRPr="0097459F">
        <w:t>2</w:t>
      </w:r>
      <w:proofErr w:type="gramStart"/>
      <w:r w:rsidR="00576D4F" w:rsidRPr="0097459F">
        <w:t>º  Caso</w:t>
      </w:r>
      <w:proofErr w:type="gramEnd"/>
      <w:r w:rsidR="00576D4F" w:rsidRPr="0097459F">
        <w:t xml:space="preserve"> </w:t>
      </w:r>
      <w:r w:rsidR="00070724" w:rsidRPr="0097459F">
        <w:t>a classe</w:t>
      </w:r>
      <w:r w:rsidR="00A233EA" w:rsidRPr="0097459F">
        <w:t xml:space="preserve"> tenha</w:t>
      </w:r>
      <w:r w:rsidR="00576D4F" w:rsidRPr="0097459F">
        <w:t xml:space="preserve"> subclasses, o valor da cota de cada subclasse resulta da divisão do valor do patrimônio líquido </w:t>
      </w:r>
      <w:r w:rsidR="00C128C4" w:rsidRPr="0097459F">
        <w:t>atribuído à</w:t>
      </w:r>
      <w:r w:rsidR="00576D4F" w:rsidRPr="0097459F">
        <w:t xml:space="preserve"> respectiva subclasse pelo número de cotas da mesma subclasse.</w:t>
      </w:r>
    </w:p>
    <w:p w14:paraId="729B85B9" w14:textId="131DE11D" w:rsidR="00893D49" w:rsidRPr="0097459F" w:rsidRDefault="00893D49" w:rsidP="00C20BBD">
      <w:pPr>
        <w:pStyle w:val="Normalalteradora"/>
        <w:rPr>
          <w:rFonts w:cstheme="minorHAnsi"/>
        </w:rPr>
      </w:pPr>
      <w:r w:rsidRPr="0097459F">
        <w:rPr>
          <w:rFonts w:cstheme="minorHAnsi"/>
        </w:rPr>
        <w:t xml:space="preserve">Art. 15.  O administrador </w:t>
      </w:r>
      <w:r w:rsidR="009D2E6E" w:rsidRPr="0097459F">
        <w:rPr>
          <w:rFonts w:cstheme="minorHAnsi"/>
        </w:rPr>
        <w:t xml:space="preserve">ou </w:t>
      </w:r>
      <w:r w:rsidRPr="0097459F">
        <w:rPr>
          <w:rFonts w:cstheme="minorHAnsi"/>
        </w:rPr>
        <w:t>a instituição contratada para realizar a escrituração de cotas</w:t>
      </w:r>
      <w:r w:rsidR="009D2E6E" w:rsidRPr="0097459F">
        <w:rPr>
          <w:rFonts w:cstheme="minorHAnsi"/>
        </w:rPr>
        <w:t>, se houver,</w:t>
      </w:r>
      <w:r w:rsidRPr="0097459F">
        <w:rPr>
          <w:rFonts w:cstheme="minorHAnsi"/>
        </w:rPr>
        <w:t xml:space="preserve"> são responsáveis, nas suas respectivas esferas de atuação, pela inscrição do nome do titular </w:t>
      </w:r>
      <w:r w:rsidR="009D2E6E" w:rsidRPr="0097459F">
        <w:rPr>
          <w:rFonts w:cstheme="minorHAnsi"/>
        </w:rPr>
        <w:t xml:space="preserve">ou, no caso de distribuição por conta e ordem, das informações de que trata o art. 34, </w:t>
      </w:r>
      <w:r w:rsidR="005F4939" w:rsidRPr="0097459F">
        <w:rPr>
          <w:rFonts w:cstheme="minorHAnsi"/>
        </w:rPr>
        <w:t>§ 1º</w:t>
      </w:r>
      <w:r w:rsidR="009D2E6E" w:rsidRPr="0097459F">
        <w:rPr>
          <w:rFonts w:cstheme="minorHAnsi"/>
        </w:rPr>
        <w:t xml:space="preserve">, </w:t>
      </w:r>
      <w:r w:rsidRPr="0097459F">
        <w:rPr>
          <w:rFonts w:cstheme="minorHAnsi"/>
        </w:rPr>
        <w:t>no registro de cotistas do fundo.</w:t>
      </w:r>
    </w:p>
    <w:p w14:paraId="7B592D4B" w14:textId="3B2BCFEA" w:rsidR="00F719E0" w:rsidRPr="0097459F" w:rsidRDefault="7393F8A8" w:rsidP="00C20BBD">
      <w:pPr>
        <w:pStyle w:val="Normalalteradora"/>
      </w:pPr>
      <w:r w:rsidRPr="0097459F">
        <w:lastRenderedPageBreak/>
        <w:t xml:space="preserve">Parágrafo único.  Para fins do disposto no </w:t>
      </w:r>
      <w:r w:rsidRPr="0097459F">
        <w:rPr>
          <w:b/>
          <w:bCs/>
        </w:rPr>
        <w:t>caput</w:t>
      </w:r>
      <w:r w:rsidRPr="0097459F">
        <w:t xml:space="preserve">, o administrador e </w:t>
      </w:r>
      <w:r w:rsidR="35804DDA" w:rsidRPr="0097459F">
        <w:t xml:space="preserve">o </w:t>
      </w:r>
      <w:proofErr w:type="spellStart"/>
      <w:r w:rsidR="35804DDA" w:rsidRPr="0097459F">
        <w:t>escriturador</w:t>
      </w:r>
      <w:proofErr w:type="spellEnd"/>
      <w:r w:rsidR="35804DDA" w:rsidRPr="0097459F">
        <w:t xml:space="preserve"> devem</w:t>
      </w:r>
      <w:r w:rsidRPr="0097459F">
        <w:t xml:space="preserve"> compartilhar as informações do registro de cotistas, bem como </w:t>
      </w:r>
      <w:r w:rsidR="000E0D99" w:rsidRPr="0097459F">
        <w:t xml:space="preserve">informações </w:t>
      </w:r>
      <w:r w:rsidRPr="0097459F">
        <w:t>referentes a eventuais direitos, gravames ou outros registros existentes sobre as cotas.</w:t>
      </w:r>
    </w:p>
    <w:p w14:paraId="5365F6ED" w14:textId="0B07976D" w:rsidR="00893D49" w:rsidRPr="0097459F" w:rsidRDefault="00893D49" w:rsidP="00C20BBD">
      <w:pPr>
        <w:pStyle w:val="Normalalteradora"/>
        <w:rPr>
          <w:rFonts w:cstheme="minorHAnsi"/>
        </w:rPr>
      </w:pPr>
      <w:r w:rsidRPr="0097459F">
        <w:rPr>
          <w:rFonts w:cstheme="minorHAnsi"/>
        </w:rPr>
        <w:t>Art. 16.  A cota de classe aberta não pode ser objeto de cessão ou transferência</w:t>
      </w:r>
      <w:r w:rsidR="00F86E34" w:rsidRPr="0097459F">
        <w:rPr>
          <w:rFonts w:cstheme="minorHAnsi"/>
        </w:rPr>
        <w:t xml:space="preserve"> de titularidade</w:t>
      </w:r>
      <w:r w:rsidRPr="0097459F">
        <w:rPr>
          <w:rFonts w:cstheme="minorHAnsi"/>
        </w:rPr>
        <w:t>,</w:t>
      </w:r>
      <w:r w:rsidR="00F86E34" w:rsidRPr="0097459F">
        <w:rPr>
          <w:rFonts w:cstheme="minorHAnsi"/>
        </w:rPr>
        <w:t xml:space="preserve"> </w:t>
      </w:r>
      <w:r w:rsidRPr="0097459F">
        <w:rPr>
          <w:rFonts w:cstheme="minorHAnsi"/>
        </w:rPr>
        <w:t>exceto nos casos de:</w:t>
      </w:r>
    </w:p>
    <w:p w14:paraId="09BED185" w14:textId="31DD615C"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decisão</w:t>
      </w:r>
      <w:proofErr w:type="gramEnd"/>
      <w:r w:rsidRPr="0097459F">
        <w:rPr>
          <w:rFonts w:cstheme="minorHAnsi"/>
        </w:rPr>
        <w:t xml:space="preserve"> judicial ou arbitral;</w:t>
      </w:r>
    </w:p>
    <w:p w14:paraId="7878929C" w14:textId="02C3CFC1"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operações</w:t>
      </w:r>
      <w:proofErr w:type="gramEnd"/>
      <w:r w:rsidRPr="0097459F">
        <w:rPr>
          <w:rFonts w:cstheme="minorHAnsi"/>
        </w:rPr>
        <w:t xml:space="preserve"> de cessão fiduciária;</w:t>
      </w:r>
    </w:p>
    <w:p w14:paraId="449D6CD3" w14:textId="2D05C687" w:rsidR="00893D49" w:rsidRPr="0097459F" w:rsidRDefault="00893D49" w:rsidP="00C20BBD">
      <w:pPr>
        <w:pStyle w:val="Normalalteradora"/>
        <w:rPr>
          <w:rFonts w:cstheme="minorHAnsi"/>
        </w:rPr>
      </w:pPr>
      <w:r w:rsidRPr="0097459F">
        <w:rPr>
          <w:rFonts w:cstheme="minorHAnsi"/>
        </w:rPr>
        <w:t xml:space="preserve">III – execução de garantia; </w:t>
      </w:r>
    </w:p>
    <w:p w14:paraId="6664A1C2" w14:textId="519DF15A"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sucessão</w:t>
      </w:r>
      <w:proofErr w:type="gramEnd"/>
      <w:r w:rsidRPr="0097459F">
        <w:rPr>
          <w:rFonts w:cstheme="minorHAnsi"/>
        </w:rPr>
        <w:t xml:space="preserve"> universal; </w:t>
      </w:r>
    </w:p>
    <w:p w14:paraId="3D9E77C7" w14:textId="78404378"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dissolução</w:t>
      </w:r>
      <w:proofErr w:type="gramEnd"/>
      <w:r w:rsidRPr="0097459F">
        <w:rPr>
          <w:rFonts w:cstheme="minorHAnsi"/>
        </w:rPr>
        <w:t xml:space="preserve"> de sociedade conjugal ou união estável por via judicial ou escritura pública que disponha sobre a partilha de bens;</w:t>
      </w:r>
    </w:p>
    <w:p w14:paraId="797B664F" w14:textId="6116FD27" w:rsidR="00E46FAF" w:rsidRDefault="00893D49" w:rsidP="00753FBA">
      <w:pPr>
        <w:pStyle w:val="Normalalteradora"/>
        <w:rPr>
          <w:strike/>
        </w:rPr>
      </w:pPr>
      <w:r w:rsidRPr="00DB08D5">
        <w:rPr>
          <w:strike/>
        </w:rPr>
        <w:t xml:space="preserve">VI – </w:t>
      </w:r>
      <w:proofErr w:type="gramStart"/>
      <w:r w:rsidR="0090204B" w:rsidRPr="00DB08D5">
        <w:rPr>
          <w:strike/>
        </w:rPr>
        <w:t>substituição</w:t>
      </w:r>
      <w:proofErr w:type="gramEnd"/>
      <w:r w:rsidR="0090204B" w:rsidRPr="00DB08D5">
        <w:rPr>
          <w:strike/>
        </w:rPr>
        <w:t xml:space="preserve"> do administrador fiduciário</w:t>
      </w:r>
      <w:r w:rsidRPr="00DB08D5">
        <w:rPr>
          <w:strike/>
        </w:rPr>
        <w:t xml:space="preserve"> ou portabilidade</w:t>
      </w:r>
      <w:r w:rsidR="00E46FAF" w:rsidRPr="00DB08D5">
        <w:rPr>
          <w:strike/>
        </w:rPr>
        <w:t xml:space="preserve"> de planos de previdência;</w:t>
      </w:r>
    </w:p>
    <w:p w14:paraId="47A70E8F" w14:textId="77777777" w:rsidR="00DB08D5" w:rsidRPr="0097459F" w:rsidRDefault="00DB08D5" w:rsidP="00DB08D5">
      <w:pPr>
        <w:pStyle w:val="NormaAlterada"/>
      </w:pPr>
      <w:r>
        <w:t xml:space="preserve">VI – </w:t>
      </w:r>
      <w:bookmarkStart w:id="61" w:name="_Int_Xe25mZN8"/>
      <w:proofErr w:type="gramStart"/>
      <w:r>
        <w:t>transferência</w:t>
      </w:r>
      <w:bookmarkEnd w:id="61"/>
      <w:proofErr w:type="gramEnd"/>
      <w:r>
        <w:t xml:space="preserve"> de </w:t>
      </w:r>
      <w:r w:rsidRPr="6B4419CC">
        <w:t>administração</w:t>
      </w:r>
      <w:r>
        <w:t xml:space="preserve"> ou portabilidade de planos de previdência;</w:t>
      </w:r>
    </w:p>
    <w:p w14:paraId="3FCA1C28" w14:textId="62FCF07F" w:rsidR="00DB08D5" w:rsidRPr="00DB08D5" w:rsidRDefault="00DB08D5" w:rsidP="00DB08D5">
      <w:pPr>
        <w:pStyle w:val="Normalalteradora"/>
        <w:numPr>
          <w:ilvl w:val="0"/>
          <w:numId w:val="40"/>
        </w:numPr>
        <w:ind w:left="709" w:hanging="142"/>
        <w:rPr>
          <w:strike/>
        </w:rPr>
      </w:pPr>
      <w:bookmarkStart w:id="62" w:name="_Hlk146745455"/>
      <w:r>
        <w:rPr>
          <w:rFonts w:cstheme="minorHAnsi"/>
          <w:b/>
          <w:i/>
          <w:iCs/>
        </w:rPr>
        <w:t xml:space="preserve"> Inciso VI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bookmarkEnd w:id="62"/>
    <w:p w14:paraId="0365E124" w14:textId="53DB7B22" w:rsidR="00893D49" w:rsidRPr="0097459F" w:rsidRDefault="00070724" w:rsidP="00C20BBD">
      <w:pPr>
        <w:pStyle w:val="Normalalteradora"/>
        <w:rPr>
          <w:rFonts w:cstheme="minorHAnsi"/>
        </w:rPr>
      </w:pPr>
      <w:r w:rsidRPr="0097459F">
        <w:rPr>
          <w:rFonts w:cstheme="minorHAnsi"/>
        </w:rPr>
        <w:t>VII</w:t>
      </w:r>
      <w:r w:rsidR="00856AA9" w:rsidRPr="0097459F">
        <w:rPr>
          <w:rFonts w:cstheme="minorHAnsi"/>
        </w:rPr>
        <w:t xml:space="preserve"> – </w:t>
      </w:r>
      <w:r w:rsidR="00077F3C" w:rsidRPr="0097459F">
        <w:rPr>
          <w:rFonts w:cstheme="minorHAnsi"/>
        </w:rPr>
        <w:t>i</w:t>
      </w:r>
      <w:r w:rsidR="00856AA9" w:rsidRPr="0097459F">
        <w:rPr>
          <w:rFonts w:cstheme="minorHAnsi"/>
        </w:rPr>
        <w:t>ntegraliza</w:t>
      </w:r>
      <w:r w:rsidR="00077F3C" w:rsidRPr="0097459F">
        <w:rPr>
          <w:rFonts w:cstheme="minorHAnsi"/>
        </w:rPr>
        <w:t>ção de</w:t>
      </w:r>
      <w:r w:rsidR="00856AA9" w:rsidRPr="0097459F">
        <w:rPr>
          <w:rFonts w:cstheme="minorHAnsi"/>
        </w:rPr>
        <w:t xml:space="preserve"> participações acionárias </w:t>
      </w:r>
      <w:r w:rsidR="0066038D" w:rsidRPr="0097459F">
        <w:rPr>
          <w:rFonts w:cstheme="minorHAnsi"/>
        </w:rPr>
        <w:t xml:space="preserve">em companhias </w:t>
      </w:r>
      <w:r w:rsidR="00856AA9" w:rsidRPr="0097459F">
        <w:rPr>
          <w:rFonts w:cstheme="minorHAnsi"/>
        </w:rPr>
        <w:t>ou no capital social de sociedades limitadas;</w:t>
      </w:r>
    </w:p>
    <w:p w14:paraId="7F9BDAB5" w14:textId="4D728CC1" w:rsidR="00B95092" w:rsidRPr="0097459F" w:rsidRDefault="00070724" w:rsidP="00C20BBD">
      <w:pPr>
        <w:pStyle w:val="Normalalteradora"/>
        <w:rPr>
          <w:rFonts w:cstheme="minorHAnsi"/>
        </w:rPr>
      </w:pPr>
      <w:r w:rsidRPr="0097459F">
        <w:rPr>
          <w:rFonts w:cstheme="minorHAnsi"/>
        </w:rPr>
        <w:t>VII</w:t>
      </w:r>
      <w:r w:rsidR="00F44292" w:rsidRPr="0097459F">
        <w:rPr>
          <w:rFonts w:cstheme="minorHAnsi"/>
        </w:rPr>
        <w:t>I</w:t>
      </w:r>
      <w:r w:rsidR="00B95092" w:rsidRPr="0097459F">
        <w:rPr>
          <w:rFonts w:cstheme="minorHAnsi"/>
        </w:rPr>
        <w:t xml:space="preserve"> </w:t>
      </w:r>
      <w:r w:rsidR="00BE2765" w:rsidRPr="0097459F">
        <w:rPr>
          <w:rFonts w:cstheme="minorHAnsi"/>
        </w:rPr>
        <w:t>–</w:t>
      </w:r>
      <w:r w:rsidR="00077F3C" w:rsidRPr="0097459F">
        <w:rPr>
          <w:rFonts w:cstheme="minorHAnsi"/>
        </w:rPr>
        <w:t xml:space="preserve"> </w:t>
      </w:r>
      <w:r w:rsidR="00B95092" w:rsidRPr="0097459F">
        <w:rPr>
          <w:rFonts w:cstheme="minorHAnsi"/>
        </w:rPr>
        <w:t>integraliza</w:t>
      </w:r>
      <w:r w:rsidR="00077F3C" w:rsidRPr="0097459F">
        <w:rPr>
          <w:rFonts w:cstheme="minorHAnsi"/>
        </w:rPr>
        <w:t>ção de</w:t>
      </w:r>
      <w:r w:rsidR="00B95092" w:rsidRPr="0097459F">
        <w:rPr>
          <w:rFonts w:cstheme="minorHAnsi"/>
        </w:rPr>
        <w:t xml:space="preserve"> cotas de outr</w:t>
      </w:r>
      <w:r w:rsidR="00FB0FCD" w:rsidRPr="0097459F">
        <w:rPr>
          <w:rFonts w:cstheme="minorHAnsi"/>
        </w:rPr>
        <w:t>a</w:t>
      </w:r>
      <w:r w:rsidR="00B95092" w:rsidRPr="0097459F">
        <w:rPr>
          <w:rFonts w:cstheme="minorHAnsi"/>
        </w:rPr>
        <w:t>s classes</w:t>
      </w:r>
      <w:r w:rsidR="00FB7069" w:rsidRPr="0097459F">
        <w:rPr>
          <w:rFonts w:cstheme="minorHAnsi"/>
        </w:rPr>
        <w:t>, passando</w:t>
      </w:r>
      <w:r w:rsidR="00B95092" w:rsidRPr="0097459F">
        <w:rPr>
          <w:rFonts w:cstheme="minorHAnsi"/>
        </w:rPr>
        <w:t xml:space="preserve"> assim </w:t>
      </w:r>
      <w:r w:rsidR="00856AA9" w:rsidRPr="0097459F">
        <w:rPr>
          <w:rFonts w:cstheme="minorHAnsi"/>
        </w:rPr>
        <w:t>à</w:t>
      </w:r>
      <w:r w:rsidR="00B95092" w:rsidRPr="0097459F">
        <w:rPr>
          <w:rFonts w:cstheme="minorHAnsi"/>
        </w:rPr>
        <w:t xml:space="preserve"> propriedade da classe cujas cotas foram integralizadas</w:t>
      </w:r>
      <w:r w:rsidR="00856AA9" w:rsidRPr="0097459F">
        <w:rPr>
          <w:rFonts w:cstheme="minorHAnsi"/>
        </w:rPr>
        <w:t>; e</w:t>
      </w:r>
    </w:p>
    <w:p w14:paraId="399EB0F7" w14:textId="7DE80C59" w:rsidR="00856AA9" w:rsidRDefault="00070724" w:rsidP="00C20BBD">
      <w:pPr>
        <w:pStyle w:val="Normalalteradora"/>
      </w:pPr>
      <w:r w:rsidRPr="0097459F">
        <w:t>I</w:t>
      </w:r>
      <w:r w:rsidR="2B993B23" w:rsidRPr="0097459F">
        <w:t>X</w:t>
      </w:r>
      <w:r w:rsidR="3BF44A73" w:rsidRPr="0097459F">
        <w:t xml:space="preserve"> –</w:t>
      </w:r>
      <w:r w:rsidR="00077F3C" w:rsidRPr="0097459F">
        <w:t xml:space="preserve"> </w:t>
      </w:r>
      <w:proofErr w:type="gramStart"/>
      <w:r w:rsidR="3BF44A73" w:rsidRPr="0097459F">
        <w:t>resgate ou amortização</w:t>
      </w:r>
      <w:proofErr w:type="gramEnd"/>
      <w:r w:rsidR="3BF44A73" w:rsidRPr="0097459F">
        <w:t xml:space="preserve"> de cotas em </w:t>
      </w:r>
      <w:r w:rsidR="00886F0A" w:rsidRPr="0097459F">
        <w:t>cotas de outras classes</w:t>
      </w:r>
      <w:r w:rsidR="3BF44A73" w:rsidRPr="0097459F">
        <w:t xml:space="preserve">, passando assim </w:t>
      </w:r>
      <w:r w:rsidR="002E3033" w:rsidRPr="0097459F">
        <w:t xml:space="preserve">essas últimas cotas </w:t>
      </w:r>
      <w:r w:rsidR="3BF44A73" w:rsidRPr="0097459F">
        <w:t xml:space="preserve">à propriedade do </w:t>
      </w:r>
      <w:r w:rsidR="002E3033" w:rsidRPr="0097459F">
        <w:t xml:space="preserve">investidor </w:t>
      </w:r>
      <w:r w:rsidR="3BF44A73" w:rsidRPr="0097459F">
        <w:t>cujas cotas foram resgatadas</w:t>
      </w:r>
      <w:r w:rsidR="000E0D99" w:rsidRPr="0097459F">
        <w:t xml:space="preserve"> ou amortizadas</w:t>
      </w:r>
      <w:r w:rsidR="3BF44A73" w:rsidRPr="0097459F">
        <w:t>.</w:t>
      </w:r>
    </w:p>
    <w:p w14:paraId="4A2EA4D2" w14:textId="595088B9" w:rsidR="001C07A7" w:rsidRDefault="001C07A7" w:rsidP="00DD4A5D">
      <w:pPr>
        <w:pStyle w:val="Normalalteradora"/>
        <w:rPr>
          <w:rFonts w:cstheme="minorHAnsi"/>
          <w:strike/>
        </w:rPr>
      </w:pPr>
      <w:r w:rsidRPr="00891BE6">
        <w:rPr>
          <w:strike/>
        </w:rPr>
        <w:t xml:space="preserve">Parágrafo único.  </w:t>
      </w:r>
      <w:r w:rsidR="00DD4A5D" w:rsidRPr="00891BE6">
        <w:rPr>
          <w:rFonts w:cstheme="minorHAnsi"/>
          <w:strike/>
        </w:rPr>
        <w:t>Nos casos previstos nos incisos VII a IX, o valor das cotas deve estar respaldado em laudo de avaliação elaborado por avaliador independente.</w:t>
      </w:r>
    </w:p>
    <w:p w14:paraId="019A017E" w14:textId="29AEF65C" w:rsidR="00891BE6" w:rsidRDefault="00891BE6" w:rsidP="00DD4A5D">
      <w:pPr>
        <w:pStyle w:val="Normalalteradora"/>
        <w:rPr>
          <w:rFonts w:cstheme="minorHAnsi"/>
        </w:rPr>
      </w:pPr>
      <w:r>
        <w:rPr>
          <w:rFonts w:cstheme="minorHAnsi"/>
        </w:rPr>
        <w:t>Parágrafo único. REVOGADO</w:t>
      </w:r>
    </w:p>
    <w:p w14:paraId="303FE1B7" w14:textId="69EF7CF8" w:rsidR="00891BE6" w:rsidRPr="00891BE6" w:rsidRDefault="00891B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Parágrafo único revogado </w:t>
      </w:r>
      <w:r w:rsidRPr="00D960C9">
        <w:rPr>
          <w:rFonts w:asciiTheme="minorHAnsi" w:hAnsiTheme="minorHAnsi" w:cstheme="minorHAnsi"/>
          <w:b/>
          <w:i/>
          <w:sz w:val="24"/>
          <w:szCs w:val="24"/>
        </w:rPr>
        <w:t xml:space="preserve">pela </w:t>
      </w:r>
      <w:r w:rsidR="00DB08D5">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p>
    <w:p w14:paraId="767ADF5E" w14:textId="5C7F48A2" w:rsidR="00893D49" w:rsidRPr="0097459F" w:rsidRDefault="00893D49" w:rsidP="00C20BBD">
      <w:pPr>
        <w:pStyle w:val="Normalalteradora"/>
        <w:rPr>
          <w:rFonts w:cstheme="minorHAnsi"/>
        </w:rPr>
      </w:pPr>
      <w:r w:rsidRPr="0097459F">
        <w:rPr>
          <w:rFonts w:cstheme="minorHAnsi"/>
        </w:rPr>
        <w:lastRenderedPageBreak/>
        <w:t xml:space="preserve">Art. 17.  </w:t>
      </w:r>
      <w:r w:rsidR="0059377A" w:rsidRPr="0097459F">
        <w:rPr>
          <w:rFonts w:cstheme="minorHAnsi"/>
        </w:rPr>
        <w:t>Sem prejuízo da portabilidade das cotas pelos seus titulares, a</w:t>
      </w:r>
      <w:r w:rsidRPr="0097459F">
        <w:rPr>
          <w:rFonts w:cstheme="minorHAnsi"/>
        </w:rPr>
        <w:t>s cotas de classe fechada e seus direitos de subscrição podem ser transferidos</w:t>
      </w:r>
      <w:r w:rsidR="0059377A" w:rsidRPr="0097459F">
        <w:rPr>
          <w:rFonts w:cstheme="minorHAnsi"/>
        </w:rPr>
        <w:t>,</w:t>
      </w:r>
      <w:r w:rsidRPr="0097459F">
        <w:rPr>
          <w:rFonts w:cstheme="minorHAnsi"/>
        </w:rPr>
        <w:t xml:space="preserve"> </w:t>
      </w:r>
      <w:r w:rsidR="0059377A" w:rsidRPr="0097459F">
        <w:rPr>
          <w:rFonts w:cstheme="minorHAnsi"/>
        </w:rPr>
        <w:t xml:space="preserve">seja por meio de </w:t>
      </w:r>
      <w:r w:rsidRPr="0097459F">
        <w:rPr>
          <w:rFonts w:cstheme="minorHAnsi"/>
        </w:rPr>
        <w:t xml:space="preserve">termo de cessão e transferência, assinado pelo cedente e pelo cessionário, ou por meio de negociação </w:t>
      </w:r>
      <w:r w:rsidR="0059377A" w:rsidRPr="0097459F">
        <w:rPr>
          <w:rFonts w:cstheme="minorHAnsi"/>
        </w:rPr>
        <w:t xml:space="preserve">em </w:t>
      </w:r>
      <w:r w:rsidRPr="0097459F">
        <w:rPr>
          <w:rFonts w:cstheme="minorHAnsi"/>
        </w:rPr>
        <w:t>mercado organizado.</w:t>
      </w:r>
    </w:p>
    <w:p w14:paraId="62D80950" w14:textId="1AA9B0EE"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transferência de titularidade das cotas de classe fechada fica condicionada à verificação, pelo administrador, do atendimento das formalidades estabelecidas no regulamento</w:t>
      </w:r>
      <w:r w:rsidR="00C959D1" w:rsidRPr="0097459F">
        <w:t>,</w:t>
      </w:r>
      <w:r w:rsidR="004C1956" w:rsidRPr="0097459F">
        <w:rPr>
          <w:rFonts w:cstheme="minorHAnsi"/>
        </w:rPr>
        <w:t xml:space="preserve"> </w:t>
      </w:r>
      <w:r w:rsidRPr="0097459F">
        <w:rPr>
          <w:rFonts w:cstheme="minorHAnsi"/>
        </w:rPr>
        <w:t>nesta Resolução e demais regulamentações específicas.</w:t>
      </w:r>
    </w:p>
    <w:p w14:paraId="14EA3F1F" w14:textId="78F3A0FA"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Na</w:t>
      </w:r>
      <w:proofErr w:type="gramEnd"/>
      <w:r w:rsidRPr="0097459F">
        <w:rPr>
          <w:rFonts w:cstheme="minorHAnsi"/>
        </w:rPr>
        <w:t xml:space="preserve"> hipótese de transferência por meio de negociação em mercado organizado, cabe ao intermediário verificar o atendimento das formalidades estabelecidas no regulamento e nesta Resolução</w:t>
      </w:r>
      <w:r w:rsidR="001C2DA5" w:rsidRPr="0097459F">
        <w:rPr>
          <w:rFonts w:cstheme="minorHAnsi"/>
        </w:rPr>
        <w:t xml:space="preserve"> e demais regulamentações específicas</w:t>
      </w:r>
      <w:r w:rsidRPr="0097459F">
        <w:rPr>
          <w:rFonts w:cstheme="minorHAnsi"/>
        </w:rPr>
        <w:t>.</w:t>
      </w:r>
    </w:p>
    <w:p w14:paraId="798441CE" w14:textId="02C235A8" w:rsidR="00893D49" w:rsidRPr="0097459F" w:rsidRDefault="00893D49" w:rsidP="00C20BBD">
      <w:pPr>
        <w:pStyle w:val="Normalalteradora"/>
        <w:rPr>
          <w:rFonts w:cstheme="minorHAnsi"/>
        </w:rPr>
      </w:pPr>
      <w:bookmarkStart w:id="63" w:name="_Hlk44234943"/>
      <w:r w:rsidRPr="0097459F">
        <w:rPr>
          <w:rFonts w:cstheme="minorHAnsi"/>
        </w:rPr>
        <w:t xml:space="preserve">Art. 18.  O regulamento pode </w:t>
      </w:r>
      <w:r w:rsidR="00E676EA" w:rsidRPr="0097459F">
        <w:rPr>
          <w:rFonts w:cstheme="minorHAnsi"/>
        </w:rPr>
        <w:t xml:space="preserve">prever que </w:t>
      </w:r>
      <w:r w:rsidRPr="0097459F">
        <w:rPr>
          <w:rFonts w:cstheme="minorHAnsi"/>
        </w:rPr>
        <w:t xml:space="preserve">a responsabilidade do cotista </w:t>
      </w:r>
      <w:r w:rsidR="00273C0F" w:rsidRPr="0097459F">
        <w:rPr>
          <w:rFonts w:cstheme="minorHAnsi"/>
        </w:rPr>
        <w:t xml:space="preserve">é </w:t>
      </w:r>
      <w:r w:rsidR="00E676EA" w:rsidRPr="0097459F">
        <w:rPr>
          <w:rFonts w:cstheme="minorHAnsi"/>
        </w:rPr>
        <w:t xml:space="preserve">limitada ao </w:t>
      </w:r>
      <w:r w:rsidRPr="0097459F">
        <w:rPr>
          <w:rFonts w:cstheme="minorHAnsi"/>
        </w:rPr>
        <w:t xml:space="preserve">valor por ele subscrito. </w:t>
      </w:r>
    </w:p>
    <w:p w14:paraId="61DD68DB" w14:textId="534874EB" w:rsidR="00893D49" w:rsidRPr="0097459F" w:rsidRDefault="00893D49" w:rsidP="00C20BBD">
      <w:pPr>
        <w:pStyle w:val="Normalalteradora"/>
        <w:rPr>
          <w:rFonts w:cstheme="minorHAnsi"/>
        </w:rPr>
      </w:pPr>
      <w:r w:rsidRPr="0097459F">
        <w:rPr>
          <w:rFonts w:cstheme="minorHAnsi"/>
        </w:rPr>
        <w:t xml:space="preserve">Parágrafo único.  Caso o regulamento </w:t>
      </w:r>
      <w:r w:rsidR="00CF5080" w:rsidRPr="0097459F">
        <w:rPr>
          <w:rFonts w:cstheme="minorHAnsi"/>
        </w:rPr>
        <w:t xml:space="preserve">não </w:t>
      </w:r>
      <w:r w:rsidRPr="0097459F">
        <w:rPr>
          <w:rFonts w:cstheme="minorHAnsi"/>
        </w:rPr>
        <w:t>limite a responsabilidade do cotista, os cotistas respondem por eventual patrimônio líquido negativo, sem prejuízo da responsabilidade</w:t>
      </w:r>
      <w:bookmarkEnd w:id="63"/>
      <w:r w:rsidR="00B56C26" w:rsidRPr="0097459F">
        <w:rPr>
          <w:rFonts w:cstheme="minorHAnsi"/>
        </w:rPr>
        <w:t xml:space="preserve"> do prestador de serviço </w:t>
      </w:r>
      <w:r w:rsidR="00B56C26" w:rsidRPr="0097459F">
        <w:rPr>
          <w:rFonts w:cstheme="minorHAnsi"/>
          <w:shd w:val="clear" w:color="auto" w:fill="FFFFFF"/>
        </w:rPr>
        <w:t>pelos prejuízos que causar quando proceder com dolo</w:t>
      </w:r>
      <w:r w:rsidR="00B56C26" w:rsidRPr="0097459F">
        <w:rPr>
          <w:shd w:val="clear" w:color="auto" w:fill="FFFFFF"/>
        </w:rPr>
        <w:t xml:space="preserve"> ou </w:t>
      </w:r>
      <w:r w:rsidR="00B56C26" w:rsidRPr="0097459F">
        <w:rPr>
          <w:rFonts w:cstheme="minorHAnsi"/>
          <w:shd w:val="clear" w:color="auto" w:fill="FFFFFF"/>
        </w:rPr>
        <w:t>má-fé</w:t>
      </w:r>
      <w:r w:rsidRPr="0097459F">
        <w:rPr>
          <w:rFonts w:cstheme="minorHAnsi"/>
        </w:rPr>
        <w:t>.</w:t>
      </w:r>
    </w:p>
    <w:p w14:paraId="060C7E7E" w14:textId="77777777" w:rsidR="00893D49" w:rsidRPr="0097459F" w:rsidRDefault="00893D49" w:rsidP="00C20BBD">
      <w:pPr>
        <w:pStyle w:val="Seo"/>
        <w:rPr>
          <w:rFonts w:asciiTheme="minorHAnsi" w:hAnsiTheme="minorHAnsi"/>
        </w:rPr>
      </w:pPr>
      <w:bookmarkStart w:id="64" w:name="_Toc53594434"/>
      <w:bookmarkStart w:id="65" w:name="_Toc53595459"/>
      <w:bookmarkStart w:id="66" w:name="_Toc53594186"/>
      <w:bookmarkStart w:id="67" w:name="_Toc114818966"/>
      <w:bookmarkStart w:id="68" w:name="_Toc57836194"/>
      <w:bookmarkStart w:id="69" w:name="_Toc161141196"/>
      <w:r w:rsidRPr="0097459F">
        <w:rPr>
          <w:rFonts w:asciiTheme="minorHAnsi" w:hAnsiTheme="minorHAnsi"/>
        </w:rPr>
        <w:t>Seção II – Emissão</w:t>
      </w:r>
      <w:bookmarkEnd w:id="64"/>
      <w:bookmarkEnd w:id="65"/>
      <w:bookmarkEnd w:id="66"/>
      <w:bookmarkEnd w:id="67"/>
      <w:bookmarkEnd w:id="68"/>
      <w:bookmarkEnd w:id="69"/>
    </w:p>
    <w:p w14:paraId="285D4E97" w14:textId="75B937DB" w:rsidR="00893D49" w:rsidRPr="0097459F" w:rsidRDefault="4AF9F487" w:rsidP="00C20BBD">
      <w:pPr>
        <w:pStyle w:val="Normalalteradora"/>
      </w:pPr>
      <w:r w:rsidRPr="0097459F">
        <w:t xml:space="preserve">Art. 19.  Na emissão </w:t>
      </w:r>
      <w:r w:rsidR="12D1B484" w:rsidRPr="0097459F">
        <w:t xml:space="preserve">de </w:t>
      </w:r>
      <w:r w:rsidRPr="0097459F">
        <w:t xml:space="preserve">cotas de classe aberta deve ser utilizado o valor da cota do dia ou do dia seguinte ao da data da </w:t>
      </w:r>
      <w:r w:rsidR="4F38BA48" w:rsidRPr="0097459F">
        <w:t>integralizaç</w:t>
      </w:r>
      <w:r w:rsidR="26F087A8" w:rsidRPr="0097459F">
        <w:t>ão</w:t>
      </w:r>
      <w:r w:rsidRPr="0097459F">
        <w:t>, segundo o disposto no regulamento.</w:t>
      </w:r>
    </w:p>
    <w:p w14:paraId="6B6EB291" w14:textId="6F752384" w:rsidR="008A7DB7" w:rsidRPr="0097459F" w:rsidRDefault="008A7DB7" w:rsidP="00C20BBD">
      <w:pPr>
        <w:pStyle w:val="Normalalteradora"/>
        <w:rPr>
          <w:rFonts w:cstheme="minorHAnsi"/>
        </w:rPr>
      </w:pPr>
      <w:r w:rsidRPr="0097459F">
        <w:rPr>
          <w:rFonts w:cstheme="minorHAnsi"/>
        </w:rPr>
        <w:t xml:space="preserve">Art. </w:t>
      </w:r>
      <w:r w:rsidR="00C907E6" w:rsidRPr="0097459F">
        <w:rPr>
          <w:rFonts w:cstheme="minorHAnsi"/>
        </w:rPr>
        <w:t>20</w:t>
      </w:r>
      <w:r w:rsidRPr="0097459F">
        <w:rPr>
          <w:rFonts w:cstheme="minorHAnsi"/>
        </w:rPr>
        <w:t>.  Na emissão de cotas de classe fechada deve ser utilizado o valor definido ou calculado conforme definido na assembleia de cotistas que deliberou a emissão.</w:t>
      </w:r>
    </w:p>
    <w:p w14:paraId="782055ED" w14:textId="4755E47C" w:rsidR="008A7DB7" w:rsidRPr="0097459F" w:rsidRDefault="008A7DB7" w:rsidP="00C20BBD">
      <w:pPr>
        <w:pStyle w:val="Normalalteradora"/>
        <w:rPr>
          <w:rFonts w:cstheme="minorHAnsi"/>
        </w:rPr>
      </w:pPr>
      <w:r w:rsidRPr="0097459F">
        <w:rPr>
          <w:rFonts w:cstheme="minorHAnsi"/>
        </w:rPr>
        <w:t>§ 1</w:t>
      </w:r>
      <w:proofErr w:type="gramStart"/>
      <w:r w:rsidRPr="0097459F">
        <w:rPr>
          <w:rFonts w:cstheme="minorHAnsi"/>
        </w:rPr>
        <w:t>º  O</w:t>
      </w:r>
      <w:proofErr w:type="gramEnd"/>
      <w:r w:rsidRPr="0097459F">
        <w:rPr>
          <w:rFonts w:cstheme="minorHAnsi"/>
        </w:rPr>
        <w:t xml:space="preserve"> regulamento pode estabelecer </w:t>
      </w:r>
      <w:r w:rsidR="006C7DF3" w:rsidRPr="0097459F">
        <w:rPr>
          <w:rFonts w:cstheme="minorHAnsi"/>
        </w:rPr>
        <w:t>método para o cálculo d</w:t>
      </w:r>
      <w:r w:rsidRPr="0097459F">
        <w:rPr>
          <w:rFonts w:cstheme="minorHAnsi"/>
        </w:rPr>
        <w:t>o valor de emissão</w:t>
      </w:r>
      <w:r w:rsidR="006C4989" w:rsidRPr="0097459F">
        <w:rPr>
          <w:rFonts w:cstheme="minorHAnsi"/>
        </w:rPr>
        <w:t>, que deve ser consistente e passível de verificação</w:t>
      </w:r>
      <w:r w:rsidR="00BD6F8B" w:rsidRPr="0097459F">
        <w:rPr>
          <w:rFonts w:cstheme="minorHAnsi"/>
        </w:rPr>
        <w:t>, o que dispensa a definição na assembleia</w:t>
      </w:r>
      <w:r w:rsidRPr="0097459F">
        <w:rPr>
          <w:rFonts w:cstheme="minorHAnsi"/>
        </w:rPr>
        <w:t>.</w:t>
      </w:r>
    </w:p>
    <w:p w14:paraId="44B25A27" w14:textId="04743FA1" w:rsidR="008A7DB7" w:rsidRPr="0097459F" w:rsidRDefault="008A7DB7" w:rsidP="00C20BBD">
      <w:pPr>
        <w:pStyle w:val="Normalalteradora"/>
        <w:rPr>
          <w:rFonts w:cstheme="minorHAnsi"/>
        </w:rPr>
      </w:pPr>
      <w:r w:rsidRPr="0097459F">
        <w:rPr>
          <w:rFonts w:cstheme="minorHAnsi"/>
        </w:rPr>
        <w:t>§ 2</w:t>
      </w:r>
      <w:proofErr w:type="gramStart"/>
      <w:r w:rsidRPr="0097459F">
        <w:rPr>
          <w:rFonts w:cstheme="minorHAnsi"/>
        </w:rPr>
        <w:t xml:space="preserve">º  </w:t>
      </w:r>
      <w:r w:rsidR="006C4989" w:rsidRPr="0097459F">
        <w:rPr>
          <w:rFonts w:cstheme="minorHAnsi"/>
        </w:rPr>
        <w:t>Caso</w:t>
      </w:r>
      <w:proofErr w:type="gramEnd"/>
      <w:r w:rsidR="006C4989" w:rsidRPr="0097459F">
        <w:rPr>
          <w:rFonts w:cstheme="minorHAnsi"/>
        </w:rPr>
        <w:t xml:space="preserve"> a emissão seja uma decisão do gestor, nos termos do art. </w:t>
      </w:r>
      <w:r w:rsidR="00541B67" w:rsidRPr="0097459F">
        <w:rPr>
          <w:rFonts w:cstheme="minorHAnsi"/>
        </w:rPr>
        <w:t>48</w:t>
      </w:r>
      <w:r w:rsidR="006C4989" w:rsidRPr="0097459F">
        <w:rPr>
          <w:rFonts w:cstheme="minorHAnsi"/>
        </w:rPr>
        <w:t>, § 2º, VI</w:t>
      </w:r>
      <w:r w:rsidR="00E12589">
        <w:rPr>
          <w:rFonts w:cstheme="minorHAnsi"/>
        </w:rPr>
        <w:t>I</w:t>
      </w:r>
      <w:r w:rsidR="006C4989" w:rsidRPr="0097459F">
        <w:rPr>
          <w:rFonts w:cstheme="minorHAnsi"/>
        </w:rPr>
        <w:t xml:space="preserve">, deve ser utilizado </w:t>
      </w:r>
      <w:r w:rsidR="00412EAD" w:rsidRPr="0097459F">
        <w:rPr>
          <w:rFonts w:cstheme="minorHAnsi"/>
        </w:rPr>
        <w:t xml:space="preserve">o </w:t>
      </w:r>
      <w:r w:rsidR="006C4989" w:rsidRPr="0097459F">
        <w:rPr>
          <w:rFonts w:cstheme="minorHAnsi"/>
        </w:rPr>
        <w:t>método previsto no regulamento</w:t>
      </w:r>
      <w:r w:rsidR="00BD6F8B" w:rsidRPr="0097459F">
        <w:rPr>
          <w:rFonts w:cstheme="minorHAnsi"/>
        </w:rPr>
        <w:t>, conforme</w:t>
      </w:r>
      <w:r w:rsidR="00412EAD" w:rsidRPr="0097459F">
        <w:rPr>
          <w:rFonts w:cstheme="minorHAnsi"/>
        </w:rPr>
        <w:t xml:space="preserve"> previsto no § 1º</w:t>
      </w:r>
      <w:r w:rsidR="00541B67" w:rsidRPr="0097459F">
        <w:rPr>
          <w:rFonts w:cstheme="minorHAnsi"/>
        </w:rPr>
        <w:t xml:space="preserve"> deste artigo</w:t>
      </w:r>
      <w:r w:rsidR="006C4989" w:rsidRPr="0097459F">
        <w:rPr>
          <w:rFonts w:cstheme="minorHAnsi"/>
        </w:rPr>
        <w:t>.</w:t>
      </w:r>
    </w:p>
    <w:p w14:paraId="1E9CADC8" w14:textId="77777777" w:rsidR="00893D49" w:rsidRPr="0097459F" w:rsidRDefault="00893D49" w:rsidP="00C20BBD">
      <w:pPr>
        <w:pStyle w:val="Seo"/>
        <w:rPr>
          <w:rFonts w:asciiTheme="minorHAnsi" w:hAnsiTheme="minorHAnsi" w:cstheme="minorHAnsi"/>
        </w:rPr>
      </w:pPr>
      <w:bookmarkStart w:id="70" w:name="_Toc53594435"/>
      <w:bookmarkStart w:id="71" w:name="_Toc53595460"/>
      <w:bookmarkStart w:id="72" w:name="_Toc53594187"/>
      <w:bookmarkStart w:id="73" w:name="_Toc114818967"/>
      <w:bookmarkStart w:id="74" w:name="_Toc57836195"/>
      <w:bookmarkStart w:id="75" w:name="_Toc161141197"/>
      <w:r w:rsidRPr="0097459F">
        <w:rPr>
          <w:rFonts w:asciiTheme="minorHAnsi" w:hAnsiTheme="minorHAnsi" w:cstheme="minorHAnsi"/>
        </w:rPr>
        <w:lastRenderedPageBreak/>
        <w:t xml:space="preserve">Seção III – </w:t>
      </w:r>
      <w:r w:rsidRPr="0097459F">
        <w:rPr>
          <w:rFonts w:asciiTheme="minorHAnsi" w:hAnsiTheme="minorHAnsi"/>
        </w:rPr>
        <w:t>Distribuição</w:t>
      </w:r>
      <w:bookmarkEnd w:id="70"/>
      <w:bookmarkEnd w:id="71"/>
      <w:bookmarkEnd w:id="72"/>
      <w:bookmarkEnd w:id="73"/>
      <w:bookmarkEnd w:id="74"/>
      <w:bookmarkEnd w:id="75"/>
    </w:p>
    <w:p w14:paraId="7BC38A99" w14:textId="77777777" w:rsidR="00893D49" w:rsidRPr="0097459F" w:rsidRDefault="00893D49" w:rsidP="00C20BBD">
      <w:pPr>
        <w:pStyle w:val="Seo"/>
        <w:rPr>
          <w:rFonts w:asciiTheme="minorHAnsi" w:hAnsiTheme="minorHAnsi" w:cstheme="minorHAnsi"/>
        </w:rPr>
      </w:pPr>
      <w:bookmarkStart w:id="76" w:name="_Toc53594436"/>
      <w:bookmarkStart w:id="77" w:name="_Toc53595461"/>
      <w:bookmarkStart w:id="78" w:name="_Toc53594188"/>
      <w:bookmarkStart w:id="79" w:name="_Toc114818968"/>
      <w:bookmarkStart w:id="80" w:name="_Toc57836196"/>
      <w:bookmarkStart w:id="81" w:name="_Toc161141198"/>
      <w:r w:rsidRPr="0097459F">
        <w:rPr>
          <w:rFonts w:asciiTheme="minorHAnsi" w:hAnsiTheme="minorHAnsi" w:cstheme="minorHAnsi"/>
        </w:rPr>
        <w:t xml:space="preserve">Subseção I – </w:t>
      </w:r>
      <w:r w:rsidRPr="0097459F">
        <w:rPr>
          <w:rFonts w:asciiTheme="minorHAnsi" w:hAnsiTheme="minorHAnsi"/>
        </w:rPr>
        <w:t>Disposições</w:t>
      </w:r>
      <w:r w:rsidRPr="0097459F">
        <w:rPr>
          <w:rFonts w:asciiTheme="minorHAnsi" w:hAnsiTheme="minorHAnsi" w:cstheme="minorHAnsi"/>
        </w:rPr>
        <w:t xml:space="preserve"> Gerais</w:t>
      </w:r>
      <w:bookmarkEnd w:id="76"/>
      <w:bookmarkEnd w:id="77"/>
      <w:bookmarkEnd w:id="78"/>
      <w:bookmarkEnd w:id="79"/>
      <w:bookmarkEnd w:id="80"/>
      <w:bookmarkEnd w:id="81"/>
    </w:p>
    <w:p w14:paraId="17A91196" w14:textId="5949AA7B" w:rsidR="00893D49" w:rsidRPr="0097459F" w:rsidRDefault="4AF9F487" w:rsidP="00C20BBD">
      <w:pPr>
        <w:pStyle w:val="Normalalteradora"/>
      </w:pPr>
      <w:r w:rsidRPr="0097459F">
        <w:t>Art. 2</w:t>
      </w:r>
      <w:r w:rsidR="00C907E6" w:rsidRPr="0097459F">
        <w:t>1</w:t>
      </w:r>
      <w:r w:rsidRPr="0097459F">
        <w:t xml:space="preserve">.  A distribuição de cotas deve ser realizada por instituições habilitadas a atuar como integrantes do sistema de distribuição, </w:t>
      </w:r>
      <w:r w:rsidRPr="0097459F">
        <w:rPr>
          <w:rFonts w:eastAsia="Calibri"/>
          <w:color w:val="000000" w:themeColor="text1"/>
        </w:rPr>
        <w:t xml:space="preserve">ressalvadas as dispensas previstas </w:t>
      </w:r>
      <w:r w:rsidR="009840B3" w:rsidRPr="0097459F">
        <w:rPr>
          <w:rFonts w:eastAsia="Calibri"/>
          <w:color w:val="000000" w:themeColor="text1"/>
        </w:rPr>
        <w:t>em</w:t>
      </w:r>
      <w:r w:rsidRPr="0097459F">
        <w:rPr>
          <w:rFonts w:eastAsia="Calibri"/>
          <w:color w:val="000000" w:themeColor="text1"/>
        </w:rPr>
        <w:t xml:space="preserve"> regulamentações específicas</w:t>
      </w:r>
      <w:r w:rsidRPr="0097459F">
        <w:t>.</w:t>
      </w:r>
    </w:p>
    <w:p w14:paraId="4C1460A9" w14:textId="7DC3EDED"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distribuição referida no </w:t>
      </w:r>
      <w:r w:rsidRPr="0097459F">
        <w:rPr>
          <w:rFonts w:cstheme="minorHAnsi"/>
          <w:b/>
        </w:rPr>
        <w:t>caput</w:t>
      </w:r>
      <w:r w:rsidRPr="0097459F">
        <w:rPr>
          <w:rFonts w:cstheme="minorHAnsi"/>
        </w:rPr>
        <w:t xml:space="preserve"> pode ser realizada exclusivamente por meios eletrônicos.</w:t>
      </w:r>
    </w:p>
    <w:p w14:paraId="44CD23F0" w14:textId="36668E9A"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O</w:t>
      </w:r>
      <w:proofErr w:type="gramEnd"/>
      <w:r w:rsidRPr="0097459F">
        <w:rPr>
          <w:rFonts w:cstheme="minorHAnsi"/>
        </w:rPr>
        <w:t xml:space="preserve"> </w:t>
      </w:r>
      <w:r w:rsidR="00A05307" w:rsidRPr="0097459F">
        <w:rPr>
          <w:rFonts w:cstheme="minorHAnsi"/>
        </w:rPr>
        <w:t xml:space="preserve">gestor </w:t>
      </w:r>
      <w:r w:rsidRPr="0097459F">
        <w:rPr>
          <w:rFonts w:cstheme="minorHAnsi"/>
        </w:rPr>
        <w:t>é obrigado a:</w:t>
      </w:r>
    </w:p>
    <w:p w14:paraId="1B855296" w14:textId="23C16E9A" w:rsidR="00B11BBD" w:rsidRPr="0097459F" w:rsidRDefault="4AF9F487" w:rsidP="00C20BBD">
      <w:pPr>
        <w:pStyle w:val="Normalalteradora"/>
      </w:pPr>
      <w:r w:rsidRPr="0097459F">
        <w:t xml:space="preserve">I – </w:t>
      </w:r>
      <w:proofErr w:type="gramStart"/>
      <w:r w:rsidRPr="0097459F">
        <w:t>fornecer</w:t>
      </w:r>
      <w:proofErr w:type="gramEnd"/>
      <w:r w:rsidRPr="0097459F">
        <w:t xml:space="preserve"> aos distribuidores todo o material de divulgação </w:t>
      </w:r>
      <w:r w:rsidR="55B3092A" w:rsidRPr="0097459F">
        <w:t>da classe</w:t>
      </w:r>
      <w:r w:rsidRPr="0097459F">
        <w:t xml:space="preserve"> exigido pela regulamentação em vigor, respondendo pela </w:t>
      </w:r>
      <w:r w:rsidR="5F778061" w:rsidRPr="0097459F">
        <w:t>suficiência, veracidade, precisão, consistência e atualidade</w:t>
      </w:r>
      <w:r w:rsidR="5F778061" w:rsidRPr="0097459F">
        <w:rPr>
          <w:rStyle w:val="Refdecomentrio"/>
          <w:rFonts w:ascii="Times New Roman" w:eastAsia="Calibri" w:hAnsi="Times New Roman" w:cs="Times New Roman"/>
          <w:sz w:val="24"/>
          <w:szCs w:val="24"/>
          <w:lang w:eastAsia="en-US"/>
        </w:rPr>
        <w:t xml:space="preserve"> </w:t>
      </w:r>
      <w:r w:rsidRPr="0097459F">
        <w:t>das informações contidas no referido material;</w:t>
      </w:r>
      <w:r w:rsidR="6F96DD84" w:rsidRPr="0097459F">
        <w:t xml:space="preserve"> e</w:t>
      </w:r>
    </w:p>
    <w:p w14:paraId="4EB491DB" w14:textId="7733245A"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informar</w:t>
      </w:r>
      <w:proofErr w:type="gramEnd"/>
      <w:r w:rsidRPr="0097459F">
        <w:rPr>
          <w:rFonts w:cstheme="minorHAnsi"/>
        </w:rPr>
        <w:t xml:space="preserve"> aos distribuidores qualquer alteração que ocorra </w:t>
      </w:r>
      <w:r w:rsidR="00A05307" w:rsidRPr="0097459F">
        <w:rPr>
          <w:rFonts w:cstheme="minorHAnsi"/>
        </w:rPr>
        <w:t>na classe</w:t>
      </w:r>
      <w:r w:rsidRPr="0097459F">
        <w:rPr>
          <w:rFonts w:cstheme="minorHAnsi"/>
        </w:rPr>
        <w:t xml:space="preserve">, especialmente se decorrente da mudança do regulamento, hipótese em que o </w:t>
      </w:r>
      <w:r w:rsidR="007A74CE" w:rsidRPr="0097459F">
        <w:rPr>
          <w:rFonts w:cstheme="minorHAnsi"/>
        </w:rPr>
        <w:t xml:space="preserve">gestor </w:t>
      </w:r>
      <w:r w:rsidR="00273C0F" w:rsidRPr="0097459F">
        <w:rPr>
          <w:rFonts w:cstheme="minorHAnsi"/>
        </w:rPr>
        <w:t xml:space="preserve">deve </w:t>
      </w:r>
      <w:r w:rsidRPr="0097459F">
        <w:rPr>
          <w:rFonts w:cstheme="minorHAnsi"/>
        </w:rPr>
        <w:t xml:space="preserve">imediatamente </w:t>
      </w:r>
      <w:r w:rsidR="00273C0F" w:rsidRPr="0097459F">
        <w:rPr>
          <w:rFonts w:cstheme="minorHAnsi"/>
        </w:rPr>
        <w:t>enviar</w:t>
      </w:r>
      <w:r w:rsidRPr="0097459F">
        <w:rPr>
          <w:rFonts w:cstheme="minorHAnsi"/>
        </w:rPr>
        <w:t xml:space="preserve"> o material de divulgação </w:t>
      </w:r>
      <w:r w:rsidR="00565F65" w:rsidRPr="0097459F">
        <w:rPr>
          <w:rFonts w:cstheme="minorHAnsi"/>
        </w:rPr>
        <w:t>atualizado aos</w:t>
      </w:r>
      <w:r w:rsidRPr="0097459F">
        <w:rPr>
          <w:rFonts w:cstheme="minorHAnsi"/>
        </w:rPr>
        <w:t xml:space="preserve"> distribuidores contratados</w:t>
      </w:r>
      <w:r w:rsidR="00565F65" w:rsidRPr="0097459F">
        <w:rPr>
          <w:rFonts w:cstheme="minorHAnsi"/>
        </w:rPr>
        <w:t xml:space="preserve"> para que o substituam</w:t>
      </w:r>
      <w:r w:rsidR="00A340D2" w:rsidRPr="0097459F">
        <w:rPr>
          <w:rFonts w:cstheme="minorHAnsi"/>
        </w:rPr>
        <w:t>.</w:t>
      </w:r>
    </w:p>
    <w:p w14:paraId="5C559048" w14:textId="480BEAF4" w:rsidR="00893D49" w:rsidRPr="009827B9" w:rsidRDefault="00893D49" w:rsidP="00EB3D96">
      <w:pPr>
        <w:pStyle w:val="Seo"/>
      </w:pPr>
      <w:bookmarkStart w:id="82" w:name="_Toc53594437"/>
      <w:bookmarkStart w:id="83" w:name="_Toc53595462"/>
      <w:bookmarkStart w:id="84" w:name="_Toc53594189"/>
      <w:bookmarkStart w:id="85" w:name="_Toc114818970"/>
      <w:bookmarkStart w:id="86" w:name="_Toc57836197"/>
      <w:bookmarkStart w:id="87" w:name="_Toc161141199"/>
      <w:r w:rsidRPr="002F65FD">
        <w:rPr>
          <w:rFonts w:cstheme="minorHAnsi"/>
        </w:rPr>
        <w:t>Subseção</w:t>
      </w:r>
      <w:r w:rsidRPr="002F65FD">
        <w:t xml:space="preserve"> II – Regime Aberto</w:t>
      </w:r>
      <w:bookmarkEnd w:id="82"/>
      <w:bookmarkEnd w:id="83"/>
      <w:bookmarkEnd w:id="84"/>
      <w:bookmarkEnd w:id="85"/>
      <w:bookmarkEnd w:id="86"/>
      <w:bookmarkEnd w:id="87"/>
    </w:p>
    <w:p w14:paraId="598CFE39" w14:textId="59E03AF8" w:rsidR="00893D49" w:rsidRPr="0097459F" w:rsidRDefault="00893D49" w:rsidP="00C20BBD">
      <w:pPr>
        <w:pStyle w:val="Normalalteradora"/>
        <w:rPr>
          <w:rFonts w:cstheme="minorHAnsi"/>
        </w:rPr>
      </w:pPr>
      <w:r w:rsidRPr="0097459F">
        <w:rPr>
          <w:rFonts w:cstheme="minorHAnsi"/>
        </w:rPr>
        <w:t xml:space="preserve">Art. </w:t>
      </w:r>
      <w:r w:rsidR="00D04111" w:rsidRPr="0097459F">
        <w:rPr>
          <w:rFonts w:cstheme="minorHAnsi"/>
        </w:rPr>
        <w:t>2</w:t>
      </w:r>
      <w:r w:rsidRPr="0097459F">
        <w:rPr>
          <w:rFonts w:cstheme="minorHAnsi"/>
        </w:rPr>
        <w:t>2.  A distribuição de cotas de classe aberta independe de prévio registro na CVM.</w:t>
      </w:r>
    </w:p>
    <w:p w14:paraId="1101AD9F" w14:textId="56D93A86" w:rsidR="00893D49" w:rsidRPr="0097459F" w:rsidRDefault="4AF9F487" w:rsidP="00C20BBD">
      <w:pPr>
        <w:pStyle w:val="Normalalteradora"/>
      </w:pPr>
      <w:r w:rsidRPr="0097459F">
        <w:t xml:space="preserve">Parágrafo único.  É </w:t>
      </w:r>
      <w:r w:rsidR="00E873AC" w:rsidRPr="0097459F">
        <w:t xml:space="preserve">opcional </w:t>
      </w:r>
      <w:r w:rsidRPr="0097459F">
        <w:t xml:space="preserve">a intermediação de instituição integrante do sistema de distribuição de valores mobiliários na aquisição de cotas </w:t>
      </w:r>
      <w:r w:rsidR="00E873AC" w:rsidRPr="0097459F">
        <w:t xml:space="preserve">por </w:t>
      </w:r>
      <w:r w:rsidRPr="0097459F">
        <w:t xml:space="preserve">classes </w:t>
      </w:r>
      <w:r w:rsidR="335E2172" w:rsidRPr="0097459F">
        <w:t xml:space="preserve">abertas </w:t>
      </w:r>
      <w:r w:rsidR="297487FC" w:rsidRPr="0097459F">
        <w:t>de outros fundos</w:t>
      </w:r>
      <w:r w:rsidRPr="0097459F">
        <w:t>, desde que</w:t>
      </w:r>
      <w:r w:rsidR="1C781EDD" w:rsidRPr="0097459F">
        <w:t xml:space="preserve"> um dos</w:t>
      </w:r>
      <w:r w:rsidRPr="0097459F">
        <w:t xml:space="preserve"> </w:t>
      </w:r>
      <w:r w:rsidR="1C781EDD" w:rsidRPr="0097459F">
        <w:t>prestadores de serviços essenciais</w:t>
      </w:r>
      <w:r w:rsidR="5B8F2B69" w:rsidRPr="0097459F">
        <w:t xml:space="preserve"> </w:t>
      </w:r>
      <w:r w:rsidR="335E2172" w:rsidRPr="0097459F">
        <w:t>da classe investida</w:t>
      </w:r>
      <w:r w:rsidRPr="0097459F">
        <w:t xml:space="preserve"> fique responsável pelas atividades de prevenção à lavagem de dinheiro e ao financiamento do terrorismo </w:t>
      </w:r>
      <w:r w:rsidR="5B8F2B69" w:rsidRPr="0097459F">
        <w:t xml:space="preserve">e proliferação de armas de destruição em massa </w:t>
      </w:r>
      <w:r w:rsidRPr="0097459F">
        <w:t>– PLD</w:t>
      </w:r>
      <w:r w:rsidR="5B8F2B69" w:rsidRPr="0097459F">
        <w:t>/</w:t>
      </w:r>
      <w:r w:rsidRPr="0097459F">
        <w:t>FT</w:t>
      </w:r>
      <w:r w:rsidR="5B8F2B69" w:rsidRPr="0097459F">
        <w:t>P</w:t>
      </w:r>
      <w:r w:rsidRPr="0097459F">
        <w:t>.</w:t>
      </w:r>
    </w:p>
    <w:p w14:paraId="086E693C" w14:textId="5E3DCDE9" w:rsidR="00893D49" w:rsidRPr="0097459F" w:rsidRDefault="00893D49" w:rsidP="00C20BBD">
      <w:pPr>
        <w:pStyle w:val="Normalalteradora"/>
        <w:rPr>
          <w:rFonts w:cstheme="minorHAnsi"/>
        </w:rPr>
      </w:pPr>
      <w:r w:rsidRPr="0097459F">
        <w:rPr>
          <w:rFonts w:cstheme="minorHAnsi"/>
        </w:rPr>
        <w:t>Art. 2</w:t>
      </w:r>
      <w:r w:rsidR="00D04111" w:rsidRPr="0097459F">
        <w:rPr>
          <w:rFonts w:cstheme="minorHAnsi"/>
        </w:rPr>
        <w:t>3</w:t>
      </w:r>
      <w:r w:rsidRPr="0097459F">
        <w:rPr>
          <w:rFonts w:cstheme="minorHAnsi"/>
        </w:rPr>
        <w:t xml:space="preserve">.  É facultado ao </w:t>
      </w:r>
      <w:r w:rsidR="00007278" w:rsidRPr="0097459F">
        <w:rPr>
          <w:rFonts w:cstheme="minorHAnsi"/>
        </w:rPr>
        <w:t xml:space="preserve">gestor </w:t>
      </w:r>
      <w:r w:rsidRPr="0097459F">
        <w:rPr>
          <w:rFonts w:cstheme="minorHAnsi"/>
        </w:rPr>
        <w:t xml:space="preserve">suspender, a qualquer momento, novas aplicações </w:t>
      </w:r>
      <w:r w:rsidR="002A0892" w:rsidRPr="0097459F">
        <w:rPr>
          <w:rFonts w:cstheme="minorHAnsi"/>
        </w:rPr>
        <w:t xml:space="preserve">em </w:t>
      </w:r>
      <w:r w:rsidRPr="0097459F">
        <w:rPr>
          <w:rFonts w:cstheme="minorHAnsi"/>
        </w:rPr>
        <w:t xml:space="preserve">classe </w:t>
      </w:r>
      <w:r w:rsidR="00007278" w:rsidRPr="0097459F">
        <w:rPr>
          <w:rFonts w:cstheme="minorHAnsi"/>
        </w:rPr>
        <w:t xml:space="preserve">ou subclasse </w:t>
      </w:r>
      <w:r w:rsidRPr="0097459F">
        <w:rPr>
          <w:rFonts w:cstheme="minorHAnsi"/>
        </w:rPr>
        <w:t>aberta, desde que tal suspensão se aplique indistintamente a novos investidores e cotistas atuais.</w:t>
      </w:r>
    </w:p>
    <w:p w14:paraId="0EC7C651" w14:textId="77777777"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suspensão do recebimento de novas aplicações em um dia não impede a reabertura posterior para aplicações.</w:t>
      </w:r>
    </w:p>
    <w:p w14:paraId="210FC8A6" w14:textId="4EAAFEAC"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O</w:t>
      </w:r>
      <w:proofErr w:type="gramEnd"/>
      <w:r w:rsidRPr="0097459F">
        <w:rPr>
          <w:rFonts w:cstheme="minorHAnsi"/>
        </w:rPr>
        <w:t xml:space="preserve"> </w:t>
      </w:r>
      <w:r w:rsidR="00007278" w:rsidRPr="0097459F">
        <w:rPr>
          <w:rFonts w:cstheme="minorHAnsi"/>
        </w:rPr>
        <w:t xml:space="preserve">gestor </w:t>
      </w:r>
      <w:r w:rsidRPr="0097459F">
        <w:rPr>
          <w:rFonts w:cstheme="minorHAnsi"/>
        </w:rPr>
        <w:t xml:space="preserve">deve comunicar imediatamente aos distribuidores sobre a eventual existência de </w:t>
      </w:r>
      <w:r w:rsidR="00C20E87" w:rsidRPr="0097459F">
        <w:rPr>
          <w:rFonts w:cstheme="minorHAnsi"/>
        </w:rPr>
        <w:t xml:space="preserve">fundos, </w:t>
      </w:r>
      <w:r w:rsidRPr="0097459F">
        <w:rPr>
          <w:rFonts w:cstheme="minorHAnsi"/>
        </w:rPr>
        <w:t xml:space="preserve">classes </w:t>
      </w:r>
      <w:r w:rsidR="00C20E87" w:rsidRPr="0097459F">
        <w:rPr>
          <w:rFonts w:cstheme="minorHAnsi"/>
        </w:rPr>
        <w:t xml:space="preserve">e </w:t>
      </w:r>
      <w:r w:rsidR="00007278" w:rsidRPr="0097459F">
        <w:rPr>
          <w:rFonts w:cstheme="minorHAnsi"/>
        </w:rPr>
        <w:t xml:space="preserve">subclasses </w:t>
      </w:r>
      <w:r w:rsidRPr="0097459F">
        <w:rPr>
          <w:rFonts w:cstheme="minorHAnsi"/>
        </w:rPr>
        <w:t>de cotas que não estejam admitindo captação.</w:t>
      </w:r>
    </w:p>
    <w:p w14:paraId="75915D1F" w14:textId="28376591" w:rsidR="00893D49" w:rsidRPr="0097459F" w:rsidRDefault="00893D49" w:rsidP="00C20BBD">
      <w:pPr>
        <w:pStyle w:val="Normalalteradora"/>
        <w:rPr>
          <w:rFonts w:cstheme="minorHAnsi"/>
        </w:rPr>
      </w:pPr>
      <w:r w:rsidRPr="0097459F">
        <w:rPr>
          <w:rFonts w:cstheme="minorHAnsi"/>
        </w:rPr>
        <w:lastRenderedPageBreak/>
        <w:t>§ 3</w:t>
      </w:r>
      <w:proofErr w:type="gramStart"/>
      <w:r w:rsidRPr="0097459F">
        <w:rPr>
          <w:rFonts w:cstheme="minorHAnsi"/>
        </w:rPr>
        <w:t>º  No</w:t>
      </w:r>
      <w:proofErr w:type="gramEnd"/>
      <w:r w:rsidRPr="0097459F">
        <w:rPr>
          <w:rFonts w:cstheme="minorHAnsi"/>
        </w:rPr>
        <w:t xml:space="preserve"> caso de </w:t>
      </w:r>
      <w:r w:rsidR="00C20E87" w:rsidRPr="0097459F">
        <w:rPr>
          <w:rFonts w:cstheme="minorHAnsi"/>
        </w:rPr>
        <w:t xml:space="preserve">fundos, </w:t>
      </w:r>
      <w:r w:rsidR="00042C1C" w:rsidRPr="0097459F">
        <w:rPr>
          <w:rFonts w:cstheme="minorHAnsi"/>
        </w:rPr>
        <w:t xml:space="preserve">classes </w:t>
      </w:r>
      <w:r w:rsidR="00C20E87" w:rsidRPr="0097459F">
        <w:rPr>
          <w:rFonts w:cstheme="minorHAnsi"/>
        </w:rPr>
        <w:t xml:space="preserve">e subclasses </w:t>
      </w:r>
      <w:r w:rsidRPr="0097459F">
        <w:rPr>
          <w:rFonts w:cstheme="minorHAnsi"/>
        </w:rPr>
        <w:t xml:space="preserve">destinadas exclusivamente a investidores profissionais, o </w:t>
      </w:r>
      <w:r w:rsidR="00007278" w:rsidRPr="0097459F">
        <w:rPr>
          <w:rFonts w:cstheme="minorHAnsi"/>
        </w:rPr>
        <w:t xml:space="preserve">gestor </w:t>
      </w:r>
      <w:r w:rsidRPr="0097459F">
        <w:rPr>
          <w:rFonts w:cstheme="minorHAnsi"/>
        </w:rPr>
        <w:t>está autorizado a suspender novas aplicações apenas para novos investidores.</w:t>
      </w:r>
    </w:p>
    <w:p w14:paraId="6BB4EE2C" w14:textId="233E6F00" w:rsidR="009376B5" w:rsidRPr="0097459F" w:rsidRDefault="009376B5" w:rsidP="00C20BBD">
      <w:pPr>
        <w:pStyle w:val="Seo"/>
        <w:rPr>
          <w:rFonts w:asciiTheme="minorHAnsi" w:hAnsiTheme="minorHAnsi"/>
        </w:rPr>
      </w:pPr>
      <w:bookmarkStart w:id="88" w:name="_Toc114818972"/>
      <w:bookmarkStart w:id="89" w:name="_Toc57836198"/>
      <w:bookmarkStart w:id="90" w:name="_Toc161141200"/>
      <w:r w:rsidRPr="0097459F">
        <w:rPr>
          <w:rFonts w:asciiTheme="minorHAnsi" w:hAnsiTheme="minorHAnsi"/>
        </w:rPr>
        <w:t>Subseção III – Regime Fechado</w:t>
      </w:r>
      <w:bookmarkEnd w:id="88"/>
      <w:bookmarkEnd w:id="89"/>
      <w:bookmarkEnd w:id="90"/>
    </w:p>
    <w:p w14:paraId="109D3654" w14:textId="6FA8F769" w:rsidR="00893D49" w:rsidRPr="0097459F" w:rsidRDefault="00893D49" w:rsidP="00C20BBD">
      <w:pPr>
        <w:pStyle w:val="Normalalteradora"/>
      </w:pPr>
      <w:r w:rsidRPr="0097459F">
        <w:t xml:space="preserve">Art. </w:t>
      </w:r>
      <w:r w:rsidR="3253E593" w:rsidRPr="0097459F">
        <w:t>24</w:t>
      </w:r>
      <w:r w:rsidRPr="0097459F">
        <w:t>.  A distribuição de cotas de classe fechada deve observar a regulamentação específica sobre ofertas públicas de distribuição</w:t>
      </w:r>
      <w:r w:rsidR="00180794" w:rsidRPr="0097459F">
        <w:t xml:space="preserve"> de valores mobiliários</w:t>
      </w:r>
      <w:r w:rsidRPr="0097459F">
        <w:t>.</w:t>
      </w:r>
    </w:p>
    <w:p w14:paraId="7A39F09B" w14:textId="2FCEB91A" w:rsidR="00893D49" w:rsidRPr="0097459F" w:rsidDel="00FC555E" w:rsidRDefault="00893D49" w:rsidP="00C20BBD">
      <w:pPr>
        <w:pStyle w:val="Normalalteradora"/>
      </w:pPr>
      <w:r w:rsidRPr="0097459F">
        <w:t xml:space="preserve">Art. </w:t>
      </w:r>
      <w:r w:rsidR="25BF91A0" w:rsidRPr="0097459F">
        <w:t>25</w:t>
      </w:r>
      <w:r w:rsidRPr="0097459F">
        <w:t>.  A assembleia de cotistas que deliberar a emissão de novas cotas de classe fechada pode dispor sobre a quantidade mínima de cotas que deve ser subscrita para que a distribuição seja efetivada, e o tratamento a ser dado no caso de a quantidade mínima não ser alcançada.</w:t>
      </w:r>
    </w:p>
    <w:p w14:paraId="1BD05E13" w14:textId="25DE4E71" w:rsidR="00893D49" w:rsidRPr="0097459F" w:rsidRDefault="00893D49" w:rsidP="00C20BBD">
      <w:pPr>
        <w:pStyle w:val="Normalalteradora"/>
      </w:pPr>
      <w:r w:rsidRPr="0097459F">
        <w:t xml:space="preserve">Art. </w:t>
      </w:r>
      <w:r w:rsidR="5EA8778A" w:rsidRPr="0097459F">
        <w:t>26</w:t>
      </w:r>
      <w:r w:rsidRPr="0097459F">
        <w:t xml:space="preserve">.  Não </w:t>
      </w:r>
      <w:r w:rsidR="00273C0F" w:rsidRPr="0097459F">
        <w:t>é</w:t>
      </w:r>
      <w:r w:rsidRPr="0097459F">
        <w:t xml:space="preserve"> admitida nova distribuição de cotas </w:t>
      </w:r>
      <w:r w:rsidR="00EE24DC" w:rsidRPr="0097459F">
        <w:t xml:space="preserve">de classe fechada </w:t>
      </w:r>
      <w:r w:rsidRPr="0097459F">
        <w:t>antes de encerrada a distribuição anterior de cotas da mesma classe</w:t>
      </w:r>
      <w:r w:rsidR="00CF5F52" w:rsidRPr="0097459F">
        <w:t xml:space="preserve"> ou subclasse</w:t>
      </w:r>
      <w:r w:rsidRPr="0097459F">
        <w:t xml:space="preserve">. </w:t>
      </w:r>
    </w:p>
    <w:p w14:paraId="039CE1DC" w14:textId="40FABFAE" w:rsidR="00180794" w:rsidRPr="0097459F" w:rsidRDefault="00893D49" w:rsidP="00C20BBD">
      <w:pPr>
        <w:pStyle w:val="Normalalteradora"/>
      </w:pPr>
      <w:r w:rsidRPr="0097459F">
        <w:t xml:space="preserve">Art. </w:t>
      </w:r>
      <w:r w:rsidR="60132A30" w:rsidRPr="0097459F">
        <w:t>27</w:t>
      </w:r>
      <w:r w:rsidRPr="0097459F">
        <w:t xml:space="preserve">.  As importâncias recebidas na integralização de cotas durante o processo de distribuição de cotas de classe fechada devem ser depositadas em </w:t>
      </w:r>
      <w:r w:rsidR="0062534D" w:rsidRPr="0097459F">
        <w:t>instituição integrante do Sistema de Pagamentos Brasileiro – SPB ou aplicadas</w:t>
      </w:r>
      <w:r w:rsidR="009C7F0F" w:rsidRPr="0097459F">
        <w:t xml:space="preserve"> em valores mobiliários ou</w:t>
      </w:r>
      <w:r w:rsidR="0079552D" w:rsidRPr="0097459F">
        <w:t xml:space="preserve"> outros</w:t>
      </w:r>
      <w:r w:rsidR="0062534D" w:rsidRPr="0097459F">
        <w:t xml:space="preserve"> ativos financeiros </w:t>
      </w:r>
      <w:r w:rsidR="00086B20" w:rsidRPr="0097459F">
        <w:t xml:space="preserve">compatíveis </w:t>
      </w:r>
      <w:r w:rsidR="0062534D" w:rsidRPr="0097459F">
        <w:t xml:space="preserve">com as </w:t>
      </w:r>
      <w:r w:rsidR="00A711DF" w:rsidRPr="0097459F">
        <w:t xml:space="preserve">características </w:t>
      </w:r>
      <w:r w:rsidR="0062534D" w:rsidRPr="0097459F">
        <w:t>da classe.</w:t>
      </w:r>
    </w:p>
    <w:p w14:paraId="10321AC1" w14:textId="66C70068"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No</w:t>
      </w:r>
      <w:proofErr w:type="gramEnd"/>
      <w:r w:rsidRPr="0097459F">
        <w:rPr>
          <w:rFonts w:cstheme="minorHAnsi"/>
        </w:rPr>
        <w:t xml:space="preserve"> caso de classe de cotas já em funcionamento, os valores relativos à nova distribuição de cotas devem ser escriturados separadamente das demais aplicações, até o encerramento da distribuição. </w:t>
      </w:r>
    </w:p>
    <w:p w14:paraId="6D391063" w14:textId="6A05E9EC"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 xml:space="preserve">º </w:t>
      </w:r>
      <w:r w:rsidR="00CF48C4" w:rsidRPr="0097459F">
        <w:rPr>
          <w:rFonts w:cstheme="minorHAnsi"/>
        </w:rPr>
        <w:t xml:space="preserve"> </w:t>
      </w:r>
      <w:r w:rsidRPr="0097459F">
        <w:rPr>
          <w:rFonts w:cstheme="minorHAnsi"/>
        </w:rPr>
        <w:t>Assim</w:t>
      </w:r>
      <w:proofErr w:type="gramEnd"/>
      <w:r w:rsidRPr="0097459F">
        <w:rPr>
          <w:rFonts w:cstheme="minorHAnsi"/>
        </w:rPr>
        <w:t xml:space="preserve"> que </w:t>
      </w:r>
      <w:r w:rsidR="003B6585" w:rsidRPr="0097459F">
        <w:rPr>
          <w:rFonts w:cstheme="minorHAnsi"/>
        </w:rPr>
        <w:t xml:space="preserve">subscrito </w:t>
      </w:r>
      <w:r w:rsidRPr="0097459F">
        <w:rPr>
          <w:rFonts w:cstheme="minorHAnsi"/>
        </w:rPr>
        <w:t>o valor mínimo previsto para a distribuição de cotas, os recursos podem ser investidos na forma prevista no regulamento.</w:t>
      </w:r>
    </w:p>
    <w:p w14:paraId="037CCD72" w14:textId="537A196F" w:rsidR="00881758" w:rsidRPr="0097459F" w:rsidRDefault="0079552D" w:rsidP="00C20BBD">
      <w:pPr>
        <w:pStyle w:val="Normalalteradora"/>
        <w:rPr>
          <w:rFonts w:cstheme="minorHAnsi"/>
        </w:rPr>
      </w:pPr>
      <w:r w:rsidRPr="0097459F">
        <w:rPr>
          <w:rFonts w:cstheme="minorHAnsi"/>
        </w:rPr>
        <w:t>§</w:t>
      </w:r>
      <w:r w:rsidR="00CF48C4" w:rsidRPr="0097459F">
        <w:rPr>
          <w:rFonts w:cstheme="minorHAnsi"/>
        </w:rPr>
        <w:t xml:space="preserve"> </w:t>
      </w:r>
      <w:r w:rsidRPr="0097459F">
        <w:rPr>
          <w:rFonts w:cstheme="minorHAnsi"/>
        </w:rPr>
        <w:t>3</w:t>
      </w:r>
      <w:proofErr w:type="gramStart"/>
      <w:r w:rsidRPr="0097459F">
        <w:rPr>
          <w:rFonts w:cstheme="minorHAnsi"/>
        </w:rPr>
        <w:t xml:space="preserve">º </w:t>
      </w:r>
      <w:r w:rsidR="00CF48C4" w:rsidRPr="0097459F">
        <w:rPr>
          <w:rFonts w:cstheme="minorHAnsi"/>
        </w:rPr>
        <w:t xml:space="preserve"> </w:t>
      </w:r>
      <w:r w:rsidRPr="0097459F">
        <w:rPr>
          <w:rFonts w:cstheme="minorHAnsi"/>
        </w:rPr>
        <w:t>O</w:t>
      </w:r>
      <w:proofErr w:type="gramEnd"/>
      <w:r w:rsidRPr="0097459F">
        <w:rPr>
          <w:rFonts w:cstheme="minorHAnsi"/>
        </w:rPr>
        <w:t xml:space="preserve"> regulamento deve prever que tipo</w:t>
      </w:r>
      <w:r w:rsidR="004477B3" w:rsidRPr="0097459F">
        <w:rPr>
          <w:rFonts w:cstheme="minorHAnsi"/>
        </w:rPr>
        <w:t>s</w:t>
      </w:r>
      <w:r w:rsidRPr="0097459F">
        <w:rPr>
          <w:rFonts w:cstheme="minorHAnsi"/>
        </w:rPr>
        <w:t xml:space="preserve"> de investimentos podem ser realizados para a finalidade prevista no </w:t>
      </w:r>
      <w:r w:rsidRPr="0097459F">
        <w:rPr>
          <w:rFonts w:cstheme="minorHAnsi"/>
          <w:b/>
        </w:rPr>
        <w:t>caput</w:t>
      </w:r>
      <w:r w:rsidRPr="0097459F">
        <w:rPr>
          <w:rFonts w:cstheme="minorHAnsi"/>
        </w:rPr>
        <w:t>, e</w:t>
      </w:r>
      <w:r w:rsidR="00086B20" w:rsidRPr="0097459F">
        <w:rPr>
          <w:rFonts w:cstheme="minorHAnsi"/>
        </w:rPr>
        <w:t>,</w:t>
      </w:r>
      <w:r w:rsidRPr="0097459F">
        <w:rPr>
          <w:rFonts w:cstheme="minorHAnsi"/>
        </w:rPr>
        <w:t xml:space="preserve"> em caso de possibilidade de aplicação em renda variável e derivativos, o material de distribuiç</w:t>
      </w:r>
      <w:r w:rsidR="004477B3" w:rsidRPr="0097459F">
        <w:rPr>
          <w:rFonts w:cstheme="minorHAnsi"/>
        </w:rPr>
        <w:t>ão deve dar destaque a essa informação para ciência dos investidores.</w:t>
      </w:r>
    </w:p>
    <w:p w14:paraId="4136A199" w14:textId="7F97A864" w:rsidR="00893D49" w:rsidRPr="0097459F" w:rsidRDefault="00893D49" w:rsidP="00C20BBD">
      <w:pPr>
        <w:pStyle w:val="Seo"/>
        <w:rPr>
          <w:rFonts w:asciiTheme="minorHAnsi" w:hAnsiTheme="minorHAnsi"/>
        </w:rPr>
      </w:pPr>
      <w:bookmarkStart w:id="91" w:name="_Toc53594439"/>
      <w:bookmarkStart w:id="92" w:name="_Toc53595464"/>
      <w:bookmarkStart w:id="93" w:name="_Toc53594191"/>
      <w:bookmarkStart w:id="94" w:name="_Toc114818973"/>
      <w:bookmarkStart w:id="95" w:name="_Toc57836199"/>
      <w:bookmarkStart w:id="96" w:name="_Toc161141201"/>
      <w:r w:rsidRPr="0097459F">
        <w:rPr>
          <w:rFonts w:asciiTheme="minorHAnsi" w:hAnsiTheme="minorHAnsi"/>
        </w:rPr>
        <w:t>Subseção IV – Subscrição e Integralização</w:t>
      </w:r>
      <w:bookmarkEnd w:id="91"/>
      <w:bookmarkEnd w:id="92"/>
      <w:bookmarkEnd w:id="93"/>
      <w:bookmarkEnd w:id="94"/>
      <w:bookmarkEnd w:id="95"/>
      <w:bookmarkEnd w:id="96"/>
    </w:p>
    <w:p w14:paraId="2D5A33AE" w14:textId="1F0217A6" w:rsidR="00900697" w:rsidRPr="0097459F" w:rsidRDefault="00893D49" w:rsidP="00C20BBD">
      <w:pPr>
        <w:pStyle w:val="Normalalteradora"/>
      </w:pPr>
      <w:r w:rsidRPr="0097459F">
        <w:t xml:space="preserve">Art. </w:t>
      </w:r>
      <w:r w:rsidR="2678FACC" w:rsidRPr="0097459F">
        <w:t>28</w:t>
      </w:r>
      <w:r w:rsidRPr="0097459F">
        <w:t xml:space="preserve">.  Quando do ingresso do cotista </w:t>
      </w:r>
      <w:r w:rsidR="00C959D1" w:rsidRPr="0097459F">
        <w:t>no fundo</w:t>
      </w:r>
      <w:r w:rsidRPr="0097459F">
        <w:t xml:space="preserve">, o </w:t>
      </w:r>
      <w:r w:rsidR="00A64C52" w:rsidRPr="0097459F">
        <w:t>agente</w:t>
      </w:r>
      <w:r w:rsidR="007754B4" w:rsidRPr="0097459F">
        <w:t xml:space="preserve"> que tiver realizado a distribuição</w:t>
      </w:r>
      <w:r w:rsidRPr="0097459F">
        <w:t xml:space="preserve"> </w:t>
      </w:r>
      <w:r w:rsidR="00A64C52" w:rsidRPr="0097459F">
        <w:t xml:space="preserve">de cotas </w:t>
      </w:r>
      <w:r w:rsidR="00CF5F52" w:rsidRPr="0097459F">
        <w:t xml:space="preserve">deve </w:t>
      </w:r>
      <w:r w:rsidRPr="0097459F">
        <w:t xml:space="preserve">disponibilizar a versão vigente do regulamento, </w:t>
      </w:r>
      <w:r w:rsidR="006902CE" w:rsidRPr="0097459F">
        <w:t xml:space="preserve">o que inclui </w:t>
      </w:r>
      <w:r w:rsidRPr="0097459F">
        <w:t xml:space="preserve">o anexo </w:t>
      </w:r>
      <w:r w:rsidR="006902CE" w:rsidRPr="0097459F">
        <w:t>da</w:t>
      </w:r>
      <w:r w:rsidR="00CF5F52" w:rsidRPr="0097459F">
        <w:t xml:space="preserve"> classe investida</w:t>
      </w:r>
      <w:r w:rsidR="00355386" w:rsidRPr="0097459F">
        <w:t xml:space="preserve"> e o apêndice </w:t>
      </w:r>
      <w:r w:rsidR="006902CE" w:rsidRPr="0097459F">
        <w:t xml:space="preserve">da </w:t>
      </w:r>
      <w:r w:rsidR="00355386" w:rsidRPr="0097459F">
        <w:t>subclasse investida</w:t>
      </w:r>
      <w:r w:rsidR="00CF5F52" w:rsidRPr="0097459F">
        <w:t>, se for o caso</w:t>
      </w:r>
      <w:r w:rsidR="006902CE" w:rsidRPr="0097459F">
        <w:t>.</w:t>
      </w:r>
    </w:p>
    <w:p w14:paraId="67E23954" w14:textId="3008BD2B" w:rsidR="00893D49" w:rsidRPr="0097459F" w:rsidRDefault="00900697" w:rsidP="00C20BBD">
      <w:pPr>
        <w:pStyle w:val="Normalalteradora"/>
        <w:rPr>
          <w:rFonts w:cstheme="minorHAnsi"/>
        </w:rPr>
      </w:pPr>
      <w:r w:rsidRPr="0097459F">
        <w:rPr>
          <w:rFonts w:cstheme="minorHAnsi"/>
        </w:rPr>
        <w:lastRenderedPageBreak/>
        <w:t xml:space="preserve">Parágrafo único.  Sem prejuízo do disposto no </w:t>
      </w:r>
      <w:r w:rsidRPr="0097459F">
        <w:rPr>
          <w:rFonts w:cstheme="minorHAnsi"/>
          <w:b/>
        </w:rPr>
        <w:t>caput</w:t>
      </w:r>
      <w:r w:rsidRPr="0097459F">
        <w:rPr>
          <w:rFonts w:cstheme="minorHAnsi"/>
        </w:rPr>
        <w:t xml:space="preserve">, o administrador </w:t>
      </w:r>
      <w:r w:rsidR="00D76102" w:rsidRPr="0097459F">
        <w:rPr>
          <w:rFonts w:cstheme="minorHAnsi"/>
        </w:rPr>
        <w:t>deve</w:t>
      </w:r>
      <w:r w:rsidRPr="0097459F">
        <w:rPr>
          <w:rFonts w:cstheme="minorHAnsi"/>
        </w:rPr>
        <w:t xml:space="preserve"> manter </w:t>
      </w:r>
      <w:r w:rsidR="008837E0" w:rsidRPr="0097459F">
        <w:rPr>
          <w:rFonts w:cstheme="minorHAnsi"/>
        </w:rPr>
        <w:t xml:space="preserve">o regulamento </w:t>
      </w:r>
      <w:r w:rsidRPr="0097459F">
        <w:rPr>
          <w:rFonts w:cstheme="minorHAnsi"/>
        </w:rPr>
        <w:t xml:space="preserve">disponível ao cotista, </w:t>
      </w:r>
      <w:r w:rsidR="00886AB1" w:rsidRPr="0097459F">
        <w:rPr>
          <w:rFonts w:cstheme="minorHAnsi"/>
        </w:rPr>
        <w:t>o que inclui</w:t>
      </w:r>
      <w:r w:rsidRPr="0097459F">
        <w:rPr>
          <w:rFonts w:cstheme="minorHAnsi"/>
        </w:rPr>
        <w:t xml:space="preserve"> os anexos </w:t>
      </w:r>
      <w:r w:rsidR="00886AB1" w:rsidRPr="0097459F">
        <w:rPr>
          <w:rFonts w:cstheme="minorHAnsi"/>
        </w:rPr>
        <w:t xml:space="preserve">e apêndices </w:t>
      </w:r>
      <w:r w:rsidRPr="0097459F">
        <w:rPr>
          <w:rFonts w:cstheme="minorHAnsi"/>
        </w:rPr>
        <w:t xml:space="preserve">pertinentes às classes e subclasses </w:t>
      </w:r>
      <w:r w:rsidR="00886AB1" w:rsidRPr="0097459F">
        <w:rPr>
          <w:rFonts w:cstheme="minorHAnsi"/>
        </w:rPr>
        <w:t>nas quais o cotista ingressar</w:t>
      </w:r>
      <w:r w:rsidR="00302E3D" w:rsidRPr="0097459F">
        <w:rPr>
          <w:rFonts w:cstheme="minorHAnsi"/>
        </w:rPr>
        <w:t>.</w:t>
      </w:r>
    </w:p>
    <w:p w14:paraId="6CBE480B" w14:textId="43C97FD7" w:rsidR="00893D49" w:rsidRPr="0097459F" w:rsidRDefault="00893D49" w:rsidP="00C20BBD">
      <w:pPr>
        <w:pStyle w:val="Normalalteradora"/>
      </w:pPr>
      <w:r w:rsidRPr="0097459F">
        <w:t xml:space="preserve">Art. </w:t>
      </w:r>
      <w:r w:rsidR="07E0BC07" w:rsidRPr="0097459F">
        <w:t>29</w:t>
      </w:r>
      <w:r w:rsidRPr="0097459F">
        <w:t xml:space="preserve">.  Por meio de um termo de adesão e ciência de risco, ao ingressar </w:t>
      </w:r>
      <w:r w:rsidR="00C959D1" w:rsidRPr="0097459F">
        <w:t>no fundo</w:t>
      </w:r>
      <w:r w:rsidRPr="0097459F">
        <w:t xml:space="preserve"> todo cotista deve atestar que:</w:t>
      </w:r>
    </w:p>
    <w:p w14:paraId="5ADEC9DA" w14:textId="2AAC8443"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teve</w:t>
      </w:r>
      <w:proofErr w:type="gramEnd"/>
      <w:r w:rsidRPr="0097459F">
        <w:rPr>
          <w:rFonts w:cstheme="minorHAnsi"/>
        </w:rPr>
        <w:t xml:space="preserve"> acesso ao inteiro teor do regulamento</w:t>
      </w:r>
      <w:r w:rsidR="00355386" w:rsidRPr="0097459F">
        <w:rPr>
          <w:rFonts w:cstheme="minorHAnsi"/>
        </w:rPr>
        <w:t xml:space="preserve"> e, se for o caso, ao anexo </w:t>
      </w:r>
      <w:r w:rsidR="006902CE" w:rsidRPr="0097459F">
        <w:rPr>
          <w:rFonts w:cstheme="minorHAnsi"/>
        </w:rPr>
        <w:t xml:space="preserve">da </w:t>
      </w:r>
      <w:r w:rsidR="00355386" w:rsidRPr="0097459F">
        <w:rPr>
          <w:rFonts w:cstheme="minorHAnsi"/>
        </w:rPr>
        <w:t xml:space="preserve">classe investida e ao apêndice </w:t>
      </w:r>
      <w:r w:rsidR="006902CE" w:rsidRPr="0097459F">
        <w:rPr>
          <w:rFonts w:cstheme="minorHAnsi"/>
        </w:rPr>
        <w:t>da</w:t>
      </w:r>
      <w:r w:rsidR="00355386" w:rsidRPr="0097459F">
        <w:rPr>
          <w:rFonts w:cstheme="minorHAnsi"/>
        </w:rPr>
        <w:t xml:space="preserve"> subclasse investida</w:t>
      </w:r>
      <w:r w:rsidRPr="0097459F">
        <w:rPr>
          <w:rFonts w:cstheme="minorHAnsi"/>
        </w:rPr>
        <w:t>; e</w:t>
      </w:r>
    </w:p>
    <w:p w14:paraId="2FF293C7"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tem</w:t>
      </w:r>
      <w:proofErr w:type="gramEnd"/>
      <w:r w:rsidRPr="0097459F">
        <w:rPr>
          <w:rFonts w:cstheme="minorHAnsi"/>
        </w:rPr>
        <w:t xml:space="preserve"> ciência:</w:t>
      </w:r>
    </w:p>
    <w:p w14:paraId="081BFC22" w14:textId="30D58C2D" w:rsidR="00893D49" w:rsidRPr="0097459F" w:rsidRDefault="00893D49" w:rsidP="00C20BBD">
      <w:pPr>
        <w:pStyle w:val="Normalalteradora"/>
        <w:rPr>
          <w:rFonts w:cstheme="minorHAnsi"/>
        </w:rPr>
      </w:pPr>
      <w:r w:rsidRPr="0097459F">
        <w:rPr>
          <w:rFonts w:cstheme="minorHAnsi"/>
        </w:rPr>
        <w:t xml:space="preserve">a) dos fatores de risco relativos à classe </w:t>
      </w:r>
      <w:r w:rsidR="007B42B5" w:rsidRPr="0097459F">
        <w:rPr>
          <w:rFonts w:cstheme="minorHAnsi"/>
        </w:rPr>
        <w:t>e</w:t>
      </w:r>
      <w:r w:rsidR="005C6519" w:rsidRPr="0097459F">
        <w:rPr>
          <w:rFonts w:cstheme="minorHAnsi"/>
        </w:rPr>
        <w:t>, se for o caso,</w:t>
      </w:r>
      <w:r w:rsidR="007B42B5" w:rsidRPr="0097459F">
        <w:rPr>
          <w:rFonts w:cstheme="minorHAnsi"/>
        </w:rPr>
        <w:t xml:space="preserve"> subclasse </w:t>
      </w:r>
      <w:r w:rsidRPr="0097459F">
        <w:rPr>
          <w:rFonts w:cstheme="minorHAnsi"/>
        </w:rPr>
        <w:t>de cotas;</w:t>
      </w:r>
    </w:p>
    <w:p w14:paraId="34A458BA" w14:textId="77777777" w:rsidR="00893D49" w:rsidRPr="0097459F" w:rsidRDefault="00893D49" w:rsidP="00C20BBD">
      <w:pPr>
        <w:pStyle w:val="Normalalteradora"/>
        <w:rPr>
          <w:rFonts w:cstheme="minorHAnsi"/>
        </w:rPr>
      </w:pPr>
      <w:r w:rsidRPr="0097459F">
        <w:rPr>
          <w:rFonts w:cstheme="minorHAnsi"/>
        </w:rPr>
        <w:t>b) de que não há qualquer garantia contra eventuais perdas patrimoniais que possam ser incorridas pela classe de cotas;</w:t>
      </w:r>
    </w:p>
    <w:p w14:paraId="005A6672" w14:textId="59116A47" w:rsidR="004E6ECA" w:rsidRPr="0097459F" w:rsidRDefault="00893D49" w:rsidP="00C20BBD">
      <w:pPr>
        <w:pStyle w:val="Normalalteradora"/>
      </w:pPr>
      <w:r w:rsidRPr="0097459F">
        <w:t xml:space="preserve">c) de que a concessão </w:t>
      </w:r>
      <w:r w:rsidR="004630C3" w:rsidRPr="0097459F">
        <w:t xml:space="preserve">do </w:t>
      </w:r>
      <w:r w:rsidRPr="0097459F">
        <w:t xml:space="preserve">registro </w:t>
      </w:r>
      <w:r w:rsidR="006A23E5" w:rsidRPr="0097459F">
        <w:t>de funcionamento</w:t>
      </w:r>
      <w:r w:rsidRPr="0097459F">
        <w:t xml:space="preserve"> não implica, por parte da CVM, garantia de veracidade das informações prestadas ou de adequação do regulamento à legislação vigente ou julgamento sobre a qualidade </w:t>
      </w:r>
      <w:r w:rsidR="006A23E5" w:rsidRPr="0097459F">
        <w:t>do fundo</w:t>
      </w:r>
      <w:r w:rsidRPr="0097459F">
        <w:t xml:space="preserve"> ou de </w:t>
      </w:r>
      <w:r w:rsidR="00886AB1" w:rsidRPr="0097459F">
        <w:t>seus</w:t>
      </w:r>
      <w:r w:rsidRPr="0097459F">
        <w:t xml:space="preserve"> prestadores de serviços;</w:t>
      </w:r>
    </w:p>
    <w:p w14:paraId="1FECB023" w14:textId="35BD55C3" w:rsidR="00893D49" w:rsidRPr="0097459F" w:rsidRDefault="00266435" w:rsidP="00C20BBD">
      <w:pPr>
        <w:pStyle w:val="Normalalteradora"/>
      </w:pPr>
      <w:r w:rsidRPr="0097459F">
        <w:t>d</w:t>
      </w:r>
      <w:r w:rsidR="004E6ECA" w:rsidRPr="0097459F">
        <w:t xml:space="preserve">) se for o caso, de que a integralização de cotas ocorrerá </w:t>
      </w:r>
      <w:r w:rsidR="00763D43" w:rsidRPr="0097459F">
        <w:t>por meio de chamadas de capital</w:t>
      </w:r>
      <w:r w:rsidR="007D27E2" w:rsidRPr="0097459F">
        <w:t xml:space="preserve">, nos termos do art. </w:t>
      </w:r>
      <w:r w:rsidR="00541B67" w:rsidRPr="0097459F">
        <w:t xml:space="preserve">30, parágrafo único; </w:t>
      </w:r>
      <w:r w:rsidR="00893D49" w:rsidRPr="0097459F">
        <w:t>e</w:t>
      </w:r>
    </w:p>
    <w:p w14:paraId="69E9EB83" w14:textId="1E1FCE19" w:rsidR="00FB0FCD" w:rsidRPr="0097459F" w:rsidRDefault="00601362" w:rsidP="00C20BBD">
      <w:pPr>
        <w:pStyle w:val="Normalalteradora"/>
        <w:rPr>
          <w:rFonts w:cstheme="minorHAnsi"/>
        </w:rPr>
      </w:pPr>
      <w:r w:rsidRPr="0097459F">
        <w:t>e</w:t>
      </w:r>
      <w:r w:rsidR="00893D49" w:rsidRPr="0097459F">
        <w:t xml:space="preserve">) quando aplicável, de que as estratégias de investimento podem resultar em perdas superiores ao capital aplicado e, caso a responsabilidade do cotista não esteja limitada ao valor por ele subscrito, a consequente </w:t>
      </w:r>
      <w:r w:rsidR="00355386" w:rsidRPr="0097459F">
        <w:t xml:space="preserve">possibilidade de o </w:t>
      </w:r>
      <w:r w:rsidR="00893D49" w:rsidRPr="0097459F">
        <w:t xml:space="preserve">cotista </w:t>
      </w:r>
      <w:r w:rsidR="00355386" w:rsidRPr="0097459F">
        <w:t xml:space="preserve">ter que </w:t>
      </w:r>
      <w:r w:rsidR="00893D49" w:rsidRPr="0097459F">
        <w:t xml:space="preserve">aportar recursos adicionais para cobrir o patrimônio </w:t>
      </w:r>
      <w:r w:rsidR="00A711DF" w:rsidRPr="0097459F">
        <w:t xml:space="preserve">líquido </w:t>
      </w:r>
      <w:r w:rsidR="00893D49" w:rsidRPr="0097459F">
        <w:t>negativo.</w:t>
      </w:r>
    </w:p>
    <w:p w14:paraId="3D50552D" w14:textId="77777777"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O</w:t>
      </w:r>
      <w:proofErr w:type="gramEnd"/>
      <w:r w:rsidRPr="0097459F">
        <w:rPr>
          <w:rFonts w:cstheme="minorHAnsi"/>
        </w:rPr>
        <w:t xml:space="preserve"> termo de adesão deve:</w:t>
      </w:r>
    </w:p>
    <w:p w14:paraId="4DE06734" w14:textId="3EF9DBE1"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conter</w:t>
      </w:r>
      <w:proofErr w:type="gramEnd"/>
      <w:r w:rsidRPr="0097459F">
        <w:rPr>
          <w:rFonts w:cstheme="minorHAnsi"/>
        </w:rPr>
        <w:t xml:space="preserve"> no máximo 5.000 (cinco mil) caracteres;</w:t>
      </w:r>
    </w:p>
    <w:p w14:paraId="34E41726" w14:textId="5AD4F6F9"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observar</w:t>
      </w:r>
      <w:proofErr w:type="gramEnd"/>
      <w:r w:rsidRPr="0097459F">
        <w:rPr>
          <w:rFonts w:cstheme="minorHAnsi"/>
        </w:rPr>
        <w:t xml:space="preserve"> as orientações dispostas no art. </w:t>
      </w:r>
      <w:r w:rsidR="00541B67" w:rsidRPr="0097459F">
        <w:rPr>
          <w:rFonts w:cstheme="minorHAnsi"/>
        </w:rPr>
        <w:t>47</w:t>
      </w:r>
      <w:r w:rsidRPr="0097459F">
        <w:rPr>
          <w:rFonts w:cstheme="minorHAnsi"/>
        </w:rPr>
        <w:t>, § 1º; e</w:t>
      </w:r>
    </w:p>
    <w:p w14:paraId="2D58DDCE" w14:textId="7909B26F" w:rsidR="00893D49" w:rsidRPr="0097459F" w:rsidRDefault="00893D49" w:rsidP="00C20BBD">
      <w:pPr>
        <w:pStyle w:val="Normalalteradora"/>
      </w:pPr>
      <w:r w:rsidRPr="0097459F">
        <w:t xml:space="preserve">III – conter a identificação </w:t>
      </w:r>
      <w:r w:rsidR="005325CB" w:rsidRPr="0097459F">
        <w:t xml:space="preserve">de até </w:t>
      </w:r>
      <w:r w:rsidRPr="0097459F">
        <w:t xml:space="preserve">5 (cinco) principais fatores de risco inerentes à composição da carteira </w:t>
      </w:r>
      <w:r w:rsidR="00A711DF" w:rsidRPr="0097459F">
        <w:t>de ativos</w:t>
      </w:r>
      <w:r w:rsidRPr="0097459F">
        <w:t>.</w:t>
      </w:r>
    </w:p>
    <w:p w14:paraId="4541E8E0" w14:textId="690E394C"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Caso</w:t>
      </w:r>
      <w:proofErr w:type="gramEnd"/>
      <w:r w:rsidRPr="0097459F">
        <w:rPr>
          <w:rFonts w:cstheme="minorHAnsi"/>
        </w:rPr>
        <w:t xml:space="preserve"> o cotista efetue um resgate total e volte a investir na mesma classe </w:t>
      </w:r>
      <w:r w:rsidR="00F227E3" w:rsidRPr="0097459F">
        <w:rPr>
          <w:rFonts w:cstheme="minorHAnsi"/>
        </w:rPr>
        <w:t xml:space="preserve">ou subclasse </w:t>
      </w:r>
      <w:r w:rsidRPr="0097459F">
        <w:rPr>
          <w:rFonts w:cstheme="minorHAnsi"/>
        </w:rPr>
        <w:t xml:space="preserve">em intervalo de tempo durante o qual não ocorra alteração do regulamento que impacte a classe </w:t>
      </w:r>
      <w:r w:rsidR="00F227E3" w:rsidRPr="0097459F">
        <w:rPr>
          <w:rFonts w:cstheme="minorHAnsi"/>
        </w:rPr>
        <w:t xml:space="preserve">ou subclasse </w:t>
      </w:r>
      <w:r w:rsidRPr="0097459F">
        <w:rPr>
          <w:rFonts w:cstheme="minorHAnsi"/>
        </w:rPr>
        <w:lastRenderedPageBreak/>
        <w:t xml:space="preserve">investida, é dispensada a formalização de novo termo, sendo considerado válido o termo formalizado pelo cotista em seu último ingresso. </w:t>
      </w:r>
    </w:p>
    <w:p w14:paraId="61B9167D" w14:textId="357584D5" w:rsidR="00ED0447" w:rsidRPr="0097459F" w:rsidRDefault="00ED0447" w:rsidP="00C20BBD">
      <w:pPr>
        <w:pStyle w:val="Normalalteradora"/>
        <w:rPr>
          <w:rFonts w:cstheme="minorHAnsi"/>
        </w:rPr>
      </w:pPr>
      <w:r w:rsidRPr="0097459F">
        <w:rPr>
          <w:rFonts w:ascii="Calibri" w:hAnsi="Calibri" w:cs="Calibri"/>
        </w:rPr>
        <w:t>§ 3</w:t>
      </w:r>
      <w:proofErr w:type="gramStart"/>
      <w:r w:rsidRPr="0097459F">
        <w:rPr>
          <w:rFonts w:ascii="Calibri" w:hAnsi="Calibri" w:cs="Calibri"/>
        </w:rPr>
        <w:t>º  Caso</w:t>
      </w:r>
      <w:proofErr w:type="gramEnd"/>
      <w:r w:rsidRPr="0097459F">
        <w:rPr>
          <w:rFonts w:ascii="Calibri" w:hAnsi="Calibri" w:cs="Calibri"/>
        </w:rPr>
        <w:t xml:space="preserve"> o regulamento do fundo não limite a responsabilidade do cotista ao valor por ele subscritos, o cotista deve atestar que tem ciência dos riscos decorrentes da responsabilidade ilimitada</w:t>
      </w:r>
      <w:r w:rsidR="00F521CF" w:rsidRPr="0097459F">
        <w:rPr>
          <w:rFonts w:ascii="Calibri" w:hAnsi="Calibri" w:cs="Calibri"/>
        </w:rPr>
        <w:t>, nos termos do Suplemento A</w:t>
      </w:r>
      <w:r w:rsidRPr="0097459F">
        <w:rPr>
          <w:rFonts w:ascii="Calibri" w:hAnsi="Calibri" w:cs="Calibri"/>
        </w:rPr>
        <w:t>.</w:t>
      </w:r>
    </w:p>
    <w:p w14:paraId="19E638A4" w14:textId="51277157" w:rsidR="00893D49" w:rsidRPr="0097459F" w:rsidRDefault="00893D49" w:rsidP="00C20BBD">
      <w:pPr>
        <w:pStyle w:val="Normalalteradora"/>
        <w:tabs>
          <w:tab w:val="left" w:pos="851"/>
        </w:tabs>
      </w:pPr>
      <w:r w:rsidRPr="0097459F">
        <w:t xml:space="preserve">Art. </w:t>
      </w:r>
      <w:r w:rsidRPr="0097459F" w:rsidDel="00D93A9D">
        <w:t>30</w:t>
      </w:r>
      <w:r w:rsidRPr="0097459F">
        <w:t xml:space="preserve">.  A integralização </w:t>
      </w:r>
      <w:r w:rsidR="00083680" w:rsidRPr="0097459F">
        <w:t xml:space="preserve">de </w:t>
      </w:r>
      <w:r w:rsidRPr="0097459F">
        <w:t>cotas deve ser realizada em moeda corrente nacional, ressalvadas as hipóteses especificamente aplicáveis a determinadas categorias de fundo</w:t>
      </w:r>
      <w:r w:rsidR="000B5C96" w:rsidRPr="0097459F">
        <w:t>.</w:t>
      </w:r>
    </w:p>
    <w:p w14:paraId="0D6A1ABF" w14:textId="57C94807" w:rsidR="00763D43" w:rsidRPr="0097459F" w:rsidRDefault="7770B900" w:rsidP="00C20BBD">
      <w:pPr>
        <w:pStyle w:val="Normalalteradora"/>
      </w:pPr>
      <w:r w:rsidRPr="0097459F">
        <w:t>Parágrafo único.  O documento de aceitação da oferta de cotas de classe fechada</w:t>
      </w:r>
      <w:r w:rsidR="6A6C4EB3" w:rsidRPr="0097459F">
        <w:t xml:space="preserve"> </w:t>
      </w:r>
      <w:r w:rsidRPr="0097459F">
        <w:t>pode</w:t>
      </w:r>
      <w:r w:rsidR="298F4EDE" w:rsidRPr="0097459F">
        <w:t xml:space="preserve"> conter obrigação d</w:t>
      </w:r>
      <w:r w:rsidRPr="0097459F">
        <w:t xml:space="preserve">o investidor </w:t>
      </w:r>
      <w:r w:rsidR="0ED94E53" w:rsidRPr="0097459F">
        <w:t>de</w:t>
      </w:r>
      <w:r w:rsidRPr="0097459F">
        <w:t xml:space="preserve"> integralizar o valor do capital </w:t>
      </w:r>
      <w:r w:rsidR="499DE0B9" w:rsidRPr="0097459F">
        <w:t xml:space="preserve">subscrito </w:t>
      </w:r>
      <w:r w:rsidR="1D212447" w:rsidRPr="0097459F">
        <w:t>de acordo com</w:t>
      </w:r>
      <w:r w:rsidRPr="0097459F">
        <w:t xml:space="preserve"> chamadas</w:t>
      </w:r>
      <w:r w:rsidR="2E3486A9" w:rsidRPr="0097459F">
        <w:t xml:space="preserve"> realizadas pelo gestor</w:t>
      </w:r>
      <w:r w:rsidRPr="0097459F">
        <w:t xml:space="preserve">, </w:t>
      </w:r>
      <w:r w:rsidR="4DA03E91" w:rsidRPr="0097459F">
        <w:t>observados</w:t>
      </w:r>
      <w:r w:rsidRPr="0097459F">
        <w:t xml:space="preserve"> prazos</w:t>
      </w:r>
      <w:r w:rsidR="194B1D3E" w:rsidRPr="0097459F">
        <w:t xml:space="preserve"> </w:t>
      </w:r>
      <w:r w:rsidRPr="0097459F">
        <w:t xml:space="preserve">e demais </w:t>
      </w:r>
      <w:r w:rsidR="530D9199" w:rsidRPr="0097459F">
        <w:t xml:space="preserve">condições </w:t>
      </w:r>
      <w:r w:rsidRPr="0097459F">
        <w:t>estabelecid</w:t>
      </w:r>
      <w:r w:rsidR="580EA53B" w:rsidRPr="0097459F">
        <w:t>a</w:t>
      </w:r>
      <w:r w:rsidRPr="0097459F">
        <w:t xml:space="preserve">s no </w:t>
      </w:r>
      <w:r w:rsidR="00A711DF" w:rsidRPr="0097459F">
        <w:t xml:space="preserve">referido </w:t>
      </w:r>
      <w:r w:rsidR="00C26AB7" w:rsidRPr="0097459F">
        <w:t>documento</w:t>
      </w:r>
      <w:r w:rsidR="00893D49" w:rsidRPr="0097459F">
        <w:t>.</w:t>
      </w:r>
    </w:p>
    <w:p w14:paraId="2E333C9C" w14:textId="0108A799" w:rsidR="00893D49" w:rsidRPr="0097459F" w:rsidRDefault="00893D49" w:rsidP="00C20BBD">
      <w:pPr>
        <w:pStyle w:val="Normalalteradora"/>
      </w:pPr>
      <w:r w:rsidRPr="0097459F">
        <w:t>Art. 3</w:t>
      </w:r>
      <w:r w:rsidRPr="0097459F" w:rsidDel="00D93A9D">
        <w:t>1</w:t>
      </w:r>
      <w:r w:rsidRPr="0097459F">
        <w:t xml:space="preserve">.  O administrador deve informar a data da primeira integralização de cada classe de cotas, por meio de sistema eletrônico disponível na rede mundial de computadores, no prazo de </w:t>
      </w:r>
      <w:r w:rsidR="002E73ED" w:rsidRPr="0097459F">
        <w:t>5 (</w:t>
      </w:r>
      <w:r w:rsidRPr="0097459F">
        <w:t>cinco</w:t>
      </w:r>
      <w:r w:rsidR="002E73ED" w:rsidRPr="0097459F">
        <w:t>)</w:t>
      </w:r>
      <w:r w:rsidRPr="0097459F">
        <w:t xml:space="preserve"> dias úteis.</w:t>
      </w:r>
    </w:p>
    <w:p w14:paraId="7EA8E743" w14:textId="06CEC442" w:rsidR="00893D49" w:rsidRPr="0097459F" w:rsidRDefault="00893D49" w:rsidP="00C20BBD">
      <w:pPr>
        <w:pStyle w:val="Normalalteradora"/>
      </w:pPr>
      <w:r w:rsidRPr="0097459F">
        <w:t xml:space="preserve">Art. 32.  Sem prejuízo de eventuais sanções, a </w:t>
      </w:r>
      <w:r w:rsidR="00CE6F36" w:rsidRPr="0097459F">
        <w:t>Superintendência competente</w:t>
      </w:r>
      <w:r w:rsidRPr="0097459F">
        <w:t xml:space="preserve"> pode suspender a emissão, subscrição e distribuição de cotas realizada em desacordo com esta </w:t>
      </w:r>
      <w:r w:rsidR="00C007FB" w:rsidRPr="0097459F">
        <w:t>Resolução</w:t>
      </w:r>
      <w:r w:rsidR="002E73ED" w:rsidRPr="0097459F">
        <w:t xml:space="preserve">, </w:t>
      </w:r>
      <w:r w:rsidR="00492EAA" w:rsidRPr="0097459F">
        <w:t xml:space="preserve">observada, ainda, a regulamentação específica sobre </w:t>
      </w:r>
      <w:r w:rsidR="002E73ED" w:rsidRPr="0097459F">
        <w:t>ofertas públicas</w:t>
      </w:r>
      <w:r w:rsidR="00492EAA" w:rsidRPr="0097459F">
        <w:t xml:space="preserve"> de distribuição de valores mobiliários</w:t>
      </w:r>
      <w:r w:rsidRPr="0097459F">
        <w:t>.</w:t>
      </w:r>
    </w:p>
    <w:p w14:paraId="30BCF731" w14:textId="36EEAC66" w:rsidR="00893D49" w:rsidRPr="0097459F" w:rsidRDefault="00893D49" w:rsidP="00C20BBD">
      <w:pPr>
        <w:pStyle w:val="Seo"/>
        <w:rPr>
          <w:rFonts w:asciiTheme="minorHAnsi" w:hAnsiTheme="minorHAnsi"/>
        </w:rPr>
      </w:pPr>
      <w:bookmarkStart w:id="97" w:name="_Toc53594440"/>
      <w:bookmarkStart w:id="98" w:name="_Toc53595465"/>
      <w:bookmarkStart w:id="99" w:name="_Toc53594192"/>
      <w:bookmarkStart w:id="100" w:name="_Toc114818974"/>
      <w:bookmarkStart w:id="101" w:name="_Toc57836200"/>
      <w:bookmarkStart w:id="102" w:name="_Toc161141202"/>
      <w:r w:rsidRPr="0097459F">
        <w:rPr>
          <w:rFonts w:asciiTheme="minorHAnsi" w:hAnsiTheme="minorHAnsi"/>
        </w:rPr>
        <w:t xml:space="preserve">Subseção V – </w:t>
      </w:r>
      <w:r w:rsidR="00437ADC" w:rsidRPr="0097459F">
        <w:rPr>
          <w:rFonts w:asciiTheme="minorHAnsi" w:hAnsiTheme="minorHAnsi"/>
        </w:rPr>
        <w:t xml:space="preserve">Investimento </w:t>
      </w:r>
      <w:r w:rsidRPr="0097459F">
        <w:rPr>
          <w:rFonts w:asciiTheme="minorHAnsi" w:hAnsiTheme="minorHAnsi"/>
        </w:rPr>
        <w:t>por Conta e Ordem</w:t>
      </w:r>
      <w:bookmarkEnd w:id="97"/>
      <w:bookmarkEnd w:id="98"/>
      <w:bookmarkEnd w:id="99"/>
      <w:bookmarkEnd w:id="100"/>
      <w:bookmarkEnd w:id="101"/>
      <w:bookmarkEnd w:id="102"/>
    </w:p>
    <w:p w14:paraId="2B72826B" w14:textId="1B83184E" w:rsidR="00AD74DC" w:rsidRPr="0097459F" w:rsidRDefault="00893D49" w:rsidP="00C20BBD">
      <w:pPr>
        <w:pStyle w:val="Normalalteradora"/>
      </w:pPr>
      <w:r w:rsidRPr="0097459F">
        <w:t xml:space="preserve">Art. </w:t>
      </w:r>
      <w:r w:rsidRPr="0097459F" w:rsidDel="001F7633">
        <w:t>33</w:t>
      </w:r>
      <w:r w:rsidRPr="0097459F">
        <w:t>.  O gestor</w:t>
      </w:r>
      <w:r w:rsidR="00CE6F36" w:rsidRPr="0097459F">
        <w:t xml:space="preserve"> </w:t>
      </w:r>
      <w:r w:rsidRPr="0097459F">
        <w:t xml:space="preserve">pode </w:t>
      </w:r>
      <w:r w:rsidR="000E4282" w:rsidRPr="0097459F">
        <w:t xml:space="preserve">contratar </w:t>
      </w:r>
      <w:r w:rsidRPr="0097459F">
        <w:t xml:space="preserve">o distribuidor </w:t>
      </w:r>
      <w:r w:rsidR="000E4282" w:rsidRPr="0097459F">
        <w:t>para</w:t>
      </w:r>
      <w:r w:rsidRPr="0097459F">
        <w:t xml:space="preserve"> realizar a </w:t>
      </w:r>
      <w:r w:rsidR="000E4282" w:rsidRPr="0097459F">
        <w:t>distribuiç</w:t>
      </w:r>
      <w:r w:rsidR="009C3D5A" w:rsidRPr="0097459F">
        <w:t xml:space="preserve">ão e </w:t>
      </w:r>
      <w:r w:rsidRPr="0097459F">
        <w:t xml:space="preserve">subscrição de cotas </w:t>
      </w:r>
      <w:r w:rsidR="00C959D1" w:rsidRPr="0097459F">
        <w:t>do fundo</w:t>
      </w:r>
      <w:r w:rsidRPr="0097459F">
        <w:t xml:space="preserve"> por conta e ordem </w:t>
      </w:r>
      <w:r w:rsidR="008F4E6A" w:rsidRPr="0097459F">
        <w:t>dos investidores</w:t>
      </w:r>
      <w:r w:rsidRPr="0097459F">
        <w:t>.</w:t>
      </w:r>
    </w:p>
    <w:p w14:paraId="7D0641D7" w14:textId="2B544412" w:rsidR="000E4282" w:rsidRPr="0097459F" w:rsidRDefault="00893D49" w:rsidP="00C20BBD">
      <w:pPr>
        <w:pStyle w:val="Normalalteradora"/>
      </w:pPr>
      <w:r w:rsidRPr="0097459F">
        <w:t xml:space="preserve">Art. 34.  </w:t>
      </w:r>
      <w:r w:rsidR="00255A04" w:rsidRPr="0097459F">
        <w:t xml:space="preserve">O </w:t>
      </w:r>
      <w:r w:rsidRPr="0097459F">
        <w:t xml:space="preserve">distribuidor </w:t>
      </w:r>
      <w:r w:rsidR="00255A04" w:rsidRPr="0097459F">
        <w:t xml:space="preserve">por conta e ordem </w:t>
      </w:r>
      <w:r w:rsidRPr="0097459F">
        <w:t xml:space="preserve">deve </w:t>
      </w:r>
      <w:r w:rsidR="00255A04" w:rsidRPr="0097459F">
        <w:t xml:space="preserve">manter </w:t>
      </w:r>
      <w:r w:rsidRPr="0097459F">
        <w:t xml:space="preserve">registro complementar de cotistas, específico para cada classe </w:t>
      </w:r>
      <w:r w:rsidR="00CF66DF" w:rsidRPr="0097459F">
        <w:t xml:space="preserve">e, se houver, subclasse </w:t>
      </w:r>
      <w:r w:rsidRPr="0097459F">
        <w:t>de cotas em que ocorra subscrição</w:t>
      </w:r>
      <w:r w:rsidR="00D16C1E" w:rsidRPr="0097459F">
        <w:t xml:space="preserve"> por co</w:t>
      </w:r>
      <w:r w:rsidR="00125B86" w:rsidRPr="0097459F">
        <w:t>n</w:t>
      </w:r>
      <w:r w:rsidR="00D16C1E" w:rsidRPr="0097459F">
        <w:t>ta e ordem</w:t>
      </w:r>
      <w:r w:rsidRPr="0097459F">
        <w:t>, de forma que</w:t>
      </w:r>
      <w:r w:rsidR="42EA7860" w:rsidRPr="0097459F">
        <w:rPr>
          <w:rFonts w:ascii="Calibri" w:eastAsia="Calibri" w:hAnsi="Calibri"/>
          <w:color w:val="000000" w:themeColor="text1"/>
        </w:rPr>
        <w:t xml:space="preserve"> a titularidade das cotas </w:t>
      </w:r>
      <w:r w:rsidR="42EA7860" w:rsidRPr="0097459F">
        <w:rPr>
          <w:rFonts w:ascii="Calibri" w:eastAsia="Calibri" w:hAnsi="Calibri" w:cs="Calibri"/>
          <w:color w:val="000000" w:themeColor="text1"/>
        </w:rPr>
        <w:t xml:space="preserve">seja inscrita </w:t>
      </w:r>
      <w:r w:rsidR="42EA7860" w:rsidRPr="0097459F">
        <w:t>no registro em nome dos investidores, atr</w:t>
      </w:r>
      <w:r w:rsidR="2547C05D" w:rsidRPr="0097459F">
        <w:t>i</w:t>
      </w:r>
      <w:r w:rsidR="42EA7860" w:rsidRPr="0097459F">
        <w:t xml:space="preserve">buído a cada cotista um código de investidor e </w:t>
      </w:r>
      <w:r w:rsidR="0CF83466" w:rsidRPr="0097459F">
        <w:t xml:space="preserve">sendo </w:t>
      </w:r>
      <w:r w:rsidR="42EA7860" w:rsidRPr="0097459F">
        <w:t>informado tal código ao administrador</w:t>
      </w:r>
      <w:r w:rsidR="002E73ED" w:rsidRPr="0097459F">
        <w:t>.</w:t>
      </w:r>
    </w:p>
    <w:p w14:paraId="05628494" w14:textId="7BD974E1" w:rsidR="00893D49" w:rsidRPr="0097459F" w:rsidRDefault="368F9022" w:rsidP="00C20BBD">
      <w:pPr>
        <w:pStyle w:val="Normalalteradora"/>
      </w:pPr>
      <w:r w:rsidRPr="0097459F">
        <w:t>§ 1</w:t>
      </w:r>
      <w:proofErr w:type="gramStart"/>
      <w:r w:rsidRPr="0097459F">
        <w:t>º  O</w:t>
      </w:r>
      <w:proofErr w:type="gramEnd"/>
      <w:r w:rsidR="00893D49" w:rsidRPr="0097459F">
        <w:t xml:space="preserve"> administrador ou</w:t>
      </w:r>
      <w:r w:rsidR="006B7A16" w:rsidRPr="0097459F">
        <w:t xml:space="preserve"> a</w:t>
      </w:r>
      <w:r w:rsidR="00893D49" w:rsidRPr="0097459F">
        <w:t xml:space="preserve"> instituição contratada para realizar a escrituração de cotas </w:t>
      </w:r>
      <w:r w:rsidR="06243B39" w:rsidRPr="0097459F">
        <w:t xml:space="preserve">deve </w:t>
      </w:r>
      <w:r w:rsidR="003A6AC4" w:rsidRPr="0097459F">
        <w:t>inscrevê</w:t>
      </w:r>
      <w:r w:rsidR="006B7A16" w:rsidRPr="0097459F">
        <w:t>-</w:t>
      </w:r>
      <w:r w:rsidR="59A9DB45" w:rsidRPr="0097459F">
        <w:t>l</w:t>
      </w:r>
      <w:r w:rsidR="04AFB46A" w:rsidRPr="0097459F">
        <w:t>as</w:t>
      </w:r>
      <w:r w:rsidR="00893D49" w:rsidRPr="0097459F">
        <w:t xml:space="preserve"> no registro de cotistas </w:t>
      </w:r>
      <w:r w:rsidR="00CF66DF" w:rsidRPr="0097459F">
        <w:t>da classe e, se houver, subclasse de cotas,</w:t>
      </w:r>
      <w:r w:rsidR="00893D49" w:rsidRPr="0097459F">
        <w:t xml:space="preserve"> </w:t>
      </w:r>
      <w:r w:rsidR="04AFB46A" w:rsidRPr="0097459F">
        <w:t>adota</w:t>
      </w:r>
      <w:r w:rsidR="773CC797" w:rsidRPr="0097459F">
        <w:t>ndo</w:t>
      </w:r>
      <w:r w:rsidR="00893D49" w:rsidRPr="0097459F">
        <w:t>, na identificação do titular, o nome do distribuidor</w:t>
      </w:r>
      <w:r w:rsidR="00A62230" w:rsidRPr="0097459F">
        <w:t xml:space="preserve"> por conta e ordem</w:t>
      </w:r>
      <w:r w:rsidR="00893D49" w:rsidRPr="0097459F">
        <w:t xml:space="preserve">, acrescido do código de </w:t>
      </w:r>
      <w:r w:rsidR="006B7A16" w:rsidRPr="0097459F">
        <w:t>investidor</w:t>
      </w:r>
      <w:r w:rsidR="00A62230" w:rsidRPr="0097459F">
        <w:t xml:space="preserve"> referido no </w:t>
      </w:r>
      <w:r w:rsidR="005F4939" w:rsidRPr="0097459F">
        <w:rPr>
          <w:b/>
        </w:rPr>
        <w:t>caput</w:t>
      </w:r>
      <w:r w:rsidR="00893D49" w:rsidRPr="0097459F">
        <w:t>.</w:t>
      </w:r>
    </w:p>
    <w:p w14:paraId="602716D3" w14:textId="38257C84" w:rsidR="001C46EA" w:rsidRPr="0097459F" w:rsidRDefault="008404F1" w:rsidP="00C20BBD">
      <w:pPr>
        <w:pStyle w:val="Normalalteradora"/>
        <w:rPr>
          <w:rFonts w:cstheme="minorHAnsi"/>
        </w:rPr>
      </w:pPr>
      <w:r w:rsidRPr="0097459F">
        <w:rPr>
          <w:rFonts w:cstheme="minorHAnsi"/>
        </w:rPr>
        <w:t>§ 2</w:t>
      </w:r>
      <w:proofErr w:type="gramStart"/>
      <w:r w:rsidRPr="0097459F">
        <w:rPr>
          <w:rFonts w:cstheme="minorHAnsi"/>
        </w:rPr>
        <w:t>º</w:t>
      </w:r>
      <w:r w:rsidR="00893D49" w:rsidRPr="0097459F">
        <w:rPr>
          <w:rFonts w:cstheme="minorHAnsi"/>
        </w:rPr>
        <w:t xml:space="preserve">  Os</w:t>
      </w:r>
      <w:proofErr w:type="gramEnd"/>
      <w:r w:rsidR="00893D49" w:rsidRPr="0097459F">
        <w:rPr>
          <w:rFonts w:cstheme="minorHAnsi"/>
        </w:rPr>
        <w:t xml:space="preserve"> distribuidores que atuem por conta e ordem de clientes devem estar autorizados a prestar os serviços de escrituração de valores mobiliários, nos termos de norma específica, ou providenciar o </w:t>
      </w:r>
      <w:r w:rsidR="00893D49" w:rsidRPr="0097459F">
        <w:rPr>
          <w:rFonts w:cstheme="minorHAnsi"/>
        </w:rPr>
        <w:lastRenderedPageBreak/>
        <w:t xml:space="preserve">depósito das cotas </w:t>
      </w:r>
      <w:r w:rsidR="001C46EA" w:rsidRPr="0097459F">
        <w:rPr>
          <w:rFonts w:cstheme="minorHAnsi"/>
        </w:rPr>
        <w:t xml:space="preserve">em </w:t>
      </w:r>
      <w:r w:rsidR="00626441" w:rsidRPr="0097459F">
        <w:rPr>
          <w:rFonts w:cstheme="minorHAnsi"/>
        </w:rPr>
        <w:t xml:space="preserve">central </w:t>
      </w:r>
      <w:r w:rsidR="001C46EA" w:rsidRPr="0097459F">
        <w:rPr>
          <w:rFonts w:cstheme="minorHAnsi"/>
        </w:rPr>
        <w:t>depositária de valores mobiliários ou</w:t>
      </w:r>
      <w:r w:rsidR="00213805" w:rsidRPr="0097459F">
        <w:rPr>
          <w:rFonts w:cstheme="minorHAnsi"/>
        </w:rPr>
        <w:t xml:space="preserve"> seu registro </w:t>
      </w:r>
      <w:r w:rsidR="00893D49" w:rsidRPr="0097459F">
        <w:rPr>
          <w:rFonts w:cstheme="minorHAnsi"/>
        </w:rPr>
        <w:t>em mercado organizado</w:t>
      </w:r>
      <w:r w:rsidR="000E088E" w:rsidRPr="0097459F">
        <w:rPr>
          <w:rFonts w:cstheme="minorHAnsi"/>
        </w:rPr>
        <w:t xml:space="preserve">, </w:t>
      </w:r>
      <w:r w:rsidR="00B92682" w:rsidRPr="0097459F">
        <w:rPr>
          <w:rFonts w:cstheme="minorHAnsi"/>
        </w:rPr>
        <w:t>de modo a possibilitar a identificação d</w:t>
      </w:r>
      <w:r w:rsidR="000E088E" w:rsidRPr="0097459F">
        <w:rPr>
          <w:rFonts w:cstheme="minorHAnsi"/>
        </w:rPr>
        <w:t xml:space="preserve">o cotista </w:t>
      </w:r>
      <w:r w:rsidR="00D04201" w:rsidRPr="0097459F">
        <w:rPr>
          <w:rFonts w:cstheme="minorHAnsi"/>
        </w:rPr>
        <w:t>efetivo</w:t>
      </w:r>
      <w:r w:rsidR="00893D49" w:rsidRPr="0097459F">
        <w:rPr>
          <w:rFonts w:cstheme="minorHAnsi"/>
        </w:rPr>
        <w:t>.</w:t>
      </w:r>
    </w:p>
    <w:p w14:paraId="5B8D6C07" w14:textId="0861D461" w:rsidR="007E7BE3" w:rsidRPr="0097459F" w:rsidRDefault="001C46EA" w:rsidP="00C20BBD">
      <w:pPr>
        <w:pStyle w:val="Normalalteradora"/>
      </w:pPr>
      <w:r w:rsidRPr="0097459F">
        <w:t>A</w:t>
      </w:r>
      <w:r w:rsidR="00893D49" w:rsidRPr="0097459F">
        <w:t xml:space="preserve">rt. </w:t>
      </w:r>
      <w:r w:rsidR="00893D49" w:rsidRPr="0097459F" w:rsidDel="001F7633">
        <w:t>35</w:t>
      </w:r>
      <w:r w:rsidR="00893D49" w:rsidRPr="0097459F">
        <w:t>.  As aplicações</w:t>
      </w:r>
      <w:r w:rsidR="00BB6499" w:rsidRPr="0097459F">
        <w:t>, amortizações</w:t>
      </w:r>
      <w:r w:rsidR="00893D49" w:rsidRPr="0097459F">
        <w:t xml:space="preserve"> e resgates realizados por meio de distribuidores que estejam atuando por conta e ordem de clientes devem ser efetuados de forma segregada, de modo que os bens e direitos integrantes do patrimônio de cada um dos clientes, bem como seus frutos e rendimentos, não se comuniquem </w:t>
      </w:r>
      <w:r w:rsidR="00A303C2" w:rsidRPr="0097459F">
        <w:t xml:space="preserve">entre si </w:t>
      </w:r>
      <w:r w:rsidR="007754B4" w:rsidRPr="0097459F">
        <w:t>ou</w:t>
      </w:r>
      <w:r w:rsidR="00A303C2" w:rsidRPr="0097459F">
        <w:t xml:space="preserve"> </w:t>
      </w:r>
      <w:r w:rsidR="00893D49" w:rsidRPr="0097459F">
        <w:t>com o patrimônio do distribuidor.</w:t>
      </w:r>
    </w:p>
    <w:p w14:paraId="4ED3E004" w14:textId="567E321F" w:rsidR="00A303C2" w:rsidRPr="0097459F" w:rsidRDefault="00893D49" w:rsidP="00C20BBD">
      <w:pPr>
        <w:pStyle w:val="Normalalteradora"/>
        <w:rPr>
          <w:rFonts w:cstheme="minorHAnsi"/>
        </w:rPr>
      </w:pPr>
      <w:r w:rsidRPr="0097459F">
        <w:rPr>
          <w:rFonts w:cstheme="minorHAnsi"/>
        </w:rPr>
        <w:t xml:space="preserve">Parágrafo único. </w:t>
      </w:r>
      <w:r w:rsidR="001F7633" w:rsidRPr="0097459F">
        <w:rPr>
          <w:rFonts w:cstheme="minorHAnsi"/>
        </w:rPr>
        <w:t xml:space="preserve"> </w:t>
      </w:r>
      <w:r w:rsidRPr="0097459F">
        <w:rPr>
          <w:rFonts w:cstheme="minorHAnsi"/>
        </w:rPr>
        <w:t xml:space="preserve">Os bens e direitos de clientes não respondem direta ou indiretamente por qualquer obrigação </w:t>
      </w:r>
      <w:r w:rsidR="00A303C2" w:rsidRPr="0097459F">
        <w:rPr>
          <w:rFonts w:cstheme="minorHAnsi"/>
        </w:rPr>
        <w:t>dos</w:t>
      </w:r>
      <w:r w:rsidRPr="0097459F">
        <w:rPr>
          <w:rFonts w:cstheme="minorHAnsi"/>
        </w:rPr>
        <w:t xml:space="preserve"> distribuidores</w:t>
      </w:r>
      <w:r w:rsidR="00492EAA" w:rsidRPr="0097459F">
        <w:rPr>
          <w:rFonts w:cstheme="minorHAnsi"/>
        </w:rPr>
        <w:t xml:space="preserve"> por conta e ordem</w:t>
      </w:r>
      <w:r w:rsidRPr="0097459F">
        <w:rPr>
          <w:rFonts w:cstheme="minorHAnsi"/>
        </w:rPr>
        <w:t>, sendo vedad</w:t>
      </w:r>
      <w:r w:rsidR="00492EAA" w:rsidRPr="0097459F">
        <w:rPr>
          <w:rFonts w:cstheme="minorHAnsi"/>
        </w:rPr>
        <w:t>o</w:t>
      </w:r>
      <w:r w:rsidRPr="0097459F">
        <w:rPr>
          <w:rFonts w:cstheme="minorHAnsi"/>
        </w:rPr>
        <w:t xml:space="preserve"> </w:t>
      </w:r>
      <w:r w:rsidR="00CB5D9D" w:rsidRPr="0097459F">
        <w:rPr>
          <w:rFonts w:cstheme="minorHAnsi"/>
        </w:rPr>
        <w:t xml:space="preserve">aos distribuidores </w:t>
      </w:r>
      <w:r w:rsidR="00492EAA" w:rsidRPr="0097459F">
        <w:rPr>
          <w:rFonts w:cstheme="minorHAnsi"/>
        </w:rPr>
        <w:t>deles dispor sem prévio consentimento do cliente</w:t>
      </w:r>
      <w:r w:rsidRPr="0097459F">
        <w:rPr>
          <w:rFonts w:cstheme="minorHAnsi"/>
        </w:rPr>
        <w:t xml:space="preserve">. </w:t>
      </w:r>
    </w:p>
    <w:p w14:paraId="200DBCB0" w14:textId="40673A9B" w:rsidR="00893D49" w:rsidRPr="0097459F" w:rsidRDefault="00893D49" w:rsidP="00C20BBD">
      <w:pPr>
        <w:pStyle w:val="Normalalteradora"/>
      </w:pPr>
      <w:r w:rsidRPr="0097459F">
        <w:t>Art. 3</w:t>
      </w:r>
      <w:r w:rsidRPr="0097459F" w:rsidDel="00387D4A">
        <w:t>6</w:t>
      </w:r>
      <w:r w:rsidRPr="0097459F">
        <w:t>.  Os distribuidores que estejam atuando por conta e ordem de clientes assumem todos os ônus e responsabilidades relacionadas aos clientes, inclusive quanto a seu cadastramento, identificação e demais procedimentos que, na forma desta Resolução, caberiam originalmente ao administrador, em especial no que se refere:</w:t>
      </w:r>
    </w:p>
    <w:p w14:paraId="4A0C7CB6" w14:textId="2AF8F3E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ao</w:t>
      </w:r>
      <w:proofErr w:type="gramEnd"/>
      <w:r w:rsidRPr="0097459F">
        <w:rPr>
          <w:rFonts w:cstheme="minorHAnsi"/>
        </w:rPr>
        <w:t xml:space="preserve"> fornecimento de regulamentos</w:t>
      </w:r>
      <w:bookmarkStart w:id="103" w:name="_DV_M195"/>
      <w:bookmarkEnd w:id="103"/>
      <w:r w:rsidRPr="0097459F">
        <w:rPr>
          <w:rFonts w:cstheme="minorHAnsi"/>
        </w:rPr>
        <w:t xml:space="preserve">, termos de adesão e ciência de riscos, notas de investimento e extratos </w:t>
      </w:r>
      <w:r w:rsidR="00387D4A" w:rsidRPr="0097459F">
        <w:rPr>
          <w:rFonts w:cstheme="minorHAnsi"/>
        </w:rPr>
        <w:t>que sejam</w:t>
      </w:r>
      <w:r w:rsidRPr="0097459F">
        <w:rPr>
          <w:rFonts w:cstheme="minorHAnsi"/>
        </w:rPr>
        <w:t xml:space="preserve"> encaminhados pelos administradores aos distribuidores para tal finalidade; </w:t>
      </w:r>
      <w:bookmarkStart w:id="104" w:name="_DV_M194"/>
      <w:bookmarkEnd w:id="104"/>
    </w:p>
    <w:p w14:paraId="5C19249D" w14:textId="7290F9FA"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à</w:t>
      </w:r>
      <w:proofErr w:type="gramEnd"/>
      <w:r w:rsidRPr="0097459F">
        <w:rPr>
          <w:rFonts w:cstheme="minorHAnsi"/>
        </w:rPr>
        <w:t xml:space="preserve"> responsabilidade de dar ciência ao</w:t>
      </w:r>
      <w:r w:rsidR="008D3EF2" w:rsidRPr="0097459F">
        <w:rPr>
          <w:rFonts w:cstheme="minorHAnsi"/>
        </w:rPr>
        <w:t>s</w:t>
      </w:r>
      <w:r w:rsidRPr="0097459F">
        <w:rPr>
          <w:rFonts w:cstheme="minorHAnsi"/>
        </w:rPr>
        <w:t xml:space="preserve"> </w:t>
      </w:r>
      <w:r w:rsidR="00171646" w:rsidRPr="0097459F">
        <w:rPr>
          <w:rFonts w:cstheme="minorHAnsi"/>
        </w:rPr>
        <w:t>investidores</w:t>
      </w:r>
      <w:r w:rsidR="008D3EF2" w:rsidRPr="0097459F">
        <w:rPr>
          <w:rFonts w:cstheme="minorHAnsi"/>
        </w:rPr>
        <w:t xml:space="preserve"> </w:t>
      </w:r>
      <w:r w:rsidRPr="0097459F">
        <w:rPr>
          <w:rFonts w:cstheme="minorHAnsi"/>
        </w:rPr>
        <w:t>de que a distribuição é feita por conta e ordem;</w:t>
      </w:r>
    </w:p>
    <w:p w14:paraId="18E267F4" w14:textId="76D3DB24" w:rsidR="00893D49" w:rsidRPr="0097459F" w:rsidRDefault="00196664" w:rsidP="00C20BBD">
      <w:pPr>
        <w:pStyle w:val="Normalalteradora"/>
        <w:rPr>
          <w:rFonts w:cstheme="minorHAnsi"/>
        </w:rPr>
      </w:pPr>
      <w:r w:rsidRPr="0097459F">
        <w:rPr>
          <w:rFonts w:cstheme="minorHAnsi"/>
        </w:rPr>
        <w:t xml:space="preserve">III </w:t>
      </w:r>
      <w:r w:rsidR="00893D49" w:rsidRPr="0097459F">
        <w:rPr>
          <w:rFonts w:cstheme="minorHAnsi"/>
        </w:rPr>
        <w:t xml:space="preserve">– ao controle e à manutenção de registros internos referentes à compatibilidade entre as movimentações dos recursos dos clientes e sua capacidade financeira e atividades econômicas, nos termos </w:t>
      </w:r>
      <w:r w:rsidR="00C007FB" w:rsidRPr="0097459F">
        <w:rPr>
          <w:rFonts w:cstheme="minorHAnsi"/>
        </w:rPr>
        <w:t>da regulamentação específica</w:t>
      </w:r>
      <w:r w:rsidR="00893D49" w:rsidRPr="0097459F">
        <w:rPr>
          <w:rFonts w:cstheme="minorHAnsi"/>
        </w:rPr>
        <w:t xml:space="preserve"> </w:t>
      </w:r>
      <w:r w:rsidR="00C007FB" w:rsidRPr="0097459F">
        <w:rPr>
          <w:rFonts w:cstheme="minorHAnsi"/>
        </w:rPr>
        <w:t>sobre prevenção à lavagem de dinheiro, ao financiamento do terrorismo e ao financiamento da proliferação de armas de destruição em massa – PLD/FTP</w:t>
      </w:r>
      <w:r w:rsidR="00893D49" w:rsidRPr="0097459F">
        <w:rPr>
          <w:rFonts w:cstheme="minorHAnsi"/>
        </w:rPr>
        <w:t>;</w:t>
      </w:r>
    </w:p>
    <w:p w14:paraId="40BACB84" w14:textId="6B47F459" w:rsidR="00893D49" w:rsidRPr="0097459F" w:rsidRDefault="00C402F4" w:rsidP="2889066B">
      <w:pPr>
        <w:pStyle w:val="Normalalteradora"/>
      </w:pPr>
      <w:r w:rsidRPr="0097459F">
        <w:t>I</w:t>
      </w:r>
      <w:r w:rsidR="00893D49" w:rsidRPr="0097459F">
        <w:t xml:space="preserve">V – </w:t>
      </w:r>
      <w:proofErr w:type="gramStart"/>
      <w:r w:rsidR="00893D49" w:rsidRPr="0097459F">
        <w:t>à</w:t>
      </w:r>
      <w:proofErr w:type="gramEnd"/>
      <w:r w:rsidR="00893D49" w:rsidRPr="0097459F">
        <w:t xml:space="preserve"> regularidade e guarda da documentação cadastral dos clientes, nos termos da regulamentação em vigor, bem como pelo cumprimento de todas as exigências legais quanto à referida documentação cadastral;</w:t>
      </w:r>
    </w:p>
    <w:p w14:paraId="591E528E" w14:textId="54E57563"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à</w:t>
      </w:r>
      <w:proofErr w:type="gramEnd"/>
      <w:r w:rsidRPr="0097459F">
        <w:rPr>
          <w:rFonts w:cstheme="minorHAnsi"/>
        </w:rPr>
        <w:t xml:space="preserve"> prestação de informação diretamente à CVM sobre os dados cadastrais dos </w:t>
      </w:r>
      <w:r w:rsidR="004F5EE5" w:rsidRPr="0097459F">
        <w:rPr>
          <w:rFonts w:cstheme="minorHAnsi"/>
        </w:rPr>
        <w:t xml:space="preserve">cotistas </w:t>
      </w:r>
      <w:r w:rsidR="00F56DC6" w:rsidRPr="0097459F">
        <w:rPr>
          <w:rFonts w:cstheme="minorHAnsi"/>
        </w:rPr>
        <w:t>efetivos</w:t>
      </w:r>
      <w:r w:rsidRPr="0097459F">
        <w:rPr>
          <w:rFonts w:cstheme="minorHAnsi"/>
        </w:rPr>
        <w:t>, quando esta informação for solicitada;</w:t>
      </w:r>
    </w:p>
    <w:p w14:paraId="7B51F5FD" w14:textId="7A7E556E" w:rsidR="00893D49" w:rsidRPr="0097459F" w:rsidRDefault="00893D49" w:rsidP="00C20BBD">
      <w:pPr>
        <w:pStyle w:val="Normalalteradora"/>
        <w:rPr>
          <w:rFonts w:cstheme="minorHAnsi"/>
        </w:rPr>
      </w:pPr>
      <w:r w:rsidRPr="0097459F">
        <w:rPr>
          <w:rFonts w:cstheme="minorHAnsi"/>
        </w:rPr>
        <w:lastRenderedPageBreak/>
        <w:t xml:space="preserve">VI – </w:t>
      </w:r>
      <w:proofErr w:type="gramStart"/>
      <w:r w:rsidRPr="0097459F">
        <w:rPr>
          <w:rFonts w:cstheme="minorHAnsi"/>
        </w:rPr>
        <w:t>à</w:t>
      </w:r>
      <w:proofErr w:type="gramEnd"/>
      <w:r w:rsidRPr="0097459F">
        <w:rPr>
          <w:rFonts w:cstheme="minorHAnsi"/>
        </w:rPr>
        <w:t xml:space="preserve"> comunicação aos </w:t>
      </w:r>
      <w:r w:rsidR="00E4366F" w:rsidRPr="0097459F">
        <w:rPr>
          <w:rFonts w:cstheme="minorHAnsi"/>
        </w:rPr>
        <w:t xml:space="preserve">cotistas </w:t>
      </w:r>
      <w:r w:rsidR="00F56DC6" w:rsidRPr="0097459F">
        <w:rPr>
          <w:rFonts w:cstheme="minorHAnsi"/>
        </w:rPr>
        <w:t>efetivos</w:t>
      </w:r>
      <w:r w:rsidR="00E4366F" w:rsidRPr="0097459F">
        <w:rPr>
          <w:rFonts w:cstheme="minorHAnsi"/>
        </w:rPr>
        <w:t xml:space="preserve"> </w:t>
      </w:r>
      <w:r w:rsidRPr="0097459F">
        <w:rPr>
          <w:rFonts w:cstheme="minorHAnsi"/>
        </w:rPr>
        <w:t>sobre a convocação de assembleias de cotistas e sobre suas deliberações, de acordo com as instruções e informações que, com antecedência suficiente e tempestivamente, receberem dos administradores, observado, ainda, o disposto no art. 38;</w:t>
      </w:r>
    </w:p>
    <w:p w14:paraId="1256D40A" w14:textId="5F318EE6" w:rsidR="00893D49" w:rsidRPr="0097459F" w:rsidRDefault="00893D49" w:rsidP="00C20BBD">
      <w:pPr>
        <w:pStyle w:val="Normalalteradora"/>
        <w:rPr>
          <w:rFonts w:cstheme="minorHAnsi"/>
        </w:rPr>
      </w:pPr>
      <w:r w:rsidRPr="0097459F">
        <w:rPr>
          <w:rFonts w:cstheme="minorHAnsi"/>
        </w:rPr>
        <w:t xml:space="preserve">VII – à manutenção de serviço de atendimento aos </w:t>
      </w:r>
      <w:r w:rsidR="00E4366F" w:rsidRPr="0097459F">
        <w:rPr>
          <w:rFonts w:cstheme="minorHAnsi"/>
        </w:rPr>
        <w:t xml:space="preserve">cotistas </w:t>
      </w:r>
      <w:r w:rsidR="00492EAA" w:rsidRPr="0097459F">
        <w:rPr>
          <w:rFonts w:cstheme="minorHAnsi"/>
        </w:rPr>
        <w:t>efetivos</w:t>
      </w:r>
      <w:r w:rsidRPr="0097459F">
        <w:rPr>
          <w:rFonts w:cstheme="minorHAnsi"/>
        </w:rPr>
        <w:t>, para esclarecimento de dúvidas e pelo recebimento de reclamações;</w:t>
      </w:r>
    </w:p>
    <w:p w14:paraId="2811311E" w14:textId="59269228" w:rsidR="00893D49" w:rsidRPr="0097459F" w:rsidRDefault="00C402F4" w:rsidP="00C20BBD">
      <w:pPr>
        <w:pStyle w:val="Normalalteradora"/>
        <w:rPr>
          <w:rFonts w:cstheme="minorHAnsi"/>
        </w:rPr>
      </w:pPr>
      <w:r w:rsidRPr="0097459F">
        <w:rPr>
          <w:rFonts w:cstheme="minorHAnsi"/>
        </w:rPr>
        <w:t xml:space="preserve">VIII </w:t>
      </w:r>
      <w:r w:rsidR="00893D49" w:rsidRPr="0097459F">
        <w:rPr>
          <w:rFonts w:cstheme="minorHAnsi"/>
        </w:rPr>
        <w:t xml:space="preserve">– ao zelo para que o </w:t>
      </w:r>
      <w:r w:rsidR="00171646" w:rsidRPr="0097459F">
        <w:rPr>
          <w:rFonts w:cstheme="minorHAnsi"/>
        </w:rPr>
        <w:t xml:space="preserve">cotista </w:t>
      </w:r>
      <w:r w:rsidR="00D04201" w:rsidRPr="0097459F">
        <w:rPr>
          <w:rFonts w:cstheme="minorHAnsi"/>
        </w:rPr>
        <w:t xml:space="preserve">efetivo </w:t>
      </w:r>
      <w:r w:rsidR="00893D49" w:rsidRPr="0097459F">
        <w:rPr>
          <w:rFonts w:cstheme="minorHAnsi"/>
        </w:rPr>
        <w:t xml:space="preserve">tenha pleno acesso a todos os documentos e informações previstos nesta Resolução, em igualdade de condições com os demais cotistas </w:t>
      </w:r>
      <w:r w:rsidR="00171646" w:rsidRPr="0097459F">
        <w:rPr>
          <w:rFonts w:cstheme="minorHAnsi"/>
        </w:rPr>
        <w:t>da classe</w:t>
      </w:r>
      <w:r w:rsidR="00893D49" w:rsidRPr="0097459F">
        <w:rPr>
          <w:rFonts w:cstheme="minorHAnsi"/>
        </w:rPr>
        <w:t xml:space="preserve"> objeto da aplicação;</w:t>
      </w:r>
    </w:p>
    <w:p w14:paraId="36960931" w14:textId="5D23BB27" w:rsidR="00893D49" w:rsidRPr="0097459F" w:rsidRDefault="00C402F4" w:rsidP="00C20BBD">
      <w:pPr>
        <w:pStyle w:val="Normalalteradora"/>
        <w:rPr>
          <w:rFonts w:cstheme="minorHAnsi"/>
        </w:rPr>
      </w:pPr>
      <w:r w:rsidRPr="0097459F">
        <w:rPr>
          <w:rFonts w:cstheme="minorHAnsi"/>
        </w:rPr>
        <w:t>I</w:t>
      </w:r>
      <w:r w:rsidR="00893D49" w:rsidRPr="0097459F">
        <w:rPr>
          <w:rFonts w:cstheme="minorHAnsi"/>
        </w:rPr>
        <w:t xml:space="preserve">X – </w:t>
      </w:r>
      <w:proofErr w:type="gramStart"/>
      <w:r w:rsidR="00893D49" w:rsidRPr="0097459F">
        <w:rPr>
          <w:rFonts w:cstheme="minorHAnsi"/>
        </w:rPr>
        <w:t>à</w:t>
      </w:r>
      <w:proofErr w:type="gramEnd"/>
      <w:r w:rsidR="00893D49" w:rsidRPr="0097459F">
        <w:rPr>
          <w:rFonts w:cstheme="minorHAnsi"/>
        </w:rPr>
        <w:t xml:space="preserve"> manutenção de informações atualizadas que permitam a identificação</w:t>
      </w:r>
      <w:r w:rsidR="00E4366F" w:rsidRPr="0097459F">
        <w:rPr>
          <w:rFonts w:cstheme="minorHAnsi"/>
        </w:rPr>
        <w:t xml:space="preserve"> dos cotistas finais</w:t>
      </w:r>
      <w:r w:rsidR="00893D49" w:rsidRPr="0097459F">
        <w:rPr>
          <w:rFonts w:cstheme="minorHAnsi"/>
        </w:rPr>
        <w:t xml:space="preserve">, a qualquer tempo, bem como do registro atualizado de todas as aplicações e resgates realizados em nome de cada um dos </w:t>
      </w:r>
      <w:r w:rsidR="00171646" w:rsidRPr="0097459F">
        <w:rPr>
          <w:rFonts w:cstheme="minorHAnsi"/>
        </w:rPr>
        <w:t xml:space="preserve">cotistas </w:t>
      </w:r>
      <w:r w:rsidR="00492EAA" w:rsidRPr="0097459F">
        <w:rPr>
          <w:rFonts w:cstheme="minorHAnsi"/>
        </w:rPr>
        <w:t>efetivos</w:t>
      </w:r>
      <w:r w:rsidR="00893D49" w:rsidRPr="0097459F">
        <w:rPr>
          <w:rFonts w:cstheme="minorHAnsi"/>
        </w:rPr>
        <w:t xml:space="preserve">; e </w:t>
      </w:r>
    </w:p>
    <w:p w14:paraId="34EB669B" w14:textId="590C4717" w:rsidR="00893D49" w:rsidRPr="0097459F" w:rsidRDefault="00893D49" w:rsidP="00C20BBD">
      <w:pPr>
        <w:pStyle w:val="Normalalteradora"/>
        <w:rPr>
          <w:rFonts w:cstheme="minorHAnsi"/>
        </w:rPr>
      </w:pPr>
      <w:r w:rsidRPr="0097459F">
        <w:rPr>
          <w:rFonts w:cstheme="minorHAnsi"/>
        </w:rPr>
        <w:t xml:space="preserve">X – </w:t>
      </w:r>
      <w:proofErr w:type="gramStart"/>
      <w:r w:rsidRPr="0097459F">
        <w:rPr>
          <w:rFonts w:cstheme="minorHAnsi"/>
        </w:rPr>
        <w:t>à</w:t>
      </w:r>
      <w:proofErr w:type="gramEnd"/>
      <w:r w:rsidRPr="0097459F">
        <w:rPr>
          <w:rFonts w:cstheme="minorHAnsi"/>
        </w:rPr>
        <w:t xml:space="preserve"> obrigação de efetuar a retenção e o recolhimento dos tributos incidentes nas aplicações</w:t>
      </w:r>
      <w:r w:rsidR="00BB6499" w:rsidRPr="0097459F">
        <w:rPr>
          <w:rFonts w:cstheme="minorHAnsi"/>
        </w:rPr>
        <w:t>, amortizações</w:t>
      </w:r>
      <w:r w:rsidRPr="0097459F">
        <w:rPr>
          <w:rFonts w:cstheme="minorHAnsi"/>
        </w:rPr>
        <w:t xml:space="preserve"> </w:t>
      </w:r>
      <w:r w:rsidR="00BB6499" w:rsidRPr="0097459F">
        <w:rPr>
          <w:rFonts w:cstheme="minorHAnsi"/>
        </w:rPr>
        <w:t>e</w:t>
      </w:r>
      <w:r w:rsidRPr="0097459F">
        <w:rPr>
          <w:rFonts w:cstheme="minorHAnsi"/>
        </w:rPr>
        <w:t xml:space="preserve"> resgates </w:t>
      </w:r>
      <w:r w:rsidR="00FB4704" w:rsidRPr="0097459F">
        <w:rPr>
          <w:rFonts w:cstheme="minorHAnsi"/>
        </w:rPr>
        <w:t>de cotas</w:t>
      </w:r>
      <w:r w:rsidRPr="0097459F">
        <w:rPr>
          <w:rFonts w:cstheme="minorHAnsi"/>
        </w:rPr>
        <w:t>, conforme determinar a legislação tributária.</w:t>
      </w:r>
    </w:p>
    <w:p w14:paraId="45CC1EED" w14:textId="7ACE006B" w:rsidR="00893D49" w:rsidRPr="0097459F" w:rsidRDefault="00893D49" w:rsidP="00C20BBD">
      <w:pPr>
        <w:pStyle w:val="Normalalteradora"/>
        <w:rPr>
          <w:rFonts w:cstheme="minorHAnsi"/>
        </w:rPr>
      </w:pPr>
      <w:r w:rsidRPr="0097459F">
        <w:rPr>
          <w:rFonts w:cstheme="minorHAnsi"/>
        </w:rPr>
        <w:t>Parágrafo único.  Para os efeitos do inciso VI, serão considerados, para fins de antecedência suficiente e tempestiva a ser observada pelo administrador, os seguintes prazos mínimos:</w:t>
      </w:r>
    </w:p>
    <w:p w14:paraId="42CB430A" w14:textId="2F5FD837" w:rsidR="00893D49" w:rsidRPr="0097459F" w:rsidRDefault="00893D49" w:rsidP="00C20BBD">
      <w:pPr>
        <w:pStyle w:val="Normalalteradora"/>
        <w:rPr>
          <w:rFonts w:cstheme="minorHAnsi"/>
        </w:rPr>
      </w:pPr>
      <w:r w:rsidRPr="0097459F">
        <w:rPr>
          <w:rFonts w:cstheme="minorHAnsi"/>
        </w:rPr>
        <w:t>I – 17 (dezessete) dias de antecedência da realização da assembleia quando a convocação se der por via física; e</w:t>
      </w:r>
    </w:p>
    <w:p w14:paraId="0AD7A16A" w14:textId="1DB55D72" w:rsidR="00893D49" w:rsidRPr="0097459F" w:rsidRDefault="00893D49" w:rsidP="00C20BBD">
      <w:pPr>
        <w:pStyle w:val="Normalalteradora"/>
        <w:rPr>
          <w:rFonts w:cstheme="minorHAnsi"/>
        </w:rPr>
      </w:pPr>
      <w:r w:rsidRPr="0097459F">
        <w:rPr>
          <w:rFonts w:cstheme="minorHAnsi"/>
        </w:rPr>
        <w:t xml:space="preserve">II – </w:t>
      </w:r>
      <w:r w:rsidR="00C959D1" w:rsidRPr="0097459F">
        <w:t>15 (quinze</w:t>
      </w:r>
      <w:r w:rsidRPr="0097459F">
        <w:rPr>
          <w:rFonts w:cstheme="minorHAnsi"/>
        </w:rPr>
        <w:t xml:space="preserve">) dias de antecedência da realização da assembleia quando a convocação se der por meio eletrônico. </w:t>
      </w:r>
    </w:p>
    <w:p w14:paraId="0D581DA0" w14:textId="2818CCF7" w:rsidR="00893D49" w:rsidRPr="0097459F" w:rsidRDefault="00893D49" w:rsidP="00C20BBD">
      <w:pPr>
        <w:pStyle w:val="Normalalteradora"/>
      </w:pPr>
      <w:r w:rsidRPr="0097459F">
        <w:t xml:space="preserve">Art. </w:t>
      </w:r>
      <w:r w:rsidRPr="0097459F" w:rsidDel="0064142C">
        <w:t>37</w:t>
      </w:r>
      <w:r w:rsidRPr="0097459F">
        <w:t>.  O administrador deve disponibilizar ao distribuidor que estiver atuando por conta e ordem de clientes, por meio eletrônico, os seguintes documentos:</w:t>
      </w:r>
    </w:p>
    <w:p w14:paraId="08754CDC" w14:textId="25757A26"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nota</w:t>
      </w:r>
      <w:proofErr w:type="gramEnd"/>
      <w:r w:rsidRPr="0097459F">
        <w:rPr>
          <w:rFonts w:cstheme="minorHAnsi"/>
        </w:rPr>
        <w:t xml:space="preserve"> de investimento que ateste a efetiva realização do investimento a cada nova aplicação realizada por clientes do distribuidor, em até 5 (cinco) dias da data de sua realização; e</w:t>
      </w:r>
    </w:p>
    <w:p w14:paraId="17123D36" w14:textId="17B39C7F" w:rsidR="00893D49" w:rsidRPr="0097459F" w:rsidRDefault="00893D49" w:rsidP="00C20BBD">
      <w:pPr>
        <w:pStyle w:val="Normalalteradora"/>
      </w:pPr>
      <w:r w:rsidRPr="0097459F">
        <w:t xml:space="preserve">II – </w:t>
      </w:r>
      <w:proofErr w:type="gramStart"/>
      <w:r w:rsidRPr="0097459F">
        <w:t>mensalmente</w:t>
      </w:r>
      <w:proofErr w:type="gramEnd"/>
      <w:r w:rsidRPr="0097459F">
        <w:t>, extratos individualizados dos clientes do distribuidor, em até 10 (dez) dias após o final do mês anterior.</w:t>
      </w:r>
    </w:p>
    <w:p w14:paraId="31C2F751" w14:textId="6F02FF03"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nota de investimento e o extrato mensal devem ser disponibilizados com a identificação </w:t>
      </w:r>
      <w:r w:rsidR="00F17D9A" w:rsidRPr="0097459F">
        <w:rPr>
          <w:rFonts w:cstheme="minorHAnsi"/>
        </w:rPr>
        <w:t>dos prestadores de serviços essenciais</w:t>
      </w:r>
      <w:r w:rsidRPr="0097459F">
        <w:rPr>
          <w:rFonts w:cstheme="minorHAnsi"/>
        </w:rPr>
        <w:t xml:space="preserve"> e conter:</w:t>
      </w:r>
    </w:p>
    <w:p w14:paraId="1F96A8D5" w14:textId="3DE3F133" w:rsidR="00893D49" w:rsidRPr="0097459F" w:rsidRDefault="00893D49" w:rsidP="00C20BBD">
      <w:pPr>
        <w:pStyle w:val="Normalalteradora"/>
        <w:rPr>
          <w:rFonts w:cstheme="minorHAnsi"/>
        </w:rPr>
      </w:pPr>
      <w:r w:rsidRPr="0097459F">
        <w:rPr>
          <w:rFonts w:cstheme="minorHAnsi"/>
        </w:rPr>
        <w:lastRenderedPageBreak/>
        <w:t xml:space="preserve">I – </w:t>
      </w:r>
      <w:proofErr w:type="gramStart"/>
      <w:r w:rsidRPr="0097459F">
        <w:rPr>
          <w:rFonts w:cstheme="minorHAnsi"/>
        </w:rPr>
        <w:t>o</w:t>
      </w:r>
      <w:proofErr w:type="gramEnd"/>
      <w:r w:rsidRPr="0097459F">
        <w:rPr>
          <w:rFonts w:cstheme="minorHAnsi"/>
        </w:rPr>
        <w:t xml:space="preserve"> código de </w:t>
      </w:r>
      <w:r w:rsidR="00213805" w:rsidRPr="0097459F">
        <w:rPr>
          <w:rFonts w:cstheme="minorHAnsi"/>
        </w:rPr>
        <w:t>investidor</w:t>
      </w:r>
      <w:r w:rsidR="00F85B82" w:rsidRPr="0097459F">
        <w:rPr>
          <w:rFonts w:cstheme="minorHAnsi"/>
        </w:rPr>
        <w:t>, conforme</w:t>
      </w:r>
      <w:r w:rsidR="00213805" w:rsidRPr="0097459F">
        <w:rPr>
          <w:rFonts w:cstheme="minorHAnsi"/>
        </w:rPr>
        <w:t xml:space="preserve"> referido no </w:t>
      </w:r>
      <w:r w:rsidR="00200729" w:rsidRPr="0097459F">
        <w:rPr>
          <w:rFonts w:cstheme="minorHAnsi"/>
          <w:b/>
        </w:rPr>
        <w:t>caput</w:t>
      </w:r>
      <w:r w:rsidR="00213805" w:rsidRPr="0097459F">
        <w:rPr>
          <w:rFonts w:cstheme="minorHAnsi"/>
        </w:rPr>
        <w:t xml:space="preserve"> do art. 34</w:t>
      </w:r>
      <w:r w:rsidRPr="0097459F">
        <w:rPr>
          <w:rFonts w:cstheme="minorHAnsi"/>
        </w:rPr>
        <w:t>;</w:t>
      </w:r>
    </w:p>
    <w:p w14:paraId="71D7B503" w14:textId="5ED2F910" w:rsidR="00893D49" w:rsidRPr="0097459F" w:rsidRDefault="00893D49" w:rsidP="00C20BBD">
      <w:pPr>
        <w:pStyle w:val="Normalalteradora"/>
        <w:rPr>
          <w:rFonts w:cstheme="minorHAnsi"/>
        </w:rPr>
      </w:pPr>
      <w:r w:rsidRPr="0097459F">
        <w:rPr>
          <w:rFonts w:cstheme="minorHAnsi"/>
        </w:rPr>
        <w:t xml:space="preserve">II – a denominação e </w:t>
      </w:r>
      <w:r w:rsidR="00200729" w:rsidRPr="0097459F">
        <w:rPr>
          <w:rFonts w:cstheme="minorHAnsi"/>
        </w:rPr>
        <w:t xml:space="preserve">o </w:t>
      </w:r>
      <w:r w:rsidRPr="0097459F">
        <w:rPr>
          <w:rFonts w:cstheme="minorHAnsi"/>
        </w:rPr>
        <w:t xml:space="preserve">número de inscrição no CNPJ do fundo </w:t>
      </w:r>
      <w:r w:rsidR="0009093F" w:rsidRPr="0097459F">
        <w:rPr>
          <w:rFonts w:cstheme="minorHAnsi"/>
        </w:rPr>
        <w:t>e</w:t>
      </w:r>
      <w:r w:rsidR="00685F11" w:rsidRPr="0097459F">
        <w:rPr>
          <w:rFonts w:cstheme="minorHAnsi"/>
        </w:rPr>
        <w:t>, caso o fundo possua diferentes classes de cotas,</w:t>
      </w:r>
      <w:r w:rsidR="0009093F" w:rsidRPr="0097459F">
        <w:rPr>
          <w:rFonts w:cstheme="minorHAnsi"/>
        </w:rPr>
        <w:t xml:space="preserve"> </w:t>
      </w:r>
      <w:r w:rsidR="00C742C1" w:rsidRPr="0097459F">
        <w:rPr>
          <w:rFonts w:cstheme="minorHAnsi"/>
        </w:rPr>
        <w:t xml:space="preserve">a denominação </w:t>
      </w:r>
      <w:r w:rsidRPr="0097459F">
        <w:rPr>
          <w:rFonts w:cstheme="minorHAnsi"/>
        </w:rPr>
        <w:t>d</w:t>
      </w:r>
      <w:r w:rsidR="00F3345F" w:rsidRPr="0097459F">
        <w:rPr>
          <w:rFonts w:cstheme="minorHAnsi"/>
        </w:rPr>
        <w:t>e tod</w:t>
      </w:r>
      <w:r w:rsidRPr="0097459F">
        <w:rPr>
          <w:rFonts w:cstheme="minorHAnsi"/>
        </w:rPr>
        <w:t>a classe investida</w:t>
      </w:r>
      <w:r w:rsidR="00F85B82" w:rsidRPr="0097459F">
        <w:rPr>
          <w:rFonts w:cstheme="minorHAnsi"/>
        </w:rPr>
        <w:t>,</w:t>
      </w:r>
      <w:r w:rsidR="00C742C1" w:rsidRPr="0097459F">
        <w:rPr>
          <w:rFonts w:cstheme="minorHAnsi"/>
        </w:rPr>
        <w:t xml:space="preserve"> suas inscrições no CNPJ</w:t>
      </w:r>
      <w:r w:rsidR="00F85B82" w:rsidRPr="0097459F">
        <w:rPr>
          <w:rFonts w:cstheme="minorHAnsi"/>
        </w:rPr>
        <w:t xml:space="preserve"> e, se for o caso, especificação da</w:t>
      </w:r>
      <w:r w:rsidR="006C0C0A" w:rsidRPr="0097459F">
        <w:rPr>
          <w:rFonts w:cstheme="minorHAnsi"/>
        </w:rPr>
        <w:t>s</w:t>
      </w:r>
      <w:r w:rsidR="00F85B82" w:rsidRPr="0097459F">
        <w:rPr>
          <w:rFonts w:cstheme="minorHAnsi"/>
        </w:rPr>
        <w:t xml:space="preserve"> subclasse</w:t>
      </w:r>
      <w:r w:rsidR="006C0C0A" w:rsidRPr="0097459F">
        <w:rPr>
          <w:rFonts w:cstheme="minorHAnsi"/>
        </w:rPr>
        <w:t>s</w:t>
      </w:r>
      <w:r w:rsidR="00F85B82" w:rsidRPr="0097459F">
        <w:rPr>
          <w:rFonts w:cstheme="minorHAnsi"/>
        </w:rPr>
        <w:t xml:space="preserve"> investida</w:t>
      </w:r>
      <w:r w:rsidR="006C0C0A" w:rsidRPr="0097459F">
        <w:rPr>
          <w:rFonts w:cstheme="minorHAnsi"/>
        </w:rPr>
        <w:t>s</w:t>
      </w:r>
      <w:r w:rsidRPr="0097459F">
        <w:rPr>
          <w:rFonts w:cstheme="minorHAnsi"/>
        </w:rPr>
        <w:t>;</w:t>
      </w:r>
    </w:p>
    <w:p w14:paraId="7B4838C9" w14:textId="046822CD" w:rsidR="00893D49" w:rsidRPr="0097459F" w:rsidRDefault="00893D49" w:rsidP="00C20BBD">
      <w:pPr>
        <w:pStyle w:val="Normalalteradora"/>
        <w:rPr>
          <w:rFonts w:cstheme="minorHAnsi"/>
        </w:rPr>
      </w:pPr>
      <w:r w:rsidRPr="0097459F">
        <w:rPr>
          <w:rFonts w:cstheme="minorHAnsi"/>
        </w:rPr>
        <w:t xml:space="preserve">III – a quantidade de cotas subscritas e </w:t>
      </w:r>
      <w:r w:rsidR="006D5819" w:rsidRPr="0097459F">
        <w:rPr>
          <w:rFonts w:cstheme="minorHAnsi"/>
        </w:rPr>
        <w:t xml:space="preserve">o </w:t>
      </w:r>
      <w:r w:rsidRPr="0097459F">
        <w:rPr>
          <w:rFonts w:cstheme="minorHAnsi"/>
        </w:rPr>
        <w:t xml:space="preserve">valor investido, discriminado por classe </w:t>
      </w:r>
      <w:r w:rsidR="0009093F" w:rsidRPr="0097459F">
        <w:rPr>
          <w:rFonts w:cstheme="minorHAnsi"/>
        </w:rPr>
        <w:t>e</w:t>
      </w:r>
      <w:r w:rsidR="00685F11" w:rsidRPr="0097459F">
        <w:rPr>
          <w:rFonts w:cstheme="minorHAnsi"/>
        </w:rPr>
        <w:t>, se for o caso,</w:t>
      </w:r>
      <w:r w:rsidR="0009093F" w:rsidRPr="0097459F">
        <w:rPr>
          <w:rFonts w:cstheme="minorHAnsi"/>
        </w:rPr>
        <w:t xml:space="preserve"> subclasse </w:t>
      </w:r>
      <w:r w:rsidRPr="0097459F">
        <w:rPr>
          <w:rFonts w:cstheme="minorHAnsi"/>
        </w:rPr>
        <w:t>de cotas</w:t>
      </w:r>
      <w:r w:rsidR="00200729" w:rsidRPr="0097459F">
        <w:rPr>
          <w:rFonts w:cstheme="minorHAnsi"/>
        </w:rPr>
        <w:t>; e</w:t>
      </w:r>
    </w:p>
    <w:p w14:paraId="1CB76B3C" w14:textId="1CE97052" w:rsidR="00893D49" w:rsidRPr="0097459F" w:rsidRDefault="00F3345F" w:rsidP="00C20BBD">
      <w:pPr>
        <w:pStyle w:val="Normalalteradora"/>
        <w:rPr>
          <w:rFonts w:cstheme="minorHAnsi"/>
        </w:rPr>
      </w:pPr>
      <w:r w:rsidRPr="0097459F">
        <w:rPr>
          <w:rFonts w:cstheme="minorHAnsi"/>
        </w:rPr>
        <w:t xml:space="preserve">IV </w:t>
      </w:r>
      <w:r w:rsidR="00200729" w:rsidRPr="0097459F">
        <w:rPr>
          <w:rFonts w:cstheme="minorHAnsi"/>
        </w:rPr>
        <w:t>–</w:t>
      </w:r>
      <w:proofErr w:type="gramStart"/>
      <w:r w:rsidR="00893D49" w:rsidRPr="0097459F">
        <w:rPr>
          <w:rFonts w:cstheme="minorHAnsi"/>
        </w:rPr>
        <w:t>a</w:t>
      </w:r>
      <w:proofErr w:type="gramEnd"/>
      <w:r w:rsidR="00200729" w:rsidRPr="0097459F">
        <w:rPr>
          <w:rFonts w:cstheme="minorHAnsi"/>
        </w:rPr>
        <w:t xml:space="preserve"> </w:t>
      </w:r>
      <w:r w:rsidR="00893D49" w:rsidRPr="0097459F">
        <w:rPr>
          <w:rFonts w:cstheme="minorHAnsi"/>
        </w:rPr>
        <w:t>data da subscrição.</w:t>
      </w:r>
    </w:p>
    <w:p w14:paraId="4399AC25" w14:textId="5820C3DC" w:rsidR="00893D49" w:rsidRPr="0097459F" w:rsidRDefault="00893D49" w:rsidP="00C20BBD">
      <w:pPr>
        <w:pStyle w:val="Normalalteradora"/>
      </w:pPr>
      <w:r w:rsidRPr="0097459F">
        <w:t xml:space="preserve">§ </w:t>
      </w:r>
      <w:r w:rsidR="00200729" w:rsidRPr="0097459F">
        <w:t>2</w:t>
      </w:r>
      <w:proofErr w:type="gramStart"/>
      <w:r w:rsidRPr="0097459F">
        <w:t>º  O</w:t>
      </w:r>
      <w:proofErr w:type="gramEnd"/>
      <w:r w:rsidRPr="0097459F">
        <w:t xml:space="preserve"> extrato mensal deve informar ainda o valor atualizado da posição do cliente em cada classe e, se for o caso, subclasse de cotas.</w:t>
      </w:r>
    </w:p>
    <w:p w14:paraId="02EE9579" w14:textId="0F35F133" w:rsidR="000B5C29" w:rsidRPr="0097459F" w:rsidRDefault="00893D49" w:rsidP="00C20BBD">
      <w:pPr>
        <w:pStyle w:val="Normalalteradora"/>
        <w:rPr>
          <w:rFonts w:cstheme="minorHAnsi"/>
        </w:rPr>
      </w:pPr>
      <w:r w:rsidRPr="0097459F">
        <w:rPr>
          <w:rFonts w:cstheme="minorHAnsi"/>
        </w:rPr>
        <w:t xml:space="preserve">§ </w:t>
      </w:r>
      <w:r w:rsidR="00F77377" w:rsidRPr="0097459F">
        <w:rPr>
          <w:rFonts w:cstheme="minorHAnsi"/>
        </w:rPr>
        <w:t>3</w:t>
      </w:r>
      <w:proofErr w:type="gramStart"/>
      <w:r w:rsidRPr="0097459F">
        <w:rPr>
          <w:rFonts w:cstheme="minorHAnsi"/>
        </w:rPr>
        <w:t>º  O</w:t>
      </w:r>
      <w:proofErr w:type="gramEnd"/>
      <w:r w:rsidRPr="0097459F">
        <w:rPr>
          <w:rFonts w:cstheme="minorHAnsi"/>
        </w:rPr>
        <w:t xml:space="preserve"> </w:t>
      </w:r>
      <w:r w:rsidR="008858A0" w:rsidRPr="0097459F">
        <w:rPr>
          <w:rFonts w:cstheme="minorHAnsi"/>
        </w:rPr>
        <w:t xml:space="preserve">gestor </w:t>
      </w:r>
      <w:r w:rsidRPr="0097459F">
        <w:rPr>
          <w:rFonts w:cstheme="minorHAnsi"/>
        </w:rPr>
        <w:t>e o distribuidor que estiver atuando por conta e ordem podem adotar medidas adicionais às acima definidas com o objetivo de fornecer ao cliente a segurança necessária de que o investimento foi realizado nos termos demandados</w:t>
      </w:r>
      <w:r w:rsidR="00F3345F" w:rsidRPr="0097459F">
        <w:rPr>
          <w:rFonts w:cstheme="minorHAnsi"/>
        </w:rPr>
        <w:t xml:space="preserve"> pelo cliente</w:t>
      </w:r>
      <w:r w:rsidRPr="0097459F">
        <w:rPr>
          <w:rFonts w:cstheme="minorHAnsi"/>
        </w:rPr>
        <w:t>.</w:t>
      </w:r>
    </w:p>
    <w:p w14:paraId="260F4044" w14:textId="4FE80A93" w:rsidR="00AD6112" w:rsidRPr="0097459F" w:rsidRDefault="00AD6112" w:rsidP="00C20BBD">
      <w:pPr>
        <w:pStyle w:val="Seo"/>
        <w:rPr>
          <w:rFonts w:cstheme="minorHAnsi"/>
        </w:rPr>
      </w:pPr>
      <w:bookmarkStart w:id="105" w:name="_Toc161141203"/>
      <w:r w:rsidRPr="0097459F">
        <w:rPr>
          <w:rFonts w:asciiTheme="minorHAnsi" w:hAnsiTheme="minorHAnsi"/>
        </w:rPr>
        <w:t>Subseção</w:t>
      </w:r>
      <w:r w:rsidRPr="0097459F">
        <w:t xml:space="preserve"> V</w:t>
      </w:r>
      <w:r w:rsidR="00F77377" w:rsidRPr="0097459F">
        <w:t>I</w:t>
      </w:r>
      <w:r w:rsidRPr="0097459F">
        <w:t xml:space="preserve"> – </w:t>
      </w:r>
      <w:r w:rsidR="00D62C1D" w:rsidRPr="0097459F">
        <w:t xml:space="preserve">Participação Política </w:t>
      </w:r>
      <w:r w:rsidR="006C458A" w:rsidRPr="0097459F">
        <w:t>de Investidor</w:t>
      </w:r>
      <w:r w:rsidRPr="0097459F">
        <w:t xml:space="preserve"> por Conta e Ordem</w:t>
      </w:r>
      <w:bookmarkEnd w:id="105"/>
    </w:p>
    <w:p w14:paraId="0976612A" w14:textId="66E07D4C" w:rsidR="00893D49" w:rsidRPr="0097459F" w:rsidRDefault="00893D49" w:rsidP="00C20BBD">
      <w:pPr>
        <w:pStyle w:val="Normalalteradora"/>
      </w:pPr>
      <w:r w:rsidRPr="0097459F">
        <w:t xml:space="preserve">Art. </w:t>
      </w:r>
      <w:r w:rsidRPr="0097459F" w:rsidDel="00F77377">
        <w:t>38</w:t>
      </w:r>
      <w:r w:rsidRPr="0097459F">
        <w:t xml:space="preserve">.  Previamente à realização das assembleias de cotistas, o distribuidor que </w:t>
      </w:r>
      <w:r w:rsidR="00234CCF" w:rsidRPr="0097459F">
        <w:t xml:space="preserve">estiver </w:t>
      </w:r>
      <w:r w:rsidRPr="0097459F">
        <w:t xml:space="preserve">atuando por conta e ordem de clientes deve fornecer ao </w:t>
      </w:r>
      <w:r w:rsidR="00E4366F" w:rsidRPr="0097459F">
        <w:t>c</w:t>
      </w:r>
      <w:r w:rsidR="00D452A9" w:rsidRPr="0097459F">
        <w:t xml:space="preserve">otista </w:t>
      </w:r>
      <w:r w:rsidR="00D04201" w:rsidRPr="0097459F">
        <w:t>efetivo</w:t>
      </w:r>
      <w:r w:rsidR="00E4366F" w:rsidRPr="0097459F">
        <w:t xml:space="preserve"> </w:t>
      </w:r>
      <w:r w:rsidRPr="0097459F">
        <w:t>que assim desejar declaração da quantidade de cotas por ele detidas</w:t>
      </w:r>
      <w:r w:rsidR="00626441" w:rsidRPr="0097459F">
        <w:t>,</w:t>
      </w:r>
      <w:r w:rsidRPr="0097459F">
        <w:t xml:space="preserve"> </w:t>
      </w:r>
      <w:r w:rsidR="00234CCF" w:rsidRPr="0097459F">
        <w:t xml:space="preserve">especificando </w:t>
      </w:r>
      <w:r w:rsidRPr="0097459F">
        <w:t>o fundo, a classe</w:t>
      </w:r>
      <w:r w:rsidR="00234CCF" w:rsidRPr="0097459F">
        <w:t xml:space="preserve"> e</w:t>
      </w:r>
      <w:r w:rsidRPr="0097459F">
        <w:t xml:space="preserve">, se for o caso, </w:t>
      </w:r>
      <w:r w:rsidR="00234CCF" w:rsidRPr="0097459F">
        <w:t xml:space="preserve">a subclasse, o </w:t>
      </w:r>
      <w:r w:rsidRPr="0097459F">
        <w:t xml:space="preserve">nome ou denominação social do cliente, o código </w:t>
      </w:r>
      <w:r w:rsidR="00D452A9" w:rsidRPr="0097459F">
        <w:t xml:space="preserve">de investidor </w:t>
      </w:r>
      <w:r w:rsidRPr="0097459F">
        <w:t xml:space="preserve">e o número da sua inscrição no Cadastro de Pessoas Físicas – CPF ou no Cadastro Nacional da Pessoa Jurídica – CNPJ, constituindo tal documento prova hábil da titularidade das cotas para </w:t>
      </w:r>
      <w:r w:rsidR="00AD6112" w:rsidRPr="0097459F">
        <w:t>fins de participação na assembleia</w:t>
      </w:r>
      <w:r w:rsidRPr="0097459F">
        <w:t>.</w:t>
      </w:r>
    </w:p>
    <w:p w14:paraId="3DE1A9A4" w14:textId="4596DD43" w:rsidR="000246C1" w:rsidRPr="0097459F" w:rsidRDefault="0099618B" w:rsidP="00C20BBD">
      <w:pPr>
        <w:pStyle w:val="Normalalteradora"/>
      </w:pPr>
      <w:r w:rsidRPr="0097459F">
        <w:t>§ 1</w:t>
      </w:r>
      <w:proofErr w:type="gramStart"/>
      <w:r w:rsidRPr="0097459F">
        <w:t>º</w:t>
      </w:r>
      <w:r w:rsidR="00893D49" w:rsidRPr="0097459F">
        <w:t xml:space="preserve">  O</w:t>
      </w:r>
      <w:proofErr w:type="gramEnd"/>
      <w:r w:rsidR="00893D49" w:rsidRPr="0097459F">
        <w:t xml:space="preserve"> distribuidor atuando por conta e ordem de clientes pode comparecer e votar nas assembleias de cotistas representando os interesses de seus clientes, desde que </w:t>
      </w:r>
      <w:r w:rsidR="005A4228" w:rsidRPr="0097459F">
        <w:t>possua</w:t>
      </w:r>
      <w:r w:rsidR="00893D49" w:rsidRPr="0097459F">
        <w:t xml:space="preserve"> </w:t>
      </w:r>
      <w:r w:rsidR="002826AB" w:rsidRPr="0097459F">
        <w:t xml:space="preserve">mandato </w:t>
      </w:r>
      <w:r w:rsidR="00893D49" w:rsidRPr="0097459F">
        <w:t>com poderes específicos</w:t>
      </w:r>
      <w:r w:rsidR="005A4228" w:rsidRPr="0097459F">
        <w:t xml:space="preserve"> para essa representação</w:t>
      </w:r>
      <w:r w:rsidR="00437ADC" w:rsidRPr="0097459F">
        <w:t xml:space="preserve">, ficando </w:t>
      </w:r>
      <w:r w:rsidR="000246C1" w:rsidRPr="0097459F">
        <w:t xml:space="preserve">dispensado de apresentar </w:t>
      </w:r>
      <w:r w:rsidR="00437ADC" w:rsidRPr="0097459F">
        <w:t xml:space="preserve">o instrumento </w:t>
      </w:r>
      <w:r w:rsidR="00F85B82" w:rsidRPr="0097459F">
        <w:t>do mandato</w:t>
      </w:r>
      <w:r w:rsidR="000246C1" w:rsidRPr="0097459F">
        <w:t xml:space="preserve"> nas assembleias de cotistas, sendo, nesta hipótese, </w:t>
      </w:r>
      <w:r w:rsidR="000F5671" w:rsidRPr="0097459F">
        <w:t xml:space="preserve">de </w:t>
      </w:r>
      <w:r w:rsidR="000246C1" w:rsidRPr="0097459F">
        <w:t xml:space="preserve">sua única e exclusiva responsabilidade </w:t>
      </w:r>
      <w:r w:rsidR="00437ADC" w:rsidRPr="0097459F">
        <w:t>manter</w:t>
      </w:r>
      <w:r w:rsidR="00DE6005" w:rsidRPr="0097459F">
        <w:t xml:space="preserve"> </w:t>
      </w:r>
      <w:r w:rsidR="002826AB" w:rsidRPr="0097459F">
        <w:t>o instrumento</w:t>
      </w:r>
      <w:r w:rsidR="00437ADC" w:rsidRPr="0097459F">
        <w:t xml:space="preserve"> em seus arquivos</w:t>
      </w:r>
      <w:r w:rsidR="005854D2" w:rsidRPr="0097459F">
        <w:t>.</w:t>
      </w:r>
    </w:p>
    <w:p w14:paraId="08736096" w14:textId="30D6984E" w:rsidR="005854D2" w:rsidRPr="0097459F" w:rsidRDefault="005854D2" w:rsidP="00C20BBD">
      <w:pPr>
        <w:pStyle w:val="Normalalteradora"/>
      </w:pPr>
      <w:r w:rsidRPr="0097459F">
        <w:t xml:space="preserve">§ </w:t>
      </w:r>
      <w:r w:rsidR="00C402F4" w:rsidRPr="0097459F">
        <w:t>2</w:t>
      </w:r>
      <w:proofErr w:type="gramStart"/>
      <w:r w:rsidR="00C402F4" w:rsidRPr="0097459F">
        <w:t xml:space="preserve">º  </w:t>
      </w:r>
      <w:r w:rsidRPr="0097459F">
        <w:t>Quando</w:t>
      </w:r>
      <w:proofErr w:type="gramEnd"/>
      <w:r w:rsidRPr="0097459F">
        <w:t xml:space="preserve"> da instalação da assembleia de cotistas, o distribuidor </w:t>
      </w:r>
      <w:r w:rsidR="00D452A9" w:rsidRPr="0097459F">
        <w:t xml:space="preserve">por conta e ordem </w:t>
      </w:r>
      <w:r w:rsidRPr="0097459F">
        <w:t>que estiver</w:t>
      </w:r>
      <w:r w:rsidR="00D452A9" w:rsidRPr="0097459F">
        <w:t xml:space="preserve"> representando </w:t>
      </w:r>
      <w:r w:rsidRPr="0097459F">
        <w:t xml:space="preserve">seus clientes deve fornecer ao administrador uma relação contendo </w:t>
      </w:r>
      <w:r w:rsidR="00CB5D9D" w:rsidRPr="0097459F">
        <w:t>os</w:t>
      </w:r>
      <w:r w:rsidRPr="0097459F">
        <w:t xml:space="preserve"> códigos de </w:t>
      </w:r>
      <w:r w:rsidR="00D452A9" w:rsidRPr="0097459F">
        <w:t>investidores</w:t>
      </w:r>
      <w:r w:rsidRPr="0097459F">
        <w:t xml:space="preserve">, cabendo </w:t>
      </w:r>
      <w:r w:rsidR="00512F24" w:rsidRPr="0097459F">
        <w:t>à mesa da assembleia</w:t>
      </w:r>
      <w:r w:rsidRPr="0097459F">
        <w:t xml:space="preserve"> </w:t>
      </w:r>
      <w:r w:rsidR="00302E3D" w:rsidRPr="0097459F">
        <w:t>utilizar a relação para fins de</w:t>
      </w:r>
      <w:r w:rsidR="71D4D0F5" w:rsidRPr="0097459F">
        <w:t xml:space="preserve"> apuração de</w:t>
      </w:r>
      <w:r w:rsidR="00302E3D" w:rsidRPr="0097459F">
        <w:t xml:space="preserve"> quóruns de insta</w:t>
      </w:r>
      <w:r w:rsidR="00BE1B0C" w:rsidRPr="0097459F">
        <w:t>la</w:t>
      </w:r>
      <w:r w:rsidR="00302E3D" w:rsidRPr="0097459F">
        <w:t>ção e deliberação,</w:t>
      </w:r>
      <w:r w:rsidRPr="0097459F">
        <w:t xml:space="preserve"> a</w:t>
      </w:r>
      <w:r w:rsidR="00302E3D" w:rsidRPr="0097459F">
        <w:t xml:space="preserve">ssim como </w:t>
      </w:r>
      <w:r w:rsidR="00512F24" w:rsidRPr="0097459F">
        <w:t xml:space="preserve">ao administrador </w:t>
      </w:r>
      <w:r w:rsidR="00302E3D" w:rsidRPr="0097459F">
        <w:t>arquiv</w:t>
      </w:r>
      <w:r w:rsidR="00626441" w:rsidRPr="0097459F">
        <w:t>á</w:t>
      </w:r>
      <w:r w:rsidR="00302E3D" w:rsidRPr="0097459F">
        <w:t>-la</w:t>
      </w:r>
      <w:r w:rsidRPr="0097459F">
        <w:t>.</w:t>
      </w:r>
    </w:p>
    <w:p w14:paraId="3F4EFB60" w14:textId="3214D804" w:rsidR="00BC068E" w:rsidRPr="0097459F" w:rsidRDefault="00893D49" w:rsidP="00C20BBD">
      <w:pPr>
        <w:pStyle w:val="Normalalteradora"/>
      </w:pPr>
      <w:r w:rsidRPr="0097459F">
        <w:lastRenderedPageBreak/>
        <w:t xml:space="preserve">Art. </w:t>
      </w:r>
      <w:r w:rsidRPr="0097459F" w:rsidDel="006042C4">
        <w:t>39</w:t>
      </w:r>
      <w:r w:rsidRPr="0097459F">
        <w:t>.  O contrato firmado entre o gestor</w:t>
      </w:r>
      <w:r w:rsidR="00C959D1" w:rsidRPr="0097459F">
        <w:t>, em nome do fundo,</w:t>
      </w:r>
      <w:r w:rsidRPr="0097459F">
        <w:t xml:space="preserve"> e o distribuidor </w:t>
      </w:r>
      <w:r w:rsidR="00234CCF" w:rsidRPr="0097459F">
        <w:t xml:space="preserve">que atue por conta e ordem </w:t>
      </w:r>
      <w:r w:rsidRPr="0097459F">
        <w:t xml:space="preserve">deve prever que na hipótese de sua </w:t>
      </w:r>
      <w:r w:rsidR="002826AB" w:rsidRPr="0097459F">
        <w:t>extinção</w:t>
      </w:r>
      <w:r w:rsidRPr="0097459F">
        <w:t xml:space="preserve">, os clientes que sejam cotistas até a data </w:t>
      </w:r>
      <w:r w:rsidR="006C0C0A" w:rsidRPr="0097459F">
        <w:t>d</w:t>
      </w:r>
      <w:r w:rsidR="002826AB" w:rsidRPr="0097459F">
        <w:t>a extinção</w:t>
      </w:r>
      <w:r w:rsidR="00437ADC" w:rsidRPr="0097459F">
        <w:t xml:space="preserve"> </w:t>
      </w:r>
      <w:r w:rsidR="00D76102" w:rsidRPr="0097459F">
        <w:t>podem</w:t>
      </w:r>
      <w:r w:rsidR="00D452A9" w:rsidRPr="0097459F">
        <w:t xml:space="preserve"> manter </w:t>
      </w:r>
      <w:r w:rsidRPr="0097459F">
        <w:t xml:space="preserve">o seu investimento por conta e ordem </w:t>
      </w:r>
      <w:r w:rsidR="00703636" w:rsidRPr="0097459F">
        <w:t>enquanto perdurar</w:t>
      </w:r>
      <w:r w:rsidRPr="0097459F">
        <w:t>, desde que</w:t>
      </w:r>
      <w:r w:rsidR="00E30740" w:rsidRPr="0097459F">
        <w:t>:</w:t>
      </w:r>
    </w:p>
    <w:p w14:paraId="773B16FB" w14:textId="288F1733" w:rsidR="00893D49" w:rsidRPr="0097459F" w:rsidRDefault="00C86757" w:rsidP="00C20BBD">
      <w:pPr>
        <w:pStyle w:val="Normalalteradora"/>
        <w:rPr>
          <w:rFonts w:cstheme="minorHAnsi"/>
        </w:rPr>
      </w:pPr>
      <w:r w:rsidRPr="0097459F">
        <w:rPr>
          <w:rFonts w:cstheme="minorHAnsi"/>
        </w:rPr>
        <w:t xml:space="preserve">I </w:t>
      </w:r>
      <w:r w:rsidR="00E35A17" w:rsidRPr="0097459F">
        <w:rPr>
          <w:rFonts w:cstheme="minorHAnsi"/>
        </w:rPr>
        <w:t>–</w:t>
      </w:r>
      <w:r w:rsidRPr="0097459F">
        <w:rPr>
          <w:rFonts w:cstheme="minorHAnsi"/>
        </w:rPr>
        <w:t xml:space="preserve"> </w:t>
      </w:r>
      <w:proofErr w:type="gramStart"/>
      <w:r w:rsidR="00893D49" w:rsidRPr="0097459F">
        <w:rPr>
          <w:rFonts w:cstheme="minorHAnsi"/>
        </w:rPr>
        <w:t>o</w:t>
      </w:r>
      <w:proofErr w:type="gramEnd"/>
      <w:r w:rsidR="00893D49" w:rsidRPr="0097459F">
        <w:rPr>
          <w:rFonts w:cstheme="minorHAnsi"/>
        </w:rPr>
        <w:t xml:space="preserve"> distribuidor mantenha, em relação a tais clientes, todos os direitos e obrigações definidos na </w:t>
      </w:r>
      <w:r w:rsidR="004E07E9" w:rsidRPr="0097459F">
        <w:rPr>
          <w:rFonts w:cstheme="minorHAnsi"/>
        </w:rPr>
        <w:t xml:space="preserve">Subseção </w:t>
      </w:r>
      <w:r w:rsidR="00893D49" w:rsidRPr="0097459F">
        <w:rPr>
          <w:rFonts w:cstheme="minorHAnsi"/>
        </w:rPr>
        <w:t>V, pelo período em que tais clientes mantiverem o investimento</w:t>
      </w:r>
      <w:r w:rsidRPr="0097459F">
        <w:rPr>
          <w:rFonts w:cstheme="minorHAnsi"/>
        </w:rPr>
        <w:t>; ou</w:t>
      </w:r>
    </w:p>
    <w:p w14:paraId="315C74E5" w14:textId="29D59262" w:rsidR="00685F11" w:rsidRPr="0097459F" w:rsidRDefault="006006A0" w:rsidP="00C20BBD">
      <w:pPr>
        <w:spacing w:before="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II </w:t>
      </w:r>
      <w:r w:rsidR="00E35A17" w:rsidRPr="0097459F">
        <w:rPr>
          <w:rFonts w:asciiTheme="minorHAnsi" w:eastAsia="Times New Roman" w:hAnsiTheme="minorHAnsi" w:cstheme="minorHAnsi"/>
          <w:sz w:val="24"/>
          <w:szCs w:val="24"/>
          <w:lang w:eastAsia="pt-BR"/>
        </w:rPr>
        <w:t xml:space="preserve">– </w:t>
      </w:r>
      <w:proofErr w:type="gramStart"/>
      <w:r w:rsidRPr="0097459F">
        <w:rPr>
          <w:rFonts w:asciiTheme="minorHAnsi" w:eastAsia="Times New Roman" w:hAnsiTheme="minorHAnsi" w:cstheme="minorHAnsi"/>
          <w:sz w:val="24"/>
          <w:szCs w:val="24"/>
          <w:lang w:eastAsia="pt-BR"/>
        </w:rPr>
        <w:t>o</w:t>
      </w:r>
      <w:proofErr w:type="gramEnd"/>
      <w:r w:rsidRPr="0097459F">
        <w:rPr>
          <w:rFonts w:asciiTheme="minorHAnsi" w:eastAsia="Times New Roman" w:hAnsiTheme="minorHAnsi" w:cstheme="minorHAnsi"/>
          <w:sz w:val="24"/>
          <w:szCs w:val="24"/>
          <w:lang w:eastAsia="pt-BR"/>
        </w:rPr>
        <w:t xml:space="preserve"> gestor assuma, caso habilitado, ou co</w:t>
      </w:r>
      <w:r w:rsidR="00C86757" w:rsidRPr="0097459F">
        <w:rPr>
          <w:rFonts w:asciiTheme="minorHAnsi" w:eastAsia="Times New Roman" w:hAnsiTheme="minorHAnsi" w:cstheme="minorHAnsi"/>
          <w:sz w:val="24"/>
          <w:szCs w:val="24"/>
          <w:lang w:eastAsia="pt-BR"/>
        </w:rPr>
        <w:t>ntrate distribuidor habilitado a assumir</w:t>
      </w:r>
      <w:r w:rsidRPr="0097459F">
        <w:rPr>
          <w:rFonts w:asciiTheme="minorHAnsi" w:eastAsia="Times New Roman" w:hAnsiTheme="minorHAnsi" w:cstheme="minorHAnsi"/>
          <w:sz w:val="24"/>
          <w:szCs w:val="24"/>
          <w:lang w:eastAsia="pt-BR"/>
        </w:rPr>
        <w:t xml:space="preserve"> todos os direitos e obrigações definidos na S</w:t>
      </w:r>
      <w:r w:rsidR="00BC068E" w:rsidRPr="0097459F">
        <w:rPr>
          <w:rFonts w:asciiTheme="minorHAnsi" w:eastAsia="Times New Roman" w:hAnsiTheme="minorHAnsi" w:cstheme="minorHAnsi"/>
          <w:sz w:val="24"/>
          <w:szCs w:val="24"/>
          <w:lang w:eastAsia="pt-BR"/>
        </w:rPr>
        <w:t>ubs</w:t>
      </w:r>
      <w:r w:rsidRPr="0097459F">
        <w:rPr>
          <w:rFonts w:asciiTheme="minorHAnsi" w:eastAsia="Times New Roman" w:hAnsiTheme="minorHAnsi" w:cstheme="minorHAnsi"/>
          <w:sz w:val="24"/>
          <w:szCs w:val="24"/>
          <w:lang w:eastAsia="pt-BR"/>
        </w:rPr>
        <w:t xml:space="preserve">eção V, pelo período em que </w:t>
      </w:r>
      <w:r w:rsidR="00E30740" w:rsidRPr="0097459F">
        <w:rPr>
          <w:rFonts w:asciiTheme="minorHAnsi" w:eastAsia="Times New Roman" w:hAnsiTheme="minorHAnsi" w:cstheme="minorHAnsi"/>
          <w:sz w:val="24"/>
          <w:szCs w:val="24"/>
          <w:lang w:eastAsia="pt-BR"/>
        </w:rPr>
        <w:t>for mantido o investimento</w:t>
      </w:r>
      <w:r w:rsidRPr="0097459F">
        <w:rPr>
          <w:rFonts w:asciiTheme="minorHAnsi" w:eastAsia="Times New Roman" w:hAnsiTheme="minorHAnsi" w:cstheme="minorHAnsi"/>
          <w:sz w:val="24"/>
          <w:szCs w:val="24"/>
          <w:lang w:eastAsia="pt-BR"/>
        </w:rPr>
        <w:t>.</w:t>
      </w:r>
    </w:p>
    <w:p w14:paraId="30ED90E6" w14:textId="6EA9BA1D" w:rsidR="00893D49" w:rsidRPr="0097459F" w:rsidRDefault="00893D49" w:rsidP="00C20BBD">
      <w:pPr>
        <w:pStyle w:val="Seo"/>
        <w:rPr>
          <w:rFonts w:asciiTheme="minorHAnsi" w:hAnsiTheme="minorHAnsi"/>
        </w:rPr>
      </w:pPr>
      <w:bookmarkStart w:id="106" w:name="_Toc53594441"/>
      <w:bookmarkStart w:id="107" w:name="_Toc53595466"/>
      <w:bookmarkStart w:id="108" w:name="_Toc53594193"/>
      <w:bookmarkStart w:id="109" w:name="_Toc114818975"/>
      <w:bookmarkStart w:id="110" w:name="_Toc57836201"/>
      <w:bookmarkStart w:id="111" w:name="_Toc161141204"/>
      <w:r w:rsidRPr="0097459F">
        <w:rPr>
          <w:rFonts w:asciiTheme="minorHAnsi" w:hAnsiTheme="minorHAnsi"/>
        </w:rPr>
        <w:t>Seção IV – Resgate e Amortização</w:t>
      </w:r>
      <w:bookmarkEnd w:id="106"/>
      <w:bookmarkEnd w:id="107"/>
      <w:bookmarkEnd w:id="108"/>
      <w:bookmarkEnd w:id="109"/>
      <w:bookmarkEnd w:id="110"/>
      <w:bookmarkEnd w:id="111"/>
    </w:p>
    <w:p w14:paraId="24DC88D2" w14:textId="27656CEF" w:rsidR="00893D49" w:rsidRPr="0097459F" w:rsidRDefault="00893D49" w:rsidP="00C20BBD">
      <w:pPr>
        <w:pStyle w:val="Normalalteradora"/>
      </w:pPr>
      <w:r w:rsidRPr="0097459F">
        <w:t xml:space="preserve">Art. </w:t>
      </w:r>
      <w:r w:rsidRPr="0097459F" w:rsidDel="00AB79B7">
        <w:t>40</w:t>
      </w:r>
      <w:r w:rsidRPr="0097459F">
        <w:t>.  O resgate de cotas obedece às seguintes regras:</w:t>
      </w:r>
    </w:p>
    <w:p w14:paraId="3B799BC8"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w:t>
      </w:r>
      <w:proofErr w:type="gramEnd"/>
      <w:r w:rsidRPr="0097459F">
        <w:rPr>
          <w:rFonts w:cstheme="minorHAnsi"/>
        </w:rPr>
        <w:t xml:space="preserve"> regulamento deve estabelecer os prazos entre a data do pedido de resgate, a data de conversão de cotas e a data do pagamento do resgate;</w:t>
      </w:r>
    </w:p>
    <w:p w14:paraId="435A2A0A" w14:textId="1206348B"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w:t>
      </w:r>
      <w:proofErr w:type="gramEnd"/>
      <w:r w:rsidRPr="0097459F">
        <w:rPr>
          <w:rFonts w:cstheme="minorHAnsi"/>
        </w:rPr>
        <w:t xml:space="preserve"> conversão de cotas deve se dar pelo valor da cota do dia na data de conversão;</w:t>
      </w:r>
    </w:p>
    <w:p w14:paraId="750B8810" w14:textId="11C99FAB" w:rsidR="00893D49" w:rsidRPr="0097459F" w:rsidRDefault="00893D49" w:rsidP="00C20BBD">
      <w:pPr>
        <w:pStyle w:val="Normalalteradora"/>
        <w:rPr>
          <w:rFonts w:cstheme="minorHAnsi"/>
        </w:rPr>
      </w:pPr>
      <w:r w:rsidRPr="0097459F">
        <w:rPr>
          <w:rFonts w:cstheme="minorHAnsi"/>
        </w:rPr>
        <w:t xml:space="preserve">III – o pagamento do resgate deve ser efetuado por meio </w:t>
      </w:r>
      <w:r w:rsidR="002826AB" w:rsidRPr="0097459F">
        <w:rPr>
          <w:rFonts w:cstheme="minorHAnsi"/>
        </w:rPr>
        <w:t xml:space="preserve">do </w:t>
      </w:r>
      <w:r w:rsidR="003D1898" w:rsidRPr="0097459F">
        <w:rPr>
          <w:rFonts w:cstheme="minorHAnsi"/>
        </w:rPr>
        <w:t xml:space="preserve">Sistema de Pagamentos </w:t>
      </w:r>
      <w:r w:rsidR="00B62A85" w:rsidRPr="0097459F">
        <w:rPr>
          <w:rFonts w:cstheme="minorHAnsi"/>
        </w:rPr>
        <w:t xml:space="preserve">Brasileiro </w:t>
      </w:r>
      <w:r w:rsidR="003D1898" w:rsidRPr="0097459F">
        <w:rPr>
          <w:rFonts w:cstheme="minorHAnsi"/>
        </w:rPr>
        <w:t>– SP</w:t>
      </w:r>
      <w:r w:rsidR="00B62A85" w:rsidRPr="0097459F">
        <w:rPr>
          <w:rFonts w:cstheme="minorHAnsi"/>
        </w:rPr>
        <w:t>B</w:t>
      </w:r>
      <w:r w:rsidRPr="0097459F">
        <w:rPr>
          <w:rFonts w:cstheme="minorHAnsi"/>
        </w:rPr>
        <w:t xml:space="preserve">, no prazo estabelecido no regulamento, que não pode ser superior a </w:t>
      </w:r>
      <w:r w:rsidR="000739E8" w:rsidRPr="0097459F">
        <w:rPr>
          <w:rFonts w:cstheme="minorHAnsi"/>
        </w:rPr>
        <w:t>5 (</w:t>
      </w:r>
      <w:r w:rsidRPr="0097459F">
        <w:rPr>
          <w:rFonts w:cstheme="minorHAnsi"/>
        </w:rPr>
        <w:t>cinco</w:t>
      </w:r>
      <w:r w:rsidR="000739E8" w:rsidRPr="0097459F">
        <w:rPr>
          <w:rFonts w:cstheme="minorHAnsi"/>
        </w:rPr>
        <w:t>)</w:t>
      </w:r>
      <w:r w:rsidRPr="0097459F">
        <w:rPr>
          <w:rFonts w:cstheme="minorHAnsi"/>
        </w:rPr>
        <w:t xml:space="preserve"> dias úteis, contado</w:t>
      </w:r>
      <w:r w:rsidR="00BB6499" w:rsidRPr="0097459F">
        <w:rPr>
          <w:rFonts w:cstheme="minorHAnsi"/>
        </w:rPr>
        <w:t>s</w:t>
      </w:r>
      <w:r w:rsidRPr="0097459F">
        <w:rPr>
          <w:rFonts w:cstheme="minorHAnsi"/>
        </w:rPr>
        <w:t xml:space="preserve"> da data da conversão de cotas, ressalvadas as hipóteses previstas </w:t>
      </w:r>
      <w:r w:rsidR="007267ED" w:rsidRPr="0097459F">
        <w:rPr>
          <w:rFonts w:cstheme="minorHAnsi"/>
        </w:rPr>
        <w:t>em</w:t>
      </w:r>
      <w:r w:rsidRPr="0097459F">
        <w:rPr>
          <w:rFonts w:cstheme="minorHAnsi"/>
        </w:rPr>
        <w:t xml:space="preserve"> regulamentações específicas;</w:t>
      </w:r>
    </w:p>
    <w:p w14:paraId="566FC420" w14:textId="4A4DB9C3"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o</w:t>
      </w:r>
      <w:proofErr w:type="gramEnd"/>
      <w:r w:rsidRPr="0097459F">
        <w:rPr>
          <w:rFonts w:cstheme="minorHAnsi"/>
        </w:rPr>
        <w:t xml:space="preserve"> regulamento pode estabelecer prazo de carência para resgate, com ou sem rendimento; e</w:t>
      </w:r>
    </w:p>
    <w:p w14:paraId="18C3D246" w14:textId="4344AAF2"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salvo</w:t>
      </w:r>
      <w:proofErr w:type="gramEnd"/>
      <w:r w:rsidRPr="0097459F">
        <w:rPr>
          <w:rFonts w:cstheme="minorHAnsi"/>
        </w:rPr>
        <w:t xml:space="preserve"> na hipótese de iliquidez excepcional de que trata o art. </w:t>
      </w:r>
      <w:r w:rsidR="009840B3" w:rsidRPr="0097459F">
        <w:rPr>
          <w:rFonts w:cstheme="minorHAnsi"/>
        </w:rPr>
        <w:t>44</w:t>
      </w:r>
      <w:r w:rsidRPr="0097459F">
        <w:rPr>
          <w:rFonts w:cstheme="minorHAnsi"/>
        </w:rPr>
        <w:t>, é devida ao cotista uma multa de 0,5% (meio por cento</w:t>
      </w:r>
      <w:r w:rsidR="0060191B" w:rsidRPr="0097459F">
        <w:rPr>
          <w:rFonts w:cstheme="minorHAnsi"/>
        </w:rPr>
        <w:t>)</w:t>
      </w:r>
      <w:r w:rsidRPr="0097459F">
        <w:rPr>
          <w:rFonts w:cstheme="minorHAnsi"/>
        </w:rPr>
        <w:t xml:space="preserve"> do valor de resgate, a ser paga pelo administrador, por dia de atraso no pagamento do resgate de cotas.</w:t>
      </w:r>
    </w:p>
    <w:p w14:paraId="0FEC6EC3" w14:textId="3E4F94E7" w:rsidR="00A74D1F" w:rsidRPr="0097459F" w:rsidRDefault="00926D22" w:rsidP="00C20BBD">
      <w:pPr>
        <w:pStyle w:val="Normalalteradora"/>
      </w:pPr>
      <w:r w:rsidRPr="0097459F">
        <w:t xml:space="preserve">Art. </w:t>
      </w:r>
      <w:r w:rsidR="4B21761D" w:rsidRPr="0097459F">
        <w:t>41</w:t>
      </w:r>
      <w:r w:rsidRPr="0097459F">
        <w:t>.</w:t>
      </w:r>
      <w:r w:rsidR="00A74D1F" w:rsidRPr="0097459F">
        <w:t xml:space="preserve">  O regulamento pode prever a existência de barreiras aos resgates, por meio das quais</w:t>
      </w:r>
      <w:r w:rsidR="006D4A0A" w:rsidRPr="0097459F">
        <w:t xml:space="preserve"> o gestor pode, a seu critério e</w:t>
      </w:r>
      <w:r w:rsidR="00A74D1F" w:rsidRPr="0097459F">
        <w:t xml:space="preserve"> de acordo com </w:t>
      </w:r>
      <w:r w:rsidR="00610DE6" w:rsidRPr="0097459F">
        <w:t>parâmetros</w:t>
      </w:r>
      <w:r w:rsidR="00A74D1F" w:rsidRPr="0097459F">
        <w:t xml:space="preserve"> </w:t>
      </w:r>
      <w:r w:rsidR="00610DE6" w:rsidRPr="0097459F">
        <w:t>estabelecido</w:t>
      </w:r>
      <w:r w:rsidR="00A74D1F" w:rsidRPr="0097459F">
        <w:t>s no regulamento, limitar os pedidos de resgate a uma fração do patrimônio líquido da classe</w:t>
      </w:r>
      <w:r w:rsidR="006264D4" w:rsidRPr="0097459F">
        <w:t>, sem prejuízo do tratamento equitativo entre os cotistas</w:t>
      </w:r>
      <w:r w:rsidR="00A74D1F" w:rsidRPr="0097459F">
        <w:t>.</w:t>
      </w:r>
    </w:p>
    <w:p w14:paraId="30663CC8" w14:textId="77777777" w:rsidR="00A74D1F" w:rsidRPr="0097459F" w:rsidRDefault="00A74D1F" w:rsidP="00C20BBD">
      <w:pPr>
        <w:pStyle w:val="Normalalteradora"/>
        <w:rPr>
          <w:rFonts w:cstheme="minorHAnsi"/>
        </w:rPr>
      </w:pPr>
      <w:r w:rsidRPr="0097459F">
        <w:rPr>
          <w:rFonts w:cstheme="minorHAnsi"/>
        </w:rPr>
        <w:t xml:space="preserve">§ </w:t>
      </w:r>
      <w:r w:rsidR="00926D22" w:rsidRPr="0097459F">
        <w:rPr>
          <w:rFonts w:cstheme="minorHAnsi"/>
        </w:rPr>
        <w:t>1</w:t>
      </w:r>
      <w:proofErr w:type="gramStart"/>
      <w:r w:rsidRPr="0097459F">
        <w:rPr>
          <w:rFonts w:cstheme="minorHAnsi"/>
        </w:rPr>
        <w:t>º  Em</w:t>
      </w:r>
      <w:proofErr w:type="gramEnd"/>
      <w:r w:rsidRPr="0097459F">
        <w:rPr>
          <w:rFonts w:cstheme="minorHAnsi"/>
        </w:rPr>
        <w:t xml:space="preserve"> relação ao estabelecimento de barreiras aos resgates:</w:t>
      </w:r>
    </w:p>
    <w:p w14:paraId="109C7D35" w14:textId="77777777" w:rsidR="006C0C0A" w:rsidRPr="0097459F" w:rsidRDefault="00A74D1F" w:rsidP="00C20BBD">
      <w:pPr>
        <w:pStyle w:val="Normalalteradora"/>
        <w:rPr>
          <w:rFonts w:cstheme="minorHAnsi"/>
        </w:rPr>
      </w:pPr>
      <w:r w:rsidRPr="0097459F">
        <w:rPr>
          <w:rFonts w:cstheme="minorHAnsi"/>
        </w:rPr>
        <w:t xml:space="preserve">I </w:t>
      </w:r>
      <w:r w:rsidR="00F55BF3" w:rsidRPr="0097459F">
        <w:rPr>
          <w:rFonts w:cstheme="minorHAnsi"/>
        </w:rPr>
        <w:t>–</w:t>
      </w:r>
      <w:r w:rsidRPr="0097459F">
        <w:rPr>
          <w:rFonts w:cstheme="minorHAnsi"/>
        </w:rPr>
        <w:t xml:space="preserve"> </w:t>
      </w:r>
      <w:proofErr w:type="gramStart"/>
      <w:r w:rsidRPr="0097459F">
        <w:rPr>
          <w:rFonts w:cstheme="minorHAnsi"/>
        </w:rPr>
        <w:t>nas</w:t>
      </w:r>
      <w:proofErr w:type="gramEnd"/>
      <w:r w:rsidRPr="0097459F">
        <w:rPr>
          <w:rFonts w:cstheme="minorHAnsi"/>
        </w:rPr>
        <w:t xml:space="preserve"> classes destinadas ao público em geral, os parâmetros de liquidez que auto</w:t>
      </w:r>
      <w:r w:rsidR="00610DE6" w:rsidRPr="0097459F">
        <w:rPr>
          <w:rFonts w:cstheme="minorHAnsi"/>
        </w:rPr>
        <w:t>rizam a adoção do mecanismo</w:t>
      </w:r>
      <w:r w:rsidRPr="0097459F">
        <w:rPr>
          <w:rFonts w:cstheme="minorHAnsi"/>
        </w:rPr>
        <w:t xml:space="preserve"> devem levar em consideração</w:t>
      </w:r>
      <w:r w:rsidR="00610DE6" w:rsidRPr="0097459F">
        <w:rPr>
          <w:rFonts w:cstheme="minorHAnsi"/>
        </w:rPr>
        <w:t>,</w:t>
      </w:r>
      <w:r w:rsidRPr="0097459F">
        <w:rPr>
          <w:rFonts w:cstheme="minorHAnsi"/>
        </w:rPr>
        <w:t xml:space="preserve"> </w:t>
      </w:r>
      <w:r w:rsidR="00610DE6" w:rsidRPr="0097459F">
        <w:rPr>
          <w:rFonts w:cstheme="minorHAnsi"/>
        </w:rPr>
        <w:t xml:space="preserve">no mínimo, </w:t>
      </w:r>
      <w:r w:rsidRPr="0097459F">
        <w:rPr>
          <w:rFonts w:cstheme="minorHAnsi"/>
        </w:rPr>
        <w:t>a representatividade do</w:t>
      </w:r>
      <w:r w:rsidR="004C1854" w:rsidRPr="0097459F">
        <w:rPr>
          <w:rFonts w:cstheme="minorHAnsi"/>
        </w:rPr>
        <w:t>s</w:t>
      </w:r>
      <w:r w:rsidRPr="0097459F">
        <w:rPr>
          <w:rFonts w:cstheme="minorHAnsi"/>
        </w:rPr>
        <w:t xml:space="preserve"> resgate</w:t>
      </w:r>
      <w:r w:rsidR="004C1854" w:rsidRPr="0097459F">
        <w:rPr>
          <w:rFonts w:cstheme="minorHAnsi"/>
        </w:rPr>
        <w:t>s</w:t>
      </w:r>
      <w:r w:rsidRPr="0097459F">
        <w:rPr>
          <w:rFonts w:cstheme="minorHAnsi"/>
        </w:rPr>
        <w:t xml:space="preserve"> solicitado</w:t>
      </w:r>
      <w:r w:rsidR="004C1854" w:rsidRPr="0097459F">
        <w:rPr>
          <w:rFonts w:cstheme="minorHAnsi"/>
        </w:rPr>
        <w:t>s</w:t>
      </w:r>
      <w:r w:rsidRPr="0097459F">
        <w:rPr>
          <w:rFonts w:cstheme="minorHAnsi"/>
        </w:rPr>
        <w:t xml:space="preserve"> em relação ao patrimônio líquido da classe; e</w:t>
      </w:r>
    </w:p>
    <w:p w14:paraId="54012EC4" w14:textId="5773CD6C" w:rsidR="006264D4" w:rsidRPr="0097459F" w:rsidRDefault="00A74D1F" w:rsidP="00C20BBD">
      <w:pPr>
        <w:pStyle w:val="Normalalteradora"/>
        <w:rPr>
          <w:rFonts w:cstheme="minorHAnsi"/>
        </w:rPr>
      </w:pPr>
      <w:r w:rsidRPr="0097459F">
        <w:rPr>
          <w:rFonts w:cstheme="minorHAnsi"/>
        </w:rPr>
        <w:lastRenderedPageBreak/>
        <w:t xml:space="preserve">II – </w:t>
      </w:r>
      <w:proofErr w:type="gramStart"/>
      <w:r w:rsidRPr="0097459F">
        <w:rPr>
          <w:rFonts w:cstheme="minorHAnsi"/>
        </w:rPr>
        <w:t>nas</w:t>
      </w:r>
      <w:proofErr w:type="gramEnd"/>
      <w:r w:rsidRPr="0097459F">
        <w:rPr>
          <w:rFonts w:cstheme="minorHAnsi"/>
        </w:rPr>
        <w:t xml:space="preserve"> classes restritas, o regulamento pode </w:t>
      </w:r>
      <w:r w:rsidR="00610DE6" w:rsidRPr="0097459F">
        <w:rPr>
          <w:rFonts w:cstheme="minorHAnsi"/>
        </w:rPr>
        <w:t>dispor</w:t>
      </w:r>
      <w:r w:rsidRPr="0097459F">
        <w:rPr>
          <w:rFonts w:cstheme="minorHAnsi"/>
        </w:rPr>
        <w:t xml:space="preserve"> </w:t>
      </w:r>
      <w:r w:rsidR="00610DE6" w:rsidRPr="0097459F">
        <w:rPr>
          <w:rFonts w:cstheme="minorHAnsi"/>
        </w:rPr>
        <w:t xml:space="preserve">livremente acerca dos </w:t>
      </w:r>
      <w:r w:rsidRPr="0097459F">
        <w:rPr>
          <w:rFonts w:cstheme="minorHAnsi"/>
        </w:rPr>
        <w:t xml:space="preserve">parâmetros </w:t>
      </w:r>
      <w:r w:rsidR="00610DE6" w:rsidRPr="0097459F">
        <w:rPr>
          <w:rFonts w:cstheme="minorHAnsi"/>
        </w:rPr>
        <w:t>de liquidez</w:t>
      </w:r>
      <w:r w:rsidRPr="0097459F">
        <w:rPr>
          <w:rFonts w:cstheme="minorHAnsi"/>
        </w:rPr>
        <w:t>.</w:t>
      </w:r>
    </w:p>
    <w:p w14:paraId="19B06B3E" w14:textId="10184C22" w:rsidR="00511839" w:rsidRPr="0097459F" w:rsidRDefault="00511839" w:rsidP="00C20BBD">
      <w:pPr>
        <w:pStyle w:val="Normalalteradora"/>
      </w:pPr>
      <w:r w:rsidRPr="0097459F">
        <w:t xml:space="preserve">§ </w:t>
      </w:r>
      <w:r w:rsidR="004D60F5" w:rsidRPr="0097459F">
        <w:t>2</w:t>
      </w:r>
      <w:proofErr w:type="gramStart"/>
      <w:r w:rsidRPr="0097459F">
        <w:t>º  Caso</w:t>
      </w:r>
      <w:proofErr w:type="gramEnd"/>
      <w:r w:rsidRPr="0097459F">
        <w:t xml:space="preserve"> </w:t>
      </w:r>
      <w:r w:rsidR="006D4A0A" w:rsidRPr="0097459F">
        <w:t>o gestor utilize</w:t>
      </w:r>
      <w:r w:rsidRPr="0097459F">
        <w:t xml:space="preserve"> barreiras aos resgates, </w:t>
      </w:r>
      <w:r w:rsidR="006D4A0A" w:rsidRPr="0097459F">
        <w:t xml:space="preserve">deve </w:t>
      </w:r>
      <w:r w:rsidR="006C0C0A" w:rsidRPr="0097459F">
        <w:t xml:space="preserve">imediatamente </w:t>
      </w:r>
      <w:r w:rsidR="006D4A0A" w:rsidRPr="0097459F">
        <w:t>informar a</w:t>
      </w:r>
      <w:r w:rsidRPr="0097459F">
        <w:t>o administrador</w:t>
      </w:r>
      <w:r w:rsidR="006C0C0A" w:rsidRPr="0097459F">
        <w:t>,</w:t>
      </w:r>
      <w:r w:rsidRPr="0097459F">
        <w:t xml:space="preserve"> </w:t>
      </w:r>
      <w:r w:rsidR="006C0C0A" w:rsidRPr="0097459F">
        <w:t xml:space="preserve">tanto por ocasião do estabelecimento da barreira quanto de sua remoção, </w:t>
      </w:r>
      <w:r w:rsidR="006D4A0A" w:rsidRPr="0097459F">
        <w:t>para que este</w:t>
      </w:r>
      <w:r w:rsidR="006F7C82" w:rsidRPr="0097459F">
        <w:t xml:space="preserve"> imediatamente</w:t>
      </w:r>
      <w:r w:rsidRPr="0097459F">
        <w:t xml:space="preserve"> </w:t>
      </w:r>
      <w:r w:rsidR="006F7C82" w:rsidRPr="0097459F">
        <w:t>divulgue</w:t>
      </w:r>
      <w:r w:rsidRPr="0097459F">
        <w:t xml:space="preserve"> fato relevante.</w:t>
      </w:r>
    </w:p>
    <w:p w14:paraId="2B668852" w14:textId="09D58AC1" w:rsidR="00893D49" w:rsidRPr="0097459F" w:rsidRDefault="00926D22" w:rsidP="00C20BBD">
      <w:pPr>
        <w:pStyle w:val="Normalalteradora"/>
      </w:pPr>
      <w:r w:rsidRPr="0097459F">
        <w:t xml:space="preserve">Art. </w:t>
      </w:r>
      <w:r w:rsidR="3D8C1219" w:rsidRPr="0097459F">
        <w:t>42</w:t>
      </w:r>
      <w:r w:rsidRPr="0097459F">
        <w:t>.</w:t>
      </w:r>
      <w:r w:rsidR="00893D49" w:rsidRPr="0097459F">
        <w:t xml:space="preserve">  </w:t>
      </w:r>
      <w:r w:rsidR="003D1898" w:rsidRPr="0097459F">
        <w:t xml:space="preserve">As </w:t>
      </w:r>
      <w:r w:rsidR="00893D49" w:rsidRPr="0097459F">
        <w:t xml:space="preserve">classes abertas podem realizar o resgate compulsório de </w:t>
      </w:r>
      <w:r w:rsidR="003D1898" w:rsidRPr="0097459F">
        <w:t xml:space="preserve">suas </w:t>
      </w:r>
      <w:r w:rsidR="00893D49" w:rsidRPr="0097459F">
        <w:t>cotas, desde que:</w:t>
      </w:r>
    </w:p>
    <w:p w14:paraId="178870CE" w14:textId="45411335"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w:t>
      </w:r>
      <w:proofErr w:type="gramEnd"/>
      <w:r w:rsidRPr="0097459F">
        <w:rPr>
          <w:rFonts w:cstheme="minorHAnsi"/>
        </w:rPr>
        <w:t xml:space="preserve"> regulamento ou a assembleia de cotistas assim autorize</w:t>
      </w:r>
      <w:r w:rsidR="004C1854" w:rsidRPr="0097459F">
        <w:rPr>
          <w:rFonts w:cstheme="minorHAnsi"/>
        </w:rPr>
        <w:t>,</w:t>
      </w:r>
      <w:r w:rsidRPr="0097459F">
        <w:rPr>
          <w:rFonts w:cstheme="minorHAnsi"/>
        </w:rPr>
        <w:t xml:space="preserve"> </w:t>
      </w:r>
      <w:r w:rsidR="004C1854" w:rsidRPr="0097459F">
        <w:rPr>
          <w:rFonts w:cstheme="minorHAnsi"/>
        </w:rPr>
        <w:t xml:space="preserve">bem como </w:t>
      </w:r>
      <w:r w:rsidRPr="0097459F">
        <w:rPr>
          <w:rFonts w:cstheme="minorHAnsi"/>
        </w:rPr>
        <w:t xml:space="preserve">determine claramente a forma e condições por meio do qual referido procedimento </w:t>
      </w:r>
      <w:r w:rsidR="00273C0F" w:rsidRPr="0097459F">
        <w:rPr>
          <w:rFonts w:cstheme="minorHAnsi"/>
        </w:rPr>
        <w:t xml:space="preserve">deve ser </w:t>
      </w:r>
      <w:r w:rsidR="00B91271" w:rsidRPr="0097459F">
        <w:rPr>
          <w:rFonts w:cstheme="minorHAnsi"/>
        </w:rPr>
        <w:t>realizado</w:t>
      </w:r>
      <w:r w:rsidRPr="0097459F">
        <w:rPr>
          <w:rFonts w:cstheme="minorHAnsi"/>
        </w:rPr>
        <w:t>;</w:t>
      </w:r>
    </w:p>
    <w:p w14:paraId="685C5F75" w14:textId="559AAF2D" w:rsidR="00893D49" w:rsidRPr="0097459F" w:rsidRDefault="00893D49" w:rsidP="00C20BBD">
      <w:pPr>
        <w:pStyle w:val="Normalalteradora"/>
        <w:rPr>
          <w:rFonts w:cstheme="minorHAnsi"/>
        </w:rPr>
      </w:pPr>
      <w:r w:rsidRPr="0097459F">
        <w:rPr>
          <w:rFonts w:cstheme="minorHAnsi"/>
        </w:rPr>
        <w:t xml:space="preserve">II – </w:t>
      </w:r>
      <w:proofErr w:type="gramStart"/>
      <w:r w:rsidR="00B91271" w:rsidRPr="0097459F">
        <w:rPr>
          <w:rFonts w:cstheme="minorHAnsi"/>
        </w:rPr>
        <w:t>o</w:t>
      </w:r>
      <w:proofErr w:type="gramEnd"/>
      <w:r w:rsidR="00B91271" w:rsidRPr="0097459F">
        <w:rPr>
          <w:rFonts w:cstheme="minorHAnsi"/>
        </w:rPr>
        <w:t xml:space="preserve"> resgate compulsório </w:t>
      </w:r>
      <w:r w:rsidRPr="0097459F">
        <w:rPr>
          <w:rFonts w:cstheme="minorHAnsi"/>
        </w:rPr>
        <w:t>seja realizado de forma equânime, simultânea e proporcional entre todos os cotistas da mesma classe</w:t>
      </w:r>
      <w:r w:rsidR="003D1898" w:rsidRPr="0097459F">
        <w:rPr>
          <w:rFonts w:cstheme="minorHAnsi"/>
        </w:rPr>
        <w:t xml:space="preserve"> e subclasse</w:t>
      </w:r>
      <w:r w:rsidRPr="0097459F">
        <w:rPr>
          <w:rFonts w:cstheme="minorHAnsi"/>
        </w:rPr>
        <w:t>; e</w:t>
      </w:r>
    </w:p>
    <w:p w14:paraId="3AC6F66D" w14:textId="37E30037" w:rsidR="00893D49" w:rsidRPr="0097459F" w:rsidRDefault="00893D49" w:rsidP="00C20BBD">
      <w:pPr>
        <w:pStyle w:val="Normalalteradora"/>
        <w:rPr>
          <w:rFonts w:cstheme="minorHAnsi"/>
        </w:rPr>
      </w:pPr>
      <w:r w:rsidRPr="0097459F">
        <w:rPr>
          <w:rFonts w:cstheme="minorHAnsi"/>
        </w:rPr>
        <w:t>III – não seja cobrada taxa de saída.</w:t>
      </w:r>
    </w:p>
    <w:p w14:paraId="7DE89527" w14:textId="03C8FCF7"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43</w:t>
      </w:r>
      <w:r w:rsidRPr="0097459F">
        <w:rPr>
          <w:rFonts w:cstheme="minorHAnsi"/>
        </w:rPr>
        <w:t>.  A amortização de cotas deve ocorrer conforme disposto no regulamento ou deliberado pela assembleia de cotistas.</w:t>
      </w:r>
    </w:p>
    <w:p w14:paraId="6E387654" w14:textId="2EEF8C5B" w:rsidR="00285916" w:rsidRPr="0097459F" w:rsidRDefault="00893D49" w:rsidP="00C20BBD">
      <w:pPr>
        <w:pStyle w:val="Normalalteradora"/>
      </w:pPr>
      <w:r w:rsidRPr="0097459F">
        <w:t xml:space="preserve">Art. </w:t>
      </w:r>
      <w:r w:rsidR="002A1094" w:rsidRPr="0097459F">
        <w:t>44</w:t>
      </w:r>
      <w:r w:rsidRPr="0097459F">
        <w:t>.  No caso de fechamento dos mercados e em casos excepcionais de iliquidez dos ativos componentes da carteira, inclusive em decorrência de pedidos de resgates incompatíveis com a liquidez existente, ou que possam implicar alteração do tratamento tributário do fundo ou do conjunto dos cotistas, em prejuízo destes últimos, o administrador</w:t>
      </w:r>
      <w:r w:rsidR="00FC1163" w:rsidRPr="0097459F">
        <w:t>,</w:t>
      </w:r>
      <w:r w:rsidRPr="0097459F">
        <w:t xml:space="preserve"> </w:t>
      </w:r>
      <w:r w:rsidR="00257147" w:rsidRPr="0097459F">
        <w:t>o gestor</w:t>
      </w:r>
      <w:r w:rsidR="00FC1163" w:rsidRPr="0097459F">
        <w:t xml:space="preserve"> ou ambos, de acordo com o disposto no Regulamento,</w:t>
      </w:r>
      <w:r w:rsidR="00257147" w:rsidRPr="0097459F">
        <w:t xml:space="preserve"> </w:t>
      </w:r>
      <w:r w:rsidRPr="0097459F">
        <w:t>pode</w:t>
      </w:r>
      <w:r w:rsidR="00257147" w:rsidRPr="0097459F">
        <w:t>m</w:t>
      </w:r>
      <w:r w:rsidRPr="0097459F">
        <w:t xml:space="preserve"> declarar o fechamento da classe de cotas para a realização de resgates.</w:t>
      </w:r>
    </w:p>
    <w:p w14:paraId="76BBE49F" w14:textId="25CCE860" w:rsidR="00893D49" w:rsidRPr="0097459F" w:rsidRDefault="00893D49" w:rsidP="00C20BBD">
      <w:pPr>
        <w:pStyle w:val="Normalalteradora"/>
      </w:pPr>
      <w:r w:rsidRPr="0097459F">
        <w:rPr>
          <w:rFonts w:cstheme="minorHAnsi"/>
        </w:rPr>
        <w:t>§ 1</w:t>
      </w:r>
      <w:proofErr w:type="gramStart"/>
      <w:r w:rsidRPr="0097459F">
        <w:rPr>
          <w:rFonts w:cstheme="minorHAnsi"/>
        </w:rPr>
        <w:t>º  Caso</w:t>
      </w:r>
      <w:proofErr w:type="gramEnd"/>
      <w:r w:rsidRPr="0097459F">
        <w:rPr>
          <w:rFonts w:cstheme="minorHAnsi"/>
        </w:rPr>
        <w:t xml:space="preserve"> </w:t>
      </w:r>
      <w:r w:rsidR="005E763A" w:rsidRPr="0097459F">
        <w:rPr>
          <w:rFonts w:cstheme="minorHAnsi"/>
        </w:rPr>
        <w:t>seja declarado</w:t>
      </w:r>
      <w:r w:rsidRPr="0097459F">
        <w:rPr>
          <w:rFonts w:cstheme="minorHAnsi"/>
        </w:rPr>
        <w:t xml:space="preserve"> o fechamento para a realização de resgates nos termos do </w:t>
      </w:r>
      <w:r w:rsidRPr="0097459F">
        <w:rPr>
          <w:rFonts w:cstheme="minorHAnsi"/>
          <w:b/>
        </w:rPr>
        <w:t>caput</w:t>
      </w:r>
      <w:r w:rsidRPr="0097459F">
        <w:rPr>
          <w:rFonts w:cstheme="minorHAnsi"/>
        </w:rPr>
        <w:t xml:space="preserve">, </w:t>
      </w:r>
      <w:r w:rsidR="00CE5967" w:rsidRPr="0097459F">
        <w:rPr>
          <w:rFonts w:cstheme="minorHAnsi"/>
        </w:rPr>
        <w:t>o</w:t>
      </w:r>
      <w:r w:rsidR="005E763A" w:rsidRPr="0097459F">
        <w:rPr>
          <w:rFonts w:cstheme="minorHAnsi"/>
        </w:rPr>
        <w:t xml:space="preserve"> administrador </w:t>
      </w:r>
      <w:r w:rsidRPr="0097459F">
        <w:rPr>
          <w:rFonts w:cstheme="minorHAnsi"/>
        </w:rPr>
        <w:t>deve proceder à imediata divulgação de fato relevante, tanto por ocasião do fechamento, quanto da reabertura da classe.</w:t>
      </w:r>
    </w:p>
    <w:p w14:paraId="213EA38C" w14:textId="4A3DD1E7"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Todos</w:t>
      </w:r>
      <w:proofErr w:type="gramEnd"/>
      <w:r w:rsidRPr="0097459F">
        <w:rPr>
          <w:rFonts w:cstheme="minorHAnsi"/>
        </w:rPr>
        <w:t xml:space="preserve"> os pedidos de resgate que estejam pendentes de </w:t>
      </w:r>
      <w:r w:rsidR="005E763A" w:rsidRPr="0097459F">
        <w:rPr>
          <w:rFonts w:cstheme="minorHAnsi"/>
        </w:rPr>
        <w:t xml:space="preserve">conversão </w:t>
      </w:r>
      <w:r w:rsidRPr="0097459F">
        <w:rPr>
          <w:rFonts w:cstheme="minorHAnsi"/>
        </w:rPr>
        <w:t xml:space="preserve">quando do fechamento </w:t>
      </w:r>
      <w:r w:rsidR="00C14C47" w:rsidRPr="0097459F">
        <w:rPr>
          <w:rFonts w:cstheme="minorHAnsi"/>
        </w:rPr>
        <w:t xml:space="preserve">para resgates </w:t>
      </w:r>
      <w:r w:rsidRPr="0097459F">
        <w:rPr>
          <w:rFonts w:cstheme="minorHAnsi"/>
        </w:rPr>
        <w:t>devem ser cancelados.</w:t>
      </w:r>
    </w:p>
    <w:p w14:paraId="7B14E807" w14:textId="201C1C54" w:rsidR="00893D49" w:rsidRPr="0097459F" w:rsidRDefault="4AF9F487" w:rsidP="00C20BBD">
      <w:pPr>
        <w:pStyle w:val="Normalalteradora"/>
      </w:pPr>
      <w:r w:rsidRPr="0097459F">
        <w:t>§ 3</w:t>
      </w:r>
      <w:proofErr w:type="gramStart"/>
      <w:r w:rsidRPr="0097459F">
        <w:t>º  Caso</w:t>
      </w:r>
      <w:proofErr w:type="gramEnd"/>
      <w:r w:rsidRPr="0097459F">
        <w:t xml:space="preserve"> a classe permaneça fechada </w:t>
      </w:r>
      <w:r w:rsidR="037C11FD" w:rsidRPr="0097459F">
        <w:t xml:space="preserve">para resgates </w:t>
      </w:r>
      <w:r w:rsidRPr="0097459F">
        <w:t xml:space="preserve">por período superior a </w:t>
      </w:r>
      <w:r w:rsidR="00893D49" w:rsidRPr="0097459F">
        <w:t>5 (</w:t>
      </w:r>
      <w:r w:rsidRPr="0097459F">
        <w:t>cinco</w:t>
      </w:r>
      <w:r w:rsidR="00893D49" w:rsidRPr="0097459F">
        <w:t>)</w:t>
      </w:r>
      <w:r w:rsidRPr="0097459F">
        <w:t xml:space="preserve"> dias </w:t>
      </w:r>
      <w:r w:rsidR="5AAB6BB3" w:rsidRPr="0097459F">
        <w:t>úteis</w:t>
      </w:r>
      <w:r w:rsidRPr="0097459F">
        <w:t xml:space="preserve">, o administrador deve convocar no prazo máximo de </w:t>
      </w:r>
      <w:r w:rsidR="00893D49" w:rsidRPr="0097459F">
        <w:t>1 (</w:t>
      </w:r>
      <w:r w:rsidRPr="0097459F">
        <w:t>um</w:t>
      </w:r>
      <w:r w:rsidR="00893D49" w:rsidRPr="0097459F">
        <w:t>)</w:t>
      </w:r>
      <w:r w:rsidRPr="0097459F">
        <w:t xml:space="preserve"> dia, para realização em até </w:t>
      </w:r>
      <w:r w:rsidR="00893D49" w:rsidRPr="0097459F">
        <w:t>15 (</w:t>
      </w:r>
      <w:r w:rsidRPr="0097459F">
        <w:t>quinze</w:t>
      </w:r>
      <w:r w:rsidR="00893D49" w:rsidRPr="0097459F">
        <w:t>)</w:t>
      </w:r>
      <w:r w:rsidR="03AD9FB5" w:rsidRPr="0097459F">
        <w:t xml:space="preserve"> dias</w:t>
      </w:r>
      <w:r w:rsidRPr="0097459F">
        <w:t xml:space="preserve">, assembleia de cotistas </w:t>
      </w:r>
      <w:r w:rsidR="1E7CEC6D" w:rsidRPr="0097459F">
        <w:t>da classe afetada</w:t>
      </w:r>
      <w:r w:rsidR="006C0C0A" w:rsidRPr="0097459F">
        <w:t>,</w:t>
      </w:r>
      <w:r w:rsidR="1E7CEC6D" w:rsidRPr="0097459F">
        <w:t xml:space="preserve"> </w:t>
      </w:r>
      <w:r w:rsidRPr="0097459F">
        <w:t>para deliberar sobre as seguintes possibilidades</w:t>
      </w:r>
      <w:r w:rsidR="2B9D2C89" w:rsidRPr="0097459F">
        <w:t xml:space="preserve">, </w:t>
      </w:r>
      <w:r w:rsidR="29DA99FD" w:rsidRPr="0097459F">
        <w:t xml:space="preserve">que </w:t>
      </w:r>
      <w:r w:rsidR="182330A0" w:rsidRPr="0097459F">
        <w:t xml:space="preserve">podem </w:t>
      </w:r>
      <w:r w:rsidR="29DA99FD" w:rsidRPr="0097459F">
        <w:t>ser adotadas de modo isolado</w:t>
      </w:r>
      <w:r w:rsidR="2B9D2C89" w:rsidRPr="0097459F">
        <w:t xml:space="preserve"> ou conjuntamente</w:t>
      </w:r>
      <w:r w:rsidRPr="0097459F">
        <w:t>:</w:t>
      </w:r>
    </w:p>
    <w:p w14:paraId="293D279B" w14:textId="1B817C6B" w:rsidR="00DC56F6" w:rsidRPr="0097459F" w:rsidRDefault="002B1835" w:rsidP="00C20BBD">
      <w:pPr>
        <w:pStyle w:val="Normalalteradora"/>
        <w:rPr>
          <w:rFonts w:cstheme="minorHAnsi"/>
        </w:rPr>
      </w:pPr>
      <w:r w:rsidRPr="0097459F">
        <w:rPr>
          <w:rFonts w:cstheme="minorHAnsi"/>
        </w:rPr>
        <w:t xml:space="preserve">I </w:t>
      </w:r>
      <w:r w:rsidR="00893D49" w:rsidRPr="0097459F">
        <w:rPr>
          <w:rFonts w:cstheme="minorHAnsi"/>
        </w:rPr>
        <w:t xml:space="preserve">– </w:t>
      </w:r>
      <w:proofErr w:type="gramStart"/>
      <w:r w:rsidR="00893D49" w:rsidRPr="0097459F">
        <w:rPr>
          <w:rFonts w:cstheme="minorHAnsi"/>
        </w:rPr>
        <w:t>reabertura ou manutenção</w:t>
      </w:r>
      <w:proofErr w:type="gramEnd"/>
      <w:r w:rsidR="00893D49" w:rsidRPr="0097459F">
        <w:rPr>
          <w:rFonts w:cstheme="minorHAnsi"/>
        </w:rPr>
        <w:t xml:space="preserve"> do fechamento para resgate;</w:t>
      </w:r>
    </w:p>
    <w:p w14:paraId="1563ED66" w14:textId="220CC622" w:rsidR="00893D49" w:rsidRPr="0097459F" w:rsidRDefault="002B1835" w:rsidP="00C20BBD">
      <w:pPr>
        <w:pStyle w:val="Normalalteradora"/>
        <w:rPr>
          <w:rFonts w:cstheme="minorHAnsi"/>
        </w:rPr>
      </w:pPr>
      <w:r w:rsidRPr="0097459F">
        <w:rPr>
          <w:rFonts w:cstheme="minorHAnsi"/>
        </w:rPr>
        <w:lastRenderedPageBreak/>
        <w:t xml:space="preserve">II </w:t>
      </w:r>
      <w:r w:rsidR="00893D49" w:rsidRPr="0097459F">
        <w:rPr>
          <w:rFonts w:cstheme="minorHAnsi"/>
        </w:rPr>
        <w:t xml:space="preserve">– </w:t>
      </w:r>
      <w:proofErr w:type="gramStart"/>
      <w:r w:rsidR="00893D49" w:rsidRPr="0097459F">
        <w:rPr>
          <w:rFonts w:cstheme="minorHAnsi"/>
        </w:rPr>
        <w:t>cisão</w:t>
      </w:r>
      <w:proofErr w:type="gramEnd"/>
      <w:r w:rsidR="00893D49" w:rsidRPr="0097459F">
        <w:rPr>
          <w:rFonts w:cstheme="minorHAnsi"/>
        </w:rPr>
        <w:t xml:space="preserve"> do fundo</w:t>
      </w:r>
      <w:r w:rsidR="00A04BA7" w:rsidRPr="0097459F">
        <w:rPr>
          <w:rFonts w:cstheme="minorHAnsi"/>
        </w:rPr>
        <w:t xml:space="preserve"> ou da classe</w:t>
      </w:r>
      <w:r w:rsidR="00893D49" w:rsidRPr="0097459F">
        <w:rPr>
          <w:rFonts w:cstheme="minorHAnsi"/>
        </w:rPr>
        <w:t>;</w:t>
      </w:r>
    </w:p>
    <w:p w14:paraId="7DE99BA8" w14:textId="5F19DCE4" w:rsidR="007C6DC7" w:rsidRPr="0097459F" w:rsidRDefault="002B1835" w:rsidP="00C20BBD">
      <w:pPr>
        <w:pStyle w:val="Normalalteradora"/>
        <w:rPr>
          <w:rFonts w:cstheme="minorHAnsi"/>
        </w:rPr>
      </w:pPr>
      <w:r w:rsidRPr="0097459F">
        <w:rPr>
          <w:rFonts w:cstheme="minorHAnsi"/>
        </w:rPr>
        <w:t xml:space="preserve">III </w:t>
      </w:r>
      <w:r w:rsidR="00893D49" w:rsidRPr="0097459F">
        <w:rPr>
          <w:rFonts w:cstheme="minorHAnsi"/>
        </w:rPr>
        <w:t>– liquidação</w:t>
      </w:r>
      <w:r w:rsidR="007C6DC7" w:rsidRPr="0097459F">
        <w:rPr>
          <w:rFonts w:cstheme="minorHAnsi"/>
        </w:rPr>
        <w:t>; e</w:t>
      </w:r>
    </w:p>
    <w:p w14:paraId="359720D8" w14:textId="5FDD10C7" w:rsidR="00893D49" w:rsidRPr="0097459F" w:rsidRDefault="007C6DC7" w:rsidP="00C20BBD">
      <w:pPr>
        <w:pStyle w:val="Normalalteradora"/>
        <w:rPr>
          <w:rFonts w:cstheme="minorHAnsi"/>
        </w:rPr>
      </w:pPr>
      <w:r w:rsidRPr="0097459F">
        <w:rPr>
          <w:rFonts w:cstheme="minorHAnsi"/>
        </w:rPr>
        <w:t xml:space="preserve">IV – </w:t>
      </w:r>
      <w:proofErr w:type="gramStart"/>
      <w:r w:rsidRPr="0097459F">
        <w:rPr>
          <w:rFonts w:cstheme="minorHAnsi"/>
        </w:rPr>
        <w:t>desde</w:t>
      </w:r>
      <w:proofErr w:type="gramEnd"/>
      <w:r w:rsidRPr="0097459F">
        <w:rPr>
          <w:rFonts w:cstheme="minorHAnsi"/>
        </w:rPr>
        <w:t xml:space="preserve"> que de comum acordo com o</w:t>
      </w:r>
      <w:r w:rsidR="000739E8" w:rsidRPr="0097459F">
        <w:rPr>
          <w:rFonts w:cstheme="minorHAnsi"/>
        </w:rPr>
        <w:t>s</w:t>
      </w:r>
      <w:r w:rsidRPr="0097459F">
        <w:rPr>
          <w:rFonts w:cstheme="minorHAnsi"/>
        </w:rPr>
        <w:t xml:space="preserve"> cotista</w:t>
      </w:r>
      <w:r w:rsidR="000739E8" w:rsidRPr="0097459F">
        <w:rPr>
          <w:rFonts w:cstheme="minorHAnsi"/>
        </w:rPr>
        <w:t>s</w:t>
      </w:r>
      <w:r w:rsidRPr="0097459F">
        <w:rPr>
          <w:rFonts w:cstheme="minorHAnsi"/>
        </w:rPr>
        <w:t xml:space="preserve"> que </w:t>
      </w:r>
      <w:r w:rsidR="000739E8" w:rsidRPr="0097459F">
        <w:rPr>
          <w:rFonts w:cstheme="minorHAnsi"/>
        </w:rPr>
        <w:t xml:space="preserve">terão </w:t>
      </w:r>
      <w:r w:rsidRPr="0097459F">
        <w:rPr>
          <w:rFonts w:cstheme="minorHAnsi"/>
        </w:rPr>
        <w:t>as cotas resgatadas, manifestada na assembleia ou fora dela, resgate de cotas em ativos</w:t>
      </w:r>
      <w:r w:rsidR="001B3AD7" w:rsidRPr="0097459F">
        <w:rPr>
          <w:rFonts w:cstheme="minorHAnsi"/>
        </w:rPr>
        <w:t xml:space="preserve"> da classe.</w:t>
      </w:r>
    </w:p>
    <w:p w14:paraId="787F6926" w14:textId="6344D1E6" w:rsidR="001A5C2F" w:rsidRPr="0097459F" w:rsidRDefault="002B1835" w:rsidP="00C20BBD">
      <w:pPr>
        <w:pStyle w:val="Normalalteradora"/>
        <w:rPr>
          <w:rFonts w:cstheme="minorHAnsi"/>
        </w:rPr>
      </w:pPr>
      <w:r w:rsidRPr="0097459F">
        <w:rPr>
          <w:rFonts w:cstheme="minorHAnsi"/>
        </w:rPr>
        <w:t>§ 4</w:t>
      </w:r>
      <w:proofErr w:type="gramStart"/>
      <w:r w:rsidRPr="0097459F">
        <w:rPr>
          <w:rFonts w:cstheme="minorHAnsi"/>
        </w:rPr>
        <w:t>º  No</w:t>
      </w:r>
      <w:proofErr w:type="gramEnd"/>
      <w:r w:rsidRPr="0097459F">
        <w:rPr>
          <w:rFonts w:cstheme="minorHAnsi"/>
        </w:rPr>
        <w:t xml:space="preserve"> caso de assembleia de cotistas de fundo que emita cotas em classe única, em acréscimo às possibilidades previstas no § 3º</w:t>
      </w:r>
      <w:r w:rsidR="007C7899" w:rsidRPr="0097459F">
        <w:rPr>
          <w:rFonts w:cstheme="minorHAnsi"/>
        </w:rPr>
        <w:t xml:space="preserve"> deste artigo</w:t>
      </w:r>
      <w:r w:rsidRPr="0097459F">
        <w:rPr>
          <w:rFonts w:cstheme="minorHAnsi"/>
        </w:rPr>
        <w:t>, pode ser deliberada a substituição do administrador, do gestor ou de ambos.</w:t>
      </w:r>
    </w:p>
    <w:p w14:paraId="1508124E" w14:textId="3E444A5F" w:rsidR="00FF6A69" w:rsidRPr="0097459F" w:rsidRDefault="00FF6A69" w:rsidP="00C20BBD">
      <w:pPr>
        <w:pStyle w:val="Normalalteradora"/>
        <w:rPr>
          <w:rFonts w:eastAsia="Calibri" w:cstheme="minorHAnsi"/>
        </w:rPr>
      </w:pPr>
      <w:r w:rsidRPr="0097459F">
        <w:rPr>
          <w:rFonts w:eastAsia="Calibri" w:cstheme="minorHAnsi"/>
        </w:rPr>
        <w:t>§ 5</w:t>
      </w:r>
      <w:proofErr w:type="gramStart"/>
      <w:r w:rsidRPr="0097459F">
        <w:rPr>
          <w:rFonts w:eastAsia="Calibri" w:cstheme="minorHAnsi"/>
        </w:rPr>
        <w:t>º  Desde</w:t>
      </w:r>
      <w:proofErr w:type="gramEnd"/>
      <w:r w:rsidRPr="0097459F">
        <w:rPr>
          <w:rFonts w:eastAsia="Calibri" w:cstheme="minorHAnsi"/>
        </w:rPr>
        <w:t xml:space="preserve"> que a possibilidade esteja prevista no regulamento, alternativamente à convocação da assembleia prevista no § 3º</w:t>
      </w:r>
      <w:r w:rsidR="007C7899" w:rsidRPr="0097459F">
        <w:rPr>
          <w:rFonts w:eastAsia="Calibri" w:cstheme="minorHAnsi"/>
        </w:rPr>
        <w:t xml:space="preserve"> deste artigo</w:t>
      </w:r>
      <w:r w:rsidRPr="0097459F">
        <w:rPr>
          <w:rFonts w:eastAsia="Calibri" w:cstheme="minorHAnsi"/>
        </w:rPr>
        <w:t>, a seu exclusivo critério e sob sua responsabilidade, o gestor pode cindir do patrimônio da classe os ativos excepcionalmente ilíquidos, para sua ut</w:t>
      </w:r>
      <w:r w:rsidR="002D1663" w:rsidRPr="0097459F">
        <w:rPr>
          <w:rFonts w:eastAsia="Calibri" w:cstheme="minorHAnsi"/>
        </w:rPr>
        <w:t>i</w:t>
      </w:r>
      <w:r w:rsidRPr="0097459F">
        <w:rPr>
          <w:rFonts w:eastAsia="Calibri" w:cstheme="minorHAnsi"/>
        </w:rPr>
        <w:t>lização na integralização de cotas de uma nova classe fechada ou de uma nova subclasse de classe fechada já existente.</w:t>
      </w:r>
    </w:p>
    <w:p w14:paraId="4088A5B5" w14:textId="0D071A79" w:rsidR="00CB2F2F" w:rsidRPr="0097459F" w:rsidRDefault="1C8122DA" w:rsidP="00C20BBD">
      <w:pPr>
        <w:pStyle w:val="Normalalteradora"/>
        <w:rPr>
          <w:rFonts w:eastAsia="Calibri"/>
        </w:rPr>
      </w:pPr>
      <w:r w:rsidRPr="0097459F">
        <w:rPr>
          <w:rFonts w:eastAsia="Calibri"/>
        </w:rPr>
        <w:t>§ 6</w:t>
      </w:r>
      <w:proofErr w:type="gramStart"/>
      <w:r w:rsidRPr="0097459F">
        <w:rPr>
          <w:rFonts w:eastAsia="Calibri"/>
        </w:rPr>
        <w:t>º</w:t>
      </w:r>
      <w:r w:rsidR="004B305B" w:rsidRPr="0097459F">
        <w:rPr>
          <w:rFonts w:eastAsia="Calibri"/>
        </w:rPr>
        <w:t xml:space="preserve"> </w:t>
      </w:r>
      <w:r w:rsidRPr="0097459F">
        <w:rPr>
          <w:rFonts w:eastAsia="Calibri"/>
        </w:rPr>
        <w:t xml:space="preserve"> </w:t>
      </w:r>
      <w:r w:rsidR="00ED068E" w:rsidRPr="0097459F">
        <w:rPr>
          <w:rFonts w:eastAsia="Calibri"/>
        </w:rPr>
        <w:t>A</w:t>
      </w:r>
      <w:proofErr w:type="gramEnd"/>
      <w:r w:rsidRPr="0097459F">
        <w:rPr>
          <w:rFonts w:eastAsia="Calibri"/>
        </w:rPr>
        <w:t xml:space="preserve"> cisão </w:t>
      </w:r>
      <w:r w:rsidR="00ED068E" w:rsidRPr="0097459F">
        <w:rPr>
          <w:rFonts w:eastAsia="Calibri"/>
        </w:rPr>
        <w:t xml:space="preserve">referida </w:t>
      </w:r>
      <w:r w:rsidRPr="0097459F">
        <w:rPr>
          <w:rFonts w:eastAsia="Calibri"/>
        </w:rPr>
        <w:t>no § 5</w:t>
      </w:r>
      <w:r w:rsidR="00ED068E" w:rsidRPr="0097459F">
        <w:rPr>
          <w:rFonts w:eastAsia="Calibri"/>
        </w:rPr>
        <w:t xml:space="preserve">º </w:t>
      </w:r>
      <w:r w:rsidR="004B305B" w:rsidRPr="0097459F">
        <w:rPr>
          <w:rFonts w:eastAsia="Calibri"/>
        </w:rPr>
        <w:t xml:space="preserve">deste artigo </w:t>
      </w:r>
      <w:r w:rsidR="00ED068E" w:rsidRPr="0097459F">
        <w:rPr>
          <w:rFonts w:eastAsia="Calibri"/>
        </w:rPr>
        <w:t>não pode resultar em aumento dos encargos atribuídos à classe de cotas.</w:t>
      </w:r>
    </w:p>
    <w:p w14:paraId="385A5225" w14:textId="13338365" w:rsidR="00893D49" w:rsidRPr="0097459F" w:rsidRDefault="00893D49" w:rsidP="00C20BBD">
      <w:pPr>
        <w:pStyle w:val="Normalalteradora"/>
        <w:rPr>
          <w:rFonts w:cstheme="minorHAnsi"/>
        </w:rPr>
      </w:pPr>
      <w:r w:rsidRPr="0097459F">
        <w:rPr>
          <w:rFonts w:cstheme="minorHAnsi"/>
        </w:rPr>
        <w:t xml:space="preserve">§ </w:t>
      </w:r>
      <w:r w:rsidR="004B305B" w:rsidRPr="0097459F">
        <w:rPr>
          <w:rFonts w:cstheme="minorHAnsi"/>
        </w:rPr>
        <w:t>7</w:t>
      </w:r>
      <w:proofErr w:type="gramStart"/>
      <w:r w:rsidR="001B3AD7" w:rsidRPr="0097459F">
        <w:rPr>
          <w:rFonts w:cstheme="minorHAnsi"/>
        </w:rPr>
        <w:t xml:space="preserve">º  </w:t>
      </w:r>
      <w:r w:rsidRPr="0097459F">
        <w:rPr>
          <w:rFonts w:cstheme="minorHAnsi"/>
        </w:rPr>
        <w:t>A</w:t>
      </w:r>
      <w:proofErr w:type="gramEnd"/>
      <w:r w:rsidRPr="0097459F">
        <w:rPr>
          <w:rFonts w:cstheme="minorHAnsi"/>
        </w:rPr>
        <w:t xml:space="preserve"> classe deve permanecer fechada para aplicações enquanto perdurar o período de suspensão de resgates.</w:t>
      </w:r>
    </w:p>
    <w:p w14:paraId="7C0E35E0" w14:textId="2DBFB48D" w:rsidR="00893D49" w:rsidRPr="0097459F" w:rsidRDefault="00893D49" w:rsidP="00C20BBD">
      <w:pPr>
        <w:pStyle w:val="Normalalteradora"/>
        <w:rPr>
          <w:rFonts w:cstheme="minorHAnsi"/>
        </w:rPr>
      </w:pPr>
      <w:r w:rsidRPr="0097459F">
        <w:rPr>
          <w:rFonts w:cstheme="minorHAnsi"/>
        </w:rPr>
        <w:t xml:space="preserve">§ </w:t>
      </w:r>
      <w:r w:rsidR="004B305B" w:rsidRPr="0097459F">
        <w:rPr>
          <w:rFonts w:cstheme="minorHAnsi"/>
        </w:rPr>
        <w:t>8</w:t>
      </w:r>
      <w:proofErr w:type="gramStart"/>
      <w:r w:rsidR="001B3AD7" w:rsidRPr="0097459F">
        <w:rPr>
          <w:rFonts w:cstheme="minorHAnsi"/>
        </w:rPr>
        <w:t xml:space="preserve">º  </w:t>
      </w:r>
      <w:r w:rsidRPr="0097459F">
        <w:rPr>
          <w:rFonts w:cstheme="minorHAnsi"/>
        </w:rPr>
        <w:t>O</w:t>
      </w:r>
      <w:proofErr w:type="gramEnd"/>
      <w:r w:rsidRPr="0097459F">
        <w:rPr>
          <w:rFonts w:cstheme="minorHAnsi"/>
        </w:rPr>
        <w:t xml:space="preserve"> fechamento para resgate deve ser imediatamente comunicado à CVM</w:t>
      </w:r>
      <w:r w:rsidR="005F1E9A" w:rsidRPr="0097459F">
        <w:rPr>
          <w:rFonts w:cstheme="minorHAnsi"/>
        </w:rPr>
        <w:t xml:space="preserve"> pelo gestor</w:t>
      </w:r>
      <w:r w:rsidRPr="0097459F">
        <w:rPr>
          <w:rFonts w:cstheme="minorHAnsi"/>
        </w:rPr>
        <w:t>.</w:t>
      </w:r>
    </w:p>
    <w:p w14:paraId="35723A75" w14:textId="23F2AFF7" w:rsidR="00C94674" w:rsidRPr="0097459F" w:rsidRDefault="00893D49" w:rsidP="00C20BBD">
      <w:pPr>
        <w:pStyle w:val="Normalalteradora"/>
        <w:rPr>
          <w:rFonts w:cstheme="minorHAnsi"/>
        </w:rPr>
      </w:pPr>
      <w:r w:rsidRPr="0097459F">
        <w:t xml:space="preserve">§ </w:t>
      </w:r>
      <w:r w:rsidR="004B305B" w:rsidRPr="0097459F">
        <w:rPr>
          <w:rFonts w:cstheme="minorHAnsi"/>
        </w:rPr>
        <w:t>9</w:t>
      </w:r>
      <w:proofErr w:type="gramStart"/>
      <w:r w:rsidR="001B3AD7" w:rsidRPr="0097459F">
        <w:t xml:space="preserve">º  </w:t>
      </w:r>
      <w:r w:rsidRPr="0097459F">
        <w:t>Cabe</w:t>
      </w:r>
      <w:proofErr w:type="gramEnd"/>
      <w:r w:rsidRPr="0097459F">
        <w:t xml:space="preserve"> ao </w:t>
      </w:r>
      <w:r w:rsidR="009272AC" w:rsidRPr="0097459F">
        <w:t xml:space="preserve">gestor </w:t>
      </w:r>
      <w:r w:rsidRPr="0097459F">
        <w:t>tomar as providências necessárias para que a liquidação física de ativos, conforme hipóteses previstas em regras específicas, não resulte no fechamento da classe para resgates.</w:t>
      </w:r>
    </w:p>
    <w:p w14:paraId="46E64E6F" w14:textId="4A9DE44C" w:rsidR="009B2D26" w:rsidRPr="0097459F" w:rsidRDefault="2EAB3B9A" w:rsidP="00C20BBD">
      <w:pPr>
        <w:pStyle w:val="Seo"/>
        <w:rPr>
          <w:bCs/>
        </w:rPr>
      </w:pPr>
      <w:bookmarkStart w:id="112" w:name="_Toc161141205"/>
      <w:r w:rsidRPr="0097459F">
        <w:rPr>
          <w:bCs/>
        </w:rPr>
        <w:t>Seção V</w:t>
      </w:r>
      <w:r w:rsidR="009B2D26" w:rsidRPr="0097459F">
        <w:rPr>
          <w:bCs/>
        </w:rPr>
        <w:t xml:space="preserve"> –</w:t>
      </w:r>
      <w:r w:rsidR="009B2D26" w:rsidRPr="0097459F">
        <w:t xml:space="preserve"> </w:t>
      </w:r>
      <w:r w:rsidR="00ED068E" w:rsidRPr="0097459F">
        <w:t xml:space="preserve">Negociação com </w:t>
      </w:r>
      <w:r w:rsidR="00E67A03" w:rsidRPr="0097459F">
        <w:rPr>
          <w:bCs/>
        </w:rPr>
        <w:t>Uso Indevido de Informação Privilegiada</w:t>
      </w:r>
      <w:bookmarkEnd w:id="112"/>
    </w:p>
    <w:p w14:paraId="255DE26A" w14:textId="28593F3A" w:rsidR="00E6266C" w:rsidRPr="0097459F" w:rsidRDefault="00E6266C" w:rsidP="00C20BBD">
      <w:pPr>
        <w:pStyle w:val="Normalalteradora"/>
      </w:pPr>
      <w:r w:rsidRPr="0097459F">
        <w:t xml:space="preserve">Art. </w:t>
      </w:r>
      <w:r w:rsidR="002A1094" w:rsidRPr="0097459F">
        <w:t>45</w:t>
      </w:r>
      <w:r w:rsidRPr="0097459F">
        <w:t>.</w:t>
      </w:r>
      <w:r w:rsidR="004B305B" w:rsidRPr="0097459F">
        <w:t xml:space="preserve"> </w:t>
      </w:r>
      <w:r w:rsidRPr="0097459F">
        <w:t xml:space="preserve"> É vedada a utilização de informação relevante ainda não divulgada, por qualquer pessoa que a ela tenha tido acesso, com a finalidade de auferir vantagem, para si ou para outrem, mediante negociação de cotas</w:t>
      </w:r>
      <w:r w:rsidR="00FF25DD" w:rsidRPr="0097459F">
        <w:t xml:space="preserve"> em mercados organizados</w:t>
      </w:r>
      <w:r w:rsidRPr="0097459F">
        <w:t>.</w:t>
      </w:r>
    </w:p>
    <w:p w14:paraId="4F15D431" w14:textId="1FF787C2" w:rsidR="00E6266C" w:rsidRPr="0097459F" w:rsidRDefault="00E6266C" w:rsidP="00C20BBD">
      <w:pPr>
        <w:pStyle w:val="Normalalteradora"/>
      </w:pPr>
      <w:r w:rsidRPr="0097459F">
        <w:t>§ 1</w:t>
      </w:r>
      <w:proofErr w:type="gramStart"/>
      <w:r w:rsidRPr="0097459F">
        <w:t xml:space="preserve">º </w:t>
      </w:r>
      <w:r w:rsidR="00CF352F" w:rsidRPr="0097459F">
        <w:t xml:space="preserve"> </w:t>
      </w:r>
      <w:r w:rsidRPr="0097459F">
        <w:t>Para</w:t>
      </w:r>
      <w:proofErr w:type="gramEnd"/>
      <w:r w:rsidRPr="0097459F">
        <w:t xml:space="preserve"> fins de caracterização do ilícito de que trata o </w:t>
      </w:r>
      <w:r w:rsidRPr="0097459F">
        <w:rPr>
          <w:b/>
        </w:rPr>
        <w:t>caput</w:t>
      </w:r>
      <w:r w:rsidRPr="0097459F">
        <w:t>, presume-se que:</w:t>
      </w:r>
    </w:p>
    <w:p w14:paraId="7CDDC9C4" w14:textId="381F49C2" w:rsidR="00E6266C" w:rsidRPr="0097459F" w:rsidRDefault="00E6266C" w:rsidP="00C20BBD">
      <w:pPr>
        <w:pStyle w:val="Normalalteradora"/>
      </w:pPr>
      <w:r w:rsidRPr="0097459F">
        <w:t xml:space="preserve">I – </w:t>
      </w:r>
      <w:proofErr w:type="gramStart"/>
      <w:r w:rsidRPr="0097459F">
        <w:t>a</w:t>
      </w:r>
      <w:proofErr w:type="gramEnd"/>
      <w:r w:rsidRPr="0097459F">
        <w:t xml:space="preserve"> pessoa que negociou cotas dispondo de informação relevante ainda não divulgada fez uso de tal informação na referida negociação;</w:t>
      </w:r>
    </w:p>
    <w:p w14:paraId="128BC5BC" w14:textId="07EBB8B9" w:rsidR="00E6266C" w:rsidRPr="0097459F" w:rsidRDefault="00E6266C" w:rsidP="00C20BBD">
      <w:pPr>
        <w:pStyle w:val="Normalalteradora"/>
        <w:rPr>
          <w:highlight w:val="yellow"/>
        </w:rPr>
      </w:pPr>
      <w:r w:rsidRPr="0097459F">
        <w:t xml:space="preserve">II – </w:t>
      </w:r>
      <w:proofErr w:type="gramStart"/>
      <w:r w:rsidRPr="0097459F">
        <w:t>os</w:t>
      </w:r>
      <w:proofErr w:type="gramEnd"/>
      <w:r w:rsidRPr="0097459F">
        <w:t xml:space="preserve"> diretores do gestor que </w:t>
      </w:r>
      <w:r w:rsidR="004D7A6B" w:rsidRPr="0097459F">
        <w:t>participam de decisões</w:t>
      </w:r>
      <w:r w:rsidR="005A6A63" w:rsidRPr="0097459F">
        <w:t xml:space="preserve"> relacionadas </w:t>
      </w:r>
      <w:r w:rsidR="004D7A6B" w:rsidRPr="0097459F">
        <w:t>à</w:t>
      </w:r>
      <w:r w:rsidRPr="0097459F">
        <w:t xml:space="preserve"> gestão da carteira de ativos têm acesso a toda informação relevante ainda não divulgada a respeito </w:t>
      </w:r>
      <w:r w:rsidR="00822F60" w:rsidRPr="0097459F">
        <w:t>do fundo</w:t>
      </w:r>
      <w:r w:rsidRPr="0097459F">
        <w:t>;</w:t>
      </w:r>
    </w:p>
    <w:p w14:paraId="667A223A" w14:textId="20DBE7AF" w:rsidR="00822F60" w:rsidRPr="0097459F" w:rsidRDefault="2012416E" w:rsidP="00C20BBD">
      <w:pPr>
        <w:pStyle w:val="Normalalteradora"/>
      </w:pPr>
      <w:r w:rsidRPr="0097459F">
        <w:lastRenderedPageBreak/>
        <w:t>III – o diretor do administrador que é responsável pelo fundo</w:t>
      </w:r>
      <w:r w:rsidR="00AE3736" w:rsidRPr="0097459F">
        <w:t>, no âmbito de sua esfera de atuação,</w:t>
      </w:r>
      <w:r w:rsidRPr="0097459F">
        <w:t xml:space="preserve"> tem acesso a </w:t>
      </w:r>
      <w:r w:rsidR="1D65D2FF" w:rsidRPr="0097459F">
        <w:t xml:space="preserve">informações </w:t>
      </w:r>
      <w:r w:rsidRPr="0097459F">
        <w:t>relevante</w:t>
      </w:r>
      <w:r w:rsidR="1D65D2FF" w:rsidRPr="0097459F">
        <w:t>s</w:t>
      </w:r>
      <w:r w:rsidRPr="0097459F">
        <w:t xml:space="preserve"> ainda não divulgada</w:t>
      </w:r>
      <w:r w:rsidR="00AE3736" w:rsidRPr="0097459F">
        <w:t>s</w:t>
      </w:r>
      <w:r w:rsidRPr="0097459F">
        <w:t xml:space="preserve"> a respeito </w:t>
      </w:r>
      <w:r w:rsidR="2AF25C5A" w:rsidRPr="0097459F">
        <w:t>do fundo</w:t>
      </w:r>
      <w:r w:rsidRPr="0097459F">
        <w:t>;</w:t>
      </w:r>
    </w:p>
    <w:p w14:paraId="201797FC" w14:textId="21A16F81" w:rsidR="00E6266C" w:rsidRPr="0097459F" w:rsidRDefault="00822F60" w:rsidP="00C20BBD">
      <w:pPr>
        <w:pStyle w:val="Normalalteradora"/>
      </w:pPr>
      <w:r w:rsidRPr="0097459F">
        <w:t xml:space="preserve">IV </w:t>
      </w:r>
      <w:r w:rsidR="00E6266C" w:rsidRPr="0097459F">
        <w:t xml:space="preserve">– </w:t>
      </w:r>
      <w:proofErr w:type="gramStart"/>
      <w:r w:rsidR="00E6266C" w:rsidRPr="0097459F">
        <w:t>os</w:t>
      </w:r>
      <w:proofErr w:type="gramEnd"/>
      <w:r w:rsidR="00E6266C" w:rsidRPr="0097459F">
        <w:t xml:space="preserve"> cotistas que </w:t>
      </w:r>
      <w:r w:rsidR="00AE3736" w:rsidRPr="0097459F">
        <w:t>participem d</w:t>
      </w:r>
      <w:r w:rsidR="00E6266C" w:rsidRPr="0097459F">
        <w:t xml:space="preserve">as decisões </w:t>
      </w:r>
      <w:r w:rsidR="00AE3736" w:rsidRPr="0097459F">
        <w:t>relacionadas à</w:t>
      </w:r>
      <w:r w:rsidRPr="0097459F">
        <w:t xml:space="preserve"> gestão</w:t>
      </w:r>
      <w:r w:rsidR="00E6266C" w:rsidRPr="0097459F">
        <w:t xml:space="preserve"> </w:t>
      </w:r>
      <w:r w:rsidR="00AE3736" w:rsidRPr="0097459F">
        <w:t xml:space="preserve">da carteira de ativos </w:t>
      </w:r>
      <w:r w:rsidR="00E6266C" w:rsidRPr="0097459F">
        <w:t xml:space="preserve">têm acesso a toda informação relevante ainda não divulgada a respeito </w:t>
      </w:r>
      <w:r w:rsidRPr="0097459F">
        <w:t>da classe</w:t>
      </w:r>
      <w:r w:rsidR="0094489E" w:rsidRPr="0097459F">
        <w:t xml:space="preserve"> da qual s</w:t>
      </w:r>
      <w:r w:rsidR="00956740" w:rsidRPr="0097459F">
        <w:t>ão co</w:t>
      </w:r>
      <w:r w:rsidR="0094489E" w:rsidRPr="0097459F">
        <w:t>tistas</w:t>
      </w:r>
      <w:r w:rsidR="00E6266C" w:rsidRPr="0097459F">
        <w:t>;</w:t>
      </w:r>
    </w:p>
    <w:p w14:paraId="442E5A27" w14:textId="75337865" w:rsidR="00E6266C" w:rsidRPr="0097459F" w:rsidRDefault="00E6266C" w:rsidP="00C20BBD">
      <w:pPr>
        <w:pStyle w:val="Normalalteradora"/>
      </w:pPr>
      <w:r w:rsidRPr="0097459F">
        <w:t>V</w:t>
      </w:r>
      <w:r w:rsidR="00822F60" w:rsidRPr="0097459F">
        <w:t xml:space="preserve"> </w:t>
      </w:r>
      <w:r w:rsidRPr="0097459F">
        <w:t xml:space="preserve">– </w:t>
      </w:r>
      <w:proofErr w:type="gramStart"/>
      <w:r w:rsidRPr="0097459F">
        <w:t>as</w:t>
      </w:r>
      <w:proofErr w:type="gramEnd"/>
      <w:r w:rsidRPr="0097459F">
        <w:t xml:space="preserve"> pessoa</w:t>
      </w:r>
      <w:r w:rsidR="00822F60" w:rsidRPr="0097459F">
        <w:t xml:space="preserve">s listadas nos incisos II, III e IV </w:t>
      </w:r>
      <w:r w:rsidR="00054E05" w:rsidRPr="0097459F">
        <w:t>deste § 1º</w:t>
      </w:r>
      <w:r w:rsidRPr="0097459F">
        <w:t>, bem como aqueles que tenham relação comercial, profissional ou de confiança com o fundo, ao terem tido acesso à informação relevante ainda não divulgada ao mercado</w:t>
      </w:r>
      <w:r w:rsidR="00AE3736" w:rsidRPr="0097459F">
        <w:t>,</w:t>
      </w:r>
      <w:r w:rsidRPr="0097459F">
        <w:t xml:space="preserve"> sabem que se trata de informação privilegiada;</w:t>
      </w:r>
      <w:r w:rsidR="00070B7E" w:rsidRPr="0097459F">
        <w:t xml:space="preserve"> e</w:t>
      </w:r>
    </w:p>
    <w:p w14:paraId="599588B6" w14:textId="501B6DE6" w:rsidR="00E6266C" w:rsidRPr="0097459F" w:rsidRDefault="00E6266C" w:rsidP="00C20BBD">
      <w:pPr>
        <w:pStyle w:val="Normalalteradora"/>
      </w:pPr>
      <w:r w:rsidRPr="0097459F">
        <w:t>V</w:t>
      </w:r>
      <w:r w:rsidR="00822F60" w:rsidRPr="0097459F">
        <w:t>I</w:t>
      </w:r>
      <w:r w:rsidRPr="0097459F">
        <w:t xml:space="preserve"> – </w:t>
      </w:r>
      <w:proofErr w:type="gramStart"/>
      <w:r w:rsidRPr="0097459F">
        <w:t>o</w:t>
      </w:r>
      <w:proofErr w:type="gramEnd"/>
      <w:r w:rsidRPr="0097459F">
        <w:t xml:space="preserve"> prestador de serviços que se afasta </w:t>
      </w:r>
      <w:r w:rsidR="00822F60" w:rsidRPr="0097459F">
        <w:t xml:space="preserve">ou é afastado do fundo </w:t>
      </w:r>
      <w:r w:rsidRPr="0097459F">
        <w:t>dispondo de informação relevante e ainda não divulgada se vale de tal informação caso negocie cotas no período de 3 (três) meses contados do seu afastamento</w:t>
      </w:r>
      <w:r w:rsidR="00FD50CC" w:rsidRPr="0097459F">
        <w:t>.</w:t>
      </w:r>
    </w:p>
    <w:p w14:paraId="01EA7773" w14:textId="29234BE1" w:rsidR="00E6266C" w:rsidRPr="0097459F" w:rsidRDefault="00E6266C" w:rsidP="00C20BBD">
      <w:pPr>
        <w:pStyle w:val="Normalalteradora"/>
      </w:pPr>
      <w:r w:rsidRPr="0097459F">
        <w:t>§ 2</w:t>
      </w:r>
      <w:proofErr w:type="gramStart"/>
      <w:r w:rsidRPr="0097459F">
        <w:t>º</w:t>
      </w:r>
      <w:r w:rsidR="00FD50CC" w:rsidRPr="0097459F">
        <w:t xml:space="preserve"> </w:t>
      </w:r>
      <w:r w:rsidRPr="0097459F">
        <w:t xml:space="preserve"> As</w:t>
      </w:r>
      <w:proofErr w:type="gramEnd"/>
      <w:r w:rsidRPr="0097459F">
        <w:t xml:space="preserve"> presunções previstas no § 1º:</w:t>
      </w:r>
    </w:p>
    <w:p w14:paraId="6BCBB4D6" w14:textId="77777777" w:rsidR="00E6266C" w:rsidRPr="0097459F" w:rsidRDefault="00E6266C" w:rsidP="00C20BBD">
      <w:pPr>
        <w:pStyle w:val="Normalalteradora"/>
      </w:pPr>
      <w:r w:rsidRPr="0097459F">
        <w:t xml:space="preserve">I – </w:t>
      </w:r>
      <w:proofErr w:type="gramStart"/>
      <w:r w:rsidRPr="0097459F">
        <w:t>são</w:t>
      </w:r>
      <w:proofErr w:type="gramEnd"/>
      <w:r w:rsidRPr="0097459F">
        <w:t xml:space="preserve"> relativas e devem ser analisadas em conjunto com outros elementos que indiquem se o ilícito previsto no </w:t>
      </w:r>
      <w:r w:rsidRPr="0097459F">
        <w:rPr>
          <w:b/>
        </w:rPr>
        <w:t>caput</w:t>
      </w:r>
      <w:r w:rsidRPr="0097459F">
        <w:t xml:space="preserve"> foi ou não, de fato, praticado; e</w:t>
      </w:r>
    </w:p>
    <w:p w14:paraId="05A4319D" w14:textId="1454DB17" w:rsidR="009B2D26" w:rsidRPr="0097459F" w:rsidRDefault="00E6266C" w:rsidP="00C20BBD">
      <w:pPr>
        <w:pStyle w:val="Normalalteradora"/>
      </w:pPr>
      <w:r w:rsidRPr="0097459F">
        <w:t xml:space="preserve">II – </w:t>
      </w:r>
      <w:proofErr w:type="gramStart"/>
      <w:r w:rsidRPr="0097459F">
        <w:t>podem</w:t>
      </w:r>
      <w:proofErr w:type="gramEnd"/>
      <w:r w:rsidRPr="0097459F">
        <w:t>, se for o caso, ser utilizadas de forma combinada.</w:t>
      </w:r>
    </w:p>
    <w:p w14:paraId="1665B80E" w14:textId="3D8C7434" w:rsidR="003B38CD" w:rsidRPr="0097459F" w:rsidRDefault="003B38CD" w:rsidP="00C20BBD">
      <w:pPr>
        <w:pStyle w:val="Normalalteradora"/>
      </w:pPr>
      <w:r w:rsidRPr="0097459F">
        <w:t xml:space="preserve">§ </w:t>
      </w:r>
      <w:r w:rsidR="00C6014D" w:rsidRPr="0097459F">
        <w:t>3</w:t>
      </w:r>
      <w:proofErr w:type="gramStart"/>
      <w:r w:rsidRPr="0097459F">
        <w:t xml:space="preserve">º </w:t>
      </w:r>
      <w:r w:rsidR="00A25979" w:rsidRPr="0097459F">
        <w:t xml:space="preserve"> </w:t>
      </w:r>
      <w:r w:rsidRPr="0097459F">
        <w:t>A</w:t>
      </w:r>
      <w:proofErr w:type="gramEnd"/>
      <w:r w:rsidRPr="0097459F">
        <w:t xml:space="preserve"> proibição de que trata o </w:t>
      </w:r>
      <w:r w:rsidRPr="0097459F">
        <w:rPr>
          <w:b/>
        </w:rPr>
        <w:t>caput</w:t>
      </w:r>
      <w:r w:rsidRPr="0097459F">
        <w:t xml:space="preserve"> não se aplica a subscrições de novas cotas, sem prejuízo da incidência das regras que dispõem sobre a divulgação de informações no contexto da emissão e distribuição de cotas.</w:t>
      </w:r>
    </w:p>
    <w:p w14:paraId="1D6B51FF" w14:textId="5B5EF8B4" w:rsidR="009B2D26" w:rsidRPr="0097459F" w:rsidRDefault="009B2D26" w:rsidP="00C20BBD">
      <w:pPr>
        <w:pStyle w:val="Normalalteradora"/>
        <w:rPr>
          <w:rFonts w:cstheme="minorHAnsi"/>
        </w:rPr>
      </w:pPr>
      <w:r w:rsidRPr="0097459F">
        <w:rPr>
          <w:rFonts w:cstheme="minorHAnsi"/>
        </w:rPr>
        <w:t xml:space="preserve">Art. </w:t>
      </w:r>
      <w:r w:rsidR="002A1094" w:rsidRPr="0097459F">
        <w:rPr>
          <w:rFonts w:cstheme="minorHAnsi"/>
        </w:rPr>
        <w:t>46</w:t>
      </w:r>
      <w:r w:rsidRPr="0097459F">
        <w:rPr>
          <w:rFonts w:cstheme="minorHAnsi"/>
        </w:rPr>
        <w:t>.</w:t>
      </w:r>
      <w:r w:rsidR="00A25979" w:rsidRPr="0097459F">
        <w:rPr>
          <w:rFonts w:cstheme="minorHAnsi"/>
        </w:rPr>
        <w:t xml:space="preserve"> </w:t>
      </w:r>
      <w:r w:rsidRPr="0097459F">
        <w:rPr>
          <w:rFonts w:cstheme="minorHAnsi"/>
        </w:rPr>
        <w:t xml:space="preserve"> </w:t>
      </w:r>
      <w:r w:rsidR="00F30203" w:rsidRPr="0097459F">
        <w:rPr>
          <w:rFonts w:cstheme="minorHAnsi"/>
        </w:rPr>
        <w:t>As pessoas referidas no inciso V</w:t>
      </w:r>
      <w:r w:rsidRPr="0097459F">
        <w:rPr>
          <w:rFonts w:cstheme="minorHAnsi"/>
        </w:rPr>
        <w:t xml:space="preserve"> </w:t>
      </w:r>
      <w:r w:rsidR="00F30203" w:rsidRPr="0097459F">
        <w:rPr>
          <w:rFonts w:cstheme="minorHAnsi"/>
        </w:rPr>
        <w:t>d</w:t>
      </w:r>
      <w:r w:rsidRPr="0097459F">
        <w:rPr>
          <w:rFonts w:cstheme="minorHAnsi"/>
        </w:rPr>
        <w:t xml:space="preserve">o § 1º do art. </w:t>
      </w:r>
      <w:r w:rsidR="0098016B" w:rsidRPr="0097459F">
        <w:rPr>
          <w:rFonts w:cstheme="minorHAnsi"/>
        </w:rPr>
        <w:t>45</w:t>
      </w:r>
      <w:r w:rsidRPr="0097459F">
        <w:rPr>
          <w:rFonts w:cstheme="minorHAnsi"/>
        </w:rPr>
        <w:t xml:space="preserve"> pode</w:t>
      </w:r>
      <w:r w:rsidR="00F30203" w:rsidRPr="0097459F">
        <w:rPr>
          <w:rFonts w:cstheme="minorHAnsi"/>
        </w:rPr>
        <w:t>m</w:t>
      </w:r>
      <w:r w:rsidRPr="0097459F">
        <w:rPr>
          <w:rFonts w:cstheme="minorHAnsi"/>
        </w:rPr>
        <w:t xml:space="preserve"> formalizar plano individual de investimento </w:t>
      </w:r>
      <w:r w:rsidR="0042438F" w:rsidRPr="0097459F">
        <w:rPr>
          <w:rFonts w:cstheme="minorHAnsi"/>
        </w:rPr>
        <w:t>e</w:t>
      </w:r>
      <w:r w:rsidRPr="0097459F">
        <w:rPr>
          <w:rFonts w:cstheme="minorHAnsi"/>
        </w:rPr>
        <w:t xml:space="preserve"> desinvestimento, com o objetivo de afastar a aplicabilidade daquelas presunções.</w:t>
      </w:r>
    </w:p>
    <w:p w14:paraId="3935716A" w14:textId="7E97EB18" w:rsidR="009B2D26" w:rsidRPr="0097459F" w:rsidRDefault="009B2D26" w:rsidP="00C20BBD">
      <w:pPr>
        <w:pStyle w:val="Normalalteradora"/>
        <w:rPr>
          <w:rFonts w:cstheme="minorHAnsi"/>
        </w:rPr>
      </w:pPr>
      <w:r w:rsidRPr="0097459F">
        <w:rPr>
          <w:rFonts w:cstheme="minorHAnsi"/>
        </w:rPr>
        <w:t>§ 1</w:t>
      </w:r>
      <w:proofErr w:type="gramStart"/>
      <w:r w:rsidRPr="0097459F">
        <w:rPr>
          <w:rFonts w:cstheme="minorHAnsi"/>
        </w:rPr>
        <w:t xml:space="preserve">º </w:t>
      </w:r>
      <w:r w:rsidR="00A25979" w:rsidRPr="0097459F">
        <w:rPr>
          <w:rFonts w:cstheme="minorHAnsi"/>
        </w:rPr>
        <w:t xml:space="preserve"> </w:t>
      </w:r>
      <w:r w:rsidRPr="0097459F">
        <w:rPr>
          <w:rFonts w:cstheme="minorHAnsi"/>
        </w:rPr>
        <w:t>O</w:t>
      </w:r>
      <w:proofErr w:type="gramEnd"/>
      <w:r w:rsidRPr="0097459F">
        <w:rPr>
          <w:rFonts w:cstheme="minorHAnsi"/>
        </w:rPr>
        <w:t xml:space="preserve"> plano de investimento ou desinvestimento deve:</w:t>
      </w:r>
    </w:p>
    <w:p w14:paraId="524CB7D0" w14:textId="77777777" w:rsidR="009B2D26" w:rsidRPr="0097459F" w:rsidRDefault="009B2D26" w:rsidP="00C20BBD">
      <w:pPr>
        <w:pStyle w:val="Normalalteradora"/>
        <w:rPr>
          <w:rFonts w:cstheme="minorHAnsi"/>
        </w:rPr>
      </w:pPr>
      <w:r w:rsidRPr="0097459F">
        <w:rPr>
          <w:rFonts w:cstheme="minorHAnsi"/>
        </w:rPr>
        <w:t xml:space="preserve">I – </w:t>
      </w:r>
      <w:proofErr w:type="gramStart"/>
      <w:r w:rsidRPr="0097459F">
        <w:rPr>
          <w:rFonts w:cstheme="minorHAnsi"/>
        </w:rPr>
        <w:t>ser</w:t>
      </w:r>
      <w:proofErr w:type="gramEnd"/>
      <w:r w:rsidRPr="0097459F">
        <w:rPr>
          <w:rFonts w:cstheme="minorHAnsi"/>
        </w:rPr>
        <w:t xml:space="preserve"> formalizado por escrito; </w:t>
      </w:r>
    </w:p>
    <w:p w14:paraId="64348B44" w14:textId="48BFCF2F" w:rsidR="009B2D26" w:rsidRPr="0097459F" w:rsidRDefault="009B2D26" w:rsidP="00C20BBD">
      <w:pPr>
        <w:pStyle w:val="Normalalteradora"/>
        <w:rPr>
          <w:rFonts w:cstheme="minorHAnsi"/>
        </w:rPr>
      </w:pPr>
      <w:r w:rsidRPr="0097459F">
        <w:rPr>
          <w:rFonts w:cstheme="minorHAnsi"/>
        </w:rPr>
        <w:t xml:space="preserve">II – </w:t>
      </w:r>
      <w:proofErr w:type="gramStart"/>
      <w:r w:rsidRPr="0097459F">
        <w:rPr>
          <w:rFonts w:cstheme="minorHAnsi"/>
        </w:rPr>
        <w:t>ser</w:t>
      </w:r>
      <w:proofErr w:type="gramEnd"/>
      <w:r w:rsidRPr="0097459F">
        <w:rPr>
          <w:rFonts w:cstheme="minorHAnsi"/>
        </w:rPr>
        <w:t xml:space="preserve"> passível de verificação, inclusive no que diz respeito à sua </w:t>
      </w:r>
      <w:r w:rsidR="0042438F" w:rsidRPr="0097459F">
        <w:rPr>
          <w:rFonts w:cstheme="minorHAnsi"/>
        </w:rPr>
        <w:t>formalização</w:t>
      </w:r>
      <w:r w:rsidRPr="0097459F">
        <w:rPr>
          <w:rFonts w:cstheme="minorHAnsi"/>
        </w:rPr>
        <w:t xml:space="preserve"> e à realização de qualquer alteração em seu conteúdo; </w:t>
      </w:r>
    </w:p>
    <w:p w14:paraId="4ECF8E56" w14:textId="3A0FBEB8" w:rsidR="009B2D26" w:rsidRPr="0097459F" w:rsidRDefault="009B2D26" w:rsidP="00C20BBD">
      <w:pPr>
        <w:pStyle w:val="Normalalteradora"/>
        <w:rPr>
          <w:rFonts w:cstheme="minorHAnsi"/>
        </w:rPr>
      </w:pPr>
      <w:r w:rsidRPr="0097459F">
        <w:rPr>
          <w:rFonts w:cstheme="minorHAnsi"/>
        </w:rPr>
        <w:t>III – estabelecer, em caráter irrevogável e irretratável, as datas ou os eventos e os valores ou as quantidades dos negócios a serem realizados pelos participantes, podendo inclusive se valer de metodologias consistentes e passíveis de verificação para a determinação de tais valores ou quantidades de negócios; e</w:t>
      </w:r>
    </w:p>
    <w:p w14:paraId="0B9462E5" w14:textId="4EA6DE60" w:rsidR="009B2D26" w:rsidRPr="0097459F" w:rsidRDefault="009B2D26" w:rsidP="00C20BBD">
      <w:pPr>
        <w:pStyle w:val="Normalalteradora"/>
        <w:rPr>
          <w:rFonts w:cstheme="minorHAnsi"/>
        </w:rPr>
      </w:pPr>
      <w:r w:rsidRPr="0097459F">
        <w:rPr>
          <w:rFonts w:cstheme="minorHAnsi"/>
        </w:rPr>
        <w:lastRenderedPageBreak/>
        <w:t xml:space="preserve">IV – </w:t>
      </w:r>
      <w:proofErr w:type="gramStart"/>
      <w:r w:rsidRPr="0097459F">
        <w:rPr>
          <w:rFonts w:cstheme="minorHAnsi"/>
        </w:rPr>
        <w:t>prever</w:t>
      </w:r>
      <w:proofErr w:type="gramEnd"/>
      <w:r w:rsidRPr="0097459F">
        <w:rPr>
          <w:rFonts w:cstheme="minorHAnsi"/>
        </w:rPr>
        <w:t xml:space="preserve"> prazo mínimo de 3 (três) meses para que o próprio plano, suas eventuais modificações e </w:t>
      </w:r>
      <w:r w:rsidR="00A25979" w:rsidRPr="0097459F">
        <w:rPr>
          <w:rFonts w:cstheme="minorHAnsi"/>
        </w:rPr>
        <w:t xml:space="preserve">seu </w:t>
      </w:r>
      <w:r w:rsidRPr="0097459F">
        <w:rPr>
          <w:rFonts w:cstheme="minorHAnsi"/>
        </w:rPr>
        <w:t xml:space="preserve">cancelamento produzam efeitos. </w:t>
      </w:r>
    </w:p>
    <w:p w14:paraId="56A2A303" w14:textId="2A49B8CC" w:rsidR="009B2D26" w:rsidRPr="0097459F" w:rsidRDefault="009B2D26" w:rsidP="00C20BBD">
      <w:pPr>
        <w:pStyle w:val="Normalalteradora"/>
        <w:rPr>
          <w:rFonts w:cstheme="minorHAnsi"/>
        </w:rPr>
      </w:pPr>
      <w:r w:rsidRPr="0097459F">
        <w:rPr>
          <w:rFonts w:cstheme="minorHAnsi"/>
        </w:rPr>
        <w:t>§ 2</w:t>
      </w:r>
      <w:proofErr w:type="gramStart"/>
      <w:r w:rsidRPr="0097459F">
        <w:rPr>
          <w:rFonts w:cstheme="minorHAnsi"/>
        </w:rPr>
        <w:t>º</w:t>
      </w:r>
      <w:r w:rsidR="00A25979" w:rsidRPr="0097459F">
        <w:rPr>
          <w:rFonts w:cstheme="minorHAnsi"/>
        </w:rPr>
        <w:t xml:space="preserve"> </w:t>
      </w:r>
      <w:r w:rsidRPr="0097459F">
        <w:rPr>
          <w:rFonts w:cstheme="minorHAnsi"/>
        </w:rPr>
        <w:t xml:space="preserve"> É</w:t>
      </w:r>
      <w:proofErr w:type="gramEnd"/>
      <w:r w:rsidRPr="0097459F">
        <w:rPr>
          <w:rFonts w:cstheme="minorHAnsi"/>
        </w:rPr>
        <w:t xml:space="preserve"> vedado </w:t>
      </w:r>
      <w:r w:rsidR="00E23908" w:rsidRPr="0097459F">
        <w:rPr>
          <w:rFonts w:cstheme="minorHAnsi"/>
        </w:rPr>
        <w:t xml:space="preserve">às pessoas indicadas no </w:t>
      </w:r>
      <w:r w:rsidR="00E23908" w:rsidRPr="0097459F">
        <w:rPr>
          <w:rFonts w:cstheme="minorHAnsi"/>
          <w:b/>
        </w:rPr>
        <w:t>caput</w:t>
      </w:r>
      <w:r w:rsidRPr="0097459F">
        <w:rPr>
          <w:rFonts w:cstheme="minorHAnsi"/>
        </w:rPr>
        <w:t>:</w:t>
      </w:r>
    </w:p>
    <w:p w14:paraId="3854904B" w14:textId="200B239C" w:rsidR="009B2D26" w:rsidRPr="0097459F" w:rsidRDefault="009B2D26" w:rsidP="00C20BBD">
      <w:pPr>
        <w:pStyle w:val="Normalalteradora"/>
        <w:rPr>
          <w:rFonts w:cstheme="minorHAnsi"/>
        </w:rPr>
      </w:pPr>
      <w:r w:rsidRPr="0097459F">
        <w:rPr>
          <w:rFonts w:cstheme="minorHAnsi"/>
        </w:rPr>
        <w:t xml:space="preserve">I – </w:t>
      </w:r>
      <w:proofErr w:type="gramStart"/>
      <w:r w:rsidRPr="0097459F">
        <w:rPr>
          <w:rFonts w:cstheme="minorHAnsi"/>
        </w:rPr>
        <w:t>manter</w:t>
      </w:r>
      <w:proofErr w:type="gramEnd"/>
      <w:r w:rsidRPr="0097459F">
        <w:rPr>
          <w:rFonts w:cstheme="minorHAnsi"/>
        </w:rPr>
        <w:t xml:space="preserve"> simultaneamente em vigor mais de um plano relativamente </w:t>
      </w:r>
      <w:r w:rsidR="0042438F" w:rsidRPr="0097459F">
        <w:rPr>
          <w:rFonts w:cstheme="minorHAnsi"/>
        </w:rPr>
        <w:t>à mesma classe de cotas</w:t>
      </w:r>
      <w:r w:rsidRPr="0097459F">
        <w:rPr>
          <w:rFonts w:cstheme="minorHAnsi"/>
        </w:rPr>
        <w:t xml:space="preserve">; e </w:t>
      </w:r>
    </w:p>
    <w:p w14:paraId="1F305DCC" w14:textId="289D1BD4" w:rsidR="009B2D26" w:rsidRPr="0097459F" w:rsidRDefault="009B2D26" w:rsidP="00C20BBD">
      <w:pPr>
        <w:pStyle w:val="Normalalteradora"/>
        <w:rPr>
          <w:rFonts w:cstheme="minorHAnsi"/>
        </w:rPr>
      </w:pPr>
      <w:r w:rsidRPr="0097459F">
        <w:rPr>
          <w:rFonts w:cstheme="minorHAnsi"/>
        </w:rPr>
        <w:t xml:space="preserve">II – </w:t>
      </w:r>
      <w:proofErr w:type="gramStart"/>
      <w:r w:rsidRPr="0097459F">
        <w:rPr>
          <w:rFonts w:cstheme="minorHAnsi"/>
        </w:rPr>
        <w:t>realizar</w:t>
      </w:r>
      <w:proofErr w:type="gramEnd"/>
      <w:r w:rsidRPr="0097459F">
        <w:rPr>
          <w:rFonts w:cstheme="minorHAnsi"/>
        </w:rPr>
        <w:t xml:space="preserve"> operações que anulem ou mitiguem os efeitos econômicos das operações a serem determinadas pelo plano</w:t>
      </w:r>
      <w:r w:rsidR="007A0A79" w:rsidRPr="0097459F">
        <w:rPr>
          <w:rFonts w:cstheme="minorHAnsi"/>
        </w:rPr>
        <w:t>, sem prejuízo de o plano poder contar com operações com derivativos que possam produzir efeitos análogos</w:t>
      </w:r>
      <w:r w:rsidR="00F30203" w:rsidRPr="0097459F">
        <w:rPr>
          <w:rFonts w:cstheme="minorHAnsi"/>
        </w:rPr>
        <w:t>.</w:t>
      </w:r>
    </w:p>
    <w:p w14:paraId="1D8B18B4" w14:textId="2FEA734F" w:rsidR="009B2D26" w:rsidRPr="0097459F" w:rsidRDefault="009B2D26" w:rsidP="00C20BBD">
      <w:pPr>
        <w:pStyle w:val="Normalalteradora"/>
        <w:rPr>
          <w:rFonts w:cstheme="minorHAnsi"/>
        </w:rPr>
      </w:pPr>
      <w:r w:rsidRPr="0097459F">
        <w:rPr>
          <w:rFonts w:cstheme="minorHAnsi"/>
        </w:rPr>
        <w:t>§ 3</w:t>
      </w:r>
      <w:proofErr w:type="gramStart"/>
      <w:r w:rsidRPr="0097459F">
        <w:rPr>
          <w:rFonts w:cstheme="minorHAnsi"/>
        </w:rPr>
        <w:t xml:space="preserve">º </w:t>
      </w:r>
      <w:r w:rsidR="002A594E" w:rsidRPr="0097459F">
        <w:rPr>
          <w:rFonts w:cstheme="minorHAnsi"/>
        </w:rPr>
        <w:t xml:space="preserve"> </w:t>
      </w:r>
      <w:r w:rsidRPr="0097459F">
        <w:rPr>
          <w:rFonts w:cstheme="minorHAnsi"/>
        </w:rPr>
        <w:t>A</w:t>
      </w:r>
      <w:proofErr w:type="gramEnd"/>
      <w:r w:rsidRPr="0097459F">
        <w:rPr>
          <w:rFonts w:cstheme="minorHAnsi"/>
        </w:rPr>
        <w:t xml:space="preserve"> adoção de plano de investimento </w:t>
      </w:r>
      <w:r w:rsidR="00F30203" w:rsidRPr="0097459F">
        <w:rPr>
          <w:rFonts w:cstheme="minorHAnsi"/>
        </w:rPr>
        <w:t>e</w:t>
      </w:r>
      <w:r w:rsidRPr="0097459F">
        <w:rPr>
          <w:rFonts w:cstheme="minorHAnsi"/>
        </w:rPr>
        <w:t xml:space="preserve"> desinvestimento: </w:t>
      </w:r>
    </w:p>
    <w:p w14:paraId="7C3F70B4" w14:textId="46CB031C" w:rsidR="009B2D26" w:rsidRPr="0097459F" w:rsidRDefault="009B2D26" w:rsidP="00C20BBD">
      <w:pPr>
        <w:pStyle w:val="Normalalteradora"/>
        <w:rPr>
          <w:rFonts w:cstheme="minorHAnsi"/>
        </w:rPr>
      </w:pPr>
      <w:r w:rsidRPr="0097459F">
        <w:rPr>
          <w:rFonts w:cstheme="minorHAnsi"/>
        </w:rPr>
        <w:t xml:space="preserve">I – </w:t>
      </w:r>
      <w:proofErr w:type="gramStart"/>
      <w:r w:rsidRPr="0097459F">
        <w:rPr>
          <w:rFonts w:cstheme="minorHAnsi"/>
        </w:rPr>
        <w:t>pelas</w:t>
      </w:r>
      <w:proofErr w:type="gramEnd"/>
      <w:r w:rsidRPr="0097459F">
        <w:rPr>
          <w:rFonts w:cstheme="minorHAnsi"/>
        </w:rPr>
        <w:t xml:space="preserve"> pessoas referidas no inciso II do § 1º do art. </w:t>
      </w:r>
      <w:r w:rsidR="0098016B" w:rsidRPr="0097459F">
        <w:rPr>
          <w:rFonts w:cstheme="minorHAnsi"/>
        </w:rPr>
        <w:t>45</w:t>
      </w:r>
      <w:r w:rsidRPr="0097459F">
        <w:rPr>
          <w:rFonts w:cstheme="minorHAnsi"/>
        </w:rPr>
        <w:t xml:space="preserve"> deve ser formalizada por escrito perante os diretores responsáveis pela gestão e pelo cumprimento de regras, políticas, procedimentos e controles internos </w:t>
      </w:r>
      <w:r w:rsidR="007A0A79" w:rsidRPr="0097459F">
        <w:rPr>
          <w:rFonts w:cstheme="minorHAnsi"/>
        </w:rPr>
        <w:t>do gestor</w:t>
      </w:r>
      <w:r w:rsidRPr="0097459F">
        <w:rPr>
          <w:rFonts w:cstheme="minorHAnsi"/>
        </w:rPr>
        <w:t>;</w:t>
      </w:r>
    </w:p>
    <w:p w14:paraId="2B00B0DD" w14:textId="7DB218BF" w:rsidR="009B2D26" w:rsidRPr="0097459F" w:rsidRDefault="009B2D26" w:rsidP="00C20BBD">
      <w:pPr>
        <w:pStyle w:val="Normalalteradora"/>
        <w:rPr>
          <w:rFonts w:cstheme="minorHAnsi"/>
        </w:rPr>
      </w:pPr>
      <w:r w:rsidRPr="0097459F">
        <w:rPr>
          <w:rFonts w:cstheme="minorHAnsi"/>
        </w:rPr>
        <w:t xml:space="preserve">II – </w:t>
      </w:r>
      <w:proofErr w:type="gramStart"/>
      <w:r w:rsidRPr="0097459F">
        <w:rPr>
          <w:rFonts w:cstheme="minorHAnsi"/>
        </w:rPr>
        <w:t>pela</w:t>
      </w:r>
      <w:r w:rsidR="007A0A79" w:rsidRPr="0097459F">
        <w:rPr>
          <w:rFonts w:cstheme="minorHAnsi"/>
        </w:rPr>
        <w:t>s</w:t>
      </w:r>
      <w:proofErr w:type="gramEnd"/>
      <w:r w:rsidR="007A0A79" w:rsidRPr="0097459F">
        <w:rPr>
          <w:rFonts w:cstheme="minorHAnsi"/>
        </w:rPr>
        <w:t xml:space="preserve"> demais</w:t>
      </w:r>
      <w:r w:rsidRPr="0097459F">
        <w:rPr>
          <w:rFonts w:cstheme="minorHAnsi"/>
        </w:rPr>
        <w:t xml:space="preserve"> pessoa</w:t>
      </w:r>
      <w:r w:rsidR="007A0A79" w:rsidRPr="0097459F">
        <w:rPr>
          <w:rFonts w:cstheme="minorHAnsi"/>
        </w:rPr>
        <w:t>s</w:t>
      </w:r>
      <w:r w:rsidRPr="0097459F">
        <w:rPr>
          <w:rFonts w:cstheme="minorHAnsi"/>
        </w:rPr>
        <w:t xml:space="preserve"> referida</w:t>
      </w:r>
      <w:r w:rsidR="007A0A79" w:rsidRPr="0097459F">
        <w:rPr>
          <w:rFonts w:cstheme="minorHAnsi"/>
        </w:rPr>
        <w:t>s</w:t>
      </w:r>
      <w:r w:rsidRPr="0097459F">
        <w:rPr>
          <w:rFonts w:cstheme="minorHAnsi"/>
        </w:rPr>
        <w:t xml:space="preserve"> no inciso </w:t>
      </w:r>
      <w:r w:rsidR="007A0A79" w:rsidRPr="0097459F">
        <w:rPr>
          <w:rFonts w:cstheme="minorHAnsi"/>
        </w:rPr>
        <w:t>V</w:t>
      </w:r>
      <w:r w:rsidRPr="0097459F">
        <w:rPr>
          <w:rFonts w:cstheme="minorHAnsi"/>
        </w:rPr>
        <w:t xml:space="preserve"> do § 1º do art. </w:t>
      </w:r>
      <w:r w:rsidR="0098016B" w:rsidRPr="0097459F">
        <w:rPr>
          <w:rFonts w:cstheme="minorHAnsi"/>
        </w:rPr>
        <w:t>45</w:t>
      </w:r>
      <w:r w:rsidRPr="0097459F">
        <w:rPr>
          <w:rFonts w:cstheme="minorHAnsi"/>
        </w:rPr>
        <w:t xml:space="preserve"> deve ser formalizada por escrito perante os diretores responsáveis pelo cumprimento de regras, políticas, procedimentos e controles internos da administradora fiduciária.</w:t>
      </w:r>
    </w:p>
    <w:p w14:paraId="503EB328" w14:textId="0EEC65E4" w:rsidR="00893D49" w:rsidRPr="0097459F" w:rsidRDefault="00893D49" w:rsidP="00C20BBD">
      <w:pPr>
        <w:pStyle w:val="Captulo"/>
        <w:rPr>
          <w:rFonts w:cstheme="minorHAnsi"/>
        </w:rPr>
      </w:pPr>
      <w:bookmarkStart w:id="113" w:name="_Toc53594442"/>
      <w:bookmarkStart w:id="114" w:name="_Toc53595467"/>
      <w:bookmarkStart w:id="115" w:name="_Toc53594194"/>
      <w:bookmarkStart w:id="116" w:name="_Toc57836202"/>
      <w:bookmarkStart w:id="117" w:name="_Toc161141206"/>
      <w:r w:rsidRPr="0097459F">
        <w:rPr>
          <w:rFonts w:cstheme="minorHAnsi"/>
        </w:rPr>
        <w:t>CAPÍTULO V – DOCUMENTOS E INFORMAÇÕES</w:t>
      </w:r>
      <w:bookmarkEnd w:id="113"/>
      <w:bookmarkEnd w:id="114"/>
      <w:bookmarkEnd w:id="115"/>
      <w:bookmarkEnd w:id="116"/>
      <w:bookmarkEnd w:id="117"/>
    </w:p>
    <w:p w14:paraId="106BD628" w14:textId="77777777" w:rsidR="00893D49" w:rsidRPr="0097459F" w:rsidRDefault="00893D49" w:rsidP="00C20BBD">
      <w:pPr>
        <w:pStyle w:val="Seo"/>
        <w:rPr>
          <w:rFonts w:asciiTheme="minorHAnsi" w:hAnsiTheme="minorHAnsi"/>
        </w:rPr>
      </w:pPr>
      <w:bookmarkStart w:id="118" w:name="_Toc53594443"/>
      <w:bookmarkStart w:id="119" w:name="_Toc53595468"/>
      <w:bookmarkStart w:id="120" w:name="_Toc53594195"/>
      <w:bookmarkStart w:id="121" w:name="_Toc114818976"/>
      <w:bookmarkStart w:id="122" w:name="_Toc57836203"/>
      <w:bookmarkStart w:id="123" w:name="_Toc161141207"/>
      <w:r w:rsidRPr="0097459F">
        <w:rPr>
          <w:rFonts w:asciiTheme="minorHAnsi" w:hAnsiTheme="minorHAnsi"/>
        </w:rPr>
        <w:t xml:space="preserve">Seção I – </w:t>
      </w:r>
      <w:bookmarkStart w:id="124" w:name="_DV_C24"/>
      <w:r w:rsidRPr="0097459F">
        <w:rPr>
          <w:rFonts w:asciiTheme="minorHAnsi" w:hAnsiTheme="minorHAnsi"/>
        </w:rPr>
        <w:t>Disposições Gerais</w:t>
      </w:r>
      <w:bookmarkEnd w:id="118"/>
      <w:bookmarkEnd w:id="119"/>
      <w:bookmarkEnd w:id="120"/>
      <w:bookmarkEnd w:id="121"/>
      <w:bookmarkEnd w:id="122"/>
      <w:bookmarkEnd w:id="123"/>
      <w:bookmarkEnd w:id="124"/>
    </w:p>
    <w:p w14:paraId="41588BCA" w14:textId="6F0BF22A" w:rsidR="00CE5967" w:rsidRPr="0097459F" w:rsidRDefault="00893D49" w:rsidP="00C20BBD">
      <w:pPr>
        <w:pStyle w:val="NormalWeb"/>
        <w:spacing w:before="0" w:beforeAutospacing="0" w:after="0" w:afterAutospacing="0" w:line="312" w:lineRule="auto"/>
        <w:ind w:firstLine="567"/>
        <w:jc w:val="both"/>
        <w:rPr>
          <w:rFonts w:asciiTheme="minorHAnsi" w:hAnsiTheme="minorHAnsi" w:cstheme="minorHAnsi"/>
        </w:rPr>
      </w:pPr>
      <w:bookmarkStart w:id="125" w:name="_DV_C25"/>
      <w:r w:rsidRPr="0097459F">
        <w:rPr>
          <w:rFonts w:asciiTheme="minorHAnsi" w:hAnsiTheme="minorHAnsi" w:cstheme="minorHAnsi"/>
        </w:rPr>
        <w:t xml:space="preserve">Art. </w:t>
      </w:r>
      <w:r w:rsidR="002A1094" w:rsidRPr="0097459F">
        <w:rPr>
          <w:rFonts w:asciiTheme="minorHAnsi" w:hAnsiTheme="minorHAnsi" w:cstheme="minorHAnsi"/>
        </w:rPr>
        <w:t>47</w:t>
      </w:r>
      <w:r w:rsidRPr="0097459F">
        <w:rPr>
          <w:rFonts w:asciiTheme="minorHAnsi" w:hAnsiTheme="minorHAnsi" w:cstheme="minorHAnsi"/>
        </w:rPr>
        <w:t xml:space="preserve">.  A divulgação de informações sobre </w:t>
      </w:r>
      <w:r w:rsidR="00CE5967" w:rsidRPr="0097459F">
        <w:rPr>
          <w:rFonts w:asciiTheme="minorHAnsi" w:hAnsiTheme="minorHAnsi" w:cstheme="minorHAnsi"/>
        </w:rPr>
        <w:t>a classe de cotas</w:t>
      </w:r>
      <w:r w:rsidR="00961816" w:rsidRPr="0097459F">
        <w:rPr>
          <w:rFonts w:asciiTheme="minorHAnsi" w:hAnsiTheme="minorHAnsi" w:cstheme="minorHAnsi"/>
        </w:rPr>
        <w:t xml:space="preserve"> </w:t>
      </w:r>
      <w:r w:rsidRPr="0097459F">
        <w:rPr>
          <w:rFonts w:asciiTheme="minorHAnsi" w:hAnsiTheme="minorHAnsi" w:cstheme="minorHAnsi"/>
        </w:rPr>
        <w:t>deve ser abrangente, equitativa e simultânea para todos os cotistas</w:t>
      </w:r>
      <w:r w:rsidR="003972CB" w:rsidRPr="0097459F">
        <w:rPr>
          <w:rFonts w:asciiTheme="minorHAnsi" w:hAnsiTheme="minorHAnsi" w:cstheme="minorHAnsi"/>
        </w:rPr>
        <w:t xml:space="preserve"> da classe</w:t>
      </w:r>
      <w:r w:rsidRPr="0097459F">
        <w:rPr>
          <w:rFonts w:asciiTheme="minorHAnsi" w:hAnsiTheme="minorHAnsi" w:cstheme="minorHAnsi"/>
        </w:rPr>
        <w:t xml:space="preserve">, inclusive, mas não limitadamente, por meio da disponibilização dos seguintes </w:t>
      </w:r>
      <w:r w:rsidR="00CE5967" w:rsidRPr="0097459F">
        <w:rPr>
          <w:rFonts w:asciiTheme="minorHAnsi" w:hAnsiTheme="minorHAnsi" w:cstheme="minorHAnsi"/>
        </w:rPr>
        <w:t>documentos e informações</w:t>
      </w:r>
      <w:r w:rsidRPr="0097459F">
        <w:rPr>
          <w:rFonts w:asciiTheme="minorHAnsi" w:hAnsiTheme="minorHAnsi" w:cstheme="minorHAnsi"/>
        </w:rPr>
        <w:t xml:space="preserve"> nos canais eletrônicos e nas páginas na rede mundial de computadores do administrador, do gestor, do distribuidor, enquanto a distribuição estiver em curso, e da entidade administradora do mercado organizado em que as cotas sejam admitidas à negociação: </w:t>
      </w:r>
    </w:p>
    <w:p w14:paraId="657C30E9" w14:textId="77777777" w:rsidR="00893D49" w:rsidRDefault="00893D49" w:rsidP="00C20BBD">
      <w:pPr>
        <w:pStyle w:val="Normalalteradora"/>
        <w:rPr>
          <w:rFonts w:cstheme="minorHAnsi"/>
          <w:strike/>
        </w:rPr>
      </w:pPr>
      <w:r w:rsidRPr="0097459F">
        <w:rPr>
          <w:rFonts w:cstheme="minorHAnsi"/>
        </w:rPr>
        <w:t xml:space="preserve">I – </w:t>
      </w:r>
      <w:proofErr w:type="gramStart"/>
      <w:r w:rsidRPr="00517AE6">
        <w:rPr>
          <w:rFonts w:cstheme="minorHAnsi"/>
          <w:strike/>
        </w:rPr>
        <w:t>regulamento</w:t>
      </w:r>
      <w:proofErr w:type="gramEnd"/>
      <w:r w:rsidRPr="00517AE6">
        <w:rPr>
          <w:rFonts w:cstheme="minorHAnsi"/>
          <w:strike/>
        </w:rPr>
        <w:t xml:space="preserve"> atualizado; e</w:t>
      </w:r>
    </w:p>
    <w:p w14:paraId="3CFCA75D" w14:textId="77777777" w:rsidR="00517AE6" w:rsidRDefault="00517AE6" w:rsidP="00517AE6">
      <w:pPr>
        <w:pStyle w:val="NormaAlterada"/>
      </w:pPr>
      <w:r>
        <w:t xml:space="preserve">I – </w:t>
      </w:r>
      <w:proofErr w:type="gramStart"/>
      <w:r>
        <w:t>regulamento</w:t>
      </w:r>
      <w:proofErr w:type="gramEnd"/>
      <w:r>
        <w:t xml:space="preserve"> atualizado;</w:t>
      </w:r>
    </w:p>
    <w:p w14:paraId="2FD627D5" w14:textId="7D37D828"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17AE6">
        <w:rPr>
          <w:rFonts w:asciiTheme="minorHAnsi" w:hAnsiTheme="minorHAnsi" w:cstheme="minorHAnsi"/>
          <w:b/>
          <w:i/>
          <w:sz w:val="24"/>
          <w:szCs w:val="24"/>
        </w:rPr>
        <w:t xml:space="preserve">Inciso I com redação dada 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686D4783" w14:textId="3ED99323" w:rsidR="00893D49" w:rsidRDefault="00893D49" w:rsidP="00C20BBD">
      <w:pPr>
        <w:pStyle w:val="Normalalteradora"/>
        <w:rPr>
          <w:rFonts w:cstheme="minorHAnsi"/>
          <w:strike/>
        </w:rPr>
      </w:pPr>
      <w:r w:rsidRPr="00517AE6">
        <w:rPr>
          <w:rFonts w:cstheme="minorHAnsi"/>
          <w:strike/>
        </w:rPr>
        <w:t xml:space="preserve">II – </w:t>
      </w:r>
      <w:proofErr w:type="gramStart"/>
      <w:r w:rsidRPr="00517AE6">
        <w:rPr>
          <w:rFonts w:cstheme="minorHAnsi"/>
          <w:strike/>
        </w:rPr>
        <w:t>descrição</w:t>
      </w:r>
      <w:proofErr w:type="gramEnd"/>
      <w:r w:rsidRPr="00517AE6">
        <w:rPr>
          <w:rFonts w:cstheme="minorHAnsi"/>
          <w:strike/>
        </w:rPr>
        <w:t xml:space="preserve"> da tributação aplicável</w:t>
      </w:r>
      <w:r w:rsidR="00CE5967" w:rsidRPr="00517AE6">
        <w:rPr>
          <w:rFonts w:cstheme="minorHAnsi"/>
          <w:strike/>
        </w:rPr>
        <w:t xml:space="preserve"> </w:t>
      </w:r>
      <w:r w:rsidR="00D03612" w:rsidRPr="00517AE6">
        <w:rPr>
          <w:rFonts w:cstheme="minorHAnsi"/>
          <w:strike/>
        </w:rPr>
        <w:t>ao fundo</w:t>
      </w:r>
      <w:r w:rsidRPr="00517AE6">
        <w:rPr>
          <w:rFonts w:cstheme="minorHAnsi"/>
          <w:strike/>
        </w:rPr>
        <w:t>.</w:t>
      </w:r>
    </w:p>
    <w:p w14:paraId="06A5C40B" w14:textId="77777777" w:rsidR="00517AE6" w:rsidRDefault="00517AE6" w:rsidP="00517AE6">
      <w:pPr>
        <w:pStyle w:val="NormaAlterada"/>
      </w:pPr>
      <w:r>
        <w:lastRenderedPageBreak/>
        <w:t xml:space="preserve">II – </w:t>
      </w:r>
      <w:proofErr w:type="gramStart"/>
      <w:r>
        <w:t>descrição</w:t>
      </w:r>
      <w:proofErr w:type="gramEnd"/>
      <w:r>
        <w:t xml:space="preserve"> da tributação aplicável; e</w:t>
      </w:r>
    </w:p>
    <w:p w14:paraId="584FE761" w14:textId="0C6C69F4"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17AE6">
        <w:rPr>
          <w:rFonts w:asciiTheme="minorHAnsi" w:hAnsiTheme="minorHAnsi" w:cstheme="minorHAnsi"/>
          <w:b/>
          <w:i/>
          <w:sz w:val="24"/>
          <w:szCs w:val="24"/>
        </w:rPr>
        <w:t xml:space="preserve">Inciso </w:t>
      </w:r>
      <w:r>
        <w:rPr>
          <w:rFonts w:asciiTheme="minorHAnsi" w:hAnsiTheme="minorHAnsi" w:cstheme="minorHAnsi"/>
          <w:b/>
          <w:i/>
          <w:sz w:val="24"/>
          <w:szCs w:val="24"/>
        </w:rPr>
        <w:t>I</w:t>
      </w:r>
      <w:r w:rsidRPr="00517AE6">
        <w:rPr>
          <w:rFonts w:asciiTheme="minorHAnsi" w:hAnsiTheme="minorHAnsi" w:cstheme="minorHAnsi"/>
          <w:b/>
          <w:i/>
          <w:sz w:val="24"/>
          <w:szCs w:val="24"/>
        </w:rPr>
        <w:t xml:space="preserve">I com redação dada 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0B13836E" w14:textId="6FC07DE7" w:rsidR="00517AE6" w:rsidRDefault="00517AE6" w:rsidP="00C20BBD">
      <w:pPr>
        <w:pStyle w:val="Normalalteradora"/>
      </w:pPr>
      <w:r>
        <w:t>III – política de voto da classe em assembleia de titulares de valores mobiliários, se for o caso.</w:t>
      </w:r>
    </w:p>
    <w:p w14:paraId="31155E68" w14:textId="7D8566E1"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17AE6">
        <w:rPr>
          <w:rFonts w:asciiTheme="minorHAnsi" w:hAnsiTheme="minorHAnsi" w:cstheme="minorHAnsi"/>
          <w:b/>
          <w:i/>
          <w:sz w:val="24"/>
          <w:szCs w:val="24"/>
        </w:rPr>
        <w:t xml:space="preserve">Inciso </w:t>
      </w:r>
      <w:r>
        <w:rPr>
          <w:rFonts w:asciiTheme="minorHAnsi" w:hAnsiTheme="minorHAnsi" w:cstheme="minorHAnsi"/>
          <w:b/>
          <w:i/>
          <w:sz w:val="24"/>
          <w:szCs w:val="24"/>
        </w:rPr>
        <w:t>II</w:t>
      </w:r>
      <w:r w:rsidRPr="00517AE6">
        <w:rPr>
          <w:rFonts w:asciiTheme="minorHAnsi" w:hAnsiTheme="minorHAnsi" w:cstheme="minorHAnsi"/>
          <w:b/>
          <w:i/>
          <w:sz w:val="24"/>
          <w:szCs w:val="24"/>
        </w:rPr>
        <w:t xml:space="preserve">I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435D69DF" w14:textId="471A8C3F" w:rsidR="00893D49" w:rsidRPr="0097459F" w:rsidRDefault="4AF9F487" w:rsidP="00C20BBD">
      <w:pPr>
        <w:pStyle w:val="Normalalteradora"/>
      </w:pPr>
      <w:r w:rsidRPr="0097459F">
        <w:t>§ 1</w:t>
      </w:r>
      <w:proofErr w:type="gramStart"/>
      <w:r w:rsidRPr="0097459F">
        <w:t>º  As</w:t>
      </w:r>
      <w:proofErr w:type="gramEnd"/>
      <w:r w:rsidRPr="0097459F">
        <w:t xml:space="preserve"> informações referidas no </w:t>
      </w:r>
      <w:r w:rsidRPr="0097459F">
        <w:rPr>
          <w:b/>
          <w:bCs/>
        </w:rPr>
        <w:t>caput</w:t>
      </w:r>
      <w:r w:rsidRPr="0097459F">
        <w:t xml:space="preserve"> devem ser:</w:t>
      </w:r>
    </w:p>
    <w:p w14:paraId="71B35E75" w14:textId="509CA999" w:rsidR="00893D49" w:rsidRPr="0097459F" w:rsidRDefault="00893D49" w:rsidP="00C20BBD">
      <w:pPr>
        <w:pStyle w:val="Normalalteradora"/>
        <w:rPr>
          <w:rFonts w:cstheme="minorHAnsi"/>
        </w:rPr>
      </w:pPr>
      <w:r w:rsidRPr="0097459F">
        <w:rPr>
          <w:rFonts w:cstheme="minorHAnsi"/>
        </w:rPr>
        <w:t>I –</w:t>
      </w:r>
      <w:r w:rsidR="00A15FC1" w:rsidRPr="0097459F">
        <w:rPr>
          <w:rFonts w:cstheme="minorHAnsi"/>
        </w:rPr>
        <w:t xml:space="preserve"> </w:t>
      </w:r>
      <w:proofErr w:type="gramStart"/>
      <w:r w:rsidR="00A15FC1" w:rsidRPr="0097459F">
        <w:rPr>
          <w:bCs/>
        </w:rPr>
        <w:t>suficientes</w:t>
      </w:r>
      <w:proofErr w:type="gramEnd"/>
      <w:r w:rsidR="00A15FC1" w:rsidRPr="0097459F">
        <w:rPr>
          <w:bCs/>
        </w:rPr>
        <w:t xml:space="preserve">, verdadeiras, precisas, consistentes e atuais, </w:t>
      </w:r>
      <w:r w:rsidR="00A15FC1" w:rsidRPr="0097459F">
        <w:t xml:space="preserve">permitindo aos investidores uma tomada de decisão fundamentada a respeito </w:t>
      </w:r>
      <w:r w:rsidR="00D03612" w:rsidRPr="0097459F">
        <w:t>do investimento</w:t>
      </w:r>
      <w:r w:rsidR="005460CC" w:rsidRPr="0097459F">
        <w:rPr>
          <w:rFonts w:cstheme="minorHAnsi"/>
        </w:rPr>
        <w:t>;</w:t>
      </w:r>
    </w:p>
    <w:p w14:paraId="093BB587"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escritas</w:t>
      </w:r>
      <w:proofErr w:type="gramEnd"/>
      <w:r w:rsidRPr="0097459F">
        <w:rPr>
          <w:rFonts w:cstheme="minorHAnsi"/>
        </w:rPr>
        <w:t xml:space="preserve"> em linguagem simples, clara, objetiva e concisa; e</w:t>
      </w:r>
    </w:p>
    <w:p w14:paraId="52AFBBCE" w14:textId="77777777" w:rsidR="00893D49" w:rsidRPr="0097459F" w:rsidRDefault="00893D49" w:rsidP="00C20BBD">
      <w:pPr>
        <w:pStyle w:val="Normalalteradora"/>
        <w:rPr>
          <w:rFonts w:cstheme="minorHAnsi"/>
        </w:rPr>
      </w:pPr>
      <w:r w:rsidRPr="0097459F">
        <w:rPr>
          <w:rFonts w:cstheme="minorHAnsi"/>
        </w:rPr>
        <w:t>III – úteis à avaliação do investimento.</w:t>
      </w:r>
    </w:p>
    <w:p w14:paraId="3AC4BDC8" w14:textId="77777777"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As</w:t>
      </w:r>
      <w:proofErr w:type="gramEnd"/>
      <w:r w:rsidRPr="0097459F">
        <w:rPr>
          <w:rFonts w:cstheme="minorHAnsi"/>
        </w:rPr>
        <w:t xml:space="preserve"> informações referidas no </w:t>
      </w:r>
      <w:r w:rsidRPr="0097459F">
        <w:rPr>
          <w:rFonts w:cstheme="minorHAnsi"/>
          <w:b/>
        </w:rPr>
        <w:t>caput</w:t>
      </w:r>
      <w:r w:rsidRPr="0097459F">
        <w:rPr>
          <w:rFonts w:cstheme="minorHAnsi"/>
        </w:rPr>
        <w:t xml:space="preserve"> não podem assegurar ou sugerir a existência de garantia de resultados futuros ou isenção de risco para o investidor.</w:t>
      </w:r>
    </w:p>
    <w:p w14:paraId="28B1635F" w14:textId="77777777"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Informações</w:t>
      </w:r>
      <w:proofErr w:type="gramEnd"/>
      <w:r w:rsidRPr="0097459F">
        <w:rPr>
          <w:rFonts w:cstheme="minorHAnsi"/>
        </w:rPr>
        <w:t xml:space="preserve"> factuais devem vir acompanhadas da indicação de suas fontes e ser diferenciadas de interpretações, opiniões, projeções e estimativas.</w:t>
      </w:r>
    </w:p>
    <w:p w14:paraId="383DF274" w14:textId="3BC5ECE7" w:rsidR="00893D49" w:rsidRPr="0097459F" w:rsidRDefault="4AF9F487" w:rsidP="00C20BBD">
      <w:pPr>
        <w:pStyle w:val="Normalalteradora"/>
      </w:pPr>
      <w:r w:rsidRPr="0097459F">
        <w:t>§ 4</w:t>
      </w:r>
      <w:proofErr w:type="gramStart"/>
      <w:r w:rsidRPr="0097459F">
        <w:t>º  Caso</w:t>
      </w:r>
      <w:proofErr w:type="gramEnd"/>
      <w:r w:rsidRPr="0097459F">
        <w:t xml:space="preserve"> as informações divulgadas ou quaisquer materiais de divulgação apresentem incorreções ou impropriedades que possam induzir o investidor </w:t>
      </w:r>
      <w:r w:rsidR="00A15FC1" w:rsidRPr="0097459F">
        <w:t xml:space="preserve">em </w:t>
      </w:r>
      <w:r w:rsidRPr="0097459F">
        <w:t xml:space="preserve">erro de avaliação, a </w:t>
      </w:r>
      <w:r w:rsidR="4E303387" w:rsidRPr="0097459F">
        <w:t xml:space="preserve">Superintendência competente </w:t>
      </w:r>
      <w:r w:rsidRPr="0097459F">
        <w:t>pode exigir:</w:t>
      </w:r>
    </w:p>
    <w:p w14:paraId="3B8B15CC"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w:t>
      </w:r>
      <w:proofErr w:type="gramEnd"/>
      <w:r w:rsidRPr="0097459F">
        <w:rPr>
          <w:rFonts w:cstheme="minorHAnsi"/>
        </w:rPr>
        <w:t xml:space="preserve"> cessação da divulgação da informação; e</w:t>
      </w:r>
    </w:p>
    <w:p w14:paraId="61CFFBCA"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w:t>
      </w:r>
      <w:proofErr w:type="gramEnd"/>
      <w:r w:rsidRPr="0097459F">
        <w:rPr>
          <w:rFonts w:cstheme="minorHAnsi"/>
        </w:rPr>
        <w:t xml:space="preserve"> veiculação, com igual destaque e pelo mesmo veículo utilizado para divulgar a informação original, de retificações e esclarecimentos, devendo constar, de forma expressa, que a informação está sendo republicada por determinação da CVM.</w:t>
      </w:r>
      <w:bookmarkEnd w:id="125"/>
    </w:p>
    <w:p w14:paraId="02FB5592" w14:textId="77777777" w:rsidR="00893D49" w:rsidRPr="0097459F" w:rsidRDefault="00893D49" w:rsidP="00C20BBD">
      <w:pPr>
        <w:pStyle w:val="Seo"/>
        <w:rPr>
          <w:rFonts w:asciiTheme="minorHAnsi" w:hAnsiTheme="minorHAnsi"/>
        </w:rPr>
      </w:pPr>
      <w:bookmarkStart w:id="126" w:name="_Toc53594444"/>
      <w:bookmarkStart w:id="127" w:name="_Toc53595469"/>
      <w:bookmarkStart w:id="128" w:name="_Toc53594196"/>
      <w:bookmarkStart w:id="129" w:name="_Toc114818977"/>
      <w:bookmarkStart w:id="130" w:name="_Toc57836204"/>
      <w:bookmarkStart w:id="131" w:name="_Toc161141208"/>
      <w:r w:rsidRPr="0097459F">
        <w:rPr>
          <w:rFonts w:asciiTheme="minorHAnsi" w:hAnsiTheme="minorHAnsi"/>
        </w:rPr>
        <w:t>Seção II – Regulamento</w:t>
      </w:r>
      <w:bookmarkEnd w:id="126"/>
      <w:bookmarkEnd w:id="127"/>
      <w:bookmarkEnd w:id="128"/>
      <w:bookmarkEnd w:id="129"/>
      <w:bookmarkEnd w:id="130"/>
      <w:bookmarkEnd w:id="131"/>
    </w:p>
    <w:p w14:paraId="7F0E65B4" w14:textId="1CC75467"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48</w:t>
      </w:r>
      <w:r w:rsidRPr="0097459F">
        <w:rPr>
          <w:rFonts w:cstheme="minorHAnsi"/>
        </w:rPr>
        <w:t>.  O fundo de investimento é regido pelo regulamento e</w:t>
      </w:r>
      <w:r w:rsidR="00BE3CE9" w:rsidRPr="0097459F">
        <w:rPr>
          <w:rFonts w:cstheme="minorHAnsi"/>
        </w:rPr>
        <w:t>, se for o caso,</w:t>
      </w:r>
      <w:r w:rsidRPr="0097459F">
        <w:rPr>
          <w:rFonts w:cstheme="minorHAnsi"/>
        </w:rPr>
        <w:t xml:space="preserve"> </w:t>
      </w:r>
      <w:r w:rsidR="00C41638" w:rsidRPr="0097459F">
        <w:rPr>
          <w:rFonts w:cstheme="minorHAnsi"/>
        </w:rPr>
        <w:t>su</w:t>
      </w:r>
      <w:r w:rsidRPr="0097459F">
        <w:rPr>
          <w:rFonts w:cstheme="minorHAnsi"/>
        </w:rPr>
        <w:t>as classes de cotas</w:t>
      </w:r>
      <w:r w:rsidR="00C41638" w:rsidRPr="0097459F">
        <w:rPr>
          <w:rFonts w:cstheme="minorHAnsi"/>
        </w:rPr>
        <w:t xml:space="preserve"> </w:t>
      </w:r>
      <w:r w:rsidRPr="0097459F">
        <w:rPr>
          <w:rFonts w:cstheme="minorHAnsi"/>
        </w:rPr>
        <w:t>são complementarmente regidas por anexos ao regulamento.</w:t>
      </w:r>
    </w:p>
    <w:p w14:paraId="666095EA" w14:textId="5F2A54FD"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 xml:space="preserve">º  </w:t>
      </w:r>
      <w:bookmarkStart w:id="132" w:name="_Hlk42692361"/>
      <w:r w:rsidR="00C41638" w:rsidRPr="0097459F">
        <w:rPr>
          <w:rFonts w:cstheme="minorHAnsi"/>
        </w:rPr>
        <w:t>A</w:t>
      </w:r>
      <w:proofErr w:type="gramEnd"/>
      <w:r w:rsidR="00C41638" w:rsidRPr="0097459F">
        <w:rPr>
          <w:rFonts w:cstheme="minorHAnsi"/>
        </w:rPr>
        <w:t xml:space="preserve"> parte geral do</w:t>
      </w:r>
      <w:r w:rsidRPr="0097459F">
        <w:rPr>
          <w:rFonts w:cstheme="minorHAnsi"/>
        </w:rPr>
        <w:t xml:space="preserve"> regulamento</w:t>
      </w:r>
      <w:r w:rsidR="00C41638" w:rsidRPr="0097459F">
        <w:rPr>
          <w:rFonts w:cstheme="minorHAnsi"/>
        </w:rPr>
        <w:t>, comum a todas as classes de cotas,</w:t>
      </w:r>
      <w:r w:rsidRPr="0097459F">
        <w:rPr>
          <w:rFonts w:cstheme="minorHAnsi"/>
        </w:rPr>
        <w:t xml:space="preserve"> deve dispor sobre:</w:t>
      </w:r>
      <w:bookmarkEnd w:id="132"/>
    </w:p>
    <w:p w14:paraId="22641597" w14:textId="484C33A2" w:rsidR="00893D49" w:rsidRPr="0097459F" w:rsidRDefault="00893D49" w:rsidP="00C20BBD">
      <w:pPr>
        <w:pStyle w:val="Normalalteradora"/>
      </w:pPr>
      <w:r w:rsidRPr="0097459F">
        <w:t xml:space="preserve">I – identificação e qualificação dos prestadores de serviços, com informação </w:t>
      </w:r>
      <w:r w:rsidR="009936E1" w:rsidRPr="0097459F">
        <w:t>sobre os seus registros na CVM;</w:t>
      </w:r>
    </w:p>
    <w:p w14:paraId="749D04B0" w14:textId="16281BF0" w:rsidR="00893D49" w:rsidRPr="0097459F" w:rsidRDefault="00893D49" w:rsidP="00C20BBD">
      <w:pPr>
        <w:pStyle w:val="Normalalteradora"/>
        <w:rPr>
          <w:rFonts w:cstheme="minorHAnsi"/>
        </w:rPr>
      </w:pPr>
      <w:r w:rsidRPr="0097459F">
        <w:rPr>
          <w:rFonts w:cstheme="minorHAnsi"/>
        </w:rPr>
        <w:lastRenderedPageBreak/>
        <w:t>II –</w:t>
      </w:r>
      <w:r w:rsidR="004E0545" w:rsidRPr="0097459F">
        <w:rPr>
          <w:rFonts w:cstheme="minorHAnsi"/>
        </w:rPr>
        <w:t xml:space="preserve"> </w:t>
      </w:r>
      <w:proofErr w:type="gramStart"/>
      <w:r w:rsidRPr="0097459F">
        <w:rPr>
          <w:rFonts w:cstheme="minorHAnsi"/>
        </w:rPr>
        <w:t>responsabilidade</w:t>
      </w:r>
      <w:proofErr w:type="gramEnd"/>
      <w:r w:rsidR="00C959D1" w:rsidRPr="0097459F">
        <w:t xml:space="preserve">, bem como parâmetros de sua aferição, </w:t>
      </w:r>
      <w:r w:rsidRPr="0097459F">
        <w:rPr>
          <w:rFonts w:cstheme="minorHAnsi"/>
        </w:rPr>
        <w:t xml:space="preserve">dos prestadores de serviços, perante o </w:t>
      </w:r>
      <w:r w:rsidR="00293C9C" w:rsidRPr="0097459F">
        <w:rPr>
          <w:rFonts w:cstheme="minorHAnsi"/>
        </w:rPr>
        <w:t xml:space="preserve">fundo </w:t>
      </w:r>
      <w:r w:rsidRPr="0097459F">
        <w:rPr>
          <w:rFonts w:cstheme="minorHAnsi"/>
        </w:rPr>
        <w:t>e entre si;</w:t>
      </w:r>
    </w:p>
    <w:p w14:paraId="45472579" w14:textId="73D5A36E" w:rsidR="00877ADF" w:rsidRPr="0097459F" w:rsidRDefault="00C402F4" w:rsidP="00C20BBD">
      <w:pPr>
        <w:pStyle w:val="Normalalteradora"/>
        <w:rPr>
          <w:rFonts w:cstheme="minorHAnsi"/>
        </w:rPr>
      </w:pPr>
      <w:r w:rsidRPr="0097459F">
        <w:t>III</w:t>
      </w:r>
      <w:r w:rsidRPr="0097459F">
        <w:rPr>
          <w:rFonts w:cstheme="minorHAnsi"/>
        </w:rPr>
        <w:t xml:space="preserve"> </w:t>
      </w:r>
      <w:r w:rsidR="00877ADF" w:rsidRPr="0097459F">
        <w:rPr>
          <w:rFonts w:cstheme="minorHAnsi"/>
        </w:rPr>
        <w:t>– definição sobre se o fundo conta com classe única de cotas ou diferentes classes de cotas</w:t>
      </w:r>
      <w:r w:rsidR="000C5D29" w:rsidRPr="0097459F">
        <w:rPr>
          <w:rFonts w:cstheme="minorHAnsi"/>
        </w:rPr>
        <w:t xml:space="preserve"> e, caso conte com classes diferentes, definição </w:t>
      </w:r>
      <w:r w:rsidR="00BE3CE9" w:rsidRPr="0097459F">
        <w:rPr>
          <w:rFonts w:cstheme="minorHAnsi"/>
        </w:rPr>
        <w:t>das despesas</w:t>
      </w:r>
      <w:r w:rsidR="000C5D29" w:rsidRPr="0097459F">
        <w:rPr>
          <w:rFonts w:cstheme="minorHAnsi"/>
        </w:rPr>
        <w:t xml:space="preserve"> que são comuns às classes</w:t>
      </w:r>
      <w:r w:rsidR="00877ADF" w:rsidRPr="0097459F">
        <w:rPr>
          <w:rFonts w:cstheme="minorHAnsi"/>
        </w:rPr>
        <w:t>;</w:t>
      </w:r>
    </w:p>
    <w:p w14:paraId="75C36141" w14:textId="4292B267" w:rsidR="00E74C20" w:rsidRPr="0097459F" w:rsidRDefault="001B3AD7" w:rsidP="00C20BBD">
      <w:pPr>
        <w:pStyle w:val="Normalalteradora"/>
        <w:rPr>
          <w:rFonts w:cstheme="minorHAnsi"/>
        </w:rPr>
      </w:pPr>
      <w:r w:rsidRPr="0097459F">
        <w:rPr>
          <w:rFonts w:cstheme="minorHAnsi"/>
        </w:rPr>
        <w:t>I</w:t>
      </w:r>
      <w:r w:rsidR="00877ADF" w:rsidRPr="0097459F">
        <w:rPr>
          <w:rFonts w:cstheme="minorHAnsi"/>
        </w:rPr>
        <w:t xml:space="preserve">V – </w:t>
      </w:r>
      <w:proofErr w:type="gramStart"/>
      <w:r w:rsidR="00877ADF" w:rsidRPr="0097459F">
        <w:rPr>
          <w:rFonts w:cstheme="minorHAnsi"/>
        </w:rPr>
        <w:t>forma</w:t>
      </w:r>
      <w:proofErr w:type="gramEnd"/>
      <w:r w:rsidR="00877ADF" w:rsidRPr="0097459F">
        <w:rPr>
          <w:rFonts w:cstheme="minorHAnsi"/>
        </w:rPr>
        <w:t xml:space="preserve"> de rateio </w:t>
      </w:r>
      <w:r w:rsidR="00BE3CE9" w:rsidRPr="0097459F">
        <w:rPr>
          <w:rFonts w:cstheme="minorHAnsi"/>
        </w:rPr>
        <w:t>das despesas</w:t>
      </w:r>
      <w:r w:rsidR="00877ADF" w:rsidRPr="0097459F">
        <w:rPr>
          <w:rFonts w:cstheme="minorHAnsi"/>
        </w:rPr>
        <w:t xml:space="preserve"> em comum</w:t>
      </w:r>
      <w:r w:rsidR="00D5554A" w:rsidRPr="0097459F">
        <w:rPr>
          <w:rFonts w:cstheme="minorHAnsi"/>
        </w:rPr>
        <w:t xml:space="preserve"> entre as classes</w:t>
      </w:r>
      <w:r w:rsidR="00465358" w:rsidRPr="0097459F">
        <w:rPr>
          <w:rFonts w:cstheme="minorHAnsi"/>
        </w:rPr>
        <w:t>,</w:t>
      </w:r>
      <w:r w:rsidR="000C5D29" w:rsidRPr="0097459F">
        <w:rPr>
          <w:rFonts w:cstheme="minorHAnsi"/>
        </w:rPr>
        <w:t xml:space="preserve"> </w:t>
      </w:r>
      <w:r w:rsidR="00E34C3B" w:rsidRPr="0097459F">
        <w:rPr>
          <w:rFonts w:cstheme="minorHAnsi"/>
        </w:rPr>
        <w:t xml:space="preserve">se for o caso, </w:t>
      </w:r>
      <w:r w:rsidR="00877ADF" w:rsidRPr="0097459F">
        <w:rPr>
          <w:rFonts w:cstheme="minorHAnsi"/>
        </w:rPr>
        <w:t xml:space="preserve">que deve ser passível de verificação e não implicar transferência </w:t>
      </w:r>
      <w:r w:rsidR="00063A4E" w:rsidRPr="0097459F">
        <w:rPr>
          <w:rFonts w:cstheme="minorHAnsi"/>
        </w:rPr>
        <w:t>i</w:t>
      </w:r>
      <w:r w:rsidR="00877ADF" w:rsidRPr="0097459F">
        <w:rPr>
          <w:rFonts w:cstheme="minorHAnsi"/>
        </w:rPr>
        <w:t>ndevida de riqueza entre as classes;</w:t>
      </w:r>
    </w:p>
    <w:p w14:paraId="355E5DA4" w14:textId="173BEE01" w:rsidR="00770B8C" w:rsidRPr="0097459F" w:rsidRDefault="00541B67" w:rsidP="00C20BBD">
      <w:pPr>
        <w:pStyle w:val="Normalalteradora"/>
        <w:rPr>
          <w:rFonts w:cstheme="minorHAnsi"/>
        </w:rPr>
      </w:pPr>
      <w:r w:rsidRPr="0097459F">
        <w:rPr>
          <w:rFonts w:cstheme="minorHAnsi"/>
        </w:rPr>
        <w:t>V</w:t>
      </w:r>
      <w:r w:rsidR="00770B8C" w:rsidRPr="0097459F">
        <w:rPr>
          <w:rFonts w:cstheme="minorHAnsi"/>
        </w:rPr>
        <w:t xml:space="preserve"> </w:t>
      </w:r>
      <w:r w:rsidR="008A22CE">
        <w:rPr>
          <w:rFonts w:cstheme="minorHAnsi"/>
        </w:rPr>
        <w:t>–</w:t>
      </w:r>
      <w:r w:rsidR="00770B8C" w:rsidRPr="0097459F">
        <w:rPr>
          <w:rFonts w:cstheme="minorHAnsi"/>
        </w:rPr>
        <w:t xml:space="preserve"> </w:t>
      </w:r>
      <w:proofErr w:type="gramStart"/>
      <w:r w:rsidR="00770B8C" w:rsidRPr="0097459F">
        <w:rPr>
          <w:rFonts w:cstheme="minorHAnsi"/>
        </w:rPr>
        <w:t>forma</w:t>
      </w:r>
      <w:proofErr w:type="gramEnd"/>
      <w:r w:rsidR="00770B8C" w:rsidRPr="0097459F">
        <w:rPr>
          <w:rFonts w:cstheme="minorHAnsi"/>
        </w:rPr>
        <w:t xml:space="preserve"> de rateio das </w:t>
      </w:r>
      <w:r w:rsidR="00620953" w:rsidRPr="0097459F">
        <w:rPr>
          <w:rFonts w:cstheme="minorHAnsi"/>
        </w:rPr>
        <w:t>contingências que recaiam sobre o fundo</w:t>
      </w:r>
      <w:r w:rsidR="00C3083D" w:rsidRPr="0097459F">
        <w:rPr>
          <w:rFonts w:cstheme="minorHAnsi"/>
        </w:rPr>
        <w:t>,</w:t>
      </w:r>
      <w:r w:rsidR="00620953" w:rsidRPr="0097459F">
        <w:rPr>
          <w:rFonts w:cstheme="minorHAnsi"/>
        </w:rPr>
        <w:t xml:space="preserve"> não sobre o patrimônio de alguma</w:t>
      </w:r>
      <w:r w:rsidR="00C3083D" w:rsidRPr="0097459F">
        <w:rPr>
          <w:rFonts w:cstheme="minorHAnsi"/>
        </w:rPr>
        <w:t>(s)</w:t>
      </w:r>
      <w:r w:rsidR="00620953" w:rsidRPr="0097459F">
        <w:rPr>
          <w:rFonts w:cstheme="minorHAnsi"/>
        </w:rPr>
        <w:t xml:space="preserve"> classe</w:t>
      </w:r>
      <w:r w:rsidR="00C3083D" w:rsidRPr="0097459F">
        <w:rPr>
          <w:rFonts w:cstheme="minorHAnsi"/>
        </w:rPr>
        <w:t>(s)</w:t>
      </w:r>
      <w:r w:rsidR="00620953" w:rsidRPr="0097459F">
        <w:rPr>
          <w:rFonts w:cstheme="minorHAnsi"/>
        </w:rPr>
        <w:t xml:space="preserve"> em específico, </w:t>
      </w:r>
      <w:r w:rsidR="000B29B2" w:rsidRPr="0097459F">
        <w:rPr>
          <w:rFonts w:cstheme="minorHAnsi"/>
        </w:rPr>
        <w:t xml:space="preserve">que </w:t>
      </w:r>
      <w:r w:rsidR="00770B8C" w:rsidRPr="0097459F">
        <w:rPr>
          <w:rFonts w:cstheme="minorHAnsi"/>
        </w:rPr>
        <w:t>deve ser passível de verificação e não implicar transferência indevida de riqueza entre as classes;</w:t>
      </w:r>
    </w:p>
    <w:p w14:paraId="68CB64B8" w14:textId="76E4115B" w:rsidR="00893D49" w:rsidRPr="00D960C9" w:rsidRDefault="00E567AB" w:rsidP="2889066B">
      <w:pPr>
        <w:pStyle w:val="Normalalteradora"/>
        <w:rPr>
          <w:strike/>
        </w:rPr>
      </w:pPr>
      <w:r w:rsidRPr="00D960C9">
        <w:rPr>
          <w:strike/>
        </w:rPr>
        <w:t>V</w:t>
      </w:r>
      <w:r w:rsidR="00541B67" w:rsidRPr="00D960C9">
        <w:rPr>
          <w:strike/>
        </w:rPr>
        <w:t>I</w:t>
      </w:r>
      <w:r w:rsidRPr="00D960C9">
        <w:rPr>
          <w:strike/>
        </w:rPr>
        <w:t xml:space="preserve"> </w:t>
      </w:r>
      <w:r w:rsidR="00893D49" w:rsidRPr="00D960C9">
        <w:rPr>
          <w:strike/>
        </w:rPr>
        <w:t xml:space="preserve">– </w:t>
      </w:r>
      <w:proofErr w:type="gramStart"/>
      <w:r w:rsidR="00893D49" w:rsidRPr="00D960C9">
        <w:rPr>
          <w:strike/>
        </w:rPr>
        <w:t>prazo</w:t>
      </w:r>
      <w:proofErr w:type="gramEnd"/>
      <w:r w:rsidR="00893D49" w:rsidRPr="00D960C9">
        <w:rPr>
          <w:strike/>
        </w:rPr>
        <w:t xml:space="preserve"> de duração, </w:t>
      </w:r>
      <w:r w:rsidR="00BE3CE9" w:rsidRPr="00D960C9">
        <w:rPr>
          <w:strike/>
        </w:rPr>
        <w:t>que pode ser</w:t>
      </w:r>
      <w:r w:rsidR="00893D49" w:rsidRPr="00D960C9">
        <w:rPr>
          <w:strike/>
        </w:rPr>
        <w:t xml:space="preserve"> indeterminado;</w:t>
      </w:r>
      <w:r w:rsidR="00626162" w:rsidRPr="00D960C9">
        <w:rPr>
          <w:strike/>
        </w:rPr>
        <w:t xml:space="preserve"> </w:t>
      </w:r>
    </w:p>
    <w:p w14:paraId="306FCCB7" w14:textId="4C0D68D6" w:rsidR="00D960C9" w:rsidRDefault="00D960C9" w:rsidP="00D960C9">
      <w:pPr>
        <w:pStyle w:val="NormaAlterada"/>
      </w:pPr>
      <w:r w:rsidRPr="0097459F">
        <w:t xml:space="preserve">VI – </w:t>
      </w:r>
      <w:proofErr w:type="gramStart"/>
      <w:r w:rsidRPr="0097459F">
        <w:t>prazo</w:t>
      </w:r>
      <w:proofErr w:type="gramEnd"/>
      <w:r w:rsidRPr="0097459F">
        <w:t xml:space="preserve"> de duração, que pode ser indeterminado;</w:t>
      </w:r>
      <w:r>
        <w:t xml:space="preserve"> e</w:t>
      </w:r>
    </w:p>
    <w:p w14:paraId="39E7AC50" w14:textId="60ACDACB" w:rsidR="00D960C9" w:rsidRPr="00D960C9" w:rsidRDefault="00D960C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D960C9">
        <w:rPr>
          <w:rFonts w:asciiTheme="minorHAnsi" w:hAnsiTheme="minorHAnsi" w:cstheme="minorHAnsi"/>
          <w:b/>
          <w:i/>
          <w:sz w:val="24"/>
          <w:szCs w:val="24"/>
        </w:rPr>
        <w:t xml:space="preserve"> </w:t>
      </w:r>
      <w:r w:rsidRPr="00D960C9">
        <w:rPr>
          <w:rFonts w:asciiTheme="minorHAnsi" w:hAnsiTheme="minorHAnsi" w:cstheme="minorHAnsi"/>
          <w:b/>
          <w:i/>
          <w:iCs/>
          <w:sz w:val="24"/>
          <w:szCs w:val="24"/>
        </w:rPr>
        <w:t>Inciso VI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p>
    <w:p w14:paraId="5EE682AA" w14:textId="72D83B64" w:rsidR="007C6F59" w:rsidRPr="00891BE6" w:rsidRDefault="007C6F59" w:rsidP="007C6F59">
      <w:pPr>
        <w:pStyle w:val="Normalalteradora"/>
        <w:rPr>
          <w:strike/>
        </w:rPr>
      </w:pPr>
      <w:r w:rsidRPr="00891BE6">
        <w:rPr>
          <w:strike/>
        </w:rPr>
        <w:t>VII – taxas de administração e de gestão, que devem ser expressas em:</w:t>
      </w:r>
    </w:p>
    <w:p w14:paraId="4C2F8D99" w14:textId="77777777" w:rsidR="007C6F59" w:rsidRPr="00891BE6" w:rsidRDefault="007C6F59" w:rsidP="007C6F59">
      <w:pPr>
        <w:pStyle w:val="Normalalteradora"/>
        <w:rPr>
          <w:rFonts w:cstheme="minorHAnsi"/>
          <w:strike/>
        </w:rPr>
      </w:pPr>
      <w:r w:rsidRPr="00891BE6">
        <w:rPr>
          <w:rFonts w:cstheme="minorHAnsi"/>
          <w:strike/>
        </w:rPr>
        <w:t>a) um percentual anual fixo do patrimônio líquido (base 252 dias); ou</w:t>
      </w:r>
    </w:p>
    <w:p w14:paraId="1B2722EF" w14:textId="382DF9B2" w:rsidR="00180895" w:rsidRDefault="007C6F59" w:rsidP="00D960C9">
      <w:pPr>
        <w:pStyle w:val="Normalalteradora"/>
        <w:rPr>
          <w:rFonts w:cstheme="minorHAnsi"/>
          <w:strike/>
        </w:rPr>
      </w:pPr>
      <w:r w:rsidRPr="00891BE6">
        <w:rPr>
          <w:rFonts w:cstheme="minorHAnsi"/>
          <w:strike/>
        </w:rPr>
        <w:t>b) um valor nominal em moeda corrente nacional, que pode variar em função de faixas de valores do patrimônio líquido; e</w:t>
      </w:r>
    </w:p>
    <w:p w14:paraId="56D0E613" w14:textId="6EBE3E6F" w:rsidR="00891BE6" w:rsidRDefault="00891BE6" w:rsidP="00D960C9">
      <w:pPr>
        <w:pStyle w:val="Normalalteradora"/>
        <w:rPr>
          <w:rFonts w:cstheme="minorHAnsi"/>
        </w:rPr>
      </w:pPr>
      <w:r w:rsidRPr="00891BE6">
        <w:rPr>
          <w:rFonts w:cstheme="minorHAnsi"/>
        </w:rPr>
        <w:t>VII</w:t>
      </w:r>
      <w:r>
        <w:rPr>
          <w:rFonts w:cstheme="minorHAnsi"/>
        </w:rPr>
        <w:t xml:space="preserve"> – REVOGADO</w:t>
      </w:r>
    </w:p>
    <w:p w14:paraId="48D34584" w14:textId="644E7B99" w:rsidR="00891BE6" w:rsidRPr="00891BE6" w:rsidRDefault="00891B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Incis</w:t>
      </w:r>
      <w:r>
        <w:rPr>
          <w:rFonts w:asciiTheme="minorHAnsi" w:hAnsiTheme="minorHAnsi" w:cstheme="minorHAnsi"/>
          <w:b/>
          <w:i/>
          <w:iCs/>
          <w:sz w:val="24"/>
          <w:szCs w:val="24"/>
        </w:rPr>
        <w:t>o VII</w:t>
      </w:r>
      <w:r w:rsidRPr="00D960C9">
        <w:rPr>
          <w:rFonts w:asciiTheme="minorHAnsi" w:hAnsiTheme="minorHAnsi" w:cstheme="minorHAnsi"/>
          <w:b/>
          <w:i/>
          <w:sz w:val="24"/>
          <w:szCs w:val="24"/>
        </w:rPr>
        <w:t xml:space="preserve">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p>
    <w:p w14:paraId="2602684C" w14:textId="6FEE6056" w:rsidR="000B29B2" w:rsidRPr="0097459F" w:rsidRDefault="00877ADF" w:rsidP="00C20BBD">
      <w:pPr>
        <w:pStyle w:val="Normalalteradora"/>
        <w:rPr>
          <w:rFonts w:cstheme="minorHAnsi"/>
        </w:rPr>
      </w:pPr>
      <w:r w:rsidRPr="541C429A">
        <w:t>VI</w:t>
      </w:r>
      <w:r w:rsidR="00E567AB" w:rsidRPr="541C429A">
        <w:t>I</w:t>
      </w:r>
      <w:r w:rsidR="00541B67" w:rsidRPr="541C429A">
        <w:t>I</w:t>
      </w:r>
      <w:r w:rsidRPr="541C429A">
        <w:t xml:space="preserve"> </w:t>
      </w:r>
      <w:r w:rsidR="00893D49" w:rsidRPr="541C429A">
        <w:t>– exercício social</w:t>
      </w:r>
      <w:r w:rsidR="00106C54" w:rsidRPr="541C429A">
        <w:t>.</w:t>
      </w:r>
    </w:p>
    <w:p w14:paraId="40DD4733" w14:textId="2992D0A5" w:rsidR="00C41638" w:rsidRPr="0097459F" w:rsidRDefault="00C41638" w:rsidP="5E153155">
      <w:pPr>
        <w:pStyle w:val="Normalalteradora"/>
        <w:ind w:firstLine="709"/>
      </w:pPr>
      <w:r w:rsidRPr="5E153155">
        <w:t xml:space="preserve">§ </w:t>
      </w:r>
      <w:r w:rsidR="00DB3374" w:rsidRPr="5E153155">
        <w:t>2</w:t>
      </w:r>
      <w:proofErr w:type="gramStart"/>
      <w:r w:rsidRPr="5E153155">
        <w:t xml:space="preserve">º  </w:t>
      </w:r>
      <w:r w:rsidR="00B20E37" w:rsidRPr="5E153155">
        <w:t>O</w:t>
      </w:r>
      <w:r w:rsidRPr="5E153155">
        <w:t>s</w:t>
      </w:r>
      <w:proofErr w:type="gramEnd"/>
      <w:r w:rsidRPr="5E153155">
        <w:t xml:space="preserve"> anexos </w:t>
      </w:r>
      <w:r w:rsidR="00A661FD" w:rsidRPr="5E153155">
        <w:t>descritivos de classes</w:t>
      </w:r>
      <w:r w:rsidRPr="5E153155">
        <w:t>, cada qual relativo a uma classe em específico,</w:t>
      </w:r>
      <w:r w:rsidR="003718D5" w:rsidRPr="5E153155">
        <w:t xml:space="preserve"> deve</w:t>
      </w:r>
      <w:r w:rsidR="00392633" w:rsidRPr="5E153155">
        <w:t>m</w:t>
      </w:r>
      <w:r w:rsidRPr="5E153155">
        <w:t xml:space="preserve"> dispor sobre:</w:t>
      </w:r>
    </w:p>
    <w:p w14:paraId="46807740" w14:textId="3DA695C0" w:rsidR="003F27D8" w:rsidRPr="0097459F" w:rsidRDefault="003F27D8" w:rsidP="00C20BBD">
      <w:pPr>
        <w:pStyle w:val="Normalalteradora"/>
        <w:rPr>
          <w:rFonts w:cstheme="minorHAnsi"/>
        </w:rPr>
      </w:pPr>
      <w:r w:rsidRPr="0097459F">
        <w:rPr>
          <w:rFonts w:cstheme="minorHAnsi"/>
        </w:rPr>
        <w:t xml:space="preserve">I – </w:t>
      </w:r>
      <w:proofErr w:type="gramStart"/>
      <w:r w:rsidR="006945A0" w:rsidRPr="0097459F">
        <w:rPr>
          <w:rFonts w:cstheme="minorHAnsi"/>
        </w:rPr>
        <w:t>o</w:t>
      </w:r>
      <w:proofErr w:type="gramEnd"/>
      <w:r w:rsidR="006945A0" w:rsidRPr="0097459F">
        <w:rPr>
          <w:rFonts w:cstheme="minorHAnsi"/>
        </w:rPr>
        <w:t xml:space="preserve"> </w:t>
      </w:r>
      <w:r w:rsidR="00183365" w:rsidRPr="0097459F">
        <w:rPr>
          <w:rFonts w:cstheme="minorHAnsi"/>
        </w:rPr>
        <w:t>público-alvo;</w:t>
      </w:r>
    </w:p>
    <w:p w14:paraId="31C4BF2A" w14:textId="6B765A4B" w:rsidR="00712E4A" w:rsidRPr="0097459F" w:rsidRDefault="560D6504" w:rsidP="00C20BBD">
      <w:pPr>
        <w:pStyle w:val="Normalalteradora"/>
      </w:pPr>
      <w:r w:rsidRPr="0097459F">
        <w:t>I</w:t>
      </w:r>
      <w:r w:rsidR="4AD127E6" w:rsidRPr="0097459F">
        <w:t>I</w:t>
      </w:r>
      <w:r w:rsidRPr="0097459F">
        <w:t xml:space="preserve"> – </w:t>
      </w:r>
      <w:proofErr w:type="gramStart"/>
      <w:r w:rsidR="3A7700DC" w:rsidRPr="0097459F">
        <w:t>a</w:t>
      </w:r>
      <w:proofErr w:type="gramEnd"/>
      <w:r w:rsidR="3A7700DC" w:rsidRPr="0097459F">
        <w:t xml:space="preserve"> </w:t>
      </w:r>
      <w:r w:rsidRPr="0097459F">
        <w:t>responsabilidade dos cotistas, determinando se está limitada ao valor por eles subscrito ou se é ilimitada;</w:t>
      </w:r>
    </w:p>
    <w:p w14:paraId="4BE70A96" w14:textId="7C32DED6" w:rsidR="003F27D8" w:rsidRPr="0097459F" w:rsidRDefault="009D3DF9" w:rsidP="00C20BBD">
      <w:pPr>
        <w:pStyle w:val="Normalalteradora"/>
        <w:rPr>
          <w:rFonts w:cstheme="minorHAnsi"/>
        </w:rPr>
      </w:pPr>
      <w:r w:rsidRPr="0097459F">
        <w:rPr>
          <w:rFonts w:cstheme="minorHAnsi"/>
        </w:rPr>
        <w:t>II</w:t>
      </w:r>
      <w:r w:rsidR="003F27D8" w:rsidRPr="0097459F">
        <w:rPr>
          <w:rFonts w:cstheme="minorHAnsi"/>
        </w:rPr>
        <w:t xml:space="preserve">I – </w:t>
      </w:r>
      <w:r w:rsidR="006945A0" w:rsidRPr="0097459F">
        <w:rPr>
          <w:rFonts w:cstheme="minorHAnsi"/>
        </w:rPr>
        <w:t xml:space="preserve">o </w:t>
      </w:r>
      <w:r w:rsidR="003F27D8" w:rsidRPr="0097459F">
        <w:rPr>
          <w:rFonts w:cstheme="minorHAnsi"/>
        </w:rPr>
        <w:t xml:space="preserve">regime </w:t>
      </w:r>
      <w:r w:rsidR="00F57D07" w:rsidRPr="0097459F">
        <w:rPr>
          <w:rFonts w:cstheme="minorHAnsi"/>
        </w:rPr>
        <w:t>da classe</w:t>
      </w:r>
      <w:r w:rsidR="003F27D8" w:rsidRPr="0097459F">
        <w:rPr>
          <w:rFonts w:cstheme="minorHAnsi"/>
        </w:rPr>
        <w:t>, se abert</w:t>
      </w:r>
      <w:r w:rsidR="00F57D07" w:rsidRPr="0097459F">
        <w:rPr>
          <w:rFonts w:cstheme="minorHAnsi"/>
        </w:rPr>
        <w:t>a</w:t>
      </w:r>
      <w:r w:rsidR="003F27D8" w:rsidRPr="0097459F">
        <w:rPr>
          <w:rFonts w:cstheme="minorHAnsi"/>
        </w:rPr>
        <w:t xml:space="preserve"> ou fechad</w:t>
      </w:r>
      <w:r w:rsidR="00F57D07" w:rsidRPr="0097459F">
        <w:rPr>
          <w:rFonts w:cstheme="minorHAnsi"/>
        </w:rPr>
        <w:t>a</w:t>
      </w:r>
      <w:r w:rsidR="003F27D8" w:rsidRPr="0097459F">
        <w:rPr>
          <w:rFonts w:cstheme="minorHAnsi"/>
        </w:rPr>
        <w:t>;</w:t>
      </w:r>
    </w:p>
    <w:p w14:paraId="798E053D" w14:textId="22E6A007" w:rsidR="003F27D8" w:rsidRPr="0097459F" w:rsidRDefault="009D3DF9" w:rsidP="00C20BBD">
      <w:pPr>
        <w:pStyle w:val="Normalalteradora"/>
        <w:rPr>
          <w:rFonts w:cstheme="minorHAnsi"/>
        </w:rPr>
      </w:pPr>
      <w:r w:rsidRPr="0097459F">
        <w:rPr>
          <w:rFonts w:cstheme="minorHAnsi"/>
        </w:rPr>
        <w:lastRenderedPageBreak/>
        <w:t>I</w:t>
      </w:r>
      <w:r w:rsidR="003F27D8" w:rsidRPr="0097459F">
        <w:rPr>
          <w:rFonts w:cstheme="minorHAnsi"/>
        </w:rPr>
        <w:t xml:space="preserve">V – </w:t>
      </w:r>
      <w:proofErr w:type="gramStart"/>
      <w:r w:rsidR="006945A0" w:rsidRPr="0097459F">
        <w:rPr>
          <w:rFonts w:cstheme="minorHAnsi"/>
        </w:rPr>
        <w:t>o</w:t>
      </w:r>
      <w:proofErr w:type="gramEnd"/>
      <w:r w:rsidR="006945A0" w:rsidRPr="0097459F">
        <w:rPr>
          <w:rFonts w:cstheme="minorHAnsi"/>
        </w:rPr>
        <w:t xml:space="preserve"> </w:t>
      </w:r>
      <w:r w:rsidR="003F27D8" w:rsidRPr="0097459F">
        <w:rPr>
          <w:rFonts w:cstheme="minorHAnsi"/>
        </w:rPr>
        <w:t xml:space="preserve">prazo de duração, </w:t>
      </w:r>
      <w:r w:rsidR="00EA1CFA" w:rsidRPr="0097459F">
        <w:rPr>
          <w:rFonts w:cstheme="minorHAnsi"/>
        </w:rPr>
        <w:t>que pode ser indeterminado e deve ser</w:t>
      </w:r>
      <w:r w:rsidR="00E567AB" w:rsidRPr="0097459F">
        <w:rPr>
          <w:rFonts w:cstheme="minorHAnsi"/>
        </w:rPr>
        <w:t xml:space="preserve"> compatível com </w:t>
      </w:r>
      <w:r w:rsidR="00724649" w:rsidRPr="0097459F">
        <w:rPr>
          <w:rFonts w:cstheme="minorHAnsi"/>
        </w:rPr>
        <w:t>o prazo de</w:t>
      </w:r>
      <w:r w:rsidR="00E567AB" w:rsidRPr="0097459F">
        <w:rPr>
          <w:rFonts w:cstheme="minorHAnsi"/>
        </w:rPr>
        <w:t xml:space="preserve"> duração do fundo</w:t>
      </w:r>
      <w:r w:rsidR="00183365" w:rsidRPr="0097459F">
        <w:rPr>
          <w:rFonts w:cstheme="minorHAnsi"/>
        </w:rPr>
        <w:t>;</w:t>
      </w:r>
    </w:p>
    <w:p w14:paraId="568E58AE" w14:textId="4ED80BA8" w:rsidR="00677D7B" w:rsidRPr="0097459F" w:rsidRDefault="00541B67" w:rsidP="00C20BBD">
      <w:pPr>
        <w:pStyle w:val="Normalalteradora"/>
        <w:rPr>
          <w:rFonts w:cstheme="minorHAnsi"/>
        </w:rPr>
      </w:pPr>
      <w:proofErr w:type="gramStart"/>
      <w:r w:rsidRPr="0097459F">
        <w:rPr>
          <w:rFonts w:cstheme="minorHAnsi"/>
        </w:rPr>
        <w:t>V</w:t>
      </w:r>
      <w:r w:rsidR="00677D7B" w:rsidRPr="0097459F">
        <w:rPr>
          <w:rFonts w:cstheme="minorHAnsi"/>
        </w:rPr>
        <w:t xml:space="preserve">  –</w:t>
      </w:r>
      <w:proofErr w:type="gramEnd"/>
      <w:r w:rsidR="00677D7B" w:rsidRPr="0097459F">
        <w:rPr>
          <w:rFonts w:cstheme="minorHAnsi"/>
        </w:rPr>
        <w:t xml:space="preserve"> a categoria</w:t>
      </w:r>
      <w:r w:rsidR="00F219C3" w:rsidRPr="0097459F">
        <w:rPr>
          <w:rFonts w:cstheme="minorHAnsi"/>
        </w:rPr>
        <w:t xml:space="preserve">, nos termos do inciso </w:t>
      </w:r>
      <w:r w:rsidR="0098016B" w:rsidRPr="0097459F">
        <w:rPr>
          <w:rFonts w:cstheme="minorHAnsi"/>
        </w:rPr>
        <w:t>VIII</w:t>
      </w:r>
      <w:r w:rsidR="00F219C3" w:rsidRPr="0097459F">
        <w:rPr>
          <w:rFonts w:cstheme="minorHAnsi"/>
        </w:rPr>
        <w:t xml:space="preserve"> do art. </w:t>
      </w:r>
      <w:r w:rsidR="0027588D" w:rsidRPr="0097459F">
        <w:rPr>
          <w:rFonts w:cstheme="minorHAnsi"/>
        </w:rPr>
        <w:t>3</w:t>
      </w:r>
      <w:r w:rsidR="00F219C3" w:rsidRPr="0097459F">
        <w:rPr>
          <w:rFonts w:cstheme="minorHAnsi"/>
        </w:rPr>
        <w:t>º desta Resolução</w:t>
      </w:r>
      <w:r w:rsidR="00677D7B" w:rsidRPr="0097459F">
        <w:rPr>
          <w:rFonts w:cstheme="minorHAnsi"/>
        </w:rPr>
        <w:t>;</w:t>
      </w:r>
    </w:p>
    <w:p w14:paraId="586BF2D0" w14:textId="23449C72" w:rsidR="003F27D8" w:rsidRPr="0097459F" w:rsidRDefault="003F27D8" w:rsidP="00C20BBD">
      <w:pPr>
        <w:pStyle w:val="Normalalteradora"/>
        <w:rPr>
          <w:rFonts w:cstheme="minorHAnsi"/>
        </w:rPr>
      </w:pPr>
      <w:r w:rsidRPr="0097459F">
        <w:rPr>
          <w:rFonts w:cstheme="minorHAnsi"/>
        </w:rPr>
        <w:t>V</w:t>
      </w:r>
      <w:r w:rsidR="00541B67" w:rsidRPr="0097459F">
        <w:rPr>
          <w:rFonts w:cstheme="minorHAnsi"/>
        </w:rPr>
        <w:t>I</w:t>
      </w:r>
      <w:r w:rsidRPr="0097459F">
        <w:rPr>
          <w:rFonts w:cstheme="minorHAnsi"/>
        </w:rPr>
        <w:t xml:space="preserve"> – </w:t>
      </w:r>
      <w:proofErr w:type="gramStart"/>
      <w:r w:rsidR="006945A0" w:rsidRPr="0097459F">
        <w:rPr>
          <w:rFonts w:cstheme="minorHAnsi"/>
        </w:rPr>
        <w:t>a</w:t>
      </w:r>
      <w:proofErr w:type="gramEnd"/>
      <w:r w:rsidR="006945A0" w:rsidRPr="0097459F">
        <w:rPr>
          <w:rFonts w:cstheme="minorHAnsi"/>
        </w:rPr>
        <w:t xml:space="preserve"> </w:t>
      </w:r>
      <w:r w:rsidRPr="0097459F">
        <w:rPr>
          <w:rFonts w:cstheme="minorHAnsi"/>
        </w:rPr>
        <w:t>política de investimento</w:t>
      </w:r>
      <w:r w:rsidR="006945A0" w:rsidRPr="0097459F">
        <w:rPr>
          <w:rFonts w:cstheme="minorHAnsi"/>
        </w:rPr>
        <w:t>s</w:t>
      </w:r>
      <w:r w:rsidRPr="0097459F">
        <w:rPr>
          <w:rFonts w:cstheme="minorHAnsi"/>
        </w:rPr>
        <w:t>, aderente à categoria;</w:t>
      </w:r>
    </w:p>
    <w:p w14:paraId="53C9F0D1" w14:textId="253CF5FE" w:rsidR="0041391A" w:rsidRPr="0097459F" w:rsidRDefault="0041391A" w:rsidP="00C20BBD">
      <w:pPr>
        <w:pStyle w:val="Normalalteradora"/>
      </w:pPr>
      <w:r w:rsidRPr="0097459F">
        <w:t>VI</w:t>
      </w:r>
      <w:r w:rsidR="00541B67" w:rsidRPr="0097459F">
        <w:t>I</w:t>
      </w:r>
      <w:r w:rsidRPr="0097459F">
        <w:t xml:space="preserve"> – </w:t>
      </w:r>
      <w:r w:rsidR="006945A0" w:rsidRPr="0097459F">
        <w:t xml:space="preserve">a </w:t>
      </w:r>
      <w:r w:rsidRPr="0097459F">
        <w:t xml:space="preserve">possibilidade ou não de futuras emissões de cotas de classe fechada e, se for o caso, autorização </w:t>
      </w:r>
      <w:r w:rsidR="00CF35AF" w:rsidRPr="0097459F">
        <w:t xml:space="preserve">e eventuais condições </w:t>
      </w:r>
      <w:r w:rsidRPr="0097459F">
        <w:t xml:space="preserve">para a emissão de novas cotas a critério do gestor, </w:t>
      </w:r>
      <w:r w:rsidR="00DD7B7B" w:rsidRPr="0097459F">
        <w:t xml:space="preserve">inclusive quanto à existência ou não de direito de preferência para os cotistas, </w:t>
      </w:r>
      <w:r w:rsidR="0089279F" w:rsidRPr="0097459F">
        <w:t>sem necessidade</w:t>
      </w:r>
      <w:r w:rsidRPr="0097459F">
        <w:t xml:space="preserve"> de aprovação em assembleia de cotistas;</w:t>
      </w:r>
    </w:p>
    <w:p w14:paraId="4CC05CCD" w14:textId="06BC0120" w:rsidR="003F27D8" w:rsidRPr="0097459F" w:rsidRDefault="003F27D8" w:rsidP="00C20BBD">
      <w:pPr>
        <w:pStyle w:val="Normalalteradora"/>
        <w:rPr>
          <w:rFonts w:cstheme="minorHAnsi"/>
        </w:rPr>
      </w:pPr>
      <w:r w:rsidRPr="0097459F">
        <w:rPr>
          <w:rFonts w:cstheme="minorHAnsi"/>
        </w:rPr>
        <w:t>V</w:t>
      </w:r>
      <w:r w:rsidR="009D3DF9" w:rsidRPr="0097459F">
        <w:rPr>
          <w:rFonts w:cstheme="minorHAnsi"/>
        </w:rPr>
        <w:t>II</w:t>
      </w:r>
      <w:r w:rsidR="00541B67" w:rsidRPr="0097459F">
        <w:rPr>
          <w:rFonts w:cstheme="minorHAnsi"/>
        </w:rPr>
        <w:t>I</w:t>
      </w:r>
      <w:r w:rsidRPr="0097459F">
        <w:rPr>
          <w:rFonts w:cstheme="minorHAnsi"/>
        </w:rPr>
        <w:t xml:space="preserve"> – </w:t>
      </w:r>
      <w:r w:rsidR="006945A0" w:rsidRPr="0097459F">
        <w:rPr>
          <w:rFonts w:cstheme="minorHAnsi"/>
        </w:rPr>
        <w:t xml:space="preserve">as </w:t>
      </w:r>
      <w:r w:rsidRPr="0097459F">
        <w:rPr>
          <w:rFonts w:cstheme="minorHAnsi"/>
        </w:rPr>
        <w:t>condições para a aplicação e o resgate de cotas nas classes abertas, inclusive no que se refere a feriados estaduais e municipais;</w:t>
      </w:r>
    </w:p>
    <w:p w14:paraId="13AC1641" w14:textId="5B2724C7" w:rsidR="00B57B47" w:rsidRPr="0097459F" w:rsidRDefault="00541B67" w:rsidP="00C20BBD">
      <w:pPr>
        <w:pStyle w:val="Normalalteradora"/>
        <w:rPr>
          <w:rFonts w:cstheme="minorHAnsi"/>
        </w:rPr>
      </w:pPr>
      <w:r w:rsidRPr="0097459F">
        <w:rPr>
          <w:rFonts w:cstheme="minorHAnsi"/>
        </w:rPr>
        <w:t xml:space="preserve">IX </w:t>
      </w:r>
      <w:r w:rsidR="00B57B47" w:rsidRPr="0097459F">
        <w:rPr>
          <w:rFonts w:cstheme="minorHAnsi"/>
        </w:rPr>
        <w:t xml:space="preserve">– </w:t>
      </w:r>
      <w:proofErr w:type="gramStart"/>
      <w:r w:rsidR="00B57B47" w:rsidRPr="0097459F">
        <w:rPr>
          <w:rFonts w:cstheme="minorHAnsi"/>
        </w:rPr>
        <w:t>condições</w:t>
      </w:r>
      <w:proofErr w:type="gramEnd"/>
      <w:r w:rsidR="00B57B47" w:rsidRPr="0097459F">
        <w:rPr>
          <w:rFonts w:cstheme="minorHAnsi"/>
        </w:rPr>
        <w:t xml:space="preserve"> para a utilização de barreiras aos resgates, </w:t>
      </w:r>
      <w:r w:rsidR="00197530" w:rsidRPr="0097459F">
        <w:rPr>
          <w:rFonts w:cstheme="minorHAnsi"/>
        </w:rPr>
        <w:t>contendo no mínimo</w:t>
      </w:r>
      <w:r w:rsidR="00B57B47" w:rsidRPr="0097459F">
        <w:rPr>
          <w:rFonts w:cstheme="minorHAnsi"/>
        </w:rPr>
        <w:t xml:space="preserve"> </w:t>
      </w:r>
      <w:r w:rsidR="00197530" w:rsidRPr="0097459F">
        <w:rPr>
          <w:rFonts w:cstheme="minorHAnsi"/>
        </w:rPr>
        <w:t>os parâmetros de liquidez que autorizam o gestor a utilizar a medida;</w:t>
      </w:r>
    </w:p>
    <w:p w14:paraId="6E25C1AC" w14:textId="4422EEAC" w:rsidR="00F15E68" w:rsidRPr="0097459F" w:rsidRDefault="00541B67" w:rsidP="00C20BBD">
      <w:pPr>
        <w:pStyle w:val="Normalalteradora"/>
        <w:rPr>
          <w:rFonts w:cstheme="minorHAnsi"/>
        </w:rPr>
      </w:pPr>
      <w:r w:rsidRPr="0097459F">
        <w:rPr>
          <w:rFonts w:cstheme="minorHAnsi"/>
        </w:rPr>
        <w:t xml:space="preserve">X </w:t>
      </w:r>
      <w:r w:rsidR="00F15E68" w:rsidRPr="0097459F">
        <w:rPr>
          <w:rFonts w:cstheme="minorHAnsi"/>
        </w:rPr>
        <w:t xml:space="preserve">– </w:t>
      </w:r>
      <w:proofErr w:type="gramStart"/>
      <w:r w:rsidR="006945A0" w:rsidRPr="0097459F">
        <w:rPr>
          <w:rFonts w:cstheme="minorHAnsi"/>
        </w:rPr>
        <w:t>os</w:t>
      </w:r>
      <w:proofErr w:type="gramEnd"/>
      <w:r w:rsidR="006945A0" w:rsidRPr="0097459F">
        <w:rPr>
          <w:rFonts w:cstheme="minorHAnsi"/>
        </w:rPr>
        <w:t xml:space="preserve"> </w:t>
      </w:r>
      <w:r w:rsidR="00F15E68" w:rsidRPr="0097459F">
        <w:rPr>
          <w:rFonts w:cstheme="minorHAnsi"/>
        </w:rPr>
        <w:t>procedimentos aplicáveis à amortização e resgate compulsórios de cotas;</w:t>
      </w:r>
    </w:p>
    <w:p w14:paraId="0989E672" w14:textId="1D8F5237" w:rsidR="00475D68" w:rsidRPr="0097459F" w:rsidRDefault="00475D68" w:rsidP="00C20BBD">
      <w:pPr>
        <w:pStyle w:val="Normalalteradora"/>
        <w:rPr>
          <w:rFonts w:cstheme="minorHAnsi"/>
        </w:rPr>
      </w:pPr>
      <w:r w:rsidRPr="0097459F">
        <w:rPr>
          <w:rFonts w:cstheme="minorHAnsi"/>
        </w:rPr>
        <w:t>X</w:t>
      </w:r>
      <w:r w:rsidR="00541B67" w:rsidRPr="0097459F">
        <w:rPr>
          <w:rFonts w:cstheme="minorHAnsi"/>
        </w:rPr>
        <w:t>I</w:t>
      </w:r>
      <w:r w:rsidRPr="0097459F">
        <w:rPr>
          <w:rFonts w:cstheme="minorHAnsi"/>
        </w:rPr>
        <w:t xml:space="preserve"> – </w:t>
      </w:r>
      <w:r w:rsidR="006945A0" w:rsidRPr="0097459F">
        <w:rPr>
          <w:rFonts w:cstheme="minorHAnsi"/>
        </w:rPr>
        <w:t xml:space="preserve">a </w:t>
      </w:r>
      <w:r w:rsidRPr="0097459F">
        <w:rPr>
          <w:rFonts w:cstheme="minorHAnsi"/>
        </w:rPr>
        <w:t>taxa máxima de distribuição;</w:t>
      </w:r>
    </w:p>
    <w:p w14:paraId="0AB50BCD" w14:textId="27F93ED6" w:rsidR="003F27D8" w:rsidRPr="0097459F" w:rsidRDefault="003F27D8" w:rsidP="00C20BBD">
      <w:pPr>
        <w:pStyle w:val="Normalalteradora"/>
        <w:rPr>
          <w:rFonts w:cstheme="minorHAnsi"/>
        </w:rPr>
      </w:pPr>
      <w:r w:rsidRPr="0097459F">
        <w:rPr>
          <w:rFonts w:cstheme="minorHAnsi"/>
        </w:rPr>
        <w:t>X</w:t>
      </w:r>
      <w:r w:rsidR="009D3DF9" w:rsidRPr="0097459F">
        <w:rPr>
          <w:rFonts w:cstheme="minorHAnsi"/>
        </w:rPr>
        <w:t>I</w:t>
      </w:r>
      <w:r w:rsidR="00541B67" w:rsidRPr="0097459F">
        <w:rPr>
          <w:rFonts w:cstheme="minorHAnsi"/>
        </w:rPr>
        <w:t>I</w:t>
      </w:r>
      <w:r w:rsidRPr="0097459F">
        <w:rPr>
          <w:rFonts w:cstheme="minorHAnsi"/>
        </w:rPr>
        <w:t xml:space="preserve"> – taxas de ingresso e de saída, se houver;</w:t>
      </w:r>
    </w:p>
    <w:p w14:paraId="5E927D74" w14:textId="4E1A9376" w:rsidR="003F27D8" w:rsidRPr="0097459F" w:rsidRDefault="003F27D8" w:rsidP="00C20BBD">
      <w:pPr>
        <w:pStyle w:val="Normalalteradora"/>
        <w:rPr>
          <w:rFonts w:cstheme="minorHAnsi"/>
        </w:rPr>
      </w:pPr>
      <w:r w:rsidRPr="0097459F">
        <w:rPr>
          <w:rFonts w:cstheme="minorHAnsi"/>
        </w:rPr>
        <w:t>X</w:t>
      </w:r>
      <w:r w:rsidR="009D3DF9" w:rsidRPr="0097459F">
        <w:rPr>
          <w:rFonts w:cstheme="minorHAnsi"/>
        </w:rPr>
        <w:t>I</w:t>
      </w:r>
      <w:r w:rsidRPr="0097459F">
        <w:rPr>
          <w:rFonts w:cstheme="minorHAnsi"/>
        </w:rPr>
        <w:t>I</w:t>
      </w:r>
      <w:r w:rsidR="00541B67" w:rsidRPr="0097459F">
        <w:rPr>
          <w:rFonts w:cstheme="minorHAnsi"/>
        </w:rPr>
        <w:t>I</w:t>
      </w:r>
      <w:r w:rsidRPr="0097459F">
        <w:rPr>
          <w:rFonts w:cstheme="minorHAnsi"/>
        </w:rPr>
        <w:t xml:space="preserve"> – </w:t>
      </w:r>
      <w:r w:rsidR="006945A0" w:rsidRPr="0097459F">
        <w:rPr>
          <w:rFonts w:cstheme="minorHAnsi"/>
        </w:rPr>
        <w:t xml:space="preserve">a </w:t>
      </w:r>
      <w:r w:rsidRPr="0097459F">
        <w:rPr>
          <w:rFonts w:cstheme="minorHAnsi"/>
        </w:rPr>
        <w:t>distribuição de resultados, se for o caso, compreendendo os p</w:t>
      </w:r>
      <w:r w:rsidR="007F26B6" w:rsidRPr="0097459F">
        <w:rPr>
          <w:rFonts w:cstheme="minorHAnsi"/>
        </w:rPr>
        <w:t>razos e condições de pagamento;</w:t>
      </w:r>
    </w:p>
    <w:p w14:paraId="34E3BE02" w14:textId="426B1314" w:rsidR="003F27D8" w:rsidRPr="0097459F" w:rsidRDefault="00541B67" w:rsidP="00C20BBD">
      <w:pPr>
        <w:pStyle w:val="Normalalteradora"/>
        <w:rPr>
          <w:rFonts w:cstheme="minorHAnsi"/>
        </w:rPr>
      </w:pPr>
      <w:r w:rsidRPr="0097459F">
        <w:rPr>
          <w:rFonts w:cstheme="minorHAnsi"/>
        </w:rPr>
        <w:t xml:space="preserve">XIV </w:t>
      </w:r>
      <w:r w:rsidR="003F27D8" w:rsidRPr="0097459F">
        <w:rPr>
          <w:rFonts w:cstheme="minorHAnsi"/>
        </w:rPr>
        <w:t xml:space="preserve">– </w:t>
      </w:r>
      <w:r w:rsidR="006945A0" w:rsidRPr="0097459F">
        <w:rPr>
          <w:rFonts w:cstheme="minorHAnsi"/>
        </w:rPr>
        <w:t xml:space="preserve">o </w:t>
      </w:r>
      <w:r w:rsidR="003F27D8" w:rsidRPr="0097459F">
        <w:rPr>
          <w:rFonts w:cstheme="minorHAnsi"/>
        </w:rPr>
        <w:t xml:space="preserve">intervalo para </w:t>
      </w:r>
      <w:r w:rsidR="000A0ADE" w:rsidRPr="0097459F">
        <w:rPr>
          <w:rFonts w:cstheme="minorHAnsi"/>
        </w:rPr>
        <w:t>a atualização do valor da cota</w:t>
      </w:r>
      <w:r w:rsidR="00492061" w:rsidRPr="0097459F">
        <w:rPr>
          <w:rFonts w:cstheme="minorHAnsi"/>
        </w:rPr>
        <w:t xml:space="preserve"> da classe aberta</w:t>
      </w:r>
      <w:r w:rsidR="0031538B" w:rsidRPr="0097459F">
        <w:rPr>
          <w:rFonts w:cstheme="minorHAnsi"/>
        </w:rPr>
        <w:t>, que deve ser compatível com o prazo de resgate</w:t>
      </w:r>
      <w:r w:rsidR="003F27D8" w:rsidRPr="0097459F">
        <w:rPr>
          <w:rFonts w:cstheme="minorHAnsi"/>
        </w:rPr>
        <w:t>;</w:t>
      </w:r>
    </w:p>
    <w:p w14:paraId="47AC4B31" w14:textId="57294C28" w:rsidR="003F27D8" w:rsidRPr="0097459F" w:rsidRDefault="00541B67" w:rsidP="00C20BBD">
      <w:pPr>
        <w:pStyle w:val="Normalalteradora"/>
        <w:rPr>
          <w:rFonts w:cstheme="minorHAnsi"/>
        </w:rPr>
      </w:pPr>
      <w:r w:rsidRPr="0097459F">
        <w:rPr>
          <w:rFonts w:cstheme="minorHAnsi"/>
        </w:rPr>
        <w:t xml:space="preserve">XV </w:t>
      </w:r>
      <w:r w:rsidR="003F27D8" w:rsidRPr="0097459F">
        <w:rPr>
          <w:rFonts w:cstheme="minorHAnsi"/>
        </w:rPr>
        <w:t xml:space="preserve">– </w:t>
      </w:r>
      <w:proofErr w:type="gramStart"/>
      <w:r w:rsidR="006945A0" w:rsidRPr="0097459F">
        <w:rPr>
          <w:rFonts w:cstheme="minorHAnsi"/>
        </w:rPr>
        <w:t>a</w:t>
      </w:r>
      <w:proofErr w:type="gramEnd"/>
      <w:r w:rsidR="006945A0" w:rsidRPr="0097459F">
        <w:rPr>
          <w:rFonts w:cstheme="minorHAnsi"/>
        </w:rPr>
        <w:t xml:space="preserve"> </w:t>
      </w:r>
      <w:r w:rsidR="003F27D8" w:rsidRPr="0097459F">
        <w:rPr>
          <w:rFonts w:cstheme="minorHAnsi"/>
        </w:rPr>
        <w:t xml:space="preserve">forma de comunicação que </w:t>
      </w:r>
      <w:r w:rsidR="00273C0F" w:rsidRPr="0097459F">
        <w:rPr>
          <w:rFonts w:cstheme="minorHAnsi"/>
        </w:rPr>
        <w:t xml:space="preserve">deve ser </w:t>
      </w:r>
      <w:r w:rsidR="003F27D8" w:rsidRPr="0097459F">
        <w:rPr>
          <w:rFonts w:cstheme="minorHAnsi"/>
        </w:rPr>
        <w:t>utilizada pelo administrador, em conformidade com o disposto no art. 12;</w:t>
      </w:r>
    </w:p>
    <w:p w14:paraId="37CD7E81" w14:textId="531D56FC" w:rsidR="003F27D8" w:rsidRDefault="003F27D8" w:rsidP="00C20BBD">
      <w:pPr>
        <w:pStyle w:val="Normalalteradora"/>
        <w:rPr>
          <w:rFonts w:cstheme="minorHAnsi"/>
        </w:rPr>
      </w:pPr>
      <w:r w:rsidRPr="0097459F">
        <w:rPr>
          <w:rFonts w:cstheme="minorHAnsi"/>
        </w:rPr>
        <w:t>X</w:t>
      </w:r>
      <w:r w:rsidR="009D3DF9" w:rsidRPr="0097459F">
        <w:rPr>
          <w:rFonts w:cstheme="minorHAnsi"/>
        </w:rPr>
        <w:t>V</w:t>
      </w:r>
      <w:r w:rsidR="00541B67" w:rsidRPr="0097459F">
        <w:rPr>
          <w:rFonts w:cstheme="minorHAnsi"/>
        </w:rPr>
        <w:t>I</w:t>
      </w:r>
      <w:r w:rsidRPr="0097459F">
        <w:rPr>
          <w:rFonts w:cstheme="minorHAnsi"/>
        </w:rPr>
        <w:t xml:space="preserve"> – </w:t>
      </w:r>
      <w:r w:rsidR="006945A0" w:rsidRPr="0097459F">
        <w:rPr>
          <w:rFonts w:cstheme="minorHAnsi"/>
        </w:rPr>
        <w:t xml:space="preserve">os </w:t>
      </w:r>
      <w:r w:rsidRPr="0097459F">
        <w:rPr>
          <w:rFonts w:cstheme="minorHAnsi"/>
        </w:rPr>
        <w:t>procedimentos aplicáveis às manifestações de vontade dos cotistas por meio eletrônico, observado o disposto no art. 12, § 3º, I;</w:t>
      </w:r>
    </w:p>
    <w:p w14:paraId="139B3EEB" w14:textId="0ED44696" w:rsidR="00DD4A5D" w:rsidRDefault="00DD4A5D" w:rsidP="00DD4A5D">
      <w:pPr>
        <w:pStyle w:val="Normalalteradora"/>
        <w:rPr>
          <w:rFonts w:cstheme="minorHAnsi"/>
          <w:strike/>
        </w:rPr>
      </w:pPr>
      <w:bookmarkStart w:id="133" w:name="_Hlk42692273"/>
      <w:r w:rsidRPr="00CC0C8D">
        <w:rPr>
          <w:rFonts w:cstheme="minorHAnsi"/>
          <w:strike/>
        </w:rPr>
        <w:t>XVII – os eventos que obrigam o administrador a verificar se o patrimônio líquido da classe está negativo;</w:t>
      </w:r>
      <w:bookmarkEnd w:id="133"/>
      <w:r w:rsidRPr="00CC0C8D">
        <w:rPr>
          <w:rFonts w:cstheme="minorHAnsi"/>
          <w:strike/>
        </w:rPr>
        <w:t xml:space="preserve"> e</w:t>
      </w:r>
    </w:p>
    <w:p w14:paraId="449EBAAC" w14:textId="77777777" w:rsidR="00CC0C8D" w:rsidRPr="0097459F" w:rsidRDefault="00CC0C8D" w:rsidP="00CC0C8D">
      <w:pPr>
        <w:pStyle w:val="NormaAlterada"/>
        <w:rPr>
          <w:rFonts w:cstheme="minorHAnsi"/>
        </w:rPr>
      </w:pPr>
      <w:r w:rsidRPr="0097459F">
        <w:rPr>
          <w:rFonts w:cstheme="minorHAnsi"/>
        </w:rPr>
        <w:t>XVII – os eventos que obrigam o administrador a verificar se o patrimônio líquido da classe está negativo;</w:t>
      </w:r>
    </w:p>
    <w:p w14:paraId="00A492C2" w14:textId="36B12090" w:rsidR="00CC0C8D" w:rsidRPr="00CC0C8D" w:rsidRDefault="00CC0C8D">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D960C9">
        <w:rPr>
          <w:rFonts w:asciiTheme="minorHAnsi" w:hAnsiTheme="minorHAnsi" w:cstheme="minorHAnsi"/>
          <w:b/>
          <w:i/>
          <w:iCs/>
          <w:sz w:val="24"/>
          <w:szCs w:val="24"/>
        </w:rPr>
        <w:lastRenderedPageBreak/>
        <w:t xml:space="preserve">Inciso </w:t>
      </w:r>
      <w:r>
        <w:rPr>
          <w:rFonts w:asciiTheme="minorHAnsi" w:hAnsiTheme="minorHAnsi" w:cstheme="minorHAnsi"/>
          <w:b/>
          <w:i/>
          <w:iCs/>
          <w:sz w:val="24"/>
          <w:szCs w:val="24"/>
        </w:rPr>
        <w:t>XVII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p>
    <w:p w14:paraId="279ED698" w14:textId="3521C166" w:rsidR="00DD4A5D" w:rsidRDefault="00DD4A5D" w:rsidP="00DD4A5D">
      <w:pPr>
        <w:pStyle w:val="Normalalteradora"/>
        <w:rPr>
          <w:rFonts w:cstheme="minorHAnsi"/>
          <w:strike/>
        </w:rPr>
      </w:pPr>
      <w:r w:rsidRPr="00CC0C8D">
        <w:rPr>
          <w:rFonts w:cstheme="minorHAnsi"/>
          <w:strike/>
        </w:rPr>
        <w:t>XVIII – os procedimentos aplicáveis à liquidação da classe, o que pode incluir hipóteses de liquidação antecipada.</w:t>
      </w:r>
    </w:p>
    <w:p w14:paraId="4193DB55" w14:textId="77777777" w:rsidR="00CC0C8D" w:rsidRDefault="00CC0C8D" w:rsidP="00CC0C8D">
      <w:pPr>
        <w:pStyle w:val="NormaAlterada"/>
        <w:rPr>
          <w:rFonts w:cstheme="minorHAnsi"/>
        </w:rPr>
      </w:pPr>
      <w:r w:rsidRPr="0097459F">
        <w:rPr>
          <w:rFonts w:cstheme="minorHAnsi"/>
        </w:rPr>
        <w:t>XVIII – os procedimentos aplicáveis à liquidação da classe, o que pode incluir hipóteses de liquidação antecipada</w:t>
      </w:r>
      <w:r>
        <w:rPr>
          <w:rFonts w:cstheme="minorHAnsi"/>
        </w:rPr>
        <w:t>; e</w:t>
      </w:r>
    </w:p>
    <w:p w14:paraId="6B053374" w14:textId="5B3B6AD4" w:rsidR="00CC0C8D" w:rsidRPr="00CC0C8D" w:rsidRDefault="00CC0C8D">
      <w:pPr>
        <w:numPr>
          <w:ilvl w:val="0"/>
          <w:numId w:val="12"/>
        </w:numPr>
        <w:tabs>
          <w:tab w:val="left" w:pos="709"/>
        </w:tabs>
        <w:spacing w:after="0" w:line="312" w:lineRule="auto"/>
        <w:ind w:left="0" w:firstLine="567"/>
        <w:jc w:val="both"/>
        <w:rPr>
          <w:strike/>
        </w:rPr>
      </w:pPr>
      <w:r w:rsidRPr="00CC0C8D">
        <w:rPr>
          <w:rFonts w:asciiTheme="minorHAnsi" w:hAnsiTheme="minorHAnsi" w:cstheme="minorHAnsi"/>
          <w:b/>
          <w:i/>
          <w:iCs/>
          <w:sz w:val="24"/>
          <w:szCs w:val="24"/>
        </w:rPr>
        <w:t>Inciso XVIII</w:t>
      </w:r>
      <w:r w:rsidRPr="00CC0C8D">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Resolução</w:t>
      </w:r>
      <w:r w:rsidRPr="00CC0C8D">
        <w:rPr>
          <w:rFonts w:asciiTheme="minorHAnsi" w:hAnsiTheme="minorHAnsi" w:cstheme="minorHAnsi"/>
          <w:b/>
          <w:i/>
          <w:sz w:val="24"/>
          <w:szCs w:val="24"/>
        </w:rPr>
        <w:t xml:space="preserve"> CVM nº 181, de 28 de março de 2023.</w:t>
      </w:r>
    </w:p>
    <w:p w14:paraId="66324F74" w14:textId="77777777" w:rsidR="00CC0C8D" w:rsidRPr="0097459F" w:rsidRDefault="00CC0C8D" w:rsidP="00CC0C8D">
      <w:pPr>
        <w:pStyle w:val="NormaAlterada"/>
      </w:pPr>
      <w:bookmarkStart w:id="134" w:name="_Hlk131068301"/>
      <w:r>
        <w:rPr>
          <w:rFonts w:cstheme="minorHAnsi"/>
        </w:rPr>
        <w:t>XIX</w:t>
      </w:r>
      <w:r w:rsidRPr="0097459F">
        <w:t xml:space="preserve"> – taxas de administração e de gestão, que devem ser expressas em:</w:t>
      </w:r>
    </w:p>
    <w:p w14:paraId="331F13FF" w14:textId="77777777" w:rsidR="00CC0C8D" w:rsidRPr="0097459F" w:rsidRDefault="00CC0C8D" w:rsidP="00CC0C8D">
      <w:pPr>
        <w:pStyle w:val="NormaAlterada"/>
        <w:rPr>
          <w:rFonts w:cstheme="minorHAnsi"/>
        </w:rPr>
      </w:pPr>
      <w:r w:rsidRPr="0097459F">
        <w:rPr>
          <w:rFonts w:cstheme="minorHAnsi"/>
        </w:rPr>
        <w:t>a) um percentual anual fixo do patrimônio líquido (base 252 dias); ou</w:t>
      </w:r>
    </w:p>
    <w:p w14:paraId="4A4EE4F8" w14:textId="607F5070" w:rsidR="00CC0C8D" w:rsidRDefault="00CC0C8D" w:rsidP="00CC0C8D">
      <w:pPr>
        <w:pStyle w:val="NormaAlterada"/>
        <w:rPr>
          <w:rFonts w:cstheme="minorHAnsi"/>
        </w:rPr>
      </w:pPr>
      <w:r w:rsidRPr="0097459F">
        <w:rPr>
          <w:rFonts w:cstheme="minorHAnsi"/>
        </w:rPr>
        <w:t>b) um valor nominal em moeda corrente nacional, que pode variar em função de faixas d</w:t>
      </w:r>
      <w:r>
        <w:rPr>
          <w:rFonts w:cstheme="minorHAnsi"/>
        </w:rPr>
        <w:t>e valores do patrimônio líquido.</w:t>
      </w:r>
    </w:p>
    <w:p w14:paraId="72F247BB" w14:textId="101A6596" w:rsidR="00CC0C8D" w:rsidRPr="00CC0C8D" w:rsidRDefault="00CC0C8D">
      <w:pPr>
        <w:numPr>
          <w:ilvl w:val="0"/>
          <w:numId w:val="12"/>
        </w:numPr>
        <w:tabs>
          <w:tab w:val="left" w:pos="709"/>
        </w:tabs>
        <w:spacing w:after="0" w:line="312" w:lineRule="auto"/>
        <w:ind w:left="0" w:firstLine="567"/>
        <w:jc w:val="both"/>
        <w:rPr>
          <w:strike/>
        </w:rPr>
      </w:pPr>
      <w:r w:rsidRPr="00CC0C8D">
        <w:rPr>
          <w:rFonts w:asciiTheme="minorHAnsi" w:hAnsiTheme="minorHAnsi" w:cstheme="minorHAnsi"/>
          <w:b/>
          <w:i/>
          <w:iCs/>
          <w:sz w:val="24"/>
          <w:szCs w:val="24"/>
        </w:rPr>
        <w:t>Inciso X</w:t>
      </w:r>
      <w:r>
        <w:rPr>
          <w:rFonts w:asciiTheme="minorHAnsi" w:hAnsiTheme="minorHAnsi" w:cstheme="minorHAnsi"/>
          <w:b/>
          <w:i/>
          <w:iCs/>
          <w:sz w:val="24"/>
          <w:szCs w:val="24"/>
        </w:rPr>
        <w:t>IX</w:t>
      </w:r>
      <w:r w:rsidRPr="00CC0C8D">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CC0C8D">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CC0C8D">
        <w:rPr>
          <w:rFonts w:asciiTheme="minorHAnsi" w:hAnsiTheme="minorHAnsi" w:cstheme="minorHAnsi"/>
          <w:b/>
          <w:i/>
          <w:sz w:val="24"/>
          <w:szCs w:val="24"/>
        </w:rPr>
        <w:t>CVM nº 181, de 28 de março de 2023.</w:t>
      </w:r>
    </w:p>
    <w:bookmarkEnd w:id="134"/>
    <w:p w14:paraId="663C2464" w14:textId="529B2710" w:rsidR="00D97C0B" w:rsidRDefault="00392633" w:rsidP="00C20BBD">
      <w:pPr>
        <w:pStyle w:val="Normalalteradora"/>
        <w:rPr>
          <w:rFonts w:cstheme="minorHAnsi"/>
        </w:rPr>
      </w:pPr>
      <w:r w:rsidRPr="0097459F">
        <w:rPr>
          <w:rFonts w:cstheme="minorHAnsi"/>
        </w:rPr>
        <w:t xml:space="preserve">§ </w:t>
      </w:r>
      <w:r w:rsidR="009D3DF9" w:rsidRPr="0097459F">
        <w:rPr>
          <w:rFonts w:cstheme="minorHAnsi"/>
        </w:rPr>
        <w:t>3</w:t>
      </w:r>
      <w:proofErr w:type="gramStart"/>
      <w:r w:rsidRPr="0097459F">
        <w:rPr>
          <w:rFonts w:cstheme="minorHAnsi"/>
        </w:rPr>
        <w:t>º  Na</w:t>
      </w:r>
      <w:proofErr w:type="gramEnd"/>
      <w:r w:rsidRPr="0097459F">
        <w:rPr>
          <w:rFonts w:cstheme="minorHAnsi"/>
        </w:rPr>
        <w:t xml:space="preserve"> classe de cotas que possua subclasses, os apêndices das subclasses, cada qual relativo a uma subclasse em específico, devem dispor sobre as particularidades d</w:t>
      </w:r>
      <w:r w:rsidR="00820176" w:rsidRPr="0097459F">
        <w:rPr>
          <w:rFonts w:cstheme="minorHAnsi"/>
        </w:rPr>
        <w:t>as respectivas</w:t>
      </w:r>
      <w:r w:rsidRPr="0097459F">
        <w:rPr>
          <w:rFonts w:cstheme="minorHAnsi"/>
        </w:rPr>
        <w:t xml:space="preserve"> </w:t>
      </w:r>
      <w:r w:rsidR="00E34C3B" w:rsidRPr="0097459F">
        <w:rPr>
          <w:rFonts w:cstheme="minorHAnsi"/>
        </w:rPr>
        <w:t>subclasse</w:t>
      </w:r>
      <w:r w:rsidR="00820176" w:rsidRPr="0097459F">
        <w:rPr>
          <w:rFonts w:cstheme="minorHAnsi"/>
        </w:rPr>
        <w:t>s</w:t>
      </w:r>
      <w:r w:rsidR="00E34C3B" w:rsidRPr="0097459F">
        <w:rPr>
          <w:rFonts w:cstheme="minorHAnsi"/>
        </w:rPr>
        <w:t>, conforme previstas nesta Resolução</w:t>
      </w:r>
      <w:r w:rsidR="00C402F4" w:rsidRPr="0097459F">
        <w:rPr>
          <w:rFonts w:cstheme="minorHAnsi"/>
        </w:rPr>
        <w:t xml:space="preserve"> e seus Anexos Normativos</w:t>
      </w:r>
      <w:r w:rsidRPr="0097459F">
        <w:rPr>
          <w:rFonts w:cstheme="minorHAnsi"/>
        </w:rPr>
        <w:t>.</w:t>
      </w:r>
    </w:p>
    <w:p w14:paraId="25366D93" w14:textId="6755F406" w:rsidR="00CC0C8D" w:rsidRDefault="00CC0C8D" w:rsidP="00C20BBD">
      <w:pPr>
        <w:pStyle w:val="Normalalteradora"/>
        <w:rPr>
          <w:rStyle w:val="ui-provider"/>
          <w:rFonts w:eastAsiaTheme="majorEastAsia"/>
        </w:rPr>
      </w:pPr>
      <w:r>
        <w:rPr>
          <w:rFonts w:cstheme="minorHAnsi"/>
        </w:rPr>
        <w:t>§ 4</w:t>
      </w:r>
      <w:proofErr w:type="gramStart"/>
      <w:r>
        <w:rPr>
          <w:rFonts w:cstheme="minorHAnsi"/>
        </w:rPr>
        <w:t xml:space="preserve">º  </w:t>
      </w:r>
      <w:r>
        <w:rPr>
          <w:rStyle w:val="ui-provider"/>
          <w:rFonts w:eastAsiaTheme="majorEastAsia"/>
        </w:rPr>
        <w:t>Caso</w:t>
      </w:r>
      <w:proofErr w:type="gramEnd"/>
      <w:r>
        <w:rPr>
          <w:rStyle w:val="ui-provider"/>
          <w:rFonts w:eastAsiaTheme="majorEastAsia"/>
        </w:rPr>
        <w:t xml:space="preserve"> a classe de cotas conte com subclasses que possuam diferentes taxas de administração e gestão, essas taxas devem ser disciplinadas no apêndice descritivo das subclasses.</w:t>
      </w:r>
    </w:p>
    <w:p w14:paraId="677F7EB1" w14:textId="75EEC042" w:rsidR="00CC0C8D" w:rsidRPr="00CC0C8D" w:rsidRDefault="00CC0C8D">
      <w:pPr>
        <w:numPr>
          <w:ilvl w:val="0"/>
          <w:numId w:val="12"/>
        </w:numPr>
        <w:tabs>
          <w:tab w:val="left" w:pos="709"/>
        </w:tabs>
        <w:spacing w:after="0" w:line="312" w:lineRule="auto"/>
        <w:ind w:left="0" w:firstLine="567"/>
        <w:jc w:val="both"/>
        <w:rPr>
          <w:strike/>
        </w:rPr>
      </w:pPr>
      <w:r w:rsidRPr="00CC0C8D">
        <w:rPr>
          <w:rFonts w:asciiTheme="minorHAnsi" w:hAnsiTheme="minorHAnsi" w:cstheme="minorHAnsi"/>
          <w:b/>
          <w:bCs/>
          <w:i/>
          <w:iCs/>
          <w:sz w:val="24"/>
          <w:szCs w:val="24"/>
        </w:rPr>
        <w:t>§ 4º</w:t>
      </w:r>
      <w:r>
        <w:rPr>
          <w:rFonts w:cstheme="minorHAnsi"/>
        </w:rPr>
        <w:t xml:space="preserve"> </w:t>
      </w:r>
      <w:r>
        <w:rPr>
          <w:rFonts w:asciiTheme="minorHAnsi" w:hAnsiTheme="minorHAnsi" w:cstheme="minorHAnsi"/>
          <w:b/>
          <w:i/>
          <w:sz w:val="24"/>
          <w:szCs w:val="24"/>
        </w:rPr>
        <w:t xml:space="preserve">incluído </w:t>
      </w:r>
      <w:r w:rsidRPr="00CC0C8D">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CC0C8D">
        <w:rPr>
          <w:rFonts w:asciiTheme="minorHAnsi" w:hAnsiTheme="minorHAnsi" w:cstheme="minorHAnsi"/>
          <w:b/>
          <w:i/>
          <w:sz w:val="24"/>
          <w:szCs w:val="24"/>
        </w:rPr>
        <w:t>CVM nº 181, de 28 de março de 2023.</w:t>
      </w:r>
    </w:p>
    <w:p w14:paraId="68E9C8FC" w14:textId="63249139" w:rsidR="00A17210" w:rsidRPr="0097459F" w:rsidRDefault="00556B2D" w:rsidP="00C20BBD">
      <w:pPr>
        <w:pStyle w:val="Normalalteradora"/>
      </w:pPr>
      <w:r w:rsidRPr="0097459F">
        <w:rPr>
          <w:rFonts w:cstheme="minorHAnsi"/>
        </w:rPr>
        <w:t xml:space="preserve">Art. </w:t>
      </w:r>
      <w:r w:rsidR="002A1094" w:rsidRPr="0097459F">
        <w:rPr>
          <w:rFonts w:cstheme="minorHAnsi"/>
        </w:rPr>
        <w:t>49</w:t>
      </w:r>
      <w:r w:rsidRPr="0097459F">
        <w:rPr>
          <w:rFonts w:cstheme="minorHAnsi"/>
        </w:rPr>
        <w:t xml:space="preserve">.  </w:t>
      </w:r>
      <w:r w:rsidR="00D11CC7" w:rsidRPr="0097459F">
        <w:t xml:space="preserve">O regulamento do fundo e o anexo descritivo </w:t>
      </w:r>
      <w:r w:rsidRPr="0097459F">
        <w:t xml:space="preserve">da classe de cotas </w:t>
      </w:r>
      <w:r w:rsidR="00D11CC7" w:rsidRPr="0097459F">
        <w:t xml:space="preserve">cuja denominação </w:t>
      </w:r>
      <w:r w:rsidRPr="0097459F">
        <w:t xml:space="preserve">contenha referência a fatores ambientais, sociais e de governança, tais como </w:t>
      </w:r>
      <w:r w:rsidR="00116B36" w:rsidRPr="0097459F">
        <w:t xml:space="preserve">“ESG”, “ASG”, </w:t>
      </w:r>
      <w:r w:rsidRPr="0097459F">
        <w:t xml:space="preserve">“ambiental”, “verde”, “social”, “sustentável” ou quaisquer outros termos correlatos às finanças sustentáveis, </w:t>
      </w:r>
      <w:r w:rsidR="00A17210" w:rsidRPr="0097459F">
        <w:t>deve</w:t>
      </w:r>
      <w:r w:rsidR="00D11CC7" w:rsidRPr="0097459F">
        <w:t xml:space="preserve"> estabelecer</w:t>
      </w:r>
      <w:r w:rsidR="00A17210" w:rsidRPr="0097459F">
        <w:t>:</w:t>
      </w:r>
    </w:p>
    <w:p w14:paraId="3614F64F" w14:textId="4A1134CD" w:rsidR="000F4838" w:rsidRPr="0097459F" w:rsidRDefault="000F4838" w:rsidP="00C20BBD">
      <w:pPr>
        <w:pStyle w:val="Normalalteradora"/>
      </w:pPr>
      <w:r w:rsidRPr="0097459F">
        <w:t xml:space="preserve">I </w:t>
      </w:r>
      <w:r w:rsidR="003D73C1" w:rsidRPr="0097459F">
        <w:t>–</w:t>
      </w:r>
      <w:r w:rsidRPr="0097459F">
        <w:t xml:space="preserve"> </w:t>
      </w:r>
      <w:proofErr w:type="gramStart"/>
      <w:r w:rsidRPr="0097459F">
        <w:rPr>
          <w:rFonts w:cstheme="minorHAnsi"/>
        </w:rPr>
        <w:t>quais</w:t>
      </w:r>
      <w:proofErr w:type="gramEnd"/>
      <w:r w:rsidRPr="0097459F">
        <w:rPr>
          <w:rFonts w:cstheme="minorHAnsi"/>
        </w:rPr>
        <w:t xml:space="preserve"> os benefícios ambientais, sociais ou de governança esperados</w:t>
      </w:r>
      <w:r w:rsidRPr="0097459F">
        <w:t xml:space="preserve"> e como a política de investimento busca originá-los;</w:t>
      </w:r>
    </w:p>
    <w:p w14:paraId="4E906A9A" w14:textId="76B74D81" w:rsidR="00A74E73" w:rsidRPr="0097459F" w:rsidRDefault="00A17210" w:rsidP="00C20BBD">
      <w:pPr>
        <w:pStyle w:val="Normalalteradora"/>
      </w:pPr>
      <w:r w:rsidRPr="0097459F">
        <w:t>I</w:t>
      </w:r>
      <w:r w:rsidR="000F4838" w:rsidRPr="0097459F">
        <w:t>I</w:t>
      </w:r>
      <w:r w:rsidRPr="0097459F">
        <w:t xml:space="preserve"> </w:t>
      </w:r>
      <w:r w:rsidR="003D0B5D" w:rsidRPr="0097459F">
        <w:t>–</w:t>
      </w:r>
      <w:r w:rsidRPr="0097459F">
        <w:t xml:space="preserve"> </w:t>
      </w:r>
      <w:proofErr w:type="gramStart"/>
      <w:r w:rsidR="00D11CC7" w:rsidRPr="0097459F">
        <w:t>quais</w:t>
      </w:r>
      <w:proofErr w:type="gramEnd"/>
      <w:r w:rsidR="00D11CC7" w:rsidRPr="0097459F">
        <w:t xml:space="preserve"> metodologias, princípios ou diretrizes são seguidas para a qualificação do fundo ou da classe, conforme sua denominação</w:t>
      </w:r>
      <w:r w:rsidR="00745557" w:rsidRPr="0097459F">
        <w:t>;</w:t>
      </w:r>
    </w:p>
    <w:p w14:paraId="2478204F" w14:textId="2B529DA3" w:rsidR="00556B2D" w:rsidRPr="0097459F" w:rsidRDefault="00A74E73" w:rsidP="00C20BBD">
      <w:pPr>
        <w:pStyle w:val="Normalalteradora"/>
      </w:pPr>
      <w:r w:rsidRPr="0097459F">
        <w:t>II</w:t>
      </w:r>
      <w:r w:rsidR="000F4838" w:rsidRPr="0097459F">
        <w:t>I</w:t>
      </w:r>
      <w:r w:rsidRPr="0097459F">
        <w:t xml:space="preserve"> </w:t>
      </w:r>
      <w:r w:rsidR="003D0B5D" w:rsidRPr="0097459F">
        <w:t>–</w:t>
      </w:r>
      <w:r w:rsidRPr="0097459F">
        <w:t xml:space="preserve"> </w:t>
      </w:r>
      <w:r w:rsidR="00D11CC7" w:rsidRPr="0097459F">
        <w:t xml:space="preserve">qual a entidade responsável </w:t>
      </w:r>
      <w:r w:rsidR="00EB6EB4" w:rsidRPr="0097459F">
        <w:t xml:space="preserve">por certificar </w:t>
      </w:r>
      <w:r w:rsidR="00745557" w:rsidRPr="0097459F">
        <w:t xml:space="preserve">ou emitir parecer de segunda opinião sobre a qualificação, </w:t>
      </w:r>
      <w:r w:rsidR="00F64AFA" w:rsidRPr="0097459F">
        <w:t xml:space="preserve">se houver, </w:t>
      </w:r>
      <w:r w:rsidR="00745557" w:rsidRPr="0097459F">
        <w:t>bem como informações sobre a sua independência em relação ao fundo</w:t>
      </w:r>
      <w:r w:rsidR="00D11CC7" w:rsidRPr="0097459F">
        <w:t>;</w:t>
      </w:r>
      <w:r w:rsidR="003D0B5D" w:rsidRPr="0097459F">
        <w:t xml:space="preserve"> e</w:t>
      </w:r>
    </w:p>
    <w:p w14:paraId="43902B3A" w14:textId="08B2D05C" w:rsidR="002E670A" w:rsidRPr="0097459F" w:rsidRDefault="00745557" w:rsidP="00C20BBD">
      <w:pPr>
        <w:pStyle w:val="Normalalteradora"/>
      </w:pPr>
      <w:r w:rsidRPr="0097459F">
        <w:lastRenderedPageBreak/>
        <w:t xml:space="preserve">IV </w:t>
      </w:r>
      <w:r w:rsidR="00D11CC7" w:rsidRPr="0097459F">
        <w:t>–</w:t>
      </w:r>
      <w:r w:rsidR="00B7720E" w:rsidRPr="0097459F">
        <w:rPr>
          <w:rFonts w:cstheme="minorHAnsi"/>
        </w:rPr>
        <w:t xml:space="preserve"> </w:t>
      </w:r>
      <w:proofErr w:type="gramStart"/>
      <w:r w:rsidR="002E670A" w:rsidRPr="0097459F">
        <w:t>especificação</w:t>
      </w:r>
      <w:proofErr w:type="gramEnd"/>
      <w:r w:rsidR="002E670A" w:rsidRPr="0097459F">
        <w:t xml:space="preserve"> sobre a forma, o conteúdo e a periodicidade de divulgação de relatório sobre os resultados ambientais, sociais e de governança </w:t>
      </w:r>
      <w:r w:rsidR="002500EA" w:rsidRPr="0097459F">
        <w:t xml:space="preserve">alcançados pela política de investimento no </w:t>
      </w:r>
      <w:r w:rsidR="00755E72" w:rsidRPr="0097459F">
        <w:t>período</w:t>
      </w:r>
      <w:r w:rsidR="002E670A" w:rsidRPr="0097459F">
        <w:t xml:space="preserve">, assim como a identificação </w:t>
      </w:r>
      <w:r w:rsidRPr="0097459F">
        <w:t>do agente</w:t>
      </w:r>
      <w:r w:rsidR="002E670A" w:rsidRPr="0097459F">
        <w:t xml:space="preserve"> responsável pela elaboração do relatório.</w:t>
      </w:r>
    </w:p>
    <w:p w14:paraId="38E90519" w14:textId="77777777" w:rsidR="002500EA" w:rsidRDefault="002500EA" w:rsidP="00C20BBD">
      <w:pPr>
        <w:pStyle w:val="Normalalteradora"/>
        <w:rPr>
          <w:strike/>
        </w:rPr>
      </w:pPr>
      <w:r w:rsidRPr="00517AE6">
        <w:rPr>
          <w:strike/>
        </w:rPr>
        <w:t>Parágrafo único.  Caso a polí</w:t>
      </w:r>
      <w:r w:rsidR="000F4838" w:rsidRPr="00517AE6">
        <w:rPr>
          <w:strike/>
        </w:rPr>
        <w:t>tica de investimento</w:t>
      </w:r>
      <w:r w:rsidRPr="00517AE6">
        <w:rPr>
          <w:strike/>
        </w:rPr>
        <w:t xml:space="preserve"> </w:t>
      </w:r>
      <w:r w:rsidR="000F4838" w:rsidRPr="00517AE6">
        <w:rPr>
          <w:strike/>
        </w:rPr>
        <w:t>integre fatores ambientais, sociais e de governança à</w:t>
      </w:r>
      <w:r w:rsidR="00F4597C" w:rsidRPr="00517AE6">
        <w:rPr>
          <w:strike/>
        </w:rPr>
        <w:t xml:space="preserve">s atividades relacionadas </w:t>
      </w:r>
      <w:r w:rsidR="000F4838" w:rsidRPr="00517AE6">
        <w:rPr>
          <w:strike/>
        </w:rPr>
        <w:t xml:space="preserve">à gestão da carteira, mas </w:t>
      </w:r>
      <w:r w:rsidRPr="00517AE6">
        <w:rPr>
          <w:strike/>
        </w:rPr>
        <w:t>não busque originar benef</w:t>
      </w:r>
      <w:r w:rsidR="007D45DD" w:rsidRPr="00517AE6">
        <w:rPr>
          <w:strike/>
        </w:rPr>
        <w:t>ícios socioambientais</w:t>
      </w:r>
      <w:r w:rsidRPr="00517AE6">
        <w:rPr>
          <w:strike/>
        </w:rPr>
        <w:t xml:space="preserve">, </w:t>
      </w:r>
      <w:r w:rsidR="007D45DD" w:rsidRPr="00517AE6">
        <w:rPr>
          <w:strike/>
        </w:rPr>
        <w:t xml:space="preserve">fica vedada a utilização dos termos referidos no </w:t>
      </w:r>
      <w:r w:rsidR="007D45DD" w:rsidRPr="00517AE6">
        <w:rPr>
          <w:b/>
          <w:strike/>
        </w:rPr>
        <w:t>caput</w:t>
      </w:r>
      <w:r w:rsidR="000F4838" w:rsidRPr="00517AE6">
        <w:rPr>
          <w:strike/>
        </w:rPr>
        <w:t xml:space="preserve">, devendo o regulamento dispor acerca da </w:t>
      </w:r>
      <w:r w:rsidR="007C0FDC" w:rsidRPr="00517AE6">
        <w:rPr>
          <w:strike/>
        </w:rPr>
        <w:t>integração</w:t>
      </w:r>
      <w:r w:rsidR="000F4838" w:rsidRPr="00517AE6">
        <w:rPr>
          <w:strike/>
        </w:rPr>
        <w:t xml:space="preserve"> </w:t>
      </w:r>
      <w:r w:rsidR="007C0FDC" w:rsidRPr="00517AE6">
        <w:rPr>
          <w:strike/>
        </w:rPr>
        <w:t>d</w:t>
      </w:r>
      <w:r w:rsidR="000F4838" w:rsidRPr="00517AE6">
        <w:rPr>
          <w:strike/>
        </w:rPr>
        <w:t>os referidos fatores à política de investimento.</w:t>
      </w:r>
    </w:p>
    <w:p w14:paraId="6C073CF8" w14:textId="6CBAEF2D" w:rsidR="00517AE6" w:rsidRDefault="00517AE6" w:rsidP="00C20BBD">
      <w:pPr>
        <w:pStyle w:val="Normalalteradora"/>
      </w:pPr>
      <w:r>
        <w:t xml:space="preserve">Parágrafo único.  Caso a política de investimento integre fatores ambientais, sociais </w:t>
      </w:r>
      <w:r w:rsidRPr="00137297">
        <w:t>ou</w:t>
      </w:r>
      <w:r>
        <w:t xml:space="preserve"> de governança às atividades relacionadas à gestão da carteira, mas não busque originar benefícios ambientais, sociais ou de governança, fica vedada a utilização dos termos referidos no </w:t>
      </w:r>
      <w:r w:rsidRPr="00E74A19">
        <w:rPr>
          <w:b/>
        </w:rPr>
        <w:t>caput</w:t>
      </w:r>
      <w:r>
        <w:t>, devendo o regulamento dispor acerca da integração dos referidos fatores à política de investimento.</w:t>
      </w:r>
    </w:p>
    <w:p w14:paraId="0009097C" w14:textId="2FDFB3EA"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Parágrafo único</w:t>
      </w:r>
      <w:r w:rsidRPr="00517AE6">
        <w:rPr>
          <w:rFonts w:asciiTheme="minorHAnsi" w:hAnsiTheme="minorHAnsi" w:cstheme="minorHAnsi"/>
          <w:b/>
          <w:i/>
          <w:sz w:val="24"/>
          <w:szCs w:val="24"/>
        </w:rPr>
        <w:t xml:space="preserve"> com redação dada 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74075BA7" w14:textId="27FF14F4"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50</w:t>
      </w:r>
      <w:r w:rsidRPr="0097459F">
        <w:rPr>
          <w:rFonts w:cstheme="minorHAnsi"/>
        </w:rPr>
        <w:t xml:space="preserve">.  As alterações do regulamento dependem da prévia aprovação da assembleia de cotistas, salvo nas hipóteses previstas no art. </w:t>
      </w:r>
      <w:r w:rsidR="0098016B" w:rsidRPr="0097459F">
        <w:rPr>
          <w:rFonts w:cstheme="minorHAnsi"/>
        </w:rPr>
        <w:t>52</w:t>
      </w:r>
      <w:r w:rsidRPr="0097459F">
        <w:rPr>
          <w:rFonts w:cstheme="minorHAnsi"/>
        </w:rPr>
        <w:t>.</w:t>
      </w:r>
    </w:p>
    <w:p w14:paraId="29F8774C" w14:textId="417D9DE2" w:rsidR="00A61C12" w:rsidRPr="0097459F" w:rsidRDefault="00893D49" w:rsidP="00C20BBD">
      <w:pPr>
        <w:pStyle w:val="Normalalteradora"/>
        <w:rPr>
          <w:rFonts w:cstheme="minorHAnsi"/>
        </w:rPr>
      </w:pPr>
      <w:r w:rsidRPr="0097459F">
        <w:rPr>
          <w:rFonts w:cstheme="minorHAnsi"/>
        </w:rPr>
        <w:t xml:space="preserve">Parágrafo único.  </w:t>
      </w:r>
      <w:r w:rsidR="00A61C12" w:rsidRPr="0097459F">
        <w:rPr>
          <w:rFonts w:cstheme="minorHAnsi"/>
        </w:rPr>
        <w:t>S</w:t>
      </w:r>
      <w:r w:rsidRPr="0097459F">
        <w:rPr>
          <w:rFonts w:cstheme="minorHAnsi"/>
        </w:rPr>
        <w:t>alvo se aprovadas pela unanimidade dos cotistas reunidos em assembleia, as alterações de regulamento são eficazes</w:t>
      </w:r>
      <w:r w:rsidR="00A61C12" w:rsidRPr="0097459F">
        <w:rPr>
          <w:rFonts w:cstheme="minorHAnsi"/>
        </w:rPr>
        <w:t>:</w:t>
      </w:r>
    </w:p>
    <w:p w14:paraId="5954192A" w14:textId="45819264" w:rsidR="00893D49" w:rsidRPr="0097459F" w:rsidRDefault="00A61C12" w:rsidP="00C20BBD">
      <w:pPr>
        <w:pStyle w:val="Normalalteradora"/>
        <w:rPr>
          <w:rFonts w:cstheme="minorHAnsi"/>
        </w:rPr>
      </w:pPr>
      <w:r w:rsidRPr="0097459F">
        <w:rPr>
          <w:rFonts w:cstheme="minorHAnsi"/>
        </w:rPr>
        <w:t xml:space="preserve">I – </w:t>
      </w:r>
      <w:proofErr w:type="gramStart"/>
      <w:r w:rsidRPr="0097459F">
        <w:rPr>
          <w:rFonts w:cstheme="minorHAnsi"/>
        </w:rPr>
        <w:t>no</w:t>
      </w:r>
      <w:proofErr w:type="gramEnd"/>
      <w:r w:rsidRPr="0097459F">
        <w:rPr>
          <w:rFonts w:cstheme="minorHAnsi"/>
        </w:rPr>
        <w:t xml:space="preserve"> caso de classes abertas, com relação às matérias a seguir,</w:t>
      </w:r>
      <w:r w:rsidR="00893D49" w:rsidRPr="0097459F">
        <w:rPr>
          <w:rFonts w:cstheme="minorHAnsi"/>
        </w:rPr>
        <w:t xml:space="preserve"> apenas a partir do decurso de, no mínimo, 30 (trinta) dias, ou do prazo para pagamento de resgate estabelecido no regulamento, o que for maior, e após a disponibilização do resumo de que trata o art. </w:t>
      </w:r>
      <w:r w:rsidR="00A429A3" w:rsidRPr="0097459F">
        <w:rPr>
          <w:rFonts w:cstheme="minorHAnsi"/>
        </w:rPr>
        <w:t>79</w:t>
      </w:r>
      <w:r w:rsidR="00893D49" w:rsidRPr="0097459F">
        <w:rPr>
          <w:rFonts w:cstheme="minorHAnsi"/>
        </w:rPr>
        <w:t>:</w:t>
      </w:r>
    </w:p>
    <w:p w14:paraId="0A565812" w14:textId="4F18C856" w:rsidR="00893D49" w:rsidRPr="0097459F" w:rsidRDefault="00A61C12" w:rsidP="00C20BBD">
      <w:pPr>
        <w:pStyle w:val="Normalalteradora"/>
        <w:rPr>
          <w:rFonts w:cstheme="minorHAnsi"/>
        </w:rPr>
      </w:pPr>
      <w:r w:rsidRPr="0097459F">
        <w:rPr>
          <w:rFonts w:cstheme="minorHAnsi"/>
        </w:rPr>
        <w:t>a)</w:t>
      </w:r>
      <w:r w:rsidR="00893D49" w:rsidRPr="0097459F">
        <w:rPr>
          <w:rFonts w:cstheme="minorHAnsi"/>
        </w:rPr>
        <w:t xml:space="preserve"> aumento ou alteração do cálculo das taxas de administração, de gestão, </w:t>
      </w:r>
      <w:r w:rsidRPr="0097459F">
        <w:rPr>
          <w:rFonts w:cstheme="minorHAnsi"/>
        </w:rPr>
        <w:t xml:space="preserve">máxima de distribuição, </w:t>
      </w:r>
      <w:r w:rsidR="00BC0406" w:rsidRPr="0097459F">
        <w:rPr>
          <w:rFonts w:cstheme="minorHAnsi"/>
        </w:rPr>
        <w:t>de ingresso ou de saída;</w:t>
      </w:r>
    </w:p>
    <w:p w14:paraId="2D7D6F06" w14:textId="33D04323" w:rsidR="00893D49" w:rsidRPr="0097459F" w:rsidRDefault="00A61C12" w:rsidP="00C20BBD">
      <w:pPr>
        <w:pStyle w:val="Normalalteradora"/>
        <w:rPr>
          <w:rFonts w:cstheme="minorHAnsi"/>
        </w:rPr>
      </w:pPr>
      <w:r w:rsidRPr="0097459F">
        <w:rPr>
          <w:rFonts w:cstheme="minorHAnsi"/>
        </w:rPr>
        <w:t>b)</w:t>
      </w:r>
      <w:r w:rsidR="00893D49" w:rsidRPr="0097459F">
        <w:rPr>
          <w:rFonts w:cstheme="minorHAnsi"/>
        </w:rPr>
        <w:t xml:space="preserve"> alteração da política de investimento;</w:t>
      </w:r>
    </w:p>
    <w:p w14:paraId="401913C5" w14:textId="0FF20A21" w:rsidR="00893D49" w:rsidRPr="0097459F" w:rsidRDefault="00A61C12" w:rsidP="00C20BBD">
      <w:pPr>
        <w:pStyle w:val="Normalalteradora"/>
        <w:rPr>
          <w:rFonts w:cstheme="minorHAnsi"/>
        </w:rPr>
      </w:pPr>
      <w:r w:rsidRPr="0097459F">
        <w:rPr>
          <w:rFonts w:cstheme="minorHAnsi"/>
        </w:rPr>
        <w:t>c)</w:t>
      </w:r>
      <w:r w:rsidR="00893D49" w:rsidRPr="0097459F">
        <w:rPr>
          <w:rFonts w:cstheme="minorHAnsi"/>
        </w:rPr>
        <w:t xml:space="preserve"> mudança nas condições de resgate; ou</w:t>
      </w:r>
    </w:p>
    <w:p w14:paraId="675417DB" w14:textId="7603B877" w:rsidR="00A61C12" w:rsidRPr="0097459F" w:rsidRDefault="00A61C12" w:rsidP="00C20BBD">
      <w:pPr>
        <w:pStyle w:val="Normalalteradora"/>
        <w:rPr>
          <w:rFonts w:cstheme="minorHAnsi"/>
        </w:rPr>
      </w:pPr>
      <w:r w:rsidRPr="0097459F">
        <w:rPr>
          <w:rFonts w:cstheme="minorHAnsi"/>
        </w:rPr>
        <w:t>d)</w:t>
      </w:r>
      <w:r w:rsidR="00893D49" w:rsidRPr="0097459F">
        <w:rPr>
          <w:rFonts w:cstheme="minorHAnsi"/>
        </w:rPr>
        <w:t xml:space="preserve"> incorporação, cisão, fusão ou transformação que acarrete alteração, para os cotistas envolvidos, das condições elencadas </w:t>
      </w:r>
      <w:r w:rsidRPr="0097459F">
        <w:rPr>
          <w:rFonts w:cstheme="minorHAnsi"/>
        </w:rPr>
        <w:t xml:space="preserve">nas alíneas </w:t>
      </w:r>
      <w:r w:rsidR="00893D49" w:rsidRPr="0097459F">
        <w:rPr>
          <w:rFonts w:cstheme="minorHAnsi"/>
        </w:rPr>
        <w:t>anteriores</w:t>
      </w:r>
      <w:r w:rsidRPr="0097459F">
        <w:rPr>
          <w:rFonts w:cstheme="minorHAnsi"/>
        </w:rPr>
        <w:t>; e</w:t>
      </w:r>
    </w:p>
    <w:p w14:paraId="1D183733" w14:textId="2C7B55C6" w:rsidR="00893D49" w:rsidRPr="0097459F" w:rsidRDefault="00A61C12" w:rsidP="00C20BBD">
      <w:pPr>
        <w:pStyle w:val="Normalalteradora"/>
        <w:rPr>
          <w:rFonts w:cstheme="minorHAnsi"/>
        </w:rPr>
      </w:pPr>
      <w:r w:rsidRPr="0097459F">
        <w:rPr>
          <w:rFonts w:cstheme="minorHAnsi"/>
        </w:rPr>
        <w:t xml:space="preserve">II – </w:t>
      </w:r>
      <w:proofErr w:type="gramStart"/>
      <w:r w:rsidRPr="0097459F">
        <w:rPr>
          <w:rFonts w:cstheme="minorHAnsi"/>
        </w:rPr>
        <w:t>no</w:t>
      </w:r>
      <w:proofErr w:type="gramEnd"/>
      <w:r w:rsidRPr="0097459F">
        <w:rPr>
          <w:rFonts w:cstheme="minorHAnsi"/>
        </w:rPr>
        <w:t xml:space="preserve"> caso de classe fechada, com relação à incorporação, cisão, fusão ou transformação, apenas a partir do decurso do prazo para pagamento do reembolso aos cotistas, nos termos do § 2º do art. </w:t>
      </w:r>
      <w:r w:rsidR="005A2B11" w:rsidRPr="0097459F">
        <w:rPr>
          <w:rFonts w:cstheme="minorHAnsi"/>
        </w:rPr>
        <w:t>119</w:t>
      </w:r>
      <w:r w:rsidRPr="0097459F">
        <w:rPr>
          <w:rFonts w:cstheme="minorHAnsi"/>
        </w:rPr>
        <w:t>.</w:t>
      </w:r>
    </w:p>
    <w:p w14:paraId="28DC4279" w14:textId="261E8566" w:rsidR="00893D49" w:rsidRPr="0097459F" w:rsidRDefault="00893D49" w:rsidP="00C20BBD">
      <w:pPr>
        <w:pStyle w:val="Normalalteradora"/>
        <w:rPr>
          <w:rFonts w:cstheme="minorHAnsi"/>
        </w:rPr>
      </w:pPr>
      <w:r w:rsidRPr="0097459F">
        <w:rPr>
          <w:rFonts w:cstheme="minorHAnsi"/>
        </w:rPr>
        <w:lastRenderedPageBreak/>
        <w:t xml:space="preserve">Art. </w:t>
      </w:r>
      <w:r w:rsidR="002A1094" w:rsidRPr="0097459F">
        <w:rPr>
          <w:rFonts w:cstheme="minorHAnsi"/>
        </w:rPr>
        <w:t>51</w:t>
      </w:r>
      <w:r w:rsidRPr="0097459F">
        <w:rPr>
          <w:rFonts w:cstheme="minorHAnsi"/>
        </w:rPr>
        <w:t>.  O administrador deve encaminhar</w:t>
      </w:r>
      <w:r w:rsidR="00B57B47" w:rsidRPr="0097459F">
        <w:rPr>
          <w:rFonts w:cstheme="minorHAnsi"/>
        </w:rPr>
        <w:t xml:space="preserve"> exemplar do novo regulamento, consolidando as alterações efetuadas</w:t>
      </w:r>
      <w:r w:rsidRPr="0097459F">
        <w:rPr>
          <w:rFonts w:cstheme="minorHAnsi"/>
        </w:rPr>
        <w:t xml:space="preserve">, por meio de sistema eletrônico disponibilizado pela CVM na </w:t>
      </w:r>
      <w:r w:rsidR="005F1E9A" w:rsidRPr="0097459F">
        <w:rPr>
          <w:rFonts w:cstheme="minorHAnsi"/>
        </w:rPr>
        <w:t>rede mundial de computadores</w:t>
      </w:r>
      <w:r w:rsidRPr="0097459F">
        <w:rPr>
          <w:rFonts w:cstheme="minorHAnsi"/>
        </w:rPr>
        <w:t>, na data do início da vigência das alterações deliberadas em assembleia</w:t>
      </w:r>
      <w:bookmarkStart w:id="135" w:name="_DV_C84"/>
      <w:r w:rsidRPr="0097459F">
        <w:rPr>
          <w:rFonts w:cstheme="minorHAnsi"/>
        </w:rPr>
        <w:t>.</w:t>
      </w:r>
      <w:bookmarkEnd w:id="135"/>
    </w:p>
    <w:p w14:paraId="107D9003" w14:textId="7C831E9D" w:rsidR="00CB7346" w:rsidRPr="0097459F" w:rsidRDefault="00CB7346" w:rsidP="00C20BBD">
      <w:pPr>
        <w:pStyle w:val="Normalalteradora"/>
        <w:rPr>
          <w:rFonts w:cstheme="minorHAnsi"/>
        </w:rPr>
      </w:pPr>
      <w:r w:rsidRPr="0097459F">
        <w:rPr>
          <w:rFonts w:cstheme="minorHAnsi"/>
        </w:rPr>
        <w:t xml:space="preserve">Parágrafo único.  Caso a alteração tenha sido deliberada em assembleia especial de cotistas, </w:t>
      </w:r>
      <w:r w:rsidR="005D16B4" w:rsidRPr="0097459F">
        <w:rPr>
          <w:rFonts w:cstheme="minorHAnsi"/>
        </w:rPr>
        <w:t>pode</w:t>
      </w:r>
      <w:r w:rsidRPr="0097459F">
        <w:rPr>
          <w:rFonts w:cstheme="minorHAnsi"/>
        </w:rPr>
        <w:t xml:space="preserve"> ser encaminhado somente o anexo descritivo da classe impactada</w:t>
      </w:r>
      <w:r w:rsidR="005D16B4" w:rsidRPr="0097459F">
        <w:rPr>
          <w:rFonts w:cstheme="minorHAnsi"/>
        </w:rPr>
        <w:t>, para os cotistas da mesma classe</w:t>
      </w:r>
      <w:r w:rsidRPr="0097459F">
        <w:rPr>
          <w:rFonts w:cstheme="minorHAnsi"/>
        </w:rPr>
        <w:t>.</w:t>
      </w:r>
    </w:p>
    <w:p w14:paraId="24EED9B3" w14:textId="711496BE" w:rsidR="00893D49" w:rsidRPr="0097459F" w:rsidRDefault="00893D49" w:rsidP="00C20BBD">
      <w:pPr>
        <w:pStyle w:val="Normalalteradora"/>
        <w:rPr>
          <w:rFonts w:cstheme="minorHAnsi"/>
        </w:rPr>
      </w:pPr>
      <w:r w:rsidRPr="0097459F">
        <w:rPr>
          <w:rFonts w:cstheme="minorHAnsi"/>
        </w:rPr>
        <w:t xml:space="preserve">Art. </w:t>
      </w:r>
      <w:r w:rsidR="002A1094" w:rsidRPr="0097459F">
        <w:rPr>
          <w:rFonts w:cstheme="minorHAnsi"/>
        </w:rPr>
        <w:t>52</w:t>
      </w:r>
      <w:r w:rsidRPr="0097459F">
        <w:rPr>
          <w:rFonts w:cstheme="minorHAnsi"/>
        </w:rPr>
        <w:t>.  O regulamento pode ser alterado, independentemente da assembleia de cotistas, sempre que tal alteração:</w:t>
      </w:r>
    </w:p>
    <w:p w14:paraId="7A227546" w14:textId="299D1358"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decorrer</w:t>
      </w:r>
      <w:proofErr w:type="gramEnd"/>
      <w:r w:rsidRPr="0097459F">
        <w:rPr>
          <w:rFonts w:cstheme="minorHAnsi"/>
        </w:rPr>
        <w:t xml:space="preserve"> exclusivamente da necessidade de atendimento a normas legais ou regulamentares, exigências expressas da CVM, de entidade administradora de mercados organizados em que as cotas do fundo sejam admitidas à negociação ou de entidade autorreguladora, nos termos da legislação aplicável e de convênio com a CVM;</w:t>
      </w:r>
    </w:p>
    <w:p w14:paraId="16FA090D" w14:textId="4AA7C5CD"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for</w:t>
      </w:r>
      <w:proofErr w:type="gramEnd"/>
      <w:r w:rsidRPr="0097459F">
        <w:rPr>
          <w:rFonts w:cstheme="minorHAnsi"/>
        </w:rPr>
        <w:t xml:space="preserve"> necessária em virtude da atualização dos dados cadastrais de prestadores de serviços </w:t>
      </w:r>
      <w:r w:rsidR="00F860AE" w:rsidRPr="0097459F">
        <w:rPr>
          <w:rFonts w:cstheme="minorHAnsi"/>
        </w:rPr>
        <w:t>da classe</w:t>
      </w:r>
      <w:r w:rsidRPr="0097459F">
        <w:rPr>
          <w:rFonts w:cstheme="minorHAnsi"/>
        </w:rPr>
        <w:t xml:space="preserve">, tais como alteração na razão social, endereço, página na rede mundial de computadores e telefone; </w:t>
      </w:r>
      <w:r w:rsidR="00C04940" w:rsidRPr="0097459F">
        <w:rPr>
          <w:rFonts w:cstheme="minorHAnsi"/>
        </w:rPr>
        <w:t>ou</w:t>
      </w:r>
    </w:p>
    <w:p w14:paraId="1139ECB3" w14:textId="56FCA255" w:rsidR="00893D49" w:rsidRPr="0097459F" w:rsidRDefault="00893D49" w:rsidP="00C20BBD">
      <w:pPr>
        <w:pStyle w:val="Normalalteradora"/>
        <w:rPr>
          <w:rFonts w:cstheme="minorHAnsi"/>
        </w:rPr>
      </w:pPr>
      <w:r w:rsidRPr="0097459F">
        <w:rPr>
          <w:rFonts w:cstheme="minorHAnsi"/>
        </w:rPr>
        <w:t xml:space="preserve">III – envolver redução </w:t>
      </w:r>
      <w:r w:rsidR="00EA18CE" w:rsidRPr="0097459F">
        <w:rPr>
          <w:rFonts w:cstheme="minorHAnsi"/>
        </w:rPr>
        <w:t xml:space="preserve">de </w:t>
      </w:r>
      <w:r w:rsidRPr="0097459F">
        <w:rPr>
          <w:rFonts w:cstheme="minorHAnsi"/>
        </w:rPr>
        <w:t>taxa devida a prestador de serviços.</w:t>
      </w:r>
    </w:p>
    <w:p w14:paraId="763A529C" w14:textId="0BDBA3F3"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As</w:t>
      </w:r>
      <w:proofErr w:type="gramEnd"/>
      <w:r w:rsidRPr="0097459F">
        <w:rPr>
          <w:rFonts w:cstheme="minorHAnsi"/>
        </w:rPr>
        <w:t xml:space="preserve"> alterações referidas nos incisos I e II devem ser comunicadas aos cotistas, no prazo de até 30 (trinta) dias</w:t>
      </w:r>
      <w:r w:rsidR="00344255" w:rsidRPr="0097459F">
        <w:rPr>
          <w:rFonts w:cstheme="minorHAnsi"/>
        </w:rPr>
        <w:t>,</w:t>
      </w:r>
      <w:r w:rsidRPr="0097459F">
        <w:rPr>
          <w:rFonts w:cstheme="minorHAnsi"/>
        </w:rPr>
        <w:t xml:space="preserve"> contado da data em que tiverem sido implementadas.</w:t>
      </w:r>
    </w:p>
    <w:p w14:paraId="368024BB" w14:textId="77777777"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A</w:t>
      </w:r>
      <w:proofErr w:type="gramEnd"/>
      <w:r w:rsidRPr="0097459F">
        <w:rPr>
          <w:rFonts w:cstheme="minorHAnsi"/>
        </w:rPr>
        <w:t xml:space="preserve"> alteração referida no inciso III deve ser imediatamente comunicada aos cotistas.</w:t>
      </w:r>
    </w:p>
    <w:p w14:paraId="6D0DEFB9" w14:textId="0DDA5587"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53</w:t>
      </w:r>
      <w:r w:rsidRPr="0097459F">
        <w:rPr>
          <w:rFonts w:cstheme="minorHAnsi"/>
        </w:rPr>
        <w:t>.  O administrador</w:t>
      </w:r>
      <w:r w:rsidR="00D41CC6" w:rsidRPr="0097459F">
        <w:rPr>
          <w:rFonts w:cstheme="minorHAnsi"/>
        </w:rPr>
        <w:t xml:space="preserve"> </w:t>
      </w:r>
      <w:r w:rsidRPr="0097459F">
        <w:rPr>
          <w:rFonts w:cstheme="minorHAnsi"/>
        </w:rPr>
        <w:t>tem o prazo de até 30 (trinta) dias, salvo determinação</w:t>
      </w:r>
      <w:r w:rsidR="007A179B" w:rsidRPr="0097459F">
        <w:rPr>
          <w:rFonts w:cstheme="minorHAnsi"/>
        </w:rPr>
        <w:t xml:space="preserve"> da CVM</w:t>
      </w:r>
      <w:r w:rsidRPr="0097459F">
        <w:rPr>
          <w:rFonts w:cstheme="minorHAnsi"/>
        </w:rPr>
        <w:t xml:space="preserve"> em contrário, para proceder às alterações determinadas pela CVM, contado do recebimento </w:t>
      </w:r>
      <w:r w:rsidR="00D41CC6" w:rsidRPr="0097459F">
        <w:rPr>
          <w:rFonts w:cstheme="minorHAnsi"/>
        </w:rPr>
        <w:t>d</w:t>
      </w:r>
      <w:r w:rsidRPr="0097459F">
        <w:rPr>
          <w:rFonts w:cstheme="minorHAnsi"/>
        </w:rPr>
        <w:t>as referidas exigências.</w:t>
      </w:r>
    </w:p>
    <w:p w14:paraId="4AB28B96" w14:textId="77777777" w:rsidR="00893D49" w:rsidRPr="0097459F" w:rsidRDefault="00893D49" w:rsidP="00C20BBD">
      <w:pPr>
        <w:pStyle w:val="Seo"/>
        <w:rPr>
          <w:rFonts w:asciiTheme="minorHAnsi" w:hAnsiTheme="minorHAnsi"/>
        </w:rPr>
      </w:pPr>
      <w:bookmarkStart w:id="136" w:name="_Toc53594445"/>
      <w:bookmarkStart w:id="137" w:name="_Toc53595470"/>
      <w:bookmarkStart w:id="138" w:name="_Toc53594197"/>
      <w:bookmarkStart w:id="139" w:name="_Toc114818978"/>
      <w:bookmarkStart w:id="140" w:name="_Toc57836205"/>
      <w:bookmarkStart w:id="141" w:name="_Toc161141209"/>
      <w:r w:rsidRPr="0097459F">
        <w:rPr>
          <w:rFonts w:asciiTheme="minorHAnsi" w:hAnsiTheme="minorHAnsi"/>
        </w:rPr>
        <w:t>Seção III – Material de Divulgação</w:t>
      </w:r>
      <w:bookmarkEnd w:id="136"/>
      <w:bookmarkEnd w:id="137"/>
      <w:bookmarkEnd w:id="138"/>
      <w:bookmarkEnd w:id="139"/>
      <w:bookmarkEnd w:id="140"/>
      <w:bookmarkEnd w:id="141"/>
    </w:p>
    <w:p w14:paraId="3EA1CB3D" w14:textId="40999DE6"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54</w:t>
      </w:r>
      <w:r w:rsidRPr="0097459F">
        <w:rPr>
          <w:rFonts w:cstheme="minorHAnsi"/>
        </w:rPr>
        <w:t xml:space="preserve">.  Qualquer material de divulgação </w:t>
      </w:r>
      <w:r w:rsidR="00C959D1" w:rsidRPr="0097459F">
        <w:t>do fundo</w:t>
      </w:r>
      <w:r w:rsidRPr="0097459F">
        <w:rPr>
          <w:rFonts w:cstheme="minorHAnsi"/>
        </w:rPr>
        <w:t xml:space="preserve"> deve:</w:t>
      </w:r>
    </w:p>
    <w:p w14:paraId="5FFEC384"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ser</w:t>
      </w:r>
      <w:proofErr w:type="gramEnd"/>
      <w:r w:rsidRPr="0097459F">
        <w:rPr>
          <w:rFonts w:cstheme="minorHAnsi"/>
        </w:rPr>
        <w:t xml:space="preserve"> consistente com o regulamento;</w:t>
      </w:r>
    </w:p>
    <w:p w14:paraId="4B9F8F6C" w14:textId="6D86E231"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ser</w:t>
      </w:r>
      <w:proofErr w:type="gramEnd"/>
      <w:r w:rsidRPr="0097459F">
        <w:rPr>
          <w:rFonts w:cstheme="minorHAnsi"/>
        </w:rPr>
        <w:t xml:space="preserve"> elaborado em linguagem serena e moderada, advertindo seus leitores </w:t>
      </w:r>
      <w:r w:rsidR="000D0BFF" w:rsidRPr="0097459F">
        <w:rPr>
          <w:rFonts w:cstheme="minorHAnsi"/>
        </w:rPr>
        <w:t>para os riscos do investimento;</w:t>
      </w:r>
    </w:p>
    <w:p w14:paraId="434DEE5D" w14:textId="3123E28D" w:rsidR="00893D49" w:rsidRPr="0097459F" w:rsidRDefault="00893D49" w:rsidP="00C20BBD">
      <w:pPr>
        <w:pStyle w:val="Normalalteradora"/>
        <w:rPr>
          <w:rFonts w:cstheme="minorHAnsi"/>
        </w:rPr>
      </w:pPr>
      <w:r w:rsidRPr="0097459F">
        <w:rPr>
          <w:rFonts w:cstheme="minorHAnsi"/>
        </w:rPr>
        <w:t>III – ser identificado como material de divulgação;</w:t>
      </w:r>
    </w:p>
    <w:p w14:paraId="1FBE2E3E" w14:textId="5A702B81" w:rsidR="00893D49" w:rsidRPr="0097459F" w:rsidRDefault="00893D49" w:rsidP="00C20BBD">
      <w:pPr>
        <w:pStyle w:val="Normalalteradora"/>
        <w:rPr>
          <w:rFonts w:cstheme="minorHAnsi"/>
        </w:rPr>
      </w:pPr>
      <w:r w:rsidRPr="0097459F">
        <w:rPr>
          <w:rFonts w:cstheme="minorHAnsi"/>
        </w:rPr>
        <w:lastRenderedPageBreak/>
        <w:t xml:space="preserve">IV – </w:t>
      </w:r>
      <w:proofErr w:type="gramStart"/>
      <w:r w:rsidRPr="0097459F">
        <w:rPr>
          <w:rFonts w:cstheme="minorHAnsi"/>
        </w:rPr>
        <w:t>mencionar</w:t>
      </w:r>
      <w:proofErr w:type="gramEnd"/>
      <w:r w:rsidRPr="0097459F">
        <w:rPr>
          <w:rFonts w:cstheme="minorHAnsi"/>
        </w:rPr>
        <w:t xml:space="preserve"> a existência do regulamento, </w:t>
      </w:r>
      <w:r w:rsidR="00D5554A" w:rsidRPr="0097459F">
        <w:rPr>
          <w:rFonts w:cstheme="minorHAnsi"/>
        </w:rPr>
        <w:t xml:space="preserve">anexos e apêndices, conforme o caso, </w:t>
      </w:r>
      <w:r w:rsidRPr="0097459F">
        <w:rPr>
          <w:rFonts w:cstheme="minorHAnsi"/>
        </w:rPr>
        <w:t xml:space="preserve">bem como os endereços na </w:t>
      </w:r>
      <w:r w:rsidR="005F1E9A" w:rsidRPr="0097459F">
        <w:rPr>
          <w:rFonts w:cstheme="minorHAnsi"/>
        </w:rPr>
        <w:t xml:space="preserve">rede mundial de computadores </w:t>
      </w:r>
      <w:r w:rsidRPr="0097459F">
        <w:rPr>
          <w:rFonts w:cstheme="minorHAnsi"/>
        </w:rPr>
        <w:t>nos quais o</w:t>
      </w:r>
      <w:r w:rsidR="00D5554A" w:rsidRPr="0097459F">
        <w:rPr>
          <w:rFonts w:cstheme="minorHAnsi"/>
        </w:rPr>
        <w:t>s</w:t>
      </w:r>
      <w:r w:rsidRPr="0097459F">
        <w:rPr>
          <w:rFonts w:cstheme="minorHAnsi"/>
        </w:rPr>
        <w:t xml:space="preserve"> documento</w:t>
      </w:r>
      <w:r w:rsidR="00D5554A" w:rsidRPr="0097459F">
        <w:rPr>
          <w:rFonts w:cstheme="minorHAnsi"/>
        </w:rPr>
        <w:t>s</w:t>
      </w:r>
      <w:r w:rsidRPr="0097459F">
        <w:rPr>
          <w:rFonts w:cstheme="minorHAnsi"/>
        </w:rPr>
        <w:t xml:space="preserve"> pode</w:t>
      </w:r>
      <w:r w:rsidR="00D5554A" w:rsidRPr="0097459F">
        <w:rPr>
          <w:rFonts w:cstheme="minorHAnsi"/>
        </w:rPr>
        <w:t>m</w:t>
      </w:r>
      <w:r w:rsidRPr="0097459F">
        <w:rPr>
          <w:rFonts w:cstheme="minorHAnsi"/>
        </w:rPr>
        <w:t xml:space="preserve"> ser obtido</w:t>
      </w:r>
      <w:r w:rsidR="00D5554A" w:rsidRPr="0097459F">
        <w:rPr>
          <w:rFonts w:cstheme="minorHAnsi"/>
        </w:rPr>
        <w:t>s</w:t>
      </w:r>
      <w:r w:rsidRPr="0097459F">
        <w:rPr>
          <w:rFonts w:cstheme="minorHAnsi"/>
        </w:rPr>
        <w:t>;</w:t>
      </w:r>
      <w:r w:rsidR="00D551A9">
        <w:rPr>
          <w:rFonts w:cstheme="minorHAnsi"/>
        </w:rPr>
        <w:t xml:space="preserve"> e</w:t>
      </w:r>
    </w:p>
    <w:p w14:paraId="2E171027" w14:textId="273D7DBC" w:rsidR="00294B10"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observar</w:t>
      </w:r>
      <w:proofErr w:type="gramEnd"/>
      <w:r w:rsidRPr="0097459F">
        <w:rPr>
          <w:rFonts w:cstheme="minorHAnsi"/>
        </w:rPr>
        <w:t xml:space="preserve"> o disposto nos §§ 1º, 2º e 3º do art. </w:t>
      </w:r>
      <w:r w:rsidR="005A2B11" w:rsidRPr="0097459F">
        <w:rPr>
          <w:rFonts w:cstheme="minorHAnsi"/>
        </w:rPr>
        <w:t>47</w:t>
      </w:r>
      <w:r w:rsidR="00C959D1" w:rsidRPr="0097459F">
        <w:t>.</w:t>
      </w:r>
    </w:p>
    <w:p w14:paraId="5FBDAADD" w14:textId="001FB0B5" w:rsidR="00893D49" w:rsidRPr="0097459F" w:rsidRDefault="00893D49" w:rsidP="00C20BBD">
      <w:pPr>
        <w:pStyle w:val="Normalalteradora"/>
        <w:rPr>
          <w:rFonts w:cstheme="minorHAnsi"/>
        </w:rPr>
      </w:pPr>
      <w:r w:rsidRPr="0097459F">
        <w:rPr>
          <w:rFonts w:cstheme="minorHAnsi"/>
        </w:rPr>
        <w:t xml:space="preserve">Art. </w:t>
      </w:r>
      <w:r w:rsidR="00DF12C4" w:rsidRPr="0097459F">
        <w:rPr>
          <w:rFonts w:cstheme="minorHAnsi"/>
        </w:rPr>
        <w:t>55</w:t>
      </w:r>
      <w:r w:rsidRPr="0097459F">
        <w:rPr>
          <w:rFonts w:cstheme="minorHAnsi"/>
        </w:rPr>
        <w:t xml:space="preserve">.  Qualquer </w:t>
      </w:r>
      <w:r w:rsidR="009A5EF0" w:rsidRPr="0097459F">
        <w:rPr>
          <w:rFonts w:cstheme="minorHAnsi"/>
        </w:rPr>
        <w:t xml:space="preserve">material </w:t>
      </w:r>
      <w:r w:rsidR="00C871AC" w:rsidRPr="0097459F">
        <w:rPr>
          <w:rFonts w:cstheme="minorHAnsi"/>
        </w:rPr>
        <w:t>que divulgue</w:t>
      </w:r>
      <w:r w:rsidR="009A5EF0" w:rsidRPr="0097459F">
        <w:rPr>
          <w:rFonts w:cstheme="minorHAnsi"/>
        </w:rPr>
        <w:t xml:space="preserve"> </w:t>
      </w:r>
      <w:r w:rsidRPr="0097459F">
        <w:rPr>
          <w:rFonts w:cstheme="minorHAnsi"/>
        </w:rPr>
        <w:t xml:space="preserve">informação sobre os resultados </w:t>
      </w:r>
      <w:r w:rsidR="00D5554A" w:rsidRPr="0097459F">
        <w:rPr>
          <w:rFonts w:cstheme="minorHAnsi"/>
        </w:rPr>
        <w:t>da classe</w:t>
      </w:r>
      <w:r w:rsidRPr="0097459F">
        <w:rPr>
          <w:rFonts w:cstheme="minorHAnsi"/>
        </w:rPr>
        <w:t xml:space="preserve"> só pode ser </w:t>
      </w:r>
      <w:r w:rsidR="00C871AC" w:rsidRPr="0097459F">
        <w:rPr>
          <w:rFonts w:cstheme="minorHAnsi"/>
        </w:rPr>
        <w:t>utilizado</w:t>
      </w:r>
      <w:r w:rsidRPr="0097459F">
        <w:rPr>
          <w:rFonts w:cstheme="minorHAnsi"/>
        </w:rPr>
        <w:t>, por qualquer meio, após um período</w:t>
      </w:r>
      <w:r w:rsidR="00D41CC6" w:rsidRPr="0097459F">
        <w:rPr>
          <w:rFonts w:cstheme="minorHAnsi"/>
        </w:rPr>
        <w:t xml:space="preserve"> </w:t>
      </w:r>
      <w:r w:rsidRPr="0097459F">
        <w:rPr>
          <w:rFonts w:cstheme="minorHAnsi"/>
        </w:rPr>
        <w:t>de 6 (seis) meses, a partir da data da primeira emissão de cotas da</w:t>
      </w:r>
      <w:r w:rsidR="001C3AE5" w:rsidRPr="0097459F">
        <w:rPr>
          <w:rFonts w:cstheme="minorHAnsi"/>
        </w:rPr>
        <w:t xml:space="preserve"> </w:t>
      </w:r>
      <w:r w:rsidRPr="0097459F">
        <w:rPr>
          <w:rFonts w:cstheme="minorHAnsi"/>
        </w:rPr>
        <w:t>classe a ser divulgada.</w:t>
      </w:r>
    </w:p>
    <w:p w14:paraId="3C5BD2E2" w14:textId="1CBEA416" w:rsidR="00BC12BA" w:rsidRPr="0097459F" w:rsidRDefault="00BC12BA" w:rsidP="00C20BBD">
      <w:pPr>
        <w:pStyle w:val="Normalalteradora"/>
      </w:pPr>
      <w:r w:rsidRPr="0097459F">
        <w:t xml:space="preserve">Parágrafo único. </w:t>
      </w:r>
      <w:r w:rsidR="009D3DF9" w:rsidRPr="0097459F">
        <w:t xml:space="preserve"> </w:t>
      </w:r>
      <w:r w:rsidRPr="0097459F">
        <w:t xml:space="preserve">A restrição prevista no </w:t>
      </w:r>
      <w:r w:rsidRPr="0097459F">
        <w:rPr>
          <w:b/>
        </w:rPr>
        <w:t>caput</w:t>
      </w:r>
      <w:r w:rsidRPr="0097459F">
        <w:t xml:space="preserve"> </w:t>
      </w:r>
      <w:r w:rsidR="00735C7F" w:rsidRPr="0097459F">
        <w:t xml:space="preserve">não </w:t>
      </w:r>
      <w:r w:rsidRPr="0097459F">
        <w:t>se aplica a classes ou subclasses exclusivamente destinadas a investidores profissionais.</w:t>
      </w:r>
    </w:p>
    <w:p w14:paraId="0A50CAB0" w14:textId="79007826"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56</w:t>
      </w:r>
      <w:r w:rsidRPr="0097459F">
        <w:rPr>
          <w:rFonts w:cstheme="minorHAnsi"/>
        </w:rPr>
        <w:t>.  Toda informação divulgada</w:t>
      </w:r>
      <w:r w:rsidR="005D16B4" w:rsidRPr="0097459F">
        <w:rPr>
          <w:rFonts w:cstheme="minorHAnsi"/>
        </w:rPr>
        <w:t>,</w:t>
      </w:r>
      <w:r w:rsidRPr="0097459F">
        <w:rPr>
          <w:rFonts w:cstheme="minorHAnsi"/>
        </w:rPr>
        <w:t xml:space="preserve"> por qualquer meio, na qual seja incluída referência à rentab</w:t>
      </w:r>
      <w:r w:rsidR="000D0BFF" w:rsidRPr="0097459F">
        <w:rPr>
          <w:rFonts w:cstheme="minorHAnsi"/>
        </w:rPr>
        <w:t>ilidade, deve obrigatoriamente:</w:t>
      </w:r>
    </w:p>
    <w:p w14:paraId="587C72B7" w14:textId="2CECAD9F"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mencionar</w:t>
      </w:r>
      <w:proofErr w:type="gramEnd"/>
      <w:r w:rsidRPr="0097459F">
        <w:rPr>
          <w:rFonts w:cstheme="minorHAnsi"/>
        </w:rPr>
        <w:t xml:space="preserve"> a data do início </w:t>
      </w:r>
      <w:r w:rsidR="001C3AE5" w:rsidRPr="0097459F">
        <w:rPr>
          <w:rFonts w:cstheme="minorHAnsi"/>
        </w:rPr>
        <w:t>do</w:t>
      </w:r>
      <w:r w:rsidRPr="0097459F">
        <w:rPr>
          <w:rFonts w:cstheme="minorHAnsi"/>
        </w:rPr>
        <w:t xml:space="preserve"> funcionamento</w:t>
      </w:r>
      <w:r w:rsidR="001C3AE5" w:rsidRPr="0097459F">
        <w:rPr>
          <w:rFonts w:cstheme="minorHAnsi"/>
        </w:rPr>
        <w:t xml:space="preserve"> da classe divulgada</w:t>
      </w:r>
      <w:r w:rsidR="000D0BFF" w:rsidRPr="0097459F">
        <w:rPr>
          <w:rFonts w:cstheme="minorHAnsi"/>
        </w:rPr>
        <w:t>;</w:t>
      </w:r>
    </w:p>
    <w:p w14:paraId="3949B9D6" w14:textId="3EF62B54"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contemplar</w:t>
      </w:r>
      <w:proofErr w:type="gramEnd"/>
      <w:r w:rsidRPr="0097459F">
        <w:rPr>
          <w:rFonts w:cstheme="minorHAnsi"/>
        </w:rPr>
        <w:t xml:space="preserve">, adicionalmente à informação divulgada, a rentabilidade mensal e a rentabilidade acumulada nos últimos 12 (doze) meses, não sendo obrigatória, neste caso, a discriminação mês a mês, ou no período decorrido desde a sua constituição, se inferior, observado, ainda, o disposto no art. </w:t>
      </w:r>
      <w:r w:rsidR="005A2B11" w:rsidRPr="0097459F">
        <w:rPr>
          <w:rFonts w:cstheme="minorHAnsi"/>
        </w:rPr>
        <w:t>57</w:t>
      </w:r>
      <w:r w:rsidRPr="0097459F">
        <w:rPr>
          <w:rFonts w:cstheme="minorHAnsi"/>
        </w:rPr>
        <w:t>;</w:t>
      </w:r>
    </w:p>
    <w:p w14:paraId="5C6B1B09" w14:textId="12464D83" w:rsidR="00893D49" w:rsidRPr="0097459F" w:rsidRDefault="00893D49" w:rsidP="00C20BBD">
      <w:pPr>
        <w:pStyle w:val="Normalalteradora"/>
        <w:rPr>
          <w:rFonts w:cstheme="minorHAnsi"/>
        </w:rPr>
      </w:pPr>
      <w:r w:rsidRPr="0097459F">
        <w:rPr>
          <w:rFonts w:cstheme="minorHAnsi"/>
        </w:rPr>
        <w:t>III – ser acompanhada do valor do patrimônio líquido médio mensal dos últimos 12 (doze) meses ou desde a sua</w:t>
      </w:r>
      <w:r w:rsidR="000D0BFF" w:rsidRPr="0097459F">
        <w:rPr>
          <w:rFonts w:cstheme="minorHAnsi"/>
        </w:rPr>
        <w:t xml:space="preserve"> constituição, se mais recente;</w:t>
      </w:r>
    </w:p>
    <w:p w14:paraId="13F90F60" w14:textId="4A90E8F0"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divulgar</w:t>
      </w:r>
      <w:proofErr w:type="gramEnd"/>
      <w:r w:rsidRPr="0097459F">
        <w:rPr>
          <w:rFonts w:cstheme="minorHAnsi"/>
        </w:rPr>
        <w:t xml:space="preserve"> a</w:t>
      </w:r>
      <w:r w:rsidR="00593694" w:rsidRPr="0097459F">
        <w:rPr>
          <w:rFonts w:cstheme="minorHAnsi"/>
        </w:rPr>
        <w:t>s</w:t>
      </w:r>
      <w:r w:rsidRPr="0097459F">
        <w:rPr>
          <w:rFonts w:cstheme="minorHAnsi"/>
        </w:rPr>
        <w:t xml:space="preserve"> taxa</w:t>
      </w:r>
      <w:r w:rsidR="00593694" w:rsidRPr="0097459F">
        <w:rPr>
          <w:rFonts w:cstheme="minorHAnsi"/>
        </w:rPr>
        <w:t>s</w:t>
      </w:r>
      <w:r w:rsidRPr="0097459F">
        <w:rPr>
          <w:rFonts w:cstheme="minorHAnsi"/>
        </w:rPr>
        <w:t xml:space="preserve"> de administração</w:t>
      </w:r>
      <w:bookmarkStart w:id="142" w:name="_Hlk49411865"/>
      <w:r w:rsidR="00B10265" w:rsidRPr="0097459F">
        <w:rPr>
          <w:rFonts w:cstheme="minorHAnsi"/>
        </w:rPr>
        <w:t>,</w:t>
      </w:r>
      <w:r w:rsidR="00465358" w:rsidRPr="0097459F">
        <w:rPr>
          <w:rFonts w:cstheme="minorHAnsi"/>
        </w:rPr>
        <w:t xml:space="preserve"> de</w:t>
      </w:r>
      <w:r w:rsidR="00593694" w:rsidRPr="0097459F">
        <w:rPr>
          <w:rFonts w:cstheme="minorHAnsi"/>
        </w:rPr>
        <w:t xml:space="preserve"> gestão</w:t>
      </w:r>
      <w:r w:rsidR="00465358" w:rsidRPr="0097459F">
        <w:rPr>
          <w:rFonts w:cstheme="minorHAnsi"/>
        </w:rPr>
        <w:t xml:space="preserve"> e máxima de distribuição</w:t>
      </w:r>
      <w:r w:rsidR="00857FDF" w:rsidRPr="0097459F">
        <w:rPr>
          <w:rFonts w:cstheme="minorHAnsi"/>
        </w:rPr>
        <w:t>, observado que, na hipótese de a taxa</w:t>
      </w:r>
      <w:r w:rsidR="00E61FFB" w:rsidRPr="0097459F">
        <w:rPr>
          <w:rFonts w:cstheme="minorHAnsi"/>
        </w:rPr>
        <w:t xml:space="preserve"> </w:t>
      </w:r>
      <w:r w:rsidR="00857FDF" w:rsidRPr="0097459F">
        <w:rPr>
          <w:rFonts w:cstheme="minorHAnsi"/>
        </w:rPr>
        <w:t xml:space="preserve">ser calculada na forma do art. </w:t>
      </w:r>
      <w:r w:rsidR="005A2B11" w:rsidRPr="0097459F">
        <w:rPr>
          <w:rFonts w:cstheme="minorHAnsi"/>
        </w:rPr>
        <w:t>48</w:t>
      </w:r>
      <w:r w:rsidR="00857FDF" w:rsidRPr="0097459F">
        <w:rPr>
          <w:rFonts w:cstheme="minorHAnsi"/>
        </w:rPr>
        <w:t xml:space="preserve">, § 1º, </w:t>
      </w:r>
      <w:r w:rsidR="005A2B11" w:rsidRPr="0097459F">
        <w:rPr>
          <w:rFonts w:cstheme="minorHAnsi"/>
        </w:rPr>
        <w:t>VII</w:t>
      </w:r>
      <w:r w:rsidR="00857FDF" w:rsidRPr="0097459F">
        <w:rPr>
          <w:rFonts w:cstheme="minorHAnsi"/>
        </w:rPr>
        <w:t xml:space="preserve">, “b”, a informação </w:t>
      </w:r>
      <w:r w:rsidR="0026287C" w:rsidRPr="0097459F">
        <w:rPr>
          <w:rFonts w:cstheme="minorHAnsi"/>
        </w:rPr>
        <w:t>deve consistir</w:t>
      </w:r>
      <w:r w:rsidR="00857FDF" w:rsidRPr="0097459F">
        <w:rPr>
          <w:rFonts w:cstheme="minorHAnsi"/>
        </w:rPr>
        <w:t xml:space="preserve"> </w:t>
      </w:r>
      <w:r w:rsidR="00F57D07" w:rsidRPr="0097459F">
        <w:rPr>
          <w:rFonts w:cstheme="minorHAnsi"/>
        </w:rPr>
        <w:t>n</w:t>
      </w:r>
      <w:r w:rsidR="00857FDF" w:rsidRPr="0097459F">
        <w:rPr>
          <w:rFonts w:cstheme="minorHAnsi"/>
        </w:rPr>
        <w:t>o percentual do patrim</w:t>
      </w:r>
      <w:r w:rsidR="0026287C" w:rsidRPr="0097459F">
        <w:rPr>
          <w:rFonts w:cstheme="minorHAnsi"/>
        </w:rPr>
        <w:t xml:space="preserve">ônio líquido correspondente </w:t>
      </w:r>
      <w:r w:rsidR="00C7413B" w:rsidRPr="0097459F">
        <w:rPr>
          <w:rFonts w:cstheme="minorHAnsi"/>
        </w:rPr>
        <w:t xml:space="preserve">ao valor da </w:t>
      </w:r>
      <w:r w:rsidR="00857FDF" w:rsidRPr="0097459F">
        <w:rPr>
          <w:rFonts w:cstheme="minorHAnsi"/>
        </w:rPr>
        <w:t>taxa debitada da classe</w:t>
      </w:r>
      <w:r w:rsidR="0031538B" w:rsidRPr="0097459F">
        <w:rPr>
          <w:rFonts w:cstheme="minorHAnsi"/>
        </w:rPr>
        <w:t>, na mesma data</w:t>
      </w:r>
      <w:r w:rsidRPr="0097459F">
        <w:rPr>
          <w:rFonts w:cstheme="minorHAnsi"/>
        </w:rPr>
        <w:t>;</w:t>
      </w:r>
      <w:bookmarkEnd w:id="142"/>
      <w:r w:rsidRPr="0097459F">
        <w:rPr>
          <w:rFonts w:cstheme="minorHAnsi"/>
        </w:rPr>
        <w:t xml:space="preserve"> e</w:t>
      </w:r>
    </w:p>
    <w:p w14:paraId="54CF86F4" w14:textId="2695D6AB"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destacar</w:t>
      </w:r>
      <w:proofErr w:type="gramEnd"/>
      <w:r w:rsidRPr="0097459F">
        <w:rPr>
          <w:rFonts w:cstheme="minorHAnsi"/>
        </w:rPr>
        <w:t xml:space="preserve"> o público-alvo da classe </w:t>
      </w:r>
      <w:r w:rsidR="00B1389F" w:rsidRPr="0097459F">
        <w:rPr>
          <w:rFonts w:cstheme="minorHAnsi"/>
        </w:rPr>
        <w:t xml:space="preserve">ou subclasse </w:t>
      </w:r>
      <w:r w:rsidRPr="0097459F">
        <w:rPr>
          <w:rFonts w:cstheme="minorHAnsi"/>
        </w:rPr>
        <w:t>de cotas</w:t>
      </w:r>
      <w:r w:rsidR="00B1389F" w:rsidRPr="0097459F">
        <w:rPr>
          <w:rFonts w:cstheme="minorHAnsi"/>
        </w:rPr>
        <w:t xml:space="preserve"> que estiver sendo divulgada</w:t>
      </w:r>
      <w:r w:rsidRPr="0097459F">
        <w:rPr>
          <w:rFonts w:cstheme="minorHAnsi"/>
        </w:rPr>
        <w:t xml:space="preserve">, assim como as restrições quanto à captação, se houver, </w:t>
      </w:r>
      <w:r w:rsidR="00F57D07" w:rsidRPr="0097459F">
        <w:rPr>
          <w:rFonts w:cstheme="minorHAnsi"/>
        </w:rPr>
        <w:t>ressaltando</w:t>
      </w:r>
      <w:r w:rsidRPr="0097459F">
        <w:rPr>
          <w:rFonts w:cstheme="minorHAnsi"/>
        </w:rPr>
        <w:t xml:space="preserve"> eventual impossibilidade, permanente ou temporária, de acesso por parte do público em geral.</w:t>
      </w:r>
    </w:p>
    <w:p w14:paraId="38791782" w14:textId="78681199" w:rsidR="00893D49" w:rsidRPr="0097459F" w:rsidRDefault="4AF9F487" w:rsidP="00C20BBD">
      <w:pPr>
        <w:pStyle w:val="Normalalteradora"/>
      </w:pPr>
      <w:r w:rsidRPr="0097459F">
        <w:t>§ 1</w:t>
      </w:r>
      <w:proofErr w:type="gramStart"/>
      <w:r w:rsidRPr="0097459F">
        <w:t>º  Caso</w:t>
      </w:r>
      <w:proofErr w:type="gramEnd"/>
      <w:r w:rsidRPr="0097459F">
        <w:t xml:space="preserve"> o </w:t>
      </w:r>
      <w:r w:rsidR="396FD02D" w:rsidRPr="0097459F">
        <w:t xml:space="preserve">gestor </w:t>
      </w:r>
      <w:r w:rsidRPr="0097459F">
        <w:t>contrate os serviços de empresa de classificação de risco, todo o material de divulgação</w:t>
      </w:r>
      <w:r w:rsidR="4E4E64FE" w:rsidRPr="0097459F">
        <w:t xml:space="preserve"> deve apresentar</w:t>
      </w:r>
      <w:r w:rsidRPr="0097459F">
        <w:t xml:space="preserve"> o grau mais recente conferido à classe </w:t>
      </w:r>
      <w:r w:rsidR="2BE93389" w:rsidRPr="0097459F">
        <w:t xml:space="preserve">ou subclasse </w:t>
      </w:r>
      <w:r w:rsidRPr="0097459F">
        <w:t xml:space="preserve">de cotas a que se referir </w:t>
      </w:r>
      <w:r w:rsidR="1CCB6BBC" w:rsidRPr="0097459F">
        <w:t>o material</w:t>
      </w:r>
      <w:r w:rsidRPr="0097459F">
        <w:t>, bem como a indicação de como obter maiores informaç</w:t>
      </w:r>
      <w:r w:rsidR="000D0BFF" w:rsidRPr="0097459F">
        <w:t>ões sobre a avaliação efetuada.</w:t>
      </w:r>
    </w:p>
    <w:p w14:paraId="18879A0A" w14:textId="7BBEFD97" w:rsidR="00893D49" w:rsidRPr="0097459F" w:rsidRDefault="00893D49" w:rsidP="00C20BBD">
      <w:pPr>
        <w:pStyle w:val="Normalalteradora"/>
        <w:rPr>
          <w:rFonts w:cstheme="minorHAnsi"/>
        </w:rPr>
      </w:pPr>
      <w:r w:rsidRPr="0097459F">
        <w:rPr>
          <w:rFonts w:cstheme="minorHAnsi"/>
        </w:rPr>
        <w:lastRenderedPageBreak/>
        <w:t>§ 2</w:t>
      </w:r>
      <w:proofErr w:type="gramStart"/>
      <w:r w:rsidRPr="0097459F">
        <w:rPr>
          <w:rFonts w:cstheme="minorHAnsi"/>
        </w:rPr>
        <w:t>º  Caso</w:t>
      </w:r>
      <w:proofErr w:type="gramEnd"/>
      <w:r w:rsidRPr="0097459F">
        <w:rPr>
          <w:rFonts w:cstheme="minorHAnsi"/>
        </w:rPr>
        <w:t xml:space="preserve"> ocorra mudança significativa na política de investimentos, o </w:t>
      </w:r>
      <w:r w:rsidR="00B1389F" w:rsidRPr="0097459F">
        <w:rPr>
          <w:rFonts w:cstheme="minorHAnsi"/>
        </w:rPr>
        <w:t xml:space="preserve">material </w:t>
      </w:r>
      <w:r w:rsidRPr="0097459F">
        <w:rPr>
          <w:rFonts w:cstheme="minorHAnsi"/>
        </w:rPr>
        <w:t>pode divulgar, adicional e separadamente à divulgação referida no inciso II</w:t>
      </w:r>
      <w:r w:rsidR="009D3DF9" w:rsidRPr="0097459F">
        <w:rPr>
          <w:rFonts w:cstheme="minorHAnsi"/>
        </w:rPr>
        <w:t xml:space="preserve"> do </w:t>
      </w:r>
      <w:r w:rsidR="009D3DF9" w:rsidRPr="0097459F">
        <w:rPr>
          <w:rFonts w:cstheme="minorHAnsi"/>
          <w:b/>
        </w:rPr>
        <w:t>caput</w:t>
      </w:r>
      <w:r w:rsidRPr="0097459F">
        <w:rPr>
          <w:rFonts w:cstheme="minorHAnsi"/>
        </w:rPr>
        <w:t xml:space="preserve">, a rentabilidade relativa ao período posterior à mudança, informando as razões dessa dupla divulgação. </w:t>
      </w:r>
    </w:p>
    <w:p w14:paraId="252D33DF" w14:textId="3C8A835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57</w:t>
      </w:r>
      <w:r w:rsidRPr="0097459F">
        <w:rPr>
          <w:rFonts w:cstheme="minorHAnsi"/>
        </w:rPr>
        <w:t>.  A divulgação de rentabilidade em qualquer material de divulgação deve ser acompanhada de comparação, no mesmo período, com índice de mercado compatível com a política de investimento, se houver.</w:t>
      </w:r>
    </w:p>
    <w:p w14:paraId="3DFD2F46" w14:textId="2E4A307A" w:rsidR="00465358" w:rsidRPr="0097459F" w:rsidRDefault="00465358" w:rsidP="00C20BBD">
      <w:pPr>
        <w:pStyle w:val="Normalalteradora"/>
        <w:rPr>
          <w:rFonts w:cstheme="minorHAnsi"/>
        </w:rPr>
      </w:pPr>
      <w:r w:rsidRPr="0097459F">
        <w:rPr>
          <w:rFonts w:cstheme="minorHAnsi"/>
        </w:rPr>
        <w:t xml:space="preserve">Parágrafo único.  A comparação prevista no </w:t>
      </w:r>
      <w:r w:rsidRPr="0097459F">
        <w:rPr>
          <w:rFonts w:cstheme="minorHAnsi"/>
          <w:b/>
        </w:rPr>
        <w:t>caput</w:t>
      </w:r>
      <w:r w:rsidRPr="0097459F">
        <w:rPr>
          <w:rFonts w:cstheme="minorHAnsi"/>
        </w:rPr>
        <w:t xml:space="preserve"> é facultativa caso a classe seja exclusivamente destinada a investidores profissionais.</w:t>
      </w:r>
    </w:p>
    <w:p w14:paraId="522BBB5E" w14:textId="0A69912B"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58</w:t>
      </w:r>
      <w:r w:rsidRPr="0097459F">
        <w:rPr>
          <w:rFonts w:cstheme="minorHAnsi"/>
        </w:rPr>
        <w:t xml:space="preserve">.  No caso de divulgação de informações que tenham por base análise comparativa com </w:t>
      </w:r>
      <w:r w:rsidR="001C3AE5" w:rsidRPr="0097459F">
        <w:rPr>
          <w:rFonts w:cstheme="minorHAnsi"/>
        </w:rPr>
        <w:t xml:space="preserve">outras </w:t>
      </w:r>
      <w:r w:rsidRPr="0097459F">
        <w:rPr>
          <w:rFonts w:cstheme="minorHAnsi"/>
        </w:rPr>
        <w:t xml:space="preserve">classes </w:t>
      </w:r>
      <w:r w:rsidR="00DF4A22" w:rsidRPr="0097459F">
        <w:rPr>
          <w:rFonts w:cstheme="minorHAnsi"/>
        </w:rPr>
        <w:t xml:space="preserve">ou subclasses </w:t>
      </w:r>
      <w:r w:rsidRPr="0097459F">
        <w:rPr>
          <w:rFonts w:cstheme="minorHAnsi"/>
        </w:rPr>
        <w:t xml:space="preserve">de cotas, devem ser informados simultaneamente as datas, os períodos, a fonte das informações utilizadas, os critérios de comparação adotados e </w:t>
      </w:r>
      <w:r w:rsidR="00B10265" w:rsidRPr="0097459F">
        <w:rPr>
          <w:rFonts w:cstheme="minorHAnsi"/>
        </w:rPr>
        <w:t>eventuais outros elementos que o prestador de serviços essenciais considere</w:t>
      </w:r>
      <w:r w:rsidRPr="0097459F">
        <w:rPr>
          <w:rFonts w:cstheme="minorHAnsi"/>
        </w:rPr>
        <w:t xml:space="preserve"> </w:t>
      </w:r>
      <w:r w:rsidR="00B10265" w:rsidRPr="0097459F">
        <w:rPr>
          <w:rFonts w:cstheme="minorHAnsi"/>
        </w:rPr>
        <w:t xml:space="preserve">relevantes </w:t>
      </w:r>
      <w:r w:rsidRPr="0097459F">
        <w:rPr>
          <w:rFonts w:cstheme="minorHAnsi"/>
        </w:rPr>
        <w:t>para possibilitar uma adequada avaliação dos dados comparativos divulgados.</w:t>
      </w:r>
    </w:p>
    <w:p w14:paraId="72BFD851" w14:textId="3268105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59</w:t>
      </w:r>
      <w:r w:rsidRPr="0097459F">
        <w:rPr>
          <w:rFonts w:cstheme="minorHAnsi"/>
        </w:rPr>
        <w:t>.  Sempre que o material de divulgação apresentar informações referentes à rentabilidade ocorrida em períodos anteriores, deve ser incluída advertência, com de</w:t>
      </w:r>
      <w:r w:rsidR="00492295" w:rsidRPr="0097459F">
        <w:rPr>
          <w:rFonts w:cstheme="minorHAnsi"/>
        </w:rPr>
        <w:t>staque, de que:</w:t>
      </w:r>
    </w:p>
    <w:p w14:paraId="31CC499B" w14:textId="77777777" w:rsidR="008B10AE"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w:t>
      </w:r>
      <w:proofErr w:type="gramEnd"/>
      <w:r w:rsidRPr="0097459F">
        <w:rPr>
          <w:rFonts w:cstheme="minorHAnsi"/>
        </w:rPr>
        <w:t xml:space="preserve"> rentabilidade obtida no passado não representa garantia de resultados futuros; e </w:t>
      </w:r>
    </w:p>
    <w:p w14:paraId="0DF50E6B" w14:textId="3509EE43" w:rsidR="00AD5FA6"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os</w:t>
      </w:r>
      <w:proofErr w:type="gramEnd"/>
      <w:r w:rsidRPr="0097459F">
        <w:rPr>
          <w:rFonts w:cstheme="minorHAnsi"/>
        </w:rPr>
        <w:t xml:space="preserve"> investimentos em fundos não são garantidos pelo administrador, pelo gestor</w:t>
      </w:r>
      <w:r w:rsidR="000A1479" w:rsidRPr="0097459F">
        <w:rPr>
          <w:rFonts w:cstheme="minorHAnsi"/>
        </w:rPr>
        <w:t>,</w:t>
      </w:r>
      <w:r w:rsidRPr="0097459F">
        <w:rPr>
          <w:rFonts w:cstheme="minorHAnsi"/>
        </w:rPr>
        <w:t xml:space="preserve"> por qualquer mecanismo de seguro ou pelo </w:t>
      </w:r>
      <w:r w:rsidR="00B10265" w:rsidRPr="0097459F">
        <w:rPr>
          <w:rFonts w:cstheme="minorHAnsi"/>
        </w:rPr>
        <w:t xml:space="preserve">Fundo Garantidor </w:t>
      </w:r>
      <w:r w:rsidRPr="0097459F">
        <w:rPr>
          <w:rFonts w:cstheme="minorHAnsi"/>
        </w:rPr>
        <w:t xml:space="preserve">de </w:t>
      </w:r>
      <w:r w:rsidR="00B10265" w:rsidRPr="0097459F">
        <w:rPr>
          <w:rFonts w:cstheme="minorHAnsi"/>
        </w:rPr>
        <w:t xml:space="preserve">Crédito </w:t>
      </w:r>
      <w:r w:rsidR="00DF4A22" w:rsidRPr="0097459F">
        <w:rPr>
          <w:rFonts w:cstheme="minorHAnsi"/>
        </w:rPr>
        <w:t>–</w:t>
      </w:r>
      <w:r w:rsidR="001C3AE5" w:rsidRPr="0097459F">
        <w:rPr>
          <w:rFonts w:cstheme="minorHAnsi"/>
        </w:rPr>
        <w:t xml:space="preserve"> FGC</w:t>
      </w:r>
      <w:r w:rsidRPr="0097459F">
        <w:rPr>
          <w:rFonts w:cstheme="minorHAnsi"/>
        </w:rPr>
        <w:t>.</w:t>
      </w:r>
    </w:p>
    <w:p w14:paraId="548BCEC5" w14:textId="7C99A2B8" w:rsidR="00F4578A" w:rsidRPr="0097459F" w:rsidRDefault="00F4578A" w:rsidP="00C20BBD">
      <w:pPr>
        <w:pStyle w:val="Normalalteradora"/>
      </w:pPr>
      <w:r w:rsidRPr="0097459F">
        <w:rPr>
          <w:rFonts w:cstheme="minorHAnsi"/>
        </w:rPr>
        <w:t xml:space="preserve">Art. </w:t>
      </w:r>
      <w:r w:rsidR="00B7720E" w:rsidRPr="0097459F">
        <w:rPr>
          <w:rFonts w:cstheme="minorHAnsi"/>
        </w:rPr>
        <w:t>60</w:t>
      </w:r>
      <w:r w:rsidRPr="0097459F">
        <w:rPr>
          <w:rFonts w:cstheme="minorHAnsi"/>
        </w:rPr>
        <w:t xml:space="preserve">.  </w:t>
      </w:r>
      <w:r w:rsidR="00556B2D" w:rsidRPr="0097459F">
        <w:t>O</w:t>
      </w:r>
      <w:r w:rsidRPr="0097459F">
        <w:t xml:space="preserve"> material de divulgação </w:t>
      </w:r>
      <w:r w:rsidR="00F4597C" w:rsidRPr="0097459F">
        <w:t>que contiver menção a fatores ambientais, sociais ou de governança</w:t>
      </w:r>
      <w:r w:rsidR="00F4597C" w:rsidRPr="0097459F" w:rsidDel="00F4597C">
        <w:t xml:space="preserve"> </w:t>
      </w:r>
      <w:r w:rsidRPr="0097459F">
        <w:t>deve informar, de modo objetivo, se o fundo ou a classe:</w:t>
      </w:r>
    </w:p>
    <w:p w14:paraId="128833D6" w14:textId="5EE9A01C" w:rsidR="00F4578A" w:rsidRDefault="00F4578A" w:rsidP="00C20BBD">
      <w:pPr>
        <w:pStyle w:val="Normalalteradora"/>
        <w:rPr>
          <w:strike/>
        </w:rPr>
      </w:pPr>
      <w:r w:rsidRPr="00517AE6">
        <w:rPr>
          <w:strike/>
        </w:rPr>
        <w:t xml:space="preserve">I – </w:t>
      </w:r>
      <w:proofErr w:type="gramStart"/>
      <w:r w:rsidRPr="00517AE6">
        <w:rPr>
          <w:strike/>
        </w:rPr>
        <w:t>possui</w:t>
      </w:r>
      <w:proofErr w:type="gramEnd"/>
      <w:r w:rsidRPr="00517AE6">
        <w:rPr>
          <w:strike/>
        </w:rPr>
        <w:t xml:space="preserve"> uma política de investimentos que busca originar </w:t>
      </w:r>
      <w:r w:rsidR="00F4597C" w:rsidRPr="00517AE6">
        <w:rPr>
          <w:strike/>
        </w:rPr>
        <w:t xml:space="preserve">benefício </w:t>
      </w:r>
      <w:r w:rsidRPr="00517AE6">
        <w:rPr>
          <w:strike/>
        </w:rPr>
        <w:t>socioambienta</w:t>
      </w:r>
      <w:r w:rsidR="00EB6EB4" w:rsidRPr="00517AE6">
        <w:rPr>
          <w:strike/>
        </w:rPr>
        <w:t>l</w:t>
      </w:r>
      <w:r w:rsidRPr="00517AE6">
        <w:rPr>
          <w:strike/>
        </w:rPr>
        <w:t>; ou</w:t>
      </w:r>
    </w:p>
    <w:p w14:paraId="75F21C69" w14:textId="77777777" w:rsidR="00517AE6" w:rsidRDefault="00517AE6" w:rsidP="00517AE6">
      <w:pPr>
        <w:pStyle w:val="NormaAlterada"/>
      </w:pPr>
      <w:r>
        <w:t xml:space="preserve">I – </w:t>
      </w:r>
      <w:proofErr w:type="gramStart"/>
      <w:r>
        <w:t>possui</w:t>
      </w:r>
      <w:proofErr w:type="gramEnd"/>
      <w:r>
        <w:t xml:space="preserve"> uma política de investimentos que busca originar benefícios ambientais, sociais </w:t>
      </w:r>
      <w:r w:rsidRPr="00137297">
        <w:t>ou</w:t>
      </w:r>
      <w:r>
        <w:t xml:space="preserve"> de governança; ou</w:t>
      </w:r>
    </w:p>
    <w:p w14:paraId="5BAC241C" w14:textId="570928F1"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 xml:space="preserve">Inciso I </w:t>
      </w:r>
      <w:r w:rsidRPr="00517AE6">
        <w:rPr>
          <w:rFonts w:asciiTheme="minorHAnsi" w:hAnsiTheme="minorHAnsi" w:cstheme="minorHAnsi"/>
          <w:b/>
          <w:i/>
          <w:sz w:val="24"/>
          <w:szCs w:val="24"/>
        </w:rPr>
        <w:t xml:space="preserve">com redação dada 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590644E6" w14:textId="32141495" w:rsidR="00F4578A" w:rsidRPr="00517AE6" w:rsidRDefault="00F4578A" w:rsidP="00C20BBD">
      <w:pPr>
        <w:pStyle w:val="Normalalteradora"/>
        <w:rPr>
          <w:strike/>
        </w:rPr>
      </w:pPr>
      <w:r w:rsidRPr="00517AE6">
        <w:rPr>
          <w:strike/>
        </w:rPr>
        <w:t xml:space="preserve">II – </w:t>
      </w:r>
      <w:proofErr w:type="gramStart"/>
      <w:r w:rsidRPr="00517AE6">
        <w:rPr>
          <w:strike/>
        </w:rPr>
        <w:t>integra</w:t>
      </w:r>
      <w:proofErr w:type="gramEnd"/>
      <w:r w:rsidRPr="00517AE6">
        <w:rPr>
          <w:strike/>
        </w:rPr>
        <w:t xml:space="preserve"> os fatores socioambientais à </w:t>
      </w:r>
      <w:r w:rsidR="00EB6EB4" w:rsidRPr="00517AE6">
        <w:rPr>
          <w:strike/>
        </w:rPr>
        <w:t>política de investimentos</w:t>
      </w:r>
      <w:r w:rsidRPr="00517AE6">
        <w:rPr>
          <w:strike/>
        </w:rPr>
        <w:t>, sem</w:t>
      </w:r>
      <w:r w:rsidR="4212B93B" w:rsidRPr="00517AE6">
        <w:rPr>
          <w:strike/>
        </w:rPr>
        <w:t>,</w:t>
      </w:r>
      <w:r w:rsidR="00C402F4" w:rsidRPr="00517AE6">
        <w:rPr>
          <w:strike/>
        </w:rPr>
        <w:t xml:space="preserve"> </w:t>
      </w:r>
      <w:r w:rsidRPr="00517AE6">
        <w:rPr>
          <w:strike/>
        </w:rPr>
        <w:t>contudo</w:t>
      </w:r>
      <w:r w:rsidR="1282AF15" w:rsidRPr="00517AE6">
        <w:rPr>
          <w:strike/>
        </w:rPr>
        <w:t>,</w:t>
      </w:r>
      <w:r w:rsidRPr="00517AE6">
        <w:rPr>
          <w:strike/>
        </w:rPr>
        <w:t xml:space="preserve"> buscar a originação de </w:t>
      </w:r>
      <w:r w:rsidR="00F4597C" w:rsidRPr="00517AE6">
        <w:rPr>
          <w:strike/>
        </w:rPr>
        <w:t xml:space="preserve">benefício </w:t>
      </w:r>
      <w:r w:rsidRPr="00517AE6">
        <w:rPr>
          <w:strike/>
        </w:rPr>
        <w:t>socioambienta</w:t>
      </w:r>
      <w:r w:rsidR="000D35ED" w:rsidRPr="00517AE6">
        <w:rPr>
          <w:strike/>
        </w:rPr>
        <w:t>l</w:t>
      </w:r>
      <w:r w:rsidRPr="00517AE6">
        <w:rPr>
          <w:strike/>
        </w:rPr>
        <w:t>.</w:t>
      </w:r>
    </w:p>
    <w:p w14:paraId="3BDB3333" w14:textId="63480FA1" w:rsidR="00517AE6" w:rsidRDefault="00517AE6" w:rsidP="00C20BBD">
      <w:pPr>
        <w:pStyle w:val="Normalalteradora"/>
      </w:pPr>
      <w:r>
        <w:lastRenderedPageBreak/>
        <w:t xml:space="preserve">II – </w:t>
      </w:r>
      <w:proofErr w:type="gramStart"/>
      <w:r>
        <w:t>integra</w:t>
      </w:r>
      <w:proofErr w:type="gramEnd"/>
      <w:r>
        <w:t xml:space="preserve"> os fatores ambientais, sociais </w:t>
      </w:r>
      <w:r w:rsidRPr="00137297">
        <w:t>ou</w:t>
      </w:r>
      <w:r>
        <w:t xml:space="preserve"> de governança à política de investimentos, sem, contudo, buscar a originação de benefícios dessa natureza.</w:t>
      </w:r>
    </w:p>
    <w:p w14:paraId="5500B43A" w14:textId="170EE579" w:rsidR="00517AE6" w:rsidRPr="00517AE6" w:rsidRDefault="00517AE6" w:rsidP="00517A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 xml:space="preserve">Inciso II </w:t>
      </w:r>
      <w:r w:rsidRPr="00517AE6">
        <w:rPr>
          <w:rFonts w:asciiTheme="minorHAnsi" w:hAnsiTheme="minorHAnsi" w:cstheme="minorHAnsi"/>
          <w:b/>
          <w:i/>
          <w:sz w:val="24"/>
          <w:szCs w:val="24"/>
        </w:rPr>
        <w:t xml:space="preserve">com redação dada 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7B243C5D" w14:textId="50F4B8FC" w:rsidR="00893D49" w:rsidRPr="0097459F" w:rsidRDefault="00893D49" w:rsidP="00C20BBD">
      <w:pPr>
        <w:pStyle w:val="Captulo"/>
        <w:rPr>
          <w:rFonts w:asciiTheme="minorHAnsi" w:hAnsiTheme="minorHAnsi"/>
        </w:rPr>
      </w:pPr>
      <w:bookmarkStart w:id="143" w:name="_Toc53594446"/>
      <w:bookmarkStart w:id="144" w:name="_Toc53595471"/>
      <w:bookmarkStart w:id="145" w:name="_Toc53594198"/>
      <w:bookmarkStart w:id="146" w:name="_Toc114818979"/>
      <w:bookmarkStart w:id="147" w:name="_Toc57836206"/>
      <w:bookmarkStart w:id="148" w:name="_Toc161141210"/>
      <w:r w:rsidRPr="0097459F">
        <w:rPr>
          <w:rFonts w:asciiTheme="minorHAnsi" w:hAnsiTheme="minorHAnsi"/>
        </w:rPr>
        <w:t>CAPÍTULO VI – DIVULGAÇÃO DE INFORMAÇÕES</w:t>
      </w:r>
      <w:bookmarkEnd w:id="143"/>
      <w:bookmarkEnd w:id="144"/>
      <w:bookmarkEnd w:id="145"/>
      <w:bookmarkEnd w:id="146"/>
      <w:bookmarkEnd w:id="147"/>
      <w:bookmarkEnd w:id="148"/>
    </w:p>
    <w:p w14:paraId="382CB04D" w14:textId="77777777" w:rsidR="00893D49" w:rsidRPr="0097459F" w:rsidRDefault="00893D49" w:rsidP="00C20BBD">
      <w:pPr>
        <w:pStyle w:val="Seo"/>
        <w:rPr>
          <w:rFonts w:asciiTheme="minorHAnsi" w:hAnsiTheme="minorHAnsi"/>
          <w:b w:val="0"/>
        </w:rPr>
      </w:pPr>
      <w:bookmarkStart w:id="149" w:name="_Toc53594447"/>
      <w:bookmarkStart w:id="150" w:name="_Toc53595472"/>
      <w:bookmarkStart w:id="151" w:name="_Toc53594199"/>
      <w:bookmarkStart w:id="152" w:name="_Toc114818980"/>
      <w:bookmarkStart w:id="153" w:name="_Toc57836207"/>
      <w:bookmarkStart w:id="154" w:name="_Toc161141211"/>
      <w:r w:rsidRPr="0097459F">
        <w:rPr>
          <w:rFonts w:asciiTheme="minorHAnsi" w:hAnsiTheme="minorHAnsi"/>
        </w:rPr>
        <w:t>Seção I – Disposições Gerais</w:t>
      </w:r>
      <w:bookmarkEnd w:id="149"/>
      <w:bookmarkEnd w:id="150"/>
      <w:bookmarkEnd w:id="151"/>
      <w:bookmarkEnd w:id="152"/>
      <w:bookmarkEnd w:id="153"/>
      <w:bookmarkEnd w:id="154"/>
    </w:p>
    <w:p w14:paraId="66D907E6" w14:textId="3BE78176" w:rsidR="007830FB" w:rsidRPr="0097459F" w:rsidRDefault="007830FB" w:rsidP="00C20BBD">
      <w:pPr>
        <w:pStyle w:val="Normalalteradora"/>
      </w:pPr>
      <w:r w:rsidRPr="0097459F">
        <w:t xml:space="preserve">Art. </w:t>
      </w:r>
      <w:r w:rsidR="00B7720E" w:rsidRPr="0097459F">
        <w:t>61</w:t>
      </w:r>
      <w:r w:rsidRPr="0097459F">
        <w:t xml:space="preserve">.  As informações periódicas e eventuais </w:t>
      </w:r>
      <w:r w:rsidR="00A02E6B" w:rsidRPr="0097459F">
        <w:t>do fundo</w:t>
      </w:r>
      <w:r w:rsidRPr="0097459F">
        <w:t xml:space="preserve"> devem ser divulgadas na página do </w:t>
      </w:r>
      <w:r w:rsidR="00B10265" w:rsidRPr="0097459F">
        <w:t>fundo, d</w:t>
      </w:r>
      <w:r w:rsidR="05A003BA" w:rsidRPr="0097459F">
        <w:t>o</w:t>
      </w:r>
      <w:r w:rsidR="00B10265" w:rsidRPr="0097459F">
        <w:t xml:space="preserve"> administrador ou d</w:t>
      </w:r>
      <w:r w:rsidR="3CA8D539" w:rsidRPr="0097459F">
        <w:t>o</w:t>
      </w:r>
      <w:r w:rsidR="00B10265" w:rsidRPr="0097459F">
        <w:t xml:space="preserve"> gestor, conforme previsto no regulamento,</w:t>
      </w:r>
      <w:r w:rsidRPr="0097459F">
        <w:t xml:space="preserve"> na rede mundial de computadores, em lugar de destaque e disponível para acesso gratuito do público em geral, assim como mantidas disponíveis para os cotistas.</w:t>
      </w:r>
    </w:p>
    <w:p w14:paraId="5CF183E4" w14:textId="6EA7E3DB" w:rsidR="002024A8" w:rsidRPr="0097459F" w:rsidRDefault="002024A8" w:rsidP="00C20BBD">
      <w:pPr>
        <w:pStyle w:val="Normalalteradora"/>
        <w:rPr>
          <w:rFonts w:cstheme="minorHAnsi"/>
        </w:rPr>
      </w:pPr>
      <w:r w:rsidRPr="0097459F">
        <w:rPr>
          <w:rFonts w:cstheme="minorHAnsi"/>
        </w:rPr>
        <w:t xml:space="preserve">Art. </w:t>
      </w:r>
      <w:r w:rsidR="00B7720E" w:rsidRPr="0097459F">
        <w:rPr>
          <w:rFonts w:cstheme="minorHAnsi"/>
        </w:rPr>
        <w:t>62</w:t>
      </w:r>
      <w:r w:rsidRPr="0097459F">
        <w:rPr>
          <w:rFonts w:cstheme="minorHAnsi"/>
        </w:rPr>
        <w:t xml:space="preserve">.  A Superintendência competente pode determinar que as informações periódicas e eventuais </w:t>
      </w:r>
      <w:r w:rsidR="00DB2521" w:rsidRPr="0097459F">
        <w:rPr>
          <w:rFonts w:cstheme="minorHAnsi"/>
        </w:rPr>
        <w:t>e</w:t>
      </w:r>
      <w:r w:rsidRPr="0097459F">
        <w:rPr>
          <w:rFonts w:cstheme="minorHAnsi"/>
        </w:rPr>
        <w:t xml:space="preserve"> aquelas relativas à distribuição de cotas sejam apresentadas por meio eletrônico ou da página da CVM na rede mundial de computadores, de acordo com a estrutura de banco de dados e programas especificados pela Superintendência.</w:t>
      </w:r>
    </w:p>
    <w:p w14:paraId="779B4871" w14:textId="0D562849" w:rsidR="00893D49" w:rsidRPr="0097459F" w:rsidRDefault="00893D49" w:rsidP="00C20BBD">
      <w:pPr>
        <w:autoSpaceDE w:val="0"/>
        <w:autoSpaceDN w:val="0"/>
        <w:adjustRightInd w:val="0"/>
        <w:spacing w:before="120" w:after="120" w:line="312" w:lineRule="auto"/>
        <w:ind w:firstLine="567"/>
        <w:jc w:val="both"/>
        <w:rPr>
          <w:rFonts w:cstheme="minorHAnsi"/>
          <w:sz w:val="24"/>
          <w:szCs w:val="24"/>
        </w:rPr>
      </w:pPr>
      <w:r w:rsidRPr="0097459F">
        <w:rPr>
          <w:rFonts w:asciiTheme="minorHAnsi" w:hAnsiTheme="minorHAnsi"/>
          <w:sz w:val="24"/>
          <w:szCs w:val="24"/>
        </w:rPr>
        <w:t xml:space="preserve">Art. </w:t>
      </w:r>
      <w:r w:rsidR="00B7720E" w:rsidRPr="0097459F">
        <w:rPr>
          <w:rFonts w:asciiTheme="minorHAnsi" w:hAnsiTheme="minorHAnsi"/>
          <w:sz w:val="24"/>
          <w:szCs w:val="24"/>
        </w:rPr>
        <w:t>63</w:t>
      </w:r>
      <w:r w:rsidRPr="0097459F">
        <w:rPr>
          <w:rFonts w:asciiTheme="minorHAnsi" w:hAnsiTheme="minorHAnsi"/>
          <w:sz w:val="24"/>
          <w:szCs w:val="24"/>
        </w:rPr>
        <w:t xml:space="preserve">.  Caso </w:t>
      </w:r>
      <w:r w:rsidR="001C3AE5" w:rsidRPr="0097459F">
        <w:rPr>
          <w:rFonts w:asciiTheme="minorHAnsi" w:eastAsia="Times New Roman" w:hAnsiTheme="minorHAnsi" w:cstheme="minorHAnsi"/>
          <w:sz w:val="24"/>
          <w:szCs w:val="24"/>
          <w:lang w:eastAsia="pt-BR"/>
        </w:rPr>
        <w:t>sejam divulgadas</w:t>
      </w:r>
      <w:r w:rsidRPr="0097459F">
        <w:rPr>
          <w:rFonts w:asciiTheme="minorHAnsi" w:hAnsiTheme="minorHAnsi"/>
          <w:sz w:val="24"/>
          <w:szCs w:val="24"/>
        </w:rPr>
        <w:t xml:space="preserve"> a terceiros informações referentes à composição da carteira, a mesma informação deve ser colocada à disposição dos cotistas na mesma periodicidade, ressalvadas as hipóteses de divulgação de informações aos prestadores de serviços, necessárias para a execução de suas atividades, bem como aos órgãos reguladores, </w:t>
      </w:r>
      <w:r w:rsidR="000A1479" w:rsidRPr="0097459F">
        <w:rPr>
          <w:rFonts w:asciiTheme="minorHAnsi" w:eastAsia="Times New Roman" w:hAnsiTheme="minorHAnsi" w:cstheme="minorHAnsi"/>
          <w:sz w:val="24"/>
          <w:szCs w:val="24"/>
          <w:lang w:eastAsia="pt-BR"/>
        </w:rPr>
        <w:t>entidades autorreguladoras</w:t>
      </w:r>
      <w:r w:rsidR="000A1479" w:rsidRPr="0097459F">
        <w:rPr>
          <w:rFonts w:asciiTheme="minorHAnsi" w:hAnsiTheme="minorHAnsi"/>
          <w:sz w:val="24"/>
          <w:szCs w:val="24"/>
        </w:rPr>
        <w:t xml:space="preserve"> </w:t>
      </w:r>
      <w:r w:rsidRPr="0097459F">
        <w:rPr>
          <w:rFonts w:asciiTheme="minorHAnsi" w:hAnsiTheme="minorHAnsi"/>
          <w:sz w:val="24"/>
          <w:szCs w:val="24"/>
        </w:rPr>
        <w:t>e entidades de classe, quanto aos seus associados, no atendimento a solicitações legais, regulamentares e estatutárias por eles formuladas.</w:t>
      </w:r>
    </w:p>
    <w:p w14:paraId="2BE5A5F7" w14:textId="3E9F0FCA" w:rsidR="00893D49" w:rsidRPr="0097459F" w:rsidRDefault="00893D49" w:rsidP="00C20BBD">
      <w:pPr>
        <w:pStyle w:val="Seo"/>
        <w:rPr>
          <w:rFonts w:asciiTheme="minorHAnsi" w:hAnsiTheme="minorHAnsi" w:cstheme="minorHAnsi"/>
        </w:rPr>
      </w:pPr>
      <w:bookmarkStart w:id="155" w:name="_Toc53594448"/>
      <w:bookmarkStart w:id="156" w:name="_Toc53595473"/>
      <w:bookmarkStart w:id="157" w:name="_Toc53594200"/>
      <w:bookmarkStart w:id="158" w:name="_Toc114818981"/>
      <w:bookmarkStart w:id="159" w:name="_Toc57836208"/>
      <w:bookmarkStart w:id="160" w:name="_Toc161141212"/>
      <w:r w:rsidRPr="0097459F">
        <w:rPr>
          <w:rFonts w:asciiTheme="minorHAnsi" w:hAnsiTheme="minorHAnsi" w:cstheme="minorHAnsi"/>
        </w:rPr>
        <w:t>Seção II –</w:t>
      </w:r>
      <w:r w:rsidR="0074032E" w:rsidRPr="0097459F">
        <w:rPr>
          <w:rFonts w:asciiTheme="minorHAnsi" w:hAnsiTheme="minorHAnsi" w:cstheme="minorHAnsi"/>
        </w:rPr>
        <w:t xml:space="preserve"> </w:t>
      </w:r>
      <w:r w:rsidRPr="0097459F">
        <w:rPr>
          <w:rFonts w:asciiTheme="minorHAnsi" w:hAnsiTheme="minorHAnsi" w:cstheme="minorHAnsi"/>
        </w:rPr>
        <w:t>Fatos Relevantes</w:t>
      </w:r>
      <w:bookmarkEnd w:id="155"/>
      <w:bookmarkEnd w:id="156"/>
      <w:bookmarkEnd w:id="157"/>
      <w:bookmarkEnd w:id="158"/>
      <w:bookmarkEnd w:id="159"/>
      <w:bookmarkEnd w:id="160"/>
    </w:p>
    <w:p w14:paraId="241CBC10" w14:textId="5B71FA23"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64</w:t>
      </w:r>
      <w:r w:rsidRPr="0097459F">
        <w:rPr>
          <w:rFonts w:cstheme="minorHAnsi"/>
        </w:rPr>
        <w:t xml:space="preserve">.  O </w:t>
      </w:r>
      <w:r w:rsidRPr="0097459F">
        <w:t xml:space="preserve">administrador </w:t>
      </w:r>
      <w:r w:rsidRPr="0097459F">
        <w:rPr>
          <w:rFonts w:cstheme="minorHAnsi"/>
        </w:rPr>
        <w:t xml:space="preserve">é obrigado a divulgar qualquer fato relevante ocorrido ou relacionado ao funcionamento </w:t>
      </w:r>
      <w:r w:rsidR="00C959D1" w:rsidRPr="0097459F">
        <w:rPr>
          <w:rFonts w:cstheme="minorHAnsi"/>
        </w:rPr>
        <w:t>do fundo</w:t>
      </w:r>
      <w:r w:rsidR="00106F12" w:rsidRPr="0097459F">
        <w:rPr>
          <w:rFonts w:cstheme="minorHAnsi"/>
        </w:rPr>
        <w:t xml:space="preserve">, </w:t>
      </w:r>
      <w:r w:rsidR="001C3AE5" w:rsidRPr="0097459F">
        <w:rPr>
          <w:rFonts w:cstheme="minorHAnsi"/>
        </w:rPr>
        <w:t>da classe</w:t>
      </w:r>
      <w:r w:rsidRPr="0097459F">
        <w:rPr>
          <w:rFonts w:cstheme="minorHAnsi"/>
        </w:rPr>
        <w:t xml:space="preserve"> ou aos ativos integrantes da carteira</w:t>
      </w:r>
      <w:r w:rsidR="00DB479C" w:rsidRPr="0097459F">
        <w:rPr>
          <w:rFonts w:cstheme="minorHAnsi"/>
        </w:rPr>
        <w:t xml:space="preserve">, </w:t>
      </w:r>
      <w:r w:rsidR="000A1A2D" w:rsidRPr="0097459F">
        <w:rPr>
          <w:rFonts w:cstheme="minorHAnsi"/>
        </w:rPr>
        <w:t xml:space="preserve">assim que dele tiver conhecimento, </w:t>
      </w:r>
      <w:r w:rsidR="00106F12" w:rsidRPr="0097459F">
        <w:rPr>
          <w:rFonts w:cstheme="minorHAnsi"/>
        </w:rPr>
        <w:t>observado que é</w:t>
      </w:r>
      <w:r w:rsidR="00DB479C" w:rsidRPr="0097459F">
        <w:rPr>
          <w:rFonts w:cstheme="minorHAnsi"/>
        </w:rPr>
        <w:t xml:space="preserve"> responsabilidade do</w:t>
      </w:r>
      <w:r w:rsidR="00FE182F" w:rsidRPr="0097459F">
        <w:rPr>
          <w:rFonts w:cstheme="minorHAnsi"/>
        </w:rPr>
        <w:t>s demais prestadores de serviços</w:t>
      </w:r>
      <w:r w:rsidR="00DB479C" w:rsidRPr="0097459F">
        <w:rPr>
          <w:rFonts w:cstheme="minorHAnsi"/>
        </w:rPr>
        <w:t xml:space="preserve"> </w:t>
      </w:r>
      <w:r w:rsidR="00FE182F" w:rsidRPr="0097459F">
        <w:rPr>
          <w:rFonts w:cstheme="minorHAnsi"/>
        </w:rPr>
        <w:t xml:space="preserve">informar </w:t>
      </w:r>
      <w:r w:rsidR="000A1A2D" w:rsidRPr="0097459F">
        <w:rPr>
          <w:rFonts w:cstheme="minorHAnsi"/>
        </w:rPr>
        <w:t xml:space="preserve">imediatamente </w:t>
      </w:r>
      <w:r w:rsidR="00FE182F" w:rsidRPr="0097459F">
        <w:rPr>
          <w:rFonts w:cstheme="minorHAnsi"/>
        </w:rPr>
        <w:t xml:space="preserve">ao administrador sobre os fatos relevantes de </w:t>
      </w:r>
      <w:r w:rsidR="00437129" w:rsidRPr="0097459F">
        <w:rPr>
          <w:rFonts w:cstheme="minorHAnsi"/>
        </w:rPr>
        <w:t>que venha</w:t>
      </w:r>
      <w:r w:rsidR="00FE182F" w:rsidRPr="0097459F">
        <w:rPr>
          <w:rFonts w:cstheme="minorHAnsi"/>
        </w:rPr>
        <w:t>m</w:t>
      </w:r>
      <w:r w:rsidR="00437129" w:rsidRPr="0097459F">
        <w:rPr>
          <w:rFonts w:cstheme="minorHAnsi"/>
        </w:rPr>
        <w:t xml:space="preserve"> a ter conhecimento</w:t>
      </w:r>
      <w:r w:rsidRPr="0097459F">
        <w:rPr>
          <w:rFonts w:cstheme="minorHAnsi"/>
        </w:rPr>
        <w:t>.</w:t>
      </w:r>
    </w:p>
    <w:p w14:paraId="7D6788A7" w14:textId="4953A20F"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Considera</w:t>
      </w:r>
      <w:proofErr w:type="gramEnd"/>
      <w:r w:rsidRPr="0097459F">
        <w:rPr>
          <w:rFonts w:cstheme="minorHAnsi"/>
        </w:rPr>
        <w:t>-se relevante qualquer fato que possa influir de modo ponderável no valor das cotas ou na decisão dos investidores de adquirir, resgatar, alienar ou manter cotas.</w:t>
      </w:r>
    </w:p>
    <w:p w14:paraId="07F25C84" w14:textId="27ECB645" w:rsidR="00893D49" w:rsidRPr="0097459F" w:rsidRDefault="00893D49" w:rsidP="00C20BBD">
      <w:pPr>
        <w:pStyle w:val="Normalalteradora"/>
      </w:pPr>
      <w:r w:rsidRPr="0097459F">
        <w:lastRenderedPageBreak/>
        <w:t>§ 2</w:t>
      </w:r>
      <w:proofErr w:type="gramStart"/>
      <w:r w:rsidRPr="0097459F">
        <w:t>º  Qualquer</w:t>
      </w:r>
      <w:proofErr w:type="gramEnd"/>
      <w:r w:rsidRPr="0097459F">
        <w:t xml:space="preserve"> fato relevante ocorrido ou relacionado ao funcionamento </w:t>
      </w:r>
      <w:r w:rsidR="00C959D1" w:rsidRPr="0097459F">
        <w:t>do fundo</w:t>
      </w:r>
      <w:r w:rsidR="00106F12" w:rsidRPr="0097459F">
        <w:t xml:space="preserve">, </w:t>
      </w:r>
      <w:r w:rsidR="004A7EC5" w:rsidRPr="0097459F">
        <w:t>da classe</w:t>
      </w:r>
      <w:r w:rsidRPr="0097459F">
        <w:t xml:space="preserve"> ou aos ativos da carteira deve ser:</w:t>
      </w:r>
    </w:p>
    <w:p w14:paraId="77D3F284" w14:textId="1E0E9B6E"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comunicado</w:t>
      </w:r>
      <w:proofErr w:type="gramEnd"/>
      <w:r w:rsidRPr="0097459F">
        <w:rPr>
          <w:rFonts w:cstheme="minorHAnsi"/>
        </w:rPr>
        <w:t xml:space="preserve"> a todos os cotistas </w:t>
      </w:r>
      <w:r w:rsidR="004A7EC5" w:rsidRPr="0097459F">
        <w:rPr>
          <w:rFonts w:cstheme="minorHAnsi"/>
        </w:rPr>
        <w:t>da classe afetada</w:t>
      </w:r>
      <w:r w:rsidRPr="0097459F">
        <w:rPr>
          <w:rFonts w:cstheme="minorHAnsi"/>
        </w:rPr>
        <w:t>;</w:t>
      </w:r>
    </w:p>
    <w:p w14:paraId="190BA57F" w14:textId="1989EA2B"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informado</w:t>
      </w:r>
      <w:proofErr w:type="gramEnd"/>
      <w:r w:rsidRPr="0097459F">
        <w:rPr>
          <w:rFonts w:cstheme="minorHAnsi"/>
        </w:rPr>
        <w:t xml:space="preserve"> à</w:t>
      </w:r>
      <w:r w:rsidR="00437129" w:rsidRPr="0097459F">
        <w:rPr>
          <w:rFonts w:cstheme="minorHAnsi"/>
        </w:rPr>
        <w:t>s</w:t>
      </w:r>
      <w:r w:rsidRPr="0097459F">
        <w:rPr>
          <w:rFonts w:cstheme="minorHAnsi"/>
        </w:rPr>
        <w:t xml:space="preserve"> entidade</w:t>
      </w:r>
      <w:r w:rsidR="00437129" w:rsidRPr="0097459F">
        <w:rPr>
          <w:rFonts w:cstheme="minorHAnsi"/>
        </w:rPr>
        <w:t>s</w:t>
      </w:r>
      <w:r w:rsidRPr="0097459F">
        <w:rPr>
          <w:rFonts w:cstheme="minorHAnsi"/>
        </w:rPr>
        <w:t xml:space="preserve"> administradora</w:t>
      </w:r>
      <w:r w:rsidR="00437129" w:rsidRPr="0097459F">
        <w:rPr>
          <w:rFonts w:cstheme="minorHAnsi"/>
        </w:rPr>
        <w:t>s</w:t>
      </w:r>
      <w:r w:rsidRPr="0097459F">
        <w:rPr>
          <w:rFonts w:cstheme="minorHAnsi"/>
        </w:rPr>
        <w:t xml:space="preserve"> de mercado</w:t>
      </w:r>
      <w:r w:rsidR="002660F8" w:rsidRPr="0097459F">
        <w:rPr>
          <w:rFonts w:cstheme="minorHAnsi"/>
        </w:rPr>
        <w:t>s</w:t>
      </w:r>
      <w:r w:rsidRPr="0097459F">
        <w:rPr>
          <w:rFonts w:cstheme="minorHAnsi"/>
        </w:rPr>
        <w:t xml:space="preserve"> organizado</w:t>
      </w:r>
      <w:r w:rsidR="002660F8" w:rsidRPr="0097459F">
        <w:rPr>
          <w:rFonts w:cstheme="minorHAnsi"/>
        </w:rPr>
        <w:t>s</w:t>
      </w:r>
      <w:r w:rsidRPr="0097459F">
        <w:rPr>
          <w:rFonts w:cstheme="minorHAnsi"/>
        </w:rPr>
        <w:t xml:space="preserve"> onde as cotas estejam admitidas à negociação</w:t>
      </w:r>
      <w:r w:rsidR="004A7EC5" w:rsidRPr="0097459F">
        <w:rPr>
          <w:rFonts w:cstheme="minorHAnsi"/>
        </w:rPr>
        <w:t>, se for o caso;</w:t>
      </w:r>
    </w:p>
    <w:p w14:paraId="6ED8B035" w14:textId="4473E98C" w:rsidR="00893D49" w:rsidRPr="0097459F" w:rsidRDefault="00893D49" w:rsidP="00C20BBD">
      <w:pPr>
        <w:pStyle w:val="Normalalteradora"/>
        <w:rPr>
          <w:rFonts w:cstheme="minorHAnsi"/>
        </w:rPr>
      </w:pPr>
      <w:r w:rsidRPr="0097459F">
        <w:rPr>
          <w:rFonts w:cstheme="minorHAnsi"/>
        </w:rPr>
        <w:t>III – divulgado por meio da página da CVM na rede mundial de computadores; e</w:t>
      </w:r>
    </w:p>
    <w:p w14:paraId="48EA33A6" w14:textId="2C4BC5E1" w:rsidR="00B837F0"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mantido</w:t>
      </w:r>
      <w:proofErr w:type="gramEnd"/>
      <w:r w:rsidRPr="0097459F">
        <w:rPr>
          <w:rFonts w:cstheme="minorHAnsi"/>
        </w:rPr>
        <w:t xml:space="preserve"> nas páginas do</w:t>
      </w:r>
      <w:r w:rsidR="002660F8" w:rsidRPr="0097459F">
        <w:rPr>
          <w:rFonts w:cstheme="minorHAnsi"/>
        </w:rPr>
        <w:t>s prestadores de serviço</w:t>
      </w:r>
      <w:r w:rsidR="00EE4B80" w:rsidRPr="0097459F">
        <w:rPr>
          <w:rFonts w:cstheme="minorHAnsi"/>
        </w:rPr>
        <w:t>s</w:t>
      </w:r>
      <w:r w:rsidR="002660F8" w:rsidRPr="0097459F">
        <w:rPr>
          <w:rFonts w:cstheme="minorHAnsi"/>
        </w:rPr>
        <w:t xml:space="preserve"> essenciais</w:t>
      </w:r>
      <w:r w:rsidR="00EE4B80" w:rsidRPr="0097459F">
        <w:rPr>
          <w:rFonts w:cstheme="minorHAnsi"/>
        </w:rPr>
        <w:t xml:space="preserve"> </w:t>
      </w:r>
      <w:r w:rsidRPr="0097459F">
        <w:rPr>
          <w:rFonts w:cstheme="minorHAnsi"/>
        </w:rPr>
        <w:t>e</w:t>
      </w:r>
      <w:r w:rsidR="00E922C2" w:rsidRPr="0097459F">
        <w:rPr>
          <w:rFonts w:cstheme="minorHAnsi"/>
        </w:rPr>
        <w:t>, ao menos enquanto a distribuição estiver em curso,</w:t>
      </w:r>
      <w:r w:rsidRPr="0097459F">
        <w:rPr>
          <w:rFonts w:cstheme="minorHAnsi"/>
        </w:rPr>
        <w:t xml:space="preserve"> do distribuidor de cotas na rede mundial de computadores.</w:t>
      </w:r>
    </w:p>
    <w:p w14:paraId="23EA344E" w14:textId="78868D99" w:rsidR="00B837F0" w:rsidRPr="0097459F" w:rsidRDefault="00B837F0" w:rsidP="00C20BBD">
      <w:pPr>
        <w:pStyle w:val="Normalalteradora"/>
      </w:pPr>
      <w:r w:rsidRPr="0097459F">
        <w:t xml:space="preserve">§ </w:t>
      </w:r>
      <w:r w:rsidR="00B7720E" w:rsidRPr="0097459F">
        <w:t>3</w:t>
      </w:r>
      <w:proofErr w:type="gramStart"/>
      <w:r w:rsidR="00B7720E" w:rsidRPr="0097459F">
        <w:t xml:space="preserve">º </w:t>
      </w:r>
      <w:r w:rsidR="0074032E" w:rsidRPr="0097459F">
        <w:t xml:space="preserve"> </w:t>
      </w:r>
      <w:r w:rsidRPr="0097459F">
        <w:t>São</w:t>
      </w:r>
      <w:proofErr w:type="gramEnd"/>
      <w:r w:rsidRPr="0097459F">
        <w:t xml:space="preserve"> exemplos </w:t>
      </w:r>
      <w:r w:rsidR="008632EB" w:rsidRPr="0097459F">
        <w:t>de</w:t>
      </w:r>
      <w:r w:rsidRPr="0097459F">
        <w:t xml:space="preserve"> fatos </w:t>
      </w:r>
      <w:r w:rsidR="00106F12" w:rsidRPr="0097459F">
        <w:t xml:space="preserve">potencialmente </w:t>
      </w:r>
      <w:r w:rsidRPr="0097459F">
        <w:t>relevantes:</w:t>
      </w:r>
    </w:p>
    <w:p w14:paraId="6981D8C4" w14:textId="7B85191C" w:rsidR="00B837F0" w:rsidRPr="0097459F" w:rsidRDefault="00B837F0" w:rsidP="00C20BBD">
      <w:pPr>
        <w:pStyle w:val="Normalalteradora"/>
      </w:pPr>
      <w:r w:rsidRPr="0097459F">
        <w:t xml:space="preserve">I – </w:t>
      </w:r>
      <w:proofErr w:type="gramStart"/>
      <w:r w:rsidRPr="0097459F">
        <w:t>alteração</w:t>
      </w:r>
      <w:proofErr w:type="gramEnd"/>
      <w:r w:rsidRPr="0097459F">
        <w:t xml:space="preserve"> no tratamento tributário conferido ao fundo, à classe ou aos cotistas;</w:t>
      </w:r>
    </w:p>
    <w:p w14:paraId="5865813C" w14:textId="5EF15125" w:rsidR="00B837F0" w:rsidRPr="0097459F" w:rsidRDefault="00B7720E" w:rsidP="00C20BBD">
      <w:pPr>
        <w:pStyle w:val="Normalalteradora"/>
      </w:pPr>
      <w:r w:rsidRPr="0097459F">
        <w:t>II</w:t>
      </w:r>
      <w:r w:rsidR="00B837F0" w:rsidRPr="0097459F">
        <w:t xml:space="preserve">– </w:t>
      </w:r>
      <w:proofErr w:type="gramStart"/>
      <w:r w:rsidR="00B837F0" w:rsidRPr="0097459F">
        <w:t>contratação</w:t>
      </w:r>
      <w:proofErr w:type="gramEnd"/>
      <w:r w:rsidR="00B837F0" w:rsidRPr="0097459F">
        <w:t xml:space="preserve"> de formador de mercado e o término da prestação desse serviço;</w:t>
      </w:r>
    </w:p>
    <w:p w14:paraId="6E0DC771" w14:textId="56397E42" w:rsidR="008632EB" w:rsidRPr="0097459F" w:rsidRDefault="00B7720E" w:rsidP="00C20BBD">
      <w:pPr>
        <w:pStyle w:val="Normalalteradora"/>
      </w:pPr>
      <w:r w:rsidRPr="0097459F">
        <w:t xml:space="preserve">III </w:t>
      </w:r>
      <w:r w:rsidR="0074032E" w:rsidRPr="0097459F">
        <w:t>–</w:t>
      </w:r>
      <w:r w:rsidR="00B837F0" w:rsidRPr="0097459F">
        <w:t xml:space="preserve"> contratação de agência de classificação de risco</w:t>
      </w:r>
      <w:r w:rsidR="008632EB" w:rsidRPr="0097459F">
        <w:t>, caso não estabelecida no regulamento;</w:t>
      </w:r>
    </w:p>
    <w:p w14:paraId="6B564022" w14:textId="51C507EE" w:rsidR="00B7235B" w:rsidRPr="0097459F" w:rsidRDefault="00EB425C" w:rsidP="00C20BBD">
      <w:pPr>
        <w:pStyle w:val="Normalalteradora"/>
      </w:pPr>
      <w:r w:rsidRPr="0097459F" w:rsidDel="005C3CC8">
        <w:t>I</w:t>
      </w:r>
      <w:r w:rsidRPr="0097459F" w:rsidDel="008632EB">
        <w:t>V</w:t>
      </w:r>
      <w:r w:rsidR="0074032E" w:rsidRPr="0097459F">
        <w:t xml:space="preserve"> </w:t>
      </w:r>
      <w:r w:rsidRPr="0097459F" w:rsidDel="008632EB">
        <w:t xml:space="preserve">– </w:t>
      </w:r>
      <w:proofErr w:type="gramStart"/>
      <w:r w:rsidRPr="0097459F" w:rsidDel="008632EB">
        <w:t>mudança</w:t>
      </w:r>
      <w:proofErr w:type="gramEnd"/>
      <w:r w:rsidRPr="0097459F" w:rsidDel="008632EB">
        <w:t xml:space="preserve"> na classificação de risco atribuída à classe ou subclasse de cotas;</w:t>
      </w:r>
    </w:p>
    <w:p w14:paraId="19E59BEB" w14:textId="1680EECF" w:rsidR="00B837F0" w:rsidRPr="0097459F" w:rsidRDefault="00B837F0" w:rsidP="00C20BBD">
      <w:pPr>
        <w:pStyle w:val="Normalalteradora"/>
      </w:pPr>
      <w:r w:rsidRPr="0097459F">
        <w:t xml:space="preserve">V – </w:t>
      </w:r>
      <w:proofErr w:type="gramStart"/>
      <w:r w:rsidRPr="0097459F">
        <w:t>alteração</w:t>
      </w:r>
      <w:proofErr w:type="gramEnd"/>
      <w:r w:rsidRPr="0097459F">
        <w:t xml:space="preserve"> de prestador de serviço essencial;</w:t>
      </w:r>
    </w:p>
    <w:p w14:paraId="21A58285" w14:textId="28831AE8" w:rsidR="00CD4FC5" w:rsidRPr="0097459F" w:rsidRDefault="00B837F0" w:rsidP="00C20BBD">
      <w:pPr>
        <w:pStyle w:val="Normalalteradora"/>
      </w:pPr>
      <w:r w:rsidRPr="0097459F">
        <w:t>V</w:t>
      </w:r>
      <w:r w:rsidR="005C3CC8" w:rsidRPr="0097459F">
        <w:t>I</w:t>
      </w:r>
      <w:r w:rsidRPr="0097459F">
        <w:t xml:space="preserve"> – </w:t>
      </w:r>
      <w:proofErr w:type="gramStart"/>
      <w:r w:rsidRPr="0097459F">
        <w:t>fusão, incorporação, cisão</w:t>
      </w:r>
      <w:r w:rsidR="002918EE" w:rsidRPr="0097459F">
        <w:t xml:space="preserve"> ou</w:t>
      </w:r>
      <w:r w:rsidRPr="0097459F">
        <w:t xml:space="preserve"> transformação</w:t>
      </w:r>
      <w:proofErr w:type="gramEnd"/>
      <w:r w:rsidRPr="0097459F">
        <w:t xml:space="preserve"> da classe de cotas;</w:t>
      </w:r>
    </w:p>
    <w:p w14:paraId="2E2A94E8" w14:textId="52526342" w:rsidR="00B837F0" w:rsidRPr="0097459F" w:rsidRDefault="00B837F0" w:rsidP="00C20BBD">
      <w:pPr>
        <w:pStyle w:val="Normalalteradora"/>
      </w:pPr>
      <w:r w:rsidRPr="0097459F">
        <w:t>VI</w:t>
      </w:r>
      <w:r w:rsidR="005C3CC8" w:rsidRPr="0097459F">
        <w:t>I</w:t>
      </w:r>
      <w:r w:rsidRPr="0097459F">
        <w:t xml:space="preserve"> – alteração do mercado organizado em que seja admitida a negociação de cotas;</w:t>
      </w:r>
    </w:p>
    <w:p w14:paraId="0BB8321A" w14:textId="040FC761" w:rsidR="00B837F0" w:rsidRPr="0097459F" w:rsidRDefault="008632EB" w:rsidP="00C20BBD">
      <w:pPr>
        <w:pStyle w:val="Normalalteradora"/>
      </w:pPr>
      <w:r w:rsidRPr="0097459F">
        <w:t>VII</w:t>
      </w:r>
      <w:r w:rsidR="00B837F0" w:rsidRPr="0097459F">
        <w:t>I – cancelamento da admissão das cotas à negociação em mercado organizado;</w:t>
      </w:r>
      <w:r w:rsidR="00B7720E" w:rsidRPr="0097459F">
        <w:t xml:space="preserve"> e</w:t>
      </w:r>
    </w:p>
    <w:p w14:paraId="1D283D04" w14:textId="2AA29D35" w:rsidR="002E6A1A" w:rsidRPr="0097459F" w:rsidRDefault="00B7720E" w:rsidP="00C20BBD">
      <w:pPr>
        <w:pStyle w:val="Normalalteradora"/>
      </w:pPr>
      <w:r w:rsidRPr="0097459F">
        <w:t>I</w:t>
      </w:r>
      <w:r w:rsidR="00B837F0" w:rsidRPr="0097459F">
        <w:t xml:space="preserve">X – </w:t>
      </w:r>
      <w:proofErr w:type="gramStart"/>
      <w:r w:rsidR="00B837F0" w:rsidRPr="0097459F">
        <w:t>emissão</w:t>
      </w:r>
      <w:proofErr w:type="gramEnd"/>
      <w:r w:rsidR="00B837F0" w:rsidRPr="0097459F">
        <w:t xml:space="preserve"> de cotas de classe fechada.</w:t>
      </w:r>
    </w:p>
    <w:p w14:paraId="7A66ED98" w14:textId="7DDD8478" w:rsidR="002E6A1A" w:rsidRPr="0097459F" w:rsidRDefault="002E6A1A" w:rsidP="00C20BBD">
      <w:pPr>
        <w:pStyle w:val="Normalalteradora"/>
      </w:pPr>
      <w:r w:rsidRPr="0097459F">
        <w:t xml:space="preserve">Art. </w:t>
      </w:r>
      <w:r w:rsidR="00B7720E" w:rsidRPr="0097459F">
        <w:t>65</w:t>
      </w:r>
      <w:r w:rsidRPr="0097459F">
        <w:t xml:space="preserve">.  Ressalvado o disposto no parágrafo único, os fatos relevantes podem, excepcionalmente, deixar de ser divulgados se o gestor </w:t>
      </w:r>
      <w:r w:rsidR="002918EE" w:rsidRPr="0097459F">
        <w:t xml:space="preserve">e o administrador, em conjunto, </w:t>
      </w:r>
      <w:r w:rsidRPr="0097459F">
        <w:t>entender</w:t>
      </w:r>
      <w:r w:rsidR="002918EE" w:rsidRPr="0097459F">
        <w:t>em</w:t>
      </w:r>
      <w:r w:rsidRPr="0097459F">
        <w:t xml:space="preserve"> que sua revelação porá em risco interesse legítimo d</w:t>
      </w:r>
      <w:r w:rsidR="002918EE" w:rsidRPr="0097459F">
        <w:t xml:space="preserve">o fundo, </w:t>
      </w:r>
      <w:r w:rsidRPr="0097459F">
        <w:t>da classe de cotas</w:t>
      </w:r>
      <w:r w:rsidR="002918EE" w:rsidRPr="0097459F">
        <w:t xml:space="preserve"> ou dos cotistas</w:t>
      </w:r>
      <w:r w:rsidRPr="0097459F">
        <w:t>.</w:t>
      </w:r>
    </w:p>
    <w:p w14:paraId="09ECCE81" w14:textId="47F5CF79" w:rsidR="00893D49" w:rsidRPr="0097459F" w:rsidRDefault="002E6A1A" w:rsidP="00C20BBD">
      <w:pPr>
        <w:pStyle w:val="Normalalteradora"/>
        <w:rPr>
          <w:rFonts w:cstheme="minorHAnsi"/>
        </w:rPr>
      </w:pPr>
      <w:r w:rsidRPr="0097459F">
        <w:t>Parágrafo único.</w:t>
      </w:r>
      <w:r w:rsidR="00B46618" w:rsidRPr="0097459F">
        <w:t xml:space="preserve"> </w:t>
      </w:r>
      <w:r w:rsidRPr="0097459F">
        <w:t xml:space="preserve"> O administrador fica obrigado a divulgar imediatamente fato relevante na hipótese de a informação escapar ao controle ou se ocorrer oscilação atípica na cotação, preço ou quantidade negociada de cotas.</w:t>
      </w:r>
    </w:p>
    <w:p w14:paraId="5CBAD80B" w14:textId="77777777" w:rsidR="00893D49" w:rsidRPr="0097459F" w:rsidRDefault="00893D49" w:rsidP="00C20BBD">
      <w:pPr>
        <w:pStyle w:val="Seo"/>
        <w:rPr>
          <w:rFonts w:asciiTheme="minorHAnsi" w:hAnsiTheme="minorHAnsi"/>
        </w:rPr>
      </w:pPr>
      <w:bookmarkStart w:id="161" w:name="_Toc53594449"/>
      <w:bookmarkStart w:id="162" w:name="_Toc53595474"/>
      <w:bookmarkStart w:id="163" w:name="_Toc53594201"/>
      <w:bookmarkStart w:id="164" w:name="_Toc114818982"/>
      <w:bookmarkStart w:id="165" w:name="_Toc57836209"/>
      <w:bookmarkStart w:id="166" w:name="_Toc161141213"/>
      <w:r w:rsidRPr="0097459F">
        <w:rPr>
          <w:rFonts w:asciiTheme="minorHAnsi" w:hAnsiTheme="minorHAnsi"/>
        </w:rPr>
        <w:lastRenderedPageBreak/>
        <w:t>Seção III – Demonstrações Contábeis e Relatórios de Auditoria</w:t>
      </w:r>
      <w:bookmarkEnd w:id="161"/>
      <w:bookmarkEnd w:id="162"/>
      <w:bookmarkEnd w:id="163"/>
      <w:bookmarkEnd w:id="164"/>
      <w:bookmarkEnd w:id="165"/>
      <w:bookmarkEnd w:id="166"/>
    </w:p>
    <w:p w14:paraId="1DDA6B4E" w14:textId="6E703A21" w:rsidR="002A2E61"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66</w:t>
      </w:r>
      <w:r w:rsidRPr="0097459F">
        <w:rPr>
          <w:rFonts w:cstheme="minorHAnsi"/>
        </w:rPr>
        <w:t xml:space="preserve">.  O fundo de investimento e suas classes de cotas devem ter escrituração contábil próprias, devendo as suas contas e demonstrações contábeis </w:t>
      </w:r>
      <w:r w:rsidR="002660F8" w:rsidRPr="0097459F">
        <w:t>ser</w:t>
      </w:r>
      <w:r w:rsidRPr="0097459F">
        <w:rPr>
          <w:rFonts w:cstheme="minorHAnsi"/>
        </w:rPr>
        <w:t xml:space="preserve"> segregadas entre si, assim como segregadas das demonstrações contábeis </w:t>
      </w:r>
      <w:r w:rsidR="002660F8" w:rsidRPr="0097459F">
        <w:rPr>
          <w:rFonts w:cstheme="minorHAnsi"/>
        </w:rPr>
        <w:t>dos prestadores de serviço essenciais</w:t>
      </w:r>
      <w:r w:rsidRPr="0097459F">
        <w:rPr>
          <w:rFonts w:cstheme="minorHAnsi"/>
        </w:rPr>
        <w:t>.</w:t>
      </w:r>
    </w:p>
    <w:p w14:paraId="01819B5F" w14:textId="395869E8"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67</w:t>
      </w:r>
      <w:r w:rsidRPr="0097459F">
        <w:rPr>
          <w:rFonts w:cstheme="minorHAnsi"/>
        </w:rPr>
        <w:t xml:space="preserve">.  O exercício </w:t>
      </w:r>
      <w:r w:rsidR="008C6940" w:rsidRPr="0097459F">
        <w:rPr>
          <w:rFonts w:cstheme="minorHAnsi"/>
        </w:rPr>
        <w:t xml:space="preserve">social </w:t>
      </w:r>
      <w:r w:rsidRPr="0097459F">
        <w:rPr>
          <w:rFonts w:cstheme="minorHAnsi"/>
        </w:rPr>
        <w:t>do fundo de investimento deve ser encerrado a cada 12 (doze) meses, quando devem ser levantadas as demonstrações contábeis do fundo e</w:t>
      </w:r>
      <w:r w:rsidR="00E4068E" w:rsidRPr="0097459F">
        <w:rPr>
          <w:rFonts w:cstheme="minorHAnsi"/>
        </w:rPr>
        <w:t>, se houver,</w:t>
      </w:r>
      <w:r w:rsidRPr="0097459F">
        <w:rPr>
          <w:rFonts w:cstheme="minorHAnsi"/>
        </w:rPr>
        <w:t xml:space="preserve"> de suas classes de cotas</w:t>
      </w:r>
      <w:r w:rsidR="00E4068E" w:rsidRPr="0097459F">
        <w:rPr>
          <w:rFonts w:cstheme="minorHAnsi"/>
        </w:rPr>
        <w:t>, todas</w:t>
      </w:r>
      <w:r w:rsidRPr="0097459F">
        <w:rPr>
          <w:rFonts w:cstheme="minorHAnsi"/>
        </w:rPr>
        <w:t xml:space="preserve"> relativas ao </w:t>
      </w:r>
      <w:r w:rsidR="005B2C99" w:rsidRPr="0097459F">
        <w:rPr>
          <w:rFonts w:cstheme="minorHAnsi"/>
        </w:rPr>
        <w:t xml:space="preserve">mesmo </w:t>
      </w:r>
      <w:r w:rsidRPr="0097459F">
        <w:rPr>
          <w:rFonts w:cstheme="minorHAnsi"/>
        </w:rPr>
        <w:t>período findo.</w:t>
      </w:r>
    </w:p>
    <w:p w14:paraId="11C09100" w14:textId="25445362" w:rsidR="001E366C" w:rsidRPr="0097459F" w:rsidRDefault="670B385F" w:rsidP="00C20BBD">
      <w:pPr>
        <w:pStyle w:val="Normalalteradora"/>
      </w:pPr>
      <w:r w:rsidRPr="0097459F">
        <w:t>§ 1</w:t>
      </w:r>
      <w:proofErr w:type="gramStart"/>
      <w:r w:rsidRPr="0097459F">
        <w:t>º  As</w:t>
      </w:r>
      <w:proofErr w:type="gramEnd"/>
      <w:r w:rsidRPr="0097459F">
        <w:t xml:space="preserve"> demonstrações contábeis dos fundos que contam com diferentes classes são compostas</w:t>
      </w:r>
      <w:r w:rsidR="005E1642" w:rsidRPr="0097459F">
        <w:t>,</w:t>
      </w:r>
      <w:r w:rsidRPr="0097459F">
        <w:t xml:space="preserve"> no mínimo</w:t>
      </w:r>
      <w:r w:rsidR="005E1642" w:rsidRPr="0097459F">
        <w:t>,</w:t>
      </w:r>
      <w:r w:rsidRPr="0097459F">
        <w:t xml:space="preserve"> pelo balanço patrimonial</w:t>
      </w:r>
      <w:r w:rsidR="00F224B7" w:rsidRPr="0097459F">
        <w:t>, demonstrativo do resultado do exercício</w:t>
      </w:r>
      <w:r w:rsidRPr="0097459F">
        <w:t xml:space="preserve"> e demonstrativo de fluxo de caixa, inexistindo obrigação de levantar demonstrações contábeis consolidadas.</w:t>
      </w:r>
    </w:p>
    <w:p w14:paraId="5575F3B4" w14:textId="743D9D82" w:rsidR="00E4068E" w:rsidRPr="0097459F" w:rsidRDefault="00166193" w:rsidP="00C20BBD">
      <w:pPr>
        <w:pStyle w:val="Normalalteradora"/>
        <w:rPr>
          <w:rFonts w:cstheme="minorHAnsi"/>
        </w:rPr>
      </w:pPr>
      <w:r w:rsidRPr="0097459F">
        <w:rPr>
          <w:rFonts w:cstheme="minorHAnsi"/>
        </w:rPr>
        <w:t>§ 2</w:t>
      </w:r>
      <w:proofErr w:type="gramStart"/>
      <w:r w:rsidRPr="0097459F">
        <w:rPr>
          <w:rFonts w:cstheme="minorHAnsi"/>
        </w:rPr>
        <w:t>º</w:t>
      </w:r>
      <w:r w:rsidR="00893D49" w:rsidRPr="0097459F">
        <w:rPr>
          <w:rFonts w:cstheme="minorHAnsi"/>
        </w:rPr>
        <w:t xml:space="preserve">  A</w:t>
      </w:r>
      <w:proofErr w:type="gramEnd"/>
      <w:r w:rsidR="00893D49" w:rsidRPr="0097459F">
        <w:rPr>
          <w:rFonts w:cstheme="minorHAnsi"/>
        </w:rPr>
        <w:t xml:space="preserve"> data do encerramento do exercício </w:t>
      </w:r>
      <w:r w:rsidR="00D026E0" w:rsidRPr="0097459F">
        <w:rPr>
          <w:rFonts w:cstheme="minorHAnsi"/>
        </w:rPr>
        <w:t xml:space="preserve">social </w:t>
      </w:r>
      <w:r w:rsidR="00893D49" w:rsidRPr="0097459F">
        <w:rPr>
          <w:rFonts w:cstheme="minorHAnsi"/>
        </w:rPr>
        <w:t>do fundo deve coincidir com o fim de um dos meses do calendário civil.</w:t>
      </w:r>
    </w:p>
    <w:p w14:paraId="6637C6DE" w14:textId="588A3C47"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68</w:t>
      </w:r>
      <w:r w:rsidRPr="0097459F">
        <w:rPr>
          <w:rFonts w:cstheme="minorHAnsi"/>
        </w:rPr>
        <w:t xml:space="preserve">.  A elaboração </w:t>
      </w:r>
      <w:r w:rsidR="00FD6451" w:rsidRPr="0097459F">
        <w:rPr>
          <w:rFonts w:cstheme="minorHAnsi"/>
        </w:rPr>
        <w:t xml:space="preserve">e </w:t>
      </w:r>
      <w:r w:rsidR="002660F8" w:rsidRPr="0097459F">
        <w:rPr>
          <w:rFonts w:cstheme="minorHAnsi"/>
        </w:rPr>
        <w:t xml:space="preserve">a </w:t>
      </w:r>
      <w:r w:rsidR="00FD6451" w:rsidRPr="0097459F">
        <w:rPr>
          <w:rFonts w:cstheme="minorHAnsi"/>
        </w:rPr>
        <w:t xml:space="preserve">divulgação </w:t>
      </w:r>
      <w:r w:rsidRPr="0097459F">
        <w:rPr>
          <w:rFonts w:cstheme="minorHAnsi"/>
        </w:rPr>
        <w:t xml:space="preserve">das demonstrações contábeis </w:t>
      </w:r>
      <w:r w:rsidR="002660F8" w:rsidRPr="0097459F">
        <w:rPr>
          <w:rFonts w:cstheme="minorHAnsi"/>
        </w:rPr>
        <w:t xml:space="preserve">devem </w:t>
      </w:r>
      <w:r w:rsidRPr="0097459F">
        <w:rPr>
          <w:rFonts w:cstheme="minorHAnsi"/>
        </w:rPr>
        <w:t xml:space="preserve">observar as regras específicas </w:t>
      </w:r>
      <w:r w:rsidR="00166193" w:rsidRPr="0097459F">
        <w:rPr>
          <w:rFonts w:cstheme="minorHAnsi"/>
        </w:rPr>
        <w:t xml:space="preserve">editadas </w:t>
      </w:r>
      <w:r w:rsidRPr="0097459F">
        <w:rPr>
          <w:rFonts w:cstheme="minorHAnsi"/>
        </w:rPr>
        <w:t xml:space="preserve">pela CVM, conforme a categoria </w:t>
      </w:r>
      <w:r w:rsidR="001E366C" w:rsidRPr="0097459F">
        <w:rPr>
          <w:rFonts w:cstheme="minorHAnsi"/>
        </w:rPr>
        <w:t xml:space="preserve">do </w:t>
      </w:r>
      <w:r w:rsidRPr="0097459F">
        <w:rPr>
          <w:rFonts w:cstheme="minorHAnsi"/>
        </w:rPr>
        <w:t>fundo de investimento</w:t>
      </w:r>
      <w:r w:rsidR="002660F8" w:rsidRPr="0097459F">
        <w:rPr>
          <w:rFonts w:cstheme="minorHAnsi"/>
        </w:rPr>
        <w:t>.</w:t>
      </w:r>
    </w:p>
    <w:p w14:paraId="04D52E0F" w14:textId="5C75B64E" w:rsidR="00893D49" w:rsidRPr="0097459F" w:rsidRDefault="00893D49" w:rsidP="00C20BBD">
      <w:pPr>
        <w:pStyle w:val="Normalalteradora"/>
        <w:rPr>
          <w:rFonts w:cstheme="minorHAnsi"/>
        </w:rPr>
      </w:pPr>
      <w:bookmarkStart w:id="167" w:name="_Hlk45618172"/>
      <w:r w:rsidRPr="0097459F">
        <w:rPr>
          <w:rFonts w:cstheme="minorHAnsi"/>
        </w:rPr>
        <w:t xml:space="preserve">Art. </w:t>
      </w:r>
      <w:r w:rsidR="00B7720E" w:rsidRPr="0097459F">
        <w:rPr>
          <w:rFonts w:cstheme="minorHAnsi"/>
        </w:rPr>
        <w:t>69</w:t>
      </w:r>
      <w:r w:rsidRPr="0097459F">
        <w:rPr>
          <w:rFonts w:cstheme="minorHAnsi"/>
        </w:rPr>
        <w:t xml:space="preserve">.  As demonstrações contábeis </w:t>
      </w:r>
      <w:r w:rsidR="00C959D1" w:rsidRPr="0097459F">
        <w:t>do fundo de investimento e de suas</w:t>
      </w:r>
      <w:r w:rsidRPr="0097459F">
        <w:rPr>
          <w:rFonts w:cstheme="minorHAnsi"/>
        </w:rPr>
        <w:t xml:space="preserve"> classes de cotas devem ser auditadas anualmente por auditor independente registrado na CVM, observadas as normas que disciplinam o exercício dessa atividade.</w:t>
      </w:r>
    </w:p>
    <w:bookmarkEnd w:id="167"/>
    <w:p w14:paraId="0154AF26" w14:textId="2B14412B" w:rsidR="00893D49" w:rsidRPr="0097459F" w:rsidRDefault="00C959D1" w:rsidP="00C20BBD">
      <w:pPr>
        <w:pStyle w:val="Normalalteradora"/>
        <w:rPr>
          <w:rFonts w:cstheme="minorHAnsi"/>
        </w:rPr>
      </w:pPr>
      <w:r w:rsidRPr="0097459F">
        <w:t>Parágrafo único.</w:t>
      </w:r>
      <w:r w:rsidR="00893D49" w:rsidRPr="0097459F">
        <w:rPr>
          <w:rFonts w:cstheme="minorHAnsi"/>
        </w:rPr>
        <w:t xml:space="preserve">  A auditoria das demonstrações contábeis não é obrigatória para </w:t>
      </w:r>
      <w:r w:rsidRPr="0097459F">
        <w:t>fundos</w:t>
      </w:r>
      <w:r w:rsidR="0035770C" w:rsidRPr="0097459F">
        <w:t xml:space="preserve"> e </w:t>
      </w:r>
      <w:r w:rsidR="004A7EC5" w:rsidRPr="0097459F">
        <w:rPr>
          <w:rFonts w:cstheme="minorHAnsi"/>
        </w:rPr>
        <w:t xml:space="preserve">classes </w:t>
      </w:r>
      <w:r w:rsidR="00893D49" w:rsidRPr="0097459F">
        <w:rPr>
          <w:rFonts w:cstheme="minorHAnsi"/>
        </w:rPr>
        <w:t>em atividade há menos de 90 (noventa) dias.</w:t>
      </w:r>
    </w:p>
    <w:p w14:paraId="28CFF30A" w14:textId="77777777" w:rsidR="00893D49" w:rsidRPr="0097459F" w:rsidRDefault="00893D49" w:rsidP="00C20BBD">
      <w:pPr>
        <w:pStyle w:val="Captulo"/>
        <w:rPr>
          <w:rFonts w:asciiTheme="minorHAnsi" w:hAnsiTheme="minorHAnsi"/>
        </w:rPr>
      </w:pPr>
      <w:bookmarkStart w:id="168" w:name="_Toc53594450"/>
      <w:bookmarkStart w:id="169" w:name="_Toc53595475"/>
      <w:bookmarkStart w:id="170" w:name="_Toc53594202"/>
      <w:bookmarkStart w:id="171" w:name="_Toc114818983"/>
      <w:bookmarkStart w:id="172" w:name="_Toc57836210"/>
      <w:bookmarkStart w:id="173" w:name="_Toc161141214"/>
      <w:r w:rsidRPr="0097459F">
        <w:rPr>
          <w:rFonts w:asciiTheme="minorHAnsi" w:hAnsiTheme="minorHAnsi"/>
        </w:rPr>
        <w:t>CAPÍTULO VII – ASSEMBLEIA DE COTISTAS</w:t>
      </w:r>
      <w:bookmarkEnd w:id="168"/>
      <w:bookmarkEnd w:id="169"/>
      <w:bookmarkEnd w:id="170"/>
      <w:bookmarkEnd w:id="171"/>
      <w:bookmarkEnd w:id="172"/>
      <w:bookmarkEnd w:id="173"/>
    </w:p>
    <w:p w14:paraId="4CAB7CE2" w14:textId="77777777" w:rsidR="00893D49" w:rsidRPr="0097459F" w:rsidRDefault="00893D49" w:rsidP="00C20BBD">
      <w:pPr>
        <w:pStyle w:val="Seo"/>
        <w:rPr>
          <w:rFonts w:asciiTheme="minorHAnsi" w:hAnsiTheme="minorHAnsi"/>
        </w:rPr>
      </w:pPr>
      <w:bookmarkStart w:id="174" w:name="_Toc53594451"/>
      <w:bookmarkStart w:id="175" w:name="_Toc53595476"/>
      <w:bookmarkStart w:id="176" w:name="_Toc53594203"/>
      <w:bookmarkStart w:id="177" w:name="_Toc114818984"/>
      <w:bookmarkStart w:id="178" w:name="_Toc57836211"/>
      <w:bookmarkStart w:id="179" w:name="_Toc161141215"/>
      <w:r w:rsidRPr="0097459F">
        <w:rPr>
          <w:rFonts w:asciiTheme="minorHAnsi" w:hAnsiTheme="minorHAnsi"/>
        </w:rPr>
        <w:t>Seção I – Competência</w:t>
      </w:r>
      <w:bookmarkEnd w:id="174"/>
      <w:bookmarkEnd w:id="175"/>
      <w:bookmarkEnd w:id="176"/>
      <w:bookmarkEnd w:id="177"/>
      <w:bookmarkEnd w:id="178"/>
      <w:bookmarkEnd w:id="179"/>
    </w:p>
    <w:p w14:paraId="69E2BC8F" w14:textId="6D6D09C3" w:rsidR="00893D49" w:rsidRPr="0097459F" w:rsidRDefault="00893D49" w:rsidP="00C20BBD">
      <w:pPr>
        <w:pStyle w:val="Normalalteradora"/>
        <w:rPr>
          <w:rFonts w:cstheme="minorHAnsi"/>
        </w:rPr>
      </w:pPr>
      <w:bookmarkStart w:id="180" w:name="_Hlk42692640"/>
      <w:r w:rsidRPr="0097459F">
        <w:rPr>
          <w:rFonts w:cstheme="minorHAnsi"/>
        </w:rPr>
        <w:t xml:space="preserve">Art. </w:t>
      </w:r>
      <w:r w:rsidR="00B7720E" w:rsidRPr="0097459F">
        <w:rPr>
          <w:rFonts w:cstheme="minorHAnsi"/>
        </w:rPr>
        <w:t>70</w:t>
      </w:r>
      <w:r w:rsidRPr="0097459F">
        <w:rPr>
          <w:rFonts w:cstheme="minorHAnsi"/>
        </w:rPr>
        <w:t>.  Compete privativamente à assembleia de cotistas deliberar sobre:</w:t>
      </w:r>
    </w:p>
    <w:p w14:paraId="613DDFAE" w14:textId="72527F6B" w:rsidR="00D83A4E"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as</w:t>
      </w:r>
      <w:proofErr w:type="gramEnd"/>
      <w:r w:rsidRPr="0097459F">
        <w:rPr>
          <w:rFonts w:cstheme="minorHAnsi"/>
        </w:rPr>
        <w:t xml:space="preserve"> demonstrações contábeis</w:t>
      </w:r>
      <w:r w:rsidR="002E4495" w:rsidRPr="0097459F">
        <w:rPr>
          <w:rFonts w:cstheme="minorHAnsi"/>
        </w:rPr>
        <w:t>, nos termos do art.</w:t>
      </w:r>
      <w:r w:rsidR="00B03A5F" w:rsidRPr="0097459F">
        <w:rPr>
          <w:rFonts w:cstheme="minorHAnsi"/>
        </w:rPr>
        <w:t xml:space="preserve"> </w:t>
      </w:r>
      <w:r w:rsidR="005A2B11" w:rsidRPr="0097459F">
        <w:rPr>
          <w:rFonts w:cstheme="minorHAnsi"/>
        </w:rPr>
        <w:t>71</w:t>
      </w:r>
      <w:r w:rsidRPr="0097459F">
        <w:rPr>
          <w:rFonts w:cstheme="minorHAnsi"/>
        </w:rPr>
        <w:t>;</w:t>
      </w:r>
    </w:p>
    <w:p w14:paraId="5B4203CD" w14:textId="041E8363"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w:t>
      </w:r>
      <w:proofErr w:type="gramEnd"/>
      <w:r w:rsidRPr="0097459F">
        <w:rPr>
          <w:rFonts w:cstheme="minorHAnsi"/>
        </w:rPr>
        <w:t xml:space="preserve"> substituição de prestador de serviço essencia</w:t>
      </w:r>
      <w:r w:rsidR="00DC3469" w:rsidRPr="0097459F">
        <w:rPr>
          <w:rFonts w:cstheme="minorHAnsi"/>
        </w:rPr>
        <w:t>l</w:t>
      </w:r>
      <w:r w:rsidRPr="0097459F">
        <w:rPr>
          <w:rFonts w:cstheme="minorHAnsi"/>
        </w:rPr>
        <w:t>;</w:t>
      </w:r>
    </w:p>
    <w:p w14:paraId="12850DE1" w14:textId="36E036CA" w:rsidR="00D83A4E" w:rsidRPr="0097459F" w:rsidRDefault="00D83A4E" w:rsidP="00C20BBD">
      <w:pPr>
        <w:pStyle w:val="Normalalteradora"/>
      </w:pPr>
      <w:r w:rsidRPr="0097459F">
        <w:lastRenderedPageBreak/>
        <w:t>I</w:t>
      </w:r>
      <w:r w:rsidR="00207A6E" w:rsidRPr="0097459F">
        <w:t>II</w:t>
      </w:r>
      <w:r w:rsidRPr="0097459F">
        <w:t xml:space="preserve"> – a emissão de novas cotas, na classe fechada</w:t>
      </w:r>
      <w:r w:rsidR="002E4495" w:rsidRPr="0097459F">
        <w:t xml:space="preserve">, hipótese na qual </w:t>
      </w:r>
      <w:r w:rsidR="00D76102" w:rsidRPr="0097459F">
        <w:t>deve</w:t>
      </w:r>
      <w:r w:rsidR="002E4495" w:rsidRPr="0097459F">
        <w:t xml:space="preserve"> definir se os cotistas possuirão direito de preferência na subscrição das novas cotas</w:t>
      </w:r>
      <w:r w:rsidR="00DD7B7B" w:rsidRPr="0097459F">
        <w:t xml:space="preserve">, sem prejuízo </w:t>
      </w:r>
      <w:r w:rsidR="114CA530" w:rsidRPr="0097459F">
        <w:t>do disposto no art. 48, § 2º</w:t>
      </w:r>
      <w:r w:rsidR="095ABBA8" w:rsidRPr="0097459F">
        <w:t>, inciso VII</w:t>
      </w:r>
      <w:r w:rsidR="00A20957" w:rsidRPr="0097459F">
        <w:t>;</w:t>
      </w:r>
    </w:p>
    <w:p w14:paraId="34BFFEBA" w14:textId="75C38371" w:rsidR="00B829F7" w:rsidRPr="0097459F" w:rsidRDefault="09E5518C" w:rsidP="00C20BBD">
      <w:pPr>
        <w:pStyle w:val="Normalalteradora"/>
      </w:pPr>
      <w:r w:rsidRPr="0097459F">
        <w:t xml:space="preserve">IV </w:t>
      </w:r>
      <w:r w:rsidR="4AF9F487" w:rsidRPr="0097459F">
        <w:t xml:space="preserve">– a fusão, a incorporação, a cisão, </w:t>
      </w:r>
      <w:r w:rsidR="7FA58F11" w:rsidRPr="0097459F">
        <w:t xml:space="preserve">total ou parcial, </w:t>
      </w:r>
      <w:r w:rsidR="4AF9F487" w:rsidRPr="0097459F">
        <w:t xml:space="preserve">a transformação ou a liquidação </w:t>
      </w:r>
      <w:r w:rsidR="00B829F7" w:rsidRPr="0097459F">
        <w:t xml:space="preserve">do fundo ou </w:t>
      </w:r>
      <w:r w:rsidR="0BA6F88F" w:rsidRPr="0097459F">
        <w:t>da classe</w:t>
      </w:r>
      <w:r w:rsidR="00B829F7" w:rsidRPr="0097459F">
        <w:t xml:space="preserve"> de cotas</w:t>
      </w:r>
      <w:r w:rsidR="005A2B11" w:rsidRPr="0097459F">
        <w:t>;</w:t>
      </w:r>
    </w:p>
    <w:p w14:paraId="12AF87B6" w14:textId="786E3062"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a</w:t>
      </w:r>
      <w:proofErr w:type="gramEnd"/>
      <w:r w:rsidRPr="0097459F">
        <w:rPr>
          <w:rFonts w:cstheme="minorHAnsi"/>
        </w:rPr>
        <w:t xml:space="preserve"> alteração do regulamento, ressalvado o disposto no art. </w:t>
      </w:r>
      <w:r w:rsidR="0098016B" w:rsidRPr="0097459F">
        <w:rPr>
          <w:rFonts w:cstheme="minorHAnsi"/>
        </w:rPr>
        <w:t>52</w:t>
      </w:r>
      <w:r w:rsidRPr="0097459F">
        <w:rPr>
          <w:rFonts w:cstheme="minorHAnsi"/>
        </w:rPr>
        <w:t>;</w:t>
      </w:r>
    </w:p>
    <w:p w14:paraId="643A69FF" w14:textId="55C8ACF8" w:rsidR="00D124B3" w:rsidRPr="0097459F" w:rsidRDefault="00D124B3" w:rsidP="00C20BBD">
      <w:pPr>
        <w:pStyle w:val="Normalalteradora"/>
        <w:rPr>
          <w:rFonts w:cstheme="minorHAnsi"/>
        </w:rPr>
      </w:pPr>
      <w:r w:rsidRPr="0097459F">
        <w:rPr>
          <w:rFonts w:cstheme="minorHAnsi"/>
        </w:rPr>
        <w:t>V</w:t>
      </w:r>
      <w:r w:rsidR="00207A6E" w:rsidRPr="0097459F">
        <w:rPr>
          <w:rFonts w:cstheme="minorHAnsi"/>
        </w:rPr>
        <w:t>I</w:t>
      </w:r>
      <w:r w:rsidRPr="0097459F">
        <w:rPr>
          <w:rFonts w:cstheme="minorHAnsi"/>
        </w:rPr>
        <w:t xml:space="preserve"> – </w:t>
      </w:r>
      <w:proofErr w:type="gramStart"/>
      <w:r w:rsidRPr="0097459F">
        <w:rPr>
          <w:rFonts w:cstheme="minorHAnsi"/>
        </w:rPr>
        <w:t>o</w:t>
      </w:r>
      <w:proofErr w:type="gramEnd"/>
      <w:r w:rsidRPr="0097459F">
        <w:rPr>
          <w:rFonts w:cstheme="minorHAnsi"/>
        </w:rPr>
        <w:t xml:space="preserve"> plano de resolução de patrimônio líquido negativo</w:t>
      </w:r>
      <w:r w:rsidR="004D0035" w:rsidRPr="0097459F">
        <w:rPr>
          <w:rFonts w:cstheme="minorHAnsi"/>
        </w:rPr>
        <w:t xml:space="preserve">, nos termos do art. </w:t>
      </w:r>
      <w:r w:rsidR="00E24209" w:rsidRPr="0097459F">
        <w:rPr>
          <w:rFonts w:cstheme="minorHAnsi"/>
        </w:rPr>
        <w:t>122</w:t>
      </w:r>
      <w:r w:rsidR="00F46EEE" w:rsidRPr="0097459F">
        <w:rPr>
          <w:rFonts w:cstheme="minorHAnsi"/>
        </w:rPr>
        <w:t>; e</w:t>
      </w:r>
    </w:p>
    <w:p w14:paraId="72F60484" w14:textId="63385D52" w:rsidR="00893D49" w:rsidRPr="0097459F" w:rsidRDefault="00893D49" w:rsidP="00C20BBD">
      <w:pPr>
        <w:pStyle w:val="Normalalteradora"/>
        <w:rPr>
          <w:rFonts w:cstheme="minorHAnsi"/>
        </w:rPr>
      </w:pPr>
      <w:r w:rsidRPr="0097459F">
        <w:rPr>
          <w:rFonts w:cstheme="minorHAnsi"/>
        </w:rPr>
        <w:t>V</w:t>
      </w:r>
      <w:r w:rsidR="00273D37" w:rsidRPr="0097459F">
        <w:rPr>
          <w:rFonts w:cstheme="minorHAnsi"/>
        </w:rPr>
        <w:t>II</w:t>
      </w:r>
      <w:r w:rsidRPr="0097459F">
        <w:rPr>
          <w:rFonts w:cstheme="minorHAnsi"/>
        </w:rPr>
        <w:t xml:space="preserve"> – o pedido de declaração judicial de insolvência</w:t>
      </w:r>
      <w:r w:rsidR="007C214B" w:rsidRPr="0097459F">
        <w:rPr>
          <w:rFonts w:cstheme="minorHAnsi"/>
        </w:rPr>
        <w:t xml:space="preserve"> da classe de cotas</w:t>
      </w:r>
      <w:r w:rsidR="00F46EEE" w:rsidRPr="0097459F">
        <w:rPr>
          <w:rFonts w:cstheme="minorHAnsi"/>
        </w:rPr>
        <w:t>.</w:t>
      </w:r>
    </w:p>
    <w:p w14:paraId="7C956A5A" w14:textId="52A2C4B7" w:rsidR="00207A6E" w:rsidRPr="0097459F" w:rsidRDefault="00207A6E" w:rsidP="00C20BBD">
      <w:pPr>
        <w:pStyle w:val="Normalalteradora"/>
        <w:rPr>
          <w:rFonts w:cstheme="minorHAnsi"/>
        </w:rPr>
      </w:pPr>
      <w:r w:rsidRPr="0097459F">
        <w:rPr>
          <w:rFonts w:cstheme="minorHAnsi"/>
        </w:rPr>
        <w:t xml:space="preserve">§ </w:t>
      </w:r>
      <w:r w:rsidR="001166EA" w:rsidRPr="0097459F">
        <w:rPr>
          <w:rFonts w:cstheme="minorHAnsi"/>
        </w:rPr>
        <w:t>1</w:t>
      </w:r>
      <w:proofErr w:type="gramStart"/>
      <w:r w:rsidRPr="0097459F">
        <w:rPr>
          <w:rFonts w:cstheme="minorHAnsi"/>
        </w:rPr>
        <w:t>º  Caso</w:t>
      </w:r>
      <w:proofErr w:type="gramEnd"/>
      <w:r w:rsidRPr="0097459F">
        <w:rPr>
          <w:rFonts w:cstheme="minorHAnsi"/>
        </w:rPr>
        <w:t xml:space="preserve"> </w:t>
      </w:r>
      <w:r w:rsidR="004D0035" w:rsidRPr="0097459F">
        <w:rPr>
          <w:rFonts w:cstheme="minorHAnsi"/>
        </w:rPr>
        <w:t xml:space="preserve">o fundo possua diferentes classes de cotas e </w:t>
      </w:r>
      <w:r w:rsidRPr="0097459F">
        <w:rPr>
          <w:rFonts w:cstheme="minorHAnsi"/>
        </w:rPr>
        <w:t xml:space="preserve">os cotistas de uma determinada classe deliberem substituir prestador de serviço essencial, tal classe </w:t>
      </w:r>
      <w:r w:rsidR="00D76102" w:rsidRPr="0097459F">
        <w:rPr>
          <w:rFonts w:cstheme="minorHAnsi"/>
        </w:rPr>
        <w:t>deve</w:t>
      </w:r>
      <w:r w:rsidRPr="0097459F">
        <w:rPr>
          <w:rFonts w:cstheme="minorHAnsi"/>
        </w:rPr>
        <w:t xml:space="preserve"> ser cindida do fundo.</w:t>
      </w:r>
    </w:p>
    <w:p w14:paraId="0121B755" w14:textId="2AF37B86" w:rsidR="00207A6E" w:rsidRPr="0097459F" w:rsidRDefault="00207A6E" w:rsidP="00C20BBD">
      <w:pPr>
        <w:pStyle w:val="Normalalteradora"/>
        <w:rPr>
          <w:rFonts w:cstheme="minorHAnsi"/>
        </w:rPr>
      </w:pPr>
      <w:r w:rsidRPr="0097459F">
        <w:rPr>
          <w:rFonts w:cstheme="minorHAnsi"/>
        </w:rPr>
        <w:t>§</w:t>
      </w:r>
      <w:r w:rsidR="001166EA" w:rsidRPr="0097459F">
        <w:rPr>
          <w:rFonts w:cstheme="minorHAnsi"/>
        </w:rPr>
        <w:t xml:space="preserve"> 2</w:t>
      </w:r>
      <w:proofErr w:type="gramStart"/>
      <w:r w:rsidRPr="0097459F">
        <w:rPr>
          <w:rFonts w:cstheme="minorHAnsi"/>
        </w:rPr>
        <w:t>º  Para</w:t>
      </w:r>
      <w:proofErr w:type="gramEnd"/>
      <w:r w:rsidRPr="0097459F">
        <w:rPr>
          <w:rFonts w:cstheme="minorHAnsi"/>
        </w:rPr>
        <w:t xml:space="preserve"> fins da presente Resolução, considera-se que a cisão é total quando toda a classe de cotas é cindida do fundo de investimento e parcial quando somente uma parcela da classe de cotas é cindida do fundo.</w:t>
      </w:r>
    </w:p>
    <w:p w14:paraId="5A2603B8" w14:textId="2AB5D214" w:rsidR="00207A6E" w:rsidRPr="0097459F" w:rsidRDefault="00207A6E" w:rsidP="00C20BBD">
      <w:pPr>
        <w:pStyle w:val="Normalalteradora"/>
        <w:rPr>
          <w:rFonts w:cstheme="minorHAnsi"/>
        </w:rPr>
      </w:pPr>
      <w:r w:rsidRPr="0097459F">
        <w:rPr>
          <w:rFonts w:cstheme="minorHAnsi"/>
        </w:rPr>
        <w:t xml:space="preserve">§ </w:t>
      </w:r>
      <w:r w:rsidR="001166EA" w:rsidRPr="0097459F">
        <w:rPr>
          <w:rFonts w:cstheme="minorHAnsi"/>
        </w:rPr>
        <w:t>3</w:t>
      </w:r>
      <w:proofErr w:type="gramStart"/>
      <w:r w:rsidRPr="0097459F">
        <w:rPr>
          <w:rFonts w:cstheme="minorHAnsi"/>
        </w:rPr>
        <w:t>º  A</w:t>
      </w:r>
      <w:proofErr w:type="gramEnd"/>
      <w:r w:rsidRPr="0097459F">
        <w:rPr>
          <w:rFonts w:cstheme="minorHAnsi"/>
        </w:rPr>
        <w:t xml:space="preserve"> alteração do r</w:t>
      </w:r>
      <w:r w:rsidR="00972C47" w:rsidRPr="0097459F">
        <w:rPr>
          <w:rFonts w:cstheme="minorHAnsi"/>
        </w:rPr>
        <w:t>egulamento no tocante a matéria</w:t>
      </w:r>
      <w:r w:rsidRPr="0097459F">
        <w:rPr>
          <w:rFonts w:cstheme="minorHAnsi"/>
        </w:rPr>
        <w:t xml:space="preserve"> que </w:t>
      </w:r>
      <w:r w:rsidR="00972C47" w:rsidRPr="0097459F">
        <w:rPr>
          <w:rFonts w:cstheme="minorHAnsi"/>
        </w:rPr>
        <w:t>seja comum</w:t>
      </w:r>
      <w:r w:rsidRPr="0097459F">
        <w:rPr>
          <w:rFonts w:cstheme="minorHAnsi"/>
        </w:rPr>
        <w:t xml:space="preserve"> a todas as classes de cotas deve ser deliberada pela assembleia geral de cotistas.</w:t>
      </w:r>
    </w:p>
    <w:bookmarkEnd w:id="180"/>
    <w:p w14:paraId="4A634192" w14:textId="2112C211" w:rsidR="006A02C2" w:rsidRDefault="006A02C2" w:rsidP="00C20BBD">
      <w:pPr>
        <w:pStyle w:val="Normalalteradora"/>
        <w:rPr>
          <w:rFonts w:cstheme="minorHAnsi"/>
          <w:strike/>
        </w:rPr>
      </w:pPr>
      <w:r w:rsidRPr="00DB08D5">
        <w:rPr>
          <w:rFonts w:cstheme="minorHAnsi"/>
          <w:strike/>
        </w:rPr>
        <w:t xml:space="preserve">Art. </w:t>
      </w:r>
      <w:r w:rsidR="00B7720E" w:rsidRPr="00DB08D5">
        <w:rPr>
          <w:rFonts w:cstheme="minorHAnsi"/>
          <w:strike/>
        </w:rPr>
        <w:t>71</w:t>
      </w:r>
      <w:r w:rsidRPr="00DB08D5">
        <w:rPr>
          <w:rFonts w:cstheme="minorHAnsi"/>
          <w:strike/>
        </w:rPr>
        <w:t xml:space="preserve">.  Anualmente, a assembleia </w:t>
      </w:r>
      <w:r w:rsidR="007C214B" w:rsidRPr="00DB08D5">
        <w:rPr>
          <w:rFonts w:cstheme="minorHAnsi"/>
          <w:strike/>
        </w:rPr>
        <w:t xml:space="preserve">especial </w:t>
      </w:r>
      <w:r w:rsidRPr="00DB08D5">
        <w:rPr>
          <w:rFonts w:cstheme="minorHAnsi"/>
          <w:strike/>
        </w:rPr>
        <w:t>de cotistas deve deliberar sobre as demonstrações contábeis da classe de cotas</w:t>
      </w:r>
      <w:r w:rsidR="007C214B" w:rsidRPr="00DB08D5">
        <w:rPr>
          <w:rFonts w:cstheme="minorHAnsi"/>
          <w:strike/>
        </w:rPr>
        <w:t>, assim como a assembleia geral de cotistas deve deliberar sobre as demonstrações contábeis do fundo</w:t>
      </w:r>
      <w:r w:rsidRPr="00DB08D5">
        <w:rPr>
          <w:rFonts w:cstheme="minorHAnsi"/>
          <w:strike/>
        </w:rPr>
        <w:t>, no prazo previsto nas regras específicas de cada categoria de fundo de investimento.</w:t>
      </w:r>
    </w:p>
    <w:p w14:paraId="7A87CB38" w14:textId="50EB1BCE" w:rsidR="00C27187" w:rsidRPr="00C27187" w:rsidRDefault="00C27187" w:rsidP="00C27187">
      <w:pPr>
        <w:pStyle w:val="NormaAlterada"/>
      </w:pPr>
      <w:r>
        <w:t xml:space="preserve">Art. 71.  </w:t>
      </w:r>
      <w:r w:rsidRPr="44425E68">
        <w:t>Anualmente, a assembleia especial de cotistas deve deliberar sobre as demonstrações contábeis da classe de cotas, assim como a assembleia geral de cotistas deve deliberar sobre as demonstrações contábeis do fundo, no prazo de até 60 (sessenta) dias após o encaminhamento das demonstrações contábeis à CVM, contendo relatório do auditor independente.</w:t>
      </w:r>
    </w:p>
    <w:p w14:paraId="64CC619B" w14:textId="53FC6739" w:rsidR="00DB08D5" w:rsidRPr="00DB08D5" w:rsidRDefault="00DB08D5" w:rsidP="00DB08D5">
      <w:pPr>
        <w:pStyle w:val="Normalalteradora"/>
        <w:numPr>
          <w:ilvl w:val="0"/>
          <w:numId w:val="40"/>
        </w:numPr>
        <w:ind w:left="709" w:hanging="142"/>
        <w:rPr>
          <w:strike/>
        </w:rPr>
      </w:pPr>
      <w:r>
        <w:rPr>
          <w:rFonts w:cstheme="minorHAnsi"/>
          <w:b/>
          <w:i/>
          <w:iCs/>
        </w:rPr>
        <w:t xml:space="preserve">Caput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2E8C1777" w14:textId="77777777" w:rsidR="00DB08D5" w:rsidRPr="00DB08D5" w:rsidRDefault="00DB08D5" w:rsidP="00C20BBD">
      <w:pPr>
        <w:pStyle w:val="Normalalteradora"/>
        <w:rPr>
          <w:rFonts w:cstheme="minorHAnsi"/>
          <w:strike/>
        </w:rPr>
      </w:pPr>
    </w:p>
    <w:p w14:paraId="4C3385D5" w14:textId="04571F9B" w:rsidR="006A02C2" w:rsidRDefault="006A02C2" w:rsidP="00C20BBD">
      <w:pPr>
        <w:pStyle w:val="Normalalteradora"/>
        <w:rPr>
          <w:strike/>
        </w:rPr>
      </w:pPr>
      <w:r w:rsidRPr="00DB08D5">
        <w:rPr>
          <w:strike/>
        </w:rPr>
        <w:lastRenderedPageBreak/>
        <w:t xml:space="preserve">§ </w:t>
      </w:r>
      <w:r w:rsidR="00B7720E" w:rsidRPr="00DB08D5">
        <w:rPr>
          <w:strike/>
        </w:rPr>
        <w:t>1</w:t>
      </w:r>
      <w:proofErr w:type="gramStart"/>
      <w:r w:rsidR="00B7720E" w:rsidRPr="00DB08D5">
        <w:rPr>
          <w:strike/>
        </w:rPr>
        <w:t xml:space="preserve">º  </w:t>
      </w:r>
      <w:r w:rsidRPr="00DB08D5">
        <w:rPr>
          <w:strike/>
        </w:rPr>
        <w:t>A</w:t>
      </w:r>
      <w:proofErr w:type="gramEnd"/>
      <w:r w:rsidRPr="00DB08D5">
        <w:rPr>
          <w:strike/>
        </w:rPr>
        <w:t xml:space="preserve"> assembleia de cotistas somente pode ser realizada no mínimo 15 (quinze) dias após estarem disponíveis aos cotistas as demonstrações contábeis relativas ao exercício encerrado, contendo parecer do auditor independente.</w:t>
      </w:r>
    </w:p>
    <w:p w14:paraId="5E636F03" w14:textId="77777777" w:rsidR="00DB08D5" w:rsidRPr="0097459F" w:rsidRDefault="00DB08D5" w:rsidP="00DB08D5">
      <w:pPr>
        <w:pStyle w:val="NormaAlterada"/>
      </w:pPr>
      <w:r>
        <w:t>§ 1</w:t>
      </w:r>
      <w:bookmarkStart w:id="181" w:name="_Int_IVeusR7p"/>
      <w:proofErr w:type="gramStart"/>
      <w:r>
        <w:t>º  A</w:t>
      </w:r>
      <w:bookmarkEnd w:id="181"/>
      <w:proofErr w:type="gramEnd"/>
      <w:r>
        <w:t xml:space="preserve"> assembleia de cotistas somente pode ser realizada no mínimo 15 (quinze) dias após estarem disponíveis aos cotistas as demonstrações contábeis relativas ao exercício encerrado, contendo relatório do auditor independente.</w:t>
      </w:r>
    </w:p>
    <w:p w14:paraId="6E6972BB" w14:textId="7E0CD569" w:rsidR="00DB08D5" w:rsidRPr="00DB08D5" w:rsidRDefault="00DB08D5" w:rsidP="00DB08D5">
      <w:pPr>
        <w:pStyle w:val="Normalalteradora"/>
        <w:numPr>
          <w:ilvl w:val="0"/>
          <w:numId w:val="40"/>
        </w:numPr>
        <w:ind w:left="709" w:hanging="142"/>
        <w:rPr>
          <w:strike/>
        </w:rPr>
      </w:pPr>
      <w:r>
        <w:rPr>
          <w:rFonts w:cstheme="minorHAnsi"/>
          <w:b/>
          <w:i/>
          <w:iCs/>
        </w:rPr>
        <w:t xml:space="preserve"> </w:t>
      </w:r>
      <w:r w:rsidRPr="00DB08D5">
        <w:rPr>
          <w:b/>
          <w:bCs/>
          <w:i/>
          <w:iCs/>
        </w:rPr>
        <w:t>§ 1º</w:t>
      </w:r>
      <w:r>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29AC9DC1" w14:textId="7FB27A21" w:rsidR="003A439C" w:rsidRPr="0097459F" w:rsidRDefault="003A439C" w:rsidP="00C20BBD">
      <w:pPr>
        <w:pStyle w:val="Normalalteradora"/>
        <w:rPr>
          <w:rFonts w:cstheme="minorHAnsi"/>
        </w:rPr>
      </w:pPr>
      <w:r w:rsidRPr="0097459F">
        <w:rPr>
          <w:rFonts w:cstheme="minorHAnsi"/>
        </w:rPr>
        <w:t xml:space="preserve">§ </w:t>
      </w:r>
      <w:r w:rsidR="00B7720E" w:rsidRPr="0097459F">
        <w:rPr>
          <w:rFonts w:cstheme="minorHAnsi"/>
        </w:rPr>
        <w:t>2</w:t>
      </w:r>
      <w:proofErr w:type="gramStart"/>
      <w:r w:rsidR="00B7720E" w:rsidRPr="0097459F">
        <w:rPr>
          <w:rFonts w:cstheme="minorHAnsi"/>
        </w:rPr>
        <w:t xml:space="preserve">º  </w:t>
      </w:r>
      <w:r w:rsidRPr="0097459F">
        <w:rPr>
          <w:rFonts w:cstheme="minorHAnsi"/>
        </w:rPr>
        <w:t>A</w:t>
      </w:r>
      <w:proofErr w:type="gramEnd"/>
      <w:r w:rsidRPr="0097459F">
        <w:rPr>
          <w:rFonts w:cstheme="minorHAnsi"/>
        </w:rPr>
        <w:t xml:space="preserve"> assembleia de cotistas a que comparecerem todos os cotistas pode dispensar o prazo estabelecido no § </w:t>
      </w:r>
      <w:r w:rsidR="002F3174">
        <w:rPr>
          <w:rFonts w:cstheme="minorHAnsi"/>
        </w:rPr>
        <w:t>1</w:t>
      </w:r>
      <w:r w:rsidRPr="0097459F">
        <w:rPr>
          <w:rFonts w:cstheme="minorHAnsi"/>
        </w:rPr>
        <w:t>º.</w:t>
      </w:r>
    </w:p>
    <w:p w14:paraId="0ABE6E4C" w14:textId="548F485D" w:rsidR="003A439C" w:rsidRPr="0097459F" w:rsidRDefault="003A439C" w:rsidP="00C20BBD">
      <w:pPr>
        <w:pStyle w:val="Normalalteradora"/>
        <w:rPr>
          <w:rFonts w:cstheme="minorHAnsi"/>
        </w:rPr>
      </w:pPr>
      <w:r w:rsidRPr="0097459F">
        <w:rPr>
          <w:rFonts w:cstheme="minorHAnsi"/>
        </w:rPr>
        <w:t xml:space="preserve">§ </w:t>
      </w:r>
      <w:r w:rsidR="00B7720E" w:rsidRPr="0097459F">
        <w:rPr>
          <w:rFonts w:cstheme="minorHAnsi"/>
        </w:rPr>
        <w:t>3</w:t>
      </w:r>
      <w:proofErr w:type="gramStart"/>
      <w:r w:rsidR="00B7720E" w:rsidRPr="0097459F">
        <w:rPr>
          <w:rFonts w:cstheme="minorHAnsi"/>
        </w:rPr>
        <w:t xml:space="preserve">º  </w:t>
      </w:r>
      <w:r w:rsidRPr="0097459F">
        <w:rPr>
          <w:rFonts w:cstheme="minorHAnsi"/>
        </w:rPr>
        <w:t>As</w:t>
      </w:r>
      <w:proofErr w:type="gramEnd"/>
      <w:r w:rsidRPr="0097459F">
        <w:rPr>
          <w:rFonts w:cstheme="minorHAnsi"/>
        </w:rPr>
        <w:t xml:space="preserve"> demonstrações contábeis cujo relatório de auditoria não contiver opinião modificada podem ser consideradas automaticamente aprovadas caso a assembleia de cotistas não seja instalada</w:t>
      </w:r>
      <w:r w:rsidR="00A42927" w:rsidRPr="0097459F">
        <w:rPr>
          <w:rFonts w:cstheme="minorHAnsi"/>
        </w:rPr>
        <w:t xml:space="preserve"> em virtude d</w:t>
      </w:r>
      <w:r w:rsidR="00112D34" w:rsidRPr="0097459F">
        <w:rPr>
          <w:rFonts w:cstheme="minorHAnsi"/>
        </w:rPr>
        <w:t>e</w:t>
      </w:r>
      <w:r w:rsidR="00A42927" w:rsidRPr="0097459F">
        <w:rPr>
          <w:rFonts w:cstheme="minorHAnsi"/>
        </w:rPr>
        <w:t xml:space="preserve"> não comparecimento d</w:t>
      </w:r>
      <w:r w:rsidR="00112D34" w:rsidRPr="0097459F">
        <w:rPr>
          <w:rFonts w:cstheme="minorHAnsi"/>
        </w:rPr>
        <w:t>os</w:t>
      </w:r>
      <w:r w:rsidR="00A42927" w:rsidRPr="0097459F">
        <w:rPr>
          <w:rFonts w:cstheme="minorHAnsi"/>
        </w:rPr>
        <w:t xml:space="preserve"> cotista</w:t>
      </w:r>
      <w:r w:rsidR="00112D34" w:rsidRPr="0097459F">
        <w:rPr>
          <w:rFonts w:cstheme="minorHAnsi"/>
        </w:rPr>
        <w:t>s</w:t>
      </w:r>
      <w:r w:rsidRPr="0097459F">
        <w:rPr>
          <w:rFonts w:cstheme="minorHAnsi"/>
        </w:rPr>
        <w:t>.</w:t>
      </w:r>
    </w:p>
    <w:p w14:paraId="0D4D53C0" w14:textId="63708FFC" w:rsidR="00893D49" w:rsidRPr="0097459F" w:rsidRDefault="00893D49" w:rsidP="00C20BBD">
      <w:pPr>
        <w:pStyle w:val="Seo"/>
        <w:rPr>
          <w:rFonts w:asciiTheme="minorHAnsi" w:hAnsiTheme="minorHAnsi"/>
        </w:rPr>
      </w:pPr>
      <w:bookmarkStart w:id="182" w:name="_Toc53594452"/>
      <w:bookmarkStart w:id="183" w:name="_Toc53595477"/>
      <w:bookmarkStart w:id="184" w:name="_Toc53594204"/>
      <w:bookmarkStart w:id="185" w:name="_Toc114818985"/>
      <w:bookmarkStart w:id="186" w:name="_Toc57836212"/>
      <w:bookmarkStart w:id="187" w:name="_Toc161141216"/>
      <w:r w:rsidRPr="0097459F">
        <w:rPr>
          <w:rFonts w:asciiTheme="minorHAnsi" w:hAnsiTheme="minorHAnsi"/>
        </w:rPr>
        <w:t>Seção II – Convocação e Instalação</w:t>
      </w:r>
      <w:bookmarkEnd w:id="182"/>
      <w:bookmarkEnd w:id="183"/>
      <w:bookmarkEnd w:id="184"/>
      <w:bookmarkEnd w:id="185"/>
      <w:bookmarkEnd w:id="186"/>
      <w:bookmarkEnd w:id="187"/>
    </w:p>
    <w:p w14:paraId="6A92B0B5" w14:textId="333F2530"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72</w:t>
      </w:r>
      <w:r w:rsidRPr="0097459F">
        <w:rPr>
          <w:rFonts w:cstheme="minorHAnsi"/>
        </w:rPr>
        <w:t xml:space="preserve">.  A convocação da assembleia de cotistas deve ser encaminhada a cada cotista </w:t>
      </w:r>
      <w:r w:rsidR="002F5944" w:rsidRPr="0097459F">
        <w:rPr>
          <w:rFonts w:cstheme="minorHAnsi"/>
        </w:rPr>
        <w:t xml:space="preserve">da classe convocada </w:t>
      </w:r>
      <w:r w:rsidRPr="0097459F">
        <w:rPr>
          <w:rFonts w:cstheme="minorHAnsi"/>
        </w:rPr>
        <w:t>e disponibilizada nas páginas do administrador</w:t>
      </w:r>
      <w:r w:rsidR="00F047DB" w:rsidRPr="0097459F">
        <w:rPr>
          <w:rFonts w:cstheme="minorHAnsi"/>
        </w:rPr>
        <w:t>, gestor</w:t>
      </w:r>
      <w:r w:rsidRPr="0097459F">
        <w:rPr>
          <w:rFonts w:cstheme="minorHAnsi"/>
        </w:rPr>
        <w:t xml:space="preserve"> e</w:t>
      </w:r>
      <w:r w:rsidR="00BE7767" w:rsidRPr="0097459F">
        <w:rPr>
          <w:rFonts w:cstheme="minorHAnsi"/>
        </w:rPr>
        <w:t>,</w:t>
      </w:r>
      <w:r w:rsidR="008C308B" w:rsidRPr="0097459F">
        <w:rPr>
          <w:rFonts w:cstheme="minorHAnsi"/>
        </w:rPr>
        <w:t xml:space="preserve"> </w:t>
      </w:r>
      <w:r w:rsidR="006416DC" w:rsidRPr="0097459F">
        <w:rPr>
          <w:rFonts w:cstheme="minorHAnsi"/>
        </w:rPr>
        <w:t>caso a</w:t>
      </w:r>
      <w:r w:rsidR="00BE7767" w:rsidRPr="0097459F">
        <w:rPr>
          <w:rFonts w:cstheme="minorHAnsi"/>
        </w:rPr>
        <w:t xml:space="preserve"> distribuição de cotas</w:t>
      </w:r>
      <w:r w:rsidR="006416DC" w:rsidRPr="0097459F">
        <w:rPr>
          <w:rFonts w:cstheme="minorHAnsi"/>
        </w:rPr>
        <w:t xml:space="preserve"> esteja em andamento</w:t>
      </w:r>
      <w:r w:rsidR="00BE7767" w:rsidRPr="0097459F">
        <w:rPr>
          <w:rFonts w:cstheme="minorHAnsi"/>
        </w:rPr>
        <w:t>,</w:t>
      </w:r>
      <w:r w:rsidRPr="0097459F">
        <w:rPr>
          <w:rFonts w:cstheme="minorHAnsi"/>
        </w:rPr>
        <w:t xml:space="preserve"> dos distribuidores na rede mundial de computadores.</w:t>
      </w:r>
    </w:p>
    <w:p w14:paraId="1892064B" w14:textId="74C94F0C"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convocação </w:t>
      </w:r>
      <w:r w:rsidR="00BE7767" w:rsidRPr="0097459F">
        <w:rPr>
          <w:rFonts w:cstheme="minorHAnsi"/>
        </w:rPr>
        <w:t xml:space="preserve">da </w:t>
      </w:r>
      <w:r w:rsidRPr="0097459F">
        <w:rPr>
          <w:rFonts w:cstheme="minorHAnsi"/>
        </w:rPr>
        <w:t>assembleia de cotistas deve enumerar, expressamente, na ordem do dia, todas as matérias a serem deliberadas, não se admitindo que sob a rubrica de assuntos gerais haja matérias que dependam de deliberação da assembleia.</w:t>
      </w:r>
    </w:p>
    <w:p w14:paraId="35082C5C" w14:textId="6E006880"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Caso</w:t>
      </w:r>
      <w:proofErr w:type="gramEnd"/>
      <w:r w:rsidRPr="0097459F">
        <w:rPr>
          <w:rFonts w:cstheme="minorHAnsi"/>
        </w:rPr>
        <w:t xml:space="preserve"> seja admitida a participação do cotista por meio de sistema eletrônico, a convocação deve conter informações detalhando as regras e os procedimentos </w:t>
      </w:r>
      <w:r w:rsidR="00AC76AB" w:rsidRPr="0097459F">
        <w:rPr>
          <w:rFonts w:cstheme="minorHAnsi"/>
        </w:rPr>
        <w:t>para viabilizar</w:t>
      </w:r>
      <w:r w:rsidRPr="0097459F">
        <w:rPr>
          <w:rFonts w:cstheme="minorHAnsi"/>
        </w:rPr>
        <w:t xml:space="preserve"> </w:t>
      </w:r>
      <w:r w:rsidR="00AC76AB" w:rsidRPr="0097459F">
        <w:rPr>
          <w:rFonts w:cstheme="minorHAnsi"/>
        </w:rPr>
        <w:t xml:space="preserve">a participação e votação </w:t>
      </w:r>
      <w:r w:rsidR="00112D34" w:rsidRPr="0097459F">
        <w:rPr>
          <w:rFonts w:cstheme="minorHAnsi"/>
        </w:rPr>
        <w:t>a</w:t>
      </w:r>
      <w:r w:rsidRPr="0097459F">
        <w:rPr>
          <w:rFonts w:cstheme="minorHAnsi"/>
        </w:rPr>
        <w:t xml:space="preserve"> distância, incluindo </w:t>
      </w:r>
      <w:r w:rsidR="00AC76AB" w:rsidRPr="0097459F">
        <w:rPr>
          <w:rFonts w:cstheme="minorHAnsi"/>
        </w:rPr>
        <w:t xml:space="preserve">as </w:t>
      </w:r>
      <w:r w:rsidRPr="0097459F">
        <w:rPr>
          <w:rFonts w:cstheme="minorHAnsi"/>
        </w:rPr>
        <w:t>informações necessárias e suficientes para acesso e util</w:t>
      </w:r>
      <w:r w:rsidR="00AC76AB" w:rsidRPr="0097459F">
        <w:rPr>
          <w:rFonts w:cstheme="minorHAnsi"/>
        </w:rPr>
        <w:t>ização do sistema</w:t>
      </w:r>
      <w:r w:rsidRPr="0097459F">
        <w:rPr>
          <w:rFonts w:cstheme="minorHAnsi"/>
        </w:rPr>
        <w:t xml:space="preserve">, assim como se a assembleia será realizada parcial ou exclusivamente de modo </w:t>
      </w:r>
      <w:r w:rsidR="002202E7" w:rsidRPr="0097459F">
        <w:rPr>
          <w:rFonts w:cstheme="minorHAnsi"/>
        </w:rPr>
        <w:t>eletrônico</w:t>
      </w:r>
      <w:r w:rsidRPr="0097459F">
        <w:rPr>
          <w:rFonts w:cstheme="minorHAnsi"/>
        </w:rPr>
        <w:t>.</w:t>
      </w:r>
    </w:p>
    <w:p w14:paraId="159A9958" w14:textId="03C11F85"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As</w:t>
      </w:r>
      <w:proofErr w:type="gramEnd"/>
      <w:r w:rsidRPr="0097459F">
        <w:rPr>
          <w:rFonts w:cstheme="minorHAnsi"/>
        </w:rPr>
        <w:t xml:space="preserve"> informações requeridas na convocação, conforme dispostas no § 2º, podem ser divulgadas de forma resumida, com indicação dos endereços na rede mundial de computadores onde a informação completa deve estar disponível a todos os investidores.</w:t>
      </w:r>
    </w:p>
    <w:p w14:paraId="66F9893A" w14:textId="4A4A1AB2" w:rsidR="00893D49" w:rsidRPr="0097459F" w:rsidRDefault="00893D49" w:rsidP="00C20BBD">
      <w:pPr>
        <w:pStyle w:val="Normalalteradora"/>
        <w:rPr>
          <w:rFonts w:cstheme="minorHAnsi"/>
        </w:rPr>
      </w:pPr>
      <w:r w:rsidRPr="0097459F">
        <w:rPr>
          <w:rFonts w:cstheme="minorHAnsi"/>
        </w:rPr>
        <w:lastRenderedPageBreak/>
        <w:t>§ 4</w:t>
      </w:r>
      <w:proofErr w:type="gramStart"/>
      <w:r w:rsidRPr="0097459F">
        <w:rPr>
          <w:rFonts w:cstheme="minorHAnsi"/>
        </w:rPr>
        <w:t>º  A</w:t>
      </w:r>
      <w:proofErr w:type="gramEnd"/>
      <w:r w:rsidRPr="0097459F">
        <w:rPr>
          <w:rFonts w:cstheme="minorHAnsi"/>
        </w:rPr>
        <w:t xml:space="preserve"> convocação da assembleia de cotistas deve ser feita com 10 (dez) dias de antecedência, no mínimo, da data de sua realização</w:t>
      </w:r>
      <w:r w:rsidR="00F56705" w:rsidRPr="0097459F">
        <w:rPr>
          <w:rFonts w:cstheme="minorHAnsi"/>
        </w:rPr>
        <w:t>, sem prejuízo de regras específicas, aplicáveis ao fundo em função de sua categoria</w:t>
      </w:r>
      <w:r w:rsidRPr="0097459F">
        <w:rPr>
          <w:rFonts w:cstheme="minorHAnsi"/>
        </w:rPr>
        <w:t>.</w:t>
      </w:r>
    </w:p>
    <w:p w14:paraId="0E12621F" w14:textId="4C5E055F" w:rsidR="00893D49" w:rsidRPr="0097459F" w:rsidRDefault="00893D49" w:rsidP="00C20BBD">
      <w:pPr>
        <w:pStyle w:val="Normalalteradora"/>
        <w:rPr>
          <w:rFonts w:cstheme="minorHAnsi"/>
        </w:rPr>
      </w:pPr>
      <w:r w:rsidRPr="0097459F">
        <w:rPr>
          <w:rFonts w:cstheme="minorHAnsi"/>
        </w:rPr>
        <w:t>§ 5</w:t>
      </w:r>
      <w:proofErr w:type="gramStart"/>
      <w:r w:rsidRPr="0097459F">
        <w:rPr>
          <w:rFonts w:cstheme="minorHAnsi"/>
        </w:rPr>
        <w:t>º  Da</w:t>
      </w:r>
      <w:proofErr w:type="gramEnd"/>
      <w:r w:rsidRPr="0097459F">
        <w:rPr>
          <w:rFonts w:cstheme="minorHAnsi"/>
        </w:rPr>
        <w:t xml:space="preserve"> convocação devem constar, obrigatoriamente, dia, hora e local em que será realizada a assembleia de cotistas, sem prejuízo da possibilidade de a assembleia ser parcial ou exclusivamente </w:t>
      </w:r>
      <w:r w:rsidR="002202E7" w:rsidRPr="0097459F">
        <w:rPr>
          <w:rFonts w:cstheme="minorHAnsi"/>
        </w:rPr>
        <w:t>eletrônica</w:t>
      </w:r>
      <w:r w:rsidRPr="0097459F">
        <w:rPr>
          <w:rFonts w:cstheme="minorHAnsi"/>
        </w:rPr>
        <w:t>.</w:t>
      </w:r>
    </w:p>
    <w:p w14:paraId="724AEFE3" w14:textId="11AE5101" w:rsidR="00893D49" w:rsidRPr="0097459F" w:rsidRDefault="00893D49" w:rsidP="00C20BBD">
      <w:pPr>
        <w:pStyle w:val="Normalalteradora"/>
        <w:rPr>
          <w:rFonts w:cstheme="minorHAnsi"/>
        </w:rPr>
      </w:pPr>
      <w:r w:rsidRPr="0097459F">
        <w:rPr>
          <w:rFonts w:cstheme="minorHAnsi"/>
        </w:rPr>
        <w:t>§ 6</w:t>
      </w:r>
      <w:proofErr w:type="gramStart"/>
      <w:r w:rsidRPr="0097459F">
        <w:rPr>
          <w:rFonts w:cstheme="minorHAnsi"/>
        </w:rPr>
        <w:t>º  O</w:t>
      </w:r>
      <w:proofErr w:type="gramEnd"/>
      <w:r w:rsidRPr="0097459F">
        <w:rPr>
          <w:rFonts w:cstheme="minorHAnsi"/>
        </w:rPr>
        <w:t xml:space="preserve"> aviso de convocação deve indicar a página na rede mundial de computadores em que o cotista pode acessar os documentos pertinentes à proposta a ser submetida à apreciação da assembleia.</w:t>
      </w:r>
    </w:p>
    <w:p w14:paraId="3FE1D33F" w14:textId="77777777" w:rsidR="00893D49" w:rsidRPr="0097459F" w:rsidRDefault="00893D49" w:rsidP="00C20BBD">
      <w:pPr>
        <w:pStyle w:val="Normalalteradora"/>
        <w:rPr>
          <w:rFonts w:cstheme="minorHAnsi"/>
        </w:rPr>
      </w:pPr>
      <w:r w:rsidRPr="0097459F">
        <w:rPr>
          <w:rFonts w:cstheme="minorHAnsi"/>
        </w:rPr>
        <w:t>§ 7</w:t>
      </w:r>
      <w:proofErr w:type="gramStart"/>
      <w:r w:rsidRPr="0097459F">
        <w:rPr>
          <w:rFonts w:cstheme="minorHAnsi"/>
        </w:rPr>
        <w:t>º  A</w:t>
      </w:r>
      <w:proofErr w:type="gramEnd"/>
      <w:r w:rsidRPr="0097459F">
        <w:rPr>
          <w:rFonts w:cstheme="minorHAnsi"/>
        </w:rPr>
        <w:t xml:space="preserve"> presença da totalidade dos cotistas supre a falta de convocação.</w:t>
      </w:r>
    </w:p>
    <w:p w14:paraId="75126C3B" w14:textId="555CFE90" w:rsidR="00DD4A5D" w:rsidRDefault="00DD4A5D" w:rsidP="00DD4A5D">
      <w:pPr>
        <w:pStyle w:val="Normalalteradora"/>
        <w:rPr>
          <w:rFonts w:cstheme="minorHAnsi"/>
          <w:strike/>
        </w:rPr>
      </w:pPr>
      <w:r w:rsidRPr="00A269EE">
        <w:rPr>
          <w:rFonts w:cstheme="minorHAnsi"/>
          <w:strike/>
        </w:rPr>
        <w:t>Art. 73.  Os prestadores de serviços essenciais, o cotista ou grupo de cotistas que detenha, no mínimo, 5% (cinco por cento) do total de cotas emitidas, podem convocar, a qualquer tempo, assembleia de cotistas para deliberar sobre ordem do dia de interesse do fundo, da classe ou da comunhão de cotistas.</w:t>
      </w:r>
    </w:p>
    <w:p w14:paraId="1B3B4CF9" w14:textId="77777777" w:rsidR="00A269EE" w:rsidRPr="0097459F" w:rsidRDefault="00A269EE" w:rsidP="00A269EE">
      <w:pPr>
        <w:pStyle w:val="NormaAlterada"/>
        <w:rPr>
          <w:rFonts w:cstheme="minorHAnsi"/>
        </w:rPr>
      </w:pPr>
      <w:r>
        <w:t xml:space="preserve">Art. 73.  </w:t>
      </w:r>
      <w:r w:rsidRPr="0097459F">
        <w:rPr>
          <w:rFonts w:cstheme="minorHAnsi"/>
        </w:rPr>
        <w:t xml:space="preserve">Os prestadores de serviços essenciais, </w:t>
      </w:r>
      <w:r>
        <w:rPr>
          <w:rFonts w:cstheme="minorHAnsi"/>
        </w:rPr>
        <w:t xml:space="preserve">o custodiante, </w:t>
      </w:r>
      <w:r w:rsidRPr="0097459F">
        <w:rPr>
          <w:rFonts w:cstheme="minorHAnsi"/>
        </w:rPr>
        <w:t xml:space="preserve">o cotista ou grupo de cotistas que detenha, no mínimo, 5% (cinco por </w:t>
      </w:r>
      <w:r w:rsidRPr="00175F10">
        <w:rPr>
          <w:rStyle w:val="ui-provider"/>
          <w:rFonts w:eastAsiaTheme="majorEastAsia"/>
        </w:rPr>
        <w:t>cento</w:t>
      </w:r>
      <w:r w:rsidRPr="0097459F">
        <w:rPr>
          <w:rFonts w:cstheme="minorHAnsi"/>
        </w:rPr>
        <w:t>) do total de cotas emitidas, podem convocar, a qualquer tempo, assembleia de cotistas para deliberar sobre ordem do dia de interesse do fundo, da classe ou da comunhão de cotistas.</w:t>
      </w:r>
    </w:p>
    <w:p w14:paraId="33C80381" w14:textId="7A4785E8" w:rsidR="00A269EE" w:rsidRPr="00A269EE" w:rsidRDefault="00A269EE">
      <w:pPr>
        <w:numPr>
          <w:ilvl w:val="0"/>
          <w:numId w:val="12"/>
        </w:numPr>
        <w:tabs>
          <w:tab w:val="left" w:pos="709"/>
        </w:tabs>
        <w:spacing w:after="0" w:line="312" w:lineRule="auto"/>
        <w:ind w:left="0" w:firstLine="567"/>
        <w:jc w:val="both"/>
        <w:rPr>
          <w:rFonts w:asciiTheme="minorHAnsi" w:hAnsiTheme="minorHAnsi" w:cstheme="minorHAnsi"/>
          <w:b/>
          <w:i/>
          <w:sz w:val="24"/>
          <w:szCs w:val="24"/>
        </w:rPr>
      </w:pPr>
      <w:bookmarkStart w:id="188" w:name="_Hlk131068215"/>
      <w:r>
        <w:rPr>
          <w:rFonts w:asciiTheme="minorHAnsi" w:hAnsiTheme="minorHAnsi" w:cstheme="minorHAnsi"/>
          <w:b/>
          <w:i/>
          <w:iCs/>
          <w:sz w:val="24"/>
          <w:szCs w:val="24"/>
        </w:rPr>
        <w:t xml:space="preserve"> Caput </w:t>
      </w:r>
      <w:r w:rsidRPr="00D960C9">
        <w:rPr>
          <w:rFonts w:asciiTheme="minorHAnsi" w:hAnsiTheme="minorHAnsi" w:cstheme="minorHAnsi"/>
          <w:b/>
          <w:i/>
          <w:sz w:val="24"/>
          <w:szCs w:val="24"/>
        </w:rPr>
        <w:t xml:space="preserve">com redação dada pela </w:t>
      </w:r>
      <w:r w:rsidR="00DB08D5">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bookmarkEnd w:id="188"/>
    </w:p>
    <w:p w14:paraId="657F307B" w14:textId="015BA27F" w:rsidR="00577378" w:rsidRDefault="00577378" w:rsidP="00C20BBD">
      <w:pPr>
        <w:pStyle w:val="Normalalteradora"/>
        <w:rPr>
          <w:rFonts w:cstheme="minorHAnsi"/>
          <w:strike/>
        </w:rPr>
      </w:pPr>
      <w:r w:rsidRPr="00DB08D5">
        <w:rPr>
          <w:rFonts w:cstheme="minorHAnsi"/>
          <w:strike/>
        </w:rPr>
        <w:t>§ 1</w:t>
      </w:r>
      <w:proofErr w:type="gramStart"/>
      <w:r w:rsidRPr="00DB08D5">
        <w:rPr>
          <w:rFonts w:cstheme="minorHAnsi"/>
          <w:strike/>
        </w:rPr>
        <w:t>º</w:t>
      </w:r>
      <w:r w:rsidR="00893D49" w:rsidRPr="00DB08D5">
        <w:rPr>
          <w:rFonts w:cstheme="minorHAnsi"/>
          <w:strike/>
        </w:rPr>
        <w:t xml:space="preserve"> </w:t>
      </w:r>
      <w:r w:rsidRPr="00DB08D5">
        <w:rPr>
          <w:rFonts w:cstheme="minorHAnsi"/>
          <w:strike/>
        </w:rPr>
        <w:t xml:space="preserve"> </w:t>
      </w:r>
      <w:r w:rsidR="002847BB" w:rsidRPr="00DB08D5">
        <w:rPr>
          <w:rFonts w:cstheme="minorHAnsi"/>
          <w:strike/>
        </w:rPr>
        <w:t>O</w:t>
      </w:r>
      <w:proofErr w:type="gramEnd"/>
      <w:r w:rsidR="002847BB" w:rsidRPr="00DB08D5">
        <w:rPr>
          <w:rFonts w:cstheme="minorHAnsi"/>
          <w:strike/>
        </w:rPr>
        <w:t xml:space="preserve"> pedido de </w:t>
      </w:r>
      <w:r w:rsidR="00893D49" w:rsidRPr="00DB08D5">
        <w:rPr>
          <w:rFonts w:cstheme="minorHAnsi"/>
          <w:strike/>
        </w:rPr>
        <w:t xml:space="preserve">convocação </w:t>
      </w:r>
      <w:r w:rsidR="002847BB" w:rsidRPr="00DB08D5">
        <w:rPr>
          <w:rFonts w:cstheme="minorHAnsi"/>
          <w:strike/>
        </w:rPr>
        <w:t xml:space="preserve">pelo gestor ou por cotistas </w:t>
      </w:r>
      <w:r w:rsidR="00893D49" w:rsidRPr="00DB08D5">
        <w:rPr>
          <w:rFonts w:cstheme="minorHAnsi"/>
          <w:strike/>
        </w:rPr>
        <w:t>deve ser dirigida ao administrador, que deve, no prazo máximo de 30 (trinta) dias contado do recebimento, convocar a assembleia de cotistas</w:t>
      </w:r>
      <w:r w:rsidR="008023EC" w:rsidRPr="00DB08D5">
        <w:rPr>
          <w:rFonts w:cstheme="minorHAnsi"/>
          <w:strike/>
        </w:rPr>
        <w:t>.</w:t>
      </w:r>
    </w:p>
    <w:p w14:paraId="5006355F" w14:textId="18353AF5" w:rsidR="00C27187" w:rsidRDefault="00DB08D5" w:rsidP="00C27187">
      <w:pPr>
        <w:pStyle w:val="NormaAlterada"/>
      </w:pPr>
      <w:r>
        <w:t>§ 1</w:t>
      </w:r>
      <w:bookmarkStart w:id="189" w:name="_Int_8PKgS1CG"/>
      <w:proofErr w:type="gramStart"/>
      <w:r>
        <w:t>º  O</w:t>
      </w:r>
      <w:bookmarkEnd w:id="189"/>
      <w:proofErr w:type="gramEnd"/>
      <w:r>
        <w:t xml:space="preserve"> pedido de convocação pelo gestor, pelo custodiante ou por cotistas deve ser dirigido ao administrador, que deve, no prazo máximo de 30 (trinta) dias contado do recebimento, convocar a assembleia de cotistas.</w:t>
      </w:r>
    </w:p>
    <w:p w14:paraId="1EC73254" w14:textId="2855D4C0" w:rsidR="00DB08D5" w:rsidRPr="00DB08D5" w:rsidRDefault="00DB08D5" w:rsidP="00DB08D5">
      <w:pPr>
        <w:pStyle w:val="Normalalteradora"/>
        <w:numPr>
          <w:ilvl w:val="0"/>
          <w:numId w:val="40"/>
        </w:numPr>
        <w:ind w:left="709" w:hanging="142"/>
        <w:rPr>
          <w:strike/>
        </w:rPr>
      </w:pPr>
      <w:r>
        <w:rPr>
          <w:rFonts w:cstheme="minorHAnsi"/>
          <w:b/>
          <w:i/>
          <w:iCs/>
        </w:rPr>
        <w:t xml:space="preserve"> </w:t>
      </w:r>
      <w:r w:rsidRPr="00DB08D5">
        <w:rPr>
          <w:b/>
          <w:bCs/>
          <w:i/>
          <w:iCs/>
        </w:rPr>
        <w:t>§ 1º</w:t>
      </w:r>
      <w:r>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295C22CA" w14:textId="3E6B0EF8" w:rsidR="00893D49" w:rsidRPr="0097459F" w:rsidRDefault="00577378" w:rsidP="00C20BBD">
      <w:pPr>
        <w:pStyle w:val="Normalalteradora"/>
        <w:rPr>
          <w:rFonts w:cstheme="minorHAnsi"/>
        </w:rPr>
      </w:pPr>
      <w:r w:rsidRPr="0097459F">
        <w:rPr>
          <w:rFonts w:cstheme="minorHAnsi"/>
        </w:rPr>
        <w:t>§ 2</w:t>
      </w:r>
      <w:proofErr w:type="gramStart"/>
      <w:r w:rsidRPr="0097459F">
        <w:rPr>
          <w:rFonts w:cstheme="minorHAnsi"/>
        </w:rPr>
        <w:t>º  A</w:t>
      </w:r>
      <w:proofErr w:type="gramEnd"/>
      <w:r w:rsidR="000740FD" w:rsidRPr="0097459F">
        <w:rPr>
          <w:rFonts w:cstheme="minorHAnsi"/>
        </w:rPr>
        <w:t xml:space="preserve"> convocação e a realização da assembleia </w:t>
      </w:r>
      <w:r w:rsidR="008023EC" w:rsidRPr="0097459F">
        <w:rPr>
          <w:rFonts w:cstheme="minorHAnsi"/>
        </w:rPr>
        <w:t>devem ser</w:t>
      </w:r>
      <w:r w:rsidR="000740FD" w:rsidRPr="0097459F">
        <w:rPr>
          <w:rFonts w:cstheme="minorHAnsi"/>
        </w:rPr>
        <w:t xml:space="preserve"> custeadas</w:t>
      </w:r>
      <w:r w:rsidR="00893D49" w:rsidRPr="0097459F">
        <w:rPr>
          <w:rFonts w:cstheme="minorHAnsi"/>
        </w:rPr>
        <w:t xml:space="preserve"> </w:t>
      </w:r>
      <w:r w:rsidR="008023EC" w:rsidRPr="0097459F">
        <w:rPr>
          <w:rFonts w:cstheme="minorHAnsi"/>
        </w:rPr>
        <w:t>pel</w:t>
      </w:r>
      <w:r w:rsidR="00893D49" w:rsidRPr="0097459F">
        <w:rPr>
          <w:rFonts w:cstheme="minorHAnsi"/>
        </w:rPr>
        <w:t>os requerentes, salvo se a assembleia assim convocada deliberar em contrário.</w:t>
      </w:r>
    </w:p>
    <w:p w14:paraId="4EAF5B53" w14:textId="293128B5"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74</w:t>
      </w:r>
      <w:r w:rsidRPr="0097459F">
        <w:rPr>
          <w:rFonts w:cstheme="minorHAnsi"/>
        </w:rPr>
        <w:t>.  A assembleia de cotistas se instala com a presença de qualquer número de cotistas.</w:t>
      </w:r>
    </w:p>
    <w:p w14:paraId="384F64FB" w14:textId="6F5C41DE" w:rsidR="00893D49" w:rsidRPr="0097459F" w:rsidRDefault="00893D49" w:rsidP="00C20BBD">
      <w:pPr>
        <w:pStyle w:val="Normalalteradora"/>
        <w:rPr>
          <w:rFonts w:cstheme="minorHAnsi"/>
        </w:rPr>
      </w:pPr>
      <w:r w:rsidRPr="0097459F">
        <w:rPr>
          <w:rFonts w:cstheme="minorHAnsi"/>
        </w:rPr>
        <w:lastRenderedPageBreak/>
        <w:t xml:space="preserve">Art. </w:t>
      </w:r>
      <w:r w:rsidR="00B7720E" w:rsidRPr="0097459F">
        <w:rPr>
          <w:rFonts w:cstheme="minorHAnsi"/>
        </w:rPr>
        <w:t>75</w:t>
      </w:r>
      <w:r w:rsidRPr="0097459F">
        <w:rPr>
          <w:rFonts w:cstheme="minorHAnsi"/>
        </w:rPr>
        <w:t>.  A assembleia de cotistas pode ser realizada:</w:t>
      </w:r>
    </w:p>
    <w:p w14:paraId="58E1C540" w14:textId="51D1967B"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de</w:t>
      </w:r>
      <w:proofErr w:type="gramEnd"/>
      <w:r w:rsidRPr="0097459F">
        <w:rPr>
          <w:rFonts w:cstheme="minorHAnsi"/>
        </w:rPr>
        <w:t xml:space="preserve"> modo exclusivamente </w:t>
      </w:r>
      <w:r w:rsidR="003C45C6" w:rsidRPr="0097459F">
        <w:rPr>
          <w:rFonts w:cstheme="minorHAnsi"/>
        </w:rPr>
        <w:t>eletrônico</w:t>
      </w:r>
      <w:r w:rsidRPr="0097459F">
        <w:rPr>
          <w:rFonts w:cstheme="minorHAnsi"/>
        </w:rPr>
        <w:t>, caso os cotistas somente possam participar e votar por meio de comunicação escrita ou sistema eletrônico; ou</w:t>
      </w:r>
    </w:p>
    <w:p w14:paraId="685920CF" w14:textId="41F3BC16"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de</w:t>
      </w:r>
      <w:proofErr w:type="gramEnd"/>
      <w:r w:rsidRPr="0097459F">
        <w:rPr>
          <w:rFonts w:cstheme="minorHAnsi"/>
        </w:rPr>
        <w:t xml:space="preserve"> modo parcialmente </w:t>
      </w:r>
      <w:r w:rsidR="003C45C6" w:rsidRPr="0097459F">
        <w:rPr>
          <w:rFonts w:cstheme="minorHAnsi"/>
        </w:rPr>
        <w:t>eletrônico</w:t>
      </w:r>
      <w:r w:rsidRPr="0097459F">
        <w:rPr>
          <w:rFonts w:cstheme="minorHAnsi"/>
        </w:rPr>
        <w:t xml:space="preserve">, caso os cotistas possam participar e votar tanto presencialmente quanto </w:t>
      </w:r>
      <w:r w:rsidR="00017B20" w:rsidRPr="0097459F">
        <w:rPr>
          <w:rFonts w:cstheme="minorHAnsi"/>
        </w:rPr>
        <w:t>a</w:t>
      </w:r>
      <w:r w:rsidR="00BE7767" w:rsidRPr="0097459F">
        <w:rPr>
          <w:rFonts w:cstheme="minorHAnsi"/>
        </w:rPr>
        <w:t xml:space="preserve"> </w:t>
      </w:r>
      <w:r w:rsidRPr="0097459F">
        <w:rPr>
          <w:rFonts w:cstheme="minorHAnsi"/>
        </w:rPr>
        <w:t>distância por meio de comunicação escrita ou sistema eletrônico.</w:t>
      </w:r>
    </w:p>
    <w:p w14:paraId="3E4C8901" w14:textId="1BE6DBA7"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assembleia realizada exclusivamente de modo </w:t>
      </w:r>
      <w:r w:rsidR="003C45C6" w:rsidRPr="0097459F">
        <w:rPr>
          <w:rFonts w:cstheme="minorHAnsi"/>
        </w:rPr>
        <w:t xml:space="preserve">eletrônico </w:t>
      </w:r>
      <w:r w:rsidR="00017B20" w:rsidRPr="0097459F">
        <w:rPr>
          <w:rFonts w:cstheme="minorHAnsi"/>
        </w:rPr>
        <w:t>é</w:t>
      </w:r>
      <w:r w:rsidRPr="0097459F">
        <w:rPr>
          <w:rFonts w:cstheme="minorHAnsi"/>
        </w:rPr>
        <w:t xml:space="preserve"> considerada como ocorrida na sede do administrador.</w:t>
      </w:r>
    </w:p>
    <w:p w14:paraId="1930C31B" w14:textId="5ED7A4E6"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No</w:t>
      </w:r>
      <w:proofErr w:type="gramEnd"/>
      <w:r w:rsidRPr="0097459F">
        <w:rPr>
          <w:rFonts w:cstheme="minorHAnsi"/>
        </w:rPr>
        <w:t xml:space="preserve"> caso de utilização de </w:t>
      </w:r>
      <w:r w:rsidR="005F7283" w:rsidRPr="0097459F">
        <w:rPr>
          <w:rFonts w:cstheme="minorHAnsi"/>
        </w:rPr>
        <w:t xml:space="preserve">modo </w:t>
      </w:r>
      <w:r w:rsidRPr="0097459F">
        <w:rPr>
          <w:rFonts w:cstheme="minorHAnsi"/>
        </w:rPr>
        <w:t>eletrônico, o administrador deve adotar meios para garantir a autenticidade e a segurança na transmissão de informações, particularmente os votos, que devem ser proferidos por meio de assinatura eletrônica ou outros meios eficazes para assegurar a identificação do cotista.</w:t>
      </w:r>
    </w:p>
    <w:p w14:paraId="7EB9B12E" w14:textId="77777777"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Os</w:t>
      </w:r>
      <w:proofErr w:type="gramEnd"/>
      <w:r w:rsidRPr="0097459F">
        <w:rPr>
          <w:rFonts w:cstheme="minorHAnsi"/>
        </w:rPr>
        <w:t xml:space="preserve"> cotistas podem votar por meio de comunicação escrita ou eletrônica, desde que recebida pelo administrador antes do início da assembleia, observado o disposto no regulamento.</w:t>
      </w:r>
    </w:p>
    <w:p w14:paraId="34CF31C4" w14:textId="77777777" w:rsidR="00893D49" w:rsidRPr="0097459F" w:rsidRDefault="00893D49" w:rsidP="00C20BBD">
      <w:pPr>
        <w:pStyle w:val="Seo"/>
        <w:rPr>
          <w:rFonts w:asciiTheme="minorHAnsi" w:hAnsiTheme="minorHAnsi"/>
        </w:rPr>
      </w:pPr>
      <w:bookmarkStart w:id="190" w:name="_Toc53594453"/>
      <w:bookmarkStart w:id="191" w:name="_Toc53595478"/>
      <w:bookmarkStart w:id="192" w:name="_Toc53594205"/>
      <w:bookmarkStart w:id="193" w:name="_Toc114818986"/>
      <w:bookmarkStart w:id="194" w:name="_Toc57836213"/>
      <w:bookmarkStart w:id="195" w:name="_Toc161141217"/>
      <w:r w:rsidRPr="0097459F">
        <w:rPr>
          <w:rFonts w:asciiTheme="minorHAnsi" w:hAnsiTheme="minorHAnsi"/>
        </w:rPr>
        <w:t>Seção III – Deliberações</w:t>
      </w:r>
      <w:bookmarkEnd w:id="190"/>
      <w:bookmarkEnd w:id="191"/>
      <w:bookmarkEnd w:id="192"/>
      <w:bookmarkEnd w:id="193"/>
      <w:bookmarkEnd w:id="194"/>
      <w:bookmarkEnd w:id="195"/>
    </w:p>
    <w:p w14:paraId="0BB4F004" w14:textId="1165C7B9"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76</w:t>
      </w:r>
      <w:r w:rsidRPr="0097459F">
        <w:rPr>
          <w:rFonts w:cstheme="minorHAnsi"/>
        </w:rPr>
        <w:t>.  As deliberações da assembleia de cotistas são tomadas por maioria de votos</w:t>
      </w:r>
      <w:r w:rsidR="00C27AF6" w:rsidRPr="0097459F">
        <w:rPr>
          <w:rFonts w:cstheme="minorHAnsi"/>
        </w:rPr>
        <w:t xml:space="preserve"> dos presentes</w:t>
      </w:r>
      <w:r w:rsidRPr="0097459F">
        <w:rPr>
          <w:rFonts w:cstheme="minorHAnsi"/>
        </w:rPr>
        <w:t>.</w:t>
      </w:r>
    </w:p>
    <w:p w14:paraId="0A70A85A" w14:textId="40143160" w:rsidR="00F468A8" w:rsidRPr="0097459F" w:rsidRDefault="00F468A8" w:rsidP="00C20BBD">
      <w:pPr>
        <w:pStyle w:val="Normalalteradora"/>
        <w:rPr>
          <w:rFonts w:cstheme="minorHAnsi"/>
        </w:rPr>
      </w:pPr>
      <w:r w:rsidRPr="0097459F">
        <w:rPr>
          <w:rFonts w:cstheme="minorHAnsi"/>
        </w:rPr>
        <w:t>§ 1</w:t>
      </w:r>
      <w:proofErr w:type="gramStart"/>
      <w:r w:rsidRPr="0097459F">
        <w:rPr>
          <w:rFonts w:cstheme="minorHAnsi"/>
        </w:rPr>
        <w:t>º  O</w:t>
      </w:r>
      <w:proofErr w:type="gramEnd"/>
      <w:r w:rsidRPr="0097459F">
        <w:rPr>
          <w:rFonts w:cstheme="minorHAnsi"/>
        </w:rPr>
        <w:t xml:space="preserve"> regulamento pode estabelecer quórum qualificado para as deliberações, inclusive as relativas às matérias previstas no art. </w:t>
      </w:r>
      <w:r w:rsidR="002574EE" w:rsidRPr="0097459F">
        <w:rPr>
          <w:rFonts w:cstheme="minorHAnsi"/>
        </w:rPr>
        <w:t>70</w:t>
      </w:r>
      <w:r w:rsidRPr="0097459F">
        <w:rPr>
          <w:rFonts w:cstheme="minorHAnsi"/>
        </w:rPr>
        <w:t>.</w:t>
      </w:r>
    </w:p>
    <w:p w14:paraId="1EF74762" w14:textId="18C9F817" w:rsidR="00F468A8" w:rsidRPr="0097459F" w:rsidRDefault="00F468A8" w:rsidP="00C20BBD">
      <w:pPr>
        <w:pStyle w:val="Normalalteradora"/>
        <w:rPr>
          <w:rFonts w:cstheme="minorHAnsi"/>
        </w:rPr>
      </w:pPr>
      <w:r w:rsidRPr="0097459F">
        <w:rPr>
          <w:rFonts w:cstheme="minorHAnsi"/>
        </w:rPr>
        <w:t xml:space="preserve">§ </w:t>
      </w:r>
      <w:r w:rsidRPr="0097459F" w:rsidDel="006A5791">
        <w:rPr>
          <w:rFonts w:cstheme="minorHAnsi"/>
        </w:rPr>
        <w:t>2</w:t>
      </w:r>
      <w:proofErr w:type="gramStart"/>
      <w:r w:rsidRPr="0097459F">
        <w:rPr>
          <w:rFonts w:cstheme="minorHAnsi"/>
        </w:rPr>
        <w:t>º  Na</w:t>
      </w:r>
      <w:proofErr w:type="gramEnd"/>
      <w:r w:rsidRPr="0097459F">
        <w:rPr>
          <w:rFonts w:cstheme="minorHAnsi"/>
        </w:rPr>
        <w:t xml:space="preserve"> hipótese de </w:t>
      </w:r>
      <w:r w:rsidR="009C74D8" w:rsidRPr="0097459F">
        <w:rPr>
          <w:rFonts w:cstheme="minorHAnsi"/>
        </w:rPr>
        <w:t xml:space="preserve">deliberação que possa resultar na </w:t>
      </w:r>
      <w:r w:rsidRPr="0097459F">
        <w:rPr>
          <w:rFonts w:cstheme="minorHAnsi"/>
        </w:rPr>
        <w:t xml:space="preserve">destituição ou substituição de prestador de serviço essencial </w:t>
      </w:r>
      <w:r w:rsidR="008B6C99" w:rsidRPr="0097459F">
        <w:rPr>
          <w:rFonts w:cstheme="minorHAnsi"/>
        </w:rPr>
        <w:t>da</w:t>
      </w:r>
      <w:r w:rsidRPr="0097459F">
        <w:rPr>
          <w:rFonts w:cstheme="minorHAnsi"/>
        </w:rPr>
        <w:t xml:space="preserve"> classe aberta, o quórum qualificado a que se refere o § 1º não pode ultrapassar cotas representativas da metade do patrimônio líquido </w:t>
      </w:r>
      <w:r w:rsidR="008B6C99" w:rsidRPr="0097459F">
        <w:rPr>
          <w:rFonts w:cstheme="minorHAnsi"/>
        </w:rPr>
        <w:t>da classe</w:t>
      </w:r>
      <w:r w:rsidRPr="0097459F">
        <w:rPr>
          <w:rFonts w:cstheme="minorHAnsi"/>
        </w:rPr>
        <w:t>.</w:t>
      </w:r>
    </w:p>
    <w:p w14:paraId="76CD7C3A" w14:textId="46885B4F" w:rsidR="00F468A8" w:rsidRPr="0097459F" w:rsidRDefault="00F468A8" w:rsidP="00C20BBD">
      <w:pPr>
        <w:pStyle w:val="Normalalteradora"/>
        <w:rPr>
          <w:rFonts w:cstheme="minorHAnsi"/>
        </w:rPr>
      </w:pPr>
      <w:r w:rsidRPr="0097459F">
        <w:rPr>
          <w:rFonts w:cstheme="minorHAnsi"/>
        </w:rPr>
        <w:t>§ 3</w:t>
      </w:r>
      <w:proofErr w:type="gramStart"/>
      <w:r w:rsidRPr="0097459F">
        <w:rPr>
          <w:rFonts w:cstheme="minorHAnsi"/>
        </w:rPr>
        <w:t xml:space="preserve">º  </w:t>
      </w:r>
      <w:r w:rsidR="0012084C" w:rsidRPr="0097459F">
        <w:rPr>
          <w:rFonts w:cstheme="minorHAnsi"/>
        </w:rPr>
        <w:t>Sem</w:t>
      </w:r>
      <w:proofErr w:type="gramEnd"/>
      <w:r w:rsidR="0012084C" w:rsidRPr="0097459F">
        <w:rPr>
          <w:rFonts w:cstheme="minorHAnsi"/>
        </w:rPr>
        <w:t xml:space="preserve"> prejuízo da possibilidade prevista n</w:t>
      </w:r>
      <w:r w:rsidR="0012084C" w:rsidRPr="0097459F">
        <w:t xml:space="preserve">o art. </w:t>
      </w:r>
      <w:r w:rsidR="002574EE" w:rsidRPr="0097459F">
        <w:t>5</w:t>
      </w:r>
      <w:r w:rsidR="0012084C" w:rsidRPr="0097459F">
        <w:t>º, § 6º,</w:t>
      </w:r>
      <w:r w:rsidR="0012084C" w:rsidRPr="0097459F">
        <w:rPr>
          <w:rFonts w:cstheme="minorHAnsi"/>
        </w:rPr>
        <w:t xml:space="preserve"> </w:t>
      </w:r>
      <w:r w:rsidR="0012084C" w:rsidRPr="0097459F">
        <w:t>p</w:t>
      </w:r>
      <w:r w:rsidRPr="0097459F">
        <w:rPr>
          <w:rFonts w:cstheme="minorHAnsi"/>
        </w:rPr>
        <w:t>ara os efeitos de cômputo de quórum e manifestações de voto, na assembleia de cotistas a cada cotista cabe uma quantidade de votos representativa de sua participação no fundo, classe ou subclasse, conforme o caso.</w:t>
      </w:r>
    </w:p>
    <w:p w14:paraId="181BB5A8" w14:textId="4529DFE2" w:rsidR="00E8125C" w:rsidRPr="0097459F" w:rsidRDefault="00E8125C" w:rsidP="00C20BBD">
      <w:pPr>
        <w:pStyle w:val="Normalalteradora"/>
      </w:pPr>
      <w:r w:rsidRPr="0097459F">
        <w:t>§ 4</w:t>
      </w:r>
      <w:proofErr w:type="gramStart"/>
      <w:r w:rsidRPr="0097459F">
        <w:t>º  Na</w:t>
      </w:r>
      <w:proofErr w:type="gramEnd"/>
      <w:r w:rsidRPr="0097459F">
        <w:t xml:space="preserve"> classe restrita</w:t>
      </w:r>
      <w:r w:rsidR="006C388E" w:rsidRPr="0097459F">
        <w:t xml:space="preserve"> que possua subclasses</w:t>
      </w:r>
      <w:r w:rsidRPr="0097459F">
        <w:t>, o regulamento pode dispor livremente sobre a forma de cálculo d</w:t>
      </w:r>
      <w:r w:rsidR="00EF67EF" w:rsidRPr="0097459F">
        <w:t>a quantidade de</w:t>
      </w:r>
      <w:r w:rsidRPr="0097459F">
        <w:t xml:space="preserve"> votos atribuíd</w:t>
      </w:r>
      <w:r w:rsidR="00EF67EF" w:rsidRPr="0097459F">
        <w:t>a</w:t>
      </w:r>
      <w:r w:rsidRPr="0097459F">
        <w:t xml:space="preserve"> </w:t>
      </w:r>
      <w:r w:rsidR="00C21A67" w:rsidRPr="0097459F">
        <w:t>às diferentes subclasses</w:t>
      </w:r>
      <w:r w:rsidRPr="0097459F">
        <w:t xml:space="preserve">, desde que </w:t>
      </w:r>
      <w:r w:rsidR="006C388E" w:rsidRPr="0097459F">
        <w:t xml:space="preserve">a participação de </w:t>
      </w:r>
      <w:r w:rsidRPr="0097459F">
        <w:t xml:space="preserve">cotistas da mesma subclasse </w:t>
      </w:r>
      <w:r w:rsidR="006C388E" w:rsidRPr="0097459F">
        <w:t>seja equitativa.</w:t>
      </w:r>
    </w:p>
    <w:p w14:paraId="37688BB1" w14:textId="6B6BB9D4" w:rsidR="00893D49" w:rsidRPr="0097459F" w:rsidRDefault="00893D49" w:rsidP="00C20BBD">
      <w:pPr>
        <w:pStyle w:val="Normalalteradora"/>
        <w:rPr>
          <w:rFonts w:cstheme="minorHAnsi"/>
        </w:rPr>
      </w:pPr>
      <w:r w:rsidRPr="0097459F">
        <w:rPr>
          <w:rFonts w:cstheme="minorHAnsi"/>
        </w:rPr>
        <w:lastRenderedPageBreak/>
        <w:t xml:space="preserve">§ </w:t>
      </w:r>
      <w:r w:rsidR="00E8125C" w:rsidRPr="0097459F">
        <w:rPr>
          <w:rFonts w:cstheme="minorHAnsi"/>
        </w:rPr>
        <w:t>5</w:t>
      </w:r>
      <w:proofErr w:type="gramStart"/>
      <w:r w:rsidR="008B6C99" w:rsidRPr="0097459F">
        <w:rPr>
          <w:rFonts w:cstheme="minorHAnsi"/>
        </w:rPr>
        <w:t xml:space="preserve">º  </w:t>
      </w:r>
      <w:r w:rsidRPr="0097459F">
        <w:rPr>
          <w:rFonts w:cstheme="minorHAnsi"/>
        </w:rPr>
        <w:t>O</w:t>
      </w:r>
      <w:proofErr w:type="gramEnd"/>
      <w:r w:rsidRPr="0097459F">
        <w:rPr>
          <w:rFonts w:cstheme="minorHAnsi"/>
        </w:rPr>
        <w:t xml:space="preserve"> regulamento pode dispor sobre a possibilidade de as deliberações da assembleia serem adotadas mediante processo de consulta formal, sem necessidade de reunião dos cotistas.</w:t>
      </w:r>
    </w:p>
    <w:p w14:paraId="40C3CEA8" w14:textId="4967D4CB" w:rsidR="00893D49" w:rsidRPr="0097459F" w:rsidRDefault="00893D49" w:rsidP="00C20BBD">
      <w:pPr>
        <w:pStyle w:val="Normalalteradora"/>
        <w:rPr>
          <w:rFonts w:cstheme="minorHAnsi"/>
        </w:rPr>
      </w:pPr>
      <w:r w:rsidRPr="0097459F">
        <w:rPr>
          <w:rFonts w:cstheme="minorHAnsi"/>
        </w:rPr>
        <w:t xml:space="preserve">§ </w:t>
      </w:r>
      <w:r w:rsidR="00E8125C" w:rsidRPr="0097459F">
        <w:rPr>
          <w:rFonts w:cstheme="minorHAnsi"/>
        </w:rPr>
        <w:t>6</w:t>
      </w:r>
      <w:proofErr w:type="gramStart"/>
      <w:r w:rsidR="008B6C99" w:rsidRPr="0097459F">
        <w:rPr>
          <w:rFonts w:cstheme="minorHAnsi"/>
        </w:rPr>
        <w:t xml:space="preserve">º  </w:t>
      </w:r>
      <w:r w:rsidRPr="0097459F">
        <w:rPr>
          <w:rFonts w:cstheme="minorHAnsi"/>
        </w:rPr>
        <w:t>Na</w:t>
      </w:r>
      <w:proofErr w:type="gramEnd"/>
      <w:r w:rsidRPr="0097459F">
        <w:rPr>
          <w:rFonts w:cstheme="minorHAnsi"/>
        </w:rPr>
        <w:t xml:space="preserve"> hipótese a que se refere o § </w:t>
      </w:r>
      <w:r w:rsidR="00A1190E" w:rsidRPr="0097459F">
        <w:rPr>
          <w:rFonts w:cstheme="minorHAnsi"/>
        </w:rPr>
        <w:t>5</w:t>
      </w:r>
      <w:r w:rsidR="008B6C99" w:rsidRPr="0097459F">
        <w:rPr>
          <w:rFonts w:cstheme="minorHAnsi"/>
        </w:rPr>
        <w:t>º</w:t>
      </w:r>
      <w:r w:rsidRPr="0097459F">
        <w:rPr>
          <w:rFonts w:cstheme="minorHAnsi"/>
        </w:rPr>
        <w:t xml:space="preserve">, deve ser concedido aos cotistas o prazo mínimo de </w:t>
      </w:r>
      <w:r w:rsidR="002267F0" w:rsidRPr="0097459F">
        <w:rPr>
          <w:rFonts w:cstheme="minorHAnsi"/>
        </w:rPr>
        <w:t xml:space="preserve">10 </w:t>
      </w:r>
      <w:r w:rsidRPr="0097459F">
        <w:rPr>
          <w:rFonts w:cstheme="minorHAnsi"/>
        </w:rPr>
        <w:t>(</w:t>
      </w:r>
      <w:r w:rsidR="002267F0" w:rsidRPr="0097459F">
        <w:rPr>
          <w:rFonts w:cstheme="minorHAnsi"/>
        </w:rPr>
        <w:t>dez</w:t>
      </w:r>
      <w:r w:rsidRPr="0097459F">
        <w:rPr>
          <w:rFonts w:cstheme="minorHAnsi"/>
        </w:rPr>
        <w:t>) dias para manifestação</w:t>
      </w:r>
      <w:r w:rsidR="005F7283" w:rsidRPr="0097459F">
        <w:rPr>
          <w:rFonts w:cstheme="minorHAnsi"/>
        </w:rPr>
        <w:t xml:space="preserve">, contado da consulta por meio eletrônico, ou de </w:t>
      </w:r>
      <w:r w:rsidR="002446D6" w:rsidRPr="0097459F">
        <w:rPr>
          <w:rFonts w:cstheme="minorHAnsi"/>
        </w:rPr>
        <w:t>15</w:t>
      </w:r>
      <w:r w:rsidR="005F7283" w:rsidRPr="0097459F">
        <w:rPr>
          <w:rFonts w:cstheme="minorHAnsi"/>
        </w:rPr>
        <w:t xml:space="preserve"> (</w:t>
      </w:r>
      <w:r w:rsidR="002446D6" w:rsidRPr="0097459F">
        <w:rPr>
          <w:rFonts w:cstheme="minorHAnsi"/>
        </w:rPr>
        <w:t>quinze</w:t>
      </w:r>
      <w:r w:rsidR="005F7283" w:rsidRPr="0097459F">
        <w:rPr>
          <w:rFonts w:cstheme="minorHAnsi"/>
        </w:rPr>
        <w:t>) dias, contado da consulta por meio físico</w:t>
      </w:r>
      <w:r w:rsidRPr="0097459F">
        <w:rPr>
          <w:rFonts w:cstheme="minorHAnsi"/>
        </w:rPr>
        <w:t>.</w:t>
      </w:r>
    </w:p>
    <w:p w14:paraId="412679EB" w14:textId="46E48E2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77</w:t>
      </w:r>
      <w:r w:rsidRPr="0097459F">
        <w:rPr>
          <w:rFonts w:cstheme="minorHAnsi"/>
        </w:rPr>
        <w:t>.  Somente podem votar na assembleia geral ou especial os cotistas inscritos no registro de cotistas na data da convocação</w:t>
      </w:r>
      <w:r w:rsidR="009147B9" w:rsidRPr="0097459F">
        <w:rPr>
          <w:rFonts w:cstheme="minorHAnsi"/>
        </w:rPr>
        <w:t xml:space="preserve"> </w:t>
      </w:r>
      <w:r w:rsidRPr="0097459F">
        <w:rPr>
          <w:rFonts w:cstheme="minorHAnsi"/>
        </w:rPr>
        <w:t xml:space="preserve">da assembleia, seus representantes legais ou procuradores legalmente constituídos. </w:t>
      </w:r>
    </w:p>
    <w:p w14:paraId="4EB0BB2E" w14:textId="5ABA4E89" w:rsidR="00EF67EF" w:rsidRPr="0097459F" w:rsidRDefault="00EF67EF" w:rsidP="00C20BBD">
      <w:pPr>
        <w:pStyle w:val="Normalalteradora"/>
        <w:rPr>
          <w:rFonts w:cstheme="minorHAnsi"/>
        </w:rPr>
      </w:pPr>
      <w:r w:rsidRPr="0097459F">
        <w:rPr>
          <w:rFonts w:cstheme="minorHAnsi"/>
        </w:rPr>
        <w:t>§ 1</w:t>
      </w:r>
      <w:proofErr w:type="gramStart"/>
      <w:r w:rsidRPr="0097459F">
        <w:rPr>
          <w:rFonts w:cstheme="minorHAnsi"/>
        </w:rPr>
        <w:t>º  As</w:t>
      </w:r>
      <w:proofErr w:type="gramEnd"/>
      <w:r w:rsidRPr="0097459F">
        <w:rPr>
          <w:rFonts w:cstheme="minorHAnsi"/>
        </w:rPr>
        <w:t xml:space="preserve"> deliberações da assembleia especial de cotistas devem se ater às matérias de interesse exclusivo da respectiva classe de cotas</w:t>
      </w:r>
      <w:r w:rsidR="008F6B1B" w:rsidRPr="0097459F">
        <w:rPr>
          <w:rFonts w:cstheme="minorHAnsi"/>
        </w:rPr>
        <w:t xml:space="preserve"> ou subclasse de cotas, conforme o caso.</w:t>
      </w:r>
    </w:p>
    <w:p w14:paraId="08F821D3" w14:textId="7CE9FC00" w:rsidR="00901BCE" w:rsidRPr="0097459F" w:rsidRDefault="00EF67EF" w:rsidP="00C20BBD">
      <w:pPr>
        <w:pStyle w:val="Normalalteradora"/>
        <w:rPr>
          <w:rFonts w:cstheme="minorHAnsi"/>
        </w:rPr>
      </w:pPr>
      <w:r w:rsidRPr="0097459F">
        <w:rPr>
          <w:rFonts w:cstheme="minorHAnsi"/>
        </w:rPr>
        <w:t>§ 2</w:t>
      </w:r>
      <w:proofErr w:type="gramStart"/>
      <w:r w:rsidRPr="0097459F">
        <w:rPr>
          <w:rFonts w:cstheme="minorHAnsi"/>
        </w:rPr>
        <w:t xml:space="preserve">º  </w:t>
      </w:r>
      <w:r w:rsidR="008F6B1B" w:rsidRPr="0097459F">
        <w:t>O</w:t>
      </w:r>
      <w:proofErr w:type="gramEnd"/>
      <w:r w:rsidR="00901BCE" w:rsidRPr="0097459F">
        <w:t xml:space="preserve"> procurador deve possuir mandato com poderes específicos para </w:t>
      </w:r>
      <w:r w:rsidR="00A543DC" w:rsidRPr="0097459F">
        <w:t>a</w:t>
      </w:r>
      <w:r w:rsidR="00901BCE" w:rsidRPr="0097459F">
        <w:t xml:space="preserve"> representação</w:t>
      </w:r>
      <w:r w:rsidR="00A543DC" w:rsidRPr="0097459F">
        <w:t xml:space="preserve"> do cotista em assembleia,</w:t>
      </w:r>
      <w:r w:rsidR="003A5D9D" w:rsidRPr="0097459F">
        <w:t xml:space="preserve"> deve</w:t>
      </w:r>
      <w:r w:rsidR="00A543DC" w:rsidRPr="0097459F">
        <w:t>ndo</w:t>
      </w:r>
      <w:r w:rsidR="003A5D9D" w:rsidRPr="0097459F">
        <w:t xml:space="preserve"> </w:t>
      </w:r>
      <w:r w:rsidR="00A543DC" w:rsidRPr="0097459F">
        <w:t>entregar um exemplar do instrumento do mandato</w:t>
      </w:r>
      <w:r w:rsidR="008F6B1B" w:rsidRPr="0097459F">
        <w:t xml:space="preserve"> à</w:t>
      </w:r>
      <w:r w:rsidR="00A543DC" w:rsidRPr="0097459F">
        <w:t xml:space="preserve"> mesa, para sua utilização e arquivamento</w:t>
      </w:r>
      <w:r w:rsidR="003A5D9D" w:rsidRPr="0097459F">
        <w:t xml:space="preserve"> pelo administrador</w:t>
      </w:r>
      <w:r w:rsidR="00901BCE" w:rsidRPr="0097459F">
        <w:t>.</w:t>
      </w:r>
    </w:p>
    <w:p w14:paraId="7C1FF0ED" w14:textId="36285844" w:rsidR="00893D49" w:rsidRPr="0097459F" w:rsidRDefault="00893D49" w:rsidP="00C20BBD">
      <w:pPr>
        <w:pStyle w:val="Normalalteradora"/>
      </w:pPr>
      <w:r w:rsidRPr="0097459F">
        <w:t xml:space="preserve">Art. </w:t>
      </w:r>
      <w:r w:rsidR="00B7720E" w:rsidRPr="0097459F">
        <w:t>78</w:t>
      </w:r>
      <w:r w:rsidRPr="0097459F">
        <w:t>.  Não podem votar nas assembleias de cotistas:</w:t>
      </w:r>
    </w:p>
    <w:p w14:paraId="706ABC04" w14:textId="2C0BFC3C"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w:t>
      </w:r>
      <w:proofErr w:type="gramEnd"/>
      <w:r w:rsidRPr="0097459F">
        <w:rPr>
          <w:rFonts w:cstheme="minorHAnsi"/>
        </w:rPr>
        <w:t xml:space="preserve"> prestador de serviço, essencial ou não;</w:t>
      </w:r>
    </w:p>
    <w:p w14:paraId="49BBD279" w14:textId="755B286F" w:rsidR="00893D49" w:rsidRPr="0097459F" w:rsidRDefault="00893D49" w:rsidP="2889066B">
      <w:pPr>
        <w:pStyle w:val="Normalalteradora"/>
      </w:pPr>
      <w:r w:rsidRPr="0097459F">
        <w:t xml:space="preserve">II – </w:t>
      </w:r>
      <w:proofErr w:type="gramStart"/>
      <w:r w:rsidRPr="0097459F">
        <w:t>os</w:t>
      </w:r>
      <w:proofErr w:type="gramEnd"/>
      <w:r w:rsidRPr="0097459F">
        <w:t xml:space="preserve"> sócios, diretores e </w:t>
      </w:r>
      <w:r w:rsidR="00B002CD" w:rsidRPr="0097459F">
        <w:t xml:space="preserve">empregados </w:t>
      </w:r>
      <w:r w:rsidRPr="0097459F">
        <w:t>do prestador de serviço;</w:t>
      </w:r>
    </w:p>
    <w:p w14:paraId="458650E3" w14:textId="31713128" w:rsidR="00893D49" w:rsidRPr="0097459F" w:rsidRDefault="00893D49" w:rsidP="00C20BBD">
      <w:pPr>
        <w:pStyle w:val="Normalalteradora"/>
        <w:rPr>
          <w:rFonts w:cstheme="minorHAnsi"/>
        </w:rPr>
      </w:pPr>
      <w:r w:rsidRPr="0097459F">
        <w:rPr>
          <w:rFonts w:cstheme="minorHAnsi"/>
        </w:rPr>
        <w:t xml:space="preserve">III – </w:t>
      </w:r>
      <w:r w:rsidR="000D35ED" w:rsidRPr="0097459F">
        <w:rPr>
          <w:rFonts w:cstheme="minorHAnsi"/>
        </w:rPr>
        <w:t>partes relacionadas</w:t>
      </w:r>
      <w:r w:rsidR="00C959D1" w:rsidRPr="0097459F">
        <w:t xml:space="preserve"> ao</w:t>
      </w:r>
      <w:r w:rsidRPr="0097459F">
        <w:rPr>
          <w:rFonts w:cstheme="minorHAnsi"/>
        </w:rPr>
        <w:t xml:space="preserve"> prestador de serviço, seus sócios, diretores e </w:t>
      </w:r>
      <w:r w:rsidR="00B002CD" w:rsidRPr="0097459F">
        <w:rPr>
          <w:rFonts w:cstheme="minorHAnsi"/>
        </w:rPr>
        <w:t>empregados</w:t>
      </w:r>
      <w:r w:rsidR="004E6019" w:rsidRPr="0097459F">
        <w:rPr>
          <w:rFonts w:cstheme="minorHAnsi"/>
        </w:rPr>
        <w:t>;</w:t>
      </w:r>
    </w:p>
    <w:p w14:paraId="40A2F6E6" w14:textId="02CFFBAA" w:rsidR="00027DB4" w:rsidRPr="0097459F" w:rsidRDefault="00027DB4" w:rsidP="00C20BBD">
      <w:pPr>
        <w:pStyle w:val="Normalalteradora"/>
      </w:pPr>
      <w:r w:rsidRPr="0097459F">
        <w:t xml:space="preserve">IV – </w:t>
      </w:r>
      <w:proofErr w:type="gramStart"/>
      <w:r w:rsidRPr="0097459F">
        <w:t>o</w:t>
      </w:r>
      <w:proofErr w:type="gramEnd"/>
      <w:r w:rsidRPr="0097459F">
        <w:t xml:space="preserve"> cotista que tenha </w:t>
      </w:r>
      <w:r w:rsidR="00ED02A2" w:rsidRPr="0097459F">
        <w:t>interesse</w:t>
      </w:r>
      <w:r w:rsidR="00365A09" w:rsidRPr="0097459F">
        <w:t xml:space="preserve"> </w:t>
      </w:r>
      <w:r w:rsidR="00ED02A2" w:rsidRPr="0097459F">
        <w:t xml:space="preserve">conflitante com </w:t>
      </w:r>
      <w:r w:rsidR="00072F22" w:rsidRPr="0097459F">
        <w:t>o fundo, classe ou subclasse</w:t>
      </w:r>
      <w:r w:rsidR="00ED02A2" w:rsidRPr="0097459F">
        <w:t xml:space="preserve"> no que se refere à matéria em votação; e</w:t>
      </w:r>
    </w:p>
    <w:p w14:paraId="1ADDC7A0" w14:textId="087F4179" w:rsidR="00027DB4" w:rsidRPr="0097459F" w:rsidRDefault="00ED02A2" w:rsidP="00C20BBD">
      <w:pPr>
        <w:pStyle w:val="Normalalteradora"/>
        <w:rPr>
          <w:rFonts w:cstheme="minorHAnsi"/>
        </w:rPr>
      </w:pPr>
      <w:r w:rsidRPr="0097459F">
        <w:rPr>
          <w:rFonts w:cstheme="minorHAnsi"/>
        </w:rPr>
        <w:t xml:space="preserve">V </w:t>
      </w:r>
      <w:r w:rsidR="004E6019" w:rsidRPr="0097459F">
        <w:rPr>
          <w:rFonts w:cstheme="minorHAnsi"/>
        </w:rPr>
        <w:t>–</w:t>
      </w:r>
      <w:r w:rsidRPr="0097459F">
        <w:rPr>
          <w:rFonts w:cstheme="minorHAnsi"/>
        </w:rPr>
        <w:t xml:space="preserve"> </w:t>
      </w:r>
      <w:proofErr w:type="gramStart"/>
      <w:r w:rsidRPr="0097459F">
        <w:rPr>
          <w:rFonts w:cstheme="minorHAnsi"/>
        </w:rPr>
        <w:t>o</w:t>
      </w:r>
      <w:proofErr w:type="gramEnd"/>
      <w:r w:rsidRPr="0097459F">
        <w:rPr>
          <w:rFonts w:cstheme="minorHAnsi"/>
        </w:rPr>
        <w:t xml:space="preserve"> cotista, na hipótese de deliberação relativa a laudos de avaliação de bens de sua propriedade.</w:t>
      </w:r>
    </w:p>
    <w:p w14:paraId="4CD9E1A4" w14:textId="5C30EA01" w:rsidR="00893D49" w:rsidRPr="0097459F" w:rsidRDefault="006A5791" w:rsidP="00C20BBD">
      <w:pPr>
        <w:pStyle w:val="Normalalteradora"/>
        <w:rPr>
          <w:rFonts w:cstheme="minorHAnsi"/>
        </w:rPr>
      </w:pPr>
      <w:r w:rsidRPr="0097459F">
        <w:rPr>
          <w:rFonts w:cstheme="minorHAnsi"/>
        </w:rPr>
        <w:t>§ 1</w:t>
      </w:r>
      <w:proofErr w:type="gramStart"/>
      <w:r w:rsidRPr="0097459F">
        <w:rPr>
          <w:rFonts w:cstheme="minorHAnsi"/>
        </w:rPr>
        <w:t xml:space="preserve">º </w:t>
      </w:r>
      <w:r w:rsidR="00893D49" w:rsidRPr="0097459F">
        <w:rPr>
          <w:rFonts w:cstheme="minorHAnsi"/>
        </w:rPr>
        <w:t xml:space="preserve"> Não</w:t>
      </w:r>
      <w:proofErr w:type="gramEnd"/>
      <w:r w:rsidR="00893D49" w:rsidRPr="0097459F">
        <w:rPr>
          <w:rFonts w:cstheme="minorHAnsi"/>
        </w:rPr>
        <w:t xml:space="preserve"> se aplica a vedação prevista </w:t>
      </w:r>
      <w:r w:rsidR="00002341" w:rsidRPr="0097459F">
        <w:rPr>
          <w:rFonts w:cstheme="minorHAnsi"/>
        </w:rPr>
        <w:t xml:space="preserve">no </w:t>
      </w:r>
      <w:r w:rsidR="00002341" w:rsidRPr="0097459F">
        <w:rPr>
          <w:rFonts w:cstheme="minorHAnsi"/>
          <w:b/>
        </w:rPr>
        <w:t>caput</w:t>
      </w:r>
      <w:r w:rsidR="00893D49" w:rsidRPr="0097459F">
        <w:rPr>
          <w:rFonts w:cstheme="minorHAnsi"/>
        </w:rPr>
        <w:t xml:space="preserve"> quando:</w:t>
      </w:r>
    </w:p>
    <w:p w14:paraId="5DB22DDD" w14:textId="014DDDBE"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os</w:t>
      </w:r>
      <w:proofErr w:type="gramEnd"/>
      <w:r w:rsidRPr="0097459F">
        <w:rPr>
          <w:rFonts w:cstheme="minorHAnsi"/>
        </w:rPr>
        <w:t xml:space="preserve"> únicos cotistas forem, no momento de seu ingresso </w:t>
      </w:r>
      <w:r w:rsidR="00191A57" w:rsidRPr="0097459F">
        <w:rPr>
          <w:rFonts w:cstheme="minorHAnsi"/>
        </w:rPr>
        <w:t>n</w:t>
      </w:r>
      <w:r w:rsidR="000D35ED" w:rsidRPr="0097459F">
        <w:rPr>
          <w:rFonts w:cstheme="minorHAnsi"/>
        </w:rPr>
        <w:t>o fundo, n</w:t>
      </w:r>
      <w:r w:rsidR="00191A57" w:rsidRPr="0097459F">
        <w:rPr>
          <w:rFonts w:cstheme="minorHAnsi"/>
        </w:rPr>
        <w:t>a classe</w:t>
      </w:r>
      <w:r w:rsidR="00ED02A2" w:rsidRPr="0097459F">
        <w:rPr>
          <w:rFonts w:cstheme="minorHAnsi"/>
        </w:rPr>
        <w:t xml:space="preserve"> ou subclasse</w:t>
      </w:r>
      <w:r w:rsidRPr="0097459F">
        <w:rPr>
          <w:rFonts w:cstheme="minorHAnsi"/>
        </w:rPr>
        <w:t xml:space="preserve">, </w:t>
      </w:r>
      <w:r w:rsidR="000D35ED" w:rsidRPr="0097459F">
        <w:rPr>
          <w:rFonts w:cstheme="minorHAnsi"/>
        </w:rPr>
        <w:t xml:space="preserve">conforme o caso, </w:t>
      </w:r>
      <w:r w:rsidRPr="0097459F">
        <w:rPr>
          <w:rFonts w:cstheme="minorHAnsi"/>
        </w:rPr>
        <w:t xml:space="preserve">as pessoas mencionadas nos incisos I a </w:t>
      </w:r>
      <w:r w:rsidR="00ED02A2" w:rsidRPr="0097459F">
        <w:rPr>
          <w:rFonts w:cstheme="minorHAnsi"/>
        </w:rPr>
        <w:t>V</w:t>
      </w:r>
      <w:r w:rsidRPr="0097459F">
        <w:rPr>
          <w:rFonts w:cstheme="minorHAnsi"/>
        </w:rPr>
        <w:t xml:space="preserve"> do </w:t>
      </w:r>
      <w:r w:rsidRPr="0097459F">
        <w:rPr>
          <w:rFonts w:cstheme="minorHAnsi"/>
          <w:b/>
        </w:rPr>
        <w:t>caput</w:t>
      </w:r>
      <w:r w:rsidRPr="0097459F">
        <w:rPr>
          <w:rFonts w:cstheme="minorHAnsi"/>
        </w:rPr>
        <w:t>; ou</w:t>
      </w:r>
    </w:p>
    <w:p w14:paraId="538009F7" w14:textId="655637FB" w:rsidR="00B50105"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houver</w:t>
      </w:r>
      <w:proofErr w:type="gramEnd"/>
      <w:r w:rsidRPr="0097459F">
        <w:rPr>
          <w:rFonts w:cstheme="minorHAnsi"/>
        </w:rPr>
        <w:t xml:space="preserve"> aquiescência expressa da maioria dos demais cotistas </w:t>
      </w:r>
      <w:r w:rsidR="00873926" w:rsidRPr="0097459F">
        <w:rPr>
          <w:rFonts w:cstheme="minorHAnsi"/>
        </w:rPr>
        <w:t>d</w:t>
      </w:r>
      <w:r w:rsidR="000D35ED" w:rsidRPr="0097459F">
        <w:rPr>
          <w:rFonts w:cstheme="minorHAnsi"/>
        </w:rPr>
        <w:t>o fundo, d</w:t>
      </w:r>
      <w:r w:rsidR="00873926" w:rsidRPr="0097459F">
        <w:rPr>
          <w:rFonts w:cstheme="minorHAnsi"/>
        </w:rPr>
        <w:t xml:space="preserve">a </w:t>
      </w:r>
      <w:r w:rsidR="00AA2B7C" w:rsidRPr="0097459F">
        <w:rPr>
          <w:rFonts w:cstheme="minorHAnsi"/>
        </w:rPr>
        <w:t xml:space="preserve">mesma </w:t>
      </w:r>
      <w:r w:rsidR="00873926" w:rsidRPr="0097459F">
        <w:rPr>
          <w:rFonts w:cstheme="minorHAnsi"/>
        </w:rPr>
        <w:t>classe</w:t>
      </w:r>
      <w:r w:rsidR="00AA2B7C" w:rsidRPr="0097459F">
        <w:rPr>
          <w:rFonts w:cstheme="minorHAnsi"/>
        </w:rPr>
        <w:t xml:space="preserve"> ou subclasse, conforme o caso</w:t>
      </w:r>
      <w:r w:rsidR="00B002CD" w:rsidRPr="0097459F">
        <w:rPr>
          <w:rFonts w:cstheme="minorHAnsi"/>
        </w:rPr>
        <w:t xml:space="preserve">, que pode ser manifestada na </w:t>
      </w:r>
      <w:r w:rsidR="003A5D9D" w:rsidRPr="0097459F">
        <w:rPr>
          <w:rFonts w:cstheme="minorHAnsi"/>
        </w:rPr>
        <w:t xml:space="preserve">própria </w:t>
      </w:r>
      <w:r w:rsidR="00B002CD" w:rsidRPr="0097459F">
        <w:rPr>
          <w:rFonts w:cstheme="minorHAnsi"/>
        </w:rPr>
        <w:t xml:space="preserve">assembleia </w:t>
      </w:r>
      <w:r w:rsidR="00AE5D03" w:rsidRPr="0097459F">
        <w:t xml:space="preserve">ou </w:t>
      </w:r>
      <w:r w:rsidR="003A5D9D" w:rsidRPr="0097459F">
        <w:t xml:space="preserve">constar de permissão </w:t>
      </w:r>
      <w:r w:rsidR="004C2C1F" w:rsidRPr="0097459F">
        <w:t xml:space="preserve">previamente </w:t>
      </w:r>
      <w:r w:rsidR="003A5D9D" w:rsidRPr="0097459F">
        <w:t>concedida pelo cotista, seja específica ou genérica, e arquivada pelo administrador</w:t>
      </w:r>
      <w:r w:rsidR="00A2650B" w:rsidRPr="0097459F">
        <w:t>.</w:t>
      </w:r>
    </w:p>
    <w:p w14:paraId="2C396F1B" w14:textId="2EEAC16D" w:rsidR="00BE5295" w:rsidRPr="0097459F" w:rsidRDefault="00002341" w:rsidP="00C20BBD">
      <w:pPr>
        <w:pStyle w:val="Normalalteradora"/>
      </w:pPr>
      <w:r w:rsidRPr="0097459F">
        <w:lastRenderedPageBreak/>
        <w:t>§ 2</w:t>
      </w:r>
      <w:proofErr w:type="gramStart"/>
      <w:r w:rsidRPr="0097459F">
        <w:t xml:space="preserve">º </w:t>
      </w:r>
      <w:r w:rsidR="004E6019" w:rsidRPr="0097459F">
        <w:t xml:space="preserve"> </w:t>
      </w:r>
      <w:r w:rsidR="00233529" w:rsidRPr="0097459F">
        <w:t>Previamente</w:t>
      </w:r>
      <w:proofErr w:type="gramEnd"/>
      <w:r w:rsidR="00233529" w:rsidRPr="0097459F">
        <w:t xml:space="preserve"> ao início das deliberações, </w:t>
      </w:r>
      <w:r w:rsidR="00FE0D09" w:rsidRPr="0097459F">
        <w:t>cabe a</w:t>
      </w:r>
      <w:r w:rsidR="00233529" w:rsidRPr="0097459F">
        <w:t xml:space="preserve">o </w:t>
      </w:r>
      <w:r w:rsidRPr="0097459F">
        <w:t xml:space="preserve">cotista </w:t>
      </w:r>
      <w:r w:rsidR="00072F22" w:rsidRPr="0097459F">
        <w:t xml:space="preserve">de que trata o inciso </w:t>
      </w:r>
      <w:r w:rsidR="00410329" w:rsidRPr="0097459F">
        <w:t>I</w:t>
      </w:r>
      <w:r w:rsidR="00072F22" w:rsidRPr="0097459F">
        <w:t xml:space="preserve">V do </w:t>
      </w:r>
      <w:r w:rsidR="00072F22" w:rsidRPr="0097459F">
        <w:rPr>
          <w:b/>
        </w:rPr>
        <w:t>caput</w:t>
      </w:r>
      <w:r w:rsidRPr="0097459F">
        <w:t xml:space="preserve"> </w:t>
      </w:r>
      <w:r w:rsidR="00233529" w:rsidRPr="0097459F">
        <w:t xml:space="preserve">declarar </w:t>
      </w:r>
      <w:r w:rsidR="002B4F41" w:rsidRPr="0097459F">
        <w:t xml:space="preserve">à </w:t>
      </w:r>
      <w:r w:rsidR="00365A09" w:rsidRPr="0097459F">
        <w:t>mesa</w:t>
      </w:r>
      <w:r w:rsidRPr="0097459F">
        <w:t xml:space="preserve"> seu impedimento para </w:t>
      </w:r>
      <w:r w:rsidR="008B66D2" w:rsidRPr="0097459F">
        <w:t xml:space="preserve">o </w:t>
      </w:r>
      <w:r w:rsidRPr="0097459F">
        <w:t xml:space="preserve">exercício </w:t>
      </w:r>
      <w:r w:rsidR="00F663E3" w:rsidRPr="0097459F">
        <w:t xml:space="preserve">do </w:t>
      </w:r>
      <w:r w:rsidRPr="0097459F">
        <w:t>direito de voto.</w:t>
      </w:r>
    </w:p>
    <w:p w14:paraId="518C7B50" w14:textId="6C8C878C" w:rsidR="00C437E7" w:rsidRPr="0097459F" w:rsidRDefault="00893D49" w:rsidP="00C20BBD">
      <w:pPr>
        <w:pStyle w:val="Normalalteradora"/>
        <w:rPr>
          <w:rFonts w:ascii="Calibri" w:hAnsi="Calibri"/>
          <w:color w:val="444444"/>
          <w:shd w:val="clear" w:color="auto" w:fill="FFFFFF"/>
        </w:rPr>
      </w:pPr>
      <w:r w:rsidRPr="0097459F">
        <w:rPr>
          <w:rFonts w:cstheme="minorHAnsi"/>
        </w:rPr>
        <w:t xml:space="preserve">Art. </w:t>
      </w:r>
      <w:r w:rsidR="00B7720E" w:rsidRPr="0097459F">
        <w:rPr>
          <w:rFonts w:cstheme="minorHAnsi"/>
        </w:rPr>
        <w:t>79</w:t>
      </w:r>
      <w:r w:rsidRPr="0097459F">
        <w:rPr>
          <w:rFonts w:cstheme="minorHAnsi"/>
        </w:rPr>
        <w:t xml:space="preserve">.  O resumo das decisões da assembleia de cotistas deve ser disponibilizado aos cotistas </w:t>
      </w:r>
      <w:r w:rsidR="00262FB3" w:rsidRPr="0097459F">
        <w:rPr>
          <w:rFonts w:cstheme="minorHAnsi"/>
        </w:rPr>
        <w:t xml:space="preserve">da respectiva classe de cotas </w:t>
      </w:r>
      <w:r w:rsidRPr="0097459F">
        <w:rPr>
          <w:rFonts w:cstheme="minorHAnsi"/>
        </w:rPr>
        <w:t>no prazo de até 30 (trinta) dias após a data de realização da assembleia.</w:t>
      </w:r>
    </w:p>
    <w:p w14:paraId="6DB31104" w14:textId="77777777" w:rsidR="00893D49" w:rsidRPr="0097459F" w:rsidRDefault="00893D49" w:rsidP="00C20BBD">
      <w:pPr>
        <w:pStyle w:val="Captulo"/>
        <w:rPr>
          <w:rFonts w:asciiTheme="minorHAnsi" w:hAnsiTheme="minorHAnsi"/>
        </w:rPr>
      </w:pPr>
      <w:bookmarkStart w:id="196" w:name="_Toc53594454"/>
      <w:bookmarkStart w:id="197" w:name="_Toc53595479"/>
      <w:bookmarkStart w:id="198" w:name="_Toc53594206"/>
      <w:bookmarkStart w:id="199" w:name="_Toc114818987"/>
      <w:bookmarkStart w:id="200" w:name="_Toc57836214"/>
      <w:bookmarkStart w:id="201" w:name="_Toc161141218"/>
      <w:r w:rsidRPr="0097459F">
        <w:rPr>
          <w:rFonts w:asciiTheme="minorHAnsi" w:hAnsiTheme="minorHAnsi"/>
        </w:rPr>
        <w:t>CAPÍTULO VIII – PRESTAÇÃO DE SERVIÇOS</w:t>
      </w:r>
      <w:bookmarkEnd w:id="196"/>
      <w:bookmarkEnd w:id="197"/>
      <w:bookmarkEnd w:id="198"/>
      <w:bookmarkEnd w:id="199"/>
      <w:bookmarkEnd w:id="200"/>
      <w:bookmarkEnd w:id="201"/>
    </w:p>
    <w:p w14:paraId="09A0B02E" w14:textId="77777777" w:rsidR="00893D49" w:rsidRPr="0097459F" w:rsidRDefault="00893D49" w:rsidP="00C20BBD">
      <w:pPr>
        <w:pStyle w:val="Seo"/>
        <w:rPr>
          <w:rFonts w:asciiTheme="minorHAnsi" w:hAnsiTheme="minorHAnsi"/>
        </w:rPr>
      </w:pPr>
      <w:bookmarkStart w:id="202" w:name="_Toc53594455"/>
      <w:bookmarkStart w:id="203" w:name="_Toc53595480"/>
      <w:bookmarkStart w:id="204" w:name="_Toc53594207"/>
      <w:bookmarkStart w:id="205" w:name="_Toc114818988"/>
      <w:bookmarkStart w:id="206" w:name="_Toc57836215"/>
      <w:bookmarkStart w:id="207" w:name="_Toc161141219"/>
      <w:r w:rsidRPr="0097459F">
        <w:rPr>
          <w:rFonts w:asciiTheme="minorHAnsi" w:hAnsiTheme="minorHAnsi"/>
        </w:rPr>
        <w:t>Seção I – Disposições Gerais</w:t>
      </w:r>
      <w:bookmarkEnd w:id="202"/>
      <w:bookmarkEnd w:id="203"/>
      <w:bookmarkEnd w:id="204"/>
      <w:bookmarkEnd w:id="205"/>
      <w:bookmarkEnd w:id="206"/>
      <w:bookmarkEnd w:id="207"/>
    </w:p>
    <w:p w14:paraId="74939393" w14:textId="580EB6F6"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80</w:t>
      </w:r>
      <w:r w:rsidRPr="0097459F">
        <w:rPr>
          <w:rFonts w:cstheme="minorHAnsi"/>
        </w:rPr>
        <w:t>.  O funcionamento do fundo de investimento se materializa por meio da atuação dos prestadores de serviços essenciais e terceiros por eles contratados, por escrito, em nome do fundo.</w:t>
      </w:r>
    </w:p>
    <w:p w14:paraId="5C915773" w14:textId="0A88090A" w:rsidR="00893D49" w:rsidRPr="0097459F" w:rsidRDefault="00262FB3" w:rsidP="00C20BBD">
      <w:pPr>
        <w:pStyle w:val="Normalalteradora"/>
        <w:rPr>
          <w:rFonts w:cstheme="minorHAnsi"/>
        </w:rPr>
      </w:pPr>
      <w:r w:rsidRPr="0097459F">
        <w:rPr>
          <w:rFonts w:cstheme="minorHAnsi"/>
        </w:rPr>
        <w:t>Parágrafo único.</w:t>
      </w:r>
      <w:r w:rsidR="00893D49" w:rsidRPr="0097459F">
        <w:rPr>
          <w:rFonts w:cstheme="minorHAnsi"/>
        </w:rPr>
        <w:t xml:space="preserve">  A contratação de terceiros por prestador de serviço essencial deve contar com prévia e criteriosa análise e seleção do contratado, devendo o prestador de serviços essencial, ainda, figurar no contrato como interveniente anuente.</w:t>
      </w:r>
    </w:p>
    <w:p w14:paraId="68E90ABE" w14:textId="1646D75A" w:rsidR="00D2415E"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81</w:t>
      </w:r>
      <w:r w:rsidRPr="0097459F">
        <w:rPr>
          <w:rFonts w:cstheme="minorHAnsi"/>
        </w:rPr>
        <w:t xml:space="preserve">.  Os prestadores de serviços essenciais e demais prestadores de serviços do fundo </w:t>
      </w:r>
      <w:r w:rsidR="00484F82" w:rsidRPr="0097459F">
        <w:rPr>
          <w:rFonts w:cstheme="minorHAnsi"/>
        </w:rPr>
        <w:t xml:space="preserve">respondem </w:t>
      </w:r>
      <w:r w:rsidRPr="0097459F">
        <w:rPr>
          <w:rFonts w:cstheme="minorHAnsi"/>
        </w:rPr>
        <w:t xml:space="preserve">perante a CVM, nas suas respectivas esferas de atuação, por seus próprios atos e omissões contrários à lei, ao regulamento do fundo ou à regulamentação vigente, sem prejuízo do exercício do dever de fiscalizar, nas hipóteses </w:t>
      </w:r>
      <w:r w:rsidR="00262FB3" w:rsidRPr="0097459F">
        <w:rPr>
          <w:rFonts w:cstheme="minorHAnsi"/>
        </w:rPr>
        <w:t xml:space="preserve">expressamente </w:t>
      </w:r>
      <w:r w:rsidRPr="0097459F">
        <w:rPr>
          <w:rFonts w:cstheme="minorHAnsi"/>
        </w:rPr>
        <w:t>previstas nesta Resolução</w:t>
      </w:r>
      <w:r w:rsidR="00AA2B7C" w:rsidRPr="0097459F">
        <w:rPr>
          <w:rFonts w:cstheme="minorHAnsi"/>
        </w:rPr>
        <w:t>, bem como</w:t>
      </w:r>
      <w:r w:rsidR="00432AF8" w:rsidRPr="0097459F">
        <w:rPr>
          <w:rFonts w:cstheme="minorHAnsi"/>
        </w:rPr>
        <w:t xml:space="preserve"> naquelas </w:t>
      </w:r>
      <w:r w:rsidR="00AA2B7C" w:rsidRPr="0097459F">
        <w:rPr>
          <w:rFonts w:cstheme="minorHAnsi"/>
        </w:rPr>
        <w:t xml:space="preserve">eventualmente </w:t>
      </w:r>
      <w:r w:rsidR="00432AF8" w:rsidRPr="0097459F">
        <w:rPr>
          <w:rFonts w:cstheme="minorHAnsi"/>
        </w:rPr>
        <w:t>previstas no regulamento</w:t>
      </w:r>
      <w:r w:rsidRPr="0097459F">
        <w:rPr>
          <w:rFonts w:cstheme="minorHAnsi"/>
        </w:rPr>
        <w:t>.</w:t>
      </w:r>
    </w:p>
    <w:p w14:paraId="5DBEB1CB" w14:textId="6518D2B2" w:rsidR="00D71D53" w:rsidRPr="0097459F" w:rsidRDefault="00B13AC8" w:rsidP="00C20BBD">
      <w:pPr>
        <w:pStyle w:val="Normalalteradora"/>
        <w:rPr>
          <w:rFonts w:cstheme="minorHAnsi"/>
        </w:rPr>
      </w:pPr>
      <w:r w:rsidRPr="0097459F">
        <w:rPr>
          <w:rFonts w:cstheme="minorHAnsi"/>
        </w:rPr>
        <w:t xml:space="preserve">Parágrafo único.  A aferição de responsabilidades dos prestadores de serviços </w:t>
      </w:r>
      <w:r w:rsidR="00273C0F" w:rsidRPr="0097459F">
        <w:rPr>
          <w:rFonts w:cstheme="minorHAnsi"/>
        </w:rPr>
        <w:t xml:space="preserve">tem </w:t>
      </w:r>
      <w:r w:rsidRPr="0097459F">
        <w:rPr>
          <w:rFonts w:cstheme="minorHAnsi"/>
        </w:rPr>
        <w:t>como parâmetros as obrigações previstas nesta Resolução e em regulamentações específicas, assim como aquelas previstas no regulamento e no</w:t>
      </w:r>
      <w:r w:rsidR="00432AF8" w:rsidRPr="0097459F">
        <w:rPr>
          <w:rFonts w:cstheme="minorHAnsi"/>
        </w:rPr>
        <w:t xml:space="preserve"> respectivo</w:t>
      </w:r>
      <w:r w:rsidRPr="0097459F">
        <w:rPr>
          <w:rFonts w:cstheme="minorHAnsi"/>
        </w:rPr>
        <w:t xml:space="preserve"> contrato de prestação de serviços.</w:t>
      </w:r>
    </w:p>
    <w:p w14:paraId="0A37AE3C" w14:textId="3FBB1308" w:rsidR="00D71D53" w:rsidRPr="0097459F" w:rsidRDefault="00893D49" w:rsidP="00C20BBD">
      <w:pPr>
        <w:pStyle w:val="Seo"/>
      </w:pPr>
      <w:bookmarkStart w:id="208" w:name="_Toc53594456"/>
      <w:bookmarkStart w:id="209" w:name="_Toc53595481"/>
      <w:bookmarkStart w:id="210" w:name="_Toc53594208"/>
      <w:bookmarkStart w:id="211" w:name="_Toc57836216"/>
      <w:bookmarkStart w:id="212" w:name="_Toc161141220"/>
      <w:r w:rsidRPr="0097459F">
        <w:rPr>
          <w:rFonts w:asciiTheme="minorHAnsi" w:hAnsiTheme="minorHAnsi"/>
        </w:rPr>
        <w:t>Seção</w:t>
      </w:r>
      <w:r w:rsidRPr="0097459F">
        <w:t xml:space="preserve"> II – </w:t>
      </w:r>
      <w:bookmarkEnd w:id="208"/>
      <w:bookmarkEnd w:id="209"/>
      <w:bookmarkEnd w:id="210"/>
      <w:bookmarkEnd w:id="211"/>
      <w:r w:rsidR="00EC1052" w:rsidRPr="0097459F">
        <w:t>Serviços Essenciais</w:t>
      </w:r>
      <w:bookmarkEnd w:id="212"/>
    </w:p>
    <w:p w14:paraId="131D5B58" w14:textId="73DAE603" w:rsidR="00D71D53" w:rsidRPr="0097459F" w:rsidRDefault="00D71D53" w:rsidP="00C20BBD">
      <w:pPr>
        <w:pStyle w:val="Seo"/>
      </w:pPr>
      <w:bookmarkStart w:id="213" w:name="_Toc161141221"/>
      <w:r w:rsidRPr="0097459F">
        <w:rPr>
          <w:rFonts w:cstheme="minorHAnsi"/>
        </w:rPr>
        <w:t xml:space="preserve">Subseção I – </w:t>
      </w:r>
      <w:r w:rsidR="00766DCE" w:rsidRPr="0097459F">
        <w:rPr>
          <w:rFonts w:cstheme="minorHAnsi"/>
        </w:rPr>
        <w:t xml:space="preserve">Funções do </w:t>
      </w:r>
      <w:r w:rsidRPr="0097459F">
        <w:rPr>
          <w:rFonts w:cstheme="minorHAnsi"/>
        </w:rPr>
        <w:t>Administrador</w:t>
      </w:r>
      <w:bookmarkEnd w:id="213"/>
    </w:p>
    <w:p w14:paraId="65E4A3A0" w14:textId="2183FB12"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82</w:t>
      </w:r>
      <w:r w:rsidRPr="0097459F">
        <w:rPr>
          <w:rFonts w:cstheme="minorHAnsi"/>
        </w:rPr>
        <w:t>.  O administrador, observadas as limitações legais e as previstas na regulamentação aplicável, tem poderes para praticar os atos necessários à administração do fundo de investimento, na sua respectiva esfera de atuação.</w:t>
      </w:r>
    </w:p>
    <w:p w14:paraId="5B2C5B77" w14:textId="64D503E4" w:rsidR="00893D49" w:rsidRPr="0097459F" w:rsidRDefault="00C96A21" w:rsidP="00C20BBD">
      <w:pPr>
        <w:pStyle w:val="Normalalteradora"/>
        <w:rPr>
          <w:rFonts w:cstheme="minorHAnsi"/>
        </w:rPr>
      </w:pPr>
      <w:r w:rsidRPr="0097459F">
        <w:rPr>
          <w:rFonts w:cstheme="minorHAnsi"/>
        </w:rPr>
        <w:t xml:space="preserve">Art. </w:t>
      </w:r>
      <w:r w:rsidR="00B7720E" w:rsidRPr="0097459F">
        <w:t>83</w:t>
      </w:r>
      <w:r w:rsidRPr="0097459F">
        <w:rPr>
          <w:rFonts w:cstheme="minorHAnsi"/>
        </w:rPr>
        <w:t xml:space="preserve">. </w:t>
      </w:r>
      <w:bookmarkStart w:id="214" w:name="_Hlk40285423"/>
      <w:r w:rsidR="00222400" w:rsidRPr="0097459F">
        <w:rPr>
          <w:rFonts w:cstheme="minorHAnsi"/>
        </w:rPr>
        <w:t>Inclu</w:t>
      </w:r>
      <w:r w:rsidR="007F6B0E" w:rsidRPr="0097459F">
        <w:rPr>
          <w:rFonts w:cstheme="minorHAnsi"/>
        </w:rPr>
        <w:t>em</w:t>
      </w:r>
      <w:r w:rsidR="00222400" w:rsidRPr="0097459F">
        <w:rPr>
          <w:rFonts w:cstheme="minorHAnsi"/>
        </w:rPr>
        <w:t>-se entre as obrigações do</w:t>
      </w:r>
      <w:r w:rsidR="00893D49" w:rsidRPr="0097459F">
        <w:rPr>
          <w:rFonts w:cstheme="minorHAnsi"/>
        </w:rPr>
        <w:t xml:space="preserve"> administrador contratar, em nome do fundo, com terceiros devidamente habilitados e autorizados, os seguintes serviços:</w:t>
      </w:r>
    </w:p>
    <w:p w14:paraId="4FBDDC31" w14:textId="472E3B4F" w:rsidR="00893D49" w:rsidRPr="0097459F" w:rsidRDefault="00893D49" w:rsidP="2889066B">
      <w:pPr>
        <w:pStyle w:val="Normalalteradora"/>
      </w:pPr>
      <w:bookmarkStart w:id="215" w:name="_Hlk50108600"/>
      <w:bookmarkEnd w:id="214"/>
      <w:r w:rsidRPr="0097459F">
        <w:t>I –</w:t>
      </w:r>
      <w:r w:rsidR="0BEC7D77" w:rsidRPr="0097459F">
        <w:t xml:space="preserve"> </w:t>
      </w:r>
      <w:r w:rsidRPr="0097459F">
        <w:t>tesouraria, controle</w:t>
      </w:r>
      <w:r w:rsidR="001B100F" w:rsidRPr="0097459F">
        <w:t xml:space="preserve"> </w:t>
      </w:r>
      <w:r w:rsidRPr="0097459F">
        <w:t xml:space="preserve">e processamento dos </w:t>
      </w:r>
      <w:bookmarkStart w:id="216" w:name="_DV_C87"/>
      <w:r w:rsidRPr="0097459F">
        <w:t>ativos</w:t>
      </w:r>
      <w:bookmarkStart w:id="217" w:name="_DV_M365"/>
      <w:bookmarkEnd w:id="216"/>
      <w:bookmarkEnd w:id="217"/>
      <w:r w:rsidRPr="0097459F">
        <w:t>;</w:t>
      </w:r>
    </w:p>
    <w:p w14:paraId="41B51639" w14:textId="171594BC" w:rsidR="00893D49" w:rsidRPr="0097459F" w:rsidRDefault="00893D49" w:rsidP="00C20BBD">
      <w:pPr>
        <w:pStyle w:val="Normalalteradora"/>
        <w:rPr>
          <w:rFonts w:cstheme="minorHAnsi"/>
        </w:rPr>
      </w:pPr>
      <w:r w:rsidRPr="0097459F">
        <w:rPr>
          <w:rFonts w:cstheme="minorHAnsi"/>
        </w:rPr>
        <w:lastRenderedPageBreak/>
        <w:t xml:space="preserve">II – </w:t>
      </w:r>
      <w:proofErr w:type="gramStart"/>
      <w:r w:rsidRPr="0097459F">
        <w:rPr>
          <w:rFonts w:cstheme="minorHAnsi"/>
        </w:rPr>
        <w:t>escrituração</w:t>
      </w:r>
      <w:proofErr w:type="gramEnd"/>
      <w:r w:rsidRPr="0097459F">
        <w:rPr>
          <w:rFonts w:cstheme="minorHAnsi"/>
        </w:rPr>
        <w:t xml:space="preserve"> das cotas;</w:t>
      </w:r>
      <w:r w:rsidR="00D7744F" w:rsidRPr="0097459F">
        <w:rPr>
          <w:rFonts w:cstheme="minorHAnsi"/>
        </w:rPr>
        <w:t xml:space="preserve"> e</w:t>
      </w:r>
    </w:p>
    <w:p w14:paraId="500BF377" w14:textId="281BBC64" w:rsidR="00893D49" w:rsidRPr="0097459F" w:rsidRDefault="00893D49" w:rsidP="00C20BBD">
      <w:pPr>
        <w:pStyle w:val="Normalalteradora"/>
        <w:rPr>
          <w:rFonts w:cstheme="minorHAnsi"/>
        </w:rPr>
      </w:pPr>
      <w:r w:rsidRPr="0097459F">
        <w:rPr>
          <w:rFonts w:cstheme="minorHAnsi"/>
        </w:rPr>
        <w:t>I</w:t>
      </w:r>
      <w:r w:rsidR="004E6019" w:rsidRPr="0097459F">
        <w:rPr>
          <w:rFonts w:cstheme="minorHAnsi"/>
        </w:rPr>
        <w:t>II</w:t>
      </w:r>
      <w:r w:rsidRPr="0097459F">
        <w:rPr>
          <w:rFonts w:cstheme="minorHAnsi"/>
        </w:rPr>
        <w:t xml:space="preserve"> – auditor</w:t>
      </w:r>
      <w:r w:rsidR="00D7744F" w:rsidRPr="0097459F">
        <w:rPr>
          <w:rFonts w:cstheme="minorHAnsi"/>
        </w:rPr>
        <w:t>ia</w:t>
      </w:r>
      <w:r w:rsidRPr="0097459F">
        <w:rPr>
          <w:rFonts w:cstheme="minorHAnsi"/>
        </w:rPr>
        <w:t xml:space="preserve"> independente</w:t>
      </w:r>
      <w:r w:rsidR="00D7744F" w:rsidRPr="0097459F">
        <w:rPr>
          <w:rFonts w:cstheme="minorHAnsi"/>
        </w:rPr>
        <w:t>,</w:t>
      </w:r>
      <w:r w:rsidR="00601B52" w:rsidRPr="0097459F">
        <w:rPr>
          <w:rFonts w:cstheme="minorHAnsi"/>
        </w:rPr>
        <w:t xml:space="preserve"> </w:t>
      </w:r>
      <w:r w:rsidRPr="0097459F">
        <w:rPr>
          <w:rFonts w:cstheme="minorHAnsi"/>
        </w:rPr>
        <w:t>no</w:t>
      </w:r>
      <w:r w:rsidR="00D7744F" w:rsidRPr="0097459F">
        <w:rPr>
          <w:rFonts w:cstheme="minorHAnsi"/>
        </w:rPr>
        <w:t>s termos do</w:t>
      </w:r>
      <w:r w:rsidRPr="0097459F">
        <w:rPr>
          <w:rFonts w:cstheme="minorHAnsi"/>
        </w:rPr>
        <w:t xml:space="preserve"> art. </w:t>
      </w:r>
      <w:r w:rsidR="0027588D" w:rsidRPr="0097459F">
        <w:rPr>
          <w:rFonts w:cstheme="minorHAnsi"/>
        </w:rPr>
        <w:t>69</w:t>
      </w:r>
      <w:r w:rsidRPr="0097459F">
        <w:rPr>
          <w:rFonts w:cstheme="minorHAnsi"/>
        </w:rPr>
        <w:t>.</w:t>
      </w:r>
    </w:p>
    <w:bookmarkEnd w:id="215"/>
    <w:p w14:paraId="6320F244" w14:textId="1640C420" w:rsidR="00C96A21" w:rsidRPr="0097459F" w:rsidRDefault="00893D49" w:rsidP="00C20BBD">
      <w:pPr>
        <w:pStyle w:val="Normalalteradora"/>
        <w:rPr>
          <w:rFonts w:cstheme="minorHAnsi"/>
        </w:rPr>
      </w:pPr>
      <w:r w:rsidRPr="0097459F">
        <w:rPr>
          <w:rFonts w:cstheme="minorHAnsi"/>
        </w:rPr>
        <w:t xml:space="preserve">§ </w:t>
      </w:r>
      <w:r w:rsidR="004E6019" w:rsidRPr="0097459F">
        <w:rPr>
          <w:rFonts w:cstheme="minorHAnsi"/>
        </w:rPr>
        <w:t>1</w:t>
      </w:r>
      <w:proofErr w:type="gramStart"/>
      <w:r w:rsidR="004E6019" w:rsidRPr="0097459F">
        <w:rPr>
          <w:rFonts w:cstheme="minorHAnsi"/>
        </w:rPr>
        <w:t xml:space="preserve">º  </w:t>
      </w:r>
      <w:r w:rsidRPr="0097459F">
        <w:rPr>
          <w:rFonts w:cstheme="minorHAnsi"/>
        </w:rPr>
        <w:t>O</w:t>
      </w:r>
      <w:proofErr w:type="gramEnd"/>
      <w:r w:rsidRPr="0097459F">
        <w:rPr>
          <w:rFonts w:cstheme="minorHAnsi"/>
        </w:rPr>
        <w:t xml:space="preserve"> fundo administrado por </w:t>
      </w:r>
      <w:r w:rsidR="00B52C84" w:rsidRPr="0097459F">
        <w:rPr>
          <w:rFonts w:cstheme="minorHAnsi"/>
        </w:rPr>
        <w:t xml:space="preserve">instituição </w:t>
      </w:r>
      <w:r w:rsidRPr="0097459F">
        <w:rPr>
          <w:rFonts w:cstheme="minorHAnsi"/>
        </w:rPr>
        <w:t xml:space="preserve">financeira </w:t>
      </w:r>
      <w:r w:rsidR="001B100F" w:rsidRPr="0097459F">
        <w:rPr>
          <w:rFonts w:cstheme="minorHAnsi"/>
        </w:rPr>
        <w:t>ou</w:t>
      </w:r>
      <w:r w:rsidR="00B06E4C" w:rsidRPr="0097459F">
        <w:rPr>
          <w:rFonts w:cstheme="minorHAnsi"/>
        </w:rPr>
        <w:t xml:space="preserve"> instituição </w:t>
      </w:r>
      <w:r w:rsidR="001B100F" w:rsidRPr="0097459F">
        <w:rPr>
          <w:rFonts w:cstheme="minorHAnsi"/>
        </w:rPr>
        <w:t>de pagamento</w:t>
      </w:r>
      <w:r w:rsidR="00880C58" w:rsidRPr="0097459F">
        <w:rPr>
          <w:rFonts w:cstheme="minorHAnsi"/>
        </w:rPr>
        <w:t xml:space="preserve"> autorizada a funcionar pelo Banco </w:t>
      </w:r>
      <w:r w:rsidR="00A6184C" w:rsidRPr="0097459F">
        <w:rPr>
          <w:rFonts w:cstheme="minorHAnsi"/>
        </w:rPr>
        <w:t xml:space="preserve">Central </w:t>
      </w:r>
      <w:r w:rsidR="00880C58" w:rsidRPr="0097459F">
        <w:rPr>
          <w:rFonts w:cstheme="minorHAnsi"/>
        </w:rPr>
        <w:t>do Brasil</w:t>
      </w:r>
      <w:r w:rsidR="001B100F" w:rsidRPr="0097459F">
        <w:rPr>
          <w:rFonts w:cstheme="minorHAnsi"/>
        </w:rPr>
        <w:t xml:space="preserve"> </w:t>
      </w:r>
      <w:r w:rsidRPr="0097459F">
        <w:rPr>
          <w:rFonts w:cstheme="minorHAnsi"/>
        </w:rPr>
        <w:t xml:space="preserve">não precisa contratar os serviços previstos no inciso I do </w:t>
      </w:r>
      <w:r w:rsidR="00C96A21" w:rsidRPr="0097459F">
        <w:rPr>
          <w:rFonts w:cstheme="minorHAnsi"/>
          <w:b/>
        </w:rPr>
        <w:t>caput</w:t>
      </w:r>
      <w:r w:rsidRPr="0097459F">
        <w:rPr>
          <w:rFonts w:cstheme="minorHAnsi"/>
        </w:rPr>
        <w:t xml:space="preserve"> quando for</w:t>
      </w:r>
      <w:r w:rsidR="00B73DF1" w:rsidRPr="0097459F">
        <w:rPr>
          <w:rFonts w:cstheme="minorHAnsi"/>
        </w:rPr>
        <w:t>em</w:t>
      </w:r>
      <w:r w:rsidRPr="0097459F">
        <w:rPr>
          <w:rFonts w:cstheme="minorHAnsi"/>
        </w:rPr>
        <w:t xml:space="preserve"> executado</w:t>
      </w:r>
      <w:r w:rsidR="00B73DF1" w:rsidRPr="0097459F">
        <w:rPr>
          <w:rFonts w:cstheme="minorHAnsi"/>
        </w:rPr>
        <w:t>s</w:t>
      </w:r>
      <w:r w:rsidRPr="0097459F">
        <w:rPr>
          <w:rFonts w:cstheme="minorHAnsi"/>
        </w:rPr>
        <w:t xml:space="preserve"> pelo seu administrador, que neste caso fica autorizado para a sua prestação.</w:t>
      </w:r>
    </w:p>
    <w:p w14:paraId="296D56A2" w14:textId="0C18DDFE" w:rsidR="00D20669" w:rsidRPr="0097459F" w:rsidRDefault="00D20669" w:rsidP="00C20BBD">
      <w:pPr>
        <w:pStyle w:val="Normalalteradora"/>
        <w:rPr>
          <w:rFonts w:cstheme="minorHAnsi"/>
        </w:rPr>
      </w:pPr>
      <w:r w:rsidRPr="0097459F">
        <w:rPr>
          <w:rFonts w:cstheme="minorHAnsi"/>
        </w:rPr>
        <w:t xml:space="preserve">§ </w:t>
      </w:r>
      <w:r w:rsidR="004E6019" w:rsidRPr="0097459F">
        <w:rPr>
          <w:rFonts w:cstheme="minorHAnsi"/>
        </w:rPr>
        <w:t>2</w:t>
      </w:r>
      <w:proofErr w:type="gramStart"/>
      <w:r w:rsidR="00B52C84" w:rsidRPr="0097459F">
        <w:rPr>
          <w:rFonts w:cstheme="minorHAnsi"/>
        </w:rPr>
        <w:t>º  O</w:t>
      </w:r>
      <w:proofErr w:type="gramEnd"/>
      <w:r w:rsidR="00B52C84" w:rsidRPr="0097459F">
        <w:rPr>
          <w:rFonts w:cstheme="minorHAnsi"/>
        </w:rPr>
        <w:t xml:space="preserve"> administrador </w:t>
      </w:r>
      <w:r w:rsidRPr="0097459F">
        <w:rPr>
          <w:rFonts w:cstheme="minorHAnsi"/>
        </w:rPr>
        <w:t>h</w:t>
      </w:r>
      <w:r w:rsidR="00B52C84" w:rsidRPr="0097459F">
        <w:rPr>
          <w:rFonts w:cstheme="minorHAnsi"/>
        </w:rPr>
        <w:t>abilitado e autorizado</w:t>
      </w:r>
      <w:r w:rsidR="0082498C" w:rsidRPr="0097459F">
        <w:rPr>
          <w:rFonts w:cstheme="minorHAnsi"/>
        </w:rPr>
        <w:t xml:space="preserve"> pela CVM</w:t>
      </w:r>
      <w:r w:rsidRPr="0097459F">
        <w:rPr>
          <w:rFonts w:cstheme="minorHAnsi"/>
        </w:rPr>
        <w:t xml:space="preserve"> a prestar o serviço de escrituração de cotas </w:t>
      </w:r>
      <w:r w:rsidR="00F02EEE" w:rsidRPr="0097459F">
        <w:rPr>
          <w:rFonts w:cstheme="minorHAnsi"/>
        </w:rPr>
        <w:t>pode prestar o</w:t>
      </w:r>
      <w:r w:rsidRPr="0097459F">
        <w:rPr>
          <w:rFonts w:cstheme="minorHAnsi"/>
        </w:rPr>
        <w:t xml:space="preserve"> </w:t>
      </w:r>
      <w:r w:rsidR="00F02EEE" w:rsidRPr="0097459F">
        <w:rPr>
          <w:rFonts w:cstheme="minorHAnsi"/>
        </w:rPr>
        <w:t xml:space="preserve">referido </w:t>
      </w:r>
      <w:r w:rsidRPr="0097459F">
        <w:rPr>
          <w:rFonts w:cstheme="minorHAnsi"/>
        </w:rPr>
        <w:t>s</w:t>
      </w:r>
      <w:r w:rsidR="00B52C84" w:rsidRPr="0097459F">
        <w:rPr>
          <w:rFonts w:cstheme="minorHAnsi"/>
        </w:rPr>
        <w:t>erviço</w:t>
      </w:r>
      <w:r w:rsidR="00F02EEE" w:rsidRPr="0097459F">
        <w:rPr>
          <w:rFonts w:cstheme="minorHAnsi"/>
        </w:rPr>
        <w:t xml:space="preserve"> para </w:t>
      </w:r>
      <w:r w:rsidR="00A71E1E" w:rsidRPr="0097459F">
        <w:rPr>
          <w:rFonts w:cstheme="minorHAnsi"/>
        </w:rPr>
        <w:t>os fundos</w:t>
      </w:r>
      <w:r w:rsidR="00F02EEE" w:rsidRPr="0097459F">
        <w:rPr>
          <w:rFonts w:cstheme="minorHAnsi"/>
        </w:rPr>
        <w:t xml:space="preserve"> que administra</w:t>
      </w:r>
      <w:r w:rsidR="00B52C84" w:rsidRPr="0097459F">
        <w:rPr>
          <w:rFonts w:cstheme="minorHAnsi"/>
        </w:rPr>
        <w:t>.</w:t>
      </w:r>
    </w:p>
    <w:p w14:paraId="09E82B8D" w14:textId="567F3996" w:rsidR="00860F96" w:rsidRPr="0097459F" w:rsidRDefault="00D7744F" w:rsidP="00C20BBD">
      <w:pPr>
        <w:pStyle w:val="Normalalteradora"/>
        <w:rPr>
          <w:rFonts w:cstheme="minorHAnsi"/>
        </w:rPr>
      </w:pPr>
      <w:r w:rsidRPr="0097459F">
        <w:rPr>
          <w:rFonts w:cstheme="minorHAnsi"/>
        </w:rPr>
        <w:t xml:space="preserve">§ </w:t>
      </w:r>
      <w:r w:rsidR="004E6019" w:rsidRPr="0097459F">
        <w:rPr>
          <w:rFonts w:cstheme="minorHAnsi"/>
        </w:rPr>
        <w:t>3</w:t>
      </w:r>
      <w:proofErr w:type="gramStart"/>
      <w:r w:rsidRPr="0097459F">
        <w:rPr>
          <w:rFonts w:cstheme="minorHAnsi"/>
        </w:rPr>
        <w:t xml:space="preserve">º  </w:t>
      </w:r>
      <w:r w:rsidR="00B74727" w:rsidRPr="0097459F">
        <w:rPr>
          <w:rFonts w:cstheme="minorHAnsi"/>
        </w:rPr>
        <w:t>O</w:t>
      </w:r>
      <w:proofErr w:type="gramEnd"/>
      <w:r w:rsidRPr="0097459F">
        <w:rPr>
          <w:rFonts w:cstheme="minorHAnsi"/>
        </w:rPr>
        <w:t xml:space="preserve"> administrador </w:t>
      </w:r>
      <w:r w:rsidR="00B74727" w:rsidRPr="0097459F">
        <w:rPr>
          <w:rFonts w:cstheme="minorHAnsi"/>
        </w:rPr>
        <w:t>pode contratar</w:t>
      </w:r>
      <w:r w:rsidRPr="0097459F">
        <w:rPr>
          <w:rFonts w:cstheme="minorHAnsi"/>
        </w:rPr>
        <w:t xml:space="preserve"> outros serviços </w:t>
      </w:r>
      <w:r w:rsidR="00CB7114" w:rsidRPr="0097459F">
        <w:rPr>
          <w:rFonts w:cstheme="minorHAnsi"/>
        </w:rPr>
        <w:t>em benefício da classe</w:t>
      </w:r>
      <w:r w:rsidR="009742FD" w:rsidRPr="0097459F">
        <w:rPr>
          <w:rFonts w:cstheme="minorHAnsi"/>
        </w:rPr>
        <w:t xml:space="preserve"> de cotas</w:t>
      </w:r>
      <w:r w:rsidR="007C11A0" w:rsidRPr="0097459F">
        <w:rPr>
          <w:rFonts w:cstheme="minorHAnsi"/>
        </w:rPr>
        <w:t>,</w:t>
      </w:r>
      <w:r w:rsidR="00CB7114" w:rsidRPr="0097459F">
        <w:rPr>
          <w:rFonts w:cstheme="minorHAnsi"/>
        </w:rPr>
        <w:t xml:space="preserve"> </w:t>
      </w:r>
      <w:r w:rsidRPr="0097459F">
        <w:rPr>
          <w:rFonts w:cstheme="minorHAnsi"/>
        </w:rPr>
        <w:t xml:space="preserve">que não </w:t>
      </w:r>
      <w:r w:rsidR="00CB7114" w:rsidRPr="0097459F">
        <w:rPr>
          <w:rFonts w:cstheme="minorHAnsi"/>
        </w:rPr>
        <w:t>estejam</w:t>
      </w:r>
      <w:r w:rsidRPr="0097459F">
        <w:rPr>
          <w:rFonts w:cstheme="minorHAnsi"/>
        </w:rPr>
        <w:t xml:space="preserve"> listados </w:t>
      </w:r>
      <w:r w:rsidR="00A96062" w:rsidRPr="0097459F">
        <w:rPr>
          <w:rFonts w:cstheme="minorHAnsi"/>
        </w:rPr>
        <w:t xml:space="preserve">nos incisos do </w:t>
      </w:r>
      <w:r w:rsidR="00A96062" w:rsidRPr="0097459F">
        <w:rPr>
          <w:rFonts w:cstheme="minorHAnsi"/>
          <w:b/>
        </w:rPr>
        <w:t>caput</w:t>
      </w:r>
      <w:r w:rsidRPr="0097459F">
        <w:rPr>
          <w:rFonts w:cstheme="minorHAnsi"/>
        </w:rPr>
        <w:t xml:space="preserve">, observado que, </w:t>
      </w:r>
      <w:r w:rsidR="00901457" w:rsidRPr="0097459F">
        <w:rPr>
          <w:rFonts w:cstheme="minorHAnsi"/>
        </w:rPr>
        <w:t>nesse cas</w:t>
      </w:r>
      <w:r w:rsidRPr="0097459F">
        <w:rPr>
          <w:rFonts w:cstheme="minorHAnsi"/>
        </w:rPr>
        <w:t>o</w:t>
      </w:r>
      <w:r w:rsidR="00860F96" w:rsidRPr="0097459F">
        <w:rPr>
          <w:rFonts w:cstheme="minorHAnsi"/>
        </w:rPr>
        <w:t>:</w:t>
      </w:r>
    </w:p>
    <w:p w14:paraId="5A401810" w14:textId="2C726630" w:rsidR="00D26664" w:rsidRPr="0097459F" w:rsidRDefault="00860F96" w:rsidP="00C20BBD">
      <w:pPr>
        <w:pStyle w:val="Normalalteradora"/>
        <w:rPr>
          <w:rFonts w:cstheme="minorHAnsi"/>
        </w:rPr>
      </w:pPr>
      <w:r w:rsidRPr="0097459F">
        <w:rPr>
          <w:rFonts w:cstheme="minorHAnsi"/>
        </w:rPr>
        <w:t xml:space="preserve">I </w:t>
      </w:r>
      <w:r w:rsidR="004E6019" w:rsidRPr="0097459F">
        <w:rPr>
          <w:rFonts w:cstheme="minorHAnsi"/>
        </w:rPr>
        <w:t>–</w:t>
      </w:r>
      <w:r w:rsidR="00D7744F" w:rsidRPr="0097459F">
        <w:rPr>
          <w:rFonts w:cstheme="minorHAnsi"/>
        </w:rPr>
        <w:t xml:space="preserve"> </w:t>
      </w:r>
      <w:proofErr w:type="gramStart"/>
      <w:r w:rsidR="00D7744F" w:rsidRPr="0097459F">
        <w:rPr>
          <w:rFonts w:cstheme="minorHAnsi"/>
        </w:rPr>
        <w:t>a</w:t>
      </w:r>
      <w:proofErr w:type="gramEnd"/>
      <w:r w:rsidR="00D7744F" w:rsidRPr="0097459F">
        <w:rPr>
          <w:rFonts w:cstheme="minorHAnsi"/>
        </w:rPr>
        <w:t xml:space="preserve"> contratação </w:t>
      </w:r>
      <w:r w:rsidR="009742FD" w:rsidRPr="0097459F">
        <w:rPr>
          <w:rFonts w:cstheme="minorHAnsi"/>
        </w:rPr>
        <w:t xml:space="preserve">não </w:t>
      </w:r>
      <w:r w:rsidR="00D7744F" w:rsidRPr="0097459F">
        <w:rPr>
          <w:rFonts w:cstheme="minorHAnsi"/>
        </w:rPr>
        <w:t>ocorre em nome do fundo</w:t>
      </w:r>
      <w:r w:rsidR="00432AF8" w:rsidRPr="0097459F">
        <w:rPr>
          <w:rFonts w:cstheme="minorHAnsi"/>
        </w:rPr>
        <w:t>, salvo previs</w:t>
      </w:r>
      <w:r w:rsidR="00A93820" w:rsidRPr="0097459F">
        <w:rPr>
          <w:rFonts w:cstheme="minorHAnsi"/>
        </w:rPr>
        <w:t xml:space="preserve">ão no regulamento ou </w:t>
      </w:r>
      <w:r w:rsidR="00432AF8" w:rsidRPr="0097459F">
        <w:rPr>
          <w:rFonts w:cstheme="minorHAnsi"/>
        </w:rPr>
        <w:t>aprovação em assembleia</w:t>
      </w:r>
      <w:r w:rsidRPr="0097459F">
        <w:rPr>
          <w:rFonts w:cstheme="minorHAnsi"/>
        </w:rPr>
        <w:t>; e</w:t>
      </w:r>
    </w:p>
    <w:p w14:paraId="66EC6365" w14:textId="1160EA4A" w:rsidR="00860F96" w:rsidRPr="0097459F" w:rsidRDefault="00860F96" w:rsidP="00C20BBD">
      <w:pPr>
        <w:pStyle w:val="Normalalteradora"/>
      </w:pPr>
      <w:r w:rsidRPr="0097459F">
        <w:t xml:space="preserve">II – </w:t>
      </w:r>
      <w:proofErr w:type="gramStart"/>
      <w:r w:rsidRPr="0097459F">
        <w:t>caso</w:t>
      </w:r>
      <w:proofErr w:type="gramEnd"/>
      <w:r w:rsidRPr="0097459F">
        <w:t xml:space="preserve"> o prestador de serviço contratado não seja um participante de mercado regulado pela CVM</w:t>
      </w:r>
      <w:r w:rsidR="00B01C25" w:rsidRPr="0097459F">
        <w:t xml:space="preserve"> ou o serviço </w:t>
      </w:r>
      <w:r w:rsidR="0041068C" w:rsidRPr="0097459F">
        <w:t xml:space="preserve">prestado ao fundo </w:t>
      </w:r>
      <w:r w:rsidR="00B01C25" w:rsidRPr="0097459F">
        <w:t xml:space="preserve">não se encontre dentro da esfera de atuação da </w:t>
      </w:r>
      <w:r w:rsidR="0082498C" w:rsidRPr="0097459F">
        <w:t>A</w:t>
      </w:r>
      <w:r w:rsidR="00B01C25" w:rsidRPr="0097459F">
        <w:t>utarquia</w:t>
      </w:r>
      <w:r w:rsidRPr="0097459F">
        <w:t>, o administrador deve fiscalizar as atividades do terceiro contratado relacionadas ao fundo.</w:t>
      </w:r>
    </w:p>
    <w:p w14:paraId="1E4968AE" w14:textId="377BA3C7" w:rsidR="00D71D53" w:rsidRPr="0097459F" w:rsidRDefault="00D71D53" w:rsidP="00C20BBD">
      <w:pPr>
        <w:pStyle w:val="Seo"/>
      </w:pPr>
      <w:bookmarkStart w:id="218" w:name="_Toc161141222"/>
      <w:r w:rsidRPr="0097459F">
        <w:rPr>
          <w:rFonts w:cstheme="minorHAnsi"/>
        </w:rPr>
        <w:t>Subseção I</w:t>
      </w:r>
      <w:r w:rsidR="00766DCE" w:rsidRPr="0097459F">
        <w:rPr>
          <w:rFonts w:cstheme="minorHAnsi"/>
        </w:rPr>
        <w:t>I</w:t>
      </w:r>
      <w:r w:rsidRPr="0097459F">
        <w:rPr>
          <w:rFonts w:cstheme="minorHAnsi"/>
        </w:rPr>
        <w:t xml:space="preserve"> – </w:t>
      </w:r>
      <w:r w:rsidR="00766DCE" w:rsidRPr="0097459F">
        <w:rPr>
          <w:rFonts w:cstheme="minorHAnsi"/>
        </w:rPr>
        <w:t xml:space="preserve">Funções do </w:t>
      </w:r>
      <w:r w:rsidRPr="0097459F">
        <w:rPr>
          <w:rFonts w:cstheme="minorHAnsi"/>
        </w:rPr>
        <w:t>Gestor</w:t>
      </w:r>
      <w:bookmarkEnd w:id="218"/>
    </w:p>
    <w:p w14:paraId="7E324880" w14:textId="3002F20C" w:rsidR="00D26664" w:rsidRPr="0097459F" w:rsidRDefault="003775FA" w:rsidP="00C20BBD">
      <w:pPr>
        <w:pStyle w:val="Normalalteradora"/>
      </w:pPr>
      <w:bookmarkStart w:id="219" w:name="_DV_C95"/>
      <w:r w:rsidRPr="0097459F">
        <w:rPr>
          <w:rFonts w:cstheme="minorHAnsi"/>
        </w:rPr>
        <w:t xml:space="preserve">Art. </w:t>
      </w:r>
      <w:r w:rsidR="00B7720E" w:rsidRPr="0097459F">
        <w:rPr>
          <w:rFonts w:cstheme="minorHAnsi"/>
        </w:rPr>
        <w:t>84</w:t>
      </w:r>
      <w:r w:rsidRPr="0097459F">
        <w:rPr>
          <w:rFonts w:cstheme="minorHAnsi"/>
        </w:rPr>
        <w:t xml:space="preserve">.  O gestor, observadas as limitações legais e as previstas na regulamentação aplicável, tem poderes para praticar os atos necessários à </w:t>
      </w:r>
      <w:r w:rsidR="00923D0E" w:rsidRPr="0097459F">
        <w:rPr>
          <w:rFonts w:cstheme="minorHAnsi"/>
        </w:rPr>
        <w:t>gestão da carteira de ativos, na sua respectiva esfera de atuação.</w:t>
      </w:r>
    </w:p>
    <w:p w14:paraId="3E553457" w14:textId="610BDD34" w:rsidR="00893D49" w:rsidRPr="0097459F" w:rsidRDefault="00923D0E" w:rsidP="00C20BBD">
      <w:pPr>
        <w:pStyle w:val="Normalalteradora"/>
      </w:pPr>
      <w:r w:rsidRPr="0097459F">
        <w:t xml:space="preserve">Art. </w:t>
      </w:r>
      <w:r w:rsidR="00B7720E" w:rsidRPr="0097459F">
        <w:t>85</w:t>
      </w:r>
      <w:r w:rsidRPr="0097459F">
        <w:t xml:space="preserve">.  </w:t>
      </w:r>
      <w:r w:rsidR="00222400" w:rsidRPr="0097459F">
        <w:t>Inclui-se e</w:t>
      </w:r>
      <w:r w:rsidR="00A96062" w:rsidRPr="0097459F">
        <w:t xml:space="preserve">ntre as obrigações do gestor </w:t>
      </w:r>
      <w:r w:rsidR="00A96062" w:rsidRPr="0097459F">
        <w:rPr>
          <w:rFonts w:cstheme="minorHAnsi"/>
        </w:rPr>
        <w:t>contratar, em nome do fundo, com terceiros devidamente habilitados e autorizados, os seguintes serviços</w:t>
      </w:r>
      <w:r w:rsidR="00893D49" w:rsidRPr="0097459F">
        <w:t>:</w:t>
      </w:r>
      <w:bookmarkEnd w:id="219"/>
    </w:p>
    <w:p w14:paraId="5EBE4726" w14:textId="45B671B5" w:rsidR="00552554" w:rsidRPr="0097459F" w:rsidRDefault="00A96062" w:rsidP="00C20BBD">
      <w:pPr>
        <w:pStyle w:val="Normalalteradora"/>
        <w:rPr>
          <w:rFonts w:cstheme="minorHAnsi"/>
        </w:rPr>
      </w:pPr>
      <w:bookmarkStart w:id="220" w:name="_DV_C100"/>
      <w:r w:rsidRPr="0097459F">
        <w:rPr>
          <w:rFonts w:cstheme="minorHAnsi"/>
        </w:rPr>
        <w:t xml:space="preserve">I </w:t>
      </w:r>
      <w:r w:rsidR="003F34F6" w:rsidRPr="0097459F">
        <w:rPr>
          <w:rFonts w:cstheme="minorHAnsi"/>
        </w:rPr>
        <w:t>–</w:t>
      </w:r>
      <w:r w:rsidR="00B52C84" w:rsidRPr="0097459F">
        <w:rPr>
          <w:rFonts w:cstheme="minorHAnsi"/>
        </w:rPr>
        <w:t xml:space="preserve"> </w:t>
      </w:r>
      <w:proofErr w:type="gramStart"/>
      <w:r w:rsidR="00B52C84" w:rsidRPr="0097459F">
        <w:rPr>
          <w:rFonts w:cstheme="minorHAnsi"/>
        </w:rPr>
        <w:t>intermediação</w:t>
      </w:r>
      <w:proofErr w:type="gramEnd"/>
      <w:r w:rsidR="00B52C84" w:rsidRPr="0097459F">
        <w:rPr>
          <w:rFonts w:cstheme="minorHAnsi"/>
        </w:rPr>
        <w:t xml:space="preserve"> de</w:t>
      </w:r>
      <w:r w:rsidR="00552554" w:rsidRPr="0097459F">
        <w:rPr>
          <w:rFonts w:cstheme="minorHAnsi"/>
        </w:rPr>
        <w:t xml:space="preserve"> operações para a carteira de ativos;</w:t>
      </w:r>
    </w:p>
    <w:p w14:paraId="5CE0F4FE" w14:textId="1C46F4B9" w:rsidR="00893D49" w:rsidRPr="0097459F" w:rsidRDefault="00A96062" w:rsidP="00C20BBD">
      <w:pPr>
        <w:pStyle w:val="Normalalteradora"/>
        <w:rPr>
          <w:rFonts w:cstheme="minorHAnsi"/>
        </w:rPr>
      </w:pPr>
      <w:r w:rsidRPr="0097459F">
        <w:rPr>
          <w:rFonts w:cstheme="minorHAnsi"/>
        </w:rPr>
        <w:t xml:space="preserve">II </w:t>
      </w:r>
      <w:r w:rsidR="003F34F6" w:rsidRPr="0097459F">
        <w:rPr>
          <w:rFonts w:cstheme="minorHAnsi"/>
        </w:rPr>
        <w:t>–</w:t>
      </w:r>
      <w:r w:rsidR="00893D49" w:rsidRPr="0097459F">
        <w:rPr>
          <w:rFonts w:cstheme="minorHAnsi"/>
        </w:rPr>
        <w:t xml:space="preserve"> </w:t>
      </w:r>
      <w:proofErr w:type="gramStart"/>
      <w:r w:rsidR="00893D49" w:rsidRPr="0097459F">
        <w:rPr>
          <w:rFonts w:cstheme="minorHAnsi"/>
        </w:rPr>
        <w:t>distribuição</w:t>
      </w:r>
      <w:proofErr w:type="gramEnd"/>
      <w:r w:rsidR="00893D49" w:rsidRPr="0097459F">
        <w:rPr>
          <w:rFonts w:cstheme="minorHAnsi"/>
        </w:rPr>
        <w:t xml:space="preserve"> de cotas;</w:t>
      </w:r>
    </w:p>
    <w:p w14:paraId="3D23A065" w14:textId="2E95F340" w:rsidR="00893D49" w:rsidRPr="0097459F" w:rsidRDefault="00A96062" w:rsidP="00C20BBD">
      <w:pPr>
        <w:pStyle w:val="Normalalteradora"/>
        <w:rPr>
          <w:rFonts w:cstheme="minorHAnsi"/>
        </w:rPr>
      </w:pPr>
      <w:r w:rsidRPr="0097459F">
        <w:rPr>
          <w:rFonts w:cstheme="minorHAnsi"/>
        </w:rPr>
        <w:t xml:space="preserve">III </w:t>
      </w:r>
      <w:r w:rsidR="003F34F6" w:rsidRPr="0097459F">
        <w:rPr>
          <w:rFonts w:cstheme="minorHAnsi"/>
        </w:rPr>
        <w:t>–</w:t>
      </w:r>
      <w:r w:rsidR="00893D49" w:rsidRPr="0097459F">
        <w:rPr>
          <w:rFonts w:cstheme="minorHAnsi"/>
        </w:rPr>
        <w:t xml:space="preserve"> consultoria de investimentos;</w:t>
      </w:r>
    </w:p>
    <w:p w14:paraId="50AABA6F" w14:textId="55721FB0" w:rsidR="00D7744F" w:rsidRPr="0097459F" w:rsidRDefault="00A96062" w:rsidP="00C20BBD">
      <w:pPr>
        <w:pStyle w:val="Normalalteradora"/>
        <w:rPr>
          <w:rFonts w:cstheme="minorHAnsi"/>
        </w:rPr>
      </w:pPr>
      <w:r w:rsidRPr="0097459F">
        <w:rPr>
          <w:rFonts w:cstheme="minorHAnsi"/>
        </w:rPr>
        <w:t xml:space="preserve">IV </w:t>
      </w:r>
      <w:r w:rsidR="003F34F6" w:rsidRPr="0097459F">
        <w:rPr>
          <w:rFonts w:cstheme="minorHAnsi"/>
        </w:rPr>
        <w:t>–</w:t>
      </w:r>
      <w:r w:rsidR="00D20669" w:rsidRPr="0097459F">
        <w:rPr>
          <w:rFonts w:cstheme="minorHAnsi"/>
        </w:rPr>
        <w:t xml:space="preserve"> </w:t>
      </w:r>
      <w:proofErr w:type="gramStart"/>
      <w:r w:rsidR="00D7744F" w:rsidRPr="0097459F">
        <w:rPr>
          <w:rFonts w:cstheme="minorHAnsi"/>
        </w:rPr>
        <w:t>classificação</w:t>
      </w:r>
      <w:proofErr w:type="gramEnd"/>
      <w:r w:rsidR="00D7744F" w:rsidRPr="0097459F">
        <w:rPr>
          <w:rFonts w:cstheme="minorHAnsi"/>
        </w:rPr>
        <w:t xml:space="preserve"> de risco por agência de classificação de risco de crédito;</w:t>
      </w:r>
    </w:p>
    <w:p w14:paraId="1ACD20A7" w14:textId="3A58F860" w:rsidR="00893D49" w:rsidRPr="0097459F" w:rsidRDefault="00A96062" w:rsidP="00C20BBD">
      <w:pPr>
        <w:pStyle w:val="Normalalteradora"/>
        <w:rPr>
          <w:rFonts w:cstheme="minorHAnsi"/>
        </w:rPr>
      </w:pPr>
      <w:r w:rsidRPr="0097459F">
        <w:rPr>
          <w:rFonts w:cstheme="minorHAnsi"/>
        </w:rPr>
        <w:t xml:space="preserve">V </w:t>
      </w:r>
      <w:r w:rsidR="003F34F6" w:rsidRPr="0097459F">
        <w:rPr>
          <w:rFonts w:cstheme="minorHAnsi"/>
        </w:rPr>
        <w:t>–</w:t>
      </w:r>
      <w:r w:rsidR="00893D49" w:rsidRPr="0097459F">
        <w:rPr>
          <w:rFonts w:cstheme="minorHAnsi"/>
        </w:rPr>
        <w:t xml:space="preserve"> </w:t>
      </w:r>
      <w:proofErr w:type="gramStart"/>
      <w:r w:rsidR="003F34F6" w:rsidRPr="0097459F">
        <w:rPr>
          <w:rFonts w:cstheme="minorHAnsi"/>
        </w:rPr>
        <w:t>formador</w:t>
      </w:r>
      <w:proofErr w:type="gramEnd"/>
      <w:r w:rsidR="003F34F6" w:rsidRPr="0097459F">
        <w:rPr>
          <w:rFonts w:cstheme="minorHAnsi"/>
        </w:rPr>
        <w:t xml:space="preserve"> </w:t>
      </w:r>
      <w:r w:rsidR="00893D49" w:rsidRPr="0097459F">
        <w:rPr>
          <w:rFonts w:cstheme="minorHAnsi"/>
        </w:rPr>
        <w:t>de mercado de classe fechada; e</w:t>
      </w:r>
    </w:p>
    <w:p w14:paraId="4A6A77F7" w14:textId="5EF8E189" w:rsidR="00893D49" w:rsidRPr="0097459F" w:rsidRDefault="00A96062" w:rsidP="00C20BBD">
      <w:pPr>
        <w:pStyle w:val="Normalalteradora"/>
        <w:rPr>
          <w:rFonts w:cstheme="minorHAnsi"/>
        </w:rPr>
      </w:pPr>
      <w:r w:rsidRPr="0097459F">
        <w:rPr>
          <w:rFonts w:cstheme="minorHAnsi"/>
        </w:rPr>
        <w:t xml:space="preserve">VI </w:t>
      </w:r>
      <w:r w:rsidR="003F34F6" w:rsidRPr="0097459F">
        <w:rPr>
          <w:rFonts w:cstheme="minorHAnsi"/>
        </w:rPr>
        <w:t>–</w:t>
      </w:r>
      <w:r w:rsidRPr="0097459F">
        <w:rPr>
          <w:rFonts w:cstheme="minorHAnsi"/>
        </w:rPr>
        <w:t xml:space="preserve"> </w:t>
      </w:r>
      <w:proofErr w:type="gramStart"/>
      <w:r w:rsidR="00893D49" w:rsidRPr="0097459F">
        <w:rPr>
          <w:rFonts w:cstheme="minorHAnsi"/>
        </w:rPr>
        <w:t>cogestão</w:t>
      </w:r>
      <w:proofErr w:type="gramEnd"/>
      <w:r w:rsidR="00893D49" w:rsidRPr="0097459F">
        <w:rPr>
          <w:rFonts w:cstheme="minorHAnsi"/>
        </w:rPr>
        <w:t xml:space="preserve"> da carteira de ativos.</w:t>
      </w:r>
    </w:p>
    <w:bookmarkEnd w:id="220"/>
    <w:p w14:paraId="71891BA4" w14:textId="04E14FAE" w:rsidR="00893D49" w:rsidRPr="0097459F" w:rsidRDefault="00893D49" w:rsidP="00C20BBD">
      <w:pPr>
        <w:pStyle w:val="Normalalteradora"/>
        <w:rPr>
          <w:rFonts w:cstheme="minorHAnsi"/>
        </w:rPr>
      </w:pPr>
      <w:r w:rsidRPr="0097459F">
        <w:rPr>
          <w:rFonts w:cstheme="minorHAnsi"/>
        </w:rPr>
        <w:lastRenderedPageBreak/>
        <w:t>§ 1</w:t>
      </w:r>
      <w:proofErr w:type="gramStart"/>
      <w:r w:rsidRPr="0097459F">
        <w:rPr>
          <w:rFonts w:cstheme="minorHAnsi"/>
        </w:rPr>
        <w:t>º  O</w:t>
      </w:r>
      <w:proofErr w:type="gramEnd"/>
      <w:r w:rsidRPr="0097459F">
        <w:rPr>
          <w:rFonts w:cstheme="minorHAnsi"/>
        </w:rPr>
        <w:t xml:space="preserve"> gestor </w:t>
      </w:r>
      <w:r w:rsidR="00F02EEE" w:rsidRPr="0097459F">
        <w:rPr>
          <w:rFonts w:cstheme="minorHAnsi"/>
        </w:rPr>
        <w:t xml:space="preserve">e o administrador </w:t>
      </w:r>
      <w:r w:rsidRPr="0097459F">
        <w:rPr>
          <w:rFonts w:cstheme="minorHAnsi"/>
        </w:rPr>
        <w:t>pode</w:t>
      </w:r>
      <w:r w:rsidR="00F02EEE" w:rsidRPr="0097459F">
        <w:rPr>
          <w:rFonts w:cstheme="minorHAnsi"/>
        </w:rPr>
        <w:t>m</w:t>
      </w:r>
      <w:r w:rsidRPr="0097459F">
        <w:rPr>
          <w:rFonts w:cstheme="minorHAnsi"/>
        </w:rPr>
        <w:t xml:space="preserve"> </w:t>
      </w:r>
      <w:r w:rsidR="00D20669" w:rsidRPr="0097459F">
        <w:rPr>
          <w:rFonts w:cstheme="minorHAnsi"/>
        </w:rPr>
        <w:t xml:space="preserve">prestar </w:t>
      </w:r>
      <w:r w:rsidRPr="0097459F">
        <w:rPr>
          <w:rFonts w:cstheme="minorHAnsi"/>
        </w:rPr>
        <w:t>o</w:t>
      </w:r>
      <w:r w:rsidR="00552554" w:rsidRPr="0097459F">
        <w:rPr>
          <w:rFonts w:cstheme="minorHAnsi"/>
        </w:rPr>
        <w:t>s</w:t>
      </w:r>
      <w:r w:rsidRPr="0097459F">
        <w:rPr>
          <w:rFonts w:cstheme="minorHAnsi"/>
        </w:rPr>
        <w:t xml:space="preserve"> serviço</w:t>
      </w:r>
      <w:r w:rsidR="00552554" w:rsidRPr="0097459F">
        <w:rPr>
          <w:rFonts w:cstheme="minorHAnsi"/>
        </w:rPr>
        <w:t>s</w:t>
      </w:r>
      <w:r w:rsidRPr="0097459F">
        <w:rPr>
          <w:rFonts w:cstheme="minorHAnsi"/>
        </w:rPr>
        <w:t xml:space="preserve"> de que trata</w:t>
      </w:r>
      <w:r w:rsidR="00552554" w:rsidRPr="0097459F">
        <w:rPr>
          <w:rFonts w:cstheme="minorHAnsi"/>
        </w:rPr>
        <w:t>m</w:t>
      </w:r>
      <w:r w:rsidRPr="0097459F">
        <w:rPr>
          <w:rFonts w:cstheme="minorHAnsi"/>
        </w:rPr>
        <w:t xml:space="preserve"> </w:t>
      </w:r>
      <w:r w:rsidR="00A96062" w:rsidRPr="0097459F">
        <w:rPr>
          <w:rFonts w:cstheme="minorHAnsi"/>
        </w:rPr>
        <w:t>os incisos I e II</w:t>
      </w:r>
      <w:r w:rsidRPr="0097459F">
        <w:rPr>
          <w:rFonts w:cstheme="minorHAnsi"/>
        </w:rPr>
        <w:t xml:space="preserve"> do </w:t>
      </w:r>
      <w:r w:rsidRPr="0097459F">
        <w:rPr>
          <w:rFonts w:cstheme="minorHAnsi"/>
          <w:b/>
        </w:rPr>
        <w:t>caput</w:t>
      </w:r>
      <w:r w:rsidRPr="0097459F">
        <w:rPr>
          <w:rFonts w:cstheme="minorHAnsi"/>
        </w:rPr>
        <w:t>, observada a regulamentação aplicável à</w:t>
      </w:r>
      <w:r w:rsidR="00552554" w:rsidRPr="0097459F">
        <w:rPr>
          <w:rFonts w:cstheme="minorHAnsi"/>
        </w:rPr>
        <w:t>s</w:t>
      </w:r>
      <w:r w:rsidR="003F34F6" w:rsidRPr="0097459F">
        <w:rPr>
          <w:rFonts w:cstheme="minorHAnsi"/>
        </w:rPr>
        <w:t xml:space="preserve"> referidas</w:t>
      </w:r>
      <w:r w:rsidRPr="0097459F">
        <w:rPr>
          <w:rFonts w:cstheme="minorHAnsi"/>
        </w:rPr>
        <w:t xml:space="preserve"> </w:t>
      </w:r>
      <w:r w:rsidR="00CB7114" w:rsidRPr="0097459F">
        <w:rPr>
          <w:rFonts w:cstheme="minorHAnsi"/>
        </w:rPr>
        <w:t>atividades</w:t>
      </w:r>
      <w:r w:rsidRPr="0097459F">
        <w:rPr>
          <w:rFonts w:cstheme="minorHAnsi"/>
        </w:rPr>
        <w:t>.</w:t>
      </w:r>
    </w:p>
    <w:p w14:paraId="33F64569" w14:textId="5273921B"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Os</w:t>
      </w:r>
      <w:proofErr w:type="gramEnd"/>
      <w:r w:rsidRPr="0097459F">
        <w:rPr>
          <w:rFonts w:cstheme="minorHAnsi"/>
        </w:rPr>
        <w:t xml:space="preserve"> serviços de que tratam as alíneas do</w:t>
      </w:r>
      <w:r w:rsidR="00A96062" w:rsidRPr="0097459F">
        <w:rPr>
          <w:rFonts w:cstheme="minorHAnsi"/>
        </w:rPr>
        <w:t>s</w:t>
      </w:r>
      <w:r w:rsidRPr="0097459F">
        <w:rPr>
          <w:rFonts w:cstheme="minorHAnsi"/>
        </w:rPr>
        <w:t xml:space="preserve"> inciso</w:t>
      </w:r>
      <w:r w:rsidR="00A96062" w:rsidRPr="0097459F">
        <w:rPr>
          <w:rFonts w:cstheme="minorHAnsi"/>
        </w:rPr>
        <w:t>s</w:t>
      </w:r>
      <w:r w:rsidRPr="0097459F">
        <w:rPr>
          <w:rFonts w:cstheme="minorHAnsi"/>
        </w:rPr>
        <w:t xml:space="preserve"> III </w:t>
      </w:r>
      <w:r w:rsidR="00A96062" w:rsidRPr="0097459F">
        <w:rPr>
          <w:rFonts w:cstheme="minorHAnsi"/>
        </w:rPr>
        <w:t xml:space="preserve">a VI </w:t>
      </w:r>
      <w:r w:rsidRPr="0097459F">
        <w:rPr>
          <w:rFonts w:cstheme="minorHAnsi"/>
        </w:rPr>
        <w:t xml:space="preserve">do </w:t>
      </w:r>
      <w:r w:rsidRPr="0097459F">
        <w:rPr>
          <w:rFonts w:cstheme="minorHAnsi"/>
          <w:b/>
        </w:rPr>
        <w:t>caput</w:t>
      </w:r>
      <w:r w:rsidRPr="0097459F">
        <w:rPr>
          <w:rFonts w:cstheme="minorHAnsi"/>
        </w:rPr>
        <w:t xml:space="preserve"> somente são de contratação obrigatória pelo gestor caso assim disposto no regulamento ou deliberado </w:t>
      </w:r>
      <w:r w:rsidR="00CB7114" w:rsidRPr="0097459F">
        <w:rPr>
          <w:rFonts w:cstheme="minorHAnsi"/>
        </w:rPr>
        <w:t>pela</w:t>
      </w:r>
      <w:r w:rsidRPr="0097459F">
        <w:rPr>
          <w:rFonts w:cstheme="minorHAnsi"/>
        </w:rPr>
        <w:t xml:space="preserve"> assembleia</w:t>
      </w:r>
      <w:r w:rsidR="00D87E93" w:rsidRPr="0097459F">
        <w:rPr>
          <w:rFonts w:cstheme="minorHAnsi"/>
        </w:rPr>
        <w:t xml:space="preserve"> de cotistas da classe de cotas</w:t>
      </w:r>
      <w:r w:rsidRPr="0097459F">
        <w:rPr>
          <w:rFonts w:cstheme="minorHAnsi"/>
        </w:rPr>
        <w:t>.</w:t>
      </w:r>
    </w:p>
    <w:p w14:paraId="7EFAAC34" w14:textId="0D306ED1" w:rsidR="00893D49" w:rsidRPr="0097459F" w:rsidRDefault="00893D49" w:rsidP="00C20BBD">
      <w:pPr>
        <w:pStyle w:val="Normalalteradora"/>
        <w:rPr>
          <w:rFonts w:cstheme="minorHAnsi"/>
        </w:rPr>
      </w:pPr>
      <w:r w:rsidRPr="0097459F">
        <w:rPr>
          <w:rFonts w:cstheme="minorHAnsi"/>
        </w:rPr>
        <w:t xml:space="preserve">§ </w:t>
      </w:r>
      <w:r w:rsidR="003F34F6" w:rsidRPr="0097459F">
        <w:rPr>
          <w:rFonts w:cstheme="minorHAnsi"/>
        </w:rPr>
        <w:t>3</w:t>
      </w:r>
      <w:proofErr w:type="gramStart"/>
      <w:r w:rsidR="003F34F6" w:rsidRPr="0097459F">
        <w:rPr>
          <w:rFonts w:cstheme="minorHAnsi"/>
        </w:rPr>
        <w:t xml:space="preserve">º  </w:t>
      </w:r>
      <w:r w:rsidRPr="0097459F">
        <w:rPr>
          <w:rFonts w:cstheme="minorHAnsi"/>
        </w:rPr>
        <w:t>Nos</w:t>
      </w:r>
      <w:proofErr w:type="gramEnd"/>
      <w:r w:rsidRPr="0097459F">
        <w:rPr>
          <w:rFonts w:cstheme="minorHAnsi"/>
        </w:rPr>
        <w:t xml:space="preserve"> casos de contratação de cogestor, o contrato deve</w:t>
      </w:r>
      <w:r w:rsidR="00726D4A" w:rsidRPr="0097459F">
        <w:rPr>
          <w:rFonts w:cstheme="minorHAnsi"/>
        </w:rPr>
        <w:t xml:space="preserve"> </w:t>
      </w:r>
      <w:r w:rsidRPr="0097459F">
        <w:rPr>
          <w:rFonts w:cstheme="minorHAnsi"/>
        </w:rPr>
        <w:t xml:space="preserve">definir claramente as atribuições de </w:t>
      </w:r>
      <w:r w:rsidR="00121E4F" w:rsidRPr="0097459F">
        <w:rPr>
          <w:rFonts w:cstheme="minorHAnsi"/>
        </w:rPr>
        <w:t xml:space="preserve">cada </w:t>
      </w:r>
      <w:r w:rsidRPr="0097459F">
        <w:rPr>
          <w:rFonts w:cstheme="minorHAnsi"/>
        </w:rPr>
        <w:t>gestor, o que inclui</w:t>
      </w:r>
      <w:r w:rsidR="00546A61" w:rsidRPr="0097459F">
        <w:rPr>
          <w:rFonts w:cstheme="minorHAnsi"/>
        </w:rPr>
        <w:t>,</w:t>
      </w:r>
      <w:r w:rsidRPr="0097459F">
        <w:rPr>
          <w:rFonts w:cstheme="minorHAnsi"/>
        </w:rPr>
        <w:t xml:space="preserve"> </w:t>
      </w:r>
      <w:r w:rsidR="00546A61" w:rsidRPr="0097459F">
        <w:rPr>
          <w:rFonts w:cstheme="minorHAnsi"/>
        </w:rPr>
        <w:t xml:space="preserve">no mínimo, </w:t>
      </w:r>
      <w:r w:rsidRPr="0097459F">
        <w:rPr>
          <w:rFonts w:cstheme="minorHAnsi"/>
        </w:rPr>
        <w:t>o mercado específico de atuação de cada gestor</w:t>
      </w:r>
      <w:r w:rsidR="00121E4F" w:rsidRPr="0097459F">
        <w:rPr>
          <w:rFonts w:cstheme="minorHAnsi"/>
        </w:rPr>
        <w:t xml:space="preserve"> e a classe</w:t>
      </w:r>
      <w:r w:rsidR="00432AF8" w:rsidRPr="0097459F">
        <w:rPr>
          <w:rFonts w:cstheme="minorHAnsi"/>
        </w:rPr>
        <w:t xml:space="preserve"> ou classes</w:t>
      </w:r>
      <w:r w:rsidR="00121E4F" w:rsidRPr="0097459F">
        <w:rPr>
          <w:rFonts w:cstheme="minorHAnsi"/>
        </w:rPr>
        <w:t xml:space="preserve"> de cotas </w:t>
      </w:r>
      <w:r w:rsidR="00432AF8" w:rsidRPr="0097459F">
        <w:rPr>
          <w:rFonts w:cstheme="minorHAnsi"/>
        </w:rPr>
        <w:t>objeto da cogestão</w:t>
      </w:r>
      <w:r w:rsidR="00546A61" w:rsidRPr="0097459F">
        <w:rPr>
          <w:rFonts w:cstheme="minorHAnsi"/>
        </w:rPr>
        <w:t>.</w:t>
      </w:r>
    </w:p>
    <w:p w14:paraId="692BC379" w14:textId="5ED365DF" w:rsidR="00726D4A" w:rsidRPr="0097459F" w:rsidRDefault="00726D4A" w:rsidP="00C20BBD">
      <w:pPr>
        <w:pStyle w:val="Normalalteradora"/>
        <w:rPr>
          <w:rFonts w:cstheme="minorHAnsi"/>
        </w:rPr>
      </w:pPr>
      <w:r w:rsidRPr="0097459F">
        <w:rPr>
          <w:rFonts w:cstheme="minorHAnsi"/>
        </w:rPr>
        <w:t xml:space="preserve">§ </w:t>
      </w:r>
      <w:r w:rsidR="003F34F6" w:rsidRPr="0097459F">
        <w:rPr>
          <w:rFonts w:cstheme="minorHAnsi"/>
        </w:rPr>
        <w:t>4</w:t>
      </w:r>
      <w:proofErr w:type="gramStart"/>
      <w:r w:rsidRPr="0097459F">
        <w:rPr>
          <w:rFonts w:cstheme="minorHAnsi"/>
        </w:rPr>
        <w:t>º  O</w:t>
      </w:r>
      <w:proofErr w:type="gramEnd"/>
      <w:r w:rsidRPr="0097459F">
        <w:rPr>
          <w:rFonts w:cstheme="minorHAnsi"/>
        </w:rPr>
        <w:t xml:space="preserve"> gestor pode contratar outros serviços em benefício da classe de cotas, que não estejam listados nos incisos do </w:t>
      </w:r>
      <w:r w:rsidRPr="0097459F">
        <w:rPr>
          <w:rFonts w:cstheme="minorHAnsi"/>
          <w:b/>
        </w:rPr>
        <w:t>caput</w:t>
      </w:r>
      <w:r w:rsidRPr="0097459F">
        <w:rPr>
          <w:rFonts w:cstheme="minorHAnsi"/>
        </w:rPr>
        <w:t>, observado que, nesse caso</w:t>
      </w:r>
      <w:r w:rsidR="00860F96" w:rsidRPr="0097459F">
        <w:rPr>
          <w:rFonts w:cstheme="minorHAnsi"/>
        </w:rPr>
        <w:t>:</w:t>
      </w:r>
    </w:p>
    <w:p w14:paraId="4A9FB1D6" w14:textId="70A65CB2" w:rsidR="00860F96" w:rsidRPr="0097459F" w:rsidRDefault="00860F96" w:rsidP="00C20BBD">
      <w:pPr>
        <w:pStyle w:val="Normalalteradora"/>
        <w:rPr>
          <w:rFonts w:cstheme="minorHAnsi"/>
        </w:rPr>
      </w:pPr>
      <w:r w:rsidRPr="0097459F">
        <w:rPr>
          <w:rFonts w:cstheme="minorHAnsi"/>
        </w:rPr>
        <w:t xml:space="preserve">I </w:t>
      </w:r>
      <w:r w:rsidR="003F34F6" w:rsidRPr="0097459F">
        <w:rPr>
          <w:rFonts w:cstheme="minorHAnsi"/>
        </w:rPr>
        <w:t>–</w:t>
      </w:r>
      <w:r w:rsidRPr="0097459F">
        <w:rPr>
          <w:rFonts w:cstheme="minorHAnsi"/>
        </w:rPr>
        <w:t xml:space="preserve"> </w:t>
      </w:r>
      <w:proofErr w:type="gramStart"/>
      <w:r w:rsidRPr="0097459F">
        <w:rPr>
          <w:rFonts w:cstheme="minorHAnsi"/>
        </w:rPr>
        <w:t>a</w:t>
      </w:r>
      <w:proofErr w:type="gramEnd"/>
      <w:r w:rsidRPr="0097459F">
        <w:rPr>
          <w:rFonts w:cstheme="minorHAnsi"/>
        </w:rPr>
        <w:t xml:space="preserve"> contratação não ocorre em nome do fundo</w:t>
      </w:r>
      <w:r w:rsidR="00A93820" w:rsidRPr="0097459F">
        <w:rPr>
          <w:rFonts w:cstheme="minorHAnsi"/>
        </w:rPr>
        <w:t>, salvo previsão no regulamento ou aprovação em assembleia</w:t>
      </w:r>
      <w:r w:rsidRPr="0097459F">
        <w:rPr>
          <w:rFonts w:cstheme="minorHAnsi"/>
        </w:rPr>
        <w:t>; e</w:t>
      </w:r>
    </w:p>
    <w:p w14:paraId="1B9B822F" w14:textId="0F5B95BC" w:rsidR="00CF29F2" w:rsidRPr="0097459F" w:rsidRDefault="00860F96" w:rsidP="00C20BBD">
      <w:pPr>
        <w:pStyle w:val="Normalalteradora"/>
        <w:rPr>
          <w:rFonts w:cstheme="minorHAnsi"/>
        </w:rPr>
      </w:pPr>
      <w:r w:rsidRPr="0097459F">
        <w:t xml:space="preserve">II – </w:t>
      </w:r>
      <w:proofErr w:type="gramStart"/>
      <w:r w:rsidRPr="0097459F">
        <w:t>caso</w:t>
      </w:r>
      <w:proofErr w:type="gramEnd"/>
      <w:r w:rsidRPr="0097459F">
        <w:t xml:space="preserve"> o prestador de serviço contratado não seja um participante de mercado regulado pela CVM</w:t>
      </w:r>
      <w:r w:rsidR="003C22DC" w:rsidRPr="0097459F">
        <w:t xml:space="preserve"> ou o serviço </w:t>
      </w:r>
      <w:r w:rsidR="00386D85" w:rsidRPr="0097459F">
        <w:t xml:space="preserve">prestado ao fundo </w:t>
      </w:r>
      <w:r w:rsidR="003C22DC" w:rsidRPr="0097459F">
        <w:t xml:space="preserve">não se encontre dentro da esfera de atuação da </w:t>
      </w:r>
      <w:r w:rsidR="0082498C" w:rsidRPr="0097459F">
        <w:t>Autarquia</w:t>
      </w:r>
      <w:r w:rsidRPr="0097459F">
        <w:t>, o gestor deve fiscalizar as atividades do terceiro contratado relacionadas ao fundo.</w:t>
      </w:r>
    </w:p>
    <w:p w14:paraId="54C0252F" w14:textId="4F18E0A2" w:rsidR="00766DCE" w:rsidRPr="00D70889" w:rsidRDefault="00766DCE" w:rsidP="00D70889">
      <w:pPr>
        <w:pStyle w:val="Normalalteradora"/>
        <w:jc w:val="center"/>
        <w:rPr>
          <w:rFonts w:cstheme="minorHAnsi"/>
          <w:b/>
          <w:bCs/>
          <w:strike/>
        </w:rPr>
      </w:pPr>
      <w:r w:rsidRPr="00D70889">
        <w:rPr>
          <w:rFonts w:cstheme="minorHAnsi"/>
          <w:b/>
          <w:bCs/>
          <w:strike/>
        </w:rPr>
        <w:t xml:space="preserve">Subseção III – Negociação </w:t>
      </w:r>
      <w:r w:rsidRPr="00D70889">
        <w:rPr>
          <w:b/>
          <w:bCs/>
        </w:rPr>
        <w:t>de</w:t>
      </w:r>
      <w:r w:rsidRPr="00D70889">
        <w:rPr>
          <w:rFonts w:cstheme="minorHAnsi"/>
          <w:b/>
          <w:bCs/>
          <w:strike/>
        </w:rPr>
        <w:t xml:space="preserve"> </w:t>
      </w:r>
      <w:r w:rsidR="00FD3B35" w:rsidRPr="00D70889">
        <w:rPr>
          <w:rFonts w:cstheme="minorHAnsi"/>
          <w:b/>
          <w:bCs/>
          <w:strike/>
        </w:rPr>
        <w:t>A</w:t>
      </w:r>
      <w:r w:rsidRPr="00D70889">
        <w:rPr>
          <w:rFonts w:cstheme="minorHAnsi"/>
          <w:b/>
          <w:bCs/>
          <w:strike/>
        </w:rPr>
        <w:t xml:space="preserve">tivos em </w:t>
      </w:r>
      <w:r w:rsidR="00FD3B35" w:rsidRPr="00D70889">
        <w:rPr>
          <w:rFonts w:cstheme="minorHAnsi"/>
          <w:b/>
          <w:bCs/>
          <w:strike/>
        </w:rPr>
        <w:t>M</w:t>
      </w:r>
      <w:r w:rsidRPr="00D70889">
        <w:rPr>
          <w:rFonts w:cstheme="minorHAnsi"/>
          <w:b/>
          <w:bCs/>
          <w:strike/>
        </w:rPr>
        <w:t xml:space="preserve">ercados </w:t>
      </w:r>
      <w:r w:rsidR="00FD3B35" w:rsidRPr="00D70889">
        <w:rPr>
          <w:rFonts w:cstheme="minorHAnsi"/>
          <w:b/>
          <w:bCs/>
          <w:strike/>
        </w:rPr>
        <w:t>O</w:t>
      </w:r>
      <w:r w:rsidRPr="00D70889">
        <w:rPr>
          <w:rFonts w:cstheme="minorHAnsi"/>
          <w:b/>
          <w:bCs/>
          <w:strike/>
        </w:rPr>
        <w:t>rganizados</w:t>
      </w:r>
    </w:p>
    <w:p w14:paraId="402FC651" w14:textId="6457850B" w:rsidR="000C3776" w:rsidRDefault="000C3776" w:rsidP="000C3776">
      <w:pPr>
        <w:pStyle w:val="Seo"/>
        <w:rPr>
          <w:rFonts w:cstheme="minorHAnsi"/>
        </w:rPr>
      </w:pPr>
      <w:bookmarkStart w:id="221" w:name="_Toc161141223"/>
      <w:r w:rsidRPr="000C3776">
        <w:rPr>
          <w:rFonts w:cstheme="minorHAnsi"/>
        </w:rPr>
        <w:t>Subseção III – Negociação de Ativos</w:t>
      </w:r>
      <w:bookmarkEnd w:id="221"/>
    </w:p>
    <w:p w14:paraId="386C6AFD" w14:textId="062CD8CA" w:rsidR="000C3776" w:rsidRPr="000C3776" w:rsidRDefault="000C3776" w:rsidP="000C377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Subseção III</w:t>
      </w:r>
      <w:r w:rsidR="00EF77B8">
        <w:rPr>
          <w:rFonts w:asciiTheme="minorHAnsi" w:hAnsiTheme="minorHAnsi" w:cstheme="minorHAnsi"/>
          <w:b/>
          <w:i/>
          <w:sz w:val="24"/>
          <w:szCs w:val="24"/>
        </w:rPr>
        <w:t xml:space="preserve"> com redação dada</w:t>
      </w:r>
      <w:r>
        <w:rPr>
          <w:rFonts w:asciiTheme="minorHAnsi" w:hAnsiTheme="minorHAnsi" w:cstheme="minorHAnsi"/>
          <w:b/>
          <w:i/>
          <w:sz w:val="24"/>
          <w:szCs w:val="24"/>
        </w:rPr>
        <w:t xml:space="preserve"> </w:t>
      </w:r>
      <w:r w:rsidRPr="00517AE6">
        <w:rPr>
          <w:rFonts w:asciiTheme="minorHAnsi" w:hAnsiTheme="minorHAnsi" w:cstheme="minorHAnsi"/>
          <w:b/>
          <w:i/>
          <w:sz w:val="24"/>
          <w:szCs w:val="24"/>
        </w:rPr>
        <w:t xml:space="preserve">pela Resolução CVM nº </w:t>
      </w:r>
      <w:r w:rsidR="00EF77B8">
        <w:rPr>
          <w:rFonts w:asciiTheme="minorHAnsi" w:hAnsiTheme="minorHAnsi" w:cstheme="minorHAnsi"/>
          <w:b/>
          <w:i/>
          <w:sz w:val="24"/>
          <w:szCs w:val="24"/>
        </w:rPr>
        <w:t>200</w:t>
      </w:r>
      <w:r w:rsidRPr="00517AE6">
        <w:rPr>
          <w:rFonts w:asciiTheme="minorHAnsi" w:hAnsiTheme="minorHAnsi" w:cstheme="minorHAnsi"/>
          <w:b/>
          <w:i/>
          <w:sz w:val="24"/>
          <w:szCs w:val="24"/>
        </w:rPr>
        <w:t xml:space="preserve">, de </w:t>
      </w:r>
      <w:r w:rsidR="00EF77B8">
        <w:rPr>
          <w:rFonts w:asciiTheme="minorHAnsi" w:hAnsiTheme="minorHAnsi" w:cstheme="minorHAnsi"/>
          <w:b/>
          <w:i/>
          <w:sz w:val="24"/>
          <w:szCs w:val="24"/>
        </w:rPr>
        <w:t>12</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w:t>
      </w:r>
      <w:r w:rsidR="00EF77B8">
        <w:rPr>
          <w:rFonts w:asciiTheme="minorHAnsi" w:hAnsiTheme="minorHAnsi" w:cstheme="minorHAnsi"/>
          <w:b/>
          <w:i/>
          <w:sz w:val="24"/>
          <w:szCs w:val="24"/>
        </w:rPr>
        <w:t>rço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w:t>
      </w:r>
      <w:r w:rsidR="00EF77B8">
        <w:rPr>
          <w:rFonts w:asciiTheme="minorHAnsi" w:hAnsiTheme="minorHAnsi" w:cstheme="minorHAnsi"/>
          <w:b/>
          <w:i/>
          <w:sz w:val="24"/>
          <w:szCs w:val="24"/>
        </w:rPr>
        <w:t>4</w:t>
      </w:r>
      <w:r w:rsidRPr="00517AE6">
        <w:rPr>
          <w:rFonts w:asciiTheme="minorHAnsi" w:hAnsiTheme="minorHAnsi" w:cstheme="minorHAnsi"/>
          <w:b/>
          <w:i/>
          <w:sz w:val="24"/>
          <w:szCs w:val="24"/>
        </w:rPr>
        <w:t>.</w:t>
      </w:r>
    </w:p>
    <w:p w14:paraId="71847250" w14:textId="3300B1C5" w:rsidR="00F21A50" w:rsidRPr="0097459F" w:rsidRDefault="00F21A50" w:rsidP="00C20BBD">
      <w:pPr>
        <w:pStyle w:val="Normalalteradora"/>
        <w:rPr>
          <w:rFonts w:cstheme="minorHAnsi"/>
        </w:rPr>
      </w:pPr>
      <w:r w:rsidRPr="0097459F">
        <w:rPr>
          <w:rFonts w:cstheme="minorHAnsi"/>
        </w:rPr>
        <w:t xml:space="preserve">Art. </w:t>
      </w:r>
      <w:r w:rsidR="00B7720E" w:rsidRPr="0097459F">
        <w:rPr>
          <w:rFonts w:cstheme="minorHAnsi"/>
        </w:rPr>
        <w:t>86</w:t>
      </w:r>
      <w:r w:rsidRPr="0097459F">
        <w:rPr>
          <w:rFonts w:cstheme="minorHAnsi"/>
        </w:rPr>
        <w:t>.  Compete ao gestor negociar os ativos da carteira, bem como firmar, quando for o caso, todo e qualquer contrato ou documento relativo à negociação de ativos, qualquer que seja a sua natureza, representando a classe</w:t>
      </w:r>
      <w:r w:rsidR="00250534" w:rsidRPr="0097459F">
        <w:rPr>
          <w:rFonts w:cstheme="minorHAnsi"/>
        </w:rPr>
        <w:t xml:space="preserve"> de cotas para essa finalidade</w:t>
      </w:r>
      <w:r w:rsidRPr="0097459F">
        <w:rPr>
          <w:rFonts w:cstheme="minorHAnsi"/>
        </w:rPr>
        <w:t>.</w:t>
      </w:r>
    </w:p>
    <w:p w14:paraId="7A15EB4E" w14:textId="0A50498D" w:rsidR="00F44990" w:rsidRPr="0097459F" w:rsidRDefault="00F44990" w:rsidP="00C20BBD">
      <w:pPr>
        <w:pStyle w:val="Normalalteradora"/>
        <w:rPr>
          <w:rFonts w:cstheme="minorHAnsi"/>
        </w:rPr>
      </w:pPr>
      <w:r w:rsidRPr="0097459F">
        <w:rPr>
          <w:rFonts w:cstheme="minorHAnsi"/>
        </w:rPr>
        <w:t>§ 1</w:t>
      </w:r>
      <w:proofErr w:type="gramStart"/>
      <w:r w:rsidRPr="0097459F">
        <w:rPr>
          <w:rFonts w:cstheme="minorHAnsi"/>
        </w:rPr>
        <w:t xml:space="preserve">º </w:t>
      </w:r>
      <w:r w:rsidR="00EA2480" w:rsidRPr="0097459F">
        <w:rPr>
          <w:rFonts w:cstheme="minorHAnsi"/>
        </w:rPr>
        <w:t xml:space="preserve"> </w:t>
      </w:r>
      <w:r w:rsidR="00BB0ADD" w:rsidRPr="0097459F">
        <w:rPr>
          <w:rFonts w:cstheme="minorHAnsi"/>
        </w:rPr>
        <w:t>O</w:t>
      </w:r>
      <w:proofErr w:type="gramEnd"/>
      <w:r w:rsidR="00BB0ADD" w:rsidRPr="0097459F">
        <w:rPr>
          <w:rFonts w:cstheme="minorHAnsi"/>
        </w:rPr>
        <w:t xml:space="preserve"> regulamento pode prever que a</w:t>
      </w:r>
      <w:r w:rsidR="00F21A50" w:rsidRPr="0097459F">
        <w:rPr>
          <w:rFonts w:cstheme="minorHAnsi"/>
        </w:rPr>
        <w:t xml:space="preserve"> </w:t>
      </w:r>
      <w:r w:rsidR="00BB0ADD" w:rsidRPr="0097459F">
        <w:rPr>
          <w:rFonts w:cstheme="minorHAnsi"/>
        </w:rPr>
        <w:t>gestão</w:t>
      </w:r>
      <w:r w:rsidR="00F21A50" w:rsidRPr="0097459F">
        <w:rPr>
          <w:rFonts w:cstheme="minorHAnsi"/>
        </w:rPr>
        <w:t xml:space="preserve"> da carteira alcança a utilização </w:t>
      </w:r>
      <w:r w:rsidR="00BB0ADD" w:rsidRPr="0097459F">
        <w:rPr>
          <w:rFonts w:cstheme="minorHAnsi"/>
        </w:rPr>
        <w:t>de</w:t>
      </w:r>
      <w:r w:rsidR="00F21A50" w:rsidRPr="0097459F">
        <w:rPr>
          <w:rFonts w:cstheme="minorHAnsi"/>
        </w:rPr>
        <w:t xml:space="preserve"> ativos na prestação de fiança, aval, aceite ou qualquer outra forma de </w:t>
      </w:r>
      <w:r w:rsidR="00E96CBF" w:rsidRPr="0097459F">
        <w:rPr>
          <w:rFonts w:cstheme="minorHAnsi"/>
        </w:rPr>
        <w:t>retenção de risco</w:t>
      </w:r>
      <w:r w:rsidR="00F21A50" w:rsidRPr="0097459F">
        <w:rPr>
          <w:rFonts w:cstheme="minorHAnsi"/>
        </w:rPr>
        <w:t>.</w:t>
      </w:r>
    </w:p>
    <w:p w14:paraId="1E466A73" w14:textId="11F20D33" w:rsidR="00F44990" w:rsidRPr="0097459F" w:rsidRDefault="00F44990" w:rsidP="00C20BBD">
      <w:pPr>
        <w:pStyle w:val="NormaAlterada"/>
      </w:pPr>
      <w:r w:rsidRPr="0097459F">
        <w:t>§ 2</w:t>
      </w:r>
      <w:proofErr w:type="gramStart"/>
      <w:r w:rsidRPr="0097459F">
        <w:t>º  Caso</w:t>
      </w:r>
      <w:proofErr w:type="gramEnd"/>
      <w:r w:rsidRPr="0097459F">
        <w:t xml:space="preserve"> a classe de cotas seja destinada ao público em geral, a </w:t>
      </w:r>
      <w:r w:rsidR="004020C2" w:rsidRPr="0097459F">
        <w:t>retenção de risco</w:t>
      </w:r>
      <w:r w:rsidR="004020C2" w:rsidRPr="0097459F" w:rsidDel="004020C2">
        <w:t xml:space="preserve"> </w:t>
      </w:r>
      <w:r w:rsidRPr="0097459F">
        <w:t>referida no § 1º deve ser previamente autorizada pela assembleia de cotistas</w:t>
      </w:r>
      <w:r w:rsidR="00A93820" w:rsidRPr="0097459F">
        <w:t xml:space="preserve"> </w:t>
      </w:r>
      <w:r w:rsidR="00503D86" w:rsidRPr="0097459F">
        <w:t>e</w:t>
      </w:r>
      <w:r w:rsidR="00A93820" w:rsidRPr="0097459F">
        <w:t xml:space="preserve"> contar com alerta </w:t>
      </w:r>
      <w:r w:rsidR="00503D86" w:rsidRPr="0097459F">
        <w:t xml:space="preserve">em destaque </w:t>
      </w:r>
      <w:r w:rsidR="00A93820" w:rsidRPr="0097459F">
        <w:t xml:space="preserve">no material de </w:t>
      </w:r>
      <w:r w:rsidR="00503D86" w:rsidRPr="0097459F">
        <w:t>divulgação</w:t>
      </w:r>
      <w:r w:rsidRPr="0097459F">
        <w:t>.</w:t>
      </w:r>
    </w:p>
    <w:p w14:paraId="4E519459" w14:textId="2946A9E2" w:rsidR="006665E1" w:rsidRDefault="006665E1" w:rsidP="00C20BBD">
      <w:pPr>
        <w:pStyle w:val="Normalalteradora"/>
        <w:rPr>
          <w:rFonts w:cstheme="minorHAnsi"/>
        </w:rPr>
      </w:pPr>
      <w:r w:rsidRPr="0097459F">
        <w:rPr>
          <w:rFonts w:cstheme="minorHAnsi"/>
        </w:rPr>
        <w:lastRenderedPageBreak/>
        <w:t xml:space="preserve">Art. </w:t>
      </w:r>
      <w:r w:rsidR="00B7720E" w:rsidRPr="0097459F">
        <w:rPr>
          <w:rFonts w:cstheme="minorHAnsi"/>
        </w:rPr>
        <w:t>87</w:t>
      </w:r>
      <w:r w:rsidRPr="0097459F">
        <w:rPr>
          <w:rFonts w:cstheme="minorHAnsi"/>
        </w:rPr>
        <w:t>.  O gestor deve encaminhar ao administrador, nos 5 (cinco) dias úteis subsequentes à sua assinatura, uma cópia de cada documento que firmar em nome da classe de cotas.</w:t>
      </w:r>
    </w:p>
    <w:p w14:paraId="766183F0" w14:textId="1A6E8B66" w:rsidR="00EF77B8" w:rsidRDefault="00EF77B8" w:rsidP="0024171D">
      <w:pPr>
        <w:pStyle w:val="Seo"/>
        <w:rPr>
          <w:rStyle w:val="normaltextrun"/>
          <w:b w:val="0"/>
          <w:bCs/>
          <w:color w:val="000000"/>
          <w:bdr w:val="none" w:sz="0" w:space="0" w:color="auto" w:frame="1"/>
        </w:rPr>
      </w:pPr>
      <w:bookmarkStart w:id="222" w:name="_Toc161141224"/>
      <w:r>
        <w:rPr>
          <w:rStyle w:val="normaltextrun"/>
          <w:bCs/>
          <w:color w:val="000000"/>
          <w:bdr w:val="none" w:sz="0" w:space="0" w:color="auto" w:frame="1"/>
        </w:rPr>
        <w:t xml:space="preserve">Subseção III-A – Ordens em </w:t>
      </w:r>
      <w:r w:rsidRPr="0024171D">
        <w:rPr>
          <w:rFonts w:cstheme="minorHAnsi"/>
        </w:rPr>
        <w:t>Mercados</w:t>
      </w:r>
      <w:r>
        <w:rPr>
          <w:rStyle w:val="normaltextrun"/>
          <w:bCs/>
          <w:color w:val="000000"/>
          <w:bdr w:val="none" w:sz="0" w:space="0" w:color="auto" w:frame="1"/>
        </w:rPr>
        <w:t xml:space="preserve"> Organizados</w:t>
      </w:r>
      <w:bookmarkEnd w:id="222"/>
    </w:p>
    <w:p w14:paraId="30CFC30B" w14:textId="6017CF00" w:rsidR="00EF77B8" w:rsidRPr="00EF77B8" w:rsidRDefault="00EF77B8" w:rsidP="00EF77B8">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 xml:space="preserve">Subseção III-A incluída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200</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12</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março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24</w:t>
      </w:r>
      <w:r w:rsidRPr="00517AE6">
        <w:rPr>
          <w:rFonts w:asciiTheme="minorHAnsi" w:hAnsiTheme="minorHAnsi" w:cstheme="minorHAnsi"/>
          <w:b/>
          <w:i/>
          <w:sz w:val="24"/>
          <w:szCs w:val="24"/>
        </w:rPr>
        <w:t>.</w:t>
      </w:r>
    </w:p>
    <w:p w14:paraId="0BB53033" w14:textId="24F46A84" w:rsidR="00893D49" w:rsidRPr="0097459F" w:rsidRDefault="00893D49" w:rsidP="00C20BBD">
      <w:pPr>
        <w:pStyle w:val="Normalalteradora"/>
      </w:pPr>
      <w:r w:rsidRPr="0097459F">
        <w:t xml:space="preserve">Art. </w:t>
      </w:r>
      <w:r w:rsidR="00B7720E" w:rsidRPr="0097459F">
        <w:t>88</w:t>
      </w:r>
      <w:r w:rsidRPr="0097459F">
        <w:t xml:space="preserve">.  As ordens de compra e venda de ativos devem sempre ser expedidas </w:t>
      </w:r>
      <w:r w:rsidR="00985779" w:rsidRPr="0097459F">
        <w:t xml:space="preserve">pelo gestor </w:t>
      </w:r>
      <w:r w:rsidRPr="0097459F">
        <w:t xml:space="preserve">com a identificação precisa </w:t>
      </w:r>
      <w:r w:rsidR="00CB7114" w:rsidRPr="0097459F">
        <w:t>d</w:t>
      </w:r>
      <w:r w:rsidR="00D45629" w:rsidRPr="0097459F">
        <w:t>o fundo e, se for</w:t>
      </w:r>
      <w:r w:rsidR="00250534" w:rsidRPr="0097459F">
        <w:t xml:space="preserve"> </w:t>
      </w:r>
      <w:r w:rsidR="00D45629" w:rsidRPr="0097459F">
        <w:t>o caso, d</w:t>
      </w:r>
      <w:r w:rsidR="00CB7114" w:rsidRPr="0097459F">
        <w:t>a</w:t>
      </w:r>
      <w:r w:rsidRPr="0097459F">
        <w:t xml:space="preserve"> classe de cotas em nome da</w:t>
      </w:r>
      <w:r w:rsidR="00FB4C14" w:rsidRPr="0097459F">
        <w:t xml:space="preserve"> </w:t>
      </w:r>
      <w:r w:rsidRPr="0097459F">
        <w:t>qual devem ser executadas.</w:t>
      </w:r>
    </w:p>
    <w:p w14:paraId="3D50333B" w14:textId="4F3EFA74" w:rsidR="00893D49" w:rsidRPr="0097459F" w:rsidRDefault="008C076B" w:rsidP="00C20BBD">
      <w:pPr>
        <w:pStyle w:val="Normalalteradora"/>
        <w:rPr>
          <w:rFonts w:cstheme="minorHAnsi"/>
        </w:rPr>
      </w:pPr>
      <w:r>
        <w:rPr>
          <w:rFonts w:cstheme="minorHAnsi"/>
        </w:rPr>
        <w:t>Parágrafo único.</w:t>
      </w:r>
      <w:r w:rsidR="00893D49" w:rsidRPr="0097459F">
        <w:rPr>
          <w:rFonts w:cstheme="minorHAnsi"/>
        </w:rPr>
        <w:t xml:space="preserve">  Quando uma mesma pessoa jurídica for responsável pela gestão das carteiras de </w:t>
      </w:r>
      <w:r w:rsidR="00D95000" w:rsidRPr="0097459F">
        <w:rPr>
          <w:rFonts w:cstheme="minorHAnsi"/>
        </w:rPr>
        <w:t xml:space="preserve">diversas </w:t>
      </w:r>
      <w:r w:rsidR="0093751E" w:rsidRPr="0097459F">
        <w:rPr>
          <w:rFonts w:cstheme="minorHAnsi"/>
        </w:rPr>
        <w:t>classes</w:t>
      </w:r>
      <w:r w:rsidR="00893D49" w:rsidRPr="0097459F">
        <w:rPr>
          <w:rFonts w:cstheme="minorHAnsi"/>
        </w:rPr>
        <w:t xml:space="preserve">, </w:t>
      </w:r>
      <w:r w:rsidR="00273C0F" w:rsidRPr="0097459F">
        <w:rPr>
          <w:rFonts w:cstheme="minorHAnsi"/>
        </w:rPr>
        <w:t xml:space="preserve">é </w:t>
      </w:r>
      <w:r w:rsidR="00893D49" w:rsidRPr="0097459F">
        <w:rPr>
          <w:rFonts w:cstheme="minorHAnsi"/>
        </w:rPr>
        <w:t>admitido o grupamento de ordens, desde que referida pessoa jurídica:</w:t>
      </w:r>
    </w:p>
    <w:p w14:paraId="48CA45D6"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conte</w:t>
      </w:r>
      <w:proofErr w:type="gramEnd"/>
      <w:r w:rsidRPr="0097459F">
        <w:rPr>
          <w:rFonts w:cstheme="minorHAnsi"/>
        </w:rPr>
        <w:t xml:space="preserve"> com processos que possibilitem o rateio, entre as classes de cotas, das operações realizadas, por meio de critérios equitativos, preestabelecidos, formalizados e passíveis de verificação; e</w:t>
      </w:r>
    </w:p>
    <w:p w14:paraId="12E5EFB2" w14:textId="4BD340E0"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diligencie</w:t>
      </w:r>
      <w:proofErr w:type="gramEnd"/>
      <w:r w:rsidRPr="0097459F">
        <w:rPr>
          <w:rFonts w:cstheme="minorHAnsi"/>
        </w:rPr>
        <w:t xml:space="preserve"> para que a documentação relacionada ao grupamento e rateio de ordens seja mantida, às suas expensas, </w:t>
      </w:r>
      <w:r w:rsidR="00250534" w:rsidRPr="0097459F">
        <w:rPr>
          <w:rFonts w:cstheme="minorHAnsi"/>
        </w:rPr>
        <w:t>atualizada e em perfeita ordem.</w:t>
      </w:r>
    </w:p>
    <w:p w14:paraId="5AD156C8" w14:textId="262D18F4" w:rsidR="00CF29F2" w:rsidRPr="0097459F" w:rsidRDefault="00CF29F2" w:rsidP="00C20BBD">
      <w:pPr>
        <w:pStyle w:val="Seo"/>
        <w:rPr>
          <w:rFonts w:cstheme="minorHAnsi"/>
        </w:rPr>
      </w:pPr>
      <w:bookmarkStart w:id="223" w:name="_Toc161141225"/>
      <w:r w:rsidRPr="0097459F">
        <w:rPr>
          <w:rFonts w:cstheme="minorHAnsi"/>
        </w:rPr>
        <w:t xml:space="preserve">Subseção IV – Limites de </w:t>
      </w:r>
      <w:r w:rsidR="008C076B">
        <w:rPr>
          <w:rFonts w:cstheme="minorHAnsi"/>
        </w:rPr>
        <w:t>C</w:t>
      </w:r>
      <w:r w:rsidRPr="0097459F">
        <w:rPr>
          <w:rFonts w:cstheme="minorHAnsi"/>
        </w:rPr>
        <w:t xml:space="preserve">omposição e </w:t>
      </w:r>
      <w:r w:rsidR="008C076B">
        <w:rPr>
          <w:rFonts w:cstheme="minorHAnsi"/>
        </w:rPr>
        <w:t>C</w:t>
      </w:r>
      <w:r w:rsidRPr="0097459F">
        <w:rPr>
          <w:rFonts w:cstheme="minorHAnsi"/>
        </w:rPr>
        <w:t xml:space="preserve">oncentração da </w:t>
      </w:r>
      <w:r w:rsidR="008C076B">
        <w:rPr>
          <w:rFonts w:cstheme="minorHAnsi"/>
        </w:rPr>
        <w:t>C</w:t>
      </w:r>
      <w:r w:rsidRPr="0097459F">
        <w:rPr>
          <w:rFonts w:cstheme="minorHAnsi"/>
        </w:rPr>
        <w:t>arteira</w:t>
      </w:r>
      <w:bookmarkEnd w:id="223"/>
    </w:p>
    <w:p w14:paraId="77DD5C43" w14:textId="589C655C" w:rsidR="6E1B44BC" w:rsidRPr="0097459F" w:rsidRDefault="534B7309" w:rsidP="00C20BBD">
      <w:pPr>
        <w:pStyle w:val="Normalalteradora"/>
      </w:pPr>
      <w:r w:rsidRPr="0097459F">
        <w:t xml:space="preserve">Art. </w:t>
      </w:r>
      <w:r w:rsidR="00B7720E" w:rsidRPr="0097459F">
        <w:t>89</w:t>
      </w:r>
      <w:r w:rsidRPr="0097459F">
        <w:t xml:space="preserve">.  O gestor </w:t>
      </w:r>
      <w:r w:rsidR="00503D86" w:rsidRPr="0097459F">
        <w:t xml:space="preserve">é </w:t>
      </w:r>
      <w:r w:rsidRPr="0097459F">
        <w:t>respon</w:t>
      </w:r>
      <w:r w:rsidR="00503D86" w:rsidRPr="0097459F">
        <w:t>sável</w:t>
      </w:r>
      <w:r w:rsidRPr="0097459F">
        <w:t xml:space="preserve"> pela observância </w:t>
      </w:r>
      <w:r w:rsidR="00166025" w:rsidRPr="0097459F">
        <w:t>d</w:t>
      </w:r>
      <w:r w:rsidR="00503D86" w:rsidRPr="0097459F">
        <w:t xml:space="preserve">os </w:t>
      </w:r>
      <w:r w:rsidRPr="0097459F">
        <w:t>limites de composição e concentração de carteira e de concentração em fatores de risco, conforme estabelecidos nesta Resolução e no regulamento.</w:t>
      </w:r>
    </w:p>
    <w:p w14:paraId="7BB9E64F" w14:textId="7C1FD97A" w:rsidR="00DC313B" w:rsidRPr="0097459F" w:rsidRDefault="428D4F64" w:rsidP="00C20BBD">
      <w:pPr>
        <w:spacing w:line="312" w:lineRule="auto"/>
        <w:ind w:firstLine="567"/>
        <w:jc w:val="both"/>
        <w:rPr>
          <w:rFonts w:ascii="Calibri" w:hAnsi="Calibri"/>
          <w:b/>
          <w:sz w:val="24"/>
          <w:szCs w:val="24"/>
        </w:rPr>
      </w:pPr>
      <w:r w:rsidRPr="0097459F">
        <w:rPr>
          <w:rFonts w:ascii="Calibri" w:hAnsi="Calibri" w:cs="Calibri"/>
          <w:sz w:val="24"/>
          <w:szCs w:val="24"/>
        </w:rPr>
        <w:t>Parágrafo único.</w:t>
      </w:r>
      <w:r w:rsidR="534B7309" w:rsidRPr="0097459F">
        <w:rPr>
          <w:rFonts w:ascii="Calibri" w:hAnsi="Calibri" w:cs="Calibri"/>
          <w:sz w:val="24"/>
          <w:szCs w:val="24"/>
        </w:rPr>
        <w:t xml:space="preserve">  </w:t>
      </w:r>
      <w:r w:rsidRPr="0097459F">
        <w:rPr>
          <w:rFonts w:ascii="Calibri" w:hAnsi="Calibri" w:cs="Calibri"/>
          <w:sz w:val="24"/>
          <w:szCs w:val="24"/>
        </w:rPr>
        <w:t>Quando</w:t>
      </w:r>
      <w:r w:rsidR="534B7309" w:rsidRPr="0097459F">
        <w:rPr>
          <w:rFonts w:ascii="Calibri" w:hAnsi="Calibri" w:cs="Calibri"/>
          <w:sz w:val="24"/>
          <w:szCs w:val="24"/>
        </w:rPr>
        <w:t xml:space="preserve"> da realização de operações em nome da classe de cotas</w:t>
      </w:r>
      <w:r w:rsidRPr="0097459F">
        <w:rPr>
          <w:rFonts w:ascii="Calibri" w:hAnsi="Calibri" w:cs="Calibri"/>
          <w:sz w:val="24"/>
          <w:szCs w:val="24"/>
        </w:rPr>
        <w:t>, o gestor deve avaliar seus efeitos para fins de observância da carteira</w:t>
      </w:r>
      <w:r w:rsidRPr="0097459F">
        <w:rPr>
          <w:rFonts w:ascii="Calibri" w:hAnsi="Calibri"/>
          <w:sz w:val="24"/>
          <w:szCs w:val="24"/>
        </w:rPr>
        <w:t xml:space="preserve"> de ativos </w:t>
      </w:r>
      <w:r w:rsidRPr="0097459F">
        <w:rPr>
          <w:rFonts w:ascii="Calibri" w:hAnsi="Calibri" w:cs="Calibri"/>
          <w:sz w:val="24"/>
          <w:szCs w:val="24"/>
        </w:rPr>
        <w:t xml:space="preserve">aos limites referidos no </w:t>
      </w:r>
      <w:r w:rsidRPr="0097459F">
        <w:rPr>
          <w:rFonts w:ascii="Calibri" w:hAnsi="Calibri" w:cs="Calibri"/>
          <w:b/>
          <w:bCs/>
          <w:sz w:val="24"/>
          <w:szCs w:val="24"/>
        </w:rPr>
        <w:t>caput</w:t>
      </w:r>
      <w:r w:rsidRPr="0097459F">
        <w:rPr>
          <w:rFonts w:ascii="Calibri" w:hAnsi="Calibri"/>
          <w:sz w:val="24"/>
          <w:szCs w:val="24"/>
        </w:rPr>
        <w:t>.</w:t>
      </w:r>
    </w:p>
    <w:p w14:paraId="7111EF1E" w14:textId="02E95696"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sz w:val="24"/>
          <w:szCs w:val="24"/>
        </w:rPr>
        <w:t xml:space="preserve">Art. </w:t>
      </w:r>
      <w:r w:rsidR="00B7720E" w:rsidRPr="0097459F">
        <w:rPr>
          <w:rFonts w:ascii="Calibri" w:hAnsi="Calibri" w:cs="Calibri"/>
          <w:sz w:val="24"/>
          <w:szCs w:val="24"/>
        </w:rPr>
        <w:t>90</w:t>
      </w:r>
      <w:r w:rsidRPr="0097459F">
        <w:rPr>
          <w:rFonts w:ascii="Calibri" w:hAnsi="Calibri" w:cs="Calibri"/>
          <w:sz w:val="24"/>
          <w:szCs w:val="24"/>
        </w:rPr>
        <w:t>.  O gestor não está sujeito às penalidades aplicáveis pelo descumprimento dos limites de concentração e diversificação de carteira e concentração de risco definidos no regulamento e nesta Resolução quando o descumprimento for causado por desenquadramento passivo, decorrente de fatos alheios à sua vontade, que causem alterações imprevisíveis e significativas no patrimônio líquido ou nas condições gerais</w:t>
      </w:r>
      <w:r w:rsidRPr="0097459F">
        <w:rPr>
          <w:rFonts w:ascii="Calibri" w:hAnsi="Calibri"/>
          <w:sz w:val="24"/>
          <w:szCs w:val="24"/>
        </w:rPr>
        <w:t xml:space="preserve"> do </w:t>
      </w:r>
      <w:r w:rsidRPr="0097459F">
        <w:rPr>
          <w:rFonts w:ascii="Calibri" w:hAnsi="Calibri" w:cs="Calibri"/>
          <w:sz w:val="24"/>
          <w:szCs w:val="24"/>
        </w:rPr>
        <w:t>mercado de valores mobiliários.</w:t>
      </w:r>
    </w:p>
    <w:p w14:paraId="5CBAF156" w14:textId="742628ED"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1</w:t>
      </w:r>
      <w:proofErr w:type="gramStart"/>
      <w:r w:rsidRPr="0097459F">
        <w:rPr>
          <w:rFonts w:ascii="Calibri" w:hAnsi="Calibri" w:cs="Calibri"/>
          <w:sz w:val="24"/>
          <w:szCs w:val="24"/>
        </w:rPr>
        <w:t>º  Caso</w:t>
      </w:r>
      <w:proofErr w:type="gramEnd"/>
      <w:r w:rsidRPr="0097459F">
        <w:rPr>
          <w:rFonts w:ascii="Calibri" w:hAnsi="Calibri" w:cs="Calibri"/>
          <w:sz w:val="24"/>
          <w:szCs w:val="24"/>
        </w:rPr>
        <w:t xml:space="preserve"> o desenquadramento passivo se prolongue por 15 (quinze) dias úteis consecutivos, ao final desse prazo o gestor deve encaminhar à CVM suas explicações para o desenquadramento</w:t>
      </w:r>
      <w:r w:rsidR="00DC313B" w:rsidRPr="0097459F">
        <w:rPr>
          <w:rFonts w:ascii="Calibri" w:hAnsi="Calibri" w:cs="Calibri"/>
          <w:sz w:val="24"/>
          <w:szCs w:val="24"/>
        </w:rPr>
        <w:t>.</w:t>
      </w:r>
    </w:p>
    <w:p w14:paraId="613C1D68" w14:textId="6CE729E2"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2</w:t>
      </w:r>
      <w:proofErr w:type="gramStart"/>
      <w:r w:rsidR="00DC313B" w:rsidRPr="0097459F">
        <w:rPr>
          <w:rFonts w:ascii="Calibri" w:hAnsi="Calibri" w:cs="Calibri"/>
          <w:sz w:val="24"/>
          <w:szCs w:val="24"/>
        </w:rPr>
        <w:t>º</w:t>
      </w:r>
      <w:r w:rsidRPr="0097459F">
        <w:rPr>
          <w:rFonts w:ascii="Calibri" w:hAnsi="Calibri" w:cs="Calibri"/>
          <w:sz w:val="24"/>
          <w:szCs w:val="24"/>
        </w:rPr>
        <w:t xml:space="preserve">  O</w:t>
      </w:r>
      <w:proofErr w:type="gramEnd"/>
      <w:r w:rsidRPr="0097459F">
        <w:rPr>
          <w:rFonts w:ascii="Calibri" w:hAnsi="Calibri" w:cs="Calibri"/>
          <w:sz w:val="24"/>
          <w:szCs w:val="24"/>
        </w:rPr>
        <w:t xml:space="preserve"> gestor deve informar à CVM o reenquadramento da carteira, tão logo ocorrido.</w:t>
      </w:r>
    </w:p>
    <w:p w14:paraId="333FDC4A" w14:textId="61F9E441" w:rsidR="00893D49" w:rsidRPr="0097459F" w:rsidRDefault="4FC51E15" w:rsidP="00C20BBD">
      <w:pPr>
        <w:spacing w:line="312" w:lineRule="auto"/>
        <w:ind w:firstLine="567"/>
        <w:jc w:val="both"/>
        <w:rPr>
          <w:rFonts w:ascii="Calibri" w:hAnsi="Calibri"/>
          <w:sz w:val="24"/>
          <w:szCs w:val="24"/>
        </w:rPr>
      </w:pPr>
      <w:r w:rsidRPr="0097459F">
        <w:rPr>
          <w:rFonts w:ascii="Calibri" w:hAnsi="Calibri" w:cs="Calibri"/>
          <w:sz w:val="24"/>
          <w:szCs w:val="24"/>
        </w:rPr>
        <w:lastRenderedPageBreak/>
        <w:t xml:space="preserve">Art. </w:t>
      </w:r>
      <w:r w:rsidR="00B7720E" w:rsidRPr="0097459F">
        <w:rPr>
          <w:rFonts w:ascii="Calibri" w:hAnsi="Calibri" w:cs="Calibri"/>
          <w:sz w:val="24"/>
          <w:szCs w:val="24"/>
        </w:rPr>
        <w:t>91</w:t>
      </w:r>
      <w:r w:rsidRPr="0097459F">
        <w:rPr>
          <w:rFonts w:ascii="Calibri" w:hAnsi="Calibri" w:cs="Calibri"/>
          <w:sz w:val="24"/>
          <w:szCs w:val="24"/>
        </w:rPr>
        <w:t xml:space="preserve">.  Caso constate que o descumprimento dos limites de composição, diversificação de carteira e concentração de risco estendeu-se por período superior ao do prazo </w:t>
      </w:r>
      <w:r w:rsidR="0037292A" w:rsidRPr="0097459F">
        <w:rPr>
          <w:rFonts w:ascii="Calibri" w:hAnsi="Calibri" w:cs="Calibri"/>
          <w:sz w:val="24"/>
          <w:szCs w:val="24"/>
        </w:rPr>
        <w:t>concedido ao fundo na regra específica de sua categoria</w:t>
      </w:r>
      <w:r w:rsidRPr="0097459F">
        <w:rPr>
          <w:rFonts w:ascii="Calibri" w:hAnsi="Calibri" w:cs="Calibri"/>
          <w:sz w:val="24"/>
          <w:szCs w:val="24"/>
        </w:rPr>
        <w:t xml:space="preserve">, a Superintendência competente pode determinar ao </w:t>
      </w:r>
      <w:r w:rsidRPr="0097459F">
        <w:rPr>
          <w:rFonts w:ascii="Calibri" w:hAnsi="Calibri"/>
          <w:sz w:val="24"/>
          <w:szCs w:val="24"/>
        </w:rPr>
        <w:t>administrador</w:t>
      </w:r>
      <w:r w:rsidRPr="0097459F">
        <w:rPr>
          <w:rFonts w:ascii="Calibri" w:hAnsi="Calibri" w:cs="Calibri"/>
          <w:sz w:val="24"/>
          <w:szCs w:val="24"/>
        </w:rPr>
        <w:t>, sem prejuízo das penalidades cabíveis, a convocação de assembleia de cotistas para decidir sobre uma das seguintes alternativas:</w:t>
      </w:r>
    </w:p>
    <w:p w14:paraId="0D234CCB" w14:textId="35D17736"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xml:space="preserve">I – </w:t>
      </w:r>
      <w:proofErr w:type="gramStart"/>
      <w:r w:rsidRPr="0097459F">
        <w:rPr>
          <w:rFonts w:ascii="Calibri" w:hAnsi="Calibri" w:cs="Calibri"/>
          <w:sz w:val="24"/>
          <w:szCs w:val="24"/>
        </w:rPr>
        <w:t>incor</w:t>
      </w:r>
      <w:r w:rsidR="00166025" w:rsidRPr="0097459F">
        <w:rPr>
          <w:rFonts w:ascii="Calibri" w:hAnsi="Calibri" w:cs="Calibri"/>
          <w:sz w:val="24"/>
          <w:szCs w:val="24"/>
        </w:rPr>
        <w:t>poração</w:t>
      </w:r>
      <w:proofErr w:type="gramEnd"/>
      <w:r w:rsidR="00166025" w:rsidRPr="0097459F">
        <w:rPr>
          <w:rFonts w:ascii="Calibri" w:hAnsi="Calibri" w:cs="Calibri"/>
          <w:sz w:val="24"/>
          <w:szCs w:val="24"/>
        </w:rPr>
        <w:t xml:space="preserve"> a outra classe de cotas;</w:t>
      </w:r>
    </w:p>
    <w:p w14:paraId="71FB0F16" w14:textId="0AC914DF"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 xml:space="preserve">II – </w:t>
      </w:r>
      <w:proofErr w:type="gramStart"/>
      <w:r w:rsidRPr="0097459F">
        <w:rPr>
          <w:rFonts w:ascii="Calibri" w:hAnsi="Calibri" w:cs="Calibri"/>
          <w:sz w:val="24"/>
          <w:szCs w:val="24"/>
        </w:rPr>
        <w:t>cisão</w:t>
      </w:r>
      <w:proofErr w:type="gramEnd"/>
      <w:r w:rsidRPr="0097459F">
        <w:rPr>
          <w:rFonts w:ascii="Calibri" w:hAnsi="Calibri" w:cs="Calibri"/>
          <w:sz w:val="24"/>
          <w:szCs w:val="24"/>
        </w:rPr>
        <w:t xml:space="preserve"> total para fundo de investimento sob a gestão de outro gestor, não integrante do mesmo grupo econômico; ou</w:t>
      </w:r>
    </w:p>
    <w:p w14:paraId="64BC9E56" w14:textId="3822D333" w:rsidR="00893D49" w:rsidRPr="0097459F" w:rsidRDefault="4FC51E15" w:rsidP="00C20BBD">
      <w:pPr>
        <w:spacing w:line="312" w:lineRule="auto"/>
        <w:ind w:firstLine="567"/>
        <w:jc w:val="both"/>
        <w:rPr>
          <w:rFonts w:ascii="Calibri" w:hAnsi="Calibri" w:cs="Calibri"/>
          <w:sz w:val="24"/>
          <w:szCs w:val="24"/>
        </w:rPr>
      </w:pPr>
      <w:r w:rsidRPr="0097459F">
        <w:rPr>
          <w:rFonts w:ascii="Calibri" w:hAnsi="Calibri" w:cs="Calibri"/>
          <w:sz w:val="24"/>
          <w:szCs w:val="24"/>
        </w:rPr>
        <w:t>II</w:t>
      </w:r>
      <w:r w:rsidR="2D1E3D00" w:rsidRPr="0097459F">
        <w:rPr>
          <w:rFonts w:ascii="Calibri" w:hAnsi="Calibri" w:cs="Calibri"/>
          <w:sz w:val="24"/>
          <w:szCs w:val="24"/>
        </w:rPr>
        <w:t>I</w:t>
      </w:r>
      <w:r w:rsidRPr="0097459F">
        <w:rPr>
          <w:rFonts w:ascii="Calibri" w:hAnsi="Calibri" w:cs="Calibri"/>
          <w:sz w:val="24"/>
          <w:szCs w:val="24"/>
        </w:rPr>
        <w:t xml:space="preserve"> – liquidação.</w:t>
      </w:r>
    </w:p>
    <w:p w14:paraId="262D1B48" w14:textId="2494D4E3" w:rsidR="00893D49" w:rsidRPr="0097459F" w:rsidRDefault="4FC51E15" w:rsidP="00C20BBD">
      <w:pPr>
        <w:spacing w:line="312" w:lineRule="auto"/>
        <w:ind w:firstLine="567"/>
        <w:jc w:val="both"/>
        <w:rPr>
          <w:rFonts w:cstheme="minorBidi"/>
          <w:sz w:val="24"/>
          <w:szCs w:val="24"/>
        </w:rPr>
      </w:pPr>
      <w:r w:rsidRPr="0097459F">
        <w:rPr>
          <w:rFonts w:ascii="Calibri" w:hAnsi="Calibri" w:cs="Calibri"/>
          <w:sz w:val="24"/>
          <w:szCs w:val="24"/>
        </w:rPr>
        <w:t>Parágrafo único.  Caso se trate de fundo de investimento com classe única de cotas, a assembleia geral de cotistas pode decidir, ainda, sobre a alternativa de transferir a administração ou a gestão do fundo, ou ambas.</w:t>
      </w:r>
      <w:r w:rsidRPr="0097459F">
        <w:rPr>
          <w:rFonts w:cstheme="minorBidi"/>
          <w:sz w:val="24"/>
          <w:szCs w:val="24"/>
        </w:rPr>
        <w:t xml:space="preserve"> </w:t>
      </w:r>
    </w:p>
    <w:p w14:paraId="43D6E5E1" w14:textId="3EB8F2D9" w:rsidR="002A1094" w:rsidRPr="0097459F" w:rsidRDefault="002A1094" w:rsidP="00C20BBD">
      <w:pPr>
        <w:pStyle w:val="Seo"/>
        <w:rPr>
          <w:rFonts w:asciiTheme="minorHAnsi" w:hAnsiTheme="minorHAnsi" w:cstheme="minorBidi"/>
        </w:rPr>
      </w:pPr>
      <w:bookmarkStart w:id="224" w:name="_Toc161141226"/>
      <w:r w:rsidRPr="0097459F">
        <w:rPr>
          <w:bCs/>
        </w:rPr>
        <w:t>Subseção V</w:t>
      </w:r>
      <w:r w:rsidRPr="0097459F">
        <w:rPr>
          <w:rFonts w:asciiTheme="minorHAnsi" w:hAnsiTheme="minorHAnsi" w:cstheme="minorBidi"/>
        </w:rPr>
        <w:t>– Gestão de Liquidez</w:t>
      </w:r>
      <w:bookmarkEnd w:id="224"/>
    </w:p>
    <w:p w14:paraId="263DC175" w14:textId="24859B23" w:rsidR="002A1094" w:rsidRPr="0097459F" w:rsidRDefault="002A1094" w:rsidP="00C20BBD">
      <w:pPr>
        <w:pStyle w:val="Normalalteradora"/>
      </w:pPr>
      <w:r w:rsidRPr="0097459F">
        <w:t xml:space="preserve">Art. </w:t>
      </w:r>
      <w:r w:rsidR="00B7720E" w:rsidRPr="0097459F">
        <w:t>92</w:t>
      </w:r>
      <w:r w:rsidRPr="0097459F">
        <w:t xml:space="preserve">.  Nas classes abertas, os prestadores de serviços essenciais, conjuntamente, cada qual na sua esfera de atuação, devem adotar as políticas, procedimentos e controles internos necessários para que a liquidez da carteira de ativos seja compatível com: </w:t>
      </w:r>
    </w:p>
    <w:p w14:paraId="2A335B61" w14:textId="77777777" w:rsidR="002A1094" w:rsidRPr="0097459F" w:rsidRDefault="002A1094" w:rsidP="00C20BBD">
      <w:pPr>
        <w:pStyle w:val="Normalalteradora"/>
      </w:pPr>
      <w:r w:rsidRPr="0097459F">
        <w:t xml:space="preserve">I – </w:t>
      </w:r>
      <w:proofErr w:type="gramStart"/>
      <w:r w:rsidRPr="0097459F">
        <w:t>os</w:t>
      </w:r>
      <w:proofErr w:type="gramEnd"/>
      <w:r w:rsidRPr="0097459F">
        <w:t xml:space="preserve"> prazos previstos no regulamento para pagamento dos pedidos de resgate; e</w:t>
      </w:r>
    </w:p>
    <w:p w14:paraId="0F4562B8" w14:textId="77777777" w:rsidR="002A1094" w:rsidRPr="0097459F" w:rsidRDefault="002A1094" w:rsidP="00C20BBD">
      <w:pPr>
        <w:pStyle w:val="Normalalteradora"/>
      </w:pPr>
      <w:r w:rsidRPr="0097459F">
        <w:t xml:space="preserve">II – </w:t>
      </w:r>
      <w:proofErr w:type="gramStart"/>
      <w:r w:rsidRPr="0097459F">
        <w:t>o</w:t>
      </w:r>
      <w:proofErr w:type="gramEnd"/>
      <w:r w:rsidRPr="0097459F">
        <w:t xml:space="preserve"> cumprimento das obrigações da classe de cotas.</w:t>
      </w:r>
    </w:p>
    <w:p w14:paraId="73E8F572" w14:textId="77777777" w:rsidR="002A1094" w:rsidRPr="0097459F" w:rsidRDefault="002A1094" w:rsidP="00C20BBD">
      <w:pPr>
        <w:pStyle w:val="Normalalteradora"/>
      </w:pPr>
      <w:r w:rsidRPr="0097459F">
        <w:t>§ 1</w:t>
      </w:r>
      <w:proofErr w:type="gramStart"/>
      <w:r w:rsidRPr="0097459F">
        <w:t>º  As</w:t>
      </w:r>
      <w:proofErr w:type="gramEnd"/>
      <w:r w:rsidRPr="0097459F">
        <w:t xml:space="preserve"> políticas, procedimentos e controles internos de que trata o </w:t>
      </w:r>
      <w:r w:rsidRPr="0097459F">
        <w:rPr>
          <w:b/>
          <w:bCs/>
        </w:rPr>
        <w:t>caput</w:t>
      </w:r>
      <w:r w:rsidRPr="0097459F">
        <w:t xml:space="preserve"> devem levar em conta, no mínimo:</w:t>
      </w:r>
    </w:p>
    <w:p w14:paraId="4B1D16FE" w14:textId="77777777" w:rsidR="002A1094" w:rsidRPr="0097459F" w:rsidRDefault="002A1094" w:rsidP="00C20BBD">
      <w:pPr>
        <w:pStyle w:val="Normalalteradora"/>
      </w:pPr>
      <w:r w:rsidRPr="0097459F">
        <w:t xml:space="preserve">I – </w:t>
      </w:r>
      <w:proofErr w:type="gramStart"/>
      <w:r w:rsidRPr="0097459F">
        <w:t>a</w:t>
      </w:r>
      <w:proofErr w:type="gramEnd"/>
      <w:r w:rsidRPr="0097459F">
        <w:t xml:space="preserve"> liquidez dos diferentes ativos;</w:t>
      </w:r>
    </w:p>
    <w:p w14:paraId="3607DC6D" w14:textId="77777777" w:rsidR="002A1094" w:rsidRPr="0097459F" w:rsidRDefault="002A1094" w:rsidP="00C20BBD">
      <w:pPr>
        <w:pStyle w:val="Normalalteradora"/>
      </w:pPr>
      <w:r w:rsidRPr="0097459F">
        <w:t xml:space="preserve">II – </w:t>
      </w:r>
      <w:proofErr w:type="gramStart"/>
      <w:r w:rsidRPr="0097459F">
        <w:t>as</w:t>
      </w:r>
      <w:proofErr w:type="gramEnd"/>
      <w:r w:rsidRPr="0097459F">
        <w:t xml:space="preserve"> obrigações, incluindo depósitos de margem esperados e outras garantias;</w:t>
      </w:r>
    </w:p>
    <w:p w14:paraId="66A00661" w14:textId="77777777" w:rsidR="002A1094" w:rsidRPr="0097459F" w:rsidRDefault="002A1094" w:rsidP="00C20BBD">
      <w:pPr>
        <w:pStyle w:val="Normalalteradora"/>
      </w:pPr>
      <w:r w:rsidRPr="0097459F">
        <w:t>III – os valores de resgate esperados em condições ordinárias, calculados com critérios estatísticos consistentes e passíveis de verificação; e</w:t>
      </w:r>
    </w:p>
    <w:p w14:paraId="2421ADB4" w14:textId="77777777" w:rsidR="002A1094" w:rsidRPr="0097459F" w:rsidRDefault="002A1094" w:rsidP="00C20BBD">
      <w:pPr>
        <w:pStyle w:val="Normalalteradora"/>
      </w:pPr>
      <w:r w:rsidRPr="0097459F">
        <w:t xml:space="preserve">IV – </w:t>
      </w:r>
      <w:proofErr w:type="gramStart"/>
      <w:r w:rsidRPr="0097459F">
        <w:t>o</w:t>
      </w:r>
      <w:proofErr w:type="gramEnd"/>
      <w:r w:rsidRPr="0097459F">
        <w:t xml:space="preserve"> grau de dispersão da propriedade das cotas.</w:t>
      </w:r>
    </w:p>
    <w:p w14:paraId="3B118C89" w14:textId="77777777" w:rsidR="002A1094" w:rsidRPr="0097459F" w:rsidRDefault="002A1094" w:rsidP="00C20BBD">
      <w:pPr>
        <w:pStyle w:val="Normalalteradora"/>
      </w:pPr>
      <w:r w:rsidRPr="0097459F">
        <w:lastRenderedPageBreak/>
        <w:t>§ 2</w:t>
      </w:r>
      <w:proofErr w:type="gramStart"/>
      <w:r w:rsidRPr="0097459F">
        <w:t>º  Os</w:t>
      </w:r>
      <w:proofErr w:type="gramEnd"/>
      <w:r w:rsidRPr="0097459F">
        <w:t xml:space="preserve"> critérios utilizados na elaboração das políticas, procedimentos e controles internos de liquidez, inclusive, se for o caso, em cenários de estresse, devem ser consistentes e passíveis de verificação.</w:t>
      </w:r>
    </w:p>
    <w:p w14:paraId="2B493BD0" w14:textId="77777777" w:rsidR="002A1094" w:rsidRPr="0097459F" w:rsidRDefault="002A1094" w:rsidP="00C20BBD">
      <w:pPr>
        <w:pStyle w:val="Normalalteradora"/>
      </w:pPr>
      <w:r w:rsidRPr="0097459F">
        <w:t>§ 3</w:t>
      </w:r>
      <w:proofErr w:type="gramStart"/>
      <w:r w:rsidRPr="0097459F">
        <w:t>º  Caso</w:t>
      </w:r>
      <w:proofErr w:type="gramEnd"/>
      <w:r w:rsidRPr="0097459F">
        <w:t xml:space="preserve"> a classe invista em cotas de outros fundos de investimento, o gestor deve avaliar a liquidez da classe investida, considerando, no mínimo: </w:t>
      </w:r>
    </w:p>
    <w:p w14:paraId="33885E73" w14:textId="77777777" w:rsidR="002A1094" w:rsidRPr="0097459F" w:rsidRDefault="002A1094" w:rsidP="00C20BBD">
      <w:pPr>
        <w:pStyle w:val="Normalalteradora"/>
      </w:pPr>
      <w:r w:rsidRPr="0097459F">
        <w:t xml:space="preserve">I – </w:t>
      </w:r>
      <w:proofErr w:type="gramStart"/>
      <w:r w:rsidRPr="0097459F">
        <w:t>o</w:t>
      </w:r>
      <w:proofErr w:type="gramEnd"/>
      <w:r w:rsidRPr="0097459F">
        <w:t xml:space="preserve"> volume a ser investido;</w:t>
      </w:r>
    </w:p>
    <w:p w14:paraId="119C2AFC" w14:textId="77777777" w:rsidR="002A1094" w:rsidRPr="0097459F" w:rsidRDefault="002A1094" w:rsidP="00C20BBD">
      <w:pPr>
        <w:pStyle w:val="Normalalteradora"/>
      </w:pPr>
      <w:r w:rsidRPr="0097459F">
        <w:t xml:space="preserve">II – </w:t>
      </w:r>
      <w:proofErr w:type="gramStart"/>
      <w:r w:rsidRPr="0097459F">
        <w:t>as</w:t>
      </w:r>
      <w:proofErr w:type="gramEnd"/>
      <w:r w:rsidRPr="0097459F">
        <w:t xml:space="preserve"> regras de pagamento de resgate da classe investida; e</w:t>
      </w:r>
    </w:p>
    <w:p w14:paraId="2F29CAC8" w14:textId="77777777" w:rsidR="002A1094" w:rsidRPr="0097459F" w:rsidRDefault="002A1094" w:rsidP="00C20BBD">
      <w:pPr>
        <w:pStyle w:val="Normalalteradora"/>
      </w:pPr>
      <w:r w:rsidRPr="0097459F">
        <w:t>III – os sistemas e ferramentas utilizados na gestão de liquidez da classe investida.</w:t>
      </w:r>
    </w:p>
    <w:p w14:paraId="71552E33" w14:textId="77777777" w:rsidR="002A1094" w:rsidRPr="0097459F" w:rsidRDefault="002A1094" w:rsidP="00C20BBD">
      <w:pPr>
        <w:pStyle w:val="Normalalteradora"/>
      </w:pPr>
      <w:r w:rsidRPr="0097459F">
        <w:t>§ 4</w:t>
      </w:r>
      <w:proofErr w:type="gramStart"/>
      <w:r w:rsidRPr="0097459F">
        <w:t>º  Os</w:t>
      </w:r>
      <w:proofErr w:type="gramEnd"/>
      <w:r w:rsidRPr="0097459F">
        <w:t xml:space="preserve"> prestadores de serviços essenciais podem se acertar livremente para dar cumprimento à gestão de liquidez da classe, seja formal ou operacionalmente.</w:t>
      </w:r>
    </w:p>
    <w:p w14:paraId="6BDA48AB" w14:textId="349D4191" w:rsidR="002A1094" w:rsidRPr="0097459F" w:rsidRDefault="002A1094" w:rsidP="00C20BBD">
      <w:pPr>
        <w:pStyle w:val="Normalalteradora"/>
      </w:pPr>
      <w:r w:rsidRPr="0097459F">
        <w:t xml:space="preserve">Art. </w:t>
      </w:r>
      <w:r w:rsidR="00B7720E" w:rsidRPr="0097459F">
        <w:t>93</w:t>
      </w:r>
      <w:r w:rsidRPr="0097459F">
        <w:t>.  O gestor deve submeter a carteira de ativos a testes de estresse periódicos, com cenários que levem em consideração, no mínimo, as movimentações do passivo, a liquidez dos ativos, as obrigações e a cotização da classe de cotas.</w:t>
      </w:r>
    </w:p>
    <w:p w14:paraId="3022C8ED" w14:textId="21EF846D" w:rsidR="002A1094" w:rsidRPr="0097459F" w:rsidRDefault="002A1094" w:rsidP="00C20BBD">
      <w:pPr>
        <w:pStyle w:val="Normalalteradora"/>
      </w:pPr>
      <w:r w:rsidRPr="0097459F">
        <w:t>Parágrafo único.  A periodicidade dos testes de estresse deve ser adequada às características da classe de cotas, às variações históricas dos cenários eleitos para o teste e às condições de mercado vigentes.</w:t>
      </w:r>
    </w:p>
    <w:p w14:paraId="55732A29" w14:textId="0E3DFDBB" w:rsidR="00CF29F2" w:rsidRPr="0097459F" w:rsidRDefault="00CF29F2" w:rsidP="00C20BBD">
      <w:pPr>
        <w:pStyle w:val="Seo"/>
        <w:rPr>
          <w:rFonts w:cstheme="minorHAnsi"/>
        </w:rPr>
      </w:pPr>
      <w:bookmarkStart w:id="225" w:name="_Toc161141227"/>
      <w:r w:rsidRPr="0097459F">
        <w:rPr>
          <w:rFonts w:cstheme="minorHAnsi"/>
        </w:rPr>
        <w:t>Subseção V</w:t>
      </w:r>
      <w:r w:rsidR="002A1094" w:rsidRPr="0097459F">
        <w:rPr>
          <w:rFonts w:cstheme="minorHAnsi"/>
        </w:rPr>
        <w:t>I</w:t>
      </w:r>
      <w:r w:rsidRPr="0097459F">
        <w:rPr>
          <w:rFonts w:cstheme="minorHAnsi"/>
        </w:rPr>
        <w:t xml:space="preserve"> – Direito de </w:t>
      </w:r>
      <w:r w:rsidR="00444BCF">
        <w:rPr>
          <w:rFonts w:cstheme="minorHAnsi"/>
        </w:rPr>
        <w:t>V</w:t>
      </w:r>
      <w:r w:rsidRPr="0097459F">
        <w:rPr>
          <w:rFonts w:cstheme="minorHAnsi"/>
        </w:rPr>
        <w:t>oto</w:t>
      </w:r>
      <w:bookmarkEnd w:id="225"/>
    </w:p>
    <w:p w14:paraId="5A6484B1" w14:textId="0FE925D4" w:rsidR="00766DCE" w:rsidRPr="0097459F" w:rsidRDefault="00766DCE" w:rsidP="00C20BBD">
      <w:pPr>
        <w:pStyle w:val="Normalalteradora"/>
        <w:rPr>
          <w:rFonts w:cstheme="minorHAnsi"/>
        </w:rPr>
      </w:pPr>
      <w:r w:rsidRPr="0097459F">
        <w:rPr>
          <w:rFonts w:cstheme="minorHAnsi"/>
        </w:rPr>
        <w:t xml:space="preserve">Art. </w:t>
      </w:r>
      <w:r w:rsidR="00B7720E" w:rsidRPr="0097459F">
        <w:rPr>
          <w:rFonts w:cstheme="minorHAnsi"/>
        </w:rPr>
        <w:t>94</w:t>
      </w:r>
      <w:r w:rsidRPr="0097459F">
        <w:rPr>
          <w:rFonts w:cstheme="minorHAnsi"/>
        </w:rPr>
        <w:t>.</w:t>
      </w:r>
      <w:r w:rsidR="00A75A44" w:rsidRPr="0097459F">
        <w:rPr>
          <w:rFonts w:cstheme="minorHAnsi"/>
        </w:rPr>
        <w:t xml:space="preserve"> </w:t>
      </w:r>
      <w:r w:rsidRPr="0097459F">
        <w:rPr>
          <w:rFonts w:cstheme="minorHAnsi"/>
        </w:rPr>
        <w:t xml:space="preserve"> Compete ao gestor exercer o direito de voto decorrente de ativos detidos pela classe, realizando todas as ações necessárias para tal exercício, observado o disposto na política de voto da classe.</w:t>
      </w:r>
    </w:p>
    <w:p w14:paraId="05C4ABCB" w14:textId="33175815" w:rsidR="00CF29F2" w:rsidRPr="0097459F" w:rsidRDefault="00CF29F2" w:rsidP="00C20BBD">
      <w:pPr>
        <w:pStyle w:val="Seo"/>
        <w:rPr>
          <w:rFonts w:cstheme="minorHAnsi"/>
        </w:rPr>
      </w:pPr>
      <w:bookmarkStart w:id="226" w:name="_Toc161141228"/>
      <w:r w:rsidRPr="0097459F">
        <w:rPr>
          <w:rFonts w:cstheme="minorHAnsi"/>
        </w:rPr>
        <w:t>Subseção V</w:t>
      </w:r>
      <w:r w:rsidR="002A1094" w:rsidRPr="0097459F">
        <w:rPr>
          <w:rFonts w:cstheme="minorHAnsi"/>
        </w:rPr>
        <w:t>I</w:t>
      </w:r>
      <w:r w:rsidRPr="0097459F">
        <w:rPr>
          <w:rFonts w:cstheme="minorHAnsi"/>
        </w:rPr>
        <w:t>I – Contratação de Agência de Classificação de Risco de Crédito</w:t>
      </w:r>
      <w:bookmarkEnd w:id="226"/>
    </w:p>
    <w:p w14:paraId="3CBDB9AB" w14:textId="7E5CFACC" w:rsidR="00893D49" w:rsidRPr="0097459F" w:rsidRDefault="66656AB2" w:rsidP="00C20BBD">
      <w:pPr>
        <w:pStyle w:val="Normalalteradora"/>
      </w:pPr>
      <w:r w:rsidRPr="0097459F">
        <w:t xml:space="preserve">Art. </w:t>
      </w:r>
      <w:r w:rsidR="00B7720E" w:rsidRPr="0097459F">
        <w:t>95</w:t>
      </w:r>
      <w:r w:rsidRPr="0097459F">
        <w:t>.  Caso o fundo contrate agência de classificação de risco de crédito:</w:t>
      </w:r>
    </w:p>
    <w:p w14:paraId="5588AFA2" w14:textId="07CAD0DA"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o</w:t>
      </w:r>
      <w:proofErr w:type="gramEnd"/>
      <w:r w:rsidRPr="0097459F">
        <w:rPr>
          <w:rFonts w:cstheme="minorHAnsi"/>
        </w:rPr>
        <w:t xml:space="preserve"> contrato deve conter cláusula obrigando a agência de classificação de risco de crédito a divulgar</w:t>
      </w:r>
      <w:r w:rsidR="005A05A9" w:rsidRPr="0097459F">
        <w:rPr>
          <w:rFonts w:cstheme="minorHAnsi"/>
        </w:rPr>
        <w:t>, imediatamente,</w:t>
      </w:r>
      <w:r w:rsidR="006C54AA" w:rsidRPr="0097459F">
        <w:rPr>
          <w:rFonts w:cstheme="minorHAnsi"/>
        </w:rPr>
        <w:t xml:space="preserve"> </w:t>
      </w:r>
      <w:r w:rsidRPr="0097459F">
        <w:rPr>
          <w:rFonts w:cstheme="minorHAnsi"/>
        </w:rPr>
        <w:t>em sua página na rede mundial de computadores e comunicar à CVM</w:t>
      </w:r>
      <w:r w:rsidR="00985779" w:rsidRPr="0097459F">
        <w:rPr>
          <w:rFonts w:cstheme="minorHAnsi"/>
        </w:rPr>
        <w:t>, ao gestor</w:t>
      </w:r>
      <w:r w:rsidRPr="0097459F">
        <w:rPr>
          <w:rFonts w:cstheme="minorHAnsi"/>
        </w:rPr>
        <w:t xml:space="preserve"> e ao administrador qualquer alteração da classificação, ou a rescisão do contrato;</w:t>
      </w:r>
    </w:p>
    <w:p w14:paraId="77C6C3DF"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na</w:t>
      </w:r>
      <w:proofErr w:type="gramEnd"/>
      <w:r w:rsidRPr="0097459F">
        <w:rPr>
          <w:rFonts w:cstheme="minorHAnsi"/>
        </w:rPr>
        <w:t xml:space="preserve"> hipótese de que trata o inciso I, o administrador deve, imediatamente, divulgar fato relevante ao mercado; e</w:t>
      </w:r>
    </w:p>
    <w:p w14:paraId="1F55430A" w14:textId="77777777" w:rsidR="00893D49" w:rsidRPr="0097459F" w:rsidRDefault="00893D49" w:rsidP="00C20BBD">
      <w:pPr>
        <w:pStyle w:val="Normalalteradora"/>
        <w:rPr>
          <w:rFonts w:cstheme="minorHAnsi"/>
        </w:rPr>
      </w:pPr>
      <w:r w:rsidRPr="0097459F">
        <w:rPr>
          <w:rFonts w:cstheme="minorHAnsi"/>
        </w:rPr>
        <w:lastRenderedPageBreak/>
        <w:t>III – as informações fornecidas à agência de classificação de risco de crédito devem abranger, no mínimo, aquelas fornecidas aos cotistas.</w:t>
      </w:r>
    </w:p>
    <w:p w14:paraId="24F9A862" w14:textId="128AB382" w:rsidR="00893D49" w:rsidRPr="0097459F" w:rsidRDefault="00FA33AF" w:rsidP="00C20BBD">
      <w:pPr>
        <w:pStyle w:val="Normalalteradora"/>
        <w:rPr>
          <w:rFonts w:cstheme="minorHAnsi"/>
        </w:rPr>
      </w:pPr>
      <w:bookmarkStart w:id="227" w:name="_Hlk49245093"/>
      <w:r w:rsidRPr="0097459F">
        <w:rPr>
          <w:rFonts w:cstheme="minorHAnsi"/>
        </w:rPr>
        <w:t>§ 1</w:t>
      </w:r>
      <w:proofErr w:type="gramStart"/>
      <w:r w:rsidRPr="0097459F">
        <w:rPr>
          <w:rFonts w:cstheme="minorHAnsi"/>
        </w:rPr>
        <w:t>º</w:t>
      </w:r>
      <w:r w:rsidR="00893D49" w:rsidRPr="0097459F">
        <w:rPr>
          <w:rFonts w:cstheme="minorHAnsi"/>
        </w:rPr>
        <w:t xml:space="preserve">  A</w:t>
      </w:r>
      <w:proofErr w:type="gramEnd"/>
      <w:r w:rsidR="00893D49" w:rsidRPr="0097459F">
        <w:rPr>
          <w:rFonts w:cstheme="minorHAnsi"/>
        </w:rPr>
        <w:t xml:space="preserve"> rescisão do contrato firmado com agência de classificação de risco de crédito somente é admitida mediante a observância de período de carência de 180 (cento e oitenta) dias, sendo obrigatória a apresentação, ao final desse período, de relatório de classificação de risco elaborado pela mesma agência.</w:t>
      </w:r>
    </w:p>
    <w:p w14:paraId="6216CCB3" w14:textId="2303A790" w:rsidR="00FA33AF" w:rsidRPr="0097459F" w:rsidRDefault="00FA33AF" w:rsidP="00C20BBD">
      <w:pPr>
        <w:pStyle w:val="Normalalteradora"/>
        <w:rPr>
          <w:rFonts w:cstheme="minorHAnsi"/>
        </w:rPr>
      </w:pPr>
      <w:r w:rsidRPr="0097459F">
        <w:rPr>
          <w:rFonts w:cstheme="minorHAnsi"/>
        </w:rPr>
        <w:t>§ 2</w:t>
      </w:r>
      <w:proofErr w:type="gramStart"/>
      <w:r w:rsidRPr="0097459F">
        <w:rPr>
          <w:rFonts w:cstheme="minorHAnsi"/>
        </w:rPr>
        <w:t>º  Caso</w:t>
      </w:r>
      <w:proofErr w:type="gramEnd"/>
      <w:r w:rsidRPr="0097459F">
        <w:rPr>
          <w:rFonts w:cstheme="minorHAnsi"/>
        </w:rPr>
        <w:t xml:space="preserve"> a rescisão do contrato firmado com agência de classificação de risco de crédito ocorra por deliberação da assembleia de cotistas, o prazo referido no § 1º é de 90 (noventa) dias.</w:t>
      </w:r>
    </w:p>
    <w:p w14:paraId="27F9FA34" w14:textId="438BA0C6" w:rsidR="003165BA" w:rsidRPr="0097459F" w:rsidRDefault="003165BA" w:rsidP="00C20BBD">
      <w:pPr>
        <w:pStyle w:val="Seo"/>
        <w:rPr>
          <w:rFonts w:cstheme="minorHAnsi"/>
        </w:rPr>
      </w:pPr>
      <w:bookmarkStart w:id="228" w:name="_Toc161141229"/>
      <w:bookmarkEnd w:id="227"/>
      <w:r w:rsidRPr="0097459F">
        <w:rPr>
          <w:rFonts w:cstheme="minorHAnsi"/>
        </w:rPr>
        <w:t>Subseção VII</w:t>
      </w:r>
      <w:r w:rsidR="002A1094" w:rsidRPr="0097459F">
        <w:rPr>
          <w:rFonts w:cstheme="minorHAnsi"/>
        </w:rPr>
        <w:t>I</w:t>
      </w:r>
      <w:r w:rsidRPr="0097459F">
        <w:rPr>
          <w:rFonts w:cstheme="minorHAnsi"/>
        </w:rPr>
        <w:t xml:space="preserve"> – Constituição de Conselhos Consultivos e Comitês</w:t>
      </w:r>
      <w:bookmarkEnd w:id="228"/>
    </w:p>
    <w:p w14:paraId="18BD7199" w14:textId="51B5739F"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96</w:t>
      </w:r>
      <w:r w:rsidRPr="0097459F">
        <w:rPr>
          <w:rFonts w:cstheme="minorHAnsi"/>
        </w:rPr>
        <w:t>.  Sem prejuízo das responsabilidades de cada um dos prestadores de serviços, podem ser constituídos, por iniciativa dos cotistas</w:t>
      </w:r>
      <w:r w:rsidR="0040031F" w:rsidRPr="0097459F">
        <w:rPr>
          <w:rFonts w:cstheme="minorHAnsi"/>
        </w:rPr>
        <w:t xml:space="preserve"> ou de prestador de serviço</w:t>
      </w:r>
      <w:r w:rsidR="00D95000" w:rsidRPr="0097459F">
        <w:rPr>
          <w:rFonts w:cstheme="minorHAnsi"/>
        </w:rPr>
        <w:t xml:space="preserve"> essencia</w:t>
      </w:r>
      <w:r w:rsidR="0040031F" w:rsidRPr="0097459F">
        <w:rPr>
          <w:rFonts w:cstheme="minorHAnsi"/>
        </w:rPr>
        <w:t>l</w:t>
      </w:r>
      <w:r w:rsidRPr="0097459F">
        <w:rPr>
          <w:rFonts w:cstheme="minorHAnsi"/>
        </w:rPr>
        <w:t>, conselhos consultivos, comitês técnicos ou de investimentos</w:t>
      </w:r>
      <w:r w:rsidRPr="0097459F">
        <w:t>,</w:t>
      </w:r>
      <w:r w:rsidRPr="0097459F">
        <w:rPr>
          <w:rFonts w:cstheme="minorHAnsi"/>
        </w:rPr>
        <w:t xml:space="preserve"> os quais não podem ser remunerados </w:t>
      </w:r>
      <w:r w:rsidR="0040031F" w:rsidRPr="0097459F">
        <w:rPr>
          <w:rFonts w:cstheme="minorHAnsi"/>
        </w:rPr>
        <w:t>pel</w:t>
      </w:r>
      <w:r w:rsidR="00503D86" w:rsidRPr="0097459F">
        <w:rPr>
          <w:rFonts w:cstheme="minorHAnsi"/>
        </w:rPr>
        <w:t>o fundo</w:t>
      </w:r>
      <w:r w:rsidR="4BFC977D" w:rsidRPr="0097459F">
        <w:t>.</w:t>
      </w:r>
    </w:p>
    <w:p w14:paraId="36BBC4B0" w14:textId="6CEBF55A"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As</w:t>
      </w:r>
      <w:proofErr w:type="gramEnd"/>
      <w:r w:rsidRPr="0097459F">
        <w:rPr>
          <w:rFonts w:cstheme="minorHAnsi"/>
        </w:rPr>
        <w:t xml:space="preserve"> atribuições, a composição, e os requisitos para convocação e deliberação dos conselhos e comitês devem estar estabelecidos no regulamento.</w:t>
      </w:r>
    </w:p>
    <w:p w14:paraId="5C756010" w14:textId="564AFFA0"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A</w:t>
      </w:r>
      <w:proofErr w:type="gramEnd"/>
      <w:r w:rsidRPr="0097459F">
        <w:rPr>
          <w:rFonts w:cstheme="minorHAnsi"/>
        </w:rPr>
        <w:t xml:space="preserve"> existência de conselhos e comitês não exime o gestor da responsabilidade sobre as operações da carteira </w:t>
      </w:r>
      <w:r w:rsidR="001B376F" w:rsidRPr="0097459F">
        <w:rPr>
          <w:rFonts w:cstheme="minorHAnsi"/>
        </w:rPr>
        <w:t>de ativos</w:t>
      </w:r>
      <w:r w:rsidRPr="0097459F">
        <w:rPr>
          <w:rFonts w:cstheme="minorHAnsi"/>
        </w:rPr>
        <w:t>.</w:t>
      </w:r>
    </w:p>
    <w:p w14:paraId="1DF334A2" w14:textId="00CFA9AA" w:rsidR="00893D49" w:rsidRPr="0097459F" w:rsidRDefault="00893D49" w:rsidP="00C20BBD">
      <w:pPr>
        <w:pStyle w:val="Normalalteradora"/>
        <w:rPr>
          <w:rFonts w:cstheme="minorHAnsi"/>
        </w:rPr>
      </w:pPr>
      <w:r w:rsidRPr="0097459F">
        <w:rPr>
          <w:rFonts w:cstheme="minorHAnsi"/>
        </w:rPr>
        <w:t>§ 3</w:t>
      </w:r>
      <w:proofErr w:type="gramStart"/>
      <w:r w:rsidRPr="0097459F">
        <w:rPr>
          <w:rFonts w:cstheme="minorHAnsi"/>
        </w:rPr>
        <w:t>º  Os</w:t>
      </w:r>
      <w:proofErr w:type="gramEnd"/>
      <w:r w:rsidRPr="0097459F">
        <w:rPr>
          <w:rFonts w:cstheme="minorHAnsi"/>
        </w:rPr>
        <w:t xml:space="preserve"> membros dos conselhos ou comitês devem informar ao administrador, e este aos cotistas, qualquer situação que os coloque, potencial ou efetivamente, em situação de conflito de interesses com </w:t>
      </w:r>
      <w:r w:rsidR="001B376F" w:rsidRPr="0097459F">
        <w:rPr>
          <w:rFonts w:cstheme="minorHAnsi"/>
        </w:rPr>
        <w:t>a classe de cotas</w:t>
      </w:r>
      <w:r w:rsidRPr="0097459F">
        <w:rPr>
          <w:rFonts w:cstheme="minorHAnsi"/>
        </w:rPr>
        <w:t>.</w:t>
      </w:r>
    </w:p>
    <w:p w14:paraId="1636F722" w14:textId="54699AF2" w:rsidR="00893D49" w:rsidRPr="0097459F" w:rsidRDefault="00893D49" w:rsidP="00C20BBD">
      <w:pPr>
        <w:pStyle w:val="Normalalteradora"/>
        <w:rPr>
          <w:rFonts w:cstheme="minorHAnsi"/>
        </w:rPr>
      </w:pPr>
      <w:r w:rsidRPr="0097459F">
        <w:rPr>
          <w:rFonts w:cstheme="minorHAnsi"/>
        </w:rPr>
        <w:t>§ 4</w:t>
      </w:r>
      <w:proofErr w:type="gramStart"/>
      <w:r w:rsidRPr="0097459F">
        <w:rPr>
          <w:rFonts w:cstheme="minorHAnsi"/>
        </w:rPr>
        <w:t>º  Quando</w:t>
      </w:r>
      <w:proofErr w:type="gramEnd"/>
      <w:r w:rsidRPr="0097459F">
        <w:rPr>
          <w:rFonts w:cstheme="minorHAnsi"/>
        </w:rPr>
        <w:t xml:space="preserve"> constituídos por iniciativa </w:t>
      </w:r>
      <w:r w:rsidR="00D95000" w:rsidRPr="0097459F">
        <w:rPr>
          <w:rFonts w:cstheme="minorHAnsi"/>
        </w:rPr>
        <w:t>de prestador de serviço essencia</w:t>
      </w:r>
      <w:r w:rsidR="0040031F" w:rsidRPr="0097459F">
        <w:rPr>
          <w:rFonts w:cstheme="minorHAnsi"/>
        </w:rPr>
        <w:t>l</w:t>
      </w:r>
      <w:r w:rsidRPr="0097459F">
        <w:rPr>
          <w:rFonts w:cstheme="minorHAnsi"/>
        </w:rPr>
        <w:t>, os membros do conselho ou comitê podem ser remunerados com parcela da taxa de administração ou gestão, conforme o caso.</w:t>
      </w:r>
    </w:p>
    <w:p w14:paraId="360C437D" w14:textId="044A714C" w:rsidR="58E16711" w:rsidRPr="0097459F" w:rsidRDefault="00273C0F" w:rsidP="00C20BBD">
      <w:pPr>
        <w:pStyle w:val="Normalalteradora"/>
      </w:pPr>
      <w:r w:rsidRPr="0097459F">
        <w:t>§</w:t>
      </w:r>
      <w:r w:rsidR="27D328A9" w:rsidRPr="0097459F">
        <w:t xml:space="preserve"> 5</w:t>
      </w:r>
      <w:proofErr w:type="gramStart"/>
      <w:r w:rsidR="27D328A9" w:rsidRPr="0097459F">
        <w:t xml:space="preserve">º </w:t>
      </w:r>
      <w:r w:rsidR="0040031F" w:rsidRPr="0097459F">
        <w:t xml:space="preserve"> </w:t>
      </w:r>
      <w:r w:rsidR="27D328A9" w:rsidRPr="0097459F">
        <w:t>Quando</w:t>
      </w:r>
      <w:proofErr w:type="gramEnd"/>
      <w:r w:rsidR="27D328A9" w:rsidRPr="0097459F">
        <w:t xml:space="preserve"> </w:t>
      </w:r>
      <w:r w:rsidRPr="0097459F">
        <w:t>constituído</w:t>
      </w:r>
      <w:r w:rsidR="27D328A9" w:rsidRPr="0097459F">
        <w:t xml:space="preserve"> com o objetivo de fiscalizar ou supervisionar as atividades exercidas por prestador de serviços essencia</w:t>
      </w:r>
      <w:r w:rsidR="55C289BB" w:rsidRPr="0097459F">
        <w:t>l</w:t>
      </w:r>
      <w:r w:rsidR="27D328A9" w:rsidRPr="0097459F">
        <w:t xml:space="preserve">, a remuneração de membros </w:t>
      </w:r>
      <w:r w:rsidRPr="0097459F">
        <w:t>do comitê</w:t>
      </w:r>
      <w:r w:rsidR="43F8A22E" w:rsidRPr="0097459F">
        <w:t xml:space="preserve"> </w:t>
      </w:r>
      <w:r w:rsidR="27D328A9" w:rsidRPr="0097459F">
        <w:t xml:space="preserve">pode </w:t>
      </w:r>
      <w:r w:rsidRPr="0097459F">
        <w:t>constituir</w:t>
      </w:r>
      <w:r w:rsidR="1CD5CF46" w:rsidRPr="0097459F">
        <w:t xml:space="preserve"> </w:t>
      </w:r>
      <w:r w:rsidR="27D328A9" w:rsidRPr="0097459F">
        <w:t xml:space="preserve">encargo do fundo, desde que expressamente </w:t>
      </w:r>
      <w:r w:rsidR="051F78DA" w:rsidRPr="0097459F">
        <w:t>previst</w:t>
      </w:r>
      <w:r w:rsidR="0040031F" w:rsidRPr="0097459F">
        <w:t>a</w:t>
      </w:r>
      <w:r w:rsidR="051F78DA" w:rsidRPr="0097459F">
        <w:t xml:space="preserve"> </w:t>
      </w:r>
      <w:r w:rsidR="27D328A9" w:rsidRPr="0097459F">
        <w:t>no regulamento.</w:t>
      </w:r>
    </w:p>
    <w:p w14:paraId="55B38361" w14:textId="77777777" w:rsidR="00893D49" w:rsidRPr="0097459F" w:rsidRDefault="00893D49" w:rsidP="00C20BBD">
      <w:pPr>
        <w:pStyle w:val="Seo"/>
        <w:rPr>
          <w:rFonts w:asciiTheme="minorHAnsi" w:hAnsiTheme="minorHAnsi"/>
        </w:rPr>
      </w:pPr>
      <w:bookmarkStart w:id="229" w:name="_Toc53594457"/>
      <w:bookmarkStart w:id="230" w:name="_Toc53595482"/>
      <w:bookmarkStart w:id="231" w:name="_Toc53594209"/>
      <w:bookmarkStart w:id="232" w:name="_Toc114818989"/>
      <w:bookmarkStart w:id="233" w:name="_Toc57836217"/>
      <w:bookmarkStart w:id="234" w:name="_Toc161141230"/>
      <w:r w:rsidRPr="0097459F">
        <w:rPr>
          <w:rFonts w:asciiTheme="minorHAnsi" w:hAnsiTheme="minorHAnsi"/>
        </w:rPr>
        <w:lastRenderedPageBreak/>
        <w:t>Seção III – Remuneração</w:t>
      </w:r>
      <w:bookmarkEnd w:id="229"/>
      <w:bookmarkEnd w:id="230"/>
      <w:bookmarkEnd w:id="231"/>
      <w:bookmarkEnd w:id="232"/>
      <w:bookmarkEnd w:id="233"/>
      <w:bookmarkEnd w:id="234"/>
    </w:p>
    <w:p w14:paraId="15D8E65C" w14:textId="6F51496C"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97</w:t>
      </w:r>
      <w:r w:rsidR="00F76599" w:rsidRPr="0097459F">
        <w:rPr>
          <w:rFonts w:cstheme="minorHAnsi"/>
        </w:rPr>
        <w:t>.  O prestador de serviço</w:t>
      </w:r>
      <w:r w:rsidRPr="0097459F">
        <w:rPr>
          <w:rFonts w:cstheme="minorHAnsi"/>
        </w:rPr>
        <w:t xml:space="preserve"> essencial pode reduzir unilateralmente taxa que lhe compete, sem que seja requerida deliberação de assembleia de cotistas para que seja promovida alteração do regulamento.</w:t>
      </w:r>
    </w:p>
    <w:p w14:paraId="46BDFACD" w14:textId="1C7AA681" w:rsidR="00893D49" w:rsidRPr="0097459F" w:rsidRDefault="00893D49" w:rsidP="00C20BBD">
      <w:pPr>
        <w:pStyle w:val="Normalalteradora"/>
        <w:rPr>
          <w:rFonts w:cstheme="minorHAnsi"/>
        </w:rPr>
      </w:pPr>
      <w:r w:rsidRPr="0097459F">
        <w:rPr>
          <w:rFonts w:cstheme="minorHAnsi"/>
        </w:rPr>
        <w:t xml:space="preserve">Art. </w:t>
      </w:r>
      <w:r w:rsidR="00B7720E" w:rsidRPr="0097459F">
        <w:rPr>
          <w:rFonts w:cstheme="minorHAnsi"/>
        </w:rPr>
        <w:t>98</w:t>
      </w:r>
      <w:r w:rsidRPr="0097459F">
        <w:rPr>
          <w:rFonts w:cstheme="minorHAnsi"/>
        </w:rPr>
        <w:t xml:space="preserve">.  A classe de cotas que </w:t>
      </w:r>
      <w:r w:rsidR="00A16197" w:rsidRPr="0097459F">
        <w:rPr>
          <w:rFonts w:cstheme="minorHAnsi"/>
        </w:rPr>
        <w:t xml:space="preserve">possa </w:t>
      </w:r>
      <w:r w:rsidRPr="0097459F">
        <w:rPr>
          <w:rFonts w:cstheme="minorHAnsi"/>
        </w:rPr>
        <w:t xml:space="preserve">adquirir cotas de outros fundos de investimento deve estabelecer em seu regulamento que </w:t>
      </w:r>
      <w:r w:rsidR="00290426" w:rsidRPr="0097459F">
        <w:rPr>
          <w:rFonts w:cstheme="minorHAnsi"/>
        </w:rPr>
        <w:t xml:space="preserve">suas </w:t>
      </w:r>
      <w:r w:rsidRPr="0097459F">
        <w:rPr>
          <w:rFonts w:cstheme="minorHAnsi"/>
        </w:rPr>
        <w:t xml:space="preserve">taxas </w:t>
      </w:r>
      <w:r w:rsidR="00290426" w:rsidRPr="0097459F">
        <w:rPr>
          <w:rFonts w:cstheme="minorHAnsi"/>
        </w:rPr>
        <w:t>de administração</w:t>
      </w:r>
      <w:r w:rsidR="00210741" w:rsidRPr="0097459F">
        <w:rPr>
          <w:rFonts w:cstheme="minorHAnsi"/>
        </w:rPr>
        <w:t xml:space="preserve"> e gestão</w:t>
      </w:r>
      <w:r w:rsidR="00F62768" w:rsidRPr="0097459F">
        <w:rPr>
          <w:rFonts w:cstheme="minorHAnsi"/>
        </w:rPr>
        <w:t xml:space="preserve"> </w:t>
      </w:r>
      <w:r w:rsidRPr="0097459F">
        <w:rPr>
          <w:rFonts w:cstheme="minorHAnsi"/>
        </w:rPr>
        <w:t xml:space="preserve">compreendem as taxas dos fundos </w:t>
      </w:r>
      <w:r w:rsidR="00290426" w:rsidRPr="0097459F">
        <w:rPr>
          <w:rFonts w:cstheme="minorHAnsi"/>
        </w:rPr>
        <w:t>investidos</w:t>
      </w:r>
      <w:r w:rsidRPr="0097459F">
        <w:rPr>
          <w:rFonts w:cstheme="minorHAnsi"/>
        </w:rPr>
        <w:t>.</w:t>
      </w:r>
    </w:p>
    <w:p w14:paraId="014B7194" w14:textId="3B531F53"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Para</w:t>
      </w:r>
      <w:proofErr w:type="gramEnd"/>
      <w:r w:rsidRPr="0097459F">
        <w:rPr>
          <w:rFonts w:cstheme="minorHAnsi"/>
        </w:rPr>
        <w:t xml:space="preserve"> efeitos do disposto no </w:t>
      </w:r>
      <w:r w:rsidRPr="0097459F">
        <w:rPr>
          <w:rFonts w:cstheme="minorHAnsi"/>
          <w:b/>
        </w:rPr>
        <w:t>caput</w:t>
      </w:r>
      <w:r w:rsidRPr="0097459F">
        <w:rPr>
          <w:rFonts w:cstheme="minorHAnsi"/>
        </w:rPr>
        <w:t xml:space="preserve">, o regulamento </w:t>
      </w:r>
      <w:r w:rsidR="002931B6" w:rsidRPr="0097459F">
        <w:rPr>
          <w:rFonts w:cstheme="minorHAnsi"/>
        </w:rPr>
        <w:t>pode</w:t>
      </w:r>
      <w:r w:rsidR="00883E92" w:rsidRPr="0097459F">
        <w:rPr>
          <w:rFonts w:cstheme="minorHAnsi"/>
        </w:rPr>
        <w:t xml:space="preserve"> estabelecer </w:t>
      </w:r>
      <w:r w:rsidRPr="0097459F">
        <w:rPr>
          <w:rFonts w:cstheme="minorHAnsi"/>
        </w:rPr>
        <w:t xml:space="preserve">taxas máximas, compreendendo as taxas dos fundos </w:t>
      </w:r>
      <w:r w:rsidR="00290426" w:rsidRPr="0097459F">
        <w:rPr>
          <w:rFonts w:cstheme="minorHAnsi"/>
        </w:rPr>
        <w:t>investidos</w:t>
      </w:r>
      <w:r w:rsidRPr="0097459F">
        <w:rPr>
          <w:rFonts w:cstheme="minorHAnsi"/>
        </w:rPr>
        <w:t xml:space="preserve">, e taxas mínimas, que não incluam as taxas dos fundos </w:t>
      </w:r>
      <w:r w:rsidR="00290426" w:rsidRPr="0097459F">
        <w:rPr>
          <w:rFonts w:cstheme="minorHAnsi"/>
        </w:rPr>
        <w:t>investidos</w:t>
      </w:r>
      <w:r w:rsidRPr="0097459F">
        <w:rPr>
          <w:rFonts w:cstheme="minorHAnsi"/>
        </w:rPr>
        <w:t xml:space="preserve">, caso em que qualquer canal ou material de divulgação que efetue comparação de qualquer natureza entre </w:t>
      </w:r>
      <w:r w:rsidR="00290426" w:rsidRPr="0097459F">
        <w:rPr>
          <w:rFonts w:cstheme="minorHAnsi"/>
        </w:rPr>
        <w:t>classes de cotas</w:t>
      </w:r>
      <w:r w:rsidRPr="0097459F">
        <w:rPr>
          <w:rFonts w:cstheme="minorHAnsi"/>
        </w:rPr>
        <w:t>, deve referir-se, na comparação, apenas às taxas máximas, permitida a referência, em nota, às taxas mínimas e às taxas efetivas em outros períodos.</w:t>
      </w:r>
    </w:p>
    <w:p w14:paraId="4650EBD8" w14:textId="21F53480"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w:t>
      </w:r>
      <w:r w:rsidR="00C959D1" w:rsidRPr="0097459F">
        <w:t xml:space="preserve">  As</w:t>
      </w:r>
      <w:proofErr w:type="gramEnd"/>
      <w:r w:rsidR="00C959D1" w:rsidRPr="0097459F">
        <w:t xml:space="preserve"> aplicações </w:t>
      </w:r>
      <w:r w:rsidR="001727D1" w:rsidRPr="0097459F">
        <w:t xml:space="preserve">em classes de cotas dos </w:t>
      </w:r>
      <w:r w:rsidR="00C959D1" w:rsidRPr="0097459F">
        <w:t>seguintes fundos</w:t>
      </w:r>
      <w:r w:rsidR="00493B0A" w:rsidRPr="0097459F">
        <w:rPr>
          <w:rFonts w:cstheme="minorHAnsi"/>
        </w:rPr>
        <w:t xml:space="preserve"> de </w:t>
      </w:r>
      <w:r w:rsidR="00C959D1" w:rsidRPr="0097459F">
        <w:t>investimento</w:t>
      </w:r>
      <w:r w:rsidR="00493B0A" w:rsidRPr="0097459F">
        <w:rPr>
          <w:rFonts w:cstheme="minorHAnsi"/>
        </w:rPr>
        <w:t xml:space="preserve"> </w:t>
      </w:r>
      <w:r w:rsidRPr="0097459F">
        <w:rPr>
          <w:rFonts w:cstheme="minorHAnsi"/>
        </w:rPr>
        <w:t xml:space="preserve">não </w:t>
      </w:r>
      <w:r w:rsidR="00C959D1" w:rsidRPr="0097459F">
        <w:t>devem</w:t>
      </w:r>
      <w:r w:rsidRPr="0097459F">
        <w:rPr>
          <w:rFonts w:cstheme="minorHAnsi"/>
        </w:rPr>
        <w:t xml:space="preserve"> ser </w:t>
      </w:r>
      <w:r w:rsidR="00C959D1" w:rsidRPr="0097459F">
        <w:t>consideradas</w:t>
      </w:r>
      <w:r w:rsidRPr="0097459F">
        <w:rPr>
          <w:rFonts w:cstheme="minorHAnsi"/>
        </w:rPr>
        <w:t xml:space="preserve"> para os efeitos do </w:t>
      </w:r>
      <w:r w:rsidRPr="0097459F">
        <w:rPr>
          <w:rFonts w:cstheme="minorHAnsi"/>
          <w:b/>
        </w:rPr>
        <w:t>caput</w:t>
      </w:r>
      <w:r w:rsidRPr="0097459F">
        <w:rPr>
          <w:rFonts w:cstheme="minorHAnsi"/>
        </w:rPr>
        <w:t xml:space="preserve"> e do § 1º:</w:t>
      </w:r>
    </w:p>
    <w:p w14:paraId="2DE2E9A1" w14:textId="161FED9C" w:rsidR="00C959D1" w:rsidRPr="0097459F" w:rsidRDefault="00C959D1" w:rsidP="00C20BBD">
      <w:pPr>
        <w:pStyle w:val="Normalalteradora"/>
      </w:pPr>
      <w:r w:rsidRPr="0097459F">
        <w:t>I –</w:t>
      </w:r>
      <w:r w:rsidR="008E0306" w:rsidRPr="0097459F">
        <w:t xml:space="preserve"> </w:t>
      </w:r>
      <w:proofErr w:type="gramStart"/>
      <w:r w:rsidRPr="0097459F">
        <w:t>fundos</w:t>
      </w:r>
      <w:proofErr w:type="gramEnd"/>
      <w:r w:rsidRPr="0097459F">
        <w:t xml:space="preserve"> cujas cotas sejam admitidas à negociação em mercado organizado; e</w:t>
      </w:r>
    </w:p>
    <w:p w14:paraId="75299E93" w14:textId="120F8289" w:rsidR="00C959D1" w:rsidRPr="0097459F" w:rsidRDefault="00C959D1" w:rsidP="00C20BBD">
      <w:pPr>
        <w:pStyle w:val="Normalalteradora"/>
      </w:pPr>
      <w:r w:rsidRPr="0097459F">
        <w:t xml:space="preserve">II – </w:t>
      </w:r>
      <w:proofErr w:type="gramStart"/>
      <w:r w:rsidRPr="0097459F">
        <w:t>fundos</w:t>
      </w:r>
      <w:proofErr w:type="gramEnd"/>
      <w:r w:rsidRPr="0097459F">
        <w:t xml:space="preserve"> geridos por partes não relacionadas ao gestor do fundo investido</w:t>
      </w:r>
      <w:r w:rsidR="00F76599" w:rsidRPr="0097459F">
        <w:t>r.</w:t>
      </w:r>
    </w:p>
    <w:p w14:paraId="2714C014" w14:textId="58A28277" w:rsidR="008A2E69" w:rsidRPr="0097459F" w:rsidRDefault="008A2E69" w:rsidP="00C20BBD">
      <w:pPr>
        <w:pStyle w:val="Normalalteradora"/>
      </w:pPr>
      <w:r w:rsidRPr="0097459F">
        <w:t xml:space="preserve">Art. </w:t>
      </w:r>
      <w:r w:rsidR="00B7720E" w:rsidRPr="0097459F">
        <w:t>99</w:t>
      </w:r>
      <w:r w:rsidRPr="0097459F">
        <w:t xml:space="preserve">.  Na hipótese de </w:t>
      </w:r>
      <w:r w:rsidR="009E7BAF" w:rsidRPr="0097459F">
        <w:t xml:space="preserve">existir </w:t>
      </w:r>
      <w:r w:rsidRPr="0097459F">
        <w:t>acordo de remuneração com base na taxa de administração</w:t>
      </w:r>
      <w:r w:rsidR="00467E78" w:rsidRPr="0097459F">
        <w:t xml:space="preserve">, performance ou </w:t>
      </w:r>
      <w:r w:rsidRPr="0097459F">
        <w:t>gestão</w:t>
      </w:r>
      <w:r w:rsidR="3A7B1CA4" w:rsidRPr="0097459F">
        <w:t>,</w:t>
      </w:r>
      <w:r w:rsidRPr="0097459F">
        <w:t xml:space="preserve"> que </w:t>
      </w:r>
      <w:r w:rsidR="00273C0F" w:rsidRPr="0097459F">
        <w:t xml:space="preserve">deve ser </w:t>
      </w:r>
      <w:r w:rsidRPr="0097459F">
        <w:t xml:space="preserve">paga diretamente pela classe investida a classes investidoras, nos termos do inciso XVII do art. </w:t>
      </w:r>
      <w:r w:rsidR="0037292A" w:rsidRPr="0097459F">
        <w:t>117</w:t>
      </w:r>
      <w:r w:rsidRPr="0097459F">
        <w:t xml:space="preserve">, o valor das correspondentes parcelas das taxas de administração ou gestão deve ser subtraído </w:t>
      </w:r>
      <w:r w:rsidR="00B93D01" w:rsidRPr="0097459F">
        <w:t>e limitado a</w:t>
      </w:r>
      <w:r w:rsidRPr="0097459F">
        <w:t>os valores destinados pela classe investida ao provisionamento ou pagamento das despesas com as referidas taxas.</w:t>
      </w:r>
    </w:p>
    <w:p w14:paraId="47BC79EB" w14:textId="17E5C589" w:rsidR="008A2E69" w:rsidRPr="0097459F" w:rsidRDefault="008A2E69" w:rsidP="00C20BBD">
      <w:pPr>
        <w:pStyle w:val="Normalalteradora"/>
      </w:pPr>
      <w:r w:rsidRPr="0097459F">
        <w:t xml:space="preserve">Parágrafo único.  É vedado que o acordo de remuneração direta ou indiretamente resulte em desconto, abatimento ou redução de taxa de administração, </w:t>
      </w:r>
      <w:r w:rsidR="0085689B" w:rsidRPr="0097459F">
        <w:t xml:space="preserve">performance, </w:t>
      </w:r>
      <w:r w:rsidRPr="0097459F">
        <w:t xml:space="preserve">gestão ou qualquer outra taxa devida pela classe investidora </w:t>
      </w:r>
      <w:r w:rsidR="00E90AF5" w:rsidRPr="0097459F">
        <w:t>à invest</w:t>
      </w:r>
      <w:r w:rsidRPr="0097459F">
        <w:t>ida.</w:t>
      </w:r>
    </w:p>
    <w:p w14:paraId="53B2ADCB" w14:textId="66B99B1D" w:rsidR="00E90AF5" w:rsidRPr="0097459F" w:rsidRDefault="00893D49" w:rsidP="00C20BBD">
      <w:pPr>
        <w:spacing w:before="120" w:after="120" w:line="312" w:lineRule="auto"/>
        <w:ind w:firstLine="567"/>
        <w:jc w:val="both"/>
        <w:rPr>
          <w:sz w:val="24"/>
          <w:szCs w:val="24"/>
        </w:rPr>
      </w:pPr>
      <w:r w:rsidRPr="0097459F">
        <w:rPr>
          <w:rFonts w:asciiTheme="minorHAnsi" w:hAnsiTheme="minorHAnsi"/>
          <w:sz w:val="24"/>
          <w:szCs w:val="24"/>
        </w:rPr>
        <w:t xml:space="preserve">Art. </w:t>
      </w:r>
      <w:r w:rsidR="00B7720E" w:rsidRPr="0097459F">
        <w:rPr>
          <w:rFonts w:asciiTheme="minorHAnsi" w:hAnsiTheme="minorHAnsi"/>
          <w:sz w:val="24"/>
          <w:szCs w:val="24"/>
        </w:rPr>
        <w:t>100</w:t>
      </w:r>
      <w:r w:rsidRPr="0097459F">
        <w:rPr>
          <w:rFonts w:asciiTheme="minorHAnsi" w:hAnsiTheme="minorHAnsi"/>
          <w:sz w:val="24"/>
          <w:szCs w:val="24"/>
        </w:rPr>
        <w:t xml:space="preserve">.  Cumpre ao prestador de serviço essencial zelar para que as despesas com a contratação de terceiros prestadores de serviços </w:t>
      </w:r>
      <w:r w:rsidR="00467E78" w:rsidRPr="0097459F">
        <w:rPr>
          <w:rFonts w:asciiTheme="minorHAnsi" w:hAnsiTheme="minorHAnsi"/>
          <w:sz w:val="24"/>
          <w:szCs w:val="24"/>
        </w:rPr>
        <w:t xml:space="preserve">que não constituam encargos do fundo </w:t>
      </w:r>
      <w:r w:rsidRPr="0097459F">
        <w:rPr>
          <w:rFonts w:asciiTheme="minorHAnsi" w:hAnsiTheme="minorHAnsi"/>
          <w:sz w:val="24"/>
          <w:szCs w:val="24"/>
        </w:rPr>
        <w:t>não excedam o montante total</w:t>
      </w:r>
      <w:r w:rsidR="006109D6" w:rsidRPr="0097459F">
        <w:rPr>
          <w:rFonts w:asciiTheme="minorHAnsi" w:hAnsiTheme="minorHAnsi"/>
          <w:sz w:val="24"/>
          <w:szCs w:val="24"/>
        </w:rPr>
        <w:t>, conforme o caso</w:t>
      </w:r>
      <w:r w:rsidRPr="0097459F">
        <w:rPr>
          <w:rFonts w:asciiTheme="minorHAnsi" w:hAnsiTheme="minorHAnsi"/>
          <w:sz w:val="24"/>
          <w:szCs w:val="24"/>
        </w:rPr>
        <w:t xml:space="preserve"> da taxa </w:t>
      </w:r>
      <w:r w:rsidR="006109D6" w:rsidRPr="0097459F">
        <w:rPr>
          <w:rFonts w:asciiTheme="minorHAnsi" w:hAnsiTheme="minorHAnsi"/>
          <w:sz w:val="24"/>
          <w:szCs w:val="24"/>
        </w:rPr>
        <w:t>de administração ou de gestão</w:t>
      </w:r>
      <w:r w:rsidRPr="0097459F">
        <w:rPr>
          <w:rFonts w:asciiTheme="minorHAnsi" w:hAnsiTheme="minorHAnsi"/>
          <w:sz w:val="24"/>
          <w:szCs w:val="24"/>
        </w:rPr>
        <w:t xml:space="preserve">, conforme estabelecida no regulamento, </w:t>
      </w:r>
      <w:r w:rsidRPr="0097459F">
        <w:rPr>
          <w:rFonts w:asciiTheme="minorHAnsi" w:hAnsiTheme="minorHAnsi"/>
          <w:sz w:val="24"/>
          <w:szCs w:val="24"/>
        </w:rPr>
        <w:lastRenderedPageBreak/>
        <w:t xml:space="preserve">correndo o pagamento de </w:t>
      </w:r>
      <w:r w:rsidR="00146431" w:rsidRPr="0097459F">
        <w:rPr>
          <w:rFonts w:asciiTheme="minorHAnsi" w:hAnsiTheme="minorHAnsi" w:cstheme="minorHAnsi"/>
          <w:sz w:val="24"/>
          <w:szCs w:val="24"/>
        </w:rPr>
        <w:t xml:space="preserve">qualquer </w:t>
      </w:r>
      <w:r w:rsidRPr="0097459F">
        <w:rPr>
          <w:rFonts w:asciiTheme="minorHAnsi" w:hAnsiTheme="minorHAnsi" w:cstheme="minorHAnsi"/>
          <w:sz w:val="24"/>
          <w:szCs w:val="24"/>
        </w:rPr>
        <w:t>despesa</w:t>
      </w:r>
      <w:r w:rsidRPr="0097459F">
        <w:rPr>
          <w:rFonts w:asciiTheme="minorHAnsi" w:hAnsiTheme="minorHAnsi"/>
          <w:sz w:val="24"/>
          <w:szCs w:val="24"/>
        </w:rPr>
        <w:t xml:space="preserve"> que </w:t>
      </w:r>
      <w:r w:rsidRPr="0097459F">
        <w:rPr>
          <w:rFonts w:asciiTheme="minorHAnsi" w:hAnsiTheme="minorHAnsi" w:cstheme="minorHAnsi"/>
          <w:sz w:val="24"/>
          <w:szCs w:val="24"/>
        </w:rPr>
        <w:t>ultrapasse</w:t>
      </w:r>
      <w:r w:rsidRPr="0097459F">
        <w:rPr>
          <w:rFonts w:asciiTheme="minorHAnsi" w:hAnsiTheme="minorHAnsi"/>
          <w:sz w:val="24"/>
          <w:szCs w:val="24"/>
        </w:rPr>
        <w:t xml:space="preserve"> esse limite às expensas do prestador de serviço</w:t>
      </w:r>
      <w:r w:rsidRPr="0097459F">
        <w:rPr>
          <w:rFonts w:asciiTheme="minorHAnsi" w:hAnsiTheme="minorHAnsi" w:cstheme="minorHAnsi"/>
          <w:sz w:val="24"/>
          <w:szCs w:val="24"/>
        </w:rPr>
        <w:t xml:space="preserve"> </w:t>
      </w:r>
      <w:r w:rsidR="00D81FDA" w:rsidRPr="0097459F">
        <w:rPr>
          <w:rFonts w:asciiTheme="minorHAnsi" w:hAnsiTheme="minorHAnsi" w:cstheme="minorHAnsi"/>
          <w:sz w:val="24"/>
          <w:szCs w:val="24"/>
        </w:rPr>
        <w:t>essencial</w:t>
      </w:r>
      <w:r w:rsidR="00D81FDA" w:rsidRPr="0097459F">
        <w:rPr>
          <w:rFonts w:asciiTheme="minorHAnsi" w:hAnsiTheme="minorHAnsi"/>
          <w:sz w:val="24"/>
          <w:szCs w:val="24"/>
        </w:rPr>
        <w:t xml:space="preserve"> </w:t>
      </w:r>
      <w:r w:rsidRPr="0097459F">
        <w:rPr>
          <w:rFonts w:asciiTheme="minorHAnsi" w:hAnsiTheme="minorHAnsi"/>
          <w:sz w:val="24"/>
          <w:szCs w:val="24"/>
        </w:rPr>
        <w:t>que a contratou.</w:t>
      </w:r>
      <w:bookmarkStart w:id="235" w:name="_Toc53594458"/>
      <w:bookmarkStart w:id="236" w:name="_Toc53595483"/>
      <w:bookmarkStart w:id="237" w:name="_Toc53594210"/>
    </w:p>
    <w:p w14:paraId="62FC1EDA" w14:textId="3CFD1FEC" w:rsidR="00893D49" w:rsidRPr="0097459F" w:rsidRDefault="00893D49" w:rsidP="00C20BBD">
      <w:pPr>
        <w:pStyle w:val="Seo"/>
        <w:rPr>
          <w:rFonts w:asciiTheme="minorHAnsi" w:hAnsiTheme="minorHAnsi"/>
        </w:rPr>
      </w:pPr>
      <w:bookmarkStart w:id="238" w:name="_Toc114818990"/>
      <w:bookmarkStart w:id="239" w:name="_Toc57836218"/>
      <w:bookmarkStart w:id="240" w:name="_Toc161141231"/>
      <w:r w:rsidRPr="0097459F">
        <w:rPr>
          <w:rFonts w:asciiTheme="minorHAnsi" w:hAnsiTheme="minorHAnsi"/>
        </w:rPr>
        <w:t>Seção IV – Vedações</w:t>
      </w:r>
      <w:bookmarkEnd w:id="235"/>
      <w:bookmarkEnd w:id="236"/>
      <w:bookmarkEnd w:id="237"/>
      <w:bookmarkEnd w:id="238"/>
      <w:bookmarkEnd w:id="239"/>
      <w:bookmarkEnd w:id="240"/>
    </w:p>
    <w:p w14:paraId="7D387E4A" w14:textId="6E32B740" w:rsidR="00893D49" w:rsidRPr="0097459F" w:rsidRDefault="4AF9F487" w:rsidP="00C20BBD">
      <w:pPr>
        <w:pStyle w:val="Normalalteradora"/>
      </w:pPr>
      <w:r w:rsidRPr="0097459F">
        <w:t xml:space="preserve">Art. </w:t>
      </w:r>
      <w:r w:rsidR="00B7720E" w:rsidRPr="0097459F">
        <w:t>101</w:t>
      </w:r>
      <w:r w:rsidRPr="0097459F">
        <w:t xml:space="preserve">.  É vedado </w:t>
      </w:r>
      <w:r w:rsidR="66119598" w:rsidRPr="0097459F">
        <w:t>aos prestadores de serviços essenciais</w:t>
      </w:r>
      <w:r w:rsidRPr="0097459F">
        <w:t xml:space="preserve">, em suas respectivas esferas de atuação, praticar os seguintes atos em nome </w:t>
      </w:r>
      <w:r w:rsidR="1F77D3B8" w:rsidRPr="0097459F">
        <w:t>do fundo, em relação a qua</w:t>
      </w:r>
      <w:r w:rsidR="008E0306" w:rsidRPr="0097459F">
        <w:t>l</w:t>
      </w:r>
      <w:r w:rsidR="1F77D3B8" w:rsidRPr="0097459F">
        <w:t>quer classe</w:t>
      </w:r>
      <w:r w:rsidR="00DB54EF" w:rsidRPr="0097459F">
        <w:t>:</w:t>
      </w:r>
    </w:p>
    <w:p w14:paraId="7B51C8B4" w14:textId="08549AA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rece</w:t>
      </w:r>
      <w:r w:rsidR="00DB54EF" w:rsidRPr="0097459F">
        <w:rPr>
          <w:rFonts w:cstheme="minorHAnsi"/>
        </w:rPr>
        <w:t>ber</w:t>
      </w:r>
      <w:proofErr w:type="gramEnd"/>
      <w:r w:rsidR="00DB54EF" w:rsidRPr="0097459F">
        <w:rPr>
          <w:rFonts w:cstheme="minorHAnsi"/>
        </w:rPr>
        <w:t xml:space="preserve"> depósito em conta corrente;</w:t>
      </w:r>
    </w:p>
    <w:p w14:paraId="0B8D89EB" w14:textId="758F9D81" w:rsidR="00893D49" w:rsidRPr="0097459F" w:rsidRDefault="4AF9F487" w:rsidP="00C20BBD">
      <w:pPr>
        <w:pStyle w:val="Normalalteradora"/>
      </w:pPr>
      <w:r w:rsidRPr="0097459F">
        <w:t xml:space="preserve">II – </w:t>
      </w:r>
      <w:proofErr w:type="gramStart"/>
      <w:r w:rsidRPr="0097459F">
        <w:t>contrair ou efetuar</w:t>
      </w:r>
      <w:proofErr w:type="gramEnd"/>
      <w:r w:rsidRPr="0097459F">
        <w:t xml:space="preserve"> empréstimos</w:t>
      </w:r>
      <w:r w:rsidR="00893D49" w:rsidRPr="0097459F">
        <w:t>, salvo nas hipóteses previstas no</w:t>
      </w:r>
      <w:r w:rsidR="00B8417B" w:rsidRPr="0097459F">
        <w:t>s</w:t>
      </w:r>
      <w:r w:rsidR="00893D49" w:rsidRPr="0097459F">
        <w:t xml:space="preserve"> </w:t>
      </w:r>
      <w:proofErr w:type="spellStart"/>
      <w:r w:rsidR="00893D49" w:rsidRPr="0097459F">
        <w:t>art</w:t>
      </w:r>
      <w:r w:rsidR="00B8417B" w:rsidRPr="0097459F">
        <w:t>s</w:t>
      </w:r>
      <w:proofErr w:type="spellEnd"/>
      <w:r w:rsidR="00893D49" w:rsidRPr="0097459F">
        <w:t xml:space="preserve">. </w:t>
      </w:r>
      <w:r w:rsidR="0037292A" w:rsidRPr="0097459F">
        <w:t>113</w:t>
      </w:r>
      <w:r w:rsidR="001F31C6" w:rsidRPr="0097459F">
        <w:t>, inciso V</w:t>
      </w:r>
      <w:r w:rsidR="00DB54EF" w:rsidRPr="0097459F">
        <w:t>,</w:t>
      </w:r>
      <w:r w:rsidR="001F31C6" w:rsidRPr="0097459F">
        <w:t xml:space="preserve"> e</w:t>
      </w:r>
      <w:r w:rsidR="00893D49" w:rsidRPr="0097459F">
        <w:t xml:space="preserve"> </w:t>
      </w:r>
      <w:r w:rsidR="00E24209" w:rsidRPr="0097459F">
        <w:t>122</w:t>
      </w:r>
      <w:r w:rsidR="001F31C6" w:rsidRPr="0097459F">
        <w:t>, inciso II, alínea “a”, item 3,</w:t>
      </w:r>
      <w:r w:rsidR="00893D49" w:rsidRPr="0097459F">
        <w:t xml:space="preserve"> ou, ainda, em regra específica para </w:t>
      </w:r>
      <w:r w:rsidR="00B8417B" w:rsidRPr="0097459F">
        <w:t>determinada categoria de fundo;</w:t>
      </w:r>
    </w:p>
    <w:p w14:paraId="61D5CFA3" w14:textId="5FD1540D" w:rsidR="00893D49" w:rsidRPr="0097459F" w:rsidRDefault="00B8417B" w:rsidP="00C20BBD">
      <w:pPr>
        <w:pStyle w:val="Normalalteradora"/>
        <w:rPr>
          <w:rFonts w:cstheme="minorHAnsi"/>
        </w:rPr>
      </w:pPr>
      <w:r w:rsidRPr="0097459F">
        <w:rPr>
          <w:rFonts w:cstheme="minorHAnsi"/>
        </w:rPr>
        <w:t>III</w:t>
      </w:r>
      <w:r w:rsidR="00893D49" w:rsidRPr="0097459F">
        <w:rPr>
          <w:rFonts w:cstheme="minorHAnsi"/>
        </w:rPr>
        <w:t xml:space="preserve"> – vender cotas à prestação, sem prejuízo da</w:t>
      </w:r>
      <w:r w:rsidRPr="0097459F">
        <w:rPr>
          <w:rFonts w:cstheme="minorHAnsi"/>
        </w:rPr>
        <w:t xml:space="preserve"> possibilidade de</w:t>
      </w:r>
      <w:r w:rsidR="00893D49" w:rsidRPr="0097459F">
        <w:rPr>
          <w:rFonts w:cstheme="minorHAnsi"/>
        </w:rPr>
        <w:t xml:space="preserve"> integralização a prazo de cotas subscritas;</w:t>
      </w:r>
    </w:p>
    <w:p w14:paraId="628B8D62" w14:textId="0CBC06B5" w:rsidR="00893D49" w:rsidRPr="0097459F" w:rsidRDefault="00B8417B" w:rsidP="00C20BBD">
      <w:pPr>
        <w:pStyle w:val="Normalalteradora"/>
        <w:rPr>
          <w:rFonts w:cstheme="minorHAnsi"/>
        </w:rPr>
      </w:pPr>
      <w:r w:rsidRPr="0097459F">
        <w:rPr>
          <w:rFonts w:cstheme="minorHAnsi"/>
        </w:rPr>
        <w:t>I</w:t>
      </w:r>
      <w:r w:rsidR="00893D49" w:rsidRPr="0097459F">
        <w:rPr>
          <w:rFonts w:cstheme="minorHAnsi"/>
        </w:rPr>
        <w:t xml:space="preserve">V – </w:t>
      </w:r>
      <w:proofErr w:type="gramStart"/>
      <w:r w:rsidR="00893D49" w:rsidRPr="0097459F">
        <w:rPr>
          <w:rFonts w:cstheme="minorHAnsi"/>
        </w:rPr>
        <w:t>garantir</w:t>
      </w:r>
      <w:proofErr w:type="gramEnd"/>
      <w:r w:rsidR="00893D49" w:rsidRPr="0097459F">
        <w:rPr>
          <w:rFonts w:cstheme="minorHAnsi"/>
        </w:rPr>
        <w:t xml:space="preserve"> rendimento predeterminado aos cotistas;</w:t>
      </w:r>
    </w:p>
    <w:p w14:paraId="1EBBDB65" w14:textId="37B91064"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utilizar</w:t>
      </w:r>
      <w:proofErr w:type="gramEnd"/>
      <w:r w:rsidRPr="0097459F">
        <w:rPr>
          <w:rFonts w:cstheme="minorHAnsi"/>
        </w:rPr>
        <w:t xml:space="preserve"> recursos </w:t>
      </w:r>
      <w:r w:rsidR="009A53D7" w:rsidRPr="0097459F">
        <w:rPr>
          <w:rFonts w:cstheme="minorHAnsi"/>
        </w:rPr>
        <w:t>da classe</w:t>
      </w:r>
      <w:r w:rsidRPr="0097459F">
        <w:rPr>
          <w:rFonts w:cstheme="minorHAnsi"/>
        </w:rPr>
        <w:t xml:space="preserve"> para pagamento de seguro contra perdas financeiras de cotistas; e</w:t>
      </w:r>
    </w:p>
    <w:p w14:paraId="27DC6FA9" w14:textId="5C5A455D" w:rsidR="00893D49" w:rsidRPr="0097459F" w:rsidRDefault="00893D49" w:rsidP="00C20BBD">
      <w:pPr>
        <w:pStyle w:val="Normalalteradora"/>
        <w:rPr>
          <w:rFonts w:cstheme="minorHAnsi"/>
        </w:rPr>
      </w:pPr>
      <w:r w:rsidRPr="0097459F">
        <w:rPr>
          <w:rFonts w:cstheme="minorHAnsi"/>
        </w:rPr>
        <w:t xml:space="preserve">VI – </w:t>
      </w:r>
      <w:proofErr w:type="gramStart"/>
      <w:r w:rsidRPr="0097459F">
        <w:rPr>
          <w:rFonts w:cstheme="minorHAnsi"/>
        </w:rPr>
        <w:t>praticar</w:t>
      </w:r>
      <w:proofErr w:type="gramEnd"/>
      <w:r w:rsidRPr="0097459F">
        <w:rPr>
          <w:rFonts w:cstheme="minorHAnsi"/>
        </w:rPr>
        <w:t xml:space="preserve"> qualquer ato de liberalidade</w:t>
      </w:r>
      <w:r w:rsidR="00645C0D" w:rsidRPr="0097459F">
        <w:rPr>
          <w:rFonts w:cstheme="minorHAnsi"/>
        </w:rPr>
        <w:t>, exceto pelas doações que o fundo estiver autorizado a fazer nos termos de seu regulamento, conforme previsto no § 2º do art. 118</w:t>
      </w:r>
      <w:r w:rsidRPr="0097459F">
        <w:rPr>
          <w:rFonts w:cstheme="minorHAnsi"/>
        </w:rPr>
        <w:t>.</w:t>
      </w:r>
    </w:p>
    <w:p w14:paraId="0B5C35D1" w14:textId="04DC0BEA" w:rsidR="00E72C8B" w:rsidRPr="0097459F" w:rsidRDefault="00893D49" w:rsidP="00C20BBD">
      <w:pPr>
        <w:pStyle w:val="Normalalteradora"/>
        <w:rPr>
          <w:rFonts w:cstheme="minorHAnsi"/>
        </w:rPr>
      </w:pPr>
      <w:r w:rsidRPr="0097459F">
        <w:rPr>
          <w:rFonts w:cstheme="minorHAnsi"/>
        </w:rPr>
        <w:t xml:space="preserve">§ </w:t>
      </w:r>
      <w:r w:rsidR="00285326" w:rsidRPr="0097459F">
        <w:rPr>
          <w:rFonts w:cstheme="minorHAnsi"/>
        </w:rPr>
        <w:t>1</w:t>
      </w:r>
      <w:proofErr w:type="gramStart"/>
      <w:r w:rsidR="00285326" w:rsidRPr="0097459F">
        <w:rPr>
          <w:rFonts w:cstheme="minorHAnsi"/>
        </w:rPr>
        <w:t>º</w:t>
      </w:r>
      <w:r w:rsidRPr="0097459F">
        <w:rPr>
          <w:rFonts w:cstheme="minorHAnsi"/>
        </w:rPr>
        <w:t xml:space="preserve">  O</w:t>
      </w:r>
      <w:proofErr w:type="gramEnd"/>
      <w:r w:rsidRPr="0097459F">
        <w:rPr>
          <w:rFonts w:cstheme="minorHAnsi"/>
        </w:rPr>
        <w:t xml:space="preserve"> gestor pode tomar </w:t>
      </w:r>
      <w:bookmarkStart w:id="241" w:name="_DV_C105"/>
      <w:r w:rsidR="00E72C8B" w:rsidRPr="0097459F">
        <w:rPr>
          <w:rFonts w:cstheme="minorHAnsi"/>
        </w:rPr>
        <w:t xml:space="preserve">e dar </w:t>
      </w:r>
      <w:r w:rsidRPr="0097459F">
        <w:rPr>
          <w:rFonts w:cstheme="minorHAnsi"/>
        </w:rPr>
        <w:t>ativos financeiros</w:t>
      </w:r>
      <w:bookmarkStart w:id="242" w:name="_DV_M426"/>
      <w:bookmarkEnd w:id="241"/>
      <w:bookmarkEnd w:id="242"/>
      <w:r w:rsidRPr="0097459F">
        <w:rPr>
          <w:rFonts w:cstheme="minorHAnsi"/>
        </w:rPr>
        <w:t xml:space="preserve"> em empréstimo, desde que tais operações de empréstimo sejam cursadas exclusivamente por meio de serviço autorizado pelo Banco Central do Brasil ou pela CVM.</w:t>
      </w:r>
    </w:p>
    <w:p w14:paraId="29D6C53D" w14:textId="039C745B" w:rsidR="00993E0B" w:rsidRPr="0097459F" w:rsidRDefault="00993E0B" w:rsidP="00C20BBD">
      <w:pPr>
        <w:pStyle w:val="Normalalteradora"/>
        <w:rPr>
          <w:rFonts w:cstheme="minorHAnsi"/>
        </w:rPr>
      </w:pPr>
      <w:r w:rsidRPr="0097459F">
        <w:rPr>
          <w:rFonts w:cstheme="minorHAnsi"/>
        </w:rPr>
        <w:t>§ 2</w:t>
      </w:r>
      <w:proofErr w:type="gramStart"/>
      <w:r w:rsidRPr="0097459F">
        <w:rPr>
          <w:rFonts w:cstheme="minorHAnsi"/>
        </w:rPr>
        <w:t>º  O</w:t>
      </w:r>
      <w:proofErr w:type="gramEnd"/>
      <w:r w:rsidRPr="0097459F">
        <w:rPr>
          <w:rFonts w:cstheme="minorHAnsi"/>
        </w:rPr>
        <w:t xml:space="preserve"> gestor pode utilizar ativos da carteira </w:t>
      </w:r>
      <w:r w:rsidR="004020C2" w:rsidRPr="0097459F">
        <w:rPr>
          <w:rFonts w:cstheme="minorHAnsi"/>
        </w:rPr>
        <w:t>na retenção de risco</w:t>
      </w:r>
      <w:r w:rsidR="009E67C2" w:rsidRPr="0097459F">
        <w:rPr>
          <w:rFonts w:cstheme="minorHAnsi"/>
        </w:rPr>
        <w:t xml:space="preserve"> da classe em suas operações com derivativos.</w:t>
      </w:r>
    </w:p>
    <w:p w14:paraId="56B1D3E2" w14:textId="219A49D6" w:rsidR="003E4D2C" w:rsidRPr="0097459F" w:rsidRDefault="003E4D2C" w:rsidP="00C20BBD">
      <w:pPr>
        <w:pStyle w:val="Normalalteradora"/>
        <w:rPr>
          <w:rFonts w:cstheme="minorHAnsi"/>
        </w:rPr>
      </w:pPr>
      <w:r w:rsidRPr="0097459F">
        <w:rPr>
          <w:rFonts w:cstheme="minorHAnsi"/>
        </w:rPr>
        <w:t xml:space="preserve">Art. </w:t>
      </w:r>
      <w:r w:rsidR="009B021F" w:rsidRPr="0097459F">
        <w:rPr>
          <w:rFonts w:cstheme="minorHAnsi"/>
        </w:rPr>
        <w:t>102</w:t>
      </w:r>
      <w:r w:rsidRPr="0097459F">
        <w:rPr>
          <w:rFonts w:cstheme="minorHAnsi"/>
        </w:rPr>
        <w:t>.  É vedado ao gestor e, se houver, ao consultor o recebimento de qualquer remuneração, benefício ou vantagem, direta ou indiretamente, que potencialmente prejudique sua independência na tomada de decisão ou, no caso do consultor, sugestão de investimento.</w:t>
      </w:r>
    </w:p>
    <w:p w14:paraId="300321F5" w14:textId="370F66D7" w:rsidR="00B47476" w:rsidRPr="0097459F" w:rsidRDefault="00B47476" w:rsidP="00C20BBD">
      <w:pPr>
        <w:pStyle w:val="Normalalteradora"/>
        <w:rPr>
          <w:rFonts w:cstheme="minorHAnsi"/>
        </w:rPr>
      </w:pPr>
      <w:r w:rsidRPr="0097459F">
        <w:rPr>
          <w:rFonts w:cstheme="minorHAnsi"/>
        </w:rPr>
        <w:t xml:space="preserve">Art. </w:t>
      </w:r>
      <w:r w:rsidR="009B021F" w:rsidRPr="0097459F">
        <w:rPr>
          <w:rFonts w:cstheme="minorHAnsi"/>
        </w:rPr>
        <w:t>103</w:t>
      </w:r>
      <w:r w:rsidRPr="0097459F">
        <w:rPr>
          <w:rFonts w:cstheme="minorHAnsi"/>
        </w:rPr>
        <w:t>.  É vedado o repasse de informação relevante ainda não divulgada a que se tenha tido acesso em razão de cargo ou posição que ocupe em prestador de serviço do fundo ou em razão de relação comercial, profissional ou de confiança com prestadores de serviço do fundo.</w:t>
      </w:r>
      <w:r w:rsidR="00155DDE" w:rsidRPr="0097459F">
        <w:rPr>
          <w:rFonts w:cstheme="minorHAnsi"/>
        </w:rPr>
        <w:t xml:space="preserve"> </w:t>
      </w:r>
    </w:p>
    <w:p w14:paraId="00B1A9D5" w14:textId="47B58245" w:rsidR="00893D49" w:rsidRPr="0097459F" w:rsidRDefault="00893D49" w:rsidP="00C20BBD">
      <w:pPr>
        <w:pStyle w:val="Seo"/>
        <w:rPr>
          <w:rFonts w:asciiTheme="minorHAnsi" w:hAnsiTheme="minorHAnsi"/>
        </w:rPr>
      </w:pPr>
      <w:bookmarkStart w:id="243" w:name="_Toc114818992"/>
      <w:bookmarkStart w:id="244" w:name="_Toc53594459"/>
      <w:bookmarkStart w:id="245" w:name="_Toc53595484"/>
      <w:bookmarkStart w:id="246" w:name="_Toc53594211"/>
      <w:bookmarkStart w:id="247" w:name="_Toc57836219"/>
      <w:bookmarkStart w:id="248" w:name="_Toc161141232"/>
      <w:r w:rsidRPr="0097459F">
        <w:rPr>
          <w:rFonts w:asciiTheme="minorHAnsi" w:hAnsiTheme="minorHAnsi"/>
        </w:rPr>
        <w:lastRenderedPageBreak/>
        <w:t>Seção V – Obrigações</w:t>
      </w:r>
      <w:bookmarkEnd w:id="243"/>
      <w:bookmarkEnd w:id="244"/>
      <w:bookmarkEnd w:id="245"/>
      <w:bookmarkEnd w:id="246"/>
      <w:bookmarkEnd w:id="247"/>
      <w:bookmarkEnd w:id="248"/>
    </w:p>
    <w:p w14:paraId="3ACCFB77" w14:textId="64E9269C" w:rsidR="00893D49" w:rsidRPr="0097459F" w:rsidRDefault="00893D49" w:rsidP="00C20BBD">
      <w:pPr>
        <w:pStyle w:val="Normalalteradora"/>
        <w:rPr>
          <w:rFonts w:cstheme="minorHAnsi"/>
        </w:rPr>
      </w:pPr>
      <w:r w:rsidRPr="0097459F">
        <w:rPr>
          <w:rFonts w:cstheme="minorHAnsi"/>
        </w:rPr>
        <w:t xml:space="preserve">Art. </w:t>
      </w:r>
      <w:r w:rsidR="009B021F" w:rsidRPr="0097459F">
        <w:rPr>
          <w:rFonts w:cstheme="minorHAnsi"/>
        </w:rPr>
        <w:t>104</w:t>
      </w:r>
      <w:r w:rsidRPr="0097459F">
        <w:rPr>
          <w:rFonts w:cstheme="minorHAnsi"/>
        </w:rPr>
        <w:t xml:space="preserve">.  Incluem-se entre as obrigações do administrador, além das demais previstas nesta Resolução e em </w:t>
      </w:r>
      <w:r w:rsidR="000B4728" w:rsidRPr="0097459F">
        <w:rPr>
          <w:rFonts w:cstheme="minorHAnsi"/>
        </w:rPr>
        <w:t xml:space="preserve">regulamentação </w:t>
      </w:r>
      <w:r w:rsidRPr="0097459F">
        <w:rPr>
          <w:rFonts w:cstheme="minorHAnsi"/>
        </w:rPr>
        <w:t>específica:</w:t>
      </w:r>
    </w:p>
    <w:p w14:paraId="64D7C8B7" w14:textId="77777777" w:rsidR="00893D49" w:rsidRPr="0097459F" w:rsidRDefault="00893D49" w:rsidP="00C20BBD">
      <w:pPr>
        <w:pStyle w:val="Normalalteradora"/>
        <w:rPr>
          <w:rFonts w:cstheme="minorHAnsi"/>
        </w:rPr>
      </w:pPr>
      <w:bookmarkStart w:id="249" w:name="_Hlk52092762"/>
      <w:r w:rsidRPr="0097459F">
        <w:rPr>
          <w:rFonts w:cstheme="minorHAnsi"/>
        </w:rPr>
        <w:t xml:space="preserve">I – </w:t>
      </w:r>
      <w:proofErr w:type="gramStart"/>
      <w:r w:rsidRPr="0097459F">
        <w:rPr>
          <w:rFonts w:cstheme="minorHAnsi"/>
        </w:rPr>
        <w:t>diligenciar</w:t>
      </w:r>
      <w:proofErr w:type="gramEnd"/>
      <w:r w:rsidRPr="0097459F">
        <w:rPr>
          <w:rFonts w:cstheme="minorHAnsi"/>
        </w:rPr>
        <w:t xml:space="preserve"> para que sejam mantidos, às suas expensas, atualizados e em perfeita ordem:</w:t>
      </w:r>
    </w:p>
    <w:p w14:paraId="453BFA88" w14:textId="77777777" w:rsidR="00893D49" w:rsidRPr="0097459F" w:rsidRDefault="00893D49" w:rsidP="00C20BBD">
      <w:pPr>
        <w:pStyle w:val="Normalalteradora"/>
        <w:rPr>
          <w:rFonts w:cstheme="minorHAnsi"/>
        </w:rPr>
      </w:pPr>
      <w:r w:rsidRPr="0097459F">
        <w:rPr>
          <w:rFonts w:cstheme="minorHAnsi"/>
        </w:rPr>
        <w:t>a) o registro de cotistas;</w:t>
      </w:r>
    </w:p>
    <w:p w14:paraId="29071C62" w14:textId="77777777" w:rsidR="00893D49" w:rsidRPr="0097459F" w:rsidRDefault="00893D49" w:rsidP="00C20BBD">
      <w:pPr>
        <w:pStyle w:val="Normalalteradora"/>
        <w:rPr>
          <w:rFonts w:cstheme="minorHAnsi"/>
        </w:rPr>
      </w:pPr>
      <w:r w:rsidRPr="0097459F">
        <w:rPr>
          <w:rFonts w:cstheme="minorHAnsi"/>
        </w:rPr>
        <w:t>b) o livro de atas das assembleias gerais;</w:t>
      </w:r>
    </w:p>
    <w:p w14:paraId="10D8A170" w14:textId="77777777" w:rsidR="00893D49" w:rsidRPr="0097459F" w:rsidRDefault="00893D49" w:rsidP="00C20BBD">
      <w:pPr>
        <w:pStyle w:val="Normalalteradora"/>
        <w:rPr>
          <w:rFonts w:cstheme="minorHAnsi"/>
        </w:rPr>
      </w:pPr>
      <w:r w:rsidRPr="0097459F">
        <w:rPr>
          <w:rFonts w:cstheme="minorHAnsi"/>
        </w:rPr>
        <w:t>c) o livro ou lista de presença de cotistas;</w:t>
      </w:r>
    </w:p>
    <w:p w14:paraId="61B60440" w14:textId="275F7F97" w:rsidR="00893D49" w:rsidRPr="0097459F" w:rsidRDefault="00893D49" w:rsidP="00C20BBD">
      <w:pPr>
        <w:pStyle w:val="Normalalteradora"/>
        <w:rPr>
          <w:rFonts w:cstheme="minorHAnsi"/>
        </w:rPr>
      </w:pPr>
      <w:r w:rsidRPr="0097459F">
        <w:rPr>
          <w:rFonts w:cstheme="minorHAnsi"/>
        </w:rPr>
        <w:t>d) os pareceres do auditor independente;</w:t>
      </w:r>
      <w:r w:rsidR="007F6E43" w:rsidRPr="0097459F">
        <w:rPr>
          <w:rFonts w:cstheme="minorHAnsi"/>
        </w:rPr>
        <w:t xml:space="preserve"> e</w:t>
      </w:r>
    </w:p>
    <w:p w14:paraId="1ECDFECB" w14:textId="0DF57D0E" w:rsidR="00893D49" w:rsidRPr="0097459F" w:rsidRDefault="00893D49" w:rsidP="00C20BBD">
      <w:pPr>
        <w:pStyle w:val="Normalalteradora"/>
        <w:rPr>
          <w:rFonts w:cstheme="minorHAnsi"/>
        </w:rPr>
      </w:pPr>
      <w:r w:rsidRPr="0097459F">
        <w:rPr>
          <w:rFonts w:cstheme="minorHAnsi"/>
        </w:rPr>
        <w:t>e) os registros contábeis referentes às opera</w:t>
      </w:r>
      <w:r w:rsidR="007F6E43" w:rsidRPr="0097459F">
        <w:rPr>
          <w:rFonts w:cstheme="minorHAnsi"/>
        </w:rPr>
        <w:t>ções e ao patrimônio do fundo;</w:t>
      </w:r>
    </w:p>
    <w:p w14:paraId="2720476F"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solicitar</w:t>
      </w:r>
      <w:proofErr w:type="gramEnd"/>
      <w:r w:rsidRPr="0097459F">
        <w:rPr>
          <w:rFonts w:cstheme="minorHAnsi"/>
        </w:rPr>
        <w:t>, se for o caso, a admissão à negociação das cotas de classe fechada em mercado organizado;</w:t>
      </w:r>
    </w:p>
    <w:p w14:paraId="1C61229A" w14:textId="7339CFDB" w:rsidR="00893D49" w:rsidRPr="0097459F" w:rsidRDefault="00893D49" w:rsidP="00C20BBD">
      <w:pPr>
        <w:pStyle w:val="Normalalteradora"/>
        <w:rPr>
          <w:rFonts w:cstheme="minorHAnsi"/>
        </w:rPr>
      </w:pPr>
      <w:r w:rsidRPr="0097459F">
        <w:rPr>
          <w:rFonts w:cstheme="minorHAnsi"/>
        </w:rPr>
        <w:t xml:space="preserve">III – pagar a multa cominatória às suas expensas, nos termos da legislação vigente, por cada dia de atraso no cumprimento dos prazos previstos </w:t>
      </w:r>
      <w:r w:rsidR="006C2FD5" w:rsidRPr="0097459F">
        <w:rPr>
          <w:rFonts w:cstheme="minorHAnsi"/>
        </w:rPr>
        <w:t>na regulamentação aplicável</w:t>
      </w:r>
      <w:r w:rsidRPr="0097459F">
        <w:rPr>
          <w:rFonts w:cstheme="minorHAnsi"/>
        </w:rPr>
        <w:t>;</w:t>
      </w:r>
    </w:p>
    <w:p w14:paraId="5579270A" w14:textId="1CF5017B"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elaborar e divulgar</w:t>
      </w:r>
      <w:proofErr w:type="gramEnd"/>
      <w:r w:rsidRPr="0097459F">
        <w:rPr>
          <w:rFonts w:cstheme="minorHAnsi"/>
        </w:rPr>
        <w:t xml:space="preserve"> as informações periódicas e eventuais </w:t>
      </w:r>
      <w:r w:rsidR="006C2FD5" w:rsidRPr="0097459F">
        <w:rPr>
          <w:rFonts w:cstheme="minorHAnsi"/>
        </w:rPr>
        <w:t>da classe de cotas</w:t>
      </w:r>
      <w:r w:rsidRPr="0097459F">
        <w:rPr>
          <w:rFonts w:cstheme="minorHAnsi"/>
        </w:rPr>
        <w:t>;</w:t>
      </w:r>
    </w:p>
    <w:p w14:paraId="23DB9435" w14:textId="116AEA97"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manter</w:t>
      </w:r>
      <w:proofErr w:type="gramEnd"/>
      <w:r w:rsidRPr="0097459F">
        <w:rPr>
          <w:rFonts w:cstheme="minorHAnsi"/>
        </w:rPr>
        <w:t xml:space="preserve"> atualizada junto à CVM a lista de todos os prestadores de serviços contratados pelo fundo, inclusive os prestadores de serviços essenciais, bem como as demais informações cadastrais do fundo</w:t>
      </w:r>
      <w:r w:rsidR="006C2FD5" w:rsidRPr="0097459F">
        <w:rPr>
          <w:rFonts w:cstheme="minorHAnsi"/>
        </w:rPr>
        <w:t xml:space="preserve"> e suas classes de cotas</w:t>
      </w:r>
      <w:r w:rsidRPr="0097459F">
        <w:rPr>
          <w:rFonts w:cstheme="minorHAnsi"/>
        </w:rPr>
        <w:t>;</w:t>
      </w:r>
    </w:p>
    <w:p w14:paraId="39D18C79" w14:textId="298C7EBB" w:rsidR="00893D49" w:rsidRPr="0097459F" w:rsidRDefault="00893D49" w:rsidP="00C20BBD">
      <w:pPr>
        <w:pStyle w:val="Normalalteradora"/>
        <w:rPr>
          <w:rFonts w:cstheme="minorHAnsi"/>
        </w:rPr>
      </w:pPr>
      <w:bookmarkStart w:id="250" w:name="_DV_M445"/>
      <w:bookmarkEnd w:id="250"/>
      <w:r w:rsidRPr="0097459F">
        <w:rPr>
          <w:rFonts w:cstheme="minorHAnsi"/>
        </w:rPr>
        <w:t xml:space="preserve">VI – </w:t>
      </w:r>
      <w:proofErr w:type="gramStart"/>
      <w:r w:rsidRPr="0097459F">
        <w:rPr>
          <w:rFonts w:cstheme="minorHAnsi"/>
        </w:rPr>
        <w:t>manter</w:t>
      </w:r>
      <w:proofErr w:type="gramEnd"/>
      <w:r w:rsidRPr="0097459F">
        <w:rPr>
          <w:rFonts w:cstheme="minorHAnsi"/>
        </w:rPr>
        <w:t xml:space="preserve"> serviço de atendimento ao cotista, responsável pelo esclarecimento de dúvidas e pelo recebimento de reclamações, conforme definido no regulamento;</w:t>
      </w:r>
    </w:p>
    <w:p w14:paraId="3706C1EB" w14:textId="77777777" w:rsidR="00893D49" w:rsidRPr="0097459F" w:rsidRDefault="00893D49" w:rsidP="00C20BBD">
      <w:pPr>
        <w:pStyle w:val="Normalalteradora"/>
        <w:rPr>
          <w:rFonts w:cstheme="minorHAnsi"/>
        </w:rPr>
      </w:pPr>
      <w:r w:rsidRPr="0097459F">
        <w:rPr>
          <w:rFonts w:cstheme="minorHAnsi"/>
        </w:rPr>
        <w:t>VII – nas classes abertas, receber e processar os pedidos de resgate;</w:t>
      </w:r>
    </w:p>
    <w:p w14:paraId="194A248C" w14:textId="596AF594" w:rsidR="00893D49" w:rsidRPr="0097459F" w:rsidRDefault="00893D49" w:rsidP="00C20BBD">
      <w:pPr>
        <w:pStyle w:val="Normalalteradora"/>
        <w:rPr>
          <w:rFonts w:cstheme="minorHAnsi"/>
        </w:rPr>
      </w:pPr>
      <w:r w:rsidRPr="0097459F">
        <w:rPr>
          <w:rFonts w:cstheme="minorHAnsi"/>
        </w:rPr>
        <w:t>VIII – monitorar as hipóteses de liquidação antecipada, se houver;</w:t>
      </w:r>
    </w:p>
    <w:bookmarkEnd w:id="249"/>
    <w:p w14:paraId="4C68CFF9" w14:textId="18901FD6" w:rsidR="00893D49" w:rsidRPr="0097459F" w:rsidRDefault="00893D49" w:rsidP="00C20BBD">
      <w:pPr>
        <w:pStyle w:val="Normalalteradora"/>
        <w:rPr>
          <w:rFonts w:cstheme="minorHAnsi"/>
        </w:rPr>
      </w:pPr>
      <w:r w:rsidRPr="0097459F">
        <w:rPr>
          <w:rFonts w:cstheme="minorHAnsi"/>
        </w:rPr>
        <w:t xml:space="preserve">IX – </w:t>
      </w:r>
      <w:proofErr w:type="gramStart"/>
      <w:r w:rsidRPr="0097459F">
        <w:rPr>
          <w:rFonts w:cstheme="minorHAnsi"/>
        </w:rPr>
        <w:t>observar</w:t>
      </w:r>
      <w:proofErr w:type="gramEnd"/>
      <w:r w:rsidRPr="0097459F">
        <w:rPr>
          <w:rFonts w:cstheme="minorHAnsi"/>
        </w:rPr>
        <w:t xml:space="preserve"> as disposições constantes do regulamento;</w:t>
      </w:r>
      <w:r w:rsidR="001F308F" w:rsidRPr="0097459F">
        <w:rPr>
          <w:rFonts w:cstheme="minorHAnsi"/>
        </w:rPr>
        <w:t xml:space="preserve"> e</w:t>
      </w:r>
    </w:p>
    <w:p w14:paraId="01D3B905" w14:textId="4D3BC518" w:rsidR="00546674" w:rsidRPr="0097459F" w:rsidRDefault="00893D49" w:rsidP="00C20BBD">
      <w:pPr>
        <w:pStyle w:val="Normalalteradora"/>
        <w:rPr>
          <w:rFonts w:cstheme="minorHAnsi"/>
        </w:rPr>
      </w:pPr>
      <w:r w:rsidRPr="0097459F">
        <w:rPr>
          <w:rFonts w:cstheme="minorHAnsi"/>
        </w:rPr>
        <w:t xml:space="preserve">X – </w:t>
      </w:r>
      <w:proofErr w:type="gramStart"/>
      <w:r w:rsidRPr="0097459F">
        <w:rPr>
          <w:rFonts w:cstheme="minorHAnsi"/>
        </w:rPr>
        <w:t>cumprir</w:t>
      </w:r>
      <w:proofErr w:type="gramEnd"/>
      <w:r w:rsidRPr="0097459F">
        <w:rPr>
          <w:rFonts w:cstheme="minorHAnsi"/>
        </w:rPr>
        <w:t xml:space="preserve"> as deliberações da assembleia de cotistas</w:t>
      </w:r>
      <w:r w:rsidR="001F308F" w:rsidRPr="0097459F">
        <w:rPr>
          <w:rFonts w:cstheme="minorHAnsi"/>
        </w:rPr>
        <w:t>.</w:t>
      </w:r>
    </w:p>
    <w:p w14:paraId="1C16DC96" w14:textId="03A05AA9" w:rsidR="00EE08C7" w:rsidRPr="0097459F" w:rsidRDefault="00893D49" w:rsidP="00C20BBD">
      <w:pPr>
        <w:pStyle w:val="Normalalteradora"/>
        <w:rPr>
          <w:rFonts w:cstheme="minorHAnsi"/>
        </w:rPr>
      </w:pPr>
      <w:r w:rsidRPr="0097459F">
        <w:rPr>
          <w:rFonts w:cstheme="minorHAnsi"/>
        </w:rPr>
        <w:t>Parágrafo único.  O serviço de atendimento ao cotista deve ser subordinado diretamente</w:t>
      </w:r>
      <w:r w:rsidR="00EE08C7" w:rsidRPr="0097459F">
        <w:rPr>
          <w:rFonts w:cstheme="minorHAnsi"/>
        </w:rPr>
        <w:t>:</w:t>
      </w:r>
    </w:p>
    <w:p w14:paraId="6C521789" w14:textId="396CF6DD" w:rsidR="00EE08C7" w:rsidRPr="0097459F" w:rsidRDefault="00EE08C7" w:rsidP="00C20BBD">
      <w:pPr>
        <w:pStyle w:val="Normalalteradora"/>
        <w:rPr>
          <w:rFonts w:cstheme="minorHAnsi"/>
        </w:rPr>
      </w:pPr>
      <w:r w:rsidRPr="0097459F">
        <w:rPr>
          <w:rFonts w:cstheme="minorHAnsi"/>
        </w:rPr>
        <w:t>I –</w:t>
      </w:r>
      <w:r w:rsidR="00893D49" w:rsidRPr="0097459F">
        <w:rPr>
          <w:rFonts w:cstheme="minorHAnsi"/>
        </w:rPr>
        <w:t xml:space="preserve"> </w:t>
      </w:r>
      <w:proofErr w:type="gramStart"/>
      <w:r w:rsidR="00893D49" w:rsidRPr="0097459F">
        <w:rPr>
          <w:rFonts w:cstheme="minorHAnsi"/>
        </w:rPr>
        <w:t>ao</w:t>
      </w:r>
      <w:proofErr w:type="gramEnd"/>
      <w:r w:rsidR="00893D49" w:rsidRPr="0097459F">
        <w:rPr>
          <w:rFonts w:cstheme="minorHAnsi"/>
        </w:rPr>
        <w:t xml:space="preserve"> diretor responsável perante a CVM pela administração do fundo</w:t>
      </w:r>
      <w:r w:rsidRPr="0097459F">
        <w:rPr>
          <w:rFonts w:cstheme="minorHAnsi"/>
        </w:rPr>
        <w:t>;</w:t>
      </w:r>
      <w:r w:rsidR="00106418" w:rsidRPr="0097459F">
        <w:rPr>
          <w:rFonts w:cstheme="minorHAnsi"/>
        </w:rPr>
        <w:t xml:space="preserve"> </w:t>
      </w:r>
    </w:p>
    <w:p w14:paraId="7BD2E9FA" w14:textId="129F8176" w:rsidR="00EE08C7" w:rsidRPr="0097459F" w:rsidRDefault="00EE08C7" w:rsidP="00C20BBD">
      <w:pPr>
        <w:pStyle w:val="Normalalteradora"/>
        <w:rPr>
          <w:rFonts w:cstheme="minorHAnsi"/>
        </w:rPr>
      </w:pPr>
      <w:r w:rsidRPr="0097459F">
        <w:rPr>
          <w:rFonts w:cstheme="minorHAnsi"/>
        </w:rPr>
        <w:lastRenderedPageBreak/>
        <w:t xml:space="preserve">II – </w:t>
      </w:r>
      <w:proofErr w:type="gramStart"/>
      <w:r w:rsidR="00106418" w:rsidRPr="0097459F">
        <w:rPr>
          <w:rFonts w:cstheme="minorHAnsi"/>
        </w:rPr>
        <w:t>alternativamente</w:t>
      </w:r>
      <w:proofErr w:type="gramEnd"/>
      <w:r w:rsidR="007B7F8B" w:rsidRPr="0097459F">
        <w:rPr>
          <w:rFonts w:cstheme="minorHAnsi"/>
        </w:rPr>
        <w:t>,</w:t>
      </w:r>
      <w:r w:rsidR="00106418" w:rsidRPr="0097459F">
        <w:rPr>
          <w:rFonts w:cstheme="minorHAnsi"/>
        </w:rPr>
        <w:t xml:space="preserve"> </w:t>
      </w:r>
      <w:r w:rsidR="00893D49" w:rsidRPr="0097459F">
        <w:rPr>
          <w:rFonts w:cstheme="minorHAnsi"/>
        </w:rPr>
        <w:t>a outro diretor especialmente indicado à CVM para essa função pelo administrador</w:t>
      </w:r>
      <w:r w:rsidRPr="0097459F">
        <w:rPr>
          <w:rFonts w:cstheme="minorHAnsi"/>
        </w:rPr>
        <w:t>; ou</w:t>
      </w:r>
    </w:p>
    <w:p w14:paraId="3DC7E880" w14:textId="36CEA2F8" w:rsidR="00893D49" w:rsidRPr="0097459F" w:rsidRDefault="00EE08C7" w:rsidP="00C20BBD">
      <w:pPr>
        <w:pStyle w:val="Normalalteradora"/>
        <w:rPr>
          <w:rFonts w:cstheme="minorHAnsi"/>
        </w:rPr>
      </w:pPr>
      <w:r w:rsidRPr="0097459F">
        <w:rPr>
          <w:rFonts w:cstheme="minorHAnsi"/>
        </w:rPr>
        <w:t xml:space="preserve">III – a </w:t>
      </w:r>
      <w:r w:rsidR="00893D49" w:rsidRPr="0097459F">
        <w:rPr>
          <w:rFonts w:cstheme="minorHAnsi"/>
        </w:rPr>
        <w:t xml:space="preserve">um diretor indicado pela instituição responsável pela distribuição de cotas ou pela gestão da carteira </w:t>
      </w:r>
      <w:r w:rsidR="00747BEC" w:rsidRPr="0097459F">
        <w:rPr>
          <w:rFonts w:cstheme="minorHAnsi"/>
        </w:rPr>
        <w:t>de ativos</w:t>
      </w:r>
      <w:r w:rsidR="00893D49" w:rsidRPr="0097459F">
        <w:rPr>
          <w:rFonts w:cstheme="minorHAnsi"/>
        </w:rPr>
        <w:t>.</w:t>
      </w:r>
    </w:p>
    <w:p w14:paraId="392F3C42" w14:textId="5F7B2D13" w:rsidR="00893D49" w:rsidRPr="0097459F" w:rsidRDefault="00893D49" w:rsidP="00C20BBD">
      <w:pPr>
        <w:pStyle w:val="Normalalteradora"/>
        <w:rPr>
          <w:rFonts w:cstheme="minorHAnsi"/>
        </w:rPr>
      </w:pPr>
      <w:bookmarkStart w:id="251" w:name="_DV_C113"/>
      <w:r w:rsidRPr="0097459F">
        <w:rPr>
          <w:rFonts w:cstheme="minorHAnsi"/>
        </w:rPr>
        <w:t xml:space="preserve">Art. </w:t>
      </w:r>
      <w:r w:rsidR="00232D5E" w:rsidRPr="0097459F">
        <w:rPr>
          <w:rFonts w:cstheme="minorHAnsi"/>
        </w:rPr>
        <w:t>105</w:t>
      </w:r>
      <w:r w:rsidRPr="0097459F">
        <w:rPr>
          <w:rFonts w:cstheme="minorHAnsi"/>
        </w:rPr>
        <w:t>.  Incluem-se entre as obrigações do gestor, além das demais previstas nesta Resolução</w:t>
      </w:r>
      <w:r w:rsidR="006C2FD5" w:rsidRPr="0097459F">
        <w:rPr>
          <w:rFonts w:cstheme="minorHAnsi"/>
        </w:rPr>
        <w:t xml:space="preserve"> e em regulamentação específica</w:t>
      </w:r>
      <w:r w:rsidRPr="0097459F">
        <w:rPr>
          <w:rFonts w:cstheme="minorHAnsi"/>
        </w:rPr>
        <w:t>:</w:t>
      </w:r>
    </w:p>
    <w:p w14:paraId="64278DEF" w14:textId="771057E2"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informar</w:t>
      </w:r>
      <w:proofErr w:type="gramEnd"/>
      <w:r w:rsidRPr="0097459F">
        <w:rPr>
          <w:rFonts w:cstheme="minorHAnsi"/>
        </w:rPr>
        <w:t xml:space="preserve"> o administrador, de imediato, caso ocorra qualquer alteração </w:t>
      </w:r>
      <w:r w:rsidR="007B7F8B" w:rsidRPr="0097459F">
        <w:rPr>
          <w:rFonts w:cstheme="minorHAnsi"/>
        </w:rPr>
        <w:t>em</w:t>
      </w:r>
      <w:r w:rsidR="00C6340A" w:rsidRPr="0097459F">
        <w:rPr>
          <w:rFonts w:cstheme="minorHAnsi"/>
        </w:rPr>
        <w:t xml:space="preserve"> </w:t>
      </w:r>
      <w:r w:rsidRPr="0097459F">
        <w:rPr>
          <w:rFonts w:cstheme="minorHAnsi"/>
        </w:rPr>
        <w:t>prestador de serviço por ele contratado;</w:t>
      </w:r>
    </w:p>
    <w:p w14:paraId="5C7D017C" w14:textId="247180A7" w:rsidR="00893D49" w:rsidRPr="0097459F" w:rsidRDefault="00893D49" w:rsidP="00C20BBD">
      <w:pPr>
        <w:pStyle w:val="Normalalteradora"/>
        <w:rPr>
          <w:rFonts w:cstheme="minorHAnsi"/>
        </w:rPr>
      </w:pPr>
      <w:r w:rsidRPr="0097459F">
        <w:rPr>
          <w:rFonts w:cstheme="minorHAnsi"/>
        </w:rPr>
        <w:t xml:space="preserve">II – </w:t>
      </w:r>
      <w:proofErr w:type="gramStart"/>
      <w:r w:rsidR="006C2FD5" w:rsidRPr="0097459F">
        <w:rPr>
          <w:rFonts w:cstheme="minorHAnsi"/>
        </w:rPr>
        <w:t>providenciar</w:t>
      </w:r>
      <w:proofErr w:type="gramEnd"/>
      <w:r w:rsidR="006C2FD5" w:rsidRPr="0097459F">
        <w:rPr>
          <w:rFonts w:cstheme="minorHAnsi"/>
        </w:rPr>
        <w:t xml:space="preserve"> a</w:t>
      </w:r>
      <w:r w:rsidRPr="0097459F">
        <w:rPr>
          <w:rFonts w:cstheme="minorHAnsi"/>
        </w:rPr>
        <w:t xml:space="preserve"> elaboração do material de divulgação </w:t>
      </w:r>
      <w:r w:rsidR="00F81ACF" w:rsidRPr="0097459F">
        <w:rPr>
          <w:rFonts w:cstheme="minorHAnsi"/>
        </w:rPr>
        <w:t>da classe para utilização pelos distribuidores</w:t>
      </w:r>
      <w:r w:rsidR="006C2FD5" w:rsidRPr="0097459F">
        <w:rPr>
          <w:rFonts w:cstheme="minorHAnsi"/>
        </w:rPr>
        <w:t>, às suas expensas</w:t>
      </w:r>
      <w:r w:rsidR="00C6340A" w:rsidRPr="0097459F">
        <w:rPr>
          <w:rFonts w:cstheme="minorHAnsi"/>
        </w:rPr>
        <w:t>;</w:t>
      </w:r>
    </w:p>
    <w:p w14:paraId="397DAB9E" w14:textId="26A4F952" w:rsidR="00E3550B" w:rsidRPr="0097459F" w:rsidRDefault="00C62543" w:rsidP="00C20BBD">
      <w:pPr>
        <w:pStyle w:val="Normalalteradora"/>
        <w:rPr>
          <w:rFonts w:cstheme="minorHAnsi"/>
        </w:rPr>
      </w:pPr>
      <w:r w:rsidRPr="0097459F">
        <w:rPr>
          <w:rFonts w:cstheme="minorHAnsi"/>
        </w:rPr>
        <w:t xml:space="preserve">III </w:t>
      </w:r>
      <w:r w:rsidR="002406EC" w:rsidRPr="0097459F">
        <w:rPr>
          <w:rFonts w:cstheme="minorHAnsi"/>
        </w:rPr>
        <w:t>–</w:t>
      </w:r>
      <w:r w:rsidRPr="0097459F">
        <w:rPr>
          <w:rFonts w:cstheme="minorHAnsi"/>
        </w:rPr>
        <w:t xml:space="preserve"> diligenciar para manter atualizada e em perfeita ordem</w:t>
      </w:r>
      <w:r w:rsidR="00E3550B" w:rsidRPr="0097459F">
        <w:rPr>
          <w:rFonts w:cstheme="minorHAnsi"/>
        </w:rPr>
        <w:t>, às suas expensas,</w:t>
      </w:r>
      <w:r w:rsidRPr="0097459F">
        <w:rPr>
          <w:rFonts w:cstheme="minorHAnsi"/>
        </w:rPr>
        <w:t xml:space="preserve"> a documentação relativa às operações da classe</w:t>
      </w:r>
      <w:r w:rsidR="00E3550B" w:rsidRPr="0097459F">
        <w:rPr>
          <w:rFonts w:cstheme="minorHAnsi"/>
        </w:rPr>
        <w:t xml:space="preserve"> de cotas;</w:t>
      </w:r>
    </w:p>
    <w:p w14:paraId="401746E6" w14:textId="7A08CBEF" w:rsidR="00BB1FFA" w:rsidRPr="0097459F" w:rsidRDefault="00BB1FFA" w:rsidP="00C20BBD">
      <w:pPr>
        <w:pStyle w:val="Normalalteradora"/>
        <w:rPr>
          <w:rFonts w:cstheme="minorHAnsi"/>
        </w:rPr>
      </w:pPr>
      <w:r w:rsidRPr="0097459F">
        <w:rPr>
          <w:rFonts w:cstheme="minorHAnsi"/>
        </w:rPr>
        <w:t>I</w:t>
      </w:r>
      <w:r w:rsidR="002406EC" w:rsidRPr="0097459F">
        <w:rPr>
          <w:rFonts w:cstheme="minorHAnsi"/>
        </w:rPr>
        <w:t>V</w:t>
      </w:r>
      <w:r w:rsidRPr="0097459F">
        <w:rPr>
          <w:rFonts w:cstheme="minorHAnsi"/>
        </w:rPr>
        <w:t xml:space="preserve"> – </w:t>
      </w:r>
      <w:proofErr w:type="gramStart"/>
      <w:r w:rsidRPr="0097459F">
        <w:rPr>
          <w:rFonts w:cstheme="minorHAnsi"/>
        </w:rPr>
        <w:t>manter</w:t>
      </w:r>
      <w:proofErr w:type="gramEnd"/>
      <w:r w:rsidRPr="0097459F">
        <w:rPr>
          <w:rFonts w:cstheme="minorHAnsi"/>
        </w:rPr>
        <w:t xml:space="preserve"> a carteira de ativos enquadrada aos limites de composição e concentração e, se </w:t>
      </w:r>
      <w:r w:rsidR="00507831" w:rsidRPr="0097459F">
        <w:rPr>
          <w:rFonts w:cstheme="minorHAnsi"/>
        </w:rPr>
        <w:t>for o caso</w:t>
      </w:r>
      <w:r w:rsidRPr="0097459F">
        <w:rPr>
          <w:rFonts w:cstheme="minorHAnsi"/>
        </w:rPr>
        <w:t>, de exposição ao risco de capital;</w:t>
      </w:r>
    </w:p>
    <w:p w14:paraId="42AECEF5" w14:textId="166B25F8" w:rsidR="00893D49" w:rsidRPr="0097459F" w:rsidRDefault="002406EC" w:rsidP="00C20BBD">
      <w:pPr>
        <w:pStyle w:val="Normalalteradora"/>
        <w:rPr>
          <w:rFonts w:cstheme="minorHAnsi"/>
        </w:rPr>
      </w:pPr>
      <w:r w:rsidRPr="0097459F">
        <w:rPr>
          <w:rFonts w:cstheme="minorHAnsi"/>
        </w:rPr>
        <w:t xml:space="preserve">V </w:t>
      </w:r>
      <w:r w:rsidR="00893D49" w:rsidRPr="0097459F">
        <w:rPr>
          <w:rFonts w:cstheme="minorHAnsi"/>
        </w:rPr>
        <w:t xml:space="preserve">– </w:t>
      </w:r>
      <w:proofErr w:type="gramStart"/>
      <w:r w:rsidR="00893D49" w:rsidRPr="0097459F">
        <w:rPr>
          <w:rFonts w:cstheme="minorHAnsi"/>
        </w:rPr>
        <w:t>observar</w:t>
      </w:r>
      <w:proofErr w:type="gramEnd"/>
      <w:r w:rsidR="00893D49" w:rsidRPr="0097459F">
        <w:rPr>
          <w:rFonts w:cstheme="minorHAnsi"/>
        </w:rPr>
        <w:t xml:space="preserve"> as disposições constantes do regulamento; e</w:t>
      </w:r>
    </w:p>
    <w:p w14:paraId="47466FD6" w14:textId="2CE2F73C" w:rsidR="00893D49" w:rsidRPr="0097459F" w:rsidRDefault="00893D49" w:rsidP="00C20BBD">
      <w:pPr>
        <w:pStyle w:val="Normalalteradora"/>
        <w:rPr>
          <w:rFonts w:cstheme="minorHAnsi"/>
        </w:rPr>
      </w:pPr>
      <w:r w:rsidRPr="0097459F">
        <w:rPr>
          <w:rFonts w:cstheme="minorHAnsi"/>
        </w:rPr>
        <w:t>V</w:t>
      </w:r>
      <w:r w:rsidR="002406EC" w:rsidRPr="0097459F">
        <w:rPr>
          <w:rFonts w:cstheme="minorHAnsi"/>
        </w:rPr>
        <w:t>I</w:t>
      </w:r>
      <w:r w:rsidRPr="0097459F">
        <w:rPr>
          <w:rFonts w:cstheme="minorHAnsi"/>
        </w:rPr>
        <w:t xml:space="preserve"> – </w:t>
      </w:r>
      <w:proofErr w:type="gramStart"/>
      <w:r w:rsidRPr="0097459F">
        <w:rPr>
          <w:rFonts w:cstheme="minorHAnsi"/>
        </w:rPr>
        <w:t>cumprir</w:t>
      </w:r>
      <w:proofErr w:type="gramEnd"/>
      <w:r w:rsidRPr="0097459F">
        <w:rPr>
          <w:rFonts w:cstheme="minorHAnsi"/>
        </w:rPr>
        <w:t xml:space="preserve"> as deliberações da assembleia de cotistas.</w:t>
      </w:r>
    </w:p>
    <w:p w14:paraId="2346605A" w14:textId="044655D2" w:rsidR="00893D49" w:rsidRPr="0097459F" w:rsidRDefault="00893D49" w:rsidP="00C20BBD">
      <w:pPr>
        <w:pStyle w:val="Seo"/>
        <w:rPr>
          <w:rFonts w:asciiTheme="minorHAnsi" w:hAnsiTheme="minorHAnsi"/>
        </w:rPr>
      </w:pPr>
      <w:bookmarkStart w:id="252" w:name="_Toc53594460"/>
      <w:bookmarkStart w:id="253" w:name="_Toc53595485"/>
      <w:bookmarkStart w:id="254" w:name="_Toc53594212"/>
      <w:bookmarkStart w:id="255" w:name="_Toc114818993"/>
      <w:bookmarkStart w:id="256" w:name="_Toc57836220"/>
      <w:bookmarkStart w:id="257" w:name="_Toc161141233"/>
      <w:bookmarkEnd w:id="251"/>
      <w:r w:rsidRPr="0097459F">
        <w:rPr>
          <w:rFonts w:asciiTheme="minorHAnsi" w:hAnsiTheme="minorHAnsi"/>
        </w:rPr>
        <w:t>Seção VI – Normas de Conduta</w:t>
      </w:r>
      <w:bookmarkEnd w:id="252"/>
      <w:bookmarkEnd w:id="253"/>
      <w:bookmarkEnd w:id="254"/>
      <w:bookmarkEnd w:id="255"/>
      <w:bookmarkEnd w:id="256"/>
      <w:bookmarkEnd w:id="257"/>
      <w:r w:rsidRPr="0097459F">
        <w:rPr>
          <w:rFonts w:asciiTheme="minorHAnsi" w:hAnsiTheme="minorHAnsi"/>
        </w:rPr>
        <w:t xml:space="preserve"> </w:t>
      </w:r>
    </w:p>
    <w:p w14:paraId="5DEB11BE" w14:textId="4F160400"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106</w:t>
      </w:r>
      <w:r w:rsidRPr="0097459F">
        <w:rPr>
          <w:rFonts w:cstheme="minorHAnsi"/>
        </w:rPr>
        <w:t xml:space="preserve">.  Os prestadores de serviços, nas suas respectivas esferas de atuação, estão obrigados a adotar as seguintes normas de conduta: </w:t>
      </w:r>
    </w:p>
    <w:p w14:paraId="1E1496F1" w14:textId="72811D8C" w:rsidR="00893D49" w:rsidRPr="0097459F" w:rsidRDefault="00893D49" w:rsidP="00C20BBD">
      <w:pPr>
        <w:pStyle w:val="Normalalteradora"/>
        <w:rPr>
          <w:rFonts w:cstheme="minorHAnsi"/>
        </w:rPr>
      </w:pPr>
      <w:r w:rsidRPr="0097459F">
        <w:rPr>
          <w:rFonts w:cstheme="minorHAnsi"/>
        </w:rPr>
        <w:t xml:space="preserve">I – exercer suas atividades buscando sempre as melhores condições para </w:t>
      </w:r>
      <w:r w:rsidR="00921F17" w:rsidRPr="0097459F">
        <w:rPr>
          <w:rFonts w:cstheme="minorHAnsi"/>
        </w:rPr>
        <w:t>o fundo e suas</w:t>
      </w:r>
      <w:r w:rsidR="005800DD" w:rsidRPr="0097459F">
        <w:rPr>
          <w:rFonts w:cstheme="minorHAnsi"/>
        </w:rPr>
        <w:t xml:space="preserve"> classe</w:t>
      </w:r>
      <w:r w:rsidR="00921F17" w:rsidRPr="0097459F">
        <w:rPr>
          <w:rFonts w:cstheme="minorHAnsi"/>
        </w:rPr>
        <w:t>s</w:t>
      </w:r>
      <w:r w:rsidR="005800DD" w:rsidRPr="0097459F">
        <w:rPr>
          <w:rFonts w:cstheme="minorHAnsi"/>
        </w:rPr>
        <w:t xml:space="preserve"> de cotas</w:t>
      </w:r>
      <w:r w:rsidRPr="0097459F">
        <w:rPr>
          <w:rFonts w:cstheme="minorHAnsi"/>
        </w:rPr>
        <w:t>, empregando o cuidado e a diligência que todo homem ativo e probo costuma dispensar à administração de seus próprios negócios, atuando com lealdade em relação aos interesses dos cotistas</w:t>
      </w:r>
      <w:r w:rsidR="00921F17" w:rsidRPr="0097459F">
        <w:rPr>
          <w:rFonts w:cstheme="minorHAnsi"/>
        </w:rPr>
        <w:t>, do fundo</w:t>
      </w:r>
      <w:r w:rsidRPr="0097459F">
        <w:rPr>
          <w:rFonts w:cstheme="minorHAnsi"/>
        </w:rPr>
        <w:t xml:space="preserve"> e </w:t>
      </w:r>
      <w:r w:rsidR="005800DD" w:rsidRPr="0097459F">
        <w:rPr>
          <w:rFonts w:cstheme="minorHAnsi"/>
        </w:rPr>
        <w:t>d</w:t>
      </w:r>
      <w:r w:rsidR="00921F17" w:rsidRPr="0097459F">
        <w:rPr>
          <w:rFonts w:cstheme="minorHAnsi"/>
        </w:rPr>
        <w:t>e su</w:t>
      </w:r>
      <w:r w:rsidR="005800DD" w:rsidRPr="0097459F">
        <w:rPr>
          <w:rFonts w:cstheme="minorHAnsi"/>
        </w:rPr>
        <w:t>a</w:t>
      </w:r>
      <w:r w:rsidR="00921F17" w:rsidRPr="0097459F">
        <w:rPr>
          <w:rFonts w:cstheme="minorHAnsi"/>
        </w:rPr>
        <w:t>s</w:t>
      </w:r>
      <w:r w:rsidR="005800DD" w:rsidRPr="0097459F">
        <w:rPr>
          <w:rFonts w:cstheme="minorHAnsi"/>
        </w:rPr>
        <w:t xml:space="preserve"> classe</w:t>
      </w:r>
      <w:r w:rsidR="00921F17" w:rsidRPr="0097459F">
        <w:rPr>
          <w:rFonts w:cstheme="minorHAnsi"/>
        </w:rPr>
        <w:t>s</w:t>
      </w:r>
      <w:r w:rsidRPr="0097459F">
        <w:rPr>
          <w:rFonts w:cstheme="minorHAnsi"/>
        </w:rPr>
        <w:t>, evitando práticas que possam ferir a relação fiduciária com eles mantida, e respondendo por quaisquer infrações ou irregularidades que venham a ser cometidas no exercício de suas atribuições;</w:t>
      </w:r>
    </w:p>
    <w:p w14:paraId="16EF6B21" w14:textId="74FC894F" w:rsidR="00893D49" w:rsidRPr="0097459F" w:rsidRDefault="00893D49" w:rsidP="00C20BBD">
      <w:pPr>
        <w:pStyle w:val="Normalalteradora"/>
        <w:rPr>
          <w:rFonts w:cstheme="minorHAnsi"/>
        </w:rPr>
      </w:pPr>
      <w:r w:rsidRPr="0097459F">
        <w:rPr>
          <w:rFonts w:cstheme="minorHAnsi"/>
        </w:rPr>
        <w:lastRenderedPageBreak/>
        <w:t xml:space="preserve">II – </w:t>
      </w:r>
      <w:proofErr w:type="gramStart"/>
      <w:r w:rsidRPr="0097459F">
        <w:rPr>
          <w:rFonts w:cstheme="minorHAnsi"/>
        </w:rPr>
        <w:t>exercer</w:t>
      </w:r>
      <w:proofErr w:type="gramEnd"/>
      <w:r w:rsidRPr="0097459F">
        <w:rPr>
          <w:rFonts w:cstheme="minorHAnsi"/>
        </w:rPr>
        <w:t xml:space="preserve">, ou diligenciar para que sejam exercidos, todos os direitos decorrentes do patrimônio e das atividades </w:t>
      </w:r>
      <w:r w:rsidR="00A456F5" w:rsidRPr="0097459F">
        <w:rPr>
          <w:rFonts w:cstheme="minorHAnsi"/>
        </w:rPr>
        <w:t>da classe de cotas</w:t>
      </w:r>
      <w:r w:rsidRPr="0097459F">
        <w:rPr>
          <w:rFonts w:cstheme="minorHAnsi"/>
        </w:rPr>
        <w:t xml:space="preserve">, ressalvado o que dispuser a política relativa ao exercício de direito de voto; e </w:t>
      </w:r>
    </w:p>
    <w:p w14:paraId="79ED80B7" w14:textId="4BB72D84" w:rsidR="00893D49" w:rsidRPr="0097459F" w:rsidRDefault="00893D49" w:rsidP="00C20BBD">
      <w:pPr>
        <w:pStyle w:val="Normalalteradora"/>
        <w:rPr>
          <w:rFonts w:cstheme="minorHAnsi"/>
        </w:rPr>
      </w:pPr>
      <w:r w:rsidRPr="0097459F">
        <w:rPr>
          <w:rFonts w:cstheme="minorHAnsi"/>
        </w:rPr>
        <w:t>III – empregar, na defesa dos direitos do cotista, a diligência exigida pelas circunstâncias, praticando todos os atos necessários para assegurá-los, e adotando as medidas judiciais</w:t>
      </w:r>
      <w:r w:rsidR="00A456F5" w:rsidRPr="0097459F">
        <w:rPr>
          <w:rFonts w:cstheme="minorHAnsi"/>
        </w:rPr>
        <w:t>, extrajudiciais e arbitrais</w:t>
      </w:r>
      <w:r w:rsidRPr="0097459F">
        <w:rPr>
          <w:rFonts w:cstheme="minorHAnsi"/>
        </w:rPr>
        <w:t xml:space="preserve"> cabíveis.</w:t>
      </w:r>
    </w:p>
    <w:p w14:paraId="276FE15F" w14:textId="3D6262E4" w:rsidR="00893D49" w:rsidRPr="0097459F" w:rsidRDefault="003E4D2C" w:rsidP="00C20BBD">
      <w:pPr>
        <w:pStyle w:val="Normalalteradora"/>
        <w:rPr>
          <w:rFonts w:cstheme="minorHAnsi"/>
        </w:rPr>
      </w:pPr>
      <w:r w:rsidRPr="0097459F">
        <w:rPr>
          <w:rFonts w:cstheme="minorHAnsi"/>
        </w:rPr>
        <w:t>Parágrafo único.</w:t>
      </w:r>
      <w:r w:rsidR="00893D49" w:rsidRPr="0097459F">
        <w:rPr>
          <w:rFonts w:cstheme="minorHAnsi"/>
        </w:rPr>
        <w:t xml:space="preserve">  </w:t>
      </w:r>
      <w:r w:rsidR="00E3550B" w:rsidRPr="0097459F">
        <w:rPr>
          <w:rFonts w:cstheme="minorHAnsi"/>
        </w:rPr>
        <w:t xml:space="preserve">Os </w:t>
      </w:r>
      <w:r w:rsidR="00893D49" w:rsidRPr="0097459F">
        <w:rPr>
          <w:rFonts w:cstheme="minorHAnsi"/>
        </w:rPr>
        <w:t xml:space="preserve">prestadores de serviços devem transferir </w:t>
      </w:r>
      <w:r w:rsidR="00A456F5" w:rsidRPr="0097459F">
        <w:rPr>
          <w:rFonts w:cstheme="minorHAnsi"/>
        </w:rPr>
        <w:t>à classe de cotas</w:t>
      </w:r>
      <w:r w:rsidR="00893D49" w:rsidRPr="0097459F">
        <w:rPr>
          <w:rFonts w:cstheme="minorHAnsi"/>
        </w:rPr>
        <w:t xml:space="preserve"> qualquer benefício ou vantagem que possam alcançar em decorrência de sua condição. </w:t>
      </w:r>
    </w:p>
    <w:p w14:paraId="627F4466" w14:textId="6AB636CA" w:rsidR="00893D49" w:rsidRPr="0097459F" w:rsidRDefault="00893D49" w:rsidP="00C20BBD">
      <w:pPr>
        <w:pStyle w:val="Seo"/>
        <w:rPr>
          <w:rFonts w:asciiTheme="minorHAnsi" w:hAnsiTheme="minorHAnsi"/>
        </w:rPr>
      </w:pPr>
      <w:bookmarkStart w:id="258" w:name="_Toc53594461"/>
      <w:bookmarkStart w:id="259" w:name="_Toc53595486"/>
      <w:bookmarkStart w:id="260" w:name="_Toc53594213"/>
      <w:bookmarkStart w:id="261" w:name="_Toc114818994"/>
      <w:bookmarkStart w:id="262" w:name="_Toc57836221"/>
      <w:bookmarkStart w:id="263" w:name="_Toc161141234"/>
      <w:r w:rsidRPr="0097459F">
        <w:rPr>
          <w:rFonts w:asciiTheme="minorHAnsi" w:hAnsiTheme="minorHAnsi"/>
        </w:rPr>
        <w:t>Seção VII – Substituição de Prestador de Serviço Essencial</w:t>
      </w:r>
      <w:bookmarkEnd w:id="258"/>
      <w:bookmarkEnd w:id="259"/>
      <w:bookmarkEnd w:id="260"/>
      <w:bookmarkEnd w:id="261"/>
      <w:bookmarkEnd w:id="262"/>
      <w:bookmarkEnd w:id="263"/>
    </w:p>
    <w:p w14:paraId="476FE9DA" w14:textId="1AA46080"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107</w:t>
      </w:r>
      <w:r w:rsidRPr="0097459F">
        <w:rPr>
          <w:rFonts w:cstheme="minorHAnsi"/>
        </w:rPr>
        <w:t>.  Os prestadores de serviços essenciais devem ser substituídos nas hipóteses de:</w:t>
      </w:r>
    </w:p>
    <w:p w14:paraId="2B6B2025"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descredenciamento</w:t>
      </w:r>
      <w:proofErr w:type="gramEnd"/>
      <w:r w:rsidRPr="0097459F">
        <w:rPr>
          <w:rFonts w:cstheme="minorHAnsi"/>
        </w:rPr>
        <w:t xml:space="preserve"> para o exercício da atividade que constitui o serviço prestado ao fundo, por decisão da CVM;</w:t>
      </w:r>
    </w:p>
    <w:p w14:paraId="47BCFE03"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renúncia</w:t>
      </w:r>
      <w:proofErr w:type="gramEnd"/>
      <w:r w:rsidRPr="0097459F">
        <w:rPr>
          <w:rFonts w:cstheme="minorHAnsi"/>
        </w:rPr>
        <w:t>; ou</w:t>
      </w:r>
    </w:p>
    <w:p w14:paraId="2CBEA47D" w14:textId="59B45077" w:rsidR="004809E1" w:rsidRPr="0097459F" w:rsidRDefault="00893D49" w:rsidP="00C20BBD">
      <w:pPr>
        <w:pStyle w:val="Normalalteradora"/>
        <w:rPr>
          <w:rFonts w:cstheme="minorHAnsi"/>
        </w:rPr>
      </w:pPr>
      <w:r w:rsidRPr="0097459F">
        <w:rPr>
          <w:rFonts w:cstheme="minorHAnsi"/>
        </w:rPr>
        <w:t>III – destituição, por deliberação da assembleia geral</w:t>
      </w:r>
      <w:r w:rsidR="00A456F5" w:rsidRPr="0097459F">
        <w:rPr>
          <w:rFonts w:cstheme="minorHAnsi"/>
        </w:rPr>
        <w:t xml:space="preserve"> de cotistas</w:t>
      </w:r>
      <w:r w:rsidRPr="0097459F">
        <w:rPr>
          <w:rFonts w:cstheme="minorHAnsi"/>
        </w:rPr>
        <w:t>.</w:t>
      </w:r>
    </w:p>
    <w:p w14:paraId="4D72BF36" w14:textId="34223B93" w:rsidR="00695502" w:rsidRPr="0097459F" w:rsidRDefault="008F0AFE" w:rsidP="00C20BBD">
      <w:pPr>
        <w:pStyle w:val="Normalalteradora"/>
        <w:rPr>
          <w:rFonts w:cstheme="minorHAnsi"/>
        </w:rPr>
      </w:pPr>
      <w:r w:rsidRPr="0097459F">
        <w:rPr>
          <w:rFonts w:cstheme="minorHAnsi"/>
        </w:rPr>
        <w:t xml:space="preserve">Parágrafo único.  O pedido de declaração judicial de insolvência do fundo impede o administrador de renunciar à administração fiduciária do fundo, mas não sua </w:t>
      </w:r>
      <w:r w:rsidR="00695502" w:rsidRPr="0097459F">
        <w:rPr>
          <w:rFonts w:cstheme="minorHAnsi"/>
        </w:rPr>
        <w:t>destituição</w:t>
      </w:r>
      <w:r w:rsidRPr="0097459F">
        <w:rPr>
          <w:rFonts w:cstheme="minorHAnsi"/>
        </w:rPr>
        <w:t xml:space="preserve"> por força de deliberação da assembleia de cotistas.</w:t>
      </w:r>
    </w:p>
    <w:p w14:paraId="462DBB03" w14:textId="2F16C294"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108</w:t>
      </w:r>
      <w:r w:rsidRPr="0097459F">
        <w:rPr>
          <w:rFonts w:cstheme="minorHAnsi"/>
        </w:rPr>
        <w:t>.  Nas hipóteses de descredenciamento</w:t>
      </w:r>
      <w:r w:rsidR="00BD3592" w:rsidRPr="0097459F">
        <w:rPr>
          <w:rFonts w:cstheme="minorHAnsi"/>
        </w:rPr>
        <w:t xml:space="preserve"> ou renúncia</w:t>
      </w:r>
      <w:r w:rsidRPr="0097459F">
        <w:rPr>
          <w:rFonts w:cstheme="minorHAnsi"/>
        </w:rPr>
        <w:t xml:space="preserve">, fica o administrador obrigado a convocar imediatamente assembleia geral de cotistas para eleger um substituto, a se realizar no prazo de até 15 (quinze) dias, sendo </w:t>
      </w:r>
      <w:r w:rsidR="00F24F35" w:rsidRPr="0097459F">
        <w:rPr>
          <w:rFonts w:cstheme="minorHAnsi"/>
        </w:rPr>
        <w:t xml:space="preserve">facultada a convocação da assembleia a </w:t>
      </w:r>
      <w:r w:rsidRPr="0097459F">
        <w:rPr>
          <w:rFonts w:cstheme="minorHAnsi"/>
        </w:rPr>
        <w:t xml:space="preserve">cotistas que detenham </w:t>
      </w:r>
      <w:r w:rsidR="00F24F35" w:rsidRPr="0097459F">
        <w:rPr>
          <w:rFonts w:cstheme="minorHAnsi"/>
        </w:rPr>
        <w:t xml:space="preserve">cotas representativas de </w:t>
      </w:r>
      <w:r w:rsidRPr="0097459F">
        <w:rPr>
          <w:rFonts w:cstheme="minorHAnsi"/>
        </w:rPr>
        <w:t xml:space="preserve">ao menos 5% (cinco por cento) </w:t>
      </w:r>
      <w:r w:rsidR="00F24F35" w:rsidRPr="0097459F">
        <w:rPr>
          <w:rFonts w:cstheme="minorHAnsi"/>
        </w:rPr>
        <w:t xml:space="preserve">do patrimônio </w:t>
      </w:r>
      <w:r w:rsidR="00156C7A" w:rsidRPr="0097459F">
        <w:rPr>
          <w:rFonts w:cstheme="minorHAnsi"/>
        </w:rPr>
        <w:t xml:space="preserve">líquido </w:t>
      </w:r>
      <w:r w:rsidR="00F24F35" w:rsidRPr="0097459F">
        <w:rPr>
          <w:rFonts w:cstheme="minorHAnsi"/>
        </w:rPr>
        <w:t>do fundo</w:t>
      </w:r>
      <w:r w:rsidR="0008611E" w:rsidRPr="0097459F">
        <w:rPr>
          <w:rFonts w:cstheme="minorHAnsi"/>
        </w:rPr>
        <w:t>.</w:t>
      </w:r>
    </w:p>
    <w:p w14:paraId="5A28047B" w14:textId="77777777" w:rsidR="0085166F"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No</w:t>
      </w:r>
      <w:proofErr w:type="gramEnd"/>
      <w:r w:rsidRPr="0097459F">
        <w:rPr>
          <w:rFonts w:cstheme="minorHAnsi"/>
        </w:rPr>
        <w:t xml:space="preserve"> caso de renúncia, o prestador de serviço essencial deve permanecer no exercício de suas funções até sua efetiva substituição, que deve ocorrer no prazo máximo de</w:t>
      </w:r>
      <w:r w:rsidR="0085166F" w:rsidRPr="0097459F">
        <w:rPr>
          <w:rFonts w:cstheme="minorHAnsi"/>
        </w:rPr>
        <w:t>:</w:t>
      </w:r>
    </w:p>
    <w:p w14:paraId="6F56F1E7" w14:textId="4AE04360" w:rsidR="0085166F" w:rsidRPr="0097459F" w:rsidRDefault="0085166F" w:rsidP="00C20BBD">
      <w:pPr>
        <w:pStyle w:val="Normalalteradora"/>
        <w:rPr>
          <w:rFonts w:cstheme="minorHAnsi"/>
        </w:rPr>
      </w:pPr>
      <w:r w:rsidRPr="0097459F">
        <w:rPr>
          <w:rFonts w:cstheme="minorHAnsi"/>
        </w:rPr>
        <w:t xml:space="preserve">I </w:t>
      </w:r>
      <w:r w:rsidR="00FC6D7B" w:rsidRPr="0097459F">
        <w:rPr>
          <w:rFonts w:cstheme="minorHAnsi"/>
        </w:rPr>
        <w:t>–</w:t>
      </w:r>
      <w:r w:rsidR="00893D49" w:rsidRPr="0097459F">
        <w:rPr>
          <w:rFonts w:cstheme="minorHAnsi"/>
        </w:rPr>
        <w:t xml:space="preserve"> </w:t>
      </w:r>
      <w:r w:rsidR="00CA14B4" w:rsidRPr="0097459F">
        <w:rPr>
          <w:rFonts w:cstheme="minorHAnsi"/>
        </w:rPr>
        <w:t xml:space="preserve">90 </w:t>
      </w:r>
      <w:r w:rsidR="00893D49" w:rsidRPr="0097459F">
        <w:rPr>
          <w:rFonts w:cstheme="minorHAnsi"/>
        </w:rPr>
        <w:t>(</w:t>
      </w:r>
      <w:r w:rsidR="00CA14B4" w:rsidRPr="0097459F">
        <w:rPr>
          <w:rFonts w:cstheme="minorHAnsi"/>
        </w:rPr>
        <w:t>noventa</w:t>
      </w:r>
      <w:r w:rsidR="00893D49" w:rsidRPr="0097459F">
        <w:rPr>
          <w:rFonts w:cstheme="minorHAnsi"/>
        </w:rPr>
        <w:t xml:space="preserve">) dias, </w:t>
      </w:r>
      <w:r w:rsidR="00F24F35" w:rsidRPr="0097459F">
        <w:rPr>
          <w:rFonts w:cstheme="minorHAnsi"/>
        </w:rPr>
        <w:t>contados a partir da renúncia</w:t>
      </w:r>
      <w:r w:rsidRPr="0097459F">
        <w:rPr>
          <w:rFonts w:cstheme="minorHAnsi"/>
        </w:rPr>
        <w:t xml:space="preserve">, para os fundos de investimento financeiro disciplinados no Anexo </w:t>
      </w:r>
      <w:r w:rsidR="00FC6D7B" w:rsidRPr="0097459F">
        <w:rPr>
          <w:rFonts w:cstheme="minorHAnsi"/>
        </w:rPr>
        <w:t xml:space="preserve">Normativo </w:t>
      </w:r>
      <w:r w:rsidR="007A5308">
        <w:rPr>
          <w:rFonts w:cstheme="minorHAnsi"/>
        </w:rPr>
        <w:t>I</w:t>
      </w:r>
      <w:r w:rsidR="00547A4B" w:rsidRPr="0097459F">
        <w:rPr>
          <w:rFonts w:cstheme="minorHAnsi"/>
        </w:rPr>
        <w:t xml:space="preserve"> </w:t>
      </w:r>
      <w:r w:rsidR="00547A4B" w:rsidRPr="0097459F">
        <w:t>e fundos mútuos de privatização – FGTS disciplinados no Anexo</w:t>
      </w:r>
      <w:r w:rsidR="00FC6D7B" w:rsidRPr="0097459F">
        <w:t xml:space="preserve"> Normativo</w:t>
      </w:r>
      <w:r w:rsidR="00547A4B" w:rsidRPr="0097459F">
        <w:t xml:space="preserve"> </w:t>
      </w:r>
      <w:r w:rsidR="007A5308">
        <w:t>VI</w:t>
      </w:r>
      <w:r w:rsidRPr="0097459F">
        <w:rPr>
          <w:rFonts w:cstheme="minorHAnsi"/>
        </w:rPr>
        <w:t>; ou</w:t>
      </w:r>
    </w:p>
    <w:p w14:paraId="6AB5EE1E" w14:textId="4B8BD854" w:rsidR="00312248" w:rsidRPr="0097459F" w:rsidRDefault="0085166F" w:rsidP="00C20BBD">
      <w:pPr>
        <w:pStyle w:val="Normalalteradora"/>
        <w:rPr>
          <w:rFonts w:cstheme="minorHAnsi"/>
        </w:rPr>
      </w:pPr>
      <w:r w:rsidRPr="0097459F">
        <w:rPr>
          <w:rFonts w:cstheme="minorHAnsi"/>
        </w:rPr>
        <w:lastRenderedPageBreak/>
        <w:t xml:space="preserve">II </w:t>
      </w:r>
      <w:r w:rsidR="00FC6D7B" w:rsidRPr="0097459F">
        <w:rPr>
          <w:rFonts w:cstheme="minorHAnsi"/>
        </w:rPr>
        <w:t>–</w:t>
      </w:r>
      <w:r w:rsidRPr="0097459F">
        <w:rPr>
          <w:rFonts w:cstheme="minorHAnsi"/>
        </w:rPr>
        <w:t xml:space="preserve"> 180</w:t>
      </w:r>
      <w:r w:rsidR="00FC6D7B" w:rsidRPr="0097459F">
        <w:rPr>
          <w:rFonts w:cstheme="minorHAnsi"/>
        </w:rPr>
        <w:t xml:space="preserve"> </w:t>
      </w:r>
      <w:r w:rsidRPr="0097459F">
        <w:rPr>
          <w:rFonts w:cstheme="minorHAnsi"/>
        </w:rPr>
        <w:t>(cento e oitenta) dias, contados a partir da renúncia, para as demais categorias de fundos de investimento</w:t>
      </w:r>
      <w:r w:rsidR="00695502" w:rsidRPr="0097459F">
        <w:rPr>
          <w:rFonts w:cstheme="minorHAnsi"/>
        </w:rPr>
        <w:t>.</w:t>
      </w:r>
    </w:p>
    <w:p w14:paraId="4EF81E61" w14:textId="5EE2F896" w:rsidR="00AB3F4D" w:rsidRPr="0097459F" w:rsidRDefault="00AB3F4D" w:rsidP="00C20BBD">
      <w:pPr>
        <w:pStyle w:val="Normalalteradora"/>
        <w:rPr>
          <w:rFonts w:cstheme="minorHAnsi"/>
        </w:rPr>
      </w:pPr>
      <w:r w:rsidRPr="0097459F">
        <w:rPr>
          <w:rFonts w:cstheme="minorHAnsi"/>
        </w:rPr>
        <w:t>§ 2</w:t>
      </w:r>
      <w:proofErr w:type="gramStart"/>
      <w:r w:rsidRPr="0097459F">
        <w:rPr>
          <w:rFonts w:cstheme="minorHAnsi"/>
        </w:rPr>
        <w:t>º  Caso</w:t>
      </w:r>
      <w:proofErr w:type="gramEnd"/>
      <w:r w:rsidRPr="0097459F">
        <w:rPr>
          <w:rFonts w:cstheme="minorHAnsi"/>
        </w:rPr>
        <w:t xml:space="preserve"> o prestador de serviço essencial que renunciou não seja substituído dentro do prazo referido no § 1º, o fundo deve ser liquidado, nos termos do Capítulo XIV, devendo o gestor permanecer no exercício de suas funções até a conclusão da liquidação e o administrador até o cancelamento do registro do fundo na CVM.</w:t>
      </w:r>
    </w:p>
    <w:p w14:paraId="7167BBA6" w14:textId="77777777" w:rsidR="00F100EB" w:rsidRPr="0097459F" w:rsidRDefault="00893D49" w:rsidP="00C20BBD">
      <w:pPr>
        <w:pStyle w:val="Normalalteradora"/>
        <w:rPr>
          <w:rFonts w:cstheme="minorHAnsi"/>
        </w:rPr>
      </w:pPr>
      <w:r w:rsidRPr="0097459F">
        <w:rPr>
          <w:rFonts w:cstheme="minorHAnsi"/>
        </w:rPr>
        <w:t xml:space="preserve">§ </w:t>
      </w:r>
      <w:r w:rsidR="00413362" w:rsidRPr="0097459F">
        <w:rPr>
          <w:rFonts w:cstheme="minorHAnsi"/>
        </w:rPr>
        <w:t>3</w:t>
      </w:r>
      <w:proofErr w:type="gramStart"/>
      <w:r w:rsidR="00413362" w:rsidRPr="0097459F">
        <w:rPr>
          <w:rFonts w:cstheme="minorHAnsi"/>
        </w:rPr>
        <w:t xml:space="preserve">º  </w:t>
      </w:r>
      <w:r w:rsidRPr="0097459F">
        <w:rPr>
          <w:rFonts w:cstheme="minorHAnsi"/>
        </w:rPr>
        <w:t>No</w:t>
      </w:r>
      <w:proofErr w:type="gramEnd"/>
      <w:r w:rsidRPr="0097459F">
        <w:rPr>
          <w:rFonts w:cstheme="minorHAnsi"/>
        </w:rPr>
        <w:t xml:space="preserve"> caso de descredenciamento </w:t>
      </w:r>
      <w:r w:rsidR="00DB37A0" w:rsidRPr="0097459F">
        <w:rPr>
          <w:rFonts w:cstheme="minorHAnsi"/>
        </w:rPr>
        <w:t>de prestador de serviço essencial</w:t>
      </w:r>
      <w:r w:rsidRPr="0097459F">
        <w:rPr>
          <w:rFonts w:cstheme="minorHAnsi"/>
        </w:rPr>
        <w:t xml:space="preserve">, a </w:t>
      </w:r>
      <w:r w:rsidR="00CA14B4" w:rsidRPr="0097459F">
        <w:rPr>
          <w:rFonts w:cstheme="minorHAnsi"/>
        </w:rPr>
        <w:t xml:space="preserve">Superintendência competente </w:t>
      </w:r>
      <w:r w:rsidRPr="0097459F">
        <w:rPr>
          <w:rFonts w:cstheme="minorHAnsi"/>
        </w:rPr>
        <w:t xml:space="preserve">pode nomear administrador </w:t>
      </w:r>
      <w:r w:rsidR="00DB37A0" w:rsidRPr="0097459F">
        <w:rPr>
          <w:rFonts w:cstheme="minorHAnsi"/>
        </w:rPr>
        <w:t xml:space="preserve">ou gestor </w:t>
      </w:r>
      <w:r w:rsidRPr="0097459F">
        <w:rPr>
          <w:rFonts w:cstheme="minorHAnsi"/>
        </w:rPr>
        <w:t xml:space="preserve">temporário, </w:t>
      </w:r>
      <w:r w:rsidR="00DB37A0" w:rsidRPr="0097459F">
        <w:rPr>
          <w:rFonts w:cstheme="minorHAnsi"/>
        </w:rPr>
        <w:t xml:space="preserve">conforme o caso, </w:t>
      </w:r>
      <w:r w:rsidRPr="0097459F">
        <w:rPr>
          <w:rFonts w:cstheme="minorHAnsi"/>
        </w:rPr>
        <w:t xml:space="preserve">inclusive para viabilizar a convocação de assembleia </w:t>
      </w:r>
      <w:r w:rsidR="00AB3F4D" w:rsidRPr="0097459F">
        <w:rPr>
          <w:rFonts w:cstheme="minorHAnsi"/>
        </w:rPr>
        <w:t xml:space="preserve">de cotistas de que trata o </w:t>
      </w:r>
      <w:r w:rsidR="00AB3F4D" w:rsidRPr="0097459F">
        <w:rPr>
          <w:rFonts w:cstheme="minorHAnsi"/>
          <w:b/>
        </w:rPr>
        <w:t>caput</w:t>
      </w:r>
      <w:r w:rsidR="00AB3F4D" w:rsidRPr="0097459F">
        <w:rPr>
          <w:rFonts w:cstheme="minorHAnsi"/>
        </w:rPr>
        <w:t>.</w:t>
      </w:r>
    </w:p>
    <w:p w14:paraId="7736ADD0" w14:textId="17336476" w:rsidR="00AB3F4D" w:rsidRPr="0097459F" w:rsidRDefault="00AB3F4D" w:rsidP="00C20BBD">
      <w:pPr>
        <w:pStyle w:val="Normalalteradora"/>
        <w:rPr>
          <w:rFonts w:cstheme="minorHAnsi"/>
        </w:rPr>
      </w:pPr>
      <w:r w:rsidRPr="0097459F">
        <w:rPr>
          <w:rFonts w:cstheme="minorHAnsi"/>
        </w:rPr>
        <w:t xml:space="preserve">§ </w:t>
      </w:r>
      <w:r w:rsidR="00232D5E" w:rsidRPr="0097459F">
        <w:rPr>
          <w:rFonts w:cstheme="minorHAnsi"/>
        </w:rPr>
        <w:t>4</w:t>
      </w:r>
      <w:proofErr w:type="gramStart"/>
      <w:r w:rsidR="00232D5E" w:rsidRPr="0097459F">
        <w:rPr>
          <w:rFonts w:cstheme="minorHAnsi"/>
        </w:rPr>
        <w:t xml:space="preserve">º  </w:t>
      </w:r>
      <w:r w:rsidRPr="0097459F">
        <w:rPr>
          <w:rFonts w:cstheme="minorHAnsi"/>
        </w:rPr>
        <w:t>Caso</w:t>
      </w:r>
      <w:proofErr w:type="gramEnd"/>
      <w:r w:rsidRPr="0097459F">
        <w:rPr>
          <w:rFonts w:cstheme="minorHAnsi"/>
        </w:rPr>
        <w:t xml:space="preserve"> o prestador de serviço essencial que foi descredenciado não seja substituído pela assembleia geral de cotistas, o fundo deve ser liquidado, nos termos do Capítulo XIV, devendo o gestor permanecer no exercício de suas funções até a conclusão da liquidação e o administrador até o cancelamento do registro do fundo na CVM.</w:t>
      </w:r>
    </w:p>
    <w:p w14:paraId="32969378" w14:textId="29A1BB4A" w:rsidR="00752042" w:rsidRPr="0097459F" w:rsidRDefault="00B80695" w:rsidP="00C20BBD">
      <w:pPr>
        <w:pStyle w:val="Normalalteradora"/>
        <w:rPr>
          <w:rFonts w:cstheme="minorHAnsi"/>
        </w:rPr>
      </w:pPr>
      <w:proofErr w:type="gramStart"/>
      <w:r w:rsidRPr="0097459F">
        <w:rPr>
          <w:rFonts w:cstheme="minorHAnsi"/>
        </w:rPr>
        <w:t xml:space="preserve">§  </w:t>
      </w:r>
      <w:r w:rsidR="00726A57" w:rsidRPr="0097459F">
        <w:rPr>
          <w:rFonts w:cstheme="minorHAnsi"/>
        </w:rPr>
        <w:t>5</w:t>
      </w:r>
      <w:proofErr w:type="gramEnd"/>
      <w:r w:rsidRPr="0097459F">
        <w:rPr>
          <w:rFonts w:cstheme="minorHAnsi"/>
        </w:rPr>
        <w:t xml:space="preserve">º </w:t>
      </w:r>
      <w:r w:rsidR="007C7042" w:rsidRPr="0097459F">
        <w:rPr>
          <w:rFonts w:cstheme="minorHAnsi"/>
        </w:rPr>
        <w:t xml:space="preserve"> No caso de </w:t>
      </w:r>
      <w:r w:rsidR="00CA03EE" w:rsidRPr="0097459F">
        <w:rPr>
          <w:rFonts w:cstheme="minorHAnsi"/>
        </w:rPr>
        <w:t>alteração</w:t>
      </w:r>
      <w:r w:rsidR="007C7042" w:rsidRPr="0097459F">
        <w:rPr>
          <w:rFonts w:cstheme="minorHAnsi"/>
        </w:rPr>
        <w:t xml:space="preserve"> </w:t>
      </w:r>
      <w:r w:rsidR="00613ABD" w:rsidRPr="0097459F">
        <w:rPr>
          <w:rFonts w:cstheme="minorHAnsi"/>
        </w:rPr>
        <w:t>de prestador de serviço essencial</w:t>
      </w:r>
      <w:r w:rsidR="007C7042" w:rsidRPr="0097459F">
        <w:rPr>
          <w:rFonts w:cstheme="minorHAnsi"/>
        </w:rPr>
        <w:t xml:space="preserve">, </w:t>
      </w:r>
      <w:r w:rsidR="009E1952" w:rsidRPr="0097459F">
        <w:rPr>
          <w:rFonts w:cstheme="minorHAnsi"/>
        </w:rPr>
        <w:t>o</w:t>
      </w:r>
      <w:r w:rsidR="007C7042" w:rsidRPr="0097459F">
        <w:rPr>
          <w:rFonts w:cstheme="minorHAnsi"/>
        </w:rPr>
        <w:t xml:space="preserve"> administrador </w:t>
      </w:r>
      <w:r w:rsidR="00613ABD" w:rsidRPr="0097459F">
        <w:rPr>
          <w:rFonts w:cstheme="minorHAnsi"/>
        </w:rPr>
        <w:t xml:space="preserve">ou gestor </w:t>
      </w:r>
      <w:r w:rsidR="007C7042" w:rsidRPr="0097459F">
        <w:rPr>
          <w:rFonts w:cstheme="minorHAnsi"/>
        </w:rPr>
        <w:t xml:space="preserve">substituído </w:t>
      </w:r>
      <w:r w:rsidR="009E1952" w:rsidRPr="0097459F">
        <w:rPr>
          <w:rFonts w:cstheme="minorHAnsi"/>
        </w:rPr>
        <w:t xml:space="preserve">deve </w:t>
      </w:r>
      <w:r w:rsidR="007C7042" w:rsidRPr="0097459F">
        <w:rPr>
          <w:rFonts w:cstheme="minorHAnsi"/>
        </w:rPr>
        <w:t>encaminhar ao substituto</w:t>
      </w:r>
      <w:r w:rsidRPr="0097459F">
        <w:rPr>
          <w:rFonts w:cstheme="minorHAnsi"/>
        </w:rPr>
        <w:t xml:space="preserve"> cópia de toda a documentação </w:t>
      </w:r>
      <w:r w:rsidR="008B3626" w:rsidRPr="0097459F">
        <w:rPr>
          <w:rFonts w:cstheme="minorHAnsi"/>
        </w:rPr>
        <w:t xml:space="preserve">referida </w:t>
      </w:r>
      <w:r w:rsidR="00212485" w:rsidRPr="0097459F">
        <w:rPr>
          <w:rFonts w:cstheme="minorHAnsi"/>
        </w:rPr>
        <w:t>n</w:t>
      </w:r>
      <w:r w:rsidRPr="0097459F">
        <w:rPr>
          <w:rFonts w:cstheme="minorHAnsi"/>
        </w:rPr>
        <w:t xml:space="preserve">o art. </w:t>
      </w:r>
      <w:r w:rsidR="0037292A" w:rsidRPr="0097459F">
        <w:rPr>
          <w:rFonts w:cstheme="minorHAnsi"/>
        </w:rPr>
        <w:t>130</w:t>
      </w:r>
      <w:r w:rsidRPr="0097459F">
        <w:rPr>
          <w:rFonts w:cstheme="minorHAnsi"/>
        </w:rPr>
        <w:t xml:space="preserve">, </w:t>
      </w:r>
      <w:r w:rsidR="007C7042" w:rsidRPr="0097459F">
        <w:rPr>
          <w:rFonts w:cstheme="minorHAnsi"/>
        </w:rPr>
        <w:t xml:space="preserve">em até 15 (quinze) dias contados da </w:t>
      </w:r>
      <w:r w:rsidRPr="0097459F">
        <w:rPr>
          <w:rFonts w:cstheme="minorHAnsi"/>
        </w:rPr>
        <w:t xml:space="preserve">efetivação da </w:t>
      </w:r>
      <w:r w:rsidR="00E61F5D" w:rsidRPr="0097459F">
        <w:rPr>
          <w:rFonts w:cstheme="minorHAnsi"/>
        </w:rPr>
        <w:t>alteração</w:t>
      </w:r>
      <w:r w:rsidR="007C7042" w:rsidRPr="0097459F">
        <w:rPr>
          <w:rFonts w:cstheme="minorHAnsi"/>
        </w:rPr>
        <w:t>.</w:t>
      </w:r>
    </w:p>
    <w:p w14:paraId="076B5EBD" w14:textId="01C557BB" w:rsidR="00893D49" w:rsidRPr="0097459F" w:rsidRDefault="00893D49" w:rsidP="00C20BBD">
      <w:pPr>
        <w:pStyle w:val="Captulo"/>
        <w:rPr>
          <w:rFonts w:asciiTheme="minorHAnsi" w:hAnsiTheme="minorHAnsi"/>
        </w:rPr>
      </w:pPr>
      <w:bookmarkStart w:id="264" w:name="_DV_M507"/>
      <w:bookmarkStart w:id="265" w:name="_DV_M509"/>
      <w:bookmarkStart w:id="266" w:name="_Toc53594462"/>
      <w:bookmarkStart w:id="267" w:name="_Toc53595487"/>
      <w:bookmarkStart w:id="268" w:name="_Toc53594214"/>
      <w:bookmarkStart w:id="269" w:name="_Toc114818995"/>
      <w:bookmarkStart w:id="270" w:name="_Toc57836222"/>
      <w:bookmarkStart w:id="271" w:name="_Toc161141235"/>
      <w:bookmarkEnd w:id="264"/>
      <w:bookmarkEnd w:id="265"/>
      <w:r w:rsidRPr="0097459F">
        <w:rPr>
          <w:rFonts w:asciiTheme="minorHAnsi" w:hAnsiTheme="minorHAnsi"/>
        </w:rPr>
        <w:t>CAPÍTULO IX – CARTEIRA</w:t>
      </w:r>
      <w:bookmarkEnd w:id="266"/>
      <w:bookmarkEnd w:id="267"/>
      <w:bookmarkEnd w:id="268"/>
      <w:bookmarkEnd w:id="269"/>
      <w:bookmarkEnd w:id="270"/>
      <w:bookmarkEnd w:id="271"/>
    </w:p>
    <w:p w14:paraId="48791BAD" w14:textId="3C9AD71B" w:rsidR="00E471B0"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109</w:t>
      </w:r>
      <w:r w:rsidRPr="0097459F">
        <w:rPr>
          <w:rFonts w:cstheme="minorHAnsi"/>
        </w:rPr>
        <w:t xml:space="preserve">.  </w:t>
      </w:r>
      <w:r w:rsidR="00C959D1" w:rsidRPr="0097459F">
        <w:t>O fundo</w:t>
      </w:r>
      <w:r w:rsidR="000030EF" w:rsidRPr="0097459F">
        <w:rPr>
          <w:rFonts w:cstheme="minorHAnsi"/>
        </w:rPr>
        <w:t xml:space="preserve"> de </w:t>
      </w:r>
      <w:r w:rsidR="00C959D1" w:rsidRPr="0097459F">
        <w:t>investimento</w:t>
      </w:r>
      <w:r w:rsidRPr="0097459F">
        <w:rPr>
          <w:rFonts w:cstheme="minorHAnsi"/>
        </w:rPr>
        <w:t xml:space="preserve"> deve manter o patrimônio aplicado em ativos nos termos estabelecidos </w:t>
      </w:r>
      <w:r w:rsidR="00DB3374" w:rsidRPr="0097459F">
        <w:rPr>
          <w:rFonts w:cstheme="minorHAnsi"/>
        </w:rPr>
        <w:t>no</w:t>
      </w:r>
      <w:r w:rsidRPr="0097459F">
        <w:rPr>
          <w:rFonts w:cstheme="minorHAnsi"/>
        </w:rPr>
        <w:t xml:space="preserve"> regulamento, observadas, ainda, as regras específicas de cada categoria de fundo.</w:t>
      </w:r>
    </w:p>
    <w:p w14:paraId="4C224EC5" w14:textId="60404FBA" w:rsidR="00893D49"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110</w:t>
      </w:r>
      <w:r w:rsidRPr="0097459F">
        <w:rPr>
          <w:rFonts w:cstheme="minorHAnsi"/>
        </w:rPr>
        <w:t xml:space="preserve">.  É vedado </w:t>
      </w:r>
      <w:r w:rsidR="00C959D1" w:rsidRPr="0097459F">
        <w:t>ao fundo</w:t>
      </w:r>
      <w:r w:rsidRPr="0097459F">
        <w:rPr>
          <w:rFonts w:cstheme="minorHAnsi"/>
        </w:rPr>
        <w:t xml:space="preserve"> </w:t>
      </w:r>
      <w:r w:rsidR="00AB510E" w:rsidRPr="0097459F">
        <w:rPr>
          <w:rFonts w:cstheme="minorHAnsi"/>
        </w:rPr>
        <w:t>a aplicação</w:t>
      </w:r>
      <w:r w:rsidRPr="0097459F">
        <w:rPr>
          <w:rFonts w:cstheme="minorHAnsi"/>
        </w:rPr>
        <w:t xml:space="preserve"> em cotas de </w:t>
      </w:r>
      <w:r w:rsidR="00695502" w:rsidRPr="0097459F">
        <w:t>classes</w:t>
      </w:r>
      <w:r w:rsidR="00695502" w:rsidRPr="0097459F">
        <w:rPr>
          <w:rFonts w:cstheme="minorHAnsi"/>
        </w:rPr>
        <w:t xml:space="preserve"> </w:t>
      </w:r>
      <w:r w:rsidRPr="0097459F">
        <w:rPr>
          <w:rFonts w:cstheme="minorHAnsi"/>
        </w:rPr>
        <w:t xml:space="preserve">que </w:t>
      </w:r>
      <w:r w:rsidR="00C959D1" w:rsidRPr="0097459F">
        <w:t>nele</w:t>
      </w:r>
      <w:r w:rsidR="006C7D95" w:rsidRPr="0097459F">
        <w:rPr>
          <w:rFonts w:cstheme="minorHAnsi"/>
        </w:rPr>
        <w:t xml:space="preserve"> </w:t>
      </w:r>
      <w:r w:rsidRPr="0097459F">
        <w:rPr>
          <w:rFonts w:cstheme="minorHAnsi"/>
        </w:rPr>
        <w:t>invistam, assim como é vedada a aplicação de recursos de uma classe em cotas de outra classe do mesmo fundo.</w:t>
      </w:r>
    </w:p>
    <w:p w14:paraId="5B34C451" w14:textId="286F74FC" w:rsidR="00893D49" w:rsidRPr="0097459F" w:rsidRDefault="00893D49" w:rsidP="00C20BBD">
      <w:pPr>
        <w:pStyle w:val="Captulo"/>
        <w:rPr>
          <w:rFonts w:asciiTheme="minorHAnsi" w:hAnsiTheme="minorHAnsi"/>
        </w:rPr>
      </w:pPr>
      <w:bookmarkStart w:id="272" w:name="_Toc57836223"/>
      <w:bookmarkStart w:id="273" w:name="_Toc53594463"/>
      <w:bookmarkStart w:id="274" w:name="_Toc53595488"/>
      <w:bookmarkStart w:id="275" w:name="_Toc53594215"/>
      <w:bookmarkStart w:id="276" w:name="_Toc114818996"/>
      <w:bookmarkStart w:id="277" w:name="_Toc161141236"/>
      <w:r w:rsidRPr="0097459F">
        <w:rPr>
          <w:rFonts w:asciiTheme="minorHAnsi" w:hAnsiTheme="minorHAnsi"/>
        </w:rPr>
        <w:t xml:space="preserve">CAPÍTULO X – CLASSES RESTRITAS </w:t>
      </w:r>
      <w:bookmarkEnd w:id="272"/>
      <w:r w:rsidRPr="0097459F">
        <w:rPr>
          <w:rFonts w:asciiTheme="minorHAnsi" w:hAnsiTheme="minorHAnsi" w:cstheme="minorHAnsi"/>
        </w:rPr>
        <w:t xml:space="preserve">E </w:t>
      </w:r>
      <w:bookmarkEnd w:id="273"/>
      <w:bookmarkEnd w:id="274"/>
      <w:bookmarkEnd w:id="275"/>
      <w:r w:rsidR="005F5432" w:rsidRPr="0097459F">
        <w:rPr>
          <w:rFonts w:asciiTheme="minorHAnsi" w:hAnsiTheme="minorHAnsi" w:cstheme="minorHAnsi"/>
        </w:rPr>
        <w:t>PREVIDENCIÁRIAS</w:t>
      </w:r>
      <w:bookmarkEnd w:id="276"/>
      <w:bookmarkEnd w:id="277"/>
    </w:p>
    <w:p w14:paraId="33F432E8" w14:textId="36DC8C24" w:rsidR="00F80DF6" w:rsidRPr="0097459F" w:rsidRDefault="00893D49" w:rsidP="00C20BBD">
      <w:pPr>
        <w:pStyle w:val="Seo"/>
      </w:pPr>
      <w:bookmarkStart w:id="278" w:name="_Toc53594464"/>
      <w:bookmarkStart w:id="279" w:name="_Toc53595489"/>
      <w:bookmarkStart w:id="280" w:name="_Toc53594216"/>
      <w:bookmarkStart w:id="281" w:name="_Toc114818997"/>
      <w:bookmarkStart w:id="282" w:name="_Toc57836224"/>
      <w:bookmarkStart w:id="283" w:name="_Toc161141237"/>
      <w:r w:rsidRPr="0097459F">
        <w:rPr>
          <w:rFonts w:asciiTheme="minorHAnsi" w:hAnsiTheme="minorHAnsi"/>
        </w:rPr>
        <w:t>Seção I – Classes Restritas</w:t>
      </w:r>
      <w:bookmarkEnd w:id="278"/>
      <w:bookmarkEnd w:id="279"/>
      <w:bookmarkEnd w:id="280"/>
      <w:bookmarkEnd w:id="281"/>
      <w:bookmarkEnd w:id="282"/>
      <w:bookmarkEnd w:id="283"/>
    </w:p>
    <w:p w14:paraId="395886A9" w14:textId="40FF38B4" w:rsidR="00F80DF6" w:rsidRPr="0097459F" w:rsidRDefault="00893D49" w:rsidP="00C20BBD">
      <w:pPr>
        <w:pStyle w:val="Normalalteradora"/>
        <w:rPr>
          <w:rFonts w:cstheme="minorHAnsi"/>
        </w:rPr>
      </w:pPr>
      <w:r w:rsidRPr="0097459F">
        <w:rPr>
          <w:rFonts w:cstheme="minorHAnsi"/>
        </w:rPr>
        <w:t xml:space="preserve">Art. </w:t>
      </w:r>
      <w:r w:rsidR="00232D5E" w:rsidRPr="0097459F">
        <w:rPr>
          <w:rFonts w:cstheme="minorHAnsi"/>
        </w:rPr>
        <w:t>111</w:t>
      </w:r>
      <w:r w:rsidRPr="0097459F">
        <w:rPr>
          <w:rFonts w:cstheme="minorHAnsi"/>
        </w:rPr>
        <w:t xml:space="preserve">. </w:t>
      </w:r>
      <w:r w:rsidR="00F80DF6" w:rsidRPr="0097459F">
        <w:rPr>
          <w:rFonts w:cstheme="minorHAnsi"/>
        </w:rPr>
        <w:t xml:space="preserve"> Considera-se “Restrita” a classe ou subclasse exclusivamente destinada a aplicação de recursos de investidores qualificados e profissionais.</w:t>
      </w:r>
    </w:p>
    <w:p w14:paraId="1360AB1D" w14:textId="22A548E2" w:rsidR="00893D49" w:rsidRPr="0097459F" w:rsidRDefault="00893D49" w:rsidP="00C20BBD">
      <w:pPr>
        <w:pStyle w:val="Normalalteradora"/>
        <w:rPr>
          <w:rFonts w:cstheme="minorHAnsi"/>
        </w:rPr>
      </w:pPr>
      <w:r w:rsidRPr="0097459F">
        <w:rPr>
          <w:rFonts w:cstheme="minorHAnsi"/>
        </w:rPr>
        <w:lastRenderedPageBreak/>
        <w:t xml:space="preserve">Art. </w:t>
      </w:r>
      <w:r w:rsidR="00232D5E" w:rsidRPr="0097459F">
        <w:rPr>
          <w:rFonts w:cstheme="minorHAnsi"/>
        </w:rPr>
        <w:t>112</w:t>
      </w:r>
      <w:r w:rsidRPr="0097459F">
        <w:rPr>
          <w:rFonts w:cstheme="minorHAnsi"/>
        </w:rPr>
        <w:t xml:space="preserve">.  É permitida a permanência e a realização de novas aplicações em classes </w:t>
      </w:r>
      <w:r w:rsidR="008B352D" w:rsidRPr="0097459F">
        <w:rPr>
          <w:rFonts w:cstheme="minorHAnsi"/>
        </w:rPr>
        <w:t xml:space="preserve">e subclasses </w:t>
      </w:r>
      <w:r w:rsidRPr="0097459F">
        <w:rPr>
          <w:rFonts w:cstheme="minorHAnsi"/>
        </w:rPr>
        <w:t xml:space="preserve">de </w:t>
      </w:r>
      <w:r w:rsidR="008B352D" w:rsidRPr="0097459F">
        <w:rPr>
          <w:rFonts w:cstheme="minorHAnsi"/>
        </w:rPr>
        <w:t xml:space="preserve">cotas </w:t>
      </w:r>
      <w:r w:rsidR="008701FC" w:rsidRPr="0097459F">
        <w:rPr>
          <w:rFonts w:cstheme="minorHAnsi"/>
        </w:rPr>
        <w:t>restritas</w:t>
      </w:r>
      <w:r w:rsidRPr="0097459F">
        <w:rPr>
          <w:rFonts w:cstheme="minorHAnsi"/>
        </w:rPr>
        <w:t xml:space="preserve">, de cotistas que não se enquadrem nos requisitos </w:t>
      </w:r>
      <w:r w:rsidR="0098693E" w:rsidRPr="0097459F">
        <w:rPr>
          <w:rFonts w:cstheme="minorHAnsi"/>
        </w:rPr>
        <w:t xml:space="preserve">de qualificação </w:t>
      </w:r>
      <w:r w:rsidRPr="0097459F">
        <w:rPr>
          <w:rFonts w:cstheme="minorHAnsi"/>
        </w:rPr>
        <w:t xml:space="preserve">previstos em </w:t>
      </w:r>
      <w:r w:rsidR="00AB510E" w:rsidRPr="0097459F">
        <w:rPr>
          <w:rFonts w:cstheme="minorHAnsi"/>
        </w:rPr>
        <w:t>regra</w:t>
      </w:r>
      <w:r w:rsidRPr="0097459F">
        <w:rPr>
          <w:rFonts w:cstheme="minorHAnsi"/>
        </w:rPr>
        <w:t xml:space="preserve"> específica, desde que tais cotistas tenham ingressado em concordância com os critérios de admissão </w:t>
      </w:r>
      <w:r w:rsidR="00AB510E" w:rsidRPr="0097459F">
        <w:rPr>
          <w:rFonts w:cstheme="minorHAnsi"/>
        </w:rPr>
        <w:t xml:space="preserve">anteriormente </w:t>
      </w:r>
      <w:r w:rsidRPr="0097459F">
        <w:rPr>
          <w:rFonts w:cstheme="minorHAnsi"/>
        </w:rPr>
        <w:t>vigentes.</w:t>
      </w:r>
    </w:p>
    <w:p w14:paraId="7E912889" w14:textId="775E8B64"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Podem</w:t>
      </w:r>
      <w:proofErr w:type="gramEnd"/>
      <w:r w:rsidRPr="0097459F">
        <w:rPr>
          <w:rFonts w:cstheme="minorHAnsi"/>
        </w:rPr>
        <w:t xml:space="preserve"> ser cotistas de uma classe </w:t>
      </w:r>
      <w:r w:rsidR="008B352D" w:rsidRPr="0097459F">
        <w:rPr>
          <w:rFonts w:cstheme="minorHAnsi"/>
        </w:rPr>
        <w:t xml:space="preserve">ou subclasse </w:t>
      </w:r>
      <w:r w:rsidR="008701FC" w:rsidRPr="0097459F">
        <w:rPr>
          <w:rFonts w:cstheme="minorHAnsi"/>
        </w:rPr>
        <w:t>restrita</w:t>
      </w:r>
      <w:r w:rsidRPr="0097459F">
        <w:rPr>
          <w:rFonts w:cstheme="minorHAnsi"/>
        </w:rPr>
        <w:t xml:space="preserve"> os empregados ou sócios </w:t>
      </w:r>
      <w:r w:rsidR="008B352D" w:rsidRPr="0097459F">
        <w:rPr>
          <w:rFonts w:cstheme="minorHAnsi"/>
        </w:rPr>
        <w:t xml:space="preserve">dos prestadores de serviços essenciais e </w:t>
      </w:r>
      <w:r w:rsidR="00F100EB" w:rsidRPr="0097459F">
        <w:rPr>
          <w:rFonts w:cstheme="minorHAnsi"/>
        </w:rPr>
        <w:t xml:space="preserve"> partes relacionadas</w:t>
      </w:r>
      <w:r w:rsidRPr="0097459F">
        <w:rPr>
          <w:rFonts w:cstheme="minorHAnsi"/>
        </w:rPr>
        <w:t xml:space="preserve">, desde que expressamente autorizados pelo diretor responsável </w:t>
      </w:r>
      <w:r w:rsidR="008B352D" w:rsidRPr="0097459F">
        <w:rPr>
          <w:rFonts w:cstheme="minorHAnsi"/>
        </w:rPr>
        <w:t>do prestador de serviço essencial</w:t>
      </w:r>
      <w:r w:rsidRPr="0097459F">
        <w:rPr>
          <w:rFonts w:cstheme="minorHAnsi"/>
        </w:rPr>
        <w:t>.</w:t>
      </w:r>
    </w:p>
    <w:p w14:paraId="21CD0808" w14:textId="144A97CA" w:rsidR="00893D49"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Podem</w:t>
      </w:r>
      <w:proofErr w:type="gramEnd"/>
      <w:r w:rsidRPr="0097459F">
        <w:rPr>
          <w:rFonts w:cstheme="minorHAnsi"/>
        </w:rPr>
        <w:t xml:space="preserve"> ser cotistas de uma classe </w:t>
      </w:r>
      <w:r w:rsidR="0098693E" w:rsidRPr="0097459F">
        <w:rPr>
          <w:rFonts w:cstheme="minorHAnsi"/>
        </w:rPr>
        <w:t xml:space="preserve">ou subclasse </w:t>
      </w:r>
      <w:r w:rsidRPr="0097459F">
        <w:rPr>
          <w:rFonts w:cstheme="minorHAnsi"/>
        </w:rPr>
        <w:t>para investidores profissionais:</w:t>
      </w:r>
    </w:p>
    <w:p w14:paraId="51B9E2E9" w14:textId="56B902E5" w:rsidR="00893D49" w:rsidRPr="0097459F" w:rsidRDefault="4AF9F487" w:rsidP="00C20BBD">
      <w:pPr>
        <w:pStyle w:val="Normalalteradora"/>
      </w:pPr>
      <w:r w:rsidRPr="0097459F">
        <w:t xml:space="preserve">I – </w:t>
      </w:r>
      <w:r w:rsidR="00576CB7" w:rsidRPr="0097459F">
        <w:t>administradores, empregados,</w:t>
      </w:r>
      <w:r w:rsidRPr="0097459F">
        <w:t xml:space="preserve"> </w:t>
      </w:r>
      <w:r w:rsidR="00F100EB" w:rsidRPr="0097459F">
        <w:t>colaboradores</w:t>
      </w:r>
      <w:r w:rsidRPr="0097459F">
        <w:t xml:space="preserve"> </w:t>
      </w:r>
      <w:r w:rsidR="00576CB7" w:rsidRPr="0097459F">
        <w:t xml:space="preserve">e </w:t>
      </w:r>
      <w:r w:rsidRPr="0097459F">
        <w:t xml:space="preserve">sócios </w:t>
      </w:r>
      <w:r w:rsidR="3C94E461" w:rsidRPr="0097459F">
        <w:t>dos prestadores de serviços essenciais</w:t>
      </w:r>
      <w:r w:rsidRPr="0097459F">
        <w:t xml:space="preserve"> </w:t>
      </w:r>
      <w:r w:rsidR="3C94E461" w:rsidRPr="0097459F">
        <w:t xml:space="preserve">e </w:t>
      </w:r>
      <w:r w:rsidR="00576CB7" w:rsidRPr="0097459F">
        <w:t>partes relacionadas</w:t>
      </w:r>
      <w:r w:rsidRPr="0097459F">
        <w:t xml:space="preserve">, desde que expressamente autorizados pelo diretor responsável </w:t>
      </w:r>
      <w:r w:rsidR="3C94E461" w:rsidRPr="0097459F">
        <w:t>do prestador de serviço essencial</w:t>
      </w:r>
      <w:r w:rsidR="005A5873" w:rsidRPr="0097459F">
        <w:t>; e</w:t>
      </w:r>
    </w:p>
    <w:p w14:paraId="07352FA1" w14:textId="123741F2" w:rsidR="00EC5C27"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investidores</w:t>
      </w:r>
      <w:proofErr w:type="gramEnd"/>
      <w:r w:rsidRPr="0097459F">
        <w:rPr>
          <w:rFonts w:cstheme="minorHAnsi"/>
        </w:rPr>
        <w:t xml:space="preserve"> relacionados a investidor profissional por vínculo familiar ou vínculo societário familiar, desde que no mínimo 90% (noventa por cento) das cotas da classe </w:t>
      </w:r>
      <w:r w:rsidR="0098693E" w:rsidRPr="0097459F">
        <w:rPr>
          <w:rFonts w:cstheme="minorHAnsi"/>
        </w:rPr>
        <w:t xml:space="preserve">ou subclasse </w:t>
      </w:r>
      <w:r w:rsidRPr="0097459F">
        <w:rPr>
          <w:rFonts w:cstheme="minorHAnsi"/>
        </w:rPr>
        <w:t>em que se pretenda ingressar sejam detidas por tais investidores</w:t>
      </w:r>
      <w:r w:rsidR="0098693E" w:rsidRPr="0097459F">
        <w:rPr>
          <w:rFonts w:cstheme="minorHAnsi"/>
        </w:rPr>
        <w:t>.</w:t>
      </w:r>
    </w:p>
    <w:p w14:paraId="41EFD4C0" w14:textId="1C27A44D" w:rsidR="00EC5C27" w:rsidRPr="0097459F" w:rsidRDefault="00EC5C27" w:rsidP="00C20BBD">
      <w:pPr>
        <w:pStyle w:val="paragraph"/>
        <w:spacing w:before="120" w:beforeAutospacing="0" w:after="120" w:afterAutospacing="0" w:line="312" w:lineRule="auto"/>
        <w:ind w:firstLine="567"/>
        <w:jc w:val="both"/>
        <w:textAlignment w:val="baseline"/>
        <w:rPr>
          <w:rFonts w:asciiTheme="minorHAnsi" w:hAnsiTheme="minorHAnsi" w:cstheme="minorHAnsi"/>
          <w:lang w:val="pt-BR"/>
        </w:rPr>
      </w:pPr>
      <w:r w:rsidRPr="0097459F">
        <w:rPr>
          <w:rFonts w:asciiTheme="minorHAnsi" w:hAnsiTheme="minorHAnsi" w:cstheme="minorHAnsi"/>
          <w:lang w:val="pt-BR"/>
        </w:rPr>
        <w:t xml:space="preserve">Art. </w:t>
      </w:r>
      <w:r w:rsidR="00136A82" w:rsidRPr="0097459F">
        <w:rPr>
          <w:rFonts w:asciiTheme="minorHAnsi" w:hAnsiTheme="minorHAnsi" w:cstheme="minorHAnsi"/>
          <w:lang w:val="pt-BR"/>
        </w:rPr>
        <w:t>113</w:t>
      </w:r>
      <w:r w:rsidRPr="0097459F">
        <w:rPr>
          <w:rFonts w:asciiTheme="minorHAnsi" w:hAnsiTheme="minorHAnsi" w:cstheme="minorHAnsi"/>
          <w:lang w:val="pt-BR"/>
        </w:rPr>
        <w:t xml:space="preserve">.  O regulamento da classe de cotas </w:t>
      </w:r>
      <w:r w:rsidR="008701FC" w:rsidRPr="0097459F">
        <w:rPr>
          <w:rFonts w:asciiTheme="minorHAnsi" w:hAnsiTheme="minorHAnsi" w:cstheme="minorHAnsi"/>
          <w:lang w:val="pt-BR"/>
        </w:rPr>
        <w:t>restrita</w:t>
      </w:r>
      <w:r w:rsidRPr="0097459F">
        <w:rPr>
          <w:rFonts w:asciiTheme="minorHAnsi" w:hAnsiTheme="minorHAnsi" w:cstheme="minorHAnsi"/>
          <w:lang w:val="pt-BR"/>
        </w:rPr>
        <w:t xml:space="preserve"> pode:</w:t>
      </w:r>
    </w:p>
    <w:p w14:paraId="677B4C35" w14:textId="140DD720" w:rsidR="00EC5C27" w:rsidRPr="0097459F" w:rsidRDefault="00EC5C27" w:rsidP="00C20BBD">
      <w:pPr>
        <w:pStyle w:val="paragraph"/>
        <w:spacing w:before="120" w:beforeAutospacing="0" w:after="120" w:afterAutospacing="0" w:line="312" w:lineRule="auto"/>
        <w:ind w:firstLine="567"/>
        <w:jc w:val="both"/>
        <w:textAlignment w:val="baseline"/>
        <w:rPr>
          <w:rFonts w:asciiTheme="minorHAnsi" w:hAnsiTheme="minorHAnsi" w:cstheme="minorHAnsi"/>
          <w:lang w:val="pt-BR" w:eastAsia="pt-BR"/>
        </w:rPr>
      </w:pPr>
      <w:r w:rsidRPr="0097459F">
        <w:rPr>
          <w:rFonts w:asciiTheme="minorHAnsi" w:hAnsiTheme="minorHAnsi" w:cstheme="minorHAnsi"/>
          <w:lang w:val="pt-BR" w:eastAsia="pt-BR"/>
        </w:rPr>
        <w:t xml:space="preserve">I </w:t>
      </w:r>
      <w:r w:rsidR="0008611E" w:rsidRPr="0097459F">
        <w:rPr>
          <w:rFonts w:asciiTheme="minorHAnsi" w:hAnsiTheme="minorHAnsi" w:cstheme="minorHAnsi"/>
          <w:lang w:val="pt-BR" w:eastAsia="pt-BR"/>
        </w:rPr>
        <w:t>–</w:t>
      </w:r>
      <w:r w:rsidRPr="0097459F">
        <w:rPr>
          <w:rFonts w:asciiTheme="minorHAnsi" w:hAnsiTheme="minorHAnsi" w:cstheme="minorHAnsi"/>
          <w:lang w:val="pt-BR" w:eastAsia="pt-BR"/>
        </w:rPr>
        <w:t xml:space="preserve"> </w:t>
      </w:r>
      <w:proofErr w:type="gramStart"/>
      <w:r w:rsidRPr="0097459F">
        <w:rPr>
          <w:rFonts w:asciiTheme="minorHAnsi" w:hAnsiTheme="minorHAnsi" w:cstheme="minorHAnsi"/>
          <w:lang w:val="pt-BR" w:eastAsia="pt-BR"/>
        </w:rPr>
        <w:t>admitir</w:t>
      </w:r>
      <w:proofErr w:type="gramEnd"/>
      <w:r w:rsidRPr="0097459F">
        <w:rPr>
          <w:rFonts w:asciiTheme="minorHAnsi" w:hAnsiTheme="minorHAnsi" w:cstheme="minorHAnsi"/>
          <w:lang w:val="pt-BR" w:eastAsia="pt-BR"/>
        </w:rPr>
        <w:t xml:space="preserve"> a utilização de ativos financeiros na integralização e resgate de cotas, com o estabelecimento de critérios detalhados e precisos para adoção desses procedimentos;</w:t>
      </w:r>
    </w:p>
    <w:p w14:paraId="4CE1F394" w14:textId="37D6E109" w:rsidR="00322AA3" w:rsidRPr="0097459F" w:rsidRDefault="00136A82" w:rsidP="00C20BBD">
      <w:pPr>
        <w:pStyle w:val="Normalalteradora"/>
      </w:pPr>
      <w:r w:rsidRPr="0097459F">
        <w:rPr>
          <w:rFonts w:cstheme="minorHAnsi"/>
        </w:rPr>
        <w:t>II</w:t>
      </w:r>
      <w:r w:rsidR="00322AA3" w:rsidRPr="0097459F">
        <w:rPr>
          <w:rFonts w:cstheme="minorHAnsi"/>
        </w:rPr>
        <w:t xml:space="preserve"> </w:t>
      </w:r>
      <w:r w:rsidR="00A84307" w:rsidRPr="0097459F">
        <w:rPr>
          <w:rFonts w:cstheme="minorHAnsi"/>
        </w:rPr>
        <w:t>–</w:t>
      </w:r>
      <w:r w:rsidR="00322AA3" w:rsidRPr="0097459F">
        <w:rPr>
          <w:rFonts w:cstheme="minorHAnsi"/>
        </w:rPr>
        <w:t xml:space="preserve"> </w:t>
      </w:r>
      <w:proofErr w:type="gramStart"/>
      <w:r w:rsidR="00322AA3" w:rsidRPr="0097459F">
        <w:t>admitir</w:t>
      </w:r>
      <w:proofErr w:type="gramEnd"/>
      <w:r w:rsidR="00322AA3" w:rsidRPr="0097459F">
        <w:t xml:space="preserve"> que os pedidos de resgate de cotas sejam aceitos somente em determinadas datas ou períodos, hipótese na qual as datas ou períodos de resgate devem estar expressamente definidos no regulamento;</w:t>
      </w:r>
    </w:p>
    <w:p w14:paraId="06C6E610" w14:textId="47D74366" w:rsidR="00EC5C27" w:rsidRPr="0097459F" w:rsidRDefault="008701FC" w:rsidP="00C20BBD">
      <w:pPr>
        <w:spacing w:before="120" w:after="120" w:line="312" w:lineRule="auto"/>
        <w:ind w:firstLine="567"/>
        <w:jc w:val="both"/>
        <w:textAlignment w:val="baseline"/>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II</w:t>
      </w:r>
      <w:r w:rsidR="00136A82" w:rsidRPr="0097459F">
        <w:rPr>
          <w:rFonts w:asciiTheme="minorHAnsi" w:eastAsia="Times New Roman" w:hAnsiTheme="minorHAnsi" w:cstheme="minorHAnsi"/>
          <w:sz w:val="24"/>
          <w:szCs w:val="24"/>
          <w:lang w:eastAsia="pt-BR"/>
        </w:rPr>
        <w:t>I</w:t>
      </w:r>
      <w:r w:rsidRPr="0097459F">
        <w:rPr>
          <w:rFonts w:asciiTheme="minorHAnsi" w:eastAsia="Times New Roman" w:hAnsiTheme="minorHAnsi" w:cstheme="minorHAnsi"/>
          <w:sz w:val="24"/>
          <w:szCs w:val="24"/>
          <w:lang w:eastAsia="pt-BR"/>
        </w:rPr>
        <w:t xml:space="preserve"> </w:t>
      </w:r>
      <w:r w:rsidR="006C255E" w:rsidRPr="0097459F">
        <w:rPr>
          <w:rFonts w:asciiTheme="minorHAnsi" w:eastAsia="Times New Roman" w:hAnsiTheme="minorHAnsi" w:cstheme="minorHAnsi"/>
          <w:sz w:val="24"/>
          <w:szCs w:val="24"/>
          <w:lang w:eastAsia="pt-BR"/>
        </w:rPr>
        <w:t>–</w:t>
      </w:r>
      <w:r w:rsidR="00EC5C27" w:rsidRPr="0097459F">
        <w:rPr>
          <w:rFonts w:asciiTheme="minorHAnsi" w:eastAsia="Times New Roman" w:hAnsiTheme="minorHAnsi" w:cstheme="minorHAnsi"/>
          <w:sz w:val="24"/>
          <w:szCs w:val="24"/>
          <w:lang w:eastAsia="pt-BR"/>
        </w:rPr>
        <w:t xml:space="preserve"> </w:t>
      </w:r>
      <w:r w:rsidR="006C255E" w:rsidRPr="0097459F">
        <w:rPr>
          <w:rFonts w:asciiTheme="minorHAnsi" w:eastAsia="Times New Roman" w:hAnsiTheme="minorHAnsi" w:cstheme="minorHAnsi"/>
          <w:sz w:val="24"/>
          <w:szCs w:val="24"/>
          <w:lang w:eastAsia="pt-BR"/>
        </w:rPr>
        <w:t xml:space="preserve">calcular e </w:t>
      </w:r>
      <w:r w:rsidR="00EC5C27" w:rsidRPr="0097459F">
        <w:rPr>
          <w:rFonts w:asciiTheme="minorHAnsi" w:eastAsia="Times New Roman" w:hAnsiTheme="minorHAnsi" w:cstheme="minorHAnsi"/>
          <w:sz w:val="24"/>
          <w:szCs w:val="24"/>
          <w:lang w:eastAsia="pt-BR"/>
        </w:rPr>
        <w:t xml:space="preserve">cobrar </w:t>
      </w:r>
      <w:r w:rsidR="00DC4390" w:rsidRPr="0097459F">
        <w:rPr>
          <w:rFonts w:asciiTheme="minorHAnsi" w:eastAsia="Times New Roman" w:hAnsiTheme="minorHAnsi" w:cstheme="minorHAnsi"/>
          <w:sz w:val="24"/>
          <w:szCs w:val="24"/>
          <w:lang w:eastAsia="pt-BR"/>
        </w:rPr>
        <w:t>as taxas previstas na regulamentação consoante qualquer critério</w:t>
      </w:r>
      <w:r w:rsidR="00EC5C27" w:rsidRPr="0097459F">
        <w:rPr>
          <w:rFonts w:asciiTheme="minorHAnsi" w:eastAsia="Times New Roman" w:hAnsiTheme="minorHAnsi" w:cstheme="minorHAnsi"/>
          <w:sz w:val="24"/>
          <w:szCs w:val="24"/>
          <w:lang w:eastAsia="pt-BR"/>
        </w:rPr>
        <w:t xml:space="preserve"> estabelecido em seu regulamento;</w:t>
      </w:r>
    </w:p>
    <w:p w14:paraId="3B3C9150" w14:textId="4983DF8D" w:rsidR="000739E8" w:rsidRPr="0097459F" w:rsidRDefault="00136A82" w:rsidP="00C20BBD">
      <w:pPr>
        <w:pStyle w:val="Normalalteradora"/>
        <w:rPr>
          <w:rStyle w:val="normaltextrun"/>
          <w:rFonts w:ascii="Calibri" w:eastAsiaTheme="majorEastAsia" w:hAnsi="Calibri" w:cs="Calibri"/>
          <w:color w:val="000000"/>
          <w:shd w:val="clear" w:color="auto" w:fill="FFFFFF"/>
        </w:rPr>
      </w:pPr>
      <w:r w:rsidRPr="0097459F">
        <w:rPr>
          <w:rFonts w:cstheme="minorHAnsi"/>
        </w:rPr>
        <w:t xml:space="preserve">IV </w:t>
      </w:r>
      <w:r w:rsidR="00C3113A" w:rsidRPr="0097459F">
        <w:rPr>
          <w:rFonts w:cstheme="minorHAnsi"/>
        </w:rPr>
        <w:t>–</w:t>
      </w:r>
      <w:r w:rsidR="00EC5C27" w:rsidRPr="0097459F">
        <w:rPr>
          <w:rFonts w:cstheme="minorHAnsi"/>
        </w:rPr>
        <w:t xml:space="preserve"> </w:t>
      </w:r>
      <w:proofErr w:type="gramStart"/>
      <w:r w:rsidR="00EC5C27" w:rsidRPr="0097459F">
        <w:rPr>
          <w:rStyle w:val="normaltextrun"/>
          <w:rFonts w:ascii="Calibri" w:eastAsiaTheme="majorEastAsia" w:hAnsi="Calibri" w:cs="Calibri"/>
          <w:color w:val="000000"/>
          <w:shd w:val="clear" w:color="auto" w:fill="FFFFFF"/>
        </w:rPr>
        <w:t>admitir</w:t>
      </w:r>
      <w:proofErr w:type="gramEnd"/>
      <w:r w:rsidR="00EC5C27" w:rsidRPr="0097459F">
        <w:rPr>
          <w:rStyle w:val="normaltextrun"/>
          <w:rFonts w:ascii="Calibri" w:eastAsiaTheme="majorEastAsia" w:hAnsi="Calibri" w:cs="Calibri"/>
          <w:color w:val="000000"/>
          <w:shd w:val="clear" w:color="auto" w:fill="FFFFFF"/>
        </w:rPr>
        <w:t xml:space="preserve"> a prestação de fiança, aval, aceite ou qualquer outra forma de coobrigação, em nome </w:t>
      </w:r>
      <w:r w:rsidR="008701FC" w:rsidRPr="0097459F">
        <w:rPr>
          <w:rStyle w:val="normaltextrun"/>
          <w:rFonts w:ascii="Calibri" w:eastAsiaTheme="majorEastAsia" w:hAnsi="Calibri" w:cs="Calibri"/>
          <w:color w:val="000000"/>
          <w:shd w:val="clear" w:color="auto" w:fill="FFFFFF"/>
        </w:rPr>
        <w:t>da classe</w:t>
      </w:r>
      <w:r w:rsidR="00EC5C27" w:rsidRPr="0097459F">
        <w:rPr>
          <w:rStyle w:val="normaltextrun"/>
          <w:rFonts w:ascii="Calibri" w:eastAsiaTheme="majorEastAsia" w:hAnsi="Calibri" w:cs="Calibri"/>
          <w:color w:val="000000"/>
          <w:shd w:val="clear" w:color="auto" w:fill="FFFFFF"/>
        </w:rPr>
        <w:t xml:space="preserve">, relativamente a operações relacionadas </w:t>
      </w:r>
      <w:r w:rsidR="008701FC" w:rsidRPr="0097459F">
        <w:rPr>
          <w:rStyle w:val="normaltextrun"/>
          <w:rFonts w:ascii="Calibri" w:eastAsiaTheme="majorEastAsia" w:hAnsi="Calibri" w:cs="Calibri"/>
          <w:color w:val="000000"/>
          <w:shd w:val="clear" w:color="auto" w:fill="FFFFFF"/>
        </w:rPr>
        <w:t>a sua</w:t>
      </w:r>
      <w:r w:rsidR="00EC5C27" w:rsidRPr="0097459F">
        <w:rPr>
          <w:rStyle w:val="normaltextrun"/>
          <w:rFonts w:ascii="Calibri" w:eastAsiaTheme="majorEastAsia" w:hAnsi="Calibri" w:cs="Calibri"/>
          <w:color w:val="000000"/>
          <w:shd w:val="clear" w:color="auto" w:fill="FFFFFF"/>
        </w:rPr>
        <w:t xml:space="preserve"> carteira de ativos</w:t>
      </w:r>
      <w:r w:rsidR="004538CF" w:rsidRPr="0097459F">
        <w:rPr>
          <w:rStyle w:val="normaltextrun"/>
          <w:rFonts w:ascii="Calibri" w:eastAsiaTheme="majorEastAsia" w:hAnsi="Calibri" w:cs="Calibri"/>
          <w:color w:val="000000"/>
          <w:shd w:val="clear" w:color="auto" w:fill="FFFFFF"/>
        </w:rPr>
        <w:t>;</w:t>
      </w:r>
      <w:r w:rsidR="00D30325" w:rsidRPr="0097459F">
        <w:rPr>
          <w:rStyle w:val="normaltextrun"/>
          <w:rFonts w:ascii="Calibri" w:eastAsiaTheme="majorEastAsia" w:hAnsi="Calibri" w:cs="Calibri"/>
          <w:color w:val="000000"/>
          <w:shd w:val="clear" w:color="auto" w:fill="FFFFFF"/>
        </w:rPr>
        <w:t xml:space="preserve"> e</w:t>
      </w:r>
    </w:p>
    <w:p w14:paraId="207AC197" w14:textId="790C441D" w:rsidR="0098693E" w:rsidRPr="0097459F" w:rsidRDefault="00136A82" w:rsidP="00C20BBD">
      <w:pPr>
        <w:pStyle w:val="Normalalteradora"/>
      </w:pPr>
      <w:r w:rsidRPr="0097459F">
        <w:rPr>
          <w:rStyle w:val="normaltextrun"/>
          <w:rFonts w:ascii="Calibri" w:eastAsiaTheme="majorEastAsia" w:hAnsi="Calibri" w:cs="Calibri"/>
          <w:color w:val="000000" w:themeColor="text1"/>
        </w:rPr>
        <w:t xml:space="preserve">V </w:t>
      </w:r>
      <w:r w:rsidR="004538CF" w:rsidRPr="0097459F">
        <w:rPr>
          <w:rStyle w:val="normaltextrun"/>
          <w:rFonts w:ascii="Calibri" w:eastAsiaTheme="majorEastAsia" w:hAnsi="Calibri" w:cs="Calibri"/>
          <w:color w:val="000000" w:themeColor="text1"/>
        </w:rPr>
        <w:t xml:space="preserve">– </w:t>
      </w:r>
      <w:proofErr w:type="gramStart"/>
      <w:r w:rsidR="004538CF" w:rsidRPr="0097459F">
        <w:rPr>
          <w:rStyle w:val="normaltextrun"/>
          <w:rFonts w:ascii="Calibri" w:eastAsiaTheme="majorEastAsia" w:hAnsi="Calibri" w:cs="Calibri"/>
          <w:color w:val="000000" w:themeColor="text1"/>
        </w:rPr>
        <w:t>permitir</w:t>
      </w:r>
      <w:proofErr w:type="gramEnd"/>
      <w:r w:rsidR="004538CF" w:rsidRPr="0097459F">
        <w:rPr>
          <w:rStyle w:val="normaltextrun"/>
          <w:rFonts w:ascii="Calibri" w:eastAsiaTheme="majorEastAsia" w:hAnsi="Calibri" w:cs="Calibri"/>
          <w:color w:val="000000" w:themeColor="text1"/>
        </w:rPr>
        <w:t xml:space="preserve"> que o gestor contraia empréstimos em nome da classe de cotas </w:t>
      </w:r>
      <w:r w:rsidR="004538CF" w:rsidRPr="0097459F">
        <w:t xml:space="preserve">para fazer frente ao inadimplemento de cotistas que deixem de integralizar as cotas </w:t>
      </w:r>
      <w:r w:rsidR="00C654AA" w:rsidRPr="0097459F">
        <w:t xml:space="preserve">que subscreveram, observado que o valor do empréstimo </w:t>
      </w:r>
      <w:r w:rsidR="625FFBE3" w:rsidRPr="0097459F">
        <w:t xml:space="preserve">está </w:t>
      </w:r>
      <w:r w:rsidR="00C654AA" w:rsidRPr="0097459F">
        <w:t>limitado a</w:t>
      </w:r>
      <w:r w:rsidR="002D7FEA" w:rsidRPr="0097459F">
        <w:t xml:space="preserve">o valor </w:t>
      </w:r>
      <w:r w:rsidR="00E6472D" w:rsidRPr="0097459F">
        <w:t xml:space="preserve">necessário para </w:t>
      </w:r>
      <w:r w:rsidR="002D7FEA" w:rsidRPr="0097459F">
        <w:t xml:space="preserve">assegurar o cumprimento de compromisso de investimento previamente assumido </w:t>
      </w:r>
      <w:r w:rsidR="00E6472D" w:rsidRPr="0097459F">
        <w:t>pela classe</w:t>
      </w:r>
      <w:r w:rsidR="002D7FEA" w:rsidRPr="0097459F">
        <w:t xml:space="preserve"> ou </w:t>
      </w:r>
      <w:r w:rsidR="00576CB7" w:rsidRPr="0097459F">
        <w:t xml:space="preserve">para </w:t>
      </w:r>
      <w:r w:rsidR="002D7FEA" w:rsidRPr="0097459F">
        <w:t>garantir a continuidade de suas operações</w:t>
      </w:r>
      <w:r w:rsidR="00C3113A" w:rsidRPr="0097459F">
        <w:t>.</w:t>
      </w:r>
    </w:p>
    <w:p w14:paraId="5C43D2EA" w14:textId="766BD3E9" w:rsidR="004C2C1F" w:rsidRPr="0097459F" w:rsidRDefault="004C2C1F" w:rsidP="00C20BBD">
      <w:pPr>
        <w:pStyle w:val="Normalalteradora"/>
      </w:pPr>
      <w:r w:rsidRPr="0097459F">
        <w:lastRenderedPageBreak/>
        <w:t xml:space="preserve">Art. </w:t>
      </w:r>
      <w:r w:rsidR="00136A82" w:rsidRPr="0097459F">
        <w:t>114</w:t>
      </w:r>
      <w:r w:rsidRPr="0097459F">
        <w:t>.  Na classe de cotas exclusivamente destinada a investidores profissionais, o regulamento pode afastar, total ou parcialmente, a</w:t>
      </w:r>
      <w:r w:rsidR="00D92D74" w:rsidRPr="0097459F">
        <w:t>s hipóteses de</w:t>
      </w:r>
      <w:r w:rsidRPr="0097459F">
        <w:t xml:space="preserve"> vedação ao direito a voto em assembleia de cotistas</w:t>
      </w:r>
      <w:r w:rsidR="002330F1" w:rsidRPr="0097459F">
        <w:t>, conforme</w:t>
      </w:r>
      <w:r w:rsidRPr="0097459F">
        <w:t xml:space="preserve"> </w:t>
      </w:r>
      <w:r w:rsidR="00D92D74" w:rsidRPr="0097459F">
        <w:t>disposta</w:t>
      </w:r>
      <w:r w:rsidR="002330F1" w:rsidRPr="0097459F">
        <w:t>s</w:t>
      </w:r>
      <w:r w:rsidRPr="0097459F">
        <w:t xml:space="preserve"> no art. </w:t>
      </w:r>
      <w:r w:rsidR="0037292A" w:rsidRPr="0097459F">
        <w:t>78</w:t>
      </w:r>
      <w:r w:rsidRPr="0097459F">
        <w:t>.</w:t>
      </w:r>
    </w:p>
    <w:p w14:paraId="1A9147DD" w14:textId="5E68FEB3" w:rsidR="00893D49" w:rsidRPr="0097459F" w:rsidRDefault="00893D49" w:rsidP="00C20BBD">
      <w:pPr>
        <w:pStyle w:val="Seo"/>
        <w:rPr>
          <w:rFonts w:asciiTheme="minorHAnsi" w:hAnsiTheme="minorHAnsi"/>
        </w:rPr>
      </w:pPr>
      <w:bookmarkStart w:id="284" w:name="_Toc57836225"/>
      <w:bookmarkStart w:id="285" w:name="_Toc53594465"/>
      <w:bookmarkStart w:id="286" w:name="_Toc53595490"/>
      <w:bookmarkStart w:id="287" w:name="_Toc53594217"/>
      <w:bookmarkStart w:id="288" w:name="_Toc114818998"/>
      <w:bookmarkStart w:id="289" w:name="_Toc161141238"/>
      <w:r w:rsidRPr="0097459F">
        <w:rPr>
          <w:rFonts w:asciiTheme="minorHAnsi" w:hAnsiTheme="minorHAnsi"/>
        </w:rPr>
        <w:t xml:space="preserve">Seção II – </w:t>
      </w:r>
      <w:bookmarkEnd w:id="284"/>
      <w:r w:rsidR="00527AD1" w:rsidRPr="0097459F">
        <w:rPr>
          <w:rFonts w:asciiTheme="minorHAnsi" w:hAnsiTheme="minorHAnsi" w:cstheme="minorHAnsi"/>
        </w:rPr>
        <w:t xml:space="preserve">Classes </w:t>
      </w:r>
      <w:bookmarkEnd w:id="285"/>
      <w:bookmarkEnd w:id="286"/>
      <w:bookmarkEnd w:id="287"/>
      <w:r w:rsidR="00527AD1" w:rsidRPr="0097459F">
        <w:rPr>
          <w:rFonts w:asciiTheme="minorHAnsi" w:hAnsiTheme="minorHAnsi" w:cstheme="minorHAnsi"/>
        </w:rPr>
        <w:t>Exclusivas</w:t>
      </w:r>
      <w:bookmarkEnd w:id="288"/>
      <w:bookmarkEnd w:id="289"/>
    </w:p>
    <w:p w14:paraId="527EAB12" w14:textId="21AD8A35" w:rsidR="00893D49" w:rsidRPr="0097459F" w:rsidRDefault="00893D49" w:rsidP="00C20BBD">
      <w:pPr>
        <w:pStyle w:val="Normalalteradora"/>
      </w:pPr>
      <w:bookmarkStart w:id="290" w:name="_Hlk46743704"/>
      <w:r w:rsidRPr="0097459F">
        <w:rPr>
          <w:rFonts w:cstheme="minorHAnsi"/>
        </w:rPr>
        <w:t xml:space="preserve">Art. </w:t>
      </w:r>
      <w:r w:rsidR="00136A82" w:rsidRPr="0097459F">
        <w:rPr>
          <w:rFonts w:cstheme="minorHAnsi"/>
        </w:rPr>
        <w:t>115</w:t>
      </w:r>
      <w:r w:rsidRPr="0097459F">
        <w:rPr>
          <w:rFonts w:cstheme="minorHAnsi"/>
        </w:rPr>
        <w:t>.  Considera-se “</w:t>
      </w:r>
      <w:r w:rsidR="00527AD1" w:rsidRPr="0097459F">
        <w:rPr>
          <w:rFonts w:cstheme="minorHAnsi"/>
        </w:rPr>
        <w:t>Exclusiva</w:t>
      </w:r>
      <w:r w:rsidRPr="0097459F">
        <w:rPr>
          <w:rFonts w:cstheme="minorHAnsi"/>
        </w:rPr>
        <w:t xml:space="preserve">” </w:t>
      </w:r>
      <w:r w:rsidR="00527AD1" w:rsidRPr="0097459F">
        <w:rPr>
          <w:rFonts w:cstheme="minorHAnsi"/>
        </w:rPr>
        <w:t xml:space="preserve">a classe </w:t>
      </w:r>
      <w:r w:rsidR="0098693E" w:rsidRPr="0097459F">
        <w:rPr>
          <w:rFonts w:cstheme="minorHAnsi"/>
        </w:rPr>
        <w:t xml:space="preserve">ou subclasse de cotas </w:t>
      </w:r>
      <w:r w:rsidR="00527AD1" w:rsidRPr="0097459F">
        <w:rPr>
          <w:rFonts w:cstheme="minorHAnsi"/>
        </w:rPr>
        <w:t>constituída</w:t>
      </w:r>
      <w:r w:rsidRPr="0097459F">
        <w:rPr>
          <w:rFonts w:cstheme="minorHAnsi"/>
        </w:rPr>
        <w:t xml:space="preserve"> para receber aplicações exclusivamente de um único investidor profissional</w:t>
      </w:r>
      <w:r w:rsidR="002931B6" w:rsidRPr="0097459F">
        <w:rPr>
          <w:rFonts w:cstheme="minorHAnsi"/>
        </w:rPr>
        <w:t>, de cotistas que possuam vínculo societário familiar</w:t>
      </w:r>
      <w:r w:rsidRPr="0097459F">
        <w:rPr>
          <w:rFonts w:cstheme="minorHAnsi"/>
        </w:rPr>
        <w:t xml:space="preserve"> ou de cotistas vinculado</w:t>
      </w:r>
      <w:r w:rsidR="002931B6" w:rsidRPr="0097459F">
        <w:rPr>
          <w:rFonts w:cstheme="minorHAnsi"/>
        </w:rPr>
        <w:t>s</w:t>
      </w:r>
      <w:r w:rsidRPr="0097459F">
        <w:rPr>
          <w:rFonts w:cstheme="minorHAnsi"/>
        </w:rPr>
        <w:t xml:space="preserve"> por interesse único e indissociável.</w:t>
      </w:r>
      <w:bookmarkEnd w:id="290"/>
    </w:p>
    <w:p w14:paraId="48524C05" w14:textId="460DC400" w:rsidR="009730A5" w:rsidRPr="0097459F" w:rsidRDefault="009730A5" w:rsidP="00C20BBD">
      <w:pPr>
        <w:pStyle w:val="Normalalteradora"/>
        <w:rPr>
          <w:rFonts w:cstheme="minorHAnsi"/>
        </w:rPr>
      </w:pPr>
      <w:r w:rsidRPr="0097459F">
        <w:rPr>
          <w:rFonts w:cstheme="minorHAnsi"/>
        </w:rPr>
        <w:t>Parágrafo único.  A classe exclusiva é considerada um investidor profissional.</w:t>
      </w:r>
    </w:p>
    <w:p w14:paraId="1FFF9A19" w14:textId="5A65F64E" w:rsidR="00893D49" w:rsidRPr="0097459F" w:rsidRDefault="66656AB2" w:rsidP="00C20BBD">
      <w:pPr>
        <w:pStyle w:val="Seo"/>
        <w:rPr>
          <w:rFonts w:asciiTheme="minorHAnsi" w:hAnsiTheme="minorHAnsi"/>
        </w:rPr>
      </w:pPr>
      <w:bookmarkStart w:id="291" w:name="_Toc57836226"/>
      <w:bookmarkStart w:id="292" w:name="_Toc53594466"/>
      <w:bookmarkStart w:id="293" w:name="_Toc53595491"/>
      <w:bookmarkStart w:id="294" w:name="_Toc53594218"/>
      <w:bookmarkStart w:id="295" w:name="_Toc114818999"/>
      <w:bookmarkStart w:id="296" w:name="_Toc161141239"/>
      <w:r w:rsidRPr="0097459F">
        <w:rPr>
          <w:rFonts w:asciiTheme="minorHAnsi" w:hAnsiTheme="minorHAnsi"/>
        </w:rPr>
        <w:t xml:space="preserve">Seção III – </w:t>
      </w:r>
      <w:bookmarkEnd w:id="291"/>
      <w:r w:rsidR="55AA31A8" w:rsidRPr="0097459F">
        <w:rPr>
          <w:rFonts w:asciiTheme="minorHAnsi" w:hAnsiTheme="minorHAnsi" w:cstheme="minorBidi"/>
        </w:rPr>
        <w:t xml:space="preserve">Classes </w:t>
      </w:r>
      <w:bookmarkEnd w:id="292"/>
      <w:bookmarkEnd w:id="293"/>
      <w:bookmarkEnd w:id="294"/>
      <w:r w:rsidR="55AA31A8" w:rsidRPr="0097459F">
        <w:rPr>
          <w:rFonts w:asciiTheme="minorHAnsi" w:hAnsiTheme="minorHAnsi" w:cstheme="minorBidi"/>
        </w:rPr>
        <w:t>Previdenciárias</w:t>
      </w:r>
      <w:bookmarkEnd w:id="295"/>
      <w:bookmarkEnd w:id="296"/>
    </w:p>
    <w:p w14:paraId="2BC77A24" w14:textId="5C45B534" w:rsidR="00893D49" w:rsidRPr="0097459F" w:rsidRDefault="00893D49" w:rsidP="00C20BBD">
      <w:pPr>
        <w:pStyle w:val="Normalalteradora"/>
        <w:rPr>
          <w:rFonts w:cstheme="minorHAnsi"/>
        </w:rPr>
      </w:pPr>
      <w:r w:rsidRPr="0097459F">
        <w:rPr>
          <w:rFonts w:cstheme="minorHAnsi"/>
        </w:rPr>
        <w:t xml:space="preserve">Art. </w:t>
      </w:r>
      <w:r w:rsidR="00136A82" w:rsidRPr="0097459F">
        <w:rPr>
          <w:rFonts w:cstheme="minorHAnsi"/>
        </w:rPr>
        <w:t>116</w:t>
      </w:r>
      <w:r w:rsidRPr="0097459F">
        <w:rPr>
          <w:rFonts w:cstheme="minorHAnsi"/>
        </w:rPr>
        <w:t>.  Considera-se “</w:t>
      </w:r>
      <w:r w:rsidR="00A27281" w:rsidRPr="0097459F">
        <w:rPr>
          <w:rFonts w:cstheme="minorHAnsi"/>
        </w:rPr>
        <w:t>Previdenciária</w:t>
      </w:r>
      <w:r w:rsidRPr="0097459F">
        <w:rPr>
          <w:rFonts w:cstheme="minorHAnsi"/>
        </w:rPr>
        <w:t xml:space="preserve">” </w:t>
      </w:r>
      <w:r w:rsidR="005F5432" w:rsidRPr="0097459F">
        <w:rPr>
          <w:rFonts w:cstheme="minorHAnsi"/>
        </w:rPr>
        <w:t>a classe ou subclasse</w:t>
      </w:r>
      <w:r w:rsidR="002931B6" w:rsidRPr="0097459F">
        <w:rPr>
          <w:rFonts w:cstheme="minorHAnsi"/>
        </w:rPr>
        <w:t xml:space="preserve"> constituída </w:t>
      </w:r>
      <w:r w:rsidRPr="0097459F">
        <w:rPr>
          <w:rFonts w:cstheme="minorHAnsi"/>
        </w:rPr>
        <w:t xml:space="preserve">para </w:t>
      </w:r>
      <w:r w:rsidR="00A27281" w:rsidRPr="0097459F">
        <w:rPr>
          <w:rFonts w:cstheme="minorHAnsi"/>
        </w:rPr>
        <w:t xml:space="preserve">a </w:t>
      </w:r>
      <w:r w:rsidRPr="0097459F">
        <w:rPr>
          <w:rFonts w:cstheme="minorHAnsi"/>
        </w:rPr>
        <w:t>aplicação de recursos de:</w:t>
      </w:r>
    </w:p>
    <w:p w14:paraId="1EA56E61"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entidades</w:t>
      </w:r>
      <w:proofErr w:type="gramEnd"/>
      <w:r w:rsidRPr="0097459F">
        <w:rPr>
          <w:rFonts w:cstheme="minorHAnsi"/>
        </w:rPr>
        <w:t xml:space="preserve"> abertas ou fechadas de previdência privada;</w:t>
      </w:r>
    </w:p>
    <w:p w14:paraId="4B8834A9"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regimes</w:t>
      </w:r>
      <w:proofErr w:type="gramEnd"/>
      <w:r w:rsidRPr="0097459F">
        <w:rPr>
          <w:rFonts w:cstheme="minorHAnsi"/>
        </w:rPr>
        <w:t xml:space="preserve"> próprios de previdência social instituídos pela União, pelos Estados, pelo Distrito Federal ou por Municípios; </w:t>
      </w:r>
    </w:p>
    <w:p w14:paraId="435924CA" w14:textId="77777777" w:rsidR="00893D49" w:rsidRPr="0097459F" w:rsidRDefault="00893D49" w:rsidP="00C20BBD">
      <w:pPr>
        <w:pStyle w:val="Normalalteradora"/>
        <w:rPr>
          <w:rFonts w:cstheme="minorHAnsi"/>
        </w:rPr>
      </w:pPr>
      <w:r w:rsidRPr="0097459F">
        <w:rPr>
          <w:rFonts w:cstheme="minorHAnsi"/>
        </w:rPr>
        <w:t xml:space="preserve">III – planos de previdência complementar aberta e seguros de pessoas, de acordo com a regulamentação editada pelo Conselho Nacional de Seguros Privados; e </w:t>
      </w:r>
    </w:p>
    <w:p w14:paraId="4DE53AB7" w14:textId="77777777" w:rsidR="00893D49" w:rsidRPr="0097459F" w:rsidRDefault="00893D49" w:rsidP="00C20BBD">
      <w:pPr>
        <w:pStyle w:val="Normalalteradora"/>
        <w:rPr>
          <w:rFonts w:cstheme="minorHAnsi"/>
        </w:rPr>
      </w:pPr>
      <w:r w:rsidRPr="0097459F">
        <w:rPr>
          <w:rFonts w:cstheme="minorHAnsi"/>
        </w:rPr>
        <w:t>IV – FAPI – Fundo de Aposentadoria Programada Individual.</w:t>
      </w:r>
    </w:p>
    <w:p w14:paraId="6E0A5672" w14:textId="6237035B" w:rsidR="00893D49" w:rsidRPr="0097459F" w:rsidRDefault="00893D49" w:rsidP="00C20BBD">
      <w:pPr>
        <w:pStyle w:val="Normalalteradora"/>
        <w:rPr>
          <w:rFonts w:cstheme="minorHAnsi"/>
        </w:rPr>
      </w:pPr>
      <w:r w:rsidRPr="0097459F">
        <w:rPr>
          <w:rFonts w:cstheme="minorHAnsi"/>
        </w:rPr>
        <w:t xml:space="preserve">Parágrafo único.  </w:t>
      </w:r>
      <w:r w:rsidR="00A27281" w:rsidRPr="0097459F">
        <w:rPr>
          <w:rFonts w:cstheme="minorHAnsi"/>
        </w:rPr>
        <w:t>As classes</w:t>
      </w:r>
      <w:r w:rsidRPr="0097459F">
        <w:rPr>
          <w:rFonts w:cstheme="minorHAnsi"/>
        </w:rPr>
        <w:t xml:space="preserve"> </w:t>
      </w:r>
      <w:r w:rsidR="00C11C12" w:rsidRPr="0097459F">
        <w:rPr>
          <w:rFonts w:cstheme="minorHAnsi"/>
        </w:rPr>
        <w:t xml:space="preserve">de cotas </w:t>
      </w:r>
      <w:r w:rsidRPr="0097459F">
        <w:rPr>
          <w:rFonts w:cstheme="minorHAnsi"/>
        </w:rPr>
        <w:t xml:space="preserve">de que trata o </w:t>
      </w:r>
      <w:r w:rsidRPr="0097459F">
        <w:rPr>
          <w:rFonts w:cstheme="minorHAnsi"/>
          <w:b/>
        </w:rPr>
        <w:t>caput</w:t>
      </w:r>
      <w:r w:rsidRPr="0097459F">
        <w:rPr>
          <w:rFonts w:cstheme="minorHAnsi"/>
        </w:rPr>
        <w:t xml:space="preserve"> e, se for o caso, suas </w:t>
      </w:r>
      <w:r w:rsidR="00C11C12" w:rsidRPr="0097459F">
        <w:rPr>
          <w:rFonts w:cstheme="minorHAnsi"/>
        </w:rPr>
        <w:t>sub</w:t>
      </w:r>
      <w:r w:rsidRPr="0097459F">
        <w:rPr>
          <w:rFonts w:cstheme="minorHAnsi"/>
        </w:rPr>
        <w:t>classes devem indicar em seu cadastro na CVM a condição de “</w:t>
      </w:r>
      <w:r w:rsidR="00C11C12" w:rsidRPr="0097459F">
        <w:rPr>
          <w:rFonts w:cstheme="minorHAnsi"/>
        </w:rPr>
        <w:t>Previdenciárias</w:t>
      </w:r>
      <w:r w:rsidRPr="0097459F">
        <w:rPr>
          <w:rFonts w:cstheme="minorHAnsi"/>
        </w:rPr>
        <w:t xml:space="preserve">” e a categoria de plano ou seguro a que se encontram </w:t>
      </w:r>
      <w:r w:rsidR="00917402" w:rsidRPr="0097459F">
        <w:rPr>
          <w:rFonts w:cstheme="minorHAnsi"/>
        </w:rPr>
        <w:t>vinculadas</w:t>
      </w:r>
      <w:r w:rsidRPr="0097459F">
        <w:rPr>
          <w:rFonts w:cstheme="minorHAnsi"/>
        </w:rPr>
        <w:t xml:space="preserve">. </w:t>
      </w:r>
    </w:p>
    <w:p w14:paraId="1DA336B2" w14:textId="77777777" w:rsidR="00893D49" w:rsidRPr="0097459F" w:rsidRDefault="00893D49" w:rsidP="00C20BBD">
      <w:pPr>
        <w:pStyle w:val="Captulo"/>
        <w:rPr>
          <w:rFonts w:asciiTheme="minorHAnsi" w:hAnsiTheme="minorHAnsi"/>
        </w:rPr>
      </w:pPr>
      <w:bookmarkStart w:id="297" w:name="_Toc53594467"/>
      <w:bookmarkStart w:id="298" w:name="_Toc53595492"/>
      <w:bookmarkStart w:id="299" w:name="_Toc53594219"/>
      <w:bookmarkStart w:id="300" w:name="_Toc114819000"/>
      <w:bookmarkStart w:id="301" w:name="_Toc57836227"/>
      <w:bookmarkStart w:id="302" w:name="_Toc161141240"/>
      <w:r w:rsidRPr="0097459F">
        <w:rPr>
          <w:rFonts w:asciiTheme="minorHAnsi" w:hAnsiTheme="minorHAnsi"/>
        </w:rPr>
        <w:t>CAPÍTULO XI – ENCARGOS</w:t>
      </w:r>
      <w:bookmarkEnd w:id="297"/>
      <w:bookmarkEnd w:id="298"/>
      <w:bookmarkEnd w:id="299"/>
      <w:bookmarkEnd w:id="300"/>
      <w:bookmarkEnd w:id="301"/>
      <w:bookmarkEnd w:id="302"/>
    </w:p>
    <w:p w14:paraId="19761811" w14:textId="7945790F" w:rsidR="00893D49" w:rsidRPr="0097459F" w:rsidRDefault="00893D49" w:rsidP="00C20BBD">
      <w:pPr>
        <w:pStyle w:val="Normalalteradora"/>
      </w:pPr>
      <w:r w:rsidRPr="0097459F">
        <w:rPr>
          <w:rFonts w:cstheme="minorHAnsi"/>
        </w:rPr>
        <w:t xml:space="preserve">Art. </w:t>
      </w:r>
      <w:r w:rsidR="00136A82" w:rsidRPr="0097459F">
        <w:rPr>
          <w:rFonts w:cstheme="minorHAnsi"/>
        </w:rPr>
        <w:t>117</w:t>
      </w:r>
      <w:r w:rsidRPr="0097459F">
        <w:rPr>
          <w:rFonts w:cstheme="minorHAnsi"/>
        </w:rPr>
        <w:t xml:space="preserve">.  Constituem encargos </w:t>
      </w:r>
      <w:r w:rsidR="00576CB7" w:rsidRPr="0097459F">
        <w:rPr>
          <w:rFonts w:cstheme="minorHAnsi"/>
        </w:rPr>
        <w:t>do fundo</w:t>
      </w:r>
      <w:r w:rsidRPr="0097459F">
        <w:rPr>
          <w:rFonts w:cstheme="minorHAnsi"/>
        </w:rPr>
        <w:t xml:space="preserve"> as seguintes despesas, que lhe podem ser debitadas diretamente, </w:t>
      </w:r>
      <w:r w:rsidR="009422AB" w:rsidRPr="0097459F">
        <w:rPr>
          <w:rFonts w:cstheme="minorHAnsi"/>
        </w:rPr>
        <w:t xml:space="preserve">assim como de suas classes de cotas, se houver, </w:t>
      </w:r>
      <w:r w:rsidRPr="0097459F">
        <w:rPr>
          <w:rFonts w:cstheme="minorHAnsi"/>
        </w:rPr>
        <w:t xml:space="preserve">sem prejuízo de outras </w:t>
      </w:r>
      <w:r w:rsidR="00594083" w:rsidRPr="0097459F">
        <w:rPr>
          <w:rFonts w:cstheme="minorHAnsi"/>
        </w:rPr>
        <w:t xml:space="preserve">despesas </w:t>
      </w:r>
      <w:r w:rsidRPr="0097459F">
        <w:rPr>
          <w:rFonts w:cstheme="minorHAnsi"/>
        </w:rPr>
        <w:t xml:space="preserve">previstas </w:t>
      </w:r>
      <w:r w:rsidR="00F239E5" w:rsidRPr="0097459F">
        <w:rPr>
          <w:rFonts w:cstheme="minorHAnsi"/>
        </w:rPr>
        <w:t>n</w:t>
      </w:r>
      <w:r w:rsidRPr="0097459F">
        <w:rPr>
          <w:rFonts w:cstheme="minorHAnsi"/>
        </w:rPr>
        <w:t>esta Resolução ou em regulamentação específica:</w:t>
      </w:r>
    </w:p>
    <w:p w14:paraId="62861000" w14:textId="2034641A" w:rsidR="00893D49" w:rsidRPr="0097459F" w:rsidRDefault="00893D49" w:rsidP="00C20BBD">
      <w:pPr>
        <w:pStyle w:val="Normalalteradora"/>
        <w:rPr>
          <w:rFonts w:cstheme="minorHAnsi"/>
        </w:rPr>
      </w:pPr>
      <w:r w:rsidRPr="0097459F">
        <w:rPr>
          <w:rFonts w:cstheme="minorHAnsi"/>
        </w:rPr>
        <w:t xml:space="preserve">I – taxas, impostos ou contribuições federais, estaduais, municipais ou autárquicas, que recaiam ou venham a recair sobre os bens, direitos e obrigações </w:t>
      </w:r>
      <w:r w:rsidR="00576CB7" w:rsidRPr="0097459F">
        <w:rPr>
          <w:rFonts w:cstheme="minorHAnsi"/>
        </w:rPr>
        <w:t>do fundo</w:t>
      </w:r>
      <w:r w:rsidRPr="0097459F">
        <w:rPr>
          <w:rFonts w:cstheme="minorHAnsi"/>
        </w:rPr>
        <w:t>;</w:t>
      </w:r>
    </w:p>
    <w:p w14:paraId="4C20C94F" w14:textId="51BBBC69" w:rsidR="00893D49" w:rsidRPr="0097459F" w:rsidRDefault="00893D49" w:rsidP="00C20BBD">
      <w:pPr>
        <w:pStyle w:val="Normalalteradora"/>
        <w:rPr>
          <w:rFonts w:cstheme="minorHAnsi"/>
        </w:rPr>
      </w:pPr>
      <w:r w:rsidRPr="0097459F">
        <w:rPr>
          <w:rFonts w:cstheme="minorHAnsi"/>
        </w:rPr>
        <w:lastRenderedPageBreak/>
        <w:t xml:space="preserve">II – </w:t>
      </w:r>
      <w:proofErr w:type="gramStart"/>
      <w:r w:rsidRPr="0097459F">
        <w:rPr>
          <w:rFonts w:cstheme="minorHAnsi"/>
        </w:rPr>
        <w:t>despesas</w:t>
      </w:r>
      <w:proofErr w:type="gramEnd"/>
      <w:r w:rsidRPr="0097459F">
        <w:rPr>
          <w:rFonts w:cstheme="minorHAnsi"/>
        </w:rPr>
        <w:t xml:space="preserve"> com o registro de documentos, impressão, expedição e publicação de relatórios e informações periódicas previstas nesta Resolução;</w:t>
      </w:r>
    </w:p>
    <w:p w14:paraId="20D7B876" w14:textId="2475D23B" w:rsidR="00893D49" w:rsidRPr="0097459F" w:rsidRDefault="00893D49" w:rsidP="00C20BBD">
      <w:pPr>
        <w:pStyle w:val="Normalalteradora"/>
        <w:rPr>
          <w:rFonts w:cstheme="minorHAnsi"/>
        </w:rPr>
      </w:pPr>
      <w:r w:rsidRPr="0097459F">
        <w:rPr>
          <w:rFonts w:cstheme="minorHAnsi"/>
        </w:rPr>
        <w:t xml:space="preserve">III – despesas com correspondências de interesse </w:t>
      </w:r>
      <w:r w:rsidR="00576CB7" w:rsidRPr="0097459F">
        <w:rPr>
          <w:rFonts w:cstheme="minorHAnsi"/>
        </w:rPr>
        <w:t>do fundo</w:t>
      </w:r>
      <w:r w:rsidRPr="0097459F">
        <w:rPr>
          <w:rFonts w:cstheme="minorHAnsi"/>
        </w:rPr>
        <w:t>, inclusive comunicações aos cotistas;</w:t>
      </w:r>
    </w:p>
    <w:p w14:paraId="0ECC5BC4" w14:textId="51724EA7" w:rsidR="00893D49" w:rsidRPr="0097459F" w:rsidRDefault="00893D49" w:rsidP="00C20BBD">
      <w:pPr>
        <w:pStyle w:val="Normalalteradora"/>
        <w:rPr>
          <w:rFonts w:cstheme="minorHAnsi"/>
        </w:rPr>
      </w:pPr>
      <w:r w:rsidRPr="0097459F">
        <w:rPr>
          <w:rFonts w:cstheme="minorHAnsi"/>
        </w:rPr>
        <w:t>IV – honorários e despesas do auditor independente;</w:t>
      </w:r>
    </w:p>
    <w:p w14:paraId="40DAF28B" w14:textId="11A2D091" w:rsidR="00E63B3F"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emolumentos</w:t>
      </w:r>
      <w:proofErr w:type="gramEnd"/>
      <w:r w:rsidRPr="0097459F">
        <w:rPr>
          <w:rFonts w:cstheme="minorHAnsi"/>
        </w:rPr>
        <w:t xml:space="preserve"> e comissões pagas por operações </w:t>
      </w:r>
      <w:r w:rsidR="00A053D4" w:rsidRPr="0097459F">
        <w:rPr>
          <w:rFonts w:cstheme="minorHAnsi"/>
        </w:rPr>
        <w:t xml:space="preserve">da </w:t>
      </w:r>
      <w:r w:rsidR="00576CB7" w:rsidRPr="0097459F">
        <w:rPr>
          <w:rFonts w:cstheme="minorHAnsi"/>
        </w:rPr>
        <w:t>carteira de ativos</w:t>
      </w:r>
      <w:r w:rsidRPr="0097459F">
        <w:rPr>
          <w:rFonts w:cstheme="minorHAnsi"/>
        </w:rPr>
        <w:t>;</w:t>
      </w:r>
    </w:p>
    <w:p w14:paraId="56DB9F9F" w14:textId="70353883" w:rsidR="00E9103D" w:rsidRPr="0097459F" w:rsidRDefault="00E9103D" w:rsidP="00C20BBD">
      <w:pPr>
        <w:pStyle w:val="Normalalteradora"/>
        <w:rPr>
          <w:rFonts w:cstheme="minorHAnsi"/>
        </w:rPr>
      </w:pPr>
      <w:r w:rsidRPr="0097459F">
        <w:rPr>
          <w:rFonts w:cstheme="minorHAnsi"/>
        </w:rPr>
        <w:t xml:space="preserve">VI </w:t>
      </w:r>
      <w:r w:rsidR="00C3113A" w:rsidRPr="0097459F">
        <w:rPr>
          <w:rFonts w:cstheme="minorHAnsi"/>
        </w:rPr>
        <w:t>–</w:t>
      </w:r>
      <w:r w:rsidRPr="0097459F">
        <w:rPr>
          <w:rFonts w:cstheme="minorHAnsi"/>
        </w:rPr>
        <w:t xml:space="preserve"> </w:t>
      </w:r>
      <w:proofErr w:type="gramStart"/>
      <w:r w:rsidRPr="0097459F">
        <w:t>despesas</w:t>
      </w:r>
      <w:proofErr w:type="gramEnd"/>
      <w:r w:rsidR="00C3113A" w:rsidRPr="0097459F">
        <w:t xml:space="preserve"> </w:t>
      </w:r>
      <w:r w:rsidRPr="0097459F">
        <w:t>com a manutenção de ativos</w:t>
      </w:r>
      <w:r w:rsidR="00142FA4" w:rsidRPr="0097459F">
        <w:t xml:space="preserve"> cuja propriedade decorra </w:t>
      </w:r>
      <w:r w:rsidRPr="0097459F">
        <w:t xml:space="preserve">de execução de garantia ou </w:t>
      </w:r>
      <w:r w:rsidR="00142FA4" w:rsidRPr="0097459F">
        <w:t xml:space="preserve">de </w:t>
      </w:r>
      <w:r w:rsidRPr="0097459F">
        <w:t>aco</w:t>
      </w:r>
      <w:r w:rsidR="00142FA4" w:rsidRPr="0097459F">
        <w:t>rdo com devedor</w:t>
      </w:r>
      <w:r w:rsidRPr="0097459F">
        <w:t>;</w:t>
      </w:r>
    </w:p>
    <w:p w14:paraId="1995CF35" w14:textId="779D5D45" w:rsidR="00893D49" w:rsidRPr="0097459F" w:rsidRDefault="00893D49" w:rsidP="00C20BBD">
      <w:pPr>
        <w:pStyle w:val="Normalalteradora"/>
        <w:rPr>
          <w:rFonts w:cstheme="minorHAnsi"/>
        </w:rPr>
      </w:pPr>
      <w:r w:rsidRPr="0097459F">
        <w:rPr>
          <w:rFonts w:cstheme="minorHAnsi"/>
        </w:rPr>
        <w:t>VI</w:t>
      </w:r>
      <w:r w:rsidR="00C3113A" w:rsidRPr="0097459F">
        <w:rPr>
          <w:rFonts w:cstheme="minorHAnsi"/>
        </w:rPr>
        <w:t>I</w:t>
      </w:r>
      <w:r w:rsidRPr="0097459F">
        <w:rPr>
          <w:rFonts w:cstheme="minorHAnsi"/>
        </w:rPr>
        <w:t xml:space="preserve"> – honorários de advogado, custas e despesas processuais correlatas, incorridas em razão de defesa dos interesses </w:t>
      </w:r>
      <w:r w:rsidR="00C959D1" w:rsidRPr="0097459F">
        <w:t>do fundo</w:t>
      </w:r>
      <w:r w:rsidRPr="0097459F">
        <w:rPr>
          <w:rFonts w:cstheme="minorHAnsi"/>
        </w:rPr>
        <w:t>, em juízo ou fora dele, inclusive o valor da condenação imputada, se for o caso;</w:t>
      </w:r>
    </w:p>
    <w:p w14:paraId="233AD9C1" w14:textId="56989118" w:rsidR="00893D49" w:rsidRPr="0097459F" w:rsidRDefault="00893D49" w:rsidP="00C20BBD">
      <w:pPr>
        <w:pStyle w:val="Normalalteradora"/>
        <w:rPr>
          <w:rFonts w:cstheme="minorHAnsi"/>
        </w:rPr>
      </w:pPr>
      <w:r w:rsidRPr="0097459F">
        <w:rPr>
          <w:rFonts w:cstheme="minorHAnsi"/>
        </w:rPr>
        <w:t>VII</w:t>
      </w:r>
      <w:r w:rsidR="00C3113A" w:rsidRPr="0097459F">
        <w:rPr>
          <w:rFonts w:cstheme="minorHAnsi"/>
        </w:rPr>
        <w:t>I</w:t>
      </w:r>
      <w:r w:rsidRPr="0097459F">
        <w:rPr>
          <w:rFonts w:cstheme="minorHAnsi"/>
        </w:rPr>
        <w:t xml:space="preserve"> – </w:t>
      </w:r>
      <w:r w:rsidR="00C91480" w:rsidRPr="0097459F">
        <w:rPr>
          <w:rFonts w:cstheme="minorHAnsi"/>
        </w:rPr>
        <w:t xml:space="preserve">gastos derivados da celebração de contratos de seguro sobre os ativos da carteira, assim como a </w:t>
      </w:r>
      <w:r w:rsidRPr="0097459F">
        <w:rPr>
          <w:rFonts w:cstheme="minorHAnsi"/>
        </w:rPr>
        <w:t xml:space="preserve">parcela de prejuízos </w:t>
      </w:r>
      <w:r w:rsidR="00832263" w:rsidRPr="0097459F">
        <w:rPr>
          <w:rFonts w:cstheme="minorHAnsi"/>
        </w:rPr>
        <w:t xml:space="preserve">da carteira </w:t>
      </w:r>
      <w:r w:rsidRPr="0097459F">
        <w:rPr>
          <w:rFonts w:cstheme="minorHAnsi"/>
        </w:rPr>
        <w:t>não coberta por apólices de seguro</w:t>
      </w:r>
      <w:r w:rsidR="00832263" w:rsidRPr="0097459F">
        <w:rPr>
          <w:rFonts w:cstheme="minorHAnsi"/>
        </w:rPr>
        <w:t>, salvo se</w:t>
      </w:r>
      <w:r w:rsidRPr="0097459F">
        <w:rPr>
          <w:rFonts w:cstheme="minorHAnsi"/>
        </w:rPr>
        <w:t xml:space="preserve"> decorrente diretamente de culpa ou dolo dos prestadores dos serviços no exercício de suas respectivas funções;</w:t>
      </w:r>
    </w:p>
    <w:p w14:paraId="23C08F1E" w14:textId="1A205E74" w:rsidR="00893D49" w:rsidRPr="0097459F" w:rsidRDefault="00893D49" w:rsidP="00C20BBD">
      <w:pPr>
        <w:pStyle w:val="Normalalteradora"/>
        <w:rPr>
          <w:rFonts w:cstheme="minorHAnsi"/>
        </w:rPr>
      </w:pPr>
      <w:r w:rsidRPr="0097459F">
        <w:rPr>
          <w:rFonts w:cstheme="minorHAnsi"/>
        </w:rPr>
        <w:t>I</w:t>
      </w:r>
      <w:r w:rsidR="00C3113A" w:rsidRPr="0097459F">
        <w:rPr>
          <w:rFonts w:cstheme="minorHAnsi"/>
        </w:rPr>
        <w:t>X</w:t>
      </w:r>
      <w:r w:rsidRPr="0097459F">
        <w:rPr>
          <w:rFonts w:cstheme="minorHAnsi"/>
        </w:rPr>
        <w:t xml:space="preserve"> – </w:t>
      </w:r>
      <w:proofErr w:type="gramStart"/>
      <w:r w:rsidRPr="0097459F">
        <w:rPr>
          <w:rFonts w:cstheme="minorHAnsi"/>
        </w:rPr>
        <w:t>despesas</w:t>
      </w:r>
      <w:proofErr w:type="gramEnd"/>
      <w:r w:rsidRPr="0097459F">
        <w:rPr>
          <w:rFonts w:cstheme="minorHAnsi"/>
        </w:rPr>
        <w:t xml:space="preserve"> relacionadas ao exercício de direito de voto decorrente de ativos</w:t>
      </w:r>
      <w:r w:rsidR="00CA5BFB" w:rsidRPr="0097459F">
        <w:rPr>
          <w:rFonts w:cstheme="minorHAnsi"/>
        </w:rPr>
        <w:t xml:space="preserve"> da carteira</w:t>
      </w:r>
      <w:r w:rsidRPr="0097459F">
        <w:rPr>
          <w:rFonts w:cstheme="minorHAnsi"/>
        </w:rPr>
        <w:t xml:space="preserve">; </w:t>
      </w:r>
    </w:p>
    <w:p w14:paraId="4E262656" w14:textId="24CA287C" w:rsidR="00A43C29" w:rsidRPr="0097459F" w:rsidRDefault="00A43C29" w:rsidP="00C20BBD">
      <w:pPr>
        <w:pStyle w:val="Normalalteradora"/>
        <w:rPr>
          <w:rFonts w:cstheme="minorHAnsi"/>
        </w:rPr>
      </w:pPr>
      <w:r w:rsidRPr="0097459F">
        <w:rPr>
          <w:rFonts w:cstheme="minorHAnsi"/>
        </w:rPr>
        <w:t xml:space="preserve">X – </w:t>
      </w:r>
      <w:proofErr w:type="gramStart"/>
      <w:r w:rsidRPr="0097459F">
        <w:rPr>
          <w:rFonts w:cstheme="minorHAnsi"/>
        </w:rPr>
        <w:t>despesas</w:t>
      </w:r>
      <w:proofErr w:type="gramEnd"/>
      <w:r w:rsidRPr="0097459F">
        <w:rPr>
          <w:rFonts w:cstheme="minorHAnsi"/>
        </w:rPr>
        <w:t xml:space="preserve"> com a realização de assembleia de cotistas;</w:t>
      </w:r>
    </w:p>
    <w:p w14:paraId="2C341B23" w14:textId="7F51F92D" w:rsidR="00A43C29" w:rsidRPr="0097459F" w:rsidRDefault="00A43C29" w:rsidP="00C20BBD">
      <w:pPr>
        <w:pStyle w:val="Normalalteradora"/>
      </w:pPr>
      <w:r w:rsidRPr="0097459F">
        <w:t>X</w:t>
      </w:r>
      <w:r w:rsidR="00C3113A" w:rsidRPr="0097459F">
        <w:t>I</w:t>
      </w:r>
      <w:r w:rsidRPr="0097459F">
        <w:t xml:space="preserve"> – despesas inerentes à constituição, fusão, incorporação, cisão, transformação ou liquidação da classe;</w:t>
      </w:r>
    </w:p>
    <w:p w14:paraId="2D3F28BF" w14:textId="690F9F4B" w:rsidR="00893D49" w:rsidRPr="0097459F" w:rsidRDefault="00AD6335" w:rsidP="00C20BBD">
      <w:pPr>
        <w:pStyle w:val="Normalalteradora"/>
        <w:rPr>
          <w:rFonts w:cstheme="minorHAnsi"/>
        </w:rPr>
      </w:pPr>
      <w:r w:rsidRPr="0097459F">
        <w:rPr>
          <w:rFonts w:cstheme="minorHAnsi"/>
        </w:rPr>
        <w:t>XI</w:t>
      </w:r>
      <w:r w:rsidR="00C3113A" w:rsidRPr="0097459F">
        <w:rPr>
          <w:rFonts w:cstheme="minorHAnsi"/>
        </w:rPr>
        <w:t>I</w:t>
      </w:r>
      <w:r w:rsidRPr="0097459F">
        <w:rPr>
          <w:rFonts w:cstheme="minorHAnsi"/>
        </w:rPr>
        <w:t xml:space="preserve"> </w:t>
      </w:r>
      <w:r w:rsidR="00893D49" w:rsidRPr="0097459F">
        <w:rPr>
          <w:rFonts w:cstheme="minorHAnsi"/>
        </w:rPr>
        <w:t>– despesas com liquidação, registro e custódia de operações com ativos da carteira;</w:t>
      </w:r>
    </w:p>
    <w:p w14:paraId="6B0AFFBA" w14:textId="5893A0CE" w:rsidR="00893D49" w:rsidRPr="0097459F" w:rsidRDefault="00AD6335" w:rsidP="00C20BBD">
      <w:pPr>
        <w:pStyle w:val="Normalalteradora"/>
        <w:rPr>
          <w:rFonts w:cstheme="minorHAnsi"/>
        </w:rPr>
      </w:pPr>
      <w:r w:rsidRPr="0097459F">
        <w:rPr>
          <w:rFonts w:cstheme="minorHAnsi"/>
        </w:rPr>
        <w:t>X</w:t>
      </w:r>
      <w:r w:rsidR="00C3113A" w:rsidRPr="0097459F">
        <w:rPr>
          <w:rFonts w:cstheme="minorHAnsi"/>
        </w:rPr>
        <w:t>I</w:t>
      </w:r>
      <w:r w:rsidRPr="0097459F">
        <w:rPr>
          <w:rFonts w:cstheme="minorHAnsi"/>
        </w:rPr>
        <w:t xml:space="preserve">II </w:t>
      </w:r>
      <w:r w:rsidR="00893D49" w:rsidRPr="0097459F">
        <w:rPr>
          <w:rFonts w:cstheme="minorHAnsi"/>
        </w:rPr>
        <w:t xml:space="preserve">– despesas com fechamento de câmbio, vinculadas às operações </w:t>
      </w:r>
      <w:r w:rsidR="00F239E5" w:rsidRPr="0097459F">
        <w:rPr>
          <w:rFonts w:cstheme="minorHAnsi"/>
        </w:rPr>
        <w:t xml:space="preserve">da </w:t>
      </w:r>
      <w:r w:rsidR="00A439B9" w:rsidRPr="0097459F">
        <w:rPr>
          <w:rFonts w:cstheme="minorHAnsi"/>
        </w:rPr>
        <w:t>carteira</w:t>
      </w:r>
      <w:r w:rsidR="00A43C29" w:rsidRPr="0097459F">
        <w:rPr>
          <w:rFonts w:cstheme="minorHAnsi"/>
        </w:rPr>
        <w:t xml:space="preserve"> de ativos</w:t>
      </w:r>
      <w:r w:rsidR="00893D49" w:rsidRPr="0097459F">
        <w:rPr>
          <w:rFonts w:cstheme="minorHAnsi"/>
        </w:rPr>
        <w:t>;</w:t>
      </w:r>
    </w:p>
    <w:p w14:paraId="161A5DF8" w14:textId="1E6890C0" w:rsidR="005E6CF7" w:rsidRPr="0097459F" w:rsidRDefault="00AD6335" w:rsidP="00C20BBD">
      <w:pPr>
        <w:pStyle w:val="Normalalteradora"/>
        <w:rPr>
          <w:rFonts w:cstheme="minorHAnsi"/>
        </w:rPr>
      </w:pPr>
      <w:r w:rsidRPr="0097459F">
        <w:rPr>
          <w:rFonts w:cstheme="minorHAnsi"/>
        </w:rPr>
        <w:t>XI</w:t>
      </w:r>
      <w:r w:rsidR="00C3113A" w:rsidRPr="0097459F">
        <w:rPr>
          <w:rFonts w:cstheme="minorHAnsi"/>
        </w:rPr>
        <w:t>V</w:t>
      </w:r>
      <w:r w:rsidRPr="0097459F">
        <w:rPr>
          <w:rFonts w:cstheme="minorHAnsi"/>
        </w:rPr>
        <w:t xml:space="preserve"> </w:t>
      </w:r>
      <w:r w:rsidR="00893D49" w:rsidRPr="0097459F">
        <w:rPr>
          <w:rFonts w:cstheme="minorHAnsi"/>
        </w:rPr>
        <w:t xml:space="preserve">– no caso de </w:t>
      </w:r>
      <w:r w:rsidR="005E6CF7" w:rsidRPr="0097459F">
        <w:rPr>
          <w:rFonts w:cstheme="minorHAnsi"/>
        </w:rPr>
        <w:t>classe fechada</w:t>
      </w:r>
      <w:r w:rsidR="00893D49" w:rsidRPr="0097459F">
        <w:rPr>
          <w:rFonts w:cstheme="minorHAnsi"/>
        </w:rPr>
        <w:t>, se for o caso, as despesas inerentes à</w:t>
      </w:r>
      <w:r w:rsidR="005E6CF7" w:rsidRPr="0097459F">
        <w:rPr>
          <w:rFonts w:cstheme="minorHAnsi"/>
        </w:rPr>
        <w:t>:</w:t>
      </w:r>
    </w:p>
    <w:p w14:paraId="5098D670" w14:textId="5CB5A186" w:rsidR="005E6CF7" w:rsidRPr="0097459F" w:rsidRDefault="001655F4" w:rsidP="00C20BBD">
      <w:pPr>
        <w:pStyle w:val="Normalalteradora"/>
        <w:rPr>
          <w:rFonts w:cstheme="minorHAnsi"/>
        </w:rPr>
      </w:pPr>
      <w:r w:rsidRPr="0097459F">
        <w:rPr>
          <w:rFonts w:cstheme="minorHAnsi"/>
        </w:rPr>
        <w:t xml:space="preserve">a) </w:t>
      </w:r>
      <w:r w:rsidR="005E6CF7" w:rsidRPr="0097459F">
        <w:rPr>
          <w:rFonts w:cstheme="minorHAnsi"/>
        </w:rPr>
        <w:t>distribuição primária de cotas; e</w:t>
      </w:r>
    </w:p>
    <w:p w14:paraId="1AD94E0A" w14:textId="594E9904" w:rsidR="00C33274" w:rsidRPr="0097459F" w:rsidRDefault="001655F4" w:rsidP="00C20BBD">
      <w:pPr>
        <w:pStyle w:val="Normalalteradora"/>
      </w:pPr>
      <w:r w:rsidRPr="0097459F">
        <w:rPr>
          <w:rFonts w:cstheme="minorHAnsi"/>
        </w:rPr>
        <w:t xml:space="preserve">b) </w:t>
      </w:r>
      <w:r w:rsidR="66656AB2" w:rsidRPr="0097459F">
        <w:rPr>
          <w:rFonts w:cstheme="minorHAnsi"/>
        </w:rPr>
        <w:t>admissão</w:t>
      </w:r>
      <w:r w:rsidR="66656AB2" w:rsidRPr="0097459F">
        <w:t xml:space="preserve"> das cotas à negociação em mercado organizado;</w:t>
      </w:r>
    </w:p>
    <w:p w14:paraId="70260FBF" w14:textId="41B6D996" w:rsidR="00893D49" w:rsidRPr="0097459F" w:rsidRDefault="00AD6335" w:rsidP="00C20BBD">
      <w:pPr>
        <w:pStyle w:val="Normalalteradora"/>
        <w:rPr>
          <w:rFonts w:cstheme="minorHAnsi"/>
          <w:color w:val="000000"/>
        </w:rPr>
      </w:pPr>
      <w:r w:rsidRPr="0097459F">
        <w:rPr>
          <w:rFonts w:cstheme="minorHAnsi"/>
          <w:color w:val="000000"/>
        </w:rPr>
        <w:t xml:space="preserve">XV </w:t>
      </w:r>
      <w:r w:rsidR="00893D49" w:rsidRPr="0097459F">
        <w:rPr>
          <w:rFonts w:cstheme="minorHAnsi"/>
          <w:color w:val="000000" w:themeColor="text1"/>
        </w:rPr>
        <w:t>–</w:t>
      </w:r>
      <w:r w:rsidR="00893D49" w:rsidRPr="0097459F">
        <w:rPr>
          <w:rFonts w:cstheme="minorHAnsi"/>
          <w:color w:val="000000"/>
        </w:rPr>
        <w:t xml:space="preserve"> </w:t>
      </w:r>
      <w:proofErr w:type="gramStart"/>
      <w:r w:rsidR="00893D49" w:rsidRPr="0097459F">
        <w:rPr>
          <w:rFonts w:cstheme="minorHAnsi"/>
          <w:b/>
          <w:color w:val="201F1E"/>
          <w:shd w:val="clear" w:color="auto" w:fill="FFFFFF"/>
        </w:rPr>
        <w:t>royalties</w:t>
      </w:r>
      <w:proofErr w:type="gramEnd"/>
      <w:r w:rsidR="00893D49" w:rsidRPr="0097459F">
        <w:rPr>
          <w:rFonts w:cstheme="minorHAnsi"/>
          <w:color w:val="201F1E"/>
          <w:shd w:val="clear" w:color="auto" w:fill="FFFFFF"/>
        </w:rPr>
        <w:t xml:space="preserve"> devidos pelo licenciamento de </w:t>
      </w:r>
      <w:r w:rsidR="00893D49" w:rsidRPr="0097459F">
        <w:rPr>
          <w:rFonts w:cstheme="minorHAnsi"/>
        </w:rPr>
        <w:t>índices</w:t>
      </w:r>
      <w:r w:rsidR="00893D49" w:rsidRPr="0097459F">
        <w:rPr>
          <w:rFonts w:cstheme="minorHAnsi"/>
          <w:color w:val="201F1E"/>
          <w:shd w:val="clear" w:color="auto" w:fill="FFFFFF"/>
        </w:rPr>
        <w:t xml:space="preserve"> de referência, desde que cobrados de acordo com contrato estabelecido entre o administrador e a instituição que detém os direitos sobre o índice;</w:t>
      </w:r>
    </w:p>
    <w:p w14:paraId="05065856" w14:textId="44788F38" w:rsidR="0056748D" w:rsidRPr="0097459F" w:rsidRDefault="00AD6335" w:rsidP="00C20BBD">
      <w:pPr>
        <w:pStyle w:val="Normalalteradora"/>
        <w:rPr>
          <w:rFonts w:cstheme="minorHAnsi"/>
        </w:rPr>
      </w:pPr>
      <w:r w:rsidRPr="0097459F">
        <w:rPr>
          <w:rFonts w:cstheme="minorHAnsi"/>
        </w:rPr>
        <w:t xml:space="preserve">XVI </w:t>
      </w:r>
      <w:r w:rsidR="00893D49" w:rsidRPr="0097459F">
        <w:rPr>
          <w:rFonts w:cstheme="minorHAnsi"/>
        </w:rPr>
        <w:t>– taxas de administração e de gestão;</w:t>
      </w:r>
    </w:p>
    <w:p w14:paraId="4726A01C" w14:textId="5A9E6B9B" w:rsidR="00AD6335" w:rsidRDefault="00AD6335" w:rsidP="00C20BBD">
      <w:pPr>
        <w:pStyle w:val="Normalalteradora"/>
      </w:pPr>
      <w:r w:rsidRPr="0097459F">
        <w:lastRenderedPageBreak/>
        <w:t xml:space="preserve">XVII </w:t>
      </w:r>
      <w:r w:rsidR="001655F4" w:rsidRPr="0097459F">
        <w:t>–</w:t>
      </w:r>
      <w:r w:rsidRPr="0097459F">
        <w:t xml:space="preserve"> montantes devidos a fundos investidores na hipótese de acordo de remuneração com base na taxa de administração</w:t>
      </w:r>
      <w:r w:rsidR="00467E78" w:rsidRPr="0097459F">
        <w:t>, performance</w:t>
      </w:r>
      <w:r w:rsidRPr="0097459F">
        <w:t xml:space="preserve"> ou gestão, observado o disposto no </w:t>
      </w:r>
      <w:r w:rsidR="008A2E69" w:rsidRPr="0097459F">
        <w:t xml:space="preserve">art. </w:t>
      </w:r>
      <w:r w:rsidR="0037292A" w:rsidRPr="0097459F">
        <w:t>99</w:t>
      </w:r>
      <w:r w:rsidRPr="0097459F">
        <w:t>;</w:t>
      </w:r>
    </w:p>
    <w:p w14:paraId="455B29E3" w14:textId="12E00B0A" w:rsidR="0002408E" w:rsidRDefault="0002408E" w:rsidP="0002408E">
      <w:pPr>
        <w:pStyle w:val="Normalalteradora"/>
        <w:rPr>
          <w:rFonts w:cstheme="minorHAnsi"/>
          <w:strike/>
        </w:rPr>
      </w:pPr>
      <w:r w:rsidRPr="00A269EE">
        <w:rPr>
          <w:rFonts w:cstheme="minorHAnsi"/>
          <w:strike/>
        </w:rPr>
        <w:t>XVIII – taxa máxima de distribuição; e</w:t>
      </w:r>
    </w:p>
    <w:p w14:paraId="7E7EEA76" w14:textId="59F1403B" w:rsidR="00A269EE" w:rsidRDefault="00A269EE" w:rsidP="00A269EE">
      <w:pPr>
        <w:pStyle w:val="NormaAlterada"/>
      </w:pPr>
      <w:r w:rsidRPr="007F57B5">
        <w:t>XVIII – taxa máxima de distribuição;</w:t>
      </w:r>
    </w:p>
    <w:p w14:paraId="1739FA6B" w14:textId="621A1A9A" w:rsidR="00A269EE" w:rsidRPr="00A269EE" w:rsidRDefault="00A269EE">
      <w:pPr>
        <w:numPr>
          <w:ilvl w:val="0"/>
          <w:numId w:val="12"/>
        </w:numPr>
        <w:tabs>
          <w:tab w:val="left" w:pos="709"/>
        </w:tabs>
        <w:spacing w:after="0" w:line="312" w:lineRule="auto"/>
        <w:ind w:left="0" w:firstLine="567"/>
        <w:jc w:val="both"/>
        <w:rPr>
          <w:rFonts w:asciiTheme="minorHAnsi" w:hAnsiTheme="minorHAnsi" w:cstheme="minorHAnsi"/>
          <w:b/>
          <w:i/>
          <w:sz w:val="24"/>
          <w:szCs w:val="24"/>
        </w:rPr>
      </w:pPr>
      <w:bookmarkStart w:id="303" w:name="_Hlk131069664"/>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XVIII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Resolução</w:t>
      </w:r>
      <w:r w:rsidRPr="00D960C9">
        <w:rPr>
          <w:rFonts w:asciiTheme="minorHAnsi" w:hAnsiTheme="minorHAnsi" w:cstheme="minorHAnsi"/>
          <w:b/>
          <w:i/>
          <w:sz w:val="24"/>
          <w:szCs w:val="24"/>
        </w:rPr>
        <w:t xml:space="preserve"> CVM nº 181, de 28 de março de 2023.</w:t>
      </w:r>
      <w:bookmarkEnd w:id="303"/>
    </w:p>
    <w:p w14:paraId="5562C028" w14:textId="29F5E55F" w:rsidR="0002408E" w:rsidRDefault="0002408E" w:rsidP="0002408E">
      <w:pPr>
        <w:pStyle w:val="Normalalteradora"/>
        <w:rPr>
          <w:strike/>
        </w:rPr>
      </w:pPr>
      <w:r w:rsidRPr="00A269EE">
        <w:rPr>
          <w:strike/>
        </w:rPr>
        <w:t>XIX – despesas relacionadas ao serviço de formação de mercado.</w:t>
      </w:r>
    </w:p>
    <w:p w14:paraId="4FD2DF51" w14:textId="06E9AA19" w:rsidR="00A269EE" w:rsidRDefault="00A269EE" w:rsidP="00A269EE">
      <w:pPr>
        <w:pStyle w:val="NormaAlterada"/>
      </w:pPr>
      <w:r w:rsidRPr="0097459F">
        <w:t>XIX – despesas relacionadas ao serviço</w:t>
      </w:r>
      <w:r>
        <w:t xml:space="preserve"> de formação de mercado;</w:t>
      </w:r>
    </w:p>
    <w:p w14:paraId="4D2F226D" w14:textId="28F93847" w:rsidR="00A269EE" w:rsidRDefault="00A269E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XIX</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3590D9F" w14:textId="77777777" w:rsidR="00A269EE" w:rsidRDefault="00A269EE" w:rsidP="00A269EE">
      <w:pPr>
        <w:pStyle w:val="NormaAlterada"/>
        <w:rPr>
          <w:rStyle w:val="normaltextrun"/>
          <w:rFonts w:eastAsia="Calibri"/>
          <w:color w:val="000000"/>
          <w:bdr w:val="none" w:sz="0" w:space="0" w:color="auto" w:frame="1"/>
        </w:rPr>
      </w:pPr>
      <w:bookmarkStart w:id="304" w:name="_Hlk131069907"/>
      <w:r>
        <w:t xml:space="preserve">XX – </w:t>
      </w:r>
      <w:proofErr w:type="gramStart"/>
      <w:r>
        <w:t>despesas</w:t>
      </w:r>
      <w:proofErr w:type="gramEnd"/>
      <w:r>
        <w:t xml:space="preserve"> decorrentes de empréstimos contraídos </w:t>
      </w:r>
      <w:r>
        <w:rPr>
          <w:rStyle w:val="normaltextrun"/>
          <w:rFonts w:eastAsia="Calibri"/>
          <w:color w:val="000000"/>
          <w:bdr w:val="none" w:sz="0" w:space="0" w:color="auto" w:frame="1"/>
        </w:rPr>
        <w:t>em nome da classe de cotas,</w:t>
      </w:r>
      <w:r w:rsidRPr="00157E8E">
        <w:t xml:space="preserve"> </w:t>
      </w:r>
      <w:r>
        <w:t>desde que de acordo com as hipóteses previstas nesta Resolução</w:t>
      </w:r>
      <w:r>
        <w:rPr>
          <w:rStyle w:val="normaltextrun"/>
          <w:rFonts w:eastAsia="Calibri"/>
          <w:color w:val="000000"/>
          <w:bdr w:val="none" w:sz="0" w:space="0" w:color="auto" w:frame="1"/>
        </w:rPr>
        <w:t>; e</w:t>
      </w:r>
    </w:p>
    <w:bookmarkEnd w:id="304"/>
    <w:p w14:paraId="0EEB4A28" w14:textId="14CAC82F" w:rsidR="00A269EE" w:rsidRDefault="00A269E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XX</w:t>
      </w:r>
      <w:r w:rsidRPr="00D960C9">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1A96DAA3" w14:textId="77777777" w:rsidR="00A269EE" w:rsidRDefault="00A269EE" w:rsidP="00A269EE">
      <w:pPr>
        <w:pStyle w:val="NormaAlterada"/>
        <w:rPr>
          <w:rStyle w:val="normaltextrun"/>
          <w:rFonts w:eastAsia="Calibri"/>
          <w:color w:val="000000"/>
          <w:bdr w:val="none" w:sz="0" w:space="0" w:color="auto" w:frame="1"/>
        </w:rPr>
      </w:pPr>
      <w:r>
        <w:t>XXI –</w:t>
      </w:r>
      <w:r>
        <w:rPr>
          <w:rStyle w:val="normaltextrun"/>
          <w:rFonts w:eastAsia="Calibri"/>
          <w:color w:val="000000"/>
          <w:bdr w:val="none" w:sz="0" w:space="0" w:color="auto" w:frame="1"/>
        </w:rPr>
        <w:t xml:space="preserve"> </w:t>
      </w:r>
      <w:r>
        <w:rPr>
          <w:rStyle w:val="ui-provider"/>
        </w:rPr>
        <w:t>contratação da agência de classificação de risco de crédito.</w:t>
      </w:r>
    </w:p>
    <w:p w14:paraId="3BE5F425" w14:textId="7A26B678" w:rsidR="00A269EE" w:rsidRPr="00A269EE" w:rsidRDefault="00A269E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XXI</w:t>
      </w:r>
      <w:r w:rsidRPr="00D960C9">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8729E70" w14:textId="77777777" w:rsidR="0002408E" w:rsidRPr="002F3C16" w:rsidRDefault="0002408E" w:rsidP="0002408E">
      <w:pPr>
        <w:pStyle w:val="Normalalteradora"/>
      </w:pPr>
      <w:r w:rsidRPr="00087932">
        <w:t>§ 1</w:t>
      </w:r>
      <w:proofErr w:type="gramStart"/>
      <w:r w:rsidRPr="00087932">
        <w:t>º  Caso</w:t>
      </w:r>
      <w:proofErr w:type="gramEnd"/>
      <w:r w:rsidRPr="00087932">
        <w:t xml:space="preserve"> o fundo conte com diferentes classes de cotas, compete ao administrador promover o rateio das despesas e contingências que sejam comuns às classes, nos termos do art. 48, § 1º, incisos IV e V.</w:t>
      </w:r>
    </w:p>
    <w:p w14:paraId="0A930608" w14:textId="25D58492" w:rsidR="0002408E" w:rsidRPr="0097459F" w:rsidRDefault="0002408E" w:rsidP="0002408E">
      <w:pPr>
        <w:pStyle w:val="Normalalteradora"/>
      </w:pPr>
      <w:r>
        <w:t>§ 2</w:t>
      </w:r>
      <w:proofErr w:type="gramStart"/>
      <w:r>
        <w:t>º  Nas</w:t>
      </w:r>
      <w:proofErr w:type="gramEnd"/>
      <w:r>
        <w:t xml:space="preserve"> classes abertas, as taxas devidas aos prestadores de serviços devem ser provisionadas por dia útil, sempre como despesa da classe e apropriadas conforme estabelecido no regulamento.</w:t>
      </w:r>
    </w:p>
    <w:p w14:paraId="797FD5CA" w14:textId="4EB01EB3" w:rsidR="00893D49" w:rsidRPr="0097459F" w:rsidRDefault="00893D49" w:rsidP="00C20BBD">
      <w:pPr>
        <w:pStyle w:val="Normalalteradora"/>
        <w:rPr>
          <w:rFonts w:cstheme="minorHAnsi"/>
        </w:rPr>
      </w:pPr>
      <w:r w:rsidRPr="0097459F">
        <w:rPr>
          <w:rFonts w:cstheme="minorHAnsi"/>
        </w:rPr>
        <w:t xml:space="preserve">Art. </w:t>
      </w:r>
      <w:r w:rsidR="00136A82" w:rsidRPr="0097459F">
        <w:rPr>
          <w:rFonts w:cstheme="minorHAnsi"/>
        </w:rPr>
        <w:t>118</w:t>
      </w:r>
      <w:r w:rsidRPr="0097459F">
        <w:rPr>
          <w:rFonts w:cstheme="minorHAnsi"/>
        </w:rPr>
        <w:t xml:space="preserve">.  Quaisquer despesas não previstas como encargos do fundo, inclusive aquelas de que trata o art. </w:t>
      </w:r>
      <w:r w:rsidR="00087932" w:rsidRPr="0097459F">
        <w:rPr>
          <w:rFonts w:cstheme="minorHAnsi"/>
        </w:rPr>
        <w:t>96</w:t>
      </w:r>
      <w:r w:rsidRPr="0097459F">
        <w:rPr>
          <w:rFonts w:cstheme="minorHAnsi"/>
        </w:rPr>
        <w:t xml:space="preserve">, § 4º, correm por conta do prestador de serviço essencial que a tiver contratado, sem prejuízo </w:t>
      </w:r>
      <w:r w:rsidR="00087932" w:rsidRPr="0097459F">
        <w:rPr>
          <w:rFonts w:cstheme="minorHAnsi"/>
        </w:rPr>
        <w:t>do disposto no § 5º do mesmo artigo</w:t>
      </w:r>
      <w:r w:rsidRPr="0097459F">
        <w:rPr>
          <w:rFonts w:cstheme="minorHAnsi"/>
        </w:rPr>
        <w:t>.</w:t>
      </w:r>
    </w:p>
    <w:p w14:paraId="474516EE" w14:textId="06C5C6BB" w:rsidR="0099408B" w:rsidRPr="0097459F" w:rsidRDefault="00AA1862" w:rsidP="00C20BBD">
      <w:pPr>
        <w:pStyle w:val="Normalalteradora"/>
      </w:pPr>
      <w:r w:rsidRPr="0097459F">
        <w:t>§ 1</w:t>
      </w:r>
      <w:proofErr w:type="gramStart"/>
      <w:r w:rsidRPr="0097459F">
        <w:t>º</w:t>
      </w:r>
      <w:r w:rsidR="0099408B" w:rsidRPr="0097459F">
        <w:t xml:space="preserve">  O</w:t>
      </w:r>
      <w:proofErr w:type="gramEnd"/>
      <w:r w:rsidR="0099408B" w:rsidRPr="0097459F">
        <w:t xml:space="preserve"> administrador e o gestor podem estabelecer que parcelas </w:t>
      </w:r>
      <w:r w:rsidR="00727C88" w:rsidRPr="0097459F">
        <w:t xml:space="preserve">de </w:t>
      </w:r>
      <w:r w:rsidR="0099408B" w:rsidRPr="0097459F">
        <w:t xml:space="preserve">taxa </w:t>
      </w:r>
      <w:r w:rsidR="006109D6" w:rsidRPr="0097459F">
        <w:t xml:space="preserve">de administração ou gestão, respectivamente, </w:t>
      </w:r>
      <w:r w:rsidR="0099408B" w:rsidRPr="0097459F">
        <w:t xml:space="preserve">sejam pagas diretamente aos prestadores de serviços contratados, </w:t>
      </w:r>
      <w:r w:rsidR="00A64E5A" w:rsidRPr="0097459F">
        <w:t>observado</w:t>
      </w:r>
      <w:r w:rsidR="0099408B" w:rsidRPr="0097459F">
        <w:t xml:space="preserve"> que o somatório dessas parcelas não </w:t>
      </w:r>
      <w:r w:rsidR="00A64E5A" w:rsidRPr="0097459F">
        <w:t>pode exceder</w:t>
      </w:r>
      <w:r w:rsidR="0099408B" w:rsidRPr="0097459F">
        <w:t xml:space="preserve"> o montante total </w:t>
      </w:r>
      <w:r w:rsidR="00A64E5A" w:rsidRPr="0097459F">
        <w:t>da taxa</w:t>
      </w:r>
      <w:r w:rsidR="009F25E6" w:rsidRPr="0097459F">
        <w:t xml:space="preserve"> </w:t>
      </w:r>
      <w:r w:rsidR="006109D6" w:rsidRPr="0097459F">
        <w:t>de administração ou gestão, conforme o caso</w:t>
      </w:r>
      <w:r w:rsidR="0099408B" w:rsidRPr="0097459F">
        <w:t>.</w:t>
      </w:r>
    </w:p>
    <w:p w14:paraId="56822FD5" w14:textId="32FF6EEA" w:rsidR="00D95128" w:rsidRPr="0097459F" w:rsidRDefault="00AA1862" w:rsidP="00C20BBD">
      <w:pPr>
        <w:pStyle w:val="Normalalteradora"/>
      </w:pPr>
      <w:r w:rsidRPr="0097459F">
        <w:lastRenderedPageBreak/>
        <w:t>§ 2</w:t>
      </w:r>
      <w:proofErr w:type="gramStart"/>
      <w:r w:rsidRPr="0097459F">
        <w:t>º  O</w:t>
      </w:r>
      <w:proofErr w:type="gramEnd"/>
      <w:r w:rsidRPr="0097459F">
        <w:t xml:space="preserve"> </w:t>
      </w:r>
      <w:r w:rsidR="00FA0FB3" w:rsidRPr="0097459F">
        <w:t>regulamento pode estabelecer</w:t>
      </w:r>
      <w:r w:rsidRPr="0097459F">
        <w:t xml:space="preserve"> que</w:t>
      </w:r>
      <w:r w:rsidR="00FA0FB3" w:rsidRPr="0097459F">
        <w:t xml:space="preserve"> parcela</w:t>
      </w:r>
      <w:r w:rsidRPr="0097459F">
        <w:t xml:space="preserve"> </w:t>
      </w:r>
      <w:r w:rsidR="00727C88" w:rsidRPr="0097459F">
        <w:t>d</w:t>
      </w:r>
      <w:r w:rsidR="00FA0FB3" w:rsidRPr="0097459F">
        <w:t xml:space="preserve">e taxa </w:t>
      </w:r>
      <w:r w:rsidR="006109D6" w:rsidRPr="0097459F">
        <w:t xml:space="preserve">de administração ou gestão, conforme o caso, </w:t>
      </w:r>
      <w:r w:rsidR="00FA0FB3" w:rsidRPr="0097459F">
        <w:t>seja</w:t>
      </w:r>
      <w:r w:rsidRPr="0097459F">
        <w:t xml:space="preserve"> </w:t>
      </w:r>
      <w:r w:rsidR="00D95128" w:rsidRPr="0097459F">
        <w:t>destinada</w:t>
      </w:r>
      <w:r w:rsidRPr="0097459F">
        <w:t xml:space="preserve"> a </w:t>
      </w:r>
      <w:r w:rsidR="00727C88" w:rsidRPr="0097459F">
        <w:t xml:space="preserve">doações para </w:t>
      </w:r>
      <w:r w:rsidRPr="0097459F">
        <w:t xml:space="preserve">entidades sem fins lucrativos, </w:t>
      </w:r>
      <w:r w:rsidR="00F30AA2" w:rsidRPr="0097459F">
        <w:t xml:space="preserve">a serem efetuadas diretamente pelo fundo, para uso em programas, projetos e finalidades de interesse público, desde </w:t>
      </w:r>
      <w:r w:rsidR="00136A82" w:rsidRPr="0097459F">
        <w:t xml:space="preserve">que </w:t>
      </w:r>
      <w:r w:rsidR="00F30AA2" w:rsidRPr="0097459F">
        <w:t xml:space="preserve">as referidas entidades </w:t>
      </w:r>
      <w:r w:rsidR="00136A82" w:rsidRPr="0097459F">
        <w:t>possuam demonstrações contábeis anualmente auditadas por auditor independente registrado na CVM</w:t>
      </w:r>
      <w:r w:rsidR="00D95128" w:rsidRPr="0097459F">
        <w:t>.</w:t>
      </w:r>
    </w:p>
    <w:p w14:paraId="3839A649" w14:textId="2F8B07DC" w:rsidR="00893D49" w:rsidRPr="0097459F" w:rsidRDefault="00B303F1" w:rsidP="00C20BBD">
      <w:pPr>
        <w:pStyle w:val="Captulo"/>
      </w:pPr>
      <w:bookmarkStart w:id="305" w:name="_DV_M761"/>
      <w:bookmarkStart w:id="306" w:name="_Toc53594468"/>
      <w:bookmarkStart w:id="307" w:name="_Toc53595493"/>
      <w:bookmarkStart w:id="308" w:name="_Toc53594220"/>
      <w:bookmarkStart w:id="309" w:name="_Toc114819001"/>
      <w:bookmarkStart w:id="310" w:name="_Toc57836228"/>
      <w:bookmarkStart w:id="311" w:name="_Toc161141241"/>
      <w:bookmarkEnd w:id="305"/>
      <w:r w:rsidRPr="0097459F">
        <w:t xml:space="preserve">CAPÍTULO </w:t>
      </w:r>
      <w:r w:rsidR="00893D49" w:rsidRPr="0097459F">
        <w:t>XII – INCORPORAÇÃO, FUSÃO, CISÃO E TRANSFORMAÇÃO</w:t>
      </w:r>
      <w:bookmarkEnd w:id="306"/>
      <w:bookmarkEnd w:id="307"/>
      <w:bookmarkEnd w:id="308"/>
      <w:bookmarkEnd w:id="309"/>
      <w:bookmarkEnd w:id="310"/>
      <w:bookmarkEnd w:id="311"/>
    </w:p>
    <w:p w14:paraId="16AD1AC2" w14:textId="73152020"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119</w:t>
      </w:r>
      <w:r w:rsidRPr="0097459F">
        <w:rPr>
          <w:rFonts w:cstheme="minorHAnsi"/>
        </w:rPr>
        <w:t xml:space="preserve">.  </w:t>
      </w:r>
      <w:r w:rsidR="00C062E4" w:rsidRPr="0097459F">
        <w:rPr>
          <w:rFonts w:cstheme="minorHAnsi"/>
        </w:rPr>
        <w:t>As</w:t>
      </w:r>
      <w:r w:rsidRPr="0097459F">
        <w:rPr>
          <w:rFonts w:cstheme="minorHAnsi"/>
        </w:rPr>
        <w:t xml:space="preserve"> operações de incorporação, fusão, cisão e transformação </w:t>
      </w:r>
      <w:r w:rsidR="00C062E4" w:rsidRPr="0097459F">
        <w:rPr>
          <w:rFonts w:cstheme="minorHAnsi"/>
        </w:rPr>
        <w:t xml:space="preserve">devem observar as </w:t>
      </w:r>
      <w:r w:rsidRPr="0097459F">
        <w:rPr>
          <w:rFonts w:cstheme="minorHAnsi"/>
        </w:rPr>
        <w:t>seguintes condições:</w:t>
      </w:r>
    </w:p>
    <w:p w14:paraId="09E84EF5" w14:textId="6749A069"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caso</w:t>
      </w:r>
      <w:proofErr w:type="gramEnd"/>
      <w:r w:rsidRPr="0097459F">
        <w:rPr>
          <w:rFonts w:cstheme="minorHAnsi"/>
        </w:rPr>
        <w:t xml:space="preserve"> as políticas de investimento e o público-alvo sejam compatíveis, a implementação da operação pode ocorrer imediatamente após a realização da assembleia de cotistas que a tiver deliberado;</w:t>
      </w:r>
      <w:r w:rsidR="00C062E4" w:rsidRPr="0097459F">
        <w:rPr>
          <w:rFonts w:cstheme="minorHAnsi"/>
        </w:rPr>
        <w:t xml:space="preserve"> ou</w:t>
      </w:r>
    </w:p>
    <w:p w14:paraId="3029D59C" w14:textId="0C7E5833"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caso</w:t>
      </w:r>
      <w:proofErr w:type="gramEnd"/>
      <w:r w:rsidRPr="0097459F">
        <w:rPr>
          <w:rFonts w:cstheme="minorHAnsi"/>
        </w:rPr>
        <w:t xml:space="preserve"> as políticas de investimento ou o público-alvo sejam diferenciados, a implementação da operação requer prévia alteração do regulamento, efetuada nos termos do art. </w:t>
      </w:r>
      <w:r w:rsidR="00087932" w:rsidRPr="0097459F">
        <w:rPr>
          <w:rFonts w:cstheme="minorHAnsi"/>
        </w:rPr>
        <w:t>50</w:t>
      </w:r>
      <w:r w:rsidR="00870A1E" w:rsidRPr="0097459F">
        <w:rPr>
          <w:rFonts w:cstheme="minorHAnsi"/>
        </w:rPr>
        <w:t>.</w:t>
      </w:r>
    </w:p>
    <w:p w14:paraId="4FF49BE3" w14:textId="7420F3BD"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No</w:t>
      </w:r>
      <w:proofErr w:type="gramEnd"/>
      <w:r w:rsidRPr="0097459F">
        <w:rPr>
          <w:rFonts w:cstheme="minorHAnsi"/>
        </w:rPr>
        <w:t xml:space="preserve"> caso de incorporação, cisão</w:t>
      </w:r>
      <w:r w:rsidR="006D1BC8" w:rsidRPr="0097459F">
        <w:rPr>
          <w:rFonts w:cstheme="minorHAnsi"/>
        </w:rPr>
        <w:t>,</w:t>
      </w:r>
      <w:r w:rsidRPr="0097459F">
        <w:rPr>
          <w:rFonts w:cstheme="minorHAnsi"/>
        </w:rPr>
        <w:t xml:space="preserve"> fusão </w:t>
      </w:r>
      <w:r w:rsidR="006D1BC8" w:rsidRPr="0097459F">
        <w:rPr>
          <w:rFonts w:cstheme="minorHAnsi"/>
        </w:rPr>
        <w:t xml:space="preserve">ou transformação </w:t>
      </w:r>
      <w:r w:rsidRPr="0097459F">
        <w:rPr>
          <w:rFonts w:cstheme="minorHAnsi"/>
        </w:rPr>
        <w:t>envolvendo classe fechada, o administrador deve:</w:t>
      </w:r>
    </w:p>
    <w:p w14:paraId="760D219D" w14:textId="77777777"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proceder</w:t>
      </w:r>
      <w:proofErr w:type="gramEnd"/>
      <w:r w:rsidRPr="0097459F">
        <w:rPr>
          <w:rFonts w:cstheme="minorHAnsi"/>
        </w:rPr>
        <w:t xml:space="preserve"> às alterações de regulamento que sejam pertinentes à operação; e</w:t>
      </w:r>
    </w:p>
    <w:p w14:paraId="70CF6F2E" w14:textId="6012ED8C"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acatar</w:t>
      </w:r>
      <w:proofErr w:type="gramEnd"/>
      <w:r w:rsidRPr="0097459F">
        <w:rPr>
          <w:rFonts w:cstheme="minorHAnsi"/>
        </w:rPr>
        <w:t xml:space="preserve"> a solicitação de reembolso de cotas dos cotistas que dissentirem da deliberação da assembleia de cotistas, se abstiverem ou não comparecerem à assembleia.</w:t>
      </w:r>
    </w:p>
    <w:p w14:paraId="6B5AF3A8" w14:textId="1C372BBE" w:rsidR="00D44AD3" w:rsidRPr="0097459F" w:rsidRDefault="00893D49" w:rsidP="00C20BBD">
      <w:pPr>
        <w:pStyle w:val="Normalalteradora"/>
        <w:rPr>
          <w:rFonts w:cstheme="minorHAnsi"/>
        </w:rPr>
      </w:pPr>
      <w:r w:rsidRPr="0097459F">
        <w:rPr>
          <w:rFonts w:cstheme="minorHAnsi"/>
        </w:rPr>
        <w:t>§ 2</w:t>
      </w:r>
      <w:proofErr w:type="gramStart"/>
      <w:r w:rsidRPr="0097459F">
        <w:rPr>
          <w:rFonts w:cstheme="minorHAnsi"/>
        </w:rPr>
        <w:t>º  O</w:t>
      </w:r>
      <w:proofErr w:type="gramEnd"/>
      <w:r w:rsidRPr="0097459F">
        <w:rPr>
          <w:rFonts w:cstheme="minorHAnsi"/>
        </w:rPr>
        <w:t xml:space="preserve"> pedido de reembolso de cotas previsto no </w:t>
      </w:r>
      <w:r w:rsidR="00D44AD3" w:rsidRPr="0097459F">
        <w:rPr>
          <w:rFonts w:cstheme="minorHAnsi"/>
        </w:rPr>
        <w:t xml:space="preserve">inciso II do </w:t>
      </w:r>
      <w:r w:rsidRPr="0097459F">
        <w:rPr>
          <w:rFonts w:cstheme="minorHAnsi"/>
        </w:rPr>
        <w:t>§ 1º deve ser formulado em até 10 (dez) dias após a comunicação da deliberação aos cotistas, e o pagamento do valor do reembolso realizado no máximo 10 (dez) dias após a solicitação do cotista.</w:t>
      </w:r>
    </w:p>
    <w:p w14:paraId="6CA2EE4E" w14:textId="660A57A5" w:rsidR="00893D49" w:rsidRPr="0097459F" w:rsidRDefault="00893D49" w:rsidP="00C20BBD">
      <w:pPr>
        <w:pStyle w:val="Normalalteradora"/>
        <w:rPr>
          <w:rFonts w:cstheme="minorHAnsi"/>
        </w:rPr>
      </w:pPr>
      <w:bookmarkStart w:id="312" w:name="_Hlk45618195"/>
      <w:r w:rsidRPr="0097459F">
        <w:rPr>
          <w:rFonts w:cstheme="minorHAnsi"/>
        </w:rPr>
        <w:t xml:space="preserve">Art. </w:t>
      </w:r>
      <w:r w:rsidR="004D767E" w:rsidRPr="0097459F">
        <w:rPr>
          <w:rFonts w:cstheme="minorHAnsi"/>
        </w:rPr>
        <w:t>120</w:t>
      </w:r>
      <w:r w:rsidRPr="0097459F">
        <w:rPr>
          <w:rFonts w:cstheme="minorHAnsi"/>
        </w:rPr>
        <w:t>.  As demonstrações contábeis de cada classe de cotas objeto de cisão, incorporação, fusão</w:t>
      </w:r>
      <w:r w:rsidR="00CB3946" w:rsidRPr="0097459F">
        <w:rPr>
          <w:rFonts w:cstheme="minorHAnsi"/>
        </w:rPr>
        <w:t>, transferência de administração</w:t>
      </w:r>
      <w:r w:rsidRPr="0097459F">
        <w:rPr>
          <w:rFonts w:cstheme="minorHAnsi"/>
        </w:rPr>
        <w:t xml:space="preserve"> ou transformação</w:t>
      </w:r>
      <w:r w:rsidR="00CB3946" w:rsidRPr="0097459F">
        <w:rPr>
          <w:rFonts w:cstheme="minorHAnsi"/>
        </w:rPr>
        <w:t xml:space="preserve"> de categoria</w:t>
      </w:r>
      <w:r w:rsidRPr="0097459F">
        <w:rPr>
          <w:rFonts w:cstheme="minorHAnsi"/>
        </w:rPr>
        <w:t>, levantadas na data da operação, devem ser auditadas, no prazo máximo de 90 (noventa) dias, contado da data da efetivação do evento, por auditor independente registrado na CVM, devendo constar em nota explicativa os critérios utilizados para a equaliza</w:t>
      </w:r>
      <w:r w:rsidR="00870A1E" w:rsidRPr="0097459F">
        <w:rPr>
          <w:rFonts w:cstheme="minorHAnsi"/>
        </w:rPr>
        <w:t>ção das cotas entre as classes.</w:t>
      </w:r>
    </w:p>
    <w:bookmarkEnd w:id="312"/>
    <w:p w14:paraId="419D2377" w14:textId="07C60D79" w:rsidR="00893D49" w:rsidRPr="0097459F" w:rsidRDefault="00893D49" w:rsidP="00C20BBD">
      <w:pPr>
        <w:pStyle w:val="Normalalteradora"/>
        <w:rPr>
          <w:rFonts w:cstheme="minorHAnsi"/>
        </w:rPr>
      </w:pPr>
      <w:r w:rsidRPr="0097459F">
        <w:rPr>
          <w:rFonts w:cstheme="minorHAnsi"/>
        </w:rPr>
        <w:lastRenderedPageBreak/>
        <w:t>Parágrafo único.</w:t>
      </w:r>
      <w:r w:rsidR="00073AC7" w:rsidRPr="0097459F">
        <w:rPr>
          <w:rFonts w:cstheme="minorHAnsi"/>
        </w:rPr>
        <w:t xml:space="preserve"> </w:t>
      </w:r>
      <w:r w:rsidRPr="0097459F">
        <w:rPr>
          <w:rFonts w:cstheme="minorHAnsi"/>
        </w:rPr>
        <w:t xml:space="preserve"> O parâmetro utilizado para as conversões dos valores das cotas nos casos de incorporação, fusão ou cisão, bem como o valor das cotas </w:t>
      </w:r>
      <w:r w:rsidR="00936056" w:rsidRPr="0097459F">
        <w:rPr>
          <w:rFonts w:cstheme="minorHAnsi"/>
        </w:rPr>
        <w:t>das</w:t>
      </w:r>
      <w:r w:rsidRPr="0097459F">
        <w:rPr>
          <w:rFonts w:cstheme="minorHAnsi"/>
        </w:rPr>
        <w:t xml:space="preserve"> classes resultantes de tais operações devem constar de nota explicativa.</w:t>
      </w:r>
    </w:p>
    <w:p w14:paraId="44667342" w14:textId="532B969E" w:rsidR="00893D49" w:rsidRPr="0097459F" w:rsidRDefault="00893D49" w:rsidP="00C20BBD">
      <w:pPr>
        <w:pStyle w:val="Normalalteradora"/>
        <w:rPr>
          <w:rFonts w:cstheme="minorHAnsi"/>
        </w:rPr>
      </w:pPr>
      <w:bookmarkStart w:id="313" w:name="_Hlk46994908"/>
      <w:r w:rsidRPr="0097459F">
        <w:rPr>
          <w:rFonts w:cstheme="minorHAnsi"/>
        </w:rPr>
        <w:t xml:space="preserve">Art. </w:t>
      </w:r>
      <w:r w:rsidR="004D767E" w:rsidRPr="0097459F">
        <w:rPr>
          <w:rFonts w:cstheme="minorHAnsi"/>
        </w:rPr>
        <w:t>121</w:t>
      </w:r>
      <w:r w:rsidRPr="0097459F">
        <w:rPr>
          <w:rFonts w:cstheme="minorHAnsi"/>
        </w:rPr>
        <w:t>.  Nos casos de cisão, incorporação</w:t>
      </w:r>
      <w:r w:rsidR="00B3396A" w:rsidRPr="0097459F">
        <w:rPr>
          <w:rFonts w:cstheme="minorHAnsi"/>
        </w:rPr>
        <w:t>, fusão, transferência de administração</w:t>
      </w:r>
      <w:r w:rsidRPr="0097459F">
        <w:rPr>
          <w:rFonts w:cstheme="minorHAnsi"/>
        </w:rPr>
        <w:t xml:space="preserve"> e transformação</w:t>
      </w:r>
      <w:r w:rsidR="002533B0" w:rsidRPr="0097459F">
        <w:rPr>
          <w:rFonts w:cstheme="minorHAnsi"/>
        </w:rPr>
        <w:t xml:space="preserve"> de categoria</w:t>
      </w:r>
      <w:r w:rsidRPr="0097459F">
        <w:rPr>
          <w:rFonts w:cstheme="minorHAnsi"/>
        </w:rPr>
        <w:t>, devem ser encaminhados à CVM e à entidade administradora do mercado organizado onde as cotas sejam admitidas à negociação, por meio de sistema disponível na rede mundial de computadores, na data do início da vigência dos eventos deliberados em assembleia:</w:t>
      </w:r>
    </w:p>
    <w:p w14:paraId="29607B74" w14:textId="682465AA" w:rsidR="00893D49"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novos</w:t>
      </w:r>
      <w:proofErr w:type="gramEnd"/>
      <w:r w:rsidRPr="0097459F">
        <w:rPr>
          <w:rFonts w:cstheme="minorHAnsi"/>
        </w:rPr>
        <w:t xml:space="preserve"> regulamentos;</w:t>
      </w:r>
    </w:p>
    <w:p w14:paraId="2D6CB873" w14:textId="42BC0508" w:rsidR="000F158B" w:rsidRDefault="000F158B" w:rsidP="000F158B">
      <w:pPr>
        <w:pStyle w:val="Normalalteradora"/>
        <w:rPr>
          <w:strike/>
        </w:rPr>
      </w:pPr>
      <w:bookmarkStart w:id="314" w:name="_DV_C226"/>
      <w:r w:rsidRPr="00891BE6">
        <w:rPr>
          <w:strike/>
        </w:rPr>
        <w:t xml:space="preserve">II – </w:t>
      </w:r>
      <w:proofErr w:type="gramStart"/>
      <w:r w:rsidRPr="00891BE6">
        <w:rPr>
          <w:strike/>
        </w:rPr>
        <w:t>comprovante</w:t>
      </w:r>
      <w:proofErr w:type="gramEnd"/>
      <w:r w:rsidRPr="00891BE6">
        <w:rPr>
          <w:strike/>
        </w:rPr>
        <w:t xml:space="preserve"> da entrada do pedido de baixa de registro no CNPJ, se houver, das classes encerradas por fusão ou incorporação</w:t>
      </w:r>
      <w:bookmarkStart w:id="315" w:name="_DV_C225"/>
      <w:r w:rsidRPr="00891BE6">
        <w:rPr>
          <w:strike/>
        </w:rPr>
        <w:t>;</w:t>
      </w:r>
      <w:bookmarkEnd w:id="315"/>
    </w:p>
    <w:p w14:paraId="4219CE29" w14:textId="72173DA0" w:rsidR="00891BE6" w:rsidRDefault="00891BE6" w:rsidP="000F158B">
      <w:pPr>
        <w:pStyle w:val="Normalalteradora"/>
      </w:pPr>
      <w:r>
        <w:t>II – REVOGADO</w:t>
      </w:r>
    </w:p>
    <w:p w14:paraId="3958548F" w14:textId="29466ADD" w:rsidR="00891BE6" w:rsidRPr="00891BE6" w:rsidRDefault="00891B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II</w:t>
      </w:r>
      <w:r w:rsidRPr="00D960C9">
        <w:rPr>
          <w:rFonts w:asciiTheme="minorHAnsi" w:hAnsiTheme="minorHAnsi" w:cstheme="minorHAnsi"/>
          <w:b/>
          <w:i/>
          <w:sz w:val="24"/>
          <w:szCs w:val="24"/>
        </w:rPr>
        <w:t xml:space="preserve">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9386DA3" w14:textId="2B401585" w:rsidR="00893D49" w:rsidRPr="0097459F" w:rsidRDefault="00893D49" w:rsidP="00C20BBD">
      <w:pPr>
        <w:pStyle w:val="Normalalteradora"/>
        <w:rPr>
          <w:rFonts w:cstheme="minorHAnsi"/>
        </w:rPr>
      </w:pPr>
      <w:r w:rsidRPr="0097459F">
        <w:rPr>
          <w:rFonts w:cstheme="minorHAnsi"/>
        </w:rPr>
        <w:t>III – material de divulgação,</w:t>
      </w:r>
      <w:bookmarkStart w:id="316" w:name="_DV_M775"/>
      <w:bookmarkEnd w:id="314"/>
      <w:bookmarkEnd w:id="316"/>
      <w:r w:rsidRPr="0097459F">
        <w:rPr>
          <w:rFonts w:cstheme="minorHAnsi"/>
        </w:rPr>
        <w:t xml:space="preserve"> atualizado, se houver;</w:t>
      </w:r>
    </w:p>
    <w:p w14:paraId="34D2F256" w14:textId="5AB9E1A1"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cópia</w:t>
      </w:r>
      <w:proofErr w:type="gramEnd"/>
      <w:r w:rsidRPr="0097459F">
        <w:rPr>
          <w:rFonts w:cstheme="minorHAnsi"/>
        </w:rPr>
        <w:t xml:space="preserve"> da ata da assembleia de cotistas que aprovou a operação;</w:t>
      </w:r>
    </w:p>
    <w:bookmarkEnd w:id="313"/>
    <w:p w14:paraId="1BA7AB34" w14:textId="6772C4B8"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lista</w:t>
      </w:r>
      <w:proofErr w:type="gramEnd"/>
      <w:r w:rsidRPr="0097459F">
        <w:rPr>
          <w:rFonts w:cstheme="minorHAnsi"/>
        </w:rPr>
        <w:t xml:space="preserve"> de cotistas presentes à assembleia referida no inciso IV</w:t>
      </w:r>
      <w:r w:rsidR="00073AC7" w:rsidRPr="0097459F">
        <w:rPr>
          <w:rFonts w:cstheme="minorHAnsi"/>
        </w:rPr>
        <w:t>; e</w:t>
      </w:r>
    </w:p>
    <w:p w14:paraId="1EC62016" w14:textId="77B9A96E" w:rsidR="000B12DF" w:rsidRPr="0097459F" w:rsidRDefault="00893D49" w:rsidP="00C20BBD">
      <w:pPr>
        <w:pStyle w:val="Normalalteradora"/>
        <w:rPr>
          <w:rFonts w:cstheme="minorHAnsi"/>
        </w:rPr>
      </w:pPr>
      <w:r w:rsidRPr="0097459F">
        <w:rPr>
          <w:rFonts w:cstheme="minorHAnsi"/>
        </w:rPr>
        <w:t xml:space="preserve">VI – </w:t>
      </w:r>
      <w:proofErr w:type="gramStart"/>
      <w:r w:rsidRPr="0097459F">
        <w:rPr>
          <w:rFonts w:cstheme="minorHAnsi"/>
        </w:rPr>
        <w:t>demonstrações</w:t>
      </w:r>
      <w:proofErr w:type="gramEnd"/>
      <w:r w:rsidRPr="0097459F">
        <w:rPr>
          <w:rFonts w:cstheme="minorHAnsi"/>
        </w:rPr>
        <w:t xml:space="preserve"> contábeis de que trata o art. </w:t>
      </w:r>
      <w:r w:rsidR="00087932" w:rsidRPr="0097459F">
        <w:rPr>
          <w:rFonts w:cstheme="minorHAnsi"/>
        </w:rPr>
        <w:t>120</w:t>
      </w:r>
      <w:r w:rsidRPr="0097459F">
        <w:rPr>
          <w:rFonts w:cstheme="minorHAnsi"/>
        </w:rPr>
        <w:t xml:space="preserve">, no prazo máximo de </w:t>
      </w:r>
      <w:r w:rsidR="002533B0" w:rsidRPr="0097459F">
        <w:rPr>
          <w:rFonts w:cstheme="minorHAnsi"/>
        </w:rPr>
        <w:t xml:space="preserve">120 </w:t>
      </w:r>
      <w:r w:rsidRPr="0097459F">
        <w:rPr>
          <w:rFonts w:cstheme="minorHAnsi"/>
        </w:rPr>
        <w:t>(</w:t>
      </w:r>
      <w:r w:rsidR="002533B0" w:rsidRPr="0097459F">
        <w:rPr>
          <w:rFonts w:cstheme="minorHAnsi"/>
        </w:rPr>
        <w:t>cento e vinte</w:t>
      </w:r>
      <w:r w:rsidRPr="0097459F">
        <w:rPr>
          <w:rFonts w:cstheme="minorHAnsi"/>
        </w:rPr>
        <w:t xml:space="preserve">) dias, contado da data da efetivação dos eventos mencionados no </w:t>
      </w:r>
      <w:r w:rsidRPr="0097459F">
        <w:rPr>
          <w:rFonts w:cstheme="minorHAnsi"/>
          <w:b/>
        </w:rPr>
        <w:t>caput</w:t>
      </w:r>
      <w:r w:rsidRPr="0097459F">
        <w:rPr>
          <w:rFonts w:cstheme="minorHAnsi"/>
        </w:rPr>
        <w:t>.</w:t>
      </w:r>
    </w:p>
    <w:p w14:paraId="7D8E03DA" w14:textId="5F167D9A" w:rsidR="002533B0" w:rsidRPr="0097459F" w:rsidRDefault="002533B0" w:rsidP="00C20BBD">
      <w:pPr>
        <w:pStyle w:val="Normalalteradora"/>
        <w:rPr>
          <w:rFonts w:cstheme="minorHAnsi"/>
        </w:rPr>
      </w:pPr>
      <w:r w:rsidRPr="0097459F">
        <w:rPr>
          <w:rFonts w:cstheme="minorHAnsi"/>
        </w:rPr>
        <w:t xml:space="preserve">Parágrafo único.  </w:t>
      </w:r>
      <w:r w:rsidRPr="0097459F">
        <w:t xml:space="preserve">Em caso de transferência de administração, o administrador </w:t>
      </w:r>
      <w:r w:rsidR="00AF5FED" w:rsidRPr="0097459F">
        <w:t xml:space="preserve">do fundo </w:t>
      </w:r>
      <w:r w:rsidR="002D1E78" w:rsidRPr="0097459F">
        <w:t xml:space="preserve">ou </w:t>
      </w:r>
      <w:r w:rsidR="00AF5FED" w:rsidRPr="0097459F">
        <w:t>da classe</w:t>
      </w:r>
      <w:r w:rsidRPr="0097459F">
        <w:t xml:space="preserve"> transferida deve encaminhar as demonstrações contábeis previstas no inciso VI ao novo administrador.</w:t>
      </w:r>
    </w:p>
    <w:p w14:paraId="159CFD5A" w14:textId="77777777" w:rsidR="00893D49" w:rsidRPr="0097459F" w:rsidRDefault="00893D49" w:rsidP="00C20BBD">
      <w:pPr>
        <w:pStyle w:val="Captulo"/>
        <w:rPr>
          <w:rFonts w:asciiTheme="minorHAnsi" w:hAnsiTheme="minorHAnsi"/>
        </w:rPr>
      </w:pPr>
      <w:bookmarkStart w:id="317" w:name="_Toc53594469"/>
      <w:bookmarkStart w:id="318" w:name="_Toc53595494"/>
      <w:bookmarkStart w:id="319" w:name="_Toc53594221"/>
      <w:bookmarkStart w:id="320" w:name="_Toc114819002"/>
      <w:bookmarkStart w:id="321" w:name="_Toc57836229"/>
      <w:bookmarkStart w:id="322" w:name="_Toc161141242"/>
      <w:r w:rsidRPr="0097459F">
        <w:rPr>
          <w:rFonts w:asciiTheme="minorHAnsi" w:hAnsiTheme="minorHAnsi"/>
        </w:rPr>
        <w:t>CAPÍTULO XIII – PATRIMÔNIO LÍQUIDO NEGATIVO COM LIMITAÇÃO DE RESPONSABILIDADE</w:t>
      </w:r>
      <w:bookmarkEnd w:id="317"/>
      <w:bookmarkEnd w:id="318"/>
      <w:bookmarkEnd w:id="319"/>
      <w:bookmarkEnd w:id="320"/>
      <w:bookmarkEnd w:id="321"/>
      <w:bookmarkEnd w:id="322"/>
    </w:p>
    <w:p w14:paraId="42B0222A" w14:textId="3A01CAB3" w:rsidR="00893D49" w:rsidRPr="0097459F" w:rsidRDefault="4AF9F487" w:rsidP="00C20BBD">
      <w:pPr>
        <w:pStyle w:val="Normalalteradora"/>
        <w:rPr>
          <w:rFonts w:eastAsia="Calibri"/>
        </w:rPr>
      </w:pPr>
      <w:r w:rsidRPr="0097459F">
        <w:t xml:space="preserve">Art. </w:t>
      </w:r>
      <w:r w:rsidR="004D767E" w:rsidRPr="0097459F">
        <w:t>122</w:t>
      </w:r>
      <w:r w:rsidRPr="0097459F">
        <w:t xml:space="preserve">.  Caso o administrador verifique que o </w:t>
      </w:r>
      <w:r w:rsidRPr="0097459F">
        <w:rPr>
          <w:rFonts w:eastAsia="Calibri"/>
        </w:rPr>
        <w:t xml:space="preserve">patrimônio líquido </w:t>
      </w:r>
      <w:r w:rsidR="6B4857D9" w:rsidRPr="0097459F">
        <w:t>da</w:t>
      </w:r>
      <w:r w:rsidRPr="0097459F">
        <w:rPr>
          <w:rFonts w:eastAsia="Calibri"/>
        </w:rPr>
        <w:t xml:space="preserve"> classe de cotas está negativo e a responsabilidade dos cotistas </w:t>
      </w:r>
      <w:r w:rsidR="002D1E78" w:rsidRPr="0097459F">
        <w:rPr>
          <w:rFonts w:eastAsia="Calibri"/>
        </w:rPr>
        <w:t xml:space="preserve">seja </w:t>
      </w:r>
      <w:r w:rsidRPr="0097459F">
        <w:rPr>
          <w:rFonts w:eastAsia="Calibri"/>
        </w:rPr>
        <w:t>limitada ao valor por eles subscrito, deve:</w:t>
      </w:r>
    </w:p>
    <w:p w14:paraId="7A1B6F22" w14:textId="54F25DE6" w:rsidR="00893D49" w:rsidRPr="0097459F" w:rsidRDefault="00893D49" w:rsidP="00C20BBD">
      <w:pPr>
        <w:pStyle w:val="Normalalteradora"/>
        <w:rPr>
          <w:rFonts w:eastAsia="Calibri" w:cstheme="minorHAnsi"/>
        </w:rPr>
      </w:pPr>
      <w:r w:rsidRPr="0097459F">
        <w:rPr>
          <w:rFonts w:eastAsia="Calibri" w:cstheme="minorHAnsi"/>
        </w:rPr>
        <w:t xml:space="preserve">I – </w:t>
      </w:r>
      <w:proofErr w:type="gramStart"/>
      <w:r w:rsidRPr="0097459F">
        <w:rPr>
          <w:rFonts w:eastAsia="Calibri" w:cstheme="minorHAnsi"/>
        </w:rPr>
        <w:t>imediatamente</w:t>
      </w:r>
      <w:proofErr w:type="gramEnd"/>
      <w:r w:rsidRPr="0097459F">
        <w:rPr>
          <w:rFonts w:eastAsia="Calibri" w:cstheme="minorHAnsi"/>
        </w:rPr>
        <w:t xml:space="preserve">, em relação à classe de cotas </w:t>
      </w:r>
      <w:r w:rsidR="00072977" w:rsidRPr="0097459F">
        <w:rPr>
          <w:rFonts w:eastAsia="Calibri" w:cstheme="minorHAnsi"/>
        </w:rPr>
        <w:t>cujo</w:t>
      </w:r>
      <w:r w:rsidRPr="0097459F">
        <w:rPr>
          <w:rFonts w:eastAsia="Calibri" w:cstheme="minorHAnsi"/>
        </w:rPr>
        <w:t xml:space="preserve"> patrimônio líquido </w:t>
      </w:r>
      <w:r w:rsidR="00072977" w:rsidRPr="0097459F">
        <w:rPr>
          <w:rFonts w:eastAsia="Calibri" w:cstheme="minorHAnsi"/>
        </w:rPr>
        <w:t xml:space="preserve">está </w:t>
      </w:r>
      <w:r w:rsidRPr="0097459F">
        <w:rPr>
          <w:rFonts w:eastAsia="Calibri" w:cstheme="minorHAnsi"/>
        </w:rPr>
        <w:t>negativo:</w:t>
      </w:r>
    </w:p>
    <w:p w14:paraId="09836F4E" w14:textId="65756058" w:rsidR="00893D49" w:rsidRPr="0097459F" w:rsidRDefault="00893D49" w:rsidP="00C20BBD">
      <w:pPr>
        <w:pStyle w:val="Normalalteradora"/>
        <w:rPr>
          <w:rFonts w:eastAsia="Calibri" w:cstheme="minorHAnsi"/>
        </w:rPr>
      </w:pPr>
      <w:r w:rsidRPr="0097459F">
        <w:rPr>
          <w:rFonts w:eastAsia="Calibri" w:cstheme="minorHAnsi"/>
        </w:rPr>
        <w:t>a) fechar para resgates e não realizar amortização de cotas;</w:t>
      </w:r>
    </w:p>
    <w:p w14:paraId="21993A4A" w14:textId="291EED9E" w:rsidR="00E959E1" w:rsidRPr="0097459F" w:rsidRDefault="04AFB46A" w:rsidP="00C20BBD">
      <w:pPr>
        <w:pStyle w:val="Normalalteradora"/>
        <w:rPr>
          <w:rFonts w:eastAsia="Calibri"/>
        </w:rPr>
      </w:pPr>
      <w:r w:rsidRPr="0097459F">
        <w:rPr>
          <w:rFonts w:eastAsia="Calibri"/>
        </w:rPr>
        <w:t>b) não realizar novas subscrições de cotas</w:t>
      </w:r>
      <w:r w:rsidR="2721B954" w:rsidRPr="0097459F">
        <w:rPr>
          <w:rFonts w:eastAsia="Calibri"/>
        </w:rPr>
        <w:t>;</w:t>
      </w:r>
    </w:p>
    <w:p w14:paraId="3EDEA52E" w14:textId="177926C0" w:rsidR="00A825AD" w:rsidRPr="0097459F" w:rsidRDefault="00A825AD" w:rsidP="00C20BBD">
      <w:pPr>
        <w:pStyle w:val="Normalalteradora"/>
        <w:rPr>
          <w:rFonts w:eastAsia="Calibri" w:cstheme="minorHAnsi"/>
        </w:rPr>
      </w:pPr>
      <w:r w:rsidRPr="0097459F">
        <w:rPr>
          <w:rFonts w:eastAsia="Calibri" w:cstheme="minorHAnsi"/>
        </w:rPr>
        <w:lastRenderedPageBreak/>
        <w:t>c) comunicar a existência do patrimônio líquido negativo ao gestor</w:t>
      </w:r>
      <w:r w:rsidR="002718B5" w:rsidRPr="0097459F">
        <w:rPr>
          <w:rFonts w:eastAsia="Calibri" w:cstheme="minorHAnsi"/>
        </w:rPr>
        <w:t>;</w:t>
      </w:r>
    </w:p>
    <w:p w14:paraId="60F05427" w14:textId="71CA1455" w:rsidR="00A825AD" w:rsidRPr="0097459F" w:rsidRDefault="00C873C1" w:rsidP="00C20BBD">
      <w:pPr>
        <w:pStyle w:val="Normalalteradora"/>
        <w:rPr>
          <w:rFonts w:eastAsia="Calibri" w:cstheme="minorHAnsi"/>
        </w:rPr>
      </w:pPr>
      <w:r w:rsidRPr="0097459F">
        <w:rPr>
          <w:rFonts w:eastAsia="Calibri" w:cstheme="minorHAnsi"/>
        </w:rPr>
        <w:t xml:space="preserve">d) </w:t>
      </w:r>
      <w:r w:rsidR="0085391F" w:rsidRPr="0097459F">
        <w:rPr>
          <w:rFonts w:eastAsia="Calibri" w:cstheme="minorHAnsi"/>
        </w:rPr>
        <w:t>divulgar</w:t>
      </w:r>
      <w:r w:rsidRPr="0097459F">
        <w:rPr>
          <w:rFonts w:eastAsia="Calibri" w:cstheme="minorHAnsi"/>
        </w:rPr>
        <w:t xml:space="preserve"> fato </w:t>
      </w:r>
      <w:r w:rsidR="00A825AD" w:rsidRPr="0097459F">
        <w:rPr>
          <w:rFonts w:eastAsia="Calibri" w:cstheme="minorHAnsi"/>
        </w:rPr>
        <w:t xml:space="preserve">relevante, nos termos do art. </w:t>
      </w:r>
      <w:r w:rsidR="00087932" w:rsidRPr="0097459F">
        <w:rPr>
          <w:rFonts w:eastAsia="Calibri" w:cstheme="minorHAnsi"/>
        </w:rPr>
        <w:t>64</w:t>
      </w:r>
      <w:r w:rsidR="00A825AD" w:rsidRPr="0097459F">
        <w:rPr>
          <w:rFonts w:eastAsia="Calibri" w:cstheme="minorHAnsi"/>
        </w:rPr>
        <w:t>;</w:t>
      </w:r>
    </w:p>
    <w:p w14:paraId="6D06C043" w14:textId="7B874F8F" w:rsidR="00C873C1" w:rsidRPr="0097459F" w:rsidRDefault="00C873C1" w:rsidP="00C20BBD">
      <w:pPr>
        <w:pStyle w:val="Normalalteradora"/>
        <w:rPr>
          <w:rFonts w:eastAsia="Calibri" w:cstheme="minorHAnsi"/>
        </w:rPr>
      </w:pPr>
      <w:r w:rsidRPr="0097459F">
        <w:rPr>
          <w:rFonts w:eastAsia="Calibri" w:cstheme="minorHAnsi"/>
        </w:rPr>
        <w:t xml:space="preserve">e) cancelar os pedidos de </w:t>
      </w:r>
      <w:r w:rsidR="00A825AD" w:rsidRPr="0097459F">
        <w:rPr>
          <w:rFonts w:eastAsia="Calibri" w:cstheme="minorHAnsi"/>
        </w:rPr>
        <w:t>resgate pendentes de conversão; e</w:t>
      </w:r>
    </w:p>
    <w:p w14:paraId="12FD5968" w14:textId="3DBD1FAF" w:rsidR="00893D49" w:rsidRPr="0097459F" w:rsidRDefault="00A825AD" w:rsidP="00C20BBD">
      <w:pPr>
        <w:pStyle w:val="Normalalteradora"/>
        <w:rPr>
          <w:rFonts w:eastAsia="Calibri" w:cstheme="minorHAnsi"/>
        </w:rPr>
      </w:pPr>
      <w:r w:rsidRPr="0097459F">
        <w:rPr>
          <w:rFonts w:eastAsia="Calibri" w:cstheme="minorHAnsi"/>
        </w:rPr>
        <w:t xml:space="preserve">II </w:t>
      </w:r>
      <w:r w:rsidR="00893D49" w:rsidRPr="0097459F">
        <w:rPr>
          <w:rFonts w:eastAsia="Calibri" w:cstheme="minorHAnsi"/>
        </w:rPr>
        <w:t xml:space="preserve">– </w:t>
      </w:r>
      <w:proofErr w:type="gramStart"/>
      <w:r w:rsidR="00893D49" w:rsidRPr="0097459F">
        <w:rPr>
          <w:rFonts w:eastAsia="Calibri" w:cstheme="minorHAnsi"/>
        </w:rPr>
        <w:t>em</w:t>
      </w:r>
      <w:proofErr w:type="gramEnd"/>
      <w:r w:rsidR="00893D49" w:rsidRPr="0097459F">
        <w:rPr>
          <w:rFonts w:eastAsia="Calibri" w:cstheme="minorHAnsi"/>
        </w:rPr>
        <w:t xml:space="preserve"> até 20 </w:t>
      </w:r>
      <w:r w:rsidR="00EF6787" w:rsidRPr="0097459F">
        <w:rPr>
          <w:rFonts w:eastAsia="Calibri" w:cstheme="minorHAnsi"/>
        </w:rPr>
        <w:t xml:space="preserve">(vinte) </w:t>
      </w:r>
      <w:r w:rsidR="00893D49" w:rsidRPr="0097459F">
        <w:rPr>
          <w:rFonts w:eastAsia="Calibri" w:cstheme="minorHAnsi"/>
        </w:rPr>
        <w:t>dias:</w:t>
      </w:r>
    </w:p>
    <w:p w14:paraId="1C5BA048" w14:textId="2EEEBDD3" w:rsidR="00893D49" w:rsidRPr="0097459F" w:rsidRDefault="00893D49" w:rsidP="00C20BBD">
      <w:pPr>
        <w:pStyle w:val="Normalalteradora"/>
        <w:rPr>
          <w:rFonts w:eastAsia="Calibri" w:cstheme="minorHAnsi"/>
        </w:rPr>
      </w:pPr>
      <w:r w:rsidRPr="0097459F">
        <w:rPr>
          <w:rFonts w:eastAsia="Calibri" w:cstheme="minorHAnsi"/>
        </w:rPr>
        <w:t xml:space="preserve">a) elaborar um plano de resolução do patrimônio líquido negativo, </w:t>
      </w:r>
      <w:r w:rsidR="00A825AD" w:rsidRPr="0097459F">
        <w:rPr>
          <w:rFonts w:eastAsia="Calibri" w:cstheme="minorHAnsi"/>
        </w:rPr>
        <w:t xml:space="preserve">em conjunto com o gestor, </w:t>
      </w:r>
      <w:r w:rsidRPr="0097459F">
        <w:rPr>
          <w:rFonts w:eastAsia="Calibri" w:cstheme="minorHAnsi"/>
        </w:rPr>
        <w:t>do qual conste, no mínimo:</w:t>
      </w:r>
    </w:p>
    <w:p w14:paraId="0220B829" w14:textId="77777777" w:rsidR="00893D49" w:rsidRPr="0097459F" w:rsidRDefault="00893D49" w:rsidP="00C20BBD">
      <w:pPr>
        <w:pStyle w:val="Normalalteradora"/>
        <w:rPr>
          <w:rFonts w:eastAsia="Calibri" w:cstheme="minorHAnsi"/>
        </w:rPr>
      </w:pPr>
      <w:r w:rsidRPr="0097459F">
        <w:rPr>
          <w:rFonts w:eastAsia="Calibri" w:cstheme="minorHAnsi"/>
        </w:rPr>
        <w:t>1. análise das causas e circunstâncias que resultaram no patrimônio líquido negativo;</w:t>
      </w:r>
    </w:p>
    <w:p w14:paraId="3C45B3BE" w14:textId="77777777" w:rsidR="00893D49" w:rsidRPr="0097459F" w:rsidRDefault="00893D49" w:rsidP="00C20BBD">
      <w:pPr>
        <w:pStyle w:val="Normalalteradora"/>
        <w:rPr>
          <w:rFonts w:eastAsia="Calibri" w:cstheme="minorHAnsi"/>
        </w:rPr>
      </w:pPr>
      <w:r w:rsidRPr="0097459F">
        <w:rPr>
          <w:rFonts w:eastAsia="Calibri" w:cstheme="minorHAnsi"/>
        </w:rPr>
        <w:t>2. balancete; e</w:t>
      </w:r>
    </w:p>
    <w:p w14:paraId="1F5E28C0" w14:textId="707B02E0" w:rsidR="000E0E80" w:rsidRPr="0097459F" w:rsidRDefault="00893D49" w:rsidP="00C20BBD">
      <w:pPr>
        <w:pStyle w:val="Normalalteradora"/>
        <w:rPr>
          <w:rFonts w:eastAsia="Calibri" w:cstheme="minorHAnsi"/>
        </w:rPr>
      </w:pPr>
      <w:r w:rsidRPr="0097459F">
        <w:rPr>
          <w:rFonts w:eastAsia="Calibri" w:cstheme="minorHAnsi"/>
        </w:rPr>
        <w:t xml:space="preserve">3. proposta de resolução para </w:t>
      </w:r>
      <w:r w:rsidR="000E0E80" w:rsidRPr="0097459F">
        <w:rPr>
          <w:rFonts w:eastAsia="Calibri" w:cstheme="minorHAnsi"/>
        </w:rPr>
        <w:t>o patrimônio líquido negativo</w:t>
      </w:r>
      <w:r w:rsidRPr="0097459F">
        <w:rPr>
          <w:rFonts w:eastAsia="Calibri" w:cstheme="minorHAnsi"/>
        </w:rPr>
        <w:t>, que, a critério</w:t>
      </w:r>
      <w:r w:rsidR="000E0E80" w:rsidRPr="0097459F">
        <w:rPr>
          <w:rFonts w:eastAsia="Calibri" w:cstheme="minorHAnsi"/>
        </w:rPr>
        <w:t xml:space="preserve"> dos prestadores de serviços essenciais</w:t>
      </w:r>
      <w:r w:rsidRPr="0097459F">
        <w:rPr>
          <w:rFonts w:eastAsia="Calibri" w:cstheme="minorHAnsi"/>
        </w:rPr>
        <w:t xml:space="preserve">, pode contemplar as possibilidades previstas no § </w:t>
      </w:r>
      <w:r w:rsidR="00220040" w:rsidRPr="0097459F">
        <w:rPr>
          <w:rFonts w:eastAsia="Calibri" w:cstheme="minorHAnsi"/>
        </w:rPr>
        <w:t>4º deste artigo</w:t>
      </w:r>
      <w:r w:rsidR="008D4B9E" w:rsidRPr="0097459F">
        <w:rPr>
          <w:rFonts w:eastAsia="Calibri" w:cstheme="minorHAnsi"/>
        </w:rPr>
        <w:t>, assim como</w:t>
      </w:r>
      <w:r w:rsidR="000E0E80" w:rsidRPr="0097459F">
        <w:rPr>
          <w:rFonts w:eastAsia="Calibri" w:cstheme="minorHAnsi"/>
        </w:rPr>
        <w:t xml:space="preserve"> a possibilidade de tomada de empréstimo pela classe</w:t>
      </w:r>
      <w:r w:rsidR="008D4B9E" w:rsidRPr="0097459F">
        <w:rPr>
          <w:rFonts w:eastAsia="Calibri" w:cstheme="minorHAnsi"/>
        </w:rPr>
        <w:t>, exclusivamente</w:t>
      </w:r>
      <w:r w:rsidR="000E0E80" w:rsidRPr="0097459F">
        <w:rPr>
          <w:rFonts w:eastAsia="Calibri" w:cstheme="minorHAnsi"/>
        </w:rPr>
        <w:t xml:space="preserve"> para cobrir o patrimônio líquido negativo</w:t>
      </w:r>
      <w:r w:rsidRPr="0097459F">
        <w:rPr>
          <w:rFonts w:eastAsia="Calibri" w:cstheme="minorHAnsi"/>
        </w:rPr>
        <w:t>; e</w:t>
      </w:r>
    </w:p>
    <w:p w14:paraId="7003DE8B" w14:textId="32D501ED" w:rsidR="00893D49" w:rsidRPr="0097459F" w:rsidRDefault="00893D49" w:rsidP="00C20BBD">
      <w:pPr>
        <w:pStyle w:val="Normalalteradora"/>
        <w:rPr>
          <w:rFonts w:eastAsia="Calibri" w:cstheme="minorHAnsi"/>
        </w:rPr>
      </w:pPr>
      <w:r w:rsidRPr="0097459F">
        <w:rPr>
          <w:rFonts w:eastAsia="Calibri" w:cstheme="minorHAnsi"/>
        </w:rPr>
        <w:t>b) convocar assembleia de cotistas, para deliberar acerca do plano de resolução do patrimônio líquido negativo de que trata a alínea “a”</w:t>
      </w:r>
      <w:r w:rsidR="00A825AD" w:rsidRPr="0097459F">
        <w:rPr>
          <w:rFonts w:eastAsia="Calibri" w:cstheme="minorHAnsi"/>
        </w:rPr>
        <w:t xml:space="preserve">, </w:t>
      </w:r>
      <w:r w:rsidR="00D1758A" w:rsidRPr="0097459F">
        <w:rPr>
          <w:rFonts w:eastAsia="Calibri" w:cstheme="minorHAnsi"/>
        </w:rPr>
        <w:t xml:space="preserve">em até 2 (dois) dias úteis após concluída a elaboração do plano, </w:t>
      </w:r>
      <w:r w:rsidR="00A825AD" w:rsidRPr="0097459F">
        <w:rPr>
          <w:rFonts w:eastAsia="Calibri" w:cstheme="minorHAnsi"/>
        </w:rPr>
        <w:t>encaminhando</w:t>
      </w:r>
      <w:r w:rsidR="008B0C3B" w:rsidRPr="0097459F">
        <w:rPr>
          <w:rFonts w:eastAsia="Calibri" w:cstheme="minorHAnsi"/>
        </w:rPr>
        <w:t xml:space="preserve"> o plano</w:t>
      </w:r>
      <w:r w:rsidR="00A825AD" w:rsidRPr="0097459F">
        <w:rPr>
          <w:rFonts w:eastAsia="Calibri" w:cstheme="minorHAnsi"/>
        </w:rPr>
        <w:t xml:space="preserve"> junto à convocação</w:t>
      </w:r>
      <w:r w:rsidRPr="0097459F">
        <w:rPr>
          <w:rFonts w:eastAsia="Calibri" w:cstheme="minorHAnsi"/>
        </w:rPr>
        <w:t>.</w:t>
      </w:r>
    </w:p>
    <w:p w14:paraId="682B9B4D" w14:textId="5BBEA711" w:rsidR="00927FE6" w:rsidRPr="0097459F" w:rsidRDefault="00927FE6" w:rsidP="00C20BBD">
      <w:pPr>
        <w:pStyle w:val="Normalalteradora"/>
        <w:rPr>
          <w:rFonts w:eastAsia="Calibri" w:cstheme="minorHAnsi"/>
        </w:rPr>
      </w:pPr>
      <w:r w:rsidRPr="0097459F">
        <w:rPr>
          <w:rFonts w:eastAsia="Calibri" w:cstheme="minorHAnsi"/>
        </w:rPr>
        <w:t>§ 1</w:t>
      </w:r>
      <w:proofErr w:type="gramStart"/>
      <w:r w:rsidRPr="0097459F">
        <w:rPr>
          <w:rFonts w:eastAsia="Calibri" w:cstheme="minorHAnsi"/>
        </w:rPr>
        <w:t>º  Caso</w:t>
      </w:r>
      <w:proofErr w:type="gramEnd"/>
      <w:r w:rsidRPr="0097459F">
        <w:rPr>
          <w:rFonts w:eastAsia="Calibri" w:cstheme="minorHAnsi"/>
        </w:rPr>
        <w:t xml:space="preserve"> </w:t>
      </w:r>
      <w:r w:rsidR="008C2FCE" w:rsidRPr="0097459F">
        <w:rPr>
          <w:rFonts w:eastAsia="Calibri" w:cstheme="minorHAnsi"/>
        </w:rPr>
        <w:t xml:space="preserve">após a adoção das medidas previstas no inciso I do </w:t>
      </w:r>
      <w:r w:rsidR="008C2FCE" w:rsidRPr="0097459F">
        <w:rPr>
          <w:rFonts w:eastAsia="Calibri" w:cstheme="minorHAnsi"/>
          <w:b/>
        </w:rPr>
        <w:t>caput</w:t>
      </w:r>
      <w:r w:rsidR="008C2FCE" w:rsidRPr="0097459F">
        <w:rPr>
          <w:rFonts w:eastAsia="Calibri" w:cstheme="minorHAnsi"/>
        </w:rPr>
        <w:t xml:space="preserve"> </w:t>
      </w:r>
      <w:r w:rsidRPr="0097459F">
        <w:rPr>
          <w:rFonts w:eastAsia="Calibri" w:cstheme="minorHAnsi"/>
        </w:rPr>
        <w:t xml:space="preserve">os prestadores de serviços essenciais, em conjunto, avaliem, de modo fundamentado, que a ocorrência do patrimônio líquido negativo não </w:t>
      </w:r>
      <w:r w:rsidR="005E309C" w:rsidRPr="0097459F">
        <w:rPr>
          <w:rFonts w:eastAsia="Calibri" w:cstheme="minorHAnsi"/>
        </w:rPr>
        <w:t>representa risco à</w:t>
      </w:r>
      <w:r w:rsidRPr="0097459F">
        <w:rPr>
          <w:rFonts w:eastAsia="Calibri" w:cstheme="minorHAnsi"/>
        </w:rPr>
        <w:t xml:space="preserve"> </w:t>
      </w:r>
      <w:r w:rsidR="005E309C" w:rsidRPr="0097459F">
        <w:rPr>
          <w:rFonts w:eastAsia="Calibri" w:cstheme="minorHAnsi"/>
        </w:rPr>
        <w:t>solvência</w:t>
      </w:r>
      <w:r w:rsidRPr="0097459F">
        <w:rPr>
          <w:rFonts w:eastAsia="Calibri" w:cstheme="minorHAnsi"/>
        </w:rPr>
        <w:t xml:space="preserve"> da classe de cotas, a adoção das medidas referidas n</w:t>
      </w:r>
      <w:r w:rsidR="008C2FCE" w:rsidRPr="0097459F">
        <w:rPr>
          <w:rFonts w:eastAsia="Calibri" w:cstheme="minorHAnsi"/>
        </w:rPr>
        <w:t>o inciso II</w:t>
      </w:r>
      <w:r w:rsidRPr="0097459F">
        <w:rPr>
          <w:rFonts w:eastAsia="Calibri" w:cstheme="minorHAnsi"/>
        </w:rPr>
        <w:t xml:space="preserve"> do </w:t>
      </w:r>
      <w:r w:rsidRPr="0097459F">
        <w:rPr>
          <w:rFonts w:eastAsia="Calibri" w:cstheme="minorHAnsi"/>
          <w:b/>
        </w:rPr>
        <w:t>caput</w:t>
      </w:r>
      <w:r w:rsidR="00C53B52" w:rsidRPr="0097459F">
        <w:rPr>
          <w:rFonts w:eastAsia="Calibri" w:cstheme="minorHAnsi"/>
        </w:rPr>
        <w:t xml:space="preserve"> se torna facultativa</w:t>
      </w:r>
      <w:r w:rsidR="00F55909" w:rsidRPr="0097459F">
        <w:rPr>
          <w:rFonts w:eastAsia="Calibri" w:cstheme="minorHAnsi"/>
        </w:rPr>
        <w:t>.</w:t>
      </w:r>
    </w:p>
    <w:p w14:paraId="615E4BE1" w14:textId="3A2A5146" w:rsidR="00957460" w:rsidRPr="0097459F" w:rsidRDefault="00957460" w:rsidP="00C20BBD">
      <w:pPr>
        <w:pStyle w:val="Normalalteradora"/>
        <w:rPr>
          <w:rFonts w:eastAsia="Calibri" w:cstheme="minorHAnsi"/>
        </w:rPr>
      </w:pPr>
      <w:r w:rsidRPr="0097459F">
        <w:rPr>
          <w:rFonts w:eastAsia="Calibri" w:cstheme="minorHAnsi"/>
        </w:rPr>
        <w:t xml:space="preserve">§ </w:t>
      </w:r>
      <w:r w:rsidR="00927FE6" w:rsidRPr="0097459F">
        <w:rPr>
          <w:rFonts w:eastAsia="Calibri" w:cstheme="minorHAnsi"/>
        </w:rPr>
        <w:t>2</w:t>
      </w:r>
      <w:proofErr w:type="gramStart"/>
      <w:r w:rsidRPr="0097459F">
        <w:rPr>
          <w:rFonts w:eastAsia="Calibri" w:cstheme="minorHAnsi"/>
        </w:rPr>
        <w:t>º  Caso</w:t>
      </w:r>
      <w:proofErr w:type="gramEnd"/>
      <w:r w:rsidRPr="0097459F">
        <w:rPr>
          <w:rFonts w:eastAsia="Calibri" w:cstheme="minorHAnsi"/>
        </w:rPr>
        <w:t xml:space="preserve"> anteriormente à convocação da assembleia de que trata </w:t>
      </w:r>
      <w:r w:rsidR="009032E3" w:rsidRPr="0097459F">
        <w:rPr>
          <w:rFonts w:eastAsia="Calibri" w:cstheme="minorHAnsi"/>
        </w:rPr>
        <w:t>a alínea “b” d</w:t>
      </w:r>
      <w:r w:rsidR="00D1622A" w:rsidRPr="0097459F">
        <w:rPr>
          <w:rFonts w:eastAsia="Calibri" w:cstheme="minorHAnsi"/>
        </w:rPr>
        <w:t xml:space="preserve">o inciso II do </w:t>
      </w:r>
      <w:r w:rsidR="00D1622A" w:rsidRPr="0097459F">
        <w:rPr>
          <w:rFonts w:eastAsia="Calibri" w:cstheme="minorHAnsi"/>
          <w:b/>
        </w:rPr>
        <w:t>caput</w:t>
      </w:r>
      <w:r w:rsidRPr="0097459F">
        <w:rPr>
          <w:rFonts w:eastAsia="Calibri" w:cstheme="minorHAnsi"/>
        </w:rPr>
        <w:t xml:space="preserve">, o administrador verifique que o patrimônio líquido deixou de estar negativo, o gestor e o administrador ficam dispensados de prosseguir com os procedimentos previstos neste artigo, devendo o administrador divulgar novo fato relevante, no qual </w:t>
      </w:r>
      <w:r w:rsidR="00D76102" w:rsidRPr="0097459F">
        <w:rPr>
          <w:rFonts w:eastAsia="Calibri" w:cstheme="minorHAnsi"/>
        </w:rPr>
        <w:t>devem</w:t>
      </w:r>
      <w:r w:rsidRPr="0097459F">
        <w:rPr>
          <w:rFonts w:eastAsia="Calibri" w:cstheme="minorHAnsi"/>
        </w:rPr>
        <w:t xml:space="preserve"> constar o patrimônio líquido atualizado e, ainda que resumidamente, as causas e circunstâncias que resultaram no patrimônio líquido negativo.</w:t>
      </w:r>
    </w:p>
    <w:p w14:paraId="51873FDB" w14:textId="24BB7CEF" w:rsidR="00957460" w:rsidRPr="0097459F" w:rsidRDefault="00957460" w:rsidP="00C20BBD">
      <w:pPr>
        <w:pStyle w:val="Normalalteradora"/>
        <w:rPr>
          <w:rFonts w:eastAsia="Calibri" w:cstheme="minorHAnsi"/>
        </w:rPr>
      </w:pPr>
      <w:r w:rsidRPr="0097459F">
        <w:rPr>
          <w:rFonts w:eastAsia="Calibri" w:cstheme="minorHAnsi"/>
        </w:rPr>
        <w:t xml:space="preserve">§ </w:t>
      </w:r>
      <w:r w:rsidR="00F55909" w:rsidRPr="0097459F">
        <w:rPr>
          <w:rFonts w:eastAsia="Calibri" w:cstheme="minorHAnsi"/>
        </w:rPr>
        <w:t>3</w:t>
      </w:r>
      <w:proofErr w:type="gramStart"/>
      <w:r w:rsidRPr="0097459F">
        <w:rPr>
          <w:rFonts w:eastAsia="Calibri" w:cstheme="minorHAnsi"/>
        </w:rPr>
        <w:t xml:space="preserve">º </w:t>
      </w:r>
      <w:r w:rsidR="00D1622A" w:rsidRPr="0097459F">
        <w:rPr>
          <w:rFonts w:eastAsia="Calibri" w:cstheme="minorHAnsi"/>
        </w:rPr>
        <w:t xml:space="preserve"> </w:t>
      </w:r>
      <w:r w:rsidRPr="0097459F">
        <w:rPr>
          <w:rFonts w:eastAsia="Calibri" w:cstheme="minorHAnsi"/>
        </w:rPr>
        <w:t>Caso</w:t>
      </w:r>
      <w:proofErr w:type="gramEnd"/>
      <w:r w:rsidRPr="0097459F">
        <w:rPr>
          <w:rFonts w:eastAsia="Calibri" w:cstheme="minorHAnsi"/>
        </w:rPr>
        <w:t xml:space="preserve"> posteriormente à convocação da assembleia de que trata </w:t>
      </w:r>
      <w:r w:rsidR="009032E3" w:rsidRPr="0097459F">
        <w:rPr>
          <w:rFonts w:eastAsia="Calibri" w:cstheme="minorHAnsi"/>
        </w:rPr>
        <w:t xml:space="preserve">a alínea “b” do </w:t>
      </w:r>
      <w:r w:rsidR="00D1622A" w:rsidRPr="0097459F">
        <w:rPr>
          <w:rFonts w:eastAsia="Calibri" w:cstheme="minorHAnsi"/>
        </w:rPr>
        <w:t xml:space="preserve">inciso II do </w:t>
      </w:r>
      <w:r w:rsidR="00D1622A" w:rsidRPr="0097459F">
        <w:rPr>
          <w:rFonts w:eastAsia="Calibri" w:cstheme="minorHAnsi"/>
          <w:b/>
        </w:rPr>
        <w:t>caput</w:t>
      </w:r>
      <w:r w:rsidRPr="0097459F">
        <w:rPr>
          <w:rFonts w:eastAsia="Calibri" w:cstheme="minorHAnsi"/>
        </w:rPr>
        <w:t xml:space="preserve">, e anteriormente à sua realização, o administrador verifique que o patrimônio líquido deixou de estar negativo, a assembleia deve ser realizada para que o gestor apresente aos cotistas o patrimônio </w:t>
      </w:r>
      <w:r w:rsidRPr="0097459F">
        <w:rPr>
          <w:rFonts w:eastAsia="Calibri" w:cstheme="minorHAnsi"/>
        </w:rPr>
        <w:lastRenderedPageBreak/>
        <w:t xml:space="preserve">líquido atualizado e as causas e circunstâncias que resultaram no patrimônio líquido negativo, não se aplicando o disposto no § </w:t>
      </w:r>
      <w:r w:rsidR="00912664" w:rsidRPr="0097459F">
        <w:rPr>
          <w:rFonts w:eastAsia="Calibri" w:cstheme="minorHAnsi"/>
        </w:rPr>
        <w:t>4</w:t>
      </w:r>
      <w:r w:rsidRPr="0097459F">
        <w:rPr>
          <w:rFonts w:eastAsia="Calibri" w:cstheme="minorHAnsi"/>
        </w:rPr>
        <w:t>º.</w:t>
      </w:r>
    </w:p>
    <w:p w14:paraId="5F7D76E0" w14:textId="3233B53C" w:rsidR="00893D49" w:rsidRPr="0097459F" w:rsidRDefault="00893D49"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4</w:t>
      </w:r>
      <w:proofErr w:type="gramStart"/>
      <w:r w:rsidR="00912664" w:rsidRPr="0097459F">
        <w:rPr>
          <w:rFonts w:eastAsia="Calibri" w:cstheme="minorHAnsi"/>
        </w:rPr>
        <w:t>º</w:t>
      </w:r>
      <w:r w:rsidRPr="0097459F">
        <w:rPr>
          <w:rFonts w:eastAsia="Calibri" w:cstheme="minorHAnsi"/>
        </w:rPr>
        <w:t xml:space="preserve">  Na</w:t>
      </w:r>
      <w:proofErr w:type="gramEnd"/>
      <w:r w:rsidRPr="0097459F">
        <w:rPr>
          <w:rFonts w:eastAsia="Calibri" w:cstheme="minorHAnsi"/>
        </w:rPr>
        <w:t xml:space="preserve"> assembleia </w:t>
      </w:r>
      <w:r w:rsidR="002F2D2A" w:rsidRPr="0097459F">
        <w:rPr>
          <w:rFonts w:eastAsia="Calibri" w:cstheme="minorHAnsi"/>
        </w:rPr>
        <w:t xml:space="preserve">de que trata a alínea “b” do inciso II </w:t>
      </w:r>
      <w:r w:rsidRPr="0097459F">
        <w:rPr>
          <w:rFonts w:eastAsia="Calibri" w:cstheme="minorHAnsi"/>
        </w:rPr>
        <w:t xml:space="preserve">do </w:t>
      </w:r>
      <w:r w:rsidRPr="0097459F">
        <w:rPr>
          <w:rFonts w:eastAsia="Calibri" w:cstheme="minorHAnsi"/>
          <w:b/>
        </w:rPr>
        <w:t>caput</w:t>
      </w:r>
      <w:r w:rsidRPr="0097459F">
        <w:rPr>
          <w:rFonts w:eastAsia="Calibri" w:cstheme="minorHAnsi"/>
        </w:rPr>
        <w:t xml:space="preserve">, em caso de não aprovação do plano </w:t>
      </w:r>
      <w:r w:rsidR="00957460" w:rsidRPr="0097459F">
        <w:rPr>
          <w:rFonts w:eastAsia="Calibri" w:cstheme="minorHAnsi"/>
        </w:rPr>
        <w:t>de resolução do patrimônio líquido negativo</w:t>
      </w:r>
      <w:r w:rsidRPr="0097459F">
        <w:rPr>
          <w:rFonts w:eastAsia="Calibri" w:cstheme="minorHAnsi"/>
        </w:rPr>
        <w:t>, os cotistas devem deliberar sobre as seguintes possibilidades:</w:t>
      </w:r>
    </w:p>
    <w:p w14:paraId="6B465D4B" w14:textId="0AF83AA7" w:rsidR="00893D49" w:rsidRPr="0097459F" w:rsidRDefault="00893D49" w:rsidP="00C20BBD">
      <w:pPr>
        <w:pStyle w:val="Normalalteradora"/>
        <w:rPr>
          <w:rFonts w:eastAsia="Calibri"/>
        </w:rPr>
      </w:pPr>
      <w:r w:rsidRPr="0097459F">
        <w:rPr>
          <w:rFonts w:eastAsia="Calibri"/>
        </w:rPr>
        <w:t xml:space="preserve">I – </w:t>
      </w:r>
      <w:proofErr w:type="gramStart"/>
      <w:r w:rsidRPr="0097459F">
        <w:rPr>
          <w:rFonts w:eastAsia="Calibri"/>
        </w:rPr>
        <w:t>cobrir</w:t>
      </w:r>
      <w:proofErr w:type="gramEnd"/>
      <w:r w:rsidRPr="0097459F">
        <w:rPr>
          <w:rFonts w:eastAsia="Calibri"/>
        </w:rPr>
        <w:t xml:space="preserve"> o patrimônio líquido negativo, mediante aporte de </w:t>
      </w:r>
      <w:r w:rsidR="00C959D1" w:rsidRPr="0097459F">
        <w:rPr>
          <w:rFonts w:eastAsia="Calibri"/>
        </w:rPr>
        <w:t>recursos</w:t>
      </w:r>
      <w:r w:rsidRPr="0097459F">
        <w:rPr>
          <w:rFonts w:eastAsia="Calibri"/>
        </w:rPr>
        <w:t xml:space="preserve">, próprios ou de terceiros, em </w:t>
      </w:r>
      <w:r w:rsidR="3D30B9B8" w:rsidRPr="0097459F">
        <w:rPr>
          <w:rFonts w:eastAsia="Calibri"/>
        </w:rPr>
        <w:t xml:space="preserve">montante e </w:t>
      </w:r>
      <w:r w:rsidR="04AFB46A" w:rsidRPr="0097459F">
        <w:rPr>
          <w:rFonts w:eastAsia="Calibri"/>
        </w:rPr>
        <w:t>prazo condizente</w:t>
      </w:r>
      <w:r w:rsidR="3EBEAC9D" w:rsidRPr="0097459F">
        <w:rPr>
          <w:rFonts w:eastAsia="Calibri"/>
        </w:rPr>
        <w:t>s</w:t>
      </w:r>
      <w:r w:rsidRPr="0097459F">
        <w:rPr>
          <w:rFonts w:eastAsia="Calibri"/>
        </w:rPr>
        <w:t xml:space="preserve"> com as obrigações da classe, hipótese </w:t>
      </w:r>
      <w:r w:rsidR="00EF6787" w:rsidRPr="0097459F">
        <w:rPr>
          <w:rFonts w:eastAsia="Calibri"/>
        </w:rPr>
        <w:t xml:space="preserve">que afasta a </w:t>
      </w:r>
      <w:r w:rsidR="00437D20" w:rsidRPr="0097459F">
        <w:rPr>
          <w:rFonts w:eastAsia="Calibri"/>
        </w:rPr>
        <w:t>proibição</w:t>
      </w:r>
      <w:r w:rsidR="00EF6787" w:rsidRPr="0097459F">
        <w:rPr>
          <w:rFonts w:eastAsia="Calibri"/>
        </w:rPr>
        <w:t xml:space="preserve"> disposta no art. </w:t>
      </w:r>
      <w:r w:rsidR="00E24209" w:rsidRPr="0097459F">
        <w:rPr>
          <w:rFonts w:eastAsia="Calibri"/>
        </w:rPr>
        <w:t>122</w:t>
      </w:r>
      <w:r w:rsidR="00EF6787" w:rsidRPr="0097459F">
        <w:rPr>
          <w:rFonts w:eastAsia="Calibri"/>
        </w:rPr>
        <w:t>, inciso I, alínea “b”</w:t>
      </w:r>
      <w:r w:rsidRPr="0097459F">
        <w:rPr>
          <w:rFonts w:eastAsia="Calibri"/>
        </w:rPr>
        <w:t>;</w:t>
      </w:r>
    </w:p>
    <w:p w14:paraId="0575F1FF" w14:textId="28E12AE0" w:rsidR="00893D49" w:rsidRPr="0097459F" w:rsidRDefault="00893D49" w:rsidP="00C20BBD">
      <w:pPr>
        <w:pStyle w:val="Normalalteradora"/>
        <w:rPr>
          <w:rFonts w:eastAsia="Calibri" w:cstheme="minorHAnsi"/>
        </w:rPr>
      </w:pPr>
      <w:r w:rsidRPr="0097459F">
        <w:rPr>
          <w:rFonts w:eastAsia="Calibri" w:cstheme="minorHAnsi"/>
        </w:rPr>
        <w:t xml:space="preserve">II – </w:t>
      </w:r>
      <w:proofErr w:type="gramStart"/>
      <w:r w:rsidRPr="0097459F">
        <w:rPr>
          <w:rFonts w:eastAsia="Calibri" w:cstheme="minorHAnsi"/>
        </w:rPr>
        <w:t>cindir, fundir</w:t>
      </w:r>
      <w:proofErr w:type="gramEnd"/>
      <w:r w:rsidRPr="0097459F">
        <w:rPr>
          <w:rFonts w:eastAsia="Calibri" w:cstheme="minorHAnsi"/>
        </w:rPr>
        <w:t xml:space="preserve"> ou incorporar a classe a </w:t>
      </w:r>
      <w:r w:rsidR="004D2FD0" w:rsidRPr="0097459F">
        <w:rPr>
          <w:rFonts w:eastAsia="Calibri" w:cstheme="minorHAnsi"/>
        </w:rPr>
        <w:t>outro fundo</w:t>
      </w:r>
      <w:r w:rsidRPr="0097459F">
        <w:rPr>
          <w:rFonts w:eastAsia="Calibri" w:cstheme="minorHAnsi"/>
        </w:rPr>
        <w:t xml:space="preserve"> que tenha apresentado proposta já analisada </w:t>
      </w:r>
      <w:r w:rsidR="003205C2" w:rsidRPr="0097459F">
        <w:rPr>
          <w:rFonts w:eastAsia="Calibri" w:cstheme="minorHAnsi"/>
        </w:rPr>
        <w:t>pelos prestadores de serviços essenciais</w:t>
      </w:r>
      <w:r w:rsidR="007E0D52" w:rsidRPr="0097459F">
        <w:rPr>
          <w:rFonts w:eastAsia="Calibri" w:cstheme="minorHAnsi"/>
        </w:rPr>
        <w:t>;</w:t>
      </w:r>
    </w:p>
    <w:p w14:paraId="18D17EE8" w14:textId="68D161E9" w:rsidR="00893D49" w:rsidRPr="0097459F" w:rsidRDefault="00893D49" w:rsidP="00C20BBD">
      <w:pPr>
        <w:pStyle w:val="Normalalteradora"/>
        <w:rPr>
          <w:rFonts w:eastAsia="Calibri" w:cstheme="minorHAnsi"/>
        </w:rPr>
      </w:pPr>
      <w:r w:rsidRPr="0097459F">
        <w:rPr>
          <w:rFonts w:eastAsia="Calibri" w:cstheme="minorHAnsi"/>
        </w:rPr>
        <w:t xml:space="preserve">III – liquidar a classe que estiver com patrimônio líquido negativo, desde que não remanesçam obrigações a serem honradas pelo </w:t>
      </w:r>
      <w:r w:rsidR="00072977" w:rsidRPr="0097459F">
        <w:rPr>
          <w:rFonts w:eastAsia="Calibri" w:cstheme="minorHAnsi"/>
        </w:rPr>
        <w:t xml:space="preserve">seu </w:t>
      </w:r>
      <w:r w:rsidRPr="0097459F">
        <w:rPr>
          <w:rFonts w:eastAsia="Calibri" w:cstheme="minorHAnsi"/>
        </w:rPr>
        <w:t>patrimônio;</w:t>
      </w:r>
      <w:r w:rsidR="000E0E80" w:rsidRPr="0097459F">
        <w:rPr>
          <w:rFonts w:eastAsia="Calibri" w:cstheme="minorHAnsi"/>
        </w:rPr>
        <w:t xml:space="preserve"> </w:t>
      </w:r>
      <w:r w:rsidRPr="0097459F">
        <w:rPr>
          <w:rFonts w:eastAsia="Calibri" w:cstheme="minorHAnsi"/>
        </w:rPr>
        <w:t>ou</w:t>
      </w:r>
    </w:p>
    <w:p w14:paraId="7631E3FF" w14:textId="12974A37" w:rsidR="006D619B" w:rsidRPr="0097459F" w:rsidRDefault="00893D49" w:rsidP="00C20BBD">
      <w:pPr>
        <w:pStyle w:val="Normalalteradora"/>
        <w:rPr>
          <w:rFonts w:eastAsia="Calibri" w:cstheme="minorHAnsi"/>
        </w:rPr>
      </w:pPr>
      <w:r w:rsidRPr="0097459F">
        <w:rPr>
          <w:rFonts w:eastAsia="Calibri" w:cstheme="minorHAnsi"/>
        </w:rPr>
        <w:t xml:space="preserve">IV – </w:t>
      </w:r>
      <w:proofErr w:type="gramStart"/>
      <w:r w:rsidRPr="0097459F">
        <w:rPr>
          <w:rFonts w:eastAsia="Calibri" w:cstheme="minorHAnsi"/>
        </w:rPr>
        <w:t>determinar</w:t>
      </w:r>
      <w:proofErr w:type="gramEnd"/>
      <w:r w:rsidRPr="0097459F">
        <w:rPr>
          <w:rFonts w:eastAsia="Calibri" w:cstheme="minorHAnsi"/>
        </w:rPr>
        <w:t xml:space="preserve"> que o administrador entre com pedido de declaração judicial de insolvência </w:t>
      </w:r>
      <w:r w:rsidR="00072977" w:rsidRPr="0097459F">
        <w:rPr>
          <w:rFonts w:eastAsia="Calibri" w:cstheme="minorHAnsi"/>
        </w:rPr>
        <w:t>da classe</w:t>
      </w:r>
      <w:r w:rsidR="00BA26DA" w:rsidRPr="0097459F">
        <w:rPr>
          <w:rFonts w:eastAsia="Calibri" w:cstheme="minorHAnsi"/>
        </w:rPr>
        <w:t xml:space="preserve"> de cotas</w:t>
      </w:r>
      <w:r w:rsidRPr="0097459F">
        <w:rPr>
          <w:rFonts w:eastAsia="Calibri" w:cstheme="minorHAnsi"/>
        </w:rPr>
        <w:t>.</w:t>
      </w:r>
    </w:p>
    <w:p w14:paraId="573ACC41" w14:textId="5E5AE2E2" w:rsidR="00893D49" w:rsidRPr="0097459F" w:rsidRDefault="00893D49"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5</w:t>
      </w:r>
      <w:proofErr w:type="gramStart"/>
      <w:r w:rsidR="00912664" w:rsidRPr="0097459F">
        <w:rPr>
          <w:rFonts w:eastAsia="Calibri" w:cstheme="minorHAnsi"/>
        </w:rPr>
        <w:t>º</w:t>
      </w:r>
      <w:r w:rsidRPr="0097459F">
        <w:rPr>
          <w:rFonts w:eastAsia="Calibri" w:cstheme="minorHAnsi"/>
        </w:rPr>
        <w:t xml:space="preserve">  O</w:t>
      </w:r>
      <w:proofErr w:type="gramEnd"/>
      <w:r w:rsidRPr="0097459F">
        <w:rPr>
          <w:rFonts w:eastAsia="Calibri" w:cstheme="minorHAnsi"/>
        </w:rPr>
        <w:t xml:space="preserve"> gestor deve comparecer à assembleia de que trata </w:t>
      </w:r>
      <w:r w:rsidR="002F2D2A" w:rsidRPr="0097459F">
        <w:rPr>
          <w:rFonts w:eastAsia="Calibri" w:cstheme="minorHAnsi"/>
        </w:rPr>
        <w:t>a alínea “b” d</w:t>
      </w:r>
      <w:r w:rsidRPr="0097459F">
        <w:rPr>
          <w:rFonts w:eastAsia="Calibri" w:cstheme="minorHAnsi"/>
        </w:rPr>
        <w:t xml:space="preserve">o inciso II do </w:t>
      </w:r>
      <w:r w:rsidRPr="0097459F">
        <w:rPr>
          <w:rFonts w:eastAsia="Calibri" w:cstheme="minorHAnsi"/>
          <w:b/>
        </w:rPr>
        <w:t>caput</w:t>
      </w:r>
      <w:r w:rsidRPr="0097459F">
        <w:rPr>
          <w:rFonts w:eastAsia="Calibri" w:cstheme="minorHAnsi"/>
        </w:rPr>
        <w:t xml:space="preserve">, na qualidade de responsável pela </w:t>
      </w:r>
      <w:r w:rsidR="008D6389" w:rsidRPr="0097459F">
        <w:rPr>
          <w:rFonts w:eastAsia="Calibri" w:cstheme="minorHAnsi"/>
        </w:rPr>
        <w:t>gestão</w:t>
      </w:r>
      <w:r w:rsidR="002F2D2A" w:rsidRPr="0097459F">
        <w:rPr>
          <w:rFonts w:eastAsia="Calibri"/>
        </w:rPr>
        <w:t xml:space="preserve"> da carteira de ativos</w:t>
      </w:r>
      <w:r w:rsidR="00072977" w:rsidRPr="0097459F">
        <w:rPr>
          <w:rFonts w:eastAsia="Calibri" w:cstheme="minorHAnsi"/>
        </w:rPr>
        <w:t>, observado que a ausência do gestor não impõe ao administrador qualquer óbice quanto a sua realização</w:t>
      </w:r>
      <w:r w:rsidRPr="0097459F">
        <w:rPr>
          <w:rFonts w:eastAsia="Calibri" w:cstheme="minorHAnsi"/>
        </w:rPr>
        <w:t>.</w:t>
      </w:r>
    </w:p>
    <w:p w14:paraId="149C3F92" w14:textId="081E1E71" w:rsidR="0030706F" w:rsidRPr="0097459F" w:rsidRDefault="0030706F"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6</w:t>
      </w:r>
      <w:proofErr w:type="gramStart"/>
      <w:r w:rsidRPr="0097459F">
        <w:rPr>
          <w:rFonts w:eastAsia="Calibri" w:cstheme="minorHAnsi"/>
        </w:rPr>
        <w:t>º</w:t>
      </w:r>
      <w:r w:rsidR="008D6389" w:rsidRPr="0097459F">
        <w:rPr>
          <w:rFonts w:eastAsia="Calibri" w:cstheme="minorHAnsi"/>
        </w:rPr>
        <w:t xml:space="preserve"> </w:t>
      </w:r>
      <w:r w:rsidRPr="0097459F">
        <w:rPr>
          <w:rFonts w:eastAsia="Calibri" w:cstheme="minorHAnsi"/>
        </w:rPr>
        <w:t xml:space="preserve"> Na</w:t>
      </w:r>
      <w:proofErr w:type="gramEnd"/>
      <w:r w:rsidRPr="0097459F">
        <w:rPr>
          <w:rFonts w:eastAsia="Calibri" w:cstheme="minorHAnsi"/>
        </w:rPr>
        <w:t xml:space="preserve"> assembleia </w:t>
      </w:r>
      <w:r w:rsidR="002F2D2A" w:rsidRPr="0097459F">
        <w:rPr>
          <w:rFonts w:eastAsia="Calibri" w:cstheme="minorHAnsi"/>
        </w:rPr>
        <w:t>de que trata</w:t>
      </w:r>
      <w:r w:rsidRPr="0097459F">
        <w:rPr>
          <w:rFonts w:eastAsia="Calibri" w:cstheme="minorHAnsi"/>
        </w:rPr>
        <w:t xml:space="preserve"> </w:t>
      </w:r>
      <w:r w:rsidR="002F2D2A" w:rsidRPr="0097459F">
        <w:rPr>
          <w:rFonts w:eastAsia="Calibri" w:cstheme="minorHAnsi"/>
        </w:rPr>
        <w:t>a alínea “b” d</w:t>
      </w:r>
      <w:r w:rsidRPr="0097459F">
        <w:rPr>
          <w:rFonts w:eastAsia="Calibri" w:cstheme="minorHAnsi"/>
        </w:rPr>
        <w:t>o inciso II</w:t>
      </w:r>
      <w:r w:rsidR="004D2FD0" w:rsidRPr="0097459F">
        <w:rPr>
          <w:rFonts w:eastAsia="Calibri" w:cstheme="minorHAnsi"/>
        </w:rPr>
        <w:t xml:space="preserve"> </w:t>
      </w:r>
      <w:r w:rsidRPr="0097459F">
        <w:rPr>
          <w:rFonts w:eastAsia="Calibri" w:cstheme="minorHAnsi"/>
        </w:rPr>
        <w:t xml:space="preserve">do </w:t>
      </w:r>
      <w:r w:rsidRPr="0097459F">
        <w:rPr>
          <w:rFonts w:eastAsia="Calibri" w:cstheme="minorHAnsi"/>
          <w:b/>
        </w:rPr>
        <w:t>caput</w:t>
      </w:r>
      <w:r w:rsidRPr="0097459F">
        <w:rPr>
          <w:rFonts w:eastAsia="Calibri" w:cstheme="minorHAnsi"/>
        </w:rPr>
        <w:t>, é permitida a manifestação dos credores</w:t>
      </w:r>
      <w:r w:rsidR="0025312B" w:rsidRPr="0097459F">
        <w:rPr>
          <w:rFonts w:eastAsia="Calibri" w:cstheme="minorHAnsi"/>
        </w:rPr>
        <w:t xml:space="preserve">, nessa qualidade, desde que prevista na ata da convocação ou autorizada pela </w:t>
      </w:r>
      <w:r w:rsidR="00AB3F4D" w:rsidRPr="0097459F">
        <w:rPr>
          <w:rFonts w:eastAsia="Calibri" w:cstheme="minorHAnsi"/>
        </w:rPr>
        <w:t>m</w:t>
      </w:r>
      <w:r w:rsidR="0025312B" w:rsidRPr="0097459F">
        <w:rPr>
          <w:rFonts w:eastAsia="Calibri" w:cstheme="minorHAnsi"/>
        </w:rPr>
        <w:t>esa ou pelos cotistas presentes</w:t>
      </w:r>
      <w:r w:rsidR="007E0D52" w:rsidRPr="0097459F">
        <w:rPr>
          <w:rFonts w:eastAsia="Calibri" w:cstheme="minorHAnsi"/>
        </w:rPr>
        <w:t>.</w:t>
      </w:r>
    </w:p>
    <w:p w14:paraId="42E9652D" w14:textId="1E28C9C3" w:rsidR="00B863FF" w:rsidRPr="0097459F" w:rsidRDefault="00B863FF" w:rsidP="00C20BBD">
      <w:pPr>
        <w:pStyle w:val="Normalalteradora"/>
        <w:rPr>
          <w:rFonts w:eastAsia="Calibri" w:cstheme="minorHAnsi"/>
        </w:rPr>
      </w:pPr>
      <w:r w:rsidRPr="0097459F">
        <w:rPr>
          <w:rFonts w:eastAsia="Calibri" w:cstheme="minorHAnsi"/>
        </w:rPr>
        <w:t xml:space="preserve">§ </w:t>
      </w:r>
      <w:r w:rsidR="00912664" w:rsidRPr="0097459F">
        <w:rPr>
          <w:rFonts w:eastAsia="Calibri" w:cstheme="minorHAnsi"/>
        </w:rPr>
        <w:t>7</w:t>
      </w:r>
      <w:proofErr w:type="gramStart"/>
      <w:r w:rsidRPr="0097459F">
        <w:rPr>
          <w:rFonts w:eastAsia="Calibri" w:cstheme="minorHAnsi"/>
        </w:rPr>
        <w:t>º  Caso</w:t>
      </w:r>
      <w:proofErr w:type="gramEnd"/>
      <w:r w:rsidRPr="0097459F">
        <w:rPr>
          <w:rFonts w:eastAsia="Calibri" w:cstheme="minorHAnsi"/>
        </w:rPr>
        <w:t xml:space="preserve"> a assembleia não seja instalada por falta de quórum ou os cotistas não deliberem em favor de qualquer possibilidade prevista</w:t>
      </w:r>
      <w:r w:rsidR="007E0D52" w:rsidRPr="0097459F">
        <w:rPr>
          <w:rFonts w:eastAsia="Calibri" w:cstheme="minorHAnsi"/>
        </w:rPr>
        <w:t xml:space="preserve"> no § 4</w:t>
      </w:r>
      <w:r w:rsidRPr="0097459F">
        <w:rPr>
          <w:rFonts w:eastAsia="Calibri" w:cstheme="minorHAnsi"/>
        </w:rPr>
        <w:t>º, o administrador deve ingressar com pedido de declaração judicial de insolvência da classe.</w:t>
      </w:r>
    </w:p>
    <w:p w14:paraId="6701B51F" w14:textId="3F2C77A3"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123</w:t>
      </w:r>
      <w:r w:rsidRPr="0097459F">
        <w:rPr>
          <w:rFonts w:eastAsia="Calibri" w:cstheme="minorHAnsi"/>
        </w:rPr>
        <w:t xml:space="preserve">.  A CVM pode pedir a declaração judicial de insolvência </w:t>
      </w:r>
      <w:r w:rsidR="00072977" w:rsidRPr="0097459F">
        <w:rPr>
          <w:rFonts w:eastAsia="Calibri" w:cstheme="minorHAnsi"/>
        </w:rPr>
        <w:t>da classe de cotas</w:t>
      </w:r>
      <w:r w:rsidRPr="0097459F">
        <w:rPr>
          <w:rFonts w:eastAsia="Calibri" w:cstheme="minorHAnsi"/>
        </w:rPr>
        <w:t xml:space="preserve">, quando identificar situação na qual </w:t>
      </w:r>
      <w:r w:rsidR="00346020" w:rsidRPr="0097459F">
        <w:rPr>
          <w:rFonts w:eastAsia="Calibri" w:cstheme="minorHAnsi"/>
        </w:rPr>
        <w:t xml:space="preserve">seu </w:t>
      </w:r>
      <w:r w:rsidRPr="0097459F">
        <w:rPr>
          <w:rFonts w:eastAsia="Calibri" w:cstheme="minorHAnsi"/>
        </w:rPr>
        <w:t>patrimônio líquido negativo represente risco para o funcionamento eficiente do mercado de valores mobiliários ou para a integridade do sistema financeiro.</w:t>
      </w:r>
    </w:p>
    <w:p w14:paraId="478E4A24" w14:textId="38D0CEC6"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124</w:t>
      </w:r>
      <w:r w:rsidRPr="0097459F">
        <w:rPr>
          <w:rFonts w:eastAsia="Calibri" w:cstheme="minorHAnsi"/>
        </w:rPr>
        <w:t>.  Tão logo tenha ciência de qualquer pedido de declaração judicial de insolvência</w:t>
      </w:r>
      <w:r w:rsidR="00BC77D2" w:rsidRPr="0097459F">
        <w:rPr>
          <w:rFonts w:eastAsia="Calibri" w:cstheme="minorHAnsi"/>
        </w:rPr>
        <w:t xml:space="preserve"> da classe de cotas</w:t>
      </w:r>
      <w:r w:rsidRPr="0097459F">
        <w:rPr>
          <w:rFonts w:eastAsia="Calibri" w:cstheme="minorHAnsi"/>
        </w:rPr>
        <w:t xml:space="preserve">, o administrador deve divulgar fato relevante, nos termos do art. </w:t>
      </w:r>
      <w:r w:rsidR="00087932" w:rsidRPr="0097459F">
        <w:rPr>
          <w:rFonts w:eastAsia="Calibri" w:cstheme="minorHAnsi"/>
        </w:rPr>
        <w:t>64</w:t>
      </w:r>
      <w:r w:rsidRPr="0097459F">
        <w:rPr>
          <w:rFonts w:eastAsia="Calibri" w:cstheme="minorHAnsi"/>
        </w:rPr>
        <w:t>.</w:t>
      </w:r>
    </w:p>
    <w:p w14:paraId="38BF25CA" w14:textId="4EF57E36" w:rsidR="00893D49" w:rsidRPr="0097459F" w:rsidRDefault="00893D49" w:rsidP="00C20BBD">
      <w:pPr>
        <w:pStyle w:val="Normalalteradora"/>
        <w:rPr>
          <w:rFonts w:eastAsia="Calibri" w:cstheme="minorHAnsi"/>
        </w:rPr>
      </w:pPr>
      <w:r w:rsidRPr="0097459F">
        <w:rPr>
          <w:rFonts w:eastAsia="Calibri" w:cstheme="minorHAnsi"/>
        </w:rPr>
        <w:lastRenderedPageBreak/>
        <w:t xml:space="preserve">Parágrafo único.  Qualquer pedido de declaração judicial de insolvência constitui um evento de avaliação obrigatório do patrimônio líquido </w:t>
      </w:r>
      <w:r w:rsidR="00072977" w:rsidRPr="0097459F">
        <w:rPr>
          <w:rFonts w:eastAsia="Calibri" w:cstheme="minorHAnsi"/>
        </w:rPr>
        <w:t>da classe</w:t>
      </w:r>
      <w:r w:rsidRPr="0097459F">
        <w:rPr>
          <w:rFonts w:eastAsia="Calibri" w:cstheme="minorHAnsi"/>
        </w:rPr>
        <w:t xml:space="preserve"> </w:t>
      </w:r>
      <w:r w:rsidR="002F2D2A" w:rsidRPr="0097459F">
        <w:rPr>
          <w:rFonts w:eastAsia="Calibri" w:cstheme="minorHAnsi"/>
        </w:rPr>
        <w:t xml:space="preserve">afetada </w:t>
      </w:r>
      <w:r w:rsidRPr="0097459F">
        <w:rPr>
          <w:rFonts w:eastAsia="Calibri" w:cstheme="minorHAnsi"/>
        </w:rPr>
        <w:t>pelo administrador.</w:t>
      </w:r>
    </w:p>
    <w:p w14:paraId="181980A4" w14:textId="3D995147" w:rsidR="00893D49" w:rsidRPr="0097459F" w:rsidRDefault="00893D49" w:rsidP="00C20BBD">
      <w:pPr>
        <w:pStyle w:val="Normalalteradora"/>
        <w:rPr>
          <w:rFonts w:eastAsia="Calibri" w:cstheme="minorHAnsi"/>
        </w:rPr>
      </w:pPr>
      <w:r w:rsidRPr="0097459F">
        <w:rPr>
          <w:rFonts w:eastAsia="Calibri" w:cstheme="minorHAnsi"/>
        </w:rPr>
        <w:t xml:space="preserve">Art. </w:t>
      </w:r>
      <w:r w:rsidR="004D767E" w:rsidRPr="0097459F">
        <w:rPr>
          <w:rFonts w:eastAsia="Calibri" w:cstheme="minorHAnsi"/>
        </w:rPr>
        <w:t>125</w:t>
      </w:r>
      <w:r w:rsidRPr="0097459F">
        <w:rPr>
          <w:rFonts w:eastAsia="Calibri" w:cstheme="minorHAnsi"/>
        </w:rPr>
        <w:t xml:space="preserve">.  Tão logo tenha ciência da declaração judicial de insolvência </w:t>
      </w:r>
      <w:r w:rsidR="002F2D2A" w:rsidRPr="0097459F">
        <w:rPr>
          <w:rFonts w:eastAsia="Calibri"/>
        </w:rPr>
        <w:t>de</w:t>
      </w:r>
      <w:r w:rsidR="00072977" w:rsidRPr="0097459F">
        <w:rPr>
          <w:rFonts w:eastAsia="Calibri" w:cstheme="minorHAnsi"/>
        </w:rPr>
        <w:t xml:space="preserve"> classe de cotas</w:t>
      </w:r>
      <w:r w:rsidRPr="0097459F">
        <w:rPr>
          <w:rFonts w:eastAsia="Calibri" w:cstheme="minorHAnsi"/>
        </w:rPr>
        <w:t>, o administrador deve adotar as seguintes medidas:</w:t>
      </w:r>
    </w:p>
    <w:p w14:paraId="2568C748" w14:textId="3DCFF858" w:rsidR="00893D49" w:rsidRPr="0097459F" w:rsidRDefault="00893D49" w:rsidP="00C20BBD">
      <w:pPr>
        <w:pStyle w:val="Normalalteradora"/>
        <w:rPr>
          <w:rFonts w:eastAsia="Calibri" w:cstheme="minorHAnsi"/>
        </w:rPr>
      </w:pPr>
      <w:r w:rsidRPr="0097459F">
        <w:rPr>
          <w:rFonts w:eastAsia="Calibri" w:cstheme="minorHAnsi"/>
        </w:rPr>
        <w:t xml:space="preserve">I – </w:t>
      </w:r>
      <w:proofErr w:type="gramStart"/>
      <w:r w:rsidRPr="0097459F">
        <w:rPr>
          <w:rFonts w:eastAsia="Calibri" w:cstheme="minorHAnsi"/>
        </w:rPr>
        <w:t>divulgar</w:t>
      </w:r>
      <w:proofErr w:type="gramEnd"/>
      <w:r w:rsidRPr="0097459F">
        <w:rPr>
          <w:rFonts w:eastAsia="Calibri" w:cstheme="minorHAnsi"/>
        </w:rPr>
        <w:t xml:space="preserve"> fato relevante, nos termos do art. </w:t>
      </w:r>
      <w:r w:rsidR="00087932" w:rsidRPr="0097459F">
        <w:rPr>
          <w:rFonts w:eastAsia="Calibri" w:cstheme="minorHAnsi"/>
        </w:rPr>
        <w:t>64</w:t>
      </w:r>
      <w:r w:rsidRPr="0097459F">
        <w:rPr>
          <w:rFonts w:eastAsia="Calibri" w:cstheme="minorHAnsi"/>
        </w:rPr>
        <w:t>; e</w:t>
      </w:r>
    </w:p>
    <w:p w14:paraId="3FB1D55F" w14:textId="6BF3EEDE" w:rsidR="00893D49" w:rsidRPr="0097459F" w:rsidRDefault="00893D49" w:rsidP="00C20BBD">
      <w:pPr>
        <w:pStyle w:val="Normalalteradora"/>
        <w:rPr>
          <w:rFonts w:eastAsia="Calibri" w:cstheme="minorHAnsi"/>
        </w:rPr>
      </w:pPr>
      <w:r w:rsidRPr="0097459F">
        <w:rPr>
          <w:rFonts w:eastAsia="Calibri" w:cstheme="minorHAnsi"/>
        </w:rPr>
        <w:t xml:space="preserve">II – </w:t>
      </w:r>
      <w:proofErr w:type="gramStart"/>
      <w:r w:rsidRPr="0097459F">
        <w:rPr>
          <w:rFonts w:eastAsia="Calibri" w:cstheme="minorHAnsi"/>
        </w:rPr>
        <w:t>efetuar</w:t>
      </w:r>
      <w:proofErr w:type="gramEnd"/>
      <w:r w:rsidRPr="0097459F">
        <w:rPr>
          <w:rFonts w:eastAsia="Calibri" w:cstheme="minorHAnsi"/>
        </w:rPr>
        <w:t xml:space="preserve"> o cancelamento do registro de funcionamento </w:t>
      </w:r>
      <w:r w:rsidR="009D1E84" w:rsidRPr="0097459F">
        <w:rPr>
          <w:rFonts w:eastAsia="Calibri" w:cstheme="minorHAnsi"/>
        </w:rPr>
        <w:t>da classe</w:t>
      </w:r>
      <w:r w:rsidRPr="0097459F">
        <w:rPr>
          <w:rFonts w:eastAsia="Calibri" w:cstheme="minorHAnsi"/>
        </w:rPr>
        <w:t xml:space="preserve"> na CVM.</w:t>
      </w:r>
    </w:p>
    <w:p w14:paraId="24536A8A" w14:textId="2C91C6EF" w:rsidR="00893D49" w:rsidRPr="0097459F" w:rsidRDefault="00893D49" w:rsidP="00C20BBD">
      <w:pPr>
        <w:pStyle w:val="Normalalteradora"/>
        <w:rPr>
          <w:rFonts w:eastAsia="Calibri" w:cstheme="minorHAnsi"/>
        </w:rPr>
      </w:pPr>
      <w:r w:rsidRPr="0097459F">
        <w:rPr>
          <w:rFonts w:eastAsia="Calibri" w:cstheme="minorHAnsi"/>
        </w:rPr>
        <w:t>§ 1</w:t>
      </w:r>
      <w:proofErr w:type="gramStart"/>
      <w:r w:rsidRPr="0097459F">
        <w:rPr>
          <w:rFonts w:eastAsia="Calibri" w:cstheme="minorHAnsi"/>
        </w:rPr>
        <w:t>º  Caso</w:t>
      </w:r>
      <w:proofErr w:type="gramEnd"/>
      <w:r w:rsidRPr="0097459F">
        <w:rPr>
          <w:rFonts w:eastAsia="Calibri" w:cstheme="minorHAnsi"/>
        </w:rPr>
        <w:t xml:space="preserve"> o administrador não adote a medida disposta no inciso II de modo tempestivo, a </w:t>
      </w:r>
      <w:r w:rsidR="00305DE1" w:rsidRPr="0097459F">
        <w:rPr>
          <w:rFonts w:cstheme="minorHAnsi"/>
        </w:rPr>
        <w:t xml:space="preserve">Superintendência competente </w:t>
      </w:r>
      <w:r w:rsidRPr="0097459F">
        <w:rPr>
          <w:rFonts w:eastAsia="Calibri" w:cstheme="minorHAnsi"/>
        </w:rPr>
        <w:t xml:space="preserve">deve efetuar o cancelamento do registro, informando tal cancelamento ao administrador e </w:t>
      </w:r>
      <w:r w:rsidR="002F2D2A" w:rsidRPr="0097459F">
        <w:rPr>
          <w:rFonts w:eastAsia="Calibri" w:cstheme="minorHAnsi"/>
        </w:rPr>
        <w:t xml:space="preserve">publicando </w:t>
      </w:r>
      <w:r w:rsidRPr="0097459F">
        <w:rPr>
          <w:rFonts w:eastAsia="Calibri" w:cstheme="minorHAnsi"/>
        </w:rPr>
        <w:t>comunicado na página da CVM na rede mundial de computadores.</w:t>
      </w:r>
    </w:p>
    <w:p w14:paraId="2F2AFF7C" w14:textId="0B7BEC6C" w:rsidR="00893D49" w:rsidRPr="0097459F" w:rsidRDefault="00893D49" w:rsidP="00C20BBD">
      <w:pPr>
        <w:pStyle w:val="Normalalteradora"/>
        <w:rPr>
          <w:rFonts w:eastAsia="Calibri" w:cstheme="minorHAnsi"/>
        </w:rPr>
      </w:pPr>
      <w:r w:rsidRPr="0097459F">
        <w:rPr>
          <w:rFonts w:eastAsia="Calibri" w:cstheme="minorHAnsi"/>
        </w:rPr>
        <w:t>§ 2</w:t>
      </w:r>
      <w:proofErr w:type="gramStart"/>
      <w:r w:rsidRPr="0097459F">
        <w:rPr>
          <w:rFonts w:eastAsia="Calibri" w:cstheme="minorHAnsi"/>
        </w:rPr>
        <w:t>º  O</w:t>
      </w:r>
      <w:proofErr w:type="gramEnd"/>
      <w:r w:rsidRPr="0097459F">
        <w:rPr>
          <w:rFonts w:eastAsia="Calibri" w:cstheme="minorHAnsi"/>
        </w:rPr>
        <w:t xml:space="preserve"> cancelamento do registro </w:t>
      </w:r>
      <w:r w:rsidR="009D1E84" w:rsidRPr="0097459F">
        <w:rPr>
          <w:rFonts w:eastAsia="Calibri" w:cstheme="minorHAnsi"/>
        </w:rPr>
        <w:t>da classe</w:t>
      </w:r>
      <w:r w:rsidRPr="0097459F">
        <w:rPr>
          <w:rFonts w:eastAsia="Calibri" w:cstheme="minorHAnsi"/>
        </w:rPr>
        <w:t xml:space="preserve"> não mitiga as responsabilidades decorrentes das eventuais infrações cometidas antes do cancelamento.</w:t>
      </w:r>
    </w:p>
    <w:p w14:paraId="1F97F93D" w14:textId="77777777" w:rsidR="00893D49" w:rsidRPr="0097459F" w:rsidRDefault="00893D49" w:rsidP="00C20BBD">
      <w:pPr>
        <w:pStyle w:val="Captulo"/>
        <w:rPr>
          <w:rFonts w:asciiTheme="minorHAnsi" w:hAnsiTheme="minorHAnsi"/>
        </w:rPr>
      </w:pPr>
      <w:bookmarkStart w:id="323" w:name="_Toc53594470"/>
      <w:bookmarkStart w:id="324" w:name="_Toc53595495"/>
      <w:bookmarkStart w:id="325" w:name="_Toc53594222"/>
      <w:bookmarkStart w:id="326" w:name="_Toc114819003"/>
      <w:bookmarkStart w:id="327" w:name="_Toc57836230"/>
      <w:bookmarkStart w:id="328" w:name="_Toc161141243"/>
      <w:r w:rsidRPr="0097459F">
        <w:rPr>
          <w:rFonts w:asciiTheme="minorHAnsi" w:hAnsiTheme="minorHAnsi"/>
        </w:rPr>
        <w:t>CAPÍTULO XIV – LIQUIDAÇÃO E ENCERRAMENTO</w:t>
      </w:r>
      <w:bookmarkEnd w:id="323"/>
      <w:bookmarkEnd w:id="324"/>
      <w:bookmarkEnd w:id="325"/>
      <w:bookmarkEnd w:id="326"/>
      <w:bookmarkEnd w:id="327"/>
      <w:bookmarkEnd w:id="328"/>
    </w:p>
    <w:p w14:paraId="24414DB0" w14:textId="77777777" w:rsidR="00893D49" w:rsidRPr="0097459F" w:rsidRDefault="00893D49" w:rsidP="00C20BBD">
      <w:pPr>
        <w:pStyle w:val="Seo"/>
        <w:rPr>
          <w:rFonts w:asciiTheme="minorHAnsi" w:hAnsiTheme="minorHAnsi"/>
        </w:rPr>
      </w:pPr>
      <w:bookmarkStart w:id="329" w:name="_Toc53594471"/>
      <w:bookmarkStart w:id="330" w:name="_Toc53595496"/>
      <w:bookmarkStart w:id="331" w:name="_Toc53594223"/>
      <w:bookmarkStart w:id="332" w:name="_Toc114819004"/>
      <w:bookmarkStart w:id="333" w:name="_Toc57836231"/>
      <w:bookmarkStart w:id="334" w:name="_Toc161141244"/>
      <w:r w:rsidRPr="0097459F">
        <w:rPr>
          <w:rFonts w:asciiTheme="minorHAnsi" w:hAnsiTheme="minorHAnsi"/>
        </w:rPr>
        <w:t>Seção I – Liquidação</w:t>
      </w:r>
      <w:bookmarkEnd w:id="329"/>
      <w:bookmarkEnd w:id="330"/>
      <w:bookmarkEnd w:id="331"/>
      <w:bookmarkEnd w:id="332"/>
      <w:bookmarkEnd w:id="333"/>
      <w:bookmarkEnd w:id="334"/>
    </w:p>
    <w:p w14:paraId="784E1913" w14:textId="6E7722DB"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126</w:t>
      </w:r>
      <w:r w:rsidRPr="0097459F">
        <w:rPr>
          <w:rFonts w:cstheme="minorHAnsi"/>
        </w:rPr>
        <w:t xml:space="preserve">.  Na hipótese de liquidação </w:t>
      </w:r>
      <w:r w:rsidR="009D1E84" w:rsidRPr="0097459F">
        <w:rPr>
          <w:rFonts w:cstheme="minorHAnsi"/>
        </w:rPr>
        <w:t>da</w:t>
      </w:r>
      <w:r w:rsidRPr="0097459F">
        <w:rPr>
          <w:rFonts w:cstheme="minorHAnsi"/>
        </w:rPr>
        <w:t xml:space="preserve"> classe de cotas por deliberação da assembleia de cotistas, o administrador deve promover a divisão de seu patrimônio entre os cotistas, na proporção de suas cotas, no prazo </w:t>
      </w:r>
      <w:r w:rsidR="00346020" w:rsidRPr="0097459F">
        <w:rPr>
          <w:rFonts w:cstheme="minorHAnsi"/>
        </w:rPr>
        <w:t>eventualmente definido na assembleia de cotistas</w:t>
      </w:r>
      <w:r w:rsidR="0066469C" w:rsidRPr="0097459F">
        <w:rPr>
          <w:rFonts w:cstheme="minorHAnsi"/>
        </w:rPr>
        <w:t>.</w:t>
      </w:r>
    </w:p>
    <w:p w14:paraId="6724DA52" w14:textId="77777777" w:rsidR="00893D49" w:rsidRPr="0097459F" w:rsidRDefault="00893D49" w:rsidP="00C20BBD">
      <w:pPr>
        <w:pStyle w:val="Normalalteradora"/>
        <w:rPr>
          <w:rFonts w:cstheme="minorHAnsi"/>
        </w:rPr>
      </w:pPr>
      <w:r w:rsidRPr="0097459F">
        <w:rPr>
          <w:rFonts w:cstheme="minorHAnsi"/>
        </w:rPr>
        <w:t>§ 1</w:t>
      </w:r>
      <w:proofErr w:type="gramStart"/>
      <w:r w:rsidRPr="0097459F">
        <w:rPr>
          <w:rFonts w:cstheme="minorHAnsi"/>
        </w:rPr>
        <w:t>º  A</w:t>
      </w:r>
      <w:proofErr w:type="gramEnd"/>
      <w:r w:rsidRPr="0097459F">
        <w:rPr>
          <w:rFonts w:cstheme="minorHAnsi"/>
        </w:rPr>
        <w:t xml:space="preserve"> assembleia de cotistas deve deliberar no mínimo sobre:</w:t>
      </w:r>
    </w:p>
    <w:p w14:paraId="0A281BD0" w14:textId="519EB5DF" w:rsidR="00893D49" w:rsidRPr="0097459F" w:rsidRDefault="006D4F3E" w:rsidP="00C20BBD">
      <w:pPr>
        <w:pStyle w:val="Normalalteradora"/>
        <w:rPr>
          <w:rFonts w:cstheme="minorHAnsi"/>
        </w:rPr>
      </w:pPr>
      <w:r w:rsidRPr="0097459F">
        <w:rPr>
          <w:rFonts w:cstheme="minorHAnsi"/>
        </w:rPr>
        <w:t xml:space="preserve">I </w:t>
      </w:r>
      <w:r w:rsidR="00893D49" w:rsidRPr="0097459F">
        <w:rPr>
          <w:rFonts w:cstheme="minorHAnsi"/>
        </w:rPr>
        <w:t xml:space="preserve">– </w:t>
      </w:r>
      <w:proofErr w:type="gramStart"/>
      <w:r w:rsidR="00893D49" w:rsidRPr="0097459F">
        <w:rPr>
          <w:rFonts w:cstheme="minorHAnsi"/>
        </w:rPr>
        <w:t>o</w:t>
      </w:r>
      <w:proofErr w:type="gramEnd"/>
      <w:r w:rsidR="00893D49" w:rsidRPr="0097459F">
        <w:rPr>
          <w:rFonts w:cstheme="minorHAnsi"/>
        </w:rPr>
        <w:t xml:space="preserve"> plano de liquidação </w:t>
      </w:r>
      <w:r w:rsidR="0046641E" w:rsidRPr="0097459F">
        <w:rPr>
          <w:rFonts w:cstheme="minorHAnsi"/>
        </w:rPr>
        <w:t xml:space="preserve">elaborado </w:t>
      </w:r>
      <w:r w:rsidR="000B435A" w:rsidRPr="0097459F">
        <w:rPr>
          <w:rFonts w:cstheme="minorHAnsi"/>
        </w:rPr>
        <w:t>pelos prestadores de serviços essenciais</w:t>
      </w:r>
      <w:r w:rsidR="00893D49" w:rsidRPr="0097459F">
        <w:rPr>
          <w:rFonts w:cstheme="minorHAnsi"/>
        </w:rPr>
        <w:t xml:space="preserve">, </w:t>
      </w:r>
      <w:r w:rsidR="001202BB" w:rsidRPr="0097459F">
        <w:rPr>
          <w:rFonts w:cstheme="minorHAnsi"/>
        </w:rPr>
        <w:t>em conjunto</w:t>
      </w:r>
      <w:r w:rsidR="000B435A" w:rsidRPr="0097459F">
        <w:rPr>
          <w:rFonts w:cstheme="minorHAnsi"/>
        </w:rPr>
        <w:t xml:space="preserve">, </w:t>
      </w:r>
      <w:r w:rsidR="00893D49" w:rsidRPr="0097459F">
        <w:rPr>
          <w:rFonts w:cstheme="minorHAnsi"/>
        </w:rPr>
        <w:t>de acordo com os procedimentos previstos no regulamento; e</w:t>
      </w:r>
    </w:p>
    <w:p w14:paraId="3FBFAE7D" w14:textId="1AAD901D" w:rsidR="00893D49" w:rsidRPr="0097459F" w:rsidRDefault="006D4F3E" w:rsidP="00C20BBD">
      <w:pPr>
        <w:pStyle w:val="Normalalteradora"/>
        <w:rPr>
          <w:rFonts w:cstheme="minorHAnsi"/>
        </w:rPr>
      </w:pPr>
      <w:r w:rsidRPr="0097459F">
        <w:rPr>
          <w:rFonts w:cstheme="minorHAnsi"/>
        </w:rPr>
        <w:t xml:space="preserve">II </w:t>
      </w:r>
      <w:r w:rsidR="00893D49" w:rsidRPr="0097459F">
        <w:rPr>
          <w:rFonts w:cstheme="minorHAnsi"/>
        </w:rPr>
        <w:t xml:space="preserve">– </w:t>
      </w:r>
      <w:proofErr w:type="gramStart"/>
      <w:r w:rsidR="00893D49" w:rsidRPr="0097459F">
        <w:rPr>
          <w:rFonts w:cstheme="minorHAnsi"/>
        </w:rPr>
        <w:t>o</w:t>
      </w:r>
      <w:proofErr w:type="gramEnd"/>
      <w:r w:rsidR="00893D49" w:rsidRPr="0097459F">
        <w:rPr>
          <w:rFonts w:cstheme="minorHAnsi"/>
        </w:rPr>
        <w:t xml:space="preserve"> tratamento a ser conferido aos direitos e obrigações dos cotistas que não puderam ser contatados quando da convocação da assembleia.</w:t>
      </w:r>
    </w:p>
    <w:p w14:paraId="4D13A602" w14:textId="68D7E6D8" w:rsidR="006D4F3E" w:rsidRPr="0097459F" w:rsidRDefault="006D4F3E" w:rsidP="00C20BBD">
      <w:pPr>
        <w:pStyle w:val="Normalalteradora"/>
        <w:rPr>
          <w:rFonts w:cstheme="minorHAnsi"/>
        </w:rPr>
      </w:pPr>
      <w:r w:rsidRPr="0097459F">
        <w:rPr>
          <w:rFonts w:cstheme="minorHAnsi"/>
        </w:rPr>
        <w:t>§ 2</w:t>
      </w:r>
      <w:proofErr w:type="gramStart"/>
      <w:r w:rsidRPr="0097459F">
        <w:rPr>
          <w:rFonts w:cstheme="minorHAnsi"/>
        </w:rPr>
        <w:t>º  Do</w:t>
      </w:r>
      <w:proofErr w:type="gramEnd"/>
      <w:r w:rsidRPr="0097459F">
        <w:rPr>
          <w:rFonts w:cstheme="minorHAnsi"/>
        </w:rPr>
        <w:t xml:space="preserve"> plano de liquidação deve constar</w:t>
      </w:r>
      <w:r w:rsidR="009E6A5A" w:rsidRPr="0097459F">
        <w:rPr>
          <w:rFonts w:cstheme="minorHAnsi"/>
        </w:rPr>
        <w:t xml:space="preserve"> </w:t>
      </w:r>
      <w:r w:rsidR="00346020" w:rsidRPr="0097459F">
        <w:rPr>
          <w:rFonts w:cstheme="minorHAnsi"/>
        </w:rPr>
        <w:t>uma estimativa acerca d</w:t>
      </w:r>
      <w:r w:rsidRPr="0097459F">
        <w:rPr>
          <w:rFonts w:cstheme="minorHAnsi"/>
        </w:rPr>
        <w:t>a forma de pagamento dos valores devidos aos cotistas</w:t>
      </w:r>
      <w:r w:rsidR="0015781F" w:rsidRPr="0097459F">
        <w:rPr>
          <w:rFonts w:cstheme="minorHAnsi"/>
        </w:rPr>
        <w:t>, se for o caso,</w:t>
      </w:r>
      <w:r w:rsidRPr="0097459F">
        <w:rPr>
          <w:rFonts w:cstheme="minorHAnsi"/>
        </w:rPr>
        <w:t xml:space="preserve"> e </w:t>
      </w:r>
      <w:r w:rsidR="00A85B19" w:rsidRPr="0097459F">
        <w:rPr>
          <w:rFonts w:cstheme="minorHAnsi"/>
        </w:rPr>
        <w:t xml:space="preserve">de </w:t>
      </w:r>
      <w:r w:rsidR="00990CD9" w:rsidRPr="0097459F">
        <w:rPr>
          <w:rFonts w:cstheme="minorHAnsi"/>
        </w:rPr>
        <w:t>um</w:t>
      </w:r>
      <w:r w:rsidRPr="0097459F">
        <w:rPr>
          <w:rFonts w:cstheme="minorHAnsi"/>
        </w:rPr>
        <w:t xml:space="preserve"> cronograma de pagamentos.</w:t>
      </w:r>
    </w:p>
    <w:p w14:paraId="3795C688" w14:textId="4C54B740" w:rsidR="00893D49" w:rsidRPr="0097459F" w:rsidRDefault="00893D49" w:rsidP="00C20BBD">
      <w:pPr>
        <w:pStyle w:val="Normalalteradora"/>
        <w:rPr>
          <w:rFonts w:cstheme="minorHAnsi"/>
        </w:rPr>
      </w:pPr>
      <w:r w:rsidRPr="0097459F">
        <w:rPr>
          <w:rFonts w:cstheme="minorHAnsi"/>
        </w:rPr>
        <w:t xml:space="preserve">§ </w:t>
      </w:r>
      <w:r w:rsidR="00990CD9" w:rsidRPr="0097459F">
        <w:rPr>
          <w:rFonts w:cstheme="minorHAnsi"/>
        </w:rPr>
        <w:t>3</w:t>
      </w:r>
      <w:proofErr w:type="gramStart"/>
      <w:r w:rsidR="00990CD9" w:rsidRPr="0097459F">
        <w:rPr>
          <w:rFonts w:cstheme="minorHAnsi"/>
        </w:rPr>
        <w:t xml:space="preserve">º  </w:t>
      </w:r>
      <w:r w:rsidRPr="0097459F">
        <w:rPr>
          <w:rFonts w:cstheme="minorHAnsi"/>
        </w:rPr>
        <w:t>O</w:t>
      </w:r>
      <w:proofErr w:type="gramEnd"/>
      <w:r w:rsidRPr="0097459F">
        <w:rPr>
          <w:rFonts w:cstheme="minorHAnsi"/>
        </w:rPr>
        <w:t xml:space="preserve"> auditor independente deve emitir parecer sobre a demonstração da movimentação do patrimônio líquido, compreendendo o período entre a data das últimas demonstrações contábeis auditadas e a data da efetiva liquidação, manifestando-se sobre as movimentações ocorridas</w:t>
      </w:r>
      <w:r w:rsidR="0066469C" w:rsidRPr="0097459F">
        <w:rPr>
          <w:rFonts w:cstheme="minorHAnsi"/>
        </w:rPr>
        <w:t xml:space="preserve"> no período.</w:t>
      </w:r>
    </w:p>
    <w:p w14:paraId="07EE1013" w14:textId="09A010B3" w:rsidR="00893D49" w:rsidRPr="0097459F" w:rsidRDefault="00893D49" w:rsidP="00C20BBD">
      <w:pPr>
        <w:pStyle w:val="Normalalteradora"/>
        <w:rPr>
          <w:rFonts w:cstheme="minorHAnsi"/>
        </w:rPr>
      </w:pPr>
      <w:r w:rsidRPr="0097459F">
        <w:rPr>
          <w:rFonts w:cstheme="minorHAnsi"/>
        </w:rPr>
        <w:lastRenderedPageBreak/>
        <w:t xml:space="preserve">§ </w:t>
      </w:r>
      <w:r w:rsidR="00990CD9" w:rsidRPr="0097459F">
        <w:rPr>
          <w:rFonts w:cstheme="minorHAnsi"/>
        </w:rPr>
        <w:t>4</w:t>
      </w:r>
      <w:proofErr w:type="gramStart"/>
      <w:r w:rsidR="00990CD9" w:rsidRPr="0097459F">
        <w:rPr>
          <w:rFonts w:cstheme="minorHAnsi"/>
        </w:rPr>
        <w:t xml:space="preserve">º  </w:t>
      </w:r>
      <w:r w:rsidRPr="0097459F">
        <w:rPr>
          <w:rFonts w:cstheme="minorHAnsi"/>
        </w:rPr>
        <w:t>Deve</w:t>
      </w:r>
      <w:proofErr w:type="gramEnd"/>
      <w:r w:rsidRPr="0097459F">
        <w:rPr>
          <w:rFonts w:cstheme="minorHAnsi"/>
        </w:rPr>
        <w:t xml:space="preserve"> constar das notas explicativas às demonstrações contábeis, análise quanto a terem os valores dos resgates sido ou não efetuados em condições equitativas e de acordo com a regulamentação pertinente, bem como quanto à existência ou não de débitos, créditos, ativos ou passivos não contabilizados.</w:t>
      </w:r>
    </w:p>
    <w:p w14:paraId="0A170B81" w14:textId="393F1747" w:rsidR="00893D49" w:rsidRPr="0097459F" w:rsidRDefault="00893D49" w:rsidP="00C20BBD">
      <w:pPr>
        <w:pStyle w:val="Normalalteradora"/>
        <w:rPr>
          <w:rFonts w:cstheme="minorHAnsi"/>
        </w:rPr>
      </w:pPr>
      <w:r w:rsidRPr="0097459F">
        <w:rPr>
          <w:rFonts w:cstheme="minorHAnsi"/>
        </w:rPr>
        <w:t>§ 5</w:t>
      </w:r>
      <w:proofErr w:type="gramStart"/>
      <w:r w:rsidRPr="0097459F">
        <w:rPr>
          <w:rFonts w:cstheme="minorHAnsi"/>
        </w:rPr>
        <w:t>º  Caso</w:t>
      </w:r>
      <w:proofErr w:type="gramEnd"/>
      <w:r w:rsidRPr="0097459F">
        <w:rPr>
          <w:rFonts w:cstheme="minorHAnsi"/>
        </w:rPr>
        <w:t xml:space="preserve"> </w:t>
      </w:r>
      <w:r w:rsidR="00155E1C" w:rsidRPr="0097459F">
        <w:rPr>
          <w:rFonts w:cstheme="minorHAnsi"/>
        </w:rPr>
        <w:t xml:space="preserve">a </w:t>
      </w:r>
      <w:r w:rsidRPr="0097459F">
        <w:rPr>
          <w:rFonts w:cstheme="minorHAnsi"/>
        </w:rPr>
        <w:t xml:space="preserve">carteira de ativos possua provento a receber, é admitida, durante o prazo previsto no </w:t>
      </w:r>
      <w:r w:rsidRPr="0097459F">
        <w:rPr>
          <w:rFonts w:cstheme="minorHAnsi"/>
          <w:b/>
        </w:rPr>
        <w:t>caput</w:t>
      </w:r>
      <w:r w:rsidRPr="0097459F">
        <w:rPr>
          <w:rFonts w:cstheme="minorHAnsi"/>
        </w:rPr>
        <w:t xml:space="preserve"> dest</w:t>
      </w:r>
      <w:r w:rsidR="0066469C" w:rsidRPr="0097459F">
        <w:rPr>
          <w:rFonts w:cstheme="minorHAnsi"/>
        </w:rPr>
        <w:t>e artigo, a critério do gestor:</w:t>
      </w:r>
    </w:p>
    <w:p w14:paraId="31210A6A" w14:textId="041E6813"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a</w:t>
      </w:r>
      <w:proofErr w:type="gramEnd"/>
      <w:r w:rsidRPr="0097459F">
        <w:rPr>
          <w:rFonts w:cstheme="minorHAnsi"/>
        </w:rPr>
        <w:t xml:space="preserve"> transferência dos proventos aos cotistas, observada a participação de cada cotista </w:t>
      </w:r>
      <w:r w:rsidR="009D1E84" w:rsidRPr="0097459F">
        <w:rPr>
          <w:rFonts w:cstheme="minorHAnsi"/>
        </w:rPr>
        <w:t>na classe</w:t>
      </w:r>
      <w:r w:rsidRPr="0097459F">
        <w:rPr>
          <w:rFonts w:cstheme="minorHAnsi"/>
        </w:rPr>
        <w:t>; ou</w:t>
      </w:r>
    </w:p>
    <w:p w14:paraId="5B9940F9" w14:textId="6E291009"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a</w:t>
      </w:r>
      <w:proofErr w:type="gramEnd"/>
      <w:r w:rsidRPr="0097459F">
        <w:rPr>
          <w:rFonts w:cstheme="minorHAnsi"/>
        </w:rPr>
        <w:t xml:space="preserve"> negociação dos proventos pelo valor de mercado.</w:t>
      </w:r>
    </w:p>
    <w:p w14:paraId="215E80B4" w14:textId="24A33D44" w:rsidR="00893D49" w:rsidRPr="0097459F" w:rsidRDefault="00893D49" w:rsidP="00C20BBD">
      <w:pPr>
        <w:pStyle w:val="Normalalteradora"/>
        <w:rPr>
          <w:rFonts w:cstheme="minorHAnsi"/>
        </w:rPr>
      </w:pPr>
      <w:r w:rsidRPr="0097459F">
        <w:rPr>
          <w:rFonts w:cstheme="minorHAnsi"/>
        </w:rPr>
        <w:t>§ 6</w:t>
      </w:r>
      <w:proofErr w:type="gramStart"/>
      <w:r w:rsidRPr="0097459F">
        <w:rPr>
          <w:rFonts w:cstheme="minorHAnsi"/>
        </w:rPr>
        <w:t>º  O</w:t>
      </w:r>
      <w:proofErr w:type="gramEnd"/>
      <w:r w:rsidRPr="0097459F">
        <w:rPr>
          <w:rFonts w:cstheme="minorHAnsi"/>
        </w:rPr>
        <w:t xml:space="preserve"> administrador deve enviar cópia da ata da assembleia e do plano de liquidação de que trata o § </w:t>
      </w:r>
      <w:r w:rsidR="0066469C" w:rsidRPr="0097459F">
        <w:rPr>
          <w:rFonts w:cstheme="minorHAnsi"/>
        </w:rPr>
        <w:t>2</w:t>
      </w:r>
      <w:r w:rsidRPr="0097459F">
        <w:rPr>
          <w:rFonts w:cstheme="minorHAnsi"/>
        </w:rPr>
        <w:t>º à CVM</w:t>
      </w:r>
      <w:r w:rsidR="009D1E84" w:rsidRPr="0097459F">
        <w:rPr>
          <w:rFonts w:cstheme="minorHAnsi"/>
        </w:rPr>
        <w:t>,</w:t>
      </w:r>
      <w:r w:rsidRPr="0097459F">
        <w:rPr>
          <w:rFonts w:cstheme="minorHAnsi"/>
        </w:rPr>
        <w:t xml:space="preserve"> no prazo máximo de 7 (sete) dias úteis contado da realização da assembleia.</w:t>
      </w:r>
    </w:p>
    <w:p w14:paraId="417C309D" w14:textId="50B3FF8E"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127</w:t>
      </w:r>
      <w:r w:rsidRPr="0097459F">
        <w:rPr>
          <w:rFonts w:cstheme="minorHAnsi"/>
        </w:rPr>
        <w:t xml:space="preserve">.  No âmbito da liquidação </w:t>
      </w:r>
      <w:r w:rsidR="009D1E84" w:rsidRPr="0097459F">
        <w:rPr>
          <w:rFonts w:cstheme="minorHAnsi"/>
        </w:rPr>
        <w:t>da</w:t>
      </w:r>
      <w:r w:rsidRPr="0097459F">
        <w:rPr>
          <w:rFonts w:cstheme="minorHAnsi"/>
        </w:rPr>
        <w:t xml:space="preserve"> classe de cotas, o administrador deve:</w:t>
      </w:r>
    </w:p>
    <w:p w14:paraId="5461CBDA" w14:textId="245FD8BC"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suspender</w:t>
      </w:r>
      <w:proofErr w:type="gramEnd"/>
      <w:r w:rsidRPr="0097459F">
        <w:rPr>
          <w:rFonts w:cstheme="minorHAnsi"/>
        </w:rPr>
        <w:t xml:space="preserve"> novas subscrições de cotas e, nas classes abertas, os pedidos de resgate, salvo se deliberado em contrário pela unanimidade dos cotistas presentes à assembleia de que trata o § 1º do art. </w:t>
      </w:r>
      <w:r w:rsidR="00220040" w:rsidRPr="0097459F">
        <w:rPr>
          <w:rFonts w:cstheme="minorHAnsi"/>
        </w:rPr>
        <w:t>126</w:t>
      </w:r>
      <w:r w:rsidRPr="0097459F">
        <w:rPr>
          <w:rFonts w:cstheme="minorHAnsi"/>
        </w:rPr>
        <w:t>;</w:t>
      </w:r>
    </w:p>
    <w:p w14:paraId="46D65BB6" w14:textId="77777777"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fornecer</w:t>
      </w:r>
      <w:proofErr w:type="gramEnd"/>
      <w:r w:rsidRPr="0097459F">
        <w:rPr>
          <w:rFonts w:cstheme="minorHAnsi"/>
        </w:rPr>
        <w:t xml:space="preserve"> informações relevantes sobre a liquidação a todos os cotistas pertencentes à classe em liquidação, de maneira simultânea e tão logo tenha ciência das informações, devendo providenciar atualizações conforme as circunstâncias se modifiquem;</w:t>
      </w:r>
    </w:p>
    <w:p w14:paraId="28893613" w14:textId="112EA451" w:rsidR="00893D49" w:rsidRPr="0097459F" w:rsidRDefault="00893D49" w:rsidP="00C20BBD">
      <w:pPr>
        <w:pStyle w:val="Normalalteradora"/>
        <w:rPr>
          <w:rFonts w:cstheme="minorHAnsi"/>
        </w:rPr>
      </w:pPr>
      <w:r w:rsidRPr="0097459F">
        <w:rPr>
          <w:rFonts w:cstheme="minorHAnsi"/>
        </w:rPr>
        <w:t>III – verificar se a precificação e a liquidez da carteira de ativos asseguram um tratamento isonômico na distribuição dos resultados da liquidação aos cotistas, ainda que os resultados não sejam distribuídos em uma única ocasião ou que a cada distribuição de resultados sejam contemplados diferentes cotistas; e</w:t>
      </w:r>
    </w:p>
    <w:p w14:paraId="32EC5264" w14:textId="62AB4D98" w:rsidR="00893D49" w:rsidRPr="0097459F" w:rsidRDefault="00893D49" w:rsidP="00C20BBD">
      <w:pPr>
        <w:pStyle w:val="Normalalteradora"/>
        <w:rPr>
          <w:rFonts w:cstheme="minorHAnsi"/>
        </w:rPr>
      </w:pPr>
      <w:r w:rsidRPr="0097459F">
        <w:rPr>
          <w:rFonts w:cstheme="minorHAnsi"/>
        </w:rPr>
        <w:t xml:space="preserve">IV – </w:t>
      </w:r>
      <w:proofErr w:type="gramStart"/>
      <w:r w:rsidRPr="0097459F">
        <w:rPr>
          <w:rFonts w:cstheme="minorHAnsi"/>
        </w:rPr>
        <w:t>planejar</w:t>
      </w:r>
      <w:proofErr w:type="gramEnd"/>
      <w:r w:rsidRPr="0097459F">
        <w:rPr>
          <w:rFonts w:cstheme="minorHAnsi"/>
        </w:rPr>
        <w:t xml:space="preserve"> os procedimentos necessários para executar a liquidação da classe com prazo de duração determinado</w:t>
      </w:r>
      <w:r w:rsidR="00813A35" w:rsidRPr="0097459F">
        <w:rPr>
          <w:rFonts w:cstheme="minorHAnsi"/>
        </w:rPr>
        <w:t>,</w:t>
      </w:r>
      <w:r w:rsidRPr="0097459F">
        <w:rPr>
          <w:rFonts w:cstheme="minorHAnsi"/>
        </w:rPr>
        <w:t xml:space="preserve"> dentro de um período adequado </w:t>
      </w:r>
      <w:r w:rsidR="009D1E84" w:rsidRPr="0097459F">
        <w:rPr>
          <w:rFonts w:cstheme="minorHAnsi"/>
        </w:rPr>
        <w:t>à</w:t>
      </w:r>
      <w:r w:rsidRPr="0097459F">
        <w:rPr>
          <w:rFonts w:cstheme="minorHAnsi"/>
        </w:rPr>
        <w:t xml:space="preserve"> data prevista para o encerramento da classe.</w:t>
      </w:r>
    </w:p>
    <w:p w14:paraId="2F2197DA" w14:textId="0C0A583A" w:rsidR="00893D49" w:rsidRPr="0097459F" w:rsidRDefault="00893D49" w:rsidP="00C20BBD">
      <w:pPr>
        <w:pStyle w:val="Normalalteradora"/>
        <w:rPr>
          <w:rFonts w:cstheme="minorHAnsi"/>
        </w:rPr>
      </w:pPr>
      <w:r w:rsidRPr="0097459F">
        <w:t xml:space="preserve">Art. </w:t>
      </w:r>
      <w:r w:rsidR="004D767E" w:rsidRPr="0097459F">
        <w:t>128</w:t>
      </w:r>
      <w:r w:rsidRPr="0097459F">
        <w:t xml:space="preserve">.  No âmbito da liquidação </w:t>
      </w:r>
      <w:r w:rsidR="34BE416E" w:rsidRPr="0097459F">
        <w:t>da</w:t>
      </w:r>
      <w:r w:rsidRPr="0097459F">
        <w:t xml:space="preserve"> classe de cotas</w:t>
      </w:r>
      <w:r w:rsidR="0043580C" w:rsidRPr="0097459F">
        <w:t>, e</w:t>
      </w:r>
      <w:r w:rsidRPr="0097459F">
        <w:t xml:space="preserve"> desde que de modo aderente ao plano de liquidação, fica dispensado o cumprimento das regras listadas a seguir: </w:t>
      </w:r>
    </w:p>
    <w:p w14:paraId="751787DA" w14:textId="1E15BEB5" w:rsidR="36DF2CA8" w:rsidRPr="0097459F" w:rsidRDefault="36DF2CA8" w:rsidP="2889066B">
      <w:pPr>
        <w:pStyle w:val="Normalalteradora"/>
        <w:rPr>
          <w:rFonts w:eastAsiaTheme="minorEastAsia"/>
        </w:rPr>
      </w:pPr>
      <w:r w:rsidRPr="0097459F">
        <w:rPr>
          <w:rFonts w:eastAsiaTheme="minorEastAsia"/>
        </w:rPr>
        <w:t xml:space="preserve">I </w:t>
      </w:r>
      <w:r w:rsidR="0043580C" w:rsidRPr="0097459F">
        <w:rPr>
          <w:rFonts w:eastAsiaTheme="minorEastAsia"/>
        </w:rPr>
        <w:t>–</w:t>
      </w:r>
      <w:r w:rsidRPr="0097459F">
        <w:rPr>
          <w:rFonts w:eastAsiaTheme="minorEastAsia"/>
        </w:rPr>
        <w:t xml:space="preserve"> </w:t>
      </w:r>
      <w:proofErr w:type="gramStart"/>
      <w:r w:rsidRPr="0097459F">
        <w:rPr>
          <w:rFonts w:eastAsiaTheme="minorEastAsia"/>
        </w:rPr>
        <w:t>submissão</w:t>
      </w:r>
      <w:proofErr w:type="gramEnd"/>
      <w:r w:rsidR="0043580C" w:rsidRPr="0097459F">
        <w:rPr>
          <w:rFonts w:eastAsiaTheme="minorEastAsia"/>
        </w:rPr>
        <w:t xml:space="preserve"> </w:t>
      </w:r>
      <w:r w:rsidRPr="0097459F">
        <w:rPr>
          <w:rFonts w:eastAsiaTheme="minorEastAsia"/>
        </w:rPr>
        <w:t xml:space="preserve">da carteira de ativos </w:t>
      </w:r>
      <w:r w:rsidR="002330F1" w:rsidRPr="0097459F">
        <w:rPr>
          <w:rFonts w:eastAsiaTheme="minorEastAsia"/>
        </w:rPr>
        <w:t xml:space="preserve">das classes abertas </w:t>
      </w:r>
      <w:r w:rsidRPr="0097459F">
        <w:rPr>
          <w:rFonts w:eastAsiaTheme="minorEastAsia"/>
        </w:rPr>
        <w:t xml:space="preserve">aos testes de estresse de que trata o art. </w:t>
      </w:r>
      <w:r w:rsidR="00220040" w:rsidRPr="0097459F">
        <w:rPr>
          <w:rFonts w:eastAsiaTheme="minorEastAsia"/>
        </w:rPr>
        <w:t>93</w:t>
      </w:r>
      <w:r w:rsidR="70C5802E" w:rsidRPr="0097459F">
        <w:rPr>
          <w:rFonts w:eastAsiaTheme="minorEastAsia"/>
        </w:rPr>
        <w:t>;</w:t>
      </w:r>
    </w:p>
    <w:p w14:paraId="36CB51A6" w14:textId="2852ACCB" w:rsidR="00893D49" w:rsidRPr="0097459F" w:rsidRDefault="00893D49" w:rsidP="00C20BBD">
      <w:pPr>
        <w:pStyle w:val="Normalalteradora"/>
        <w:rPr>
          <w:rFonts w:cstheme="minorHAnsi"/>
        </w:rPr>
      </w:pPr>
      <w:r w:rsidRPr="0097459F">
        <w:rPr>
          <w:rFonts w:cstheme="minorHAnsi"/>
        </w:rPr>
        <w:lastRenderedPageBreak/>
        <w:t>I</w:t>
      </w:r>
      <w:r w:rsidR="004D767E" w:rsidRPr="0097459F">
        <w:rPr>
          <w:rFonts w:cstheme="minorHAnsi"/>
        </w:rPr>
        <w:t>I</w:t>
      </w:r>
      <w:r w:rsidRPr="0097459F">
        <w:rPr>
          <w:rFonts w:cstheme="minorHAnsi"/>
        </w:rPr>
        <w:t xml:space="preserve"> – </w:t>
      </w:r>
      <w:proofErr w:type="gramStart"/>
      <w:r w:rsidRPr="0097459F">
        <w:rPr>
          <w:rFonts w:cstheme="minorHAnsi"/>
        </w:rPr>
        <w:t>prazos</w:t>
      </w:r>
      <w:proofErr w:type="gramEnd"/>
      <w:r w:rsidRPr="0097459F">
        <w:rPr>
          <w:rFonts w:cstheme="minorHAnsi"/>
        </w:rPr>
        <w:t xml:space="preserve"> de que trata o inciso I do </w:t>
      </w:r>
      <w:r w:rsidRPr="0097459F">
        <w:rPr>
          <w:rFonts w:cstheme="minorHAnsi"/>
          <w:b/>
        </w:rPr>
        <w:t>caput</w:t>
      </w:r>
      <w:r w:rsidRPr="0097459F">
        <w:rPr>
          <w:rFonts w:cstheme="minorHAnsi"/>
        </w:rPr>
        <w:t xml:space="preserve"> do art. 40, entre a data do pedido de resgate de cotas, a data de conversão de cotas e a data do pagamento do resgate;</w:t>
      </w:r>
    </w:p>
    <w:p w14:paraId="310823C6" w14:textId="218D6FA9" w:rsidR="00893D49" w:rsidRPr="0097459F" w:rsidRDefault="00893D49" w:rsidP="00C20BBD">
      <w:pPr>
        <w:pStyle w:val="Normalalteradora"/>
        <w:rPr>
          <w:rFonts w:cstheme="minorHAnsi"/>
        </w:rPr>
      </w:pPr>
      <w:r w:rsidRPr="0097459F">
        <w:rPr>
          <w:rFonts w:cstheme="minorHAnsi"/>
        </w:rPr>
        <w:t>II</w:t>
      </w:r>
      <w:r w:rsidR="004D767E" w:rsidRPr="0097459F">
        <w:rPr>
          <w:rFonts w:cstheme="minorHAnsi"/>
        </w:rPr>
        <w:t>I</w:t>
      </w:r>
      <w:r w:rsidRPr="0097459F">
        <w:rPr>
          <w:rFonts w:cstheme="minorHAnsi"/>
        </w:rPr>
        <w:t xml:space="preserve"> – método de conversão de cotas de que trata o inciso II do art. 40;</w:t>
      </w:r>
    </w:p>
    <w:p w14:paraId="20512DEF" w14:textId="3C5E30C0" w:rsidR="00893D49" w:rsidRPr="0097459F" w:rsidRDefault="004D767E" w:rsidP="00C20BBD">
      <w:pPr>
        <w:pStyle w:val="Normalalteradora"/>
        <w:rPr>
          <w:rFonts w:cstheme="minorHAnsi"/>
        </w:rPr>
      </w:pPr>
      <w:r w:rsidRPr="0097459F">
        <w:rPr>
          <w:rFonts w:cstheme="minorHAnsi"/>
        </w:rPr>
        <w:t xml:space="preserve">IV </w:t>
      </w:r>
      <w:r w:rsidR="00893D49" w:rsidRPr="0097459F">
        <w:rPr>
          <w:rFonts w:cstheme="minorHAnsi"/>
        </w:rPr>
        <w:t xml:space="preserve">– </w:t>
      </w:r>
      <w:proofErr w:type="gramStart"/>
      <w:r w:rsidR="00893D49" w:rsidRPr="0097459F">
        <w:rPr>
          <w:rFonts w:cstheme="minorHAnsi"/>
        </w:rPr>
        <w:t>vigência</w:t>
      </w:r>
      <w:proofErr w:type="gramEnd"/>
      <w:r w:rsidR="00893D49" w:rsidRPr="0097459F">
        <w:rPr>
          <w:rFonts w:cstheme="minorHAnsi"/>
        </w:rPr>
        <w:t xml:space="preserve"> diferida de alterações do regulamento em decorrência de deliberação unânime dos cotistas, nos termos do parágrafo único do art. </w:t>
      </w:r>
      <w:r w:rsidR="00220040" w:rsidRPr="0097459F">
        <w:rPr>
          <w:rFonts w:cstheme="minorHAnsi"/>
        </w:rPr>
        <w:t>50</w:t>
      </w:r>
      <w:r w:rsidR="00893D49" w:rsidRPr="0097459F">
        <w:rPr>
          <w:rFonts w:cstheme="minorHAnsi"/>
        </w:rPr>
        <w:t>;</w:t>
      </w:r>
    </w:p>
    <w:p w14:paraId="655BFCD8" w14:textId="633D882F"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compatibilidade</w:t>
      </w:r>
      <w:proofErr w:type="gramEnd"/>
      <w:r w:rsidRPr="0097459F">
        <w:rPr>
          <w:rFonts w:cstheme="minorHAnsi"/>
        </w:rPr>
        <w:t xml:space="preserve"> da carteira de ativos com os prazos de que trata o inciso I do art. </w:t>
      </w:r>
      <w:r w:rsidR="005E3CBD" w:rsidRPr="0097459F">
        <w:rPr>
          <w:rFonts w:cstheme="minorHAnsi"/>
        </w:rPr>
        <w:t>40</w:t>
      </w:r>
      <w:r w:rsidRPr="0097459F">
        <w:rPr>
          <w:rFonts w:cstheme="minorHAnsi"/>
        </w:rPr>
        <w:t>, para pagamento dos pedidos de resgate;</w:t>
      </w:r>
      <w:r w:rsidR="004D767E" w:rsidRPr="0097459F">
        <w:rPr>
          <w:rFonts w:cstheme="minorHAnsi"/>
        </w:rPr>
        <w:t xml:space="preserve"> e</w:t>
      </w:r>
    </w:p>
    <w:p w14:paraId="14FFCE34" w14:textId="3CD6BC55" w:rsidR="00893D49" w:rsidRPr="0097459F" w:rsidRDefault="00893D49" w:rsidP="00C20BBD">
      <w:pPr>
        <w:pStyle w:val="Normalalteradora"/>
        <w:rPr>
          <w:rFonts w:cstheme="minorHAnsi"/>
        </w:rPr>
      </w:pPr>
      <w:r w:rsidRPr="0097459F">
        <w:rPr>
          <w:rFonts w:cstheme="minorHAnsi"/>
        </w:rPr>
        <w:t>V</w:t>
      </w:r>
      <w:r w:rsidR="004D767E" w:rsidRPr="0097459F">
        <w:rPr>
          <w:rFonts w:cstheme="minorHAnsi"/>
        </w:rPr>
        <w:t>I</w:t>
      </w:r>
      <w:r w:rsidRPr="0097459F">
        <w:rPr>
          <w:rFonts w:cstheme="minorHAnsi"/>
        </w:rPr>
        <w:t xml:space="preserve"> – </w:t>
      </w:r>
      <w:proofErr w:type="gramStart"/>
      <w:r w:rsidRPr="0097459F">
        <w:rPr>
          <w:rFonts w:cstheme="minorHAnsi"/>
        </w:rPr>
        <w:t>limites</w:t>
      </w:r>
      <w:proofErr w:type="gramEnd"/>
      <w:r w:rsidRPr="0097459F">
        <w:rPr>
          <w:rFonts w:cstheme="minorHAnsi"/>
        </w:rPr>
        <w:t xml:space="preserve"> relacionados à composição e diversificação da carteira de ativos, conforme estabelecidos nas regras específicas para cada categoria de fundo.</w:t>
      </w:r>
    </w:p>
    <w:p w14:paraId="34964B4D" w14:textId="4FAD558F" w:rsidR="00893D49" w:rsidRPr="0097459F" w:rsidRDefault="00893D49" w:rsidP="00C20BBD">
      <w:pPr>
        <w:pStyle w:val="Normalalteradora"/>
        <w:rPr>
          <w:rFonts w:cstheme="minorHAnsi"/>
        </w:rPr>
      </w:pPr>
      <w:r w:rsidRPr="0097459F">
        <w:rPr>
          <w:rFonts w:cstheme="minorHAnsi"/>
        </w:rPr>
        <w:t xml:space="preserve">Parágrafo único.  A </w:t>
      </w:r>
      <w:r w:rsidR="00305DE1" w:rsidRPr="0097459F">
        <w:rPr>
          <w:rFonts w:cstheme="minorHAnsi"/>
        </w:rPr>
        <w:t xml:space="preserve">Superintendência competente </w:t>
      </w:r>
      <w:r w:rsidRPr="0097459F">
        <w:rPr>
          <w:rFonts w:cstheme="minorHAnsi"/>
        </w:rPr>
        <w:t xml:space="preserve">pode dispensar outros requisitos regulatórios no âmbito da liquidação, a partir de pedido prévio e fundamentado </w:t>
      </w:r>
      <w:r w:rsidR="009D1E84" w:rsidRPr="0097459F">
        <w:rPr>
          <w:rFonts w:cstheme="minorHAnsi"/>
        </w:rPr>
        <w:t>dos prestadores de serviços essenciais, conjuntamente</w:t>
      </w:r>
      <w:r w:rsidRPr="0097459F">
        <w:rPr>
          <w:rFonts w:cstheme="minorHAnsi"/>
        </w:rPr>
        <w:t xml:space="preserve">, em que seja indicado o dispositivo objeto do pedido de dispensa e apresentadas as razões que </w:t>
      </w:r>
      <w:r w:rsidR="00813A35" w:rsidRPr="0097459F">
        <w:rPr>
          <w:rFonts w:cstheme="minorHAnsi"/>
        </w:rPr>
        <w:t xml:space="preserve">desaconselham ou </w:t>
      </w:r>
      <w:r w:rsidRPr="0097459F">
        <w:rPr>
          <w:rFonts w:cstheme="minorHAnsi"/>
        </w:rPr>
        <w:t>impossibilitam o cumprimento da norma no caso concreto.</w:t>
      </w:r>
    </w:p>
    <w:p w14:paraId="04D39B79" w14:textId="77777777" w:rsidR="00893D49" w:rsidRPr="0097459F" w:rsidRDefault="00893D49" w:rsidP="00C20BBD">
      <w:pPr>
        <w:pStyle w:val="Seo"/>
        <w:rPr>
          <w:rFonts w:asciiTheme="minorHAnsi" w:hAnsiTheme="minorHAnsi"/>
        </w:rPr>
      </w:pPr>
      <w:bookmarkStart w:id="335" w:name="_Toc53594472"/>
      <w:bookmarkStart w:id="336" w:name="_Toc53595497"/>
      <w:bookmarkStart w:id="337" w:name="_Toc53594224"/>
      <w:bookmarkStart w:id="338" w:name="_Toc114819005"/>
      <w:bookmarkStart w:id="339" w:name="_Toc57836232"/>
      <w:bookmarkStart w:id="340" w:name="_Toc161141245"/>
      <w:r w:rsidRPr="0097459F">
        <w:rPr>
          <w:rFonts w:asciiTheme="minorHAnsi" w:hAnsiTheme="minorHAnsi"/>
        </w:rPr>
        <w:t>Seção II – Encerramento</w:t>
      </w:r>
      <w:bookmarkEnd w:id="335"/>
      <w:bookmarkEnd w:id="336"/>
      <w:bookmarkEnd w:id="337"/>
      <w:bookmarkEnd w:id="338"/>
      <w:bookmarkEnd w:id="339"/>
      <w:bookmarkEnd w:id="340"/>
    </w:p>
    <w:p w14:paraId="316E68E7" w14:textId="30F65316"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129</w:t>
      </w:r>
      <w:r w:rsidRPr="0097459F">
        <w:rPr>
          <w:rFonts w:cstheme="minorHAnsi"/>
        </w:rPr>
        <w:t xml:space="preserve">.  Após pagamento aos cotistas do valor total de suas cotas, por meio de amortização ou resgate, o administrador deve efetuar o cancelamento do registro de funcionamento </w:t>
      </w:r>
      <w:r w:rsidR="009D1E84" w:rsidRPr="0097459F">
        <w:rPr>
          <w:rFonts w:cstheme="minorHAnsi"/>
        </w:rPr>
        <w:t>da classe</w:t>
      </w:r>
      <w:r w:rsidRPr="0097459F">
        <w:rPr>
          <w:rFonts w:cstheme="minorHAnsi"/>
        </w:rPr>
        <w:t xml:space="preserve">, por meio do encaminhamento à CVM, no prazo de 15 (quinze) dias, da ata da assembleia de cotistas que tenha deliberado a liquidação, </w:t>
      </w:r>
      <w:r w:rsidR="00647551" w:rsidRPr="0097459F">
        <w:rPr>
          <w:rFonts w:cstheme="minorHAnsi"/>
        </w:rPr>
        <w:t xml:space="preserve">se </w:t>
      </w:r>
      <w:r w:rsidRPr="0097459F">
        <w:rPr>
          <w:rFonts w:cstheme="minorHAnsi"/>
        </w:rPr>
        <w:t xml:space="preserve">for o caso, </w:t>
      </w:r>
      <w:r w:rsidR="00A66580" w:rsidRPr="0097459F">
        <w:rPr>
          <w:rFonts w:cstheme="minorHAnsi"/>
        </w:rPr>
        <w:t xml:space="preserve">e do </w:t>
      </w:r>
      <w:r w:rsidRPr="0097459F">
        <w:rPr>
          <w:rFonts w:cstheme="minorHAnsi"/>
        </w:rPr>
        <w:t>termo de encerramento firmado pelo administrador</w:t>
      </w:r>
      <w:r w:rsidR="00A66580" w:rsidRPr="0097459F">
        <w:rPr>
          <w:rFonts w:cstheme="minorHAnsi"/>
        </w:rPr>
        <w:t>,</w:t>
      </w:r>
      <w:r w:rsidRPr="0097459F">
        <w:rPr>
          <w:rFonts w:cstheme="minorHAnsi"/>
        </w:rPr>
        <w:t xml:space="preserve"> </w:t>
      </w:r>
      <w:r w:rsidR="00037133" w:rsidRPr="0097459F">
        <w:rPr>
          <w:rFonts w:cstheme="minorHAnsi"/>
        </w:rPr>
        <w:t>decorrente</w:t>
      </w:r>
      <w:r w:rsidR="00A66580" w:rsidRPr="0097459F">
        <w:rPr>
          <w:rFonts w:cstheme="minorHAnsi"/>
        </w:rPr>
        <w:t xml:space="preserve"> </w:t>
      </w:r>
      <w:r w:rsidR="00037133" w:rsidRPr="0097459F">
        <w:rPr>
          <w:rFonts w:cstheme="minorHAnsi"/>
        </w:rPr>
        <w:t>d</w:t>
      </w:r>
      <w:r w:rsidR="00A66580" w:rsidRPr="0097459F">
        <w:rPr>
          <w:rFonts w:cstheme="minorHAnsi"/>
        </w:rPr>
        <w:t>o</w:t>
      </w:r>
      <w:r w:rsidRPr="0097459F">
        <w:rPr>
          <w:rFonts w:cstheme="minorHAnsi"/>
        </w:rPr>
        <w:t xml:space="preserve"> resgate ou amortização total de cotas</w:t>
      </w:r>
      <w:r w:rsidR="0029434B" w:rsidRPr="0097459F">
        <w:rPr>
          <w:rFonts w:cstheme="minorHAnsi"/>
        </w:rPr>
        <w:t>.</w:t>
      </w:r>
    </w:p>
    <w:p w14:paraId="5182BC9B" w14:textId="64E8F328" w:rsidR="003E127A" w:rsidRPr="0097459F" w:rsidRDefault="003E127A" w:rsidP="2889066B">
      <w:pPr>
        <w:pStyle w:val="Normalalteradora"/>
      </w:pPr>
      <w:r w:rsidRPr="0097459F">
        <w:t xml:space="preserve">Parágrafo único.  </w:t>
      </w:r>
      <w:r w:rsidR="5383BEF8" w:rsidRPr="0097459F">
        <w:t xml:space="preserve">É vedado ao administrador cancelar o registro de funcionamento caso o fundo figure </w:t>
      </w:r>
      <w:r w:rsidR="4F812F5D" w:rsidRPr="0097459F">
        <w:t>como</w:t>
      </w:r>
      <w:r w:rsidR="5383BEF8" w:rsidRPr="0097459F">
        <w:t xml:space="preserve"> acusado em processo administrativo sancionador perante a CVM pendente de encerramento</w:t>
      </w:r>
      <w:r w:rsidR="004B526A" w:rsidRPr="0097459F">
        <w:t>.</w:t>
      </w:r>
    </w:p>
    <w:p w14:paraId="2162FCAA" w14:textId="36307A1C" w:rsidR="001F1A19" w:rsidRPr="0097459F" w:rsidRDefault="001F1A19" w:rsidP="00C20BBD">
      <w:pPr>
        <w:pStyle w:val="Captulo"/>
        <w:rPr>
          <w:rFonts w:asciiTheme="minorHAnsi" w:hAnsiTheme="minorHAnsi" w:cstheme="minorHAnsi"/>
        </w:rPr>
      </w:pPr>
      <w:bookmarkStart w:id="341" w:name="_Toc114819007"/>
      <w:bookmarkStart w:id="342" w:name="_Toc53594473"/>
      <w:bookmarkStart w:id="343" w:name="_Toc53595498"/>
      <w:bookmarkStart w:id="344" w:name="_Toc53594225"/>
      <w:bookmarkStart w:id="345" w:name="_Toc161141246"/>
      <w:r w:rsidRPr="0097459F">
        <w:rPr>
          <w:rFonts w:asciiTheme="minorHAnsi" w:hAnsiTheme="minorHAnsi" w:cstheme="minorHAnsi"/>
        </w:rPr>
        <w:t>CAPÍTULO XV – MANUTENÇÃO DE ARQUIVOS</w:t>
      </w:r>
      <w:bookmarkEnd w:id="341"/>
      <w:bookmarkEnd w:id="345"/>
    </w:p>
    <w:p w14:paraId="1FFA5FF7" w14:textId="0CD2149A" w:rsidR="001F1A19" w:rsidRPr="0097459F" w:rsidRDefault="001F1A19" w:rsidP="00C20BBD">
      <w:pPr>
        <w:pStyle w:val="Normalalteradora"/>
        <w:rPr>
          <w:rFonts w:cstheme="minorHAnsi"/>
        </w:rPr>
      </w:pPr>
      <w:r w:rsidRPr="0097459F">
        <w:rPr>
          <w:rFonts w:cstheme="minorHAnsi"/>
        </w:rPr>
        <w:t xml:space="preserve">Art. </w:t>
      </w:r>
      <w:r w:rsidR="004D767E" w:rsidRPr="0097459F">
        <w:rPr>
          <w:rFonts w:cstheme="minorHAnsi"/>
        </w:rPr>
        <w:t>130</w:t>
      </w:r>
      <w:r w:rsidRPr="0097459F">
        <w:rPr>
          <w:rFonts w:cstheme="minorHAnsi"/>
        </w:rPr>
        <w:t>.  Todos os documentos e informações exigidas por esta Resolução, assim como as comunicações ocorridas entre os cotistas e o administrador quando da assembleia de cotistas, devem ser mantidos pelo prestador de serviço responsável pelos documentos e informações</w:t>
      </w:r>
      <w:r w:rsidR="007125DE" w:rsidRPr="0097459F">
        <w:rPr>
          <w:rFonts w:cstheme="minorHAnsi"/>
        </w:rPr>
        <w:t>,</w:t>
      </w:r>
      <w:r w:rsidRPr="0097459F">
        <w:rPr>
          <w:rFonts w:cstheme="minorHAnsi"/>
        </w:rPr>
        <w:t xml:space="preserve"> pelo </w:t>
      </w:r>
      <w:r w:rsidR="007125DE" w:rsidRPr="0097459F">
        <w:rPr>
          <w:rFonts w:cstheme="minorHAnsi"/>
        </w:rPr>
        <w:t xml:space="preserve">prazo mínimo de </w:t>
      </w:r>
      <w:r w:rsidR="004158AE" w:rsidRPr="0097459F">
        <w:rPr>
          <w:rFonts w:cstheme="minorHAnsi"/>
        </w:rPr>
        <w:t xml:space="preserve">5 (cinco) </w:t>
      </w:r>
      <w:r w:rsidR="007125DE" w:rsidRPr="0097459F">
        <w:rPr>
          <w:rFonts w:cstheme="minorHAnsi"/>
        </w:rPr>
        <w:t>anos</w:t>
      </w:r>
      <w:r w:rsidRPr="0097459F">
        <w:rPr>
          <w:rFonts w:cstheme="minorHAnsi"/>
        </w:rPr>
        <w:t xml:space="preserve"> ou por prazo superior por determinação expressa da CVM ou da entidade administradora de mercado organizado no qua</w:t>
      </w:r>
      <w:r w:rsidR="007B6F6A" w:rsidRPr="0097459F">
        <w:rPr>
          <w:rFonts w:cstheme="minorHAnsi"/>
        </w:rPr>
        <w:t>l</w:t>
      </w:r>
      <w:r w:rsidRPr="0097459F">
        <w:rPr>
          <w:rFonts w:cstheme="minorHAnsi"/>
        </w:rPr>
        <w:t xml:space="preserve"> as cotas estejam admitidas à negociação</w:t>
      </w:r>
      <w:r w:rsidR="007125DE" w:rsidRPr="0097459F">
        <w:rPr>
          <w:rFonts w:cstheme="minorHAnsi"/>
        </w:rPr>
        <w:t>.</w:t>
      </w:r>
    </w:p>
    <w:p w14:paraId="63405B2C" w14:textId="40A36F91" w:rsidR="001F1A19" w:rsidRPr="0097459F" w:rsidRDefault="001F1A19" w:rsidP="00C20BBD">
      <w:pPr>
        <w:pStyle w:val="Normalalteradora"/>
        <w:rPr>
          <w:rFonts w:cstheme="minorHAnsi"/>
        </w:rPr>
      </w:pPr>
      <w:r w:rsidRPr="0097459F">
        <w:rPr>
          <w:rFonts w:cstheme="minorHAnsi"/>
          <w:lang w:eastAsia="en-GB"/>
        </w:rPr>
        <w:lastRenderedPageBreak/>
        <w:t>§ 1</w:t>
      </w:r>
      <w:proofErr w:type="gramStart"/>
      <w:r w:rsidRPr="0097459F">
        <w:rPr>
          <w:rFonts w:cstheme="minorHAnsi"/>
          <w:lang w:eastAsia="en-GB"/>
        </w:rPr>
        <w:t>º  As</w:t>
      </w:r>
      <w:proofErr w:type="gramEnd"/>
      <w:r w:rsidRPr="0097459F">
        <w:rPr>
          <w:rFonts w:cstheme="minorHAnsi"/>
          <w:lang w:eastAsia="en-GB"/>
        </w:rPr>
        <w:t xml:space="preserve"> imagens digitalizadas são admitidas em </w:t>
      </w:r>
      <w:r w:rsidRPr="0097459F">
        <w:rPr>
          <w:rFonts w:cstheme="minorHAnsi"/>
        </w:rPr>
        <w:t xml:space="preserve">substituição </w:t>
      </w:r>
      <w:r w:rsidRPr="0097459F">
        <w:rPr>
          <w:rFonts w:cstheme="minorHAnsi"/>
          <w:lang w:eastAsia="en-GB"/>
        </w:rPr>
        <w:t>aos</w:t>
      </w:r>
      <w:r w:rsidRPr="0097459F">
        <w:rPr>
          <w:rFonts w:cstheme="minorHAnsi"/>
        </w:rPr>
        <w:t xml:space="preserve"> documentos originais, desde que o processo seja realizado de acordo com a </w:t>
      </w:r>
      <w:r w:rsidRPr="0097459F">
        <w:rPr>
          <w:rFonts w:cstheme="minorHAnsi"/>
          <w:lang w:eastAsia="en-GB"/>
        </w:rPr>
        <w:t>lei</w:t>
      </w:r>
      <w:r w:rsidRPr="0097459F">
        <w:rPr>
          <w:rFonts w:cstheme="minorHAnsi"/>
        </w:rPr>
        <w:t xml:space="preserve"> que dispõe sobre </w:t>
      </w:r>
      <w:r w:rsidR="00247220" w:rsidRPr="0097459F">
        <w:rPr>
          <w:rFonts w:cstheme="minorHAnsi"/>
        </w:rPr>
        <w:t xml:space="preserve">a </w:t>
      </w:r>
      <w:r w:rsidRPr="0097459F">
        <w:rPr>
          <w:rFonts w:cstheme="minorHAnsi"/>
        </w:rPr>
        <w:t>elaboração e o arquivamento de documentos públicos e privados em meios eletromagnéticos</w:t>
      </w:r>
      <w:r w:rsidRPr="0097459F">
        <w:rPr>
          <w:rFonts w:cstheme="minorHAnsi"/>
          <w:lang w:eastAsia="en-GB"/>
        </w:rPr>
        <w:t xml:space="preserve">, e com </w:t>
      </w:r>
      <w:r w:rsidR="0085391F" w:rsidRPr="0097459F">
        <w:rPr>
          <w:rFonts w:cstheme="minorHAnsi"/>
          <w:lang w:eastAsia="en-GB"/>
        </w:rPr>
        <w:t>a</w:t>
      </w:r>
      <w:r w:rsidRPr="0097459F">
        <w:rPr>
          <w:rFonts w:cstheme="minorHAnsi"/>
          <w:lang w:eastAsia="en-GB"/>
        </w:rPr>
        <w:t xml:space="preserve"> </w:t>
      </w:r>
      <w:r w:rsidR="0085391F" w:rsidRPr="0097459F">
        <w:rPr>
          <w:rFonts w:cstheme="minorHAnsi"/>
          <w:lang w:eastAsia="en-GB"/>
        </w:rPr>
        <w:t>regulamentação</w:t>
      </w:r>
      <w:r w:rsidRPr="0097459F">
        <w:rPr>
          <w:rFonts w:cstheme="minorHAnsi"/>
          <w:lang w:eastAsia="en-GB"/>
        </w:rPr>
        <w:t xml:space="preserve"> que estabelece a técnica e os requisitos para a digitalização desses documentos</w:t>
      </w:r>
      <w:r w:rsidRPr="0097459F">
        <w:rPr>
          <w:rFonts w:cstheme="minorHAnsi"/>
        </w:rPr>
        <w:t>.</w:t>
      </w:r>
    </w:p>
    <w:p w14:paraId="3E97CAE9" w14:textId="5F59C2E7" w:rsidR="001F1A19" w:rsidRPr="0097459F" w:rsidRDefault="001F1A19" w:rsidP="00C20BBD">
      <w:pPr>
        <w:pStyle w:val="Normalalteradora"/>
        <w:rPr>
          <w:rFonts w:cstheme="minorHAnsi"/>
        </w:rPr>
      </w:pPr>
      <w:r w:rsidRPr="0097459F">
        <w:rPr>
          <w:rFonts w:cstheme="minorHAnsi"/>
          <w:color w:val="000000" w:themeColor="text1"/>
        </w:rPr>
        <w:t>§ 2</w:t>
      </w:r>
      <w:proofErr w:type="gramStart"/>
      <w:r w:rsidRPr="0097459F">
        <w:rPr>
          <w:rFonts w:cstheme="minorHAnsi"/>
          <w:color w:val="000000" w:themeColor="text1"/>
        </w:rPr>
        <w:t xml:space="preserve">º </w:t>
      </w:r>
      <w:r w:rsidRPr="0097459F">
        <w:rPr>
          <w:rFonts w:cstheme="minorHAnsi"/>
        </w:rPr>
        <w:t xml:space="preserve"> O</w:t>
      </w:r>
      <w:proofErr w:type="gramEnd"/>
      <w:r w:rsidRPr="0097459F">
        <w:rPr>
          <w:rFonts w:cstheme="minorHAnsi"/>
        </w:rPr>
        <w:t xml:space="preserve"> documento de origem pode ser descartado após sua digitalização, exceto se apresentar danos materiais que prejudiquem sua legibilidade.</w:t>
      </w:r>
    </w:p>
    <w:p w14:paraId="0314D2D1" w14:textId="0FE9E99B" w:rsidR="00893D49" w:rsidRPr="0097459F" w:rsidRDefault="00C959D1" w:rsidP="00C20BBD">
      <w:pPr>
        <w:pStyle w:val="Captulo"/>
        <w:rPr>
          <w:rFonts w:asciiTheme="minorHAnsi" w:hAnsiTheme="minorHAnsi"/>
        </w:rPr>
      </w:pPr>
      <w:bookmarkStart w:id="346" w:name="_Toc114819008"/>
      <w:bookmarkStart w:id="347" w:name="_Toc57836233"/>
      <w:bookmarkStart w:id="348" w:name="_Toc161141247"/>
      <w:r w:rsidRPr="0097459F">
        <w:t>CAPÍTULO XV</w:t>
      </w:r>
      <w:r w:rsidR="00143D5E" w:rsidRPr="0097459F">
        <w:t>I</w:t>
      </w:r>
      <w:r w:rsidR="00893D49" w:rsidRPr="0097459F">
        <w:rPr>
          <w:rFonts w:asciiTheme="minorHAnsi" w:hAnsiTheme="minorHAnsi"/>
        </w:rPr>
        <w:t xml:space="preserve"> – PENALIDADES E MULTA COMINATÓRIA</w:t>
      </w:r>
      <w:bookmarkEnd w:id="342"/>
      <w:bookmarkEnd w:id="343"/>
      <w:bookmarkEnd w:id="344"/>
      <w:bookmarkEnd w:id="346"/>
      <w:bookmarkEnd w:id="347"/>
      <w:bookmarkEnd w:id="348"/>
    </w:p>
    <w:p w14:paraId="50E83F5E" w14:textId="58584705"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131</w:t>
      </w:r>
      <w:r w:rsidRPr="0097459F">
        <w:rPr>
          <w:rFonts w:cstheme="minorHAnsi"/>
        </w:rPr>
        <w:t>.  Considera-se infração grave, para efeito do disposto no art. 11, § 3º, da Lei nº 6.385, de 1976, as seguintes condutas em desacordo com as disposições desta Resolução:</w:t>
      </w:r>
    </w:p>
    <w:p w14:paraId="78D3CFC4" w14:textId="20E18330" w:rsidR="00893D49" w:rsidRPr="0097459F" w:rsidRDefault="00893D49" w:rsidP="00C20BBD">
      <w:pPr>
        <w:pStyle w:val="Normalalteradora"/>
        <w:rPr>
          <w:rFonts w:cstheme="minorHAnsi"/>
        </w:rPr>
      </w:pPr>
      <w:r w:rsidRPr="0097459F">
        <w:rPr>
          <w:rFonts w:cstheme="minorHAnsi"/>
        </w:rPr>
        <w:t xml:space="preserve">I – </w:t>
      </w:r>
      <w:proofErr w:type="gramStart"/>
      <w:r w:rsidRPr="0097459F">
        <w:rPr>
          <w:rFonts w:cstheme="minorHAnsi"/>
        </w:rPr>
        <w:t>distribuição</w:t>
      </w:r>
      <w:proofErr w:type="gramEnd"/>
      <w:r w:rsidRPr="0097459F">
        <w:rPr>
          <w:rFonts w:cstheme="minorHAnsi"/>
        </w:rPr>
        <w:t xml:space="preserve"> de cotas de </w:t>
      </w:r>
      <w:r w:rsidR="006E48C8" w:rsidRPr="0097459F">
        <w:rPr>
          <w:rFonts w:cstheme="minorHAnsi"/>
        </w:rPr>
        <w:t xml:space="preserve">fundos, classes e subclasses </w:t>
      </w:r>
      <w:r w:rsidRPr="0097459F">
        <w:rPr>
          <w:rFonts w:cstheme="minorHAnsi"/>
        </w:rPr>
        <w:t>sem registro de funcionamento na CVM;</w:t>
      </w:r>
    </w:p>
    <w:p w14:paraId="704BADAA" w14:textId="6AF0D5DD" w:rsidR="00893D49" w:rsidRPr="0097459F" w:rsidRDefault="00893D49" w:rsidP="00C20BBD">
      <w:pPr>
        <w:pStyle w:val="Normalalteradora"/>
        <w:rPr>
          <w:rFonts w:cstheme="minorHAnsi"/>
        </w:rPr>
      </w:pPr>
      <w:r w:rsidRPr="0097459F">
        <w:rPr>
          <w:rFonts w:cstheme="minorHAnsi"/>
        </w:rPr>
        <w:t xml:space="preserve">II – </w:t>
      </w:r>
      <w:proofErr w:type="gramStart"/>
      <w:r w:rsidRPr="0097459F">
        <w:rPr>
          <w:rFonts w:cstheme="minorHAnsi"/>
        </w:rPr>
        <w:t>exercício</w:t>
      </w:r>
      <w:proofErr w:type="gramEnd"/>
      <w:r w:rsidRPr="0097459F">
        <w:rPr>
          <w:rFonts w:cstheme="minorHAnsi"/>
        </w:rPr>
        <w:t xml:space="preserve"> de atividade não autorizada, ou contratação de terceiros não autorizados ou habilitados à prestação dos serviços contratados;</w:t>
      </w:r>
    </w:p>
    <w:p w14:paraId="22524613" w14:textId="7D66937A" w:rsidR="00893D49" w:rsidRPr="0097459F" w:rsidRDefault="007B4721" w:rsidP="00C20BBD">
      <w:pPr>
        <w:pStyle w:val="Normalalteradora"/>
        <w:rPr>
          <w:rFonts w:cstheme="minorHAnsi"/>
        </w:rPr>
      </w:pPr>
      <w:r w:rsidRPr="0097459F">
        <w:rPr>
          <w:rFonts w:cstheme="minorHAnsi"/>
        </w:rPr>
        <w:t>III</w:t>
      </w:r>
      <w:r w:rsidR="00893D49" w:rsidRPr="0097459F">
        <w:rPr>
          <w:rFonts w:cstheme="minorHAnsi"/>
        </w:rPr>
        <w:t xml:space="preserve"> – não observância </w:t>
      </w:r>
      <w:r w:rsidR="00C0071F" w:rsidRPr="0097459F">
        <w:rPr>
          <w:rFonts w:cstheme="minorHAnsi"/>
        </w:rPr>
        <w:t>da</w:t>
      </w:r>
      <w:r w:rsidR="00893D49" w:rsidRPr="0097459F">
        <w:rPr>
          <w:rFonts w:cstheme="minorHAnsi"/>
        </w:rPr>
        <w:t>s disposições do regulamento;</w:t>
      </w:r>
    </w:p>
    <w:p w14:paraId="49570F5C" w14:textId="4DA96C99" w:rsidR="00893D49" w:rsidRPr="0097459F" w:rsidRDefault="007B4721" w:rsidP="00C20BBD">
      <w:pPr>
        <w:pStyle w:val="Normalalteradora"/>
        <w:rPr>
          <w:rFonts w:cstheme="minorHAnsi"/>
        </w:rPr>
      </w:pPr>
      <w:r w:rsidRPr="0097459F">
        <w:rPr>
          <w:rFonts w:cstheme="minorHAnsi"/>
        </w:rPr>
        <w:t>I</w:t>
      </w:r>
      <w:r w:rsidR="00893D49" w:rsidRPr="0097459F">
        <w:rPr>
          <w:rFonts w:cstheme="minorHAnsi"/>
        </w:rPr>
        <w:t xml:space="preserve">V – </w:t>
      </w:r>
      <w:proofErr w:type="gramStart"/>
      <w:r w:rsidR="00893D49" w:rsidRPr="0097459F">
        <w:rPr>
          <w:rFonts w:cstheme="minorHAnsi"/>
        </w:rPr>
        <w:t>não</w:t>
      </w:r>
      <w:proofErr w:type="gramEnd"/>
      <w:r w:rsidR="00893D49" w:rsidRPr="0097459F">
        <w:rPr>
          <w:rFonts w:cstheme="minorHAnsi"/>
        </w:rPr>
        <w:t xml:space="preserve"> manter atualizados e em perfeita ordem os documentos referidos no inciso I do art. </w:t>
      </w:r>
      <w:r w:rsidR="00E24209" w:rsidRPr="0097459F">
        <w:rPr>
          <w:rFonts w:cstheme="minorHAnsi"/>
        </w:rPr>
        <w:t>104</w:t>
      </w:r>
      <w:r w:rsidR="00893D49" w:rsidRPr="0097459F">
        <w:rPr>
          <w:rFonts w:cstheme="minorHAnsi"/>
        </w:rPr>
        <w:t>;</w:t>
      </w:r>
    </w:p>
    <w:p w14:paraId="2BF508B3" w14:textId="1BFCC9E2" w:rsidR="00893D49" w:rsidRPr="0097459F" w:rsidRDefault="00893D49" w:rsidP="00C20BBD">
      <w:pPr>
        <w:pStyle w:val="Normalalteradora"/>
        <w:rPr>
          <w:rFonts w:cstheme="minorHAnsi"/>
        </w:rPr>
      </w:pPr>
      <w:r w:rsidRPr="0097459F">
        <w:rPr>
          <w:rFonts w:cstheme="minorHAnsi"/>
        </w:rPr>
        <w:t xml:space="preserve">V – </w:t>
      </w:r>
      <w:proofErr w:type="gramStart"/>
      <w:r w:rsidRPr="0097459F">
        <w:rPr>
          <w:rFonts w:cstheme="minorHAnsi"/>
        </w:rPr>
        <w:t>descaracterização</w:t>
      </w:r>
      <w:proofErr w:type="gramEnd"/>
      <w:r w:rsidRPr="0097459F">
        <w:rPr>
          <w:rFonts w:cstheme="minorHAnsi"/>
        </w:rPr>
        <w:t xml:space="preserve"> da categoria adotada </w:t>
      </w:r>
      <w:r w:rsidR="006E48C8" w:rsidRPr="0097459F">
        <w:rPr>
          <w:rFonts w:cstheme="minorHAnsi"/>
        </w:rPr>
        <w:t>pelo fundo</w:t>
      </w:r>
      <w:r w:rsidRPr="0097459F">
        <w:rPr>
          <w:rFonts w:cstheme="minorHAnsi"/>
        </w:rPr>
        <w:t xml:space="preserve">, exceto </w:t>
      </w:r>
      <w:r w:rsidR="006E48C8" w:rsidRPr="0097459F">
        <w:rPr>
          <w:rFonts w:cstheme="minorHAnsi"/>
        </w:rPr>
        <w:t>nos fundos</w:t>
      </w:r>
      <w:r w:rsidRPr="0097459F">
        <w:rPr>
          <w:rFonts w:cstheme="minorHAnsi"/>
        </w:rPr>
        <w:t xml:space="preserve"> </w:t>
      </w:r>
      <w:r w:rsidR="006B5795" w:rsidRPr="0097459F">
        <w:rPr>
          <w:rFonts w:cstheme="minorHAnsi"/>
        </w:rPr>
        <w:t xml:space="preserve">de investimento financeiro </w:t>
      </w:r>
      <w:r w:rsidR="00E9173D" w:rsidRPr="0097459F">
        <w:rPr>
          <w:rFonts w:cstheme="minorHAnsi"/>
        </w:rPr>
        <w:t xml:space="preserve">do tipo </w:t>
      </w:r>
      <w:r w:rsidRPr="0097459F">
        <w:rPr>
          <w:rFonts w:cstheme="minorHAnsi"/>
        </w:rPr>
        <w:t>“Multimercado”;</w:t>
      </w:r>
    </w:p>
    <w:p w14:paraId="725B916B" w14:textId="0604E18B" w:rsidR="00893D49" w:rsidRPr="0097459F" w:rsidRDefault="00893D49" w:rsidP="00C20BBD">
      <w:pPr>
        <w:pStyle w:val="Normalalteradora"/>
        <w:rPr>
          <w:rFonts w:cstheme="minorHAnsi"/>
        </w:rPr>
      </w:pPr>
      <w:r w:rsidRPr="0097459F">
        <w:rPr>
          <w:rFonts w:cstheme="minorHAnsi"/>
        </w:rPr>
        <w:t xml:space="preserve">VI – </w:t>
      </w:r>
      <w:proofErr w:type="gramStart"/>
      <w:r w:rsidRPr="0097459F">
        <w:rPr>
          <w:rFonts w:cstheme="minorHAnsi"/>
        </w:rPr>
        <w:t>não</w:t>
      </w:r>
      <w:proofErr w:type="gramEnd"/>
      <w:r w:rsidRPr="0097459F">
        <w:rPr>
          <w:rFonts w:cstheme="minorHAnsi"/>
        </w:rPr>
        <w:t xml:space="preserve"> observância das normas contábeis aplicáveis aos fundos;</w:t>
      </w:r>
    </w:p>
    <w:p w14:paraId="3DE6A045" w14:textId="396FEC07" w:rsidR="00893D49" w:rsidRPr="0097459F" w:rsidRDefault="00893D49" w:rsidP="00C20BBD">
      <w:pPr>
        <w:pStyle w:val="Normalalteradora"/>
        <w:rPr>
          <w:rFonts w:cstheme="minorHAnsi"/>
        </w:rPr>
      </w:pPr>
      <w:bookmarkStart w:id="349" w:name="_DV_M899"/>
      <w:bookmarkEnd w:id="349"/>
      <w:r w:rsidRPr="0097459F">
        <w:rPr>
          <w:rFonts w:cstheme="minorHAnsi"/>
        </w:rPr>
        <w:t xml:space="preserve">VII – não observância </w:t>
      </w:r>
      <w:r w:rsidR="00C0071F" w:rsidRPr="0097459F">
        <w:rPr>
          <w:rFonts w:cstheme="minorHAnsi"/>
        </w:rPr>
        <w:t>d</w:t>
      </w:r>
      <w:r w:rsidRPr="0097459F">
        <w:rPr>
          <w:rFonts w:cstheme="minorHAnsi"/>
        </w:rPr>
        <w:t xml:space="preserve">o disposto nos </w:t>
      </w:r>
      <w:proofErr w:type="spellStart"/>
      <w:r w:rsidRPr="0097459F">
        <w:rPr>
          <w:rFonts w:cstheme="minorHAnsi"/>
        </w:rPr>
        <w:t>arts</w:t>
      </w:r>
      <w:proofErr w:type="spellEnd"/>
      <w:r w:rsidRPr="0097459F">
        <w:rPr>
          <w:rFonts w:cstheme="minorHAnsi"/>
        </w:rPr>
        <w:t xml:space="preserve">. </w:t>
      </w:r>
      <w:r w:rsidR="00395108" w:rsidRPr="0097459F">
        <w:rPr>
          <w:rFonts w:cstheme="minorHAnsi"/>
        </w:rPr>
        <w:t>88</w:t>
      </w:r>
      <w:r w:rsidR="00396882" w:rsidRPr="0097459F">
        <w:rPr>
          <w:rFonts w:cstheme="minorHAnsi"/>
        </w:rPr>
        <w:t>, 92</w:t>
      </w:r>
      <w:r w:rsidR="00E24209" w:rsidRPr="0097459F">
        <w:rPr>
          <w:rFonts w:cstheme="minorHAnsi"/>
        </w:rPr>
        <w:t xml:space="preserve">, </w:t>
      </w:r>
      <w:r w:rsidR="0056077B" w:rsidRPr="0097459F">
        <w:rPr>
          <w:rFonts w:cstheme="minorHAnsi"/>
        </w:rPr>
        <w:t>101</w:t>
      </w:r>
      <w:r w:rsidRPr="0097459F">
        <w:rPr>
          <w:rFonts w:cstheme="minorHAnsi"/>
        </w:rPr>
        <w:t xml:space="preserve"> </w:t>
      </w:r>
      <w:r w:rsidR="00E24209" w:rsidRPr="0097459F">
        <w:rPr>
          <w:rFonts w:cstheme="minorHAnsi"/>
        </w:rPr>
        <w:t xml:space="preserve">e </w:t>
      </w:r>
      <w:r w:rsidR="00396882" w:rsidRPr="0097459F">
        <w:rPr>
          <w:rFonts w:cstheme="minorHAnsi"/>
        </w:rPr>
        <w:t>106</w:t>
      </w:r>
      <w:r w:rsidRPr="0097459F">
        <w:rPr>
          <w:rFonts w:cstheme="minorHAnsi"/>
        </w:rPr>
        <w:t>;</w:t>
      </w:r>
    </w:p>
    <w:p w14:paraId="4D06EFB5" w14:textId="3AE7A541" w:rsidR="009E1952" w:rsidRPr="0097459F" w:rsidRDefault="007B4721" w:rsidP="00C20BBD">
      <w:pPr>
        <w:pStyle w:val="Normalalteradora"/>
        <w:rPr>
          <w:rFonts w:cstheme="minorHAnsi"/>
        </w:rPr>
      </w:pPr>
      <w:r w:rsidRPr="0097459F">
        <w:rPr>
          <w:rFonts w:cstheme="minorHAnsi"/>
        </w:rPr>
        <w:t>VIII</w:t>
      </w:r>
      <w:r w:rsidR="009E1952" w:rsidRPr="0097459F">
        <w:rPr>
          <w:rFonts w:cstheme="minorHAnsi"/>
        </w:rPr>
        <w:t xml:space="preserve"> – não encaminhame</w:t>
      </w:r>
      <w:r w:rsidR="00E268E8" w:rsidRPr="0097459F">
        <w:rPr>
          <w:rFonts w:cstheme="minorHAnsi"/>
        </w:rPr>
        <w:t xml:space="preserve">nto da documentação </w:t>
      </w:r>
      <w:r w:rsidR="006E48C8" w:rsidRPr="0097459F">
        <w:rPr>
          <w:rFonts w:cstheme="minorHAnsi"/>
        </w:rPr>
        <w:t>do fundo</w:t>
      </w:r>
      <w:r w:rsidR="00E268E8" w:rsidRPr="0097459F">
        <w:rPr>
          <w:rFonts w:cstheme="minorHAnsi"/>
        </w:rPr>
        <w:t xml:space="preserve"> pel</w:t>
      </w:r>
      <w:r w:rsidR="009E1952" w:rsidRPr="0097459F">
        <w:rPr>
          <w:rFonts w:cstheme="minorHAnsi"/>
        </w:rPr>
        <w:t xml:space="preserve">o administrador substituído, nos termos do art. </w:t>
      </w:r>
      <w:r w:rsidR="00E24209" w:rsidRPr="0097459F">
        <w:rPr>
          <w:rFonts w:cstheme="minorHAnsi"/>
        </w:rPr>
        <w:t>108</w:t>
      </w:r>
      <w:r w:rsidR="009E1952" w:rsidRPr="0097459F">
        <w:rPr>
          <w:rFonts w:cstheme="minorHAnsi"/>
        </w:rPr>
        <w:t xml:space="preserve">, § </w:t>
      </w:r>
      <w:r w:rsidR="00E24209" w:rsidRPr="0097459F">
        <w:rPr>
          <w:rFonts w:cstheme="minorHAnsi"/>
        </w:rPr>
        <w:t>5º</w:t>
      </w:r>
      <w:r w:rsidR="009E1952" w:rsidRPr="0097459F">
        <w:rPr>
          <w:rFonts w:cstheme="minorHAnsi"/>
        </w:rPr>
        <w:t>;</w:t>
      </w:r>
    </w:p>
    <w:p w14:paraId="539F4E35" w14:textId="63BB9351" w:rsidR="00893D49" w:rsidRPr="0097459F" w:rsidRDefault="00893D49" w:rsidP="00C20BBD">
      <w:pPr>
        <w:pStyle w:val="Normalalteradora"/>
        <w:rPr>
          <w:rFonts w:cstheme="minorHAnsi"/>
        </w:rPr>
      </w:pPr>
      <w:r w:rsidRPr="0097459F">
        <w:rPr>
          <w:rFonts w:cstheme="minorHAnsi"/>
        </w:rPr>
        <w:t xml:space="preserve">IX – </w:t>
      </w:r>
      <w:proofErr w:type="gramStart"/>
      <w:r w:rsidRPr="0097459F">
        <w:rPr>
          <w:rFonts w:cstheme="minorHAnsi"/>
        </w:rPr>
        <w:t>não</w:t>
      </w:r>
      <w:proofErr w:type="gramEnd"/>
      <w:r w:rsidRPr="0097459F">
        <w:rPr>
          <w:rFonts w:cstheme="minorHAnsi"/>
        </w:rPr>
        <w:t xml:space="preserve"> adoção das ações de que trata o art. </w:t>
      </w:r>
      <w:r w:rsidR="00E24209" w:rsidRPr="0097459F">
        <w:rPr>
          <w:rFonts w:cstheme="minorHAnsi"/>
        </w:rPr>
        <w:t>122</w:t>
      </w:r>
      <w:r w:rsidRPr="0097459F">
        <w:rPr>
          <w:rFonts w:cstheme="minorHAnsi"/>
        </w:rPr>
        <w:t>;</w:t>
      </w:r>
    </w:p>
    <w:p w14:paraId="21882A9C" w14:textId="77777777" w:rsidR="00893D49" w:rsidRPr="0097459F" w:rsidRDefault="00893D49" w:rsidP="00C20BBD">
      <w:pPr>
        <w:pStyle w:val="Normalalteradora"/>
        <w:rPr>
          <w:rFonts w:cstheme="minorHAnsi"/>
        </w:rPr>
      </w:pPr>
      <w:r w:rsidRPr="0097459F">
        <w:rPr>
          <w:rFonts w:cstheme="minorHAnsi"/>
        </w:rPr>
        <w:t xml:space="preserve">X – </w:t>
      </w:r>
      <w:proofErr w:type="gramStart"/>
      <w:r w:rsidRPr="0097459F">
        <w:rPr>
          <w:rFonts w:cstheme="minorHAnsi"/>
        </w:rPr>
        <w:t>não</w:t>
      </w:r>
      <w:proofErr w:type="gramEnd"/>
      <w:r w:rsidRPr="0097459F">
        <w:rPr>
          <w:rFonts w:cstheme="minorHAnsi"/>
        </w:rPr>
        <w:t xml:space="preserve"> divulgação de fato relevante;</w:t>
      </w:r>
    </w:p>
    <w:p w14:paraId="7FD776F6" w14:textId="77777777" w:rsidR="00893D49" w:rsidRPr="0097459F" w:rsidRDefault="00893D49" w:rsidP="00C20BBD">
      <w:pPr>
        <w:pStyle w:val="Normalalteradora"/>
        <w:rPr>
          <w:rFonts w:cstheme="minorHAnsi"/>
        </w:rPr>
      </w:pPr>
      <w:r w:rsidRPr="0097459F">
        <w:rPr>
          <w:rFonts w:cstheme="minorHAnsi"/>
        </w:rPr>
        <w:t>XI – não cumprimento das deliberações tomadas em assembleias de cotistas;</w:t>
      </w:r>
    </w:p>
    <w:p w14:paraId="07FBC8D6" w14:textId="2C96C1CA" w:rsidR="00893D49" w:rsidRPr="0097459F" w:rsidRDefault="00893D49" w:rsidP="00C20BBD">
      <w:pPr>
        <w:pStyle w:val="Normalalteradora"/>
        <w:rPr>
          <w:rFonts w:cstheme="minorHAnsi"/>
        </w:rPr>
      </w:pPr>
      <w:r w:rsidRPr="0097459F">
        <w:rPr>
          <w:rFonts w:cstheme="minorHAnsi"/>
        </w:rPr>
        <w:t>XII – não comparecimento do gestor à assembleia de cotistas que for convocada para deliberar sobre a resolução de patrimônio líquido negativo;</w:t>
      </w:r>
    </w:p>
    <w:p w14:paraId="61546AD2" w14:textId="0EB8195B" w:rsidR="00893D49" w:rsidRPr="0097459F" w:rsidRDefault="00893D49" w:rsidP="00C20BBD">
      <w:pPr>
        <w:pStyle w:val="Normalalteradora"/>
        <w:rPr>
          <w:rFonts w:cstheme="minorHAnsi"/>
        </w:rPr>
      </w:pPr>
      <w:r w:rsidRPr="0097459F">
        <w:rPr>
          <w:rFonts w:cstheme="minorHAnsi"/>
        </w:rPr>
        <w:lastRenderedPageBreak/>
        <w:t>XIII – não monitoramento</w:t>
      </w:r>
      <w:r w:rsidR="00501F5F" w:rsidRPr="0097459F">
        <w:rPr>
          <w:rFonts w:cstheme="minorHAnsi"/>
        </w:rPr>
        <w:t xml:space="preserve"> pelo</w:t>
      </w:r>
      <w:r w:rsidR="0029434B" w:rsidRPr="0097459F">
        <w:rPr>
          <w:rFonts w:cstheme="minorHAnsi"/>
        </w:rPr>
        <w:t>s</w:t>
      </w:r>
      <w:r w:rsidR="00501F5F" w:rsidRPr="0097459F">
        <w:rPr>
          <w:rFonts w:cstheme="minorHAnsi"/>
        </w:rPr>
        <w:t xml:space="preserve"> </w:t>
      </w:r>
      <w:r w:rsidR="0029434B" w:rsidRPr="0097459F">
        <w:rPr>
          <w:rFonts w:cstheme="minorHAnsi"/>
        </w:rPr>
        <w:t>prestadores de serviços essenciais</w:t>
      </w:r>
      <w:r w:rsidRPr="0097459F">
        <w:rPr>
          <w:rFonts w:cstheme="minorHAnsi"/>
        </w:rPr>
        <w:t xml:space="preserve"> das hipóteses de liquidação antecipada previstas no regulamento</w:t>
      </w:r>
      <w:r w:rsidR="0029434B" w:rsidRPr="0097459F">
        <w:rPr>
          <w:rFonts w:cstheme="minorHAnsi"/>
        </w:rPr>
        <w:t>, dentro de suas esferas de atuação</w:t>
      </w:r>
      <w:r w:rsidRPr="0097459F">
        <w:rPr>
          <w:rFonts w:cstheme="minorHAnsi"/>
        </w:rPr>
        <w:t>; e</w:t>
      </w:r>
    </w:p>
    <w:p w14:paraId="7E92D327" w14:textId="50C20120" w:rsidR="00893D49" w:rsidRPr="0097459F" w:rsidRDefault="00893D49" w:rsidP="00C20BBD">
      <w:pPr>
        <w:pStyle w:val="Normalalteradora"/>
        <w:rPr>
          <w:rFonts w:cstheme="minorHAnsi"/>
        </w:rPr>
      </w:pPr>
      <w:r w:rsidRPr="0097459F">
        <w:rPr>
          <w:rFonts w:cstheme="minorHAnsi"/>
        </w:rPr>
        <w:t>XIV – não execução dos procedimentos relacionados à liquidação</w:t>
      </w:r>
      <w:r w:rsidR="006A10D7" w:rsidRPr="0097459F">
        <w:rPr>
          <w:rFonts w:cstheme="minorHAnsi"/>
        </w:rPr>
        <w:t xml:space="preserve"> da classe</w:t>
      </w:r>
      <w:r w:rsidRPr="0097459F">
        <w:rPr>
          <w:rFonts w:cstheme="minorHAnsi"/>
        </w:rPr>
        <w:t>, conforme previstos no regulamento.</w:t>
      </w:r>
    </w:p>
    <w:p w14:paraId="6DC51747" w14:textId="2E0F6910" w:rsidR="00893D49" w:rsidRPr="0097459F" w:rsidRDefault="00893D49" w:rsidP="00C20BBD">
      <w:pPr>
        <w:pStyle w:val="Normalalteradora"/>
        <w:rPr>
          <w:rFonts w:cstheme="minorHAnsi"/>
        </w:rPr>
      </w:pPr>
      <w:r w:rsidRPr="0097459F">
        <w:rPr>
          <w:rFonts w:cstheme="minorHAnsi"/>
        </w:rPr>
        <w:t xml:space="preserve">Art. </w:t>
      </w:r>
      <w:r w:rsidR="004D767E" w:rsidRPr="0097459F">
        <w:rPr>
          <w:rFonts w:cstheme="minorHAnsi"/>
        </w:rPr>
        <w:t>132</w:t>
      </w:r>
      <w:r w:rsidRPr="0097459F">
        <w:rPr>
          <w:rFonts w:cstheme="minorHAnsi"/>
        </w:rPr>
        <w:t>.  Sem prejuízo do disposto no art. 11 da Lei nº 6.385, de 1976, o administrador está sujeito à multa diária prevista na norma específica que trata de multas cominatórias</w:t>
      </w:r>
      <w:r w:rsidR="00501F5F" w:rsidRPr="0097459F">
        <w:rPr>
          <w:rFonts w:cstheme="minorHAnsi"/>
        </w:rPr>
        <w:t>,</w:t>
      </w:r>
      <w:r w:rsidRPr="0097459F">
        <w:rPr>
          <w:rFonts w:cstheme="minorHAnsi"/>
        </w:rPr>
        <w:t xml:space="preserve"> em virtude do não atendimento dos prazos para entrega de informações periódicas à CVM.</w:t>
      </w:r>
    </w:p>
    <w:p w14:paraId="3D1AF57B" w14:textId="65267D04" w:rsidR="00893D49" w:rsidRPr="0097459F" w:rsidRDefault="00893D49" w:rsidP="00C20BBD">
      <w:pPr>
        <w:pStyle w:val="Captulo"/>
        <w:rPr>
          <w:rFonts w:asciiTheme="minorHAnsi" w:hAnsiTheme="minorHAnsi"/>
        </w:rPr>
      </w:pPr>
      <w:bookmarkStart w:id="350" w:name="_Toc53594474"/>
      <w:bookmarkStart w:id="351" w:name="_Toc53595499"/>
      <w:bookmarkStart w:id="352" w:name="_Toc53594226"/>
      <w:bookmarkStart w:id="353" w:name="_Toc114819009"/>
      <w:bookmarkStart w:id="354" w:name="_Toc57836234"/>
      <w:bookmarkStart w:id="355" w:name="_Toc161141248"/>
      <w:r w:rsidRPr="0097459F">
        <w:rPr>
          <w:rFonts w:asciiTheme="minorHAnsi" w:hAnsiTheme="minorHAnsi"/>
        </w:rPr>
        <w:t>CAPÍTULO XVI</w:t>
      </w:r>
      <w:r w:rsidR="00143D5E" w:rsidRPr="0097459F">
        <w:rPr>
          <w:rFonts w:asciiTheme="minorHAnsi" w:hAnsiTheme="minorHAnsi"/>
        </w:rPr>
        <w:t>I</w:t>
      </w:r>
      <w:r w:rsidRPr="0097459F">
        <w:rPr>
          <w:rFonts w:asciiTheme="minorHAnsi" w:hAnsiTheme="minorHAnsi"/>
        </w:rPr>
        <w:t xml:space="preserve"> – DISPOSIÇÕES FINAIS E TRANSITÓRIAS</w:t>
      </w:r>
      <w:bookmarkEnd w:id="350"/>
      <w:bookmarkEnd w:id="351"/>
      <w:bookmarkEnd w:id="352"/>
      <w:bookmarkEnd w:id="353"/>
      <w:bookmarkEnd w:id="354"/>
      <w:bookmarkEnd w:id="355"/>
    </w:p>
    <w:p w14:paraId="6F544807" w14:textId="394A57DC" w:rsidR="00893D49" w:rsidRPr="0097459F" w:rsidRDefault="00893D49" w:rsidP="00C20BBD">
      <w:pPr>
        <w:pStyle w:val="Normalalteradora"/>
      </w:pPr>
      <w:bookmarkStart w:id="356" w:name="_Hlk50481083"/>
      <w:r w:rsidRPr="0097459F">
        <w:t xml:space="preserve">Art. </w:t>
      </w:r>
      <w:bookmarkEnd w:id="356"/>
      <w:r w:rsidR="004D767E" w:rsidRPr="0097459F">
        <w:t>133</w:t>
      </w:r>
      <w:r w:rsidRPr="0097459F">
        <w:t xml:space="preserve">.  Em caso de decretação de intervenção, administração especial temporária, liquidação extrajudicial, insolvência ou falência </w:t>
      </w:r>
      <w:r w:rsidR="00136D2B" w:rsidRPr="0097459F">
        <w:t>de prestador de serviço essencial</w:t>
      </w:r>
      <w:r w:rsidRPr="0097459F">
        <w:t>, o liquidante, o administrador temporário ou o interventor</w:t>
      </w:r>
      <w:r w:rsidR="00136D2B" w:rsidRPr="0097459F">
        <w:t>, conforme o caso,</w:t>
      </w:r>
      <w:r w:rsidRPr="0097459F">
        <w:t xml:space="preserve"> fica obrigado a dar cumprimento ao disposto nesta Resolução. </w:t>
      </w:r>
    </w:p>
    <w:p w14:paraId="3833FA76" w14:textId="68D774F9" w:rsidR="00AD5347" w:rsidRPr="0097459F" w:rsidRDefault="00AD5347" w:rsidP="00C20BBD">
      <w:pPr>
        <w:pStyle w:val="Normalalteradora"/>
        <w:rPr>
          <w:rFonts w:cstheme="minorHAnsi"/>
        </w:rPr>
      </w:pPr>
      <w:r w:rsidRPr="0097459F">
        <w:rPr>
          <w:rFonts w:cstheme="minorHAnsi"/>
        </w:rPr>
        <w:t>§ 1</w:t>
      </w:r>
      <w:proofErr w:type="gramStart"/>
      <w:r w:rsidRPr="0097459F">
        <w:rPr>
          <w:rFonts w:cstheme="minorHAnsi"/>
        </w:rPr>
        <w:t>º  É</w:t>
      </w:r>
      <w:proofErr w:type="gramEnd"/>
      <w:r w:rsidRPr="0097459F">
        <w:rPr>
          <w:rFonts w:cstheme="minorHAnsi"/>
        </w:rPr>
        <w:t xml:space="preserve"> facultado ao liquidante, administrador temporário ou interventor, conforme o caso, convocar assembleia geral de cotistas para deliberar sobre:</w:t>
      </w:r>
    </w:p>
    <w:p w14:paraId="2BD631CC" w14:textId="77777777" w:rsidR="00AD5347" w:rsidRPr="0097459F" w:rsidRDefault="00AD5347" w:rsidP="00C20BBD">
      <w:pPr>
        <w:pStyle w:val="Normalalteradora"/>
        <w:rPr>
          <w:rFonts w:cstheme="minorHAnsi"/>
        </w:rPr>
      </w:pPr>
      <w:r w:rsidRPr="0097459F">
        <w:rPr>
          <w:rFonts w:cstheme="minorHAnsi"/>
        </w:rPr>
        <w:t xml:space="preserve">I – </w:t>
      </w:r>
      <w:proofErr w:type="gramStart"/>
      <w:r w:rsidRPr="0097459F">
        <w:rPr>
          <w:rFonts w:cstheme="minorHAnsi"/>
        </w:rPr>
        <w:t>a</w:t>
      </w:r>
      <w:proofErr w:type="gramEnd"/>
      <w:r w:rsidRPr="0097459F">
        <w:rPr>
          <w:rFonts w:cstheme="minorHAnsi"/>
        </w:rPr>
        <w:t xml:space="preserve"> transferência da administração ou gestão do fundo para outra instituição; ou</w:t>
      </w:r>
    </w:p>
    <w:p w14:paraId="53412551" w14:textId="77777777" w:rsidR="00AD5347" w:rsidRPr="0097459F" w:rsidRDefault="00AD5347" w:rsidP="00C20BBD">
      <w:pPr>
        <w:pStyle w:val="Normalalteradora"/>
        <w:rPr>
          <w:rFonts w:cstheme="minorHAnsi"/>
        </w:rPr>
      </w:pPr>
      <w:r w:rsidRPr="0097459F">
        <w:rPr>
          <w:rFonts w:cstheme="minorHAnsi"/>
        </w:rPr>
        <w:t xml:space="preserve">II – </w:t>
      </w:r>
      <w:proofErr w:type="gramStart"/>
      <w:r w:rsidRPr="0097459F">
        <w:rPr>
          <w:rFonts w:cstheme="minorHAnsi"/>
        </w:rPr>
        <w:t>a</w:t>
      </w:r>
      <w:proofErr w:type="gramEnd"/>
      <w:r w:rsidRPr="0097459F">
        <w:rPr>
          <w:rFonts w:cstheme="minorHAnsi"/>
        </w:rPr>
        <w:t xml:space="preserve"> liquidação do fundo.</w:t>
      </w:r>
    </w:p>
    <w:p w14:paraId="4ECEAD70" w14:textId="5317D57D" w:rsidR="007C6DF7" w:rsidRDefault="00AD5347" w:rsidP="00C20BBD">
      <w:pPr>
        <w:pStyle w:val="Normalalteradora"/>
        <w:rPr>
          <w:rFonts w:cstheme="minorHAnsi"/>
        </w:rPr>
      </w:pPr>
      <w:r w:rsidRPr="0097459F">
        <w:rPr>
          <w:rFonts w:cstheme="minorHAnsi"/>
        </w:rPr>
        <w:t>§ 2</w:t>
      </w:r>
      <w:proofErr w:type="gramStart"/>
      <w:r w:rsidRPr="0097459F">
        <w:rPr>
          <w:rFonts w:cstheme="minorHAnsi"/>
        </w:rPr>
        <w:t>º</w:t>
      </w:r>
      <w:r w:rsidR="00893D49" w:rsidRPr="0097459F">
        <w:rPr>
          <w:rFonts w:cstheme="minorHAnsi"/>
        </w:rPr>
        <w:t xml:space="preserve"> </w:t>
      </w:r>
      <w:r w:rsidR="009D44BE" w:rsidRPr="0097459F">
        <w:rPr>
          <w:rFonts w:cstheme="minorHAnsi"/>
        </w:rPr>
        <w:t xml:space="preserve"> </w:t>
      </w:r>
      <w:r w:rsidR="0050693A" w:rsidRPr="0097459F">
        <w:rPr>
          <w:rFonts w:cstheme="minorHAnsi"/>
        </w:rPr>
        <w:t>A</w:t>
      </w:r>
      <w:proofErr w:type="gramEnd"/>
      <w:r w:rsidR="0050693A" w:rsidRPr="0097459F">
        <w:rPr>
          <w:rFonts w:cstheme="minorHAnsi"/>
        </w:rPr>
        <w:t xml:space="preserve"> partir de pedido fundamentado d</w:t>
      </w:r>
      <w:r w:rsidR="00893D49" w:rsidRPr="0097459F">
        <w:rPr>
          <w:rFonts w:cstheme="minorHAnsi"/>
        </w:rPr>
        <w:t xml:space="preserve">o liquidante, administrador temporário ou interventor, conforme o caso, </w:t>
      </w:r>
      <w:r w:rsidR="0050693A" w:rsidRPr="0097459F">
        <w:rPr>
          <w:rFonts w:cstheme="minorHAnsi"/>
        </w:rPr>
        <w:t>a</w:t>
      </w:r>
      <w:r w:rsidR="00893D49" w:rsidRPr="0097459F">
        <w:rPr>
          <w:rFonts w:cstheme="minorHAnsi"/>
        </w:rPr>
        <w:t xml:space="preserve"> </w:t>
      </w:r>
      <w:r w:rsidR="006D0201" w:rsidRPr="0097459F">
        <w:rPr>
          <w:rFonts w:cstheme="minorHAnsi"/>
        </w:rPr>
        <w:t xml:space="preserve">Superintendência competente </w:t>
      </w:r>
      <w:r w:rsidR="0050693A" w:rsidRPr="0097459F">
        <w:rPr>
          <w:rFonts w:cstheme="minorHAnsi"/>
        </w:rPr>
        <w:t>pode</w:t>
      </w:r>
      <w:r w:rsidR="00893D49" w:rsidRPr="0097459F">
        <w:rPr>
          <w:rFonts w:cstheme="minorHAnsi"/>
        </w:rPr>
        <w:t xml:space="preserve"> </w:t>
      </w:r>
      <w:r w:rsidR="00EF614E" w:rsidRPr="0097459F">
        <w:rPr>
          <w:rFonts w:cstheme="minorHAnsi"/>
        </w:rPr>
        <w:t xml:space="preserve">nomear </w:t>
      </w:r>
      <w:r w:rsidR="00893D49" w:rsidRPr="0097459F">
        <w:rPr>
          <w:rFonts w:cstheme="minorHAnsi"/>
        </w:rPr>
        <w:t xml:space="preserve">um administrador </w:t>
      </w:r>
      <w:r w:rsidR="0050693A" w:rsidRPr="0097459F">
        <w:rPr>
          <w:rFonts w:cstheme="minorHAnsi"/>
        </w:rPr>
        <w:t>ou gestor temporário</w:t>
      </w:r>
      <w:r w:rsidR="0039010F" w:rsidRPr="0097459F">
        <w:rPr>
          <w:rFonts w:cstheme="minorHAnsi"/>
        </w:rPr>
        <w:t>.</w:t>
      </w:r>
    </w:p>
    <w:p w14:paraId="5465ED08" w14:textId="2E34AB71" w:rsidR="00C73321" w:rsidRDefault="00C73321" w:rsidP="00C73321">
      <w:pPr>
        <w:pStyle w:val="Normalalteradora"/>
        <w:rPr>
          <w:rFonts w:cstheme="minorHAnsi"/>
          <w:strike/>
        </w:rPr>
      </w:pPr>
      <w:r w:rsidRPr="00A269EE">
        <w:rPr>
          <w:rFonts w:cstheme="minorHAnsi"/>
          <w:strike/>
        </w:rPr>
        <w:t>Art. 134.  Os fundos de investimento que estejam em funcionamento na data de início da vigência da norma devem adaptar-se integralmente às disposições desta Resolução até 31 de dezembro de 2024, com exceção dos fundos de investimento em direitos creditórios - FIDC, que devem adaptar-se até 31 de dezembro de 2023.</w:t>
      </w:r>
    </w:p>
    <w:p w14:paraId="35A1C7F9" w14:textId="4F085CB7" w:rsidR="00A269EE" w:rsidRPr="00546CA4" w:rsidRDefault="00A269EE" w:rsidP="00C73321">
      <w:pPr>
        <w:pStyle w:val="Normalalteradora"/>
        <w:rPr>
          <w:strike/>
        </w:rPr>
      </w:pPr>
      <w:r w:rsidRPr="00546CA4">
        <w:rPr>
          <w:strike/>
        </w:rPr>
        <w:t>Art. 134. Os fundos de investimento que estejam em funcionamento na data de início da vigência da norma devem adaptar-se integralmente às disposições desta Resolução até 31 de dezembro de 2024, com exceção dos fundos de investimento em direitos creditórios - FIDC, que devem adaptar-se até 1º de abril de 2024.</w:t>
      </w:r>
    </w:p>
    <w:p w14:paraId="0ED9C26F" w14:textId="366CB996" w:rsidR="00A269EE" w:rsidRPr="00546CA4" w:rsidRDefault="00A269EE">
      <w:pPr>
        <w:numPr>
          <w:ilvl w:val="0"/>
          <w:numId w:val="12"/>
        </w:numPr>
        <w:tabs>
          <w:tab w:val="left" w:pos="709"/>
        </w:tabs>
        <w:spacing w:after="0" w:line="312" w:lineRule="auto"/>
        <w:ind w:left="0" w:firstLine="567"/>
        <w:jc w:val="both"/>
        <w:rPr>
          <w:rFonts w:asciiTheme="minorHAnsi" w:hAnsiTheme="minorHAnsi" w:cstheme="minorHAnsi"/>
          <w:b/>
          <w:i/>
          <w:strike/>
          <w:sz w:val="24"/>
          <w:szCs w:val="24"/>
        </w:rPr>
      </w:pPr>
      <w:r w:rsidRPr="00546CA4">
        <w:rPr>
          <w:rFonts w:asciiTheme="minorHAnsi" w:hAnsiTheme="minorHAnsi" w:cstheme="minorHAnsi"/>
          <w:b/>
          <w:i/>
          <w:iCs/>
          <w:strike/>
          <w:sz w:val="24"/>
          <w:szCs w:val="24"/>
        </w:rPr>
        <w:t xml:space="preserve"> Caput</w:t>
      </w:r>
      <w:r w:rsidRPr="00546CA4">
        <w:rPr>
          <w:rFonts w:asciiTheme="minorHAnsi" w:hAnsiTheme="minorHAnsi" w:cstheme="minorHAnsi"/>
          <w:b/>
          <w:i/>
          <w:strike/>
          <w:sz w:val="24"/>
          <w:szCs w:val="24"/>
        </w:rPr>
        <w:t xml:space="preserve"> com redação dada pela </w:t>
      </w:r>
      <w:r w:rsidR="00354506" w:rsidRPr="00546CA4">
        <w:rPr>
          <w:rFonts w:asciiTheme="minorHAnsi" w:hAnsiTheme="minorHAnsi" w:cstheme="minorHAnsi"/>
          <w:b/>
          <w:i/>
          <w:strike/>
          <w:sz w:val="24"/>
          <w:szCs w:val="24"/>
        </w:rPr>
        <w:t xml:space="preserve">Resolução </w:t>
      </w:r>
      <w:r w:rsidRPr="00546CA4">
        <w:rPr>
          <w:rFonts w:asciiTheme="minorHAnsi" w:hAnsiTheme="minorHAnsi" w:cstheme="minorHAnsi"/>
          <w:b/>
          <w:i/>
          <w:strike/>
          <w:sz w:val="24"/>
          <w:szCs w:val="24"/>
        </w:rPr>
        <w:t>CVM nº 181, de 28 de março de 2023.</w:t>
      </w:r>
    </w:p>
    <w:p w14:paraId="4DF4BCDC" w14:textId="10B3D056" w:rsidR="00546CA4" w:rsidRDefault="00546CA4" w:rsidP="00546CA4">
      <w:pPr>
        <w:pStyle w:val="Normalalteradora"/>
      </w:pPr>
      <w:r w:rsidRPr="00546CA4">
        <w:lastRenderedPageBreak/>
        <w:t>Art. 134.</w:t>
      </w:r>
      <w:r w:rsidR="008E4554">
        <w:t xml:space="preserve"> </w:t>
      </w:r>
      <w:r w:rsidRPr="00546CA4">
        <w:t xml:space="preserve"> Os fundos de investimento que estejam em funcionamento na data de início da vigência da norma devem adaptar-se integralmente às disposições desta Resolução até 30 de junho de 2025, com exceção dos fundos de investimento em direitos creditórios – FIDC, que devem adaptar-se até 29 de novembro de 2024. </w:t>
      </w:r>
    </w:p>
    <w:p w14:paraId="5C08EA95" w14:textId="4B6D3346" w:rsidR="00546CA4" w:rsidRPr="00546CA4" w:rsidRDefault="00546CA4" w:rsidP="00546CA4">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46CA4">
        <w:rPr>
          <w:rFonts w:asciiTheme="minorHAnsi" w:hAnsiTheme="minorHAnsi" w:cstheme="minorHAnsi"/>
          <w:b/>
          <w:i/>
          <w:iCs/>
          <w:sz w:val="24"/>
          <w:szCs w:val="24"/>
        </w:rPr>
        <w:t>Caput</w:t>
      </w:r>
      <w:r w:rsidRPr="00546CA4">
        <w:rPr>
          <w:rFonts w:asciiTheme="minorHAnsi" w:hAnsiTheme="minorHAnsi" w:cstheme="minorHAnsi"/>
          <w:b/>
          <w:i/>
          <w:sz w:val="24"/>
          <w:szCs w:val="24"/>
        </w:rPr>
        <w:t xml:space="preserve"> com redação dada pela Resolução CVM nº </w:t>
      </w:r>
      <w:r>
        <w:rPr>
          <w:rFonts w:asciiTheme="minorHAnsi" w:hAnsiTheme="minorHAnsi" w:cstheme="minorHAnsi"/>
          <w:b/>
          <w:i/>
          <w:sz w:val="24"/>
          <w:szCs w:val="24"/>
        </w:rPr>
        <w:t>200</w:t>
      </w:r>
      <w:r w:rsidRPr="00546CA4">
        <w:rPr>
          <w:rFonts w:asciiTheme="minorHAnsi" w:hAnsiTheme="minorHAnsi" w:cstheme="minorHAnsi"/>
          <w:b/>
          <w:i/>
          <w:sz w:val="24"/>
          <w:szCs w:val="24"/>
        </w:rPr>
        <w:t xml:space="preserve">, de </w:t>
      </w:r>
      <w:r>
        <w:rPr>
          <w:rFonts w:asciiTheme="minorHAnsi" w:hAnsiTheme="minorHAnsi" w:cstheme="minorHAnsi"/>
          <w:b/>
          <w:i/>
          <w:sz w:val="24"/>
          <w:szCs w:val="24"/>
        </w:rPr>
        <w:t>12</w:t>
      </w:r>
      <w:r w:rsidRPr="00546CA4">
        <w:rPr>
          <w:rFonts w:asciiTheme="minorHAnsi" w:hAnsiTheme="minorHAnsi" w:cstheme="minorHAnsi"/>
          <w:b/>
          <w:i/>
          <w:sz w:val="24"/>
          <w:szCs w:val="24"/>
        </w:rPr>
        <w:t xml:space="preserve"> de março de 202</w:t>
      </w:r>
      <w:r>
        <w:rPr>
          <w:rFonts w:asciiTheme="minorHAnsi" w:hAnsiTheme="minorHAnsi" w:cstheme="minorHAnsi"/>
          <w:b/>
          <w:i/>
          <w:sz w:val="24"/>
          <w:szCs w:val="24"/>
        </w:rPr>
        <w:t>4</w:t>
      </w:r>
      <w:r w:rsidRPr="00546CA4">
        <w:rPr>
          <w:rFonts w:asciiTheme="minorHAnsi" w:hAnsiTheme="minorHAnsi" w:cstheme="minorHAnsi"/>
          <w:b/>
          <w:i/>
          <w:sz w:val="24"/>
          <w:szCs w:val="24"/>
        </w:rPr>
        <w:t>.</w:t>
      </w:r>
    </w:p>
    <w:p w14:paraId="76CBFF7C" w14:textId="53EF5129" w:rsidR="006A10D7" w:rsidRPr="0097459F" w:rsidRDefault="006A10D7" w:rsidP="00C20BBD">
      <w:pPr>
        <w:pStyle w:val="Normalalteradora"/>
      </w:pPr>
      <w:r w:rsidRPr="0097459F">
        <w:t xml:space="preserve">Parágrafo único.  </w:t>
      </w:r>
      <w:r w:rsidR="004B6C08" w:rsidRPr="0097459F">
        <w:t xml:space="preserve">Uma vez </w:t>
      </w:r>
      <w:r w:rsidRPr="0097459F">
        <w:t xml:space="preserve">concluída </w:t>
      </w:r>
      <w:r w:rsidR="004B6C08" w:rsidRPr="0097459F">
        <w:t xml:space="preserve">a adaptação do fundo de investimento, o administrador pode transformá-lo em </w:t>
      </w:r>
      <w:r w:rsidRPr="0097459F">
        <w:t xml:space="preserve">uma classe de cotas de outro fundo, sem que seja necessária </w:t>
      </w:r>
      <w:r w:rsidR="004B6C08" w:rsidRPr="0097459F">
        <w:t>deliberação</w:t>
      </w:r>
      <w:r w:rsidRPr="0097459F">
        <w:t xml:space="preserve"> da assembleia de cotistas.</w:t>
      </w:r>
    </w:p>
    <w:p w14:paraId="7A7EB131" w14:textId="68958C02" w:rsidR="00E76EA9" w:rsidRPr="0097459F" w:rsidRDefault="00E76EA9" w:rsidP="00C20BBD">
      <w:pPr>
        <w:pStyle w:val="Normalalteradora"/>
      </w:pPr>
      <w:r w:rsidRPr="0097459F">
        <w:t xml:space="preserve">Art. </w:t>
      </w:r>
      <w:r w:rsidR="004D767E" w:rsidRPr="0097459F">
        <w:t>135</w:t>
      </w:r>
      <w:r w:rsidRPr="0097459F">
        <w:t xml:space="preserve">.  No âmbito da adaptação dos fundos de investimento à presente Resolução, admite-se que </w:t>
      </w:r>
      <w:r w:rsidR="00017DD4" w:rsidRPr="0097459F">
        <w:t>os prestadores de serviços essenciais</w:t>
      </w:r>
      <w:r w:rsidRPr="0097459F">
        <w:t xml:space="preserve"> promova</w:t>
      </w:r>
      <w:r w:rsidR="00017DD4" w:rsidRPr="0097459F">
        <w:t>m</w:t>
      </w:r>
      <w:r w:rsidRPr="0097459F">
        <w:t xml:space="preserve"> alterações no regulamento para tratar das seguintes matérias:</w:t>
      </w:r>
    </w:p>
    <w:p w14:paraId="3113E3C1" w14:textId="141B1156" w:rsidR="3639625A" w:rsidRPr="0097459F" w:rsidRDefault="00583B8F" w:rsidP="00C20BBD">
      <w:pPr>
        <w:pStyle w:val="Normalalteradora"/>
        <w:rPr>
          <w:rFonts w:ascii="Calibri" w:hAnsi="Calibri"/>
        </w:rPr>
      </w:pPr>
      <w:r w:rsidRPr="0097459F">
        <w:rPr>
          <w:rFonts w:ascii="Calibri" w:hAnsi="Calibri"/>
        </w:rPr>
        <w:t xml:space="preserve">I </w:t>
      </w:r>
      <w:r w:rsidR="3639625A" w:rsidRPr="0097459F">
        <w:rPr>
          <w:rFonts w:ascii="Calibri" w:hAnsi="Calibri"/>
        </w:rPr>
        <w:t xml:space="preserve">– </w:t>
      </w:r>
      <w:proofErr w:type="gramStart"/>
      <w:r w:rsidR="3639625A" w:rsidRPr="0097459F">
        <w:rPr>
          <w:rFonts w:ascii="Calibri" w:hAnsi="Calibri"/>
        </w:rPr>
        <w:t>taxas</w:t>
      </w:r>
      <w:proofErr w:type="gramEnd"/>
      <w:r w:rsidR="3639625A" w:rsidRPr="0097459F">
        <w:rPr>
          <w:rFonts w:ascii="Calibri" w:hAnsi="Calibri"/>
        </w:rPr>
        <w:t xml:space="preserve"> de administração</w:t>
      </w:r>
      <w:r w:rsidR="0088009E" w:rsidRPr="0097459F">
        <w:rPr>
          <w:rFonts w:ascii="Calibri" w:hAnsi="Calibri"/>
        </w:rPr>
        <w:t>,</w:t>
      </w:r>
      <w:r w:rsidR="3639625A" w:rsidRPr="0097459F">
        <w:rPr>
          <w:rFonts w:ascii="Calibri" w:hAnsi="Calibri"/>
        </w:rPr>
        <w:t xml:space="preserve"> gestão</w:t>
      </w:r>
      <w:r w:rsidR="0088009E" w:rsidRPr="0097459F">
        <w:rPr>
          <w:rFonts w:ascii="Calibri" w:hAnsi="Calibri"/>
        </w:rPr>
        <w:t xml:space="preserve"> e máxima de distribuição</w:t>
      </w:r>
      <w:r w:rsidR="3639625A" w:rsidRPr="0097459F">
        <w:rPr>
          <w:rFonts w:ascii="Calibri" w:hAnsi="Calibri"/>
        </w:rPr>
        <w:t>, desde que seu somatório não exceda à taxa de administração vigente;</w:t>
      </w:r>
    </w:p>
    <w:p w14:paraId="392BA5C4" w14:textId="7B1C2E2A" w:rsidR="00E76EA9" w:rsidRPr="0097459F" w:rsidRDefault="00583B8F" w:rsidP="00C20BBD">
      <w:pPr>
        <w:pStyle w:val="Normalalteradora"/>
      </w:pPr>
      <w:r w:rsidRPr="0097459F">
        <w:t xml:space="preserve">II </w:t>
      </w:r>
      <w:r w:rsidR="00E76EA9" w:rsidRPr="0097459F">
        <w:t xml:space="preserve">– </w:t>
      </w:r>
      <w:proofErr w:type="gramStart"/>
      <w:r w:rsidR="00E76EA9" w:rsidRPr="0097459F">
        <w:t>procedimentos</w:t>
      </w:r>
      <w:proofErr w:type="gramEnd"/>
      <w:r w:rsidR="00E76EA9" w:rsidRPr="0097459F">
        <w:t xml:space="preserve"> aplicáveis às manifestações de vontade dos cotistas por meio </w:t>
      </w:r>
      <w:r w:rsidR="007A7077" w:rsidRPr="0097459F">
        <w:t>eletrônico</w:t>
      </w:r>
      <w:r w:rsidR="00E76EA9" w:rsidRPr="0097459F">
        <w:t>, caso não previstos no regulamento</w:t>
      </w:r>
      <w:r w:rsidR="00BE3A18" w:rsidRPr="0097459F">
        <w:t>; e</w:t>
      </w:r>
      <w:r w:rsidR="004E5E87" w:rsidRPr="0097459F">
        <w:t xml:space="preserve"> </w:t>
      </w:r>
    </w:p>
    <w:p w14:paraId="5F81FFE1" w14:textId="2A2DD45B" w:rsidR="00BE3A18" w:rsidRPr="0097459F" w:rsidRDefault="00583B8F" w:rsidP="00C20BBD">
      <w:pPr>
        <w:pStyle w:val="Normalalteradora"/>
        <w:rPr>
          <w:rFonts w:cstheme="minorHAnsi"/>
        </w:rPr>
      </w:pPr>
      <w:r w:rsidRPr="0097459F">
        <w:rPr>
          <w:rFonts w:cstheme="minorHAnsi"/>
        </w:rPr>
        <w:t xml:space="preserve">III </w:t>
      </w:r>
      <w:r w:rsidR="00330EC2" w:rsidRPr="0097459F">
        <w:rPr>
          <w:rFonts w:cstheme="minorHAnsi"/>
        </w:rPr>
        <w:t>–</w:t>
      </w:r>
      <w:r w:rsidR="00BE3A18" w:rsidRPr="0097459F">
        <w:rPr>
          <w:rFonts w:cstheme="minorHAnsi"/>
        </w:rPr>
        <w:t xml:space="preserve"> limitação da responsabilidad</w:t>
      </w:r>
      <w:r w:rsidR="00926B69" w:rsidRPr="0097459F">
        <w:rPr>
          <w:rFonts w:cstheme="minorHAnsi"/>
        </w:rPr>
        <w:t>e dos cotistas</w:t>
      </w:r>
      <w:r w:rsidR="00926B69" w:rsidRPr="0097459F" w:rsidDel="00293622">
        <w:rPr>
          <w:rFonts w:cstheme="minorHAnsi"/>
        </w:rPr>
        <w:t xml:space="preserve"> </w:t>
      </w:r>
      <w:r w:rsidR="003860AF" w:rsidRPr="0097459F">
        <w:rPr>
          <w:rFonts w:cstheme="minorHAnsi"/>
        </w:rPr>
        <w:t xml:space="preserve">ao valor </w:t>
      </w:r>
      <w:r w:rsidR="00D8046B" w:rsidRPr="0097459F">
        <w:rPr>
          <w:rFonts w:cstheme="minorHAnsi"/>
        </w:rPr>
        <w:t>subscrito</w:t>
      </w:r>
      <w:r w:rsidR="00926B69" w:rsidRPr="0097459F">
        <w:rPr>
          <w:rFonts w:cstheme="minorHAnsi"/>
        </w:rPr>
        <w:t>.</w:t>
      </w:r>
    </w:p>
    <w:p w14:paraId="5A832D90" w14:textId="06A18D93" w:rsidR="00E76EA9" w:rsidRPr="0097459F" w:rsidRDefault="00583B8F" w:rsidP="00C20BBD">
      <w:pPr>
        <w:pStyle w:val="Normalalteradora"/>
        <w:rPr>
          <w:rFonts w:eastAsiaTheme="minorEastAsia"/>
        </w:rPr>
      </w:pPr>
      <w:r w:rsidRPr="0097459F">
        <w:t xml:space="preserve">§ </w:t>
      </w:r>
      <w:r w:rsidR="003860AF" w:rsidRPr="0097459F">
        <w:t>1</w:t>
      </w:r>
      <w:proofErr w:type="gramStart"/>
      <w:r w:rsidR="003860AF" w:rsidRPr="0097459F">
        <w:t>º</w:t>
      </w:r>
      <w:r w:rsidRPr="0097459F">
        <w:t xml:space="preserve">  </w:t>
      </w:r>
      <w:r w:rsidR="00E76EA9" w:rsidRPr="0097459F">
        <w:t>As</w:t>
      </w:r>
      <w:proofErr w:type="gramEnd"/>
      <w:r w:rsidR="00E76EA9" w:rsidRPr="0097459F">
        <w:t xml:space="preserve"> adaptações no regulamento de quaisquer outras matérias que não aquelas espe</w:t>
      </w:r>
      <w:r w:rsidR="00E76EA9" w:rsidRPr="0097459F">
        <w:rPr>
          <w:rFonts w:eastAsiaTheme="minorEastAsia"/>
        </w:rPr>
        <w:t xml:space="preserve">cificadas </w:t>
      </w:r>
      <w:r w:rsidR="00EE7BE9" w:rsidRPr="0097459F">
        <w:rPr>
          <w:rFonts w:eastAsiaTheme="minorEastAsia"/>
        </w:rPr>
        <w:t xml:space="preserve">nos incisos do </w:t>
      </w:r>
      <w:r w:rsidR="00E76EA9" w:rsidRPr="0097459F">
        <w:rPr>
          <w:rFonts w:eastAsiaTheme="minorEastAsia"/>
          <w:b/>
        </w:rPr>
        <w:t>caput</w:t>
      </w:r>
      <w:r w:rsidR="00E76EA9" w:rsidRPr="0097459F">
        <w:rPr>
          <w:rFonts w:eastAsiaTheme="minorEastAsia"/>
        </w:rPr>
        <w:t xml:space="preserve"> </w:t>
      </w:r>
      <w:r w:rsidR="004E2275" w:rsidRPr="0097459F">
        <w:rPr>
          <w:rFonts w:eastAsiaTheme="minorEastAsia"/>
        </w:rPr>
        <w:t xml:space="preserve">carecem </w:t>
      </w:r>
      <w:r w:rsidR="00E76EA9" w:rsidRPr="0097459F">
        <w:rPr>
          <w:rFonts w:eastAsiaTheme="minorEastAsia"/>
        </w:rPr>
        <w:t>de deliberação da assembleia geral de cotistas.</w:t>
      </w:r>
    </w:p>
    <w:p w14:paraId="7577D396" w14:textId="11F1007E" w:rsidR="00E76EA9" w:rsidRPr="0097459F" w:rsidRDefault="00E76EA9" w:rsidP="00C20BBD">
      <w:pPr>
        <w:pStyle w:val="Normalalteradora"/>
        <w:rPr>
          <w:rFonts w:eastAsiaTheme="minorEastAsia"/>
        </w:rPr>
      </w:pPr>
      <w:r w:rsidRPr="0097459F">
        <w:rPr>
          <w:rFonts w:eastAsiaTheme="minorEastAsia"/>
        </w:rPr>
        <w:t xml:space="preserve">§ </w:t>
      </w:r>
      <w:r w:rsidR="003860AF" w:rsidRPr="0097459F">
        <w:rPr>
          <w:rFonts w:eastAsiaTheme="minorEastAsia"/>
        </w:rPr>
        <w:t>2</w:t>
      </w:r>
      <w:proofErr w:type="gramStart"/>
      <w:r w:rsidR="003860AF" w:rsidRPr="0097459F">
        <w:rPr>
          <w:rFonts w:eastAsiaTheme="minorEastAsia"/>
        </w:rPr>
        <w:t>º</w:t>
      </w:r>
      <w:r w:rsidR="00583B8F" w:rsidRPr="0097459F">
        <w:rPr>
          <w:rFonts w:eastAsiaTheme="minorEastAsia"/>
        </w:rPr>
        <w:t xml:space="preserve">  </w:t>
      </w:r>
      <w:r w:rsidRPr="0097459F">
        <w:rPr>
          <w:rFonts w:eastAsiaTheme="minorEastAsia"/>
        </w:rPr>
        <w:t>Caso</w:t>
      </w:r>
      <w:proofErr w:type="gramEnd"/>
      <w:r w:rsidRPr="0097459F">
        <w:rPr>
          <w:rFonts w:eastAsiaTheme="minorEastAsia"/>
        </w:rPr>
        <w:t xml:space="preserve"> a assembleia de cotistas referida no § </w:t>
      </w:r>
      <w:r w:rsidR="007125DE" w:rsidRPr="0097459F">
        <w:rPr>
          <w:rFonts w:eastAsiaTheme="minorEastAsia"/>
        </w:rPr>
        <w:t>1</w:t>
      </w:r>
      <w:r w:rsidRPr="0097459F">
        <w:rPr>
          <w:rFonts w:eastAsiaTheme="minorEastAsia"/>
        </w:rPr>
        <w:t xml:space="preserve">º não se instale por insuficiência de quórum, após duas convocações, com intervalo mínimo de 10 (dez) dias úteis entre a primeira e a segunda convocação, o administrador pode alterar o regulamento, exclusivamente naquilo que for necessário para promover sua adaptação </w:t>
      </w:r>
      <w:r w:rsidR="004E2275" w:rsidRPr="0097459F">
        <w:rPr>
          <w:rFonts w:eastAsiaTheme="minorEastAsia"/>
        </w:rPr>
        <w:t>a</w:t>
      </w:r>
      <w:r w:rsidRPr="0097459F">
        <w:rPr>
          <w:rFonts w:eastAsiaTheme="minorEastAsia"/>
        </w:rPr>
        <w:t xml:space="preserve"> </w:t>
      </w:r>
      <w:r w:rsidR="004E2275" w:rsidRPr="0097459F">
        <w:rPr>
          <w:rFonts w:eastAsiaTheme="minorEastAsia"/>
        </w:rPr>
        <w:t xml:space="preserve">esta </w:t>
      </w:r>
      <w:r w:rsidRPr="0097459F">
        <w:rPr>
          <w:rFonts w:eastAsiaTheme="minorEastAsia"/>
        </w:rPr>
        <w:t>Resolução, devendo comunicar as alterações aos cotistas no prazo de até 10 (dez) dias</w:t>
      </w:r>
      <w:r w:rsidR="00583B8F" w:rsidRPr="0097459F">
        <w:rPr>
          <w:rFonts w:eastAsiaTheme="minorEastAsia"/>
        </w:rPr>
        <w:t xml:space="preserve"> contados da adaptação</w:t>
      </w:r>
      <w:r w:rsidRPr="0097459F">
        <w:rPr>
          <w:rFonts w:eastAsiaTheme="minorEastAsia"/>
        </w:rPr>
        <w:t>.</w:t>
      </w:r>
    </w:p>
    <w:p w14:paraId="10FD1F60" w14:textId="2EE8A4CE" w:rsidR="00E76EA9" w:rsidRPr="0097459F" w:rsidRDefault="00E76EA9" w:rsidP="00C20BBD">
      <w:pPr>
        <w:pStyle w:val="Normalalteradora"/>
        <w:rPr>
          <w:rFonts w:eastAsiaTheme="minorEastAsia"/>
        </w:rPr>
      </w:pPr>
      <w:r w:rsidRPr="0097459F">
        <w:rPr>
          <w:rFonts w:eastAsiaTheme="minorEastAsia"/>
        </w:rPr>
        <w:t xml:space="preserve">§ </w:t>
      </w:r>
      <w:r w:rsidR="003860AF" w:rsidRPr="0097459F">
        <w:rPr>
          <w:rFonts w:eastAsiaTheme="minorEastAsia"/>
        </w:rPr>
        <w:t>3</w:t>
      </w:r>
      <w:proofErr w:type="gramStart"/>
      <w:r w:rsidR="003860AF" w:rsidRPr="0097459F">
        <w:rPr>
          <w:rFonts w:eastAsiaTheme="minorEastAsia"/>
        </w:rPr>
        <w:t>º</w:t>
      </w:r>
      <w:r w:rsidR="00583B8F" w:rsidRPr="0097459F">
        <w:rPr>
          <w:rFonts w:eastAsiaTheme="minorEastAsia"/>
        </w:rPr>
        <w:t xml:space="preserve">  </w:t>
      </w:r>
      <w:r w:rsidRPr="0097459F">
        <w:rPr>
          <w:rFonts w:eastAsiaTheme="minorEastAsia"/>
        </w:rPr>
        <w:t>As</w:t>
      </w:r>
      <w:proofErr w:type="gramEnd"/>
      <w:r w:rsidRPr="0097459F">
        <w:rPr>
          <w:rFonts w:eastAsiaTheme="minorEastAsia"/>
        </w:rPr>
        <w:t xml:space="preserve"> adaptações necessárias no regulamento que não sejam de deliberação dos cotistas devem ser promovidas pelo administrador e por ele informadas aos cotistas, no prazo de até 10 (dez) dias </w:t>
      </w:r>
      <w:r w:rsidR="007A7077" w:rsidRPr="0097459F">
        <w:rPr>
          <w:rFonts w:eastAsiaTheme="minorEastAsia"/>
        </w:rPr>
        <w:t xml:space="preserve">contados </w:t>
      </w:r>
      <w:r w:rsidRPr="0097459F">
        <w:rPr>
          <w:rFonts w:eastAsiaTheme="minorEastAsia"/>
        </w:rPr>
        <w:t>das alterações.</w:t>
      </w:r>
    </w:p>
    <w:p w14:paraId="655FC3EB" w14:textId="2E073D64" w:rsidR="3639625A" w:rsidRPr="0097459F" w:rsidRDefault="3639625A" w:rsidP="00C20BBD">
      <w:pPr>
        <w:pStyle w:val="Normalalteradora"/>
        <w:rPr>
          <w:rFonts w:eastAsiaTheme="minorEastAsia"/>
        </w:rPr>
      </w:pPr>
      <w:r w:rsidRPr="0097459F">
        <w:rPr>
          <w:rFonts w:eastAsiaTheme="minorEastAsia"/>
        </w:rPr>
        <w:lastRenderedPageBreak/>
        <w:t xml:space="preserve">Art. </w:t>
      </w:r>
      <w:r w:rsidR="004D767E" w:rsidRPr="0097459F">
        <w:t>136</w:t>
      </w:r>
      <w:r w:rsidRPr="0097459F">
        <w:rPr>
          <w:rFonts w:eastAsiaTheme="minorEastAsia"/>
        </w:rPr>
        <w:t xml:space="preserve">.  Quando da entrada em vigor desta Resolução, o fundo de investimento será automaticamente considerado como constituído na forma de classe única de cotas, devendo o administrador atualizar seu cadastro na CVM em função </w:t>
      </w:r>
      <w:r w:rsidR="0088009E" w:rsidRPr="0097459F">
        <w:rPr>
          <w:rFonts w:eastAsiaTheme="minorEastAsia"/>
        </w:rPr>
        <w:t>de sua adaptação</w:t>
      </w:r>
      <w:r w:rsidR="007C6DF7" w:rsidRPr="0097459F">
        <w:rPr>
          <w:rFonts w:eastAsiaTheme="minorEastAsia"/>
        </w:rPr>
        <w:t xml:space="preserve"> à nova regulamentação</w:t>
      </w:r>
      <w:r w:rsidRPr="0097459F">
        <w:rPr>
          <w:rFonts w:eastAsiaTheme="minorEastAsia"/>
        </w:rPr>
        <w:t>.</w:t>
      </w:r>
    </w:p>
    <w:p w14:paraId="60309B5E" w14:textId="66CAF4E6" w:rsidR="00664F71" w:rsidRPr="0097459F" w:rsidRDefault="2A3EA00E" w:rsidP="00C20BBD">
      <w:pPr>
        <w:pStyle w:val="Normalalteradora"/>
      </w:pPr>
      <w:r w:rsidRPr="0097459F">
        <w:t xml:space="preserve">Art. </w:t>
      </w:r>
      <w:r w:rsidR="004D767E" w:rsidRPr="0097459F">
        <w:t>137</w:t>
      </w:r>
      <w:r w:rsidRPr="0097459F">
        <w:t xml:space="preserve">.  </w:t>
      </w:r>
      <w:r w:rsidR="00664F71" w:rsidRPr="0097459F">
        <w:t>A</w:t>
      </w:r>
      <w:r w:rsidRPr="0097459F">
        <w:t xml:space="preserve"> Resolução CVM nº 21, de </w:t>
      </w:r>
      <w:r w:rsidR="7ECD5027" w:rsidRPr="0097459F">
        <w:t xml:space="preserve">25 de fevereiro de </w:t>
      </w:r>
      <w:r w:rsidRPr="0097459F">
        <w:t xml:space="preserve">2021, </w:t>
      </w:r>
      <w:r w:rsidR="3F200E1A" w:rsidRPr="0097459F">
        <w:t xml:space="preserve">passa a vigorar com a seguinte redação: </w:t>
      </w:r>
    </w:p>
    <w:p w14:paraId="05C683DE" w14:textId="75B73080" w:rsidR="00664F71" w:rsidRPr="0097459F" w:rsidRDefault="3F200E1A" w:rsidP="00C20BBD">
      <w:pPr>
        <w:pStyle w:val="Normalalteradora"/>
      </w:pPr>
      <w:r w:rsidRPr="0097459F">
        <w:t>“</w:t>
      </w:r>
      <w:r w:rsidR="00664F71" w:rsidRPr="0097459F">
        <w:t>Art. 1</w:t>
      </w:r>
      <w:proofErr w:type="gramStart"/>
      <w:r w:rsidR="00664F71" w:rsidRPr="0097459F">
        <w:t>º  ..........................................................</w:t>
      </w:r>
      <w:proofErr w:type="gramEnd"/>
    </w:p>
    <w:p w14:paraId="609E9BB4" w14:textId="6B07BB00" w:rsidR="000154B4" w:rsidRPr="0097459F" w:rsidRDefault="3F200E1A" w:rsidP="00C20BBD">
      <w:pPr>
        <w:pStyle w:val="Normalalteradora"/>
      </w:pPr>
      <w:r w:rsidRPr="0097459F">
        <w:t>§ 3</w:t>
      </w:r>
      <w:proofErr w:type="gramStart"/>
      <w:r w:rsidRPr="0097459F">
        <w:t xml:space="preserve">º </w:t>
      </w:r>
      <w:r w:rsidR="00664F71" w:rsidRPr="0097459F">
        <w:t xml:space="preserve"> </w:t>
      </w:r>
      <w:r w:rsidR="00823032" w:rsidRPr="0097459F">
        <w:t>Esta</w:t>
      </w:r>
      <w:proofErr w:type="gramEnd"/>
      <w:r w:rsidR="00823032" w:rsidRPr="0097459F">
        <w:t xml:space="preserve"> </w:t>
      </w:r>
      <w:r w:rsidRPr="0097459F">
        <w:t>Resolução aplica-se a todo administrador e gestor de fundo de investimento</w:t>
      </w:r>
      <w:r w:rsidR="00823032" w:rsidRPr="0097459F">
        <w:t>.</w:t>
      </w:r>
    </w:p>
    <w:p w14:paraId="71FF2CE3" w14:textId="3B1D0F91" w:rsidR="002C3907" w:rsidRPr="003F5306" w:rsidRDefault="00F9509A" w:rsidP="00EA5C12">
      <w:pPr>
        <w:pStyle w:val="NormaAlterada"/>
        <w:tabs>
          <w:tab w:val="left" w:leader="dot" w:pos="5103"/>
        </w:tabs>
        <w:ind w:left="567" w:firstLine="0"/>
      </w:pPr>
      <w:r w:rsidRPr="003F5306">
        <w:t xml:space="preserve">§ </w:t>
      </w:r>
      <w:r w:rsidR="004D0851" w:rsidRPr="003F5306">
        <w:t>3</w:t>
      </w:r>
      <w:r w:rsidR="00EA5C12">
        <w:t>º</w:t>
      </w:r>
      <w:r w:rsidR="004D0851" w:rsidRPr="003F5306">
        <w:t>-</w:t>
      </w:r>
      <w:proofErr w:type="gramStart"/>
      <w:r w:rsidR="004D0851" w:rsidRPr="003F5306">
        <w:t>A</w:t>
      </w:r>
      <w:r w:rsidRPr="003F5306">
        <w:t xml:space="preserve"> </w:t>
      </w:r>
      <w:r w:rsidR="007E730C" w:rsidRPr="003F5306">
        <w:t xml:space="preserve"> </w:t>
      </w:r>
      <w:r w:rsidR="3F200E1A" w:rsidRPr="003F5306">
        <w:t>Os</w:t>
      </w:r>
      <w:proofErr w:type="gramEnd"/>
      <w:r w:rsidR="3F200E1A" w:rsidRPr="003F5306">
        <w:t xml:space="preserve"> administradores e gestores de fundos de investimento </w:t>
      </w:r>
      <w:r w:rsidR="007C6DF7" w:rsidRPr="003F5306">
        <w:t xml:space="preserve">em </w:t>
      </w:r>
      <w:r w:rsidR="00823032" w:rsidRPr="003F5306">
        <w:t>atividade</w:t>
      </w:r>
      <w:r w:rsidR="007C6DF7" w:rsidRPr="003F5306">
        <w:t xml:space="preserve"> </w:t>
      </w:r>
      <w:r w:rsidR="3F200E1A" w:rsidRPr="003F5306">
        <w:t xml:space="preserve">que não sejam registrados na CVM devem </w:t>
      </w:r>
      <w:r w:rsidR="007C6DF7" w:rsidRPr="003F5306">
        <w:rPr>
          <w:rFonts w:eastAsia="Calibri" w:cstheme="minorHAnsi"/>
          <w:lang w:eastAsia="en-US"/>
        </w:rPr>
        <w:t>obter</w:t>
      </w:r>
      <w:r w:rsidR="007C6DF7" w:rsidRPr="003F5306">
        <w:t xml:space="preserve"> o referido registro</w:t>
      </w:r>
      <w:r w:rsidR="3F200E1A" w:rsidRPr="003F5306">
        <w:t xml:space="preserve"> </w:t>
      </w:r>
      <w:r w:rsidR="0CCB53ED" w:rsidRPr="003F5306">
        <w:t>até 31</w:t>
      </w:r>
      <w:r w:rsidR="00330EC2" w:rsidRPr="003F5306">
        <w:t xml:space="preserve"> de dezembro de </w:t>
      </w:r>
      <w:r w:rsidR="0CCB53ED" w:rsidRPr="003F5306">
        <w:t>2024.</w:t>
      </w:r>
    </w:p>
    <w:p w14:paraId="39D2AEAC" w14:textId="63BCA7E6" w:rsidR="007C6DF7" w:rsidRPr="0097459F" w:rsidRDefault="002C3907" w:rsidP="00C20BBD">
      <w:pPr>
        <w:pStyle w:val="Normalalteradora"/>
      </w:pPr>
      <w:r w:rsidRPr="0097459F">
        <w:t>.........................................................................</w:t>
      </w:r>
      <w:r w:rsidR="00664F71" w:rsidRPr="0097459F">
        <w:t>” (N.R.</w:t>
      </w:r>
      <w:r w:rsidR="007C6DF7" w:rsidRPr="0097459F">
        <w:t>)</w:t>
      </w:r>
    </w:p>
    <w:p w14:paraId="599379F7" w14:textId="0829F0EF" w:rsidR="005A1E07" w:rsidRPr="0097459F" w:rsidRDefault="005A1E07" w:rsidP="00C20BBD">
      <w:pPr>
        <w:pStyle w:val="Normalalteradora"/>
      </w:pPr>
      <w:r w:rsidRPr="0097459F">
        <w:t xml:space="preserve">Art. </w:t>
      </w:r>
      <w:r w:rsidR="004D767E" w:rsidRPr="0097459F">
        <w:t>138</w:t>
      </w:r>
      <w:r w:rsidRPr="0097459F">
        <w:t xml:space="preserve">.  O Anexo C à Resolução CVM nº 160, de 13 de julho de 2022, passa a vigorar com a seguinte redação: </w:t>
      </w:r>
    </w:p>
    <w:p w14:paraId="13F31FCF" w14:textId="77777777" w:rsidR="00550A55" w:rsidRPr="0097459F" w:rsidRDefault="005A1E07" w:rsidP="00C20BBD">
      <w:pPr>
        <w:pStyle w:val="Normalalteradora"/>
      </w:pPr>
      <w:r w:rsidRPr="0097459F">
        <w:t>“</w:t>
      </w:r>
      <w:r w:rsidR="00346469" w:rsidRPr="0097459F">
        <w:t>Informações do Prospecto</w:t>
      </w:r>
    </w:p>
    <w:p w14:paraId="09BAEDFF" w14:textId="705D603E" w:rsidR="005A1E07" w:rsidRPr="0097459F" w:rsidRDefault="00550A55" w:rsidP="00C20BBD">
      <w:pPr>
        <w:pStyle w:val="Normalalteradora"/>
        <w:tabs>
          <w:tab w:val="left" w:pos="5103"/>
        </w:tabs>
      </w:pPr>
      <w:r w:rsidRPr="0097459F">
        <w:t>..........................................</w:t>
      </w:r>
      <w:r w:rsidR="005A1E07" w:rsidRPr="0097459F">
        <w:t>..............................</w:t>
      </w:r>
    </w:p>
    <w:p w14:paraId="34EBB9A5" w14:textId="349CAAB7" w:rsidR="00346469" w:rsidRPr="0097459F" w:rsidRDefault="00346469" w:rsidP="00962829">
      <w:pPr>
        <w:pStyle w:val="NormaAlterada"/>
        <w:tabs>
          <w:tab w:val="left" w:leader="dot" w:pos="5103"/>
        </w:tabs>
        <w:ind w:left="567" w:firstLine="0"/>
      </w:pPr>
      <w:r w:rsidRPr="0097459F">
        <w:t>3.4 Se o título ofertado for qualificado pelo emissor como “verde”, “social”, “sustentável” ou termos correlatos, informar:</w:t>
      </w:r>
    </w:p>
    <w:p w14:paraId="4AAF147B" w14:textId="77777777" w:rsidR="00346469" w:rsidRPr="0097459F" w:rsidRDefault="00346469" w:rsidP="00962829">
      <w:pPr>
        <w:pStyle w:val="NormaAlterada"/>
        <w:tabs>
          <w:tab w:val="left" w:leader="dot" w:pos="5103"/>
        </w:tabs>
        <w:ind w:left="567" w:firstLine="0"/>
      </w:pPr>
      <w:r w:rsidRPr="0097459F">
        <w:t>a) quais metodologias, princípios ou diretrizes amplamente reconhecidos foram seguidos para qualificação da oferta conforme item acima;</w:t>
      </w:r>
    </w:p>
    <w:p w14:paraId="245EFCF2" w14:textId="48460AA6" w:rsidR="00346469" w:rsidRPr="0097459F" w:rsidRDefault="00346469" w:rsidP="00C20BBD">
      <w:pPr>
        <w:pStyle w:val="Normalalteradora"/>
      </w:pPr>
      <w:r w:rsidRPr="0097459F">
        <w:t>b) qual a entidade responsável pela averiguação acima citada e tipo de avaliação envolvida;</w:t>
      </w:r>
    </w:p>
    <w:p w14:paraId="6F8A9486" w14:textId="77777777" w:rsidR="006B404F" w:rsidRPr="0097459F" w:rsidRDefault="00346469" w:rsidP="00962829">
      <w:pPr>
        <w:pStyle w:val="NormaAlterada"/>
        <w:tabs>
          <w:tab w:val="left" w:leader="dot" w:pos="5103"/>
        </w:tabs>
        <w:ind w:left="567" w:firstLine="0"/>
      </w:pPr>
      <w:r w:rsidRPr="0097459F">
        <w:t xml:space="preserve">c) obrigações que a oferta impõe quanto à persecução de objetivos “verdes”, “sociais”, “sustentáveis” ou termos correlatos, </w:t>
      </w:r>
      <w:r w:rsidR="006B404F" w:rsidRPr="0097459F">
        <w:t>informando</w:t>
      </w:r>
      <w:r w:rsidRPr="0097459F">
        <w:t xml:space="preserve"> metodologias, princípios ou diretrizes; e </w:t>
      </w:r>
    </w:p>
    <w:p w14:paraId="30E574BD" w14:textId="13221803" w:rsidR="00346469" w:rsidRPr="0097459F" w:rsidRDefault="00346469" w:rsidP="00962829">
      <w:pPr>
        <w:pStyle w:val="NormaAlterada"/>
        <w:tabs>
          <w:tab w:val="left" w:leader="dot" w:pos="5103"/>
        </w:tabs>
        <w:ind w:left="567" w:firstLine="0"/>
        <w:rPr>
          <w:highlight w:val="yellow"/>
        </w:rPr>
      </w:pPr>
      <w:r w:rsidRPr="0097459F">
        <w:t xml:space="preserve">d) especificação sobre a forma, a periodicidade e a entidade responsável pelo reporte acerca do cumprimento de obrigações impostas pela oferta quanto à persecução de objetivos “verdes”, “sociais”, “sustentáveis” ou termos correlatos, conforme a metodologia, princípios ou diretrizes </w:t>
      </w:r>
      <w:r w:rsidR="00550A55" w:rsidRPr="0097459F">
        <w:t>amplamente reconheci</w:t>
      </w:r>
      <w:r w:rsidR="006B404F" w:rsidRPr="0097459F">
        <w:t>dos</w:t>
      </w:r>
      <w:r w:rsidRPr="0097459F">
        <w:t>.</w:t>
      </w:r>
      <w:r w:rsidR="006B404F" w:rsidRPr="0097459F">
        <w:t>” (N.R.)</w:t>
      </w:r>
    </w:p>
    <w:p w14:paraId="2C768D89" w14:textId="58A2699B" w:rsidR="001F69E4" w:rsidRPr="0097459F" w:rsidRDefault="00893D49" w:rsidP="00C20BBD">
      <w:pPr>
        <w:pStyle w:val="Normalalteradora"/>
      </w:pPr>
      <w:r w:rsidRPr="0097459F">
        <w:t xml:space="preserve">Art. </w:t>
      </w:r>
      <w:r w:rsidR="001F69E4" w:rsidRPr="0097459F">
        <w:t>139.  A Resolução CVM 172, de 1º de novembro de 2022, passa a vigorar com a seguinte redação:</w:t>
      </w:r>
    </w:p>
    <w:p w14:paraId="1B184659" w14:textId="4C6E7D14" w:rsidR="00C804A2" w:rsidRPr="0097459F" w:rsidRDefault="001F69E4" w:rsidP="00962829">
      <w:pPr>
        <w:pStyle w:val="NormaAlterada"/>
        <w:tabs>
          <w:tab w:val="left" w:leader="dot" w:pos="5103"/>
        </w:tabs>
        <w:ind w:left="567" w:firstLine="0"/>
      </w:pPr>
      <w:r w:rsidRPr="0097459F">
        <w:lastRenderedPageBreak/>
        <w:t>“</w:t>
      </w:r>
      <w:r w:rsidR="00C804A2" w:rsidRPr="0097459F">
        <w:t xml:space="preserve">Art. 1º </w:t>
      </w:r>
      <w:r w:rsidR="00635A51" w:rsidRPr="0097459F">
        <w:t xml:space="preserve"> </w:t>
      </w:r>
      <w:r w:rsidR="00C804A2" w:rsidRPr="0097459F">
        <w:t xml:space="preserve">Esta </w:t>
      </w:r>
      <w:r w:rsidR="00635A51" w:rsidRPr="0097459F">
        <w:t>R</w:t>
      </w:r>
      <w:r w:rsidR="00C804A2" w:rsidRPr="0097459F">
        <w:t>esolução promove alterações temporárias, em caráter experimental, em requisitos regulatórios relacionados ao envio e à publicidade do demonstrativo de composição e diversificação de carteira (“CDA”) previsto na Resolução CVM nº 175, de 2</w:t>
      </w:r>
      <w:r w:rsidR="003D1F11">
        <w:t>3</w:t>
      </w:r>
      <w:r w:rsidR="00C804A2" w:rsidRPr="0097459F">
        <w:t xml:space="preserve"> de dezembro de 2022, exclusivamente para os fundos de investimento classificados como “ações – ativos” e como “previdenciários de ações – ações ativos” (“Fundos”), conforme definidos nas Regras e Procedimentos para Classificação de Fundos 555 nº 07, de 23 de maio de 2019, conforme alteradas (“Regras”), elaborada pela Associação Brasileira das Entidades dos Mercados Financeiro e de Capitais – ANBIMA, nos </w:t>
      </w:r>
      <w:proofErr w:type="spellStart"/>
      <w:r w:rsidR="00C804A2" w:rsidRPr="0097459F">
        <w:t>arts</w:t>
      </w:r>
      <w:proofErr w:type="spellEnd"/>
      <w:r w:rsidR="00C804A2" w:rsidRPr="0097459F">
        <w:t>. 7º, § 1º, II, e 14, II, respectivamente.” (N.R.</w:t>
      </w:r>
      <w:r w:rsidR="00635A51" w:rsidRPr="0097459F">
        <w:t>)</w:t>
      </w:r>
    </w:p>
    <w:p w14:paraId="69BA4A3B" w14:textId="570282C1" w:rsidR="001F69E4" w:rsidRPr="0097459F" w:rsidRDefault="00635A51" w:rsidP="00962829">
      <w:pPr>
        <w:pStyle w:val="NormaAlterada"/>
        <w:tabs>
          <w:tab w:val="left" w:leader="dot" w:pos="5103"/>
        </w:tabs>
        <w:ind w:left="567" w:firstLine="0"/>
      </w:pPr>
      <w:r w:rsidRPr="0097459F">
        <w:t>“</w:t>
      </w:r>
      <w:r w:rsidR="001F69E4" w:rsidRPr="0097459F">
        <w:t>Art. 2</w:t>
      </w:r>
      <w:proofErr w:type="gramStart"/>
      <w:r w:rsidR="001F69E4" w:rsidRPr="0097459F">
        <w:t>º  Os</w:t>
      </w:r>
      <w:proofErr w:type="gramEnd"/>
      <w:r w:rsidR="001F69E4" w:rsidRPr="0097459F">
        <w:t xml:space="preserve"> Fundos a que se refere o art. 1º podem omitir, por até 180 (cento e oitenta) dias, na forma do art. </w:t>
      </w:r>
      <w:r w:rsidR="00C804A2" w:rsidRPr="0097459F">
        <w:t>22</w:t>
      </w:r>
      <w:r w:rsidR="001F69E4" w:rsidRPr="0097459F">
        <w:t xml:space="preserve">, § </w:t>
      </w:r>
      <w:r w:rsidR="00C804A2" w:rsidRPr="0097459F">
        <w:t>4</w:t>
      </w:r>
      <w:r w:rsidR="001F69E4" w:rsidRPr="0097459F">
        <w:t>°, inciso II, d</w:t>
      </w:r>
      <w:r w:rsidR="00C804A2" w:rsidRPr="0097459F">
        <w:t xml:space="preserve">o Anexo </w:t>
      </w:r>
      <w:r w:rsidR="0012230A" w:rsidRPr="0097459F">
        <w:t>Normativo I</w:t>
      </w:r>
      <w:r w:rsidR="00C804A2" w:rsidRPr="0097459F">
        <w:t xml:space="preserve"> d</w:t>
      </w:r>
      <w:r w:rsidR="001F69E4" w:rsidRPr="0097459F">
        <w:t xml:space="preserve">a </w:t>
      </w:r>
      <w:r w:rsidR="00C804A2" w:rsidRPr="0097459F">
        <w:t>Resolução</w:t>
      </w:r>
      <w:r w:rsidR="001F69E4" w:rsidRPr="0097459F">
        <w:t xml:space="preserve"> CVM nº </w:t>
      </w:r>
      <w:r w:rsidR="00C804A2" w:rsidRPr="0097459F">
        <w:t>175</w:t>
      </w:r>
      <w:r w:rsidR="001F69E4" w:rsidRPr="0097459F">
        <w:t>, de 20</w:t>
      </w:r>
      <w:r w:rsidR="00C804A2" w:rsidRPr="0097459F">
        <w:t>22</w:t>
      </w:r>
      <w:r w:rsidR="001F69E4" w:rsidRPr="0097459F">
        <w:t>, a identificação e a quantidade de valores mobiliários no CDA, sem necessidade de enviar solicitação fundamentada à CVM para promover a ocultação.</w:t>
      </w:r>
      <w:r w:rsidRPr="0097459F">
        <w:t>” (N.R.)</w:t>
      </w:r>
    </w:p>
    <w:p w14:paraId="7346831D" w14:textId="7DDE443A" w:rsidR="000B65E2" w:rsidRPr="0097459F" w:rsidRDefault="00635A51" w:rsidP="00962829">
      <w:pPr>
        <w:pStyle w:val="NormaAlterada"/>
        <w:tabs>
          <w:tab w:val="left" w:leader="dot" w:pos="5103"/>
        </w:tabs>
        <w:ind w:left="567" w:firstLine="0"/>
      </w:pPr>
      <w:r w:rsidRPr="0097459F">
        <w:t>“Art. 3</w:t>
      </w:r>
      <w:proofErr w:type="gramStart"/>
      <w:r w:rsidRPr="0097459F">
        <w:t>º  Observado</w:t>
      </w:r>
      <w:proofErr w:type="gramEnd"/>
      <w:r w:rsidRPr="0097459F">
        <w:t xml:space="preserve"> o parágrafo único, o CDA enviado à CVM em observância ao art. 24, inciso II, alínea “b”, </w:t>
      </w:r>
      <w:r w:rsidR="008A3676" w:rsidRPr="0097459F">
        <w:t xml:space="preserve">do Anexo Normativo I </w:t>
      </w:r>
      <w:r w:rsidRPr="0097459F">
        <w:t>da Resolução CVM nº 175, de 2022, deve ser disponibilizado, pela CVM, em sua página na rede mundial de computadores</w:t>
      </w:r>
      <w:r w:rsidR="001D58E1" w:rsidRPr="0097459F">
        <w:t>,</w:t>
      </w:r>
      <w:r w:rsidRPr="0097459F">
        <w:t xml:space="preserve"> trimestralmente, com base no calendário civil, permanecendo inalterada a obrigação de envio mensal do CDA.</w:t>
      </w:r>
    </w:p>
    <w:p w14:paraId="4F615A87" w14:textId="72C0D6E5" w:rsidR="00635A51" w:rsidRPr="0097459F" w:rsidRDefault="00635A51" w:rsidP="00962829">
      <w:pPr>
        <w:pStyle w:val="NormaAlterada"/>
        <w:tabs>
          <w:tab w:val="left" w:leader="dot" w:pos="5103"/>
        </w:tabs>
        <w:ind w:left="567" w:firstLine="0"/>
      </w:pPr>
      <w:r w:rsidRPr="0097459F">
        <w:t>Parágrafo único.</w:t>
      </w:r>
      <w:r w:rsidR="000B65E2" w:rsidRPr="0097459F">
        <w:t xml:space="preserve"> </w:t>
      </w:r>
      <w:r w:rsidRPr="0097459F">
        <w:t xml:space="preserve"> O disposto no </w:t>
      </w:r>
      <w:r w:rsidRPr="0097459F">
        <w:rPr>
          <w:b/>
        </w:rPr>
        <w:t>caput</w:t>
      </w:r>
      <w:r w:rsidRPr="0097459F">
        <w:t xml:space="preserve"> somente entra em vigor após a implementação dos ajustes necessários no sistema previsto no art. </w:t>
      </w:r>
      <w:r w:rsidR="000B65E2" w:rsidRPr="0097459F">
        <w:t>24</w:t>
      </w:r>
      <w:r w:rsidRPr="0097459F">
        <w:t xml:space="preserve">, </w:t>
      </w:r>
      <w:r w:rsidRPr="0097459F">
        <w:rPr>
          <w:b/>
        </w:rPr>
        <w:t>caput</w:t>
      </w:r>
      <w:r w:rsidRPr="0097459F">
        <w:t xml:space="preserve">, </w:t>
      </w:r>
      <w:r w:rsidR="008A3676" w:rsidRPr="0097459F">
        <w:t xml:space="preserve">do Anexo Normativo I </w:t>
      </w:r>
      <w:r w:rsidRPr="0097459F">
        <w:t xml:space="preserve">da </w:t>
      </w:r>
      <w:r w:rsidR="000B65E2" w:rsidRPr="0097459F">
        <w:t>Resolu</w:t>
      </w:r>
      <w:r w:rsidRPr="0097459F">
        <w:t xml:space="preserve">ção CVM nº </w:t>
      </w:r>
      <w:r w:rsidR="000B65E2" w:rsidRPr="0097459F">
        <w:t>17</w:t>
      </w:r>
      <w:r w:rsidRPr="0097459F">
        <w:t>5, de 20</w:t>
      </w:r>
      <w:r w:rsidR="000B65E2" w:rsidRPr="0097459F">
        <w:t>22</w:t>
      </w:r>
      <w:r w:rsidRPr="0097459F">
        <w:t>, fato que será comunicado pela Superintendência de Supervisão de Investidores Institucionais – SIN.</w:t>
      </w:r>
      <w:r w:rsidR="000B65E2" w:rsidRPr="0097459F">
        <w:t>” (N.R.)</w:t>
      </w:r>
    </w:p>
    <w:p w14:paraId="10E7A99A" w14:textId="5B660FB4" w:rsidR="007E730C" w:rsidRDefault="007E730C" w:rsidP="00962829">
      <w:pPr>
        <w:pStyle w:val="NormaAlterada"/>
        <w:tabs>
          <w:tab w:val="left" w:leader="dot" w:pos="5103"/>
        </w:tabs>
        <w:ind w:left="567" w:firstLine="0"/>
      </w:pPr>
      <w:r w:rsidRPr="0097459F">
        <w:t>“Art. 4</w:t>
      </w:r>
      <w:proofErr w:type="gramStart"/>
      <w:r w:rsidRPr="0097459F">
        <w:t>º  Esta</w:t>
      </w:r>
      <w:proofErr w:type="gramEnd"/>
      <w:r w:rsidRPr="0097459F">
        <w:t xml:space="preserve"> Resolução entra em vigor em 1º de dezembro de 2022, observado o disposto no art. 3º, parágrafo único.”</w:t>
      </w:r>
      <w:r w:rsidR="00640775" w:rsidRPr="0097459F">
        <w:t xml:space="preserve"> (N.R.)</w:t>
      </w:r>
    </w:p>
    <w:p w14:paraId="32E28B44" w14:textId="0461592B" w:rsidR="00C73321" w:rsidRDefault="00C73321" w:rsidP="00C73321">
      <w:pPr>
        <w:pStyle w:val="Normalalteradora"/>
        <w:rPr>
          <w:strike/>
        </w:rPr>
      </w:pPr>
      <w:r w:rsidRPr="00634753">
        <w:rPr>
          <w:strike/>
        </w:rPr>
        <w:t>Art. 140. Esta Resolução entra em vigor em 3 de abril de 2023.</w:t>
      </w:r>
    </w:p>
    <w:p w14:paraId="6EDE54FE" w14:textId="35250239" w:rsidR="00634753" w:rsidRDefault="00634753" w:rsidP="00634753">
      <w:pPr>
        <w:pStyle w:val="NormaAlterada"/>
      </w:pPr>
      <w:r>
        <w:t xml:space="preserve">Art. 140.  </w:t>
      </w:r>
      <w:r w:rsidRPr="0097459F">
        <w:t xml:space="preserve">Esta Resolução entra em vigor em </w:t>
      </w:r>
      <w:r>
        <w:t>2 de outubro</w:t>
      </w:r>
      <w:r w:rsidRPr="0097459F">
        <w:t xml:space="preserve"> de 2023.</w:t>
      </w:r>
    </w:p>
    <w:p w14:paraId="25A6856A" w14:textId="142C6C2F" w:rsidR="00634753" w:rsidRPr="00634753" w:rsidRDefault="00634753">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Caput</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75755FA1" w14:textId="38D9E934" w:rsidR="00C73321" w:rsidRDefault="00C73321" w:rsidP="00C73321">
      <w:pPr>
        <w:pStyle w:val="Normalalteradora"/>
        <w:rPr>
          <w:strike/>
        </w:rPr>
      </w:pPr>
      <w:r w:rsidRPr="00634753">
        <w:rPr>
          <w:strike/>
        </w:rPr>
        <w:t>§ 1</w:t>
      </w:r>
      <w:proofErr w:type="gramStart"/>
      <w:r w:rsidRPr="00634753">
        <w:rPr>
          <w:strike/>
        </w:rPr>
        <w:t>º  O</w:t>
      </w:r>
      <w:proofErr w:type="gramEnd"/>
      <w:r w:rsidRPr="00634753">
        <w:rPr>
          <w:strike/>
        </w:rPr>
        <w:t xml:space="preserve"> art. 48, § 2º, inciso X desta Resolução, referente ao estabelecimento da taxa máxima de distribuição no regulamento, bem como os demais comandos relacionados à referida taxa, entram em vigor em 1º de outubro de 2023.</w:t>
      </w:r>
    </w:p>
    <w:p w14:paraId="5B824F19" w14:textId="77777777" w:rsidR="00634753" w:rsidRPr="00546CA4" w:rsidRDefault="00634753" w:rsidP="00634753">
      <w:pPr>
        <w:pStyle w:val="NormaAlterada"/>
        <w:rPr>
          <w:strike/>
        </w:rPr>
      </w:pPr>
      <w:r w:rsidRPr="00546CA4">
        <w:rPr>
          <w:strike/>
        </w:rPr>
        <w:lastRenderedPageBreak/>
        <w:t>§ 1</w:t>
      </w:r>
      <w:proofErr w:type="gramStart"/>
      <w:r w:rsidRPr="00546CA4">
        <w:rPr>
          <w:strike/>
        </w:rPr>
        <w:t>º  O</w:t>
      </w:r>
      <w:proofErr w:type="gramEnd"/>
      <w:r w:rsidRPr="00546CA4">
        <w:rPr>
          <w:strike/>
        </w:rPr>
        <w:t xml:space="preserve"> art. 48, § 2º, inciso XI desta Resolução, referente ao estabelecimento da taxa máxima de distribuição no regulamento, bem como os demais comandos relacionados à referida taxa, entram em vigor em 1º de abril de 2024.</w:t>
      </w:r>
    </w:p>
    <w:p w14:paraId="79A3893B" w14:textId="5C265501" w:rsidR="00634753" w:rsidRPr="00546CA4" w:rsidRDefault="00634753">
      <w:pPr>
        <w:numPr>
          <w:ilvl w:val="0"/>
          <w:numId w:val="12"/>
        </w:numPr>
        <w:tabs>
          <w:tab w:val="left" w:pos="709"/>
        </w:tabs>
        <w:spacing w:after="0" w:line="312" w:lineRule="auto"/>
        <w:ind w:left="0" w:firstLine="567"/>
        <w:jc w:val="both"/>
        <w:rPr>
          <w:rFonts w:asciiTheme="minorHAnsi" w:hAnsiTheme="minorHAnsi" w:cstheme="minorHAnsi"/>
          <w:b/>
          <w:i/>
          <w:strike/>
          <w:sz w:val="24"/>
          <w:szCs w:val="24"/>
        </w:rPr>
      </w:pPr>
      <w:r w:rsidRPr="00546CA4">
        <w:rPr>
          <w:rFonts w:asciiTheme="minorHAnsi" w:hAnsiTheme="minorHAnsi" w:cstheme="minorHAnsi"/>
          <w:b/>
          <w:bCs/>
          <w:i/>
          <w:iCs/>
          <w:strike/>
          <w:sz w:val="24"/>
          <w:szCs w:val="24"/>
        </w:rPr>
        <w:t xml:space="preserve"> § 1º</w:t>
      </w:r>
      <w:r w:rsidRPr="00546CA4">
        <w:rPr>
          <w:rFonts w:asciiTheme="minorHAnsi" w:hAnsiTheme="minorHAnsi" w:cstheme="minorHAnsi"/>
          <w:b/>
          <w:i/>
          <w:strike/>
          <w:sz w:val="24"/>
          <w:szCs w:val="24"/>
        </w:rPr>
        <w:t xml:space="preserve"> com redação dada pela </w:t>
      </w:r>
      <w:r w:rsidR="00354506" w:rsidRPr="00546CA4">
        <w:rPr>
          <w:rFonts w:asciiTheme="minorHAnsi" w:hAnsiTheme="minorHAnsi" w:cstheme="minorHAnsi"/>
          <w:b/>
          <w:i/>
          <w:strike/>
          <w:sz w:val="24"/>
          <w:szCs w:val="24"/>
        </w:rPr>
        <w:t xml:space="preserve">Resolução </w:t>
      </w:r>
      <w:r w:rsidRPr="00546CA4">
        <w:rPr>
          <w:rFonts w:asciiTheme="minorHAnsi" w:hAnsiTheme="minorHAnsi" w:cstheme="minorHAnsi"/>
          <w:b/>
          <w:i/>
          <w:strike/>
          <w:sz w:val="24"/>
          <w:szCs w:val="24"/>
        </w:rPr>
        <w:t>CVM nº 181, de 28 de março de 2023.</w:t>
      </w:r>
    </w:p>
    <w:p w14:paraId="4F893B99" w14:textId="096A3C35" w:rsidR="00546CA4" w:rsidRDefault="00546CA4" w:rsidP="00546CA4">
      <w:pPr>
        <w:pStyle w:val="NormaAlterada"/>
      </w:pPr>
      <w:r w:rsidRPr="00546CA4">
        <w:t>§ 1</w:t>
      </w:r>
      <w:proofErr w:type="gramStart"/>
      <w:r w:rsidRPr="00546CA4">
        <w:t>º</w:t>
      </w:r>
      <w:r w:rsidR="008E4554">
        <w:t xml:space="preserve"> </w:t>
      </w:r>
      <w:r w:rsidRPr="00546CA4">
        <w:t xml:space="preserve"> O</w:t>
      </w:r>
      <w:proofErr w:type="gramEnd"/>
      <w:r w:rsidRPr="00546CA4">
        <w:t xml:space="preserve"> art. 48, § 2º, inciso XI, desta Resolução, referente ao estabelecimento da taxa máxima de distribuição no regulamento, bem como os demais comandos relacionados à referida taxa, entram em vigor em 1º de novembro de 2024.</w:t>
      </w:r>
    </w:p>
    <w:p w14:paraId="10DD9044" w14:textId="610AD0FD" w:rsidR="00546CA4" w:rsidRDefault="00546CA4" w:rsidP="008E4554">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634753">
        <w:rPr>
          <w:rFonts w:asciiTheme="minorHAnsi" w:hAnsiTheme="minorHAnsi" w:cstheme="minorHAnsi"/>
          <w:b/>
          <w:bCs/>
          <w:i/>
          <w:iCs/>
          <w:sz w:val="24"/>
          <w:szCs w:val="24"/>
        </w:rPr>
        <w:t>§ 1º</w:t>
      </w:r>
      <w:r w:rsidRPr="00D960C9">
        <w:rPr>
          <w:rFonts w:asciiTheme="minorHAnsi" w:hAnsiTheme="minorHAnsi" w:cstheme="minorHAnsi"/>
          <w:b/>
          <w:i/>
          <w:sz w:val="24"/>
          <w:szCs w:val="24"/>
        </w:rPr>
        <w:t xml:space="preserve"> com redação dada pela </w:t>
      </w:r>
      <w:r>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 xml:space="preserve">CVM nº </w:t>
      </w:r>
      <w:r>
        <w:rPr>
          <w:rFonts w:asciiTheme="minorHAnsi" w:hAnsiTheme="minorHAnsi" w:cstheme="minorHAnsi"/>
          <w:b/>
          <w:i/>
          <w:sz w:val="24"/>
          <w:szCs w:val="24"/>
        </w:rPr>
        <w:t>200</w:t>
      </w:r>
      <w:r w:rsidRPr="00D960C9">
        <w:rPr>
          <w:rFonts w:asciiTheme="minorHAnsi" w:hAnsiTheme="minorHAnsi" w:cstheme="minorHAnsi"/>
          <w:b/>
          <w:i/>
          <w:sz w:val="24"/>
          <w:szCs w:val="24"/>
        </w:rPr>
        <w:t xml:space="preserve">, de </w:t>
      </w:r>
      <w:r>
        <w:rPr>
          <w:rFonts w:asciiTheme="minorHAnsi" w:hAnsiTheme="minorHAnsi" w:cstheme="minorHAnsi"/>
          <w:b/>
          <w:i/>
          <w:sz w:val="24"/>
          <w:szCs w:val="24"/>
        </w:rPr>
        <w:t>12</w:t>
      </w:r>
      <w:r w:rsidRPr="00D960C9">
        <w:rPr>
          <w:rFonts w:asciiTheme="minorHAnsi" w:hAnsiTheme="minorHAnsi" w:cstheme="minorHAnsi"/>
          <w:b/>
          <w:i/>
          <w:sz w:val="24"/>
          <w:szCs w:val="24"/>
        </w:rPr>
        <w:t xml:space="preserve"> de março de 202</w:t>
      </w:r>
      <w:r>
        <w:rPr>
          <w:rFonts w:asciiTheme="minorHAnsi" w:hAnsiTheme="minorHAnsi" w:cstheme="minorHAnsi"/>
          <w:b/>
          <w:i/>
          <w:sz w:val="24"/>
          <w:szCs w:val="24"/>
        </w:rPr>
        <w:t>4</w:t>
      </w:r>
      <w:r w:rsidRPr="00D960C9">
        <w:rPr>
          <w:rFonts w:asciiTheme="minorHAnsi" w:hAnsiTheme="minorHAnsi" w:cstheme="minorHAnsi"/>
          <w:b/>
          <w:i/>
          <w:sz w:val="24"/>
          <w:szCs w:val="24"/>
        </w:rPr>
        <w:t>.</w:t>
      </w:r>
    </w:p>
    <w:p w14:paraId="7EDAFC8E" w14:textId="54859136" w:rsidR="00BE53C0" w:rsidRPr="00A04BBA" w:rsidRDefault="00BE53C0" w:rsidP="008E4554">
      <w:pPr>
        <w:pStyle w:val="NormaAlterada"/>
        <w:rPr>
          <w:rFonts w:ascii="Calibri" w:hAnsi="Calibri" w:cs="Calibri"/>
          <w:strike/>
        </w:rPr>
      </w:pPr>
      <w:r w:rsidRPr="00A04BBA">
        <w:rPr>
          <w:rFonts w:ascii="Calibri" w:hAnsi="Calibri" w:cs="Calibri"/>
          <w:strike/>
        </w:rPr>
        <w:t>§ 2</w:t>
      </w:r>
      <w:proofErr w:type="gramStart"/>
      <w:r w:rsidRPr="00A04BBA">
        <w:rPr>
          <w:rFonts w:ascii="Calibri" w:hAnsi="Calibri" w:cs="Calibri"/>
          <w:strike/>
        </w:rPr>
        <w:t>º  O</w:t>
      </w:r>
      <w:proofErr w:type="gramEnd"/>
      <w:r w:rsidRPr="00A04BBA">
        <w:rPr>
          <w:rFonts w:ascii="Calibri" w:hAnsi="Calibri" w:cs="Calibri"/>
          <w:strike/>
        </w:rPr>
        <w:t xml:space="preserve"> art. 5º </w:t>
      </w:r>
      <w:r w:rsidRPr="008E4554">
        <w:rPr>
          <w:rFonts w:ascii="Calibri" w:hAnsi="Calibri" w:cs="Calibri"/>
          <w:strike/>
        </w:rPr>
        <w:t xml:space="preserve">desta </w:t>
      </w:r>
      <w:r w:rsidRPr="008E4554">
        <w:rPr>
          <w:strike/>
        </w:rPr>
        <w:t>Resolução</w:t>
      </w:r>
      <w:r w:rsidRPr="008E4554">
        <w:rPr>
          <w:rFonts w:ascii="Calibri" w:hAnsi="Calibri" w:cs="Calibri"/>
          <w:strike/>
        </w:rPr>
        <w:t>,</w:t>
      </w:r>
      <w:r w:rsidRPr="00A04BBA">
        <w:rPr>
          <w:rFonts w:ascii="Calibri" w:hAnsi="Calibri" w:cs="Calibri"/>
          <w:strike/>
        </w:rPr>
        <w:t xml:space="preserve"> referente à possibilidade de os fundos possuírem diferentes classes e subclasses de cotas, entra em vigor em </w:t>
      </w:r>
      <w:r w:rsidR="000D4897" w:rsidRPr="00A04BBA">
        <w:rPr>
          <w:rFonts w:ascii="Calibri" w:hAnsi="Calibri" w:cs="Calibri"/>
          <w:strike/>
        </w:rPr>
        <w:t>1º</w:t>
      </w:r>
      <w:r w:rsidRPr="00A04BBA">
        <w:rPr>
          <w:rFonts w:ascii="Calibri" w:hAnsi="Calibri" w:cs="Calibri"/>
          <w:strike/>
        </w:rPr>
        <w:t xml:space="preserve"> de </w:t>
      </w:r>
      <w:r w:rsidR="00256A36" w:rsidRPr="00A04BBA">
        <w:rPr>
          <w:rFonts w:ascii="Calibri" w:hAnsi="Calibri" w:cs="Calibri"/>
          <w:strike/>
        </w:rPr>
        <w:t>abril</w:t>
      </w:r>
      <w:r w:rsidRPr="00A04BBA">
        <w:rPr>
          <w:rFonts w:ascii="Calibri" w:hAnsi="Calibri" w:cs="Calibri"/>
          <w:strike/>
        </w:rPr>
        <w:t xml:space="preserve"> de 2024</w:t>
      </w:r>
      <w:r w:rsidR="00992416" w:rsidRPr="00A04BBA">
        <w:rPr>
          <w:rFonts w:ascii="Calibri" w:hAnsi="Calibri" w:cs="Calibri"/>
          <w:strike/>
        </w:rPr>
        <w:t>.</w:t>
      </w:r>
    </w:p>
    <w:p w14:paraId="32C2835E" w14:textId="12C1C71A" w:rsidR="00A04BBA" w:rsidRDefault="00A04BBA" w:rsidP="008E4554">
      <w:pPr>
        <w:pStyle w:val="NormaAlterada"/>
      </w:pPr>
      <w:r w:rsidRPr="00A04BBA">
        <w:t>§ 2</w:t>
      </w:r>
      <w:proofErr w:type="gramStart"/>
      <w:r w:rsidRPr="00A04BBA">
        <w:t>º</w:t>
      </w:r>
      <w:r w:rsidR="008E4554">
        <w:t xml:space="preserve"> </w:t>
      </w:r>
      <w:r w:rsidRPr="00A04BBA">
        <w:t xml:space="preserve"> O</w:t>
      </w:r>
      <w:proofErr w:type="gramEnd"/>
      <w:r w:rsidRPr="00A04BBA">
        <w:t xml:space="preserve"> art. 5º desta Resolução, referente à possibilidade de os fundos possuírem diferentes classes e subclasses de cotas, entra em vigor em 1º de outubro de 2024.</w:t>
      </w:r>
    </w:p>
    <w:p w14:paraId="0FCFE49D" w14:textId="10B95E0E" w:rsidR="00A04BBA" w:rsidRDefault="00A04BBA" w:rsidP="008E4554">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634753">
        <w:rPr>
          <w:rFonts w:asciiTheme="minorHAnsi" w:hAnsiTheme="minorHAnsi" w:cstheme="minorHAnsi"/>
          <w:b/>
          <w:bCs/>
          <w:i/>
          <w:iCs/>
          <w:sz w:val="24"/>
          <w:szCs w:val="24"/>
        </w:rPr>
        <w:t xml:space="preserve">§ </w:t>
      </w:r>
      <w:r>
        <w:rPr>
          <w:rFonts w:asciiTheme="minorHAnsi" w:hAnsiTheme="minorHAnsi" w:cstheme="minorHAnsi"/>
          <w:b/>
          <w:bCs/>
          <w:i/>
          <w:iCs/>
          <w:sz w:val="24"/>
          <w:szCs w:val="24"/>
        </w:rPr>
        <w:t>2</w:t>
      </w:r>
      <w:r w:rsidRPr="00634753">
        <w:rPr>
          <w:rFonts w:asciiTheme="minorHAnsi" w:hAnsiTheme="minorHAnsi" w:cstheme="minorHAnsi"/>
          <w:b/>
          <w:bCs/>
          <w:i/>
          <w:iCs/>
          <w:sz w:val="24"/>
          <w:szCs w:val="24"/>
        </w:rPr>
        <w:t>º</w:t>
      </w:r>
      <w:r w:rsidRPr="00D960C9">
        <w:rPr>
          <w:rFonts w:asciiTheme="minorHAnsi" w:hAnsiTheme="minorHAnsi" w:cstheme="minorHAnsi"/>
          <w:b/>
          <w:i/>
          <w:sz w:val="24"/>
          <w:szCs w:val="24"/>
        </w:rPr>
        <w:t xml:space="preserve"> com redação dada pela </w:t>
      </w:r>
      <w:r>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 xml:space="preserve">CVM nº </w:t>
      </w:r>
      <w:r>
        <w:rPr>
          <w:rFonts w:asciiTheme="minorHAnsi" w:hAnsiTheme="minorHAnsi" w:cstheme="minorHAnsi"/>
          <w:b/>
          <w:i/>
          <w:sz w:val="24"/>
          <w:szCs w:val="24"/>
        </w:rPr>
        <w:t>200</w:t>
      </w:r>
      <w:r w:rsidRPr="00D960C9">
        <w:rPr>
          <w:rFonts w:asciiTheme="minorHAnsi" w:hAnsiTheme="minorHAnsi" w:cstheme="minorHAnsi"/>
          <w:b/>
          <w:i/>
          <w:sz w:val="24"/>
          <w:szCs w:val="24"/>
        </w:rPr>
        <w:t xml:space="preserve">, de </w:t>
      </w:r>
      <w:r>
        <w:rPr>
          <w:rFonts w:asciiTheme="minorHAnsi" w:hAnsiTheme="minorHAnsi" w:cstheme="minorHAnsi"/>
          <w:b/>
          <w:i/>
          <w:sz w:val="24"/>
          <w:szCs w:val="24"/>
        </w:rPr>
        <w:t>12</w:t>
      </w:r>
      <w:r w:rsidRPr="00D960C9">
        <w:rPr>
          <w:rFonts w:asciiTheme="minorHAnsi" w:hAnsiTheme="minorHAnsi" w:cstheme="minorHAnsi"/>
          <w:b/>
          <w:i/>
          <w:sz w:val="24"/>
          <w:szCs w:val="24"/>
        </w:rPr>
        <w:t xml:space="preserve"> de março de 202</w:t>
      </w:r>
      <w:r>
        <w:rPr>
          <w:rFonts w:asciiTheme="minorHAnsi" w:hAnsiTheme="minorHAnsi" w:cstheme="minorHAnsi"/>
          <w:b/>
          <w:i/>
          <w:sz w:val="24"/>
          <w:szCs w:val="24"/>
        </w:rPr>
        <w:t>4</w:t>
      </w:r>
      <w:r w:rsidRPr="00D960C9">
        <w:rPr>
          <w:rFonts w:asciiTheme="minorHAnsi" w:hAnsiTheme="minorHAnsi" w:cstheme="minorHAnsi"/>
          <w:b/>
          <w:i/>
          <w:sz w:val="24"/>
          <w:szCs w:val="24"/>
        </w:rPr>
        <w:t>.</w:t>
      </w:r>
    </w:p>
    <w:p w14:paraId="27FA0BFD" w14:textId="0057F7D8" w:rsidR="00DD6D58" w:rsidRDefault="00DD6D58" w:rsidP="008E4554">
      <w:pPr>
        <w:pStyle w:val="NormaAlterada"/>
        <w:rPr>
          <w:rFonts w:ascii="Calibri" w:hAnsi="Calibri" w:cs="Calibri"/>
          <w:strike/>
        </w:rPr>
      </w:pPr>
      <w:r w:rsidRPr="00891BE6">
        <w:rPr>
          <w:rFonts w:ascii="Calibri" w:hAnsi="Calibri" w:cs="Calibri"/>
          <w:strike/>
        </w:rPr>
        <w:t xml:space="preserve">§ 3º </w:t>
      </w:r>
      <w:r w:rsidR="00695CEF" w:rsidRPr="00891BE6">
        <w:rPr>
          <w:rFonts w:ascii="Calibri" w:hAnsi="Calibri" w:cs="Calibri"/>
          <w:strike/>
        </w:rPr>
        <w:t xml:space="preserve">O art. 73 do Anexo Normativo A, referente ao estabelecimento de limites para os fundos de investimento financeiro no tocante à exposição </w:t>
      </w:r>
      <w:proofErr w:type="spellStart"/>
      <w:r w:rsidR="00695CEF" w:rsidRPr="00891BE6">
        <w:rPr>
          <w:rFonts w:ascii="Calibri" w:hAnsi="Calibri" w:cs="Calibri"/>
          <w:strike/>
        </w:rPr>
        <w:t>a</w:t>
      </w:r>
      <w:proofErr w:type="spellEnd"/>
      <w:r w:rsidR="00695CEF" w:rsidRPr="00891BE6">
        <w:rPr>
          <w:rFonts w:ascii="Calibri" w:hAnsi="Calibri" w:cs="Calibri"/>
          <w:strike/>
        </w:rPr>
        <w:t xml:space="preserve"> risco de capital, entra em vigor em 1º de outubro de 2023.</w:t>
      </w:r>
    </w:p>
    <w:p w14:paraId="49CBB917" w14:textId="19B26883" w:rsidR="00891BE6" w:rsidRDefault="00891BE6" w:rsidP="00695CEF">
      <w:pPr>
        <w:ind w:firstLine="567"/>
        <w:jc w:val="both"/>
        <w:rPr>
          <w:rFonts w:asciiTheme="minorHAnsi" w:hAnsiTheme="minorHAnsi" w:cstheme="minorHAnsi"/>
          <w:sz w:val="24"/>
          <w:szCs w:val="24"/>
        </w:rPr>
      </w:pPr>
      <w:r w:rsidRPr="00891BE6">
        <w:rPr>
          <w:rFonts w:asciiTheme="minorHAnsi" w:hAnsiTheme="minorHAnsi" w:cstheme="minorHAnsi"/>
          <w:sz w:val="24"/>
          <w:szCs w:val="24"/>
        </w:rPr>
        <w:t>§ 3</w:t>
      </w:r>
      <w:proofErr w:type="gramStart"/>
      <w:r w:rsidRPr="00891BE6">
        <w:rPr>
          <w:rFonts w:asciiTheme="minorHAnsi" w:hAnsiTheme="minorHAnsi" w:cstheme="minorHAnsi"/>
          <w:sz w:val="24"/>
          <w:szCs w:val="24"/>
        </w:rPr>
        <w:t xml:space="preserve">º </w:t>
      </w:r>
      <w:r>
        <w:rPr>
          <w:rFonts w:asciiTheme="minorHAnsi" w:hAnsiTheme="minorHAnsi" w:cstheme="minorHAnsi"/>
          <w:sz w:val="24"/>
          <w:szCs w:val="24"/>
        </w:rPr>
        <w:t xml:space="preserve"> REVOGADO</w:t>
      </w:r>
      <w:proofErr w:type="gramEnd"/>
    </w:p>
    <w:p w14:paraId="57EAA2C0" w14:textId="17FD6856" w:rsidR="00891BE6" w:rsidRPr="00891BE6" w:rsidRDefault="00891BE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891BE6">
        <w:rPr>
          <w:rFonts w:asciiTheme="minorHAnsi" w:hAnsiTheme="minorHAnsi" w:cstheme="minorHAnsi"/>
          <w:b/>
          <w:bCs/>
          <w:i/>
          <w:iCs/>
          <w:sz w:val="24"/>
          <w:szCs w:val="24"/>
        </w:rPr>
        <w:t xml:space="preserve">  § 3º</w:t>
      </w:r>
      <w:r w:rsidRPr="00891BE6">
        <w:rPr>
          <w:rFonts w:asciiTheme="minorHAnsi" w:hAnsiTheme="minorHAnsi" w:cstheme="minorHAnsi"/>
          <w:sz w:val="24"/>
          <w:szCs w:val="24"/>
        </w:rPr>
        <w:t xml:space="preserve">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2D1CBF5" w14:textId="77777777" w:rsidR="00634753" w:rsidRPr="00A04BBA" w:rsidRDefault="00634753" w:rsidP="00634753">
      <w:pPr>
        <w:pStyle w:val="NormaAlterada"/>
        <w:rPr>
          <w:strike/>
        </w:rPr>
      </w:pPr>
      <w:r w:rsidRPr="00A04BBA">
        <w:rPr>
          <w:strike/>
        </w:rPr>
        <w:t>§ 4</w:t>
      </w:r>
      <w:proofErr w:type="gramStart"/>
      <w:r w:rsidRPr="00A04BBA">
        <w:rPr>
          <w:strike/>
        </w:rPr>
        <w:t>º  O</w:t>
      </w:r>
      <w:proofErr w:type="gramEnd"/>
      <w:r w:rsidRPr="00A04BBA">
        <w:rPr>
          <w:strike/>
        </w:rPr>
        <w:t xml:space="preserve"> art. 99 desta Resolução, referente à existência de acordo de remuneração com base na taxa de administração, performance ou gestão, entra em vigor em 1º de abril de 2024.</w:t>
      </w:r>
    </w:p>
    <w:p w14:paraId="21476F07" w14:textId="526CF6CB" w:rsidR="00634753" w:rsidRPr="00A04BBA" w:rsidRDefault="00634753">
      <w:pPr>
        <w:numPr>
          <w:ilvl w:val="0"/>
          <w:numId w:val="12"/>
        </w:numPr>
        <w:tabs>
          <w:tab w:val="left" w:pos="709"/>
        </w:tabs>
        <w:spacing w:after="0" w:line="312" w:lineRule="auto"/>
        <w:ind w:left="0" w:firstLine="567"/>
        <w:jc w:val="both"/>
        <w:rPr>
          <w:rFonts w:asciiTheme="minorHAnsi" w:hAnsiTheme="minorHAnsi" w:cstheme="minorHAnsi"/>
          <w:b/>
          <w:i/>
          <w:strike/>
          <w:sz w:val="24"/>
          <w:szCs w:val="24"/>
        </w:rPr>
      </w:pPr>
      <w:r w:rsidRPr="00A04BBA">
        <w:rPr>
          <w:rFonts w:asciiTheme="minorHAnsi" w:hAnsiTheme="minorHAnsi" w:cstheme="minorHAnsi"/>
          <w:b/>
          <w:bCs/>
          <w:i/>
          <w:iCs/>
          <w:strike/>
          <w:sz w:val="24"/>
          <w:szCs w:val="24"/>
        </w:rPr>
        <w:t>§ 4º</w:t>
      </w:r>
      <w:r w:rsidRPr="00A04BBA">
        <w:rPr>
          <w:rFonts w:asciiTheme="minorHAnsi" w:hAnsiTheme="minorHAnsi" w:cstheme="minorHAnsi"/>
          <w:b/>
          <w:i/>
          <w:strike/>
          <w:sz w:val="24"/>
          <w:szCs w:val="24"/>
        </w:rPr>
        <w:t xml:space="preserve"> incluído pela </w:t>
      </w:r>
      <w:r w:rsidR="00354506" w:rsidRPr="00A04BBA">
        <w:rPr>
          <w:rFonts w:asciiTheme="minorHAnsi" w:hAnsiTheme="minorHAnsi" w:cstheme="minorHAnsi"/>
          <w:b/>
          <w:i/>
          <w:strike/>
          <w:sz w:val="24"/>
          <w:szCs w:val="24"/>
        </w:rPr>
        <w:t xml:space="preserve">Resolução </w:t>
      </w:r>
      <w:r w:rsidRPr="00A04BBA">
        <w:rPr>
          <w:rFonts w:asciiTheme="minorHAnsi" w:hAnsiTheme="minorHAnsi" w:cstheme="minorHAnsi"/>
          <w:b/>
          <w:i/>
          <w:strike/>
          <w:sz w:val="24"/>
          <w:szCs w:val="24"/>
        </w:rPr>
        <w:t>CVM nº 181, de 28 de março de 2023.</w:t>
      </w:r>
    </w:p>
    <w:p w14:paraId="2DFB4C1F" w14:textId="2CDE52A8" w:rsidR="00A04BBA" w:rsidRDefault="00A04BBA" w:rsidP="00A04BBA">
      <w:pPr>
        <w:pStyle w:val="NormaAlterada"/>
      </w:pPr>
      <w:r w:rsidRPr="00A04BBA">
        <w:t>§ 4</w:t>
      </w:r>
      <w:proofErr w:type="gramStart"/>
      <w:r w:rsidRPr="00A04BBA">
        <w:t>º</w:t>
      </w:r>
      <w:r w:rsidR="008E4554">
        <w:t xml:space="preserve"> </w:t>
      </w:r>
      <w:r w:rsidRPr="00A04BBA">
        <w:t xml:space="preserve"> O</w:t>
      </w:r>
      <w:proofErr w:type="gramEnd"/>
      <w:r w:rsidRPr="00A04BBA">
        <w:t xml:space="preserve"> art. 99 desta Resolução, referente à existência de acordo de remuneração com base na taxa de administração, performance ou gestão, entra em vigor em 1º de outubro de 2024.</w:t>
      </w:r>
    </w:p>
    <w:p w14:paraId="7C905377" w14:textId="0A34C02D" w:rsidR="00A04BBA" w:rsidRPr="00A04BBA" w:rsidRDefault="00A04BBA" w:rsidP="008E4554">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634753">
        <w:rPr>
          <w:rFonts w:asciiTheme="minorHAnsi" w:hAnsiTheme="minorHAnsi" w:cstheme="minorHAnsi"/>
          <w:b/>
          <w:bCs/>
          <w:i/>
          <w:iCs/>
          <w:sz w:val="24"/>
          <w:szCs w:val="24"/>
        </w:rPr>
        <w:t xml:space="preserve">§ </w:t>
      </w:r>
      <w:r>
        <w:rPr>
          <w:rFonts w:asciiTheme="minorHAnsi" w:hAnsiTheme="minorHAnsi" w:cstheme="minorHAnsi"/>
          <w:b/>
          <w:bCs/>
          <w:i/>
          <w:iCs/>
          <w:sz w:val="24"/>
          <w:szCs w:val="24"/>
        </w:rPr>
        <w:t>4</w:t>
      </w:r>
      <w:r w:rsidRPr="00634753">
        <w:rPr>
          <w:rFonts w:asciiTheme="minorHAnsi" w:hAnsiTheme="minorHAnsi" w:cstheme="minorHAnsi"/>
          <w:b/>
          <w:bCs/>
          <w:i/>
          <w:iCs/>
          <w:sz w:val="24"/>
          <w:szCs w:val="24"/>
        </w:rPr>
        <w:t>º</w:t>
      </w:r>
      <w:r w:rsidRPr="00D960C9">
        <w:rPr>
          <w:rFonts w:asciiTheme="minorHAnsi" w:hAnsiTheme="minorHAnsi" w:cstheme="minorHAnsi"/>
          <w:b/>
          <w:i/>
          <w:sz w:val="24"/>
          <w:szCs w:val="24"/>
        </w:rPr>
        <w:t xml:space="preserve"> com redação dada pela </w:t>
      </w:r>
      <w:r>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 xml:space="preserve">CVM nº </w:t>
      </w:r>
      <w:r>
        <w:rPr>
          <w:rFonts w:asciiTheme="minorHAnsi" w:hAnsiTheme="minorHAnsi" w:cstheme="minorHAnsi"/>
          <w:b/>
          <w:i/>
          <w:sz w:val="24"/>
          <w:szCs w:val="24"/>
        </w:rPr>
        <w:t>200</w:t>
      </w:r>
      <w:r w:rsidRPr="00D960C9">
        <w:rPr>
          <w:rFonts w:asciiTheme="minorHAnsi" w:hAnsiTheme="minorHAnsi" w:cstheme="minorHAnsi"/>
          <w:b/>
          <w:i/>
          <w:sz w:val="24"/>
          <w:szCs w:val="24"/>
        </w:rPr>
        <w:t xml:space="preserve">, de </w:t>
      </w:r>
      <w:r>
        <w:rPr>
          <w:rFonts w:asciiTheme="minorHAnsi" w:hAnsiTheme="minorHAnsi" w:cstheme="minorHAnsi"/>
          <w:b/>
          <w:i/>
          <w:sz w:val="24"/>
          <w:szCs w:val="24"/>
        </w:rPr>
        <w:t>12</w:t>
      </w:r>
      <w:r w:rsidRPr="00D960C9">
        <w:rPr>
          <w:rFonts w:asciiTheme="minorHAnsi" w:hAnsiTheme="minorHAnsi" w:cstheme="minorHAnsi"/>
          <w:b/>
          <w:i/>
          <w:sz w:val="24"/>
          <w:szCs w:val="24"/>
        </w:rPr>
        <w:t xml:space="preserve"> de março de 202</w:t>
      </w:r>
      <w:r>
        <w:rPr>
          <w:rFonts w:asciiTheme="minorHAnsi" w:hAnsiTheme="minorHAnsi" w:cstheme="minorHAnsi"/>
          <w:b/>
          <w:i/>
          <w:sz w:val="24"/>
          <w:szCs w:val="24"/>
        </w:rPr>
        <w:t>4</w:t>
      </w:r>
      <w:r w:rsidRPr="00D960C9">
        <w:rPr>
          <w:rFonts w:asciiTheme="minorHAnsi" w:hAnsiTheme="minorHAnsi" w:cstheme="minorHAnsi"/>
          <w:b/>
          <w:i/>
          <w:sz w:val="24"/>
          <w:szCs w:val="24"/>
        </w:rPr>
        <w:t>.</w:t>
      </w:r>
    </w:p>
    <w:p w14:paraId="182EE771" w14:textId="63DE2C16" w:rsidR="000B269E" w:rsidRPr="0097459F" w:rsidRDefault="000B269E" w:rsidP="00C20BBD">
      <w:pPr>
        <w:pStyle w:val="Normalalteradora"/>
      </w:pPr>
      <w:r w:rsidRPr="0097459F">
        <w:t>Art. 141.  Na entrada em vigor desta Resolução ficam revogadas:</w:t>
      </w:r>
    </w:p>
    <w:p w14:paraId="5A71A79A" w14:textId="77777777" w:rsidR="000B269E" w:rsidRPr="0097459F" w:rsidRDefault="000B269E" w:rsidP="00C20BBD">
      <w:pPr>
        <w:pStyle w:val="Normalalteradora"/>
      </w:pPr>
      <w:r w:rsidRPr="0097459F">
        <w:t xml:space="preserve">I – </w:t>
      </w:r>
      <w:proofErr w:type="gramStart"/>
      <w:r w:rsidRPr="0097459F">
        <w:t>a</w:t>
      </w:r>
      <w:proofErr w:type="gramEnd"/>
      <w:r w:rsidRPr="0097459F">
        <w:t xml:space="preserve"> Instrução CVM nº 153, de 24 de julho de 1991;</w:t>
      </w:r>
    </w:p>
    <w:p w14:paraId="553798B5" w14:textId="77777777" w:rsidR="000B269E" w:rsidRPr="0097459F" w:rsidRDefault="000B269E" w:rsidP="00C20BBD">
      <w:pPr>
        <w:pStyle w:val="Normalalteradora"/>
        <w:rPr>
          <w:rFonts w:cstheme="minorHAnsi"/>
        </w:rPr>
      </w:pPr>
      <w:r w:rsidRPr="0097459F">
        <w:lastRenderedPageBreak/>
        <w:t xml:space="preserve">II – </w:t>
      </w:r>
      <w:proofErr w:type="gramStart"/>
      <w:r w:rsidRPr="0097459F">
        <w:t>a</w:t>
      </w:r>
      <w:proofErr w:type="gramEnd"/>
      <w:r w:rsidRPr="0097459F">
        <w:t xml:space="preserve"> Instrução CVM nº 186, de </w:t>
      </w:r>
      <w:r w:rsidRPr="0097459F">
        <w:rPr>
          <w:rFonts w:cstheme="minorHAnsi"/>
        </w:rPr>
        <w:t>17 de março de 1992;</w:t>
      </w:r>
    </w:p>
    <w:p w14:paraId="50EA48D2" w14:textId="77777777" w:rsidR="000B269E" w:rsidRPr="0097459F" w:rsidRDefault="000B269E" w:rsidP="00C20BBD">
      <w:pPr>
        <w:pStyle w:val="Normalalteradora"/>
        <w:rPr>
          <w:rFonts w:cstheme="minorHAnsi"/>
        </w:rPr>
      </w:pPr>
      <w:r w:rsidRPr="0097459F">
        <w:rPr>
          <w:rFonts w:cstheme="minorHAnsi"/>
        </w:rPr>
        <w:t>III – a Instrução CVM nº 213, de 23 de maio de 1994;</w:t>
      </w:r>
    </w:p>
    <w:p w14:paraId="46F87DCD" w14:textId="77777777" w:rsidR="000B269E" w:rsidRPr="0097459F" w:rsidRDefault="000B269E" w:rsidP="00C20BBD">
      <w:pPr>
        <w:pStyle w:val="Normalalteradora"/>
        <w:rPr>
          <w:rFonts w:cstheme="minorHAnsi"/>
        </w:rPr>
      </w:pPr>
      <w:r w:rsidRPr="0097459F">
        <w:rPr>
          <w:rFonts w:cstheme="minorHAnsi"/>
        </w:rPr>
        <w:t xml:space="preserve">IV – </w:t>
      </w:r>
      <w:proofErr w:type="gramStart"/>
      <w:r w:rsidRPr="0097459F">
        <w:rPr>
          <w:rFonts w:cstheme="minorHAnsi"/>
        </w:rPr>
        <w:t>a</w:t>
      </w:r>
      <w:proofErr w:type="gramEnd"/>
      <w:r w:rsidRPr="0097459F">
        <w:rPr>
          <w:rFonts w:cstheme="minorHAnsi"/>
        </w:rPr>
        <w:t xml:space="preserve"> Instrução CVM nº 279, de 14 de maio de 1998;</w:t>
      </w:r>
    </w:p>
    <w:p w14:paraId="45FEEF53" w14:textId="77777777" w:rsidR="000B269E" w:rsidRPr="0097459F" w:rsidRDefault="000B269E" w:rsidP="00C20BBD">
      <w:pPr>
        <w:pStyle w:val="Normalalteradora"/>
        <w:rPr>
          <w:rFonts w:cstheme="minorHAnsi"/>
        </w:rPr>
      </w:pPr>
      <w:r w:rsidRPr="0097459F">
        <w:rPr>
          <w:rFonts w:cstheme="minorHAnsi"/>
        </w:rPr>
        <w:t xml:space="preserve">V – </w:t>
      </w:r>
      <w:proofErr w:type="gramStart"/>
      <w:r w:rsidRPr="0097459F">
        <w:rPr>
          <w:rFonts w:cstheme="minorHAnsi"/>
        </w:rPr>
        <w:t>a</w:t>
      </w:r>
      <w:proofErr w:type="gramEnd"/>
      <w:r w:rsidRPr="0097459F">
        <w:rPr>
          <w:rFonts w:cstheme="minorHAnsi"/>
        </w:rPr>
        <w:t xml:space="preserve"> Instrução CVM nº 356, de 17 de dezembro de 2001;</w:t>
      </w:r>
    </w:p>
    <w:p w14:paraId="43AC0223" w14:textId="031075BA" w:rsidR="000B269E" w:rsidRPr="0097459F" w:rsidRDefault="104EA18D" w:rsidP="61EFE2CA">
      <w:pPr>
        <w:pStyle w:val="Normalalteradora"/>
      </w:pPr>
      <w:r w:rsidRPr="0097459F">
        <w:t xml:space="preserve">VI – </w:t>
      </w:r>
      <w:proofErr w:type="gramStart"/>
      <w:r w:rsidRPr="0097459F">
        <w:t>a</w:t>
      </w:r>
      <w:proofErr w:type="gramEnd"/>
      <w:r w:rsidRPr="0097459F">
        <w:t xml:space="preserve"> Instrução CVM </w:t>
      </w:r>
      <w:r w:rsidR="366CBCD9" w:rsidRPr="0097459F">
        <w:t xml:space="preserve">nº </w:t>
      </w:r>
      <w:r w:rsidRPr="0097459F">
        <w:t>359, de 22 de janeiro de 2002;</w:t>
      </w:r>
    </w:p>
    <w:p w14:paraId="2F3FC02E" w14:textId="1C14EF1A" w:rsidR="000B269E" w:rsidRPr="0097459F" w:rsidRDefault="000B269E" w:rsidP="61EFE2CA">
      <w:pPr>
        <w:pStyle w:val="Normalalteradora"/>
      </w:pPr>
      <w:r w:rsidRPr="0097459F">
        <w:t>VII – a Instrução CVM nº 393, de 22 de julho de 2003;</w:t>
      </w:r>
    </w:p>
    <w:p w14:paraId="3BBC83B8" w14:textId="77777777" w:rsidR="000B269E" w:rsidRPr="0097459F" w:rsidRDefault="000B269E" w:rsidP="00C20BBD">
      <w:pPr>
        <w:pStyle w:val="Normalalteradora"/>
        <w:rPr>
          <w:rFonts w:cstheme="minorHAnsi"/>
        </w:rPr>
      </w:pPr>
      <w:r w:rsidRPr="0097459F">
        <w:rPr>
          <w:rFonts w:cstheme="minorHAnsi"/>
        </w:rPr>
        <w:t>VIII – a Instrução CVM nº 398, de 28 de outubro de 2003;</w:t>
      </w:r>
    </w:p>
    <w:p w14:paraId="4A160FF9" w14:textId="77777777" w:rsidR="000B269E" w:rsidRPr="0097459F" w:rsidRDefault="000B269E" w:rsidP="00C20BBD">
      <w:pPr>
        <w:pStyle w:val="Normalalteradora"/>
        <w:rPr>
          <w:rFonts w:cstheme="minorHAnsi"/>
        </w:rPr>
      </w:pPr>
      <w:r w:rsidRPr="0097459F">
        <w:rPr>
          <w:rFonts w:cstheme="minorHAnsi"/>
        </w:rPr>
        <w:t xml:space="preserve">IX – </w:t>
      </w:r>
      <w:proofErr w:type="gramStart"/>
      <w:r w:rsidRPr="0097459F">
        <w:rPr>
          <w:rFonts w:cstheme="minorHAnsi"/>
        </w:rPr>
        <w:t>a</w:t>
      </w:r>
      <w:proofErr w:type="gramEnd"/>
      <w:r w:rsidRPr="0097459F">
        <w:rPr>
          <w:rFonts w:cstheme="minorHAnsi"/>
        </w:rPr>
        <w:t xml:space="preserve"> Instrução CVM nº 399, de 21 de novembro de 2003;</w:t>
      </w:r>
    </w:p>
    <w:p w14:paraId="4B6F8D09" w14:textId="77777777" w:rsidR="000B269E" w:rsidRPr="0097459F" w:rsidRDefault="000B269E" w:rsidP="00C20BBD">
      <w:pPr>
        <w:pStyle w:val="Normalalteradora"/>
        <w:rPr>
          <w:rFonts w:cstheme="minorHAnsi"/>
        </w:rPr>
      </w:pPr>
      <w:r w:rsidRPr="0097459F">
        <w:rPr>
          <w:rFonts w:cstheme="minorHAnsi"/>
        </w:rPr>
        <w:t xml:space="preserve">X – </w:t>
      </w:r>
      <w:proofErr w:type="gramStart"/>
      <w:r w:rsidRPr="0097459F">
        <w:rPr>
          <w:rFonts w:cstheme="minorHAnsi"/>
        </w:rPr>
        <w:t>a</w:t>
      </w:r>
      <w:proofErr w:type="gramEnd"/>
      <w:r w:rsidRPr="0097459F">
        <w:rPr>
          <w:rFonts w:cstheme="minorHAnsi"/>
        </w:rPr>
        <w:t xml:space="preserve"> Instrução CVM nº 423, de 28 de setembro de 2005;</w:t>
      </w:r>
    </w:p>
    <w:p w14:paraId="11827A59" w14:textId="77777777" w:rsidR="000B269E" w:rsidRPr="0097459F" w:rsidRDefault="000B269E" w:rsidP="00C20BBD">
      <w:pPr>
        <w:pStyle w:val="Normalalteradora"/>
        <w:rPr>
          <w:rFonts w:cstheme="minorHAnsi"/>
        </w:rPr>
      </w:pPr>
      <w:r w:rsidRPr="0097459F">
        <w:rPr>
          <w:rFonts w:cstheme="minorHAnsi"/>
        </w:rPr>
        <w:t>XI – a Instrução CVM nº 432, de 1º de junho de 2006;</w:t>
      </w:r>
    </w:p>
    <w:p w14:paraId="559C6745" w14:textId="77777777" w:rsidR="000B269E" w:rsidRPr="0097459F" w:rsidRDefault="000B269E" w:rsidP="00C20BBD">
      <w:pPr>
        <w:pStyle w:val="Normalalteradora"/>
        <w:rPr>
          <w:rFonts w:cstheme="minorHAnsi"/>
        </w:rPr>
      </w:pPr>
      <w:r w:rsidRPr="0097459F">
        <w:rPr>
          <w:rFonts w:cstheme="minorHAnsi"/>
        </w:rPr>
        <w:t>XII – a Instrução CVM nº 435, de 5 de julho de 2006;</w:t>
      </w:r>
    </w:p>
    <w:p w14:paraId="6C32B215" w14:textId="77777777" w:rsidR="000B269E" w:rsidRPr="0097459F" w:rsidRDefault="000B269E" w:rsidP="00C20BBD">
      <w:pPr>
        <w:pStyle w:val="Normalalteradora"/>
        <w:rPr>
          <w:rFonts w:cstheme="minorHAnsi"/>
        </w:rPr>
      </w:pPr>
      <w:r w:rsidRPr="0097459F">
        <w:rPr>
          <w:rFonts w:cstheme="minorHAnsi"/>
        </w:rPr>
        <w:t>XIII –a Instrução CVM nº 442, de 8 de dezembro de 2006;</w:t>
      </w:r>
    </w:p>
    <w:p w14:paraId="6FE6BEAC" w14:textId="77777777" w:rsidR="000B269E" w:rsidRPr="0097459F" w:rsidRDefault="000B269E" w:rsidP="00C20BBD">
      <w:pPr>
        <w:pStyle w:val="Normalalteradora"/>
        <w:rPr>
          <w:rFonts w:cstheme="minorHAnsi"/>
        </w:rPr>
      </w:pPr>
      <w:r w:rsidRPr="0097459F">
        <w:rPr>
          <w:rFonts w:cstheme="minorHAnsi"/>
        </w:rPr>
        <w:t>XIV – a Instrução CVM nº 444, de 8 de dezembro de 2006;</w:t>
      </w:r>
    </w:p>
    <w:p w14:paraId="022DADD2" w14:textId="77777777" w:rsidR="000B269E" w:rsidRPr="0097459F" w:rsidRDefault="000B269E" w:rsidP="00C20BBD">
      <w:pPr>
        <w:pStyle w:val="Normalalteradora"/>
        <w:rPr>
          <w:rFonts w:cstheme="minorHAnsi"/>
        </w:rPr>
      </w:pPr>
      <w:r w:rsidRPr="0097459F">
        <w:rPr>
          <w:rFonts w:cstheme="minorHAnsi"/>
        </w:rPr>
        <w:t xml:space="preserve">XV – </w:t>
      </w:r>
      <w:proofErr w:type="gramStart"/>
      <w:r w:rsidRPr="0097459F">
        <w:rPr>
          <w:rFonts w:cstheme="minorHAnsi"/>
        </w:rPr>
        <w:t>a</w:t>
      </w:r>
      <w:proofErr w:type="gramEnd"/>
      <w:r w:rsidRPr="0097459F">
        <w:rPr>
          <w:rFonts w:cstheme="minorHAnsi"/>
        </w:rPr>
        <w:t xml:space="preserve"> Instrução CVM nº 446, de 19 e dezembro de 2006;</w:t>
      </w:r>
    </w:p>
    <w:p w14:paraId="2D7202F8" w14:textId="77777777" w:rsidR="000B269E" w:rsidRPr="0097459F" w:rsidRDefault="104EA18D" w:rsidP="00C20BBD">
      <w:pPr>
        <w:pStyle w:val="Normalalteradora"/>
      </w:pPr>
      <w:r w:rsidRPr="0097459F">
        <w:t>XVI – a Instrução CVM nº 458, de 16 de agosto de 2007;</w:t>
      </w:r>
    </w:p>
    <w:p w14:paraId="6E788793" w14:textId="6E1827B6" w:rsidR="0CA958A7" w:rsidRPr="0097459F" w:rsidRDefault="0CA958A7" w:rsidP="00C20BBD">
      <w:pPr>
        <w:pStyle w:val="Normalalteradora"/>
      </w:pPr>
      <w:r w:rsidRPr="0097459F">
        <w:t>XVI</w:t>
      </w:r>
      <w:r w:rsidR="008827AF" w:rsidRPr="0097459F">
        <w:t>I</w:t>
      </w:r>
      <w:r w:rsidRPr="0097459F">
        <w:t xml:space="preserve"> - a Instrução CVM nº 459, de </w:t>
      </w:r>
      <w:r w:rsidR="711D6659" w:rsidRPr="0097459F">
        <w:t>17 de setembro</w:t>
      </w:r>
      <w:r w:rsidRPr="0097459F">
        <w:t xml:space="preserve"> de 2007;</w:t>
      </w:r>
    </w:p>
    <w:p w14:paraId="585FB313" w14:textId="6127855F" w:rsidR="008974F1" w:rsidRPr="0097459F" w:rsidRDefault="008827AF" w:rsidP="00C20BBD">
      <w:pPr>
        <w:pStyle w:val="Normalalteradora"/>
      </w:pPr>
      <w:r w:rsidRPr="0097459F">
        <w:t xml:space="preserve">XVIII - </w:t>
      </w:r>
      <w:r w:rsidR="00723612" w:rsidRPr="0097459F">
        <w:t>a Instrução CVM nº 472, de 31 de outubro de 2008;</w:t>
      </w:r>
    </w:p>
    <w:p w14:paraId="09E8A7FC" w14:textId="395F38DD" w:rsidR="000B269E" w:rsidRPr="0097459F" w:rsidRDefault="008827AF" w:rsidP="00C20BBD">
      <w:pPr>
        <w:pStyle w:val="Normalalteradora"/>
        <w:rPr>
          <w:rFonts w:cstheme="minorHAnsi"/>
        </w:rPr>
      </w:pPr>
      <w:r w:rsidRPr="0097459F">
        <w:rPr>
          <w:rFonts w:cstheme="minorHAnsi"/>
        </w:rPr>
        <w:t xml:space="preserve">XIX </w:t>
      </w:r>
      <w:r w:rsidR="000B269E" w:rsidRPr="0097459F">
        <w:rPr>
          <w:rFonts w:cstheme="minorHAnsi"/>
        </w:rPr>
        <w:t>– a Instrução CVM nº 484, de 21 de julho de 2010;</w:t>
      </w:r>
    </w:p>
    <w:p w14:paraId="3D812864" w14:textId="6E31077A" w:rsidR="000B269E" w:rsidRPr="0097459F" w:rsidRDefault="008827AF" w:rsidP="00C20BBD">
      <w:pPr>
        <w:pStyle w:val="Normalalteradora"/>
        <w:rPr>
          <w:rFonts w:cstheme="minorHAnsi"/>
        </w:rPr>
      </w:pPr>
      <w:r w:rsidRPr="0097459F">
        <w:rPr>
          <w:rFonts w:cstheme="minorHAnsi"/>
        </w:rPr>
        <w:t>XX</w:t>
      </w:r>
      <w:r w:rsidR="000B269E" w:rsidRPr="0097459F">
        <w:rPr>
          <w:rFonts w:cstheme="minorHAnsi"/>
        </w:rPr>
        <w:t xml:space="preserve">– </w:t>
      </w:r>
      <w:proofErr w:type="gramStart"/>
      <w:r w:rsidR="000B269E" w:rsidRPr="0097459F">
        <w:rPr>
          <w:rFonts w:cstheme="minorHAnsi"/>
        </w:rPr>
        <w:t>a</w:t>
      </w:r>
      <w:proofErr w:type="gramEnd"/>
      <w:r w:rsidR="000B269E" w:rsidRPr="0097459F">
        <w:rPr>
          <w:rFonts w:cstheme="minorHAnsi"/>
        </w:rPr>
        <w:t xml:space="preserve"> Instrução CVM nº 498, de 13 de junho de 2011;</w:t>
      </w:r>
    </w:p>
    <w:p w14:paraId="471660E6" w14:textId="69F8B314" w:rsidR="001826B6" w:rsidRPr="0097459F" w:rsidRDefault="008827AF" w:rsidP="00C20BBD">
      <w:pPr>
        <w:pStyle w:val="Normalalteradora"/>
        <w:rPr>
          <w:rFonts w:cstheme="minorHAnsi"/>
        </w:rPr>
      </w:pPr>
      <w:r w:rsidRPr="0097459F">
        <w:rPr>
          <w:rFonts w:cstheme="minorHAnsi"/>
        </w:rPr>
        <w:t>XXI</w:t>
      </w:r>
      <w:r w:rsidR="001826B6" w:rsidRPr="0097459F">
        <w:rPr>
          <w:rFonts w:cstheme="minorHAnsi"/>
        </w:rPr>
        <w:t xml:space="preserve"> – a Instrução CVM nº 504, de 21 de setembro de 2011;</w:t>
      </w:r>
    </w:p>
    <w:p w14:paraId="1EF766DC" w14:textId="75B6E09C" w:rsidR="000B269E" w:rsidRPr="0097459F" w:rsidRDefault="008827AF" w:rsidP="00C20BBD">
      <w:pPr>
        <w:pStyle w:val="Normalalteradora"/>
        <w:rPr>
          <w:rFonts w:cstheme="minorHAnsi"/>
        </w:rPr>
      </w:pPr>
      <w:r w:rsidRPr="0097459F">
        <w:rPr>
          <w:rFonts w:cstheme="minorHAnsi"/>
        </w:rPr>
        <w:t>XXII</w:t>
      </w:r>
      <w:r w:rsidR="000B269E" w:rsidRPr="0097459F">
        <w:rPr>
          <w:rFonts w:cstheme="minorHAnsi"/>
        </w:rPr>
        <w:t xml:space="preserve"> – a Instrução CVM nº 531, de 6 de fevereiro de 2013;</w:t>
      </w:r>
    </w:p>
    <w:p w14:paraId="2F311C8A" w14:textId="78164F78" w:rsidR="001B713F" w:rsidRDefault="001B713F" w:rsidP="00C20BBD">
      <w:pPr>
        <w:pStyle w:val="Normalalteradora"/>
        <w:rPr>
          <w:rFonts w:cstheme="minorHAnsi"/>
        </w:rPr>
      </w:pPr>
      <w:r>
        <w:rPr>
          <w:rFonts w:cstheme="minorHAnsi"/>
        </w:rPr>
        <w:t>XXIII –a Instrução CVM nº 554, de 17 de dezembro de 2014;</w:t>
      </w:r>
    </w:p>
    <w:p w14:paraId="579036F4" w14:textId="1C84D6CC" w:rsidR="000B269E" w:rsidRPr="0097459F" w:rsidRDefault="008827AF" w:rsidP="00C20BBD">
      <w:pPr>
        <w:pStyle w:val="Normalalteradora"/>
        <w:rPr>
          <w:rFonts w:cstheme="minorHAnsi"/>
        </w:rPr>
      </w:pPr>
      <w:r w:rsidRPr="0097459F">
        <w:rPr>
          <w:rFonts w:cstheme="minorHAnsi"/>
        </w:rPr>
        <w:t xml:space="preserve">XXIV </w:t>
      </w:r>
      <w:r w:rsidR="000B269E" w:rsidRPr="0097459F">
        <w:rPr>
          <w:rFonts w:cstheme="minorHAnsi"/>
        </w:rPr>
        <w:t>– a Instrução CVM nº 555, de 17 de dezembro de 2014;</w:t>
      </w:r>
    </w:p>
    <w:p w14:paraId="529901F6" w14:textId="17AFCC69" w:rsidR="000B269E" w:rsidRPr="0097459F" w:rsidRDefault="008827AF" w:rsidP="00C20BBD">
      <w:pPr>
        <w:pStyle w:val="Normalalteradora"/>
        <w:rPr>
          <w:rFonts w:cstheme="minorHAnsi"/>
        </w:rPr>
      </w:pPr>
      <w:r w:rsidRPr="0097459F">
        <w:rPr>
          <w:rFonts w:cstheme="minorHAnsi"/>
        </w:rPr>
        <w:t xml:space="preserve">XXV </w:t>
      </w:r>
      <w:r w:rsidR="000B269E" w:rsidRPr="0097459F">
        <w:rPr>
          <w:rFonts w:cstheme="minorHAnsi"/>
        </w:rPr>
        <w:t>– a Instrução CVM nº 563, de 18 de maio de 2015;</w:t>
      </w:r>
    </w:p>
    <w:p w14:paraId="52ED139B" w14:textId="470E5C79" w:rsidR="000B269E" w:rsidRPr="0097459F" w:rsidRDefault="008827AF" w:rsidP="00C20BBD">
      <w:pPr>
        <w:pStyle w:val="Normalalteradora"/>
        <w:rPr>
          <w:rFonts w:cstheme="minorHAnsi"/>
        </w:rPr>
      </w:pPr>
      <w:r w:rsidRPr="0097459F">
        <w:rPr>
          <w:rFonts w:cstheme="minorHAnsi"/>
        </w:rPr>
        <w:lastRenderedPageBreak/>
        <w:t>XXVI</w:t>
      </w:r>
      <w:r w:rsidR="000B269E" w:rsidRPr="0097459F">
        <w:rPr>
          <w:rFonts w:cstheme="minorHAnsi"/>
        </w:rPr>
        <w:t xml:space="preserve"> – a Instrução CVM nº 564, de 11 de junho de 2015;</w:t>
      </w:r>
    </w:p>
    <w:p w14:paraId="6C1607F5" w14:textId="1B13BD4C" w:rsidR="000B269E" w:rsidRPr="0097459F" w:rsidRDefault="008827AF" w:rsidP="00C20BBD">
      <w:pPr>
        <w:pStyle w:val="Normalalteradora"/>
        <w:rPr>
          <w:rFonts w:cstheme="minorHAnsi"/>
        </w:rPr>
      </w:pPr>
      <w:r w:rsidRPr="0097459F">
        <w:rPr>
          <w:rFonts w:cstheme="minorHAnsi"/>
        </w:rPr>
        <w:t>XXVII</w:t>
      </w:r>
      <w:r w:rsidR="000B269E" w:rsidRPr="0097459F">
        <w:rPr>
          <w:rFonts w:cstheme="minorHAnsi"/>
        </w:rPr>
        <w:t xml:space="preserve"> – a Instrução CVM nº 572, de 26 de novembro de 2015;</w:t>
      </w:r>
    </w:p>
    <w:p w14:paraId="243C3C5D" w14:textId="267A1AF4" w:rsidR="000B269E" w:rsidRPr="0097459F" w:rsidRDefault="008827AF" w:rsidP="00C20BBD">
      <w:pPr>
        <w:pStyle w:val="Normalalteradora"/>
        <w:rPr>
          <w:rFonts w:cstheme="minorHAnsi"/>
        </w:rPr>
      </w:pPr>
      <w:r w:rsidRPr="0097459F">
        <w:rPr>
          <w:rFonts w:cstheme="minorHAnsi"/>
        </w:rPr>
        <w:t xml:space="preserve">XXVIII </w:t>
      </w:r>
      <w:r w:rsidR="000B269E" w:rsidRPr="0097459F">
        <w:rPr>
          <w:rFonts w:cstheme="minorHAnsi"/>
        </w:rPr>
        <w:t>– a Instrução CVM nº 578, de 30 de agosto de 2016;</w:t>
      </w:r>
    </w:p>
    <w:p w14:paraId="35E48717" w14:textId="0E92FFDE" w:rsidR="000B269E" w:rsidRPr="0097459F" w:rsidRDefault="008827AF" w:rsidP="00C20BBD">
      <w:pPr>
        <w:pStyle w:val="Normalalteradora"/>
        <w:rPr>
          <w:rFonts w:cstheme="minorHAnsi"/>
        </w:rPr>
      </w:pPr>
      <w:r w:rsidRPr="0097459F">
        <w:rPr>
          <w:rFonts w:cstheme="minorHAnsi"/>
        </w:rPr>
        <w:t xml:space="preserve">XXIX </w:t>
      </w:r>
      <w:r w:rsidR="000B269E" w:rsidRPr="0097459F">
        <w:rPr>
          <w:rFonts w:cstheme="minorHAnsi"/>
        </w:rPr>
        <w:t>– a Instrução CVM nº 582, de 22 de junho de 2016;</w:t>
      </w:r>
    </w:p>
    <w:p w14:paraId="1B1F45E3" w14:textId="1E7149B7" w:rsidR="000B269E" w:rsidRPr="0097459F" w:rsidRDefault="008827AF" w:rsidP="00C20BBD">
      <w:pPr>
        <w:pStyle w:val="Normalalteradora"/>
        <w:rPr>
          <w:rFonts w:cstheme="minorHAnsi"/>
        </w:rPr>
      </w:pPr>
      <w:r w:rsidRPr="0097459F">
        <w:rPr>
          <w:rFonts w:cstheme="minorHAnsi"/>
        </w:rPr>
        <w:t xml:space="preserve">XXX </w:t>
      </w:r>
      <w:r w:rsidR="000B269E" w:rsidRPr="0097459F">
        <w:rPr>
          <w:rFonts w:cstheme="minorHAnsi"/>
        </w:rPr>
        <w:t>– a Instrução CVM nº 587, de 29 de junho 2017;</w:t>
      </w:r>
    </w:p>
    <w:p w14:paraId="19C8E8B6" w14:textId="06E23378" w:rsidR="000B269E" w:rsidRPr="0097459F" w:rsidRDefault="008827AF" w:rsidP="00C20BBD">
      <w:pPr>
        <w:pStyle w:val="Normalalteradora"/>
        <w:rPr>
          <w:rFonts w:cstheme="minorHAnsi"/>
        </w:rPr>
      </w:pPr>
      <w:r w:rsidRPr="0097459F">
        <w:rPr>
          <w:rFonts w:cstheme="minorHAnsi"/>
        </w:rPr>
        <w:t>XXXI</w:t>
      </w:r>
      <w:r w:rsidR="000B269E" w:rsidRPr="0097459F">
        <w:rPr>
          <w:rFonts w:cstheme="minorHAnsi"/>
        </w:rPr>
        <w:t xml:space="preserve"> – a Instrução CVM nº 604, de 13 de dezembro de 2018;</w:t>
      </w:r>
    </w:p>
    <w:p w14:paraId="4B946063" w14:textId="74C9C0BB" w:rsidR="000B269E" w:rsidRPr="0097459F" w:rsidRDefault="008827AF" w:rsidP="00C20BBD">
      <w:pPr>
        <w:pStyle w:val="Normalalteradora"/>
        <w:rPr>
          <w:rFonts w:cstheme="minorHAnsi"/>
        </w:rPr>
      </w:pPr>
      <w:r w:rsidRPr="0097459F">
        <w:rPr>
          <w:rFonts w:cstheme="minorHAnsi"/>
        </w:rPr>
        <w:t>XXXII</w:t>
      </w:r>
      <w:r w:rsidR="000B269E" w:rsidRPr="0097459F">
        <w:rPr>
          <w:rFonts w:cstheme="minorHAnsi"/>
        </w:rPr>
        <w:t xml:space="preserve"> –a Instrução CVM nº 605, de 25 de novembro de 2019;</w:t>
      </w:r>
    </w:p>
    <w:p w14:paraId="1642A0BE" w14:textId="42AB0642" w:rsidR="000B269E" w:rsidRPr="0097459F" w:rsidRDefault="008827AF" w:rsidP="00C20BBD">
      <w:pPr>
        <w:pStyle w:val="Normalalteradora"/>
        <w:rPr>
          <w:rFonts w:cstheme="minorHAnsi"/>
        </w:rPr>
      </w:pPr>
      <w:r w:rsidRPr="0097459F">
        <w:rPr>
          <w:rFonts w:cstheme="minorHAnsi"/>
        </w:rPr>
        <w:t xml:space="preserve">XXXIII </w:t>
      </w:r>
      <w:r w:rsidR="000B269E" w:rsidRPr="0097459F">
        <w:rPr>
          <w:rFonts w:cstheme="minorHAnsi"/>
        </w:rPr>
        <w:t>– a Instrução CVM nº 606, de 25 de março de 2019;</w:t>
      </w:r>
    </w:p>
    <w:p w14:paraId="151D4648" w14:textId="2685527F" w:rsidR="000B269E" w:rsidRPr="0097459F" w:rsidRDefault="008827AF" w:rsidP="00C20BBD">
      <w:pPr>
        <w:pStyle w:val="Normalalteradora"/>
        <w:rPr>
          <w:rFonts w:cstheme="minorHAnsi"/>
        </w:rPr>
      </w:pPr>
      <w:r w:rsidRPr="0097459F">
        <w:t>XXXIV</w:t>
      </w:r>
      <w:r w:rsidRPr="0097459F">
        <w:rPr>
          <w:rFonts w:cstheme="minorHAnsi"/>
        </w:rPr>
        <w:t xml:space="preserve"> </w:t>
      </w:r>
      <w:r w:rsidR="000B269E" w:rsidRPr="0097459F">
        <w:rPr>
          <w:rFonts w:cstheme="minorHAnsi"/>
        </w:rPr>
        <w:t>– a Instrução CVM nº 609, de 25 de junho de 2019;</w:t>
      </w:r>
    </w:p>
    <w:p w14:paraId="1F1E06E9" w14:textId="739630C0" w:rsidR="000B269E" w:rsidRPr="0097459F" w:rsidRDefault="008827AF" w:rsidP="00C20BBD">
      <w:pPr>
        <w:pStyle w:val="Normalalteradora"/>
        <w:rPr>
          <w:rFonts w:cstheme="minorHAnsi"/>
        </w:rPr>
      </w:pPr>
      <w:r w:rsidRPr="0097459F">
        <w:rPr>
          <w:rFonts w:cstheme="minorHAnsi"/>
        </w:rPr>
        <w:t xml:space="preserve">XXXV </w:t>
      </w:r>
      <w:r w:rsidR="000B269E" w:rsidRPr="0097459F">
        <w:rPr>
          <w:rFonts w:cstheme="minorHAnsi"/>
        </w:rPr>
        <w:t>– a Instrução CVM nº 615, de 2 de outubro de 2019;</w:t>
      </w:r>
    </w:p>
    <w:p w14:paraId="5DFBC873" w14:textId="1D43ED53" w:rsidR="000B269E" w:rsidRPr="0097459F" w:rsidRDefault="008827AF" w:rsidP="00C20BBD">
      <w:pPr>
        <w:pStyle w:val="Normalalteradora"/>
        <w:rPr>
          <w:rFonts w:cstheme="minorHAnsi"/>
        </w:rPr>
      </w:pPr>
      <w:r w:rsidRPr="0097459F">
        <w:rPr>
          <w:rFonts w:cstheme="minorHAnsi"/>
        </w:rPr>
        <w:t>XXXVI</w:t>
      </w:r>
      <w:r w:rsidR="000B269E" w:rsidRPr="0097459F">
        <w:rPr>
          <w:rFonts w:cstheme="minorHAnsi"/>
        </w:rPr>
        <w:t xml:space="preserve"> – a Deliberação CVM nº 546, de 4 de agosto de 2008;</w:t>
      </w:r>
    </w:p>
    <w:p w14:paraId="1F45B946" w14:textId="51F45341" w:rsidR="000B269E" w:rsidRPr="0097459F" w:rsidRDefault="008827AF" w:rsidP="00C20BBD">
      <w:pPr>
        <w:pStyle w:val="Normalalteradora"/>
        <w:rPr>
          <w:rFonts w:cstheme="minorHAnsi"/>
        </w:rPr>
      </w:pPr>
      <w:r w:rsidRPr="0097459F">
        <w:rPr>
          <w:rFonts w:cstheme="minorHAnsi"/>
        </w:rPr>
        <w:t>XXXVII</w:t>
      </w:r>
      <w:r w:rsidR="000B269E" w:rsidRPr="0097459F">
        <w:rPr>
          <w:rFonts w:cstheme="minorHAnsi"/>
        </w:rPr>
        <w:t xml:space="preserve"> - a Deliberação CVM nº 571, de 31 de março de 2008; e</w:t>
      </w:r>
    </w:p>
    <w:p w14:paraId="50E16F92" w14:textId="2809CFFB" w:rsidR="000B269E" w:rsidRPr="0097459F" w:rsidRDefault="008827AF" w:rsidP="00C20BBD">
      <w:pPr>
        <w:pStyle w:val="Normalalteradora"/>
        <w:rPr>
          <w:rFonts w:cstheme="minorHAnsi"/>
        </w:rPr>
      </w:pPr>
      <w:r w:rsidRPr="0097459F">
        <w:rPr>
          <w:rFonts w:cstheme="minorHAnsi"/>
        </w:rPr>
        <w:t xml:space="preserve">XXXVIII </w:t>
      </w:r>
      <w:r w:rsidR="000B269E" w:rsidRPr="0097459F">
        <w:rPr>
          <w:rFonts w:cstheme="minorHAnsi"/>
        </w:rPr>
        <w:t>- a Deliberação CVM nº 782, de 25 de outubro de 2017.</w:t>
      </w:r>
    </w:p>
    <w:p w14:paraId="6D31B7EF" w14:textId="0EA80BE0" w:rsidR="00893D49" w:rsidRPr="0097459F" w:rsidRDefault="00893D49" w:rsidP="00C20BBD">
      <w:pPr>
        <w:pStyle w:val="NormalWeb"/>
        <w:spacing w:before="0" w:beforeAutospacing="0" w:after="0" w:afterAutospacing="0" w:line="312" w:lineRule="auto"/>
        <w:ind w:firstLine="567"/>
        <w:jc w:val="center"/>
        <w:rPr>
          <w:rFonts w:asciiTheme="minorHAnsi" w:hAnsiTheme="minorHAnsi"/>
        </w:rPr>
      </w:pPr>
    </w:p>
    <w:p w14:paraId="276A4057" w14:textId="77777777" w:rsidR="00893D49" w:rsidRPr="0097459F" w:rsidRDefault="00893D49" w:rsidP="00C20BBD">
      <w:pPr>
        <w:pStyle w:val="NormalWeb"/>
        <w:spacing w:before="0" w:beforeAutospacing="0" w:after="0" w:afterAutospacing="0" w:line="312" w:lineRule="auto"/>
        <w:ind w:firstLine="567"/>
        <w:jc w:val="center"/>
        <w:rPr>
          <w:rFonts w:asciiTheme="minorHAnsi" w:hAnsiTheme="minorHAnsi" w:cstheme="minorHAnsi"/>
          <w:i/>
          <w:iCs/>
        </w:rPr>
      </w:pPr>
      <w:r w:rsidRPr="0097459F">
        <w:rPr>
          <w:rFonts w:asciiTheme="minorHAnsi" w:hAnsiTheme="minorHAnsi" w:cstheme="minorHAnsi"/>
          <w:i/>
          <w:iCs/>
        </w:rPr>
        <w:t>Assinado eletronicamente por</w:t>
      </w:r>
    </w:p>
    <w:p w14:paraId="32330E77" w14:textId="6B293443" w:rsidR="00893D49" w:rsidRPr="0097459F" w:rsidRDefault="2449BE3A" w:rsidP="00C20BBD">
      <w:pPr>
        <w:widowControl w:val="0"/>
        <w:spacing w:after="0" w:line="312" w:lineRule="auto"/>
        <w:ind w:firstLine="567"/>
        <w:jc w:val="center"/>
        <w:rPr>
          <w:rFonts w:asciiTheme="minorHAnsi" w:hAnsiTheme="minorHAnsi" w:cstheme="minorBidi"/>
          <w:b/>
          <w:bCs/>
          <w:smallCaps/>
          <w:sz w:val="24"/>
          <w:szCs w:val="24"/>
        </w:rPr>
      </w:pPr>
      <w:r w:rsidRPr="0097459F">
        <w:rPr>
          <w:rFonts w:asciiTheme="minorHAnsi" w:hAnsiTheme="minorHAnsi" w:cstheme="minorBidi"/>
          <w:b/>
          <w:bCs/>
          <w:smallCaps/>
          <w:sz w:val="24"/>
          <w:szCs w:val="24"/>
        </w:rPr>
        <w:t>JOÃO PEDRO BARROSO DO NASCIMENTO</w:t>
      </w:r>
    </w:p>
    <w:p w14:paraId="6BBEC24B" w14:textId="2B73B269" w:rsidR="006D1B94" w:rsidRPr="0097459F" w:rsidRDefault="00893D49" w:rsidP="00C20BBD">
      <w:pPr>
        <w:pStyle w:val="NormalWeb"/>
        <w:spacing w:before="0" w:beforeAutospacing="0" w:after="0" w:afterAutospacing="0" w:line="312" w:lineRule="auto"/>
        <w:ind w:firstLine="567"/>
        <w:jc w:val="center"/>
        <w:rPr>
          <w:rFonts w:asciiTheme="minorHAnsi" w:hAnsiTheme="minorHAnsi" w:cstheme="minorHAnsi"/>
          <w:b/>
        </w:rPr>
      </w:pPr>
      <w:r w:rsidRPr="0097459F">
        <w:rPr>
          <w:rFonts w:asciiTheme="minorHAnsi" w:hAnsiTheme="minorHAnsi" w:cstheme="minorHAnsi"/>
          <w:b/>
        </w:rPr>
        <w:t>Presidente</w:t>
      </w:r>
    </w:p>
    <w:p w14:paraId="4F1D65C9" w14:textId="77777777" w:rsidR="00C20BBD" w:rsidRPr="0097459F" w:rsidRDefault="00C20BBD" w:rsidP="00C20BBD">
      <w:pPr>
        <w:pStyle w:val="NormalWeb"/>
        <w:spacing w:before="0" w:beforeAutospacing="0" w:after="0" w:afterAutospacing="0" w:line="312" w:lineRule="auto"/>
        <w:ind w:firstLine="567"/>
        <w:jc w:val="center"/>
        <w:rPr>
          <w:rFonts w:asciiTheme="minorHAnsi" w:hAnsiTheme="minorHAnsi" w:cstheme="minorHAnsi"/>
          <w:b/>
        </w:rPr>
      </w:pPr>
    </w:p>
    <w:p w14:paraId="7FC65FAD" w14:textId="77777777" w:rsidR="00931F83" w:rsidRDefault="00C20BBD">
      <w:pPr>
        <w:spacing w:after="160" w:line="259" w:lineRule="auto"/>
        <w:rPr>
          <w:rFonts w:asciiTheme="minorHAnsi" w:hAnsiTheme="minorHAnsi" w:cstheme="minorHAnsi"/>
          <w:b/>
          <w:sz w:val="24"/>
          <w:szCs w:val="24"/>
        </w:rPr>
        <w:sectPr w:rsidR="00931F83" w:rsidSect="002A08BD">
          <w:headerReference w:type="default" r:id="rId12"/>
          <w:footerReference w:type="default" r:id="rId13"/>
          <w:headerReference w:type="first" r:id="rId14"/>
          <w:pgSz w:w="11906" w:h="16838"/>
          <w:pgMar w:top="2268" w:right="567" w:bottom="851" w:left="1134" w:header="709" w:footer="709" w:gutter="0"/>
          <w:pgNumType w:start="1"/>
          <w:cols w:space="708"/>
          <w:titlePg/>
          <w:docGrid w:linePitch="360"/>
        </w:sectPr>
      </w:pPr>
      <w:r w:rsidRPr="0097459F">
        <w:rPr>
          <w:rFonts w:asciiTheme="minorHAnsi" w:hAnsiTheme="minorHAnsi" w:cstheme="minorHAnsi"/>
          <w:b/>
          <w:sz w:val="24"/>
          <w:szCs w:val="24"/>
        </w:rPr>
        <w:br w:type="page"/>
      </w:r>
    </w:p>
    <w:p w14:paraId="09DD64C2" w14:textId="0B575A6A" w:rsidR="00C20BBD" w:rsidRPr="0097459F" w:rsidRDefault="00C20BBD" w:rsidP="00077E9E">
      <w:pPr>
        <w:pStyle w:val="TtulodaResoluo"/>
        <w:rPr>
          <w:b/>
          <w:bCs/>
        </w:rPr>
      </w:pPr>
      <w:bookmarkStart w:id="357" w:name="_Toc57836235"/>
      <w:bookmarkStart w:id="358" w:name="_Toc161141249"/>
      <w:r w:rsidRPr="0097459F">
        <w:lastRenderedPageBreak/>
        <w:t>ANEXO NORMATIVO I – FUNDOS DE INVESTIMENTO FINANCEIRO</w:t>
      </w:r>
      <w:bookmarkEnd w:id="357"/>
      <w:bookmarkEnd w:id="358"/>
    </w:p>
    <w:p w14:paraId="0D6F2F9C" w14:textId="77777777" w:rsidR="00C20BBD" w:rsidRPr="0097459F" w:rsidRDefault="00C20BBD" w:rsidP="00C20BBD">
      <w:pPr>
        <w:pStyle w:val="Ementa"/>
      </w:pPr>
      <w:r w:rsidRPr="0097459F">
        <w:t>Dispõe sobre as regras específicas para os fundos de investimento em ações, cambiais, multimercado e em renda fixa.</w:t>
      </w:r>
    </w:p>
    <w:p w14:paraId="7D8231EF" w14:textId="77777777" w:rsidR="00C20BBD" w:rsidRPr="0097459F" w:rsidRDefault="00C20BBD" w:rsidP="00C20BBD">
      <w:pPr>
        <w:pStyle w:val="Captulo"/>
      </w:pPr>
      <w:bookmarkStart w:id="359" w:name="_Toc53594475"/>
      <w:bookmarkStart w:id="360" w:name="_Toc53595500"/>
      <w:bookmarkStart w:id="361" w:name="_Toc53594227"/>
      <w:bookmarkStart w:id="362" w:name="_Toc57836236"/>
      <w:bookmarkStart w:id="363" w:name="_Toc161141250"/>
      <w:r w:rsidRPr="0097459F">
        <w:t>CAPÍTULO I – ÂMBITO E FINALIDADE</w:t>
      </w:r>
      <w:bookmarkEnd w:id="359"/>
      <w:bookmarkEnd w:id="360"/>
      <w:bookmarkEnd w:id="361"/>
      <w:bookmarkEnd w:id="362"/>
      <w:bookmarkEnd w:id="363"/>
    </w:p>
    <w:p w14:paraId="06C29BDC" w14:textId="77777777" w:rsidR="00C20BBD" w:rsidRPr="0097459F" w:rsidRDefault="00C20BBD" w:rsidP="00C20BBD">
      <w:pPr>
        <w:pStyle w:val="Normalalteradora"/>
        <w:tabs>
          <w:tab w:val="left" w:pos="3119"/>
        </w:tabs>
        <w:rPr>
          <w:rFonts w:ascii="Calibri" w:hAnsi="Calibri" w:cs="Calibri"/>
        </w:rPr>
      </w:pPr>
      <w:r w:rsidRPr="0097459F">
        <w:rPr>
          <w:rFonts w:ascii="Calibri" w:hAnsi="Calibri" w:cs="Calibri"/>
        </w:rPr>
        <w:t>Art. 1</w:t>
      </w:r>
      <w:bookmarkStart w:id="364" w:name="_Int_knrM3PRT"/>
      <w:proofErr w:type="gramStart"/>
      <w:r w:rsidRPr="0097459F">
        <w:rPr>
          <w:rFonts w:ascii="Calibri" w:hAnsi="Calibri" w:cs="Calibri"/>
        </w:rPr>
        <w:t>º  Este</w:t>
      </w:r>
      <w:bookmarkEnd w:id="364"/>
      <w:proofErr w:type="gramEnd"/>
      <w:r w:rsidRPr="0097459F">
        <w:rPr>
          <w:rFonts w:ascii="Calibri" w:hAnsi="Calibri" w:cs="Calibri"/>
        </w:rPr>
        <w:t xml:space="preserve"> Anexo Normativo I à Resolução nº 175 (“Resolução”) dispõe sobre as regras específicas para os fundos de investimento financeiro – FIF,</w:t>
      </w:r>
      <w:r w:rsidRPr="0097459F" w:rsidDel="00850A6B">
        <w:rPr>
          <w:rFonts w:ascii="Calibri" w:hAnsi="Calibri" w:cs="Calibri"/>
        </w:rPr>
        <w:t xml:space="preserve"> </w:t>
      </w:r>
      <w:r w:rsidRPr="0097459F">
        <w:rPr>
          <w:rFonts w:ascii="Calibri" w:hAnsi="Calibri" w:cs="Calibri"/>
        </w:rPr>
        <w:t>que, em função da sua política de investimento, podem ser dos seguintes tipos:</w:t>
      </w:r>
    </w:p>
    <w:p w14:paraId="72E1E81D" w14:textId="77777777" w:rsidR="00C20BBD" w:rsidRPr="0097459F" w:rsidRDefault="00C20BBD" w:rsidP="00C20BBD">
      <w:pPr>
        <w:pStyle w:val="Normalalteradora"/>
        <w:rPr>
          <w:rFonts w:ascii="Calibri" w:hAnsi="Calibri" w:cs="Calibri"/>
        </w:rPr>
      </w:pPr>
      <w:r w:rsidRPr="0097459F">
        <w:rPr>
          <w:rFonts w:ascii="Calibri" w:hAnsi="Calibri" w:cs="Calibri"/>
        </w:rPr>
        <w:t>I – Fundos de Investimento em Ações;</w:t>
      </w:r>
    </w:p>
    <w:p w14:paraId="5F928C48" w14:textId="77777777" w:rsidR="00C20BBD" w:rsidRPr="0097459F" w:rsidRDefault="00C20BBD" w:rsidP="00C20BBD">
      <w:pPr>
        <w:pStyle w:val="Normalalteradora"/>
        <w:rPr>
          <w:rFonts w:ascii="Calibri" w:hAnsi="Calibri" w:cs="Calibri"/>
        </w:rPr>
      </w:pPr>
      <w:r w:rsidRPr="0097459F">
        <w:rPr>
          <w:rFonts w:ascii="Calibri" w:hAnsi="Calibri" w:cs="Calibri"/>
        </w:rPr>
        <w:t>II – Fundos de Investimento Cambial;</w:t>
      </w:r>
    </w:p>
    <w:p w14:paraId="141C87CA" w14:textId="77777777" w:rsidR="00C20BBD" w:rsidRPr="0097459F" w:rsidRDefault="00C20BBD" w:rsidP="00C20BBD">
      <w:pPr>
        <w:pStyle w:val="Normalalteradora"/>
        <w:rPr>
          <w:rFonts w:ascii="Calibri" w:hAnsi="Calibri" w:cs="Calibri"/>
        </w:rPr>
      </w:pPr>
      <w:r w:rsidRPr="0097459F">
        <w:rPr>
          <w:rFonts w:ascii="Calibri" w:hAnsi="Calibri" w:cs="Calibri"/>
        </w:rPr>
        <w:t>III – Fundos de Investimento Multimercado; e</w:t>
      </w:r>
    </w:p>
    <w:p w14:paraId="25921DDC" w14:textId="77777777" w:rsidR="00C20BBD" w:rsidRPr="0097459F" w:rsidRDefault="00C20BBD" w:rsidP="00C20BBD">
      <w:pPr>
        <w:pStyle w:val="Normalalteradora"/>
        <w:rPr>
          <w:rFonts w:ascii="Calibri" w:hAnsi="Calibri" w:cs="Calibri"/>
        </w:rPr>
      </w:pPr>
      <w:r w:rsidRPr="0097459F">
        <w:rPr>
          <w:rFonts w:ascii="Calibri" w:hAnsi="Calibri" w:cs="Calibri"/>
        </w:rPr>
        <w:t>IV – Fundos de Investimento em Renda Fixa.</w:t>
      </w:r>
    </w:p>
    <w:p w14:paraId="719053B7" w14:textId="77777777" w:rsidR="00C20BBD" w:rsidRPr="0097459F" w:rsidRDefault="00C20BBD" w:rsidP="00C20BBD">
      <w:pPr>
        <w:pStyle w:val="Captulo"/>
      </w:pPr>
      <w:bookmarkStart w:id="365" w:name="_Toc53594228"/>
      <w:bookmarkStart w:id="366" w:name="_Toc53594476"/>
      <w:bookmarkStart w:id="367" w:name="_Toc53595501"/>
      <w:bookmarkStart w:id="368" w:name="_Toc57836237"/>
      <w:bookmarkStart w:id="369" w:name="_Toc161141251"/>
      <w:r w:rsidRPr="0097459F">
        <w:t>CAPÍTULO II – DEFINIÇÕES</w:t>
      </w:r>
      <w:bookmarkEnd w:id="365"/>
      <w:bookmarkEnd w:id="366"/>
      <w:bookmarkEnd w:id="367"/>
      <w:bookmarkEnd w:id="368"/>
      <w:bookmarkEnd w:id="369"/>
    </w:p>
    <w:p w14:paraId="48E888AB" w14:textId="573303E4" w:rsidR="00C20BBD" w:rsidRPr="0097459F" w:rsidRDefault="00C20BBD" w:rsidP="00C20BBD">
      <w:pPr>
        <w:pStyle w:val="Normalalteradora"/>
        <w:rPr>
          <w:rFonts w:ascii="Calibri" w:hAnsi="Calibri" w:cs="Calibri"/>
        </w:rPr>
      </w:pPr>
      <w:r w:rsidRPr="0097459F">
        <w:rPr>
          <w:rFonts w:ascii="Calibri" w:hAnsi="Calibri" w:cs="Calibri"/>
        </w:rPr>
        <w:t>Art. 2</w:t>
      </w:r>
      <w:proofErr w:type="gramStart"/>
      <w:r w:rsidRPr="0097459F">
        <w:rPr>
          <w:rFonts w:ascii="Calibri" w:hAnsi="Calibri" w:cs="Calibri"/>
        </w:rPr>
        <w:t>º  Para</w:t>
      </w:r>
      <w:proofErr w:type="gramEnd"/>
      <w:r w:rsidRPr="0097459F">
        <w:rPr>
          <w:rFonts w:ascii="Calibri" w:hAnsi="Calibri" w:cs="Calibri"/>
        </w:rPr>
        <w:t xml:space="preserve"> os efeitos deste Anexo Normativo</w:t>
      </w:r>
      <w:r w:rsidR="00FB1127" w:rsidRPr="0097459F">
        <w:rPr>
          <w:rFonts w:ascii="Calibri" w:hAnsi="Calibri" w:cs="Calibri"/>
        </w:rPr>
        <w:t xml:space="preserve"> I</w:t>
      </w:r>
      <w:r w:rsidRPr="0097459F">
        <w:rPr>
          <w:rFonts w:ascii="Calibri" w:hAnsi="Calibri" w:cs="Calibri"/>
        </w:rPr>
        <w:t>, entende-se por:</w:t>
      </w:r>
    </w:p>
    <w:p w14:paraId="1BCFE54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ativos</w:t>
      </w:r>
      <w:proofErr w:type="gramEnd"/>
      <w:r w:rsidRPr="0097459F">
        <w:rPr>
          <w:rFonts w:ascii="Calibri" w:hAnsi="Calibri" w:cs="Calibri"/>
        </w:rPr>
        <w:t xml:space="preserve"> financeiros, por natureza ou equiparação:</w:t>
      </w:r>
    </w:p>
    <w:p w14:paraId="119AE65A"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w:t>
      </w:r>
    </w:p>
    <w:p w14:paraId="7E83C835" w14:textId="77777777" w:rsidR="00C20BBD" w:rsidRPr="0097459F" w:rsidRDefault="00C20BBD" w:rsidP="00C20BBD">
      <w:pPr>
        <w:pStyle w:val="Normalalteradora"/>
        <w:rPr>
          <w:rFonts w:ascii="Calibri" w:hAnsi="Calibri" w:cs="Calibri"/>
        </w:rPr>
      </w:pPr>
      <w:r w:rsidRPr="0097459F">
        <w:rPr>
          <w:rFonts w:ascii="Calibri" w:hAnsi="Calibri" w:cs="Calibri"/>
        </w:rPr>
        <w:t>b) contratos derivativos;</w:t>
      </w:r>
    </w:p>
    <w:p w14:paraId="20A49E54" w14:textId="77777777" w:rsidR="00C20BBD" w:rsidRPr="0097459F" w:rsidRDefault="00C20BBD" w:rsidP="00C20BBD">
      <w:pPr>
        <w:pStyle w:val="Normalalteradora"/>
        <w:rPr>
          <w:rFonts w:ascii="Calibri" w:hAnsi="Calibri" w:cs="Calibri"/>
        </w:rPr>
      </w:pPr>
      <w:r w:rsidRPr="0097459F">
        <w:rPr>
          <w:rFonts w:ascii="Calibri" w:hAnsi="Calibri" w:cs="Calibri"/>
        </w:rPr>
        <w:t>c) créditos de descarbonização – CBIO e créditos de carbono, desde que registrados em sistema de registro e de liquidação financeira de ativos autorizado pela CVM ou pelo Banco Central do Brasil ou negociados em mercado administrado por entidade administradora de mercado organizado autorizado pela CVM;</w:t>
      </w:r>
    </w:p>
    <w:p w14:paraId="665AC6C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d) criptoativos, desde que negociados em entidades autorizadas pelo Banco Central do Brasil ou pela CVM, ou, em caso de operações no exterior, por supervisor local, </w:t>
      </w:r>
      <w:r w:rsidRPr="0097459F">
        <w:rPr>
          <w:rFonts w:cstheme="minorHAnsi"/>
        </w:rPr>
        <w:t>que possua competência legal para supervisionar e fiscalizar as operações realizadas, inclusive no que tange a coibir práticas abusivas no mercado, assim como a lavagem de dinheiro e financiamento ao terrorismo e proliferação de armas de destruição em massa</w:t>
      </w:r>
      <w:r w:rsidRPr="0097459F">
        <w:rPr>
          <w:rFonts w:ascii="Calibri" w:hAnsi="Calibri" w:cs="Calibri"/>
        </w:rPr>
        <w:t>;</w:t>
      </w:r>
    </w:p>
    <w:p w14:paraId="43884DA1" w14:textId="6372F893"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e) desde que o ativo tenha sido objeto de oferta pública registrada na CVM ou o registro da oferta tenha sido dispensado, ações, debêntures, notas comerciais, notas promissórias, títulos de securitização, bônus e recibos de subscrição, cupons, certificados de depósito de valores mobiliários, </w:t>
      </w:r>
      <w:proofErr w:type="spellStart"/>
      <w:r w:rsidRPr="0097459F">
        <w:rPr>
          <w:rFonts w:ascii="Calibri" w:hAnsi="Calibri" w:cs="Calibri"/>
          <w:b/>
        </w:rPr>
        <w:t>Brazilian</w:t>
      </w:r>
      <w:proofErr w:type="spellEnd"/>
      <w:r w:rsidRPr="0097459F">
        <w:rPr>
          <w:rFonts w:ascii="Calibri" w:hAnsi="Calibri" w:cs="Calibri"/>
          <w:b/>
        </w:rPr>
        <w:t xml:space="preserve"> </w:t>
      </w:r>
      <w:r w:rsidR="00F37213">
        <w:rPr>
          <w:rFonts w:ascii="Calibri" w:hAnsi="Calibri" w:cs="Calibri"/>
          <w:b/>
        </w:rPr>
        <w:t>D</w:t>
      </w:r>
      <w:r w:rsidRPr="0097459F">
        <w:rPr>
          <w:rFonts w:ascii="Calibri" w:hAnsi="Calibri" w:cs="Calibri"/>
          <w:b/>
        </w:rPr>
        <w:t xml:space="preserve">epositary </w:t>
      </w:r>
      <w:proofErr w:type="spellStart"/>
      <w:r w:rsidR="00F37213">
        <w:rPr>
          <w:rFonts w:ascii="Calibri" w:hAnsi="Calibri" w:cs="Calibri"/>
          <w:b/>
        </w:rPr>
        <w:t>R</w:t>
      </w:r>
      <w:r w:rsidRPr="0097459F">
        <w:rPr>
          <w:rFonts w:ascii="Calibri" w:hAnsi="Calibri" w:cs="Calibri"/>
          <w:b/>
        </w:rPr>
        <w:t>eceipts</w:t>
      </w:r>
      <w:proofErr w:type="spellEnd"/>
      <w:r w:rsidRPr="0097459F">
        <w:rPr>
          <w:rFonts w:ascii="Calibri" w:hAnsi="Calibri" w:cs="Calibri"/>
        </w:rPr>
        <w:t xml:space="preserve"> – BDR, cotas de fundos de investimento e contratos de investimento coletivo;</w:t>
      </w:r>
    </w:p>
    <w:p w14:paraId="5F170010" w14:textId="77777777" w:rsidR="00C20BBD" w:rsidRPr="0097459F" w:rsidRDefault="00C20BBD" w:rsidP="00C20BBD">
      <w:pPr>
        <w:pStyle w:val="Normalalteradora"/>
        <w:rPr>
          <w:rFonts w:ascii="Calibri" w:hAnsi="Calibri" w:cs="Calibri"/>
        </w:rPr>
      </w:pPr>
      <w:r w:rsidRPr="0097459F">
        <w:rPr>
          <w:rFonts w:ascii="Calibri" w:hAnsi="Calibri" w:cs="Calibri"/>
        </w:rPr>
        <w:t>f) ouro, ativo financeiro, desde que negociado em padrão internacionalmente aceito;</w:t>
      </w:r>
    </w:p>
    <w:p w14:paraId="106A5935" w14:textId="77777777" w:rsidR="00C20BBD" w:rsidRPr="0097459F" w:rsidRDefault="00C20BBD" w:rsidP="00C20BBD">
      <w:pPr>
        <w:pStyle w:val="Normalalteradora"/>
        <w:rPr>
          <w:rFonts w:ascii="Calibri" w:hAnsi="Calibri" w:cs="Calibri"/>
        </w:rPr>
      </w:pPr>
      <w:r w:rsidRPr="0097459F">
        <w:rPr>
          <w:rFonts w:ascii="Calibri" w:hAnsi="Calibri" w:cs="Calibri"/>
        </w:rPr>
        <w:t>g) quaisquer títulos, contratos e modalidades operacionais de obrigação ou coobrigação de instituição financeira; e</w:t>
      </w:r>
    </w:p>
    <w:p w14:paraId="5AECEF3D" w14:textId="77777777" w:rsidR="00C20BBD" w:rsidRPr="0097459F" w:rsidRDefault="00C20BBD" w:rsidP="00C20BBD">
      <w:pPr>
        <w:pStyle w:val="Normalalteradora"/>
        <w:rPr>
          <w:rFonts w:ascii="Calibri" w:hAnsi="Calibri" w:cs="Calibri"/>
        </w:rPr>
      </w:pPr>
      <w:r w:rsidRPr="0097459F">
        <w:rPr>
          <w:rFonts w:ascii="Calibri" w:hAnsi="Calibri" w:cs="Calibri"/>
        </w:rPr>
        <w:t>h) warrants, contratos mercantis de compra e venda de produtos, mercadorias ou serviços para entrega ou prestação futura, títulos ou certificados representativos desses contratos e quaisquer outros créditos, títulos, contratos e modalidades operacionais, desde que expressamente previstos no regulamento;</w:t>
      </w:r>
    </w:p>
    <w:p w14:paraId="4EA2DEB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ativos</w:t>
      </w:r>
      <w:proofErr w:type="gramEnd"/>
      <w:r w:rsidRPr="0097459F">
        <w:rPr>
          <w:rFonts w:ascii="Calibri" w:hAnsi="Calibri" w:cs="Calibri"/>
        </w:rPr>
        <w:t xml:space="preserve"> financeiros no exterior: ativos financeiros negociados no exterior que tenham a mesma natureza econômica dos ativos financeiros no Brasil;</w:t>
      </w:r>
    </w:p>
    <w:p w14:paraId="5946C701" w14:textId="06CCBD09" w:rsidR="00C20BBD" w:rsidRPr="0097459F" w:rsidRDefault="00C20BBD" w:rsidP="00C20BBD">
      <w:pPr>
        <w:pStyle w:val="Normalalteradora"/>
        <w:rPr>
          <w:rFonts w:ascii="Calibri" w:hAnsi="Calibri" w:cs="Calibri"/>
        </w:rPr>
      </w:pPr>
      <w:r w:rsidRPr="0097459F">
        <w:rPr>
          <w:rFonts w:ascii="Calibri" w:hAnsi="Calibri" w:cs="Calibri"/>
        </w:rPr>
        <w:t>I</w:t>
      </w:r>
      <w:r w:rsidR="009B0AA9">
        <w:rPr>
          <w:rFonts w:ascii="Calibri" w:hAnsi="Calibri" w:cs="Calibri"/>
        </w:rPr>
        <w:t>II</w:t>
      </w:r>
      <w:r w:rsidRPr="0097459F">
        <w:rPr>
          <w:rFonts w:ascii="Calibri" w:hAnsi="Calibri" w:cs="Calibri"/>
        </w:rPr>
        <w:t xml:space="preserve"> – </w:t>
      </w:r>
      <w:proofErr w:type="spellStart"/>
      <w:r w:rsidRPr="0097459F">
        <w:rPr>
          <w:rFonts w:ascii="Calibri" w:hAnsi="Calibri" w:cs="Calibri"/>
          <w:b/>
          <w:bCs/>
        </w:rPr>
        <w:t>Brazilian</w:t>
      </w:r>
      <w:proofErr w:type="spellEnd"/>
      <w:r w:rsidRPr="0097459F">
        <w:rPr>
          <w:rFonts w:ascii="Calibri" w:hAnsi="Calibri" w:cs="Calibri"/>
          <w:b/>
          <w:bCs/>
        </w:rPr>
        <w:t xml:space="preserve"> </w:t>
      </w:r>
      <w:r w:rsidR="00F37213">
        <w:rPr>
          <w:rFonts w:ascii="Calibri" w:hAnsi="Calibri" w:cs="Calibri"/>
          <w:b/>
          <w:bCs/>
        </w:rPr>
        <w:t>D</w:t>
      </w:r>
      <w:r w:rsidRPr="0097459F">
        <w:rPr>
          <w:rFonts w:ascii="Calibri" w:hAnsi="Calibri" w:cs="Calibri"/>
          <w:b/>
          <w:bCs/>
        </w:rPr>
        <w:t xml:space="preserve">epositary </w:t>
      </w:r>
      <w:proofErr w:type="spellStart"/>
      <w:r w:rsidR="00F37213">
        <w:rPr>
          <w:rFonts w:ascii="Calibri" w:hAnsi="Calibri" w:cs="Calibri"/>
          <w:b/>
          <w:bCs/>
        </w:rPr>
        <w:t>R</w:t>
      </w:r>
      <w:r w:rsidRPr="0097459F">
        <w:rPr>
          <w:rFonts w:ascii="Calibri" w:hAnsi="Calibri" w:cs="Calibri"/>
          <w:b/>
          <w:bCs/>
        </w:rPr>
        <w:t>eceipts</w:t>
      </w:r>
      <w:proofErr w:type="spellEnd"/>
      <w:r w:rsidRPr="0097459F">
        <w:rPr>
          <w:rFonts w:ascii="Calibri" w:hAnsi="Calibri" w:cs="Calibri"/>
        </w:rPr>
        <w:t xml:space="preserve"> – BDR: certificados de depósito de valores mobiliários emitidos por instituição depositária no Brasil e representativos de valores mobiliários de emissão de companhia aberta ou assemelhada cuja sede esteja localizada:</w:t>
      </w:r>
    </w:p>
    <w:p w14:paraId="0B4D57DE" w14:textId="77777777" w:rsidR="00C20BBD" w:rsidRPr="0097459F" w:rsidRDefault="00C20BBD" w:rsidP="00C20BBD">
      <w:pPr>
        <w:pStyle w:val="Normalalteradora"/>
        <w:rPr>
          <w:rFonts w:ascii="Calibri" w:hAnsi="Calibri" w:cs="Calibri"/>
        </w:rPr>
      </w:pPr>
      <w:r w:rsidRPr="0097459F">
        <w:rPr>
          <w:rFonts w:ascii="Calibri" w:hAnsi="Calibri" w:cs="Calibri"/>
        </w:rPr>
        <w:t>a) no exterior, no caso de certificados de depósito de ações negociadas no exterior (“</w:t>
      </w:r>
      <w:proofErr w:type="spellStart"/>
      <w:r w:rsidRPr="0097459F">
        <w:rPr>
          <w:rFonts w:ascii="Calibri" w:hAnsi="Calibri" w:cs="Calibri"/>
        </w:rPr>
        <w:t>BDR-Ações</w:t>
      </w:r>
      <w:proofErr w:type="spellEnd"/>
      <w:r w:rsidRPr="0097459F">
        <w:rPr>
          <w:rFonts w:ascii="Calibri" w:hAnsi="Calibri" w:cs="Calibri"/>
        </w:rPr>
        <w:t>”); e</w:t>
      </w:r>
    </w:p>
    <w:p w14:paraId="3130A5B5" w14:textId="77777777" w:rsidR="00C20BBD" w:rsidRPr="0097459F" w:rsidRDefault="00C20BBD" w:rsidP="00C20BBD">
      <w:pPr>
        <w:pStyle w:val="Normalalteradora"/>
        <w:rPr>
          <w:rFonts w:ascii="Calibri" w:hAnsi="Calibri" w:cs="Calibri"/>
        </w:rPr>
      </w:pPr>
      <w:r w:rsidRPr="0097459F">
        <w:rPr>
          <w:rFonts w:ascii="Calibri" w:hAnsi="Calibri" w:cs="Calibri"/>
        </w:rPr>
        <w:t>b) no País ou no exterior, no caso de certificados de depósito de valores mobiliários representativos de títulos de dívida (“BDR-Dívida Corporativa”);</w:t>
      </w:r>
      <w:r w:rsidRPr="0097459F" w:rsidDel="00BC2935">
        <w:rPr>
          <w:rFonts w:ascii="Calibri" w:hAnsi="Calibri" w:cs="Calibri"/>
        </w:rPr>
        <w:t xml:space="preserve"> </w:t>
      </w:r>
    </w:p>
    <w:p w14:paraId="1F000895" w14:textId="26ACC832" w:rsidR="009B0AA9" w:rsidRPr="0097459F" w:rsidRDefault="009B0AA9" w:rsidP="009B0AA9">
      <w:pPr>
        <w:pStyle w:val="Normalalteradora"/>
        <w:rPr>
          <w:rFonts w:ascii="Calibri" w:hAnsi="Calibri" w:cs="Calibri"/>
        </w:rPr>
      </w:pPr>
      <w:r>
        <w:rPr>
          <w:rFonts w:ascii="Calibri" w:hAnsi="Calibri" w:cs="Calibri"/>
        </w:rPr>
        <w:t>IV</w:t>
      </w:r>
      <w:r w:rsidRPr="0097459F">
        <w:rPr>
          <w:rFonts w:ascii="Calibri" w:hAnsi="Calibri" w:cs="Calibri"/>
        </w:rPr>
        <w:t xml:space="preserve"> – BDR-ETF: certificado representativo de ETF-Internacional, emitido por instituição depositária no Brasil;</w:t>
      </w:r>
    </w:p>
    <w:p w14:paraId="0AAD45E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w:t>
      </w:r>
      <w:proofErr w:type="gramStart"/>
      <w:r w:rsidRPr="0097459F">
        <w:rPr>
          <w:rFonts w:ascii="Calibri" w:hAnsi="Calibri" w:cs="Calibri"/>
        </w:rPr>
        <w:t>carteira</w:t>
      </w:r>
      <w:proofErr w:type="gramEnd"/>
      <w:r w:rsidRPr="0097459F">
        <w:rPr>
          <w:rFonts w:ascii="Calibri" w:hAnsi="Calibri" w:cs="Calibri"/>
        </w:rPr>
        <w:t xml:space="preserve"> (de ativos): conjunto de ativos financeiros e disponibilidades da classe de cotas;</w:t>
      </w:r>
    </w:p>
    <w:p w14:paraId="345ECD83" w14:textId="77777777" w:rsidR="00C20BBD" w:rsidRPr="0097459F" w:rsidRDefault="00C20BBD" w:rsidP="00C20BBD">
      <w:pPr>
        <w:pStyle w:val="Normalalteradora"/>
        <w:rPr>
          <w:rFonts w:ascii="Calibri" w:hAnsi="Calibri" w:cs="Calibri"/>
        </w:rPr>
      </w:pPr>
      <w:bookmarkStart w:id="370" w:name="_Hlk51661554"/>
      <w:r w:rsidRPr="0097459F">
        <w:rPr>
          <w:rFonts w:ascii="Calibri" w:hAnsi="Calibri" w:cs="Calibri"/>
        </w:rPr>
        <w:t xml:space="preserve">VI – </w:t>
      </w:r>
      <w:proofErr w:type="gramStart"/>
      <w:r w:rsidRPr="0097459F">
        <w:rPr>
          <w:rFonts w:ascii="Calibri" w:hAnsi="Calibri" w:cs="Calibri"/>
        </w:rPr>
        <w:t>classe</w:t>
      </w:r>
      <w:proofErr w:type="gramEnd"/>
      <w:r w:rsidRPr="0097459F">
        <w:rPr>
          <w:rFonts w:ascii="Calibri" w:hAnsi="Calibri" w:cs="Calibri"/>
        </w:rPr>
        <w:t xml:space="preserve"> de investimento em cotas: classe de cotas que deve aplicar no mínimo 95% (noventa e cinco por cento) do patrimônio líquido em cotas de outras classes;</w:t>
      </w:r>
    </w:p>
    <w:p w14:paraId="33FEEF56" w14:textId="41B12067" w:rsidR="0058706A" w:rsidRDefault="00C20BBD" w:rsidP="00C20BBD">
      <w:pPr>
        <w:pStyle w:val="Normalalteradora"/>
        <w:rPr>
          <w:rFonts w:ascii="Calibri" w:hAnsi="Calibri" w:cs="Calibri"/>
        </w:rPr>
      </w:pPr>
      <w:r w:rsidRPr="0097459F">
        <w:rPr>
          <w:rFonts w:ascii="Calibri" w:hAnsi="Calibri" w:cs="Calibri"/>
        </w:rPr>
        <w:t>VII – cota base:</w:t>
      </w:r>
    </w:p>
    <w:p w14:paraId="4334EFA0" w14:textId="77777777" w:rsidR="00C20BBD" w:rsidRPr="0058706A" w:rsidRDefault="00C20BBD" w:rsidP="0058706A">
      <w:pPr>
        <w:jc w:val="right"/>
        <w:rPr>
          <w:lang w:eastAsia="pt-BR"/>
        </w:rPr>
      </w:pPr>
    </w:p>
    <w:p w14:paraId="56307A6D"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 no caso de cobrança de taxa de performance pelo método do ativo, o valor da cota logo após a última cobrança efetuada; ou</w:t>
      </w:r>
    </w:p>
    <w:p w14:paraId="1CD58CAE" w14:textId="77777777" w:rsidR="00C20BBD" w:rsidRPr="0097459F" w:rsidRDefault="00C20BBD" w:rsidP="00C20BBD">
      <w:pPr>
        <w:pStyle w:val="Normalalteradora"/>
        <w:rPr>
          <w:rFonts w:ascii="Calibri" w:hAnsi="Calibri" w:cs="Calibri"/>
        </w:rPr>
      </w:pPr>
      <w:r w:rsidRPr="0097459F">
        <w:rPr>
          <w:rFonts w:ascii="Calibri" w:hAnsi="Calibri" w:cs="Calibri"/>
        </w:rPr>
        <w:t>b) no caso de cobrança de performance pelo método do passivo ou do ajuste, o valor da cota de cada aplicação dos cotistas ou o valor da cota logo após a última cobrança de taxa de performance efetuada em relação a cada aplicação dos cotistas, conforme o caso;</w:t>
      </w:r>
    </w:p>
    <w:p w14:paraId="4782A3F6" w14:textId="77777777" w:rsidR="00C20BBD" w:rsidRPr="0097459F" w:rsidRDefault="00C20BBD" w:rsidP="00C20BBD">
      <w:pPr>
        <w:pStyle w:val="Normalalteradora"/>
        <w:rPr>
          <w:rFonts w:ascii="Calibri" w:hAnsi="Calibri" w:cs="Calibri"/>
        </w:rPr>
      </w:pPr>
      <w:r w:rsidRPr="0097459F">
        <w:rPr>
          <w:rFonts w:ascii="Calibri" w:hAnsi="Calibri" w:cs="Calibri"/>
        </w:rPr>
        <w:t>VIII – créditos de carbono: títulos representativos de direitos de emissão de gases de efeito-estufa, originados pela redução da emissão de dióxido de carbono ou remoção de dióxido de carbono da atmosfera, emitidos por autorização de autoridade governamental no Brasil ou em jurisdição estrangeira;</w:t>
      </w:r>
    </w:p>
    <w:p w14:paraId="79D8E96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IX – </w:t>
      </w:r>
      <w:proofErr w:type="gramStart"/>
      <w:r w:rsidRPr="0097459F">
        <w:rPr>
          <w:rFonts w:ascii="Calibri" w:hAnsi="Calibri" w:cs="Calibri"/>
        </w:rPr>
        <w:t>créditos</w:t>
      </w:r>
      <w:proofErr w:type="gramEnd"/>
      <w:r w:rsidRPr="0097459F">
        <w:rPr>
          <w:rFonts w:ascii="Calibri" w:hAnsi="Calibri" w:cs="Calibri"/>
        </w:rPr>
        <w:t xml:space="preserve"> de descarbonização – CBIO: instrumento definido no art. 5º, inciso V, da Lei nº 13.576, de 26 de dezembro de 2017;</w:t>
      </w:r>
    </w:p>
    <w:p w14:paraId="117F4135" w14:textId="77777777" w:rsidR="00C20BBD" w:rsidRPr="0097459F" w:rsidRDefault="00C20BBD" w:rsidP="00C20BBD">
      <w:pPr>
        <w:pStyle w:val="Normalalteradora"/>
        <w:rPr>
          <w:rFonts w:ascii="Calibri" w:hAnsi="Calibri" w:cs="Calibri"/>
          <w:color w:val="000000" w:themeColor="text1"/>
        </w:rPr>
      </w:pPr>
      <w:r w:rsidRPr="0097459F">
        <w:rPr>
          <w:rFonts w:ascii="Calibri" w:hAnsi="Calibri" w:cs="Calibri"/>
        </w:rPr>
        <w:t xml:space="preserve">X – </w:t>
      </w:r>
      <w:proofErr w:type="gramStart"/>
      <w:r w:rsidRPr="0097459F">
        <w:rPr>
          <w:rFonts w:ascii="Calibri" w:hAnsi="Calibri" w:cs="Calibri"/>
        </w:rPr>
        <w:t>criptoativo</w:t>
      </w:r>
      <w:proofErr w:type="gramEnd"/>
      <w:r w:rsidRPr="0097459F">
        <w:rPr>
          <w:rFonts w:ascii="Calibri" w:hAnsi="Calibri" w:cs="Calibri"/>
        </w:rPr>
        <w:t>: ativo representado digitalmente, devendo possuir no mínimo as seguintes características:</w:t>
      </w:r>
    </w:p>
    <w:p w14:paraId="59F53CA2" w14:textId="77777777" w:rsidR="00C20BBD" w:rsidRPr="0097459F" w:rsidRDefault="00C20BBD" w:rsidP="00C20BBD">
      <w:pPr>
        <w:pStyle w:val="Normalalteradora"/>
        <w:rPr>
          <w:rFonts w:ascii="Calibri" w:hAnsi="Calibri" w:cs="Calibri"/>
        </w:rPr>
      </w:pPr>
      <w:r w:rsidRPr="0097459F">
        <w:rPr>
          <w:rFonts w:ascii="Calibri" w:hAnsi="Calibri" w:cs="Calibri"/>
        </w:rPr>
        <w:t>a) sua existência, integridade e titularidade são protegidas por criptografia; e</w:t>
      </w:r>
    </w:p>
    <w:p w14:paraId="3023FD67" w14:textId="77777777" w:rsidR="00C20BBD" w:rsidRPr="0097459F" w:rsidRDefault="00C20BBD" w:rsidP="00C20BBD">
      <w:pPr>
        <w:pStyle w:val="Normalalteradora"/>
        <w:rPr>
          <w:rFonts w:ascii="Calibri" w:hAnsi="Calibri" w:cs="Calibri"/>
        </w:rPr>
      </w:pPr>
      <w:r w:rsidRPr="0097459F">
        <w:rPr>
          <w:rFonts w:ascii="Calibri" w:hAnsi="Calibri" w:cs="Calibri"/>
        </w:rPr>
        <w:t>b) suas transações são executadas e armazenadas utilizando tecnologia de registro distribuído;</w:t>
      </w:r>
    </w:p>
    <w:p w14:paraId="6FBD1721" w14:textId="02E44BD4" w:rsidR="00C20BBD" w:rsidRPr="0097459F" w:rsidRDefault="00C20BBD" w:rsidP="00C20BBD">
      <w:pPr>
        <w:pStyle w:val="Normalalteradora"/>
        <w:rPr>
          <w:rFonts w:ascii="Calibri" w:hAnsi="Calibri" w:cs="Calibri"/>
        </w:rPr>
      </w:pPr>
      <w:r w:rsidRPr="0097459F">
        <w:rPr>
          <w:rFonts w:ascii="Calibri" w:hAnsi="Calibri" w:cs="Calibri"/>
        </w:rPr>
        <w:t xml:space="preserve">XI – demonstração de desempenho: relatório padronizado cujo modelo constitui o Suplemento </w:t>
      </w:r>
      <w:r w:rsidR="009E34FD" w:rsidRPr="0097459F">
        <w:rPr>
          <w:rFonts w:ascii="Calibri" w:hAnsi="Calibri" w:cs="Calibri"/>
        </w:rPr>
        <w:t>C</w:t>
      </w:r>
      <w:r w:rsidRPr="0097459F">
        <w:rPr>
          <w:rFonts w:ascii="Calibri" w:hAnsi="Calibri" w:cs="Calibri"/>
        </w:rPr>
        <w:t xml:space="preserve"> da Resolução;</w:t>
      </w:r>
    </w:p>
    <w:p w14:paraId="442D4E77" w14:textId="77777777" w:rsidR="00C20BBD" w:rsidRPr="0097459F" w:rsidRDefault="00C20BBD" w:rsidP="00C20BBD">
      <w:pPr>
        <w:pStyle w:val="Normalalteradora"/>
        <w:rPr>
          <w:rFonts w:ascii="Calibri" w:hAnsi="Calibri" w:cs="Calibri"/>
        </w:rPr>
      </w:pPr>
      <w:r w:rsidRPr="0097459F">
        <w:rPr>
          <w:rFonts w:ascii="Calibri" w:hAnsi="Calibri" w:cs="Calibri"/>
        </w:rPr>
        <w:t>XII – ETF: fundo de investimento em índice de mercado admitido à negociação em mercado organizado de valores mobiliários;</w:t>
      </w:r>
    </w:p>
    <w:p w14:paraId="19280047" w14:textId="77777777" w:rsidR="00C20BBD" w:rsidRPr="0097459F" w:rsidRDefault="00C20BBD" w:rsidP="00C20BBD">
      <w:pPr>
        <w:pStyle w:val="Normalalteradora"/>
        <w:rPr>
          <w:rFonts w:ascii="Calibri" w:hAnsi="Calibri" w:cs="Calibri"/>
        </w:rPr>
      </w:pPr>
      <w:r w:rsidRPr="0097459F">
        <w:rPr>
          <w:rFonts w:ascii="Calibri" w:hAnsi="Calibri" w:cs="Calibri"/>
        </w:rPr>
        <w:t>XIII – ETF- Internacional: fundo de investimento em índice de mercado admitido à negociação em mercado organizado de valores mobiliários no exterior;</w:t>
      </w:r>
    </w:p>
    <w:p w14:paraId="2E9F5D7D" w14:textId="3F700EB3" w:rsidR="00C20BBD" w:rsidRPr="0097459F" w:rsidRDefault="00C20BBD" w:rsidP="00C20BBD">
      <w:pPr>
        <w:pStyle w:val="Normalalteradora"/>
        <w:rPr>
          <w:rFonts w:ascii="Calibri" w:hAnsi="Calibri" w:cs="Calibri"/>
        </w:rPr>
      </w:pPr>
      <w:r w:rsidRPr="0097459F">
        <w:rPr>
          <w:rFonts w:ascii="Calibri" w:hAnsi="Calibri" w:cs="Calibri"/>
        </w:rPr>
        <w:t xml:space="preserve">XIV – lâmina (de informações básicas): documento cujo modelo constitui o Suplemento </w:t>
      </w:r>
      <w:r w:rsidR="005B49E0" w:rsidRPr="0097459F">
        <w:rPr>
          <w:rFonts w:ascii="Calibri" w:hAnsi="Calibri" w:cs="Calibri"/>
        </w:rPr>
        <w:t>B</w:t>
      </w:r>
      <w:r w:rsidRPr="0097459F">
        <w:rPr>
          <w:rFonts w:ascii="Calibri" w:hAnsi="Calibri" w:cs="Calibri"/>
        </w:rPr>
        <w:t xml:space="preserve"> da Resolução;</w:t>
      </w:r>
    </w:p>
    <w:p w14:paraId="32D25901" w14:textId="3CEADFD3" w:rsidR="00C20BBD" w:rsidRPr="0097459F" w:rsidRDefault="00C20BBD" w:rsidP="00C20BBD">
      <w:pPr>
        <w:pStyle w:val="Normalalteradora"/>
        <w:rPr>
          <w:rFonts w:ascii="Calibri" w:hAnsi="Calibri" w:cs="Calibri"/>
        </w:rPr>
      </w:pPr>
      <w:r w:rsidRPr="0097459F">
        <w:rPr>
          <w:rFonts w:ascii="Calibri" w:hAnsi="Calibri" w:cs="Calibri"/>
        </w:rPr>
        <w:t xml:space="preserve">XV – </w:t>
      </w:r>
      <w:proofErr w:type="gramStart"/>
      <w:r w:rsidRPr="0097459F">
        <w:rPr>
          <w:rFonts w:ascii="Calibri" w:hAnsi="Calibri" w:cs="Calibri"/>
        </w:rPr>
        <w:t>perfil</w:t>
      </w:r>
      <w:proofErr w:type="gramEnd"/>
      <w:r w:rsidRPr="0097459F">
        <w:rPr>
          <w:rFonts w:ascii="Calibri" w:hAnsi="Calibri" w:cs="Calibri"/>
        </w:rPr>
        <w:t xml:space="preserve"> mensal: formulário de periodicidade mensal cujo modelo constitui o Suplemento </w:t>
      </w:r>
      <w:r w:rsidR="00F96B73" w:rsidRPr="0097459F">
        <w:rPr>
          <w:rFonts w:ascii="Calibri" w:hAnsi="Calibri" w:cs="Calibri"/>
        </w:rPr>
        <w:t>D</w:t>
      </w:r>
      <w:r w:rsidRPr="0097459F">
        <w:rPr>
          <w:rFonts w:ascii="Calibri" w:hAnsi="Calibri" w:cs="Calibri"/>
        </w:rPr>
        <w:t xml:space="preserve"> da Resolução;</w:t>
      </w:r>
    </w:p>
    <w:p w14:paraId="4AAD57F9" w14:textId="77777777" w:rsidR="00C20BBD" w:rsidRPr="0097459F" w:rsidRDefault="00C20BBD" w:rsidP="00C20BBD">
      <w:pPr>
        <w:pStyle w:val="Normalalteradora"/>
        <w:rPr>
          <w:rFonts w:ascii="Calibri" w:hAnsi="Calibri" w:cs="Calibri"/>
        </w:rPr>
      </w:pPr>
      <w:r w:rsidRPr="0097459F">
        <w:rPr>
          <w:rFonts w:ascii="Calibri" w:hAnsi="Calibri" w:cs="Calibri"/>
        </w:rPr>
        <w:t>XVI – supervisor local</w:t>
      </w:r>
      <w:r w:rsidRPr="0097459F">
        <w:rPr>
          <w:rFonts w:ascii="Calibri" w:hAnsi="Calibri" w:cs="Calibri"/>
          <w:color w:val="000000" w:themeColor="text1"/>
        </w:rPr>
        <w:t xml:space="preserve">: autoridade estrangeira com a qual a CVM tenha celebrado acordo de cooperação mútua que permita o fornecimento de informações sobre operações cursadas nos mercados </w:t>
      </w:r>
      <w:r w:rsidRPr="0097459F">
        <w:rPr>
          <w:rFonts w:ascii="Calibri" w:hAnsi="Calibri" w:cs="Calibri"/>
          <w:color w:val="000000" w:themeColor="text1"/>
        </w:rPr>
        <w:lastRenderedPageBreak/>
        <w:t>por ela supervisionados, ou que seja signatária do memorando multilateral de entendimentos da Organização Internacional das Comissões de Valores – OICV/IOSCO;</w:t>
      </w:r>
      <w:r w:rsidRPr="0097459F">
        <w:rPr>
          <w:rFonts w:ascii="Calibri" w:hAnsi="Calibri" w:cs="Calibri"/>
        </w:rPr>
        <w:t xml:space="preserve"> </w:t>
      </w:r>
    </w:p>
    <w:p w14:paraId="7714D8C6" w14:textId="77777777" w:rsidR="00C20BBD" w:rsidRPr="0097459F" w:rsidRDefault="00C20BBD" w:rsidP="00C20BBD">
      <w:pPr>
        <w:pStyle w:val="Normalalteradora"/>
        <w:rPr>
          <w:rFonts w:ascii="Calibri" w:hAnsi="Calibri" w:cs="Calibri"/>
        </w:rPr>
      </w:pPr>
      <w:r w:rsidRPr="0097459F">
        <w:rPr>
          <w:rFonts w:ascii="Calibri" w:hAnsi="Calibri" w:cs="Calibri"/>
        </w:rPr>
        <w:t>XVII – taxa de performance: taxa cobrada do fundo em função do resultado da classe ou do cotista;</w:t>
      </w:r>
    </w:p>
    <w:p w14:paraId="75CD24A7" w14:textId="77777777" w:rsidR="00C20BBD" w:rsidRPr="0097459F" w:rsidRDefault="00C20BBD" w:rsidP="00C20BBD">
      <w:pPr>
        <w:pStyle w:val="Normalalteradora"/>
        <w:rPr>
          <w:rFonts w:ascii="Calibri" w:hAnsi="Calibri" w:cs="Calibri"/>
        </w:rPr>
      </w:pPr>
      <w:r w:rsidRPr="0097459F">
        <w:rPr>
          <w:rFonts w:ascii="Calibri" w:hAnsi="Calibri" w:cs="Calibri"/>
        </w:rPr>
        <w:t>XVIII – termo de adesão (e ciência de risco): documento referido no art. 29 da parte geral da Resolução;</w:t>
      </w:r>
    </w:p>
    <w:bookmarkEnd w:id="370"/>
    <w:p w14:paraId="5A041D44" w14:textId="77777777" w:rsidR="00C20BBD" w:rsidRPr="0097459F" w:rsidRDefault="00C20BBD" w:rsidP="00C20BBD">
      <w:pPr>
        <w:pStyle w:val="Normalalteradora"/>
        <w:rPr>
          <w:rFonts w:ascii="Calibri" w:hAnsi="Calibri" w:cs="Calibri"/>
        </w:rPr>
      </w:pPr>
      <w:r w:rsidRPr="0097459F">
        <w:rPr>
          <w:rFonts w:ascii="Calibri" w:hAnsi="Calibri" w:cs="Calibri"/>
        </w:rPr>
        <w:t>XIX – título de securitização: ativo definido na regulamentação que dispõe sobre as companhias securitizadoras de direitos creditórios registradas na CVM; e</w:t>
      </w:r>
    </w:p>
    <w:p w14:paraId="6AE3AA9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XX – </w:t>
      </w:r>
      <w:proofErr w:type="gramStart"/>
      <w:r w:rsidRPr="0097459F">
        <w:rPr>
          <w:rFonts w:ascii="Calibri" w:hAnsi="Calibri" w:cs="Calibri"/>
        </w:rPr>
        <w:t>veículo</w:t>
      </w:r>
      <w:proofErr w:type="gramEnd"/>
      <w:r w:rsidRPr="0097459F">
        <w:rPr>
          <w:rFonts w:ascii="Calibri" w:hAnsi="Calibri" w:cs="Calibri"/>
        </w:rPr>
        <w:t xml:space="preserve"> de investimento: entidade, dotada ou não de personalidade jurídica, constituída com o objetivo de investir recursos obtidos junto a um ou mais investidores.</w:t>
      </w:r>
    </w:p>
    <w:p w14:paraId="3B156556" w14:textId="77777777" w:rsidR="00C20BBD" w:rsidRPr="0097459F" w:rsidRDefault="00C20BBD" w:rsidP="00C20BBD">
      <w:pPr>
        <w:spacing w:before="120" w:line="312" w:lineRule="auto"/>
        <w:ind w:firstLine="567"/>
        <w:jc w:val="both"/>
        <w:rPr>
          <w:rFonts w:ascii="Calibri" w:eastAsia="Times New Roman" w:hAnsi="Calibri" w:cs="Calibri"/>
          <w:sz w:val="24"/>
          <w:szCs w:val="24"/>
          <w:lang w:eastAsia="pt-BR"/>
        </w:rPr>
      </w:pPr>
      <w:r w:rsidRPr="0097459F">
        <w:rPr>
          <w:rFonts w:ascii="Calibri" w:hAnsi="Calibri" w:cs="Calibri"/>
          <w:sz w:val="24"/>
          <w:szCs w:val="24"/>
        </w:rPr>
        <w:t>§ 1</w:t>
      </w:r>
      <w:proofErr w:type="gramStart"/>
      <w:r w:rsidRPr="0097459F">
        <w:rPr>
          <w:rFonts w:ascii="Calibri" w:hAnsi="Calibri" w:cs="Calibri"/>
          <w:sz w:val="24"/>
          <w:szCs w:val="24"/>
        </w:rPr>
        <w:t xml:space="preserve">º  </w:t>
      </w:r>
      <w:r w:rsidRPr="0097459F">
        <w:rPr>
          <w:rFonts w:ascii="Calibri" w:eastAsia="Times New Roman" w:hAnsi="Calibri" w:cs="Calibri"/>
          <w:sz w:val="24"/>
          <w:szCs w:val="24"/>
          <w:lang w:eastAsia="pt-BR"/>
        </w:rPr>
        <w:t>Entende</w:t>
      </w:r>
      <w:proofErr w:type="gramEnd"/>
      <w:r w:rsidRPr="0097459F">
        <w:rPr>
          <w:rFonts w:ascii="Calibri" w:eastAsia="Times New Roman" w:hAnsi="Calibri" w:cs="Calibri"/>
          <w:sz w:val="24"/>
          <w:szCs w:val="24"/>
          <w:lang w:eastAsia="pt-BR"/>
        </w:rPr>
        <w:t>-se por principal fator de risco de uma classe de cotas o índice de preços, a taxa de juros, o índice de ações ou o ativo cuja variação de preço produza, potencialmente, maiores efeitos sobre o valor de mercado da carteira de ativos.</w:t>
      </w:r>
    </w:p>
    <w:p w14:paraId="3EDD6A7C" w14:textId="5242B614" w:rsidR="00C20BBD" w:rsidRPr="0097459F" w:rsidRDefault="00C20BBD" w:rsidP="00C20BBD">
      <w:pPr>
        <w:spacing w:before="120" w:line="312" w:lineRule="auto"/>
        <w:ind w:firstLine="567"/>
        <w:jc w:val="both"/>
        <w:rPr>
          <w:rFonts w:ascii="Calibri" w:eastAsia="Times New Roman" w:hAnsi="Calibri" w:cs="Calibri"/>
          <w:sz w:val="24"/>
          <w:szCs w:val="24"/>
          <w:lang w:eastAsia="pt-BR"/>
        </w:rPr>
      </w:pPr>
      <w:r w:rsidRPr="0097459F">
        <w:rPr>
          <w:rFonts w:ascii="Calibri" w:eastAsia="Times New Roman" w:hAnsi="Calibri" w:cs="Calibri"/>
          <w:sz w:val="24"/>
          <w:szCs w:val="24"/>
          <w:lang w:eastAsia="pt-BR"/>
        </w:rPr>
        <w:t>§ 2</w:t>
      </w:r>
      <w:proofErr w:type="gramStart"/>
      <w:r w:rsidRPr="0097459F">
        <w:rPr>
          <w:rFonts w:ascii="Calibri" w:eastAsia="Times New Roman" w:hAnsi="Calibri" w:cs="Calibri"/>
          <w:sz w:val="24"/>
          <w:szCs w:val="24"/>
          <w:lang w:eastAsia="pt-BR"/>
        </w:rPr>
        <w:t>º  O</w:t>
      </w:r>
      <w:proofErr w:type="gramEnd"/>
      <w:r w:rsidRPr="0097459F">
        <w:rPr>
          <w:rFonts w:ascii="Calibri" w:eastAsia="Times New Roman" w:hAnsi="Calibri" w:cs="Calibri"/>
          <w:sz w:val="24"/>
          <w:szCs w:val="24"/>
          <w:lang w:eastAsia="pt-BR"/>
        </w:rPr>
        <w:t xml:space="preserve"> criptoativo que seja a representação digital ou cuja natureza ou características o enquadre na definição de outro ativo financeiro, conforme definidos no inciso I do </w:t>
      </w:r>
      <w:r w:rsidRPr="0097459F">
        <w:rPr>
          <w:rFonts w:ascii="Calibri" w:eastAsia="Times New Roman" w:hAnsi="Calibri" w:cs="Calibri"/>
          <w:b/>
          <w:bCs/>
          <w:sz w:val="24"/>
          <w:szCs w:val="24"/>
          <w:lang w:eastAsia="pt-BR"/>
        </w:rPr>
        <w:t>caput</w:t>
      </w:r>
      <w:r w:rsidRPr="0097459F">
        <w:rPr>
          <w:rFonts w:ascii="Calibri" w:eastAsia="Times New Roman" w:hAnsi="Calibri" w:cs="Calibri"/>
          <w:sz w:val="24"/>
          <w:szCs w:val="24"/>
          <w:lang w:eastAsia="pt-BR"/>
        </w:rPr>
        <w:t xml:space="preserve">, deve ser considerado tal como esse outro ativo financeiro para os fins deste Anexo Normativo I, inclusive aqueles relacionados aos limites de concentração e de exposição </w:t>
      </w:r>
      <w:proofErr w:type="spellStart"/>
      <w:r w:rsidRPr="0097459F">
        <w:rPr>
          <w:rFonts w:ascii="Calibri" w:eastAsia="Times New Roman" w:hAnsi="Calibri" w:cs="Calibri"/>
          <w:sz w:val="24"/>
          <w:szCs w:val="24"/>
          <w:lang w:eastAsia="pt-BR"/>
        </w:rPr>
        <w:t>a</w:t>
      </w:r>
      <w:proofErr w:type="spellEnd"/>
      <w:r w:rsidRPr="0097459F">
        <w:rPr>
          <w:rFonts w:ascii="Calibri" w:eastAsia="Times New Roman" w:hAnsi="Calibri" w:cs="Calibri"/>
          <w:sz w:val="24"/>
          <w:szCs w:val="24"/>
          <w:lang w:eastAsia="pt-BR"/>
        </w:rPr>
        <w:t xml:space="preserve"> risco de capital da carteira de ativos, conforme dispostos neste Anexo Normativo</w:t>
      </w:r>
      <w:r w:rsidR="00FB1127" w:rsidRPr="0097459F">
        <w:rPr>
          <w:rFonts w:ascii="Calibri" w:eastAsia="Times New Roman" w:hAnsi="Calibri" w:cs="Calibri"/>
          <w:sz w:val="24"/>
          <w:szCs w:val="24"/>
          <w:lang w:eastAsia="pt-BR"/>
        </w:rPr>
        <w:t xml:space="preserve"> I</w:t>
      </w:r>
      <w:r w:rsidRPr="0097459F">
        <w:rPr>
          <w:rFonts w:ascii="Calibri" w:eastAsia="Times New Roman" w:hAnsi="Calibri" w:cs="Calibri"/>
          <w:sz w:val="24"/>
          <w:szCs w:val="24"/>
          <w:lang w:eastAsia="pt-BR"/>
        </w:rPr>
        <w:t>.</w:t>
      </w:r>
    </w:p>
    <w:p w14:paraId="4F4AF382" w14:textId="77777777" w:rsidR="00C20BBD" w:rsidRPr="0097459F" w:rsidRDefault="00C20BBD" w:rsidP="00C20BBD">
      <w:pPr>
        <w:pStyle w:val="Captulo"/>
      </w:pPr>
      <w:bookmarkStart w:id="371" w:name="_Toc53594229"/>
      <w:bookmarkStart w:id="372" w:name="_Toc53594477"/>
      <w:bookmarkStart w:id="373" w:name="_Toc53595502"/>
      <w:bookmarkStart w:id="374" w:name="_Toc57836238"/>
      <w:bookmarkStart w:id="375" w:name="_Toc161141252"/>
      <w:r w:rsidRPr="0097459F">
        <w:t>CAPÍTULO III – CARACTERÍSTICAS E CONSTITUIÇÃO</w:t>
      </w:r>
      <w:bookmarkEnd w:id="371"/>
      <w:bookmarkEnd w:id="372"/>
      <w:bookmarkEnd w:id="373"/>
      <w:bookmarkEnd w:id="374"/>
      <w:bookmarkEnd w:id="375"/>
    </w:p>
    <w:p w14:paraId="096CA19D" w14:textId="63B79ADA" w:rsidR="00C20BBD" w:rsidRPr="0097459F" w:rsidRDefault="00C20BBD" w:rsidP="00C20BBD">
      <w:pPr>
        <w:pStyle w:val="Normalalteradora"/>
        <w:rPr>
          <w:rFonts w:ascii="Calibri" w:hAnsi="Calibri" w:cs="Calibri"/>
        </w:rPr>
      </w:pPr>
      <w:r w:rsidRPr="0097459F">
        <w:rPr>
          <w:rFonts w:ascii="Calibri" w:hAnsi="Calibri" w:cs="Calibri"/>
        </w:rPr>
        <w:t>Art. 3</w:t>
      </w:r>
      <w:proofErr w:type="gramStart"/>
      <w:r w:rsidRPr="0097459F">
        <w:rPr>
          <w:rFonts w:ascii="Calibri" w:hAnsi="Calibri" w:cs="Calibri"/>
        </w:rPr>
        <w:t>º  Da</w:t>
      </w:r>
      <w:proofErr w:type="gramEnd"/>
      <w:r w:rsidRPr="0097459F">
        <w:rPr>
          <w:rFonts w:ascii="Calibri" w:hAnsi="Calibri" w:cs="Calibri"/>
        </w:rPr>
        <w:t xml:space="preserve"> denominação do fundo e de suas classes de cotas, caso existentes, deve constar a expressão "Fundo de Investimento", acrescida da referência ao seu tipo, que deve observar o estabelecido na Seção VII do Capítulo VIII deste </w:t>
      </w:r>
      <w:r w:rsidRPr="0097459F">
        <w:rPr>
          <w:rFonts w:ascii="Calibri" w:hAnsi="Calibri" w:cs="Calibri"/>
          <w:color w:val="000000" w:themeColor="text1"/>
        </w:rPr>
        <w:t>Anexo Normativo</w:t>
      </w:r>
      <w:r w:rsidR="00FB1127" w:rsidRPr="0097459F">
        <w:rPr>
          <w:rFonts w:ascii="Calibri" w:hAnsi="Calibri" w:cs="Calibri"/>
          <w:color w:val="000000" w:themeColor="text1"/>
        </w:rPr>
        <w:t xml:space="preserve"> I</w:t>
      </w:r>
      <w:r w:rsidRPr="0097459F">
        <w:rPr>
          <w:rFonts w:ascii="Calibri" w:hAnsi="Calibri" w:cs="Calibri"/>
        </w:rPr>
        <w:t>.</w:t>
      </w:r>
    </w:p>
    <w:p w14:paraId="2780C048"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Caso</w:t>
      </w:r>
      <w:proofErr w:type="gramEnd"/>
      <w:r w:rsidRPr="0097459F">
        <w:rPr>
          <w:rFonts w:ascii="Calibri" w:hAnsi="Calibri" w:cs="Calibri"/>
        </w:rPr>
        <w:t xml:space="preserve"> o fundo possua somente classes de investimento em cotas, sua denominação pode utilizar a expressão “Fundo de Investimento em Cotas”.</w:t>
      </w:r>
    </w:p>
    <w:p w14:paraId="115D3F22" w14:textId="77777777" w:rsidR="00C20BBD" w:rsidRPr="0097459F" w:rsidRDefault="00C20BBD" w:rsidP="00C20BBD">
      <w:pPr>
        <w:pStyle w:val="Normalalteradora"/>
        <w:rPr>
          <w:rFonts w:ascii="Calibri" w:hAnsi="Calibri" w:cs="Calibri"/>
        </w:rPr>
      </w:pPr>
      <w:r w:rsidRPr="0097459F">
        <w:rPr>
          <w:rFonts w:ascii="Calibri" w:hAnsi="Calibri" w:cs="Calibri"/>
        </w:rPr>
        <w:t>§</w:t>
      </w:r>
      <w:r w:rsidRPr="0097459F" w:rsidDel="00691ACB">
        <w:rPr>
          <w:rFonts w:ascii="Calibri" w:hAnsi="Calibri" w:cs="Calibri"/>
        </w:rPr>
        <w:t xml:space="preserve"> </w:t>
      </w:r>
      <w:r w:rsidRPr="0097459F">
        <w:rPr>
          <w:rFonts w:ascii="Calibri" w:hAnsi="Calibri" w:cs="Calibri"/>
        </w:rPr>
        <w:t>2</w:t>
      </w:r>
      <w:proofErr w:type="gramStart"/>
      <w:r w:rsidRPr="0097459F">
        <w:rPr>
          <w:rFonts w:ascii="Calibri" w:hAnsi="Calibri" w:cs="Calibri"/>
        </w:rPr>
        <w:t>º  Deve</w:t>
      </w:r>
      <w:proofErr w:type="gramEnd"/>
      <w:r w:rsidRPr="0097459F">
        <w:rPr>
          <w:rFonts w:ascii="Calibri" w:hAnsi="Calibri" w:cs="Calibri"/>
        </w:rPr>
        <w:t xml:space="preserve"> constar da denominação da classe de investimento em cotas a expressão “Classe de Investimento em Cotas”.</w:t>
      </w:r>
    </w:p>
    <w:p w14:paraId="414BBEF0"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A</w:t>
      </w:r>
      <w:proofErr w:type="gramEnd"/>
      <w:r w:rsidRPr="0097459F">
        <w:rPr>
          <w:rFonts w:ascii="Calibri" w:hAnsi="Calibri" w:cs="Calibri"/>
        </w:rPr>
        <w:t xml:space="preserve"> classe que dispuser, em seu regulamento, que tem o compromisso de obter o tratamento fiscal destinado a fundos de longo prazo previsto na regulamentação fiscal vigente, está obrigada a:</w:t>
      </w:r>
    </w:p>
    <w:p w14:paraId="11E8D0E3"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incluir</w:t>
      </w:r>
      <w:proofErr w:type="gramEnd"/>
      <w:r w:rsidRPr="0097459F">
        <w:rPr>
          <w:rFonts w:ascii="Calibri" w:hAnsi="Calibri" w:cs="Calibri"/>
        </w:rPr>
        <w:t xml:space="preserve"> a expressão “Longo Prazo” em sua denominação; e</w:t>
      </w:r>
    </w:p>
    <w:p w14:paraId="2BA243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atender</w:t>
      </w:r>
      <w:proofErr w:type="gramEnd"/>
      <w:r w:rsidRPr="0097459F">
        <w:rPr>
          <w:rFonts w:ascii="Calibri" w:hAnsi="Calibri" w:cs="Calibri"/>
        </w:rPr>
        <w:t xml:space="preserve"> às condições previstas na referida regulamentação, de forma a obter o referido tratamento fiscal. </w:t>
      </w:r>
    </w:p>
    <w:p w14:paraId="0B10A157"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 xml:space="preserve">º  </w:t>
      </w:r>
      <w:bookmarkStart w:id="376" w:name="_Hlk51926480"/>
      <w:r w:rsidRPr="0097459F">
        <w:rPr>
          <w:rFonts w:ascii="Calibri" w:hAnsi="Calibri" w:cs="Calibri"/>
        </w:rPr>
        <w:t>Admite</w:t>
      </w:r>
      <w:proofErr w:type="gramEnd"/>
      <w:r w:rsidRPr="0097459F">
        <w:rPr>
          <w:rFonts w:ascii="Calibri" w:hAnsi="Calibri" w:cs="Calibri"/>
        </w:rPr>
        <w:t xml:space="preserve">-se a utilização cumulativa dos sufixos e expressões descritos na parte geral da Resolução e neste Anexo Normativo I, sempre em conjunto com a designação </w:t>
      </w:r>
      <w:bookmarkEnd w:id="376"/>
      <w:r w:rsidRPr="0097459F">
        <w:rPr>
          <w:rFonts w:ascii="Calibri" w:hAnsi="Calibri" w:cs="Calibri"/>
        </w:rPr>
        <w:t xml:space="preserve">dos respectivos tipos, conforme os incisos do </w:t>
      </w:r>
      <w:r w:rsidRPr="0097459F">
        <w:rPr>
          <w:rFonts w:ascii="Calibri" w:hAnsi="Calibri" w:cs="Calibri"/>
          <w:b/>
        </w:rPr>
        <w:t>caput</w:t>
      </w:r>
      <w:r w:rsidRPr="0097459F">
        <w:rPr>
          <w:rFonts w:ascii="Calibri" w:hAnsi="Calibri" w:cs="Calibri"/>
        </w:rPr>
        <w:t xml:space="preserve"> do art. 1º deste Anexo.</w:t>
      </w:r>
    </w:p>
    <w:p w14:paraId="180A361D" w14:textId="77777777" w:rsidR="00C20BBD" w:rsidRPr="0097459F" w:rsidRDefault="00C20BBD" w:rsidP="00C20BBD">
      <w:pPr>
        <w:pStyle w:val="Normalalteradora"/>
        <w:rPr>
          <w:rFonts w:ascii="Calibri" w:hAnsi="Calibri" w:cs="Calibri"/>
        </w:rPr>
      </w:pPr>
      <w:r w:rsidRPr="0097459F">
        <w:rPr>
          <w:rFonts w:ascii="Calibri" w:hAnsi="Calibri" w:cs="Calibri"/>
        </w:rPr>
        <w:t>Art. 4</w:t>
      </w:r>
      <w:proofErr w:type="gramStart"/>
      <w:r w:rsidRPr="0097459F">
        <w:rPr>
          <w:rFonts w:ascii="Calibri" w:hAnsi="Calibri" w:cs="Calibri"/>
        </w:rPr>
        <w:t>º  As</w:t>
      </w:r>
      <w:proofErr w:type="gramEnd"/>
      <w:r w:rsidRPr="0097459F">
        <w:rPr>
          <w:rFonts w:ascii="Calibri" w:hAnsi="Calibri" w:cs="Calibri"/>
        </w:rPr>
        <w:t xml:space="preserve"> classes de cotas dos FIF podem ser abertas ou fechadas.</w:t>
      </w:r>
    </w:p>
    <w:p w14:paraId="5ACAB027" w14:textId="7D1ADC9E" w:rsidR="00C20BBD" w:rsidRPr="0097459F" w:rsidRDefault="00C20BBD" w:rsidP="00C20BBD">
      <w:pPr>
        <w:pStyle w:val="Normalalteradora"/>
        <w:rPr>
          <w:rFonts w:ascii="Calibri" w:hAnsi="Calibri" w:cs="Calibri"/>
        </w:rPr>
      </w:pPr>
      <w:r w:rsidRPr="0097459F">
        <w:rPr>
          <w:rFonts w:ascii="Calibri" w:hAnsi="Calibri" w:cs="Calibri"/>
        </w:rPr>
        <w:t>Art. 5</w:t>
      </w:r>
      <w:proofErr w:type="gramStart"/>
      <w:r w:rsidRPr="0097459F">
        <w:rPr>
          <w:rFonts w:ascii="Calibri" w:hAnsi="Calibri" w:cs="Calibri"/>
        </w:rPr>
        <w:t xml:space="preserve">º  </w:t>
      </w:r>
      <w:bookmarkStart w:id="377" w:name="_Hlk50133156"/>
      <w:bookmarkStart w:id="378" w:name="_Hlk51060806"/>
      <w:r w:rsidRPr="0097459F">
        <w:rPr>
          <w:rFonts w:ascii="Calibri" w:hAnsi="Calibri" w:cs="Calibri"/>
        </w:rPr>
        <w:t>Para</w:t>
      </w:r>
      <w:proofErr w:type="gramEnd"/>
      <w:r w:rsidRPr="0097459F">
        <w:rPr>
          <w:rFonts w:ascii="Calibri" w:hAnsi="Calibri" w:cs="Calibri"/>
        </w:rPr>
        <w:t xml:space="preserve"> fins de obtenção do registro de funcionamento de classe aberta que seja destinada ao público em geral, em acréscimo aos documentos e informações requeridos no art. 10 da parte geral da Resolução, o administrador deve encaminhar </w:t>
      </w:r>
      <w:bookmarkStart w:id="379" w:name="_Hlk50133696"/>
      <w:bookmarkEnd w:id="377"/>
      <w:r w:rsidRPr="0097459F">
        <w:rPr>
          <w:rFonts w:ascii="Calibri" w:hAnsi="Calibri" w:cs="Calibri"/>
        </w:rPr>
        <w:t>versão atualizada da lâmina</w:t>
      </w:r>
      <w:r w:rsidR="005E4931" w:rsidRPr="0097459F">
        <w:rPr>
          <w:rFonts w:ascii="Calibri" w:hAnsi="Calibri" w:cs="Calibri"/>
        </w:rPr>
        <w:t xml:space="preserve"> prevista no Suplemento B</w:t>
      </w:r>
      <w:r w:rsidRPr="0097459F">
        <w:rPr>
          <w:rFonts w:ascii="Calibri" w:hAnsi="Calibri" w:cs="Calibri"/>
        </w:rPr>
        <w:t>.</w:t>
      </w:r>
      <w:bookmarkEnd w:id="378"/>
    </w:p>
    <w:bookmarkEnd w:id="379"/>
    <w:p w14:paraId="2CD4BC29"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O campo “Taxa Total de Despesas” do item 4 e os itens 5, 7, 8 e 9 da lâmina ficam dispensados de apresentação na instrução do pedido de registro de funcionamento e até que a classe complete 1 (um) ano de operação.</w:t>
      </w:r>
    </w:p>
    <w:p w14:paraId="78432B43" w14:textId="77777777" w:rsidR="00C20BBD" w:rsidRPr="0097459F" w:rsidRDefault="00C20BBD" w:rsidP="00C20BBD">
      <w:pPr>
        <w:pStyle w:val="Captulo"/>
      </w:pPr>
      <w:bookmarkStart w:id="380" w:name="_Toc53594230"/>
      <w:bookmarkStart w:id="381" w:name="_Toc53594478"/>
      <w:bookmarkStart w:id="382" w:name="_Toc53595503"/>
      <w:bookmarkStart w:id="383" w:name="_Toc57836239"/>
      <w:bookmarkStart w:id="384" w:name="_Toc161141253"/>
      <w:r w:rsidRPr="0097459F">
        <w:t>CAPÍTULO IV – COTAS</w:t>
      </w:r>
      <w:bookmarkEnd w:id="380"/>
      <w:bookmarkEnd w:id="381"/>
      <w:bookmarkEnd w:id="382"/>
      <w:bookmarkEnd w:id="383"/>
      <w:bookmarkEnd w:id="384"/>
    </w:p>
    <w:p w14:paraId="43DF9649" w14:textId="77777777" w:rsidR="00C20BBD" w:rsidRPr="0097459F" w:rsidRDefault="00C20BBD" w:rsidP="00C20BBD">
      <w:pPr>
        <w:pStyle w:val="Seo"/>
      </w:pPr>
      <w:bookmarkStart w:id="385" w:name="_Toc53594231"/>
      <w:bookmarkStart w:id="386" w:name="_Toc53594479"/>
      <w:bookmarkStart w:id="387" w:name="_Toc53595504"/>
      <w:bookmarkStart w:id="388" w:name="_Toc57836240"/>
      <w:bookmarkStart w:id="389" w:name="_Toc161141254"/>
      <w:r w:rsidRPr="0097459F">
        <w:t>Seção I – Disposições Gerais</w:t>
      </w:r>
      <w:bookmarkEnd w:id="385"/>
      <w:bookmarkEnd w:id="386"/>
      <w:bookmarkEnd w:id="387"/>
      <w:bookmarkEnd w:id="388"/>
      <w:bookmarkEnd w:id="389"/>
    </w:p>
    <w:p w14:paraId="73954C8D" w14:textId="77777777" w:rsidR="00C20BBD" w:rsidRPr="0097459F" w:rsidRDefault="00C20BBD" w:rsidP="00C20BBD">
      <w:pPr>
        <w:pStyle w:val="Normalalteradora"/>
        <w:rPr>
          <w:rFonts w:ascii="Calibri" w:hAnsi="Calibri" w:cs="Calibri"/>
        </w:rPr>
      </w:pPr>
      <w:r w:rsidRPr="0097459F">
        <w:rPr>
          <w:rFonts w:ascii="Calibri" w:hAnsi="Calibri" w:cs="Calibri"/>
        </w:rPr>
        <w:t>Art. 6</w:t>
      </w:r>
      <w:proofErr w:type="gramStart"/>
      <w:r w:rsidRPr="0097459F">
        <w:rPr>
          <w:rFonts w:ascii="Calibri" w:hAnsi="Calibri" w:cs="Calibri"/>
        </w:rPr>
        <w:t>º  Quando</w:t>
      </w:r>
      <w:proofErr w:type="gramEnd"/>
      <w:r w:rsidRPr="0097459F">
        <w:rPr>
          <w:rFonts w:ascii="Calibri" w:hAnsi="Calibri" w:cs="Calibri"/>
        </w:rPr>
        <w:t xml:space="preserve"> se tratar de classes de cotas tipificada como “Renda Fixa” ou registradas como “Exclusivas” ou “Previdenciárias”, o regulamento pode estabelecer que o valor da cota do dia seja calculado a partir do patrimônio líquido do dia anterior, devidamente atualizado por 1 (um) dia útil.</w:t>
      </w:r>
    </w:p>
    <w:p w14:paraId="41A6BBDA"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Para</w:t>
      </w:r>
      <w:proofErr w:type="gramEnd"/>
      <w:r w:rsidRPr="0097459F">
        <w:rPr>
          <w:rFonts w:ascii="Calibri" w:hAnsi="Calibri" w:cs="Calibri"/>
        </w:rPr>
        <w:t xml:space="preserve"> efeitos do disposto no </w:t>
      </w:r>
      <w:r w:rsidRPr="0097459F">
        <w:rPr>
          <w:rFonts w:ascii="Calibri" w:hAnsi="Calibri" w:cs="Calibri"/>
          <w:b/>
          <w:bCs/>
        </w:rPr>
        <w:t>caput</w:t>
      </w:r>
      <w:r w:rsidRPr="0097459F">
        <w:rPr>
          <w:rFonts w:ascii="Calibri" w:hAnsi="Calibri" w:cs="Calibri"/>
        </w:rPr>
        <w:t>, os eventuais ajustes decorrentes das movimentações ocorridas durante o dia devem ser lançados contra as aplicações ou resgates dos cotistas que efetuaram essas movimentações ou, ainda, contra o patrimônio, conforme dispuser o regulamento.</w:t>
      </w:r>
    </w:p>
    <w:p w14:paraId="34817323" w14:textId="77777777" w:rsidR="00C20BBD" w:rsidRPr="0097459F" w:rsidRDefault="00C20BBD" w:rsidP="00C20BBD">
      <w:pPr>
        <w:pStyle w:val="Normalalteradora"/>
        <w:rPr>
          <w:rFonts w:ascii="Calibri" w:hAnsi="Calibri" w:cs="Calibri"/>
        </w:rPr>
      </w:pPr>
      <w:r w:rsidRPr="0097459F">
        <w:rPr>
          <w:rFonts w:ascii="Calibri" w:hAnsi="Calibri" w:cs="Calibri"/>
        </w:rPr>
        <w:t>§2</w:t>
      </w:r>
      <w:proofErr w:type="gramStart"/>
      <w:r w:rsidRPr="0097459F">
        <w:rPr>
          <w:rFonts w:ascii="Calibri" w:hAnsi="Calibri" w:cs="Calibri"/>
        </w:rPr>
        <w:t>º  O</w:t>
      </w:r>
      <w:proofErr w:type="gramEnd"/>
      <w:r w:rsidRPr="0097459F">
        <w:rPr>
          <w:rFonts w:ascii="Calibri" w:hAnsi="Calibri" w:cs="Calibri"/>
        </w:rPr>
        <w:t xml:space="preserve"> regulamento da classe que se valer da possibilidade de que trata o </w:t>
      </w:r>
      <w:r w:rsidRPr="0097459F">
        <w:rPr>
          <w:rFonts w:ascii="Calibri" w:hAnsi="Calibri" w:cs="Calibri"/>
          <w:b/>
        </w:rPr>
        <w:t>caput</w:t>
      </w:r>
      <w:r w:rsidRPr="0097459F">
        <w:rPr>
          <w:rFonts w:ascii="Calibri" w:hAnsi="Calibri" w:cs="Calibri"/>
        </w:rPr>
        <w:t xml:space="preserve"> deve especificar o índice utilizado para a atualização.</w:t>
      </w:r>
    </w:p>
    <w:p w14:paraId="652AD07E" w14:textId="77777777" w:rsidR="00C20BBD" w:rsidRPr="0097459F" w:rsidRDefault="00C20BBD" w:rsidP="00C20BBD">
      <w:pPr>
        <w:pStyle w:val="Normalalteradora"/>
        <w:rPr>
          <w:rFonts w:ascii="Calibri" w:hAnsi="Calibri" w:cs="Calibri"/>
        </w:rPr>
      </w:pPr>
      <w:r w:rsidRPr="0097459F">
        <w:rPr>
          <w:rFonts w:ascii="Calibri" w:hAnsi="Calibri" w:cs="Calibri"/>
        </w:rPr>
        <w:t>Art. 7</w:t>
      </w:r>
      <w:proofErr w:type="gramStart"/>
      <w:r w:rsidRPr="0097459F">
        <w:rPr>
          <w:rFonts w:ascii="Calibri" w:hAnsi="Calibri" w:cs="Calibri"/>
        </w:rPr>
        <w:t>º  Para</w:t>
      </w:r>
      <w:proofErr w:type="gramEnd"/>
      <w:r w:rsidRPr="0097459F">
        <w:rPr>
          <w:rFonts w:ascii="Calibri" w:hAnsi="Calibri" w:cs="Calibri"/>
        </w:rPr>
        <w:t xml:space="preserve"> os efeitos deste Anexo Normativo I, o valor da cota deve ser calculado no encerramento do dia, que deve ser entendido como o horário de fechamento dos mercados em que a classe de cotas atue.</w:t>
      </w:r>
    </w:p>
    <w:p w14:paraId="368D5641"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1</w:t>
      </w:r>
      <w:proofErr w:type="gramStart"/>
      <w:r w:rsidRPr="0097459F">
        <w:rPr>
          <w:rFonts w:ascii="Calibri" w:hAnsi="Calibri" w:cs="Calibri"/>
        </w:rPr>
        <w:t>º  Quando</w:t>
      </w:r>
      <w:proofErr w:type="gramEnd"/>
      <w:r w:rsidRPr="0097459F">
        <w:rPr>
          <w:rFonts w:ascii="Calibri" w:hAnsi="Calibri" w:cs="Calibri"/>
        </w:rPr>
        <w:t xml:space="preserve"> se tratar de atuação em mercados no exterior, o encerramento do dia pode ser considerado como o horário de fechamento de um mercado específico indicado no regulamento.</w:t>
      </w:r>
    </w:p>
    <w:p w14:paraId="6732C557"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A</w:t>
      </w:r>
      <w:proofErr w:type="gramEnd"/>
      <w:r w:rsidRPr="0097459F">
        <w:rPr>
          <w:rFonts w:ascii="Calibri" w:hAnsi="Calibri" w:cs="Calibri"/>
        </w:rPr>
        <w:t xml:space="preserve"> classe que efetuar cobrança de taxa de performance utilizando o método do ajuste deve calcular o valor da cota da classe que será debitada sempre antes de descontada a provisão para o pagamento da taxa de performance.</w:t>
      </w:r>
    </w:p>
    <w:p w14:paraId="21C9909F" w14:textId="77777777" w:rsidR="00C20BBD" w:rsidRPr="0097459F" w:rsidRDefault="00C20BBD" w:rsidP="00C20BBD">
      <w:pPr>
        <w:pStyle w:val="Seo"/>
      </w:pPr>
      <w:bookmarkStart w:id="390" w:name="_Toc53594232"/>
      <w:bookmarkStart w:id="391" w:name="_Toc53594480"/>
      <w:bookmarkStart w:id="392" w:name="_Toc53595505"/>
      <w:bookmarkStart w:id="393" w:name="_Toc57836241"/>
      <w:bookmarkStart w:id="394" w:name="_Toc161141255"/>
      <w:r w:rsidRPr="0097459F">
        <w:t xml:space="preserve">Seção II – Distribuição e </w:t>
      </w:r>
      <w:bookmarkEnd w:id="390"/>
      <w:bookmarkEnd w:id="391"/>
      <w:bookmarkEnd w:id="392"/>
      <w:bookmarkEnd w:id="393"/>
      <w:r w:rsidRPr="0097459F">
        <w:t>Subscrição</w:t>
      </w:r>
      <w:bookmarkEnd w:id="394"/>
    </w:p>
    <w:p w14:paraId="4CBDDA75" w14:textId="77777777" w:rsidR="00C20BBD" w:rsidRPr="0097459F" w:rsidRDefault="00C20BBD" w:rsidP="00C20BBD">
      <w:pPr>
        <w:pStyle w:val="Normalalteradora"/>
        <w:rPr>
          <w:rFonts w:ascii="Calibri" w:hAnsi="Calibri" w:cs="Calibri"/>
        </w:rPr>
      </w:pPr>
      <w:r w:rsidRPr="0097459F">
        <w:rPr>
          <w:rFonts w:ascii="Calibri" w:hAnsi="Calibri" w:cs="Calibri"/>
        </w:rPr>
        <w:t>Art. 8</w:t>
      </w:r>
      <w:proofErr w:type="gramStart"/>
      <w:r w:rsidRPr="0097459F">
        <w:rPr>
          <w:rFonts w:ascii="Calibri" w:hAnsi="Calibri" w:cs="Calibri"/>
        </w:rPr>
        <w:t>º  Durante</w:t>
      </w:r>
      <w:proofErr w:type="gramEnd"/>
      <w:r w:rsidRPr="0097459F">
        <w:rPr>
          <w:rFonts w:ascii="Calibri" w:hAnsi="Calibri" w:cs="Calibri"/>
        </w:rPr>
        <w:t xml:space="preserve"> o período de distribuição de cotas da classe fechada, o administrador deve remeter mensalmente demonstrativo das aplicações da carteira, por meio do Sistema de Envio de Documentos disponível na página da CVM na rede mundial de computadores, no prazo máximo de 10 (dez) dias contado do encerramento do mês.</w:t>
      </w:r>
    </w:p>
    <w:p w14:paraId="2A72AB46" w14:textId="77777777" w:rsidR="00C20BBD" w:rsidRPr="0097459F" w:rsidDel="00FC555E" w:rsidRDefault="00C20BBD" w:rsidP="00C20BBD">
      <w:pPr>
        <w:pStyle w:val="Normalalteradora"/>
        <w:rPr>
          <w:rFonts w:ascii="Calibri" w:hAnsi="Calibri" w:cs="Calibri"/>
        </w:rPr>
      </w:pPr>
      <w:r w:rsidRPr="0097459F">
        <w:rPr>
          <w:rFonts w:ascii="Calibri" w:hAnsi="Calibri" w:cs="Calibri"/>
        </w:rPr>
        <w:t>Art. 9</w:t>
      </w:r>
      <w:proofErr w:type="gramStart"/>
      <w:r w:rsidRPr="0097459F">
        <w:rPr>
          <w:rFonts w:ascii="Calibri" w:hAnsi="Calibri" w:cs="Calibri"/>
        </w:rPr>
        <w:t>º  Caso</w:t>
      </w:r>
      <w:proofErr w:type="gramEnd"/>
      <w:r w:rsidRPr="0097459F">
        <w:rPr>
          <w:rFonts w:ascii="Calibri" w:hAnsi="Calibri" w:cs="Calibri"/>
        </w:rPr>
        <w:t xml:space="preserve"> o número mínimo de cotas da classe fechada não seja subscrito no prazo de distribuição, os valores integralizados devem ser imediatamente restituídos aos subscritores, acrescidos proporcionalmente dos rendimentos auferidos pelas aplicações dos valores, líquidos de encargos e tributos.</w:t>
      </w:r>
    </w:p>
    <w:p w14:paraId="0C215E1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10.  </w:t>
      </w:r>
      <w:bookmarkStart w:id="395" w:name="_Hlk51666924"/>
      <w:r w:rsidRPr="0097459F">
        <w:rPr>
          <w:rFonts w:ascii="Calibri" w:hAnsi="Calibri" w:cs="Calibri"/>
        </w:rPr>
        <w:t>Em acréscimo ao regulamento, quando do ingresso do cotista na classe de cotas, o administrador e o distribuidor devem disponibilizar uma versão atualizada da lâmina, se aplicável.</w:t>
      </w:r>
    </w:p>
    <w:p w14:paraId="77229082" w14:textId="057B9CE8" w:rsidR="00C20BBD" w:rsidRDefault="00C20BBD" w:rsidP="00C20BBD">
      <w:pPr>
        <w:pStyle w:val="Normalalteradora"/>
        <w:rPr>
          <w:rFonts w:ascii="Calibri" w:hAnsi="Calibri" w:cs="Calibri"/>
        </w:rPr>
      </w:pPr>
      <w:bookmarkStart w:id="396" w:name="_Hlk51929795"/>
      <w:bookmarkEnd w:id="395"/>
      <w:r w:rsidRPr="0097459F">
        <w:rPr>
          <w:rFonts w:ascii="Calibri" w:hAnsi="Calibri" w:cs="Calibri"/>
        </w:rPr>
        <w:t xml:space="preserve">Art. 11.  Em acréscimo às informações contidas no </w:t>
      </w:r>
      <w:r w:rsidRPr="0097459F">
        <w:rPr>
          <w:rFonts w:ascii="Calibri" w:hAnsi="Calibri" w:cs="Calibri"/>
          <w:b/>
        </w:rPr>
        <w:t>caput</w:t>
      </w:r>
      <w:r w:rsidRPr="0097459F">
        <w:rPr>
          <w:rFonts w:ascii="Calibri" w:hAnsi="Calibri" w:cs="Calibri"/>
        </w:rPr>
        <w:t xml:space="preserve"> do art. 29 </w:t>
      </w:r>
      <w:r w:rsidRPr="0097459F">
        <w:rPr>
          <w:rFonts w:ascii="Calibri" w:hAnsi="Calibri" w:cs="Calibri"/>
          <w:color w:val="000000" w:themeColor="text1"/>
        </w:rPr>
        <w:t>da</w:t>
      </w:r>
      <w:r w:rsidRPr="0097459F">
        <w:rPr>
          <w:rFonts w:ascii="Calibri" w:hAnsi="Calibri" w:cs="Calibri"/>
        </w:rPr>
        <w:t xml:space="preserve"> parte geral da Resolução, quando de seu ingresso na classe de cotas, o cotista deve atestar, no termo de adesão e ciência de risco, que teve acesso ao inteiro teor da lâmina, se aplicável.</w:t>
      </w:r>
    </w:p>
    <w:p w14:paraId="723F33A4" w14:textId="7F9C611A" w:rsidR="00C73321" w:rsidRDefault="00C73321" w:rsidP="00C73321">
      <w:pPr>
        <w:pStyle w:val="Normalalteradora"/>
        <w:rPr>
          <w:rFonts w:ascii="Calibri" w:hAnsi="Calibri" w:cs="Calibri"/>
          <w:strike/>
        </w:rPr>
      </w:pPr>
      <w:r w:rsidRPr="00B23C7B">
        <w:rPr>
          <w:rFonts w:ascii="Calibri" w:hAnsi="Calibri" w:cs="Calibri"/>
          <w:strike/>
        </w:rPr>
        <w:t xml:space="preserve">Art. 12.  Caso a responsabilidade dos cotistas não esteja limitada ao valor por eles subscrito e a política de investimento admita a possibilidade de exposição </w:t>
      </w:r>
      <w:proofErr w:type="spellStart"/>
      <w:r w:rsidRPr="00B23C7B">
        <w:rPr>
          <w:rFonts w:ascii="Calibri" w:hAnsi="Calibri" w:cs="Calibri"/>
          <w:strike/>
        </w:rPr>
        <w:t>a</w:t>
      </w:r>
      <w:proofErr w:type="spellEnd"/>
      <w:r w:rsidRPr="00B23C7B">
        <w:rPr>
          <w:rFonts w:ascii="Calibri" w:hAnsi="Calibri" w:cs="Calibri"/>
          <w:strike/>
        </w:rPr>
        <w:t xml:space="preserve"> risco de capital.</w:t>
      </w:r>
    </w:p>
    <w:p w14:paraId="7A6754AB" w14:textId="4A2CA5F3" w:rsidR="00C73321" w:rsidRPr="00B23C7B" w:rsidRDefault="00C73321" w:rsidP="00C73321">
      <w:pPr>
        <w:pStyle w:val="Normalalteradora"/>
        <w:rPr>
          <w:rFonts w:ascii="Calibri" w:hAnsi="Calibri" w:cs="Calibri"/>
          <w:strike/>
        </w:rPr>
      </w:pPr>
      <w:r w:rsidRPr="00B23C7B">
        <w:rPr>
          <w:rFonts w:ascii="Calibri" w:hAnsi="Calibri" w:cs="Calibri"/>
          <w:strike/>
        </w:rPr>
        <w:t>Parágrafo único.  No termo de adesão, o cotista deve atestar que possui ciência dos riscos derivados de sua responsabilidade ilimitada.</w:t>
      </w:r>
    </w:p>
    <w:p w14:paraId="1A6EEBC1" w14:textId="2154CE50" w:rsidR="00B23C7B" w:rsidRDefault="00B23C7B" w:rsidP="00B23C7B">
      <w:pPr>
        <w:pStyle w:val="Normalalteradora"/>
      </w:pPr>
      <w:r w:rsidRPr="001B7C22">
        <w:t>Art. 12</w:t>
      </w:r>
      <w:r w:rsidRPr="00325737">
        <w:t xml:space="preserve">.  Caso a responsabilidade dos cotistas não esteja limitada ao valor por eles subscrito e a política de investimento admita a possibilidade de exposição </w:t>
      </w:r>
      <w:proofErr w:type="spellStart"/>
      <w:r w:rsidRPr="00325737">
        <w:t>a</w:t>
      </w:r>
      <w:proofErr w:type="spellEnd"/>
      <w:r w:rsidRPr="00325737">
        <w:t xml:space="preserve"> risco de capital, o cotista deve atestar que possui ciência dos riscos derivados de sua responsabilidade ilimitada no termo de adesão.</w:t>
      </w:r>
    </w:p>
    <w:p w14:paraId="19C7EC92" w14:textId="3706868A" w:rsidR="00B23C7B" w:rsidRPr="00D960C9" w:rsidRDefault="00B23C7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Art. 12</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4D0419B" w14:textId="77777777" w:rsidR="00C20BBD" w:rsidRPr="0097459F" w:rsidRDefault="00C20BBD" w:rsidP="00C20BBD">
      <w:pPr>
        <w:pStyle w:val="Captulo"/>
      </w:pPr>
      <w:bookmarkStart w:id="397" w:name="_Toc53594234"/>
      <w:bookmarkStart w:id="398" w:name="_Toc53594482"/>
      <w:bookmarkStart w:id="399" w:name="_Toc53595507"/>
      <w:bookmarkStart w:id="400" w:name="_Toc57836243"/>
      <w:bookmarkStart w:id="401" w:name="_Toc161141256"/>
      <w:bookmarkEnd w:id="396"/>
      <w:r w:rsidRPr="0097459F">
        <w:lastRenderedPageBreak/>
        <w:t>CAPÍTULO V – DOCUMENTOS E INFORMAÇÕES</w:t>
      </w:r>
      <w:bookmarkEnd w:id="397"/>
      <w:bookmarkEnd w:id="398"/>
      <w:bookmarkEnd w:id="399"/>
      <w:bookmarkEnd w:id="400"/>
      <w:bookmarkEnd w:id="401"/>
    </w:p>
    <w:p w14:paraId="0471A397" w14:textId="77777777" w:rsidR="00C20BBD" w:rsidRPr="0097459F" w:rsidRDefault="00C20BBD" w:rsidP="00C20BBD">
      <w:pPr>
        <w:pStyle w:val="Seo"/>
      </w:pPr>
      <w:bookmarkStart w:id="402" w:name="_Toc53594235"/>
      <w:bookmarkStart w:id="403" w:name="_Toc53594483"/>
      <w:bookmarkStart w:id="404" w:name="_Toc53595508"/>
      <w:bookmarkStart w:id="405" w:name="_Toc57836244"/>
      <w:bookmarkStart w:id="406" w:name="_Toc161141257"/>
      <w:r w:rsidRPr="0097459F">
        <w:t>Seção I – Disposições Gerais</w:t>
      </w:r>
      <w:bookmarkEnd w:id="402"/>
      <w:bookmarkEnd w:id="403"/>
      <w:bookmarkEnd w:id="404"/>
      <w:bookmarkEnd w:id="405"/>
      <w:bookmarkEnd w:id="406"/>
    </w:p>
    <w:p w14:paraId="169D87E3" w14:textId="77777777" w:rsidR="00C20BBD" w:rsidRPr="0097459F" w:rsidRDefault="00C20BBD" w:rsidP="00C20BBD">
      <w:pPr>
        <w:pStyle w:val="Normalalteradora"/>
        <w:rPr>
          <w:rFonts w:ascii="Calibri" w:hAnsi="Calibri" w:cs="Calibri"/>
        </w:rPr>
      </w:pPr>
      <w:bookmarkStart w:id="407" w:name="_Hlk51929908"/>
      <w:r w:rsidRPr="0097459F">
        <w:rPr>
          <w:rFonts w:ascii="Calibri" w:hAnsi="Calibri" w:cs="Calibri"/>
        </w:rPr>
        <w:t xml:space="preserve">Art. 13.  Em acréscimo aos materiais referidos nos incisos do </w:t>
      </w:r>
      <w:r w:rsidRPr="0097459F">
        <w:rPr>
          <w:rFonts w:ascii="Calibri" w:hAnsi="Calibri" w:cs="Calibri"/>
          <w:b/>
        </w:rPr>
        <w:t>caput</w:t>
      </w:r>
      <w:r w:rsidRPr="0097459F">
        <w:rPr>
          <w:rFonts w:ascii="Calibri" w:hAnsi="Calibri" w:cs="Calibri"/>
        </w:rPr>
        <w:t xml:space="preserve"> do art. 47 da parte geral da Resolução, a divulgação de informações dos FIF deve contemplar a disponibilização dos seguintes documentos:</w:t>
      </w:r>
    </w:p>
    <w:p w14:paraId="3472D38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lâmina</w:t>
      </w:r>
      <w:proofErr w:type="gramEnd"/>
      <w:r w:rsidRPr="0097459F">
        <w:rPr>
          <w:rFonts w:ascii="Calibri" w:hAnsi="Calibri" w:cs="Calibri"/>
        </w:rPr>
        <w:t xml:space="preserve"> atualizada, se aplicável;</w:t>
      </w:r>
    </w:p>
    <w:p w14:paraId="3428ACA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demonstração</w:t>
      </w:r>
      <w:proofErr w:type="gramEnd"/>
      <w:r w:rsidRPr="0097459F">
        <w:rPr>
          <w:rFonts w:ascii="Calibri" w:hAnsi="Calibri" w:cs="Calibri"/>
        </w:rPr>
        <w:t xml:space="preserve"> de desempenho, se aplicável; e</w:t>
      </w:r>
    </w:p>
    <w:p w14:paraId="1773F2F0" w14:textId="77777777" w:rsidR="00C20BBD" w:rsidRDefault="00C20BBD" w:rsidP="00C20BBD">
      <w:pPr>
        <w:pStyle w:val="Normalalteradora"/>
        <w:rPr>
          <w:rFonts w:ascii="Calibri" w:hAnsi="Calibri" w:cs="Calibri"/>
          <w:strike/>
        </w:rPr>
      </w:pPr>
      <w:r w:rsidRPr="00BB0B2F">
        <w:rPr>
          <w:rFonts w:ascii="Calibri" w:hAnsi="Calibri" w:cs="Calibri"/>
          <w:strike/>
        </w:rPr>
        <w:t>III – política de voto, se houver.</w:t>
      </w:r>
    </w:p>
    <w:p w14:paraId="673B4F00" w14:textId="6DED3F5D" w:rsidR="00BB0B2F" w:rsidRDefault="00BB0B2F" w:rsidP="00C20BBD">
      <w:pPr>
        <w:pStyle w:val="Normalalteradora"/>
        <w:rPr>
          <w:rFonts w:ascii="Calibri" w:hAnsi="Calibri" w:cs="Calibri"/>
        </w:rPr>
      </w:pPr>
      <w:r>
        <w:rPr>
          <w:rFonts w:ascii="Calibri" w:hAnsi="Calibri" w:cs="Calibri"/>
        </w:rPr>
        <w:t>III – REVOGADO</w:t>
      </w:r>
    </w:p>
    <w:p w14:paraId="2413FF91" w14:textId="66E3181F" w:rsidR="00BB0B2F" w:rsidRPr="00BB0B2F" w:rsidRDefault="00BB0B2F" w:rsidP="000C3D54">
      <w:pPr>
        <w:pStyle w:val="Normalalteradora"/>
        <w:numPr>
          <w:ilvl w:val="0"/>
          <w:numId w:val="38"/>
        </w:numPr>
        <w:ind w:left="142" w:firstLine="425"/>
        <w:rPr>
          <w:rFonts w:ascii="Calibri" w:hAnsi="Calibri" w:cs="Calibri"/>
        </w:rPr>
      </w:pPr>
      <w:r w:rsidRPr="00BB0B2F">
        <w:rPr>
          <w:rFonts w:ascii="Calibri" w:hAnsi="Calibri" w:cs="Calibri"/>
          <w:b/>
          <w:bCs/>
          <w:i/>
          <w:iCs/>
        </w:rPr>
        <w:t>Inciso III</w:t>
      </w:r>
      <w:r>
        <w:rPr>
          <w:rFonts w:cstheme="minorHAnsi"/>
          <w:b/>
          <w:i/>
        </w:rPr>
        <w:t xml:space="preserve"> revogado </w:t>
      </w:r>
      <w:r w:rsidRPr="00BB0B2F">
        <w:rPr>
          <w:rFonts w:cstheme="minorHAnsi"/>
          <w:b/>
          <w:i/>
        </w:rPr>
        <w:t>pela Resolução CVM nº 184, de 31 de maio de 2023.</w:t>
      </w:r>
    </w:p>
    <w:p w14:paraId="563B8F1E" w14:textId="77777777" w:rsidR="00C20BBD" w:rsidRPr="0097459F" w:rsidRDefault="00C20BBD" w:rsidP="00C20BBD">
      <w:pPr>
        <w:pStyle w:val="Seo"/>
      </w:pPr>
      <w:bookmarkStart w:id="408" w:name="_Toc53594236"/>
      <w:bookmarkStart w:id="409" w:name="_Toc53594484"/>
      <w:bookmarkStart w:id="410" w:name="_Toc53595509"/>
      <w:bookmarkStart w:id="411" w:name="_Toc57836245"/>
      <w:bookmarkStart w:id="412" w:name="_Toc161141258"/>
      <w:bookmarkEnd w:id="407"/>
      <w:r w:rsidRPr="0097459F">
        <w:t xml:space="preserve">Seção II – Lâmina de Informações </w:t>
      </w:r>
      <w:bookmarkEnd w:id="408"/>
      <w:bookmarkEnd w:id="409"/>
      <w:bookmarkEnd w:id="410"/>
      <w:bookmarkEnd w:id="411"/>
      <w:r w:rsidRPr="0097459F">
        <w:t>Básicas</w:t>
      </w:r>
      <w:bookmarkEnd w:id="412"/>
    </w:p>
    <w:p w14:paraId="45EE5900" w14:textId="77777777" w:rsidR="00C20BBD" w:rsidRPr="0097459F" w:rsidRDefault="00C20BBD" w:rsidP="00C20BBD">
      <w:pPr>
        <w:pStyle w:val="Normalalteradora"/>
        <w:rPr>
          <w:rFonts w:ascii="Calibri" w:hAnsi="Calibri" w:cs="Calibri"/>
        </w:rPr>
      </w:pPr>
      <w:r w:rsidRPr="0097459F">
        <w:rPr>
          <w:rFonts w:ascii="Calibri" w:hAnsi="Calibri" w:cs="Calibri"/>
        </w:rPr>
        <w:t>Art. 14.  O administrador de classe aberta que seja destinada ao público em geral deve elaborar lâmina de informações básicas e mantê-la atualizada.</w:t>
      </w:r>
    </w:p>
    <w:p w14:paraId="63D92C71"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É</w:t>
      </w:r>
      <w:proofErr w:type="gramEnd"/>
      <w:r w:rsidRPr="0097459F">
        <w:rPr>
          <w:rFonts w:ascii="Calibri" w:hAnsi="Calibri" w:cs="Calibri"/>
        </w:rPr>
        <w:t xml:space="preserve"> facultado ao administrador formatar a lâmina livremente desde que:</w:t>
      </w:r>
    </w:p>
    <w:p w14:paraId="1D8AC3E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ordem das informações seja mantida;</w:t>
      </w:r>
    </w:p>
    <w:p w14:paraId="6F8AD22E" w14:textId="28D07C09"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conteúdo do Suplemento </w:t>
      </w:r>
      <w:r w:rsidR="005B49E0" w:rsidRPr="0097459F">
        <w:rPr>
          <w:rFonts w:ascii="Calibri" w:hAnsi="Calibri" w:cs="Calibri"/>
        </w:rPr>
        <w:t>B</w:t>
      </w:r>
      <w:r w:rsidRPr="0097459F">
        <w:rPr>
          <w:rFonts w:ascii="Calibri" w:hAnsi="Calibri" w:cs="Calibri"/>
        </w:rPr>
        <w:t xml:space="preserve"> não seja modificado;</w:t>
      </w:r>
    </w:p>
    <w:p w14:paraId="3BAE1750" w14:textId="77777777" w:rsidR="00C20BBD" w:rsidRPr="0097459F" w:rsidRDefault="00C20BBD" w:rsidP="00C20BBD">
      <w:pPr>
        <w:pStyle w:val="Normalalteradora"/>
        <w:rPr>
          <w:rFonts w:ascii="Calibri" w:hAnsi="Calibri" w:cs="Calibri"/>
        </w:rPr>
      </w:pPr>
      <w:r w:rsidRPr="0097459F">
        <w:rPr>
          <w:rFonts w:ascii="Calibri" w:hAnsi="Calibri" w:cs="Calibri"/>
        </w:rPr>
        <w:t>III – os logotipos e formatação não dificultem o entendimento das informações; e</w:t>
      </w:r>
    </w:p>
    <w:p w14:paraId="20C1216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quaisquer</w:t>
      </w:r>
      <w:proofErr w:type="gramEnd"/>
      <w:r w:rsidRPr="0097459F">
        <w:rPr>
          <w:rFonts w:ascii="Calibri" w:hAnsi="Calibri" w:cs="Calibri"/>
        </w:rPr>
        <w:t xml:space="preserve"> informações adicionais:</w:t>
      </w:r>
    </w:p>
    <w:p w14:paraId="2C2BD90B" w14:textId="77777777" w:rsidR="00C20BBD" w:rsidRPr="0097459F" w:rsidRDefault="00C20BBD" w:rsidP="00C20BBD">
      <w:pPr>
        <w:pStyle w:val="Normalalteradora"/>
        <w:rPr>
          <w:rFonts w:ascii="Calibri" w:hAnsi="Calibri" w:cs="Calibri"/>
        </w:rPr>
      </w:pPr>
      <w:r w:rsidRPr="0097459F">
        <w:rPr>
          <w:rFonts w:ascii="Calibri" w:hAnsi="Calibri" w:cs="Calibri"/>
        </w:rPr>
        <w:t>a) sejam acrescentadas ao final do documento;</w:t>
      </w:r>
    </w:p>
    <w:p w14:paraId="2932464D" w14:textId="77777777" w:rsidR="00C20BBD" w:rsidRPr="0097459F" w:rsidRDefault="00C20BBD" w:rsidP="00C20BBD">
      <w:pPr>
        <w:pStyle w:val="Normalalteradora"/>
        <w:rPr>
          <w:rFonts w:ascii="Calibri" w:hAnsi="Calibri" w:cs="Calibri"/>
        </w:rPr>
      </w:pPr>
      <w:r w:rsidRPr="0097459F">
        <w:rPr>
          <w:rFonts w:ascii="Calibri" w:hAnsi="Calibri" w:cs="Calibri"/>
        </w:rPr>
        <w:t>b) não dificultem o entendimento das informações contidas na lâmina; e</w:t>
      </w:r>
    </w:p>
    <w:p w14:paraId="08BFC082" w14:textId="77777777" w:rsidR="00C20BBD" w:rsidRPr="0097459F" w:rsidRDefault="00C20BBD" w:rsidP="00C20BBD">
      <w:pPr>
        <w:pStyle w:val="Normalalteradora"/>
        <w:rPr>
          <w:rFonts w:ascii="Calibri" w:hAnsi="Calibri" w:cs="Calibri"/>
        </w:rPr>
      </w:pPr>
      <w:r w:rsidRPr="0097459F">
        <w:rPr>
          <w:rFonts w:ascii="Calibri" w:hAnsi="Calibri" w:cs="Calibri"/>
        </w:rPr>
        <w:t>c) sejam consistentes com o conteúdo da própria lâmina e do regulamento.</w:t>
      </w:r>
    </w:p>
    <w:p w14:paraId="3F48E81C" w14:textId="77777777" w:rsidR="00C20BBD" w:rsidRPr="0097459F" w:rsidRDefault="00C20BBD" w:rsidP="00C20BBD">
      <w:pPr>
        <w:pStyle w:val="Normalalteradora"/>
        <w:rPr>
          <w:rFonts w:ascii="Calibri" w:hAnsi="Calibri" w:cs="Calibri"/>
        </w:rPr>
      </w:pPr>
      <w:bookmarkStart w:id="413" w:name="_Hlk51930069"/>
      <w:r w:rsidRPr="0097459F">
        <w:rPr>
          <w:rFonts w:ascii="Calibri" w:hAnsi="Calibri" w:cs="Calibri"/>
        </w:rPr>
        <w:t>§ 2</w:t>
      </w:r>
      <w:proofErr w:type="gramStart"/>
      <w:r w:rsidRPr="0097459F">
        <w:rPr>
          <w:rFonts w:ascii="Calibri" w:hAnsi="Calibri" w:cs="Calibri"/>
        </w:rPr>
        <w:t>º  Caso</w:t>
      </w:r>
      <w:proofErr w:type="gramEnd"/>
      <w:r w:rsidRPr="0097459F">
        <w:rPr>
          <w:rFonts w:ascii="Calibri" w:hAnsi="Calibri" w:cs="Calibri"/>
        </w:rPr>
        <w:t xml:space="preserve"> o regulamento estabeleça taxas mínimas e máximas, englobando as taxas das classes investidas, conforme previsto no art. 98, § 1º, da parte geral da Resolução, a lâmina deve destacar as taxas máximas.</w:t>
      </w:r>
    </w:p>
    <w:p w14:paraId="6AFD4C71" w14:textId="77777777" w:rsidR="00C20BBD" w:rsidRPr="0097459F" w:rsidRDefault="00C20BBD" w:rsidP="00C20BBD">
      <w:pPr>
        <w:pStyle w:val="Seo"/>
      </w:pPr>
      <w:bookmarkStart w:id="414" w:name="_Toc53594237"/>
      <w:bookmarkStart w:id="415" w:name="_Toc53594485"/>
      <w:bookmarkStart w:id="416" w:name="_Toc53595510"/>
      <w:bookmarkStart w:id="417" w:name="_Toc57836246"/>
      <w:bookmarkStart w:id="418" w:name="_Toc161141259"/>
      <w:bookmarkEnd w:id="413"/>
      <w:r w:rsidRPr="0097459F">
        <w:lastRenderedPageBreak/>
        <w:t>Seção III – Regulamento</w:t>
      </w:r>
      <w:bookmarkEnd w:id="414"/>
      <w:bookmarkEnd w:id="415"/>
      <w:bookmarkEnd w:id="416"/>
      <w:bookmarkEnd w:id="417"/>
      <w:bookmarkEnd w:id="418"/>
    </w:p>
    <w:p w14:paraId="126A75D4" w14:textId="77777777" w:rsidR="00C20BBD" w:rsidRPr="0097459F" w:rsidRDefault="00C20BBD" w:rsidP="00C20BBD">
      <w:pPr>
        <w:pStyle w:val="Normalalteradora"/>
        <w:rPr>
          <w:rFonts w:ascii="Calibri" w:hAnsi="Calibri" w:cs="Calibri"/>
        </w:rPr>
      </w:pPr>
      <w:r w:rsidRPr="0097459F">
        <w:rPr>
          <w:rFonts w:ascii="Calibri" w:hAnsi="Calibri" w:cs="Calibri"/>
        </w:rPr>
        <w:t>Art. 15.  Em acréscimo às matérias dispostas no art. 48 da parte geral da Resolução, o regulamento do FIF deve dispor sobre:</w:t>
      </w:r>
    </w:p>
    <w:p w14:paraId="1936F35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taxa</w:t>
      </w:r>
      <w:proofErr w:type="gramEnd"/>
      <w:r w:rsidRPr="0097459F">
        <w:rPr>
          <w:rFonts w:ascii="Calibri" w:hAnsi="Calibri" w:cs="Calibri"/>
        </w:rPr>
        <w:t xml:space="preserve"> máxima de custódia, expressa em percentual anual do patrimônio líquido da classe; (base 252 dias); e</w:t>
      </w:r>
    </w:p>
    <w:p w14:paraId="6C22730C" w14:textId="38342EE6" w:rsidR="00C20BBD" w:rsidRDefault="00C20BBD" w:rsidP="00C20BBD">
      <w:pPr>
        <w:pStyle w:val="Normalalteradora"/>
        <w:rPr>
          <w:rFonts w:ascii="Calibri" w:hAnsi="Calibri" w:cs="Calibri"/>
        </w:rPr>
      </w:pPr>
      <w:r w:rsidRPr="5E153155">
        <w:rPr>
          <w:rFonts w:ascii="Calibri" w:hAnsi="Calibri" w:cs="Calibri"/>
        </w:rPr>
        <w:t xml:space="preserve">II – </w:t>
      </w:r>
      <w:proofErr w:type="gramStart"/>
      <w:r w:rsidRPr="5E153155">
        <w:rPr>
          <w:rFonts w:ascii="Calibri" w:hAnsi="Calibri" w:cs="Calibri"/>
        </w:rPr>
        <w:t>taxa</w:t>
      </w:r>
      <w:proofErr w:type="gramEnd"/>
      <w:r w:rsidRPr="5E153155">
        <w:rPr>
          <w:rFonts w:ascii="Calibri" w:hAnsi="Calibri" w:cs="Calibri"/>
        </w:rPr>
        <w:t xml:space="preserve"> de performance, se houver.</w:t>
      </w:r>
    </w:p>
    <w:p w14:paraId="44F80273" w14:textId="2D916862" w:rsidR="00B23C7B" w:rsidRDefault="00B23C7B" w:rsidP="00C20BBD">
      <w:pPr>
        <w:pStyle w:val="Normalalteradora"/>
      </w:pPr>
      <w:r w:rsidRPr="2044FF0F">
        <w:t xml:space="preserve">Parágrafo único.  </w:t>
      </w:r>
      <w:r w:rsidRPr="006C4BDE">
        <w:t xml:space="preserve">Caso o fundo conte com diferentes classes de cotas, as matérias previstas nos incisos do </w:t>
      </w:r>
      <w:r w:rsidRPr="006C4BDE">
        <w:rPr>
          <w:b/>
        </w:rPr>
        <w:t>caput</w:t>
      </w:r>
      <w:r w:rsidRPr="006C4BDE">
        <w:t xml:space="preserve"> devem ser disciplinadas no anexo da classe a que se referirem.</w:t>
      </w:r>
    </w:p>
    <w:p w14:paraId="3E5E441B" w14:textId="39F6C817" w:rsidR="00B23C7B" w:rsidRPr="00B23C7B" w:rsidRDefault="00B23C7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Parágrafo único</w:t>
      </w:r>
      <w:r w:rsidRPr="00D960C9">
        <w:rPr>
          <w:rFonts w:asciiTheme="minorHAnsi" w:hAnsiTheme="minorHAnsi" w:cstheme="minorHAnsi"/>
          <w:b/>
          <w:i/>
          <w:sz w:val="24"/>
          <w:szCs w:val="24"/>
        </w:rPr>
        <w:t xml:space="preserve"> </w:t>
      </w:r>
      <w:r>
        <w:rPr>
          <w:rFonts w:asciiTheme="minorHAnsi" w:hAnsiTheme="minorHAnsi" w:cstheme="minorHAnsi"/>
          <w:b/>
          <w:i/>
          <w:sz w:val="24"/>
          <w:szCs w:val="24"/>
        </w:rPr>
        <w:t>incluído</w:t>
      </w:r>
      <w:r w:rsidRPr="00D960C9">
        <w:rPr>
          <w:rFonts w:asciiTheme="minorHAnsi" w:hAnsiTheme="minorHAnsi" w:cstheme="minorHAnsi"/>
          <w:b/>
          <w:i/>
          <w:sz w:val="24"/>
          <w:szCs w:val="24"/>
        </w:rPr>
        <w:t xml:space="preserve">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0A48BC6" w14:textId="77777777" w:rsidR="00C20BBD" w:rsidRPr="0097459F" w:rsidRDefault="00C20BBD" w:rsidP="00C20BBD">
      <w:pPr>
        <w:pStyle w:val="Normalalteradora"/>
        <w:rPr>
          <w:rFonts w:ascii="Calibri" w:hAnsi="Calibri" w:cs="Calibri"/>
        </w:rPr>
      </w:pPr>
      <w:bookmarkStart w:id="419" w:name="_Hlk51064221"/>
      <w:r w:rsidRPr="0097459F">
        <w:rPr>
          <w:rFonts w:ascii="Calibri" w:hAnsi="Calibri" w:cs="Calibri"/>
        </w:rPr>
        <w:t xml:space="preserve">Art. 16.  </w:t>
      </w:r>
      <w:bookmarkStart w:id="420" w:name="_Hlk51144351"/>
      <w:r w:rsidRPr="0097459F">
        <w:rPr>
          <w:rFonts w:ascii="Calibri" w:hAnsi="Calibri" w:cs="Calibri"/>
        </w:rPr>
        <w:t>A política de investimento da classe de cotas deve estar de acordo com seu tipo e conter, no mínimo, as seguintes informações:</w:t>
      </w:r>
      <w:bookmarkEnd w:id="420"/>
    </w:p>
    <w:bookmarkEnd w:id="419"/>
    <w:p w14:paraId="4392DA8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o</w:t>
      </w:r>
      <w:proofErr w:type="gramEnd"/>
      <w:r w:rsidRPr="0097459F">
        <w:rPr>
          <w:rFonts w:ascii="Calibri" w:hAnsi="Calibri" w:cs="Calibri"/>
        </w:rPr>
        <w:t xml:space="preserve"> percentual máximo de aplicação em ativos financeiros de emissão do gestor e outros emissores de seu grupo econômicos, observado o disposto no inciso I do § 2º do art. 44 deste Anexo Normativo I;</w:t>
      </w:r>
    </w:p>
    <w:p w14:paraId="73D5942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percentual máximo de aplicação em cotas de fundos de investimento administrados pelo gestor ou partes relacionadas; </w:t>
      </w:r>
    </w:p>
    <w:p w14:paraId="63A27DAE" w14:textId="0E71A79D" w:rsidR="00C20BBD" w:rsidRPr="0097459F" w:rsidRDefault="00C20BBD" w:rsidP="00C20BBD">
      <w:pPr>
        <w:pStyle w:val="Normalalteradora"/>
        <w:rPr>
          <w:rFonts w:ascii="Calibri" w:hAnsi="Calibri" w:cs="Calibri"/>
        </w:rPr>
      </w:pPr>
      <w:r w:rsidRPr="0097459F">
        <w:rPr>
          <w:rFonts w:ascii="Calibri" w:hAnsi="Calibri" w:cs="Calibri"/>
        </w:rPr>
        <w:t>III – o percentual máximo de aplicação em ativos financeiros de um mesmo emissor, observado o disposto no art. 44 e sem prejuízo do disposto no art. 45, inciso IV, alínea “j”, ambos deste Anexo Normativo</w:t>
      </w:r>
      <w:r w:rsidR="00FB1127" w:rsidRPr="0097459F">
        <w:rPr>
          <w:rFonts w:ascii="Calibri" w:hAnsi="Calibri" w:cs="Calibri"/>
        </w:rPr>
        <w:t xml:space="preserve"> I</w:t>
      </w:r>
      <w:r w:rsidRPr="0097459F">
        <w:rPr>
          <w:rFonts w:ascii="Calibri" w:hAnsi="Calibri" w:cs="Calibri"/>
        </w:rPr>
        <w:t>;</w:t>
      </w:r>
      <w:r w:rsidR="00FB1127" w:rsidRPr="0097459F">
        <w:rPr>
          <w:rFonts w:ascii="Calibri" w:hAnsi="Calibri" w:cs="Calibri"/>
        </w:rPr>
        <w:t xml:space="preserve"> </w:t>
      </w:r>
    </w:p>
    <w:p w14:paraId="6BBC557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o</w:t>
      </w:r>
      <w:proofErr w:type="gramEnd"/>
      <w:r w:rsidRPr="0097459F">
        <w:rPr>
          <w:rFonts w:ascii="Calibri" w:hAnsi="Calibri" w:cs="Calibri"/>
        </w:rPr>
        <w:t xml:space="preserve"> percentual máximo de aplicação em ativos financeiros no exterior; e</w:t>
      </w:r>
    </w:p>
    <w:p w14:paraId="3327036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w:t>
      </w:r>
      <w:proofErr w:type="gramStart"/>
      <w:r w:rsidRPr="0097459F">
        <w:rPr>
          <w:rFonts w:ascii="Calibri" w:hAnsi="Calibri" w:cs="Calibri"/>
        </w:rPr>
        <w:t>a</w:t>
      </w:r>
      <w:proofErr w:type="gramEnd"/>
      <w:r w:rsidRPr="0097459F">
        <w:rPr>
          <w:rFonts w:ascii="Calibri" w:hAnsi="Calibri" w:cs="Calibri"/>
        </w:rPr>
        <w:t xml:space="preserve"> possibilidade de a classe ficar exposta a risco de capital, com a indicação do limite de exposição máxima sob a forma de percentual do patrimônio líquido que pode ser utilizado em margem bruta, conforme definida no § 1º do art. 73 deste Anexo Normativo I.</w:t>
      </w:r>
    </w:p>
    <w:p w14:paraId="7ABB671A"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A classe fica exposta a risco de capital quando realiza operações em valor superior ao seu patrimônio.</w:t>
      </w:r>
    </w:p>
    <w:p w14:paraId="026F4FF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17.  Em acréscimo às matérias previstas nos incisos do parágrafo único do art. 50 da parte geral da Resolução, salvo se aprovada pela unanimidade dos cotistas reunidos em assembleia, o aumento ou alteração do cálculo da taxa de performance e da taxa máxima de custódia são eficazes apenas a partir </w:t>
      </w:r>
      <w:r w:rsidRPr="0097459F">
        <w:rPr>
          <w:rFonts w:ascii="Calibri" w:hAnsi="Calibri" w:cs="Calibri"/>
        </w:rPr>
        <w:lastRenderedPageBreak/>
        <w:t>do decurso de, no mínimo, 30 (trinta) dias, ou do prazo para pagamento de resgate estabelecido no regulamento, o que for maior, e após a disponibilização aos cotistas do resumo previsto no art. 79 da parte geral da Resolução.</w:t>
      </w:r>
    </w:p>
    <w:p w14:paraId="035BE34B" w14:textId="77777777" w:rsidR="00C20BBD" w:rsidRPr="0097459F" w:rsidRDefault="00C20BBD" w:rsidP="00C20BBD">
      <w:pPr>
        <w:pStyle w:val="Normalalteradora"/>
        <w:rPr>
          <w:rFonts w:ascii="Calibri" w:hAnsi="Calibri" w:cs="Calibri"/>
        </w:rPr>
      </w:pPr>
      <w:bookmarkStart w:id="421" w:name="_Hlk51930151"/>
      <w:r w:rsidRPr="0097459F">
        <w:rPr>
          <w:rFonts w:ascii="Calibri" w:hAnsi="Calibri" w:cs="Calibri"/>
        </w:rPr>
        <w:t>Art. 18.  Em acréscimo aos documentos previstos no art. 51 da parte geral da Resolução, na data do início da vigência das alterações deliberadas em assembleia o administrador deve encaminhar a lâmina atualizada, se for o caso, por meio de sistema eletrônico disponibilizado pela CVM na rede mundial de computadores.</w:t>
      </w:r>
    </w:p>
    <w:p w14:paraId="772B73EF" w14:textId="77777777" w:rsidR="00C20BBD" w:rsidRPr="0097459F" w:rsidRDefault="00C20BBD" w:rsidP="00C20BBD">
      <w:pPr>
        <w:pStyle w:val="Seo"/>
      </w:pPr>
      <w:bookmarkStart w:id="422" w:name="_Toc53594238"/>
      <w:bookmarkStart w:id="423" w:name="_Toc53594486"/>
      <w:bookmarkStart w:id="424" w:name="_Toc53595511"/>
      <w:bookmarkStart w:id="425" w:name="_Toc57836247"/>
      <w:bookmarkStart w:id="426" w:name="_Hlk51930267"/>
      <w:bookmarkStart w:id="427" w:name="_Toc161141260"/>
      <w:bookmarkEnd w:id="421"/>
      <w:r w:rsidRPr="0097459F">
        <w:t>Seção IV – Material de Divulgação</w:t>
      </w:r>
      <w:bookmarkEnd w:id="422"/>
      <w:bookmarkEnd w:id="423"/>
      <w:bookmarkEnd w:id="424"/>
      <w:bookmarkEnd w:id="425"/>
      <w:bookmarkEnd w:id="427"/>
    </w:p>
    <w:p w14:paraId="590B97CB" w14:textId="77777777" w:rsidR="00C20BBD" w:rsidRPr="0097459F" w:rsidRDefault="00C20BBD" w:rsidP="00C20BBD">
      <w:pPr>
        <w:pStyle w:val="Normalalteradora"/>
        <w:rPr>
          <w:rFonts w:ascii="Calibri" w:hAnsi="Calibri" w:cs="Calibri"/>
        </w:rPr>
      </w:pPr>
      <w:r w:rsidRPr="0097459F">
        <w:rPr>
          <w:rFonts w:ascii="Calibri" w:hAnsi="Calibri" w:cs="Calibri"/>
        </w:rPr>
        <w:t>Art. 19.  Qualquer material de divulgação dos FIF deve:</w:t>
      </w:r>
    </w:p>
    <w:p w14:paraId="2CCB1AB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ser</w:t>
      </w:r>
      <w:proofErr w:type="gramEnd"/>
      <w:r w:rsidRPr="0097459F">
        <w:rPr>
          <w:rFonts w:ascii="Calibri" w:hAnsi="Calibri" w:cs="Calibri"/>
        </w:rPr>
        <w:t xml:space="preserve"> consistente com a lâmina;</w:t>
      </w:r>
    </w:p>
    <w:p w14:paraId="06CDB64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ser</w:t>
      </w:r>
      <w:proofErr w:type="gramEnd"/>
      <w:r w:rsidRPr="0097459F">
        <w:rPr>
          <w:rFonts w:ascii="Calibri" w:hAnsi="Calibri" w:cs="Calibri"/>
        </w:rPr>
        <w:t xml:space="preserve"> apresentado em conjunto com a lâmina;</w:t>
      </w:r>
    </w:p>
    <w:p w14:paraId="1CD59D2E" w14:textId="77777777" w:rsidR="00C20BBD" w:rsidRPr="0097459F" w:rsidRDefault="00C20BBD" w:rsidP="00C20BBD">
      <w:pPr>
        <w:pStyle w:val="Normalalteradora"/>
        <w:rPr>
          <w:rFonts w:ascii="Calibri" w:hAnsi="Calibri" w:cs="Calibri"/>
        </w:rPr>
      </w:pPr>
      <w:r w:rsidRPr="0097459F">
        <w:rPr>
          <w:rFonts w:ascii="Calibri" w:hAnsi="Calibri" w:cs="Calibri"/>
        </w:rPr>
        <w:t>III – mencionar a existência da lâmina, se for o caso, bem como os endereços na rede mundial de computadores nos quais pode ser obtida; e</w:t>
      </w:r>
    </w:p>
    <w:p w14:paraId="49FB9EB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conter</w:t>
      </w:r>
      <w:proofErr w:type="gramEnd"/>
      <w:r w:rsidRPr="0097459F">
        <w:rPr>
          <w:rFonts w:ascii="Calibri" w:hAnsi="Calibri" w:cs="Calibri"/>
        </w:rPr>
        <w:t xml:space="preserve"> as informações do item 12 da lâmina, se esta não for aplicável.</w:t>
      </w:r>
    </w:p>
    <w:p w14:paraId="5504A460"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w:t>
      </w:r>
      <w:proofErr w:type="gramEnd"/>
      <w:r w:rsidRPr="0097459F">
        <w:rPr>
          <w:rFonts w:ascii="Calibri" w:hAnsi="Calibri" w:cs="Calibri"/>
        </w:rPr>
        <w:t xml:space="preserve"> disposto no inciso II do </w:t>
      </w:r>
      <w:r w:rsidRPr="0097459F">
        <w:rPr>
          <w:rFonts w:ascii="Calibri" w:hAnsi="Calibri" w:cs="Calibri"/>
          <w:b/>
        </w:rPr>
        <w:t>caput</w:t>
      </w:r>
      <w:r w:rsidRPr="0097459F">
        <w:rPr>
          <w:rFonts w:ascii="Calibri" w:hAnsi="Calibri" w:cs="Calibri"/>
        </w:rPr>
        <w:t xml:space="preserve"> não se aplica:</w:t>
      </w:r>
    </w:p>
    <w:p w14:paraId="2E22E52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aos</w:t>
      </w:r>
      <w:proofErr w:type="gramEnd"/>
      <w:r w:rsidRPr="0097459F">
        <w:rPr>
          <w:rFonts w:ascii="Calibri" w:hAnsi="Calibri" w:cs="Calibri"/>
        </w:rPr>
        <w:t xml:space="preserve"> materiais de divulgação veiculados em áudio, vídeo ou em mídia impressa, tais como jornais e revistas;</w:t>
      </w:r>
    </w:p>
    <w:p w14:paraId="0BBE8AD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aos</w:t>
      </w:r>
      <w:proofErr w:type="gramEnd"/>
      <w:r w:rsidRPr="0097459F">
        <w:rPr>
          <w:rFonts w:ascii="Calibri" w:hAnsi="Calibri" w:cs="Calibri"/>
        </w:rPr>
        <w:t xml:space="preserve"> materiais que citem mais de uma classe de cotas, sem destacar qualquer classe citada;</w:t>
      </w:r>
    </w:p>
    <w:p w14:paraId="27E173B6" w14:textId="77777777" w:rsidR="00C20BBD" w:rsidRPr="0097459F" w:rsidRDefault="00C20BBD" w:rsidP="00C20BBD">
      <w:pPr>
        <w:pStyle w:val="Normalalteradora"/>
        <w:rPr>
          <w:rFonts w:ascii="Calibri" w:hAnsi="Calibri" w:cs="Calibri"/>
        </w:rPr>
      </w:pPr>
      <w:r w:rsidRPr="0097459F">
        <w:rPr>
          <w:rFonts w:ascii="Calibri" w:hAnsi="Calibri" w:cs="Calibri"/>
        </w:rPr>
        <w:t>III – aos materiais que, exclusivamente, citam a rentabilidade de mais de uma classe de cotas; e</w:t>
      </w:r>
    </w:p>
    <w:p w14:paraId="0F20CE8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aos</w:t>
      </w:r>
      <w:proofErr w:type="gramEnd"/>
      <w:r w:rsidRPr="0097459F">
        <w:rPr>
          <w:rFonts w:ascii="Calibri" w:hAnsi="Calibri" w:cs="Calibri"/>
        </w:rPr>
        <w:t xml:space="preserve"> materiais de natureza física ou eletrônica que não permitam, por restrições técnicas, a disponibilização de documentos.</w:t>
      </w:r>
    </w:p>
    <w:p w14:paraId="78A000D5"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Os</w:t>
      </w:r>
      <w:proofErr w:type="gramEnd"/>
      <w:r w:rsidRPr="0097459F">
        <w:rPr>
          <w:rFonts w:ascii="Calibri" w:hAnsi="Calibri" w:cs="Calibri"/>
        </w:rPr>
        <w:t xml:space="preserve"> materiais mencionados no § 1º deste artigo devem veicular, em destaque e preferencialmente em formato de </w:t>
      </w:r>
      <w:r w:rsidRPr="0097459F">
        <w:rPr>
          <w:rFonts w:ascii="Calibri" w:hAnsi="Calibri" w:cs="Calibri"/>
          <w:b/>
        </w:rPr>
        <w:t>hyperlink</w:t>
      </w:r>
      <w:r w:rsidRPr="0097459F">
        <w:rPr>
          <w:rFonts w:ascii="Calibri" w:hAnsi="Calibri" w:cs="Calibri"/>
        </w:rPr>
        <w:t>, o endereço na rede mundial de computadores em que a lâmina possa ser obtida.</w:t>
      </w:r>
    </w:p>
    <w:p w14:paraId="2D4CEBE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20.  Caso o material de divulgação inclua informação sobre a rentabilidade da classe de cotas, em acréscimo às informações contidas no art. 56 da parte geral da Resolução, deve ser informada a taxa </w:t>
      </w:r>
      <w:r w:rsidRPr="0097459F">
        <w:rPr>
          <w:rFonts w:ascii="Calibri" w:hAnsi="Calibri" w:cs="Calibri"/>
        </w:rPr>
        <w:lastRenderedPageBreak/>
        <w:t>de performance, se houver, conforme expressa no regulamento vigente nos últimos 12 (doze) meses ou desde sua constituição, se mais recente.</w:t>
      </w:r>
    </w:p>
    <w:p w14:paraId="7B02045B" w14:textId="77777777" w:rsidR="00C20BBD" w:rsidRPr="0097459F" w:rsidRDefault="00C20BBD" w:rsidP="00C20BBD">
      <w:pPr>
        <w:pStyle w:val="Normalalteradora"/>
        <w:rPr>
          <w:rFonts w:ascii="Calibri" w:hAnsi="Calibri" w:cs="Calibri"/>
        </w:rPr>
      </w:pPr>
      <w:r w:rsidRPr="0097459F">
        <w:rPr>
          <w:rFonts w:ascii="Calibri" w:hAnsi="Calibri" w:cs="Calibri"/>
        </w:rPr>
        <w:t>Art. 21.  As disposições constantes da Seção III do Capítulo V da parte geral da Resolução e desta Seção IV não se aplicam à lâmina.</w:t>
      </w:r>
    </w:p>
    <w:p w14:paraId="176E0D4C" w14:textId="77777777" w:rsidR="00C20BBD" w:rsidRPr="0097459F" w:rsidRDefault="00C20BBD" w:rsidP="00C20BBD">
      <w:pPr>
        <w:pStyle w:val="Captulo"/>
      </w:pPr>
      <w:bookmarkStart w:id="428" w:name="_Toc53594239"/>
      <w:bookmarkStart w:id="429" w:name="_Toc53594487"/>
      <w:bookmarkStart w:id="430" w:name="_Toc53595512"/>
      <w:bookmarkStart w:id="431" w:name="_Toc57836248"/>
      <w:bookmarkStart w:id="432" w:name="_Toc161141261"/>
      <w:bookmarkEnd w:id="426"/>
      <w:r w:rsidRPr="0097459F">
        <w:t>CAPÍTULO VI – DIVULGAÇÃO DE INFORMAÇÕES</w:t>
      </w:r>
      <w:bookmarkEnd w:id="428"/>
      <w:bookmarkEnd w:id="429"/>
      <w:bookmarkEnd w:id="430"/>
      <w:bookmarkEnd w:id="431"/>
      <w:bookmarkEnd w:id="432"/>
    </w:p>
    <w:p w14:paraId="7400E85C" w14:textId="77777777" w:rsidR="00C20BBD" w:rsidRPr="0097459F" w:rsidRDefault="00C20BBD" w:rsidP="00C20BBD">
      <w:pPr>
        <w:pStyle w:val="Normalalteradora"/>
        <w:rPr>
          <w:rFonts w:ascii="Calibri" w:hAnsi="Calibri" w:cs="Calibri"/>
        </w:rPr>
      </w:pPr>
      <w:r w:rsidRPr="0097459F">
        <w:rPr>
          <w:rFonts w:ascii="Calibri" w:hAnsi="Calibri" w:cs="Calibri"/>
        </w:rPr>
        <w:t>Art. 22.  O administrador do fundo é responsável por:</w:t>
      </w:r>
    </w:p>
    <w:p w14:paraId="61DF03C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calcular e divulgar</w:t>
      </w:r>
      <w:proofErr w:type="gramEnd"/>
      <w:r w:rsidRPr="0097459F">
        <w:rPr>
          <w:rFonts w:ascii="Calibri" w:hAnsi="Calibri" w:cs="Calibri"/>
        </w:rPr>
        <w:t xml:space="preserve"> o valor da cota e do patrimônio líquido das classes e subclasses de cotas abertas:</w:t>
      </w:r>
    </w:p>
    <w:p w14:paraId="43A030DF" w14:textId="77777777" w:rsidR="00C20BBD" w:rsidRPr="0097459F" w:rsidRDefault="00C20BBD" w:rsidP="00C20BBD">
      <w:pPr>
        <w:pStyle w:val="Normalalteradora"/>
        <w:rPr>
          <w:rFonts w:ascii="Calibri" w:hAnsi="Calibri" w:cs="Calibri"/>
        </w:rPr>
      </w:pPr>
      <w:r w:rsidRPr="0097459F">
        <w:rPr>
          <w:rFonts w:ascii="Calibri" w:hAnsi="Calibri" w:cs="Calibri"/>
        </w:rPr>
        <w:t>a) diariamente; ou</w:t>
      </w:r>
    </w:p>
    <w:p w14:paraId="737FBD77" w14:textId="77777777" w:rsidR="00C20BBD" w:rsidRPr="0097459F" w:rsidRDefault="00C20BBD" w:rsidP="00C20BBD">
      <w:pPr>
        <w:pStyle w:val="Normalalteradora"/>
        <w:rPr>
          <w:rFonts w:ascii="Calibri" w:hAnsi="Calibri" w:cs="Calibri"/>
        </w:rPr>
      </w:pPr>
      <w:r w:rsidRPr="0097459F">
        <w:rPr>
          <w:rFonts w:ascii="Calibri" w:hAnsi="Calibri" w:cs="Calibri"/>
        </w:rPr>
        <w:t>b) para classes e subclasses que não ofereçam liquidez diária a seus cotistas, em periodicidade compatível com a liquidez da respectiva classe ou subclasse, desde que a periodicidade esteja expressamente prevista no regulamento;</w:t>
      </w:r>
    </w:p>
    <w:p w14:paraId="0694720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disponibilizar</w:t>
      </w:r>
      <w:proofErr w:type="gramEnd"/>
      <w:r w:rsidRPr="0097459F">
        <w:rPr>
          <w:rFonts w:ascii="Calibri" w:hAnsi="Calibri" w:cs="Calibri"/>
        </w:rPr>
        <w:t xml:space="preserve"> a demonstração de desempenho aos cotistas das classes e subclasses de investimentos do público em geral, até o último dia útil de fevereiro de cada ano;</w:t>
      </w:r>
    </w:p>
    <w:p w14:paraId="07E60F8B" w14:textId="77777777" w:rsidR="00C20BBD" w:rsidRPr="0097459F" w:rsidRDefault="00C20BBD" w:rsidP="00C20BBD">
      <w:pPr>
        <w:pStyle w:val="Normalalteradora"/>
        <w:rPr>
          <w:rFonts w:ascii="Calibri" w:hAnsi="Calibri" w:cs="Calibri"/>
        </w:rPr>
      </w:pPr>
      <w:r w:rsidRPr="0097459F">
        <w:rPr>
          <w:rFonts w:ascii="Calibri" w:hAnsi="Calibri" w:cs="Calibri"/>
        </w:rPr>
        <w:t>III – divulgar, em lugar de destaque na sua página na rede mundial de computadores e disponível para acesso gratuito do público em geral, a demonstração de desempenho relativa:</w:t>
      </w:r>
    </w:p>
    <w:p w14:paraId="1FEEFB0D" w14:textId="77777777" w:rsidR="00C20BBD" w:rsidRPr="0097459F" w:rsidRDefault="00C20BBD" w:rsidP="00C20BBD">
      <w:pPr>
        <w:pStyle w:val="Normalalteradora"/>
        <w:rPr>
          <w:rFonts w:ascii="Calibri" w:hAnsi="Calibri" w:cs="Calibri"/>
        </w:rPr>
      </w:pPr>
      <w:r w:rsidRPr="0097459F">
        <w:rPr>
          <w:rFonts w:ascii="Calibri" w:hAnsi="Calibri" w:cs="Calibri"/>
        </w:rPr>
        <w:t>a) aos 12 (doze) meses findos em 31 de dezembro, até o último dia útil de fevereiro de cada ano; e</w:t>
      </w:r>
    </w:p>
    <w:p w14:paraId="2E21D400" w14:textId="77777777" w:rsidR="00C20BBD" w:rsidRPr="0097459F" w:rsidRDefault="00C20BBD" w:rsidP="00C20BBD">
      <w:pPr>
        <w:pStyle w:val="Normalalteradora"/>
        <w:rPr>
          <w:rFonts w:ascii="Calibri" w:hAnsi="Calibri" w:cs="Calibri"/>
        </w:rPr>
      </w:pPr>
      <w:r w:rsidRPr="0097459F">
        <w:rPr>
          <w:rFonts w:ascii="Calibri" w:hAnsi="Calibri" w:cs="Calibri"/>
        </w:rPr>
        <w:t>b) aos 12 (doze) meses findos em 30 de junho, até o último dia útil de agosto de cada ano; e</w:t>
      </w:r>
    </w:p>
    <w:p w14:paraId="62CED94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disponibilizar</w:t>
      </w:r>
      <w:proofErr w:type="gramEnd"/>
      <w:r w:rsidRPr="0097459F">
        <w:rPr>
          <w:rFonts w:ascii="Calibri" w:hAnsi="Calibri" w:cs="Calibri"/>
        </w:rPr>
        <w:t xml:space="preserve"> as informações da classe de forma equânime entre todos os cotistas da mesma classe e, se for o caso, subclasse, no mínimo conforme estabelecido no art. 24 deste Anexo Normativo I no tocante à periodicidade, prazo e teor das informações.</w:t>
      </w:r>
    </w:p>
    <w:p w14:paraId="3471FAAB"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Caso</w:t>
      </w:r>
      <w:proofErr w:type="gramEnd"/>
      <w:r w:rsidRPr="0097459F">
        <w:rPr>
          <w:rFonts w:ascii="Calibri" w:hAnsi="Calibri" w:cs="Calibri"/>
        </w:rPr>
        <w:t xml:space="preserve"> a taxa de performance seja cobrada pelo método do ajuste, o administrador deve divulgar o valor da cota antes de descontada a provisão para o pagamento da taxa de performance, com o mesmo destaque dado ao valor da cota referida no inciso I do </w:t>
      </w:r>
      <w:r w:rsidRPr="0097459F">
        <w:rPr>
          <w:rFonts w:ascii="Calibri" w:hAnsi="Calibri" w:cs="Calibri"/>
          <w:b/>
        </w:rPr>
        <w:t>caput</w:t>
      </w:r>
      <w:r w:rsidRPr="0097459F">
        <w:rPr>
          <w:rFonts w:ascii="Calibri" w:hAnsi="Calibri" w:cs="Calibri"/>
        </w:rPr>
        <w:t>.</w:t>
      </w:r>
    </w:p>
    <w:p w14:paraId="13AA3A5B"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w:t>
      </w:r>
      <w:proofErr w:type="gramEnd"/>
      <w:r w:rsidRPr="0097459F">
        <w:rPr>
          <w:rFonts w:ascii="Calibri" w:hAnsi="Calibri" w:cs="Calibri"/>
        </w:rPr>
        <w:t xml:space="preserve"> administrador está dispensado de disponibilizar o extrato de conta para os cotistas que expressamente concordarem em não receber o documento.</w:t>
      </w:r>
    </w:p>
    <w:p w14:paraId="048D6C6F"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3</w:t>
      </w:r>
      <w:proofErr w:type="gramStart"/>
      <w:r w:rsidRPr="0097459F">
        <w:rPr>
          <w:rFonts w:ascii="Calibri" w:hAnsi="Calibri" w:cs="Calibri"/>
        </w:rPr>
        <w:t>º  Caso</w:t>
      </w:r>
      <w:proofErr w:type="gramEnd"/>
      <w:r w:rsidRPr="0097459F">
        <w:rPr>
          <w:rFonts w:ascii="Calibri" w:hAnsi="Calibri" w:cs="Calibri"/>
        </w:rPr>
        <w:t xml:space="preserve"> existam posições ou operações em curso que, a critério do gestor, possam vir a ser prejudicadas pela sua divulgação, o demonstrativo da composição da carteira pode omitir sua identificação e quantidade, registrando somente o valor do ativo e sua percentagem sobre o total da carteira.</w:t>
      </w:r>
    </w:p>
    <w:p w14:paraId="40859AB7" w14:textId="716957EC"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As</w:t>
      </w:r>
      <w:proofErr w:type="gramEnd"/>
      <w:r w:rsidRPr="0097459F">
        <w:rPr>
          <w:rFonts w:ascii="Calibri" w:hAnsi="Calibri" w:cs="Calibri"/>
        </w:rPr>
        <w:t xml:space="preserve"> operações omitidas com base no parágrafo anterior devem ser divulgadas na forma do inciso II do </w:t>
      </w:r>
      <w:r w:rsidR="00543199">
        <w:rPr>
          <w:rFonts w:ascii="Calibri" w:hAnsi="Calibri" w:cs="Calibri"/>
        </w:rPr>
        <w:t>art. 24</w:t>
      </w:r>
      <w:r w:rsidRPr="0097459F">
        <w:rPr>
          <w:rFonts w:ascii="Calibri" w:hAnsi="Calibri" w:cs="Calibri"/>
        </w:rPr>
        <w:t xml:space="preserve"> no prazo máximo de:</w:t>
      </w:r>
    </w:p>
    <w:p w14:paraId="608D47C1" w14:textId="77777777" w:rsidR="00C20BBD" w:rsidRDefault="00C20BBD" w:rsidP="00C20BBD">
      <w:pPr>
        <w:pStyle w:val="Normalalteradora"/>
        <w:rPr>
          <w:rFonts w:ascii="Calibri" w:hAnsi="Calibri" w:cs="Calibri"/>
          <w:strike/>
        </w:rPr>
      </w:pPr>
      <w:r w:rsidRPr="008169C5">
        <w:rPr>
          <w:rFonts w:ascii="Calibri" w:hAnsi="Calibri" w:cs="Calibri"/>
          <w:strike/>
        </w:rPr>
        <w:t>I – 30 (trinta) dias, improrrogáveis, nas classes tipificadas como “Renda Fixa” que sejam “Longo Prazo”, “Referenciada” ou “Simples”; e</w:t>
      </w:r>
    </w:p>
    <w:p w14:paraId="38B699B1" w14:textId="77777777" w:rsidR="008169C5" w:rsidRPr="0097459F" w:rsidRDefault="008169C5" w:rsidP="008169C5">
      <w:pPr>
        <w:pStyle w:val="NormaAlterada"/>
      </w:pPr>
      <w:r w:rsidRPr="001D3918">
        <w:t>I –</w:t>
      </w:r>
      <w:r w:rsidRPr="0097459F">
        <w:t xml:space="preserve"> 30 (trinta) dias, improrrogáveis, nas classes tipificadas como “Renda Fixa” que sejam “</w:t>
      </w:r>
      <w:r>
        <w:t>Curto</w:t>
      </w:r>
      <w:r w:rsidRPr="0097459F">
        <w:t xml:space="preserve"> Prazo”, “Referenciada” ou “Simples”; e</w:t>
      </w:r>
    </w:p>
    <w:p w14:paraId="07E00899" w14:textId="49705851" w:rsidR="008169C5" w:rsidRPr="008169C5" w:rsidRDefault="008169C5" w:rsidP="008169C5">
      <w:pPr>
        <w:pStyle w:val="Normalalteradora"/>
        <w:numPr>
          <w:ilvl w:val="0"/>
          <w:numId w:val="40"/>
        </w:numPr>
        <w:ind w:left="709" w:hanging="142"/>
        <w:rPr>
          <w:strike/>
        </w:rPr>
      </w:pPr>
      <w:r>
        <w:rPr>
          <w:rFonts w:cstheme="minorHAnsi"/>
          <w:b/>
          <w:i/>
          <w:iCs/>
        </w:rPr>
        <w:t xml:space="preserve"> Inciso I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270698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nos</w:t>
      </w:r>
      <w:proofErr w:type="gramEnd"/>
      <w:r w:rsidRPr="0097459F">
        <w:rPr>
          <w:rFonts w:ascii="Calibri" w:hAnsi="Calibri" w:cs="Calibri"/>
        </w:rPr>
        <w:t xml:space="preserve"> demais casos, 90 (noventa) dias após o encerramento do mês, podendo esse prazo ser prorrogado uma única vez, em caráter excepcional, e com base em solicitação fundamentada submetida à aprovação da CVM, até o prazo máximo de 180 (cento e oitenta dias).</w:t>
      </w:r>
    </w:p>
    <w:p w14:paraId="432184BC"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A</w:t>
      </w:r>
      <w:proofErr w:type="gramEnd"/>
      <w:r w:rsidRPr="0097459F">
        <w:rPr>
          <w:rFonts w:ascii="Calibri" w:hAnsi="Calibri" w:cs="Calibri"/>
        </w:rPr>
        <w:t xml:space="preserve"> demonstração de desempenho deve:</w:t>
      </w:r>
    </w:p>
    <w:p w14:paraId="77EDEEF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ser</w:t>
      </w:r>
      <w:proofErr w:type="gramEnd"/>
      <w:r w:rsidRPr="0097459F">
        <w:rPr>
          <w:rFonts w:ascii="Calibri" w:hAnsi="Calibri" w:cs="Calibri"/>
        </w:rPr>
        <w:t xml:space="preserve"> preparada para todas as classes abertas em operação há, no mínimo, 1 (um) ano na data base a que se refere a demonstração de desempenho, observado que na hipótese de a classe possuir subclasses de cotas, a contagem do prazo se inicia para cada subclasse quando do início de seu próprio funcionamento; e</w:t>
      </w:r>
    </w:p>
    <w:p w14:paraId="7DF595A7" w14:textId="11F5CF64"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ser</w:t>
      </w:r>
      <w:proofErr w:type="gramEnd"/>
      <w:r w:rsidRPr="0097459F">
        <w:rPr>
          <w:rFonts w:ascii="Calibri" w:hAnsi="Calibri" w:cs="Calibri"/>
        </w:rPr>
        <w:t xml:space="preserve"> produzida conforme o modelo constante do Suplemento </w:t>
      </w:r>
      <w:r w:rsidR="009E34FD" w:rsidRPr="0097459F">
        <w:rPr>
          <w:rFonts w:ascii="Calibri" w:hAnsi="Calibri" w:cs="Calibri"/>
        </w:rPr>
        <w:t>C</w:t>
      </w:r>
      <w:r w:rsidRPr="0097459F">
        <w:rPr>
          <w:rFonts w:ascii="Calibri" w:hAnsi="Calibri" w:cs="Calibri"/>
        </w:rPr>
        <w:t>.</w:t>
      </w:r>
    </w:p>
    <w:p w14:paraId="517B27B8" w14:textId="77777777" w:rsidR="00C20BBD" w:rsidRPr="0097459F" w:rsidRDefault="00C20BBD" w:rsidP="00C20BBD">
      <w:pPr>
        <w:pStyle w:val="Normalalteradora"/>
        <w:rPr>
          <w:rFonts w:ascii="Calibri" w:hAnsi="Calibri" w:cs="Calibri"/>
        </w:rPr>
      </w:pPr>
      <w:r w:rsidRPr="0097459F">
        <w:rPr>
          <w:rFonts w:ascii="Calibri" w:hAnsi="Calibri" w:cs="Calibri"/>
        </w:rPr>
        <w:t>§ 6</w:t>
      </w:r>
      <w:proofErr w:type="gramStart"/>
      <w:r w:rsidRPr="0097459F">
        <w:rPr>
          <w:rFonts w:ascii="Calibri" w:hAnsi="Calibri" w:cs="Calibri"/>
        </w:rPr>
        <w:t>º  É</w:t>
      </w:r>
      <w:proofErr w:type="gramEnd"/>
      <w:r w:rsidRPr="0097459F">
        <w:rPr>
          <w:rFonts w:ascii="Calibri" w:hAnsi="Calibri" w:cs="Calibri"/>
        </w:rPr>
        <w:t xml:space="preserve"> facultado ao administrador formatar a demonstração de desempenho livremente desde que:</w:t>
      </w:r>
    </w:p>
    <w:p w14:paraId="7CAFA80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ordem das informações seja mantida;</w:t>
      </w:r>
    </w:p>
    <w:p w14:paraId="79CD8A0D" w14:textId="3D13C21B"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conteúdo do Suplemento </w:t>
      </w:r>
      <w:r w:rsidR="009E34FD" w:rsidRPr="0097459F">
        <w:rPr>
          <w:rFonts w:ascii="Calibri" w:hAnsi="Calibri" w:cs="Calibri"/>
        </w:rPr>
        <w:t>C</w:t>
      </w:r>
      <w:r w:rsidRPr="0097459F">
        <w:rPr>
          <w:rFonts w:ascii="Calibri" w:hAnsi="Calibri" w:cs="Calibri"/>
        </w:rPr>
        <w:t xml:space="preserve"> não seja modificado;</w:t>
      </w:r>
    </w:p>
    <w:p w14:paraId="5D360470" w14:textId="77777777" w:rsidR="00C20BBD" w:rsidRPr="0097459F" w:rsidRDefault="00C20BBD" w:rsidP="00C20BBD">
      <w:pPr>
        <w:pStyle w:val="Normalalteradora"/>
        <w:rPr>
          <w:rFonts w:ascii="Calibri" w:hAnsi="Calibri" w:cs="Calibri"/>
        </w:rPr>
      </w:pPr>
      <w:r w:rsidRPr="0097459F">
        <w:rPr>
          <w:rFonts w:ascii="Calibri" w:hAnsi="Calibri" w:cs="Calibri"/>
        </w:rPr>
        <w:t>III – os logotipos e a formatação não dificultem o entendimento das informações; e</w:t>
      </w:r>
    </w:p>
    <w:p w14:paraId="7C55364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quaisquer</w:t>
      </w:r>
      <w:proofErr w:type="gramEnd"/>
      <w:r w:rsidRPr="0097459F">
        <w:rPr>
          <w:rFonts w:ascii="Calibri" w:hAnsi="Calibri" w:cs="Calibri"/>
        </w:rPr>
        <w:t xml:space="preserve"> informações adicionais:</w:t>
      </w:r>
    </w:p>
    <w:p w14:paraId="6C10D3E1" w14:textId="77777777" w:rsidR="00C20BBD" w:rsidRPr="0097459F" w:rsidRDefault="00C20BBD" w:rsidP="00C20BBD">
      <w:pPr>
        <w:pStyle w:val="Normalalteradora"/>
        <w:rPr>
          <w:rFonts w:ascii="Calibri" w:hAnsi="Calibri" w:cs="Calibri"/>
        </w:rPr>
      </w:pPr>
      <w:r w:rsidRPr="0097459F">
        <w:rPr>
          <w:rFonts w:ascii="Calibri" w:hAnsi="Calibri" w:cs="Calibri"/>
        </w:rPr>
        <w:t>a) sejam acrescentadas ao final do documento;</w:t>
      </w:r>
    </w:p>
    <w:p w14:paraId="5C9D49A9"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b) não dificultem o entendimento das informações contidas na demonstração de desempenho; e</w:t>
      </w:r>
    </w:p>
    <w:p w14:paraId="191FBA0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c) sejam consistentes com o conteúdo da demonstração de desempenho. </w:t>
      </w:r>
    </w:p>
    <w:p w14:paraId="71306C04"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7</w:t>
      </w:r>
      <w:proofErr w:type="gramStart"/>
      <w:r w:rsidRPr="0097459F">
        <w:rPr>
          <w:rFonts w:ascii="Calibri" w:hAnsi="Calibri" w:cs="Calibri"/>
          <w:sz w:val="24"/>
          <w:szCs w:val="24"/>
        </w:rPr>
        <w:t>º  Para</w:t>
      </w:r>
      <w:proofErr w:type="gramEnd"/>
      <w:r w:rsidRPr="0097459F">
        <w:rPr>
          <w:rFonts w:ascii="Calibri" w:hAnsi="Calibri" w:cs="Calibri"/>
          <w:sz w:val="24"/>
          <w:szCs w:val="24"/>
        </w:rPr>
        <w:t xml:space="preserve"> fins de elaboração da demonstração de desempenho, a classe de cotas que realize aplicações em outros fundos deve acrescentar as despesas dos fundos investidos às suas próprias despesas.</w:t>
      </w:r>
    </w:p>
    <w:p w14:paraId="69ACCE9C"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8</w:t>
      </w:r>
      <w:proofErr w:type="gramStart"/>
      <w:r w:rsidRPr="0097459F">
        <w:rPr>
          <w:rFonts w:ascii="Calibri" w:hAnsi="Calibri" w:cs="Calibri"/>
          <w:sz w:val="24"/>
          <w:szCs w:val="24"/>
        </w:rPr>
        <w:t>º  Para</w:t>
      </w:r>
      <w:proofErr w:type="gramEnd"/>
      <w:r w:rsidRPr="0097459F">
        <w:rPr>
          <w:rFonts w:ascii="Calibri" w:hAnsi="Calibri" w:cs="Calibri"/>
          <w:sz w:val="24"/>
          <w:szCs w:val="24"/>
        </w:rPr>
        <w:t xml:space="preserve"> os efeitos do § 7º, a classe:</w:t>
      </w:r>
    </w:p>
    <w:p w14:paraId="257F2BF0" w14:textId="77777777" w:rsidR="00C20BBD" w:rsidRPr="0097459F" w:rsidRDefault="00C20BBD" w:rsidP="00C20BBD">
      <w:pPr>
        <w:autoSpaceDE w:val="0"/>
        <w:autoSpaceDN w:val="0"/>
        <w:adjustRightInd w:val="0"/>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I – </w:t>
      </w:r>
      <w:proofErr w:type="gramStart"/>
      <w:r w:rsidRPr="0097459F">
        <w:rPr>
          <w:rFonts w:ascii="Calibri" w:hAnsi="Calibri" w:cs="Calibri"/>
          <w:sz w:val="24"/>
          <w:szCs w:val="24"/>
        </w:rPr>
        <w:t>deve</w:t>
      </w:r>
      <w:proofErr w:type="gramEnd"/>
      <w:r w:rsidRPr="0097459F">
        <w:rPr>
          <w:rFonts w:ascii="Calibri" w:hAnsi="Calibri" w:cs="Calibri"/>
          <w:sz w:val="24"/>
          <w:szCs w:val="24"/>
        </w:rPr>
        <w:t xml:space="preserve"> considerar o valor das últimas despesas divulgadas pelo fundo investido, conforme inciso III do </w:t>
      </w:r>
      <w:r w:rsidRPr="0097459F">
        <w:rPr>
          <w:rFonts w:ascii="Calibri" w:hAnsi="Calibri" w:cs="Calibri"/>
          <w:b/>
          <w:bCs/>
          <w:sz w:val="24"/>
          <w:szCs w:val="24"/>
        </w:rPr>
        <w:t>caput,</w:t>
      </w:r>
      <w:r w:rsidRPr="0097459F">
        <w:rPr>
          <w:rFonts w:ascii="Calibri" w:hAnsi="Calibri" w:cs="Calibri"/>
          <w:sz w:val="24"/>
          <w:szCs w:val="24"/>
        </w:rPr>
        <w:t xml:space="preserve"> proporcionalmente aos montantes investidos e prazos de aplicação; e</w:t>
      </w:r>
    </w:p>
    <w:p w14:paraId="1AC553EE" w14:textId="77777777" w:rsidR="00C20BBD" w:rsidRPr="0097459F" w:rsidRDefault="00C20BBD" w:rsidP="00C20BBD">
      <w:pPr>
        <w:autoSpaceDE w:val="0"/>
        <w:autoSpaceDN w:val="0"/>
        <w:adjustRightInd w:val="0"/>
        <w:spacing w:before="120" w:after="120" w:line="312" w:lineRule="auto"/>
        <w:ind w:firstLine="567"/>
        <w:jc w:val="both"/>
        <w:rPr>
          <w:rFonts w:ascii="Calibri" w:eastAsia="Times New Roman" w:hAnsi="Calibri" w:cs="Calibri"/>
          <w:sz w:val="24"/>
          <w:szCs w:val="24"/>
          <w:lang w:eastAsia="pt-BR"/>
        </w:rPr>
      </w:pPr>
      <w:r w:rsidRPr="0097459F">
        <w:rPr>
          <w:rFonts w:ascii="Calibri" w:hAnsi="Calibri" w:cs="Calibri"/>
          <w:sz w:val="24"/>
          <w:szCs w:val="24"/>
        </w:rPr>
        <w:t xml:space="preserve">II – </w:t>
      </w:r>
      <w:proofErr w:type="gramStart"/>
      <w:r w:rsidRPr="0097459F">
        <w:rPr>
          <w:rFonts w:ascii="Calibri" w:hAnsi="Calibri" w:cs="Calibri"/>
          <w:sz w:val="24"/>
          <w:szCs w:val="24"/>
        </w:rPr>
        <w:t>está</w:t>
      </w:r>
      <w:proofErr w:type="gramEnd"/>
      <w:r w:rsidRPr="0097459F">
        <w:rPr>
          <w:rFonts w:ascii="Calibri" w:hAnsi="Calibri" w:cs="Calibri"/>
          <w:sz w:val="24"/>
          <w:szCs w:val="24"/>
        </w:rPr>
        <w:t xml:space="preserve"> dispensada de consolidar as despesas dos fundos investidos quando os fundos não estiverem obrigados a divulgá-las em relação ao semestre anterior à data base da demonstração de desempenho.</w:t>
      </w:r>
    </w:p>
    <w:p w14:paraId="1F319EB7" w14:textId="77777777" w:rsidR="00C20BBD" w:rsidRPr="0097459F" w:rsidRDefault="00C20BBD" w:rsidP="00C20BBD">
      <w:pPr>
        <w:pStyle w:val="Normalalteradora"/>
        <w:rPr>
          <w:rFonts w:ascii="Calibri" w:hAnsi="Calibri" w:cs="Calibri"/>
        </w:rPr>
      </w:pPr>
      <w:r w:rsidRPr="0097459F">
        <w:rPr>
          <w:rFonts w:ascii="Calibri" w:hAnsi="Calibri" w:cs="Calibri"/>
        </w:rPr>
        <w:t>§ 9</w:t>
      </w:r>
      <w:proofErr w:type="gramStart"/>
      <w:r w:rsidRPr="0097459F">
        <w:rPr>
          <w:rFonts w:ascii="Calibri" w:hAnsi="Calibri" w:cs="Calibri"/>
        </w:rPr>
        <w:t>º  Caso</w:t>
      </w:r>
      <w:proofErr w:type="gramEnd"/>
      <w:r w:rsidRPr="0097459F">
        <w:rPr>
          <w:rFonts w:ascii="Calibri" w:hAnsi="Calibri" w:cs="Calibri"/>
        </w:rPr>
        <w:t xml:space="preserve"> ocorram divergências relevantes entre os valores apresentados na demonstração de desempenho e aqueles que teriam sido calculados para o mesmo período com base nas demonstrações contábeis auditadas, o administrador deve enviar uma demonstração retificadora aos cotistas, em até 15 (quinze) dias úteis da remessa do parecer dos auditores independentes para a CVM, sem prejuízo da divulgação de fato relevante, nos termos do art. 64 da parte geral da Resolução.</w:t>
      </w:r>
    </w:p>
    <w:p w14:paraId="4DA2905F" w14:textId="77777777" w:rsidR="00C20BBD" w:rsidRPr="0097459F" w:rsidRDefault="00C20BBD" w:rsidP="00C20BBD">
      <w:pPr>
        <w:pStyle w:val="Normalalteradora"/>
        <w:rPr>
          <w:rFonts w:ascii="Calibri" w:hAnsi="Calibri" w:cs="Calibri"/>
        </w:rPr>
      </w:pPr>
      <w:r w:rsidRPr="0097459F">
        <w:rPr>
          <w:rFonts w:ascii="Calibri" w:hAnsi="Calibri" w:cs="Calibri"/>
        </w:rPr>
        <w:t>Art. 23.  O resumo das decisões da assembleia de cotistas previsto no art. 79 da parte geral da Resolução pode ser disponibilizado por meio do extrato de conta.</w:t>
      </w:r>
    </w:p>
    <w:p w14:paraId="708967B2" w14:textId="0DE63139" w:rsidR="00C20BBD" w:rsidRDefault="00C20BBD" w:rsidP="00C20BBD">
      <w:pPr>
        <w:pStyle w:val="Normalalteradora"/>
        <w:rPr>
          <w:rFonts w:ascii="Calibri" w:hAnsi="Calibri" w:cs="Calibri"/>
        </w:rPr>
      </w:pPr>
      <w:r w:rsidRPr="0097459F">
        <w:rPr>
          <w:rFonts w:ascii="Calibri" w:hAnsi="Calibri" w:cs="Calibri"/>
        </w:rPr>
        <w:t xml:space="preserve">Parágrafo único.  Caso a assembleia de cotistas seja realizada nos últimos 10 (dez) dias do mês, a comunicação de que trata o </w:t>
      </w:r>
      <w:r w:rsidRPr="0097459F">
        <w:rPr>
          <w:rFonts w:ascii="Calibri" w:hAnsi="Calibri" w:cs="Calibri"/>
          <w:b/>
        </w:rPr>
        <w:t>caput</w:t>
      </w:r>
      <w:r w:rsidRPr="0097459F">
        <w:rPr>
          <w:rFonts w:ascii="Calibri" w:hAnsi="Calibri" w:cs="Calibri"/>
        </w:rPr>
        <w:t xml:space="preserve"> pode ser efetuada no extrato de conta relativo ao mês seguinte ao da realização da assembleia.</w:t>
      </w:r>
    </w:p>
    <w:p w14:paraId="52FB18E5" w14:textId="00D41D52" w:rsidR="00C73321" w:rsidRDefault="00C73321" w:rsidP="00C73321">
      <w:pPr>
        <w:pStyle w:val="Normalalteradora"/>
        <w:rPr>
          <w:rFonts w:ascii="Calibri" w:hAnsi="Calibri" w:cs="Calibri"/>
          <w:strike/>
        </w:rPr>
      </w:pPr>
      <w:r w:rsidRPr="00B23C7B">
        <w:rPr>
          <w:rFonts w:ascii="Calibri" w:hAnsi="Calibri" w:cs="Calibri"/>
          <w:strike/>
        </w:rPr>
        <w:t xml:space="preserve">Art. 24.  O administrador deve encaminhar à CVM, por meio sistema eletrônico disponível na rede mundial de computadores, os seguintes documentos da classe de cotas: </w:t>
      </w:r>
    </w:p>
    <w:p w14:paraId="0CE60248" w14:textId="77777777" w:rsidR="00B23C7B" w:rsidRDefault="00B23C7B" w:rsidP="00B23C7B">
      <w:pPr>
        <w:pStyle w:val="NormaAlterada"/>
      </w:pPr>
      <w:r>
        <w:t>Art. 24.  O administrador deve encaminhar à CVM, por meio de sistema eletrônico disponível na rede mundial de computadores, ou de sistema eletrônico disponibilizado por entidade que tenha formalizado convênio ou instrumento congênere com a CVM para esse fim, os seguintes documentos da classe de cotas</w:t>
      </w:r>
      <w:r w:rsidRPr="0097459F">
        <w:t>:</w:t>
      </w:r>
    </w:p>
    <w:p w14:paraId="65F81294" w14:textId="02A79429" w:rsidR="00B23C7B" w:rsidRPr="00D960C9" w:rsidRDefault="00B23C7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lastRenderedPageBreak/>
        <w:t xml:space="preserve"> Caput</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25FCD9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informe</w:t>
      </w:r>
      <w:proofErr w:type="gramEnd"/>
      <w:r w:rsidRPr="0097459F">
        <w:rPr>
          <w:rFonts w:ascii="Calibri" w:hAnsi="Calibri" w:cs="Calibri"/>
        </w:rPr>
        <w:t xml:space="preserve"> diário, no prazo de 1 (um) dia útil;</w:t>
      </w:r>
    </w:p>
    <w:p w14:paraId="305E2F0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mensalmente</w:t>
      </w:r>
      <w:proofErr w:type="gramEnd"/>
      <w:r w:rsidRPr="0097459F">
        <w:rPr>
          <w:rFonts w:ascii="Calibri" w:hAnsi="Calibri" w:cs="Calibri"/>
        </w:rPr>
        <w:t xml:space="preserve">, até 10 (dez) dias úteis após o encerramento do mês a que se referirem: </w:t>
      </w:r>
    </w:p>
    <w:p w14:paraId="283E38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 balancete; </w:t>
      </w:r>
    </w:p>
    <w:p w14:paraId="761699A4" w14:textId="77777777" w:rsidR="00C20BBD" w:rsidRPr="0097459F" w:rsidRDefault="00C20BBD" w:rsidP="00C20BBD">
      <w:pPr>
        <w:pStyle w:val="Normalalteradora"/>
        <w:rPr>
          <w:rFonts w:ascii="Calibri" w:hAnsi="Calibri" w:cs="Calibri"/>
        </w:rPr>
      </w:pPr>
      <w:r w:rsidRPr="0097459F">
        <w:rPr>
          <w:rFonts w:ascii="Calibri" w:hAnsi="Calibri" w:cs="Calibri"/>
        </w:rPr>
        <w:t>b) demonstrativo da composição e diversificação de carteira; e</w:t>
      </w:r>
    </w:p>
    <w:p w14:paraId="5C11221C" w14:textId="77777777" w:rsidR="00C20BBD" w:rsidRPr="0097459F" w:rsidRDefault="00C20BBD" w:rsidP="00C20BBD">
      <w:pPr>
        <w:pStyle w:val="Normalalteradora"/>
        <w:rPr>
          <w:rFonts w:ascii="Calibri" w:hAnsi="Calibri" w:cs="Calibri"/>
        </w:rPr>
      </w:pPr>
      <w:r w:rsidRPr="0097459F">
        <w:rPr>
          <w:rFonts w:ascii="Calibri" w:hAnsi="Calibri" w:cs="Calibri"/>
        </w:rPr>
        <w:t>c) perfil mensal, observado que as questões 5, 6 e 11 a 16 do documento não precisam ser respondidas pelos administradores das classes de investimento dispensadas da obrigação de consolidação, nos termos do § 4º do art. 46 deste Anexo Normativo I; e</w:t>
      </w:r>
    </w:p>
    <w:p w14:paraId="18567DFE" w14:textId="77777777" w:rsidR="00C20BBD" w:rsidRPr="0097459F" w:rsidRDefault="00C20BBD" w:rsidP="00C20BBD">
      <w:pPr>
        <w:pStyle w:val="Normalalteradora"/>
        <w:rPr>
          <w:rFonts w:ascii="Calibri" w:hAnsi="Calibri" w:cs="Calibri"/>
        </w:rPr>
      </w:pPr>
      <w:r w:rsidRPr="0097459F">
        <w:rPr>
          <w:rFonts w:ascii="Calibri" w:hAnsi="Calibri" w:cs="Calibri"/>
        </w:rPr>
        <w:t>d) lâmina de informações básicas, se aplicável;</w:t>
      </w:r>
    </w:p>
    <w:p w14:paraId="492C2961" w14:textId="77777777" w:rsidR="00C20BBD" w:rsidRPr="0097459F" w:rsidRDefault="00C20BBD" w:rsidP="00C20BBD">
      <w:pPr>
        <w:pStyle w:val="Normalalteradora"/>
        <w:rPr>
          <w:rFonts w:ascii="Calibri" w:hAnsi="Calibri" w:cs="Calibri"/>
        </w:rPr>
      </w:pPr>
      <w:r w:rsidRPr="0097459F">
        <w:rPr>
          <w:rFonts w:ascii="Calibri" w:hAnsi="Calibri" w:cs="Calibri"/>
        </w:rPr>
        <w:t>III – anualmente, no prazo de 90 (noventa) dias, contados a partir do encerramento do exercício a que se referirem, as demonstrações contábeis do fundo e, caso existentes, de suas classes de cotas, acompanhadas dos pareceres de auditoria independente; e</w:t>
      </w:r>
    </w:p>
    <w:p w14:paraId="3E3C393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formulário</w:t>
      </w:r>
      <w:proofErr w:type="gramEnd"/>
      <w:r w:rsidRPr="0097459F">
        <w:rPr>
          <w:rFonts w:ascii="Calibri" w:hAnsi="Calibri" w:cs="Calibri"/>
        </w:rPr>
        <w:t xml:space="preserve"> padronizado com as informações básicas da classe de cotas, sempre que houver alteração do regulamento, na data do início da vigência das alterações deliberadas em assembleia.</w:t>
      </w:r>
    </w:p>
    <w:p w14:paraId="276CD28C" w14:textId="5BE5D0AB" w:rsidR="00C20BBD"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w:t>
      </w:r>
      <w:proofErr w:type="gramEnd"/>
      <w:r w:rsidRPr="0097459F">
        <w:rPr>
          <w:rFonts w:ascii="Calibri" w:hAnsi="Calibri" w:cs="Calibri"/>
        </w:rPr>
        <w:t xml:space="preserve"> prazo de retificação das informações é de 3 (três) dias úteis, contado do fim do prazo estabelecido para a apresentação dos documentos.</w:t>
      </w:r>
    </w:p>
    <w:p w14:paraId="1A831CEB" w14:textId="298C2DF3" w:rsidR="00C63609" w:rsidRDefault="00C63609" w:rsidP="00C63609">
      <w:pPr>
        <w:pStyle w:val="Normalalteradora"/>
        <w:rPr>
          <w:rFonts w:ascii="Calibri" w:hAnsi="Calibri" w:cs="Calibri"/>
          <w:strike/>
        </w:rPr>
      </w:pPr>
      <w:r w:rsidRPr="00B23C7B">
        <w:rPr>
          <w:rFonts w:ascii="Calibri" w:hAnsi="Calibri" w:cs="Calibri"/>
          <w:strike/>
        </w:rPr>
        <w:t>§ 2</w:t>
      </w:r>
      <w:proofErr w:type="gramStart"/>
      <w:r w:rsidRPr="00B23C7B">
        <w:rPr>
          <w:rFonts w:ascii="Calibri" w:hAnsi="Calibri" w:cs="Calibri"/>
          <w:strike/>
        </w:rPr>
        <w:t>º  As</w:t>
      </w:r>
      <w:proofErr w:type="gramEnd"/>
      <w:r w:rsidRPr="00B23C7B">
        <w:rPr>
          <w:rFonts w:ascii="Calibri" w:hAnsi="Calibri" w:cs="Calibri"/>
          <w:strike/>
        </w:rPr>
        <w:t xml:space="preserve"> informações previstas no inciso I do </w:t>
      </w:r>
      <w:r w:rsidRPr="00B23C7B">
        <w:rPr>
          <w:rFonts w:ascii="Calibri" w:hAnsi="Calibri" w:cs="Calibri"/>
          <w:b/>
          <w:strike/>
        </w:rPr>
        <w:t>caput</w:t>
      </w:r>
      <w:r w:rsidRPr="00B23C7B">
        <w:rPr>
          <w:rFonts w:ascii="Calibri" w:hAnsi="Calibri" w:cs="Calibri"/>
          <w:strike/>
        </w:rPr>
        <w:t xml:space="preserve"> devem ser prestadas para cada subclasse em separado.</w:t>
      </w:r>
    </w:p>
    <w:p w14:paraId="7854FC3A" w14:textId="77777777" w:rsidR="00B23C7B" w:rsidRPr="0097459F" w:rsidRDefault="00B23C7B" w:rsidP="00B23C7B">
      <w:pPr>
        <w:pStyle w:val="NormaAlterada"/>
      </w:pPr>
      <w:r w:rsidRPr="00406DD1">
        <w:t>§ 2</w:t>
      </w:r>
      <w:proofErr w:type="gramStart"/>
      <w:r w:rsidRPr="00406DD1">
        <w:t>º  As</w:t>
      </w:r>
      <w:proofErr w:type="gramEnd"/>
      <w:r w:rsidRPr="00406DD1">
        <w:t xml:space="preserve"> informações previstas no inciso I e no inciso II, alínea “d” do </w:t>
      </w:r>
      <w:r w:rsidRPr="00406DD1">
        <w:rPr>
          <w:b/>
        </w:rPr>
        <w:t>caput</w:t>
      </w:r>
      <w:r w:rsidRPr="00406DD1">
        <w:t xml:space="preserve"> devem ser prestadas para cada subclasse em separado.</w:t>
      </w:r>
    </w:p>
    <w:p w14:paraId="01CB890A" w14:textId="54AC6CBE" w:rsidR="00B23C7B" w:rsidRPr="00B23C7B" w:rsidRDefault="00B23C7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B23C7B">
        <w:rPr>
          <w:rFonts w:asciiTheme="minorHAnsi" w:hAnsiTheme="minorHAnsi" w:cstheme="minorHAnsi"/>
          <w:b/>
          <w:bCs/>
          <w:i/>
          <w:iCs/>
          <w:sz w:val="24"/>
          <w:szCs w:val="24"/>
        </w:rPr>
        <w:t xml:space="preserve"> § 2º</w:t>
      </w:r>
      <w:r w:rsidRPr="00406DD1">
        <w:t xml:space="preserve"> </w:t>
      </w:r>
      <w:r w:rsidRPr="00D960C9">
        <w:rPr>
          <w:rFonts w:asciiTheme="minorHAnsi" w:hAnsiTheme="minorHAnsi" w:cstheme="minorHAnsi"/>
          <w:b/>
          <w:i/>
          <w:sz w:val="24"/>
          <w:szCs w:val="24"/>
        </w:rPr>
        <w:t xml:space="preserve">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71203BD7"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Caso</w:t>
      </w:r>
      <w:proofErr w:type="gramEnd"/>
      <w:r w:rsidRPr="0097459F">
        <w:rPr>
          <w:rFonts w:ascii="Calibri" w:hAnsi="Calibri" w:cs="Calibri"/>
        </w:rPr>
        <w:t xml:space="preserve"> a classe de cotas adote política que preveja o exercício de direito de voto decorrente da titularidade de ativos financeiros, o perfil mensal deve incluir:</w:t>
      </w:r>
    </w:p>
    <w:p w14:paraId="7CA49FF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resumo</w:t>
      </w:r>
      <w:proofErr w:type="gramEnd"/>
      <w:r w:rsidRPr="0097459F">
        <w:rPr>
          <w:rFonts w:ascii="Calibri" w:hAnsi="Calibri" w:cs="Calibri"/>
        </w:rPr>
        <w:t xml:space="preserve"> do teor dos votos proferidos no período a que se refere o perfil; e</w:t>
      </w:r>
    </w:p>
    <w:p w14:paraId="5299A01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justificativa</w:t>
      </w:r>
      <w:proofErr w:type="gramEnd"/>
      <w:r w:rsidRPr="0097459F">
        <w:rPr>
          <w:rFonts w:ascii="Calibri" w:hAnsi="Calibri" w:cs="Calibri"/>
        </w:rPr>
        <w:t xml:space="preserve"> sumária do voto proferido ou as razões sumárias para eventual abstenção ou não exercício do direito de voto.</w:t>
      </w:r>
    </w:p>
    <w:p w14:paraId="6AA0938F" w14:textId="77777777" w:rsidR="00C20BBD" w:rsidRPr="0097459F" w:rsidRDefault="00C20BBD" w:rsidP="00C20BBD">
      <w:pPr>
        <w:pStyle w:val="Captulo"/>
      </w:pPr>
      <w:bookmarkStart w:id="433" w:name="_Toc53594240"/>
      <w:bookmarkStart w:id="434" w:name="_Toc53594488"/>
      <w:bookmarkStart w:id="435" w:name="_Toc53595513"/>
      <w:bookmarkStart w:id="436" w:name="_Toc57836249"/>
      <w:bookmarkStart w:id="437" w:name="_Toc161141262"/>
      <w:r w:rsidRPr="0097459F">
        <w:lastRenderedPageBreak/>
        <w:t>CAPÍTULO VII – PRESTAÇÃO DE SERVIÇOS</w:t>
      </w:r>
      <w:bookmarkEnd w:id="433"/>
      <w:bookmarkEnd w:id="434"/>
      <w:bookmarkEnd w:id="435"/>
      <w:bookmarkEnd w:id="436"/>
      <w:bookmarkEnd w:id="437"/>
    </w:p>
    <w:p w14:paraId="2D49CE09" w14:textId="77777777" w:rsidR="00C20BBD" w:rsidRPr="0097459F" w:rsidRDefault="00C20BBD" w:rsidP="00C20BBD">
      <w:pPr>
        <w:pStyle w:val="Seo"/>
      </w:pPr>
      <w:bookmarkStart w:id="438" w:name="_Toc53594241"/>
      <w:bookmarkStart w:id="439" w:name="_Toc53594489"/>
      <w:bookmarkStart w:id="440" w:name="_Toc53595514"/>
      <w:bookmarkStart w:id="441" w:name="_Toc57836250"/>
      <w:bookmarkStart w:id="442" w:name="_Toc161141263"/>
      <w:r w:rsidRPr="0097459F">
        <w:t>Seção I – Obrigações do Administrador, Gestor e Custodiante</w:t>
      </w:r>
      <w:bookmarkEnd w:id="438"/>
      <w:bookmarkEnd w:id="439"/>
      <w:bookmarkEnd w:id="440"/>
      <w:bookmarkEnd w:id="441"/>
      <w:bookmarkEnd w:id="442"/>
    </w:p>
    <w:p w14:paraId="0371F721" w14:textId="325F1AFB" w:rsidR="00C20BBD" w:rsidRDefault="00C20BBD" w:rsidP="00C20BBD">
      <w:pPr>
        <w:pStyle w:val="Normalalteradora"/>
        <w:rPr>
          <w:rFonts w:ascii="Calibri" w:hAnsi="Calibri" w:cs="Calibri"/>
        </w:rPr>
      </w:pPr>
      <w:r w:rsidRPr="0097459F">
        <w:rPr>
          <w:rFonts w:ascii="Calibri" w:hAnsi="Calibri" w:cs="Calibri"/>
        </w:rPr>
        <w:t xml:space="preserve">Art. 25.  Em acréscimo às obrigações previstas na parte geral da Resolução e neste Anexo </w:t>
      </w:r>
      <w:r w:rsidR="00D2759F">
        <w:rPr>
          <w:rFonts w:ascii="Calibri" w:hAnsi="Calibri" w:cs="Calibri"/>
        </w:rPr>
        <w:t>Normativo I</w:t>
      </w:r>
      <w:r w:rsidRPr="0097459F">
        <w:rPr>
          <w:rFonts w:ascii="Calibri" w:hAnsi="Calibri" w:cs="Calibri"/>
        </w:rPr>
        <w:t>, incluem-se entre as obrigações do administrador:</w:t>
      </w:r>
    </w:p>
    <w:p w14:paraId="234658B7" w14:textId="1A24DF2D" w:rsidR="00C63609" w:rsidRDefault="00C63609" w:rsidP="00C63609">
      <w:pPr>
        <w:pStyle w:val="Normalalteradora"/>
        <w:rPr>
          <w:rFonts w:ascii="Calibri" w:hAnsi="Calibri" w:cs="Calibri"/>
          <w:strike/>
        </w:rPr>
      </w:pPr>
      <w:r w:rsidRPr="0019363E">
        <w:rPr>
          <w:rFonts w:ascii="Calibri" w:hAnsi="Calibri" w:cs="Calibri"/>
          <w:strike/>
        </w:rPr>
        <w:t xml:space="preserve">I – </w:t>
      </w:r>
      <w:proofErr w:type="gramStart"/>
      <w:r w:rsidRPr="0019363E">
        <w:rPr>
          <w:rFonts w:ascii="Calibri" w:hAnsi="Calibri" w:cs="Calibri"/>
          <w:strike/>
        </w:rPr>
        <w:t>verificar</w:t>
      </w:r>
      <w:proofErr w:type="gramEnd"/>
      <w:r w:rsidRPr="0019363E">
        <w:rPr>
          <w:rFonts w:ascii="Calibri" w:hAnsi="Calibri" w:cs="Calibri"/>
          <w:strike/>
        </w:rPr>
        <w:t>, após a realização das operações pelo gestor, a compatibilidade dos preços praticados com os preços de mercado, bem como informar ao gestor e à CVM sobre indícios materiais de incompatibilidade; e</w:t>
      </w:r>
    </w:p>
    <w:p w14:paraId="778C924F" w14:textId="1DF687A2" w:rsidR="0019363E" w:rsidRDefault="0019363E" w:rsidP="0019363E">
      <w:pPr>
        <w:pStyle w:val="NormaAlterada"/>
      </w:pPr>
      <w:r w:rsidRPr="0097459F">
        <w:t xml:space="preserve">I – </w:t>
      </w:r>
      <w:proofErr w:type="gramStart"/>
      <w:r w:rsidRPr="0097459F">
        <w:t>verificar</w:t>
      </w:r>
      <w:proofErr w:type="gramEnd"/>
      <w:r w:rsidRPr="0097459F">
        <w:t xml:space="preserve">, após a realização das operações pelo gestor, a compatibilidade dos preços praticados com os preços de mercado, bem como informar ao gestor e à CVM sobre indícios materiais de incompatibilidade; </w:t>
      </w:r>
    </w:p>
    <w:p w14:paraId="15BE0435" w14:textId="3A77202B"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Inciso I </w:t>
      </w:r>
      <w:r w:rsidRPr="00D960C9">
        <w:rPr>
          <w:rFonts w:asciiTheme="minorHAnsi" w:hAnsiTheme="minorHAnsi" w:cstheme="minorHAnsi"/>
          <w:b/>
          <w:i/>
          <w:sz w:val="24"/>
          <w:szCs w:val="24"/>
        </w:rPr>
        <w:t xml:space="preserve">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59AEB6D" w14:textId="6716D671" w:rsidR="00C63609" w:rsidRDefault="00C63609" w:rsidP="00B5164C">
      <w:pPr>
        <w:pStyle w:val="Normalalteradora"/>
        <w:rPr>
          <w:rFonts w:ascii="Calibri" w:hAnsi="Calibri" w:cs="Calibri"/>
          <w:strike/>
        </w:rPr>
      </w:pPr>
      <w:r w:rsidRPr="0019363E">
        <w:rPr>
          <w:rFonts w:ascii="Calibri" w:hAnsi="Calibri" w:cs="Calibri"/>
          <w:strike/>
        </w:rPr>
        <w:t xml:space="preserve">II – </w:t>
      </w:r>
      <w:proofErr w:type="gramStart"/>
      <w:r w:rsidRPr="0019363E">
        <w:rPr>
          <w:rFonts w:ascii="Calibri" w:hAnsi="Calibri" w:cs="Calibri"/>
          <w:strike/>
        </w:rPr>
        <w:t>verificar</w:t>
      </w:r>
      <w:proofErr w:type="gramEnd"/>
      <w:r w:rsidRPr="0019363E">
        <w:rPr>
          <w:rFonts w:ascii="Calibri" w:hAnsi="Calibri" w:cs="Calibri"/>
          <w:strike/>
        </w:rPr>
        <w:t>, após a realização das operações pelo gestor, em periodicidade compatível com a política de investimentos da classe, a observância da carteira de ativos aos limites de composição, concentração e, se for o caso, de exposição ao risco de capital, devendo informar ao gestor e à CVM sobre eventual desenquadramento, até o final do dia seguinte à data da verificação.</w:t>
      </w:r>
    </w:p>
    <w:p w14:paraId="5826A44B" w14:textId="77777777" w:rsidR="0019363E" w:rsidRDefault="0019363E" w:rsidP="0019363E">
      <w:pPr>
        <w:pStyle w:val="NormaAlterada"/>
      </w:pPr>
      <w:r w:rsidRPr="0097459F">
        <w:t xml:space="preserve">II – </w:t>
      </w:r>
      <w:proofErr w:type="gramStart"/>
      <w:r w:rsidRPr="0097459F">
        <w:t>verificar</w:t>
      </w:r>
      <w:proofErr w:type="gramEnd"/>
      <w:r w:rsidRPr="0097459F">
        <w:t>, após a realização das operações pelo gestor, em periodicidade compatível com a política de investimentos da classe, a observância da carteira de ativos aos limites de composição, concentração e, se for o caso, de exposição ao risco de capital, devendo informar ao gestor e à CVM sobre eventual desenquadramento, até o final do dia seguinte à data da verificação</w:t>
      </w:r>
      <w:r>
        <w:t>; e</w:t>
      </w:r>
    </w:p>
    <w:p w14:paraId="43B0DBCF" w14:textId="5CC1F068"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Inciso II </w:t>
      </w:r>
      <w:r w:rsidRPr="00D960C9">
        <w:rPr>
          <w:rFonts w:asciiTheme="minorHAnsi" w:hAnsiTheme="minorHAnsi" w:cstheme="minorHAnsi"/>
          <w:b/>
          <w:i/>
          <w:sz w:val="24"/>
          <w:szCs w:val="24"/>
        </w:rPr>
        <w:t xml:space="preserve">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722D8A7C" w14:textId="7D4F1737" w:rsidR="0019363E" w:rsidRDefault="0019363E" w:rsidP="00B5164C">
      <w:pPr>
        <w:pStyle w:val="Normalalteradora"/>
      </w:pPr>
      <w:r>
        <w:t>III – contratar o custodiante</w:t>
      </w:r>
      <w:r w:rsidRPr="0097459F">
        <w:t>.</w:t>
      </w:r>
    </w:p>
    <w:p w14:paraId="5E3A919D" w14:textId="31ABE9B9"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Inciso III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390E187C" w14:textId="77777777" w:rsidR="00C20BBD" w:rsidRPr="0097459F" w:rsidRDefault="00C20BBD" w:rsidP="00C20BBD">
      <w:pPr>
        <w:pStyle w:val="Normalalteradora"/>
        <w:rPr>
          <w:rFonts w:ascii="Calibri" w:hAnsi="Calibri" w:cs="Calibri"/>
        </w:rPr>
      </w:pPr>
      <w:r w:rsidRPr="0097459F">
        <w:rPr>
          <w:rFonts w:ascii="Calibri" w:hAnsi="Calibri" w:cs="Calibri"/>
        </w:rPr>
        <w:t>Art. 26.  Caso a classe de cotas conte com cogestão da carteira de ativos, na forma do art. 85, VI, da parte geral da Resolução, o contrato de prestação de serviços ao fundo celebrado com o cogestor deve conter dispositivo limitando as ordens, perante o custodiante da classe, ao mercado específico de atuação de cada gestor.</w:t>
      </w:r>
    </w:p>
    <w:p w14:paraId="6CCE19FF"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27.  O custodiante deve, além de observar o que dispõe a parte geral da Resolução e a regulamentação específica que trata de custódia de valores mobiliários:</w:t>
      </w:r>
    </w:p>
    <w:p w14:paraId="39C83A6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acatar</w:t>
      </w:r>
      <w:proofErr w:type="gramEnd"/>
      <w:r w:rsidRPr="0097459F">
        <w:rPr>
          <w:rFonts w:ascii="Calibri" w:hAnsi="Calibri" w:cs="Calibri"/>
        </w:rPr>
        <w:t xml:space="preserve"> somente as ordens emitidas pelo administrador, gestor e, se houver, cogestor, ou por seus representantes legais ou mandatários, devidamente autorizados; e</w:t>
      </w:r>
    </w:p>
    <w:p w14:paraId="5174870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executar</w:t>
      </w:r>
      <w:proofErr w:type="gramEnd"/>
      <w:r w:rsidRPr="0097459F">
        <w:rPr>
          <w:rFonts w:ascii="Calibri" w:hAnsi="Calibri" w:cs="Calibri"/>
        </w:rPr>
        <w:t xml:space="preserve"> somente as ordens que estejam diretamente vinculadas às operações da classe.</w:t>
      </w:r>
    </w:p>
    <w:p w14:paraId="7E6E32E5" w14:textId="77777777" w:rsidR="00C20BBD" w:rsidRPr="0097459F" w:rsidRDefault="00C20BBD" w:rsidP="00C20BBD">
      <w:pPr>
        <w:pStyle w:val="Seo"/>
      </w:pPr>
      <w:bookmarkStart w:id="443" w:name="_Toc53594242"/>
      <w:bookmarkStart w:id="444" w:name="_Toc53594490"/>
      <w:bookmarkStart w:id="445" w:name="_Toc53595515"/>
      <w:bookmarkStart w:id="446" w:name="_Toc57836251"/>
      <w:bookmarkStart w:id="447" w:name="_Toc161141264"/>
      <w:r w:rsidRPr="0097459F">
        <w:t>Seção II – Taxa de Performance</w:t>
      </w:r>
      <w:bookmarkEnd w:id="443"/>
      <w:bookmarkEnd w:id="444"/>
      <w:bookmarkEnd w:id="445"/>
      <w:bookmarkEnd w:id="446"/>
      <w:bookmarkEnd w:id="447"/>
    </w:p>
    <w:p w14:paraId="64A38356" w14:textId="77777777" w:rsidR="00C20BBD" w:rsidRPr="0097459F" w:rsidRDefault="00C20BBD" w:rsidP="00C20BBD">
      <w:pPr>
        <w:pStyle w:val="Normalalteradora"/>
        <w:rPr>
          <w:rFonts w:ascii="Calibri" w:hAnsi="Calibri" w:cs="Calibri"/>
        </w:rPr>
      </w:pPr>
      <w:r w:rsidRPr="0097459F">
        <w:rPr>
          <w:rFonts w:ascii="Calibri" w:hAnsi="Calibri" w:cs="Calibri"/>
        </w:rPr>
        <w:t>Art. 28.  O regulamento pode estabelecer a cobrança de taxa de performance pelo gestor.</w:t>
      </w:r>
    </w:p>
    <w:p w14:paraId="6FF255BA"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A</w:t>
      </w:r>
      <w:proofErr w:type="gramEnd"/>
      <w:r w:rsidRPr="0097459F">
        <w:rPr>
          <w:rFonts w:ascii="Calibri" w:hAnsi="Calibri" w:cs="Calibri"/>
        </w:rPr>
        <w:t xml:space="preserve"> cobrança da taxa de performance deve atender aos seguintes critérios: </w:t>
      </w:r>
    </w:p>
    <w:p w14:paraId="3ECFB87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vinculação</w:t>
      </w:r>
      <w:proofErr w:type="gramEnd"/>
      <w:r w:rsidRPr="0097459F">
        <w:rPr>
          <w:rFonts w:ascii="Calibri" w:hAnsi="Calibri" w:cs="Calibri"/>
        </w:rPr>
        <w:t xml:space="preserve"> a um índice de referência verificável, originado por fonte independente, compatível com a política de investimento;</w:t>
      </w:r>
    </w:p>
    <w:p w14:paraId="41E42BF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vedação</w:t>
      </w:r>
      <w:proofErr w:type="gramEnd"/>
      <w:r w:rsidRPr="0097459F">
        <w:rPr>
          <w:rFonts w:ascii="Calibri" w:hAnsi="Calibri" w:cs="Calibri"/>
        </w:rPr>
        <w:t xml:space="preserve"> da vinculação da taxa de performance a percentuais inferiores a 100% (cem por cento) do índice de referência;</w:t>
      </w:r>
    </w:p>
    <w:p w14:paraId="69772C78" w14:textId="77777777" w:rsidR="00C20BBD" w:rsidRPr="0097459F" w:rsidRDefault="00C20BBD" w:rsidP="00C20BBD">
      <w:pPr>
        <w:pStyle w:val="Normalalteradora"/>
        <w:rPr>
          <w:rFonts w:ascii="Calibri" w:hAnsi="Calibri" w:cs="Calibri"/>
        </w:rPr>
      </w:pPr>
      <w:r w:rsidRPr="0097459F">
        <w:rPr>
          <w:rFonts w:ascii="Calibri" w:hAnsi="Calibri" w:cs="Calibri"/>
        </w:rPr>
        <w:t>III – cobrança por período, no mínimo, semestral; e</w:t>
      </w:r>
    </w:p>
    <w:p w14:paraId="1BF1E8F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cobrança</w:t>
      </w:r>
      <w:proofErr w:type="gramEnd"/>
      <w:r w:rsidRPr="0097459F">
        <w:rPr>
          <w:rFonts w:ascii="Calibri" w:hAnsi="Calibri" w:cs="Calibri"/>
        </w:rPr>
        <w:t xml:space="preserve"> após a dedução de todas as despesas, inclusive das taxas devidas aos prestadores de serviços essenciais, podendo incluir na base do cálculo os valores recebidos pelos cotistas a título de amortização ou de rendimentos previstos no art. 36 deste Anexo Normativo I.</w:t>
      </w:r>
    </w:p>
    <w:p w14:paraId="2A82F864"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É</w:t>
      </w:r>
      <w:proofErr w:type="gramEnd"/>
      <w:r w:rsidRPr="0097459F">
        <w:rPr>
          <w:rFonts w:ascii="Calibri" w:hAnsi="Calibri" w:cs="Calibri"/>
        </w:rPr>
        <w:t xml:space="preserve"> vedada a cobrança de taxa de performance quando o valor da cota for inferior ao valor da cota base.</w:t>
      </w:r>
    </w:p>
    <w:p w14:paraId="7D7FD1B1"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Para</w:t>
      </w:r>
      <w:proofErr w:type="gramEnd"/>
      <w:r w:rsidRPr="0097459F">
        <w:rPr>
          <w:rFonts w:ascii="Calibri" w:hAnsi="Calibri" w:cs="Calibri"/>
        </w:rPr>
        <w:t xml:space="preserve"> fins do cálculo da taxa de performance, o valor da cota no momento de apuração do resultado deve ser comparado ao valor da cota base atualizado pelo índice de referência.</w:t>
      </w:r>
    </w:p>
    <w:p w14:paraId="2B9C6A70"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Fica</w:t>
      </w:r>
      <w:proofErr w:type="gramEnd"/>
      <w:r w:rsidRPr="0097459F">
        <w:rPr>
          <w:rFonts w:ascii="Calibri" w:hAnsi="Calibri" w:cs="Calibri"/>
        </w:rPr>
        <w:t xml:space="preserve"> dispensada a observância dos §§ 1º, III, 2º e 3º deste artigo na hipótese de substituição do gestor, caso o regulamento contenha expressa previsão neste sentido e os gestores atual e anterior não sejam partes relacionadas. </w:t>
      </w:r>
    </w:p>
    <w:p w14:paraId="2AAC1D56"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Caso</w:t>
      </w:r>
      <w:proofErr w:type="gramEnd"/>
      <w:r w:rsidRPr="0097459F">
        <w:rPr>
          <w:rFonts w:ascii="Calibri" w:hAnsi="Calibri" w:cs="Calibri"/>
        </w:rPr>
        <w:t xml:space="preserve"> o valor da cota base atualizada pelo índice de referência seja inferior ao valor da cota base, a taxa de performance a ser provisionada e paga deve ser:</w:t>
      </w:r>
    </w:p>
    <w:p w14:paraId="27EE2D2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calculada</w:t>
      </w:r>
      <w:proofErr w:type="gramEnd"/>
      <w:r w:rsidRPr="0097459F">
        <w:rPr>
          <w:rFonts w:ascii="Calibri" w:hAnsi="Calibri" w:cs="Calibri"/>
        </w:rPr>
        <w:t xml:space="preserve"> sobre a diferença entre o valor da cota antes de descontada a provisão para o pagamento da taxa de performance e o valor da cota base valorizada pelo índice de referência; e</w:t>
      </w:r>
    </w:p>
    <w:p w14:paraId="7746305D"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II – </w:t>
      </w:r>
      <w:proofErr w:type="gramStart"/>
      <w:r w:rsidRPr="0097459F">
        <w:rPr>
          <w:rFonts w:ascii="Calibri" w:hAnsi="Calibri" w:cs="Calibri"/>
        </w:rPr>
        <w:t>limitada</w:t>
      </w:r>
      <w:proofErr w:type="gramEnd"/>
      <w:r w:rsidRPr="0097459F">
        <w:rPr>
          <w:rFonts w:ascii="Calibri" w:hAnsi="Calibri" w:cs="Calibri"/>
        </w:rPr>
        <w:t xml:space="preserve"> à diferença entre o valor da cota antes de descontada a provisão para o pagamento da taxa de performance e a cota base.</w:t>
      </w:r>
    </w:p>
    <w:p w14:paraId="5ABA56C5" w14:textId="77777777" w:rsidR="00C20BBD" w:rsidRPr="0097459F" w:rsidRDefault="00C20BBD" w:rsidP="00C20BBD">
      <w:pPr>
        <w:pStyle w:val="Normalalteradora"/>
        <w:rPr>
          <w:rFonts w:ascii="Calibri" w:hAnsi="Calibri" w:cs="Calibri"/>
        </w:rPr>
      </w:pPr>
      <w:r w:rsidRPr="0097459F">
        <w:rPr>
          <w:rFonts w:ascii="Calibri" w:hAnsi="Calibri" w:cs="Calibri"/>
        </w:rPr>
        <w:t>§ 6</w:t>
      </w:r>
      <w:proofErr w:type="gramStart"/>
      <w:r w:rsidRPr="0097459F">
        <w:rPr>
          <w:rFonts w:ascii="Calibri" w:hAnsi="Calibri" w:cs="Calibri"/>
        </w:rPr>
        <w:t>º  Na</w:t>
      </w:r>
      <w:proofErr w:type="gramEnd"/>
      <w:r w:rsidRPr="0097459F">
        <w:rPr>
          <w:rFonts w:ascii="Calibri" w:hAnsi="Calibri" w:cs="Calibri"/>
        </w:rPr>
        <w:t xml:space="preserve"> hipótese do § 5º, a critério do gestor é permitido não apropriar a taxa de performance provisionada no período, prorrogando a cobrança para o período seguinte, desde que:</w:t>
      </w:r>
    </w:p>
    <w:p w14:paraId="399FAE7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o</w:t>
      </w:r>
      <w:proofErr w:type="gramEnd"/>
      <w:r w:rsidRPr="0097459F">
        <w:rPr>
          <w:rFonts w:ascii="Calibri" w:hAnsi="Calibri" w:cs="Calibri"/>
        </w:rPr>
        <w:t xml:space="preserve"> valor da cota seja superior ao valor da cota base; </w:t>
      </w:r>
    </w:p>
    <w:p w14:paraId="3DF5D2F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tal</w:t>
      </w:r>
      <w:proofErr w:type="gramEnd"/>
      <w:r w:rsidRPr="0097459F">
        <w:rPr>
          <w:rFonts w:ascii="Calibri" w:hAnsi="Calibri" w:cs="Calibri"/>
        </w:rPr>
        <w:t xml:space="preserve"> possibilidade esteja expressamente prevista em regulamento, inclusive com relação à possibilidade, se for o caso, de a prorrogação da cobrança da taxa de performance se estender por mais de um período de apuração; e</w:t>
      </w:r>
    </w:p>
    <w:p w14:paraId="1AAB3A9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III – a próxima cobrança da taxa de performance só ocorra quando o valor da cota superar o seu valor por ocasião da última cobrança efetuada. </w:t>
      </w:r>
    </w:p>
    <w:p w14:paraId="35F3FCDD" w14:textId="77777777" w:rsidR="00C20BBD" w:rsidRPr="0097459F" w:rsidRDefault="00C20BBD" w:rsidP="00C20BBD">
      <w:pPr>
        <w:pStyle w:val="Normalalteradora"/>
        <w:rPr>
          <w:rFonts w:ascii="Calibri" w:hAnsi="Calibri" w:cs="Calibri"/>
        </w:rPr>
      </w:pPr>
      <w:r w:rsidRPr="0097459F">
        <w:rPr>
          <w:rFonts w:ascii="Calibri" w:hAnsi="Calibri" w:cs="Calibri"/>
        </w:rPr>
        <w:t>§ 7</w:t>
      </w:r>
      <w:proofErr w:type="gramStart"/>
      <w:r w:rsidRPr="0097459F">
        <w:rPr>
          <w:rFonts w:ascii="Calibri" w:hAnsi="Calibri" w:cs="Calibri"/>
        </w:rPr>
        <w:t>º  A</w:t>
      </w:r>
      <w:proofErr w:type="gramEnd"/>
      <w:r w:rsidRPr="0097459F">
        <w:rPr>
          <w:rFonts w:ascii="Calibri" w:hAnsi="Calibri" w:cs="Calibri"/>
        </w:rPr>
        <w:t xml:space="preserve"> classe de cotas fechada tipificada como “Ações – Mercado de Acesso” pode utilizar índices atrelados a juros ou à inflação como parâmetro de referência para o cálculo da taxa de performance. </w:t>
      </w:r>
    </w:p>
    <w:p w14:paraId="6C3878BC" w14:textId="24254ADC" w:rsidR="00C20BBD" w:rsidRPr="0097459F" w:rsidRDefault="00C20BBD" w:rsidP="00C20BBD">
      <w:pPr>
        <w:pStyle w:val="Normalalteradora"/>
        <w:rPr>
          <w:rFonts w:ascii="Calibri" w:hAnsi="Calibri" w:cs="Calibri"/>
        </w:rPr>
      </w:pPr>
      <w:r w:rsidRPr="0097459F">
        <w:rPr>
          <w:rFonts w:ascii="Calibri" w:hAnsi="Calibri" w:cs="Calibri"/>
        </w:rPr>
        <w:t>§ 8</w:t>
      </w:r>
      <w:proofErr w:type="gramStart"/>
      <w:r w:rsidRPr="0097459F">
        <w:rPr>
          <w:rFonts w:ascii="Calibri" w:hAnsi="Calibri" w:cs="Calibri"/>
        </w:rPr>
        <w:t>º  A</w:t>
      </w:r>
      <w:proofErr w:type="gramEnd"/>
      <w:r w:rsidRPr="0097459F">
        <w:rPr>
          <w:rFonts w:ascii="Calibri" w:hAnsi="Calibri" w:cs="Calibri"/>
        </w:rPr>
        <w:t xml:space="preserve"> classe que utilizar a prerrogativa prevista no § 7º deve observar, além dos critérios de que trata o § 1º, incisos II a IV, ao menos um dos seguintes mecanismos:</w:t>
      </w:r>
    </w:p>
    <w:p w14:paraId="4D7CA4F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taxa de performance deve ser calculada sobre os valores efetivamente recebidos pelos cotistas, seja a título de amortização ou de rendimentos, nos termos do art. 36 deste Anexo Normativo I, e que superem o valor do capital total investido ajustado de acordo com o parâmetro de referência mencionado no § 7º, desde a data da primeira integralização; ou</w:t>
      </w:r>
    </w:p>
    <w:p w14:paraId="41D10AC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caso</w:t>
      </w:r>
      <w:proofErr w:type="gramEnd"/>
      <w:r w:rsidRPr="0097459F">
        <w:rPr>
          <w:rFonts w:ascii="Calibri" w:hAnsi="Calibri" w:cs="Calibri"/>
        </w:rPr>
        <w:t xml:space="preserve"> se verifique, ao final do período de apuração da taxa de performance, que o valor da cota está abaixo do valor da cota por ocasião da última cobrança da taxa de performance, o gestor deve restituir a diferença entre o valor de taxa de performance pago e aquele que seria devido de acordo com o valor atual da cota nos mesmos prazos e condições estabelecidos para o pagamento da taxa de performance.</w:t>
      </w:r>
    </w:p>
    <w:p w14:paraId="0B96F126" w14:textId="77777777" w:rsidR="00C20BBD" w:rsidRPr="0097459F" w:rsidRDefault="00C20BBD" w:rsidP="00C20BBD">
      <w:pPr>
        <w:pStyle w:val="Normalalteradora"/>
        <w:rPr>
          <w:rFonts w:ascii="Calibri" w:hAnsi="Calibri" w:cs="Calibri"/>
        </w:rPr>
      </w:pPr>
      <w:r w:rsidRPr="0097459F">
        <w:rPr>
          <w:rFonts w:ascii="Calibri" w:hAnsi="Calibri" w:cs="Calibri"/>
        </w:rPr>
        <w:t>§ 9</w:t>
      </w:r>
      <w:proofErr w:type="gramStart"/>
      <w:r w:rsidRPr="0097459F">
        <w:rPr>
          <w:rFonts w:ascii="Calibri" w:hAnsi="Calibri" w:cs="Calibri"/>
        </w:rPr>
        <w:t>º  Para</w:t>
      </w:r>
      <w:proofErr w:type="gramEnd"/>
      <w:r w:rsidRPr="0097459F">
        <w:rPr>
          <w:rFonts w:ascii="Calibri" w:hAnsi="Calibri" w:cs="Calibri"/>
        </w:rPr>
        <w:t xml:space="preserve"> efeito do cálculo da taxa de performance, o regulamento da classe fechada tipificada como “Ações – Mercado de Acesso” que se valer da prerrogativa prevista no § 8º, inciso I, pode prever que os valores recebidos pelos cotistas a título de amortização ou de rendimentos, nos termos do art. 36 deste Anexo Normativo I, sejam corrigidos da data do seu recebimento à data de cobrança da taxa, no máximo, pelo parâmetro de referência.</w:t>
      </w:r>
    </w:p>
    <w:p w14:paraId="38AE0084"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29.  O regulamento deve especificar se a taxa de performance é cobrada:</w:t>
      </w:r>
    </w:p>
    <w:p w14:paraId="0656AD4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com</w:t>
      </w:r>
      <w:proofErr w:type="gramEnd"/>
      <w:r w:rsidRPr="0097459F">
        <w:rPr>
          <w:rFonts w:ascii="Calibri" w:hAnsi="Calibri" w:cs="Calibri"/>
        </w:rPr>
        <w:t xml:space="preserve"> base no resultado da classe ou subclasse de cotas (método do ativo);</w:t>
      </w:r>
    </w:p>
    <w:p w14:paraId="464186A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com</w:t>
      </w:r>
      <w:proofErr w:type="gramEnd"/>
      <w:r w:rsidRPr="0097459F">
        <w:rPr>
          <w:rFonts w:ascii="Calibri" w:hAnsi="Calibri" w:cs="Calibri"/>
        </w:rPr>
        <w:t xml:space="preserve"> base no resultado de cada aplicação efetuada por cada cotista (método do passivo); ou</w:t>
      </w:r>
    </w:p>
    <w:p w14:paraId="5AD6BD88" w14:textId="77777777" w:rsidR="00C20BBD" w:rsidRPr="0097459F" w:rsidRDefault="00C20BBD" w:rsidP="00C20BBD">
      <w:pPr>
        <w:pStyle w:val="Normalalteradora"/>
        <w:rPr>
          <w:rFonts w:ascii="Calibri" w:hAnsi="Calibri" w:cs="Calibri"/>
        </w:rPr>
      </w:pPr>
      <w:r w:rsidRPr="0097459F">
        <w:rPr>
          <w:rFonts w:ascii="Calibri" w:hAnsi="Calibri" w:cs="Calibri"/>
        </w:rPr>
        <w:t>III – com base no resultado da classe ou subclasse de cotas, acrescida de ajustes individuais (método do ajuste), exclusivamente nas aplicações efetuadas posteriormente à data da última cobrança de taxa de performance, até o primeiro pagamento de taxa de performance, promovendo a correta individualização dessa despesa entre os cotistas.</w:t>
      </w:r>
    </w:p>
    <w:p w14:paraId="7B31EB96"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Para</w:t>
      </w:r>
      <w:proofErr w:type="gramEnd"/>
      <w:r w:rsidRPr="0097459F">
        <w:rPr>
          <w:rFonts w:ascii="Calibri" w:hAnsi="Calibri" w:cs="Calibri"/>
        </w:rPr>
        <w:t xml:space="preserve"> a classe ou subclasse cuja taxa de performance seja calculada pelo método do ajuste:</w:t>
      </w:r>
    </w:p>
    <w:p w14:paraId="4527C9E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na</w:t>
      </w:r>
      <w:proofErr w:type="gramEnd"/>
      <w:r w:rsidRPr="0097459F">
        <w:rPr>
          <w:rFonts w:ascii="Calibri" w:hAnsi="Calibri" w:cs="Calibri"/>
        </w:rPr>
        <w:t xml:space="preserve"> emissão de cotas, deve ser utilizado o valor da cota do dia ou do dia seguinte ao da efetiva disponibilidade, sempre antes de descontada a provisão para o pagamento da taxa de performance, cabendo ao ajuste individual corrigir qualquer benefício ou prejuízo que possa surgir em relação às demais cotas;</w:t>
      </w:r>
    </w:p>
    <w:p w14:paraId="2278CEA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ajuste individual é calculado de acordo com a situação particular de cada aplicação do cotista e não é despesa do fundo; e</w:t>
      </w:r>
    </w:p>
    <w:p w14:paraId="0F9B9CB4" w14:textId="77777777" w:rsidR="00C20BBD" w:rsidRPr="0097459F" w:rsidRDefault="00C20BBD" w:rsidP="00C20BBD">
      <w:pPr>
        <w:pStyle w:val="Normalalteradora"/>
        <w:rPr>
          <w:rFonts w:ascii="Calibri" w:hAnsi="Calibri" w:cs="Calibri"/>
        </w:rPr>
      </w:pPr>
      <w:r w:rsidRPr="0097459F">
        <w:rPr>
          <w:rFonts w:ascii="Calibri" w:hAnsi="Calibri" w:cs="Calibri"/>
        </w:rPr>
        <w:t>III – a implementação do ajuste individual pode resultar, conforme o caso, no cancelamento ou emissão de cotas para o respectivo cotista no momento do pagamento da taxa de performance, ou no resgate, o que ocorrer primeiro, devendo tal valor ser indicado nos correspondentes extratos de conta.</w:t>
      </w:r>
    </w:p>
    <w:p w14:paraId="5FD7714B"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É</w:t>
      </w:r>
      <w:proofErr w:type="gramEnd"/>
      <w:r w:rsidRPr="0097459F">
        <w:rPr>
          <w:rFonts w:ascii="Calibri" w:hAnsi="Calibri" w:cs="Calibri"/>
        </w:rPr>
        <w:t xml:space="preserve"> permitida a cobrança de ajuste sobre a performance individual do cotista que aplicar recursos na classe ou subclasse posteriormente à data da última cobrança por método distinto daquele descrito no inciso III do </w:t>
      </w:r>
      <w:r w:rsidRPr="0097459F">
        <w:rPr>
          <w:rFonts w:ascii="Calibri" w:hAnsi="Calibri" w:cs="Calibri"/>
          <w:b/>
        </w:rPr>
        <w:t>caput</w:t>
      </w:r>
      <w:r w:rsidRPr="0097459F">
        <w:rPr>
          <w:rFonts w:ascii="Calibri" w:hAnsi="Calibri" w:cs="Calibri"/>
        </w:rPr>
        <w:t>, desde que causando os mesmos efeitos.</w:t>
      </w:r>
    </w:p>
    <w:p w14:paraId="67222428" w14:textId="77777777" w:rsidR="00C20BBD" w:rsidRPr="0097459F" w:rsidRDefault="00C20BBD" w:rsidP="00C20BBD">
      <w:pPr>
        <w:pStyle w:val="Normalalteradora"/>
        <w:rPr>
          <w:rFonts w:ascii="Calibri" w:hAnsi="Calibri" w:cs="Calibri"/>
        </w:rPr>
      </w:pPr>
      <w:r w:rsidRPr="0097459F">
        <w:rPr>
          <w:rFonts w:ascii="Calibri" w:hAnsi="Calibri" w:cs="Calibri"/>
        </w:rPr>
        <w:t>Art. 30.  Desde que expressamente previsto em seus regulamentos, as classes e subclasses de cotas destinadas exclusivamente a:</w:t>
      </w:r>
    </w:p>
    <w:p w14:paraId="23D21189"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investidores</w:t>
      </w:r>
      <w:proofErr w:type="gramEnd"/>
      <w:r w:rsidRPr="0097459F">
        <w:rPr>
          <w:rFonts w:ascii="Calibri" w:hAnsi="Calibri" w:cs="Calibri"/>
        </w:rPr>
        <w:t xml:space="preserve"> qualificados ficam dispensadas de observar o disposto no art. 28, §§ 1º, 2º e 5º deste Anexo Normativo I; e</w:t>
      </w:r>
    </w:p>
    <w:p w14:paraId="4CF78A0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investidores</w:t>
      </w:r>
      <w:proofErr w:type="gramEnd"/>
      <w:r w:rsidRPr="0097459F">
        <w:rPr>
          <w:rFonts w:ascii="Calibri" w:hAnsi="Calibri" w:cs="Calibri"/>
        </w:rPr>
        <w:t xml:space="preserve"> profissionais ficam dispensadas de observar o disposto nos </w:t>
      </w:r>
      <w:proofErr w:type="spellStart"/>
      <w:r w:rsidRPr="0097459F">
        <w:rPr>
          <w:rFonts w:ascii="Calibri" w:hAnsi="Calibri" w:cs="Calibri"/>
        </w:rPr>
        <w:t>arts</w:t>
      </w:r>
      <w:proofErr w:type="spellEnd"/>
      <w:r w:rsidRPr="0097459F">
        <w:rPr>
          <w:rFonts w:ascii="Calibri" w:hAnsi="Calibri" w:cs="Calibri"/>
        </w:rPr>
        <w:t>. 28 e 29 deste Anexo Normativo I.</w:t>
      </w:r>
    </w:p>
    <w:p w14:paraId="4F77703B"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31.  Ao adquirir cotas de classes que cobrem taxa de performance, a classe deve atender às condições estipuladas no art. 28, sem prejuízo das dispensas previstas no art. 30, ambos deste Anexo Normativo I.</w:t>
      </w:r>
    </w:p>
    <w:p w14:paraId="3419760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32.  Caso exista acordo de remuneração com base na taxa de performance, </w:t>
      </w:r>
      <w:r w:rsidRPr="0097459F">
        <w:rPr>
          <w:rStyle w:val="normaltextrun"/>
          <w:rFonts w:ascii="Calibri" w:hAnsi="Calibri" w:cs="Calibri"/>
          <w:color w:val="000000"/>
          <w:bdr w:val="none" w:sz="0" w:space="0" w:color="auto" w:frame="1"/>
        </w:rPr>
        <w:t>nos termos do inciso XVII do art. 117 da parte geral da Resolução, o material de divulgação deve informar as principais características do acordo, suficientes para que se compreenda em que termos e condições se dará a distribuição dos recursos entre as partes envolvidas.</w:t>
      </w:r>
    </w:p>
    <w:p w14:paraId="4FD1C847" w14:textId="77777777" w:rsidR="00C20BBD" w:rsidRPr="0097459F" w:rsidRDefault="00C20BBD" w:rsidP="00C20BBD">
      <w:pPr>
        <w:pStyle w:val="Seo"/>
      </w:pPr>
      <w:bookmarkStart w:id="448" w:name="_Toc53594243"/>
      <w:bookmarkStart w:id="449" w:name="_Toc53594491"/>
      <w:bookmarkStart w:id="450" w:name="_Toc53595516"/>
      <w:bookmarkStart w:id="451" w:name="_Toc57836252"/>
      <w:bookmarkStart w:id="452" w:name="_Toc161141265"/>
      <w:r w:rsidRPr="0097459F">
        <w:t>Seção III – Vedações</w:t>
      </w:r>
      <w:bookmarkEnd w:id="448"/>
      <w:bookmarkEnd w:id="449"/>
      <w:bookmarkEnd w:id="450"/>
      <w:bookmarkEnd w:id="451"/>
      <w:bookmarkEnd w:id="452"/>
    </w:p>
    <w:p w14:paraId="3DFD2E8D" w14:textId="77777777" w:rsidR="00C20BBD" w:rsidRPr="0097459F" w:rsidRDefault="00C20BBD" w:rsidP="00C20BBD">
      <w:pPr>
        <w:pStyle w:val="Normalalteradora"/>
        <w:rPr>
          <w:rFonts w:ascii="Calibri" w:hAnsi="Calibri" w:cs="Calibri"/>
        </w:rPr>
      </w:pPr>
      <w:r w:rsidRPr="0097459F">
        <w:rPr>
          <w:rFonts w:ascii="Calibri" w:hAnsi="Calibri" w:cs="Calibri"/>
        </w:rPr>
        <w:t>Art. 33.  É vedado ao gestor realizar operações com ações fora de mercado organizado, ressalvadas as hipóteses de distribuições públicas, exercício de direito de preferência, conversão de debêntures em ações, exercício de bônus de subscrição, integralizações e resgates em ativos e negociação de ações vinculadas a acordo de acionistas.</w:t>
      </w:r>
    </w:p>
    <w:p w14:paraId="34EF9A22"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Parágrafo único.  A SIN deve autorizar transferência de ativos de forma privada, em exceção ao disposto no </w:t>
      </w:r>
      <w:r w:rsidRPr="0097459F">
        <w:rPr>
          <w:rFonts w:ascii="Calibri" w:hAnsi="Calibri" w:cs="Calibri"/>
          <w:b/>
          <w:sz w:val="24"/>
          <w:szCs w:val="24"/>
        </w:rPr>
        <w:t>caput</w:t>
      </w:r>
      <w:r w:rsidRPr="0097459F">
        <w:rPr>
          <w:rFonts w:ascii="Calibri" w:hAnsi="Calibri" w:cs="Calibri"/>
          <w:sz w:val="24"/>
          <w:szCs w:val="24"/>
        </w:rPr>
        <w:t>, desde que, cumulativamente, os seguintes requisitos sejam atendidos:</w:t>
      </w:r>
    </w:p>
    <w:p w14:paraId="66F8EC0E"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I – </w:t>
      </w:r>
      <w:proofErr w:type="gramStart"/>
      <w:r w:rsidRPr="0097459F">
        <w:rPr>
          <w:rFonts w:ascii="Calibri" w:hAnsi="Calibri" w:cs="Calibri"/>
          <w:sz w:val="24"/>
          <w:szCs w:val="24"/>
        </w:rPr>
        <w:t>carteiras</w:t>
      </w:r>
      <w:proofErr w:type="gramEnd"/>
      <w:r w:rsidRPr="0097459F">
        <w:rPr>
          <w:rFonts w:ascii="Calibri" w:hAnsi="Calibri" w:cs="Calibri"/>
          <w:sz w:val="24"/>
          <w:szCs w:val="24"/>
        </w:rPr>
        <w:t xml:space="preserve"> de ativos com liquidez que garanta uma adequada marcação a mercado, e um consequente tratamento isonômico aos investidores envolvidos;</w:t>
      </w:r>
    </w:p>
    <w:p w14:paraId="7684CFE4"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II – </w:t>
      </w:r>
      <w:proofErr w:type="gramStart"/>
      <w:r w:rsidRPr="0097459F">
        <w:rPr>
          <w:rFonts w:ascii="Calibri" w:hAnsi="Calibri" w:cs="Calibri"/>
          <w:sz w:val="24"/>
          <w:szCs w:val="24"/>
        </w:rPr>
        <w:t>manutenção</w:t>
      </w:r>
      <w:proofErr w:type="gramEnd"/>
      <w:r w:rsidRPr="0097459F">
        <w:rPr>
          <w:rFonts w:ascii="Calibri" w:hAnsi="Calibri" w:cs="Calibri"/>
          <w:sz w:val="24"/>
          <w:szCs w:val="24"/>
        </w:rPr>
        <w:t xml:space="preserve"> das características mais relevantes das classes envolvidas, tais como condições de resgate, política de investimento a que as classes se sujeitam na prática, política de divulgação ou taxas totais cobradas das classes;</w:t>
      </w:r>
    </w:p>
    <w:p w14:paraId="602852DD"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III – convocação de assembleias para apreciação da proposta pelos cotistas, nas quais seja garantido um suficiente detalhamento das vantagens e riscos da operação aos cotistas afetados;</w:t>
      </w:r>
    </w:p>
    <w:p w14:paraId="05FFDE00"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IV – </w:t>
      </w:r>
      <w:proofErr w:type="gramStart"/>
      <w:r w:rsidRPr="0097459F">
        <w:rPr>
          <w:rFonts w:ascii="Calibri" w:hAnsi="Calibri" w:cs="Calibri"/>
          <w:sz w:val="24"/>
          <w:szCs w:val="24"/>
        </w:rPr>
        <w:t>manutenção</w:t>
      </w:r>
      <w:proofErr w:type="gramEnd"/>
      <w:r w:rsidRPr="0097459F">
        <w:rPr>
          <w:rFonts w:ascii="Calibri" w:hAnsi="Calibri" w:cs="Calibri"/>
          <w:sz w:val="24"/>
          <w:szCs w:val="24"/>
        </w:rPr>
        <w:t xml:space="preserve"> das regras de tributação aplicáveis às classes envolvidas;</w:t>
      </w:r>
    </w:p>
    <w:p w14:paraId="43F46730"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V – </w:t>
      </w:r>
      <w:proofErr w:type="gramStart"/>
      <w:r w:rsidRPr="0097459F">
        <w:rPr>
          <w:rFonts w:ascii="Calibri" w:hAnsi="Calibri" w:cs="Calibri"/>
          <w:sz w:val="24"/>
          <w:szCs w:val="24"/>
        </w:rPr>
        <w:t>volume</w:t>
      </w:r>
      <w:proofErr w:type="gramEnd"/>
      <w:r w:rsidRPr="0097459F">
        <w:rPr>
          <w:rFonts w:ascii="Calibri" w:hAnsi="Calibri" w:cs="Calibri"/>
          <w:sz w:val="24"/>
          <w:szCs w:val="24"/>
        </w:rPr>
        <w:t xml:space="preserve"> de recursos que justifique a adoção de operação de conferência de ativos; e</w:t>
      </w:r>
    </w:p>
    <w:p w14:paraId="12277754" w14:textId="77777777" w:rsidR="00C20BBD" w:rsidRPr="0097459F" w:rsidRDefault="00C20BBD" w:rsidP="00C20BBD">
      <w:pPr>
        <w:spacing w:before="120" w:after="120" w:line="312" w:lineRule="auto"/>
        <w:ind w:firstLine="567"/>
        <w:jc w:val="both"/>
        <w:rPr>
          <w:rFonts w:ascii="Calibri" w:hAnsi="Calibri" w:cs="Calibri"/>
          <w:sz w:val="24"/>
          <w:szCs w:val="24"/>
        </w:rPr>
      </w:pPr>
      <w:r w:rsidRPr="0097459F">
        <w:rPr>
          <w:rFonts w:ascii="Calibri" w:hAnsi="Calibri" w:cs="Calibri"/>
          <w:sz w:val="24"/>
          <w:szCs w:val="24"/>
        </w:rPr>
        <w:t xml:space="preserve">VI – </w:t>
      </w:r>
      <w:proofErr w:type="gramStart"/>
      <w:r w:rsidRPr="0097459F">
        <w:rPr>
          <w:rFonts w:ascii="Calibri" w:hAnsi="Calibri" w:cs="Calibri"/>
          <w:sz w:val="24"/>
          <w:szCs w:val="24"/>
        </w:rPr>
        <w:t>compatibilidade</w:t>
      </w:r>
      <w:proofErr w:type="gramEnd"/>
      <w:r w:rsidRPr="0097459F">
        <w:rPr>
          <w:rFonts w:ascii="Calibri" w:hAnsi="Calibri" w:cs="Calibri"/>
          <w:sz w:val="24"/>
          <w:szCs w:val="24"/>
        </w:rPr>
        <w:t xml:space="preserve"> entre as carteiras de ativos, de modo a afastar a possibilidade de coexistência de investidores com perfis de risco distintos.</w:t>
      </w:r>
    </w:p>
    <w:p w14:paraId="0F1991A8" w14:textId="77777777" w:rsidR="00C20BBD" w:rsidRPr="0097459F" w:rsidRDefault="00C20BBD" w:rsidP="00C20BBD">
      <w:pPr>
        <w:pStyle w:val="Normalalteradora"/>
        <w:rPr>
          <w:rFonts w:ascii="Calibri" w:hAnsi="Calibri" w:cs="Calibri"/>
        </w:rPr>
      </w:pPr>
      <w:r w:rsidRPr="0097459F">
        <w:rPr>
          <w:rFonts w:ascii="Calibri" w:hAnsi="Calibri" w:cs="Calibri"/>
        </w:rPr>
        <w:t>Art. 34.  É vedado ao gestor emprestar e tomar ativos financeiros em empréstimo em operações cursadas por meio de serviço que não seja autorizado pelo Banco Central do Brasil ou pela CVM.</w:t>
      </w:r>
    </w:p>
    <w:p w14:paraId="62F5A016" w14:textId="77777777" w:rsidR="00C20BBD" w:rsidRPr="0097459F" w:rsidRDefault="00C20BBD" w:rsidP="00C20BBD">
      <w:pPr>
        <w:pStyle w:val="Captulo"/>
      </w:pPr>
      <w:bookmarkStart w:id="453" w:name="_Toc53594244"/>
      <w:bookmarkStart w:id="454" w:name="_Toc53594492"/>
      <w:bookmarkStart w:id="455" w:name="_Toc53595517"/>
      <w:bookmarkStart w:id="456" w:name="_Toc57836253"/>
      <w:bookmarkStart w:id="457" w:name="_Toc161141266"/>
      <w:r w:rsidRPr="0097459F">
        <w:lastRenderedPageBreak/>
        <w:t>CAPÍTULO VIII – CARTEIRA</w:t>
      </w:r>
      <w:bookmarkEnd w:id="453"/>
      <w:bookmarkEnd w:id="454"/>
      <w:bookmarkEnd w:id="455"/>
      <w:bookmarkEnd w:id="456"/>
      <w:bookmarkEnd w:id="457"/>
    </w:p>
    <w:p w14:paraId="040B65D4" w14:textId="77777777" w:rsidR="00C20BBD" w:rsidRPr="0097459F" w:rsidRDefault="00C20BBD" w:rsidP="00C20BBD">
      <w:pPr>
        <w:pStyle w:val="Seo"/>
      </w:pPr>
      <w:bookmarkStart w:id="458" w:name="_Toc53594245"/>
      <w:bookmarkStart w:id="459" w:name="_Toc53594493"/>
      <w:bookmarkStart w:id="460" w:name="_Toc53595518"/>
      <w:bookmarkStart w:id="461" w:name="_Toc57836254"/>
      <w:bookmarkStart w:id="462" w:name="_Toc161141267"/>
      <w:r w:rsidRPr="0097459F">
        <w:t>Seção I – Disposições Gerais</w:t>
      </w:r>
      <w:bookmarkEnd w:id="458"/>
      <w:bookmarkEnd w:id="459"/>
      <w:bookmarkEnd w:id="460"/>
      <w:bookmarkEnd w:id="461"/>
      <w:bookmarkEnd w:id="462"/>
    </w:p>
    <w:p w14:paraId="444E36D4" w14:textId="77777777" w:rsidR="00C20BBD" w:rsidRPr="0097459F" w:rsidRDefault="00C20BBD" w:rsidP="00C20BBD">
      <w:pPr>
        <w:pStyle w:val="Normalalteradora"/>
        <w:rPr>
          <w:rFonts w:ascii="Calibri" w:hAnsi="Calibri" w:cs="Calibri"/>
        </w:rPr>
      </w:pPr>
      <w:r w:rsidRPr="0097459F">
        <w:rPr>
          <w:rFonts w:ascii="Calibri" w:hAnsi="Calibri" w:cs="Calibri"/>
        </w:rPr>
        <w:t>Art. 35.  A classe de cotas deve manter o patrimônio aplicado em ativos financeiros, nos termos estabelecidos no regulamento, observados os limites de concentração de que trata este Anexo Normativo I.</w:t>
      </w:r>
    </w:p>
    <w:p w14:paraId="079A416E" w14:textId="77777777" w:rsidR="00C20BBD" w:rsidRPr="0097459F" w:rsidRDefault="00C20BBD" w:rsidP="00C20BBD">
      <w:pPr>
        <w:pStyle w:val="Normalalteradora"/>
        <w:rPr>
          <w:rFonts w:ascii="Calibri" w:hAnsi="Calibri" w:cs="Calibri"/>
        </w:rPr>
      </w:pPr>
      <w:r w:rsidRPr="0097459F">
        <w:rPr>
          <w:rFonts w:ascii="Calibri" w:hAnsi="Calibri" w:cs="Calibri"/>
        </w:rPr>
        <w:t>Art. 36.  Desde que expressamente autorizado pelo regulamento ou pela assembleia de cotistas, a classe de cotas pode destinar diretamente aos cotistas as quantias que lhe forem atribuídas a título de dividendos, juros sobre capital próprio, reembolso de proventos decorrentes do empréstimo de valores mobiliários, ou outros rendimentos advindos de ativos financeiros que integrem a carteira.</w:t>
      </w:r>
    </w:p>
    <w:p w14:paraId="43CCC75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37.  Todo ativo financeiro integrante da carteira deve ser identificado por um código ISIN - </w:t>
      </w:r>
      <w:r w:rsidRPr="0097459F">
        <w:rPr>
          <w:rFonts w:ascii="Calibri" w:hAnsi="Calibri" w:cs="Calibri"/>
          <w:b/>
        </w:rPr>
        <w:t xml:space="preserve">Internacional </w:t>
      </w:r>
      <w:proofErr w:type="spellStart"/>
      <w:r w:rsidRPr="0097459F">
        <w:rPr>
          <w:rFonts w:ascii="Calibri" w:hAnsi="Calibri" w:cs="Calibri"/>
          <w:b/>
        </w:rPr>
        <w:t>Securities</w:t>
      </w:r>
      <w:proofErr w:type="spellEnd"/>
      <w:r w:rsidRPr="0097459F">
        <w:rPr>
          <w:rFonts w:ascii="Calibri" w:hAnsi="Calibri" w:cs="Calibri"/>
          <w:b/>
        </w:rPr>
        <w:t xml:space="preserve"> </w:t>
      </w:r>
      <w:proofErr w:type="spellStart"/>
      <w:r w:rsidRPr="0097459F">
        <w:rPr>
          <w:rFonts w:ascii="Calibri" w:hAnsi="Calibri" w:cs="Calibri"/>
          <w:b/>
        </w:rPr>
        <w:t>Identification</w:t>
      </w:r>
      <w:proofErr w:type="spellEnd"/>
      <w:r w:rsidRPr="0097459F">
        <w:rPr>
          <w:rFonts w:ascii="Calibri" w:hAnsi="Calibri" w:cs="Calibri"/>
          <w:b/>
        </w:rPr>
        <w:t xml:space="preserve"> </w:t>
      </w:r>
      <w:proofErr w:type="spellStart"/>
      <w:r w:rsidRPr="0097459F">
        <w:rPr>
          <w:rFonts w:ascii="Calibri" w:hAnsi="Calibri" w:cs="Calibri"/>
          <w:b/>
        </w:rPr>
        <w:t>Number</w:t>
      </w:r>
      <w:proofErr w:type="spellEnd"/>
      <w:r w:rsidRPr="0097459F">
        <w:rPr>
          <w:rFonts w:ascii="Calibri" w:hAnsi="Calibri" w:cs="Calibri"/>
        </w:rPr>
        <w:t>.</w:t>
      </w:r>
    </w:p>
    <w:p w14:paraId="22083F28"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Alternativamente ao código ISIN, a critério da SIN, pode ser aceito qualquer outro código que seja capaz de identificar os ativos financeiros, de maneira individualizada.</w:t>
      </w:r>
    </w:p>
    <w:p w14:paraId="316BA03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38.  O regulamento pode reduzir, mas não pode aumentar, os limites máximos estabelecidos nos </w:t>
      </w:r>
      <w:proofErr w:type="spellStart"/>
      <w:r w:rsidRPr="0097459F">
        <w:rPr>
          <w:rFonts w:ascii="Calibri" w:hAnsi="Calibri" w:cs="Calibri"/>
        </w:rPr>
        <w:t>arts</w:t>
      </w:r>
      <w:proofErr w:type="spellEnd"/>
      <w:r w:rsidRPr="0097459F">
        <w:rPr>
          <w:rFonts w:ascii="Calibri" w:hAnsi="Calibri" w:cs="Calibri"/>
        </w:rPr>
        <w:t>. 44, 45, 60 e 73 deste Anexo Normativo I.</w:t>
      </w:r>
    </w:p>
    <w:p w14:paraId="08EF6C01" w14:textId="77777777" w:rsidR="00C20BBD" w:rsidRPr="0097459F" w:rsidRDefault="00C20BBD" w:rsidP="00C20BBD">
      <w:pPr>
        <w:pStyle w:val="Seo"/>
      </w:pPr>
      <w:bookmarkStart w:id="463" w:name="_Toc161141268"/>
      <w:r w:rsidRPr="0097459F">
        <w:t>Seção II – Ativos Financeiros no Brasil</w:t>
      </w:r>
      <w:bookmarkEnd w:id="463"/>
    </w:p>
    <w:p w14:paraId="640F110B" w14:textId="77777777" w:rsidR="00C20BBD" w:rsidRPr="0097459F" w:rsidRDefault="00C20BBD" w:rsidP="00C20BBD">
      <w:pPr>
        <w:pStyle w:val="Normalalteradora"/>
        <w:rPr>
          <w:rFonts w:ascii="Calibri" w:hAnsi="Calibri" w:cs="Calibri"/>
        </w:rPr>
      </w:pPr>
      <w:r w:rsidRPr="0097459F">
        <w:rPr>
          <w:rFonts w:ascii="Calibri" w:hAnsi="Calibri" w:cs="Calibri"/>
        </w:rPr>
        <w:t>Art. 39.  Os ativos financeiros negociados no mercado brasileiro devem ser registrados em sistema de registro ou objeto de depósito central, em ambos os casos junto a instituições devidamente autorizadas pelo Banco Central do Brasil ou pela CVM para desempenhar as referidas atividades, nas suas respectivas áreas de competência, ou, ainda, nos casos expressamente aprovados pela CVM.</w:t>
      </w:r>
    </w:p>
    <w:p w14:paraId="310DB30E"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Ativos</w:t>
      </w:r>
      <w:proofErr w:type="gramEnd"/>
      <w:r w:rsidRPr="0097459F">
        <w:rPr>
          <w:rFonts w:ascii="Calibri" w:hAnsi="Calibri" w:cs="Calibri"/>
        </w:rPr>
        <w:t xml:space="preserve"> financeiros cujo emissor seja pessoa referida nos incisos II a IV do art. 44 deste Anexo Normativo I devem obrigatoriamente ser objeto de depósito central, ressalvadas as posições em derivativos cujos ativos subjacentes sejam de emissão de tais pessoas e operações com derivativo em que elas atuem como contraparte da classe.</w:t>
      </w:r>
    </w:p>
    <w:p w14:paraId="759AF4AD"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Sem</w:t>
      </w:r>
      <w:proofErr w:type="gramEnd"/>
      <w:r w:rsidRPr="0097459F">
        <w:rPr>
          <w:rFonts w:ascii="Calibri" w:hAnsi="Calibri" w:cs="Calibri"/>
        </w:rPr>
        <w:t xml:space="preserve"> prejuízo do disposto no § 1º, as cotas de classes abertas não estão sujeitas aos requisitos de que trata o </w:t>
      </w:r>
      <w:r w:rsidRPr="0097459F">
        <w:rPr>
          <w:rFonts w:ascii="Calibri" w:hAnsi="Calibri" w:cs="Calibri"/>
          <w:b/>
        </w:rPr>
        <w:t>caput</w:t>
      </w:r>
      <w:r w:rsidRPr="0097459F">
        <w:rPr>
          <w:rFonts w:ascii="Calibri" w:hAnsi="Calibri" w:cs="Calibri"/>
        </w:rPr>
        <w:t>, bem como as classes fechadas cujas cotas não estejam admitidas à negociação em mercado organizado.</w:t>
      </w:r>
    </w:p>
    <w:p w14:paraId="54A993D2"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3</w:t>
      </w:r>
      <w:proofErr w:type="gramStart"/>
      <w:r w:rsidRPr="0097459F">
        <w:rPr>
          <w:rFonts w:ascii="Calibri" w:hAnsi="Calibri" w:cs="Calibri"/>
        </w:rPr>
        <w:t>º  O</w:t>
      </w:r>
      <w:proofErr w:type="gramEnd"/>
      <w:r w:rsidRPr="0097459F">
        <w:rPr>
          <w:rFonts w:ascii="Calibri" w:hAnsi="Calibri" w:cs="Calibri"/>
        </w:rPr>
        <w:t xml:space="preserve"> registro e depósito a que se refere o </w:t>
      </w:r>
      <w:r w:rsidRPr="0097459F">
        <w:rPr>
          <w:rFonts w:ascii="Calibri" w:hAnsi="Calibri" w:cs="Calibri"/>
          <w:b/>
        </w:rPr>
        <w:t>caput</w:t>
      </w:r>
      <w:r w:rsidRPr="0097459F">
        <w:rPr>
          <w:rFonts w:ascii="Calibri" w:hAnsi="Calibri" w:cs="Calibri"/>
        </w:rPr>
        <w:t xml:space="preserve"> deste artigo devem ser realizados em contas específicas, abertas diretamente em nome da classe.</w:t>
      </w:r>
    </w:p>
    <w:p w14:paraId="0898CC9D" w14:textId="77777777" w:rsidR="00C20BBD" w:rsidRPr="0097459F" w:rsidRDefault="00C20BBD" w:rsidP="00C20BBD">
      <w:pPr>
        <w:pStyle w:val="Normalalteradora"/>
        <w:rPr>
          <w:rFonts w:ascii="Calibri" w:hAnsi="Calibri" w:cs="Calibri"/>
        </w:rPr>
      </w:pPr>
      <w:r w:rsidRPr="0097459F">
        <w:rPr>
          <w:rFonts w:ascii="Calibri" w:hAnsi="Calibri" w:cs="Calibri"/>
        </w:rPr>
        <w:t>Art. 40.  Os ativos financeiros cuja liquidação possa se dar por meio da entrega de produtos, mercadorias ou serviços devem:</w:t>
      </w:r>
    </w:p>
    <w:p w14:paraId="68EE5709" w14:textId="0B80DDF3"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ser</w:t>
      </w:r>
      <w:proofErr w:type="gramEnd"/>
      <w:r w:rsidRPr="0097459F">
        <w:rPr>
          <w:rFonts w:ascii="Calibri" w:hAnsi="Calibri" w:cs="Calibri"/>
        </w:rPr>
        <w:t xml:space="preserve"> negociados em mercado organizado que garanta sua liquidação, observado, ainda, o disposto no art. 44, § </w:t>
      </w:r>
      <w:r w:rsidR="00CB33B2">
        <w:rPr>
          <w:rFonts w:ascii="Calibri" w:hAnsi="Calibri" w:cs="Calibri"/>
        </w:rPr>
        <w:t>9</w:t>
      </w:r>
      <w:r w:rsidRPr="0097459F">
        <w:rPr>
          <w:rFonts w:ascii="Calibri" w:hAnsi="Calibri" w:cs="Calibri"/>
        </w:rPr>
        <w:t>º, da parte geral da Resolução; ou</w:t>
      </w:r>
    </w:p>
    <w:p w14:paraId="1A8DD05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ser</w:t>
      </w:r>
      <w:proofErr w:type="gramEnd"/>
      <w:r w:rsidRPr="0097459F">
        <w:rPr>
          <w:rFonts w:ascii="Calibri" w:hAnsi="Calibri" w:cs="Calibri"/>
        </w:rPr>
        <w:t xml:space="preserve"> objeto de contrato que assegure à classe o direito de sua alienação antes do vencimento, com garantia de instituição financeira ou de sociedade seguradora, observada, neste último caso, a regulamentação da Superintendência de Seguros Privados – SUSEP.</w:t>
      </w:r>
    </w:p>
    <w:p w14:paraId="4D7F15F7" w14:textId="77777777" w:rsidR="00C20BBD" w:rsidRPr="0097459F" w:rsidRDefault="00C20BBD" w:rsidP="00C20BBD">
      <w:pPr>
        <w:pStyle w:val="Seo"/>
      </w:pPr>
      <w:bookmarkStart w:id="464" w:name="_Toc53594246"/>
      <w:bookmarkStart w:id="465" w:name="_Toc53594494"/>
      <w:bookmarkStart w:id="466" w:name="_Toc53595519"/>
      <w:bookmarkStart w:id="467" w:name="_Toc57836255"/>
      <w:bookmarkStart w:id="468" w:name="_Toc161141269"/>
      <w:r w:rsidRPr="0097459F">
        <w:t>Seção III – Ativos Financeiros no Exterior</w:t>
      </w:r>
      <w:bookmarkEnd w:id="464"/>
      <w:bookmarkEnd w:id="465"/>
      <w:bookmarkEnd w:id="466"/>
      <w:bookmarkEnd w:id="467"/>
      <w:bookmarkEnd w:id="468"/>
    </w:p>
    <w:p w14:paraId="1F7A7595" w14:textId="77777777" w:rsidR="00C20BBD" w:rsidRPr="0097459F" w:rsidRDefault="00C20BBD" w:rsidP="00C20BBD">
      <w:pPr>
        <w:pStyle w:val="Normalalteradora"/>
        <w:rPr>
          <w:rFonts w:ascii="Calibri" w:hAnsi="Calibri" w:cs="Calibri"/>
        </w:rPr>
      </w:pPr>
      <w:r w:rsidRPr="0097459F">
        <w:rPr>
          <w:rFonts w:ascii="Calibri" w:hAnsi="Calibri" w:cs="Calibri"/>
        </w:rPr>
        <w:t>Art. 41.  Os ativos financeiros referidos no art. 39 deste Anexo Normativo I incluem os ativos financeiros no exterior, nos casos e limites admitidos neste Anexo Normativo I.</w:t>
      </w:r>
    </w:p>
    <w:p w14:paraId="37FD883B"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Para</w:t>
      </w:r>
      <w:proofErr w:type="gramEnd"/>
      <w:r w:rsidRPr="0097459F">
        <w:rPr>
          <w:rFonts w:ascii="Calibri" w:hAnsi="Calibri" w:cs="Calibri"/>
        </w:rPr>
        <w:t xml:space="preserve"> efeitos deste Anexo Normativo I, os ativos financeiros negociados em países signatários do Tratado de Assunção equiparam-se aos ativos financeiros negociados no mercado nacional.</w:t>
      </w:r>
    </w:p>
    <w:p w14:paraId="146014A1"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Os</w:t>
      </w:r>
      <w:proofErr w:type="gramEnd"/>
      <w:r w:rsidRPr="0097459F">
        <w:rPr>
          <w:rFonts w:ascii="Calibri" w:hAnsi="Calibri" w:cs="Calibri"/>
        </w:rPr>
        <w:t xml:space="preserve"> ativos financeiros no exterior, incluindo aqueles citados no § 1º deste artigo, devem observar, ao menos, uma das seguintes condições:</w:t>
      </w:r>
    </w:p>
    <w:p w14:paraId="45042C1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serem</w:t>
      </w:r>
      <w:proofErr w:type="gramEnd"/>
      <w:r w:rsidRPr="0097459F">
        <w:rPr>
          <w:rFonts w:ascii="Calibri" w:hAnsi="Calibri" w:cs="Calibri"/>
        </w:rPr>
        <w:t xml:space="preserve"> registrados em sistema de registro, objeto de escrituração de ativos, objeto de custódia ou objeto de depósito central, em todos os casos, por instituições devidamente autorizadas em seus países de origem e supervisionadas por supervisor local; ou</w:t>
      </w:r>
    </w:p>
    <w:p w14:paraId="4C1D6D9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terem</w:t>
      </w:r>
      <w:proofErr w:type="gramEnd"/>
      <w:r w:rsidRPr="0097459F">
        <w:rPr>
          <w:rFonts w:ascii="Calibri" w:hAnsi="Calibri" w:cs="Calibri"/>
        </w:rPr>
        <w:t xml:space="preserve"> sua existência diligentemente verificada pelo custodiante da classe, que deve verificar, ainda, se tais ativos estão escriturados ou custodiados por entidade autorizada para o exercício de tais atividade por autoridade que seja supervisionada por supervisor local.</w:t>
      </w:r>
    </w:p>
    <w:p w14:paraId="2002FD66"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w:t>
      </w:r>
      <w:r w:rsidRPr="0097459F" w:rsidDel="00453330">
        <w:rPr>
          <w:rFonts w:ascii="Calibri" w:hAnsi="Calibri" w:cs="Calibri"/>
        </w:rPr>
        <w:t xml:space="preserve"> </w:t>
      </w:r>
      <w:r w:rsidRPr="0097459F">
        <w:rPr>
          <w:rFonts w:ascii="Calibri" w:hAnsi="Calibri" w:cs="Calibri"/>
        </w:rPr>
        <w:t xml:space="preserve"> As</w:t>
      </w:r>
      <w:proofErr w:type="gramEnd"/>
      <w:r w:rsidRPr="0097459F">
        <w:rPr>
          <w:rFonts w:ascii="Calibri" w:hAnsi="Calibri" w:cs="Calibri"/>
        </w:rPr>
        <w:t xml:space="preserve"> </w:t>
      </w:r>
      <w:r w:rsidRPr="0097459F" w:rsidDel="00453330">
        <w:rPr>
          <w:rFonts w:ascii="Calibri" w:hAnsi="Calibri" w:cs="Calibri"/>
        </w:rPr>
        <w:t xml:space="preserve">operações com derivativos </w:t>
      </w:r>
      <w:r w:rsidRPr="0097459F">
        <w:rPr>
          <w:rFonts w:ascii="Calibri" w:hAnsi="Calibri" w:cs="Calibri"/>
        </w:rPr>
        <w:t>no exterior  devem observar,</w:t>
      </w:r>
      <w:r w:rsidRPr="0097459F" w:rsidDel="00453330">
        <w:rPr>
          <w:rFonts w:ascii="Calibri" w:hAnsi="Calibri" w:cs="Calibri"/>
        </w:rPr>
        <w:t xml:space="preserve"> ao menos</w:t>
      </w:r>
      <w:r w:rsidRPr="0097459F">
        <w:rPr>
          <w:rFonts w:ascii="Calibri" w:hAnsi="Calibri" w:cs="Calibri"/>
        </w:rPr>
        <w:t>,</w:t>
      </w:r>
      <w:r w:rsidRPr="0097459F" w:rsidDel="00453330">
        <w:rPr>
          <w:rFonts w:ascii="Calibri" w:hAnsi="Calibri" w:cs="Calibri"/>
        </w:rPr>
        <w:t xml:space="preserve"> uma das seguintes condições:</w:t>
      </w:r>
    </w:p>
    <w:p w14:paraId="2DBFF1F8"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serem</w:t>
      </w:r>
      <w:proofErr w:type="gramEnd"/>
      <w:r w:rsidRPr="0097459F">
        <w:rPr>
          <w:rFonts w:ascii="Calibri" w:hAnsi="Calibri" w:cs="Calibri"/>
        </w:rPr>
        <w:t xml:space="preserve"> registradas em sistemas de registro, objeto de escrituração, objeto de custódia ou registradas em sistema de liquidação financeira, em todos os casos, por sistemas devidamente autorizados em seus países de origem e supervisionados por supervisor local;</w:t>
      </w:r>
    </w:p>
    <w:p w14:paraId="37B28E9C" w14:textId="77777777" w:rsidR="00C20BBD" w:rsidRPr="0097459F" w:rsidDel="00453330" w:rsidRDefault="00C20BBD" w:rsidP="00C20BBD">
      <w:pPr>
        <w:pStyle w:val="Normalalteradora"/>
        <w:rPr>
          <w:rFonts w:ascii="Calibri" w:hAnsi="Calibri" w:cs="Calibri"/>
        </w:rPr>
      </w:pPr>
      <w:r w:rsidRPr="0097459F">
        <w:rPr>
          <w:rFonts w:ascii="Calibri" w:hAnsi="Calibri" w:cs="Calibri"/>
        </w:rPr>
        <w:lastRenderedPageBreak/>
        <w:t xml:space="preserve">II – </w:t>
      </w:r>
      <w:proofErr w:type="gramStart"/>
      <w:r w:rsidRPr="0097459F">
        <w:rPr>
          <w:rFonts w:ascii="Calibri" w:hAnsi="Calibri" w:cs="Calibri"/>
        </w:rPr>
        <w:t>serem</w:t>
      </w:r>
      <w:proofErr w:type="gramEnd"/>
      <w:r w:rsidRPr="0097459F" w:rsidDel="00453330">
        <w:rPr>
          <w:rFonts w:ascii="Calibri" w:hAnsi="Calibri" w:cs="Calibri"/>
        </w:rPr>
        <w:t xml:space="preserve"> informadas às autoridades locais;</w:t>
      </w:r>
    </w:p>
    <w:p w14:paraId="5815D681" w14:textId="77777777" w:rsidR="00C20BBD" w:rsidRPr="0097459F" w:rsidDel="00453330" w:rsidRDefault="00C20BBD" w:rsidP="00C20BBD">
      <w:pPr>
        <w:pStyle w:val="Normalalteradora"/>
        <w:rPr>
          <w:rFonts w:ascii="Calibri" w:hAnsi="Calibri" w:cs="Calibri"/>
        </w:rPr>
      </w:pPr>
      <w:r w:rsidRPr="0097459F">
        <w:rPr>
          <w:rFonts w:ascii="Calibri" w:hAnsi="Calibri" w:cs="Calibri"/>
        </w:rPr>
        <w:t>III –</w:t>
      </w:r>
      <w:r w:rsidRPr="0097459F" w:rsidDel="00453330">
        <w:rPr>
          <w:rFonts w:ascii="Calibri" w:hAnsi="Calibri" w:cs="Calibri"/>
        </w:rPr>
        <w:t xml:space="preserve"> </w:t>
      </w:r>
      <w:r w:rsidRPr="0097459F">
        <w:rPr>
          <w:rFonts w:ascii="Calibri" w:hAnsi="Calibri" w:cs="Calibri"/>
        </w:rPr>
        <w:t>serem</w:t>
      </w:r>
      <w:r w:rsidRPr="0097459F" w:rsidDel="00453330">
        <w:rPr>
          <w:rFonts w:ascii="Calibri" w:hAnsi="Calibri" w:cs="Calibri"/>
        </w:rPr>
        <w:t xml:space="preserve"> negociadas em bolsas</w:t>
      </w:r>
      <w:r w:rsidRPr="0097459F">
        <w:rPr>
          <w:rFonts w:ascii="Calibri" w:hAnsi="Calibri" w:cs="Calibri"/>
        </w:rPr>
        <w:t>,</w:t>
      </w:r>
      <w:r w:rsidRPr="0097459F" w:rsidDel="00453330">
        <w:rPr>
          <w:rFonts w:ascii="Calibri" w:hAnsi="Calibri" w:cs="Calibri"/>
        </w:rPr>
        <w:t xml:space="preserve"> plataformas eletrônicas ou liquidadas por meio de contraparte central; ou</w:t>
      </w:r>
    </w:p>
    <w:p w14:paraId="58D2F8E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terem</w:t>
      </w:r>
      <w:proofErr w:type="gramEnd"/>
      <w:r w:rsidRPr="0097459F">
        <w:rPr>
          <w:rFonts w:ascii="Calibri" w:hAnsi="Calibri" w:cs="Calibri"/>
        </w:rPr>
        <w:t xml:space="preserve"> como contraparte instituição financeira ou entidades a ela filiada e aderente às regras do Acordo da Basiléia, classificada como de baixo risco de crédito, na avaliação do gestor, e que seja supervisionada por supervisor local.</w:t>
      </w:r>
    </w:p>
    <w:p w14:paraId="30A411FC"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Não</w:t>
      </w:r>
      <w:proofErr w:type="gramEnd"/>
      <w:r w:rsidRPr="0097459F">
        <w:rPr>
          <w:rFonts w:ascii="Calibri" w:hAnsi="Calibri" w:cs="Calibri"/>
        </w:rPr>
        <w:t xml:space="preserve"> se aplica o requisito previsto no § 2º no caso de créditos de carbono, desde que:</w:t>
      </w:r>
    </w:p>
    <w:p w14:paraId="2152B66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o</w:t>
      </w:r>
      <w:proofErr w:type="gramEnd"/>
      <w:r w:rsidRPr="0097459F">
        <w:rPr>
          <w:rFonts w:ascii="Calibri" w:hAnsi="Calibri" w:cs="Calibri"/>
        </w:rPr>
        <w:t xml:space="preserve"> crédito de carbono seja negociado em mercado regulado de emissões de gases do efeito-estufa que possua autoridade local reconhecida como seu regulador; e</w:t>
      </w:r>
    </w:p>
    <w:p w14:paraId="7D2B8C2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custodiante da classe investidora diligencie para assegurar a existência, integridade e titularidade do crédito de carbono.</w:t>
      </w:r>
    </w:p>
    <w:p w14:paraId="0AAD1ACD" w14:textId="77777777" w:rsidR="00C20BBD" w:rsidRPr="0097459F" w:rsidRDefault="00C20BBD" w:rsidP="00C20BBD">
      <w:pPr>
        <w:pStyle w:val="Normalalteradora"/>
        <w:rPr>
          <w:rFonts w:ascii="Calibri" w:hAnsi="Calibri" w:cs="Calibri"/>
        </w:rPr>
      </w:pPr>
      <w:r w:rsidRPr="0097459F">
        <w:rPr>
          <w:rFonts w:ascii="Calibri" w:hAnsi="Calibri" w:cs="Calibri"/>
        </w:rPr>
        <w:t>Art. 42.  A aplicação de recursos em fundos de investimento ou veículos de investimento no exterior deve observar, no mínimo, as seguintes condições:</w:t>
      </w:r>
    </w:p>
    <w:p w14:paraId="2DE9E18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o</w:t>
      </w:r>
      <w:proofErr w:type="gramEnd"/>
      <w:r w:rsidRPr="0097459F">
        <w:rPr>
          <w:rFonts w:ascii="Calibri" w:hAnsi="Calibri" w:cs="Calibri"/>
        </w:rPr>
        <w:t xml:space="preserve"> custodiante da classe investidora deve certificar-se de que o custodiante ou </w:t>
      </w:r>
      <w:proofErr w:type="spellStart"/>
      <w:r w:rsidRPr="0097459F">
        <w:rPr>
          <w:rFonts w:ascii="Calibri" w:hAnsi="Calibri" w:cs="Calibri"/>
        </w:rPr>
        <w:t>escriturador</w:t>
      </w:r>
      <w:proofErr w:type="spellEnd"/>
      <w:r w:rsidRPr="0097459F">
        <w:rPr>
          <w:rFonts w:ascii="Calibri" w:hAnsi="Calibri" w:cs="Calibri"/>
        </w:rPr>
        <w:t xml:space="preserve"> do fundo ou veículo de investimento no exterior possui estrutura, processos e controles internos adequados para desempenhar as seguintes atividades:</w:t>
      </w:r>
    </w:p>
    <w:p w14:paraId="007E7EBF" w14:textId="77777777" w:rsidR="00C20BBD" w:rsidRPr="0097459F" w:rsidRDefault="00C20BBD" w:rsidP="00C20BBD">
      <w:pPr>
        <w:pStyle w:val="Normalalteradora"/>
        <w:rPr>
          <w:rFonts w:ascii="Calibri" w:hAnsi="Calibri" w:cs="Calibri"/>
        </w:rPr>
      </w:pPr>
      <w:r w:rsidRPr="0097459F">
        <w:rPr>
          <w:rFonts w:ascii="Calibri" w:hAnsi="Calibri" w:cs="Calibri"/>
        </w:rPr>
        <w:t>a) prestar serviço de custódia ou escrituração de ativos, conforme aplicável;</w:t>
      </w:r>
    </w:p>
    <w:p w14:paraId="0FD1126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b) realizar a boa guarda e regular movimentação dos ativos mantidos em custódia ou, no caso de </w:t>
      </w:r>
      <w:proofErr w:type="spellStart"/>
      <w:r w:rsidRPr="0097459F">
        <w:rPr>
          <w:rFonts w:ascii="Calibri" w:hAnsi="Calibri" w:cs="Calibri"/>
        </w:rPr>
        <w:t>escriturador</w:t>
      </w:r>
      <w:proofErr w:type="spellEnd"/>
      <w:r w:rsidRPr="0097459F">
        <w:rPr>
          <w:rFonts w:ascii="Calibri" w:hAnsi="Calibri" w:cs="Calibri"/>
        </w:rPr>
        <w:t xml:space="preserve">, atestar a legitimidade e veracidade dos registros e titularidade dos ativos; e </w:t>
      </w:r>
    </w:p>
    <w:p w14:paraId="62BC731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c) verificar a existência, a boa guarda e a regular movimentação dos ativos integrantes da carteira do fundo ou veículo de investimento no exterior; e </w:t>
      </w:r>
    </w:p>
    <w:p w14:paraId="7297B44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gestor deve assegurar que o fundo ou veículo de investimento no exterior atenda, no mínimo, às seguintes condições:</w:t>
      </w:r>
    </w:p>
    <w:p w14:paraId="40ECAAA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 seja regulado e supervisionado por supervisor local; </w:t>
      </w:r>
    </w:p>
    <w:p w14:paraId="525C1AB1" w14:textId="77777777" w:rsidR="00C20BBD" w:rsidRPr="0097459F" w:rsidRDefault="00C20BBD" w:rsidP="00C20BBD">
      <w:pPr>
        <w:pStyle w:val="Normalalteradora"/>
        <w:rPr>
          <w:rFonts w:ascii="Calibri" w:hAnsi="Calibri" w:cs="Calibri"/>
        </w:rPr>
      </w:pPr>
      <w:r w:rsidRPr="0097459F">
        <w:rPr>
          <w:rFonts w:ascii="Calibri" w:hAnsi="Calibri" w:cs="Calibri"/>
        </w:rPr>
        <w:t>b) possua periodicidade de cálculo do valor da cota compatível com a liquidez oferecida aos cotistas da classe investidora, nos termos de seu regulamento;</w:t>
      </w:r>
    </w:p>
    <w:p w14:paraId="3278D776"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c) possua administrador, gestor, custodiante ou prestadores de serviços que desempenhem funções equivalentes e sejam capacitados, experientes, de boa reputação e devidamente autorizados a exercer suas funções por supervisor local;</w:t>
      </w:r>
    </w:p>
    <w:p w14:paraId="60EE9791" w14:textId="77777777" w:rsidR="00C20BBD" w:rsidRPr="0097459F" w:rsidRDefault="00C20BBD" w:rsidP="00C20BBD">
      <w:pPr>
        <w:pStyle w:val="Normalalteradora"/>
        <w:rPr>
          <w:rFonts w:ascii="Calibri" w:hAnsi="Calibri" w:cs="Calibri"/>
        </w:rPr>
      </w:pPr>
      <w:r w:rsidRPr="0097459F">
        <w:rPr>
          <w:rFonts w:ascii="Calibri" w:hAnsi="Calibri" w:cs="Calibri"/>
        </w:rPr>
        <w:t>d) possua custodiante supervisionado por supervisor local;</w:t>
      </w:r>
    </w:p>
    <w:p w14:paraId="3C397D6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e) tenha suas demonstrações financeiras auditadas por empresa de auditoria independente; e </w:t>
      </w:r>
    </w:p>
    <w:p w14:paraId="048BB4B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f) possua política de controle de riscos e limites de exposição </w:t>
      </w:r>
      <w:proofErr w:type="spellStart"/>
      <w:r w:rsidRPr="0097459F">
        <w:rPr>
          <w:rFonts w:ascii="Calibri" w:hAnsi="Calibri" w:cs="Calibri"/>
        </w:rPr>
        <w:t>a</w:t>
      </w:r>
      <w:proofErr w:type="spellEnd"/>
      <w:r w:rsidRPr="0097459F">
        <w:rPr>
          <w:rFonts w:ascii="Calibri" w:hAnsi="Calibri" w:cs="Calibri"/>
        </w:rPr>
        <w:t xml:space="preserve"> risco de capital compatíveis com a política de investimento da classe investidora.</w:t>
      </w:r>
    </w:p>
    <w:p w14:paraId="7EA01549"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Caso</w:t>
      </w:r>
      <w:proofErr w:type="gramEnd"/>
      <w:r w:rsidRPr="0097459F">
        <w:rPr>
          <w:rFonts w:ascii="Calibri" w:hAnsi="Calibri" w:cs="Calibri"/>
        </w:rPr>
        <w:t xml:space="preserve"> o gestor da classe investidora detenha, direta ou indiretamente, influência nas decisões de investimento dos fundos ou outros veículos de investimento no exterior, as seguintes condições adicionais devem ser observadas:</w:t>
      </w:r>
    </w:p>
    <w:p w14:paraId="5E5D7EB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os</w:t>
      </w:r>
      <w:proofErr w:type="gramEnd"/>
      <w:r w:rsidRPr="0097459F">
        <w:rPr>
          <w:rFonts w:ascii="Calibri" w:hAnsi="Calibri" w:cs="Calibri"/>
        </w:rPr>
        <w:t xml:space="preserve"> ativos integrantes das carteiras dos fundos e outros veículos investidos devem ser detalhados no demonstrativo mensal de composição e diversificação da carteira referido no art. 24, inciso II, alínea “b”, deste Anexo Normativo I; e</w:t>
      </w:r>
    </w:p>
    <w:p w14:paraId="43D218C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os</w:t>
      </w:r>
      <w:proofErr w:type="gramEnd"/>
      <w:r w:rsidRPr="0097459F">
        <w:rPr>
          <w:rFonts w:ascii="Calibri" w:hAnsi="Calibri" w:cs="Calibri"/>
        </w:rPr>
        <w:t xml:space="preserve"> fundos ou outros veículos de investimento investidos no exterior só podem realizar operações com derivativos que observem o disposto no art. 41, § 3º, deste Anexo Normativo I; e</w:t>
      </w:r>
    </w:p>
    <w:p w14:paraId="6E0E5BC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III – para os efeitos de controle de limites de exposição </w:t>
      </w:r>
      <w:proofErr w:type="spellStart"/>
      <w:r w:rsidRPr="0097459F">
        <w:rPr>
          <w:rFonts w:ascii="Calibri" w:hAnsi="Calibri" w:cs="Calibri"/>
        </w:rPr>
        <w:t>a</w:t>
      </w:r>
      <w:proofErr w:type="spellEnd"/>
      <w:r w:rsidRPr="0097459F">
        <w:rPr>
          <w:rFonts w:ascii="Calibri" w:hAnsi="Calibri" w:cs="Calibri"/>
        </w:rPr>
        <w:t xml:space="preserve"> risco de capital, a exposição da carteira da classe investidora deve ser consolidada com a do fundo ou veículo de investimento no exterior, considerando o valor das margens exigidas em operações com garantia somada à margem potencial de operações de derivativos sem garantia, observado que o cálculo da margem potencial de operações de derivativos sem garantia deve ser realizado pelo administrador, e não pode ser compensado com as margens das operações com garantia.</w:t>
      </w:r>
    </w:p>
    <w:p w14:paraId="37E3729A"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Nas</w:t>
      </w:r>
      <w:proofErr w:type="gramEnd"/>
      <w:r w:rsidRPr="0097459F">
        <w:rPr>
          <w:rFonts w:ascii="Calibri" w:hAnsi="Calibri" w:cs="Calibri"/>
        </w:rPr>
        <w:t xml:space="preserve"> hipóteses em que o gestor da classe investidora não detenha, direta ou indiretamente, influência nas decisões de investimento dos fundos ou veículos de investimento no exterior, o cálculo da exposição da carteira deve considerar a exposição máxima possível, de acordo com as características do fundo investido.</w:t>
      </w:r>
    </w:p>
    <w:p w14:paraId="2BB0564A"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O</w:t>
      </w:r>
      <w:proofErr w:type="gramEnd"/>
      <w:r w:rsidRPr="0097459F">
        <w:rPr>
          <w:rFonts w:ascii="Calibri" w:hAnsi="Calibri" w:cs="Calibri"/>
        </w:rPr>
        <w:t xml:space="preserve"> gestor da classe de cotas destinada exclusivamente a investidores profissionais fica dispensado do cumprimento do inciso II do </w:t>
      </w:r>
      <w:r w:rsidRPr="0097459F">
        <w:rPr>
          <w:rFonts w:ascii="Calibri" w:hAnsi="Calibri" w:cs="Calibri"/>
          <w:b/>
        </w:rPr>
        <w:t>caput</w:t>
      </w:r>
      <w:r w:rsidRPr="0097459F">
        <w:rPr>
          <w:rFonts w:ascii="Calibri" w:hAnsi="Calibri" w:cs="Calibri"/>
        </w:rPr>
        <w:t xml:space="preserve"> e do § 1º deste artigo.</w:t>
      </w:r>
    </w:p>
    <w:p w14:paraId="26EB0E48"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4</w:t>
      </w:r>
      <w:proofErr w:type="gramStart"/>
      <w:r w:rsidRPr="0097459F">
        <w:rPr>
          <w:rFonts w:ascii="Calibri" w:hAnsi="Calibri" w:cs="Calibri"/>
        </w:rPr>
        <w:t>º  Para</w:t>
      </w:r>
      <w:proofErr w:type="gramEnd"/>
      <w:r w:rsidRPr="0097459F">
        <w:rPr>
          <w:rFonts w:ascii="Calibri" w:hAnsi="Calibri" w:cs="Calibri"/>
        </w:rPr>
        <w:t xml:space="preserve"> fins deste artigo, os fundos ou veículos de investimento no exterior não compreendem os ETF-Internacional, que são uma modalidade de ativo à parte.</w:t>
      </w:r>
    </w:p>
    <w:p w14:paraId="228F98E1" w14:textId="77777777" w:rsidR="00C20BBD" w:rsidRPr="0097459F" w:rsidRDefault="00C20BBD" w:rsidP="00C20BBD">
      <w:pPr>
        <w:pStyle w:val="Normalalteradora"/>
        <w:rPr>
          <w:rFonts w:ascii="Calibri" w:hAnsi="Calibri" w:cs="Calibri"/>
        </w:rPr>
      </w:pPr>
      <w:r w:rsidRPr="0097459F">
        <w:rPr>
          <w:rFonts w:ascii="Calibri" w:hAnsi="Calibri" w:cs="Calibri"/>
        </w:rPr>
        <w:t>Art. 43.  As classes de cotas de FIF devem observar os seguintes limites de concentração ao aplicar em ativos financeiros no exterior:</w:t>
      </w:r>
    </w:p>
    <w:p w14:paraId="79E8B67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ilimitado</w:t>
      </w:r>
      <w:proofErr w:type="gramEnd"/>
      <w:r w:rsidRPr="0097459F">
        <w:rPr>
          <w:rFonts w:ascii="Calibri" w:hAnsi="Calibri" w:cs="Calibri"/>
        </w:rPr>
        <w:t>, para:</w:t>
      </w:r>
    </w:p>
    <w:p w14:paraId="6FAD056A" w14:textId="77777777" w:rsidR="00C20BBD" w:rsidRPr="0097459F" w:rsidRDefault="00C20BBD" w:rsidP="00C20BBD">
      <w:pPr>
        <w:pStyle w:val="Normalalteradora"/>
        <w:rPr>
          <w:rFonts w:ascii="Calibri" w:hAnsi="Calibri" w:cs="Calibri"/>
        </w:rPr>
      </w:pPr>
      <w:r w:rsidRPr="0097459F">
        <w:rPr>
          <w:rFonts w:ascii="Calibri" w:hAnsi="Calibri" w:cs="Calibri"/>
        </w:rPr>
        <w:t>a) classes categorizadas como “Renda Fixa – Dívida Externa”; e</w:t>
      </w:r>
    </w:p>
    <w:p w14:paraId="5BB59C08" w14:textId="77777777" w:rsidR="00C20BBD" w:rsidRPr="0097459F" w:rsidRDefault="00C20BBD" w:rsidP="00C20BBD">
      <w:pPr>
        <w:pStyle w:val="Normalalteradora"/>
        <w:rPr>
          <w:rFonts w:ascii="Calibri" w:hAnsi="Calibri" w:cs="Calibri"/>
        </w:rPr>
      </w:pPr>
      <w:r w:rsidRPr="0097459F">
        <w:rPr>
          <w:rFonts w:ascii="Calibri" w:hAnsi="Calibri" w:cs="Calibri"/>
        </w:rPr>
        <w:t>b) classes exclusivamente destinadas a investidores profissionais.</w:t>
      </w:r>
    </w:p>
    <w:p w14:paraId="612FC7B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até</w:t>
      </w:r>
      <w:proofErr w:type="gramEnd"/>
      <w:r w:rsidRPr="0097459F">
        <w:rPr>
          <w:rFonts w:ascii="Calibri" w:hAnsi="Calibri" w:cs="Calibri"/>
        </w:rPr>
        <w:t xml:space="preserve"> 40% (quarenta por cento) de seu patrimônio líquido para classes exclusivamente destinadas a investidores qualificados; e</w:t>
      </w:r>
    </w:p>
    <w:p w14:paraId="010E2F33" w14:textId="77777777" w:rsidR="00C20BBD" w:rsidRPr="0097459F" w:rsidRDefault="00C20BBD" w:rsidP="00C20BBD">
      <w:pPr>
        <w:pStyle w:val="Normalalteradora"/>
        <w:rPr>
          <w:rFonts w:ascii="Calibri" w:hAnsi="Calibri" w:cs="Calibri"/>
        </w:rPr>
      </w:pPr>
      <w:r w:rsidRPr="0097459F">
        <w:rPr>
          <w:rFonts w:ascii="Calibri" w:hAnsi="Calibri" w:cs="Calibri"/>
        </w:rPr>
        <w:t>III – até 20% (vinte por cento) de seu patrimônio líquido para as classes destinadas ao público em geral.</w:t>
      </w:r>
    </w:p>
    <w:p w14:paraId="183557F9"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w:t>
      </w:r>
      <w:proofErr w:type="gramEnd"/>
      <w:r w:rsidRPr="0097459F">
        <w:rPr>
          <w:rFonts w:ascii="Calibri" w:hAnsi="Calibri" w:cs="Calibri"/>
        </w:rPr>
        <w:t xml:space="preserve"> regulamento da classe de cotas destinada exclusivamente a investidores qualificados pode extrapolar o limite estabelecido no inciso II do </w:t>
      </w:r>
      <w:r w:rsidRPr="0097459F">
        <w:rPr>
          <w:rFonts w:ascii="Calibri" w:hAnsi="Calibri" w:cs="Calibri"/>
          <w:b/>
        </w:rPr>
        <w:t>caput</w:t>
      </w:r>
      <w:r w:rsidRPr="0097459F">
        <w:rPr>
          <w:rFonts w:ascii="Calibri" w:hAnsi="Calibri" w:cs="Calibri"/>
        </w:rPr>
        <w:t xml:space="preserve">, desde que: </w:t>
      </w:r>
    </w:p>
    <w:p w14:paraId="517CB7E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tipificação da classe seja preservada;  </w:t>
      </w:r>
    </w:p>
    <w:p w14:paraId="38A748E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o</w:t>
      </w:r>
      <w:proofErr w:type="gramEnd"/>
      <w:r w:rsidRPr="0097459F">
        <w:rPr>
          <w:rFonts w:ascii="Calibri" w:hAnsi="Calibri" w:cs="Calibri"/>
        </w:rPr>
        <w:t xml:space="preserve"> regulamento disponha pormenorizadamente sobre os ativos que pretende adquirir no exterior, indicando:</w:t>
      </w:r>
    </w:p>
    <w:p w14:paraId="04A5C34F" w14:textId="77777777" w:rsidR="00C20BBD" w:rsidRPr="0097459F" w:rsidRDefault="00C20BBD" w:rsidP="00C20BBD">
      <w:pPr>
        <w:pStyle w:val="Normalalteradora"/>
        <w:rPr>
          <w:rFonts w:ascii="Calibri" w:hAnsi="Calibri" w:cs="Calibri"/>
        </w:rPr>
      </w:pPr>
      <w:r w:rsidRPr="0097459F">
        <w:rPr>
          <w:rFonts w:ascii="Calibri" w:hAnsi="Calibri" w:cs="Calibri"/>
        </w:rPr>
        <w:t>a) o país em que foram emitidos;</w:t>
      </w:r>
    </w:p>
    <w:p w14:paraId="66424FF0" w14:textId="77777777" w:rsidR="00C20BBD" w:rsidRPr="0097459F" w:rsidRDefault="00C20BBD" w:rsidP="00C20BBD">
      <w:pPr>
        <w:pStyle w:val="Normalalteradora"/>
        <w:rPr>
          <w:rFonts w:ascii="Calibri" w:hAnsi="Calibri" w:cs="Calibri"/>
        </w:rPr>
      </w:pPr>
      <w:r w:rsidRPr="0097459F">
        <w:rPr>
          <w:rFonts w:ascii="Calibri" w:hAnsi="Calibri" w:cs="Calibri"/>
        </w:rPr>
        <w:t>b) se a sua gestão é ativa ou passiva;</w:t>
      </w:r>
    </w:p>
    <w:p w14:paraId="1901AAC4" w14:textId="77777777" w:rsidR="00C20BBD" w:rsidRPr="0097459F" w:rsidRDefault="00C20BBD" w:rsidP="00C20BBD">
      <w:pPr>
        <w:pStyle w:val="Normalalteradora"/>
        <w:rPr>
          <w:rFonts w:ascii="Calibri" w:hAnsi="Calibri" w:cs="Calibri"/>
        </w:rPr>
      </w:pPr>
      <w:r w:rsidRPr="0097459F">
        <w:rPr>
          <w:rFonts w:ascii="Calibri" w:hAnsi="Calibri" w:cs="Calibri"/>
        </w:rPr>
        <w:t>c) se é permitida compra de cotas de fundos e veículos de investimento no exterior;</w:t>
      </w:r>
    </w:p>
    <w:p w14:paraId="7000EF5A" w14:textId="77777777" w:rsidR="00C20BBD" w:rsidRPr="0097459F" w:rsidRDefault="00C20BBD" w:rsidP="00C20BBD">
      <w:pPr>
        <w:pStyle w:val="Normalalteradora"/>
        <w:rPr>
          <w:rFonts w:ascii="Calibri" w:hAnsi="Calibri" w:cs="Calibri"/>
        </w:rPr>
      </w:pPr>
      <w:r w:rsidRPr="0097459F">
        <w:rPr>
          <w:rFonts w:ascii="Calibri" w:hAnsi="Calibri" w:cs="Calibri"/>
        </w:rPr>
        <w:t>d) o risco a que estão expostos; e</w:t>
      </w:r>
    </w:p>
    <w:p w14:paraId="6EEB3AD7" w14:textId="77777777" w:rsidR="00C20BBD" w:rsidRPr="0097459F" w:rsidRDefault="00C20BBD" w:rsidP="00C20BBD">
      <w:pPr>
        <w:pStyle w:val="Normalalteradora"/>
        <w:rPr>
          <w:rFonts w:ascii="Calibri" w:hAnsi="Calibri" w:cs="Calibri"/>
        </w:rPr>
      </w:pPr>
      <w:r w:rsidRPr="0097459F">
        <w:rPr>
          <w:rFonts w:ascii="Calibri" w:hAnsi="Calibri" w:cs="Calibri"/>
        </w:rPr>
        <w:t>e) qualquer outra informação que julgue relevante; e</w:t>
      </w:r>
    </w:p>
    <w:p w14:paraId="513D40B7" w14:textId="77777777" w:rsidR="00C20BBD" w:rsidRPr="0097459F" w:rsidRDefault="00C20BBD" w:rsidP="00C20BBD">
      <w:pPr>
        <w:pStyle w:val="Normalalteradora"/>
        <w:rPr>
          <w:rFonts w:ascii="Calibri" w:hAnsi="Calibri" w:cs="Calibri"/>
        </w:rPr>
      </w:pPr>
      <w:r w:rsidRPr="0097459F">
        <w:rPr>
          <w:rFonts w:ascii="Calibri" w:hAnsi="Calibri" w:cs="Calibri"/>
        </w:rPr>
        <w:t>III – no caso de aplicações em fundos de investimentos ou veículos de investimento no exterior, o gestor deve assegurar que os fundos e veículos investidos, seja por força de regulação exercida por supervisor local ou em virtude de sua documentação, estão sujeitos ao cumprimento dos seguintes requisitos:</w:t>
      </w:r>
    </w:p>
    <w:p w14:paraId="35E89B00"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 obrigatoriedade de demonstrações financeiras auditadas por empresa de auditoria independente;</w:t>
      </w:r>
    </w:p>
    <w:p w14:paraId="378F25C5" w14:textId="77777777" w:rsidR="00C20BBD" w:rsidRPr="0097459F" w:rsidRDefault="00C20BBD" w:rsidP="00C20BBD">
      <w:pPr>
        <w:pStyle w:val="Normalalteradora"/>
        <w:rPr>
          <w:rFonts w:ascii="Calibri" w:hAnsi="Calibri" w:cs="Calibri"/>
        </w:rPr>
      </w:pPr>
      <w:r w:rsidRPr="0097459F">
        <w:rPr>
          <w:rFonts w:ascii="Calibri" w:hAnsi="Calibri" w:cs="Calibri"/>
        </w:rPr>
        <w:t>b) seus documentos devem ser aprovados pelo supervisor local ou mantidos à sua disposição e disponibilizados ao investidor;</w:t>
      </w:r>
    </w:p>
    <w:p w14:paraId="09A8B715" w14:textId="77777777" w:rsidR="00C20BBD" w:rsidRPr="0097459F" w:rsidRDefault="00C20BBD" w:rsidP="00C20BBD">
      <w:pPr>
        <w:pStyle w:val="Normalalteradora"/>
        <w:rPr>
          <w:rFonts w:ascii="Calibri" w:hAnsi="Calibri" w:cs="Calibri"/>
        </w:rPr>
      </w:pPr>
      <w:r w:rsidRPr="0097459F">
        <w:rPr>
          <w:rFonts w:ascii="Calibri" w:hAnsi="Calibri" w:cs="Calibri"/>
        </w:rPr>
        <w:t>c) periodicidade de cálculo do valor da cota que seja compatível com a liquidez da classe investidora;</w:t>
      </w:r>
    </w:p>
    <w:p w14:paraId="2884632B" w14:textId="77777777" w:rsidR="00C20BBD" w:rsidRPr="0097459F" w:rsidRDefault="00C20BBD" w:rsidP="00C20BBD">
      <w:pPr>
        <w:pStyle w:val="Normalalteradora"/>
        <w:rPr>
          <w:rFonts w:ascii="Calibri" w:hAnsi="Calibri" w:cs="Calibri"/>
        </w:rPr>
      </w:pPr>
      <w:r w:rsidRPr="0097459F">
        <w:rPr>
          <w:rFonts w:ascii="Calibri" w:hAnsi="Calibri" w:cs="Calibri"/>
        </w:rPr>
        <w:t>d) regras sobre gestão de riscos, inclusive de liquidez, que tenham requisitos formais para o monitoramento, revisão e avaliações qualitativas e quantitativas;</w:t>
      </w:r>
    </w:p>
    <w:p w14:paraId="79DD277C" w14:textId="77777777" w:rsidR="00C20BBD" w:rsidRPr="0097459F" w:rsidRDefault="00C20BBD" w:rsidP="00C20BBD">
      <w:pPr>
        <w:pStyle w:val="Normalalteradora"/>
        <w:rPr>
          <w:rFonts w:ascii="Calibri" w:hAnsi="Calibri" w:cs="Calibri"/>
        </w:rPr>
      </w:pPr>
      <w:r w:rsidRPr="0097459F">
        <w:rPr>
          <w:rFonts w:ascii="Calibri" w:hAnsi="Calibri" w:cs="Calibri"/>
        </w:rPr>
        <w:t>e) princípios para precificação dos ativos e que a precificação seja feita por área segregada ou por terceiros habilitados;</w:t>
      </w:r>
    </w:p>
    <w:p w14:paraId="3440A919" w14:textId="77777777" w:rsidR="00C20BBD" w:rsidRPr="0097459F" w:rsidRDefault="00C20BBD" w:rsidP="00C20BBD">
      <w:pPr>
        <w:pStyle w:val="Normalalteradora"/>
        <w:rPr>
          <w:rFonts w:ascii="Calibri" w:hAnsi="Calibri" w:cs="Calibri"/>
        </w:rPr>
      </w:pPr>
      <w:r w:rsidRPr="0097459F">
        <w:rPr>
          <w:rFonts w:ascii="Calibri" w:hAnsi="Calibri" w:cs="Calibri"/>
        </w:rPr>
        <w:t>f) regras para diversificação dos investimentos, limites de concentração por emissor ou alertas acerca do risco de eventual concentração, aplicáveis também aos ativos subjacentes, no caso de derivativos;</w:t>
      </w:r>
    </w:p>
    <w:p w14:paraId="2FA3F109"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g) tratamento para venda a descoberto e exposição </w:t>
      </w:r>
      <w:proofErr w:type="spellStart"/>
      <w:r w:rsidRPr="0097459F">
        <w:rPr>
          <w:rFonts w:ascii="Calibri" w:hAnsi="Calibri" w:cs="Calibri"/>
        </w:rPr>
        <w:t>a</w:t>
      </w:r>
      <w:proofErr w:type="spellEnd"/>
      <w:r w:rsidRPr="0097459F">
        <w:rPr>
          <w:rFonts w:ascii="Calibri" w:hAnsi="Calibri" w:cs="Calibri"/>
        </w:rPr>
        <w:t xml:space="preserve"> risco de capital;</w:t>
      </w:r>
    </w:p>
    <w:p w14:paraId="3F62AEA7" w14:textId="77777777" w:rsidR="00C20BBD" w:rsidRPr="0097459F" w:rsidRDefault="00C20BBD" w:rsidP="00C20BBD">
      <w:pPr>
        <w:pStyle w:val="Normalalteradora"/>
        <w:rPr>
          <w:rFonts w:ascii="Calibri" w:hAnsi="Calibri" w:cs="Calibri"/>
        </w:rPr>
      </w:pPr>
      <w:r w:rsidRPr="0097459F">
        <w:rPr>
          <w:rFonts w:ascii="Calibri" w:hAnsi="Calibri" w:cs="Calibri"/>
        </w:rPr>
        <w:t>h) no caso de operações de balcão, que a contraparte associada seja instituição financeira regulada e supervisionada por supervisor local;</w:t>
      </w:r>
    </w:p>
    <w:p w14:paraId="47D301FA" w14:textId="77777777" w:rsidR="00C20BBD" w:rsidRPr="0097459F" w:rsidRDefault="00C20BBD" w:rsidP="00C20BBD">
      <w:pPr>
        <w:pStyle w:val="Normalalteradora"/>
        <w:rPr>
          <w:rFonts w:ascii="Calibri" w:hAnsi="Calibri" w:cs="Calibri"/>
        </w:rPr>
      </w:pPr>
      <w:r w:rsidRPr="0097459F">
        <w:rPr>
          <w:rFonts w:ascii="Calibri" w:hAnsi="Calibri" w:cs="Calibri"/>
        </w:rPr>
        <w:t>i) demonstração dos níveis de controle de risco, e a estrutura de governança dos fundos e veículos investidos, indicando o administrador, gestor, custodiante, demais prestadores de serviço, e suas respectivas funções;</w:t>
      </w:r>
    </w:p>
    <w:p w14:paraId="04FFAE56" w14:textId="77777777" w:rsidR="00C20BBD" w:rsidRPr="0097459F" w:rsidRDefault="00C20BBD" w:rsidP="00C20BBD">
      <w:pPr>
        <w:pStyle w:val="Normalalteradora"/>
        <w:rPr>
          <w:rFonts w:ascii="Calibri" w:hAnsi="Calibri" w:cs="Calibri"/>
        </w:rPr>
      </w:pPr>
      <w:r w:rsidRPr="0097459F">
        <w:rPr>
          <w:rFonts w:ascii="Calibri" w:hAnsi="Calibri" w:cs="Calibri"/>
        </w:rPr>
        <w:t>j) evidenciação das remunerações, taxas e demais despesas; e</w:t>
      </w:r>
    </w:p>
    <w:p w14:paraId="5FCFDCE7" w14:textId="77777777" w:rsidR="00C20BBD" w:rsidRPr="0097459F" w:rsidRDefault="00C20BBD" w:rsidP="00C20BBD">
      <w:pPr>
        <w:pStyle w:val="Normalalteradora"/>
        <w:rPr>
          <w:rFonts w:ascii="Calibri" w:hAnsi="Calibri" w:cs="Calibri"/>
        </w:rPr>
      </w:pPr>
      <w:r w:rsidRPr="0097459F">
        <w:rPr>
          <w:rFonts w:ascii="Calibri" w:hAnsi="Calibri" w:cs="Calibri"/>
        </w:rPr>
        <w:t>k) identificação dos fatores de riscos e as restrições de investimentos.</w:t>
      </w:r>
    </w:p>
    <w:p w14:paraId="445A6495"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Nas</w:t>
      </w:r>
      <w:proofErr w:type="gramEnd"/>
      <w:r w:rsidRPr="0097459F">
        <w:rPr>
          <w:rFonts w:ascii="Calibri" w:hAnsi="Calibri" w:cs="Calibri"/>
        </w:rPr>
        <w:t xml:space="preserve"> classes de cotas destinadas ao público em geral, o regulamento pode extrapolar o limite estabelecido no inciso III do </w:t>
      </w:r>
      <w:r w:rsidRPr="0097459F">
        <w:rPr>
          <w:rFonts w:ascii="Calibri" w:hAnsi="Calibri" w:cs="Calibri"/>
          <w:b/>
        </w:rPr>
        <w:t>caput</w:t>
      </w:r>
      <w:r w:rsidRPr="0097459F">
        <w:rPr>
          <w:rFonts w:ascii="Calibri" w:hAnsi="Calibri" w:cs="Calibri"/>
        </w:rPr>
        <w:t>, desde que todos os investimentos ocorram por meio de fundos ou veículos de investimento no exterior que, em acréscimo aos requisitos estabelecidos no § 1º, contem com, no mínimo, o seguinte aparato:</w:t>
      </w:r>
    </w:p>
    <w:p w14:paraId="5AD179B9"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metodologia</w:t>
      </w:r>
      <w:proofErr w:type="gramEnd"/>
      <w:r w:rsidRPr="0097459F">
        <w:rPr>
          <w:rFonts w:ascii="Calibri" w:hAnsi="Calibri" w:cs="Calibri"/>
        </w:rPr>
        <w:t xml:space="preserve"> de cálculo para precificação dos ativos e de alavancagem reconhecida e monitorada por supervisor local;</w:t>
      </w:r>
    </w:p>
    <w:p w14:paraId="3137A6FE"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II – </w:t>
      </w:r>
      <w:proofErr w:type="gramStart"/>
      <w:r w:rsidRPr="0097459F">
        <w:rPr>
          <w:rFonts w:ascii="Calibri" w:hAnsi="Calibri" w:cs="Calibri"/>
        </w:rPr>
        <w:t>gerenciamento</w:t>
      </w:r>
      <w:proofErr w:type="gramEnd"/>
      <w:r w:rsidRPr="0097459F">
        <w:rPr>
          <w:rFonts w:ascii="Calibri" w:hAnsi="Calibri" w:cs="Calibri"/>
        </w:rPr>
        <w:t xml:space="preserve"> de riscos que leve em consideração potencial descasamento entre ativo e passivo do fundo ou veículo no exterior, com necessidade de reporte periódico;</w:t>
      </w:r>
    </w:p>
    <w:p w14:paraId="3F0E309F" w14:textId="77777777" w:rsidR="00C20BBD" w:rsidRPr="0097459F" w:rsidRDefault="00C20BBD" w:rsidP="00C20BBD">
      <w:pPr>
        <w:pStyle w:val="Normalalteradora"/>
        <w:rPr>
          <w:rFonts w:ascii="Calibri" w:hAnsi="Calibri" w:cs="Calibri"/>
        </w:rPr>
      </w:pPr>
      <w:r w:rsidRPr="0097459F">
        <w:rPr>
          <w:rFonts w:ascii="Calibri" w:hAnsi="Calibri" w:cs="Calibri"/>
        </w:rPr>
        <w:t>III – gerenciamento de liquidez adequado ao perfil dos investimentos e aos prazos de resgate a classe investidora, com liquidez, no mínimo, semanal;</w:t>
      </w:r>
    </w:p>
    <w:p w14:paraId="1E6C0F2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regras</w:t>
      </w:r>
      <w:proofErr w:type="gramEnd"/>
      <w:r w:rsidRPr="0097459F">
        <w:rPr>
          <w:rFonts w:ascii="Calibri" w:hAnsi="Calibri" w:cs="Calibri"/>
        </w:rPr>
        <w:t xml:space="preserve"> que não permitam que o fundo ou veículo no exterior possua patrimônio líquido negativo ou que obriguem ao cotista aportar recursos adicionais acima do capital comprometido para cobrir eventual prejuízo do fundo ou veículo no exterior;</w:t>
      </w:r>
    </w:p>
    <w:p w14:paraId="328DA79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w:t>
      </w:r>
      <w:proofErr w:type="gramStart"/>
      <w:r w:rsidRPr="0097459F">
        <w:rPr>
          <w:rFonts w:ascii="Calibri" w:hAnsi="Calibri" w:cs="Calibri"/>
        </w:rPr>
        <w:t>seja</w:t>
      </w:r>
      <w:proofErr w:type="gramEnd"/>
      <w:r w:rsidRPr="0097459F">
        <w:rPr>
          <w:rFonts w:ascii="Calibri" w:hAnsi="Calibri" w:cs="Calibri"/>
        </w:rPr>
        <w:t xml:space="preserve"> destinado ao público em geral, ou equivalente em </w:t>
      </w:r>
      <w:r w:rsidRPr="0097459F" w:rsidDel="00125E9B">
        <w:rPr>
          <w:rFonts w:ascii="Calibri" w:hAnsi="Calibri" w:cs="Calibri"/>
        </w:rPr>
        <w:t xml:space="preserve">sua jurisdição </w:t>
      </w:r>
      <w:r w:rsidRPr="0097459F">
        <w:rPr>
          <w:rFonts w:ascii="Calibri" w:hAnsi="Calibri" w:cs="Calibri"/>
        </w:rPr>
        <w:t>de origem;</w:t>
      </w:r>
    </w:p>
    <w:p w14:paraId="7F62A7E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VI – </w:t>
      </w:r>
      <w:proofErr w:type="gramStart"/>
      <w:r w:rsidRPr="0097459F">
        <w:rPr>
          <w:rFonts w:ascii="Calibri" w:hAnsi="Calibri" w:cs="Calibri"/>
        </w:rPr>
        <w:t>regras</w:t>
      </w:r>
      <w:proofErr w:type="gramEnd"/>
      <w:r w:rsidRPr="0097459F">
        <w:rPr>
          <w:rFonts w:ascii="Calibri" w:hAnsi="Calibri" w:cs="Calibri"/>
        </w:rPr>
        <w:t xml:space="preserve"> de concentração de ativos reconhecida e monitorada por supervisor local, sendo que os fundos ou veículos no exterior devem estar sujeitos aos seguintes limites:</w:t>
      </w:r>
    </w:p>
    <w:p w14:paraId="06CFA87A" w14:textId="77777777" w:rsidR="00C20BBD" w:rsidRPr="0097459F" w:rsidRDefault="00C20BBD" w:rsidP="00C20BBD">
      <w:pPr>
        <w:pStyle w:val="Normalalteradora"/>
        <w:rPr>
          <w:rFonts w:ascii="Calibri" w:hAnsi="Calibri" w:cs="Calibri"/>
        </w:rPr>
      </w:pPr>
      <w:r w:rsidRPr="0097459F">
        <w:rPr>
          <w:rFonts w:ascii="Calibri" w:hAnsi="Calibri" w:cs="Calibri"/>
        </w:rPr>
        <w:t>a) até 10% (dez por cento) de seu patrimônio em ativos que não estejam listados em segmento de negociação de valores mobiliários;</w:t>
      </w:r>
    </w:p>
    <w:p w14:paraId="677F1148" w14:textId="77777777" w:rsidR="00C20BBD" w:rsidRPr="0097459F" w:rsidRDefault="00C20BBD" w:rsidP="00C20BBD">
      <w:pPr>
        <w:pStyle w:val="Normalalteradora"/>
        <w:rPr>
          <w:rFonts w:ascii="Calibri" w:hAnsi="Calibri" w:cs="Calibri"/>
        </w:rPr>
      </w:pPr>
      <w:r w:rsidRPr="0097459F">
        <w:rPr>
          <w:rFonts w:ascii="Calibri" w:hAnsi="Calibri" w:cs="Calibri"/>
        </w:rPr>
        <w:t>b) até 20% (vinte por cento) de seu patrimônio em depósito bancário em uma única instituição; e</w:t>
      </w:r>
    </w:p>
    <w:p w14:paraId="10C6E381" w14:textId="77777777" w:rsidR="00C20BBD" w:rsidRPr="0097459F" w:rsidRDefault="00C20BBD" w:rsidP="00C20BBD">
      <w:pPr>
        <w:pStyle w:val="Normalalteradora"/>
        <w:rPr>
          <w:rFonts w:ascii="Calibri" w:hAnsi="Calibri" w:cs="Calibri"/>
        </w:rPr>
      </w:pPr>
      <w:r w:rsidRPr="0097459F">
        <w:rPr>
          <w:rFonts w:ascii="Calibri" w:hAnsi="Calibri" w:cs="Calibri"/>
        </w:rPr>
        <w:t>c) até 20% (vinte por cento) de seu patrimônio em ativos de um mesmo emissor, considerado no cálculo do referido limite, cumulativamente, os depósitos bancários e o valor das posições em contratos de derivativos com ativos subjacentes do emissor ou em que ele atue como contraparte.</w:t>
      </w:r>
    </w:p>
    <w:p w14:paraId="3912985E"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No</w:t>
      </w:r>
      <w:proofErr w:type="gramEnd"/>
      <w:r w:rsidRPr="0097459F">
        <w:rPr>
          <w:rFonts w:ascii="Calibri" w:hAnsi="Calibri" w:cs="Calibri"/>
        </w:rPr>
        <w:t xml:space="preserve"> cômputo dos limites dispostos neste artigo, devem ser considerados os contratos derivativos investidos pelos fundos ou veículos de investimento no exterior, em função do valor de exposição, corrente e potencial, que acarretem sobre as posições detidas pelo fundo investidor, apurado com base em metodologia consistente e passível de verificação.</w:t>
      </w:r>
    </w:p>
    <w:p w14:paraId="196C1316"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As</w:t>
      </w:r>
      <w:proofErr w:type="gramEnd"/>
      <w:r w:rsidRPr="0097459F">
        <w:rPr>
          <w:rFonts w:ascii="Calibri" w:hAnsi="Calibri" w:cs="Calibri"/>
        </w:rPr>
        <w:t xml:space="preserve"> aplicações em ativos financeiros no exterior não são cumulativamente consideradas no cálculo dos correspondentes limites de concentração por emissor e por modalidade de ativo financeiro aplicáveis aos ativos domésticos.</w:t>
      </w:r>
    </w:p>
    <w:p w14:paraId="6224EAAA" w14:textId="77777777" w:rsidR="00C20BBD" w:rsidRPr="0097459F" w:rsidRDefault="00C20BBD" w:rsidP="00C20BBD">
      <w:pPr>
        <w:pStyle w:val="Seo"/>
      </w:pPr>
      <w:bookmarkStart w:id="469" w:name="_Toc53594247"/>
      <w:bookmarkStart w:id="470" w:name="_Toc53594495"/>
      <w:bookmarkStart w:id="471" w:name="_Toc53595520"/>
      <w:bookmarkStart w:id="472" w:name="_Toc57836256"/>
      <w:bookmarkStart w:id="473" w:name="_Toc161141270"/>
      <w:r w:rsidRPr="0097459F">
        <w:t>Seção IV – Limites por Emissor</w:t>
      </w:r>
      <w:bookmarkEnd w:id="469"/>
      <w:bookmarkEnd w:id="470"/>
      <w:bookmarkEnd w:id="471"/>
      <w:bookmarkEnd w:id="472"/>
      <w:bookmarkEnd w:id="473"/>
    </w:p>
    <w:p w14:paraId="3D4B5406" w14:textId="77777777" w:rsidR="00C20BBD" w:rsidRPr="0097459F" w:rsidRDefault="00C20BBD" w:rsidP="00C20BBD">
      <w:pPr>
        <w:pStyle w:val="Normalalteradora"/>
        <w:rPr>
          <w:rFonts w:ascii="Calibri" w:hAnsi="Calibri" w:cs="Calibri"/>
        </w:rPr>
      </w:pPr>
      <w:r w:rsidRPr="0097459F">
        <w:rPr>
          <w:rFonts w:ascii="Calibri" w:hAnsi="Calibri" w:cs="Calibri"/>
        </w:rPr>
        <w:t>Art. 44.  A classe de cotas deve observar os seguintes limites máximos de concentração por emissor, sem prejuízo das demais regras de concentração aplicáveis ao seu tipo, nos termos da Seção VI:</w:t>
      </w:r>
    </w:p>
    <w:p w14:paraId="0DE342F9"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até</w:t>
      </w:r>
      <w:proofErr w:type="gramEnd"/>
      <w:r w:rsidRPr="0097459F">
        <w:rPr>
          <w:rFonts w:ascii="Calibri" w:hAnsi="Calibri" w:cs="Calibri"/>
        </w:rPr>
        <w:t xml:space="preserve"> 20% (vinte por cento) do patrimônio líquido quando o emissor for instituição financeira autorizada a funcionar pelo Banco Central do Brasil;</w:t>
      </w:r>
    </w:p>
    <w:p w14:paraId="628D074C"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t xml:space="preserve">II – </w:t>
      </w:r>
      <w:proofErr w:type="gramStart"/>
      <w:r w:rsidRPr="0097459F">
        <w:rPr>
          <w:rFonts w:ascii="Calibri" w:hAnsi="Calibri" w:cs="Calibri"/>
        </w:rPr>
        <w:t>até</w:t>
      </w:r>
      <w:proofErr w:type="gramEnd"/>
      <w:r w:rsidRPr="0097459F">
        <w:rPr>
          <w:rFonts w:ascii="Calibri" w:hAnsi="Calibri" w:cs="Calibri"/>
        </w:rPr>
        <w:t xml:space="preserve"> 10% (dez por cento) do patrimônio líquido quando o emissor for companhia aberta, e, no caso de aplicações em BDR - Ações, quando o emissor for companhia aberta ou assemelhada, nos termos de norma específica;</w:t>
      </w:r>
    </w:p>
    <w:p w14:paraId="575DDB54" w14:textId="77777777" w:rsidR="00C20BBD" w:rsidRPr="0097459F" w:rsidRDefault="00C20BBD" w:rsidP="00C20BBD">
      <w:pPr>
        <w:pStyle w:val="Normalalteradora"/>
        <w:tabs>
          <w:tab w:val="left" w:pos="993"/>
        </w:tabs>
        <w:rPr>
          <w:rFonts w:ascii="Calibri" w:hAnsi="Calibri" w:cs="Calibri"/>
        </w:rPr>
      </w:pPr>
      <w:r w:rsidRPr="0097459F">
        <w:rPr>
          <w:rFonts w:ascii="Calibri" w:hAnsi="Calibri" w:cs="Calibri"/>
        </w:rPr>
        <w:t>III – até 10% (dez por cento) do patrimônio líquido quando o emissor for sociedade de propósito específico que seja subsidiária integral de companhia securitizadora registrada na categoria S2;</w:t>
      </w:r>
    </w:p>
    <w:p w14:paraId="46B414D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até</w:t>
      </w:r>
      <w:proofErr w:type="gramEnd"/>
      <w:r w:rsidRPr="0097459F">
        <w:rPr>
          <w:rFonts w:ascii="Calibri" w:hAnsi="Calibri" w:cs="Calibri"/>
        </w:rPr>
        <w:t xml:space="preserve"> 5% (cinco por cento) do patrimônio líquido quando o emissor for pessoa natural ou pessoa jurídica de direito privado que não seja companhia aberta ou instituição financeira autorizada a funcionar pelo Banco Central do Brasil; e</w:t>
      </w:r>
    </w:p>
    <w:p w14:paraId="0591129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w:t>
      </w:r>
      <w:proofErr w:type="gramStart"/>
      <w:r w:rsidRPr="0097459F">
        <w:rPr>
          <w:rFonts w:ascii="Calibri" w:hAnsi="Calibri" w:cs="Calibri"/>
        </w:rPr>
        <w:t>não</w:t>
      </w:r>
      <w:proofErr w:type="gramEnd"/>
      <w:r w:rsidRPr="0097459F">
        <w:rPr>
          <w:rFonts w:ascii="Calibri" w:hAnsi="Calibri" w:cs="Calibri"/>
        </w:rPr>
        <w:t xml:space="preserve"> há limites quando:</w:t>
      </w:r>
    </w:p>
    <w:p w14:paraId="2983F0F2" w14:textId="77777777" w:rsidR="00C20BBD" w:rsidRPr="0097459F" w:rsidRDefault="00C20BBD" w:rsidP="00C20BBD">
      <w:pPr>
        <w:pStyle w:val="Normalalteradora"/>
        <w:rPr>
          <w:rFonts w:ascii="Calibri" w:hAnsi="Calibri" w:cs="Calibri"/>
        </w:rPr>
      </w:pPr>
      <w:r w:rsidRPr="0097459F">
        <w:rPr>
          <w:rFonts w:ascii="Calibri" w:hAnsi="Calibri" w:cs="Calibri"/>
        </w:rPr>
        <w:t>a) o emissor for a União Federal;</w:t>
      </w:r>
    </w:p>
    <w:p w14:paraId="45BF3A92" w14:textId="77777777" w:rsidR="00C20BBD" w:rsidRPr="0097459F" w:rsidRDefault="00C20BBD" w:rsidP="00C20BBD">
      <w:pPr>
        <w:pStyle w:val="Normalalteradora"/>
        <w:rPr>
          <w:rFonts w:ascii="Calibri" w:hAnsi="Calibri" w:cs="Calibri"/>
        </w:rPr>
      </w:pPr>
      <w:r w:rsidRPr="0097459F">
        <w:rPr>
          <w:rFonts w:ascii="Calibri" w:hAnsi="Calibri" w:cs="Calibri"/>
        </w:rPr>
        <w:t>b) o emissor for fundo de investimento; ou</w:t>
      </w:r>
    </w:p>
    <w:p w14:paraId="5436D7E4" w14:textId="77777777" w:rsidR="00C20BBD" w:rsidRPr="0097459F" w:rsidRDefault="00C20BBD" w:rsidP="00C20BBD">
      <w:pPr>
        <w:pStyle w:val="Normalalteradora"/>
        <w:rPr>
          <w:rFonts w:ascii="Calibri" w:hAnsi="Calibri" w:cs="Calibri"/>
        </w:rPr>
      </w:pPr>
      <w:r w:rsidRPr="0097459F">
        <w:rPr>
          <w:rFonts w:ascii="Calibri" w:hAnsi="Calibri" w:cs="Calibri"/>
        </w:rPr>
        <w:t>c) a política de investimento prever a aquisição de ativos, fungíveis, de uma única emissão de valores mobiliários, hipótese na qual o termo de adesão deve conter alerta de que a classe está exposta ao risco de concentração em um único emissor.</w:t>
      </w:r>
    </w:p>
    <w:p w14:paraId="57053266"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Para</w:t>
      </w:r>
      <w:proofErr w:type="gramEnd"/>
      <w:r w:rsidRPr="0097459F">
        <w:rPr>
          <w:rFonts w:ascii="Calibri" w:hAnsi="Calibri" w:cs="Calibri"/>
        </w:rPr>
        <w:t xml:space="preserve"> efeito de cálculo dos limites estabelecidos no </w:t>
      </w:r>
      <w:r w:rsidRPr="0097459F">
        <w:rPr>
          <w:rFonts w:ascii="Calibri" w:hAnsi="Calibri" w:cs="Calibri"/>
          <w:b/>
        </w:rPr>
        <w:t>caput</w:t>
      </w:r>
      <w:r w:rsidRPr="0097459F">
        <w:rPr>
          <w:rFonts w:ascii="Calibri" w:hAnsi="Calibri" w:cs="Calibri"/>
        </w:rPr>
        <w:t>:</w:t>
      </w:r>
    </w:p>
    <w:p w14:paraId="7D6B547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considera-se</w:t>
      </w:r>
      <w:proofErr w:type="gramEnd"/>
      <w:r w:rsidRPr="0097459F">
        <w:rPr>
          <w:rFonts w:ascii="Calibri" w:hAnsi="Calibri" w:cs="Calibri"/>
        </w:rPr>
        <w:t xml:space="preserve"> emissor a pessoa natural ou jurídica, a classe de cotas e o patrimônio separado na forma da lei, assim como seus congêneres estrangeiros, obrigados ou coobrigados pela liquidação do ativo financeiro; e</w:t>
      </w:r>
    </w:p>
    <w:p w14:paraId="199411C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consideram-se</w:t>
      </w:r>
      <w:proofErr w:type="gramEnd"/>
      <w:r w:rsidRPr="0097459F">
        <w:rPr>
          <w:rFonts w:ascii="Calibri" w:hAnsi="Calibri" w:cs="Calibri"/>
        </w:rPr>
        <w:t xml:space="preserve"> como de um mesmo emissor os ativos financeiros emitidos por integrantes de um mesmo grupo econômico, com exceção das emissões de títulos de securitização que contem com segregação patrimonial.</w:t>
      </w:r>
    </w:p>
    <w:p w14:paraId="607BC4B4"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É</w:t>
      </w:r>
      <w:proofErr w:type="gramEnd"/>
      <w:r w:rsidRPr="0097459F">
        <w:rPr>
          <w:rFonts w:ascii="Calibri" w:hAnsi="Calibri" w:cs="Calibri"/>
        </w:rPr>
        <w:t xml:space="preserve"> vedada:</w:t>
      </w:r>
    </w:p>
    <w:p w14:paraId="0736286D" w14:textId="60384DB5"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aplicação de mais de 20% (vinte por cento) do patrimônio líquido da classe em ativos financeiros de emissão do gestor </w:t>
      </w:r>
      <w:r w:rsidR="002C2171">
        <w:rPr>
          <w:rFonts w:ascii="Calibri" w:hAnsi="Calibri" w:cs="Calibri"/>
        </w:rPr>
        <w:t xml:space="preserve">e </w:t>
      </w:r>
      <w:r w:rsidR="002C2171" w:rsidRPr="0097459F">
        <w:rPr>
          <w:rFonts w:ascii="Calibri" w:hAnsi="Calibri" w:cs="Calibri"/>
        </w:rPr>
        <w:t>de companhias integrantes de seu grupo econômico</w:t>
      </w:r>
      <w:r w:rsidRPr="0097459F">
        <w:rPr>
          <w:rFonts w:ascii="Calibri" w:hAnsi="Calibri" w:cs="Calibri"/>
        </w:rPr>
        <w:t>; e</w:t>
      </w:r>
    </w:p>
    <w:p w14:paraId="43B99AD0" w14:textId="1714A733"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II – </w:t>
      </w:r>
      <w:proofErr w:type="gramStart"/>
      <w:r w:rsidRPr="0097459F">
        <w:rPr>
          <w:rFonts w:ascii="Calibri" w:hAnsi="Calibri" w:cs="Calibri"/>
        </w:rPr>
        <w:t>a</w:t>
      </w:r>
      <w:proofErr w:type="gramEnd"/>
      <w:r w:rsidRPr="0097459F">
        <w:rPr>
          <w:rFonts w:ascii="Calibri" w:hAnsi="Calibri" w:cs="Calibri"/>
        </w:rPr>
        <w:t xml:space="preserve"> aquisição de ações de emissão do gestor</w:t>
      </w:r>
      <w:r w:rsidR="002C2171" w:rsidRPr="002C2171">
        <w:rPr>
          <w:rFonts w:ascii="Calibri" w:hAnsi="Calibri" w:cs="Calibri"/>
        </w:rPr>
        <w:t xml:space="preserve"> </w:t>
      </w:r>
      <w:r w:rsidR="002C2171">
        <w:rPr>
          <w:rFonts w:ascii="Calibri" w:hAnsi="Calibri" w:cs="Calibri"/>
        </w:rPr>
        <w:t xml:space="preserve">e </w:t>
      </w:r>
      <w:r w:rsidR="002C2171" w:rsidRPr="0097459F">
        <w:rPr>
          <w:rFonts w:ascii="Calibri" w:hAnsi="Calibri" w:cs="Calibri"/>
        </w:rPr>
        <w:t>de companhias integrantes de seu grupo econômico</w:t>
      </w:r>
      <w:r w:rsidRPr="0097459F">
        <w:rPr>
          <w:rFonts w:ascii="Calibri" w:hAnsi="Calibri" w:cs="Calibri"/>
        </w:rPr>
        <w:t>, exceto no caso de a política de investimento consistir em buscar reproduzir índice de mercado do qual as referidas ações façam parte, hipótese em que podem ser adquiridas na mesma proporção de sua participação no respectivo índice, observado o § 3º.</w:t>
      </w:r>
    </w:p>
    <w:p w14:paraId="427506C3" w14:textId="34D58CA1" w:rsidR="00C20BBD" w:rsidRDefault="00C20BBD" w:rsidP="00C20BBD">
      <w:pPr>
        <w:pStyle w:val="Normalalteradora"/>
        <w:rPr>
          <w:rFonts w:ascii="Calibri" w:hAnsi="Calibri" w:cs="Calibri"/>
          <w:strike/>
        </w:rPr>
      </w:pPr>
      <w:r w:rsidRPr="00175852">
        <w:rPr>
          <w:rFonts w:ascii="Calibri" w:hAnsi="Calibri" w:cs="Calibri"/>
          <w:strike/>
        </w:rPr>
        <w:t>§ 3</w:t>
      </w:r>
      <w:proofErr w:type="gramStart"/>
      <w:r w:rsidRPr="00175852">
        <w:rPr>
          <w:rFonts w:ascii="Calibri" w:hAnsi="Calibri" w:cs="Calibri"/>
          <w:strike/>
        </w:rPr>
        <w:t>º  A</w:t>
      </w:r>
      <w:proofErr w:type="gramEnd"/>
      <w:r w:rsidRPr="00175852">
        <w:rPr>
          <w:rFonts w:ascii="Calibri" w:hAnsi="Calibri" w:cs="Calibri"/>
          <w:strike/>
        </w:rPr>
        <w:t xml:space="preserve"> vedação de que trata o § 2º, inciso I, não é aplicável nos casos em que a política de investimento consistir em investir, no mínimo, 95% (noventa e cinco por cento) do patrimônio líquido em ações ou certificados de depósito de ações do próprio gestor</w:t>
      </w:r>
      <w:r w:rsidR="002C2171" w:rsidRPr="00175852">
        <w:rPr>
          <w:rFonts w:ascii="Calibri" w:hAnsi="Calibri" w:cs="Calibri"/>
          <w:strike/>
        </w:rPr>
        <w:t xml:space="preserve"> ou companhias de seu grupo econômico</w:t>
      </w:r>
      <w:r w:rsidRPr="00175852">
        <w:rPr>
          <w:rFonts w:ascii="Calibri" w:hAnsi="Calibri" w:cs="Calibri"/>
          <w:strike/>
        </w:rPr>
        <w:t xml:space="preserve">. </w:t>
      </w:r>
    </w:p>
    <w:p w14:paraId="7EDFBD44" w14:textId="77777777" w:rsidR="00175852" w:rsidRDefault="00175852" w:rsidP="00175852">
      <w:pPr>
        <w:pStyle w:val="Normalalteradora"/>
      </w:pPr>
      <w:r w:rsidRPr="6B4419CC">
        <w:rPr>
          <w:rFonts w:ascii="Calibri" w:hAnsi="Calibri" w:cs="Calibri"/>
        </w:rPr>
        <w:t>§ 3</w:t>
      </w:r>
      <w:bookmarkStart w:id="474" w:name="_Int_64BDDGTb"/>
      <w:proofErr w:type="gramStart"/>
      <w:r w:rsidRPr="6B4419CC">
        <w:rPr>
          <w:rFonts w:ascii="Calibri" w:hAnsi="Calibri" w:cs="Calibri"/>
        </w:rPr>
        <w:t>º  A</w:t>
      </w:r>
      <w:bookmarkEnd w:id="474"/>
      <w:proofErr w:type="gramEnd"/>
      <w:r w:rsidRPr="6B4419CC">
        <w:rPr>
          <w:rFonts w:ascii="Calibri" w:hAnsi="Calibri" w:cs="Calibri"/>
        </w:rPr>
        <w:t xml:space="preserve"> vedação de que trata o § 2º</w:t>
      </w:r>
      <w:r>
        <w:t xml:space="preserve"> </w:t>
      </w:r>
      <w:r w:rsidRPr="6B4419CC">
        <w:rPr>
          <w:rFonts w:ascii="Calibri" w:hAnsi="Calibri" w:cs="Calibri"/>
        </w:rPr>
        <w:t xml:space="preserve">não é aplicável nos </w:t>
      </w:r>
      <w:r>
        <w:t xml:space="preserve">seguintes </w:t>
      </w:r>
      <w:r w:rsidRPr="6B4419CC">
        <w:rPr>
          <w:rFonts w:ascii="Calibri" w:hAnsi="Calibri" w:cs="Calibri"/>
        </w:rPr>
        <w:t>casos</w:t>
      </w:r>
      <w:r>
        <w:t>:</w:t>
      </w:r>
    </w:p>
    <w:p w14:paraId="686CCFF0" w14:textId="77777777" w:rsidR="00175852" w:rsidRPr="0097459F" w:rsidRDefault="00175852" w:rsidP="00175852">
      <w:pPr>
        <w:pStyle w:val="NormaAlterada"/>
      </w:pPr>
      <w:r>
        <w:t xml:space="preserve">I – </w:t>
      </w:r>
      <w:bookmarkStart w:id="475" w:name="_Int_ZiPL1kUe"/>
      <w:proofErr w:type="gramStart"/>
      <w:r>
        <w:t>quando</w:t>
      </w:r>
      <w:bookmarkEnd w:id="475"/>
      <w:proofErr w:type="gramEnd"/>
      <w:r>
        <w:t xml:space="preserve"> a política de investimento consistir em investir, no mínimo, 95% (noventa e cinco por cento) do patrimônio líquido em ações ou certificados de depósito de ações do próprio gestor ou companhias de seu grupo econômico, ou </w:t>
      </w:r>
    </w:p>
    <w:p w14:paraId="31721C4E" w14:textId="77777777" w:rsidR="00175852" w:rsidRDefault="00175852" w:rsidP="00175852">
      <w:pPr>
        <w:pStyle w:val="NormaAlterada"/>
      </w:pPr>
      <w:r>
        <w:t xml:space="preserve">II – </w:t>
      </w:r>
      <w:bookmarkStart w:id="476" w:name="_Int_nkxRaws8"/>
      <w:proofErr w:type="gramStart"/>
      <w:r>
        <w:t>ações</w:t>
      </w:r>
      <w:bookmarkEnd w:id="476"/>
      <w:proofErr w:type="gramEnd"/>
      <w:r>
        <w:t xml:space="preserve"> que integrem índice geral representativo das ações de maior negociabilidade no mercado brasileiro.</w:t>
      </w:r>
    </w:p>
    <w:p w14:paraId="1E7CB231" w14:textId="0910E542" w:rsidR="00175852" w:rsidRPr="00175852" w:rsidRDefault="00175852" w:rsidP="00175852">
      <w:pPr>
        <w:pStyle w:val="Normalalteradora"/>
        <w:numPr>
          <w:ilvl w:val="0"/>
          <w:numId w:val="40"/>
        </w:numPr>
        <w:ind w:left="709" w:hanging="142"/>
        <w:rPr>
          <w:strike/>
        </w:rPr>
      </w:pPr>
      <w:r w:rsidRPr="00175852">
        <w:rPr>
          <w:rFonts w:ascii="Calibri" w:hAnsi="Calibri" w:cs="Calibri"/>
          <w:b/>
          <w:bCs/>
          <w:i/>
          <w:iCs/>
        </w:rPr>
        <w:t>§ 3º</w:t>
      </w:r>
      <w:r w:rsidRPr="6B4419CC">
        <w:rPr>
          <w:rFonts w:ascii="Calibri" w:hAnsi="Calibri" w:cs="Calibri"/>
        </w:rPr>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1E914195"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O</w:t>
      </w:r>
      <w:proofErr w:type="gramEnd"/>
      <w:r w:rsidRPr="0097459F">
        <w:rPr>
          <w:rFonts w:ascii="Calibri" w:hAnsi="Calibri" w:cs="Calibri"/>
        </w:rPr>
        <w:t xml:space="preserve"> valor das posições em contratos derivativos é considerado no cálculo dos limites estabelecidos neste artigo, cumulativamente, em relação:</w:t>
      </w:r>
    </w:p>
    <w:p w14:paraId="458DA35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ao</w:t>
      </w:r>
      <w:proofErr w:type="gramEnd"/>
      <w:r w:rsidRPr="0097459F">
        <w:rPr>
          <w:rFonts w:ascii="Calibri" w:hAnsi="Calibri" w:cs="Calibri"/>
        </w:rPr>
        <w:t xml:space="preserve"> emissor do ativo subjacente; e</w:t>
      </w:r>
    </w:p>
    <w:p w14:paraId="65BFC22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à</w:t>
      </w:r>
      <w:proofErr w:type="gramEnd"/>
      <w:r w:rsidRPr="0097459F">
        <w:rPr>
          <w:rFonts w:ascii="Calibri" w:hAnsi="Calibri" w:cs="Calibri"/>
        </w:rPr>
        <w:t xml:space="preserve"> contraparte, quando se tratar de derivativos sem garantia de liquidação por câmaras ou prestadores de serviços de compensação e de liquidação autorizados a funcionar pelo Banco Central do Brasil ou pela CVM.</w:t>
      </w:r>
    </w:p>
    <w:p w14:paraId="0889316F"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Para</w:t>
      </w:r>
      <w:proofErr w:type="gramEnd"/>
      <w:r w:rsidRPr="0097459F">
        <w:rPr>
          <w:rFonts w:ascii="Calibri" w:hAnsi="Calibri" w:cs="Calibri"/>
        </w:rPr>
        <w:t xml:space="preserve"> efeito do disposto no § 4º, os contratos derivativos são considerados em função do valor de exposição, corrente e potencial, que acarretem sobre as posições detidas pela classe, apurado com base em metodologia consistente e passível de verificação.</w:t>
      </w:r>
    </w:p>
    <w:p w14:paraId="123A372F" w14:textId="77777777" w:rsidR="00C20BBD" w:rsidRPr="0097459F" w:rsidRDefault="00C20BBD" w:rsidP="00C20BBD">
      <w:pPr>
        <w:pStyle w:val="Normalalteradora"/>
        <w:rPr>
          <w:rFonts w:ascii="Calibri" w:hAnsi="Calibri" w:cs="Calibri"/>
        </w:rPr>
      </w:pPr>
      <w:r w:rsidRPr="0097459F">
        <w:rPr>
          <w:rFonts w:ascii="Calibri" w:hAnsi="Calibri" w:cs="Calibri"/>
        </w:rPr>
        <w:t>§ 6</w:t>
      </w:r>
      <w:proofErr w:type="gramStart"/>
      <w:r w:rsidRPr="0097459F">
        <w:rPr>
          <w:rFonts w:ascii="Calibri" w:hAnsi="Calibri" w:cs="Calibri"/>
        </w:rPr>
        <w:t>º  Nas</w:t>
      </w:r>
      <w:proofErr w:type="gramEnd"/>
      <w:r w:rsidRPr="0097459F">
        <w:rPr>
          <w:rFonts w:ascii="Calibri" w:hAnsi="Calibri" w:cs="Calibri"/>
        </w:rPr>
        <w:t xml:space="preserve"> operações sem garantia de liquidação por câmaras ou prestadores de serviços de compensação e de liquidação autorizados a funcionar pelo Banco Central do Brasil ou pela CVM, as posições em operações com uma mesma contraparte devem ser consolidadas, observando-se, nesse caso, as posições líquidas de exposição, caso a compensação bilateral não tenha sido contratualmente afastada.</w:t>
      </w:r>
    </w:p>
    <w:p w14:paraId="5E63C0F7"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7</w:t>
      </w:r>
      <w:proofErr w:type="gramStart"/>
      <w:r w:rsidRPr="0097459F">
        <w:rPr>
          <w:rFonts w:ascii="Calibri" w:hAnsi="Calibri" w:cs="Calibri"/>
        </w:rPr>
        <w:t>º  Nas</w:t>
      </w:r>
      <w:proofErr w:type="gramEnd"/>
      <w:r w:rsidRPr="0097459F">
        <w:rPr>
          <w:rFonts w:ascii="Calibri" w:hAnsi="Calibri" w:cs="Calibri"/>
        </w:rPr>
        <w:t xml:space="preserve"> operações compromissadas, os limites estabelecidos para os emissores devem ser observados:</w:t>
      </w:r>
    </w:p>
    <w:p w14:paraId="33EEBB1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em</w:t>
      </w:r>
      <w:proofErr w:type="gramEnd"/>
      <w:r w:rsidRPr="0097459F">
        <w:rPr>
          <w:rFonts w:ascii="Calibri" w:hAnsi="Calibri" w:cs="Calibri"/>
        </w:rPr>
        <w:t xml:space="preserve"> relação aos emissores dos ativos objeto:</w:t>
      </w:r>
    </w:p>
    <w:p w14:paraId="688C48C1" w14:textId="77777777" w:rsidR="00C20BBD" w:rsidRPr="0097459F" w:rsidRDefault="00C20BBD" w:rsidP="00C20BBD">
      <w:pPr>
        <w:pStyle w:val="Normalalteradora"/>
        <w:rPr>
          <w:rFonts w:ascii="Calibri" w:hAnsi="Calibri" w:cs="Calibri"/>
        </w:rPr>
      </w:pPr>
      <w:r w:rsidRPr="0097459F">
        <w:rPr>
          <w:rFonts w:ascii="Calibri" w:hAnsi="Calibri" w:cs="Calibri"/>
        </w:rPr>
        <w:t>a) quando alienados com compromisso de recompra; e</w:t>
      </w:r>
    </w:p>
    <w:p w14:paraId="68D0076D" w14:textId="796384D8" w:rsidR="00C20BBD" w:rsidRDefault="00C20BBD" w:rsidP="00C20BBD">
      <w:pPr>
        <w:pStyle w:val="Normalalteradora"/>
        <w:rPr>
          <w:rFonts w:ascii="Calibri" w:hAnsi="Calibri" w:cs="Calibri"/>
        </w:rPr>
      </w:pPr>
      <w:r w:rsidRPr="0097459F">
        <w:rPr>
          <w:rFonts w:ascii="Calibri" w:hAnsi="Calibri" w:cs="Calibri"/>
        </w:rPr>
        <w:t>b) cuja aquisição tenha sido contratada com base em operações a termo a que se refere o art. 1º, inciso V, do Regulamento anexo à Resolução do Conselho Monetário Nacional nº 3.339, de 26 de janeiro de 2006, sem prejuízo do disposto nos §§ 5º e 6º; e</w:t>
      </w:r>
    </w:p>
    <w:p w14:paraId="79EC3F30" w14:textId="52DD7EAA" w:rsidR="00C63609" w:rsidRDefault="00C63609" w:rsidP="00C63609">
      <w:pPr>
        <w:pStyle w:val="Normalalteradora"/>
        <w:rPr>
          <w:rFonts w:ascii="Calibri" w:hAnsi="Calibri" w:cs="Calibri"/>
          <w:strike/>
        </w:rPr>
      </w:pPr>
      <w:r w:rsidRPr="0019363E">
        <w:rPr>
          <w:rFonts w:ascii="Calibri" w:hAnsi="Calibri" w:cs="Calibri"/>
          <w:strike/>
        </w:rPr>
        <w:t xml:space="preserve">II – </w:t>
      </w:r>
      <w:proofErr w:type="gramStart"/>
      <w:r w:rsidRPr="0019363E">
        <w:rPr>
          <w:rFonts w:ascii="Calibri" w:hAnsi="Calibri" w:cs="Calibri"/>
          <w:strike/>
        </w:rPr>
        <w:t>em</w:t>
      </w:r>
      <w:proofErr w:type="gramEnd"/>
      <w:r w:rsidRPr="0019363E">
        <w:rPr>
          <w:rFonts w:ascii="Calibri" w:hAnsi="Calibri" w:cs="Calibri"/>
          <w:strike/>
        </w:rPr>
        <w:t xml:space="preserve"> relação à contraparte da classe, nas operações sem garantia de liquidação por câmaras ou prestadores de serviços de compensação e de liquidação autorizados a funcionar pelo Banco Central do Brasil.</w:t>
      </w:r>
    </w:p>
    <w:p w14:paraId="37DC34BF" w14:textId="77777777" w:rsidR="0019363E" w:rsidRPr="0019363E" w:rsidRDefault="0019363E" w:rsidP="0019363E">
      <w:pPr>
        <w:spacing w:before="120" w:after="120" w:line="312" w:lineRule="auto"/>
        <w:ind w:firstLine="567"/>
        <w:jc w:val="both"/>
        <w:rPr>
          <w:rFonts w:ascii="Calibri" w:hAnsi="Calibri" w:cs="Calibri"/>
          <w:sz w:val="24"/>
          <w:szCs w:val="24"/>
        </w:rPr>
      </w:pPr>
      <w:bookmarkStart w:id="477" w:name="_Hlk131070913"/>
      <w:r w:rsidRPr="0019363E">
        <w:rPr>
          <w:rFonts w:ascii="Calibri" w:hAnsi="Calibri" w:cs="Calibri"/>
          <w:sz w:val="24"/>
          <w:szCs w:val="24"/>
        </w:rPr>
        <w:t xml:space="preserve">II – </w:t>
      </w:r>
      <w:proofErr w:type="gramStart"/>
      <w:r w:rsidRPr="0019363E">
        <w:rPr>
          <w:rFonts w:ascii="Calibri" w:hAnsi="Calibri" w:cs="Calibri"/>
          <w:sz w:val="24"/>
          <w:szCs w:val="24"/>
        </w:rPr>
        <w:t>em</w:t>
      </w:r>
      <w:proofErr w:type="gramEnd"/>
      <w:r w:rsidRPr="0019363E">
        <w:rPr>
          <w:rFonts w:ascii="Calibri" w:hAnsi="Calibri" w:cs="Calibri"/>
          <w:sz w:val="24"/>
          <w:szCs w:val="24"/>
        </w:rPr>
        <w:t xml:space="preserve"> relação à contraparte da classe, nas operações sem garantia de liquidação por entidade operadora de infraestrutura do mercado financeiro autorizada pela CVM ou pelo Banco Central do Brasil para efetuar a compensação e liquidação das operações.</w:t>
      </w:r>
    </w:p>
    <w:bookmarkEnd w:id="477"/>
    <w:p w14:paraId="2C69263D" w14:textId="265C9023"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w:t>
      </w: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II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6542847" w14:textId="4F9745F4" w:rsidR="00C20BBD" w:rsidRPr="0097459F" w:rsidRDefault="00C20BBD" w:rsidP="0011654A">
      <w:pPr>
        <w:pStyle w:val="Normalalteradora"/>
        <w:rPr>
          <w:rFonts w:ascii="Calibri" w:hAnsi="Calibri" w:cs="Calibri"/>
        </w:rPr>
      </w:pPr>
      <w:r w:rsidRPr="0097459F">
        <w:rPr>
          <w:rFonts w:ascii="Calibri" w:hAnsi="Calibri" w:cs="Calibri"/>
        </w:rPr>
        <w:t>§ 8</w:t>
      </w:r>
      <w:proofErr w:type="gramStart"/>
      <w:r w:rsidRPr="0097459F">
        <w:rPr>
          <w:rFonts w:ascii="Calibri" w:hAnsi="Calibri" w:cs="Calibri"/>
        </w:rPr>
        <w:t>º  Não</w:t>
      </w:r>
      <w:proofErr w:type="gramEnd"/>
      <w:r w:rsidRPr="0097459F">
        <w:rPr>
          <w:rFonts w:ascii="Calibri" w:hAnsi="Calibri" w:cs="Calibri"/>
        </w:rPr>
        <w:t xml:space="preserve"> se submetem aos limites de que trata este artigo as operações compromissadas:</w:t>
      </w:r>
    </w:p>
    <w:p w14:paraId="459A064E" w14:textId="1C3AE95F" w:rsidR="00C20BBD"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lastreadas</w:t>
      </w:r>
      <w:proofErr w:type="gramEnd"/>
      <w:r w:rsidRPr="0097459F">
        <w:rPr>
          <w:rFonts w:ascii="Calibri" w:hAnsi="Calibri" w:cs="Calibri"/>
        </w:rPr>
        <w:t xml:space="preserve"> em títulos públicos federais;</w:t>
      </w:r>
    </w:p>
    <w:p w14:paraId="1B17AB52" w14:textId="0DCF626B" w:rsidR="00C63609" w:rsidRDefault="00C63609" w:rsidP="00C63609">
      <w:pPr>
        <w:pStyle w:val="Normalalteradora"/>
        <w:rPr>
          <w:rFonts w:ascii="Calibri" w:hAnsi="Calibri" w:cs="Calibri"/>
          <w:strike/>
        </w:rPr>
      </w:pPr>
      <w:r w:rsidRPr="0019363E">
        <w:rPr>
          <w:rFonts w:ascii="Calibri" w:hAnsi="Calibri" w:cs="Calibri"/>
          <w:strike/>
        </w:rPr>
        <w:t xml:space="preserve">II – </w:t>
      </w:r>
      <w:proofErr w:type="gramStart"/>
      <w:r w:rsidRPr="0019363E">
        <w:rPr>
          <w:rFonts w:ascii="Calibri" w:hAnsi="Calibri" w:cs="Calibri"/>
          <w:strike/>
        </w:rPr>
        <w:t>de</w:t>
      </w:r>
      <w:proofErr w:type="gramEnd"/>
      <w:r w:rsidRPr="0019363E">
        <w:rPr>
          <w:rFonts w:ascii="Calibri" w:hAnsi="Calibri" w:cs="Calibri"/>
          <w:strike/>
        </w:rPr>
        <w:t xml:space="preserve"> compra, pela classe, com compromisso de revenda, desde que contem com garantia de liquidação por câmaras ou prestadores de serviços de compensação e de liquidação autorizados a funcionar pelo Banco Central do Brasil; e</w:t>
      </w:r>
    </w:p>
    <w:p w14:paraId="48F6CDA2" w14:textId="77777777" w:rsidR="0019363E" w:rsidRPr="0097459F" w:rsidRDefault="0019363E" w:rsidP="0019363E">
      <w:pPr>
        <w:pStyle w:val="NormaAlterada"/>
      </w:pPr>
      <w:r w:rsidRPr="0097459F">
        <w:t xml:space="preserve">II – </w:t>
      </w:r>
      <w:proofErr w:type="gramStart"/>
      <w:r w:rsidRPr="0097459F">
        <w:t>de</w:t>
      </w:r>
      <w:proofErr w:type="gramEnd"/>
      <w:r w:rsidRPr="0097459F">
        <w:t xml:space="preserve"> compra, pela classe, com compromisso de revenda, desde que contem com garantia de liquidação </w:t>
      </w:r>
      <w:r>
        <w:t xml:space="preserve">por </w:t>
      </w:r>
      <w:r w:rsidRPr="00FE31CD">
        <w:t>entidade operadora de infraestrutura do mercado financeiro autorizada pela CVM ou pelo Banco Central do Brasil para efetuar a compensação e liquidação das operações</w:t>
      </w:r>
      <w:r w:rsidRPr="0097459F">
        <w:t>; e</w:t>
      </w:r>
    </w:p>
    <w:p w14:paraId="67FF51ED" w14:textId="598AF9E9"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D960C9">
        <w:rPr>
          <w:rFonts w:asciiTheme="minorHAnsi" w:hAnsiTheme="minorHAnsi" w:cstheme="minorHAnsi"/>
          <w:b/>
          <w:i/>
          <w:iCs/>
          <w:sz w:val="24"/>
          <w:szCs w:val="24"/>
        </w:rPr>
        <w:t xml:space="preserve">Inciso </w:t>
      </w:r>
      <w:r>
        <w:rPr>
          <w:rFonts w:asciiTheme="minorHAnsi" w:hAnsiTheme="minorHAnsi" w:cstheme="minorHAnsi"/>
          <w:b/>
          <w:i/>
          <w:iCs/>
          <w:sz w:val="24"/>
          <w:szCs w:val="24"/>
        </w:rPr>
        <w:t>II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70434C15" w14:textId="77777777" w:rsidR="00C20BBD" w:rsidRPr="0097459F" w:rsidRDefault="00C20BBD" w:rsidP="00C20BBD">
      <w:pPr>
        <w:pStyle w:val="Normalalteradora"/>
        <w:rPr>
          <w:rFonts w:ascii="Calibri" w:hAnsi="Calibri" w:cs="Calibri"/>
        </w:rPr>
      </w:pPr>
      <w:r w:rsidRPr="0097459F">
        <w:rPr>
          <w:rFonts w:ascii="Calibri" w:hAnsi="Calibri" w:cs="Calibri"/>
        </w:rPr>
        <w:t>III – de vendas a termo, referidas no art. 1º, inciso V, do Regulamento anexo à Resolução do Conselho Monetário Nacional nº 3.339, de 2006.</w:t>
      </w:r>
    </w:p>
    <w:p w14:paraId="60CAB996" w14:textId="77777777" w:rsidR="00C20BBD" w:rsidRPr="0097459F" w:rsidRDefault="00C20BBD" w:rsidP="00C20BBD">
      <w:pPr>
        <w:pStyle w:val="Normalalteradora"/>
        <w:rPr>
          <w:rFonts w:ascii="Calibri" w:hAnsi="Calibri" w:cs="Calibri"/>
        </w:rPr>
      </w:pPr>
      <w:r w:rsidRPr="0097459F">
        <w:rPr>
          <w:rFonts w:ascii="Calibri" w:hAnsi="Calibri" w:cs="Calibri"/>
        </w:rPr>
        <w:t>§ 9</w:t>
      </w:r>
      <w:proofErr w:type="gramStart"/>
      <w:r w:rsidRPr="0097459F">
        <w:rPr>
          <w:rFonts w:ascii="Calibri" w:hAnsi="Calibri" w:cs="Calibri"/>
        </w:rPr>
        <w:t>º  Devem</w:t>
      </w:r>
      <w:proofErr w:type="gramEnd"/>
      <w:r w:rsidRPr="0097459F">
        <w:rPr>
          <w:rFonts w:ascii="Calibri" w:hAnsi="Calibri" w:cs="Calibri"/>
        </w:rPr>
        <w:t xml:space="preserve"> ser observadas as disposições previstas nos §§ 5º a 6º deste artigo nas seguintes modalidades de operações compromissadas:</w:t>
      </w:r>
    </w:p>
    <w:p w14:paraId="5C3EA85A"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as</w:t>
      </w:r>
      <w:proofErr w:type="gramEnd"/>
      <w:r w:rsidRPr="0097459F">
        <w:rPr>
          <w:rFonts w:ascii="Calibri" w:hAnsi="Calibri" w:cs="Calibri"/>
        </w:rPr>
        <w:t xml:space="preserve"> liquidáveis a critério de uma das partes (art. 1º, inciso I, alínea “c”, e inciso II, alínea “c” do Regulamento anexo à Resolução do Conselho Monetário Nacional nº 3.339, de 2006); e</w:t>
      </w:r>
    </w:p>
    <w:p w14:paraId="6ACD5E0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as</w:t>
      </w:r>
      <w:proofErr w:type="gramEnd"/>
      <w:r w:rsidRPr="0097459F">
        <w:rPr>
          <w:rFonts w:ascii="Calibri" w:hAnsi="Calibri" w:cs="Calibri"/>
        </w:rPr>
        <w:t xml:space="preserve"> de compra ou de venda a termo (art. 1º, incisos V e VI do Regulamento anexo à Resolução do Conselho Monetário Nacional nº 3.339, de 2006).</w:t>
      </w:r>
    </w:p>
    <w:p w14:paraId="639C6058" w14:textId="77777777" w:rsidR="00C20BBD" w:rsidRPr="0097459F" w:rsidRDefault="00C20BBD" w:rsidP="00C20BBD">
      <w:pPr>
        <w:pStyle w:val="Seo"/>
      </w:pPr>
      <w:bookmarkStart w:id="478" w:name="_Toc53594248"/>
      <w:bookmarkStart w:id="479" w:name="_Toc53594496"/>
      <w:bookmarkStart w:id="480" w:name="_Toc53595521"/>
      <w:bookmarkStart w:id="481" w:name="_Toc57836257"/>
      <w:bookmarkStart w:id="482" w:name="_Toc161141271"/>
      <w:r w:rsidRPr="0097459F">
        <w:t>Seção V – Limites por Modalidade de Ativo Financeiro</w:t>
      </w:r>
      <w:bookmarkEnd w:id="478"/>
      <w:bookmarkEnd w:id="479"/>
      <w:bookmarkEnd w:id="480"/>
      <w:bookmarkEnd w:id="481"/>
      <w:bookmarkEnd w:id="482"/>
    </w:p>
    <w:p w14:paraId="01290649" w14:textId="77777777" w:rsidR="00C20BBD" w:rsidRPr="0097459F" w:rsidRDefault="00C20BBD" w:rsidP="00C20BBD">
      <w:pPr>
        <w:pStyle w:val="Normalalteradora"/>
        <w:rPr>
          <w:rFonts w:ascii="Calibri" w:hAnsi="Calibri" w:cs="Calibri"/>
        </w:rPr>
      </w:pPr>
      <w:r w:rsidRPr="0097459F">
        <w:rPr>
          <w:rFonts w:ascii="Calibri" w:hAnsi="Calibri" w:cs="Calibri"/>
        </w:rPr>
        <w:t>Art. 45.  Cumulativamente aos limites de concentração por emissor, a classe de cotas deve observar os seguintes limites de concentração por modalidade de ativo financeiro, sem prejuízo das normas aplicáveis ao seu tipo:</w:t>
      </w:r>
    </w:p>
    <w:p w14:paraId="1DE2CABB" w14:textId="77777777" w:rsidR="00C20BBD" w:rsidRPr="0097459F" w:rsidRDefault="00C20BBD" w:rsidP="00C20BBD">
      <w:pPr>
        <w:pStyle w:val="Normalalteradora"/>
        <w:tabs>
          <w:tab w:val="left" w:pos="567"/>
        </w:tabs>
        <w:rPr>
          <w:rFonts w:ascii="Calibri" w:hAnsi="Calibri" w:cs="Calibri"/>
        </w:rPr>
      </w:pPr>
      <w:r w:rsidRPr="0097459F">
        <w:rPr>
          <w:rFonts w:ascii="Calibri" w:hAnsi="Calibri" w:cs="Calibri"/>
        </w:rPr>
        <w:t xml:space="preserve">I – </w:t>
      </w:r>
      <w:proofErr w:type="gramStart"/>
      <w:r w:rsidRPr="0097459F">
        <w:rPr>
          <w:rFonts w:ascii="Calibri" w:hAnsi="Calibri" w:cs="Calibri"/>
        </w:rPr>
        <w:t>até</w:t>
      </w:r>
      <w:proofErr w:type="gramEnd"/>
      <w:r w:rsidRPr="0097459F">
        <w:rPr>
          <w:rFonts w:ascii="Calibri" w:hAnsi="Calibri" w:cs="Calibri"/>
        </w:rPr>
        <w:t xml:space="preserve"> 20% (vinte por cento) do patrimônio líquido para o conjunto dos seguintes ativos:</w:t>
      </w:r>
    </w:p>
    <w:p w14:paraId="208821DB" w14:textId="3ACBB957" w:rsidR="00C20BBD" w:rsidRDefault="00B5164C" w:rsidP="00B5164C">
      <w:pPr>
        <w:pStyle w:val="Normalalteradora"/>
        <w:rPr>
          <w:rFonts w:ascii="Calibri" w:hAnsi="Calibri" w:cs="Calibri"/>
        </w:rPr>
      </w:pPr>
      <w:r>
        <w:rPr>
          <w:rFonts w:ascii="Calibri" w:hAnsi="Calibri" w:cs="Calibri"/>
        </w:rPr>
        <w:t xml:space="preserve">a) </w:t>
      </w:r>
      <w:r w:rsidR="00C20BBD" w:rsidRPr="0097459F">
        <w:rPr>
          <w:rFonts w:ascii="Calibri" w:hAnsi="Calibri" w:cs="Calibri"/>
        </w:rPr>
        <w:t>cotas de FIF destinadas exclusivamente a investidores qualificados, sendo de 5% (cinco por cento) o limite para aplicação em cotas de FIF destinadas exclusivamente a investidores profissionais;</w:t>
      </w:r>
    </w:p>
    <w:p w14:paraId="404A5B52" w14:textId="2FF39DBC" w:rsidR="00C63609" w:rsidRDefault="00B5164C" w:rsidP="00B5164C">
      <w:pPr>
        <w:pStyle w:val="Normalalteradora"/>
        <w:rPr>
          <w:rFonts w:ascii="Calibri" w:hAnsi="Calibri" w:cs="Calibri"/>
          <w:strike/>
        </w:rPr>
      </w:pPr>
      <w:r w:rsidRPr="0019363E">
        <w:rPr>
          <w:rFonts w:ascii="Calibri" w:hAnsi="Calibri" w:cs="Calibri"/>
          <w:strike/>
        </w:rPr>
        <w:t xml:space="preserve">b) </w:t>
      </w:r>
      <w:r w:rsidR="00C63609" w:rsidRPr="0019363E">
        <w:rPr>
          <w:rFonts w:ascii="Calibri" w:hAnsi="Calibri" w:cs="Calibri"/>
          <w:strike/>
        </w:rPr>
        <w:t>cotas de fundos de investimento imobiliário – FII; e</w:t>
      </w:r>
    </w:p>
    <w:p w14:paraId="324657D2" w14:textId="77777777" w:rsidR="0019363E" w:rsidRDefault="0019363E" w:rsidP="0019363E">
      <w:pPr>
        <w:pStyle w:val="Normalalteradora"/>
      </w:pPr>
      <w:r w:rsidRPr="0097459F">
        <w:rPr>
          <w:rFonts w:ascii="Calibri" w:hAnsi="Calibri" w:cs="Calibri"/>
        </w:rPr>
        <w:t>b) cotas de fundos de investime</w:t>
      </w:r>
      <w:r>
        <w:rPr>
          <w:rFonts w:ascii="Calibri" w:hAnsi="Calibri" w:cs="Calibri"/>
        </w:rPr>
        <w:t>nto imobiliário – FII;</w:t>
      </w:r>
    </w:p>
    <w:p w14:paraId="2FF7034C" w14:textId="462CA414"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Alínea b </w:t>
      </w:r>
      <w:r w:rsidRPr="00D960C9">
        <w:rPr>
          <w:rFonts w:asciiTheme="minorHAnsi" w:hAnsiTheme="minorHAnsi" w:cstheme="minorHAnsi"/>
          <w:b/>
          <w:i/>
          <w:sz w:val="24"/>
          <w:szCs w:val="24"/>
        </w:rPr>
        <w:t xml:space="preserve">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242CD92B" w14:textId="4AF74211" w:rsidR="00C63609" w:rsidRDefault="00B5164C" w:rsidP="00B5164C">
      <w:pPr>
        <w:pStyle w:val="Normalalteradora"/>
        <w:rPr>
          <w:rFonts w:ascii="Calibri" w:hAnsi="Calibri" w:cs="Calibri"/>
          <w:strike/>
        </w:rPr>
      </w:pPr>
      <w:r w:rsidRPr="0019363E">
        <w:rPr>
          <w:rFonts w:ascii="Calibri" w:hAnsi="Calibri" w:cs="Calibri"/>
          <w:strike/>
        </w:rPr>
        <w:t xml:space="preserve">c) </w:t>
      </w:r>
      <w:r w:rsidR="00C63609" w:rsidRPr="0019363E">
        <w:rPr>
          <w:rFonts w:ascii="Calibri" w:hAnsi="Calibri" w:cs="Calibri"/>
          <w:strike/>
        </w:rPr>
        <w:t>cotas de fundos de investimento em direitos creditórios – FIDC, sendo de 5% (cinco por cento) o limite para aplicação em cotas de FIDC cujas políticas de investimento admitam a aquisição de direitos creditórios não-padronizados, conforme definidos no art. 2º, inciso XIII, do Anexo Normativo II;</w:t>
      </w:r>
    </w:p>
    <w:p w14:paraId="5C9562EB" w14:textId="77777777" w:rsidR="0019363E" w:rsidRPr="00175852" w:rsidRDefault="0019363E" w:rsidP="0019363E">
      <w:pPr>
        <w:pStyle w:val="NormaAlterada"/>
        <w:rPr>
          <w:strike/>
        </w:rPr>
      </w:pPr>
      <w:r w:rsidRPr="00175852">
        <w:rPr>
          <w:strike/>
        </w:rPr>
        <w:t>c) cotas de fundos de investimento em direitos creditórios – FIDC, sendo de 5% (cinco por cento) o limite para aplicação em cotas de FIDC cujas políticas de investimento admitam a aquisição de direitos creditórios não-padronizados, conforme definidos no art. 2º, inciso XIII, do Anexo Normativo II; e</w:t>
      </w:r>
    </w:p>
    <w:p w14:paraId="0AAE523B" w14:textId="33CDD9B4" w:rsidR="0019363E" w:rsidRDefault="0019363E">
      <w:pPr>
        <w:numPr>
          <w:ilvl w:val="0"/>
          <w:numId w:val="12"/>
        </w:numPr>
        <w:tabs>
          <w:tab w:val="left" w:pos="709"/>
        </w:tabs>
        <w:spacing w:after="0" w:line="312" w:lineRule="auto"/>
        <w:ind w:left="0" w:firstLine="567"/>
        <w:jc w:val="both"/>
        <w:rPr>
          <w:rFonts w:asciiTheme="minorHAnsi" w:hAnsiTheme="minorHAnsi" w:cstheme="minorHAnsi"/>
          <w:b/>
          <w:i/>
          <w:strike/>
          <w:sz w:val="24"/>
          <w:szCs w:val="24"/>
        </w:rPr>
      </w:pPr>
      <w:r w:rsidRPr="00175852">
        <w:rPr>
          <w:rFonts w:asciiTheme="minorHAnsi" w:hAnsiTheme="minorHAnsi" w:cstheme="minorHAnsi"/>
          <w:b/>
          <w:i/>
          <w:iCs/>
          <w:strike/>
          <w:sz w:val="24"/>
          <w:szCs w:val="24"/>
        </w:rPr>
        <w:t xml:space="preserve"> Alínea c </w:t>
      </w:r>
      <w:r w:rsidRPr="00175852">
        <w:rPr>
          <w:rFonts w:asciiTheme="minorHAnsi" w:hAnsiTheme="minorHAnsi" w:cstheme="minorHAnsi"/>
          <w:b/>
          <w:i/>
          <w:strike/>
          <w:sz w:val="24"/>
          <w:szCs w:val="24"/>
        </w:rPr>
        <w:t xml:space="preserve">com redação dada pela </w:t>
      </w:r>
      <w:r w:rsidR="00354506" w:rsidRPr="00175852">
        <w:rPr>
          <w:rFonts w:asciiTheme="minorHAnsi" w:hAnsiTheme="minorHAnsi" w:cstheme="minorHAnsi"/>
          <w:b/>
          <w:i/>
          <w:strike/>
          <w:sz w:val="24"/>
          <w:szCs w:val="24"/>
        </w:rPr>
        <w:t xml:space="preserve">Resolução </w:t>
      </w:r>
      <w:r w:rsidRPr="00175852">
        <w:rPr>
          <w:rFonts w:asciiTheme="minorHAnsi" w:hAnsiTheme="minorHAnsi" w:cstheme="minorHAnsi"/>
          <w:b/>
          <w:i/>
          <w:strike/>
          <w:sz w:val="24"/>
          <w:szCs w:val="24"/>
        </w:rPr>
        <w:t>CVM nº 181, de 28 de março de 2023.</w:t>
      </w:r>
    </w:p>
    <w:p w14:paraId="44434437" w14:textId="77777777" w:rsidR="00175852" w:rsidRDefault="00175852" w:rsidP="00175852">
      <w:pPr>
        <w:pStyle w:val="NormaAlterada"/>
      </w:pPr>
      <w:r w:rsidRPr="0097459F">
        <w:t>c) cotas de fundos de investimento em direitos creditórios – FIDC, sendo de 5% (cinco por cento) o limite para aplicação em cotas de FIDC cujas políticas de investimento admitam a aquisição de direitos creditórios não-padronizados, conforme definidos no art. 2º, inciso XIII, do Anexo Normativo II;</w:t>
      </w:r>
      <w:r>
        <w:t xml:space="preserve"> </w:t>
      </w:r>
    </w:p>
    <w:p w14:paraId="1D0A0322" w14:textId="154BB26A" w:rsidR="00175852" w:rsidRPr="00DB08D5" w:rsidRDefault="00175852" w:rsidP="00175852">
      <w:pPr>
        <w:pStyle w:val="Normalalteradora"/>
        <w:numPr>
          <w:ilvl w:val="0"/>
          <w:numId w:val="40"/>
        </w:numPr>
        <w:ind w:left="709" w:hanging="142"/>
        <w:rPr>
          <w:strike/>
        </w:rPr>
      </w:pPr>
      <w:r>
        <w:rPr>
          <w:rFonts w:cstheme="minorHAnsi"/>
          <w:b/>
          <w:i/>
          <w:iCs/>
        </w:rPr>
        <w:t xml:space="preserve"> Alínea c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7510ABE5" w14:textId="77777777" w:rsidR="0019363E" w:rsidRPr="00175852" w:rsidRDefault="0019363E" w:rsidP="0019363E">
      <w:pPr>
        <w:pStyle w:val="NormaAlterada"/>
        <w:rPr>
          <w:strike/>
        </w:rPr>
      </w:pPr>
      <w:r w:rsidRPr="00175852">
        <w:rPr>
          <w:strike/>
        </w:rPr>
        <w:lastRenderedPageBreak/>
        <w:t>d) certificados de recebíveis, sendo de 5% (cinco por cento) o limite para aplicação em certificados de recebíveis cujo lastro seja composto por direitos creditórios não-padronizados, conforme definidos no art. 2º, inciso XIII, do Anexo Normativo II;</w:t>
      </w:r>
    </w:p>
    <w:p w14:paraId="1C6EA6B9" w14:textId="06BC48CC" w:rsidR="0019363E" w:rsidRDefault="0019363E">
      <w:pPr>
        <w:numPr>
          <w:ilvl w:val="0"/>
          <w:numId w:val="12"/>
        </w:numPr>
        <w:tabs>
          <w:tab w:val="left" w:pos="709"/>
        </w:tabs>
        <w:spacing w:after="0" w:line="312" w:lineRule="auto"/>
        <w:ind w:left="0" w:firstLine="567"/>
        <w:jc w:val="both"/>
        <w:rPr>
          <w:rFonts w:asciiTheme="minorHAnsi" w:hAnsiTheme="minorHAnsi" w:cstheme="minorHAnsi"/>
          <w:b/>
          <w:i/>
          <w:strike/>
          <w:sz w:val="24"/>
          <w:szCs w:val="24"/>
        </w:rPr>
      </w:pPr>
      <w:r w:rsidRPr="00175852">
        <w:rPr>
          <w:rFonts w:asciiTheme="minorHAnsi" w:hAnsiTheme="minorHAnsi" w:cstheme="minorHAnsi"/>
          <w:b/>
          <w:i/>
          <w:iCs/>
          <w:strike/>
          <w:sz w:val="24"/>
          <w:szCs w:val="24"/>
        </w:rPr>
        <w:t xml:space="preserve"> Alínea d </w:t>
      </w:r>
      <w:r w:rsidRPr="00175852">
        <w:rPr>
          <w:rFonts w:asciiTheme="minorHAnsi" w:hAnsiTheme="minorHAnsi" w:cstheme="minorHAnsi"/>
          <w:b/>
          <w:i/>
          <w:strike/>
          <w:sz w:val="24"/>
          <w:szCs w:val="24"/>
        </w:rPr>
        <w:t xml:space="preserve">incluída pela </w:t>
      </w:r>
      <w:r w:rsidR="00354506" w:rsidRPr="00175852">
        <w:rPr>
          <w:rFonts w:asciiTheme="minorHAnsi" w:hAnsiTheme="minorHAnsi" w:cstheme="minorHAnsi"/>
          <w:b/>
          <w:i/>
          <w:strike/>
          <w:sz w:val="24"/>
          <w:szCs w:val="24"/>
        </w:rPr>
        <w:t xml:space="preserve">Resolução </w:t>
      </w:r>
      <w:r w:rsidRPr="00175852">
        <w:rPr>
          <w:rFonts w:asciiTheme="minorHAnsi" w:hAnsiTheme="minorHAnsi" w:cstheme="minorHAnsi"/>
          <w:b/>
          <w:i/>
          <w:strike/>
          <w:sz w:val="24"/>
          <w:szCs w:val="24"/>
        </w:rPr>
        <w:t>CVM nº 181, de 28 de março de 2023.</w:t>
      </w:r>
    </w:p>
    <w:p w14:paraId="586B9C68" w14:textId="77777777" w:rsidR="00175852" w:rsidRDefault="00175852" w:rsidP="00175852">
      <w:pPr>
        <w:pStyle w:val="NormaAlterada"/>
      </w:pPr>
      <w:r>
        <w:t>d) certificados de recebíveis</w:t>
      </w:r>
      <w:r w:rsidRPr="004A5EB3">
        <w:t>, sendo de 5% (cinco por cento) o limite para aplicação em certificados de recebíveis cujo lastro seja composto por direitos creditórios não-padronizados, conforme definidos no art. 2º, inc</w:t>
      </w:r>
      <w:r>
        <w:t>iso XIII, do Anexo Normativo II; e</w:t>
      </w:r>
    </w:p>
    <w:p w14:paraId="289432BF" w14:textId="4FB5A0E5" w:rsidR="00175852" w:rsidRPr="00175852" w:rsidRDefault="00175852" w:rsidP="00175852">
      <w:pPr>
        <w:pStyle w:val="Normalalteradora"/>
        <w:numPr>
          <w:ilvl w:val="0"/>
          <w:numId w:val="40"/>
        </w:numPr>
        <w:ind w:left="709" w:hanging="142"/>
        <w:rPr>
          <w:strike/>
        </w:rPr>
      </w:pPr>
      <w:r>
        <w:rPr>
          <w:rFonts w:cstheme="minorHAnsi"/>
          <w:b/>
          <w:i/>
          <w:iCs/>
        </w:rPr>
        <w:t xml:space="preserve"> Alínea d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3460119D" w14:textId="77777777" w:rsidR="00175852" w:rsidRDefault="00175852" w:rsidP="00175852">
      <w:pPr>
        <w:pStyle w:val="NormaAlterada"/>
      </w:pPr>
      <w:r>
        <w:t>e) valores mobiliários representativos de dívida de emissão de companhia emissora não registrada na CVM;</w:t>
      </w:r>
    </w:p>
    <w:p w14:paraId="206A9843" w14:textId="56952174" w:rsidR="00175852" w:rsidRPr="00175852" w:rsidRDefault="00175852" w:rsidP="00175852">
      <w:pPr>
        <w:pStyle w:val="Normalalteradora"/>
        <w:numPr>
          <w:ilvl w:val="0"/>
          <w:numId w:val="40"/>
        </w:numPr>
        <w:ind w:left="709" w:hanging="142"/>
        <w:rPr>
          <w:strike/>
        </w:rPr>
      </w:pPr>
      <w:r>
        <w:rPr>
          <w:rFonts w:cstheme="minorHAnsi"/>
          <w:b/>
          <w:i/>
          <w:iCs/>
        </w:rPr>
        <w:t xml:space="preserve"> Alínea e incluída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0CA63C4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até</w:t>
      </w:r>
      <w:proofErr w:type="gramEnd"/>
      <w:r w:rsidRPr="0097459F">
        <w:rPr>
          <w:rFonts w:ascii="Calibri" w:hAnsi="Calibri" w:cs="Calibri"/>
        </w:rPr>
        <w:t xml:space="preserve"> 15% (quinze por cento) do patrimônio líquido no conjunto dos seguintes ativos:</w:t>
      </w:r>
    </w:p>
    <w:p w14:paraId="60645F3D" w14:textId="77777777" w:rsidR="00C20BBD" w:rsidRPr="0097459F" w:rsidRDefault="00C20BBD" w:rsidP="00C20BBD">
      <w:pPr>
        <w:pStyle w:val="Normalalteradora"/>
        <w:tabs>
          <w:tab w:val="left" w:pos="851"/>
        </w:tabs>
        <w:ind w:left="567" w:firstLine="0"/>
        <w:rPr>
          <w:rFonts w:ascii="Calibri" w:hAnsi="Calibri" w:cs="Calibri"/>
        </w:rPr>
      </w:pPr>
      <w:r w:rsidRPr="0097459F">
        <w:rPr>
          <w:rFonts w:ascii="Calibri" w:hAnsi="Calibri" w:cs="Calibri"/>
        </w:rPr>
        <w:t>a) cotas de fundos de investimento em participações – FIP; e</w:t>
      </w:r>
    </w:p>
    <w:p w14:paraId="05A69E60" w14:textId="1E9FB083" w:rsidR="00C20BBD" w:rsidRPr="0097459F" w:rsidRDefault="00C20BBD" w:rsidP="00C20BBD">
      <w:pPr>
        <w:pStyle w:val="Normalalteradora"/>
        <w:rPr>
          <w:rFonts w:ascii="Calibri" w:hAnsi="Calibri" w:cs="Calibri"/>
        </w:rPr>
      </w:pPr>
      <w:r w:rsidRPr="0097459F">
        <w:rPr>
          <w:rFonts w:ascii="Calibri" w:hAnsi="Calibri" w:cs="Calibri"/>
        </w:rPr>
        <w:t>b) cotas de fundos de investimento nas cadeias produtivas agroindustriais – FIAGRO, sendo de 5% (cinco por cento) o limite para aplicação em cotas de FIAGRO cujas políticas de investimento admitam a aquisição de direitos creditórios não-padronizados, conforme definidos no art. 2º, inci</w:t>
      </w:r>
      <w:r w:rsidR="00967B1C" w:rsidRPr="0097459F">
        <w:rPr>
          <w:rFonts w:ascii="Calibri" w:hAnsi="Calibri" w:cs="Calibri"/>
        </w:rPr>
        <w:t>so X</w:t>
      </w:r>
      <w:r w:rsidRPr="0097459F">
        <w:rPr>
          <w:rFonts w:ascii="Calibri" w:hAnsi="Calibri" w:cs="Calibri"/>
        </w:rPr>
        <w:t xml:space="preserve">III, do Anexo </w:t>
      </w:r>
      <w:r w:rsidR="00967B1C" w:rsidRPr="0097459F">
        <w:rPr>
          <w:rFonts w:ascii="Calibri" w:hAnsi="Calibri" w:cs="Calibri"/>
        </w:rPr>
        <w:t>Normativo II</w:t>
      </w:r>
      <w:r w:rsidRPr="0097459F">
        <w:rPr>
          <w:rFonts w:ascii="Calibri" w:hAnsi="Calibri" w:cs="Calibri"/>
        </w:rPr>
        <w:t>;</w:t>
      </w:r>
    </w:p>
    <w:p w14:paraId="64167BF9" w14:textId="77777777" w:rsidR="00C20BBD" w:rsidRPr="0097459F" w:rsidRDefault="00C20BBD" w:rsidP="00C20BBD">
      <w:pPr>
        <w:pStyle w:val="Normalalteradora"/>
        <w:rPr>
          <w:rFonts w:ascii="Calibri" w:hAnsi="Calibri" w:cs="Calibri"/>
        </w:rPr>
      </w:pPr>
      <w:r w:rsidRPr="0097459F">
        <w:rPr>
          <w:rFonts w:ascii="Calibri" w:hAnsi="Calibri" w:cs="Calibri"/>
        </w:rPr>
        <w:t>III – até 10% (dez por cento) do patrimônio líquido para o conjunto dos seguintes ativos:</w:t>
      </w:r>
    </w:p>
    <w:p w14:paraId="4D9EFB03" w14:textId="338822EC" w:rsidR="00C20BBD" w:rsidRDefault="00BF5240" w:rsidP="00BF5240">
      <w:pPr>
        <w:pStyle w:val="Normalalteradora"/>
        <w:rPr>
          <w:rFonts w:ascii="Calibri" w:hAnsi="Calibri" w:cs="Calibri"/>
        </w:rPr>
      </w:pPr>
      <w:r>
        <w:rPr>
          <w:rFonts w:ascii="Calibri" w:hAnsi="Calibri" w:cs="Calibri"/>
        </w:rPr>
        <w:t xml:space="preserve">a) </w:t>
      </w:r>
      <w:r w:rsidR="00C20BBD" w:rsidRPr="0097459F">
        <w:rPr>
          <w:rFonts w:ascii="Calibri" w:hAnsi="Calibri" w:cs="Calibri"/>
        </w:rPr>
        <w:t>títulos e contratos de investimento coletivo, o que inclui, mas não se limita, aos CIC-hoteleiros, observado o requisito previsto no § 1º do art. 39 deste Anexo Normativo I;</w:t>
      </w:r>
    </w:p>
    <w:p w14:paraId="34072586" w14:textId="15B47F0B" w:rsidR="00C63609" w:rsidRDefault="00C63609" w:rsidP="00BF5240">
      <w:pPr>
        <w:pStyle w:val="Normalalteradora"/>
        <w:rPr>
          <w:rFonts w:ascii="Calibri" w:hAnsi="Calibri" w:cs="Calibri"/>
          <w:strike/>
        </w:rPr>
      </w:pPr>
      <w:r w:rsidRPr="0019363E">
        <w:rPr>
          <w:rFonts w:ascii="Calibri" w:hAnsi="Calibri" w:cs="Calibri"/>
          <w:strike/>
        </w:rPr>
        <w:t>b) CBIO, créditos de carbono e créditos de metano</w:t>
      </w:r>
      <w:r w:rsidRPr="0019363E" w:rsidDel="004D10E9">
        <w:rPr>
          <w:rFonts w:ascii="Calibri" w:hAnsi="Calibri" w:cs="Calibri"/>
          <w:strike/>
        </w:rPr>
        <w:t>;</w:t>
      </w:r>
      <w:r w:rsidRPr="0019363E">
        <w:rPr>
          <w:rFonts w:ascii="Calibri" w:hAnsi="Calibri" w:cs="Calibri"/>
          <w:strike/>
        </w:rPr>
        <w:t xml:space="preserve"> e</w:t>
      </w:r>
    </w:p>
    <w:p w14:paraId="20648458" w14:textId="77777777" w:rsidR="0019363E" w:rsidRDefault="0019363E" w:rsidP="0019363E">
      <w:pPr>
        <w:pStyle w:val="Normalalteradora"/>
        <w:rPr>
          <w:rFonts w:ascii="Calibri" w:hAnsi="Calibri" w:cs="Calibri"/>
        </w:rPr>
      </w:pPr>
      <w:r>
        <w:t xml:space="preserve">b) </w:t>
      </w:r>
      <w:r w:rsidRPr="0097459F">
        <w:rPr>
          <w:rFonts w:ascii="Calibri" w:hAnsi="Calibri" w:cs="Calibri"/>
        </w:rPr>
        <w:t>CBIO</w:t>
      </w:r>
      <w:r>
        <w:rPr>
          <w:rFonts w:ascii="Calibri" w:hAnsi="Calibri" w:cs="Calibri"/>
        </w:rPr>
        <w:t xml:space="preserve"> e</w:t>
      </w:r>
      <w:r w:rsidRPr="0097459F">
        <w:rPr>
          <w:rFonts w:ascii="Calibri" w:hAnsi="Calibri" w:cs="Calibri"/>
        </w:rPr>
        <w:t xml:space="preserve"> créditos de carbono</w:t>
      </w:r>
      <w:r w:rsidRPr="0097459F" w:rsidDel="004D10E9">
        <w:rPr>
          <w:rFonts w:ascii="Calibri" w:hAnsi="Calibri" w:cs="Calibri"/>
        </w:rPr>
        <w:t>;</w:t>
      </w:r>
      <w:r w:rsidRPr="0097459F">
        <w:rPr>
          <w:rFonts w:ascii="Calibri" w:hAnsi="Calibri" w:cs="Calibri"/>
        </w:rPr>
        <w:t xml:space="preserve"> e</w:t>
      </w:r>
    </w:p>
    <w:p w14:paraId="487A8C48" w14:textId="0EB3C675"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Alínea b </w:t>
      </w:r>
      <w:r w:rsidRPr="00D960C9">
        <w:rPr>
          <w:rFonts w:asciiTheme="minorHAnsi" w:hAnsiTheme="minorHAnsi" w:cstheme="minorHAnsi"/>
          <w:b/>
          <w:i/>
          <w:sz w:val="24"/>
          <w:szCs w:val="24"/>
        </w:rPr>
        <w:t xml:space="preserve">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1746859" w14:textId="77777777" w:rsidR="00C20BBD" w:rsidRPr="0097459F" w:rsidRDefault="00C20BBD" w:rsidP="00C20BBD">
      <w:pPr>
        <w:pStyle w:val="Normalalteradora"/>
        <w:rPr>
          <w:rFonts w:ascii="Calibri" w:hAnsi="Calibri" w:cs="Calibri"/>
        </w:rPr>
      </w:pPr>
      <w:r w:rsidRPr="0097459F">
        <w:rPr>
          <w:rFonts w:ascii="Calibri" w:hAnsi="Calibri" w:cs="Calibri"/>
        </w:rPr>
        <w:t>c) criptoativos;</w:t>
      </w:r>
    </w:p>
    <w:p w14:paraId="69D3D554" w14:textId="77777777" w:rsidR="00C20BBD" w:rsidRDefault="00C20BBD" w:rsidP="00C20BBD">
      <w:pPr>
        <w:pStyle w:val="Normalalteradora"/>
        <w:rPr>
          <w:rFonts w:ascii="Calibri" w:hAnsi="Calibri" w:cs="Calibri"/>
        </w:rPr>
      </w:pPr>
      <w:r w:rsidRPr="0097459F">
        <w:rPr>
          <w:rFonts w:ascii="Calibri" w:hAnsi="Calibri" w:cs="Calibri"/>
        </w:rPr>
        <w:t xml:space="preserve">d) valores mobiliários emitidos por meio de plataformas eletrônicas de investimento participativo, desde que sejam objeto de escrituração realizada por </w:t>
      </w:r>
      <w:proofErr w:type="spellStart"/>
      <w:r w:rsidRPr="0097459F">
        <w:rPr>
          <w:rFonts w:ascii="Calibri" w:hAnsi="Calibri" w:cs="Calibri"/>
        </w:rPr>
        <w:t>escriturador</w:t>
      </w:r>
      <w:proofErr w:type="spellEnd"/>
      <w:r w:rsidRPr="0097459F">
        <w:rPr>
          <w:rFonts w:ascii="Calibri" w:hAnsi="Calibri" w:cs="Calibri"/>
        </w:rPr>
        <w:t xml:space="preserve"> autorizado pela CVM; e</w:t>
      </w:r>
    </w:p>
    <w:p w14:paraId="61046C11" w14:textId="77777777" w:rsidR="00175852" w:rsidRDefault="00175852" w:rsidP="00175852">
      <w:pPr>
        <w:pStyle w:val="NormaAlterada"/>
      </w:pPr>
      <w:r>
        <w:lastRenderedPageBreak/>
        <w:t>e) outros ativos financeiros não previstos nos incisos I, II e IV deste artigo; e</w:t>
      </w:r>
    </w:p>
    <w:p w14:paraId="5E864B52" w14:textId="443D2B5D" w:rsidR="00175852" w:rsidRPr="00175852" w:rsidRDefault="00175852" w:rsidP="00175852">
      <w:pPr>
        <w:pStyle w:val="Normalalteradora"/>
        <w:numPr>
          <w:ilvl w:val="0"/>
          <w:numId w:val="40"/>
        </w:numPr>
        <w:ind w:left="709" w:hanging="142"/>
        <w:rPr>
          <w:strike/>
        </w:rPr>
      </w:pPr>
      <w:r>
        <w:rPr>
          <w:rFonts w:cstheme="minorHAnsi"/>
          <w:b/>
          <w:i/>
          <w:iCs/>
        </w:rPr>
        <w:t xml:space="preserve"> Alínea e incluída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7EABDDC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não</w:t>
      </w:r>
      <w:proofErr w:type="gramEnd"/>
      <w:r w:rsidRPr="0097459F">
        <w:rPr>
          <w:rFonts w:ascii="Calibri" w:hAnsi="Calibri" w:cs="Calibri"/>
        </w:rPr>
        <w:t xml:space="preserve"> há limite de concentração por modalidade de ativo financeiro para o investimento em:</w:t>
      </w:r>
    </w:p>
    <w:p w14:paraId="226897BA"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 e operações compromissadas lastreadas nesses títulos;</w:t>
      </w:r>
    </w:p>
    <w:p w14:paraId="21919277" w14:textId="77777777" w:rsidR="00C20BBD" w:rsidRPr="0097459F" w:rsidRDefault="00C20BBD" w:rsidP="00C20BBD">
      <w:pPr>
        <w:pStyle w:val="Normalalteradora"/>
        <w:rPr>
          <w:rFonts w:ascii="Calibri" w:hAnsi="Calibri" w:cs="Calibri"/>
        </w:rPr>
      </w:pPr>
      <w:r w:rsidRPr="0097459F">
        <w:rPr>
          <w:rFonts w:ascii="Calibri" w:hAnsi="Calibri" w:cs="Calibri"/>
        </w:rPr>
        <w:t>b) ouro financeiro, desde que negociado em mercado organizado;</w:t>
      </w:r>
    </w:p>
    <w:p w14:paraId="68AC952D" w14:textId="77777777" w:rsidR="00C20BBD" w:rsidRPr="0097459F" w:rsidRDefault="00C20BBD" w:rsidP="00C20BBD">
      <w:pPr>
        <w:pStyle w:val="Normalalteradora"/>
        <w:rPr>
          <w:rFonts w:ascii="Calibri" w:hAnsi="Calibri" w:cs="Calibri"/>
        </w:rPr>
      </w:pPr>
      <w:r w:rsidRPr="0097459F">
        <w:rPr>
          <w:rFonts w:ascii="Calibri" w:hAnsi="Calibri" w:cs="Calibri"/>
        </w:rPr>
        <w:t>c) títulos de emissão ou coobrigação de instituição financeira autorizada a funcionar pelo Banco Central do Brasil e operações compromissadas lastreadas nesses títulos;</w:t>
      </w:r>
    </w:p>
    <w:p w14:paraId="3FE3D729" w14:textId="77777777" w:rsidR="00C20BBD" w:rsidRPr="0097459F" w:rsidRDefault="00C20BBD" w:rsidP="00C20BBD">
      <w:pPr>
        <w:pStyle w:val="Normalalteradora"/>
        <w:rPr>
          <w:rFonts w:ascii="Calibri" w:hAnsi="Calibri" w:cs="Calibri"/>
        </w:rPr>
      </w:pPr>
      <w:r w:rsidRPr="0097459F">
        <w:rPr>
          <w:rFonts w:ascii="Calibri" w:hAnsi="Calibri" w:cs="Calibri"/>
        </w:rPr>
        <w:t>d) notas promissórias, debêntures, notas comerciais, ações e certificados de depósito de valores mobiliários, desde que tenham sido emitidas por companhias abertas e objeto de oferta pública;</w:t>
      </w:r>
    </w:p>
    <w:p w14:paraId="22C20462" w14:textId="77777777" w:rsidR="00C20BBD" w:rsidRPr="0097459F" w:rsidRDefault="00C20BBD" w:rsidP="00C20BBD">
      <w:pPr>
        <w:pStyle w:val="Normalalteradora"/>
        <w:rPr>
          <w:rFonts w:ascii="Calibri" w:hAnsi="Calibri" w:cs="Calibri"/>
        </w:rPr>
      </w:pPr>
      <w:r w:rsidRPr="0097459F">
        <w:rPr>
          <w:rFonts w:ascii="Calibri" w:hAnsi="Calibri" w:cs="Calibri"/>
        </w:rPr>
        <w:t>e) bônus e recibos de subscrição, cupons e quaisquer outros ativos decorrentes dos valores mobiliários referidos na alínea “d”;</w:t>
      </w:r>
    </w:p>
    <w:p w14:paraId="082ED7D5" w14:textId="77777777" w:rsidR="00C20BBD" w:rsidRPr="0097459F" w:rsidRDefault="00C20BBD" w:rsidP="00C20BBD">
      <w:pPr>
        <w:pStyle w:val="Normalalteradora"/>
        <w:rPr>
          <w:rFonts w:ascii="Calibri" w:hAnsi="Calibri" w:cs="Calibri"/>
        </w:rPr>
      </w:pPr>
      <w:r w:rsidRPr="0097459F">
        <w:rPr>
          <w:rFonts w:ascii="Calibri" w:hAnsi="Calibri" w:cs="Calibri"/>
        </w:rPr>
        <w:t>f) cotas de classe de FIF destinadas ao público em geral;</w:t>
      </w:r>
    </w:p>
    <w:p w14:paraId="081AAAA6" w14:textId="77777777" w:rsidR="00C20BBD" w:rsidRPr="0097459F" w:rsidRDefault="00C20BBD" w:rsidP="00C20BBD">
      <w:pPr>
        <w:pStyle w:val="Normalalteradora"/>
        <w:tabs>
          <w:tab w:val="left" w:pos="851"/>
        </w:tabs>
        <w:rPr>
          <w:rFonts w:ascii="Calibri" w:hAnsi="Calibri" w:cs="Calibri"/>
        </w:rPr>
      </w:pPr>
      <w:r w:rsidRPr="0097459F">
        <w:rPr>
          <w:rFonts w:ascii="Calibri" w:hAnsi="Calibri" w:cs="Calibri"/>
        </w:rPr>
        <w:t>g) ETF;</w:t>
      </w:r>
    </w:p>
    <w:p w14:paraId="0211527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h) </w:t>
      </w:r>
      <w:proofErr w:type="spellStart"/>
      <w:r w:rsidRPr="0097459F">
        <w:rPr>
          <w:rFonts w:ascii="Calibri" w:hAnsi="Calibri" w:cs="Calibri"/>
        </w:rPr>
        <w:t>BDR-Ações</w:t>
      </w:r>
      <w:proofErr w:type="spellEnd"/>
      <w:r w:rsidRPr="0097459F">
        <w:rPr>
          <w:rFonts w:ascii="Calibri" w:hAnsi="Calibri" w:cs="Calibri"/>
        </w:rPr>
        <w:t>, BDR-Dívida Corporativa e BDR-ETF;</w:t>
      </w:r>
    </w:p>
    <w:p w14:paraId="6D963104" w14:textId="77777777" w:rsidR="00C20BBD" w:rsidRPr="0097459F" w:rsidRDefault="00C20BBD" w:rsidP="00C20BBD">
      <w:pPr>
        <w:pStyle w:val="Normalalteradora"/>
        <w:rPr>
          <w:rFonts w:ascii="Calibri" w:hAnsi="Calibri" w:cs="Calibri"/>
        </w:rPr>
      </w:pPr>
      <w:r w:rsidRPr="0097459F">
        <w:rPr>
          <w:rFonts w:ascii="Calibri" w:hAnsi="Calibri" w:cs="Calibri"/>
        </w:rPr>
        <w:t>i) contratos derivativos, exceto se referenciados nos ativos listados nos incisos I a III deste artigo; e</w:t>
      </w:r>
    </w:p>
    <w:p w14:paraId="35E35BB8" w14:textId="77777777" w:rsidR="00C20BBD" w:rsidRPr="0097459F" w:rsidRDefault="00C20BBD" w:rsidP="00C20BBD">
      <w:pPr>
        <w:pStyle w:val="Normalalteradora"/>
        <w:rPr>
          <w:rFonts w:ascii="Calibri" w:hAnsi="Calibri" w:cs="Calibri"/>
        </w:rPr>
      </w:pPr>
      <w:r w:rsidRPr="0097459F">
        <w:rPr>
          <w:rFonts w:ascii="Calibri" w:hAnsi="Calibri" w:cs="Calibri"/>
        </w:rPr>
        <w:t>j) ativos, perfeitamente fungíveis de uma única emissão de valores mobiliários, desde que essa aplicação em específico constitua a política de investimento da classe e os ativos tenham sido emitidas por companhias abertas e objeto de oferta pública.</w:t>
      </w:r>
    </w:p>
    <w:p w14:paraId="6E427696"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w:t>
      </w:r>
      <w:proofErr w:type="gramEnd"/>
      <w:r w:rsidRPr="0097459F">
        <w:rPr>
          <w:rFonts w:ascii="Calibri" w:hAnsi="Calibri" w:cs="Calibri"/>
        </w:rPr>
        <w:t xml:space="preserve"> limite previsto no inciso I do </w:t>
      </w:r>
      <w:r w:rsidRPr="0097459F">
        <w:rPr>
          <w:rFonts w:ascii="Calibri" w:hAnsi="Calibri" w:cs="Calibri"/>
          <w:b/>
        </w:rPr>
        <w:t>caput</w:t>
      </w:r>
      <w:r w:rsidRPr="0097459F">
        <w:rPr>
          <w:rFonts w:ascii="Calibri" w:hAnsi="Calibri" w:cs="Calibri"/>
        </w:rPr>
        <w:t xml:space="preserve"> pode alcançar até 40% (quarenta por cento) do patrimônio líquido da classe, caso os 20% (vinte por cento) adicionais ao limite ordinário sejam compostos por ativos que contem com formador de mercado, que mantenha ofertas de compra e venda de forma regular e contínua ao longo de todas as sessões do mercado organizado em que os ativos estejam admitidos à negociação.</w:t>
      </w:r>
    </w:p>
    <w:p w14:paraId="06CC430B"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w:t>
      </w:r>
      <w:proofErr w:type="gramEnd"/>
      <w:r w:rsidRPr="0097459F">
        <w:rPr>
          <w:rFonts w:ascii="Calibri" w:hAnsi="Calibri" w:cs="Calibri"/>
        </w:rPr>
        <w:t xml:space="preserve"> limite previsto no inciso II do </w:t>
      </w:r>
      <w:r w:rsidRPr="0097459F">
        <w:rPr>
          <w:rFonts w:ascii="Calibri" w:hAnsi="Calibri" w:cs="Calibri"/>
          <w:b/>
        </w:rPr>
        <w:t>caput</w:t>
      </w:r>
      <w:r w:rsidRPr="0097459F">
        <w:rPr>
          <w:rFonts w:ascii="Calibri" w:hAnsi="Calibri" w:cs="Calibri"/>
        </w:rPr>
        <w:t xml:space="preserve"> pode alcançar até 25% (vinte e cinco por cento) do patrimônio líquido da classe, caso os 10% (dez por cento) adicionais ao limite ordinário sejam compostos por cotas que contem com formador de mercado, que mantenha ofertas de compra e venda de forma </w:t>
      </w:r>
      <w:r w:rsidRPr="0097459F">
        <w:rPr>
          <w:rFonts w:ascii="Calibri" w:hAnsi="Calibri" w:cs="Calibri"/>
        </w:rPr>
        <w:lastRenderedPageBreak/>
        <w:t>regular e contínua ao longo de todas as sessões do mercado organizado em que as cotas estejam admitidas à negociação.</w:t>
      </w:r>
    </w:p>
    <w:p w14:paraId="6534BBDC"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As</w:t>
      </w:r>
      <w:proofErr w:type="gramEnd"/>
      <w:r w:rsidRPr="0097459F">
        <w:rPr>
          <w:rFonts w:ascii="Calibri" w:hAnsi="Calibri" w:cs="Calibri"/>
        </w:rPr>
        <w:t xml:space="preserve"> operações com contratos derivativos referenciados nos ativos listados nos incisos I a IV do </w:t>
      </w:r>
      <w:r w:rsidRPr="0097459F">
        <w:rPr>
          <w:rFonts w:ascii="Calibri" w:hAnsi="Calibri" w:cs="Calibri"/>
          <w:b/>
        </w:rPr>
        <w:t>caput</w:t>
      </w:r>
      <w:r w:rsidRPr="0097459F">
        <w:rPr>
          <w:rFonts w:ascii="Calibri" w:hAnsi="Calibri" w:cs="Calibri"/>
        </w:rPr>
        <w:t xml:space="preserve"> incluem-se no cômputo dos limites estabelecidos para seus ativos subjacentes, observado, ainda, o disposto no art. 43, § 3º, deste Anexo Normativo I.</w:t>
      </w:r>
    </w:p>
    <w:p w14:paraId="3317CFF9"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Aplicam</w:t>
      </w:r>
      <w:proofErr w:type="gramEnd"/>
      <w:r w:rsidRPr="0097459F">
        <w:rPr>
          <w:rFonts w:ascii="Calibri" w:hAnsi="Calibri" w:cs="Calibri"/>
        </w:rPr>
        <w:t xml:space="preserve">-se os limites de concentração de que trata o </w:t>
      </w:r>
      <w:r w:rsidRPr="0097459F">
        <w:rPr>
          <w:rFonts w:ascii="Calibri" w:hAnsi="Calibri" w:cs="Calibri"/>
          <w:b/>
        </w:rPr>
        <w:t>caput</w:t>
      </w:r>
      <w:r w:rsidRPr="0097459F">
        <w:rPr>
          <w:rFonts w:ascii="Calibri" w:hAnsi="Calibri" w:cs="Calibri"/>
        </w:rPr>
        <w:t xml:space="preserve"> aos ativos objeto das operações compromissadas em que seja assumido compromisso de recompra.</w:t>
      </w:r>
    </w:p>
    <w:p w14:paraId="33925042"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Somente</w:t>
      </w:r>
      <w:proofErr w:type="gramEnd"/>
      <w:r w:rsidRPr="0097459F">
        <w:rPr>
          <w:rFonts w:ascii="Calibri" w:hAnsi="Calibri" w:cs="Calibri"/>
        </w:rPr>
        <w:t xml:space="preserve"> as classes exclusivamente destinadas a investidores profissionais, nos limites previstos em seus regulamentos, podem aplicar recursos em classes de cotas das seguintes categorias:</w:t>
      </w:r>
    </w:p>
    <w:p w14:paraId="0F1DD4C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fundos</w:t>
      </w:r>
      <w:proofErr w:type="gramEnd"/>
      <w:r w:rsidRPr="0097459F">
        <w:rPr>
          <w:rFonts w:ascii="Calibri" w:hAnsi="Calibri" w:cs="Calibri"/>
        </w:rPr>
        <w:t xml:space="preserve"> de financiamento da indústria cinematográfica nacional - FUNCINE;</w:t>
      </w:r>
    </w:p>
    <w:p w14:paraId="0678F09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fundos</w:t>
      </w:r>
      <w:proofErr w:type="gramEnd"/>
      <w:r w:rsidRPr="0097459F">
        <w:rPr>
          <w:rFonts w:ascii="Calibri" w:hAnsi="Calibri" w:cs="Calibri"/>
        </w:rPr>
        <w:t xml:space="preserve"> mútuos de ações incentivadas - FMAI; e</w:t>
      </w:r>
    </w:p>
    <w:p w14:paraId="68B1EACD" w14:textId="77777777" w:rsidR="00C20BBD" w:rsidRPr="0097459F" w:rsidRDefault="00C20BBD" w:rsidP="00C20BBD">
      <w:pPr>
        <w:pStyle w:val="Normalalteradora"/>
        <w:rPr>
          <w:rFonts w:ascii="Calibri" w:hAnsi="Calibri" w:cs="Calibri"/>
        </w:rPr>
      </w:pPr>
      <w:r w:rsidRPr="0097459F">
        <w:rPr>
          <w:rFonts w:ascii="Calibri" w:hAnsi="Calibri" w:cs="Calibri"/>
        </w:rPr>
        <w:t>III – fundos de investimento cultural e artístico – FICART.</w:t>
      </w:r>
    </w:p>
    <w:p w14:paraId="0C89AB8B" w14:textId="77777777" w:rsidR="00C20BBD" w:rsidRPr="0097459F" w:rsidRDefault="00C20BBD" w:rsidP="00C20BBD">
      <w:pPr>
        <w:pStyle w:val="Normalalteradora"/>
        <w:rPr>
          <w:rFonts w:ascii="Calibri" w:hAnsi="Calibri" w:cs="Calibri"/>
        </w:rPr>
      </w:pPr>
      <w:r w:rsidRPr="0097459F">
        <w:rPr>
          <w:rFonts w:ascii="Calibri" w:hAnsi="Calibri" w:cs="Calibri"/>
        </w:rPr>
        <w:t>§ 6</w:t>
      </w:r>
      <w:proofErr w:type="gramStart"/>
      <w:r w:rsidRPr="0097459F">
        <w:rPr>
          <w:rFonts w:ascii="Calibri" w:hAnsi="Calibri" w:cs="Calibri"/>
        </w:rPr>
        <w:t>º  Os</w:t>
      </w:r>
      <w:proofErr w:type="gramEnd"/>
      <w:r w:rsidRPr="0097459F">
        <w:rPr>
          <w:rFonts w:ascii="Calibri" w:hAnsi="Calibri" w:cs="Calibri"/>
        </w:rPr>
        <w:t xml:space="preserve"> limites dispostos neste artigo não se aplicam à carteira de ativos da classe de cotas do fundo incentivado de investimento em infraestrutura – FI-Infra.</w:t>
      </w:r>
    </w:p>
    <w:p w14:paraId="1886AAA5" w14:textId="77777777" w:rsidR="00C20BBD" w:rsidRPr="0097459F" w:rsidRDefault="00C20BBD" w:rsidP="00C20BBD">
      <w:pPr>
        <w:pStyle w:val="Seo"/>
      </w:pPr>
      <w:bookmarkStart w:id="483" w:name="_Toc53594249"/>
      <w:bookmarkStart w:id="484" w:name="_Toc53594497"/>
      <w:bookmarkStart w:id="485" w:name="_Toc53595522"/>
      <w:bookmarkStart w:id="486" w:name="_Toc57836258"/>
      <w:bookmarkStart w:id="487" w:name="_Toc161141272"/>
      <w:r w:rsidRPr="0097459F">
        <w:t>Seção VI – Deveres Quanto aos Limites de Concentração</w:t>
      </w:r>
      <w:bookmarkEnd w:id="483"/>
      <w:bookmarkEnd w:id="484"/>
      <w:bookmarkEnd w:id="485"/>
      <w:bookmarkEnd w:id="486"/>
      <w:bookmarkEnd w:id="487"/>
    </w:p>
    <w:p w14:paraId="014D49CC"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46.  Os limites de composição e concentração de carteira, de exposição </w:t>
      </w:r>
      <w:proofErr w:type="spellStart"/>
      <w:r w:rsidRPr="0097459F">
        <w:rPr>
          <w:rFonts w:ascii="Calibri" w:hAnsi="Calibri" w:cs="Calibri"/>
        </w:rPr>
        <w:t>a</w:t>
      </w:r>
      <w:proofErr w:type="spellEnd"/>
      <w:r w:rsidRPr="0097459F">
        <w:rPr>
          <w:rFonts w:ascii="Calibri" w:hAnsi="Calibri" w:cs="Calibri"/>
        </w:rPr>
        <w:t xml:space="preserve"> risco de capital e de concentração em fatores de risco devem ser cumpridos pelo gestor, com base no patrimônio líquido da classe, cabendo ao gestor, quando for o caso, diligenciar pelo seu reenquadramento no melhor interesse dos cotistas.</w:t>
      </w:r>
    </w:p>
    <w:p w14:paraId="0D14C006"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Sem</w:t>
      </w:r>
      <w:proofErr w:type="gramEnd"/>
      <w:r w:rsidRPr="0097459F">
        <w:rPr>
          <w:rFonts w:ascii="Calibri" w:hAnsi="Calibri" w:cs="Calibri"/>
        </w:rPr>
        <w:t xml:space="preserve"> prejuízo da responsabilidade do gestor, o administrador deve informar à CVM caso a carteira de ativos permaneça desenquadrada por 10 (dez) dias úteis consecutivos, até o final do dia útil seguinte ao encerramento do prazo, bem como informar seu reenquadramento tão logo verificado.</w:t>
      </w:r>
    </w:p>
    <w:p w14:paraId="70176066"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Na</w:t>
      </w:r>
      <w:proofErr w:type="gramEnd"/>
      <w:r w:rsidRPr="0097459F">
        <w:rPr>
          <w:rFonts w:ascii="Calibri" w:hAnsi="Calibri" w:cs="Calibri"/>
        </w:rPr>
        <w:t xml:space="preserve"> hipótese prevista no § 1º, o gestor deve encaminhar à CVM um plano de ação para o reenquadramento da carteira, no mesmo prazo, de modo isolado ou conjuntamente ao expediente do administrador.</w:t>
      </w:r>
    </w:p>
    <w:p w14:paraId="4BDA1391"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O</w:t>
      </w:r>
      <w:proofErr w:type="gramEnd"/>
      <w:r w:rsidRPr="0097459F">
        <w:rPr>
          <w:rFonts w:ascii="Calibri" w:hAnsi="Calibri" w:cs="Calibri"/>
        </w:rPr>
        <w:t xml:space="preserve"> gestor deve assegurar-se de que, na consolidação das aplicações da classe investidora com as das classes investidas, os limites referidos no </w:t>
      </w:r>
      <w:r w:rsidRPr="0097459F">
        <w:rPr>
          <w:rFonts w:ascii="Calibri" w:hAnsi="Calibri" w:cs="Calibri"/>
          <w:b/>
        </w:rPr>
        <w:t>caput</w:t>
      </w:r>
      <w:r w:rsidRPr="0097459F">
        <w:rPr>
          <w:rFonts w:ascii="Calibri" w:hAnsi="Calibri" w:cs="Calibri"/>
        </w:rPr>
        <w:t xml:space="preserve"> não são excedidos.</w:t>
      </w:r>
    </w:p>
    <w:p w14:paraId="082D7021"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4</w:t>
      </w:r>
      <w:proofErr w:type="gramStart"/>
      <w:r w:rsidRPr="0097459F">
        <w:rPr>
          <w:rFonts w:ascii="Calibri" w:hAnsi="Calibri" w:cs="Calibri"/>
        </w:rPr>
        <w:t>º  Ficam</w:t>
      </w:r>
      <w:proofErr w:type="gramEnd"/>
      <w:r w:rsidRPr="0097459F">
        <w:rPr>
          <w:rFonts w:ascii="Calibri" w:hAnsi="Calibri" w:cs="Calibri"/>
        </w:rPr>
        <w:t xml:space="preserve"> dispensadas da obrigação de que trata o § 3º as aplicações realizadas em:</w:t>
      </w:r>
    </w:p>
    <w:p w14:paraId="52335C48"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classes</w:t>
      </w:r>
      <w:proofErr w:type="gramEnd"/>
      <w:r w:rsidRPr="0097459F">
        <w:rPr>
          <w:rFonts w:ascii="Calibri" w:hAnsi="Calibri" w:cs="Calibri"/>
        </w:rPr>
        <w:t xml:space="preserve"> geridas por terceiros não ligados ao gestor da classe investidora;</w:t>
      </w:r>
    </w:p>
    <w:p w14:paraId="17681C23" w14:textId="77777777" w:rsidR="00C20BBD" w:rsidRPr="0097459F" w:rsidRDefault="00C20BBD" w:rsidP="00C20BBD">
      <w:pPr>
        <w:pStyle w:val="Normalalteradora"/>
        <w:rPr>
          <w:rFonts w:ascii="Calibri" w:hAnsi="Calibri" w:cs="Calibri"/>
        </w:rPr>
      </w:pPr>
      <w:r w:rsidRPr="0097459F">
        <w:rPr>
          <w:rFonts w:ascii="Calibri" w:hAnsi="Calibri" w:cs="Calibri"/>
        </w:rPr>
        <w:t>II – ETF; e</w:t>
      </w:r>
    </w:p>
    <w:p w14:paraId="100C265C" w14:textId="77777777" w:rsidR="00C20BBD" w:rsidRPr="0097459F" w:rsidRDefault="00C20BBD" w:rsidP="00C20BBD">
      <w:pPr>
        <w:pStyle w:val="Normalalteradora"/>
        <w:rPr>
          <w:rFonts w:ascii="Calibri" w:hAnsi="Calibri" w:cs="Calibri"/>
        </w:rPr>
      </w:pPr>
      <w:r w:rsidRPr="0097459F">
        <w:rPr>
          <w:rFonts w:ascii="Calibri" w:hAnsi="Calibri" w:cs="Calibri"/>
        </w:rPr>
        <w:t>III – fundos e classes de cotas que não sejam categorizados como FIF.</w:t>
      </w:r>
    </w:p>
    <w:p w14:paraId="3D286160"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Para</w:t>
      </w:r>
      <w:proofErr w:type="gramEnd"/>
      <w:r w:rsidRPr="0097459F">
        <w:rPr>
          <w:rFonts w:ascii="Calibri" w:hAnsi="Calibri" w:cs="Calibri"/>
        </w:rPr>
        <w:t xml:space="preserve"> que possa se valer da dispensa de que trata o § 4º, o regulamento da classe investidora deve prever vedação expressa à aplicação em cotas de classes e subclasses destinadas exclusivamente a investidores profissionais.</w:t>
      </w:r>
    </w:p>
    <w:p w14:paraId="512C846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47.  As classes de cotas têm os seguintes prazos máximos para atingir os limites de concentração por emissor e por modalidade de ativo financeiro, conforme estabelecidos por este Anexo Normativo I e por seu regulamento: </w:t>
      </w:r>
    </w:p>
    <w:p w14:paraId="33E140A9" w14:textId="77777777" w:rsidR="00C20BBD" w:rsidRPr="0097459F" w:rsidRDefault="00C20BBD" w:rsidP="00C20BBD">
      <w:pPr>
        <w:pStyle w:val="Normalalteradora"/>
        <w:rPr>
          <w:rFonts w:ascii="Calibri" w:hAnsi="Calibri" w:cs="Calibri"/>
        </w:rPr>
      </w:pPr>
      <w:r w:rsidRPr="0097459F">
        <w:rPr>
          <w:rFonts w:ascii="Calibri" w:hAnsi="Calibri" w:cs="Calibri"/>
        </w:rPr>
        <w:t>I – 60 (sessenta) dias, a contar da data da primeira integralização de cotas, para as classes abertas; e</w:t>
      </w:r>
    </w:p>
    <w:p w14:paraId="637A5EEC" w14:textId="77777777" w:rsidR="00C20BBD" w:rsidRPr="0097459F" w:rsidRDefault="00C20BBD" w:rsidP="00C20BBD">
      <w:pPr>
        <w:pStyle w:val="Normalalteradora"/>
        <w:rPr>
          <w:rFonts w:ascii="Calibri" w:hAnsi="Calibri" w:cs="Calibri"/>
        </w:rPr>
      </w:pPr>
      <w:r w:rsidRPr="0097459F">
        <w:rPr>
          <w:rFonts w:ascii="Calibri" w:hAnsi="Calibri" w:cs="Calibri"/>
        </w:rPr>
        <w:t>II – 180 (cento e oitenta) dias, a contar da data de encerramento da distribuição, para as classes fechadas.</w:t>
      </w:r>
    </w:p>
    <w:p w14:paraId="6898612B"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A</w:t>
      </w:r>
      <w:proofErr w:type="gramEnd"/>
      <w:r w:rsidRPr="0097459F">
        <w:rPr>
          <w:rFonts w:ascii="Calibri" w:hAnsi="Calibri" w:cs="Calibri"/>
        </w:rPr>
        <w:t xml:space="preserve"> classe tipificada como “Ações – Mercado de Acesso” possui o prazo de 180 (cento e oitenta) dias para atingir os limites de concentração por emissor e por modalidade de ativo estabelecidos em seus regulamentos.</w:t>
      </w:r>
    </w:p>
    <w:p w14:paraId="38D49BDE"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A</w:t>
      </w:r>
      <w:proofErr w:type="gramEnd"/>
      <w:r w:rsidRPr="0097459F">
        <w:rPr>
          <w:rFonts w:ascii="Calibri" w:hAnsi="Calibri" w:cs="Calibri"/>
        </w:rPr>
        <w:t xml:space="preserve"> classe de cotas do FI-Infra possui o prazo disposto na legislação específica para atingir o limite percentual de enquadramento de suas aplicações em ativos financeiros elencados no art. 2º da Lei nº 12.431, de 24 de junho de 2011.</w:t>
      </w:r>
    </w:p>
    <w:p w14:paraId="4F6C670B"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 xml:space="preserve">º </w:t>
      </w:r>
      <w:r w:rsidRPr="0097459F" w:rsidDel="008D2D88">
        <w:rPr>
          <w:rFonts w:ascii="Calibri" w:hAnsi="Calibri" w:cs="Calibri"/>
        </w:rPr>
        <w:t xml:space="preserve"> </w:t>
      </w:r>
      <w:r w:rsidRPr="0097459F">
        <w:rPr>
          <w:rFonts w:ascii="Calibri" w:hAnsi="Calibri" w:cs="Calibri"/>
        </w:rPr>
        <w:t>A</w:t>
      </w:r>
      <w:proofErr w:type="gramEnd"/>
      <w:r w:rsidRPr="0097459F">
        <w:rPr>
          <w:rFonts w:ascii="Calibri" w:hAnsi="Calibri" w:cs="Calibri"/>
        </w:rPr>
        <w:t xml:space="preserve"> classe de cotas do FI-Infra possui o prazo de 2 (dois) anos para atingir os limites dispostos no art. 60 deste Anexo Normativo I, contado da data da primeira integralização de cotas, para as classes abertas, e da data de encerramento da distribuição, para as classes fechadas.</w:t>
      </w:r>
    </w:p>
    <w:p w14:paraId="0CB9F135" w14:textId="77777777" w:rsidR="00C20BBD" w:rsidRPr="0097459F" w:rsidRDefault="00C20BBD" w:rsidP="00C20BBD">
      <w:pPr>
        <w:pStyle w:val="Normalalteradora"/>
        <w:rPr>
          <w:rFonts w:ascii="Calibri" w:hAnsi="Calibri" w:cs="Calibri"/>
        </w:rPr>
      </w:pPr>
      <w:r w:rsidRPr="0097459F">
        <w:rPr>
          <w:rFonts w:ascii="Calibri" w:hAnsi="Calibri" w:cs="Calibri"/>
        </w:rPr>
        <w:t>Art. 48.  Caso constate que o descumprimento dos limites de composição, diversificação de carteira e concentração de risco estendeu-se por período superior ao do prazo previsto no art. 47 deste Anexo Normativo I, a SIN pode determinar ao administrador, sem prejuízo das penalidades cabíveis, a convocação de assembleia de cotistas para deliberar sobre uma das seguintes alternativas:</w:t>
      </w:r>
    </w:p>
    <w:p w14:paraId="54673A6C"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incorporação</w:t>
      </w:r>
      <w:proofErr w:type="gramEnd"/>
      <w:r w:rsidRPr="0097459F">
        <w:rPr>
          <w:rFonts w:ascii="Calibri" w:hAnsi="Calibri" w:cs="Calibri"/>
        </w:rPr>
        <w:t xml:space="preserve"> ao patrimônio de outra classe de cotas;</w:t>
      </w:r>
    </w:p>
    <w:p w14:paraId="1739159B"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cisão</w:t>
      </w:r>
      <w:proofErr w:type="gramEnd"/>
      <w:r w:rsidRPr="0097459F">
        <w:rPr>
          <w:rFonts w:ascii="Calibri" w:hAnsi="Calibri" w:cs="Calibri"/>
        </w:rPr>
        <w:t xml:space="preserve"> total para fundo de investimento sob a gestão de outro gestor que não seja parte relacionada ao gestor a ser eventualmente substituído; ou</w:t>
      </w:r>
    </w:p>
    <w:p w14:paraId="03FEA30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liquidação</w:t>
      </w:r>
      <w:proofErr w:type="gramEnd"/>
      <w:r w:rsidRPr="0097459F">
        <w:rPr>
          <w:rFonts w:ascii="Calibri" w:hAnsi="Calibri" w:cs="Calibri"/>
        </w:rPr>
        <w:t>.</w:t>
      </w:r>
    </w:p>
    <w:p w14:paraId="5AC0A3C6"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Caso se trate de fundo de investimento com classe única de cotas, a assembleia geral pode decidir, ainda, sobre a alternativa de transferir a administração ou a gestão do fundo, ou ambas.</w:t>
      </w:r>
    </w:p>
    <w:p w14:paraId="2B57BC2C" w14:textId="77777777" w:rsidR="00C20BBD" w:rsidRPr="0097459F" w:rsidRDefault="00C20BBD" w:rsidP="00C20BBD">
      <w:pPr>
        <w:pStyle w:val="Seo"/>
      </w:pPr>
      <w:bookmarkStart w:id="488" w:name="_Toc53594250"/>
      <w:bookmarkStart w:id="489" w:name="_Toc53594498"/>
      <w:bookmarkStart w:id="490" w:name="_Toc53595523"/>
      <w:bookmarkStart w:id="491" w:name="_Toc57836259"/>
      <w:bookmarkStart w:id="492" w:name="_Toc161141273"/>
      <w:r w:rsidRPr="0097459F">
        <w:t xml:space="preserve">Seção VII – </w:t>
      </w:r>
      <w:bookmarkEnd w:id="488"/>
      <w:bookmarkEnd w:id="489"/>
      <w:bookmarkEnd w:id="490"/>
      <w:bookmarkEnd w:id="491"/>
      <w:r w:rsidRPr="0097459F">
        <w:t>Tipificação</w:t>
      </w:r>
      <w:bookmarkEnd w:id="492"/>
    </w:p>
    <w:p w14:paraId="5FDAA445" w14:textId="77777777" w:rsidR="00C20BBD" w:rsidRPr="0097459F" w:rsidRDefault="00C20BBD" w:rsidP="00C20BBD">
      <w:pPr>
        <w:pStyle w:val="Seo"/>
      </w:pPr>
      <w:bookmarkStart w:id="493" w:name="_Toc53594251"/>
      <w:bookmarkStart w:id="494" w:name="_Toc53594499"/>
      <w:bookmarkStart w:id="495" w:name="_Toc53595524"/>
      <w:bookmarkStart w:id="496" w:name="_Toc57836260"/>
      <w:bookmarkStart w:id="497" w:name="_Toc161141274"/>
      <w:r w:rsidRPr="0097459F">
        <w:t>Subseção I – Fundos de Renda Fixa</w:t>
      </w:r>
      <w:bookmarkEnd w:id="493"/>
      <w:bookmarkEnd w:id="494"/>
      <w:bookmarkEnd w:id="495"/>
      <w:bookmarkEnd w:id="496"/>
      <w:bookmarkEnd w:id="497"/>
    </w:p>
    <w:p w14:paraId="61DCE56C" w14:textId="77777777" w:rsidR="00C20BBD" w:rsidRPr="0097459F" w:rsidRDefault="00C20BBD" w:rsidP="00C20BBD">
      <w:pPr>
        <w:pStyle w:val="Normalalteradora"/>
        <w:rPr>
          <w:rFonts w:ascii="Calibri" w:hAnsi="Calibri" w:cs="Calibri"/>
        </w:rPr>
      </w:pPr>
      <w:r w:rsidRPr="0097459F">
        <w:rPr>
          <w:rFonts w:ascii="Calibri" w:hAnsi="Calibri" w:cs="Calibri"/>
        </w:rPr>
        <w:t>Art. 49.  A classe tipificada como “Renda Fixa” deve ter como principal fator de risco de sua carteira a variação de taxa de juros, índice de preços ou ambos.</w:t>
      </w:r>
    </w:p>
    <w:p w14:paraId="725A51D3"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Na classe tipificada como "Renda Fixa" é vedada a cobrança de taxa de performance, salvo quando se tratar de:</w:t>
      </w:r>
    </w:p>
    <w:p w14:paraId="0E01F39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classe ou subclasse</w:t>
      </w:r>
      <w:proofErr w:type="gramEnd"/>
      <w:r w:rsidRPr="0097459F">
        <w:rPr>
          <w:rFonts w:ascii="Calibri" w:hAnsi="Calibri" w:cs="Calibri"/>
        </w:rPr>
        <w:t xml:space="preserve"> de cotas exclusivamente destinada a investidores qualificados;</w:t>
      </w:r>
    </w:p>
    <w:p w14:paraId="7BEA4C3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classe</w:t>
      </w:r>
      <w:proofErr w:type="gramEnd"/>
      <w:r w:rsidRPr="0097459F">
        <w:rPr>
          <w:rFonts w:ascii="Calibri" w:hAnsi="Calibri" w:cs="Calibri"/>
        </w:rPr>
        <w:t xml:space="preserve"> que dispuser, em regulamento, que tem o compromisso de obter o tratamento fiscal destinado a fundos de longo prazo previsto na regulamentação fiscal vigente; ou</w:t>
      </w:r>
    </w:p>
    <w:p w14:paraId="667A661E" w14:textId="77777777" w:rsidR="00C20BBD" w:rsidRPr="0097459F" w:rsidRDefault="00C20BBD" w:rsidP="00C20BBD">
      <w:pPr>
        <w:pStyle w:val="Normalalteradora"/>
        <w:rPr>
          <w:rFonts w:ascii="Calibri" w:hAnsi="Calibri" w:cs="Calibri"/>
        </w:rPr>
      </w:pPr>
      <w:r w:rsidRPr="0097459F">
        <w:rPr>
          <w:rFonts w:ascii="Calibri" w:hAnsi="Calibri" w:cs="Calibri"/>
        </w:rPr>
        <w:t>III – classe tipificada como “Renda Fixa - Dívida Externa”.</w:t>
      </w:r>
    </w:p>
    <w:p w14:paraId="00AC773A" w14:textId="77777777" w:rsidR="00C20BBD" w:rsidRPr="0097459F" w:rsidRDefault="00C20BBD" w:rsidP="00C20BBD">
      <w:pPr>
        <w:pStyle w:val="Normalalteradora"/>
        <w:rPr>
          <w:rFonts w:ascii="Calibri" w:hAnsi="Calibri" w:cs="Calibri"/>
        </w:rPr>
      </w:pPr>
      <w:r w:rsidRPr="0097459F">
        <w:rPr>
          <w:rFonts w:ascii="Calibri" w:hAnsi="Calibri" w:cs="Calibri"/>
        </w:rPr>
        <w:t>Art. 50.  Para fins de liquidação do resgate no mesmo dia do pedido, na conversão de cotas da classe de cotas aberta tipificada como “Renda Fixa”, o regulamento pode estabelecer que o valor da cota do dia deve ser calculado a partir do patrimônio líquido do dia anterior, devidamente atualizado por 1 (um) dia.</w:t>
      </w:r>
    </w:p>
    <w:p w14:paraId="736695E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Parágrafo único.  A faculdade prevista no </w:t>
      </w:r>
      <w:r w:rsidRPr="0097459F">
        <w:rPr>
          <w:rFonts w:ascii="Calibri" w:hAnsi="Calibri" w:cs="Calibri"/>
          <w:b/>
        </w:rPr>
        <w:t>caput</w:t>
      </w:r>
      <w:r w:rsidRPr="0097459F">
        <w:rPr>
          <w:rFonts w:ascii="Calibri" w:hAnsi="Calibri" w:cs="Calibri"/>
        </w:rPr>
        <w:t xml:space="preserve"> não pode ser utilizada por:</w:t>
      </w:r>
    </w:p>
    <w:p w14:paraId="4190C03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classe</w:t>
      </w:r>
      <w:proofErr w:type="gramEnd"/>
      <w:r w:rsidRPr="0097459F">
        <w:rPr>
          <w:rFonts w:ascii="Calibri" w:hAnsi="Calibri" w:cs="Calibri"/>
        </w:rPr>
        <w:t xml:space="preserve"> que possua o compromisso de obter o tratamento fiscal destinado a fundos de longo prazo previsto na regulamentação fiscal vigente; ou</w:t>
      </w:r>
    </w:p>
    <w:p w14:paraId="692ADD8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classe</w:t>
      </w:r>
      <w:proofErr w:type="gramEnd"/>
      <w:r w:rsidRPr="0097459F">
        <w:rPr>
          <w:rFonts w:ascii="Calibri" w:hAnsi="Calibri" w:cs="Calibri"/>
        </w:rPr>
        <w:t xml:space="preserve"> de cotas tipificada como “Renda Fixa - Dívida Externa”.</w:t>
      </w:r>
    </w:p>
    <w:p w14:paraId="2C80DB22"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51.  A classe de cotas tipificada como “Renda Fixa” deve possuir, no mínimo, 80% (oitenta por cento) da carteira em ativos relacionados diretamente, ou sintetizados via derivativos, ao fator de risco que dá nome ao tipo.</w:t>
      </w:r>
    </w:p>
    <w:p w14:paraId="66637A72" w14:textId="77777777" w:rsidR="00C20BBD" w:rsidRPr="0097459F" w:rsidRDefault="00C20BBD" w:rsidP="00C20BBD">
      <w:pPr>
        <w:pStyle w:val="Normalalteradora"/>
        <w:rPr>
          <w:rFonts w:ascii="Calibri" w:hAnsi="Calibri" w:cs="Calibri"/>
        </w:rPr>
      </w:pPr>
      <w:r w:rsidRPr="0097459F">
        <w:rPr>
          <w:rFonts w:ascii="Calibri" w:hAnsi="Calibri" w:cs="Calibri"/>
        </w:rPr>
        <w:t>Art. 52.  A classe de cotas tipificada como "Renda Fixa” que atenda às condições abaixo deve acrescentar à sua denominação o sufixo “Curto Prazo”:</w:t>
      </w:r>
    </w:p>
    <w:p w14:paraId="115D521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aplique</w:t>
      </w:r>
      <w:proofErr w:type="gramEnd"/>
      <w:r w:rsidRPr="0097459F">
        <w:rPr>
          <w:rFonts w:ascii="Calibri" w:hAnsi="Calibri" w:cs="Calibri"/>
        </w:rPr>
        <w:t xml:space="preserve"> seus recursos exclusivamente em:</w:t>
      </w:r>
    </w:p>
    <w:p w14:paraId="4423EF30" w14:textId="77777777" w:rsidR="00C20BBD" w:rsidRPr="0097459F" w:rsidRDefault="00C20BBD" w:rsidP="00C20BBD">
      <w:pPr>
        <w:pStyle w:val="Normalalteradora"/>
        <w:rPr>
          <w:rFonts w:ascii="Calibri" w:hAnsi="Calibri" w:cs="Calibri"/>
        </w:rPr>
      </w:pPr>
      <w:r w:rsidRPr="0097459F">
        <w:rPr>
          <w:rFonts w:ascii="Calibri" w:hAnsi="Calibri" w:cs="Calibri"/>
        </w:rPr>
        <w:t>a) títulos públicos federais ou privados pré-fixados ou indexados à taxa de juros ou títulos indexados a índices de preços, com prazo máximo a decorrer de 375 (trezentos e setenta e cinco) dias, e prazo médio da carteira de ativos inferior a 60 (sessenta) dias;</w:t>
      </w:r>
    </w:p>
    <w:p w14:paraId="319BD74F" w14:textId="77777777" w:rsidR="00C20BBD" w:rsidRPr="0097459F" w:rsidRDefault="00C20BBD" w:rsidP="00C20BBD">
      <w:pPr>
        <w:pStyle w:val="Normalalteradora"/>
        <w:rPr>
          <w:rFonts w:ascii="Calibri" w:hAnsi="Calibri" w:cs="Calibri"/>
        </w:rPr>
      </w:pPr>
      <w:r w:rsidRPr="0097459F">
        <w:rPr>
          <w:rFonts w:ascii="Calibri" w:hAnsi="Calibri" w:cs="Calibri"/>
        </w:rPr>
        <w:t>b) títulos privados com prazo de que trata a alínea “a” e que sejam considerados de baixo risco de crédito pelo gestor;</w:t>
      </w:r>
    </w:p>
    <w:p w14:paraId="429FC77E" w14:textId="77777777" w:rsidR="00C20BBD" w:rsidRPr="0097459F" w:rsidRDefault="00C20BBD" w:rsidP="00C20BBD">
      <w:pPr>
        <w:pStyle w:val="Normalalteradora"/>
        <w:rPr>
          <w:rFonts w:ascii="Calibri" w:hAnsi="Calibri" w:cs="Calibri"/>
        </w:rPr>
      </w:pPr>
      <w:r w:rsidRPr="0097459F">
        <w:rPr>
          <w:rFonts w:ascii="Calibri" w:hAnsi="Calibri" w:cs="Calibri"/>
        </w:rPr>
        <w:t>c) ETF que apliquem nos títulos de que tratam as alíneas “a” e “b” e atendam ao inciso II; e</w:t>
      </w:r>
    </w:p>
    <w:p w14:paraId="06B505CB" w14:textId="77777777" w:rsidR="00C20BBD" w:rsidRPr="0097459F" w:rsidRDefault="00C20BBD" w:rsidP="00C20BBD">
      <w:pPr>
        <w:pStyle w:val="Normalalteradora"/>
        <w:rPr>
          <w:rFonts w:ascii="Calibri" w:hAnsi="Calibri" w:cs="Calibri"/>
        </w:rPr>
      </w:pPr>
      <w:r w:rsidRPr="0097459F">
        <w:rPr>
          <w:rFonts w:ascii="Calibri" w:hAnsi="Calibri" w:cs="Calibri"/>
        </w:rPr>
        <w:t>d) operações compromissadas lastreadas em títulos públicos federais; e</w:t>
      </w:r>
    </w:p>
    <w:p w14:paraId="69ABE82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utilize</w:t>
      </w:r>
      <w:proofErr w:type="gramEnd"/>
      <w:r w:rsidRPr="0097459F">
        <w:rPr>
          <w:rFonts w:ascii="Calibri" w:hAnsi="Calibri" w:cs="Calibri"/>
        </w:rPr>
        <w:t xml:space="preserve"> derivativos somente para proteção da carteira (</w:t>
      </w:r>
      <w:r w:rsidRPr="0097459F">
        <w:rPr>
          <w:rFonts w:ascii="Calibri" w:hAnsi="Calibri" w:cs="Calibri"/>
          <w:b/>
        </w:rPr>
        <w:t>hedge</w:t>
      </w:r>
      <w:r w:rsidRPr="0097459F">
        <w:rPr>
          <w:rFonts w:ascii="Calibri" w:hAnsi="Calibri" w:cs="Calibri"/>
        </w:rPr>
        <w:t>).</w:t>
      </w:r>
    </w:p>
    <w:p w14:paraId="02F51A5A" w14:textId="77777777" w:rsidR="00C20BBD" w:rsidRPr="0097459F" w:rsidRDefault="00C20BBD" w:rsidP="00C20BBD">
      <w:pPr>
        <w:pStyle w:val="Normalalteradora"/>
        <w:rPr>
          <w:rFonts w:ascii="Calibri" w:hAnsi="Calibri" w:cs="Calibri"/>
        </w:rPr>
      </w:pPr>
      <w:r w:rsidRPr="0097459F">
        <w:rPr>
          <w:rFonts w:ascii="Calibri" w:hAnsi="Calibri" w:cs="Calibri"/>
        </w:rPr>
        <w:t>Art. 53.  A classe de cotas tipificada como "Renda Fixa” cuja política de investimento assegure que ao menos 95% (noventa e cinco por cento) do seu patrimônio líquido esteja investido em ativos que acompanham, direta ou indiretamente, determinado índice de referência deve:</w:t>
      </w:r>
    </w:p>
    <w:p w14:paraId="1000927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w:t>
      </w:r>
      <w:proofErr w:type="gramStart"/>
      <w:r w:rsidRPr="0097459F">
        <w:rPr>
          <w:rFonts w:ascii="Calibri" w:hAnsi="Calibri" w:cs="Calibri"/>
        </w:rPr>
        <w:t>–  incluir</w:t>
      </w:r>
      <w:proofErr w:type="gramEnd"/>
      <w:r w:rsidRPr="0097459F">
        <w:rPr>
          <w:rFonts w:ascii="Calibri" w:hAnsi="Calibri" w:cs="Calibri"/>
        </w:rPr>
        <w:t>, à sua denominação, o sufixo “Referenciada”, seguido da denominação de tal índice;</w:t>
      </w:r>
    </w:p>
    <w:p w14:paraId="00FE9E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ter</w:t>
      </w:r>
      <w:proofErr w:type="gramEnd"/>
      <w:r w:rsidRPr="0097459F">
        <w:rPr>
          <w:rFonts w:ascii="Calibri" w:hAnsi="Calibri" w:cs="Calibri"/>
        </w:rPr>
        <w:t xml:space="preserve"> 80% (oitenta por cento), no mínimo, de seu patrimônio líquido representado, isolada ou cumulativamente, por:</w:t>
      </w:r>
    </w:p>
    <w:p w14:paraId="431F9762" w14:textId="77777777" w:rsidR="00C20BBD" w:rsidRPr="0097459F" w:rsidRDefault="00C20BBD" w:rsidP="00C20BBD">
      <w:pPr>
        <w:pStyle w:val="Normalalteradora"/>
        <w:rPr>
          <w:rFonts w:ascii="Calibri" w:hAnsi="Calibri" w:cs="Calibri"/>
        </w:rPr>
      </w:pPr>
      <w:r w:rsidRPr="0097459F">
        <w:rPr>
          <w:rFonts w:ascii="Calibri" w:hAnsi="Calibri" w:cs="Calibri"/>
        </w:rPr>
        <w:t>a) títulos da dívida pública federal;</w:t>
      </w:r>
    </w:p>
    <w:p w14:paraId="2DFF742E" w14:textId="77777777" w:rsidR="00C20BBD" w:rsidRPr="0097459F" w:rsidRDefault="00C20BBD" w:rsidP="00C20BBD">
      <w:pPr>
        <w:pStyle w:val="Normalalteradora"/>
        <w:rPr>
          <w:rFonts w:ascii="Calibri" w:hAnsi="Calibri" w:cs="Calibri"/>
        </w:rPr>
      </w:pPr>
      <w:r w:rsidRPr="0097459F">
        <w:rPr>
          <w:rFonts w:ascii="Calibri" w:hAnsi="Calibri" w:cs="Calibri"/>
        </w:rPr>
        <w:t>b) ativos financeiros de renda fixa considerados de baixo risco de crédito pelo gestor; ou</w:t>
      </w:r>
    </w:p>
    <w:p w14:paraId="3C18C507" w14:textId="77777777" w:rsidR="00C20BBD" w:rsidRPr="0097459F" w:rsidRDefault="00C20BBD" w:rsidP="00C20BBD">
      <w:pPr>
        <w:pStyle w:val="Normalalteradora"/>
        <w:rPr>
          <w:rFonts w:ascii="Calibri" w:hAnsi="Calibri" w:cs="Calibri"/>
        </w:rPr>
      </w:pPr>
      <w:r w:rsidRPr="0097459F">
        <w:rPr>
          <w:rFonts w:ascii="Calibri" w:hAnsi="Calibri" w:cs="Calibri"/>
        </w:rPr>
        <w:t>c) ETF que invistam preponderantemente nos ativos das alíneas “a” e “b” e atendam ao inciso III; e</w:t>
      </w:r>
    </w:p>
    <w:p w14:paraId="1D4B7FDA" w14:textId="77777777" w:rsidR="00C20BBD" w:rsidRPr="0097459F" w:rsidRDefault="00C20BBD" w:rsidP="00C20BBD">
      <w:pPr>
        <w:pStyle w:val="Normalalteradora"/>
        <w:rPr>
          <w:rFonts w:ascii="Calibri" w:hAnsi="Calibri" w:cs="Calibri"/>
        </w:rPr>
      </w:pPr>
      <w:r w:rsidRPr="0097459F">
        <w:rPr>
          <w:rFonts w:ascii="Calibri" w:hAnsi="Calibri" w:cs="Calibri"/>
        </w:rPr>
        <w:t>III – restringir a respectiva atuação nos mercados de derivativos à realização de operações com o objetivo de proteger posições detidas à vista (</w:t>
      </w:r>
      <w:r w:rsidRPr="0097459F">
        <w:rPr>
          <w:rFonts w:ascii="Calibri" w:hAnsi="Calibri" w:cs="Calibri"/>
          <w:b/>
        </w:rPr>
        <w:t>hedge</w:t>
      </w:r>
      <w:r w:rsidRPr="0097459F">
        <w:rPr>
          <w:rFonts w:ascii="Calibri" w:hAnsi="Calibri" w:cs="Calibri"/>
        </w:rPr>
        <w:t xml:space="preserve">), até o limite destas. </w:t>
      </w:r>
    </w:p>
    <w:p w14:paraId="74748DA8"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Art. 54.  A classe de cotas tipificada como “Renda Fixa” que atenda às condições abaixo pode acrescentar à sua denominação o sufixo “Simples”:</w:t>
      </w:r>
    </w:p>
    <w:p w14:paraId="366B607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tenha</w:t>
      </w:r>
      <w:proofErr w:type="gramEnd"/>
      <w:r w:rsidRPr="0097459F">
        <w:rPr>
          <w:rFonts w:ascii="Calibri" w:hAnsi="Calibri" w:cs="Calibri"/>
        </w:rPr>
        <w:t xml:space="preserve"> 95% (noventa e cinco por cento), no mínimo, de seu patrimônio líquido representado, isolada ou cumulativamente, por:</w:t>
      </w:r>
    </w:p>
    <w:p w14:paraId="50608793" w14:textId="77777777" w:rsidR="00C20BBD" w:rsidRPr="0097459F" w:rsidRDefault="00C20BBD" w:rsidP="00C20BBD">
      <w:pPr>
        <w:pStyle w:val="Normalalteradora"/>
        <w:rPr>
          <w:rFonts w:ascii="Calibri" w:hAnsi="Calibri" w:cs="Calibri"/>
        </w:rPr>
      </w:pPr>
      <w:r w:rsidRPr="0097459F">
        <w:rPr>
          <w:rFonts w:ascii="Calibri" w:hAnsi="Calibri" w:cs="Calibri"/>
        </w:rPr>
        <w:t>a) títulos da dívida pública federal;</w:t>
      </w:r>
    </w:p>
    <w:p w14:paraId="223E0425" w14:textId="77777777" w:rsidR="00C20BBD" w:rsidRPr="0097459F" w:rsidRDefault="00C20BBD" w:rsidP="00C20BBD">
      <w:pPr>
        <w:pStyle w:val="Normalalteradora"/>
        <w:rPr>
          <w:rFonts w:ascii="Calibri" w:hAnsi="Calibri" w:cs="Calibri"/>
        </w:rPr>
      </w:pPr>
      <w:r w:rsidRPr="0097459F">
        <w:rPr>
          <w:rFonts w:ascii="Calibri" w:hAnsi="Calibri" w:cs="Calibri"/>
        </w:rPr>
        <w:t>b) títulos de renda fixa de emissão ou coobrigação de instituições financeiras que possuam classificação de risco atribuída pelo gestor, no mínimo, equivalente àqueles atribuídos aos títulos da dívida pública federal; e</w:t>
      </w:r>
    </w:p>
    <w:p w14:paraId="4031CEF1" w14:textId="77777777" w:rsidR="00C20BBD" w:rsidRPr="0097459F" w:rsidRDefault="00C20BBD" w:rsidP="00C20BBD">
      <w:pPr>
        <w:pStyle w:val="Normalalteradora"/>
        <w:rPr>
          <w:rFonts w:ascii="Calibri" w:hAnsi="Calibri" w:cs="Calibri"/>
        </w:rPr>
      </w:pPr>
      <w:r w:rsidRPr="0097459F">
        <w:rPr>
          <w:rFonts w:ascii="Calibri" w:hAnsi="Calibri" w:cs="Calibri"/>
        </w:rPr>
        <w:t>c) operações compromissadas lastreadas em títulos da dívida pública federal ou em títulos de responsabilidade, emissão ou coobrigação de instituições autorizadas a funcionar pelo Banco Central do Brasil, desde que, na hipótese de lastro em títulos de responsabilidade de pessoas de direito privado, a instituição financeira contraparte da classe na operação possua classificação de risco atribuída pelo gestor, no mínimo, equivalente àquelas atribuídas aos títulos da dívida pública federal;</w:t>
      </w:r>
    </w:p>
    <w:p w14:paraId="51DCC2A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realize</w:t>
      </w:r>
      <w:proofErr w:type="gramEnd"/>
      <w:r w:rsidRPr="0097459F">
        <w:rPr>
          <w:rFonts w:ascii="Calibri" w:hAnsi="Calibri" w:cs="Calibri"/>
        </w:rPr>
        <w:t xml:space="preserve"> operações com derivativos exclusivamente para os efeitos de proteção da carteira (</w:t>
      </w:r>
      <w:r w:rsidRPr="0097459F">
        <w:rPr>
          <w:rFonts w:ascii="Calibri" w:hAnsi="Calibri" w:cs="Calibri"/>
          <w:b/>
        </w:rPr>
        <w:t>hedge</w:t>
      </w:r>
      <w:r w:rsidRPr="0097459F">
        <w:rPr>
          <w:rFonts w:ascii="Calibri" w:hAnsi="Calibri" w:cs="Calibri"/>
        </w:rPr>
        <w:t>);</w:t>
      </w:r>
    </w:p>
    <w:p w14:paraId="1D25397F" w14:textId="77777777" w:rsidR="00C20BBD" w:rsidRPr="0097459F" w:rsidRDefault="00C20BBD" w:rsidP="00C20BBD">
      <w:pPr>
        <w:pStyle w:val="Normalalteradora"/>
        <w:rPr>
          <w:rFonts w:ascii="Calibri" w:hAnsi="Calibri" w:cs="Calibri"/>
        </w:rPr>
      </w:pPr>
      <w:r w:rsidRPr="0097459F">
        <w:rPr>
          <w:rFonts w:ascii="Calibri" w:hAnsi="Calibri" w:cs="Calibri"/>
        </w:rPr>
        <w:t>III – se constitua sob a forma de condomínio aberto; e</w:t>
      </w:r>
    </w:p>
    <w:p w14:paraId="381B7E0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preveja</w:t>
      </w:r>
      <w:proofErr w:type="gramEnd"/>
      <w:r w:rsidRPr="0097459F">
        <w:rPr>
          <w:rFonts w:ascii="Calibri" w:hAnsi="Calibri" w:cs="Calibri"/>
        </w:rPr>
        <w:t>, em seu regulamento, que todos os documentos e informações relacionados à classe sejam disponibilizados aos cotistas preferencialmente por meios eletrônicos.</w:t>
      </w:r>
    </w:p>
    <w:p w14:paraId="11BE9190"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Fica</w:t>
      </w:r>
      <w:proofErr w:type="gramEnd"/>
      <w:r w:rsidRPr="0097459F">
        <w:rPr>
          <w:rFonts w:ascii="Calibri" w:hAnsi="Calibri" w:cs="Calibri"/>
        </w:rPr>
        <w:t xml:space="preserve"> vedado à classe de cotas de que trata o </w:t>
      </w:r>
      <w:r w:rsidRPr="0097459F">
        <w:rPr>
          <w:rFonts w:ascii="Calibri" w:hAnsi="Calibri" w:cs="Calibri"/>
          <w:b/>
        </w:rPr>
        <w:t>caput</w:t>
      </w:r>
      <w:r w:rsidRPr="0097459F">
        <w:rPr>
          <w:rFonts w:ascii="Calibri" w:hAnsi="Calibri" w:cs="Calibri"/>
        </w:rPr>
        <w:t>:</w:t>
      </w:r>
    </w:p>
    <w:p w14:paraId="56E2EB9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cobrança de taxa de performance, ainda que o regulamento disponha que a classe possui o compromisso de obter o tratamento fiscal destinado a fundos de longo prazo previsto na regulamentação fiscal vigente;</w:t>
      </w:r>
    </w:p>
    <w:p w14:paraId="5A742AF6"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w:t>
      </w:r>
      <w:proofErr w:type="gramEnd"/>
      <w:r w:rsidRPr="0097459F">
        <w:rPr>
          <w:rFonts w:ascii="Calibri" w:hAnsi="Calibri" w:cs="Calibri"/>
        </w:rPr>
        <w:t xml:space="preserve"> realização de investimentos no exterior;</w:t>
      </w:r>
    </w:p>
    <w:p w14:paraId="35A100ED" w14:textId="77777777" w:rsidR="00C20BBD" w:rsidRPr="0097459F" w:rsidRDefault="00C20BBD" w:rsidP="00C20BBD">
      <w:pPr>
        <w:pStyle w:val="Normalalteradora"/>
        <w:rPr>
          <w:rFonts w:ascii="Calibri" w:hAnsi="Calibri" w:cs="Calibri"/>
        </w:rPr>
      </w:pPr>
      <w:r w:rsidRPr="0097459F">
        <w:rPr>
          <w:rFonts w:ascii="Calibri" w:hAnsi="Calibri" w:cs="Calibri"/>
        </w:rPr>
        <w:t>III – a concentração em créditos privados na forma do art. 70 deste Anexo Normativo I;</w:t>
      </w:r>
    </w:p>
    <w:p w14:paraId="7CAD4A9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IV – </w:t>
      </w:r>
      <w:proofErr w:type="gramStart"/>
      <w:r w:rsidRPr="0097459F">
        <w:rPr>
          <w:rFonts w:ascii="Calibri" w:hAnsi="Calibri" w:cs="Calibri"/>
        </w:rPr>
        <w:t>a</w:t>
      </w:r>
      <w:proofErr w:type="gramEnd"/>
      <w:r w:rsidRPr="0097459F">
        <w:rPr>
          <w:rFonts w:ascii="Calibri" w:hAnsi="Calibri" w:cs="Calibri"/>
        </w:rPr>
        <w:t xml:space="preserve"> transformação em classe fechada; e</w:t>
      </w:r>
    </w:p>
    <w:p w14:paraId="1F13F33A"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V – </w:t>
      </w:r>
      <w:proofErr w:type="gramStart"/>
      <w:r w:rsidRPr="0097459F">
        <w:rPr>
          <w:rFonts w:ascii="Calibri" w:hAnsi="Calibri" w:cs="Calibri"/>
        </w:rPr>
        <w:t>qualquer</w:t>
      </w:r>
      <w:proofErr w:type="gramEnd"/>
      <w:r w:rsidRPr="0097459F">
        <w:rPr>
          <w:rFonts w:ascii="Calibri" w:hAnsi="Calibri" w:cs="Calibri"/>
        </w:rPr>
        <w:t xml:space="preserve"> transformação ou mudança de tipo.</w:t>
      </w:r>
    </w:p>
    <w:p w14:paraId="5B66C685"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2</w:t>
      </w:r>
      <w:proofErr w:type="gramStart"/>
      <w:r w:rsidRPr="0097459F">
        <w:rPr>
          <w:rFonts w:ascii="Calibri" w:hAnsi="Calibri" w:cs="Calibri"/>
        </w:rPr>
        <w:t>º  A</w:t>
      </w:r>
      <w:proofErr w:type="gramEnd"/>
      <w:r w:rsidRPr="0097459F">
        <w:rPr>
          <w:rFonts w:ascii="Calibri" w:hAnsi="Calibri" w:cs="Calibri"/>
        </w:rPr>
        <w:t xml:space="preserve"> lâmina da classe “Renda Fixa - Simples” deve comparar a performance da classe com a performance da taxa SELIC.</w:t>
      </w:r>
    </w:p>
    <w:p w14:paraId="10DABCFA"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O</w:t>
      </w:r>
      <w:proofErr w:type="gramEnd"/>
      <w:r w:rsidRPr="0097459F">
        <w:rPr>
          <w:rFonts w:ascii="Calibri" w:hAnsi="Calibri" w:cs="Calibri"/>
        </w:rPr>
        <w:t xml:space="preserve"> gestor da classe “Renda Fixa - Simples” deve adotar estratégia de investimento que proteja a classe de riscos de perdas e volatilidade. </w:t>
      </w:r>
    </w:p>
    <w:p w14:paraId="32908270"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O</w:t>
      </w:r>
      <w:proofErr w:type="gramEnd"/>
      <w:r w:rsidRPr="0097459F">
        <w:rPr>
          <w:rFonts w:ascii="Calibri" w:hAnsi="Calibri" w:cs="Calibri"/>
        </w:rPr>
        <w:t xml:space="preserve"> ingresso na classe “Renda Fixa - Simples” fica dispensado:</w:t>
      </w:r>
    </w:p>
    <w:p w14:paraId="6CE8BE5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de</w:t>
      </w:r>
      <w:proofErr w:type="gramEnd"/>
      <w:r w:rsidRPr="0097459F">
        <w:rPr>
          <w:rFonts w:ascii="Calibri" w:hAnsi="Calibri" w:cs="Calibri"/>
        </w:rPr>
        <w:t xml:space="preserve"> recolher o termo de adesão; e</w:t>
      </w:r>
    </w:p>
    <w:p w14:paraId="37DA8CD5"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de</w:t>
      </w:r>
      <w:proofErr w:type="gramEnd"/>
      <w:r w:rsidRPr="0097459F">
        <w:rPr>
          <w:rFonts w:ascii="Calibri" w:hAnsi="Calibri" w:cs="Calibri"/>
        </w:rPr>
        <w:t xml:space="preserve"> efetuar a verificação da adequação do investimento ao perfil do cliente, na forma da regulamentação específica sobre o assunto, mesmo na hipótese de o investidor não possuir outros investimentos no mercado de capitais.</w:t>
      </w:r>
    </w:p>
    <w:p w14:paraId="5659AC02" w14:textId="77777777" w:rsidR="00C20BBD" w:rsidRPr="0097459F" w:rsidRDefault="00C20BBD" w:rsidP="00C20BBD">
      <w:pPr>
        <w:pStyle w:val="Normalalteradora"/>
        <w:rPr>
          <w:rFonts w:ascii="Calibri" w:hAnsi="Calibri" w:cs="Calibri"/>
        </w:rPr>
      </w:pPr>
      <w:r w:rsidRPr="0097459F">
        <w:rPr>
          <w:rFonts w:ascii="Calibri" w:hAnsi="Calibri" w:cs="Calibri"/>
        </w:rPr>
        <w:t>Art. 55.  A classe de cotas tipificada como “Renda Fixa” que tenha 80% (oitenta por cento), no mínimo, do patrimônio líquido representado por títulos representativos da dívida externa de responsabilidade da União, deve incluir, à sua denominação, o sufixo “Dívida Externa”.</w:t>
      </w:r>
    </w:p>
    <w:p w14:paraId="4928A064"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Os</w:t>
      </w:r>
      <w:proofErr w:type="gramEnd"/>
      <w:r w:rsidRPr="0097459F">
        <w:rPr>
          <w:rFonts w:ascii="Calibri" w:hAnsi="Calibri" w:cs="Calibri"/>
        </w:rPr>
        <w:t xml:space="preserve"> títulos representativos da dívida externa de responsabilidade da União devem ser mantidos, no exterior, em conta de custódia, no Sistema </w:t>
      </w:r>
      <w:proofErr w:type="spellStart"/>
      <w:r w:rsidRPr="0097459F">
        <w:rPr>
          <w:rFonts w:ascii="Calibri" w:hAnsi="Calibri" w:cs="Calibri"/>
          <w:b/>
        </w:rPr>
        <w:t>Euroclear</w:t>
      </w:r>
      <w:proofErr w:type="spellEnd"/>
      <w:r w:rsidRPr="0097459F">
        <w:rPr>
          <w:rFonts w:ascii="Calibri" w:hAnsi="Calibri" w:cs="Calibri"/>
        </w:rPr>
        <w:t xml:space="preserve"> ou </w:t>
      </w:r>
      <w:r w:rsidRPr="0097459F">
        <w:rPr>
          <w:rFonts w:ascii="Calibri" w:hAnsi="Calibri" w:cs="Calibri"/>
          <w:b/>
        </w:rPr>
        <w:t>Clearstream Banking</w:t>
      </w:r>
      <w:r w:rsidRPr="0097459F">
        <w:rPr>
          <w:rFonts w:ascii="Calibri" w:hAnsi="Calibri" w:cs="Calibri"/>
        </w:rPr>
        <w:t xml:space="preserve"> S.A.</w:t>
      </w:r>
    </w:p>
    <w:p w14:paraId="369E0A19"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Os</w:t>
      </w:r>
      <w:proofErr w:type="gramEnd"/>
      <w:r w:rsidRPr="0097459F">
        <w:rPr>
          <w:rFonts w:ascii="Calibri" w:hAnsi="Calibri" w:cs="Calibri"/>
        </w:rPr>
        <w:t xml:space="preserve"> títulos referidos no § 1º devem ser custodiados em entidades habilitadas a prestar esse serviço pelo supervisor local.</w:t>
      </w:r>
    </w:p>
    <w:p w14:paraId="67F63EE4"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A</w:t>
      </w:r>
      <w:proofErr w:type="gramEnd"/>
      <w:r w:rsidRPr="0097459F">
        <w:rPr>
          <w:rFonts w:ascii="Calibri" w:hAnsi="Calibri" w:cs="Calibri"/>
        </w:rPr>
        <w:t xml:space="preserve"> classe de que trata o </w:t>
      </w:r>
      <w:r w:rsidRPr="0097459F">
        <w:rPr>
          <w:rFonts w:ascii="Calibri" w:hAnsi="Calibri" w:cs="Calibri"/>
          <w:b/>
        </w:rPr>
        <w:t>caput</w:t>
      </w:r>
      <w:r w:rsidRPr="0097459F">
        <w:rPr>
          <w:rFonts w:ascii="Calibri" w:hAnsi="Calibri" w:cs="Calibri"/>
        </w:rPr>
        <w:t xml:space="preserve"> pode aplicar recursos porventura remanescentes:</w:t>
      </w:r>
    </w:p>
    <w:p w14:paraId="6CD79A8D"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na</w:t>
      </w:r>
      <w:proofErr w:type="gramEnd"/>
      <w:r w:rsidRPr="0097459F">
        <w:rPr>
          <w:rFonts w:ascii="Calibri" w:hAnsi="Calibri" w:cs="Calibri"/>
        </w:rPr>
        <w:t xml:space="preserve"> realização de operações em mercados organizados de derivativos no exterior, exclusivamente para os efeitos de proteção (</w:t>
      </w:r>
      <w:r w:rsidRPr="0097459F">
        <w:rPr>
          <w:rFonts w:ascii="Calibri" w:hAnsi="Calibri" w:cs="Calibri"/>
          <w:b/>
        </w:rPr>
        <w:t>hedge</w:t>
      </w:r>
      <w:r w:rsidRPr="0097459F">
        <w:rPr>
          <w:rFonts w:ascii="Calibri" w:hAnsi="Calibri" w:cs="Calibri"/>
        </w:rPr>
        <w:t>) dos títulos integrantes da carteira respectiva, ou mantê-los em conta de depósito em nome da classe, no exterior, observado, relativamente a essa última modalidade, o limite de 10% (dez por cento) do patrimônio líquido respectivo; e</w:t>
      </w:r>
    </w:p>
    <w:p w14:paraId="2650F861"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na</w:t>
      </w:r>
      <w:proofErr w:type="gramEnd"/>
      <w:r w:rsidRPr="0097459F">
        <w:rPr>
          <w:rFonts w:ascii="Calibri" w:hAnsi="Calibri" w:cs="Calibri"/>
        </w:rPr>
        <w:t xml:space="preserve"> realização de operações em mercados organizados de derivativos no país, exclusivamente para os efeitos de proteção (</w:t>
      </w:r>
      <w:r w:rsidRPr="0097459F">
        <w:rPr>
          <w:rFonts w:ascii="Calibri" w:hAnsi="Calibri" w:cs="Calibri"/>
          <w:b/>
        </w:rPr>
        <w:t>hedge</w:t>
      </w:r>
      <w:r w:rsidRPr="0097459F">
        <w:rPr>
          <w:rFonts w:ascii="Calibri" w:hAnsi="Calibri" w:cs="Calibri"/>
        </w:rPr>
        <w:t>) dos títulos integrantes da carteira respectiva, desde que referenciadas em títulos representativos de dívida externa de responsabilidade da União, ou mantê-los em conta de depósito à vista em nome da classe, no país, observado, no conjunto, o limite de 10% (dez por cento) do patrimônio líquido respectivo.</w:t>
      </w:r>
    </w:p>
    <w:p w14:paraId="0B555D1C" w14:textId="77777777" w:rsidR="00C20BBD" w:rsidRPr="0097459F"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Para</w:t>
      </w:r>
      <w:proofErr w:type="gramEnd"/>
      <w:r w:rsidRPr="0097459F">
        <w:rPr>
          <w:rFonts w:ascii="Calibri" w:hAnsi="Calibri" w:cs="Calibri"/>
        </w:rPr>
        <w:t xml:space="preserve"> efeito do disposto no § 3º, inciso II:</w:t>
      </w:r>
    </w:p>
    <w:p w14:paraId="64E1B3AA"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as</w:t>
      </w:r>
      <w:proofErr w:type="gramEnd"/>
      <w:r w:rsidRPr="0097459F">
        <w:rPr>
          <w:rFonts w:ascii="Calibri" w:hAnsi="Calibri" w:cs="Calibri"/>
        </w:rPr>
        <w:t xml:space="preserve"> operações em mercados organizados de derivativos podem ser realizadas tanto em bolsas de mercadorias e de futuros quanto no mercado de balcão, nesse caso desde que devidamente registradas em sistema de registro e de liquidação financeira de ativos autorizado pela CVM e pelo Banco Central do Brasil;</w:t>
      </w:r>
    </w:p>
    <w:p w14:paraId="41B67F50"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devem</w:t>
      </w:r>
      <w:proofErr w:type="gramEnd"/>
      <w:r w:rsidRPr="0097459F">
        <w:rPr>
          <w:rFonts w:ascii="Calibri" w:hAnsi="Calibri" w:cs="Calibri"/>
        </w:rPr>
        <w:t xml:space="preserve"> ser considerados os dispêndios efetivamente incorridos a título de prestação de margens de garantia em espécie, ajustes diários, prêmios e custos operacionais, decorrentes da manutenção de posições em mercados organizados de derivativos no país; e</w:t>
      </w:r>
    </w:p>
    <w:p w14:paraId="113EF1E3" w14:textId="77777777" w:rsidR="00C20BBD" w:rsidRPr="0097459F" w:rsidRDefault="00C20BBD" w:rsidP="00C20BBD">
      <w:pPr>
        <w:pStyle w:val="Normalalteradora"/>
        <w:rPr>
          <w:rFonts w:ascii="Calibri" w:hAnsi="Calibri" w:cs="Calibri"/>
        </w:rPr>
      </w:pPr>
      <w:r w:rsidRPr="0097459F">
        <w:rPr>
          <w:rFonts w:ascii="Calibri" w:hAnsi="Calibri" w:cs="Calibri"/>
        </w:rPr>
        <w:t>III – é permitida a aquisição de títulos públicos federais para utilização como margem de garantia nas operações em mercados organizados de derivativos no país.</w:t>
      </w:r>
    </w:p>
    <w:p w14:paraId="36D2526E" w14:textId="77777777" w:rsidR="00C20BBD" w:rsidRPr="0097459F" w:rsidRDefault="00C20BBD" w:rsidP="00C20BBD">
      <w:pPr>
        <w:pStyle w:val="Normalalteradora"/>
        <w:rPr>
          <w:rFonts w:ascii="Calibri" w:hAnsi="Calibri" w:cs="Calibri"/>
        </w:rPr>
      </w:pPr>
      <w:r w:rsidRPr="0097459F">
        <w:rPr>
          <w:rFonts w:ascii="Calibri" w:hAnsi="Calibri" w:cs="Calibri"/>
        </w:rPr>
        <w:t>§ 5</w:t>
      </w:r>
      <w:proofErr w:type="gramStart"/>
      <w:r w:rsidRPr="0097459F">
        <w:rPr>
          <w:rFonts w:ascii="Calibri" w:hAnsi="Calibri" w:cs="Calibri"/>
        </w:rPr>
        <w:t>º  Relativamente</w:t>
      </w:r>
      <w:proofErr w:type="gramEnd"/>
      <w:r w:rsidRPr="0097459F">
        <w:rPr>
          <w:rFonts w:ascii="Calibri" w:hAnsi="Calibri" w:cs="Calibri"/>
        </w:rPr>
        <w:t xml:space="preserve"> aos títulos de crédito transacionados no mercado internacional, o total de emissão ou coobrigação de uma mesma pessoa jurídica e seu grupo econômico não pode exceder 10% (dez por cento) do patrimônio líquido da classe.</w:t>
      </w:r>
    </w:p>
    <w:p w14:paraId="3DB10BF2" w14:textId="77777777" w:rsidR="00C20BBD" w:rsidRPr="0097459F" w:rsidRDefault="00C20BBD" w:rsidP="00C20BBD">
      <w:pPr>
        <w:pStyle w:val="Normalalteradora"/>
        <w:rPr>
          <w:rFonts w:ascii="Calibri" w:hAnsi="Calibri" w:cs="Calibri"/>
        </w:rPr>
      </w:pPr>
      <w:r w:rsidRPr="0097459F">
        <w:rPr>
          <w:rFonts w:ascii="Calibri" w:hAnsi="Calibri" w:cs="Calibri"/>
        </w:rPr>
        <w:t>§ 6</w:t>
      </w:r>
      <w:proofErr w:type="gramStart"/>
      <w:r w:rsidRPr="0097459F">
        <w:rPr>
          <w:rFonts w:ascii="Calibri" w:hAnsi="Calibri" w:cs="Calibri"/>
        </w:rPr>
        <w:t>º  É</w:t>
      </w:r>
      <w:proofErr w:type="gramEnd"/>
      <w:r w:rsidRPr="0097459F">
        <w:rPr>
          <w:rFonts w:ascii="Calibri" w:hAnsi="Calibri" w:cs="Calibri"/>
        </w:rPr>
        <w:t xml:space="preserve"> vedada a manutenção ou aplicação no País de recursos captados pelo fundo de que trata o </w:t>
      </w:r>
      <w:r w:rsidRPr="0097459F">
        <w:rPr>
          <w:rFonts w:ascii="Calibri" w:hAnsi="Calibri" w:cs="Calibri"/>
          <w:b/>
        </w:rPr>
        <w:t>caput</w:t>
      </w:r>
      <w:r w:rsidRPr="0097459F">
        <w:rPr>
          <w:rFonts w:ascii="Calibri" w:hAnsi="Calibri" w:cs="Calibri"/>
        </w:rPr>
        <w:t>, exceto nos casos do inciso II do § 3º e do inciso III do § 4º deste artigo.</w:t>
      </w:r>
    </w:p>
    <w:p w14:paraId="4C240F6A" w14:textId="77777777" w:rsidR="00C20BBD" w:rsidRPr="0097459F" w:rsidRDefault="00C20BBD" w:rsidP="00C20BBD">
      <w:pPr>
        <w:pStyle w:val="Seo"/>
      </w:pPr>
      <w:bookmarkStart w:id="498" w:name="_Toc53594252"/>
      <w:bookmarkStart w:id="499" w:name="_Toc53594500"/>
      <w:bookmarkStart w:id="500" w:name="_Toc53595525"/>
      <w:bookmarkStart w:id="501" w:name="_Toc57836261"/>
      <w:bookmarkStart w:id="502" w:name="_Toc161141275"/>
      <w:r w:rsidRPr="0097459F">
        <w:t>Subseção II – Fundos de Ações</w:t>
      </w:r>
      <w:bookmarkEnd w:id="498"/>
      <w:bookmarkEnd w:id="499"/>
      <w:bookmarkEnd w:id="500"/>
      <w:bookmarkEnd w:id="501"/>
      <w:bookmarkEnd w:id="502"/>
    </w:p>
    <w:p w14:paraId="1E7040CF" w14:textId="77777777" w:rsidR="00C20BBD" w:rsidRPr="0097459F" w:rsidRDefault="00C20BBD" w:rsidP="00C20BBD">
      <w:pPr>
        <w:pStyle w:val="Normalalteradora"/>
        <w:rPr>
          <w:rFonts w:ascii="Calibri" w:hAnsi="Calibri" w:cs="Calibri"/>
        </w:rPr>
      </w:pPr>
      <w:r w:rsidRPr="0097459F">
        <w:rPr>
          <w:rFonts w:ascii="Calibri" w:hAnsi="Calibri" w:cs="Calibri"/>
        </w:rPr>
        <w:t>Art. 56.  A classe de cotas do fundo tipificado como “Ações” deve ter como principal fator de risco a variação de preços de ações admitidas à negociação em mercado organizado.</w:t>
      </w:r>
    </w:p>
    <w:p w14:paraId="5372FCDF"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Nas</w:t>
      </w:r>
      <w:proofErr w:type="gramEnd"/>
      <w:r w:rsidRPr="0097459F">
        <w:rPr>
          <w:rFonts w:ascii="Calibri" w:hAnsi="Calibri" w:cs="Calibri"/>
        </w:rPr>
        <w:t xml:space="preserve"> classes de que trata o </w:t>
      </w:r>
      <w:r w:rsidRPr="0097459F">
        <w:rPr>
          <w:rFonts w:ascii="Calibri" w:hAnsi="Calibri" w:cs="Calibri"/>
          <w:b/>
        </w:rPr>
        <w:t>caput</w:t>
      </w:r>
      <w:r w:rsidRPr="0097459F">
        <w:rPr>
          <w:rFonts w:ascii="Calibri" w:hAnsi="Calibri" w:cs="Calibri"/>
        </w:rPr>
        <w:t>:</w:t>
      </w:r>
    </w:p>
    <w:p w14:paraId="7D5BCF46" w14:textId="77777777" w:rsidR="00C20BBD" w:rsidRPr="0097459F" w:rsidRDefault="00C20BBD" w:rsidP="00C20BBD">
      <w:pPr>
        <w:pStyle w:val="Normalalteradora"/>
        <w:rPr>
          <w:rFonts w:ascii="Calibri" w:hAnsi="Calibri" w:cs="Calibri"/>
        </w:rPr>
      </w:pPr>
      <w:r w:rsidRPr="0097459F">
        <w:rPr>
          <w:rFonts w:ascii="Calibri" w:hAnsi="Calibri" w:cs="Calibri"/>
        </w:rPr>
        <w:t>I – 67% (sessenta e sete por cento), no mínimo, de seu patrimônio líquido deve ser composto pelo conjunto dos seguintes ativos financeiros:</w:t>
      </w:r>
    </w:p>
    <w:p w14:paraId="462BAF95" w14:textId="77777777" w:rsidR="00C20BBD" w:rsidRPr="0097459F" w:rsidRDefault="00C20BBD" w:rsidP="00C20BBD">
      <w:pPr>
        <w:pStyle w:val="Normalalteradora"/>
        <w:rPr>
          <w:rFonts w:ascii="Calibri" w:hAnsi="Calibri" w:cs="Calibri"/>
        </w:rPr>
      </w:pPr>
      <w:r w:rsidRPr="0097459F">
        <w:rPr>
          <w:rFonts w:ascii="Calibri" w:hAnsi="Calibri" w:cs="Calibri"/>
        </w:rPr>
        <w:t>a) ações e certificados de depósito de ações admitidos à negociação em mercado organizado;</w:t>
      </w:r>
    </w:p>
    <w:p w14:paraId="14FBCA69" w14:textId="77777777" w:rsidR="00C20BBD" w:rsidRPr="0097459F" w:rsidRDefault="00C20BBD" w:rsidP="00C20BBD">
      <w:pPr>
        <w:pStyle w:val="Normalalteradora"/>
        <w:rPr>
          <w:rFonts w:ascii="Calibri" w:hAnsi="Calibri" w:cs="Calibri"/>
        </w:rPr>
      </w:pPr>
      <w:r w:rsidRPr="0097459F">
        <w:rPr>
          <w:rFonts w:ascii="Calibri" w:hAnsi="Calibri" w:cs="Calibri"/>
        </w:rPr>
        <w:t>b) bônus e recibos de subscrição admitidos à negociação em mercado organizado;</w:t>
      </w:r>
    </w:p>
    <w:p w14:paraId="1A90EB79" w14:textId="77777777" w:rsidR="00C20BBD" w:rsidRPr="0097459F" w:rsidRDefault="00C20BBD" w:rsidP="00C20BBD">
      <w:pPr>
        <w:pStyle w:val="Normalalteradora"/>
        <w:rPr>
          <w:rFonts w:ascii="Calibri" w:hAnsi="Calibri" w:cs="Calibri"/>
        </w:rPr>
      </w:pPr>
      <w:r w:rsidRPr="0097459F">
        <w:rPr>
          <w:rFonts w:ascii="Calibri" w:hAnsi="Calibri" w:cs="Calibri"/>
        </w:rPr>
        <w:t>c) cotas de classes tipificadas como “Ações”;</w:t>
      </w:r>
    </w:p>
    <w:p w14:paraId="44A645D1" w14:textId="77777777" w:rsidR="00C20BBD" w:rsidRPr="0097459F" w:rsidRDefault="00C20BBD" w:rsidP="00C20BBD">
      <w:pPr>
        <w:pStyle w:val="Normalalteradora"/>
        <w:rPr>
          <w:rFonts w:cstheme="minorHAnsi"/>
        </w:rPr>
      </w:pPr>
      <w:r w:rsidRPr="0097459F">
        <w:rPr>
          <w:rFonts w:cstheme="minorHAnsi"/>
        </w:rPr>
        <w:t>d) ETF de ações;</w:t>
      </w:r>
    </w:p>
    <w:p w14:paraId="39D139FE" w14:textId="77777777" w:rsidR="00C20BBD" w:rsidRPr="0097459F" w:rsidRDefault="00C20BBD" w:rsidP="00C20BBD">
      <w:pPr>
        <w:pStyle w:val="Normalalteradora"/>
        <w:rPr>
          <w:rFonts w:cstheme="minorHAnsi"/>
        </w:rPr>
      </w:pPr>
      <w:r w:rsidRPr="0097459F">
        <w:rPr>
          <w:rFonts w:cstheme="minorHAnsi"/>
        </w:rPr>
        <w:t xml:space="preserve">e) </w:t>
      </w:r>
      <w:proofErr w:type="spellStart"/>
      <w:r w:rsidRPr="0097459F">
        <w:rPr>
          <w:rFonts w:cstheme="minorHAnsi"/>
        </w:rPr>
        <w:t>BDR-Ações</w:t>
      </w:r>
      <w:proofErr w:type="spellEnd"/>
      <w:r w:rsidRPr="0097459F">
        <w:rPr>
          <w:rFonts w:cstheme="minorHAnsi"/>
        </w:rPr>
        <w:t>; e</w:t>
      </w:r>
    </w:p>
    <w:p w14:paraId="2AAAA1A9" w14:textId="66B0B277" w:rsidR="00C20BBD" w:rsidRPr="0097459F" w:rsidRDefault="00C20BBD" w:rsidP="00C20BBD">
      <w:pPr>
        <w:pStyle w:val="Normalalteradora"/>
        <w:rPr>
          <w:rFonts w:cstheme="minorHAnsi"/>
        </w:rPr>
      </w:pPr>
      <w:r w:rsidRPr="0097459F">
        <w:rPr>
          <w:rFonts w:cstheme="minorHAnsi"/>
        </w:rPr>
        <w:t>f) BDR-ETF de ações;</w:t>
      </w:r>
      <w:r w:rsidR="00E201DC">
        <w:rPr>
          <w:rFonts w:cstheme="minorHAnsi"/>
        </w:rPr>
        <w:t xml:space="preserve"> e</w:t>
      </w:r>
    </w:p>
    <w:p w14:paraId="6F08A8CF" w14:textId="77777777" w:rsidR="00C20BBD" w:rsidRPr="0097459F" w:rsidRDefault="00C20BBD" w:rsidP="00C20BBD">
      <w:pPr>
        <w:pStyle w:val="Normalalteradora"/>
        <w:rPr>
          <w:rFonts w:cstheme="minorHAnsi"/>
        </w:rPr>
      </w:pPr>
      <w:r w:rsidRPr="0097459F">
        <w:rPr>
          <w:rFonts w:cstheme="minorHAnsi"/>
        </w:rPr>
        <w:lastRenderedPageBreak/>
        <w:t xml:space="preserve">II – </w:t>
      </w:r>
      <w:proofErr w:type="gramStart"/>
      <w:r w:rsidRPr="0097459F">
        <w:rPr>
          <w:rFonts w:cstheme="minorHAnsi"/>
        </w:rPr>
        <w:t>os</w:t>
      </w:r>
      <w:proofErr w:type="gramEnd"/>
      <w:r w:rsidRPr="0097459F">
        <w:rPr>
          <w:rFonts w:cstheme="minorHAnsi"/>
        </w:rPr>
        <w:t xml:space="preserve"> recursos excedentes da carteira podem ser aplicados em quaisquer outras modalidades de ativos financeiros destinados à gestão de liquidez.</w:t>
      </w:r>
    </w:p>
    <w:p w14:paraId="3A40F3ED" w14:textId="77777777" w:rsidR="00C20BBD" w:rsidRPr="0097459F" w:rsidRDefault="00C20BBD" w:rsidP="00C20BBD">
      <w:pPr>
        <w:pStyle w:val="Normalalteradora"/>
        <w:rPr>
          <w:rFonts w:cstheme="minorHAnsi"/>
        </w:rPr>
      </w:pPr>
      <w:r w:rsidRPr="0097459F">
        <w:rPr>
          <w:rFonts w:cstheme="minorHAnsi"/>
        </w:rPr>
        <w:t>§ 2</w:t>
      </w:r>
      <w:proofErr w:type="gramStart"/>
      <w:r w:rsidRPr="0097459F">
        <w:rPr>
          <w:rFonts w:cstheme="minorHAnsi"/>
        </w:rPr>
        <w:t>º  Sem</w:t>
      </w:r>
      <w:proofErr w:type="gramEnd"/>
      <w:r w:rsidRPr="0097459F">
        <w:rPr>
          <w:rFonts w:cstheme="minorHAnsi"/>
        </w:rPr>
        <w:t xml:space="preserve"> prejuízo do disposto no </w:t>
      </w:r>
      <w:r w:rsidRPr="0097459F">
        <w:rPr>
          <w:rFonts w:cstheme="minorHAnsi"/>
          <w:b/>
        </w:rPr>
        <w:t>caput</w:t>
      </w:r>
      <w:r w:rsidRPr="0097459F">
        <w:rPr>
          <w:rFonts w:cstheme="minorHAnsi"/>
        </w:rPr>
        <w:t>, o investimento nos ativos financeiros listados no inciso I do § 1º não está sujeito a limites de concentração por emissor, desde que o regulamento preveja tal possibilidade e no termo de adesão conste alerta de que a classe de cotas pode estar exposta ao risco de concentração em ativos financeiros de poucos emissores.</w:t>
      </w:r>
    </w:p>
    <w:p w14:paraId="68DAA622" w14:textId="77777777" w:rsidR="00C20BBD" w:rsidRPr="0097459F" w:rsidRDefault="00C20BBD" w:rsidP="00C20BBD">
      <w:pPr>
        <w:pStyle w:val="Normalalteradora"/>
        <w:rPr>
          <w:rFonts w:cstheme="minorHAnsi"/>
        </w:rPr>
      </w:pPr>
      <w:r w:rsidRPr="0097459F">
        <w:rPr>
          <w:rFonts w:cstheme="minorHAnsi"/>
        </w:rPr>
        <w:t>§ 3</w:t>
      </w:r>
      <w:proofErr w:type="gramStart"/>
      <w:r w:rsidRPr="0097459F">
        <w:rPr>
          <w:rFonts w:cstheme="minorHAnsi"/>
        </w:rPr>
        <w:t>º  A</w:t>
      </w:r>
      <w:proofErr w:type="gramEnd"/>
      <w:r w:rsidRPr="0097459F">
        <w:rPr>
          <w:rFonts w:cstheme="minorHAnsi"/>
        </w:rPr>
        <w:t xml:space="preserve"> classe de cotas cuja política de investimento preveja que, no mínimo, 67% (sessenta e sete por cento) do patrimônio líquido seja investido em ações de companhias listadas em segmento voltado ao mercado de acesso, instituído em mercado organizado, que assegure, por meio de vínculo contratual, práticas diferenciadas de governança corporativa:</w:t>
      </w:r>
    </w:p>
    <w:p w14:paraId="27245ACB" w14:textId="77777777" w:rsidR="00C20BBD" w:rsidRPr="0097459F" w:rsidRDefault="00C20BBD" w:rsidP="00C20BBD">
      <w:pPr>
        <w:pStyle w:val="Normalalteradora"/>
        <w:rPr>
          <w:rFonts w:cstheme="minorHAnsi"/>
        </w:rPr>
      </w:pPr>
      <w:r w:rsidRPr="0097459F">
        <w:rPr>
          <w:rFonts w:cstheme="minorHAnsi"/>
        </w:rPr>
        <w:t xml:space="preserve">I – </w:t>
      </w:r>
      <w:proofErr w:type="gramStart"/>
      <w:r w:rsidRPr="0097459F">
        <w:rPr>
          <w:rFonts w:cstheme="minorHAnsi"/>
        </w:rPr>
        <w:t>deve</w:t>
      </w:r>
      <w:proofErr w:type="gramEnd"/>
      <w:r w:rsidRPr="0097459F">
        <w:rPr>
          <w:rFonts w:cstheme="minorHAnsi"/>
        </w:rPr>
        <w:t xml:space="preserve"> usar, em seu nome, a designação “Ações - Mercado de Acesso”; e</w:t>
      </w:r>
    </w:p>
    <w:p w14:paraId="38BBDB90" w14:textId="77777777" w:rsidR="00C20BBD" w:rsidRPr="0097459F" w:rsidRDefault="00C20BBD" w:rsidP="00C20BBD">
      <w:pPr>
        <w:pStyle w:val="Normalalteradora"/>
        <w:rPr>
          <w:rFonts w:cstheme="minorHAnsi"/>
        </w:rPr>
      </w:pPr>
      <w:r w:rsidRPr="0097459F">
        <w:rPr>
          <w:rFonts w:cstheme="minorHAnsi"/>
        </w:rPr>
        <w:t xml:space="preserve">II – </w:t>
      </w:r>
      <w:proofErr w:type="gramStart"/>
      <w:r w:rsidRPr="0097459F">
        <w:rPr>
          <w:rFonts w:cstheme="minorHAnsi"/>
        </w:rPr>
        <w:t>quando</w:t>
      </w:r>
      <w:proofErr w:type="gramEnd"/>
      <w:r w:rsidRPr="0097459F">
        <w:rPr>
          <w:rFonts w:cstheme="minorHAnsi"/>
        </w:rPr>
        <w:t xml:space="preserve"> constituída sob a forma de regime fechado, pode investir até 33% (trinta e três por cento) do seu patrimônio líquido em ações, debêntures, bônus de subscrição, cotas de FIP ou outros títulos e valores mobiliários conversíveis ou permutáveis em ações de emissão de companhias fechadas.</w:t>
      </w:r>
    </w:p>
    <w:p w14:paraId="19E2F789" w14:textId="77777777" w:rsidR="00C20BBD" w:rsidRPr="0097459F" w:rsidRDefault="00C20BBD" w:rsidP="00C20BBD">
      <w:pPr>
        <w:pStyle w:val="Normalalteradora"/>
        <w:rPr>
          <w:rFonts w:cstheme="minorHAnsi"/>
        </w:rPr>
      </w:pPr>
      <w:r w:rsidRPr="0097459F">
        <w:rPr>
          <w:rFonts w:cstheme="minorHAnsi"/>
        </w:rPr>
        <w:t>§ 4</w:t>
      </w:r>
      <w:proofErr w:type="gramStart"/>
      <w:r w:rsidRPr="0097459F">
        <w:rPr>
          <w:rFonts w:cstheme="minorHAnsi"/>
        </w:rPr>
        <w:t>º  A</w:t>
      </w:r>
      <w:proofErr w:type="gramEnd"/>
      <w:r w:rsidRPr="0097459F">
        <w:rPr>
          <w:rFonts w:cstheme="minorHAnsi"/>
        </w:rPr>
        <w:t xml:space="preserve"> classe que utilize a prerrogativa do § 3º, inciso II, deve:</w:t>
      </w:r>
    </w:p>
    <w:p w14:paraId="333EFC8A" w14:textId="77777777" w:rsidR="00C20BBD" w:rsidRPr="0097459F" w:rsidRDefault="00C20BBD" w:rsidP="00C20BBD">
      <w:pPr>
        <w:pStyle w:val="Normalalteradora"/>
        <w:rPr>
          <w:rFonts w:cstheme="minorHAnsi"/>
        </w:rPr>
      </w:pPr>
      <w:r w:rsidRPr="0097459F">
        <w:rPr>
          <w:rFonts w:cstheme="minorHAnsi"/>
        </w:rPr>
        <w:t xml:space="preserve">I – </w:t>
      </w:r>
      <w:proofErr w:type="gramStart"/>
      <w:r w:rsidRPr="0097459F">
        <w:rPr>
          <w:rFonts w:cstheme="minorHAnsi"/>
        </w:rPr>
        <w:t>participar</w:t>
      </w:r>
      <w:proofErr w:type="gramEnd"/>
      <w:r w:rsidRPr="0097459F">
        <w:rPr>
          <w:rFonts w:cstheme="minorHAnsi"/>
        </w:rPr>
        <w:t xml:space="preserve"> do processo decisório da companhia investida, com efetiva influência na definição de sua política estratégica e na sua gestão, notadamente por meio:</w:t>
      </w:r>
    </w:p>
    <w:p w14:paraId="126B15B3" w14:textId="77777777" w:rsidR="00C20BBD" w:rsidRPr="0097459F" w:rsidRDefault="00C20BBD" w:rsidP="00C20BBD">
      <w:pPr>
        <w:pStyle w:val="Normalalteradora"/>
        <w:rPr>
          <w:rFonts w:cstheme="minorHAnsi"/>
        </w:rPr>
      </w:pPr>
      <w:r w:rsidRPr="0097459F">
        <w:rPr>
          <w:rFonts w:cstheme="minorHAnsi"/>
        </w:rPr>
        <w:t>a) da indicação de membros do Conselho de Administração;</w:t>
      </w:r>
    </w:p>
    <w:p w14:paraId="312C2628" w14:textId="77777777" w:rsidR="00C20BBD" w:rsidRPr="0097459F" w:rsidRDefault="00C20BBD" w:rsidP="00C20BBD">
      <w:pPr>
        <w:pStyle w:val="Normalalteradora"/>
        <w:rPr>
          <w:rFonts w:cstheme="minorHAnsi"/>
        </w:rPr>
      </w:pPr>
      <w:r w:rsidRPr="0097459F">
        <w:rPr>
          <w:rFonts w:cstheme="minorHAnsi"/>
        </w:rPr>
        <w:t>b) da detenção de ações que integrem o respectivo bloco de controle;</w:t>
      </w:r>
    </w:p>
    <w:p w14:paraId="05C093DE" w14:textId="77777777" w:rsidR="00C20BBD" w:rsidRPr="0097459F" w:rsidRDefault="00C20BBD" w:rsidP="00C20BBD">
      <w:pPr>
        <w:pStyle w:val="Normalalteradora"/>
        <w:rPr>
          <w:rFonts w:cstheme="minorHAnsi"/>
        </w:rPr>
      </w:pPr>
      <w:r w:rsidRPr="0097459F">
        <w:rPr>
          <w:rFonts w:cstheme="minorHAnsi"/>
        </w:rPr>
        <w:t>c) da celebração de acordo de acionistas; ou</w:t>
      </w:r>
    </w:p>
    <w:p w14:paraId="47F55C20" w14:textId="77777777" w:rsidR="00C20BBD" w:rsidRPr="0097459F" w:rsidRDefault="00C20BBD" w:rsidP="00C20BBD">
      <w:pPr>
        <w:pStyle w:val="Normalalteradora"/>
        <w:rPr>
          <w:rFonts w:cstheme="minorHAnsi"/>
        </w:rPr>
      </w:pPr>
      <w:r w:rsidRPr="0097459F">
        <w:rPr>
          <w:rFonts w:cstheme="minorHAnsi"/>
        </w:rPr>
        <w:t>d) da celebração de ajuste de natureza diversa ou adoção de procedimento que assegure efetiva influência na definição de sua política estratégica e na sua gestão; e</w:t>
      </w:r>
    </w:p>
    <w:p w14:paraId="2ADC2579" w14:textId="77777777" w:rsidR="00C20BBD" w:rsidRPr="0097459F" w:rsidRDefault="00C20BBD" w:rsidP="00C20BBD">
      <w:pPr>
        <w:pStyle w:val="Normalalteradora"/>
        <w:rPr>
          <w:rFonts w:cstheme="minorHAnsi"/>
        </w:rPr>
      </w:pPr>
      <w:r w:rsidRPr="0097459F">
        <w:rPr>
          <w:rFonts w:cstheme="minorHAnsi"/>
        </w:rPr>
        <w:t xml:space="preserve">II – </w:t>
      </w:r>
      <w:proofErr w:type="gramStart"/>
      <w:r w:rsidRPr="0097459F">
        <w:rPr>
          <w:rFonts w:cstheme="minorHAnsi"/>
        </w:rPr>
        <w:t>investir</w:t>
      </w:r>
      <w:proofErr w:type="gramEnd"/>
      <w:r w:rsidRPr="0097459F">
        <w:rPr>
          <w:rFonts w:cstheme="minorHAnsi"/>
        </w:rPr>
        <w:t xml:space="preserve"> somente em companhias fechadas que adotem as seguintes práticas de governança:</w:t>
      </w:r>
    </w:p>
    <w:p w14:paraId="5A96515F" w14:textId="77777777" w:rsidR="00C20BBD" w:rsidRPr="0097459F" w:rsidRDefault="00C20BBD" w:rsidP="00C20BBD">
      <w:pPr>
        <w:pStyle w:val="Normalalteradora"/>
        <w:rPr>
          <w:rFonts w:cstheme="minorHAnsi"/>
        </w:rPr>
      </w:pPr>
      <w:r w:rsidRPr="0097459F">
        <w:rPr>
          <w:rFonts w:cstheme="minorHAnsi"/>
        </w:rPr>
        <w:t>a) proibição de emissão de partes beneficiárias e inexistência desses títulos em circulação;</w:t>
      </w:r>
    </w:p>
    <w:p w14:paraId="53BC8F1D" w14:textId="77777777" w:rsidR="00C20BBD" w:rsidRPr="0097459F" w:rsidRDefault="00C20BBD" w:rsidP="00C20BBD">
      <w:pPr>
        <w:pStyle w:val="Normalalteradora"/>
        <w:rPr>
          <w:rFonts w:cstheme="minorHAnsi"/>
        </w:rPr>
      </w:pPr>
      <w:r w:rsidRPr="0097459F">
        <w:rPr>
          <w:rFonts w:cstheme="minorHAnsi"/>
        </w:rPr>
        <w:t xml:space="preserve">b) estabelecimento de um mandato unificado de até 2 (dois) anos para todo o Conselho de Administração; </w:t>
      </w:r>
    </w:p>
    <w:p w14:paraId="03CB3111" w14:textId="77777777" w:rsidR="00C20BBD" w:rsidRPr="0097459F" w:rsidRDefault="00C20BBD" w:rsidP="00C20BBD">
      <w:pPr>
        <w:pStyle w:val="Normalalteradora"/>
        <w:rPr>
          <w:rFonts w:cstheme="minorHAnsi"/>
        </w:rPr>
      </w:pPr>
      <w:r w:rsidRPr="0097459F">
        <w:rPr>
          <w:rFonts w:cstheme="minorHAnsi"/>
        </w:rPr>
        <w:lastRenderedPageBreak/>
        <w:t>c) disponibilização de acordos de acionistas e programas de aquisição de ações ou de outros títulos ou valores mobiliários de emissão da companhia e divulgação de informações sobre contratos com partes relacionadas na forma exigida na regulamentação da CVM para os emissores registrados na categoria A;</w:t>
      </w:r>
    </w:p>
    <w:p w14:paraId="25261160" w14:textId="77777777" w:rsidR="00C20BBD" w:rsidRPr="0097459F" w:rsidRDefault="00C20BBD" w:rsidP="00C20BBD">
      <w:pPr>
        <w:pStyle w:val="Normalalteradora"/>
        <w:rPr>
          <w:rFonts w:cstheme="minorHAnsi"/>
        </w:rPr>
      </w:pPr>
      <w:r w:rsidRPr="0097459F">
        <w:rPr>
          <w:rFonts w:cstheme="minorHAnsi"/>
        </w:rPr>
        <w:t>d) adesão à câmara de arbitragem para resolução de conflitos societários;</w:t>
      </w:r>
    </w:p>
    <w:p w14:paraId="40754C31" w14:textId="77777777" w:rsidR="00C20BBD" w:rsidRPr="0097459F" w:rsidRDefault="00C20BBD" w:rsidP="00C20BBD">
      <w:pPr>
        <w:pStyle w:val="Normalalteradora"/>
        <w:rPr>
          <w:rFonts w:cstheme="minorHAnsi"/>
        </w:rPr>
      </w:pPr>
      <w:r w:rsidRPr="0097459F">
        <w:rPr>
          <w:rFonts w:cstheme="minorHAnsi"/>
        </w:rPr>
        <w:t>e) no caso de abertura de seu capital, obrigar-se a aderir a segmento especial de bolsa de valores ou mercado de balcão organizado que assegure, no mínimo, práticas de governança corporativa previstas nos incisos anteriores;</w:t>
      </w:r>
    </w:p>
    <w:p w14:paraId="6EF8D61B" w14:textId="77777777" w:rsidR="00C20BBD" w:rsidRPr="0097459F" w:rsidRDefault="00C20BBD" w:rsidP="00C20BBD">
      <w:pPr>
        <w:pStyle w:val="Normalalteradora"/>
        <w:rPr>
          <w:rFonts w:cstheme="minorHAnsi"/>
        </w:rPr>
      </w:pPr>
      <w:r w:rsidRPr="0097459F">
        <w:rPr>
          <w:rFonts w:cstheme="minorHAnsi"/>
        </w:rPr>
        <w:t>f) auditoria anual de suas demonstrações contábeis por auditores independentes registrados na CVM; e</w:t>
      </w:r>
    </w:p>
    <w:p w14:paraId="5B3AAFA3" w14:textId="77777777" w:rsidR="00C20BBD" w:rsidRPr="0097459F" w:rsidRDefault="00C20BBD" w:rsidP="00C20BBD">
      <w:pPr>
        <w:pStyle w:val="Normalalteradora"/>
        <w:rPr>
          <w:rFonts w:cstheme="minorHAnsi"/>
        </w:rPr>
      </w:pPr>
      <w:r w:rsidRPr="0097459F">
        <w:rPr>
          <w:rFonts w:cstheme="minorHAnsi"/>
        </w:rPr>
        <w:t>g) tratamento igualitário no caso de alienação de controle, por meio de opção de venda da totalidade das ações emitidas pela companhia ao adquirente do controle pelo mesmo preço pago ao controlador.</w:t>
      </w:r>
    </w:p>
    <w:p w14:paraId="7570D45B" w14:textId="77777777" w:rsidR="00C20BBD" w:rsidRPr="0097459F" w:rsidRDefault="00C20BBD" w:rsidP="00C20BBD">
      <w:pPr>
        <w:pStyle w:val="Normalalteradora"/>
        <w:rPr>
          <w:rFonts w:cstheme="minorHAnsi"/>
        </w:rPr>
      </w:pPr>
      <w:r w:rsidRPr="0097459F">
        <w:rPr>
          <w:rFonts w:cstheme="minorHAnsi"/>
        </w:rPr>
        <w:t>§ 5</w:t>
      </w:r>
      <w:proofErr w:type="gramStart"/>
      <w:r w:rsidRPr="0097459F">
        <w:rPr>
          <w:rFonts w:cstheme="minorHAnsi"/>
        </w:rPr>
        <w:t>º  Para</w:t>
      </w:r>
      <w:proofErr w:type="gramEnd"/>
      <w:r w:rsidRPr="0097459F">
        <w:rPr>
          <w:rFonts w:cstheme="minorHAnsi"/>
        </w:rPr>
        <w:t xml:space="preserve"> os efeitos de escrituração contábil, a avaliação da participação em companhias fechadas investidas com base no § 3º, inciso II, deve ser feita, a cada 12 (doze) meses, a valor justo, conforme norma contábil aprovada pela CVM sobre mensuração do valor justo.</w:t>
      </w:r>
    </w:p>
    <w:p w14:paraId="048FA697" w14:textId="77777777" w:rsidR="00C20BBD" w:rsidRPr="0097459F" w:rsidRDefault="00C20BBD" w:rsidP="00C20BBD">
      <w:pPr>
        <w:pStyle w:val="Normalalteradora"/>
      </w:pPr>
      <w:r w:rsidRPr="0097459F">
        <w:t>§ 6</w:t>
      </w:r>
      <w:proofErr w:type="gramStart"/>
      <w:r w:rsidRPr="0097459F">
        <w:t>º  O</w:t>
      </w:r>
      <w:proofErr w:type="gramEnd"/>
      <w:r w:rsidRPr="0097459F">
        <w:t xml:space="preserve"> regulamento do fundo tipificado como “Ações” pode autorizar a classe fechada a comprar suas próprias cotas no mercado organizado em que estejam admitidas à negociação, desde que:</w:t>
      </w:r>
    </w:p>
    <w:p w14:paraId="15F6A854" w14:textId="77777777" w:rsidR="00C20BBD" w:rsidRPr="0097459F" w:rsidRDefault="00C20BBD" w:rsidP="00C20BBD">
      <w:pPr>
        <w:pStyle w:val="Normalalteradora"/>
      </w:pPr>
      <w:r w:rsidRPr="0097459F">
        <w:t xml:space="preserve">I – </w:t>
      </w:r>
      <w:proofErr w:type="gramStart"/>
      <w:r w:rsidRPr="0097459F">
        <w:t>o</w:t>
      </w:r>
      <w:proofErr w:type="gramEnd"/>
      <w:r w:rsidRPr="0097459F">
        <w:t xml:space="preserve"> valor de recompra da cota seja inferior ao valor patrimonial da cota do dia imediatamente anterior ao da recompra;</w:t>
      </w:r>
    </w:p>
    <w:p w14:paraId="32A45E35" w14:textId="77777777" w:rsidR="00C20BBD" w:rsidRPr="0097459F" w:rsidRDefault="00C20BBD" w:rsidP="00C20BBD">
      <w:pPr>
        <w:pStyle w:val="Normalalteradora"/>
      </w:pPr>
      <w:r w:rsidRPr="0097459F">
        <w:t xml:space="preserve">II – </w:t>
      </w:r>
      <w:proofErr w:type="gramStart"/>
      <w:r w:rsidRPr="0097459F">
        <w:t>as</w:t>
      </w:r>
      <w:proofErr w:type="gramEnd"/>
      <w:r w:rsidRPr="0097459F">
        <w:t xml:space="preserve"> cotas recompradas sejam canceladas; e</w:t>
      </w:r>
    </w:p>
    <w:p w14:paraId="66BED9DD" w14:textId="77777777" w:rsidR="00C20BBD" w:rsidRPr="0097459F" w:rsidRDefault="00C20BBD" w:rsidP="00C20BBD">
      <w:pPr>
        <w:pStyle w:val="Normalalteradora"/>
      </w:pPr>
      <w:r w:rsidRPr="0097459F">
        <w:t>III – o volume de recompras não ultrapasse, em um período de 12 (doze) meses, 10% (dez por cento) do total das cotas do fundo.</w:t>
      </w:r>
    </w:p>
    <w:p w14:paraId="42B8DF7B" w14:textId="77777777" w:rsidR="00C20BBD" w:rsidRPr="0097459F" w:rsidRDefault="00C20BBD" w:rsidP="00C20BBD">
      <w:pPr>
        <w:pStyle w:val="Normalalteradora"/>
      </w:pPr>
      <w:r w:rsidRPr="0097459F">
        <w:t>§ 7</w:t>
      </w:r>
      <w:proofErr w:type="gramStart"/>
      <w:r w:rsidRPr="0097459F">
        <w:t>°  Para</w:t>
      </w:r>
      <w:proofErr w:type="gramEnd"/>
      <w:r w:rsidRPr="0097459F">
        <w:t xml:space="preserve"> efeito do disposto no § 6º, o administrador deve anunciar a intenção de recompra, por meio de comunicado ao mercado arquivado, com pelo menos 14 (catorze) dias de antecedência da data em que pretende iniciar a recompra, junto à entidade administradora do mercado organizado no qual as cotas estejam admitidas à negociação.</w:t>
      </w:r>
    </w:p>
    <w:p w14:paraId="4962569D" w14:textId="77777777" w:rsidR="00C20BBD" w:rsidRPr="0097459F" w:rsidRDefault="00C20BBD" w:rsidP="00C20BBD">
      <w:pPr>
        <w:pStyle w:val="Normalalteradora"/>
      </w:pPr>
      <w:r w:rsidRPr="0097459F">
        <w:t>§ 8</w:t>
      </w:r>
      <w:proofErr w:type="gramStart"/>
      <w:r w:rsidRPr="0097459F">
        <w:t>º  O</w:t>
      </w:r>
      <w:proofErr w:type="gramEnd"/>
      <w:r w:rsidRPr="0097459F">
        <w:t xml:space="preserve"> comunicado a que se refere o § 7º:</w:t>
      </w:r>
    </w:p>
    <w:p w14:paraId="5CA19236" w14:textId="77777777" w:rsidR="00C20BBD" w:rsidRPr="0097459F" w:rsidRDefault="00C20BBD" w:rsidP="00C20BBD">
      <w:pPr>
        <w:pStyle w:val="Normalalteradora"/>
      </w:pPr>
      <w:r w:rsidRPr="0097459F">
        <w:lastRenderedPageBreak/>
        <w:t>I – é válido por 12 (doze) meses, contados a partir da data de seu arquivamento; e</w:t>
      </w:r>
    </w:p>
    <w:p w14:paraId="3D72FEE7" w14:textId="77777777" w:rsidR="00C20BBD" w:rsidRPr="0097459F" w:rsidRDefault="00C20BBD" w:rsidP="00C20BBD">
      <w:pPr>
        <w:pStyle w:val="Normalalteradora"/>
      </w:pPr>
      <w:r w:rsidRPr="0097459F">
        <w:t xml:space="preserve">II – </w:t>
      </w:r>
      <w:proofErr w:type="gramStart"/>
      <w:r w:rsidRPr="0097459F">
        <w:t>deve</w:t>
      </w:r>
      <w:proofErr w:type="gramEnd"/>
      <w:r w:rsidRPr="0097459F">
        <w:t xml:space="preserve"> conter informações sobre a existência de programa de recompras e quantidade de cotas efetivamente recompradas nos 3 (três) últimos exercícios.</w:t>
      </w:r>
    </w:p>
    <w:p w14:paraId="7FA9C339" w14:textId="77777777" w:rsidR="00C20BBD" w:rsidRPr="0097459F" w:rsidRDefault="00C20BBD" w:rsidP="00C20BBD">
      <w:pPr>
        <w:pStyle w:val="Normalalteradora"/>
      </w:pPr>
      <w:r w:rsidRPr="0097459F">
        <w:t>§ 9</w:t>
      </w:r>
      <w:proofErr w:type="gramStart"/>
      <w:r w:rsidRPr="0097459F">
        <w:t>º  O</w:t>
      </w:r>
      <w:proofErr w:type="gramEnd"/>
      <w:r w:rsidRPr="0097459F">
        <w:t xml:space="preserve"> limite a que se refere o inciso III do § 6º deve ter como referência as cotas emitidas pelo fundo ou classe na data do comunicado de que trata o § 8º.</w:t>
      </w:r>
    </w:p>
    <w:p w14:paraId="2EB363B6" w14:textId="77777777" w:rsidR="00C20BBD" w:rsidRPr="0097459F" w:rsidRDefault="00C20BBD" w:rsidP="00C20BBD">
      <w:pPr>
        <w:pStyle w:val="Normalalteradora"/>
      </w:pPr>
      <w:r w:rsidRPr="0097459F">
        <w:t>§ 10.  É vedado à classe fechada de que trata o § 6º recomprar suas próprias cotas:</w:t>
      </w:r>
    </w:p>
    <w:p w14:paraId="3304F64A" w14:textId="77777777" w:rsidR="00C20BBD" w:rsidRPr="0097459F" w:rsidRDefault="00C20BBD" w:rsidP="00C20BBD">
      <w:pPr>
        <w:pStyle w:val="Normalalteradora"/>
      </w:pPr>
      <w:r w:rsidRPr="0097459F">
        <w:t xml:space="preserve">I – </w:t>
      </w:r>
      <w:proofErr w:type="gramStart"/>
      <w:r w:rsidRPr="0097459F">
        <w:t>sempre</w:t>
      </w:r>
      <w:proofErr w:type="gramEnd"/>
      <w:r w:rsidRPr="0097459F">
        <w:t xml:space="preserve"> que o administrador ou o gestor tenha conhecimento de informação ainda não divulgada ao mercado relativa às suas investidas que possa alterar substancialmente o valor da cota ou influenciar na decisão do cotista de comprar, vender ou manter suas cotas;</w:t>
      </w:r>
    </w:p>
    <w:p w14:paraId="60693F0F" w14:textId="77777777" w:rsidR="00C20BBD" w:rsidRPr="0097459F" w:rsidRDefault="00C20BBD" w:rsidP="00C20BBD">
      <w:pPr>
        <w:pStyle w:val="Normalalteradora"/>
      </w:pPr>
      <w:r w:rsidRPr="0097459F">
        <w:t xml:space="preserve">II – </w:t>
      </w:r>
      <w:proofErr w:type="gramStart"/>
      <w:r w:rsidRPr="0097459F">
        <w:t>de</w:t>
      </w:r>
      <w:proofErr w:type="gramEnd"/>
      <w:r w:rsidRPr="0097459F">
        <w:t xml:space="preserve"> forma a influenciar o regular funcionamento do mercado; e</w:t>
      </w:r>
    </w:p>
    <w:p w14:paraId="40A51BE9" w14:textId="77777777" w:rsidR="00C20BBD" w:rsidRPr="0097459F" w:rsidRDefault="00C20BBD" w:rsidP="00C20BBD">
      <w:pPr>
        <w:pStyle w:val="Normalalteradora"/>
      </w:pPr>
      <w:r w:rsidRPr="0097459F">
        <w:t>III – com a finalidade exclusiva de obtenção de ganhos financeiros a partir de variações esperadas do preço das cotas.</w:t>
      </w:r>
    </w:p>
    <w:p w14:paraId="192C7DFB" w14:textId="77777777" w:rsidR="00C20BBD" w:rsidRPr="0097459F" w:rsidRDefault="00C20BBD" w:rsidP="00C20BBD">
      <w:pPr>
        <w:pStyle w:val="Seo"/>
        <w:rPr>
          <w:rFonts w:asciiTheme="minorHAnsi" w:hAnsiTheme="minorHAnsi"/>
        </w:rPr>
      </w:pPr>
      <w:bookmarkStart w:id="503" w:name="_Toc53594253"/>
      <w:bookmarkStart w:id="504" w:name="_Toc53594501"/>
      <w:bookmarkStart w:id="505" w:name="_Toc53595526"/>
      <w:bookmarkStart w:id="506" w:name="_Toc57836262"/>
      <w:bookmarkStart w:id="507" w:name="_Toc161141276"/>
      <w:r w:rsidRPr="0097459F">
        <w:rPr>
          <w:rFonts w:asciiTheme="minorHAnsi" w:hAnsiTheme="minorHAnsi"/>
        </w:rPr>
        <w:t>Subseção III – Fundos Cambiais</w:t>
      </w:r>
      <w:bookmarkEnd w:id="503"/>
      <w:bookmarkEnd w:id="504"/>
      <w:bookmarkEnd w:id="505"/>
      <w:bookmarkEnd w:id="506"/>
      <w:bookmarkEnd w:id="507"/>
    </w:p>
    <w:p w14:paraId="5AE9D2D5" w14:textId="77777777" w:rsidR="00C20BBD" w:rsidRPr="0097459F" w:rsidRDefault="00C20BBD" w:rsidP="00C20BBD">
      <w:pPr>
        <w:pStyle w:val="Normalalteradora"/>
        <w:rPr>
          <w:rFonts w:cstheme="minorHAnsi"/>
        </w:rPr>
      </w:pPr>
      <w:r w:rsidRPr="0097459F">
        <w:rPr>
          <w:rFonts w:cstheme="minorHAnsi"/>
        </w:rPr>
        <w:t>Art. 57.  A classe tipificada como “Cambial” deve ter como principal fator de risco de carteira a variação de preços de moeda estrangeira ou do cupom cambial.</w:t>
      </w:r>
    </w:p>
    <w:p w14:paraId="574A2E9D" w14:textId="77777777" w:rsidR="00C20BBD" w:rsidRPr="0097459F" w:rsidRDefault="00C20BBD" w:rsidP="00C20BBD">
      <w:pPr>
        <w:pStyle w:val="Normalalteradora"/>
        <w:rPr>
          <w:rFonts w:cstheme="minorHAnsi"/>
        </w:rPr>
      </w:pPr>
      <w:r w:rsidRPr="0097459F">
        <w:rPr>
          <w:rFonts w:cstheme="minorHAnsi"/>
        </w:rPr>
        <w:t xml:space="preserve">Parágrafo único.  Nas classes a que se refere o </w:t>
      </w:r>
      <w:r w:rsidRPr="0097459F">
        <w:rPr>
          <w:rFonts w:cstheme="minorHAnsi"/>
          <w:b/>
        </w:rPr>
        <w:t>caput</w:t>
      </w:r>
      <w:r w:rsidRPr="0097459F">
        <w:rPr>
          <w:rFonts w:cstheme="minorHAnsi"/>
        </w:rPr>
        <w:t>, no mínimo 80% (oitenta por cento) da carteira deve ser composta por ativos relacionados diretamente, ou sintetizados via derivativos, ao fator de risco que dá nome ao tipo.</w:t>
      </w:r>
    </w:p>
    <w:p w14:paraId="53EB12D4" w14:textId="77777777" w:rsidR="00C20BBD" w:rsidRPr="0097459F" w:rsidRDefault="00C20BBD" w:rsidP="00C20BBD">
      <w:pPr>
        <w:pStyle w:val="Seo"/>
        <w:rPr>
          <w:rFonts w:asciiTheme="minorHAnsi" w:hAnsiTheme="minorHAnsi"/>
        </w:rPr>
      </w:pPr>
      <w:bookmarkStart w:id="508" w:name="_Toc53594254"/>
      <w:bookmarkStart w:id="509" w:name="_Toc53594502"/>
      <w:bookmarkStart w:id="510" w:name="_Toc53595527"/>
      <w:bookmarkStart w:id="511" w:name="_Toc57836263"/>
      <w:bookmarkStart w:id="512" w:name="_Toc161141277"/>
      <w:r w:rsidRPr="0097459F">
        <w:rPr>
          <w:rFonts w:asciiTheme="minorHAnsi" w:hAnsiTheme="minorHAnsi"/>
        </w:rPr>
        <w:t>Subseção IV – Fundos Multimercado</w:t>
      </w:r>
      <w:bookmarkEnd w:id="508"/>
      <w:bookmarkEnd w:id="509"/>
      <w:bookmarkEnd w:id="510"/>
      <w:bookmarkEnd w:id="511"/>
      <w:bookmarkEnd w:id="512"/>
    </w:p>
    <w:p w14:paraId="7C3E2807" w14:textId="510277CE" w:rsidR="00C20BBD" w:rsidRDefault="00C20BBD" w:rsidP="00C20BBD">
      <w:pPr>
        <w:pStyle w:val="Normalalteradora"/>
        <w:rPr>
          <w:rFonts w:cstheme="minorHAnsi"/>
        </w:rPr>
      </w:pPr>
      <w:r w:rsidRPr="0097459F">
        <w:rPr>
          <w:rFonts w:cstheme="minorHAnsi"/>
        </w:rPr>
        <w:t>Art. 58.  A classe tipificada como "Multimercado" deve ter política de investimento que envolva vários fatores de risco, sem compromisso de concentração em nenhum fator em específico.</w:t>
      </w:r>
    </w:p>
    <w:p w14:paraId="66BB0009" w14:textId="0393F221" w:rsidR="006767E3" w:rsidRDefault="006767E3" w:rsidP="006767E3">
      <w:pPr>
        <w:pStyle w:val="Normalalteradora"/>
        <w:rPr>
          <w:rFonts w:cstheme="minorHAnsi"/>
          <w:strike/>
        </w:rPr>
      </w:pPr>
      <w:r w:rsidRPr="0019363E">
        <w:rPr>
          <w:rFonts w:cstheme="minorHAnsi"/>
          <w:strike/>
        </w:rPr>
        <w:t>Parágrafo único.  A classe “Multimercado” não está sujeita aos limites de concentração por emissor dispostos no art. 44 deste Anexo Normativo I, desde que assim esteja expressamente previsto em seu regulamento e o termo de adesão contenha alerta de que a carteira pode estar exposta ao risco de concentração em ativos de poucos emissores.</w:t>
      </w:r>
    </w:p>
    <w:p w14:paraId="5DBC91B6" w14:textId="352FB288" w:rsidR="0019363E" w:rsidRDefault="0019363E" w:rsidP="006767E3">
      <w:pPr>
        <w:pStyle w:val="Normalalteradora"/>
      </w:pPr>
      <w:r w:rsidRPr="75B8215F">
        <w:t xml:space="preserve">Parágrafo único.  Os investimentos feitos pela classe “Multimercado” nos ativos de que trata o art. 56, § 1º, inciso I, não estão sujeitos aos limites de concentração por emissor dispostos no art. 44 deste </w:t>
      </w:r>
      <w:r w:rsidRPr="75B8215F">
        <w:lastRenderedPageBreak/>
        <w:t>Anexo Normativo I, desde que assim esteja expressamente previsto no regulamento e o termo de adesão contenha alerta de que a carteira pode estar exposta ao risco de concentração em ativos de poucos emissores.</w:t>
      </w:r>
    </w:p>
    <w:p w14:paraId="01E0D3A4" w14:textId="45F1AB2C"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Parágrafo único</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C2AC31A" w14:textId="77777777" w:rsidR="00C20BBD" w:rsidRPr="0097459F" w:rsidRDefault="00C20BBD" w:rsidP="00C20BBD">
      <w:pPr>
        <w:pStyle w:val="Seo"/>
        <w:rPr>
          <w:rFonts w:asciiTheme="minorHAnsi" w:hAnsiTheme="minorHAnsi"/>
        </w:rPr>
      </w:pPr>
      <w:bookmarkStart w:id="513" w:name="_Toc53594255"/>
      <w:bookmarkStart w:id="514" w:name="_Toc53594503"/>
      <w:bookmarkStart w:id="515" w:name="_Toc53595528"/>
      <w:bookmarkStart w:id="516" w:name="_Toc57836264"/>
      <w:bookmarkStart w:id="517" w:name="_Toc161141278"/>
      <w:r w:rsidRPr="0097459F">
        <w:rPr>
          <w:rFonts w:asciiTheme="minorHAnsi" w:hAnsiTheme="minorHAnsi"/>
        </w:rPr>
        <w:t xml:space="preserve">Subseção V – </w:t>
      </w:r>
      <w:bookmarkEnd w:id="513"/>
      <w:bookmarkEnd w:id="514"/>
      <w:bookmarkEnd w:id="515"/>
      <w:bookmarkEnd w:id="516"/>
      <w:r w:rsidRPr="0097459F">
        <w:rPr>
          <w:rFonts w:asciiTheme="minorHAnsi" w:hAnsiTheme="minorHAnsi" w:cstheme="minorHAnsi"/>
        </w:rPr>
        <w:t>Fundos Incentivados em Infraestrutura</w:t>
      </w:r>
      <w:bookmarkEnd w:id="517"/>
    </w:p>
    <w:p w14:paraId="1F8B8D98" w14:textId="77777777" w:rsidR="00C20BBD" w:rsidRPr="0097459F" w:rsidRDefault="00C20BBD" w:rsidP="00C20BBD">
      <w:pPr>
        <w:pStyle w:val="Normalalteradora"/>
        <w:rPr>
          <w:rFonts w:cstheme="minorHAnsi"/>
        </w:rPr>
      </w:pPr>
      <w:r w:rsidRPr="0097459F">
        <w:rPr>
          <w:rFonts w:cstheme="minorHAnsi"/>
        </w:rPr>
        <w:t>Art. 59.  Os FI-Infra são os fundos de investimento previstos no art. 3º da Lei nº 12.431, de 2011, tendo por objetivo o enquadramento no regime tributário estabelecido naquela Lei.</w:t>
      </w:r>
    </w:p>
    <w:p w14:paraId="47C3CF31" w14:textId="77777777" w:rsidR="00C20BBD" w:rsidRPr="0097459F" w:rsidRDefault="00C20BBD" w:rsidP="00C20BBD">
      <w:pPr>
        <w:pStyle w:val="Normalalteradora"/>
        <w:rPr>
          <w:rFonts w:cstheme="minorHAnsi"/>
        </w:rPr>
      </w:pPr>
      <w:r w:rsidRPr="0097459F">
        <w:rPr>
          <w:rFonts w:cstheme="minorHAnsi"/>
        </w:rPr>
        <w:t>§ 1</w:t>
      </w:r>
      <w:proofErr w:type="gramStart"/>
      <w:r w:rsidRPr="0097459F">
        <w:rPr>
          <w:rFonts w:cstheme="minorHAnsi"/>
        </w:rPr>
        <w:t>º  Todas</w:t>
      </w:r>
      <w:proofErr w:type="gramEnd"/>
      <w:r w:rsidRPr="0097459F">
        <w:rPr>
          <w:rFonts w:cstheme="minorHAnsi"/>
        </w:rPr>
        <w:t xml:space="preserve"> as classes dos FI-Infra devem ter por objetivo o enquadramento no regime tributário estabelecido na Lei</w:t>
      </w:r>
      <w:r w:rsidRPr="0097459F" w:rsidDel="004F53BE">
        <w:rPr>
          <w:rFonts w:cstheme="minorHAnsi"/>
        </w:rPr>
        <w:t xml:space="preserve"> nº 12.431, de 2011</w:t>
      </w:r>
      <w:r w:rsidRPr="0097459F">
        <w:rPr>
          <w:rFonts w:cstheme="minorHAnsi"/>
        </w:rPr>
        <w:t>.</w:t>
      </w:r>
    </w:p>
    <w:p w14:paraId="3DF075E0" w14:textId="77777777" w:rsidR="00C20BBD" w:rsidRPr="0097459F" w:rsidRDefault="00C20BBD" w:rsidP="00C20BBD">
      <w:pPr>
        <w:pStyle w:val="Normalalteradora"/>
        <w:rPr>
          <w:rFonts w:cstheme="minorHAnsi"/>
        </w:rPr>
      </w:pPr>
      <w:r w:rsidRPr="0097459F">
        <w:rPr>
          <w:rFonts w:cstheme="minorHAnsi"/>
        </w:rPr>
        <w:t>§ 2</w:t>
      </w:r>
      <w:proofErr w:type="gramStart"/>
      <w:r w:rsidRPr="0097459F">
        <w:rPr>
          <w:rFonts w:cstheme="minorHAnsi"/>
        </w:rPr>
        <w:t>º  Os</w:t>
      </w:r>
      <w:proofErr w:type="gramEnd"/>
      <w:r w:rsidRPr="0097459F">
        <w:rPr>
          <w:rFonts w:cstheme="minorHAnsi"/>
        </w:rPr>
        <w:t xml:space="preserve"> FI-Infra são fundos do tipo “Renda Fixa” e podem ser constituídos sob a forma de condomínio fechado ou aberto.</w:t>
      </w:r>
    </w:p>
    <w:p w14:paraId="4CE6DB81" w14:textId="77777777" w:rsidR="00C20BBD" w:rsidRPr="0097459F" w:rsidRDefault="00C20BBD" w:rsidP="00C20BBD">
      <w:pPr>
        <w:pStyle w:val="Normalalteradora"/>
        <w:rPr>
          <w:rFonts w:cstheme="minorHAnsi"/>
        </w:rPr>
      </w:pPr>
      <w:r w:rsidRPr="0097459F">
        <w:rPr>
          <w:rFonts w:cstheme="minorHAnsi"/>
        </w:rPr>
        <w:t>§ 3</w:t>
      </w:r>
      <w:proofErr w:type="gramStart"/>
      <w:r w:rsidRPr="0097459F">
        <w:rPr>
          <w:rFonts w:cstheme="minorHAnsi"/>
        </w:rPr>
        <w:t>º  A</w:t>
      </w:r>
      <w:proofErr w:type="gramEnd"/>
      <w:r w:rsidRPr="0097459F">
        <w:rPr>
          <w:rFonts w:cstheme="minorHAnsi"/>
        </w:rPr>
        <w:t xml:space="preserve"> denominação do FI-Infra e de suas classes de cotas deve conter a expressão “Investimento em Infraestrutura”, devendo, ainda, identificar o direcionamento de parcela preponderante de seus recursos para segmento econômico específico, se for o caso.</w:t>
      </w:r>
    </w:p>
    <w:p w14:paraId="4F7FC87E" w14:textId="77777777" w:rsidR="00C20BBD" w:rsidRPr="0097459F" w:rsidRDefault="00C20BBD" w:rsidP="00C20BBD">
      <w:pPr>
        <w:pStyle w:val="Normalalteradora"/>
        <w:rPr>
          <w:rFonts w:cstheme="minorHAnsi"/>
        </w:rPr>
      </w:pPr>
      <w:r w:rsidRPr="0097459F">
        <w:rPr>
          <w:rFonts w:cstheme="minorHAnsi"/>
        </w:rPr>
        <w:t>§ 4</w:t>
      </w:r>
      <w:proofErr w:type="gramStart"/>
      <w:r w:rsidRPr="0097459F">
        <w:rPr>
          <w:rFonts w:cstheme="minorHAnsi"/>
        </w:rPr>
        <w:t>º  O</w:t>
      </w:r>
      <w:proofErr w:type="gramEnd"/>
      <w:r w:rsidRPr="0097459F">
        <w:rPr>
          <w:rFonts w:cstheme="minorHAnsi"/>
        </w:rPr>
        <w:t xml:space="preserve"> material de divulgação da classe tipificada como “Infraestrutura” deve informar os benefícios tributários da classe e dos cotistas, se for o caso, e as condições que devem ser observadas para a manutenção destes benefícios, bem como destacar os riscos inerentes à concentração em ativos e possível iliquidez da carteira de ativos.</w:t>
      </w:r>
    </w:p>
    <w:p w14:paraId="743B6170" w14:textId="77777777" w:rsidR="00C20BBD" w:rsidRPr="0097459F" w:rsidRDefault="00C20BBD" w:rsidP="00C20BBD">
      <w:pPr>
        <w:pStyle w:val="Normalalteradora"/>
        <w:rPr>
          <w:rFonts w:cstheme="minorHAnsi"/>
        </w:rPr>
      </w:pPr>
      <w:r w:rsidRPr="0097459F">
        <w:rPr>
          <w:rFonts w:cstheme="minorHAnsi"/>
        </w:rPr>
        <w:t>§ 5</w:t>
      </w:r>
      <w:proofErr w:type="gramStart"/>
      <w:r w:rsidRPr="0097459F">
        <w:rPr>
          <w:rFonts w:cstheme="minorHAnsi"/>
        </w:rPr>
        <w:t>º  O</w:t>
      </w:r>
      <w:proofErr w:type="gramEnd"/>
      <w:r w:rsidRPr="0097459F">
        <w:rPr>
          <w:rFonts w:cstheme="minorHAnsi"/>
        </w:rPr>
        <w:t xml:space="preserve"> regulamento do FI-Infra deve dispor que a aplicação de recursos nos ativos financeiros de que trata o art. 2º da Lei nº 12.431, de 2011, não pode ser inferior ao limite de enquadramento definido na Lei, sendo que na hipótese de o fundo contar com classes de cotas, cada classe está sujeita ao referido limite.</w:t>
      </w:r>
    </w:p>
    <w:p w14:paraId="2515F376" w14:textId="77777777" w:rsidR="00C20BBD" w:rsidRPr="0097459F" w:rsidRDefault="00C20BBD" w:rsidP="00C20BBD">
      <w:pPr>
        <w:pStyle w:val="Normalalteradora"/>
        <w:rPr>
          <w:rFonts w:cstheme="minorHAnsi"/>
        </w:rPr>
      </w:pPr>
      <w:r w:rsidRPr="0097459F">
        <w:rPr>
          <w:rFonts w:cstheme="minorHAnsi"/>
        </w:rPr>
        <w:t>Art. 60.  É de 20% (vinte por cento) do patrimônio líquido o limite de concentração por emissor que atenda ao disposto no art. 2º da Lei nº 12.431, de 2011, para a carteira de ativos da classe tipificada como “Infraestrutura”.</w:t>
      </w:r>
    </w:p>
    <w:p w14:paraId="5629AD63" w14:textId="77777777" w:rsidR="00C20BBD" w:rsidRPr="0097459F" w:rsidRDefault="00C20BBD" w:rsidP="00C20BBD">
      <w:pPr>
        <w:pStyle w:val="Normalalteradora"/>
        <w:rPr>
          <w:rFonts w:cstheme="minorHAnsi"/>
        </w:rPr>
      </w:pPr>
      <w:r w:rsidRPr="0097459F">
        <w:rPr>
          <w:rFonts w:cstheme="minorHAnsi"/>
        </w:rPr>
        <w:t>§ 1</w:t>
      </w:r>
      <w:proofErr w:type="gramStart"/>
      <w:r w:rsidRPr="0097459F">
        <w:rPr>
          <w:rFonts w:cstheme="minorHAnsi"/>
        </w:rPr>
        <w:t>º  Os</w:t>
      </w:r>
      <w:proofErr w:type="gramEnd"/>
      <w:r w:rsidRPr="0097459F">
        <w:rPr>
          <w:rFonts w:cstheme="minorHAnsi"/>
        </w:rPr>
        <w:t xml:space="preserve"> limites de concentração por emissor previstos no art. 44 deste Anexo Normativo I são aplicáveis para os demais ativos que integrem a carteira do FI-Infra, sem prejuízo do disposto no art. 59 deste Anexo Normativo I.</w:t>
      </w:r>
    </w:p>
    <w:p w14:paraId="17ED9FA9" w14:textId="77777777" w:rsidR="00C20BBD" w:rsidRPr="0097459F" w:rsidRDefault="00C20BBD" w:rsidP="00C20BBD">
      <w:pPr>
        <w:pStyle w:val="Normalalteradora"/>
        <w:rPr>
          <w:rFonts w:cstheme="minorHAnsi"/>
        </w:rPr>
      </w:pPr>
      <w:r w:rsidRPr="0097459F">
        <w:rPr>
          <w:rFonts w:cstheme="minorHAnsi"/>
        </w:rPr>
        <w:lastRenderedPageBreak/>
        <w:t>§ 2</w:t>
      </w:r>
      <w:proofErr w:type="gramStart"/>
      <w:r w:rsidRPr="0097459F">
        <w:rPr>
          <w:rFonts w:cstheme="minorHAnsi"/>
        </w:rPr>
        <w:t>º  Para</w:t>
      </w:r>
      <w:proofErr w:type="gramEnd"/>
      <w:r w:rsidRPr="0097459F">
        <w:rPr>
          <w:rFonts w:cstheme="minorHAnsi"/>
        </w:rPr>
        <w:t xml:space="preserve"> fins de aplicação do FI-Infra, os certificados de recebíveis e as classes fechadas de FIDC devem ser de classe única ou de subclasse sênior.</w:t>
      </w:r>
    </w:p>
    <w:p w14:paraId="1212D111" w14:textId="77777777" w:rsidR="00C20BBD" w:rsidRPr="0097459F" w:rsidRDefault="00C20BBD" w:rsidP="00C20BBD">
      <w:pPr>
        <w:pStyle w:val="Normalalteradora"/>
        <w:rPr>
          <w:rFonts w:cstheme="minorHAnsi"/>
        </w:rPr>
      </w:pPr>
      <w:r w:rsidRPr="0097459F">
        <w:rPr>
          <w:rFonts w:cstheme="minorHAnsi"/>
        </w:rPr>
        <w:t>§ 3</w:t>
      </w:r>
      <w:proofErr w:type="gramStart"/>
      <w:r w:rsidRPr="0097459F">
        <w:rPr>
          <w:rFonts w:cstheme="minorHAnsi"/>
        </w:rPr>
        <w:t>º  Para</w:t>
      </w:r>
      <w:proofErr w:type="gramEnd"/>
      <w:r w:rsidRPr="0097459F">
        <w:rPr>
          <w:rFonts w:cstheme="minorHAnsi"/>
        </w:rPr>
        <w:t xml:space="preserve"> efeito do disposto no </w:t>
      </w:r>
      <w:r w:rsidRPr="0097459F">
        <w:rPr>
          <w:rFonts w:cstheme="minorHAnsi"/>
          <w:b/>
        </w:rPr>
        <w:t>caput</w:t>
      </w:r>
      <w:r w:rsidRPr="0097459F">
        <w:rPr>
          <w:rFonts w:cstheme="minorHAnsi"/>
        </w:rPr>
        <w:t>, aplicam-se ao emissor as disposições do art. 44, §§ 1º e 2º, deste Anexo Normativo I, sem prejuízo do disposto no § 4º deste artigo.</w:t>
      </w:r>
    </w:p>
    <w:p w14:paraId="76EB3544" w14:textId="77777777" w:rsidR="00C20BBD" w:rsidRPr="0097459F" w:rsidRDefault="00C20BBD" w:rsidP="00C20BBD">
      <w:pPr>
        <w:pStyle w:val="Normalalteradora"/>
        <w:rPr>
          <w:rFonts w:cstheme="minorHAnsi"/>
        </w:rPr>
      </w:pPr>
      <w:r w:rsidRPr="0097459F">
        <w:rPr>
          <w:rFonts w:cstheme="minorHAnsi"/>
        </w:rPr>
        <w:t xml:space="preserve">§ 4º  Para efeito do disposto no </w:t>
      </w:r>
      <w:r w:rsidRPr="0097459F">
        <w:rPr>
          <w:rFonts w:cstheme="minorHAnsi"/>
          <w:b/>
        </w:rPr>
        <w:t>caput</w:t>
      </w:r>
      <w:r w:rsidRPr="0097459F">
        <w:rPr>
          <w:rFonts w:cstheme="minorHAnsi"/>
        </w:rPr>
        <w:t>, no caso de debêntures emitidas por sociedade de propósito específico – SPE constituída sob a forma de sociedade por ações, o limite deve ser computado considerando-se a SPE como emissor independente, desde que haja constituição de garantias relativas ao cumprimento das obrigações principais e acessórias e que tais garantias não sejam concedidas por sociedades integrantes do seu grupo econômico, exceto no caso de garantias reais incidentes sobre as ações de emissão da SPE de propriedade de tais sociedades.</w:t>
      </w:r>
    </w:p>
    <w:p w14:paraId="38676578" w14:textId="77777777" w:rsidR="00C20BBD" w:rsidRPr="0097459F" w:rsidRDefault="00C20BBD" w:rsidP="00C20BBD">
      <w:pPr>
        <w:pStyle w:val="Normalalteradora"/>
        <w:rPr>
          <w:rFonts w:cstheme="minorHAnsi"/>
        </w:rPr>
      </w:pPr>
      <w:r w:rsidRPr="0097459F">
        <w:rPr>
          <w:rFonts w:cstheme="minorHAnsi"/>
        </w:rPr>
        <w:t>§ 5</w:t>
      </w:r>
      <w:proofErr w:type="gramStart"/>
      <w:r w:rsidRPr="0097459F">
        <w:rPr>
          <w:rFonts w:cstheme="minorHAnsi"/>
        </w:rPr>
        <w:t>º  Caso</w:t>
      </w:r>
      <w:proofErr w:type="gramEnd"/>
      <w:r w:rsidRPr="0097459F">
        <w:rPr>
          <w:rFonts w:cstheme="minorHAnsi"/>
        </w:rPr>
        <w:t xml:space="preserve"> a política de investimento permita a aplicação em CRI, ou em cotas de classe fechada de FIDC, o gestor deve assegurar-se de que, na consolidação das aplicações, as obrigações previstas neste artigo são atendidas.</w:t>
      </w:r>
    </w:p>
    <w:p w14:paraId="71AC787E" w14:textId="77777777" w:rsidR="00C20BBD" w:rsidRPr="0097459F" w:rsidRDefault="00C20BBD" w:rsidP="00C20BBD">
      <w:pPr>
        <w:pStyle w:val="Normalalteradora"/>
        <w:rPr>
          <w:rFonts w:cstheme="minorHAnsi"/>
        </w:rPr>
      </w:pPr>
      <w:r w:rsidRPr="0097459F">
        <w:rPr>
          <w:rFonts w:cstheme="minorHAnsi"/>
        </w:rPr>
        <w:t>§ 6</w:t>
      </w:r>
      <w:proofErr w:type="gramStart"/>
      <w:r w:rsidRPr="0097459F">
        <w:rPr>
          <w:rFonts w:cstheme="minorHAnsi"/>
        </w:rPr>
        <w:t>º  Fica</w:t>
      </w:r>
      <w:proofErr w:type="gramEnd"/>
      <w:r w:rsidRPr="0097459F">
        <w:rPr>
          <w:rFonts w:cstheme="minorHAnsi"/>
        </w:rPr>
        <w:t xml:space="preserve"> dispensada a consolidação das aplicações prevista no § 5º deste artigo no caso de FIDC administrado ou gerido por terceiros não ligados ao gestor da classe investidora.</w:t>
      </w:r>
    </w:p>
    <w:p w14:paraId="00977A0E" w14:textId="3484C16D" w:rsidR="00C20BBD" w:rsidRPr="0097459F" w:rsidRDefault="00C20BBD" w:rsidP="00C20BBD">
      <w:pPr>
        <w:pStyle w:val="Seo"/>
        <w:ind w:firstLine="0"/>
        <w:rPr>
          <w:rFonts w:asciiTheme="minorHAnsi" w:hAnsiTheme="minorHAnsi" w:cstheme="minorHAnsi"/>
        </w:rPr>
      </w:pPr>
      <w:bookmarkStart w:id="518" w:name="_Toc161141279"/>
      <w:r w:rsidRPr="0097459F">
        <w:rPr>
          <w:rFonts w:asciiTheme="minorHAnsi" w:hAnsiTheme="minorHAnsi" w:cstheme="minorHAnsi"/>
        </w:rPr>
        <w:t xml:space="preserve">Subseção VI – Fundo Destinado à Garantia de Locação </w:t>
      </w:r>
      <w:r w:rsidR="00D72A68">
        <w:rPr>
          <w:rFonts w:asciiTheme="minorHAnsi" w:hAnsiTheme="minorHAnsi" w:cstheme="minorHAnsi"/>
        </w:rPr>
        <w:t>I</w:t>
      </w:r>
      <w:r w:rsidRPr="0097459F">
        <w:rPr>
          <w:rFonts w:asciiTheme="minorHAnsi" w:hAnsiTheme="minorHAnsi" w:cstheme="minorHAnsi"/>
        </w:rPr>
        <w:t>mobiliária</w:t>
      </w:r>
      <w:bookmarkEnd w:id="518"/>
    </w:p>
    <w:p w14:paraId="4E321D5D"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rPr>
        <w:t xml:space="preserve">Art. 61.  </w:t>
      </w:r>
      <w:r w:rsidRPr="0097459F">
        <w:rPr>
          <w:rFonts w:asciiTheme="minorHAnsi" w:hAnsiTheme="minorHAnsi" w:cstheme="minorHAnsi"/>
        </w:rPr>
        <w:t>Podem ser constituídos fundos de investimento com a finalidade de permitir a cessão fiduciária de cotas em garantia de locação imobiliária, na forma do art. 88 da Lei nº 11.196, de 21 de novembro de 2005.</w:t>
      </w:r>
    </w:p>
    <w:p w14:paraId="739D4E0D"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rPr>
      </w:pPr>
      <w:r w:rsidRPr="0097459F">
        <w:rPr>
          <w:rFonts w:asciiTheme="minorHAnsi" w:hAnsiTheme="minorHAnsi"/>
        </w:rPr>
        <w:t xml:space="preserve">Parágrafo único.  </w:t>
      </w:r>
      <w:r w:rsidRPr="0097459F">
        <w:rPr>
          <w:rFonts w:asciiTheme="minorHAnsi" w:hAnsiTheme="minorHAnsi" w:cstheme="minorHAnsi"/>
        </w:rPr>
        <w:t xml:space="preserve">Caso o fundo de que trata o </w:t>
      </w:r>
      <w:r w:rsidRPr="0097459F">
        <w:rPr>
          <w:rFonts w:asciiTheme="minorHAnsi" w:hAnsiTheme="minorHAnsi" w:cstheme="minorHAnsi"/>
          <w:b/>
        </w:rPr>
        <w:t>caput</w:t>
      </w:r>
      <w:r w:rsidRPr="0097459F">
        <w:rPr>
          <w:rFonts w:asciiTheme="minorHAnsi" w:hAnsiTheme="minorHAnsi" w:cstheme="minorHAnsi"/>
        </w:rPr>
        <w:t xml:space="preserve"> conte com diferentes classes de cotas, todas as classes devem possuir como finalidade a garantia de locação imobiliária</w:t>
      </w:r>
      <w:r w:rsidRPr="0097459F">
        <w:rPr>
          <w:rFonts w:asciiTheme="minorHAnsi" w:hAnsiTheme="minorHAnsi"/>
        </w:rPr>
        <w:t>.</w:t>
      </w:r>
    </w:p>
    <w:p w14:paraId="74C84926"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62.  A classe de cotas </w:t>
      </w:r>
      <w:r w:rsidRPr="0097459F">
        <w:rPr>
          <w:rFonts w:asciiTheme="minorHAnsi" w:hAnsiTheme="minorHAnsi" w:cstheme="minorHAnsi"/>
          <w:sz w:val="24"/>
          <w:szCs w:val="24"/>
        </w:rPr>
        <w:t>do fundo de investimento destinado à garantia de locação imobiliária:</w:t>
      </w:r>
    </w:p>
    <w:p w14:paraId="42AB1D88"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I – </w:t>
      </w:r>
      <w:proofErr w:type="gramStart"/>
      <w:r w:rsidRPr="0097459F">
        <w:rPr>
          <w:rFonts w:asciiTheme="minorHAnsi" w:hAnsiTheme="minorHAnsi" w:cstheme="minorHAnsi"/>
          <w:sz w:val="24"/>
          <w:szCs w:val="24"/>
        </w:rPr>
        <w:t>deve</w:t>
      </w:r>
      <w:proofErr w:type="gramEnd"/>
      <w:r w:rsidRPr="0097459F">
        <w:rPr>
          <w:rFonts w:asciiTheme="minorHAnsi" w:hAnsiTheme="minorHAnsi" w:cstheme="minorHAnsi"/>
          <w:sz w:val="24"/>
          <w:szCs w:val="24"/>
        </w:rPr>
        <w:t xml:space="preserve"> ser constituída em regime aberto, sendo vedado o resgate das cotas objeto de cessão fiduciária; e</w:t>
      </w:r>
    </w:p>
    <w:p w14:paraId="3998C572"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II – </w:t>
      </w:r>
      <w:proofErr w:type="gramStart"/>
      <w:r w:rsidRPr="0097459F">
        <w:rPr>
          <w:rFonts w:asciiTheme="minorHAnsi" w:hAnsiTheme="minorHAnsi" w:cstheme="minorHAnsi"/>
          <w:sz w:val="24"/>
          <w:szCs w:val="24"/>
        </w:rPr>
        <w:t>sua</w:t>
      </w:r>
      <w:proofErr w:type="gramEnd"/>
      <w:r w:rsidRPr="0097459F">
        <w:rPr>
          <w:rFonts w:asciiTheme="minorHAnsi" w:hAnsiTheme="minorHAnsi" w:cstheme="minorHAnsi"/>
          <w:sz w:val="24"/>
          <w:szCs w:val="24"/>
        </w:rPr>
        <w:t xml:space="preserve"> denominação deve conter a expressão “Garantia de Locação Imobiliária”.</w:t>
      </w:r>
    </w:p>
    <w:p w14:paraId="34DB747E"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rPr>
        <w:t xml:space="preserve">Art. </w:t>
      </w:r>
      <w:r w:rsidRPr="0097459F">
        <w:rPr>
          <w:rFonts w:asciiTheme="minorHAnsi" w:hAnsiTheme="minorHAnsi" w:cstheme="minorHAnsi"/>
        </w:rPr>
        <w:t>63.  Na classe de cotas destinada à garantia de locação imobiliária, o regulamento e o material de divulgação devem conter informação sobre sua finalidade.</w:t>
      </w:r>
    </w:p>
    <w:p w14:paraId="6210C396"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cstheme="minorHAnsi"/>
        </w:rPr>
        <w:lastRenderedPageBreak/>
        <w:t xml:space="preserve">Art. </w:t>
      </w:r>
      <w:r w:rsidRPr="0097459F">
        <w:rPr>
          <w:rFonts w:asciiTheme="minorHAnsi" w:hAnsiTheme="minorHAnsi"/>
        </w:rPr>
        <w:t xml:space="preserve">64. </w:t>
      </w:r>
      <w:r w:rsidRPr="0097459F">
        <w:rPr>
          <w:rFonts w:asciiTheme="minorHAnsi" w:hAnsiTheme="minorHAnsi" w:cstheme="minorHAnsi"/>
        </w:rPr>
        <w:t xml:space="preserve"> A cessão fiduciária de cotas em garantia de locação imobiliária deve ser:</w:t>
      </w:r>
    </w:p>
    <w:p w14:paraId="382C4C13" w14:textId="77777777" w:rsidR="00C20BBD" w:rsidRPr="0097459F" w:rsidRDefault="00C20BBD" w:rsidP="00C20BBD">
      <w:pPr>
        <w:pStyle w:val="Rodap"/>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xml:space="preserve">I – </w:t>
      </w:r>
      <w:proofErr w:type="gramStart"/>
      <w:r w:rsidRPr="0097459F">
        <w:rPr>
          <w:rFonts w:asciiTheme="minorHAnsi" w:eastAsia="Times New Roman" w:hAnsiTheme="minorHAnsi" w:cstheme="minorHAnsi"/>
          <w:sz w:val="24"/>
          <w:szCs w:val="24"/>
          <w:lang w:eastAsia="pt-BR"/>
        </w:rPr>
        <w:t>realizada</w:t>
      </w:r>
      <w:proofErr w:type="gramEnd"/>
      <w:r w:rsidRPr="0097459F">
        <w:rPr>
          <w:rFonts w:asciiTheme="minorHAnsi" w:eastAsia="Times New Roman" w:hAnsiTheme="minorHAnsi" w:cstheme="minorHAnsi"/>
          <w:sz w:val="24"/>
          <w:szCs w:val="24"/>
          <w:lang w:eastAsia="pt-BR"/>
        </w:rPr>
        <w:t xml:space="preserve"> mediante requerimento do cotista-cedente ao administrador, acompanhado do termo de cessão fiduciária e de 1 (uma) via do contrato de locação, observado o disposto nos §§ 1º, 2º e 4º do art. 88 da Lei nº 11.196, de 2005; e</w:t>
      </w:r>
    </w:p>
    <w:p w14:paraId="166F550A"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HAnsi"/>
        </w:rPr>
      </w:pPr>
      <w:r w:rsidRPr="0097459F">
        <w:rPr>
          <w:rFonts w:asciiTheme="minorHAnsi" w:hAnsiTheme="minorHAnsi" w:cstheme="minorHAnsi"/>
        </w:rPr>
        <w:t xml:space="preserve">II – </w:t>
      </w:r>
      <w:proofErr w:type="gramStart"/>
      <w:r w:rsidRPr="0097459F">
        <w:rPr>
          <w:rFonts w:asciiTheme="minorHAnsi" w:hAnsiTheme="minorHAnsi" w:cstheme="minorHAnsi"/>
        </w:rPr>
        <w:t>averbada</w:t>
      </w:r>
      <w:proofErr w:type="gramEnd"/>
      <w:r w:rsidRPr="0097459F">
        <w:rPr>
          <w:rFonts w:asciiTheme="minorHAnsi" w:hAnsiTheme="minorHAnsi" w:cstheme="minorHAnsi"/>
        </w:rPr>
        <w:t xml:space="preserve"> pelo administrador no registro do cotista-cedente, nos termos do art. 104, inciso I, “a”, da parte geral da Resolução.</w:t>
      </w:r>
    </w:p>
    <w:p w14:paraId="481E15D5" w14:textId="77777777" w:rsidR="00C20BBD" w:rsidRPr="0097459F" w:rsidRDefault="00C20BBD" w:rsidP="00C20BBD">
      <w:pPr>
        <w:pStyle w:val="Rodap"/>
        <w:spacing w:before="120" w:after="120" w:line="312" w:lineRule="auto"/>
        <w:ind w:firstLine="567"/>
        <w:jc w:val="both"/>
        <w:rPr>
          <w:rFonts w:asciiTheme="minorHAnsi" w:eastAsia="Times New Roman" w:hAnsiTheme="minorHAnsi" w:cstheme="minorHAnsi"/>
          <w:sz w:val="24"/>
          <w:szCs w:val="24"/>
          <w:lang w:eastAsia="pt-BR"/>
        </w:rPr>
      </w:pPr>
      <w:r w:rsidRPr="0097459F">
        <w:rPr>
          <w:rFonts w:asciiTheme="minorHAnsi" w:eastAsia="Times New Roman" w:hAnsiTheme="minorHAnsi" w:cstheme="minorHAnsi"/>
          <w:sz w:val="24"/>
          <w:szCs w:val="24"/>
          <w:lang w:eastAsia="pt-BR"/>
        </w:rPr>
        <w:t>§ 1</w:t>
      </w:r>
      <w:proofErr w:type="gramStart"/>
      <w:r w:rsidRPr="0097459F">
        <w:rPr>
          <w:rFonts w:asciiTheme="minorHAnsi" w:eastAsia="Times New Roman" w:hAnsiTheme="minorHAnsi" w:cstheme="minorHAnsi"/>
          <w:sz w:val="24"/>
          <w:szCs w:val="24"/>
          <w:lang w:eastAsia="pt-BR"/>
        </w:rPr>
        <w:t>º  A</w:t>
      </w:r>
      <w:proofErr w:type="gramEnd"/>
      <w:r w:rsidRPr="0097459F">
        <w:rPr>
          <w:rFonts w:asciiTheme="minorHAnsi" w:eastAsia="Times New Roman" w:hAnsiTheme="minorHAnsi" w:cstheme="minorHAnsi"/>
          <w:sz w:val="24"/>
          <w:szCs w:val="24"/>
          <w:lang w:eastAsia="pt-BR"/>
        </w:rPr>
        <w:t xml:space="preserve"> averbação de que trata o inciso I do </w:t>
      </w:r>
      <w:r w:rsidRPr="0097459F">
        <w:rPr>
          <w:rFonts w:asciiTheme="minorHAnsi" w:eastAsia="Times New Roman" w:hAnsiTheme="minorHAnsi" w:cstheme="minorHAnsi"/>
          <w:b/>
          <w:sz w:val="24"/>
          <w:szCs w:val="24"/>
          <w:lang w:eastAsia="pt-BR"/>
        </w:rPr>
        <w:t>caput</w:t>
      </w:r>
      <w:r w:rsidRPr="0097459F">
        <w:rPr>
          <w:rFonts w:asciiTheme="minorHAnsi" w:eastAsia="Times New Roman" w:hAnsiTheme="minorHAnsi" w:cstheme="minorHAnsi"/>
          <w:sz w:val="24"/>
          <w:szCs w:val="24"/>
          <w:lang w:eastAsia="pt-BR"/>
        </w:rPr>
        <w:t xml:space="preserve"> constitui a propriedade resolúvel das cotas em favor do credor fiduciário, e as torna indisponíveis, inalienáveis e impenhoráveis, na forma do § 3º do art. 88 da Lei nº 11.196, de 2005.</w:t>
      </w:r>
    </w:p>
    <w:p w14:paraId="453864DF" w14:textId="77777777" w:rsidR="00C20BBD" w:rsidRPr="0097459F" w:rsidRDefault="00C20BBD" w:rsidP="00C20BBD">
      <w:pPr>
        <w:pStyle w:val="NormalWeb"/>
        <w:spacing w:before="120" w:beforeAutospacing="0" w:after="120" w:afterAutospacing="0" w:line="312" w:lineRule="auto"/>
        <w:ind w:firstLine="567"/>
        <w:jc w:val="both"/>
        <w:rPr>
          <w:rFonts w:asciiTheme="minorHAnsi" w:hAnsiTheme="minorHAnsi" w:cstheme="minorBidi"/>
        </w:rPr>
      </w:pPr>
      <w:r w:rsidRPr="0097459F">
        <w:rPr>
          <w:rFonts w:asciiTheme="minorHAnsi" w:hAnsiTheme="minorHAnsi" w:cstheme="minorBidi"/>
        </w:rPr>
        <w:t>§ 2</w:t>
      </w:r>
      <w:proofErr w:type="gramStart"/>
      <w:r w:rsidRPr="0097459F">
        <w:rPr>
          <w:rFonts w:asciiTheme="minorHAnsi" w:hAnsiTheme="minorHAnsi" w:cstheme="minorBidi"/>
        </w:rPr>
        <w:t>º  O</w:t>
      </w:r>
      <w:proofErr w:type="gramEnd"/>
      <w:r w:rsidRPr="0097459F">
        <w:rPr>
          <w:rFonts w:asciiTheme="minorHAnsi" w:hAnsiTheme="minorHAnsi" w:cstheme="minorBidi"/>
        </w:rPr>
        <w:t xml:space="preserve"> termo de cessão fiduciária deve indicar o número de cotas a serem cedidas.</w:t>
      </w:r>
    </w:p>
    <w:p w14:paraId="1F828659" w14:textId="77777777" w:rsidR="00C20BBD" w:rsidRPr="0097459F" w:rsidRDefault="00C20BBD" w:rsidP="00C20BBD">
      <w:pPr>
        <w:ind w:firstLine="567"/>
        <w:rPr>
          <w:rFonts w:asciiTheme="minorHAnsi" w:hAnsiTheme="minorHAnsi"/>
          <w:sz w:val="24"/>
          <w:szCs w:val="24"/>
        </w:rPr>
      </w:pPr>
      <w:r w:rsidRPr="0097459F">
        <w:rPr>
          <w:rFonts w:asciiTheme="minorHAnsi" w:hAnsiTheme="minorHAnsi" w:cstheme="minorHAnsi"/>
          <w:sz w:val="24"/>
          <w:szCs w:val="24"/>
        </w:rPr>
        <w:t>§3</w:t>
      </w:r>
      <w:proofErr w:type="gramStart"/>
      <w:r w:rsidRPr="0097459F">
        <w:rPr>
          <w:rFonts w:asciiTheme="minorHAnsi" w:hAnsiTheme="minorHAnsi" w:cstheme="minorHAnsi"/>
          <w:sz w:val="24"/>
          <w:szCs w:val="24"/>
        </w:rPr>
        <w:t>º  Na</w:t>
      </w:r>
      <w:proofErr w:type="gramEnd"/>
      <w:r w:rsidRPr="0097459F">
        <w:rPr>
          <w:rFonts w:asciiTheme="minorHAnsi" w:hAnsiTheme="minorHAnsi" w:cstheme="minorHAnsi"/>
          <w:sz w:val="24"/>
          <w:szCs w:val="24"/>
        </w:rPr>
        <w:t xml:space="preserve"> ausência de disposição em contrário no termo de cessão fiduciária, o direito de voto nas assembleias de cotistas cabe ao cotista-cedente</w:t>
      </w:r>
      <w:r w:rsidRPr="0097459F">
        <w:rPr>
          <w:rFonts w:asciiTheme="minorHAnsi" w:hAnsiTheme="minorHAnsi"/>
          <w:sz w:val="24"/>
          <w:szCs w:val="24"/>
        </w:rPr>
        <w:t>.</w:t>
      </w:r>
    </w:p>
    <w:p w14:paraId="6D68B4CF"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w:t>
      </w:r>
      <w:r w:rsidRPr="0097459F">
        <w:rPr>
          <w:rFonts w:asciiTheme="minorHAnsi" w:hAnsiTheme="minorHAnsi" w:cstheme="minorHAnsi"/>
          <w:sz w:val="24"/>
          <w:szCs w:val="24"/>
        </w:rPr>
        <w:t>65.  O cotista-cedente e o proprietário fiduciário das cotas devem receber ambos as comunicações aos cotistas.</w:t>
      </w:r>
    </w:p>
    <w:p w14:paraId="64ED570B" w14:textId="77777777" w:rsidR="00C20BBD" w:rsidRPr="0097459F" w:rsidRDefault="00C20BBD" w:rsidP="00C20BBD">
      <w:pPr>
        <w:pStyle w:val="Corpodetexto"/>
        <w:spacing w:before="120" w:after="120" w:line="312" w:lineRule="auto"/>
        <w:ind w:firstLine="567"/>
        <w:rPr>
          <w:rFonts w:asciiTheme="minorHAnsi" w:hAnsiTheme="minorHAnsi" w:cstheme="minorHAnsi"/>
        </w:rPr>
      </w:pPr>
      <w:r w:rsidRPr="0097459F">
        <w:rPr>
          <w:rFonts w:asciiTheme="minorHAnsi" w:hAnsiTheme="minorHAnsi"/>
        </w:rPr>
        <w:t xml:space="preserve">Art. </w:t>
      </w:r>
      <w:r w:rsidRPr="0097459F">
        <w:rPr>
          <w:rFonts w:asciiTheme="minorHAnsi" w:hAnsiTheme="minorHAnsi" w:cstheme="minorHAnsi"/>
        </w:rPr>
        <w:t>66.  O regulamento deve dispor sobre o procedimento de execução extrajudicial das cotas cedidas, em conformidade com o disposto nos §§ 6º e 7º do art. 88 da Lei nº 11.196, de 2005.</w:t>
      </w:r>
    </w:p>
    <w:p w14:paraId="003125EE" w14:textId="77777777" w:rsidR="00C20BBD" w:rsidRPr="0097459F" w:rsidRDefault="00C20BBD" w:rsidP="00C20BBD">
      <w:pPr>
        <w:pStyle w:val="Corpodetexto"/>
        <w:spacing w:before="120" w:after="120" w:line="312" w:lineRule="auto"/>
        <w:ind w:firstLine="567"/>
        <w:rPr>
          <w:rFonts w:asciiTheme="minorHAnsi" w:hAnsiTheme="minorHAnsi" w:cstheme="minorHAnsi"/>
        </w:rPr>
      </w:pPr>
      <w:r w:rsidRPr="0097459F">
        <w:rPr>
          <w:rFonts w:asciiTheme="minorHAnsi" w:hAnsiTheme="minorHAnsi" w:cstheme="minorHAnsi"/>
        </w:rPr>
        <w:t xml:space="preserve">Parágrafo único.  Caso o fundo conte com diferentes classes de cotas, a matéria prevista no </w:t>
      </w:r>
      <w:r w:rsidRPr="0097459F">
        <w:rPr>
          <w:rFonts w:asciiTheme="minorHAnsi" w:hAnsiTheme="minorHAnsi" w:cstheme="minorHAnsi"/>
          <w:b/>
        </w:rPr>
        <w:t>caput</w:t>
      </w:r>
      <w:r w:rsidRPr="0097459F">
        <w:rPr>
          <w:rFonts w:asciiTheme="minorHAnsi" w:hAnsiTheme="minorHAnsi" w:cstheme="minorHAnsi"/>
        </w:rPr>
        <w:t xml:space="preserve"> deve ser disciplinada nos anexos das classes.</w:t>
      </w:r>
    </w:p>
    <w:p w14:paraId="7888C245"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Art. 67.  A incorporação e a fusão de fundo de investimento destinado à garantia imobiliária e a cisão de parcela do patrimônio de fundo com essa finalidade só são permitidas se o fundo incorporador ou resultante da operação também for um fundo de investimento destinado à garantia de locação imobiliária.</w:t>
      </w:r>
    </w:p>
    <w:p w14:paraId="3191D4B8" w14:textId="7777777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1</w:t>
      </w:r>
      <w:proofErr w:type="gramStart"/>
      <w:r w:rsidRPr="0097459F">
        <w:rPr>
          <w:rFonts w:asciiTheme="minorHAnsi" w:hAnsiTheme="minorHAnsi" w:cstheme="minorHAnsi"/>
          <w:sz w:val="24"/>
          <w:szCs w:val="24"/>
        </w:rPr>
        <w:t>º  São</w:t>
      </w:r>
      <w:proofErr w:type="gramEnd"/>
      <w:r w:rsidRPr="0097459F">
        <w:rPr>
          <w:rFonts w:asciiTheme="minorHAnsi" w:hAnsiTheme="minorHAnsi" w:cstheme="minorHAnsi"/>
          <w:sz w:val="24"/>
          <w:szCs w:val="24"/>
        </w:rPr>
        <w:t xml:space="preserve"> permitidas a incorporação, a cisão ou a fusão de fundo de investimento destinado à garantia imobiliária em que o fundo incorporador ou resultante da operação não seja um fundo de investimento destinado à garantia de locação imobiliária, desde que as cotas do fundo incorporado, cindido ou objeto da fusão não estejam cedidas fiduciariamente.</w:t>
      </w:r>
    </w:p>
    <w:p w14:paraId="429A5E40" w14:textId="6BE61287" w:rsidR="00C20BBD" w:rsidRPr="0097459F" w:rsidRDefault="00C20BBD" w:rsidP="00C20BBD">
      <w:pPr>
        <w:pStyle w:val="Rodap"/>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2</w:t>
      </w:r>
      <w:proofErr w:type="gramStart"/>
      <w:r w:rsidRPr="0097459F">
        <w:rPr>
          <w:rFonts w:asciiTheme="minorHAnsi" w:hAnsiTheme="minorHAnsi" w:cstheme="minorHAnsi"/>
          <w:sz w:val="24"/>
          <w:szCs w:val="24"/>
        </w:rPr>
        <w:t>º  É</w:t>
      </w:r>
      <w:proofErr w:type="gramEnd"/>
      <w:r w:rsidRPr="0097459F">
        <w:rPr>
          <w:rFonts w:asciiTheme="minorHAnsi" w:hAnsiTheme="minorHAnsi" w:cstheme="minorHAnsi"/>
          <w:sz w:val="24"/>
          <w:szCs w:val="24"/>
        </w:rPr>
        <w:t xml:space="preserve"> permitida a cisão de parcela do patrimônio de um fundo de investimento destinado à garantia de locação imobiliária na hipótese de que trata o art. 44, § 3º, inciso II, da parte geral da Resolução.</w:t>
      </w:r>
    </w:p>
    <w:p w14:paraId="371E9B10" w14:textId="77777777" w:rsidR="00C20BBD" w:rsidRPr="0097459F" w:rsidRDefault="00C20BBD" w:rsidP="00C20BBD">
      <w:pPr>
        <w:spacing w:before="120" w:after="120" w:line="312" w:lineRule="auto"/>
        <w:ind w:firstLine="567"/>
        <w:jc w:val="both"/>
        <w:rPr>
          <w:rFonts w:asciiTheme="minorHAnsi" w:hAnsiTheme="minorHAnsi"/>
          <w:sz w:val="24"/>
          <w:szCs w:val="24"/>
        </w:rPr>
      </w:pPr>
      <w:r w:rsidRPr="0097459F">
        <w:rPr>
          <w:rFonts w:asciiTheme="minorHAnsi" w:hAnsiTheme="minorHAnsi"/>
          <w:sz w:val="24"/>
          <w:szCs w:val="24"/>
        </w:rPr>
        <w:lastRenderedPageBreak/>
        <w:t xml:space="preserve">Art. 68.  </w:t>
      </w:r>
      <w:r w:rsidRPr="0097459F">
        <w:rPr>
          <w:rFonts w:asciiTheme="minorHAnsi" w:hAnsiTheme="minorHAnsi" w:cstheme="minorHAnsi"/>
          <w:sz w:val="24"/>
          <w:szCs w:val="24"/>
        </w:rPr>
        <w:t>Na hipótese de liquidação, o termo de cessão de cotas pode conter autorização para que o administrador utilize o produto do pagamento dos valores devido ao cotista-cedente na subscrição de cotas de outro FIF, conforme especificado no próprio termo ou, a qualquer tempo, pelo cotista-cedente e pelo proprietário fiduciário, de comum acordo</w:t>
      </w:r>
      <w:r w:rsidRPr="0097459F">
        <w:rPr>
          <w:rFonts w:asciiTheme="minorHAnsi" w:hAnsiTheme="minorHAnsi"/>
          <w:sz w:val="24"/>
          <w:szCs w:val="24"/>
        </w:rPr>
        <w:t>.</w:t>
      </w:r>
    </w:p>
    <w:p w14:paraId="2C2F782D"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sz w:val="24"/>
          <w:szCs w:val="24"/>
        </w:rPr>
        <w:t xml:space="preserve">Art. 69.  </w:t>
      </w:r>
      <w:r w:rsidRPr="0097459F">
        <w:rPr>
          <w:rFonts w:asciiTheme="minorHAnsi" w:hAnsiTheme="minorHAnsi" w:cstheme="minorHAnsi"/>
          <w:sz w:val="24"/>
          <w:szCs w:val="24"/>
        </w:rPr>
        <w:t xml:space="preserve">É admitida a cessão fiduciária de cotas de FIF em garantia de locação imobiliária, ainda que o FIF não seja destinado exclusivamente à garantia de locação imobiliária, observado o disposto nos </w:t>
      </w:r>
      <w:proofErr w:type="spellStart"/>
      <w:r w:rsidRPr="0097459F">
        <w:rPr>
          <w:rFonts w:asciiTheme="minorHAnsi" w:hAnsiTheme="minorHAnsi" w:cstheme="minorHAnsi"/>
          <w:sz w:val="24"/>
          <w:szCs w:val="24"/>
        </w:rPr>
        <w:t>arts</w:t>
      </w:r>
      <w:proofErr w:type="spellEnd"/>
      <w:r w:rsidRPr="0097459F">
        <w:rPr>
          <w:rFonts w:asciiTheme="minorHAnsi" w:hAnsiTheme="minorHAnsi" w:cstheme="minorHAnsi"/>
          <w:sz w:val="24"/>
          <w:szCs w:val="24"/>
        </w:rPr>
        <w:t>. 64 e 65 deste Anexo Normativo I.</w:t>
      </w:r>
    </w:p>
    <w:p w14:paraId="34221523"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§1</w:t>
      </w:r>
      <w:proofErr w:type="gramStart"/>
      <w:r w:rsidRPr="0097459F">
        <w:rPr>
          <w:rFonts w:asciiTheme="minorHAnsi" w:hAnsiTheme="minorHAnsi" w:cstheme="minorHAnsi"/>
          <w:sz w:val="24"/>
          <w:szCs w:val="24"/>
        </w:rPr>
        <w:t>º  Na</w:t>
      </w:r>
      <w:proofErr w:type="gramEnd"/>
      <w:r w:rsidRPr="0097459F">
        <w:rPr>
          <w:rFonts w:asciiTheme="minorHAnsi" w:hAnsiTheme="minorHAnsi" w:cstheme="minorHAnsi"/>
          <w:sz w:val="24"/>
          <w:szCs w:val="24"/>
        </w:rPr>
        <w:t xml:space="preserve"> hipótese do </w:t>
      </w:r>
      <w:r w:rsidRPr="0097459F">
        <w:rPr>
          <w:rFonts w:asciiTheme="minorHAnsi" w:hAnsiTheme="minorHAnsi" w:cstheme="minorHAnsi"/>
          <w:b/>
          <w:bCs/>
          <w:sz w:val="24"/>
          <w:szCs w:val="24"/>
        </w:rPr>
        <w:t>caput</w:t>
      </w:r>
      <w:r w:rsidRPr="0097459F">
        <w:rPr>
          <w:rFonts w:asciiTheme="minorHAnsi" w:hAnsiTheme="minorHAnsi" w:cstheme="minorHAnsi"/>
          <w:sz w:val="24"/>
          <w:szCs w:val="24"/>
        </w:rPr>
        <w:t>:</w:t>
      </w:r>
    </w:p>
    <w:p w14:paraId="1A91C1CC"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I – </w:t>
      </w:r>
      <w:proofErr w:type="gramStart"/>
      <w:r w:rsidRPr="0097459F">
        <w:rPr>
          <w:rFonts w:asciiTheme="minorHAnsi" w:hAnsiTheme="minorHAnsi" w:cstheme="minorHAnsi"/>
          <w:sz w:val="24"/>
          <w:szCs w:val="24"/>
        </w:rPr>
        <w:t>o</w:t>
      </w:r>
      <w:proofErr w:type="gramEnd"/>
      <w:r w:rsidRPr="0097459F">
        <w:rPr>
          <w:rFonts w:asciiTheme="minorHAnsi" w:hAnsiTheme="minorHAnsi" w:cstheme="minorHAnsi"/>
          <w:sz w:val="24"/>
          <w:szCs w:val="24"/>
        </w:rPr>
        <w:t xml:space="preserve"> termo de cessão de cotas pode conter a autorização prevista no art. 68 deste Anexo Normativo I; e</w:t>
      </w:r>
    </w:p>
    <w:p w14:paraId="64C48008" w14:textId="77777777" w:rsidR="00C20BBD" w:rsidRPr="0097459F" w:rsidRDefault="00C20BBD" w:rsidP="00C20BBD">
      <w:pPr>
        <w:spacing w:before="120" w:after="120" w:line="312" w:lineRule="auto"/>
        <w:ind w:firstLine="567"/>
        <w:jc w:val="both"/>
        <w:rPr>
          <w:rFonts w:asciiTheme="minorHAnsi" w:hAnsiTheme="minorHAnsi" w:cstheme="minorHAnsi"/>
          <w:sz w:val="24"/>
          <w:szCs w:val="24"/>
        </w:rPr>
      </w:pPr>
      <w:r w:rsidRPr="0097459F">
        <w:rPr>
          <w:rFonts w:asciiTheme="minorHAnsi" w:hAnsiTheme="minorHAnsi" w:cstheme="minorHAnsi"/>
          <w:sz w:val="24"/>
          <w:szCs w:val="24"/>
        </w:rPr>
        <w:t xml:space="preserve">II – </w:t>
      </w:r>
      <w:proofErr w:type="gramStart"/>
      <w:r w:rsidRPr="0097459F">
        <w:rPr>
          <w:rFonts w:asciiTheme="minorHAnsi" w:hAnsiTheme="minorHAnsi" w:cstheme="minorHAnsi"/>
          <w:sz w:val="24"/>
          <w:szCs w:val="24"/>
        </w:rPr>
        <w:t>o</w:t>
      </w:r>
      <w:proofErr w:type="gramEnd"/>
      <w:r w:rsidRPr="0097459F">
        <w:rPr>
          <w:rFonts w:asciiTheme="minorHAnsi" w:hAnsiTheme="minorHAnsi" w:cstheme="minorHAnsi"/>
          <w:sz w:val="24"/>
          <w:szCs w:val="24"/>
        </w:rPr>
        <w:t xml:space="preserve"> administrador não pode imputar ao fundo de investimento qualquer despesa relativa à averbação da cessão fiduciária, ao envio de comunicações para o proprietário fiduciário, ou qualquer outra despesa relativa à cessão fiduciária, inclusive a remuneração que cobrar por esse serviço.</w:t>
      </w:r>
    </w:p>
    <w:p w14:paraId="61709356" w14:textId="1B819505" w:rsidR="00C20BBD" w:rsidRPr="0097459F" w:rsidRDefault="00C20BBD" w:rsidP="00C20BBD">
      <w:pPr>
        <w:pStyle w:val="Seo"/>
        <w:ind w:firstLine="0"/>
        <w:rPr>
          <w:rFonts w:asciiTheme="minorHAnsi" w:hAnsiTheme="minorHAnsi" w:cstheme="minorHAnsi"/>
        </w:rPr>
      </w:pPr>
      <w:bookmarkStart w:id="519" w:name="_Toc161141280"/>
      <w:r w:rsidRPr="0097459F">
        <w:rPr>
          <w:rFonts w:asciiTheme="minorHAnsi" w:hAnsiTheme="minorHAnsi" w:cstheme="minorHAnsi"/>
        </w:rPr>
        <w:t>Subseção V</w:t>
      </w:r>
      <w:r w:rsidR="009827B9">
        <w:rPr>
          <w:rFonts w:asciiTheme="minorHAnsi" w:hAnsiTheme="minorHAnsi" w:cstheme="minorHAnsi"/>
        </w:rPr>
        <w:t>I</w:t>
      </w:r>
      <w:r w:rsidRPr="0097459F">
        <w:rPr>
          <w:rFonts w:asciiTheme="minorHAnsi" w:hAnsiTheme="minorHAnsi" w:cstheme="minorHAnsi"/>
        </w:rPr>
        <w:t>I – Concentração em Crédito Privado</w:t>
      </w:r>
      <w:bookmarkEnd w:id="519"/>
    </w:p>
    <w:p w14:paraId="36D141AE" w14:textId="77777777" w:rsidR="00C20BBD" w:rsidRPr="0097459F" w:rsidRDefault="00C20BBD" w:rsidP="00C20BBD">
      <w:pPr>
        <w:pStyle w:val="Normalalteradora"/>
      </w:pPr>
      <w:r w:rsidRPr="0097459F">
        <w:t>Art. 70.  A classe tipificada como “Renda Fixa”, “Multimercado” ou “Cambial” que realizar aplicações em quaisquer ativos ou modalidades operacionais de responsabilidade de pessoas físicas ou jurídicas de direito privado, exceto no caso de ativos financeiros listados no art. 56, § 1º, inciso I, deste Anexo Normativo I, ou de emissores públicos, que, em seu conjunto, excedam o percentual de 50% (cinquenta por cento) de seu patrimônio líquido, deve observar as seguintes regras, cumulativamente àquelas previstas para seu tipo:</w:t>
      </w:r>
    </w:p>
    <w:p w14:paraId="14D17838" w14:textId="77777777" w:rsidR="00C20BBD" w:rsidRPr="0097459F" w:rsidRDefault="00C20BBD" w:rsidP="00C20BBD">
      <w:pPr>
        <w:pStyle w:val="Normalalteradora"/>
        <w:rPr>
          <w:rFonts w:cstheme="minorHAnsi"/>
        </w:rPr>
      </w:pPr>
      <w:r w:rsidRPr="0097459F">
        <w:rPr>
          <w:rFonts w:cstheme="minorHAnsi"/>
        </w:rPr>
        <w:t xml:space="preserve">I – </w:t>
      </w:r>
      <w:proofErr w:type="gramStart"/>
      <w:r w:rsidRPr="0097459F">
        <w:rPr>
          <w:rFonts w:cstheme="minorHAnsi"/>
        </w:rPr>
        <w:t>incluir</w:t>
      </w:r>
      <w:proofErr w:type="gramEnd"/>
      <w:r w:rsidRPr="0097459F">
        <w:rPr>
          <w:rFonts w:cstheme="minorHAnsi"/>
        </w:rPr>
        <w:t xml:space="preserve"> à sua denominação o sufixo “Crédito Privado”; e </w:t>
      </w:r>
    </w:p>
    <w:p w14:paraId="42FDC52D" w14:textId="77777777" w:rsidR="00C20BBD" w:rsidRPr="0097459F" w:rsidRDefault="00C20BBD" w:rsidP="00C20BBD">
      <w:pPr>
        <w:pStyle w:val="Normalalteradora"/>
        <w:rPr>
          <w:rFonts w:cstheme="minorHAnsi"/>
        </w:rPr>
      </w:pPr>
      <w:r w:rsidRPr="0097459F">
        <w:rPr>
          <w:rFonts w:cstheme="minorHAnsi"/>
        </w:rPr>
        <w:t xml:space="preserve">II – </w:t>
      </w:r>
      <w:proofErr w:type="gramStart"/>
      <w:r w:rsidRPr="0097459F">
        <w:rPr>
          <w:rFonts w:cstheme="minorHAnsi"/>
        </w:rPr>
        <w:t>incluir</w:t>
      </w:r>
      <w:proofErr w:type="gramEnd"/>
      <w:r w:rsidRPr="0097459F">
        <w:rPr>
          <w:rFonts w:cstheme="minorHAnsi"/>
        </w:rPr>
        <w:t xml:space="preserve"> no termo de adesão e ciência de risco o alerta de que pode ocorrer concentração da carteira de ativos em créditos privados.</w:t>
      </w:r>
    </w:p>
    <w:p w14:paraId="1C82181B" w14:textId="77777777" w:rsidR="00C20BBD" w:rsidRPr="0097459F" w:rsidDel="00A64960" w:rsidRDefault="00C20BBD" w:rsidP="00C20BBD">
      <w:pPr>
        <w:pStyle w:val="Normalalteradora"/>
        <w:rPr>
          <w:rFonts w:cstheme="minorHAnsi"/>
        </w:rPr>
      </w:pPr>
      <w:r w:rsidRPr="0097459F">
        <w:rPr>
          <w:rFonts w:cstheme="minorHAnsi"/>
        </w:rPr>
        <w:t>§ 1</w:t>
      </w:r>
      <w:proofErr w:type="gramStart"/>
      <w:r w:rsidRPr="0097459F">
        <w:rPr>
          <w:rFonts w:cstheme="minorHAnsi"/>
        </w:rPr>
        <w:t>º  Para</w:t>
      </w:r>
      <w:proofErr w:type="gramEnd"/>
      <w:r w:rsidRPr="0097459F">
        <w:rPr>
          <w:rFonts w:cstheme="minorHAnsi"/>
        </w:rPr>
        <w:t xml:space="preserve"> fins da observância prevista no </w:t>
      </w:r>
      <w:r w:rsidRPr="0097459F">
        <w:rPr>
          <w:rFonts w:cstheme="minorHAnsi"/>
          <w:b/>
        </w:rPr>
        <w:t>caput</w:t>
      </w:r>
      <w:r w:rsidRPr="0097459F">
        <w:rPr>
          <w:rFonts w:cstheme="minorHAnsi"/>
        </w:rPr>
        <w:t>, o gestor deve consolidar as aplicações com as aplicações das classes investidas.</w:t>
      </w:r>
    </w:p>
    <w:p w14:paraId="45E38598" w14:textId="77777777" w:rsidR="00C20BBD" w:rsidRPr="0097459F" w:rsidRDefault="00C20BBD" w:rsidP="00C20BBD">
      <w:pPr>
        <w:pStyle w:val="Normalalteradora"/>
        <w:rPr>
          <w:rFonts w:cstheme="minorHAnsi"/>
        </w:rPr>
      </w:pPr>
      <w:r w:rsidRPr="0097459F">
        <w:rPr>
          <w:rFonts w:cstheme="minorHAnsi"/>
        </w:rPr>
        <w:t>§ 2</w:t>
      </w:r>
      <w:proofErr w:type="gramStart"/>
      <w:r w:rsidRPr="0097459F">
        <w:rPr>
          <w:rFonts w:cstheme="minorHAnsi"/>
        </w:rPr>
        <w:t>º  A</w:t>
      </w:r>
      <w:proofErr w:type="gramEnd"/>
      <w:r w:rsidRPr="0097459F">
        <w:rPr>
          <w:rFonts w:cstheme="minorHAnsi"/>
        </w:rPr>
        <w:t xml:space="preserve"> referência a emissores públicos no </w:t>
      </w:r>
      <w:r w:rsidRPr="0097459F">
        <w:rPr>
          <w:rFonts w:cstheme="minorHAnsi"/>
          <w:b/>
        </w:rPr>
        <w:t>caput</w:t>
      </w:r>
      <w:r w:rsidRPr="0097459F">
        <w:rPr>
          <w:rFonts w:cstheme="minorHAnsi"/>
        </w:rPr>
        <w:t xml:space="preserve"> não alcança a União Federal.</w:t>
      </w:r>
    </w:p>
    <w:p w14:paraId="4489047D" w14:textId="77777777" w:rsidR="00C20BBD" w:rsidRDefault="00C20BBD" w:rsidP="00C20BBD">
      <w:pPr>
        <w:pStyle w:val="Normalalteradora"/>
        <w:rPr>
          <w:rFonts w:cstheme="minorHAnsi"/>
        </w:rPr>
      </w:pPr>
      <w:r w:rsidRPr="0097459F">
        <w:rPr>
          <w:rFonts w:cstheme="minorHAnsi"/>
        </w:rPr>
        <w:t>§ 3</w:t>
      </w:r>
      <w:proofErr w:type="gramStart"/>
      <w:r w:rsidRPr="0097459F">
        <w:rPr>
          <w:rFonts w:cstheme="minorHAnsi"/>
        </w:rPr>
        <w:t>º  O</w:t>
      </w:r>
      <w:proofErr w:type="gramEnd"/>
      <w:r w:rsidRPr="0097459F">
        <w:rPr>
          <w:rFonts w:cstheme="minorHAnsi"/>
        </w:rPr>
        <w:t xml:space="preserve"> disposto no inciso I do </w:t>
      </w:r>
      <w:r w:rsidRPr="0097459F">
        <w:rPr>
          <w:rFonts w:cstheme="minorHAnsi"/>
          <w:b/>
        </w:rPr>
        <w:t>caput</w:t>
      </w:r>
      <w:r w:rsidRPr="0097459F">
        <w:rPr>
          <w:rFonts w:cstheme="minorHAnsi"/>
        </w:rPr>
        <w:t xml:space="preserve"> não se aplica aos FI-Infra.</w:t>
      </w:r>
    </w:p>
    <w:p w14:paraId="088F448A" w14:textId="77777777" w:rsidR="00B02693" w:rsidRPr="00B02693" w:rsidRDefault="00B02693" w:rsidP="00B02693">
      <w:pPr>
        <w:jc w:val="center"/>
        <w:rPr>
          <w:rFonts w:asciiTheme="minorHAnsi" w:eastAsiaTheme="minorEastAsia" w:hAnsiTheme="minorHAnsi" w:cstheme="minorHAnsi"/>
          <w:b/>
          <w:bCs/>
          <w:sz w:val="24"/>
          <w:szCs w:val="24"/>
        </w:rPr>
      </w:pPr>
      <w:r w:rsidRPr="00B02693">
        <w:rPr>
          <w:rFonts w:asciiTheme="minorHAnsi" w:eastAsiaTheme="minorEastAsia" w:hAnsiTheme="minorHAnsi" w:cstheme="minorHAnsi"/>
          <w:b/>
          <w:bCs/>
          <w:sz w:val="24"/>
          <w:szCs w:val="24"/>
        </w:rPr>
        <w:lastRenderedPageBreak/>
        <w:t>Subseção VIII – Fundos de Aposentadoria Programada Individual - FAPI</w:t>
      </w:r>
    </w:p>
    <w:p w14:paraId="7B450AD1" w14:textId="77777777" w:rsidR="00B02693" w:rsidRPr="00B02693" w:rsidRDefault="00B02693" w:rsidP="00B02693">
      <w:pPr>
        <w:pStyle w:val="NormaAlterada"/>
        <w:rPr>
          <w:rFonts w:cstheme="minorHAnsi"/>
        </w:rPr>
      </w:pPr>
      <w:r w:rsidRPr="00B02693">
        <w:rPr>
          <w:rFonts w:cstheme="minorHAnsi"/>
        </w:rPr>
        <w:t xml:space="preserve">Art. 70–A.  Pode ser constituído </w:t>
      </w:r>
      <w:bookmarkStart w:id="520" w:name="_Int_6qAd9oK1"/>
      <w:r w:rsidRPr="00B02693">
        <w:rPr>
          <w:rFonts w:cstheme="minorHAnsi"/>
        </w:rPr>
        <w:t>FIF</w:t>
      </w:r>
      <w:bookmarkEnd w:id="520"/>
      <w:r w:rsidRPr="00B02693">
        <w:rPr>
          <w:rFonts w:cstheme="minorHAnsi"/>
        </w:rPr>
        <w:t xml:space="preserve"> representativo de Fundo de Aposentadoria Programada Individual – FAPI, nos termos da Lei nº 9.477, de 24 de julho de 1997.</w:t>
      </w:r>
    </w:p>
    <w:p w14:paraId="22BCE5F8" w14:textId="3DEC6009" w:rsidR="00B02693" w:rsidRPr="00B02693" w:rsidRDefault="00B02693" w:rsidP="00B02693">
      <w:pPr>
        <w:pStyle w:val="NormaAlterada"/>
        <w:rPr>
          <w:rFonts w:cstheme="minorHAnsi"/>
        </w:rPr>
      </w:pPr>
      <w:r w:rsidRPr="00B02693">
        <w:rPr>
          <w:rFonts w:cstheme="minorHAnsi"/>
        </w:rPr>
        <w:t>Parágrafo único.</w:t>
      </w:r>
      <w:r w:rsidR="00EB206D">
        <w:rPr>
          <w:rFonts w:cstheme="minorHAnsi"/>
        </w:rPr>
        <w:t xml:space="preserve"> </w:t>
      </w:r>
      <w:r w:rsidRPr="00B02693">
        <w:rPr>
          <w:rFonts w:cstheme="minorHAnsi"/>
        </w:rPr>
        <w:t xml:space="preserve"> Caso o FAPI conte com diferentes classes de cotas, todas as classes devem possuir como finalidade o atendimento à referida lei.</w:t>
      </w:r>
    </w:p>
    <w:p w14:paraId="305657F5" w14:textId="2135B7B1" w:rsidR="00B02693" w:rsidRDefault="00B02693" w:rsidP="00B02693">
      <w:pPr>
        <w:pStyle w:val="Normalalteradora"/>
        <w:rPr>
          <w:rFonts w:cstheme="minorHAnsi"/>
        </w:rPr>
      </w:pPr>
      <w:r w:rsidRPr="00B02693">
        <w:rPr>
          <w:rFonts w:cstheme="minorHAnsi"/>
        </w:rPr>
        <w:t>Art. 70–B.  A denominação da classe de cotas do FAPI deve conter a expressão “Fundo de Aposentadoria Programada Individual”, sendo inaplicável o disposto no art. 3º deste Anexo Normativo I.</w:t>
      </w:r>
    </w:p>
    <w:p w14:paraId="10055E03" w14:textId="124DB748" w:rsidR="00B02693" w:rsidRPr="00B02693" w:rsidRDefault="00B02693" w:rsidP="00B02693">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Subseção VIII incluída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577E1B4E" w14:textId="77777777" w:rsidR="00C20BBD" w:rsidRPr="0097459F" w:rsidRDefault="00C20BBD" w:rsidP="00C20BBD">
      <w:pPr>
        <w:pStyle w:val="Seo"/>
        <w:rPr>
          <w:rFonts w:asciiTheme="minorHAnsi" w:hAnsiTheme="minorHAnsi"/>
        </w:rPr>
      </w:pPr>
      <w:bookmarkStart w:id="521" w:name="_Toc53594256"/>
      <w:bookmarkStart w:id="522" w:name="_Toc53594504"/>
      <w:bookmarkStart w:id="523" w:name="_Toc53595529"/>
      <w:bookmarkStart w:id="524" w:name="_Toc57836265"/>
      <w:bookmarkStart w:id="525" w:name="_Toc161141281"/>
      <w:r w:rsidRPr="0097459F">
        <w:rPr>
          <w:rFonts w:asciiTheme="minorHAnsi" w:hAnsiTheme="minorHAnsi"/>
        </w:rPr>
        <w:t xml:space="preserve">Seção </w:t>
      </w:r>
      <w:r w:rsidRPr="0097459F">
        <w:rPr>
          <w:rFonts w:asciiTheme="minorHAnsi" w:hAnsiTheme="minorHAnsi" w:cstheme="minorHAnsi"/>
        </w:rPr>
        <w:t xml:space="preserve">VIII – </w:t>
      </w:r>
      <w:r w:rsidRPr="0097459F">
        <w:rPr>
          <w:rFonts w:asciiTheme="minorHAnsi" w:hAnsiTheme="minorHAnsi"/>
        </w:rPr>
        <w:t>Investimento em Cotas</w:t>
      </w:r>
      <w:bookmarkEnd w:id="521"/>
      <w:bookmarkEnd w:id="522"/>
      <w:bookmarkEnd w:id="523"/>
      <w:bookmarkEnd w:id="524"/>
      <w:r w:rsidRPr="0097459F">
        <w:rPr>
          <w:rFonts w:asciiTheme="minorHAnsi" w:hAnsiTheme="minorHAnsi" w:cstheme="minorHAnsi"/>
        </w:rPr>
        <w:t xml:space="preserve"> de Outros Fundos de Investimento Financeiro</w:t>
      </w:r>
      <w:bookmarkEnd w:id="525"/>
    </w:p>
    <w:p w14:paraId="1BEA6EC2" w14:textId="77777777" w:rsidR="00C20BBD" w:rsidRPr="0097459F" w:rsidRDefault="00C20BBD" w:rsidP="00C20BBD">
      <w:pPr>
        <w:pStyle w:val="Normalalteradora"/>
        <w:rPr>
          <w:rFonts w:cstheme="minorHAnsi"/>
        </w:rPr>
      </w:pPr>
      <w:r w:rsidRPr="0097459F" w:rsidDel="0014522A">
        <w:rPr>
          <w:rFonts w:cstheme="minorHAnsi"/>
        </w:rPr>
        <w:t xml:space="preserve">Art. </w:t>
      </w:r>
      <w:r w:rsidRPr="0097459F">
        <w:rPr>
          <w:rFonts w:cstheme="minorHAnsi"/>
        </w:rPr>
        <w:t>71</w:t>
      </w:r>
      <w:r w:rsidRPr="0097459F" w:rsidDel="0014522A">
        <w:rPr>
          <w:rFonts w:cstheme="minorHAnsi"/>
        </w:rPr>
        <w:t xml:space="preserve">.  </w:t>
      </w:r>
      <w:r w:rsidRPr="0097459F">
        <w:rPr>
          <w:rFonts w:cstheme="minorHAnsi"/>
        </w:rPr>
        <w:t>As classes de investimento em cotas devem adquirir classes do mesmo tipo que a sua</w:t>
      </w:r>
      <w:r w:rsidRPr="0097459F" w:rsidDel="0014522A">
        <w:rPr>
          <w:rFonts w:cstheme="minorHAnsi"/>
        </w:rPr>
        <w:t xml:space="preserve">, exceto no caso de </w:t>
      </w:r>
      <w:r w:rsidRPr="0097459F">
        <w:rPr>
          <w:rFonts w:cstheme="minorHAnsi"/>
        </w:rPr>
        <w:t>classes</w:t>
      </w:r>
      <w:r w:rsidRPr="0097459F" w:rsidDel="0014522A">
        <w:rPr>
          <w:rFonts w:cstheme="minorHAnsi"/>
        </w:rPr>
        <w:t xml:space="preserve"> </w:t>
      </w:r>
      <w:r w:rsidRPr="0097459F">
        <w:rPr>
          <w:rFonts w:cstheme="minorHAnsi"/>
        </w:rPr>
        <w:t>tipificada</w:t>
      </w:r>
      <w:r w:rsidRPr="0097459F" w:rsidDel="0014522A">
        <w:rPr>
          <w:rFonts w:cstheme="minorHAnsi"/>
        </w:rPr>
        <w:t xml:space="preserve">s como “Multimercado”, </w:t>
      </w:r>
      <w:r w:rsidRPr="0097459F">
        <w:rPr>
          <w:rFonts w:cstheme="minorHAnsi"/>
        </w:rPr>
        <w:t>que</w:t>
      </w:r>
      <w:r w:rsidRPr="0097459F" w:rsidDel="0014522A">
        <w:rPr>
          <w:rFonts w:cstheme="minorHAnsi"/>
        </w:rPr>
        <w:t xml:space="preserve"> podem investir em </w:t>
      </w:r>
      <w:r w:rsidRPr="0097459F">
        <w:rPr>
          <w:rFonts w:cstheme="minorHAnsi"/>
        </w:rPr>
        <w:t>cotas</w:t>
      </w:r>
      <w:r w:rsidRPr="0097459F" w:rsidDel="0014522A">
        <w:rPr>
          <w:rFonts w:cstheme="minorHAnsi"/>
        </w:rPr>
        <w:t xml:space="preserve"> de </w:t>
      </w:r>
      <w:r w:rsidRPr="0097459F">
        <w:t xml:space="preserve">FIF de </w:t>
      </w:r>
      <w:r w:rsidRPr="0097459F">
        <w:rPr>
          <w:rFonts w:cstheme="minorHAnsi"/>
        </w:rPr>
        <w:t>qualquer tipo, sem prejuízo do disposto no § 5º do art. 45 deste Anexo Normativo I.</w:t>
      </w:r>
    </w:p>
    <w:p w14:paraId="0BA7BFC7" w14:textId="77777777" w:rsidR="00C20BBD" w:rsidRPr="0097459F" w:rsidDel="007624D9" w:rsidRDefault="00C20BBD" w:rsidP="00C20BBD">
      <w:pPr>
        <w:pStyle w:val="Normalalteradora"/>
        <w:rPr>
          <w:rFonts w:cstheme="minorHAnsi"/>
        </w:rPr>
      </w:pPr>
      <w:r w:rsidRPr="0097459F">
        <w:rPr>
          <w:rFonts w:cstheme="minorHAnsi"/>
        </w:rPr>
        <w:t xml:space="preserve">Parágrafo único.  A restrição disposta no </w:t>
      </w:r>
      <w:r w:rsidRPr="0097459F">
        <w:rPr>
          <w:rFonts w:cstheme="minorHAnsi"/>
          <w:b/>
        </w:rPr>
        <w:t>caput</w:t>
      </w:r>
      <w:r w:rsidRPr="0097459F">
        <w:rPr>
          <w:rFonts w:cstheme="minorHAnsi"/>
        </w:rPr>
        <w:t xml:space="preserve"> não alcança a aquisição de cotas no âmbito da gestão de liquidez da classe.</w:t>
      </w:r>
    </w:p>
    <w:p w14:paraId="3D74EAB8" w14:textId="77777777" w:rsidR="00C20BBD" w:rsidRPr="0097459F" w:rsidRDefault="00C20BBD" w:rsidP="00C20BBD">
      <w:pPr>
        <w:pStyle w:val="Normalalteradora"/>
        <w:rPr>
          <w:rFonts w:ascii="Calibri" w:hAnsi="Calibri" w:cs="Calibri"/>
        </w:rPr>
      </w:pPr>
      <w:bookmarkStart w:id="526" w:name="_Hlk51930950"/>
      <w:r w:rsidRPr="0097459F">
        <w:rPr>
          <w:rFonts w:ascii="Calibri" w:hAnsi="Calibri" w:cs="Calibri"/>
        </w:rPr>
        <w:t>Art. 72.  O regulamento da classe de cotas e, se aplicável, sua lâmina deve especificar o percentual máximo do patrimônio líquido que pode ser aplicado em uma única classe, observados os limites de concentração por emissor e modalidade de ativo financeiro previstos neste Anexo Normativo I.</w:t>
      </w:r>
    </w:p>
    <w:bookmarkEnd w:id="526"/>
    <w:p w14:paraId="495D5BE0" w14:textId="77777777" w:rsidR="00C20BBD" w:rsidRPr="0097459F" w:rsidRDefault="00C20BBD" w:rsidP="00C20BBD">
      <w:pPr>
        <w:pStyle w:val="Normalalteradora"/>
        <w:rPr>
          <w:rFonts w:ascii="Calibri" w:hAnsi="Calibri" w:cs="Calibri"/>
        </w:rPr>
      </w:pPr>
      <w:r w:rsidRPr="0097459F">
        <w:rPr>
          <w:rFonts w:ascii="Calibri" w:hAnsi="Calibri" w:cs="Calibri"/>
        </w:rPr>
        <w:t>Parágrafo único.  Na hipótese de aplicação em classe que possa exceder o limite de concentração em créditos privados de que trata o art. 70 deste Anexo Normativo I, a política de investimento da classe investidora deve detalhar os mecanismos que serão adotados para mitigar o risco de extrapolação do referido limite ou, alternativamente, adotar as medidas dispostas nos incisos I a II do referido artigo.</w:t>
      </w:r>
    </w:p>
    <w:p w14:paraId="1D9A81B6" w14:textId="77777777" w:rsidR="00C20BBD" w:rsidRPr="0097459F" w:rsidRDefault="00C20BBD" w:rsidP="00C20BBD">
      <w:pPr>
        <w:pStyle w:val="Seo"/>
      </w:pPr>
      <w:bookmarkStart w:id="527" w:name="_Toc53594257"/>
      <w:bookmarkStart w:id="528" w:name="_Toc53594505"/>
      <w:bookmarkStart w:id="529" w:name="_Toc53595530"/>
      <w:bookmarkStart w:id="530" w:name="_Toc57836266"/>
      <w:bookmarkStart w:id="531" w:name="_Toc161141282"/>
      <w:r w:rsidRPr="0097459F">
        <w:t xml:space="preserve">Seção IX – Exposição </w:t>
      </w:r>
      <w:proofErr w:type="spellStart"/>
      <w:r w:rsidRPr="0097459F">
        <w:t>a</w:t>
      </w:r>
      <w:proofErr w:type="spellEnd"/>
      <w:r w:rsidRPr="0097459F">
        <w:t xml:space="preserve"> Risco de Capital</w:t>
      </w:r>
      <w:bookmarkEnd w:id="527"/>
      <w:bookmarkEnd w:id="528"/>
      <w:bookmarkEnd w:id="529"/>
      <w:bookmarkEnd w:id="530"/>
      <w:bookmarkEnd w:id="531"/>
    </w:p>
    <w:p w14:paraId="4B6ED4B8" w14:textId="77777777" w:rsidR="00C20BBD" w:rsidRPr="0097459F" w:rsidRDefault="00C20BBD" w:rsidP="00C20BBD">
      <w:pPr>
        <w:pStyle w:val="Normalalteradora"/>
        <w:rPr>
          <w:rFonts w:ascii="Calibri" w:hAnsi="Calibri" w:cs="Calibri"/>
        </w:rPr>
      </w:pPr>
      <w:r w:rsidRPr="0097459F">
        <w:rPr>
          <w:rFonts w:ascii="Calibri" w:hAnsi="Calibri" w:cs="Calibri"/>
        </w:rPr>
        <w:t>Art. 73.  Preservada a possibilidade de o Regulamento estabelecer limites menores, o gestor deve observar os seguintes limites máximos de utilização de margem bruta:</w:t>
      </w:r>
    </w:p>
    <w:p w14:paraId="75E37A1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para</w:t>
      </w:r>
      <w:proofErr w:type="gramEnd"/>
      <w:r w:rsidRPr="0097459F">
        <w:rPr>
          <w:rFonts w:ascii="Calibri" w:hAnsi="Calibri" w:cs="Calibri"/>
        </w:rPr>
        <w:t xml:space="preserve"> classe tipificada como “Renda Fixa”, margem bruta limitada a 20% (vinte por cento) do patrimônio líquido da classe;</w:t>
      </w:r>
    </w:p>
    <w:p w14:paraId="32D0EAF4"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II – </w:t>
      </w:r>
      <w:proofErr w:type="gramStart"/>
      <w:r w:rsidRPr="0097459F">
        <w:rPr>
          <w:rFonts w:ascii="Calibri" w:hAnsi="Calibri" w:cs="Calibri"/>
        </w:rPr>
        <w:t>para</w:t>
      </w:r>
      <w:proofErr w:type="gramEnd"/>
      <w:r w:rsidRPr="0097459F">
        <w:rPr>
          <w:rFonts w:ascii="Calibri" w:hAnsi="Calibri" w:cs="Calibri"/>
        </w:rPr>
        <w:t xml:space="preserve"> classe tipificada como “Cambial” ou “Ações”, margem bruta limitada a 40% (quarenta por cento) do patrimônio líquido da classe; e</w:t>
      </w:r>
    </w:p>
    <w:p w14:paraId="13D25781" w14:textId="77777777" w:rsidR="00C20BBD" w:rsidRPr="0097459F" w:rsidRDefault="00C20BBD" w:rsidP="00C20BBD">
      <w:pPr>
        <w:pStyle w:val="Normalalteradora"/>
        <w:rPr>
          <w:rFonts w:ascii="Calibri" w:hAnsi="Calibri" w:cs="Calibri"/>
        </w:rPr>
      </w:pPr>
      <w:r w:rsidRPr="0097459F">
        <w:rPr>
          <w:rFonts w:ascii="Calibri" w:hAnsi="Calibri" w:cs="Calibri"/>
        </w:rPr>
        <w:t>III – para classe tipificada como “Multimercado”, margem bruta limitada a 70% (setenta por cento) do patrimônio líquido da classe.</w:t>
      </w:r>
    </w:p>
    <w:p w14:paraId="0773A092"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Para</w:t>
      </w:r>
      <w:proofErr w:type="gramEnd"/>
      <w:r w:rsidRPr="0097459F">
        <w:rPr>
          <w:rFonts w:ascii="Calibri" w:hAnsi="Calibri" w:cs="Calibri"/>
        </w:rPr>
        <w:t xml:space="preserve"> fins deste Anexo Normativo I, considera-se margem bruta o somatório das coberturas e margens de garantia, requeridas e potenciais, empregadas pela classe em relação às operações de sua carteira.</w:t>
      </w:r>
    </w:p>
    <w:p w14:paraId="79E3B70F"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w:t>
      </w:r>
      <w:proofErr w:type="gramEnd"/>
      <w:r w:rsidRPr="0097459F">
        <w:rPr>
          <w:rFonts w:ascii="Calibri" w:hAnsi="Calibri" w:cs="Calibri"/>
        </w:rPr>
        <w:t xml:space="preserve"> cálculo de margem potencial deve se basear em modelo de cálculo de garantia do administrador, consistente e passível de verificação, e não pode ser compensado com as margens das operações que contem com cobertura ou margem de garantia.</w:t>
      </w:r>
    </w:p>
    <w:p w14:paraId="2FF2B93B" w14:textId="77777777" w:rsidR="00C20BBD" w:rsidRPr="0097459F" w:rsidRDefault="00C20BBD" w:rsidP="00C20BBD">
      <w:pPr>
        <w:pStyle w:val="Normalalteradora"/>
        <w:rPr>
          <w:rFonts w:ascii="Calibri" w:hAnsi="Calibri" w:cs="Calibri"/>
        </w:rPr>
      </w:pPr>
      <w:r w:rsidRPr="0097459F">
        <w:rPr>
          <w:rFonts w:ascii="Calibri" w:hAnsi="Calibri" w:cs="Calibri"/>
        </w:rPr>
        <w:t>§ 3</w:t>
      </w:r>
      <w:proofErr w:type="gramStart"/>
      <w:r w:rsidRPr="0097459F">
        <w:rPr>
          <w:rFonts w:ascii="Calibri" w:hAnsi="Calibri" w:cs="Calibri"/>
        </w:rPr>
        <w:t>º  As</w:t>
      </w:r>
      <w:proofErr w:type="gramEnd"/>
      <w:r w:rsidRPr="0097459F">
        <w:rPr>
          <w:rFonts w:ascii="Calibri" w:hAnsi="Calibri" w:cs="Calibri"/>
        </w:rPr>
        <w:t xml:space="preserve"> operações da carteira de ativos da classe destinada ao público em geral que originem exposição </w:t>
      </w:r>
      <w:proofErr w:type="spellStart"/>
      <w:r w:rsidRPr="0097459F">
        <w:rPr>
          <w:rFonts w:ascii="Calibri" w:hAnsi="Calibri" w:cs="Calibri"/>
        </w:rPr>
        <w:t>a</w:t>
      </w:r>
      <w:proofErr w:type="spellEnd"/>
      <w:r w:rsidRPr="0097459F">
        <w:rPr>
          <w:rFonts w:ascii="Calibri" w:hAnsi="Calibri" w:cs="Calibri"/>
        </w:rPr>
        <w:t xml:space="preserve"> risco de capital devem contar com cobertura ou margem de garantia em mercado organizado.</w:t>
      </w:r>
    </w:p>
    <w:p w14:paraId="0DB8CCCD" w14:textId="4E46D52E" w:rsidR="00C20BBD" w:rsidRDefault="00C20BBD" w:rsidP="00C20BBD">
      <w:pPr>
        <w:pStyle w:val="Normalalteradora"/>
        <w:rPr>
          <w:rFonts w:ascii="Calibri" w:hAnsi="Calibri" w:cs="Calibri"/>
        </w:rPr>
      </w:pPr>
      <w:r w:rsidRPr="0097459F">
        <w:rPr>
          <w:rFonts w:ascii="Calibri" w:hAnsi="Calibri" w:cs="Calibri"/>
        </w:rPr>
        <w:t>§ 4</w:t>
      </w:r>
      <w:proofErr w:type="gramStart"/>
      <w:r w:rsidRPr="0097459F">
        <w:rPr>
          <w:rFonts w:ascii="Calibri" w:hAnsi="Calibri" w:cs="Calibri"/>
        </w:rPr>
        <w:t>º  Classes</w:t>
      </w:r>
      <w:proofErr w:type="gramEnd"/>
      <w:r w:rsidRPr="0097459F">
        <w:rPr>
          <w:rFonts w:ascii="Calibri" w:hAnsi="Calibri" w:cs="Calibri"/>
        </w:rPr>
        <w:t xml:space="preserve"> de cotas exclusivamente destinadas a investidores profissionais não possuem limites de exposição </w:t>
      </w:r>
      <w:proofErr w:type="spellStart"/>
      <w:r w:rsidRPr="0097459F">
        <w:rPr>
          <w:rFonts w:ascii="Calibri" w:hAnsi="Calibri" w:cs="Calibri"/>
        </w:rPr>
        <w:t>a</w:t>
      </w:r>
      <w:proofErr w:type="spellEnd"/>
      <w:r w:rsidRPr="0097459F">
        <w:rPr>
          <w:rFonts w:ascii="Calibri" w:hAnsi="Calibri" w:cs="Calibri"/>
        </w:rPr>
        <w:t xml:space="preserve"> risco de capital, exceto pelo que porventura dispuser o Regulamento, nos termos do art. </w:t>
      </w:r>
      <w:r w:rsidR="00122F9E">
        <w:rPr>
          <w:rFonts w:ascii="Calibri" w:hAnsi="Calibri" w:cs="Calibri"/>
        </w:rPr>
        <w:t>16</w:t>
      </w:r>
      <w:r w:rsidRPr="0097459F">
        <w:rPr>
          <w:rFonts w:ascii="Calibri" w:hAnsi="Calibri" w:cs="Calibri"/>
        </w:rPr>
        <w:t>, inciso V, deste Anexo Normativo I.</w:t>
      </w:r>
    </w:p>
    <w:p w14:paraId="0E6D16C9" w14:textId="6E1CDABD" w:rsidR="0019363E" w:rsidRDefault="0019363E" w:rsidP="00C20BBD">
      <w:pPr>
        <w:pStyle w:val="Normalalteradora"/>
        <w:rPr>
          <w:bCs/>
        </w:rPr>
      </w:pPr>
      <w:r>
        <w:t>§ 5</w:t>
      </w:r>
      <w:proofErr w:type="gramStart"/>
      <w:r>
        <w:t xml:space="preserve">º  </w:t>
      </w:r>
      <w:r>
        <w:rPr>
          <w:rFonts w:cstheme="minorHAnsi"/>
        </w:rPr>
        <w:t>Classes</w:t>
      </w:r>
      <w:proofErr w:type="gramEnd"/>
      <w:r>
        <w:rPr>
          <w:rFonts w:cstheme="minorHAnsi"/>
        </w:rPr>
        <w:t xml:space="preserve"> de cotas</w:t>
      </w:r>
      <w:r w:rsidRPr="00F914FD">
        <w:rPr>
          <w:rFonts w:cstheme="minorHAnsi"/>
        </w:rPr>
        <w:t xml:space="preserve"> que </w:t>
      </w:r>
      <w:r>
        <w:rPr>
          <w:rFonts w:cstheme="minorHAnsi"/>
        </w:rPr>
        <w:t>realizam</w:t>
      </w:r>
      <w:r w:rsidRPr="00F914FD">
        <w:rPr>
          <w:rFonts w:cstheme="minorHAnsi"/>
        </w:rPr>
        <w:t xml:space="preserve"> operações </w:t>
      </w:r>
      <w:r>
        <w:rPr>
          <w:rFonts w:cstheme="minorHAnsi"/>
        </w:rPr>
        <w:t>envolvendo</w:t>
      </w:r>
      <w:r w:rsidRPr="00F914FD">
        <w:rPr>
          <w:rFonts w:cstheme="minorHAnsi"/>
        </w:rPr>
        <w:t xml:space="preserve"> posições compradas e vendidas </w:t>
      </w:r>
      <w:r>
        <w:rPr>
          <w:rFonts w:cstheme="minorHAnsi"/>
        </w:rPr>
        <w:t xml:space="preserve">de </w:t>
      </w:r>
      <w:r w:rsidRPr="00F914FD">
        <w:rPr>
          <w:rFonts w:cstheme="minorHAnsi"/>
        </w:rPr>
        <w:t xml:space="preserve">ativos e derivativos </w:t>
      </w:r>
      <w:r>
        <w:rPr>
          <w:rFonts w:cstheme="minorHAnsi"/>
        </w:rPr>
        <w:t>do</w:t>
      </w:r>
      <w:r w:rsidRPr="00F914FD">
        <w:rPr>
          <w:rFonts w:cstheme="minorHAnsi"/>
        </w:rPr>
        <w:t xml:space="preserve"> mercado de renda variável</w:t>
      </w:r>
      <w:r>
        <w:rPr>
          <w:rFonts w:cstheme="minorHAnsi"/>
        </w:rPr>
        <w:t>,</w:t>
      </w:r>
      <w:r w:rsidRPr="00F914FD">
        <w:rPr>
          <w:rFonts w:cstheme="minorHAnsi"/>
        </w:rPr>
        <w:t xml:space="preserve"> cujo resultado </w:t>
      </w:r>
      <w:r>
        <w:rPr>
          <w:rFonts w:cstheme="minorHAnsi"/>
        </w:rPr>
        <w:t>esperado seja</w:t>
      </w:r>
      <w:r w:rsidRPr="00F914FD">
        <w:rPr>
          <w:rFonts w:cstheme="minorHAnsi"/>
        </w:rPr>
        <w:t xml:space="preserve"> preponderantemente </w:t>
      </w:r>
      <w:r>
        <w:rPr>
          <w:rFonts w:cstheme="minorHAnsi"/>
        </w:rPr>
        <w:t xml:space="preserve">proveniente da diferença entre </w:t>
      </w:r>
      <w:r w:rsidRPr="00F914FD">
        <w:rPr>
          <w:rFonts w:cstheme="minorHAnsi"/>
        </w:rPr>
        <w:t xml:space="preserve">as posições </w:t>
      </w:r>
      <w:r>
        <w:rPr>
          <w:rFonts w:cstheme="minorHAnsi"/>
        </w:rPr>
        <w:t xml:space="preserve">(estratégia comumente denominada de </w:t>
      </w:r>
      <w:proofErr w:type="spellStart"/>
      <w:r w:rsidRPr="00F914FD">
        <w:rPr>
          <w:rFonts w:cstheme="minorHAnsi"/>
          <w:b/>
        </w:rPr>
        <w:t>long</w:t>
      </w:r>
      <w:proofErr w:type="spellEnd"/>
      <w:r w:rsidRPr="00F914FD">
        <w:rPr>
          <w:rFonts w:cstheme="minorHAnsi"/>
          <w:b/>
        </w:rPr>
        <w:t xml:space="preserve"> </w:t>
      </w:r>
      <w:proofErr w:type="spellStart"/>
      <w:r>
        <w:rPr>
          <w:rFonts w:cstheme="minorHAnsi"/>
          <w:b/>
        </w:rPr>
        <w:t>and</w:t>
      </w:r>
      <w:proofErr w:type="spellEnd"/>
      <w:r w:rsidRPr="00F914FD">
        <w:rPr>
          <w:rFonts w:cstheme="minorHAnsi"/>
          <w:b/>
        </w:rPr>
        <w:t xml:space="preserve"> short</w:t>
      </w:r>
      <w:r w:rsidRPr="00F914FD">
        <w:rPr>
          <w:rFonts w:cstheme="minorHAnsi"/>
        </w:rPr>
        <w:t xml:space="preserve">), </w:t>
      </w:r>
      <w:r>
        <w:rPr>
          <w:rFonts w:cstheme="minorHAnsi"/>
        </w:rPr>
        <w:t>ficam dispensadas de observar o limite</w:t>
      </w:r>
      <w:r w:rsidRPr="00F914FD">
        <w:rPr>
          <w:rFonts w:cstheme="minorHAnsi"/>
        </w:rPr>
        <w:t xml:space="preserve"> </w:t>
      </w:r>
      <w:r>
        <w:rPr>
          <w:rFonts w:cstheme="minorHAnsi"/>
        </w:rPr>
        <w:t>previsto</w:t>
      </w:r>
      <w:r w:rsidRPr="00F914FD">
        <w:rPr>
          <w:rFonts w:cstheme="minorHAnsi"/>
        </w:rPr>
        <w:t xml:space="preserve"> no inciso III do </w:t>
      </w:r>
      <w:r w:rsidRPr="00F914FD">
        <w:rPr>
          <w:rFonts w:cstheme="minorHAnsi"/>
          <w:b/>
        </w:rPr>
        <w:t>caput</w:t>
      </w:r>
      <w:r>
        <w:rPr>
          <w:rFonts w:cstheme="minorHAnsi"/>
        </w:rPr>
        <w:t>, no que se refere a essas operações</w:t>
      </w:r>
      <w:r w:rsidRPr="00D10AA0">
        <w:rPr>
          <w:bCs/>
        </w:rPr>
        <w:t>.</w:t>
      </w:r>
    </w:p>
    <w:p w14:paraId="2ABB5DD9" w14:textId="1ABB2305" w:rsidR="0019363E" w:rsidRPr="00D960C9"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19363E">
        <w:rPr>
          <w:rFonts w:asciiTheme="minorHAnsi" w:hAnsiTheme="minorHAnsi" w:cstheme="minorHAnsi"/>
          <w:b/>
          <w:bCs/>
          <w:i/>
          <w:iCs/>
          <w:sz w:val="24"/>
          <w:szCs w:val="24"/>
        </w:rPr>
        <w:t xml:space="preserve"> § 5º</w:t>
      </w:r>
      <w:r>
        <w:t xml:space="preserve"> </w:t>
      </w:r>
      <w:r>
        <w:rPr>
          <w:rFonts w:asciiTheme="minorHAnsi" w:hAnsiTheme="minorHAnsi" w:cstheme="minorHAnsi"/>
          <w:b/>
          <w:i/>
          <w:sz w:val="24"/>
          <w:szCs w:val="24"/>
        </w:rPr>
        <w:t>incluído</w:t>
      </w:r>
      <w:r w:rsidRPr="00D960C9">
        <w:rPr>
          <w:rFonts w:asciiTheme="minorHAnsi" w:hAnsiTheme="minorHAnsi" w:cstheme="minorHAnsi"/>
          <w:b/>
          <w:i/>
          <w:sz w:val="24"/>
          <w:szCs w:val="24"/>
        </w:rPr>
        <w:t xml:space="preserve">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5958914" w14:textId="214BFBA4" w:rsidR="00C20BBD" w:rsidRPr="0097459F" w:rsidRDefault="00C20BBD" w:rsidP="00C20BBD">
      <w:pPr>
        <w:pStyle w:val="Captulo"/>
      </w:pPr>
      <w:bookmarkStart w:id="532" w:name="_Toc53594258"/>
      <w:bookmarkStart w:id="533" w:name="_Toc53594506"/>
      <w:bookmarkStart w:id="534" w:name="_Toc53595531"/>
      <w:bookmarkStart w:id="535" w:name="_Toc57836267"/>
      <w:bookmarkStart w:id="536" w:name="_Toc161141283"/>
      <w:r w:rsidRPr="0097459F">
        <w:t>CAPÍTULO IX – CLASSES RESTRITAS</w:t>
      </w:r>
      <w:bookmarkEnd w:id="532"/>
      <w:bookmarkEnd w:id="533"/>
      <w:bookmarkEnd w:id="534"/>
      <w:bookmarkEnd w:id="535"/>
      <w:bookmarkEnd w:id="536"/>
    </w:p>
    <w:p w14:paraId="54B86502" w14:textId="77777777" w:rsidR="00C20BBD" w:rsidRPr="0097459F" w:rsidRDefault="00C20BBD" w:rsidP="00C20BBD">
      <w:pPr>
        <w:pStyle w:val="Normalalteradora"/>
        <w:rPr>
          <w:rFonts w:ascii="Calibri" w:hAnsi="Calibri" w:cs="Calibri"/>
        </w:rPr>
      </w:pPr>
      <w:r w:rsidRPr="0097459F">
        <w:rPr>
          <w:rFonts w:ascii="Calibri" w:hAnsi="Calibri" w:cs="Calibri"/>
        </w:rPr>
        <w:t>Art. 74.  Em acréscimo às matérias previstas no art. 113 da parte geral da Resolução, o regulamento da classe restrita pode estabelecer prazos para conversão de cota e para pagamento dos resgates diferentes daqueles previstos na regulamentação, sendo admitido o estabelecimento de prazo máximo de conversão e pagamento.</w:t>
      </w:r>
    </w:p>
    <w:p w14:paraId="4107E607" w14:textId="77777777" w:rsidR="00C20BBD" w:rsidRPr="0097459F" w:rsidRDefault="00C20BBD" w:rsidP="00C20BBD">
      <w:pPr>
        <w:pStyle w:val="Normalalteradora"/>
        <w:rPr>
          <w:rFonts w:ascii="Calibri" w:hAnsi="Calibri" w:cs="Calibri"/>
        </w:rPr>
      </w:pPr>
      <w:bookmarkStart w:id="537" w:name="_Hlk52086293"/>
      <w:bookmarkEnd w:id="537"/>
      <w:r w:rsidRPr="0097459F">
        <w:rPr>
          <w:rFonts w:ascii="Calibri" w:hAnsi="Calibri" w:cs="Calibri"/>
        </w:rPr>
        <w:t>Art. 75.  Os limites estabelecidos no art. 45, incisos I a III, e no art. 60 deste Anexo Normativo I são computados em dobro nas classes de cotas exclusivamente destinadas a investidores qualificados.</w:t>
      </w:r>
    </w:p>
    <w:p w14:paraId="67106E63"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1</w:t>
      </w:r>
      <w:proofErr w:type="gramStart"/>
      <w:r w:rsidRPr="0097459F">
        <w:rPr>
          <w:rFonts w:ascii="Calibri" w:hAnsi="Calibri" w:cs="Calibri"/>
        </w:rPr>
        <w:t>º  Caso</w:t>
      </w:r>
      <w:proofErr w:type="gramEnd"/>
      <w:r w:rsidRPr="0097459F">
        <w:rPr>
          <w:rFonts w:ascii="Calibri" w:hAnsi="Calibri" w:cs="Calibri"/>
        </w:rPr>
        <w:t xml:space="preserve"> a classe de cotas seja exclusivamente destinada a investidores qualificados, os limites previstos no art. 45, §§ 1º e 2º; ficam majorados para, respectivamente, até 60% (sessenta por cento) e até 40% (quarenta por cento), preservado o requisito de existência de formador de mercado para as cotas que excederem ao limite ordinário.</w:t>
      </w:r>
    </w:p>
    <w:p w14:paraId="7C67AF9E" w14:textId="77777777" w:rsidR="00C20BBD" w:rsidRDefault="00C20BBD" w:rsidP="00C20BBD">
      <w:pPr>
        <w:pStyle w:val="Normalalteradora"/>
        <w:rPr>
          <w:rFonts w:ascii="Calibri" w:hAnsi="Calibri" w:cs="Calibri"/>
          <w:strike/>
        </w:rPr>
      </w:pPr>
      <w:r w:rsidRPr="00175852">
        <w:rPr>
          <w:rFonts w:ascii="Calibri" w:hAnsi="Calibri" w:cs="Calibri"/>
          <w:strike/>
        </w:rPr>
        <w:t>§ 2</w:t>
      </w:r>
      <w:proofErr w:type="gramStart"/>
      <w:r w:rsidRPr="00175852">
        <w:rPr>
          <w:rFonts w:ascii="Calibri" w:hAnsi="Calibri" w:cs="Calibri"/>
          <w:strike/>
        </w:rPr>
        <w:t>º  Não</w:t>
      </w:r>
      <w:proofErr w:type="gramEnd"/>
      <w:r w:rsidRPr="00175852">
        <w:rPr>
          <w:rFonts w:ascii="Calibri" w:hAnsi="Calibri" w:cs="Calibri"/>
          <w:strike/>
        </w:rPr>
        <w:t xml:space="preserve"> existe limite por modalidade de ativo financeiro para aplicações em cotas de outros fundos que sejam igualmente destinadas a investidores qualificados.</w:t>
      </w:r>
    </w:p>
    <w:p w14:paraId="4E90BBDB" w14:textId="21839288" w:rsidR="00175852" w:rsidRDefault="00175852" w:rsidP="00C20BBD">
      <w:pPr>
        <w:pStyle w:val="Normalalteradora"/>
      </w:pPr>
      <w:r>
        <w:t>§ 2</w:t>
      </w:r>
      <w:bookmarkStart w:id="538" w:name="_Int_R84WPAyl"/>
      <w:proofErr w:type="gramStart"/>
      <w:r>
        <w:t>º  Não</w:t>
      </w:r>
      <w:bookmarkEnd w:id="538"/>
      <w:proofErr w:type="gramEnd"/>
      <w:r>
        <w:t xml:space="preserve"> existe limite por modalidade de ativo financeiro para aplicações em cotas de outros FIF que sejam igualmente destinadas a investidores qualificados.</w:t>
      </w:r>
    </w:p>
    <w:p w14:paraId="73358B8E" w14:textId="58203E34" w:rsidR="00175852" w:rsidRPr="00175852" w:rsidRDefault="00175852" w:rsidP="00175852">
      <w:pPr>
        <w:pStyle w:val="Normalalteradora"/>
        <w:numPr>
          <w:ilvl w:val="0"/>
          <w:numId w:val="40"/>
        </w:numPr>
        <w:ind w:left="709" w:hanging="142"/>
        <w:rPr>
          <w:strike/>
        </w:rPr>
      </w:pPr>
      <w:r w:rsidRPr="00175852">
        <w:rPr>
          <w:b/>
          <w:bCs/>
          <w:i/>
          <w:iCs/>
        </w:rPr>
        <w:t>§ 2º</w:t>
      </w:r>
      <w:r>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30C93091" w14:textId="77777777" w:rsidR="00C20BBD" w:rsidRPr="0097459F" w:rsidRDefault="00C20BBD" w:rsidP="00C20BBD">
      <w:pPr>
        <w:pStyle w:val="Normalalteradora"/>
        <w:rPr>
          <w:rFonts w:ascii="Calibri" w:hAnsi="Calibri" w:cs="Calibri"/>
        </w:rPr>
      </w:pPr>
      <w:r w:rsidRPr="0097459F">
        <w:rPr>
          <w:rFonts w:ascii="Calibri" w:hAnsi="Calibri" w:cs="Calibri"/>
        </w:rPr>
        <w:t>Art. 76.  Em acréscimo às matérias previstas no art. 113 da parte geral da Resolução, o regulamento da classe de cotas destinada exclusivamente a investidores profissionais pode prever:</w:t>
      </w:r>
    </w:p>
    <w:p w14:paraId="3159015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a</w:t>
      </w:r>
      <w:proofErr w:type="gramEnd"/>
      <w:r w:rsidRPr="0097459F">
        <w:rPr>
          <w:rFonts w:ascii="Calibri" w:hAnsi="Calibri" w:cs="Calibri"/>
        </w:rPr>
        <w:t xml:space="preserve"> não observância aos limites de concentração por emissor e por modalidade de ativo financeiro, conforme estabelecidos nos </w:t>
      </w:r>
      <w:proofErr w:type="spellStart"/>
      <w:r w:rsidRPr="0097459F">
        <w:rPr>
          <w:rFonts w:ascii="Calibri" w:hAnsi="Calibri" w:cs="Calibri"/>
        </w:rPr>
        <w:t>arts</w:t>
      </w:r>
      <w:proofErr w:type="spellEnd"/>
      <w:r w:rsidRPr="0097459F">
        <w:rPr>
          <w:rFonts w:ascii="Calibri" w:hAnsi="Calibri" w:cs="Calibri"/>
        </w:rPr>
        <w:t>. 44, 45 e 70, todos deste Anexo Normativo I;</w:t>
      </w:r>
    </w:p>
    <w:p w14:paraId="3E96530F"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a</w:t>
      </w:r>
      <w:proofErr w:type="gramEnd"/>
      <w:r w:rsidRPr="0097459F">
        <w:rPr>
          <w:rFonts w:ascii="Calibri" w:hAnsi="Calibri" w:cs="Calibri"/>
        </w:rPr>
        <w:t xml:space="preserve"> aplicação de recursos no exterior de forma ilimitada; e</w:t>
      </w:r>
    </w:p>
    <w:p w14:paraId="27FD2D1C" w14:textId="77777777" w:rsidR="00C20BBD" w:rsidRPr="0097459F" w:rsidRDefault="00C20BBD" w:rsidP="00C20BBD">
      <w:pPr>
        <w:pStyle w:val="Normalalteradora"/>
        <w:rPr>
          <w:rFonts w:ascii="Calibri" w:hAnsi="Calibri" w:cs="Calibri"/>
        </w:rPr>
      </w:pPr>
      <w:r w:rsidRPr="0097459F">
        <w:rPr>
          <w:rFonts w:ascii="Calibri" w:hAnsi="Calibri" w:cs="Calibri"/>
        </w:rPr>
        <w:t>III – o não cumprimento pelo administrador das obrigações previstas nos incisos I e II do art. 22 deste Anexo Normativo I.</w:t>
      </w:r>
    </w:p>
    <w:p w14:paraId="36B849AA" w14:textId="77777777" w:rsidR="00C20BBD" w:rsidRPr="0097459F" w:rsidRDefault="00C20BBD" w:rsidP="00C20BBD">
      <w:pPr>
        <w:pStyle w:val="Normalalteradora"/>
        <w:rPr>
          <w:rFonts w:ascii="Calibri" w:hAnsi="Calibri" w:cs="Calibri"/>
        </w:rPr>
      </w:pPr>
      <w:r w:rsidRPr="0097459F">
        <w:rPr>
          <w:rFonts w:ascii="Calibri" w:hAnsi="Calibri" w:cs="Calibri"/>
        </w:rPr>
        <w:t>§ 1</w:t>
      </w:r>
      <w:proofErr w:type="gramStart"/>
      <w:r w:rsidRPr="0097459F">
        <w:rPr>
          <w:rFonts w:ascii="Calibri" w:hAnsi="Calibri" w:cs="Calibri"/>
        </w:rPr>
        <w:t>º  O</w:t>
      </w:r>
      <w:proofErr w:type="gramEnd"/>
      <w:r w:rsidRPr="0097459F">
        <w:rPr>
          <w:rFonts w:ascii="Calibri" w:hAnsi="Calibri" w:cs="Calibri"/>
        </w:rPr>
        <w:t xml:space="preserve"> uso das faculdades previstas neste artigo não dispensa a classe de observar seu tipo, assim como de manter sua carteira de ativos adequada a sua política de investimento.</w:t>
      </w:r>
    </w:p>
    <w:p w14:paraId="56EEC4F7" w14:textId="77777777" w:rsidR="00C20BBD" w:rsidRPr="0097459F" w:rsidRDefault="00C20BBD" w:rsidP="00C20BBD">
      <w:pPr>
        <w:pStyle w:val="Normalalteradora"/>
        <w:rPr>
          <w:rFonts w:ascii="Calibri" w:hAnsi="Calibri" w:cs="Calibri"/>
        </w:rPr>
      </w:pPr>
      <w:r w:rsidRPr="0097459F">
        <w:rPr>
          <w:rFonts w:ascii="Calibri" w:hAnsi="Calibri" w:cs="Calibri"/>
        </w:rPr>
        <w:t>§ 2</w:t>
      </w:r>
      <w:proofErr w:type="gramStart"/>
      <w:r w:rsidRPr="0097459F">
        <w:rPr>
          <w:rFonts w:ascii="Calibri" w:hAnsi="Calibri" w:cs="Calibri"/>
        </w:rPr>
        <w:t>º  O</w:t>
      </w:r>
      <w:proofErr w:type="gramEnd"/>
      <w:r w:rsidRPr="0097459F">
        <w:rPr>
          <w:rFonts w:ascii="Calibri" w:hAnsi="Calibri" w:cs="Calibri"/>
        </w:rPr>
        <w:t xml:space="preserve"> uso da faculdade constante do inciso III do </w:t>
      </w:r>
      <w:r w:rsidRPr="0097459F">
        <w:rPr>
          <w:rFonts w:ascii="Calibri" w:hAnsi="Calibri" w:cs="Calibri"/>
          <w:b/>
        </w:rPr>
        <w:t>caput</w:t>
      </w:r>
      <w:r w:rsidRPr="0097459F">
        <w:rPr>
          <w:rFonts w:ascii="Calibri" w:hAnsi="Calibri" w:cs="Calibri"/>
        </w:rPr>
        <w:t xml:space="preserve"> não exime o administrador:</w:t>
      </w:r>
    </w:p>
    <w:p w14:paraId="21071924"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do</w:t>
      </w:r>
      <w:proofErr w:type="gramEnd"/>
      <w:r w:rsidRPr="0097459F">
        <w:rPr>
          <w:rFonts w:ascii="Calibri" w:hAnsi="Calibri" w:cs="Calibri"/>
        </w:rPr>
        <w:t xml:space="preserve"> cumprimento das obrigações de que trata o art. 24 deste Anexo Normativo I; e</w:t>
      </w:r>
    </w:p>
    <w:p w14:paraId="285C32A7"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da</w:t>
      </w:r>
      <w:proofErr w:type="gramEnd"/>
      <w:r w:rsidRPr="0097459F">
        <w:rPr>
          <w:rFonts w:ascii="Calibri" w:hAnsi="Calibri" w:cs="Calibri"/>
        </w:rPr>
        <w:t xml:space="preserve"> obrigação de disponibilizar a demonstração de desempenho a seus cotistas, sempre que solicitado.</w:t>
      </w:r>
    </w:p>
    <w:p w14:paraId="740FE976" w14:textId="77777777" w:rsidR="00C20BBD" w:rsidRPr="0097459F" w:rsidRDefault="00C20BBD" w:rsidP="00C20BBD">
      <w:pPr>
        <w:pStyle w:val="Captulo"/>
      </w:pPr>
      <w:bookmarkStart w:id="539" w:name="_Toc53594262"/>
      <w:bookmarkStart w:id="540" w:name="_Toc53594510"/>
      <w:bookmarkStart w:id="541" w:name="_Toc53595535"/>
      <w:bookmarkStart w:id="542" w:name="_Toc57836271"/>
      <w:bookmarkStart w:id="543" w:name="_Toc161141284"/>
      <w:r w:rsidRPr="0097459F">
        <w:t>CAPÍTULO X – ENCARGOS</w:t>
      </w:r>
      <w:bookmarkEnd w:id="539"/>
      <w:bookmarkEnd w:id="540"/>
      <w:bookmarkEnd w:id="541"/>
      <w:bookmarkEnd w:id="542"/>
      <w:bookmarkEnd w:id="543"/>
    </w:p>
    <w:p w14:paraId="217C47EF" w14:textId="77777777" w:rsidR="00C20BBD" w:rsidRPr="0097459F" w:rsidRDefault="00C20BBD" w:rsidP="00C20BBD">
      <w:pPr>
        <w:pStyle w:val="Normalalteradora"/>
        <w:rPr>
          <w:rFonts w:ascii="Calibri" w:hAnsi="Calibri" w:cs="Calibri"/>
        </w:rPr>
      </w:pPr>
      <w:r w:rsidRPr="0097459F">
        <w:rPr>
          <w:rFonts w:ascii="Calibri" w:hAnsi="Calibri" w:cs="Calibri"/>
        </w:rPr>
        <w:t>Art. 77.  Em acréscimo aos encargos dispostos no art. 117 da parte geral da Resolução, o regulamento do FIF pode prever como encargos as seguintes despesas, que podem ser debitadas diretamente de suas classes de cotas:</w:t>
      </w:r>
    </w:p>
    <w:p w14:paraId="37E05D3D" w14:textId="77777777" w:rsidR="00C20BBD" w:rsidRPr="0097459F" w:rsidRDefault="00C20BBD" w:rsidP="00C20BBD">
      <w:pPr>
        <w:pStyle w:val="Normalalteradora"/>
        <w:rPr>
          <w:rFonts w:ascii="Calibri" w:hAnsi="Calibri" w:cs="Calibri"/>
        </w:rPr>
      </w:pPr>
      <w:r w:rsidRPr="0097459F">
        <w:rPr>
          <w:rFonts w:ascii="Calibri" w:hAnsi="Calibri" w:cs="Calibri"/>
        </w:rPr>
        <w:lastRenderedPageBreak/>
        <w:t xml:space="preserve">I – </w:t>
      </w:r>
      <w:proofErr w:type="gramStart"/>
      <w:r w:rsidRPr="0097459F">
        <w:rPr>
          <w:rFonts w:ascii="Calibri" w:hAnsi="Calibri" w:cs="Calibri"/>
        </w:rPr>
        <w:t>taxa</w:t>
      </w:r>
      <w:proofErr w:type="gramEnd"/>
      <w:r w:rsidRPr="0097459F">
        <w:rPr>
          <w:rFonts w:ascii="Calibri" w:hAnsi="Calibri" w:cs="Calibri"/>
        </w:rPr>
        <w:t xml:space="preserve"> de performance; e</w:t>
      </w:r>
    </w:p>
    <w:p w14:paraId="3565B697" w14:textId="77777777" w:rsidR="00C20BBD" w:rsidRPr="0097459F" w:rsidRDefault="00C20BBD" w:rsidP="00C20BBD">
      <w:pPr>
        <w:pStyle w:val="Normalalteradora"/>
        <w:rPr>
          <w:rFonts w:ascii="Calibri" w:hAnsi="Calibri" w:cs="Calibri"/>
        </w:rPr>
      </w:pPr>
      <w:r w:rsidRPr="0097459F">
        <w:rPr>
          <w:rFonts w:ascii="Calibri" w:hAnsi="Calibri" w:cs="Calibri"/>
        </w:rPr>
        <w:t>III – taxa máxima de custódia.</w:t>
      </w:r>
    </w:p>
    <w:p w14:paraId="1A1A98FF" w14:textId="77777777" w:rsidR="00C20BBD" w:rsidRPr="0097459F" w:rsidRDefault="00C20BBD" w:rsidP="00C20BBD">
      <w:pPr>
        <w:pStyle w:val="Captulo"/>
      </w:pPr>
      <w:bookmarkStart w:id="544" w:name="_Toc53594263"/>
      <w:bookmarkStart w:id="545" w:name="_Toc53594511"/>
      <w:bookmarkStart w:id="546" w:name="_Toc53595536"/>
      <w:bookmarkStart w:id="547" w:name="_Toc57836272"/>
      <w:bookmarkStart w:id="548" w:name="_Toc161141285"/>
      <w:r w:rsidRPr="0097459F">
        <w:t>CAPÍTULO XI – LIQUIDAÇÃO</w:t>
      </w:r>
      <w:bookmarkEnd w:id="544"/>
      <w:bookmarkEnd w:id="545"/>
      <w:bookmarkEnd w:id="546"/>
      <w:bookmarkEnd w:id="547"/>
      <w:bookmarkEnd w:id="548"/>
    </w:p>
    <w:p w14:paraId="096C35D2"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Art. </w:t>
      </w:r>
      <w:bookmarkStart w:id="549" w:name="_Hlk52088255"/>
      <w:r w:rsidRPr="0097459F">
        <w:rPr>
          <w:rFonts w:ascii="Calibri" w:hAnsi="Calibri" w:cs="Calibri"/>
        </w:rPr>
        <w:t>78.  No âmbito da liquidação de uma classe de cotas de FIF, desde que de modo integrado ao plano de liquidação, em acréscimo às dispensas concedidas no art. 128 da parte geral da Resolução, fica dispensado o cumprimento das seguintes regras:</w:t>
      </w:r>
      <w:bookmarkEnd w:id="549"/>
    </w:p>
    <w:p w14:paraId="17598232" w14:textId="77777777" w:rsidR="00C20BBD" w:rsidRPr="0097459F" w:rsidRDefault="00C20BBD" w:rsidP="00C20BBD">
      <w:pPr>
        <w:pStyle w:val="Normalalteradora"/>
        <w:rPr>
          <w:rFonts w:ascii="Calibri" w:hAnsi="Calibri" w:cs="Calibri"/>
        </w:rPr>
      </w:pPr>
      <w:bookmarkStart w:id="550" w:name="_Hlk52090444"/>
      <w:r w:rsidRPr="0097459F">
        <w:rPr>
          <w:rFonts w:ascii="Calibri" w:hAnsi="Calibri" w:cs="Calibri"/>
        </w:rPr>
        <w:t>I – elaboração e divulgação das informações de que tratam os incisos I e II do art. 22 deste Anexo Normativo I; e</w:t>
      </w:r>
    </w:p>
    <w:p w14:paraId="5FE487E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envio</w:t>
      </w:r>
      <w:proofErr w:type="gramEnd"/>
      <w:r w:rsidRPr="0097459F">
        <w:rPr>
          <w:rFonts w:ascii="Calibri" w:hAnsi="Calibri" w:cs="Calibri"/>
        </w:rPr>
        <w:t xml:space="preserve"> das informações de que trata o art. 24 deste Anexo Normativo I à CVM.</w:t>
      </w:r>
    </w:p>
    <w:p w14:paraId="5D3DF37E" w14:textId="77777777" w:rsidR="00C20BBD" w:rsidRPr="0097459F" w:rsidRDefault="00C20BBD" w:rsidP="00C20BBD">
      <w:pPr>
        <w:pStyle w:val="Captulo"/>
      </w:pPr>
      <w:bookmarkStart w:id="551" w:name="_Toc53594264"/>
      <w:bookmarkStart w:id="552" w:name="_Toc53594512"/>
      <w:bookmarkStart w:id="553" w:name="_Toc53595537"/>
      <w:bookmarkStart w:id="554" w:name="_Toc57836273"/>
      <w:bookmarkStart w:id="555" w:name="_Toc161141286"/>
      <w:bookmarkEnd w:id="550"/>
      <w:r w:rsidRPr="0097459F">
        <w:t>CAPÍTULO XII – PENALIDADES E MULTA COMINATÓRIA</w:t>
      </w:r>
      <w:bookmarkEnd w:id="551"/>
      <w:bookmarkEnd w:id="552"/>
      <w:bookmarkEnd w:id="553"/>
      <w:bookmarkEnd w:id="554"/>
      <w:bookmarkEnd w:id="555"/>
    </w:p>
    <w:p w14:paraId="2CB3156C" w14:textId="77777777" w:rsidR="00C20BBD" w:rsidRPr="0097459F" w:rsidRDefault="00C20BBD" w:rsidP="00C20BBD">
      <w:pPr>
        <w:pStyle w:val="Normalalteradora"/>
        <w:rPr>
          <w:rFonts w:ascii="Calibri" w:hAnsi="Calibri" w:cs="Calibri"/>
        </w:rPr>
      </w:pPr>
      <w:bookmarkStart w:id="556" w:name="_Hlk51931488"/>
      <w:r w:rsidRPr="0097459F">
        <w:rPr>
          <w:rFonts w:ascii="Calibri" w:hAnsi="Calibri" w:cs="Calibri"/>
        </w:rPr>
        <w:t>Art. 79.  Em acréscimo às condutas previstas no art. 131 da parte geral da Resolução, considera-se infração grave:</w:t>
      </w:r>
    </w:p>
    <w:p w14:paraId="6D49923E"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 – </w:t>
      </w:r>
      <w:proofErr w:type="gramStart"/>
      <w:r w:rsidRPr="0097459F">
        <w:rPr>
          <w:rFonts w:ascii="Calibri" w:hAnsi="Calibri" w:cs="Calibri"/>
        </w:rPr>
        <w:t>não</w:t>
      </w:r>
      <w:proofErr w:type="gramEnd"/>
      <w:r w:rsidRPr="0097459F">
        <w:rPr>
          <w:rFonts w:ascii="Calibri" w:hAnsi="Calibri" w:cs="Calibri"/>
        </w:rPr>
        <w:t xml:space="preserve"> observância dos limites de concentração por emissor, por modalidade de ativo financeiro e de exposição ao risco de capital, conforme previstos no regulamento e neste Anexo Normativo I;</w:t>
      </w:r>
    </w:p>
    <w:p w14:paraId="3A7C55B3" w14:textId="77777777" w:rsidR="00C20BBD" w:rsidRPr="0097459F" w:rsidRDefault="00C20BBD" w:rsidP="00C20BBD">
      <w:pPr>
        <w:pStyle w:val="Normalalteradora"/>
        <w:rPr>
          <w:rFonts w:ascii="Calibri" w:hAnsi="Calibri" w:cs="Calibri"/>
        </w:rPr>
      </w:pPr>
      <w:r w:rsidRPr="0097459F">
        <w:rPr>
          <w:rFonts w:ascii="Calibri" w:hAnsi="Calibri" w:cs="Calibri"/>
        </w:rPr>
        <w:t xml:space="preserve">II – </w:t>
      </w:r>
      <w:proofErr w:type="gramStart"/>
      <w:r w:rsidRPr="0097459F">
        <w:rPr>
          <w:rFonts w:ascii="Calibri" w:hAnsi="Calibri" w:cs="Calibri"/>
        </w:rPr>
        <w:t>não</w:t>
      </w:r>
      <w:proofErr w:type="gramEnd"/>
      <w:r w:rsidRPr="0097459F">
        <w:rPr>
          <w:rFonts w:ascii="Calibri" w:hAnsi="Calibri" w:cs="Calibri"/>
        </w:rPr>
        <w:t xml:space="preserve"> observância do disposto no art. 70 deste Anexo Normativo I; e</w:t>
      </w:r>
    </w:p>
    <w:p w14:paraId="4EF0938F" w14:textId="264C9324" w:rsidR="00C20BBD" w:rsidRPr="0097459F" w:rsidRDefault="00C20BBD" w:rsidP="00C20BBD">
      <w:pPr>
        <w:pStyle w:val="Normalalteradora"/>
        <w:rPr>
          <w:rFonts w:ascii="Calibri" w:hAnsi="Calibri" w:cs="Calibri"/>
        </w:rPr>
      </w:pPr>
      <w:r w:rsidRPr="0097459F">
        <w:rPr>
          <w:rFonts w:ascii="Calibri" w:hAnsi="Calibri" w:cs="Calibri"/>
        </w:rPr>
        <w:t>III – não disponibilização da lâmina, conforme previsto neste Anexo Normativo I.</w:t>
      </w:r>
    </w:p>
    <w:bookmarkEnd w:id="556"/>
    <w:p w14:paraId="7E59C57D" w14:textId="77777777" w:rsidR="00C20BBD" w:rsidRPr="0097459F" w:rsidRDefault="00C20BBD" w:rsidP="00C20BBD">
      <w:pPr>
        <w:pStyle w:val="Normalalteradora"/>
        <w:rPr>
          <w:rFonts w:ascii="Calibri" w:hAnsi="Calibri" w:cs="Calibri"/>
        </w:rPr>
      </w:pPr>
      <w:r w:rsidRPr="0097459F">
        <w:rPr>
          <w:rFonts w:ascii="Calibri" w:hAnsi="Calibri" w:cs="Calibri"/>
        </w:rPr>
        <w:t>Art. 80.  A multa diária de que trata o art. 132 da parte geral da Resolução não se aplica ao atraso no envio do informe diário, podendo a CVM apurar a responsabilidade do administrador, nos termos do art. 11 da Lei nº 6.385, de 1976, caso a informação não seja encaminhada no prazo aplicável, de acordo com o disposto no art. 24, inciso I, deste Anexo Normativo I.</w:t>
      </w:r>
    </w:p>
    <w:p w14:paraId="26BC271B" w14:textId="77777777" w:rsidR="00931F83" w:rsidRDefault="00C20BBD">
      <w:pPr>
        <w:spacing w:after="160" w:line="259" w:lineRule="auto"/>
        <w:rPr>
          <w:rFonts w:asciiTheme="minorHAnsi" w:hAnsiTheme="minorHAnsi" w:cstheme="minorHAnsi"/>
          <w:b/>
          <w:sz w:val="24"/>
          <w:szCs w:val="24"/>
        </w:rPr>
        <w:sectPr w:rsidR="00931F83" w:rsidSect="002A08BD">
          <w:headerReference w:type="default" r:id="rId15"/>
          <w:footerReference w:type="first" r:id="rId16"/>
          <w:pgSz w:w="11906" w:h="16838"/>
          <w:pgMar w:top="2268" w:right="567" w:bottom="851" w:left="1134" w:header="709" w:footer="709" w:gutter="0"/>
          <w:cols w:space="708"/>
          <w:titlePg/>
          <w:docGrid w:linePitch="360"/>
        </w:sectPr>
      </w:pPr>
      <w:r w:rsidRPr="0097459F">
        <w:rPr>
          <w:rFonts w:asciiTheme="minorHAnsi" w:hAnsiTheme="minorHAnsi" w:cstheme="minorHAnsi"/>
          <w:b/>
          <w:sz w:val="24"/>
          <w:szCs w:val="24"/>
        </w:rPr>
        <w:br w:type="page"/>
      </w:r>
    </w:p>
    <w:p w14:paraId="40F0087F" w14:textId="77777777" w:rsidR="00C20BBD" w:rsidRPr="0097459F" w:rsidRDefault="00C20BBD" w:rsidP="00C20BBD">
      <w:pPr>
        <w:pStyle w:val="TtulodaResoluo"/>
        <w:ind w:firstLine="709"/>
      </w:pPr>
      <w:bookmarkStart w:id="557" w:name="_Toc57836275"/>
      <w:bookmarkStart w:id="558" w:name="_Toc161141287"/>
      <w:r w:rsidRPr="0097459F">
        <w:lastRenderedPageBreak/>
        <w:t>ANEXO NORMATIVO II – FUNDOS DE INVESTIMENTO EM DIREITOS CREDITÓRIOS</w:t>
      </w:r>
      <w:bookmarkEnd w:id="557"/>
      <w:bookmarkEnd w:id="558"/>
    </w:p>
    <w:p w14:paraId="5382C242" w14:textId="77777777" w:rsidR="00C20BBD" w:rsidRPr="0097459F" w:rsidRDefault="00C20BBD" w:rsidP="00C20BBD">
      <w:pPr>
        <w:pStyle w:val="Ementa"/>
        <w:spacing w:after="360"/>
        <w:ind w:left="4678"/>
      </w:pPr>
      <w:r w:rsidRPr="0097459F">
        <w:t>Dispõe sobre as regras específicas para os fundos de investimento em direitos creditórios.</w:t>
      </w:r>
    </w:p>
    <w:p w14:paraId="5A633AD0" w14:textId="5B6E61E6" w:rsidR="00C20BBD" w:rsidRPr="0097459F" w:rsidRDefault="00C20BBD" w:rsidP="00C20BBD">
      <w:pPr>
        <w:pStyle w:val="Captulo"/>
        <w:ind w:firstLine="709"/>
      </w:pPr>
      <w:bookmarkStart w:id="559" w:name="_Toc53594514"/>
      <w:bookmarkStart w:id="560" w:name="_Toc53595539"/>
      <w:bookmarkStart w:id="561" w:name="_Toc53594266"/>
      <w:bookmarkStart w:id="562" w:name="_Toc57836276"/>
      <w:bookmarkStart w:id="563" w:name="_Hlk515359485"/>
      <w:bookmarkStart w:id="564" w:name="_Toc161141288"/>
      <w:r w:rsidRPr="0097459F">
        <w:t>CAPÍTULO I – ÂMBITO e FINALIDADE</w:t>
      </w:r>
      <w:bookmarkEnd w:id="559"/>
      <w:bookmarkEnd w:id="560"/>
      <w:bookmarkEnd w:id="561"/>
      <w:bookmarkEnd w:id="562"/>
      <w:bookmarkEnd w:id="564"/>
    </w:p>
    <w:p w14:paraId="2BD4196D" w14:textId="4293D0F0" w:rsidR="00C20BBD" w:rsidRPr="0097459F" w:rsidRDefault="00C20BBD" w:rsidP="00C20BBD">
      <w:pPr>
        <w:pStyle w:val="Ementa"/>
        <w:ind w:left="0" w:firstLine="709"/>
      </w:pPr>
      <w:r w:rsidRPr="0097459F">
        <w:t>Art. 1</w:t>
      </w:r>
      <w:proofErr w:type="gramStart"/>
      <w:r w:rsidRPr="0097459F">
        <w:t>º  Este</w:t>
      </w:r>
      <w:proofErr w:type="gramEnd"/>
      <w:r w:rsidRPr="0097459F">
        <w:t xml:space="preserve"> </w:t>
      </w:r>
      <w:r w:rsidR="00FB1127" w:rsidRPr="0097459F">
        <w:t xml:space="preserve">Anexo Normativo II </w:t>
      </w:r>
      <w:r w:rsidRPr="0097459F">
        <w:t>à Resolução CVM nº 175 (“Resolução”) dispõe sobre as regras específicas para os fundos de investimento em direitos creditórios – FIDC.</w:t>
      </w:r>
    </w:p>
    <w:p w14:paraId="02E0389A" w14:textId="754659CB" w:rsidR="00C20BBD" w:rsidRPr="0097459F" w:rsidRDefault="00C20BBD" w:rsidP="00C20BBD">
      <w:pPr>
        <w:pStyle w:val="Captulo"/>
        <w:ind w:firstLine="709"/>
      </w:pPr>
      <w:bookmarkStart w:id="565" w:name="_Toc53594267"/>
      <w:bookmarkStart w:id="566" w:name="_Toc53594515"/>
      <w:bookmarkStart w:id="567" w:name="_Toc53595540"/>
      <w:bookmarkStart w:id="568" w:name="_Toc57836277"/>
      <w:bookmarkStart w:id="569" w:name="_Toc161141289"/>
      <w:r w:rsidRPr="0097459F">
        <w:t>CAPÍTULO II – DEFINIÇÕES</w:t>
      </w:r>
      <w:bookmarkEnd w:id="565"/>
      <w:bookmarkEnd w:id="566"/>
      <w:bookmarkEnd w:id="567"/>
      <w:bookmarkEnd w:id="568"/>
      <w:bookmarkEnd w:id="569"/>
    </w:p>
    <w:p w14:paraId="6EE822CA" w14:textId="2CBE8547" w:rsidR="00C20BBD" w:rsidRPr="0097459F" w:rsidRDefault="00C20BBD" w:rsidP="00C20BBD">
      <w:pPr>
        <w:pStyle w:val="Normalalteradora"/>
        <w:ind w:firstLine="709"/>
      </w:pPr>
      <w:r w:rsidRPr="0097459F">
        <w:t>Art. 2</w:t>
      </w:r>
      <w:proofErr w:type="gramStart"/>
      <w:r w:rsidRPr="0097459F">
        <w:t>º  Para</w:t>
      </w:r>
      <w:proofErr w:type="gramEnd"/>
      <w:r w:rsidRPr="0097459F">
        <w:t xml:space="preserve"> fins deste </w:t>
      </w:r>
      <w:r w:rsidR="00FB1127" w:rsidRPr="0097459F">
        <w:t>Anexo Normativo II</w:t>
      </w:r>
      <w:r w:rsidRPr="0097459F">
        <w:t>, entende-se por:</w:t>
      </w:r>
    </w:p>
    <w:p w14:paraId="5A8B9E16" w14:textId="77777777" w:rsidR="00C20BBD" w:rsidRPr="0097459F" w:rsidRDefault="00C20BBD" w:rsidP="00C20BBD">
      <w:pPr>
        <w:pStyle w:val="Normalalteradora"/>
        <w:ind w:firstLine="709"/>
      </w:pPr>
      <w:r w:rsidRPr="0097459F">
        <w:t xml:space="preserve">I – </w:t>
      </w:r>
      <w:proofErr w:type="gramStart"/>
      <w:r w:rsidRPr="0097459F">
        <w:t>agente</w:t>
      </w:r>
      <w:proofErr w:type="gramEnd"/>
      <w:r w:rsidRPr="0097459F">
        <w:t xml:space="preserve"> de cobrança: prestador de serviço contratado para cobrar e receber direitos creditórios vencidos e não pagos;</w:t>
      </w:r>
    </w:p>
    <w:p w14:paraId="393CA8C1" w14:textId="77777777" w:rsidR="00C20BBD" w:rsidRPr="0097459F" w:rsidRDefault="00C20BBD" w:rsidP="00C20BBD">
      <w:pPr>
        <w:pStyle w:val="Normalalteradora"/>
        <w:ind w:firstLine="709"/>
      </w:pPr>
      <w:r w:rsidRPr="0097459F">
        <w:t xml:space="preserve">II – </w:t>
      </w:r>
      <w:proofErr w:type="gramStart"/>
      <w:r w:rsidRPr="0097459F">
        <w:t>ativos</w:t>
      </w:r>
      <w:proofErr w:type="gramEnd"/>
      <w:r w:rsidRPr="0097459F">
        <w:t xml:space="preserve"> financeiros de liquidez:</w:t>
      </w:r>
    </w:p>
    <w:p w14:paraId="6722CA21" w14:textId="77777777" w:rsidR="00C20BBD" w:rsidRPr="0097459F" w:rsidRDefault="00C20BBD" w:rsidP="00C20BBD">
      <w:pPr>
        <w:pStyle w:val="Normalalteradora"/>
        <w:ind w:firstLine="709"/>
      </w:pPr>
      <w:r w:rsidRPr="0097459F">
        <w:t>a) títulos públicos federais;</w:t>
      </w:r>
    </w:p>
    <w:p w14:paraId="3CB141E9" w14:textId="77777777" w:rsidR="00C20BBD" w:rsidRPr="0097459F" w:rsidRDefault="00C20BBD" w:rsidP="00C20BBD">
      <w:pPr>
        <w:pStyle w:val="Normalalteradora"/>
        <w:ind w:firstLine="709"/>
      </w:pPr>
      <w:r w:rsidRPr="0097459F">
        <w:t>b) ativos financeiros de renda fixa de emissão ou coobrigação de instituições financeiras;</w:t>
      </w:r>
    </w:p>
    <w:p w14:paraId="773A4D06" w14:textId="77777777" w:rsidR="00C20BBD" w:rsidRPr="0097459F" w:rsidRDefault="00C20BBD" w:rsidP="00C20BBD">
      <w:pPr>
        <w:pStyle w:val="Normalalteradora"/>
        <w:ind w:firstLine="709"/>
      </w:pPr>
      <w:r w:rsidRPr="0097459F">
        <w:t>c) operações compromissadas lastreadas nos ativos referidos nas alíneas “a” e “b”; e</w:t>
      </w:r>
    </w:p>
    <w:p w14:paraId="12A9E707" w14:textId="1F974219" w:rsidR="00C20BBD" w:rsidRPr="0097459F" w:rsidRDefault="00C20BBD" w:rsidP="00C20BBD">
      <w:pPr>
        <w:pStyle w:val="Normalalteradora"/>
        <w:ind w:firstLine="709"/>
      </w:pPr>
      <w:r w:rsidRPr="0097459F">
        <w:t>d) cotas de classes que invistam exclusivamente nos ativos referidos</w:t>
      </w:r>
      <w:r w:rsidR="00912C5B">
        <w:t xml:space="preserve"> nas alíneas “a” a “c”</w:t>
      </w:r>
      <w:r w:rsidRPr="0097459F">
        <w:t>;</w:t>
      </w:r>
    </w:p>
    <w:p w14:paraId="1B10B729" w14:textId="77777777" w:rsidR="00C20BBD" w:rsidRPr="0097459F" w:rsidRDefault="00C20BBD" w:rsidP="00C20BBD">
      <w:pPr>
        <w:pStyle w:val="Normalalteradora"/>
        <w:ind w:firstLine="709"/>
      </w:pPr>
      <w:r w:rsidRPr="0097459F">
        <w:t>III – carteira (de ativos): conjunto de direitos creditórios, ativos financeiros de liquidez, derivativos e disponibilidades da classe de cotas;</w:t>
      </w:r>
    </w:p>
    <w:p w14:paraId="6B4F5B89" w14:textId="77777777" w:rsidR="00C20BBD" w:rsidRPr="0097459F" w:rsidRDefault="00C20BBD" w:rsidP="00C20BBD">
      <w:pPr>
        <w:pStyle w:val="Normalalteradora"/>
        <w:ind w:firstLine="709"/>
      </w:pPr>
      <w:r w:rsidRPr="0097459F">
        <w:t xml:space="preserve">IV – </w:t>
      </w:r>
      <w:proofErr w:type="gramStart"/>
      <w:r w:rsidRPr="0097459F">
        <w:t>cedente</w:t>
      </w:r>
      <w:proofErr w:type="gramEnd"/>
      <w:r w:rsidRPr="0097459F">
        <w:t>: aquele que realiza cessão de direitos creditórios para o FIDC;</w:t>
      </w:r>
    </w:p>
    <w:p w14:paraId="5E778716" w14:textId="77777777" w:rsidR="00C20BBD" w:rsidRPr="0097459F" w:rsidRDefault="00C20BBD" w:rsidP="00C20BBD">
      <w:pPr>
        <w:pStyle w:val="Normalalteradora"/>
        <w:ind w:firstLine="709"/>
      </w:pPr>
      <w:r w:rsidRPr="0097459F">
        <w:t xml:space="preserve">V – </w:t>
      </w:r>
      <w:proofErr w:type="gramStart"/>
      <w:r w:rsidRPr="0097459F">
        <w:t>cessão</w:t>
      </w:r>
      <w:proofErr w:type="gramEnd"/>
      <w:r w:rsidRPr="0097459F">
        <w:t xml:space="preserve"> (de direitos creditórios): a transferência pelo cedente, credor originário ou não, de direitos creditórios para o FIDC, mantendo-se inalterados os demais elementos da relação obrigacional;</w:t>
      </w:r>
    </w:p>
    <w:p w14:paraId="2A863B9F" w14:textId="77777777" w:rsidR="00C20BBD" w:rsidRPr="0097459F" w:rsidRDefault="00C20BBD" w:rsidP="00C20BBD">
      <w:pPr>
        <w:pStyle w:val="Normalalteradora"/>
        <w:ind w:firstLine="709"/>
      </w:pPr>
      <w:r w:rsidRPr="0097459F">
        <w:t xml:space="preserve">VI – </w:t>
      </w:r>
      <w:proofErr w:type="gramStart"/>
      <w:r w:rsidRPr="0097459F">
        <w:t>classe</w:t>
      </w:r>
      <w:proofErr w:type="gramEnd"/>
      <w:r w:rsidRPr="0097459F">
        <w:t xml:space="preserve"> de investimento em cotas: classe de cotas </w:t>
      </w:r>
      <w:r w:rsidRPr="0097459F">
        <w:rPr>
          <w:rStyle w:val="normaltextrun"/>
          <w:rFonts w:ascii="Calibri" w:hAnsi="Calibri" w:cs="Calibri"/>
          <w:color w:val="000000"/>
          <w:shd w:val="clear" w:color="auto" w:fill="FFFFFF"/>
        </w:rPr>
        <w:t>que deve aplicar no mínimo 67% (sessenta e sete por cento) do patrimônio líquido em cotas de outros FIDC</w:t>
      </w:r>
      <w:r w:rsidRPr="0097459F">
        <w:t>;</w:t>
      </w:r>
    </w:p>
    <w:p w14:paraId="7AAA1A6D" w14:textId="77777777" w:rsidR="00C20BBD" w:rsidRPr="0097459F" w:rsidRDefault="00C20BBD" w:rsidP="00C20BBD">
      <w:pPr>
        <w:pStyle w:val="Normalalteradora"/>
        <w:ind w:firstLine="709"/>
      </w:pPr>
      <w:r w:rsidRPr="0097459F">
        <w:t>VII – conta-vinculada: conta especial instituída pelas partes junto a instituição financeira ou de pagamento, sob contrato, destinada a receber pagamentos dos devedores e manter os recursos em custódia, para liberação caso satisfeitos determinados requisitos, a serem atestados pelo administrador, entidade registradora ou custodiante, conforme o caso;</w:t>
      </w:r>
    </w:p>
    <w:p w14:paraId="6AC4B55E" w14:textId="77777777" w:rsidR="00C20BBD" w:rsidRPr="0097459F" w:rsidRDefault="00C20BBD" w:rsidP="00C20BBD">
      <w:pPr>
        <w:pStyle w:val="Normalalteradora"/>
        <w:ind w:firstLine="709"/>
      </w:pPr>
      <w:r w:rsidRPr="0097459F">
        <w:lastRenderedPageBreak/>
        <w:t>VIII – cota de subclasse sênior (“cota sênior”): cota de emissão de subclasse que não se subordina a qualquer outra subclasse para fins de amortização e resgate;</w:t>
      </w:r>
    </w:p>
    <w:p w14:paraId="176EB509" w14:textId="77777777" w:rsidR="00C20BBD" w:rsidRPr="0097459F" w:rsidRDefault="00C20BBD" w:rsidP="00C20BBD">
      <w:pPr>
        <w:pStyle w:val="Normalalteradora"/>
        <w:ind w:firstLine="709"/>
      </w:pPr>
      <w:r w:rsidRPr="0097459F">
        <w:t xml:space="preserve">IX – cota de subclasse subordinada mezanino </w:t>
      </w:r>
      <w:proofErr w:type="gramStart"/>
      <w:r w:rsidRPr="0097459F">
        <w:t>(”cota</w:t>
      </w:r>
      <w:proofErr w:type="gramEnd"/>
      <w:r w:rsidRPr="0097459F">
        <w:t xml:space="preserve"> subordinada mezanino”): cota de emissão de subclasse que, simultaneamente, se subordina a outra(s) subclasse(s) para fins de amortização e resgate e possui outra(s) subclasse(s) como subordinada(s) para os mesmos fins;</w:t>
      </w:r>
    </w:p>
    <w:p w14:paraId="0D23E4AD" w14:textId="77777777" w:rsidR="00C20BBD" w:rsidRPr="0097459F" w:rsidRDefault="00C20BBD" w:rsidP="00C20BBD">
      <w:pPr>
        <w:pStyle w:val="Normalalteradora"/>
        <w:ind w:firstLine="709"/>
      </w:pPr>
      <w:r w:rsidRPr="0097459F">
        <w:t xml:space="preserve">X – </w:t>
      </w:r>
      <w:proofErr w:type="gramStart"/>
      <w:r w:rsidRPr="0097459F">
        <w:t>cota</w:t>
      </w:r>
      <w:proofErr w:type="gramEnd"/>
      <w:r w:rsidRPr="0097459F">
        <w:t xml:space="preserve"> de subclasse subordinada (“cota subordinada”): cota de emissão de subclasse que se subordina a todas as demais subclasses para fins de amortização e resgate;</w:t>
      </w:r>
    </w:p>
    <w:p w14:paraId="3508827C" w14:textId="77777777" w:rsidR="00C20BBD" w:rsidRPr="0097459F" w:rsidRDefault="00C20BBD" w:rsidP="00C20BBD">
      <w:pPr>
        <w:pStyle w:val="Normalalteradora"/>
        <w:ind w:firstLine="709"/>
      </w:pPr>
      <w:r w:rsidRPr="0097459F">
        <w:t>XI – devedor: pessoa natural ou jurídica, ente despersonalizado ou patrimônio separado na forma da lei, obrigado ou coobrigado pela liquidação de ativos da carteira de direitos creditórios;</w:t>
      </w:r>
    </w:p>
    <w:p w14:paraId="2282AD62" w14:textId="77777777" w:rsidR="00C20BBD" w:rsidRPr="0097459F" w:rsidRDefault="00C20BBD" w:rsidP="00C20BBD">
      <w:pPr>
        <w:pStyle w:val="Normalalteradora"/>
        <w:ind w:firstLine="709"/>
      </w:pPr>
      <w:r w:rsidRPr="0097459F">
        <w:t>XII – direitos creditórios:</w:t>
      </w:r>
    </w:p>
    <w:p w14:paraId="0A425661" w14:textId="77777777" w:rsidR="00C20BBD" w:rsidRPr="0097459F" w:rsidRDefault="00C20BBD" w:rsidP="00C20BBD">
      <w:pPr>
        <w:pStyle w:val="Normalalteradora"/>
        <w:ind w:firstLine="709"/>
      </w:pPr>
      <w:r w:rsidRPr="0097459F">
        <w:t xml:space="preserve">a) direitos e títulos representativos de crédito; </w:t>
      </w:r>
    </w:p>
    <w:p w14:paraId="2DF88F8C" w14:textId="77777777" w:rsidR="00C20BBD" w:rsidRPr="0097459F" w:rsidRDefault="00C20BBD" w:rsidP="00C20BBD">
      <w:pPr>
        <w:pStyle w:val="Normalalteradora"/>
        <w:ind w:firstLine="709"/>
      </w:pPr>
      <w:r w:rsidRPr="0097459F">
        <w:t>b) valores mobiliários representativos de crédito;</w:t>
      </w:r>
    </w:p>
    <w:p w14:paraId="33A7AC33" w14:textId="77777777" w:rsidR="00C20BBD" w:rsidRPr="0097459F" w:rsidRDefault="00C20BBD" w:rsidP="00C20BBD">
      <w:pPr>
        <w:pStyle w:val="Normalalteradora"/>
        <w:ind w:firstLine="709"/>
      </w:pPr>
      <w:r w:rsidRPr="0097459F">
        <w:t>c) certificados de recebíveis e outros valores mobiliários representativos de operações de securitização, que não sejam lastreados em direitos creditórios não-padronizados; e</w:t>
      </w:r>
    </w:p>
    <w:p w14:paraId="4285FF29" w14:textId="77777777" w:rsidR="00C20BBD" w:rsidRPr="0097459F" w:rsidRDefault="00C20BBD" w:rsidP="00C20BBD">
      <w:pPr>
        <w:pStyle w:val="Normalalteradora"/>
        <w:ind w:firstLine="709"/>
      </w:pPr>
      <w:r w:rsidRPr="0097459F">
        <w:t>d) por equiparação, cotas de FIDC;</w:t>
      </w:r>
    </w:p>
    <w:p w14:paraId="299AB18C" w14:textId="77777777" w:rsidR="00C20BBD" w:rsidRPr="0097459F" w:rsidRDefault="00C20BBD" w:rsidP="00C20BBD">
      <w:pPr>
        <w:pStyle w:val="Normalalteradora"/>
        <w:ind w:firstLine="709"/>
      </w:pPr>
      <w:r w:rsidRPr="0097459F">
        <w:t>XIII – direitos creditórios não-padronizados: direitos creditórios que possuam ao menos uma das seguintes características:</w:t>
      </w:r>
    </w:p>
    <w:p w14:paraId="2E99FFAF" w14:textId="77777777" w:rsidR="00C20BBD" w:rsidRPr="0097459F" w:rsidRDefault="00C20BBD" w:rsidP="00C20BBD">
      <w:pPr>
        <w:pStyle w:val="Normalalteradora"/>
        <w:ind w:firstLine="709"/>
      </w:pPr>
      <w:r w:rsidRPr="0097459F">
        <w:t>a) estejam vencidos e pendentes de pagamento quando da cessão;</w:t>
      </w:r>
    </w:p>
    <w:p w14:paraId="64F29C69" w14:textId="77777777" w:rsidR="00C20BBD" w:rsidRPr="0097459F" w:rsidRDefault="00C20BBD" w:rsidP="00C20BBD">
      <w:pPr>
        <w:pStyle w:val="Normalalteradora"/>
        <w:ind w:firstLine="709"/>
      </w:pPr>
      <w:r w:rsidRPr="0097459F">
        <w:t>b) decorrentes de receitas públicas originárias ou derivadas da União, dos Estados, do Distrito Federal e dos Municípios, bem como de suas autarquias e fundações;</w:t>
      </w:r>
    </w:p>
    <w:p w14:paraId="4A675F0E" w14:textId="6BC2AC65" w:rsidR="00C20BBD" w:rsidRPr="0097459F" w:rsidRDefault="00C20BBD" w:rsidP="00C20BBD">
      <w:pPr>
        <w:pStyle w:val="Normalalteradora"/>
        <w:ind w:firstLine="709"/>
      </w:pPr>
      <w:r w:rsidRPr="0097459F">
        <w:t>c) resultem de ações judiciais ou procedimentos arbitrais em curso, constituam seu objeto de litígio, tenham sido judicialmente penhorados ou dados em garantia;</w:t>
      </w:r>
    </w:p>
    <w:p w14:paraId="7AB68009" w14:textId="77777777" w:rsidR="00C20BBD" w:rsidRPr="0097459F" w:rsidRDefault="00C20BBD" w:rsidP="00C20BBD">
      <w:pPr>
        <w:pStyle w:val="Normalalteradora"/>
        <w:ind w:firstLine="709"/>
      </w:pPr>
      <w:r w:rsidRPr="0097459F">
        <w:t>d) a constituição ou validade jurídica da cessão para a classe de cotas seja considerada um fator preponderante de risco;</w:t>
      </w:r>
    </w:p>
    <w:p w14:paraId="465AE54F" w14:textId="77777777" w:rsidR="00C20BBD" w:rsidRPr="0097459F" w:rsidRDefault="00C20BBD" w:rsidP="00C20BBD">
      <w:pPr>
        <w:pStyle w:val="Normalalteradora"/>
        <w:ind w:firstLine="709"/>
      </w:pPr>
      <w:r w:rsidRPr="0097459F">
        <w:t>e) o devedor ou coobrigado seja sociedade empresária em recuperação judicial ou extrajudicial;</w:t>
      </w:r>
    </w:p>
    <w:p w14:paraId="281BF446" w14:textId="769D2BB7" w:rsidR="00C20BBD" w:rsidRPr="0097459F" w:rsidRDefault="00C20BBD" w:rsidP="00C20BBD">
      <w:pPr>
        <w:pStyle w:val="Normalalteradora"/>
        <w:ind w:firstLine="709"/>
      </w:pPr>
      <w:r w:rsidRPr="0097459F">
        <w:lastRenderedPageBreak/>
        <w:t xml:space="preserve">f) sejam cedidos por sociedade empresária em recuperação judicial ou extrajudicial, ressalvado o disposto no inciso I do </w:t>
      </w:r>
      <w:r w:rsidR="007335FD">
        <w:t>§ 1º</w:t>
      </w:r>
      <w:r w:rsidRPr="0097459F">
        <w:t>;</w:t>
      </w:r>
    </w:p>
    <w:p w14:paraId="5376DC79" w14:textId="77777777" w:rsidR="00C20BBD" w:rsidRPr="0097459F" w:rsidRDefault="00C20BBD" w:rsidP="00C20BBD">
      <w:pPr>
        <w:pStyle w:val="Normalalteradora"/>
        <w:ind w:firstLine="709"/>
      </w:pPr>
      <w:r w:rsidRPr="0097459F">
        <w:t>g) sejam de existência futura e montante desconhecido, desde que emergentes de relações já constituídas;</w:t>
      </w:r>
    </w:p>
    <w:p w14:paraId="11F4ECE5" w14:textId="77777777" w:rsidR="00C20BBD" w:rsidRPr="0097459F" w:rsidRDefault="00C20BBD" w:rsidP="00C20BBD">
      <w:pPr>
        <w:pStyle w:val="Normalalteradora"/>
        <w:ind w:firstLine="709"/>
      </w:pPr>
      <w:r w:rsidRPr="0097459F">
        <w:t>h) derivativos de crédito, quando não utilizados para proteção ou mitigação de risco de direitos creditórios; ou</w:t>
      </w:r>
    </w:p>
    <w:p w14:paraId="7C30C5FC" w14:textId="36118EE3" w:rsidR="00C20BBD" w:rsidRPr="0097459F" w:rsidRDefault="00C20BBD" w:rsidP="00C20BBD">
      <w:pPr>
        <w:pStyle w:val="Normalalteradora"/>
        <w:ind w:firstLine="709"/>
      </w:pPr>
      <w:r w:rsidRPr="0097459F">
        <w:t xml:space="preserve">i) cotas de FIDC que invistam nos direitos creditórios referidos nas alíneas </w:t>
      </w:r>
      <w:r w:rsidR="0061662E">
        <w:t>“a” a “h”</w:t>
      </w:r>
      <w:r w:rsidRPr="0097459F">
        <w:t>;</w:t>
      </w:r>
    </w:p>
    <w:p w14:paraId="5E24DE57" w14:textId="77777777" w:rsidR="009B0AA9" w:rsidRPr="0097459F" w:rsidRDefault="009B0AA9" w:rsidP="009B0AA9">
      <w:pPr>
        <w:pStyle w:val="Normalalteradora"/>
        <w:ind w:firstLine="709"/>
      </w:pPr>
      <w:r w:rsidRPr="0097459F">
        <w:t>XIV – índice referencial: índice quantitativo utilizado para calcular a meta de valorização de uma subclasse de cotas de classe fechada ou de uma série de cotas seniores;</w:t>
      </w:r>
    </w:p>
    <w:p w14:paraId="47728D91" w14:textId="77777777" w:rsidR="009B0AA9" w:rsidRPr="0097459F" w:rsidRDefault="009B0AA9" w:rsidP="009B0AA9">
      <w:pPr>
        <w:pStyle w:val="Normalalteradora"/>
        <w:ind w:firstLine="709"/>
      </w:pPr>
      <w:r w:rsidRPr="0097459F">
        <w:t>XV – índice de subordinação: relação mínima que deve ser observada entre o valor de uma subclasse de cotas subordinadas ou subordinadas mezanino e o patrimônio líquido da classe;</w:t>
      </w:r>
    </w:p>
    <w:p w14:paraId="14C4B549" w14:textId="35E34FCE" w:rsidR="00C20BBD" w:rsidRPr="0097459F" w:rsidRDefault="00C20BBD" w:rsidP="00C20BBD">
      <w:pPr>
        <w:pStyle w:val="Normalalteradora"/>
        <w:ind w:firstLine="709"/>
      </w:pPr>
      <w:r w:rsidRPr="0097459F">
        <w:t xml:space="preserve">XVI – lâmina (de informações básicas): documento referido no art. 18 deste </w:t>
      </w:r>
      <w:r w:rsidR="00FB1127" w:rsidRPr="0097459F">
        <w:t>Anexo Normativo II</w:t>
      </w:r>
      <w:r w:rsidRPr="0097459F">
        <w:t xml:space="preserve"> e cujo modelo constitui o Suplemento </w:t>
      </w:r>
      <w:r w:rsidR="00DC43FD" w:rsidRPr="0097459F">
        <w:t>E</w:t>
      </w:r>
      <w:r w:rsidRPr="0097459F">
        <w:t xml:space="preserve"> </w:t>
      </w:r>
      <w:r w:rsidR="00D10ACB" w:rsidRPr="0097459F">
        <w:t xml:space="preserve">ou Suplemento F </w:t>
      </w:r>
      <w:r w:rsidRPr="0097459F">
        <w:t>da Resolução</w:t>
      </w:r>
      <w:r w:rsidR="00D10ACB" w:rsidRPr="0097459F">
        <w:t>, conforme o caso</w:t>
      </w:r>
      <w:r w:rsidRPr="0097459F">
        <w:t>;</w:t>
      </w:r>
    </w:p>
    <w:p w14:paraId="596B6C44" w14:textId="77777777" w:rsidR="00C20BBD" w:rsidRPr="0097459F" w:rsidRDefault="00C20BBD" w:rsidP="00C20BBD">
      <w:pPr>
        <w:pStyle w:val="Normalalteradora"/>
        <w:ind w:firstLine="709"/>
      </w:pPr>
      <w:r w:rsidRPr="0097459F">
        <w:t>XVII – lastro dos direitos creditórios: documentação necessária para o exercício das prerrogativas decorrentes da titularidade dos ativos, e capaz de comprovar a origem, a existência e a exigibilidade do direito creditório, sem prejuízo das hipóteses de aquisição de direitos creditórios não-performados;</w:t>
      </w:r>
    </w:p>
    <w:p w14:paraId="092546C5" w14:textId="77777777" w:rsidR="00C20BBD" w:rsidRPr="0097459F" w:rsidRDefault="00C20BBD" w:rsidP="00C20BBD">
      <w:pPr>
        <w:pStyle w:val="Normalalteradora"/>
        <w:ind w:firstLine="709"/>
      </w:pPr>
      <w:r w:rsidRPr="0097459F">
        <w:t>XVIII – originador: agente que atua na concessão primária do crédito, concorrendo diretamente para a formação do direito creditório, o que inclui aqueles que atuam na qualidade de representante ou mandatário de uma das contrapartes da operação de crédito, observado que o conceito alcança os agentes que mantêm a relação comercial com o devedor quando da concessão do crédito, mas não fica limitado a esses agentes;</w:t>
      </w:r>
    </w:p>
    <w:p w14:paraId="7618B3C7" w14:textId="77777777" w:rsidR="00C20BBD" w:rsidRPr="0097459F" w:rsidRDefault="00C20BBD" w:rsidP="00C20BBD">
      <w:pPr>
        <w:pStyle w:val="Normalalteradora"/>
        <w:ind w:firstLine="709"/>
      </w:pPr>
      <w:r w:rsidRPr="0097459F">
        <w:t>XIX – partes relacionadas: tal como definidas pelas regras contábeis expedidas pela CVM que tratam dessa matéria;</w:t>
      </w:r>
    </w:p>
    <w:p w14:paraId="2CB5CCAF" w14:textId="77777777" w:rsidR="00C20BBD" w:rsidRPr="0097459F" w:rsidRDefault="00C20BBD" w:rsidP="00C20BBD">
      <w:pPr>
        <w:pStyle w:val="Normalalteradora"/>
        <w:ind w:firstLine="709"/>
      </w:pPr>
      <w:r w:rsidRPr="0097459F">
        <w:t xml:space="preserve">XX – </w:t>
      </w:r>
      <w:proofErr w:type="gramStart"/>
      <w:r w:rsidRPr="0097459F">
        <w:t>registro</w:t>
      </w:r>
      <w:proofErr w:type="gramEnd"/>
      <w:r w:rsidRPr="0097459F">
        <w:t xml:space="preserve"> de direitos creditórios: serviço de registro prestado sob o amparo da regulamentação específica do Conselho Monetário Nacional e do Banco Central do Brasil;</w:t>
      </w:r>
    </w:p>
    <w:p w14:paraId="557A24EC" w14:textId="77777777" w:rsidR="00C20BBD" w:rsidRPr="0097459F" w:rsidRDefault="00C20BBD" w:rsidP="00C20BBD">
      <w:pPr>
        <w:pStyle w:val="Normalalteradora"/>
        <w:ind w:firstLine="709"/>
      </w:pPr>
      <w:r w:rsidRPr="0097459F">
        <w:lastRenderedPageBreak/>
        <w:t xml:space="preserve">XXI - retenção de risco: qualquer obrigação contratual ou mecanismo existente no âmbito da operação de securitização, por meio do qual o cedente ou terceiro retenha, total ou parcialmente, o risco de crédito decorrente da exposição à variação do fluxo de caixa dos direitos creditórios da carteira; </w:t>
      </w:r>
    </w:p>
    <w:p w14:paraId="49E75949" w14:textId="77777777" w:rsidR="00C20BBD" w:rsidRPr="0097459F" w:rsidRDefault="00C20BBD" w:rsidP="00C20BBD">
      <w:pPr>
        <w:pStyle w:val="Normalalteradora"/>
        <w:ind w:firstLine="709"/>
      </w:pPr>
      <w:r w:rsidRPr="0097459F">
        <w:t xml:space="preserve">XXII – </w:t>
      </w:r>
      <w:proofErr w:type="spellStart"/>
      <w:r w:rsidRPr="0097459F">
        <w:t>revolvência</w:t>
      </w:r>
      <w:proofErr w:type="spellEnd"/>
      <w:r w:rsidRPr="0097459F">
        <w:t xml:space="preserve"> (de direitos creditórios): a aquisição de novos direitos creditórios com a utilização de recursos financeiros originados na carteira de direitos creditórios;</w:t>
      </w:r>
    </w:p>
    <w:p w14:paraId="4B592068" w14:textId="77777777" w:rsidR="00C20BBD" w:rsidRPr="0097459F" w:rsidRDefault="00C20BBD" w:rsidP="00C20BBD">
      <w:pPr>
        <w:pStyle w:val="Normalalteradora"/>
        <w:ind w:firstLine="709"/>
      </w:pPr>
      <w:r w:rsidRPr="0097459F">
        <w:t>XXIII – séries: subconjuntos de cotas sênior das classes fechadas, podendo ser diferenciados exclusivamente pelos prazos e condições de amortização e pelo índice referencial;</w:t>
      </w:r>
    </w:p>
    <w:p w14:paraId="353D1C49" w14:textId="77777777" w:rsidR="00C20BBD" w:rsidRPr="0097459F" w:rsidRDefault="00C20BBD" w:rsidP="00C20BBD">
      <w:pPr>
        <w:pStyle w:val="Normalalteradora"/>
        <w:ind w:firstLine="709"/>
      </w:pPr>
      <w:r w:rsidRPr="0097459F">
        <w:t>XXIV – taxa de performance: taxa cobrada do fundo em função do resultado da classe ou do cotista; e</w:t>
      </w:r>
    </w:p>
    <w:p w14:paraId="0472E295" w14:textId="77777777" w:rsidR="00C20BBD" w:rsidRPr="0097459F" w:rsidRDefault="00C20BBD" w:rsidP="00C20BBD">
      <w:pPr>
        <w:pStyle w:val="Normalalteradora"/>
        <w:ind w:firstLine="709"/>
      </w:pPr>
      <w:r w:rsidRPr="0097459F">
        <w:rPr>
          <w:rStyle w:val="normaltextrun"/>
          <w:rFonts w:ascii="Calibri" w:hAnsi="Calibri" w:cs="Calibri"/>
          <w:color w:val="000000"/>
          <w:shd w:val="clear" w:color="auto" w:fill="FFFFFF"/>
        </w:rPr>
        <w:t>XXV – termo de adesão (e ciência de risco): documento referido no art. 29 da parte geral da Resolução.</w:t>
      </w:r>
    </w:p>
    <w:p w14:paraId="466B1B3C" w14:textId="77777777" w:rsidR="00C20BBD" w:rsidRPr="0097459F" w:rsidRDefault="00C20BBD" w:rsidP="00C20BBD">
      <w:pPr>
        <w:pStyle w:val="Normalalteradora"/>
        <w:ind w:firstLine="709"/>
      </w:pPr>
      <w:r w:rsidRPr="0097459F">
        <w:t>§ 1</w:t>
      </w:r>
      <w:proofErr w:type="gramStart"/>
      <w:r w:rsidRPr="0097459F">
        <w:t>º  Não</w:t>
      </w:r>
      <w:proofErr w:type="gramEnd"/>
      <w:r w:rsidRPr="0097459F">
        <w:t xml:space="preserve"> são considerados direitos creditórios não-padronizados:</w:t>
      </w:r>
    </w:p>
    <w:p w14:paraId="1600B3FA" w14:textId="77777777" w:rsidR="00C20BBD" w:rsidRPr="0097459F" w:rsidRDefault="00C20BBD" w:rsidP="00C20BBD">
      <w:pPr>
        <w:pStyle w:val="Normalalteradora"/>
        <w:ind w:firstLine="709"/>
      </w:pPr>
      <w:r w:rsidRPr="0097459F">
        <w:t xml:space="preserve">I – </w:t>
      </w:r>
      <w:proofErr w:type="gramStart"/>
      <w:r w:rsidRPr="0097459F">
        <w:t>direitos</w:t>
      </w:r>
      <w:proofErr w:type="gramEnd"/>
      <w:r w:rsidRPr="0097459F">
        <w:t xml:space="preserve"> creditórios cedidos por sociedade empresária em processo de recuperação judicial ou extrajudicial, desde que cumulativamente atendam aos seguintes requisitos:</w:t>
      </w:r>
    </w:p>
    <w:p w14:paraId="340535DE" w14:textId="77777777" w:rsidR="00C20BBD" w:rsidRPr="0097459F" w:rsidRDefault="00C20BBD" w:rsidP="00C20BBD">
      <w:pPr>
        <w:pStyle w:val="Normalalteradora"/>
        <w:ind w:firstLine="709"/>
      </w:pPr>
      <w:r w:rsidRPr="0097459F">
        <w:t>a) não sejam originados por contratos mercantis de compra e venda de produtos, mercadorias e serviços para entrega ou prestação futura; e</w:t>
      </w:r>
    </w:p>
    <w:p w14:paraId="46F05A64" w14:textId="77777777" w:rsidR="00C20BBD" w:rsidRPr="0097459F" w:rsidRDefault="00C20BBD" w:rsidP="00C20BBD">
      <w:pPr>
        <w:pStyle w:val="Normalalteradora"/>
        <w:ind w:firstLine="709"/>
      </w:pPr>
      <w:r w:rsidRPr="0097459F">
        <w:t>b) a sociedade esteja sujeita a plano de recuperação homologado em juízo, independentemente do trânsito em julgado da homologação do plano de recuperação judicial ou extrajudicial; e</w:t>
      </w:r>
    </w:p>
    <w:p w14:paraId="0DC898E1" w14:textId="77777777" w:rsidR="00C20BBD" w:rsidRPr="0097459F" w:rsidRDefault="00C20BBD" w:rsidP="00C20BBD">
      <w:pPr>
        <w:pStyle w:val="Normalalteradora"/>
        <w:ind w:firstLine="709"/>
      </w:pPr>
      <w:r w:rsidRPr="0097459F">
        <w:t xml:space="preserve">II – </w:t>
      </w:r>
      <w:proofErr w:type="gramStart"/>
      <w:r w:rsidRPr="0097459F">
        <w:t>os</w:t>
      </w:r>
      <w:proofErr w:type="gramEnd"/>
      <w:r w:rsidRPr="0097459F">
        <w:t xml:space="preserve"> precatórios federais, desde que cumulativamente atendam aos seguintes requisitos:</w:t>
      </w:r>
    </w:p>
    <w:p w14:paraId="639DAE74" w14:textId="77777777" w:rsidR="00C20BBD" w:rsidRPr="0097459F" w:rsidRDefault="00C20BBD" w:rsidP="00C20BBD">
      <w:pPr>
        <w:pStyle w:val="Normalalteradora"/>
        <w:ind w:firstLine="709"/>
      </w:pPr>
      <w:r w:rsidRPr="0097459F">
        <w:t>a) não apresentem nenhuma impugnação, judicial ou não; e</w:t>
      </w:r>
    </w:p>
    <w:p w14:paraId="333A7341" w14:textId="77777777" w:rsidR="00C20BBD" w:rsidRPr="0097459F" w:rsidRDefault="00C20BBD" w:rsidP="00C20BBD">
      <w:pPr>
        <w:pStyle w:val="Normalalteradora"/>
        <w:ind w:firstLine="709"/>
      </w:pPr>
      <w:r w:rsidRPr="0097459F">
        <w:t>b) já tenham sido expedidos e remetidos ao Tribunal Regional Federal competente;</w:t>
      </w:r>
    </w:p>
    <w:p w14:paraId="646459A8" w14:textId="77777777" w:rsidR="00C20BBD" w:rsidRPr="0097459F" w:rsidRDefault="00C20BBD" w:rsidP="00C20BBD">
      <w:pPr>
        <w:pStyle w:val="Normalalteradora"/>
        <w:ind w:firstLine="709"/>
      </w:pPr>
      <w:r w:rsidRPr="0097459F">
        <w:t>§ 2</w:t>
      </w:r>
      <w:proofErr w:type="gramStart"/>
      <w:r w:rsidRPr="0097459F">
        <w:t>º  Não</w:t>
      </w:r>
      <w:proofErr w:type="gramEnd"/>
      <w:r w:rsidRPr="0097459F">
        <w:t xml:space="preserve"> se considera originadora a instituição que esteja atuando exclusivamente em oferta pública de distribuição de valores mobiliários.</w:t>
      </w:r>
    </w:p>
    <w:p w14:paraId="78D06216" w14:textId="77777777" w:rsidR="00C20BBD" w:rsidRPr="0097459F" w:rsidRDefault="00C20BBD" w:rsidP="00C20BBD">
      <w:pPr>
        <w:pStyle w:val="Captulo"/>
        <w:ind w:firstLine="709"/>
      </w:pPr>
      <w:bookmarkStart w:id="570" w:name="_Toc507331268"/>
      <w:bookmarkStart w:id="571" w:name="_Toc53594268"/>
      <w:bookmarkStart w:id="572" w:name="_Toc53594516"/>
      <w:bookmarkStart w:id="573" w:name="_Toc53595541"/>
      <w:bookmarkStart w:id="574" w:name="_Toc57836278"/>
      <w:bookmarkStart w:id="575" w:name="_Toc161141290"/>
      <w:r w:rsidRPr="0097459F">
        <w:t xml:space="preserve">CAPÍTULO III – </w:t>
      </w:r>
      <w:bookmarkEnd w:id="570"/>
      <w:r w:rsidRPr="0097459F">
        <w:t>CARACTERÍSTICAS E CONSTITUIÇÃO</w:t>
      </w:r>
      <w:bookmarkEnd w:id="571"/>
      <w:bookmarkEnd w:id="572"/>
      <w:bookmarkEnd w:id="573"/>
      <w:bookmarkEnd w:id="574"/>
      <w:bookmarkEnd w:id="575"/>
    </w:p>
    <w:p w14:paraId="6D4FE0F2" w14:textId="77777777" w:rsidR="00C20BBD" w:rsidRPr="0097459F" w:rsidRDefault="00C20BBD" w:rsidP="00C20BBD">
      <w:pPr>
        <w:pStyle w:val="Normalalteradora"/>
        <w:ind w:firstLine="709"/>
      </w:pPr>
      <w:r w:rsidRPr="0097459F">
        <w:t>Art. 3</w:t>
      </w:r>
      <w:proofErr w:type="gramStart"/>
      <w:r w:rsidRPr="0097459F">
        <w:t>º  Em</w:t>
      </w:r>
      <w:proofErr w:type="gramEnd"/>
      <w:r w:rsidRPr="0097459F">
        <w:t xml:space="preserve"> acréscimo às possibilidades previstas no art. 5º, § 5º, da parte geral da Resolução, todas a</w:t>
      </w:r>
      <w:r w:rsidRPr="0097459F">
        <w:rPr>
          <w:rFonts w:cstheme="minorHAnsi"/>
        </w:rPr>
        <w:t>s subclasses de FIDC podem ser diferenciadas no regulamento por outros direitos econômicos e políticos.</w:t>
      </w:r>
    </w:p>
    <w:p w14:paraId="2C75A6F7" w14:textId="77777777" w:rsidR="00C20BBD" w:rsidRPr="0097459F" w:rsidRDefault="00C20BBD" w:rsidP="00C20BBD">
      <w:pPr>
        <w:pStyle w:val="Normalalteradora"/>
        <w:ind w:firstLine="709"/>
      </w:pPr>
      <w:r w:rsidRPr="0097459F">
        <w:lastRenderedPageBreak/>
        <w:t>Art. 4</w:t>
      </w:r>
      <w:proofErr w:type="gramStart"/>
      <w:r w:rsidRPr="0097459F">
        <w:t>º  Da</w:t>
      </w:r>
      <w:proofErr w:type="gramEnd"/>
      <w:r w:rsidRPr="0097459F">
        <w:t xml:space="preserve"> denominação do fundo e de suas classes de cotas, se houver, deve constar a expressão “Fundo de Investimento em Direitos Creditórios".</w:t>
      </w:r>
    </w:p>
    <w:p w14:paraId="38931FBB" w14:textId="77777777" w:rsidR="00C20BBD" w:rsidRPr="0097459F" w:rsidRDefault="00C20BBD" w:rsidP="00C20BBD">
      <w:pPr>
        <w:pStyle w:val="Normalalteradora"/>
        <w:ind w:firstLine="709"/>
      </w:pPr>
      <w:r w:rsidRPr="0097459F">
        <w:t>§ 1</w:t>
      </w:r>
      <w:proofErr w:type="gramStart"/>
      <w:r w:rsidRPr="0097459F">
        <w:t>º  A</w:t>
      </w:r>
      <w:proofErr w:type="gramEnd"/>
      <w:r w:rsidRPr="0097459F">
        <w:t xml:space="preserve"> denominação deve identificar o direcionamento de recursos para segmento ou segmentos econômicos específicos, se houver.</w:t>
      </w:r>
    </w:p>
    <w:p w14:paraId="7F352624" w14:textId="77777777" w:rsidR="00C20BBD" w:rsidRPr="0097459F" w:rsidRDefault="00C20BBD" w:rsidP="00C20BBD">
      <w:pPr>
        <w:pStyle w:val="Normalalteradora"/>
        <w:ind w:firstLine="709"/>
      </w:pPr>
      <w:r w:rsidRPr="0097459F">
        <w:t>§ 2</w:t>
      </w:r>
      <w:proofErr w:type="gramStart"/>
      <w:r w:rsidRPr="0097459F">
        <w:t>º  Caso</w:t>
      </w:r>
      <w:proofErr w:type="gramEnd"/>
      <w:r w:rsidRPr="0097459F">
        <w:t xml:space="preserve"> o FIDC possua somente classes de investimento em cotas, sua denominação pode utilizar a expressão “Fundo de Investimento em Cotas”.</w:t>
      </w:r>
    </w:p>
    <w:p w14:paraId="350531C8" w14:textId="77777777" w:rsidR="00C20BBD" w:rsidRPr="0097459F" w:rsidRDefault="00C20BBD" w:rsidP="00C20BBD">
      <w:pPr>
        <w:pStyle w:val="Normalalteradora"/>
        <w:ind w:firstLine="709"/>
      </w:pPr>
      <w:r w:rsidRPr="0097459F">
        <w:t>§ 3</w:t>
      </w:r>
      <w:proofErr w:type="gramStart"/>
      <w:r w:rsidRPr="0097459F">
        <w:t>º  Deve</w:t>
      </w:r>
      <w:proofErr w:type="gramEnd"/>
      <w:r w:rsidRPr="0097459F">
        <w:t xml:space="preserve"> constar da denominação da classe de investimento em cotas a expressão “Classe de Investimento em Cotas”.</w:t>
      </w:r>
    </w:p>
    <w:p w14:paraId="2353A57E" w14:textId="3A5D0B26" w:rsidR="00C20BBD" w:rsidRPr="0097459F" w:rsidRDefault="005310AD" w:rsidP="00C20BBD">
      <w:pPr>
        <w:pStyle w:val="Normalalteradora"/>
        <w:ind w:firstLine="709"/>
      </w:pPr>
      <w:r>
        <w:t>§ 4</w:t>
      </w:r>
      <w:proofErr w:type="gramStart"/>
      <w:r>
        <w:t>º</w:t>
      </w:r>
      <w:r w:rsidR="00C20BBD" w:rsidRPr="0097459F">
        <w:t xml:space="preserve">  Admite</w:t>
      </w:r>
      <w:proofErr w:type="gramEnd"/>
      <w:r w:rsidR="00C20BBD" w:rsidRPr="0097459F">
        <w:t xml:space="preserve">-se a utilização cumulativa dos sufixos descritos na parte geral da Resolução e neste </w:t>
      </w:r>
      <w:r w:rsidR="00FB1127" w:rsidRPr="0097459F">
        <w:t>Anexo Normativo II</w:t>
      </w:r>
      <w:r w:rsidR="00C20BBD" w:rsidRPr="0097459F">
        <w:t>.</w:t>
      </w:r>
    </w:p>
    <w:p w14:paraId="5B009276" w14:textId="77777777" w:rsidR="00C20BBD" w:rsidRPr="0097459F" w:rsidRDefault="00C20BBD" w:rsidP="00C20BBD">
      <w:pPr>
        <w:pStyle w:val="Normalalteradora"/>
        <w:ind w:firstLine="709"/>
      </w:pPr>
      <w:r w:rsidRPr="0097459F">
        <w:t>Art. 5</w:t>
      </w:r>
      <w:proofErr w:type="gramStart"/>
      <w:r w:rsidRPr="0097459F">
        <w:t>º  As</w:t>
      </w:r>
      <w:proofErr w:type="gramEnd"/>
      <w:r w:rsidRPr="0097459F">
        <w:t xml:space="preserve"> classes de cotas dos FIDC podem ser abertas ou fechadas.</w:t>
      </w:r>
    </w:p>
    <w:p w14:paraId="3FFFA1D8" w14:textId="77777777" w:rsidR="00C20BBD" w:rsidRPr="0097459F" w:rsidRDefault="00C20BBD" w:rsidP="00C20BBD">
      <w:pPr>
        <w:pStyle w:val="Normalalteradora"/>
        <w:ind w:firstLine="709"/>
      </w:pPr>
      <w:r w:rsidRPr="0097459F">
        <w:t>Art. 6</w:t>
      </w:r>
      <w:proofErr w:type="gramStart"/>
      <w:r w:rsidRPr="0097459F">
        <w:t>º  Para</w:t>
      </w:r>
      <w:proofErr w:type="gramEnd"/>
      <w:r w:rsidRPr="0097459F">
        <w:t xml:space="preserve"> fins de obtenção do registro de funcionamento de classe aberta que seja destinada ao público em geral, em acréscimo aos documentos e informações requeridos no art. 10 da parte geral da Resolução, o administrador deve encaminhar versão atualizada da lâmina.</w:t>
      </w:r>
    </w:p>
    <w:p w14:paraId="4CF0A14D" w14:textId="77777777" w:rsidR="00C20BBD" w:rsidRPr="0097459F" w:rsidRDefault="00C20BBD" w:rsidP="00C20BBD">
      <w:pPr>
        <w:pStyle w:val="Normalalteradora"/>
        <w:ind w:firstLine="709"/>
      </w:pPr>
      <w:r w:rsidRPr="0097459F">
        <w:t>Art. 7</w:t>
      </w:r>
      <w:proofErr w:type="gramStart"/>
      <w:r w:rsidRPr="0097459F">
        <w:t>º  No</w:t>
      </w:r>
      <w:proofErr w:type="gramEnd"/>
      <w:r w:rsidRPr="0097459F">
        <w:t xml:space="preserve"> âmbito do pedido de registro de funcionamento de classes de cotas cujo regulamento admita a aquisição de direitos creditórios decorrentes de receitas públicas originárias ou derivadas da União, dos Estados, do Distrito Federal e dos Municípios, bem como de suas autarquias e fundações, ou em direitos creditórios cedidos ou originados por empresas controladas pelo poder público:</w:t>
      </w:r>
    </w:p>
    <w:p w14:paraId="4668EBE7" w14:textId="77777777" w:rsidR="00C20BBD" w:rsidRPr="0097459F" w:rsidRDefault="00C20BBD" w:rsidP="00C20BBD">
      <w:pPr>
        <w:pStyle w:val="Normalalteradora"/>
        <w:ind w:firstLine="709"/>
      </w:pPr>
      <w:r w:rsidRPr="0097459F">
        <w:t xml:space="preserve">I – </w:t>
      </w:r>
      <w:proofErr w:type="gramStart"/>
      <w:r w:rsidRPr="0097459F">
        <w:t>deve</w:t>
      </w:r>
      <w:proofErr w:type="gramEnd"/>
      <w:r w:rsidRPr="0097459F">
        <w:t xml:space="preserve"> ser apresentada manifestação acerca da existência de compromisso financeiro que se caracterize como operação de crédito para fins do disposto na Lei Complementar nº 101, de 4 de maio de 2000; e</w:t>
      </w:r>
    </w:p>
    <w:p w14:paraId="422ECA18" w14:textId="4C968066" w:rsidR="00C20BBD" w:rsidRPr="0097459F" w:rsidRDefault="00C20BBD" w:rsidP="00C20BBD">
      <w:pPr>
        <w:pStyle w:val="Normalalteradora"/>
        <w:ind w:firstLine="709"/>
      </w:pPr>
      <w:r w:rsidRPr="0097459F">
        <w:t xml:space="preserve">II – </w:t>
      </w:r>
      <w:proofErr w:type="gramStart"/>
      <w:r w:rsidRPr="0097459F">
        <w:t>caso</w:t>
      </w:r>
      <w:proofErr w:type="gramEnd"/>
      <w:r w:rsidRPr="0097459F">
        <w:t xml:space="preserve"> reste caracterizada uma operação de crédito, nos termos do inciso I, deve ser anexada a competente autorização do Ministério da </w:t>
      </w:r>
      <w:r w:rsidR="00466599">
        <w:t>Fazenda</w:t>
      </w:r>
      <w:r w:rsidRPr="0097459F">
        <w:t>, nos termos do art. 32 da Lei Complementar nº 101, de 2000.</w:t>
      </w:r>
    </w:p>
    <w:p w14:paraId="180BD802" w14:textId="77777777" w:rsidR="00C20BBD" w:rsidRPr="0097459F" w:rsidRDefault="00C20BBD" w:rsidP="00C20BBD">
      <w:pPr>
        <w:pStyle w:val="Captulo"/>
        <w:ind w:firstLine="709"/>
      </w:pPr>
      <w:bookmarkStart w:id="576" w:name="_Toc507331273"/>
      <w:bookmarkStart w:id="577" w:name="_Toc53594269"/>
      <w:bookmarkStart w:id="578" w:name="_Toc53594517"/>
      <w:bookmarkStart w:id="579" w:name="_Toc53595542"/>
      <w:bookmarkStart w:id="580" w:name="_Toc57836279"/>
      <w:bookmarkStart w:id="581" w:name="_Toc161141291"/>
      <w:r w:rsidRPr="0097459F">
        <w:lastRenderedPageBreak/>
        <w:t>CAPÍTULO IV – COTAS</w:t>
      </w:r>
      <w:bookmarkEnd w:id="576"/>
      <w:bookmarkEnd w:id="577"/>
      <w:bookmarkEnd w:id="578"/>
      <w:bookmarkEnd w:id="579"/>
      <w:bookmarkEnd w:id="580"/>
      <w:bookmarkEnd w:id="581"/>
    </w:p>
    <w:p w14:paraId="196A7DAD" w14:textId="77777777" w:rsidR="00C20BBD" w:rsidRPr="0097459F" w:rsidRDefault="00C20BBD" w:rsidP="00C20BBD">
      <w:pPr>
        <w:pStyle w:val="Seo"/>
        <w:ind w:firstLine="709"/>
      </w:pPr>
      <w:bookmarkStart w:id="582" w:name="_Toc53594270"/>
      <w:bookmarkStart w:id="583" w:name="_Toc53594518"/>
      <w:bookmarkStart w:id="584" w:name="_Toc53595543"/>
      <w:bookmarkStart w:id="585" w:name="_Toc57836280"/>
      <w:bookmarkStart w:id="586" w:name="_Toc507331274"/>
      <w:bookmarkStart w:id="587" w:name="_Toc161141292"/>
      <w:r w:rsidRPr="0097459F">
        <w:t>Seção I – Emissão</w:t>
      </w:r>
      <w:bookmarkEnd w:id="582"/>
      <w:bookmarkEnd w:id="583"/>
      <w:bookmarkEnd w:id="584"/>
      <w:bookmarkEnd w:id="585"/>
      <w:bookmarkEnd w:id="587"/>
    </w:p>
    <w:p w14:paraId="25640B20" w14:textId="77777777" w:rsidR="00C20BBD" w:rsidRPr="008205C5" w:rsidRDefault="00C20BBD" w:rsidP="00C20BBD">
      <w:pPr>
        <w:pStyle w:val="Normalalteradora"/>
        <w:ind w:firstLine="709"/>
        <w:rPr>
          <w:strike/>
        </w:rPr>
      </w:pPr>
      <w:r w:rsidRPr="008205C5">
        <w:rPr>
          <w:strike/>
        </w:rPr>
        <w:t>Art. 8</w:t>
      </w:r>
      <w:proofErr w:type="gramStart"/>
      <w:r w:rsidRPr="008205C5">
        <w:rPr>
          <w:strike/>
        </w:rPr>
        <w:t>º  As</w:t>
      </w:r>
      <w:proofErr w:type="gramEnd"/>
      <w:r w:rsidRPr="008205C5">
        <w:rPr>
          <w:strike/>
        </w:rPr>
        <w:t xml:space="preserve"> cotas seniores e subordinadas devem ser emitidas em uma única subclasse para cada tipo, sem prejuízo da possibilidade de emissão de diferentes subclasses subordinadas mezanino.</w:t>
      </w:r>
    </w:p>
    <w:p w14:paraId="0A0B83B9" w14:textId="77777777" w:rsidR="00C20BBD" w:rsidRDefault="00C20BBD" w:rsidP="00C20BBD">
      <w:pPr>
        <w:pStyle w:val="Normalalteradora"/>
        <w:ind w:firstLine="709"/>
        <w:rPr>
          <w:strike/>
        </w:rPr>
      </w:pPr>
      <w:r w:rsidRPr="008205C5">
        <w:rPr>
          <w:strike/>
        </w:rPr>
        <w:t>Parágrafo único.  As cotas seniores e subordinadas mezanino de classe fechada podem ser emitidas em séries com índices referenciais diferentes e prazos diferenciados para amortização, permanecendo inalterados os demais direitos e obrigações.</w:t>
      </w:r>
    </w:p>
    <w:p w14:paraId="3D970B40" w14:textId="77777777" w:rsidR="008205C5" w:rsidRPr="0097459F" w:rsidRDefault="008205C5" w:rsidP="008205C5">
      <w:pPr>
        <w:pStyle w:val="NormaAlterada"/>
      </w:pPr>
      <w:r w:rsidRPr="0097459F">
        <w:t>Art. 8</w:t>
      </w:r>
      <w:proofErr w:type="gramStart"/>
      <w:r w:rsidRPr="0097459F">
        <w:t>º  As</w:t>
      </w:r>
      <w:proofErr w:type="gramEnd"/>
      <w:r w:rsidRPr="0097459F">
        <w:t xml:space="preserve"> cotas seniores devem ser emitidas em uma única subclasse</w:t>
      </w:r>
      <w:r>
        <w:t>.</w:t>
      </w:r>
      <w:r w:rsidRPr="0097459F">
        <w:t xml:space="preserve"> </w:t>
      </w:r>
    </w:p>
    <w:p w14:paraId="6697793A" w14:textId="77777777" w:rsidR="008205C5" w:rsidRDefault="008205C5" w:rsidP="008205C5">
      <w:pPr>
        <w:pStyle w:val="NormaAlterada"/>
      </w:pPr>
      <w:r>
        <w:t>§ 1</w:t>
      </w:r>
      <w:proofErr w:type="gramStart"/>
      <w:r>
        <w:t>º  As</w:t>
      </w:r>
      <w:proofErr w:type="gramEnd"/>
      <w:r>
        <w:t xml:space="preserve"> cotas seniores e subordinadas mezanino de classe fechada podem ser emitidas em séries com índices referenciais diferentes e prazos diferenciados para amortização, permanecendo inalterados os demais direitos e obrigações.</w:t>
      </w:r>
    </w:p>
    <w:p w14:paraId="5C12A440" w14:textId="2788C423" w:rsidR="008205C5" w:rsidRDefault="008205C5" w:rsidP="008205C5">
      <w:pPr>
        <w:pStyle w:val="NormaAlterada"/>
      </w:pPr>
      <w:r w:rsidRPr="00CA34F5">
        <w:t>§ 2</w:t>
      </w:r>
      <w:proofErr w:type="gramStart"/>
      <w:r w:rsidRPr="00CA34F5">
        <w:t xml:space="preserve">º  </w:t>
      </w:r>
      <w:r>
        <w:t>É</w:t>
      </w:r>
      <w:proofErr w:type="gramEnd"/>
      <w:r>
        <w:t xml:space="preserve"> vedada a existência de</w:t>
      </w:r>
      <w:r w:rsidRPr="00CA34F5">
        <w:t xml:space="preserve"> subordinação entre diferentes subclasses de cotas subordinadas, sem prejuízo da possibilidade de o Regulamento estabelecer outras diferenciações entre direitos econômicos e políticos para as referidas subclasses, nos termos do art. 3º deste </w:t>
      </w:r>
      <w:r w:rsidR="00E65F86">
        <w:t>A</w:t>
      </w:r>
      <w:r w:rsidRPr="00CA34F5">
        <w:t>nexo Normativo II.</w:t>
      </w:r>
    </w:p>
    <w:p w14:paraId="0E0A5622" w14:textId="52340098" w:rsidR="008205C5" w:rsidRDefault="008205C5" w:rsidP="008205C5">
      <w:pPr>
        <w:pStyle w:val="Normalalteradora"/>
        <w:ind w:firstLine="709"/>
      </w:pPr>
      <w:r w:rsidRPr="00CA34F5">
        <w:t>§ 3</w:t>
      </w:r>
      <w:proofErr w:type="gramStart"/>
      <w:r w:rsidRPr="00CA34F5">
        <w:t>º  O</w:t>
      </w:r>
      <w:proofErr w:type="gramEnd"/>
      <w:r w:rsidRPr="00CA34F5">
        <w:t xml:space="preserve"> Regulamento deve estabelecer a forma como as obrigações das cotas subordinadas serão cumpridas pelas diferentes subclasses de cotas subordinadas</w:t>
      </w:r>
      <w:r>
        <w:t>, se houver</w:t>
      </w:r>
      <w:r w:rsidRPr="00CA34F5">
        <w:t>.</w:t>
      </w:r>
    </w:p>
    <w:p w14:paraId="3A205878" w14:textId="03527094" w:rsidR="008205C5" w:rsidRPr="008205C5" w:rsidRDefault="008205C5" w:rsidP="008205C5">
      <w:pPr>
        <w:pStyle w:val="Normalalteradora"/>
        <w:numPr>
          <w:ilvl w:val="0"/>
          <w:numId w:val="40"/>
        </w:numPr>
        <w:ind w:left="709" w:hanging="142"/>
        <w:rPr>
          <w:strike/>
        </w:rPr>
      </w:pPr>
      <w:r w:rsidRPr="008205C5">
        <w:rPr>
          <w:b/>
          <w:bCs/>
          <w:i/>
          <w:iCs/>
        </w:rPr>
        <w:t>Art. 8º</w:t>
      </w:r>
      <w:r w:rsidRPr="0097459F">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76C9136A" w14:textId="77777777" w:rsidR="00C20BBD" w:rsidRPr="0097459F" w:rsidRDefault="00C20BBD" w:rsidP="00C20BBD">
      <w:pPr>
        <w:pStyle w:val="Normalalteradora"/>
        <w:ind w:firstLine="709"/>
      </w:pPr>
      <w:r w:rsidRPr="0097459F">
        <w:t>Art. 9</w:t>
      </w:r>
      <w:proofErr w:type="gramStart"/>
      <w:r w:rsidRPr="0097459F">
        <w:t>º  Na</w:t>
      </w:r>
      <w:proofErr w:type="gramEnd"/>
      <w:r w:rsidRPr="0097459F">
        <w:t xml:space="preserve"> emissão de cotas de classe aberta deve ser utilizado o valor da cota em vigor no próprio dia ou no primeiro dia útil subsequente ao da efetiva disponibilidade dos recursos aplicados pelo investidor.</w:t>
      </w:r>
    </w:p>
    <w:p w14:paraId="1AFAC717" w14:textId="77777777" w:rsidR="00C20BBD" w:rsidRPr="0097459F" w:rsidRDefault="00C20BBD" w:rsidP="00C20BBD">
      <w:pPr>
        <w:pStyle w:val="Seo"/>
        <w:ind w:firstLine="709"/>
      </w:pPr>
      <w:bookmarkStart w:id="588" w:name="_Toc53594271"/>
      <w:bookmarkStart w:id="589" w:name="_Toc53594519"/>
      <w:bookmarkStart w:id="590" w:name="_Toc53595544"/>
      <w:bookmarkStart w:id="591" w:name="_Toc57836281"/>
      <w:bookmarkStart w:id="592" w:name="_Toc161141293"/>
      <w:r w:rsidRPr="0097459F">
        <w:t>Seção II – Distribuição</w:t>
      </w:r>
      <w:bookmarkEnd w:id="588"/>
      <w:bookmarkEnd w:id="589"/>
      <w:bookmarkEnd w:id="590"/>
      <w:bookmarkEnd w:id="591"/>
      <w:bookmarkEnd w:id="592"/>
    </w:p>
    <w:p w14:paraId="21B48151" w14:textId="77777777" w:rsidR="00C20BBD" w:rsidRPr="0097459F" w:rsidDel="00FC555E" w:rsidRDefault="00C20BBD" w:rsidP="00C20BBD">
      <w:pPr>
        <w:pStyle w:val="Normalalteradora"/>
        <w:ind w:firstLine="709"/>
      </w:pPr>
      <w:r w:rsidRPr="0097459F">
        <w:t xml:space="preserve">Art. 10.  Caso o número mínimo de cotas da classe fechada não seja subscrito no prazo de distribuição, os valores integralizados devem ser imediatamente restituídos aos subscritores, acrescidos proporcionalmente dos rendimentos auferidos pelas aplicações dos valores, líquidos de encargos e tributos. </w:t>
      </w:r>
    </w:p>
    <w:p w14:paraId="24D1D09A" w14:textId="77777777" w:rsidR="00C20BBD" w:rsidRPr="0097459F" w:rsidRDefault="00C20BBD" w:rsidP="00C20BBD">
      <w:pPr>
        <w:pStyle w:val="Normalalteradora"/>
        <w:rPr>
          <w:rFonts w:cstheme="minorHAnsi"/>
        </w:rPr>
      </w:pPr>
      <w:r w:rsidRPr="0097459F">
        <w:rPr>
          <w:rFonts w:cstheme="minorHAnsi"/>
        </w:rPr>
        <w:t>Art. 11.  Em acréscimo ao regulamento, quando do ingresso do cotista na classe de cotas, o administrador e o distribuidor devem disponibilizar uma versão atualizada da lâmina, se aplicável.</w:t>
      </w:r>
    </w:p>
    <w:p w14:paraId="203C650F" w14:textId="77777777" w:rsidR="00C20BBD" w:rsidRPr="0097459F" w:rsidRDefault="00C20BBD" w:rsidP="00C20BBD">
      <w:pPr>
        <w:pStyle w:val="Normalalteradora"/>
        <w:ind w:firstLine="709"/>
        <w:rPr>
          <w:rStyle w:val="normaltextrun"/>
          <w:rFonts w:ascii="Calibri" w:hAnsi="Calibri" w:cs="Calibri"/>
          <w:color w:val="000000"/>
          <w:shd w:val="clear" w:color="auto" w:fill="FFFFFF"/>
        </w:rPr>
      </w:pPr>
      <w:r w:rsidRPr="0097459F">
        <w:rPr>
          <w:rStyle w:val="normaltextrun"/>
          <w:rFonts w:ascii="Calibri" w:hAnsi="Calibri" w:cs="Calibri"/>
          <w:color w:val="000000"/>
          <w:shd w:val="clear" w:color="auto" w:fill="FFFFFF"/>
        </w:rPr>
        <w:lastRenderedPageBreak/>
        <w:t xml:space="preserve">Art. 12.  Em acréscimo às informações contidas no </w:t>
      </w:r>
      <w:r w:rsidRPr="00156F94">
        <w:rPr>
          <w:rStyle w:val="normaltextrun"/>
          <w:rFonts w:ascii="Calibri" w:hAnsi="Calibri" w:cs="Calibri"/>
          <w:b/>
          <w:color w:val="000000"/>
          <w:shd w:val="clear" w:color="auto" w:fill="FFFFFF"/>
        </w:rPr>
        <w:t>caput</w:t>
      </w:r>
      <w:r w:rsidRPr="0097459F">
        <w:rPr>
          <w:rStyle w:val="normaltextrun"/>
          <w:rFonts w:ascii="Calibri" w:hAnsi="Calibri" w:cs="Calibri"/>
          <w:color w:val="000000"/>
          <w:shd w:val="clear" w:color="auto" w:fill="FFFFFF"/>
        </w:rPr>
        <w:t xml:space="preserve"> do art. 29 da parte geral Resolução, quando de seu ingresso na classe de cotas, o cotista deve atestar, no termo de adesão e ciência de risco, que teve acesso ao </w:t>
      </w:r>
      <w:r w:rsidRPr="0097459F">
        <w:rPr>
          <w:rStyle w:val="findhit"/>
          <w:rFonts w:ascii="Calibri" w:hAnsi="Calibri" w:cs="Calibri"/>
          <w:color w:val="000000"/>
          <w:shd w:val="clear" w:color="auto" w:fill="FFFFFF"/>
        </w:rPr>
        <w:t>inteiro teor</w:t>
      </w:r>
      <w:r w:rsidRPr="0097459F">
        <w:rPr>
          <w:rStyle w:val="normaltextrun"/>
          <w:rFonts w:ascii="Calibri" w:hAnsi="Calibri" w:cs="Calibri"/>
          <w:color w:val="000000"/>
          <w:shd w:val="clear" w:color="auto" w:fill="FFFFFF"/>
        </w:rPr>
        <w:t xml:space="preserve"> da lâmina, se aplicável.</w:t>
      </w:r>
    </w:p>
    <w:p w14:paraId="47FDC45E" w14:textId="77777777" w:rsidR="00C20BBD" w:rsidRPr="0097459F" w:rsidRDefault="00C20BBD" w:rsidP="00C20BBD">
      <w:pPr>
        <w:pStyle w:val="Normalalteradora"/>
        <w:ind w:firstLine="709"/>
      </w:pPr>
      <w:r w:rsidRPr="0097459F">
        <w:t>Parágrafo único.  Caso a classe seja destinada ao público em geral e sua política de investimentos admita a aquisição de precatórios federais, o cotista deve atestar, ainda, que teve acesso a informações sobre os riscos específicos desse ativo.</w:t>
      </w:r>
    </w:p>
    <w:p w14:paraId="6D6334C5" w14:textId="77777777" w:rsidR="00C20BBD" w:rsidRPr="0097459F" w:rsidRDefault="00C20BBD" w:rsidP="00C20BBD">
      <w:pPr>
        <w:pStyle w:val="Normalalteradora"/>
        <w:ind w:firstLine="709"/>
      </w:pPr>
      <w:r w:rsidRPr="0097459F">
        <w:t>Art. 13.  A distribuição de cotas junto ao público em geral requer o cumprimento, cumulativo, dos seguintes requisitos:</w:t>
      </w:r>
    </w:p>
    <w:p w14:paraId="11EC559E" w14:textId="77777777" w:rsidR="00C20BBD" w:rsidRPr="0097459F" w:rsidRDefault="00C20BBD" w:rsidP="00C20BBD">
      <w:pPr>
        <w:pStyle w:val="Normalalteradora"/>
        <w:ind w:firstLine="709"/>
      </w:pPr>
      <w:r w:rsidRPr="0097459F">
        <w:t xml:space="preserve">I – </w:t>
      </w:r>
      <w:proofErr w:type="gramStart"/>
      <w:r w:rsidRPr="0097459F">
        <w:t>o</w:t>
      </w:r>
      <w:proofErr w:type="gramEnd"/>
      <w:r w:rsidRPr="0097459F">
        <w:t xml:space="preserve"> público em geral não pode adquirir cotas subordinadas;</w:t>
      </w:r>
    </w:p>
    <w:p w14:paraId="329D3F2E" w14:textId="77777777" w:rsidR="00C20BBD" w:rsidRPr="0097459F" w:rsidRDefault="00C20BBD" w:rsidP="00C20BBD">
      <w:pPr>
        <w:pStyle w:val="Normalalteradora"/>
        <w:ind w:firstLine="709"/>
      </w:pPr>
      <w:r w:rsidRPr="0097459F">
        <w:t xml:space="preserve">II – </w:t>
      </w:r>
      <w:proofErr w:type="gramStart"/>
      <w:r w:rsidRPr="0097459F">
        <w:t>o</w:t>
      </w:r>
      <w:proofErr w:type="gramEnd"/>
      <w:r w:rsidRPr="0097459F">
        <w:t xml:space="preserve"> regulamento estipule um cronograma para amortização de cotas ou distribuição de rendimentos;</w:t>
      </w:r>
    </w:p>
    <w:p w14:paraId="558D84B4" w14:textId="77777777" w:rsidR="00C20BBD" w:rsidRPr="0097459F" w:rsidRDefault="00C20BBD" w:rsidP="00C20BBD">
      <w:pPr>
        <w:pStyle w:val="Normalalteradora"/>
        <w:ind w:firstLine="709"/>
      </w:pPr>
      <w:r w:rsidRPr="0097459F">
        <w:t>III – caso se trate de classe aberta, o prazo de carência, se houver, em conjunto com o prazo total entre o pedido de resgate e seu pagamento, não podem totalizar um prazo superior a 180 (cento e oitenta) dias;</w:t>
      </w:r>
    </w:p>
    <w:p w14:paraId="3128C1B0" w14:textId="77777777" w:rsidR="00C20BBD" w:rsidRPr="0097459F" w:rsidRDefault="00C20BBD" w:rsidP="00C20BBD">
      <w:pPr>
        <w:pStyle w:val="Normalalteradora"/>
        <w:ind w:firstLine="709"/>
      </w:pPr>
      <w:r w:rsidRPr="0097459F">
        <w:t xml:space="preserve">IV – </w:t>
      </w:r>
      <w:proofErr w:type="gramStart"/>
      <w:r w:rsidRPr="0097459F">
        <w:t>a</w:t>
      </w:r>
      <w:proofErr w:type="gramEnd"/>
      <w:r w:rsidRPr="0097459F">
        <w:t xml:space="preserve"> política de investimento não admita a aplicação em:</w:t>
      </w:r>
    </w:p>
    <w:p w14:paraId="039B3DAE" w14:textId="77777777" w:rsidR="00C20BBD" w:rsidRPr="0097459F" w:rsidRDefault="00C20BBD" w:rsidP="00C20BBD">
      <w:pPr>
        <w:pStyle w:val="Normalalteradora"/>
        <w:ind w:firstLine="709"/>
      </w:pPr>
      <w:r w:rsidRPr="0097459F">
        <w:t>a) direitos creditórios que sejam originados por contratos mercantis de compra e venda de produtos, mercadorias e serviços para entrega ou prestação futura, exceto se os cedentes forem:</w:t>
      </w:r>
    </w:p>
    <w:p w14:paraId="7599ED49" w14:textId="77777777" w:rsidR="00C20BBD" w:rsidRPr="0097459F" w:rsidRDefault="00C20BBD" w:rsidP="00C20BBD">
      <w:pPr>
        <w:pStyle w:val="Normalalteradora"/>
        <w:ind w:firstLine="709"/>
      </w:pPr>
      <w:r w:rsidRPr="0097459F">
        <w:t>1. empresas concessionárias de serviços públicos; ou</w:t>
      </w:r>
    </w:p>
    <w:p w14:paraId="2D3108C0" w14:textId="433120AA" w:rsidR="00C20BBD" w:rsidRPr="0097459F" w:rsidRDefault="00C20BBD" w:rsidP="00C20BBD">
      <w:pPr>
        <w:pStyle w:val="Normalalteradora"/>
        <w:ind w:firstLine="709"/>
      </w:pPr>
      <w:r w:rsidRPr="0097459F">
        <w:t>2. companhias constituídas para implementar projetos de investimento na área de infraestrutura ou de produção econômica intensiva em pesquisa, desenvolvimento e inovação, considerados prioritários na forma regulamentada pelo Poder Executivo Federal;</w:t>
      </w:r>
      <w:r w:rsidR="007B7590">
        <w:t xml:space="preserve"> e</w:t>
      </w:r>
    </w:p>
    <w:p w14:paraId="4D2971B6" w14:textId="77777777" w:rsidR="00C20BBD" w:rsidRPr="0097459F" w:rsidRDefault="00C20BBD" w:rsidP="00C20BBD">
      <w:pPr>
        <w:pStyle w:val="Normalalteradora"/>
        <w:ind w:firstLine="709"/>
      </w:pPr>
      <w:r w:rsidRPr="0097459F">
        <w:t>b) direitos creditórios originados ou cedidos pelo administrador, gestor, consultoria especializada, custodiante, entidade registradora dos direitos creditórios e partes a eles relacionadas; e</w:t>
      </w:r>
    </w:p>
    <w:p w14:paraId="49FC234A" w14:textId="77777777" w:rsidR="00C20BBD" w:rsidRPr="0097459F" w:rsidRDefault="00C20BBD" w:rsidP="00C20BBD">
      <w:pPr>
        <w:pStyle w:val="Normalalteradora"/>
        <w:ind w:firstLine="709"/>
      </w:pPr>
      <w:r w:rsidRPr="0097459F">
        <w:t xml:space="preserve">V – </w:t>
      </w:r>
      <w:proofErr w:type="gramStart"/>
      <w:r w:rsidRPr="0097459F">
        <w:t>a</w:t>
      </w:r>
      <w:proofErr w:type="gramEnd"/>
      <w:r w:rsidRPr="0097459F">
        <w:t xml:space="preserve"> subclasse de cotas seniores seja objeto de classificação de risco por agência classificadora de risco registrada na CVM.</w:t>
      </w:r>
    </w:p>
    <w:p w14:paraId="68E2B55B" w14:textId="77777777" w:rsidR="00C20BBD" w:rsidRPr="0097459F" w:rsidRDefault="00C20BBD" w:rsidP="00C20BBD">
      <w:pPr>
        <w:pStyle w:val="Seo"/>
        <w:ind w:firstLine="709"/>
      </w:pPr>
      <w:bookmarkStart w:id="593" w:name="_Toc53594272"/>
      <w:bookmarkStart w:id="594" w:name="_Toc53594520"/>
      <w:bookmarkStart w:id="595" w:name="_Toc53595545"/>
      <w:bookmarkStart w:id="596" w:name="_Toc57836282"/>
      <w:bookmarkStart w:id="597" w:name="_Toc161141294"/>
      <w:bookmarkEnd w:id="586"/>
      <w:r w:rsidRPr="0097459F">
        <w:lastRenderedPageBreak/>
        <w:t>Seção III – Subscrição e Integralização</w:t>
      </w:r>
      <w:bookmarkEnd w:id="593"/>
      <w:bookmarkEnd w:id="594"/>
      <w:bookmarkEnd w:id="595"/>
      <w:bookmarkEnd w:id="596"/>
      <w:bookmarkEnd w:id="597"/>
    </w:p>
    <w:p w14:paraId="5C545E57" w14:textId="77777777" w:rsidR="00C20BBD" w:rsidRPr="0097459F" w:rsidRDefault="00C20BBD" w:rsidP="00C20BBD">
      <w:pPr>
        <w:pStyle w:val="Normalalteradora"/>
        <w:ind w:firstLine="709"/>
      </w:pPr>
      <w:r w:rsidRPr="0097459F">
        <w:t>Art. 14.  Somente nas classes restritas a integralização de cotas seniores e subordinadas mezanino pode ser feita em direitos creditórios, de acordo com método disciplinado no regulamento.</w:t>
      </w:r>
    </w:p>
    <w:p w14:paraId="2BB41A3B" w14:textId="77777777" w:rsidR="00C20BBD" w:rsidRPr="0097459F" w:rsidRDefault="00C20BBD" w:rsidP="00C20BBD">
      <w:pPr>
        <w:pStyle w:val="Normalalteradora"/>
        <w:ind w:firstLine="709"/>
      </w:pPr>
      <w:r w:rsidRPr="0097459F">
        <w:t>Art. 15.  As classes de cotas cuja política de investimento admita a aquisição de direitos creditórios não-padronizados são de subscrição exclusiva de investidores profissionais, ressalvada a hipótese de subscrição de cotas subordinadas pelo cedente e suas partes relacionadas.</w:t>
      </w:r>
    </w:p>
    <w:p w14:paraId="375F0F1E" w14:textId="77777777" w:rsidR="00C20BBD" w:rsidRPr="0097459F" w:rsidRDefault="00C20BBD" w:rsidP="00C20BBD">
      <w:pPr>
        <w:pStyle w:val="Normalalteradora"/>
        <w:ind w:firstLine="709"/>
      </w:pPr>
      <w:r w:rsidRPr="0097459F">
        <w:t xml:space="preserve">Parágrafo único.  No caso de subscrição de cotas de classes cuja política de investimento tenha como objetivo a realização de aplicações em direitos creditórios devidos por sociedades empresárias em processo de recuperação judicial ou extrajudicial, a restrição prevista no </w:t>
      </w:r>
      <w:r w:rsidRPr="0097459F">
        <w:rPr>
          <w:b/>
        </w:rPr>
        <w:t>caput</w:t>
      </w:r>
      <w:r w:rsidRPr="0097459F">
        <w:t xml:space="preserve"> pode ser afastada, desde que:</w:t>
      </w:r>
    </w:p>
    <w:p w14:paraId="54D3C8E4" w14:textId="77777777" w:rsidR="00C20BBD" w:rsidRDefault="00C20BBD" w:rsidP="00C20BBD">
      <w:pPr>
        <w:pStyle w:val="Normalalteradora"/>
        <w:ind w:firstLine="709"/>
        <w:rPr>
          <w:strike/>
        </w:rPr>
      </w:pPr>
      <w:r w:rsidRPr="00592F24">
        <w:rPr>
          <w:strike/>
        </w:rPr>
        <w:t xml:space="preserve">I – </w:t>
      </w:r>
      <w:proofErr w:type="gramStart"/>
      <w:r w:rsidRPr="00592F24">
        <w:rPr>
          <w:strike/>
        </w:rPr>
        <w:t>a</w:t>
      </w:r>
      <w:proofErr w:type="gramEnd"/>
      <w:r w:rsidRPr="00592F24">
        <w:rPr>
          <w:strike/>
        </w:rPr>
        <w:t xml:space="preserve"> subscrição seja realizado no contexto do plano de recuperação judicial da sociedade empresária devedora dos direitos creditórios, no qual os investidores figurem como credores; e</w:t>
      </w:r>
    </w:p>
    <w:p w14:paraId="3DD3B6A3" w14:textId="32B4D8F3" w:rsidR="00592F24" w:rsidRDefault="00592F24" w:rsidP="00592F24">
      <w:pPr>
        <w:pStyle w:val="Normalalteradora"/>
      </w:pPr>
      <w:r>
        <w:t>I – REVOGADO</w:t>
      </w:r>
    </w:p>
    <w:p w14:paraId="7DF82A11" w14:textId="7E99E2DC" w:rsidR="00592F24" w:rsidRPr="00592F24" w:rsidRDefault="00592F24" w:rsidP="00592F24">
      <w:pPr>
        <w:pStyle w:val="Normalalteradora"/>
        <w:numPr>
          <w:ilvl w:val="0"/>
          <w:numId w:val="40"/>
        </w:numPr>
        <w:ind w:left="709" w:hanging="142"/>
        <w:rPr>
          <w:strike/>
        </w:rPr>
      </w:pPr>
      <w:r>
        <w:rPr>
          <w:rFonts w:cstheme="minorHAnsi"/>
          <w:b/>
          <w:i/>
          <w:iCs/>
        </w:rPr>
        <w:t xml:space="preserve"> Inciso I revogado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5BCEA83F" w14:textId="77777777" w:rsidR="00C20BBD" w:rsidRPr="0097459F" w:rsidRDefault="00C20BBD" w:rsidP="00C20BBD">
      <w:pPr>
        <w:pStyle w:val="Normalalteradora"/>
        <w:ind w:firstLine="709"/>
      </w:pPr>
      <w:r w:rsidRPr="0097459F">
        <w:t xml:space="preserve">II – </w:t>
      </w:r>
      <w:proofErr w:type="gramStart"/>
      <w:r w:rsidRPr="0097459F">
        <w:t>a</w:t>
      </w:r>
      <w:proofErr w:type="gramEnd"/>
      <w:r w:rsidRPr="0097459F">
        <w:t xml:space="preserve"> integralização de cotas seja efetuada somente em direitos creditórios.</w:t>
      </w:r>
    </w:p>
    <w:p w14:paraId="2219556D" w14:textId="77777777" w:rsidR="00C20BBD" w:rsidRPr="0097459F" w:rsidRDefault="00C20BBD" w:rsidP="00C20BBD">
      <w:pPr>
        <w:pStyle w:val="Seo"/>
        <w:ind w:firstLine="709"/>
      </w:pPr>
      <w:bookmarkStart w:id="598" w:name="_Toc53594273"/>
      <w:bookmarkStart w:id="599" w:name="_Toc53594521"/>
      <w:bookmarkStart w:id="600" w:name="_Toc53595546"/>
      <w:bookmarkStart w:id="601" w:name="_Toc57836283"/>
      <w:bookmarkStart w:id="602" w:name="_Toc161141295"/>
      <w:r w:rsidRPr="0097459F">
        <w:t>Seção IV – Resgate e Amortização</w:t>
      </w:r>
      <w:bookmarkEnd w:id="598"/>
      <w:bookmarkEnd w:id="599"/>
      <w:bookmarkEnd w:id="600"/>
      <w:bookmarkEnd w:id="601"/>
      <w:bookmarkEnd w:id="602"/>
    </w:p>
    <w:p w14:paraId="40EEF696" w14:textId="3DCFC2E3" w:rsidR="00C20BBD" w:rsidRPr="0097459F" w:rsidRDefault="00C20BBD" w:rsidP="00C20BBD">
      <w:pPr>
        <w:pStyle w:val="Normalalteradora"/>
        <w:ind w:firstLine="709"/>
      </w:pPr>
      <w:r w:rsidRPr="0097459F">
        <w:t>Art. 16.  Admite-se o resgate e a amortização de cotas subordinadas e subordinadas mezanino de acordo com regras e procedimentos disciplinados no regulamento, desde que</w:t>
      </w:r>
      <w:r w:rsidR="00540235">
        <w:t xml:space="preserve"> o índice de subordinação não seja comprometido</w:t>
      </w:r>
      <w:r w:rsidRPr="0097459F">
        <w:t>.</w:t>
      </w:r>
    </w:p>
    <w:p w14:paraId="2A76B6FA" w14:textId="77777777" w:rsidR="00C20BBD" w:rsidRPr="0097459F" w:rsidRDefault="00C20BBD" w:rsidP="00C20BBD">
      <w:pPr>
        <w:pStyle w:val="Normalalteradora"/>
        <w:ind w:firstLine="709"/>
      </w:pPr>
      <w:r w:rsidRPr="0097459F">
        <w:t>Parágrafo único.  Admite-se que cotas subordinadas sejam resgatadas e amortizadas em direitos creditórios.</w:t>
      </w:r>
    </w:p>
    <w:p w14:paraId="27567089" w14:textId="77777777" w:rsidR="00C20BBD" w:rsidRPr="0097459F" w:rsidRDefault="00C20BBD" w:rsidP="00C20BBD">
      <w:pPr>
        <w:pStyle w:val="Normalalteradora"/>
        <w:ind w:firstLine="709"/>
      </w:pPr>
      <w:r w:rsidRPr="0097459F">
        <w:t>Art. 17.  Admite-se o resgate e a amortização de cotas seniores e subordinadas mezanino em direitos creditórios e ativos financeiros de liquidez exclusivamente:</w:t>
      </w:r>
    </w:p>
    <w:p w14:paraId="3A27F7D5" w14:textId="77777777" w:rsidR="00C20BBD" w:rsidRPr="0097459F" w:rsidRDefault="00C20BBD" w:rsidP="00C20BBD">
      <w:pPr>
        <w:pStyle w:val="Normalalteradora"/>
        <w:ind w:firstLine="709"/>
      </w:pPr>
      <w:r w:rsidRPr="0097459F">
        <w:t xml:space="preserve">I – </w:t>
      </w:r>
      <w:proofErr w:type="gramStart"/>
      <w:r w:rsidRPr="0097459F">
        <w:t>por</w:t>
      </w:r>
      <w:proofErr w:type="gramEnd"/>
      <w:r w:rsidRPr="0097459F">
        <w:t xml:space="preserve"> deliberação da assembleia de cotistas, nos termos do art. 44, § 3º, inciso IV, da parte geral da Resolução;</w:t>
      </w:r>
    </w:p>
    <w:p w14:paraId="2A5B8BD5" w14:textId="017FB459" w:rsidR="00C20BBD" w:rsidRDefault="00C20BBD" w:rsidP="00C20BBD">
      <w:pPr>
        <w:pStyle w:val="Normalalteradora"/>
        <w:ind w:firstLine="709"/>
        <w:rPr>
          <w:strike/>
        </w:rPr>
      </w:pPr>
      <w:r w:rsidRPr="008205C5">
        <w:rPr>
          <w:strike/>
        </w:rPr>
        <w:t xml:space="preserve">II – </w:t>
      </w:r>
      <w:proofErr w:type="gramStart"/>
      <w:r w:rsidRPr="008205C5">
        <w:rPr>
          <w:strike/>
        </w:rPr>
        <w:t>por</w:t>
      </w:r>
      <w:proofErr w:type="gramEnd"/>
      <w:r w:rsidRPr="008205C5">
        <w:rPr>
          <w:strike/>
        </w:rPr>
        <w:t xml:space="preserve"> deliberação da assembleia de cotistas de que trata o art. </w:t>
      </w:r>
      <w:r w:rsidR="00441AE5" w:rsidRPr="008205C5">
        <w:rPr>
          <w:strike/>
        </w:rPr>
        <w:t>12</w:t>
      </w:r>
      <w:r w:rsidR="00FD0A8B" w:rsidRPr="008205C5">
        <w:rPr>
          <w:strike/>
        </w:rPr>
        <w:t>6</w:t>
      </w:r>
      <w:r w:rsidR="00441AE5" w:rsidRPr="008205C5">
        <w:rPr>
          <w:strike/>
        </w:rPr>
        <w:t xml:space="preserve">, </w:t>
      </w:r>
      <w:r w:rsidRPr="008205C5">
        <w:rPr>
          <w:strike/>
        </w:rPr>
        <w:t>da parte geral da Resolução; ou</w:t>
      </w:r>
    </w:p>
    <w:p w14:paraId="60771E93" w14:textId="77777777" w:rsidR="008205C5" w:rsidRPr="0097459F" w:rsidRDefault="008205C5" w:rsidP="008205C5">
      <w:pPr>
        <w:pStyle w:val="NormaAlterada"/>
      </w:pPr>
      <w:r w:rsidRPr="0097459F">
        <w:lastRenderedPageBreak/>
        <w:t xml:space="preserve">II – </w:t>
      </w:r>
      <w:proofErr w:type="gramStart"/>
      <w:r w:rsidRPr="0097459F">
        <w:t>por</w:t>
      </w:r>
      <w:proofErr w:type="gramEnd"/>
      <w:r w:rsidRPr="0097459F">
        <w:t xml:space="preserve"> deliberação da assembleia de cotistas de que trata o art. </w:t>
      </w:r>
      <w:r>
        <w:t xml:space="preserve">126, </w:t>
      </w:r>
      <w:r w:rsidRPr="0097459F">
        <w:t>da parte geral da Resolução;</w:t>
      </w:r>
    </w:p>
    <w:p w14:paraId="0DC8ABC1" w14:textId="357DC5F8" w:rsidR="008205C5" w:rsidRPr="00DB08D5" w:rsidRDefault="008205C5" w:rsidP="008205C5">
      <w:pPr>
        <w:pStyle w:val="Normalalteradora"/>
        <w:numPr>
          <w:ilvl w:val="0"/>
          <w:numId w:val="40"/>
        </w:numPr>
        <w:ind w:left="709" w:hanging="142"/>
        <w:rPr>
          <w:strike/>
        </w:rPr>
      </w:pPr>
      <w:r>
        <w:rPr>
          <w:rFonts w:cstheme="minorHAnsi"/>
          <w:b/>
          <w:i/>
          <w:iCs/>
        </w:rPr>
        <w:t xml:space="preserve"> Inciso II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151041F9" w14:textId="47390A4F" w:rsidR="00C20BBD" w:rsidRDefault="00C20BBD" w:rsidP="00C20BBD">
      <w:pPr>
        <w:pStyle w:val="Normalalteradora"/>
        <w:ind w:firstLine="709"/>
        <w:rPr>
          <w:strike/>
        </w:rPr>
      </w:pPr>
      <w:r w:rsidRPr="008205C5">
        <w:rPr>
          <w:strike/>
        </w:rPr>
        <w:t xml:space="preserve">III – pelo exercício do direito de dissidência, nos termos do art. 55, parágrafo único, deste </w:t>
      </w:r>
      <w:r w:rsidR="00FB1127" w:rsidRPr="008205C5">
        <w:rPr>
          <w:strike/>
        </w:rPr>
        <w:t>Anexo Normativo II</w:t>
      </w:r>
      <w:r w:rsidRPr="008205C5">
        <w:rPr>
          <w:strike/>
        </w:rPr>
        <w:t>.</w:t>
      </w:r>
      <w:bookmarkStart w:id="603" w:name="_Toc50223200"/>
      <w:bookmarkStart w:id="604" w:name="_Toc50307886"/>
      <w:bookmarkStart w:id="605" w:name="_Toc50384337"/>
      <w:bookmarkStart w:id="606" w:name="_Toc52102976"/>
      <w:bookmarkStart w:id="607" w:name="_Toc52103010"/>
      <w:bookmarkStart w:id="608" w:name="_Toc52104227"/>
      <w:bookmarkStart w:id="609" w:name="_Toc507331280"/>
      <w:bookmarkEnd w:id="603"/>
      <w:bookmarkEnd w:id="604"/>
      <w:bookmarkEnd w:id="605"/>
      <w:bookmarkEnd w:id="606"/>
      <w:bookmarkEnd w:id="607"/>
      <w:bookmarkEnd w:id="608"/>
    </w:p>
    <w:p w14:paraId="6DEC0F96" w14:textId="5C7AD65D" w:rsidR="008205C5" w:rsidRDefault="008205C5" w:rsidP="008205C5">
      <w:pPr>
        <w:pStyle w:val="NormaAlterada"/>
      </w:pPr>
      <w:r w:rsidRPr="0097459F">
        <w:t>III – pelo exercício do direito de dissidência, nos termos do art. 55, parágrafo único, deste Anexo Normativo II</w:t>
      </w:r>
      <w:r w:rsidR="00E65F86">
        <w:t>;</w:t>
      </w:r>
      <w:r>
        <w:t xml:space="preserve"> </w:t>
      </w:r>
      <w:r w:rsidRPr="00E24D22">
        <w:t>ou</w:t>
      </w:r>
    </w:p>
    <w:p w14:paraId="662EFAD2" w14:textId="6D1BC139" w:rsidR="008205C5" w:rsidRPr="008205C5" w:rsidRDefault="008205C5" w:rsidP="008205C5">
      <w:pPr>
        <w:pStyle w:val="Normalalteradora"/>
        <w:numPr>
          <w:ilvl w:val="0"/>
          <w:numId w:val="40"/>
        </w:numPr>
        <w:ind w:left="709" w:hanging="142"/>
        <w:rPr>
          <w:strike/>
        </w:rPr>
      </w:pPr>
      <w:r>
        <w:rPr>
          <w:rFonts w:cstheme="minorHAnsi"/>
          <w:b/>
          <w:i/>
          <w:iCs/>
        </w:rPr>
        <w:t xml:space="preserve"> Inciso III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3A3E51B1" w14:textId="2C8BCC9E" w:rsidR="008205C5" w:rsidRDefault="008205C5" w:rsidP="00C20BBD">
      <w:pPr>
        <w:pStyle w:val="Normalalteradora"/>
        <w:ind w:firstLine="709"/>
      </w:pPr>
      <w:r w:rsidRPr="00E24D22">
        <w:t xml:space="preserve">IV – </w:t>
      </w:r>
      <w:proofErr w:type="gramStart"/>
      <w:r w:rsidRPr="00E24D22">
        <w:t>em</w:t>
      </w:r>
      <w:proofErr w:type="gramEnd"/>
      <w:r w:rsidRPr="00E24D22">
        <w:t xml:space="preserve"> caso de liquidação antecipada da classe, desde que seja destinada exclusivamente a investidores qualificados e a possibilidade esteja prevista no Regulamento.</w:t>
      </w:r>
    </w:p>
    <w:p w14:paraId="05A1A028" w14:textId="7A1AD551" w:rsidR="008205C5" w:rsidRPr="008205C5" w:rsidRDefault="008205C5" w:rsidP="008205C5">
      <w:pPr>
        <w:pStyle w:val="Normalalteradora"/>
        <w:numPr>
          <w:ilvl w:val="0"/>
          <w:numId w:val="40"/>
        </w:numPr>
        <w:ind w:left="709" w:hanging="142"/>
        <w:rPr>
          <w:strike/>
        </w:rPr>
      </w:pPr>
      <w:r>
        <w:rPr>
          <w:rFonts w:cstheme="minorHAnsi"/>
          <w:b/>
          <w:i/>
          <w:iCs/>
        </w:rPr>
        <w:t xml:space="preserve"> Inciso IV incluído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2BBFADE6" w14:textId="77777777" w:rsidR="00C20BBD" w:rsidRPr="0097459F" w:rsidRDefault="00C20BBD" w:rsidP="00C20BBD">
      <w:pPr>
        <w:pStyle w:val="Captulo"/>
      </w:pPr>
      <w:bookmarkStart w:id="610" w:name="_Toc53594275"/>
      <w:bookmarkStart w:id="611" w:name="_Toc53594523"/>
      <w:bookmarkStart w:id="612" w:name="_Toc53595548"/>
      <w:bookmarkStart w:id="613" w:name="_Toc57836285"/>
      <w:bookmarkStart w:id="614" w:name="_Toc161141296"/>
      <w:r w:rsidRPr="0097459F">
        <w:t>CAPÍTULO V – DOCUMENTOS E INFORMAÇÕES</w:t>
      </w:r>
      <w:bookmarkEnd w:id="610"/>
      <w:bookmarkEnd w:id="611"/>
      <w:bookmarkEnd w:id="612"/>
      <w:bookmarkEnd w:id="613"/>
      <w:bookmarkEnd w:id="614"/>
    </w:p>
    <w:p w14:paraId="737F0C1F" w14:textId="77777777" w:rsidR="00C20BBD" w:rsidRPr="0097459F" w:rsidRDefault="00C20BBD" w:rsidP="00C20BBD">
      <w:pPr>
        <w:pStyle w:val="Seo"/>
        <w:ind w:firstLine="709"/>
      </w:pPr>
      <w:bookmarkStart w:id="615" w:name="_Toc161141297"/>
      <w:r w:rsidRPr="0097459F">
        <w:t>Seção I – Lâmina de Informações Básicas</w:t>
      </w:r>
      <w:bookmarkEnd w:id="615"/>
    </w:p>
    <w:p w14:paraId="6C00EA9C" w14:textId="737E2049" w:rsidR="00C20BBD" w:rsidRPr="0097459F" w:rsidRDefault="00C20BBD" w:rsidP="00C20BBD">
      <w:pPr>
        <w:pStyle w:val="Normalalteradora"/>
        <w:ind w:firstLine="709"/>
      </w:pPr>
      <w:r w:rsidRPr="0097459F">
        <w:t xml:space="preserve">Art. 18.  O administrador de classe aberta destinada ao público em geral deve manter atualizada uma lâmina contendo as informações relevantes sobre a classe, elaborada conforme modelo disposto no Suplemento </w:t>
      </w:r>
      <w:r w:rsidR="00D10ACB" w:rsidRPr="0097459F">
        <w:t>E</w:t>
      </w:r>
      <w:r w:rsidRPr="0097459F">
        <w:t xml:space="preserve"> ou Suplemento </w:t>
      </w:r>
      <w:r w:rsidR="00D10ACB" w:rsidRPr="0097459F">
        <w:t>F</w:t>
      </w:r>
      <w:r w:rsidRPr="0097459F">
        <w:t xml:space="preserve">, </w:t>
      </w:r>
      <w:r w:rsidR="005C69F0" w:rsidRPr="0097459F">
        <w:t>conforme o caso</w:t>
      </w:r>
      <w:r w:rsidRPr="0097459F">
        <w:t>, no caso de classe de investimento em cotas.</w:t>
      </w:r>
    </w:p>
    <w:p w14:paraId="7A354B7E" w14:textId="77777777" w:rsidR="00C20BBD" w:rsidRPr="0097459F" w:rsidRDefault="00C20BBD" w:rsidP="00C20BBD">
      <w:pPr>
        <w:pStyle w:val="Normalalteradora"/>
        <w:ind w:firstLine="709"/>
      </w:pPr>
      <w:r w:rsidRPr="0097459F">
        <w:t>§ 1</w:t>
      </w:r>
      <w:proofErr w:type="gramStart"/>
      <w:r w:rsidRPr="0097459F">
        <w:t>º  É</w:t>
      </w:r>
      <w:proofErr w:type="gramEnd"/>
      <w:r w:rsidRPr="0097459F">
        <w:t xml:space="preserve"> facultado ao administrador formatar a lâmina livremente desde que:</w:t>
      </w:r>
    </w:p>
    <w:p w14:paraId="699E2578" w14:textId="77777777" w:rsidR="00C20BBD" w:rsidRPr="0097459F" w:rsidRDefault="00C20BBD" w:rsidP="00C20BBD">
      <w:pPr>
        <w:pStyle w:val="Normalalteradora"/>
        <w:ind w:firstLine="709"/>
      </w:pPr>
      <w:r w:rsidRPr="0097459F">
        <w:t xml:space="preserve">I – </w:t>
      </w:r>
      <w:proofErr w:type="gramStart"/>
      <w:r w:rsidRPr="0097459F">
        <w:t>a</w:t>
      </w:r>
      <w:proofErr w:type="gramEnd"/>
      <w:r w:rsidRPr="0097459F">
        <w:t xml:space="preserve"> ordem das informações seja mantida;</w:t>
      </w:r>
    </w:p>
    <w:p w14:paraId="731060CE" w14:textId="2FDAC0F3" w:rsidR="00C20BBD" w:rsidRPr="0097459F" w:rsidRDefault="00C20BBD" w:rsidP="00C20BBD">
      <w:pPr>
        <w:pStyle w:val="Normalalteradora"/>
        <w:ind w:firstLine="709"/>
      </w:pPr>
      <w:r w:rsidRPr="0097459F">
        <w:t xml:space="preserve">II – </w:t>
      </w:r>
      <w:proofErr w:type="gramStart"/>
      <w:r w:rsidRPr="0097459F">
        <w:t>o</w:t>
      </w:r>
      <w:proofErr w:type="gramEnd"/>
      <w:r w:rsidRPr="0097459F">
        <w:t xml:space="preserve"> conteúdo do Suplemento </w:t>
      </w:r>
      <w:r w:rsidR="005C69F0" w:rsidRPr="0097459F">
        <w:t>E</w:t>
      </w:r>
      <w:r w:rsidRPr="0097459F">
        <w:t xml:space="preserve"> ou </w:t>
      </w:r>
      <w:r w:rsidR="005C69F0" w:rsidRPr="0097459F">
        <w:t>F</w:t>
      </w:r>
      <w:r w:rsidRPr="0097459F">
        <w:t xml:space="preserve">, conforme o caso, não seja modificado; </w:t>
      </w:r>
    </w:p>
    <w:p w14:paraId="565EB479" w14:textId="77777777" w:rsidR="00C20BBD" w:rsidRPr="0097459F" w:rsidRDefault="00C20BBD" w:rsidP="00C20BBD">
      <w:pPr>
        <w:pStyle w:val="Normalalteradora"/>
        <w:ind w:firstLine="709"/>
      </w:pPr>
      <w:r w:rsidRPr="0097459F">
        <w:t>III – os logotipos e formatação não dificultem o entendimento das informações; e</w:t>
      </w:r>
    </w:p>
    <w:p w14:paraId="0A3E66B1" w14:textId="77777777" w:rsidR="00C20BBD" w:rsidRPr="0097459F" w:rsidRDefault="00C20BBD" w:rsidP="00C20BBD">
      <w:pPr>
        <w:pStyle w:val="Normalalteradora"/>
        <w:ind w:firstLine="709"/>
      </w:pPr>
      <w:r w:rsidRPr="0097459F">
        <w:t xml:space="preserve">IV – </w:t>
      </w:r>
      <w:proofErr w:type="gramStart"/>
      <w:r w:rsidRPr="0097459F">
        <w:t>quaisquer</w:t>
      </w:r>
      <w:proofErr w:type="gramEnd"/>
      <w:r w:rsidRPr="0097459F">
        <w:t xml:space="preserve"> informações adicionais não dificultem o entendimento das informações exigidas.</w:t>
      </w:r>
    </w:p>
    <w:p w14:paraId="16F65AE3" w14:textId="77777777" w:rsidR="00C20BBD" w:rsidRPr="0097459F" w:rsidRDefault="00C20BBD" w:rsidP="00C20BBD">
      <w:pPr>
        <w:pStyle w:val="Normalalteradora"/>
        <w:ind w:firstLine="709"/>
      </w:pPr>
      <w:r w:rsidRPr="0097459F">
        <w:t>§ 2</w:t>
      </w:r>
      <w:proofErr w:type="gramStart"/>
      <w:r w:rsidRPr="0097459F">
        <w:t>º  Caso</w:t>
      </w:r>
      <w:proofErr w:type="gramEnd"/>
      <w:r w:rsidRPr="0097459F">
        <w:t xml:space="preserve"> o regulamento estabeleça taxas mínimas e máximas, englobando as taxas das classes investidas, conforme previsto no art. 98, § 1º, da parte geral da Resolução, a lâmina deve destacar as taxas máximas.</w:t>
      </w:r>
    </w:p>
    <w:p w14:paraId="04096DFE" w14:textId="77777777" w:rsidR="00C20BBD" w:rsidRPr="0097459F" w:rsidRDefault="00C20BBD" w:rsidP="00C20BBD">
      <w:pPr>
        <w:pStyle w:val="Normalalteradora"/>
        <w:ind w:firstLine="709"/>
      </w:pPr>
      <w:r w:rsidRPr="0097459F">
        <w:lastRenderedPageBreak/>
        <w:t xml:space="preserve">Art. 19.  Em acréscimo aos materiais referidos nos incisos do </w:t>
      </w:r>
      <w:r w:rsidRPr="0097459F">
        <w:rPr>
          <w:b/>
        </w:rPr>
        <w:t>caput</w:t>
      </w:r>
      <w:r w:rsidRPr="0097459F">
        <w:t xml:space="preserve"> do art. 47 da parte geral da Resolução, a divulgação de informações dos FIDC deve contemplar a disponibilização da lâmina atualizada, se aplicável.</w:t>
      </w:r>
    </w:p>
    <w:p w14:paraId="78CD4D3C" w14:textId="77777777" w:rsidR="00C20BBD" w:rsidRPr="0097459F" w:rsidRDefault="00C20BBD" w:rsidP="00C20BBD">
      <w:pPr>
        <w:pStyle w:val="Seo"/>
        <w:ind w:firstLine="709"/>
      </w:pPr>
      <w:bookmarkStart w:id="616" w:name="_Toc53594276"/>
      <w:bookmarkStart w:id="617" w:name="_Toc53594524"/>
      <w:bookmarkStart w:id="618" w:name="_Toc53595549"/>
      <w:bookmarkStart w:id="619" w:name="_Toc57836286"/>
      <w:bookmarkStart w:id="620" w:name="_Toc161141298"/>
      <w:r w:rsidRPr="0097459F">
        <w:t>Seção II – Regulamento</w:t>
      </w:r>
      <w:bookmarkEnd w:id="616"/>
      <w:bookmarkEnd w:id="617"/>
      <w:bookmarkEnd w:id="618"/>
      <w:bookmarkEnd w:id="619"/>
      <w:bookmarkEnd w:id="620"/>
    </w:p>
    <w:p w14:paraId="7718FE30" w14:textId="77777777" w:rsidR="00C20BBD" w:rsidRPr="0097459F" w:rsidRDefault="00C20BBD" w:rsidP="00C20BBD">
      <w:pPr>
        <w:pStyle w:val="Normalalteradora"/>
        <w:ind w:firstLine="709"/>
      </w:pPr>
      <w:r w:rsidRPr="0097459F">
        <w:t xml:space="preserve">Art. 20. Em acréscimo às matérias dispostas no art. 48 da parte geral da Resolução, o regulamento do FIDC deve dispor sobre: </w:t>
      </w:r>
    </w:p>
    <w:p w14:paraId="14DC8056" w14:textId="77777777" w:rsidR="00C20BBD" w:rsidRPr="0097459F" w:rsidRDefault="00C20BBD" w:rsidP="00C20BBD">
      <w:pPr>
        <w:pStyle w:val="Normalalteradora"/>
        <w:ind w:firstLine="709"/>
      </w:pPr>
      <w:r w:rsidRPr="0097459F">
        <w:t>I – índice referencial, se houver, para cada subclasse em separado;</w:t>
      </w:r>
    </w:p>
    <w:p w14:paraId="6A341152" w14:textId="77777777" w:rsidR="00C20BBD" w:rsidRPr="0097459F" w:rsidRDefault="00C20BBD" w:rsidP="00C20BBD">
      <w:pPr>
        <w:pStyle w:val="Normalalteradora"/>
        <w:ind w:firstLine="709"/>
      </w:pPr>
      <w:r w:rsidRPr="0097459F">
        <w:t>II – índice de subordinação, se houver, para cada subclasse em separado, assim como os procedimentos aplicáveis na hipótese de inobservância desse índice;</w:t>
      </w:r>
    </w:p>
    <w:p w14:paraId="6A896BD3" w14:textId="77777777" w:rsidR="00C20BBD" w:rsidRPr="0097459F" w:rsidRDefault="00C20BBD" w:rsidP="00C20BBD">
      <w:pPr>
        <w:pStyle w:val="Normalalteradora"/>
        <w:ind w:firstLine="709"/>
      </w:pPr>
      <w:r w:rsidRPr="0097459F">
        <w:t>III – taxa de performance, se houver;</w:t>
      </w:r>
    </w:p>
    <w:p w14:paraId="34FA7337" w14:textId="77777777" w:rsidR="00C20BBD" w:rsidRPr="0097459F" w:rsidRDefault="00C20BBD" w:rsidP="00C20BBD">
      <w:pPr>
        <w:pStyle w:val="Normalalteradora"/>
        <w:ind w:firstLine="709"/>
      </w:pPr>
      <w:r w:rsidRPr="0097459F">
        <w:t xml:space="preserve">IV – </w:t>
      </w:r>
      <w:proofErr w:type="gramStart"/>
      <w:r w:rsidRPr="0097459F">
        <w:t>remuneração</w:t>
      </w:r>
      <w:proofErr w:type="gramEnd"/>
      <w:r w:rsidRPr="0097459F">
        <w:t xml:space="preserve"> da consultoria especializada, se houver;</w:t>
      </w:r>
    </w:p>
    <w:p w14:paraId="0722DE99" w14:textId="77777777" w:rsidR="00C20BBD" w:rsidRPr="0097459F" w:rsidRDefault="00C20BBD" w:rsidP="00C20BBD">
      <w:pPr>
        <w:pStyle w:val="Normalalteradora"/>
        <w:ind w:firstLine="709"/>
      </w:pPr>
      <w:r w:rsidRPr="0097459F">
        <w:t xml:space="preserve">V – </w:t>
      </w:r>
      <w:proofErr w:type="gramStart"/>
      <w:r w:rsidRPr="0097459F">
        <w:t>diferenciação</w:t>
      </w:r>
      <w:proofErr w:type="gramEnd"/>
      <w:r w:rsidRPr="0097459F">
        <w:t xml:space="preserve"> entre as subclasses, se houver;</w:t>
      </w:r>
    </w:p>
    <w:p w14:paraId="5FC25059" w14:textId="2C89D43A" w:rsidR="00C20BBD" w:rsidRPr="0097459F" w:rsidRDefault="00C20BBD" w:rsidP="00C20BBD">
      <w:pPr>
        <w:pStyle w:val="Normalalteradora"/>
        <w:ind w:firstLine="709"/>
      </w:pPr>
      <w:r w:rsidRPr="0097459F">
        <w:t xml:space="preserve">VI – </w:t>
      </w:r>
      <w:proofErr w:type="gramStart"/>
      <w:r w:rsidRPr="0097459F">
        <w:t>diferenciação</w:t>
      </w:r>
      <w:proofErr w:type="gramEnd"/>
      <w:r w:rsidRPr="0097459F">
        <w:t xml:space="preserve"> entre as séries de cotas seniores e subordinadas mezanino, se houver, nos termos do art. 8º, parágrafo único, deste </w:t>
      </w:r>
      <w:r w:rsidR="00FB1127" w:rsidRPr="0097459F">
        <w:t>Anexo Normativo II</w:t>
      </w:r>
      <w:r w:rsidRPr="0097459F">
        <w:t>;</w:t>
      </w:r>
    </w:p>
    <w:p w14:paraId="3C914C16" w14:textId="77777777" w:rsidR="00C20BBD" w:rsidRPr="0097459F" w:rsidRDefault="00C20BBD" w:rsidP="00C20BBD">
      <w:pPr>
        <w:pStyle w:val="Normalalteradora"/>
        <w:ind w:firstLine="709"/>
      </w:pPr>
      <w:r w:rsidRPr="0097459F">
        <w:t>VII – possibilidade de a verificação do lastro dos direitos creditórios ser executada por amostragem, e bem como especificação dos parâmetros relativos à diversificação de devedores, quantidade e valor médio dos créditos a serem observados para esse fim;</w:t>
      </w:r>
    </w:p>
    <w:p w14:paraId="2D20B518" w14:textId="77777777" w:rsidR="00C20BBD" w:rsidRPr="0097459F" w:rsidRDefault="00C20BBD" w:rsidP="00C20BBD">
      <w:pPr>
        <w:pStyle w:val="Normalalteradora"/>
        <w:ind w:firstLine="709"/>
      </w:pPr>
      <w:r w:rsidRPr="0097459F">
        <w:t>VIII – procedimentos aplicáveis à cobrança dos direitos creditórios, incluindo aqueles vencidos e não pagos; e</w:t>
      </w:r>
    </w:p>
    <w:p w14:paraId="5AD03009" w14:textId="77777777" w:rsidR="00C20BBD" w:rsidRPr="0097459F" w:rsidRDefault="00C20BBD" w:rsidP="00C20BBD">
      <w:pPr>
        <w:pStyle w:val="Normalalteradora"/>
        <w:ind w:firstLine="709"/>
      </w:pPr>
      <w:r w:rsidRPr="0097459F">
        <w:t xml:space="preserve">IX – </w:t>
      </w:r>
      <w:proofErr w:type="gramStart"/>
      <w:r w:rsidRPr="0097459F">
        <w:t>eventos</w:t>
      </w:r>
      <w:proofErr w:type="gramEnd"/>
      <w:r w:rsidRPr="0097459F">
        <w:t xml:space="preserve"> que ensejam a liquidação antecipada da classe.</w:t>
      </w:r>
    </w:p>
    <w:p w14:paraId="7FCFACB2" w14:textId="77777777" w:rsidR="00C20BBD" w:rsidRPr="0097459F" w:rsidRDefault="00C20BBD" w:rsidP="00C20BBD">
      <w:pPr>
        <w:pStyle w:val="Normalalteradora"/>
        <w:ind w:firstLine="709"/>
      </w:pPr>
      <w:r w:rsidRPr="0097459F">
        <w:t>§ 1</w:t>
      </w:r>
      <w:proofErr w:type="gramStart"/>
      <w:r w:rsidRPr="0097459F">
        <w:t>º  O</w:t>
      </w:r>
      <w:proofErr w:type="gramEnd"/>
      <w:r w:rsidRPr="0097459F">
        <w:t xml:space="preserve"> índice de subordinação de cada subclasse de cotas mezanino e da subclasse de cotas subordinadas deve ser expresso no regulamento por meio de uma taxa percentual do patrimônio líquido da classe de cotas.</w:t>
      </w:r>
    </w:p>
    <w:p w14:paraId="5D212A4A" w14:textId="01CF61DE" w:rsidR="00C20BBD" w:rsidRPr="0097459F" w:rsidRDefault="00C20BBD" w:rsidP="00C20BBD">
      <w:pPr>
        <w:pStyle w:val="Normalalteradora"/>
        <w:ind w:firstLine="709"/>
      </w:pPr>
      <w:r w:rsidRPr="0097459F">
        <w:t>§ 2</w:t>
      </w:r>
      <w:proofErr w:type="gramStart"/>
      <w:r w:rsidRPr="0097459F">
        <w:t>º  Caso</w:t>
      </w:r>
      <w:proofErr w:type="gramEnd"/>
      <w:r w:rsidRPr="0097459F">
        <w:t xml:space="preserve"> o fundo conte com diferentes classes de cotas, as matérias previstas nos incisos do </w:t>
      </w:r>
      <w:r w:rsidRPr="0097459F">
        <w:rPr>
          <w:b/>
        </w:rPr>
        <w:t>caput</w:t>
      </w:r>
      <w:r w:rsidRPr="0097459F">
        <w:t xml:space="preserve"> devem ser disciplinadas no anexo da classe a que se referirem.</w:t>
      </w:r>
    </w:p>
    <w:p w14:paraId="5C603C03" w14:textId="77777777" w:rsidR="00C20BBD" w:rsidRPr="0097459F" w:rsidRDefault="00C20BBD" w:rsidP="00C20BBD">
      <w:pPr>
        <w:pStyle w:val="Normalalteradora"/>
        <w:ind w:firstLine="709"/>
      </w:pPr>
      <w:r w:rsidRPr="0097459F">
        <w:t>Art. 21.  A política de investimento disposta no regulamento deve conter, no mínimo, as seguintes informações:</w:t>
      </w:r>
    </w:p>
    <w:p w14:paraId="72EB24D7" w14:textId="77777777" w:rsidR="00C20BBD" w:rsidRPr="0097459F" w:rsidRDefault="00C20BBD" w:rsidP="00C20BBD">
      <w:pPr>
        <w:pStyle w:val="Normalalteradora"/>
        <w:ind w:firstLine="709"/>
      </w:pPr>
      <w:r w:rsidRPr="0097459F">
        <w:lastRenderedPageBreak/>
        <w:t xml:space="preserve">I – </w:t>
      </w:r>
      <w:proofErr w:type="gramStart"/>
      <w:r w:rsidRPr="0097459F">
        <w:t>segmentos</w:t>
      </w:r>
      <w:proofErr w:type="gramEnd"/>
      <w:r w:rsidRPr="0097459F">
        <w:t xml:space="preserve"> econômicos em que são originados e natureza dos direitos creditórios;</w:t>
      </w:r>
    </w:p>
    <w:p w14:paraId="41F13F92" w14:textId="77777777" w:rsidR="00C20BBD" w:rsidRPr="0097459F" w:rsidRDefault="00C20BBD" w:rsidP="00C20BBD">
      <w:pPr>
        <w:pStyle w:val="Normalalteradora"/>
        <w:ind w:firstLine="709"/>
      </w:pPr>
      <w:r w:rsidRPr="0097459F">
        <w:t xml:space="preserve">II – </w:t>
      </w:r>
      <w:proofErr w:type="gramStart"/>
      <w:r w:rsidRPr="0097459F">
        <w:t>processos</w:t>
      </w:r>
      <w:proofErr w:type="gramEnd"/>
      <w:r w:rsidRPr="0097459F">
        <w:t xml:space="preserve"> de originação dos direitos creditórios e das políticas de concessão dos correspondentes créditos;</w:t>
      </w:r>
    </w:p>
    <w:p w14:paraId="5F209A6E" w14:textId="77777777" w:rsidR="00C20BBD" w:rsidRPr="0097459F" w:rsidRDefault="00C20BBD" w:rsidP="00C20BBD">
      <w:pPr>
        <w:pStyle w:val="Normalalteradora"/>
        <w:ind w:firstLine="709"/>
      </w:pPr>
      <w:r w:rsidRPr="0097459F">
        <w:t>III – critérios de elegibilidade dos direitos creditórios e, se for o caso, condições de cessão;</w:t>
      </w:r>
    </w:p>
    <w:p w14:paraId="00D1585D" w14:textId="269FF13C" w:rsidR="00C20BBD" w:rsidRPr="0097459F" w:rsidRDefault="00C20BBD" w:rsidP="00C20BBD">
      <w:pPr>
        <w:pStyle w:val="Normalalteradora"/>
        <w:ind w:firstLine="709"/>
      </w:pPr>
      <w:r w:rsidRPr="0097459F">
        <w:t xml:space="preserve">IV – </w:t>
      </w:r>
      <w:proofErr w:type="gramStart"/>
      <w:r w:rsidRPr="0097459F">
        <w:t>requisitos</w:t>
      </w:r>
      <w:proofErr w:type="gramEnd"/>
      <w:r w:rsidRPr="0097459F">
        <w:t xml:space="preserve"> de composição e diversificação da carteira de ativos, se houver, sem prejuízo dos limites estabelecidos neste </w:t>
      </w:r>
      <w:r w:rsidR="00FB1127" w:rsidRPr="0097459F">
        <w:t>Anexo Normativo II</w:t>
      </w:r>
      <w:r w:rsidRPr="0097459F">
        <w:t xml:space="preserve">; </w:t>
      </w:r>
    </w:p>
    <w:p w14:paraId="7A37988F" w14:textId="77777777" w:rsidR="00C20BBD" w:rsidRPr="0097459F" w:rsidRDefault="00C20BBD" w:rsidP="00C20BBD">
      <w:pPr>
        <w:pStyle w:val="Normalalteradora"/>
        <w:ind w:firstLine="709"/>
      </w:pPr>
      <w:r w:rsidRPr="0097459F">
        <w:t xml:space="preserve">V – </w:t>
      </w:r>
      <w:proofErr w:type="gramStart"/>
      <w:r w:rsidRPr="0097459F">
        <w:t>limites</w:t>
      </w:r>
      <w:proofErr w:type="gramEnd"/>
      <w:r w:rsidRPr="0097459F">
        <w:t xml:space="preserve"> para:</w:t>
      </w:r>
    </w:p>
    <w:p w14:paraId="41E4AFAB" w14:textId="05F310ED" w:rsidR="00C20BBD" w:rsidRPr="0097459F" w:rsidRDefault="00C20BBD" w:rsidP="00C20BBD">
      <w:pPr>
        <w:pStyle w:val="Normalalteradora"/>
        <w:ind w:firstLine="709"/>
      </w:pPr>
      <w:r w:rsidRPr="0097459F">
        <w:t xml:space="preserve">a) aplicação em direitos creditórios originados ou cedidos pelo administrador, gestor, consultoria especializada e suas partes relacionadas, sem prejuízo do disposto no art. 13, inciso IV, “b”, deste </w:t>
      </w:r>
      <w:r w:rsidR="00FB1127" w:rsidRPr="0097459F">
        <w:t>Anexo Normativo II</w:t>
      </w:r>
      <w:r w:rsidRPr="0097459F">
        <w:t>;</w:t>
      </w:r>
    </w:p>
    <w:p w14:paraId="7D3412F3" w14:textId="77777777" w:rsidR="00C20BBD" w:rsidRPr="0097459F" w:rsidRDefault="00C20BBD" w:rsidP="00C20BBD">
      <w:pPr>
        <w:pStyle w:val="Normalalteradora"/>
        <w:ind w:firstLine="709"/>
      </w:pPr>
      <w:r w:rsidRPr="0097459F">
        <w:t>b) aplicação em ativos financeiros de liquidez de emissão ou que envolvam retenção de risco</w:t>
      </w:r>
      <w:r w:rsidRPr="0097459F" w:rsidDel="00616604">
        <w:t xml:space="preserve"> </w:t>
      </w:r>
      <w:r w:rsidRPr="0097459F">
        <w:t>por parte do administrador, gestor e suas partes relacionadas;</w:t>
      </w:r>
    </w:p>
    <w:p w14:paraId="51C800B1" w14:textId="77777777" w:rsidR="00C20BBD" w:rsidRPr="0097459F" w:rsidRDefault="00C20BBD" w:rsidP="00C20BBD">
      <w:pPr>
        <w:pStyle w:val="Normalalteradora"/>
        <w:ind w:firstLine="709"/>
      </w:pPr>
      <w:r w:rsidRPr="0097459F">
        <w:t>c) inexistindo contraparte central, operações com derivativos que tenham como contraparte o gestor ou suas partes relacionadas;</w:t>
      </w:r>
    </w:p>
    <w:p w14:paraId="00CF6F6E" w14:textId="77777777" w:rsidR="00C20BBD" w:rsidRPr="0097459F" w:rsidRDefault="00C20BBD" w:rsidP="00C20BBD">
      <w:pPr>
        <w:pStyle w:val="Normalalteradora"/>
        <w:ind w:firstLine="709"/>
      </w:pPr>
      <w:r w:rsidRPr="0097459F">
        <w:t xml:space="preserve">VI – </w:t>
      </w:r>
      <w:proofErr w:type="gramStart"/>
      <w:r w:rsidRPr="0097459F">
        <w:t>hipóteses</w:t>
      </w:r>
      <w:proofErr w:type="gramEnd"/>
      <w:r w:rsidRPr="0097459F">
        <w:t xml:space="preserve"> de </w:t>
      </w:r>
      <w:proofErr w:type="spellStart"/>
      <w:r w:rsidRPr="0097459F">
        <w:t>revolvência</w:t>
      </w:r>
      <w:proofErr w:type="spellEnd"/>
      <w:r w:rsidRPr="0097459F">
        <w:t xml:space="preserve"> dos direitos creditórios, se for o caso; e</w:t>
      </w:r>
    </w:p>
    <w:p w14:paraId="30F27C5E" w14:textId="77777777" w:rsidR="00C20BBD" w:rsidRPr="0097459F" w:rsidRDefault="00C20BBD" w:rsidP="00C20BBD">
      <w:pPr>
        <w:pStyle w:val="Normalalteradora"/>
        <w:ind w:firstLine="709"/>
      </w:pPr>
      <w:r w:rsidRPr="0097459F">
        <w:t>VII – regras, procedimentos e limites para efetuar cessão de direitos creditórios para o cedente e suas partes relacionadas.</w:t>
      </w:r>
    </w:p>
    <w:p w14:paraId="6199FED6" w14:textId="77777777" w:rsidR="00C20BBD" w:rsidRPr="0097459F" w:rsidRDefault="00C20BBD" w:rsidP="00C20BBD">
      <w:pPr>
        <w:pStyle w:val="Normalalteradora"/>
        <w:ind w:firstLine="709"/>
      </w:pPr>
      <w:r w:rsidRPr="0097459F">
        <w:t>Art. 22.  A política de investimento da classe de investimento em cotas deve dispor, no mínimo, sobre o percentual máximo de aplicação em:</w:t>
      </w:r>
    </w:p>
    <w:p w14:paraId="6BD2312B" w14:textId="77777777" w:rsidR="00C20BBD" w:rsidRPr="0097459F" w:rsidRDefault="00C20BBD" w:rsidP="00C20BBD">
      <w:pPr>
        <w:pStyle w:val="Normalalteradora"/>
        <w:ind w:firstLine="709"/>
      </w:pPr>
      <w:r w:rsidRPr="0097459F">
        <w:t xml:space="preserve">I – </w:t>
      </w:r>
      <w:proofErr w:type="gramStart"/>
      <w:r w:rsidRPr="0097459F">
        <w:t>classes</w:t>
      </w:r>
      <w:proofErr w:type="gramEnd"/>
      <w:r w:rsidRPr="0097459F">
        <w:t xml:space="preserve"> de cotas que contem com serviços do administrador, gestor, consultoria especializada ou suas partes relacionadas; e</w:t>
      </w:r>
    </w:p>
    <w:p w14:paraId="79B52379" w14:textId="77777777" w:rsidR="00C20BBD" w:rsidRPr="0097459F" w:rsidRDefault="00C20BBD" w:rsidP="00C20BBD">
      <w:pPr>
        <w:pStyle w:val="Normalalteradora"/>
        <w:ind w:firstLine="709"/>
      </w:pPr>
      <w:r w:rsidRPr="0097459F">
        <w:t xml:space="preserve">II – </w:t>
      </w:r>
      <w:proofErr w:type="gramStart"/>
      <w:r w:rsidRPr="0097459F">
        <w:t>ativos</w:t>
      </w:r>
      <w:proofErr w:type="gramEnd"/>
      <w:r w:rsidRPr="0097459F">
        <w:t xml:space="preserve"> financeiros de liquidez de emissão ou que contem com retenção de risco por parte do administrador, gestor ou suas partes relacionadas.</w:t>
      </w:r>
    </w:p>
    <w:p w14:paraId="351EC5AE" w14:textId="77777777" w:rsidR="00C20BBD" w:rsidRPr="0097459F" w:rsidRDefault="00C20BBD" w:rsidP="00C20BBD">
      <w:pPr>
        <w:pStyle w:val="Seo"/>
        <w:ind w:firstLine="709"/>
      </w:pPr>
      <w:bookmarkStart w:id="621" w:name="_Toc53594277"/>
      <w:bookmarkStart w:id="622" w:name="_Toc53594525"/>
      <w:bookmarkStart w:id="623" w:name="_Toc53595550"/>
      <w:bookmarkStart w:id="624" w:name="_Toc57836287"/>
      <w:bookmarkStart w:id="625" w:name="_Toc161141299"/>
      <w:r w:rsidRPr="0097459F">
        <w:t>Seção III – Material de Divulgação</w:t>
      </w:r>
      <w:bookmarkEnd w:id="621"/>
      <w:bookmarkEnd w:id="622"/>
      <w:bookmarkEnd w:id="623"/>
      <w:bookmarkEnd w:id="624"/>
      <w:bookmarkEnd w:id="625"/>
    </w:p>
    <w:p w14:paraId="78926D43" w14:textId="77777777" w:rsidR="00C20BBD" w:rsidRPr="0097459F" w:rsidRDefault="00C20BBD" w:rsidP="00C20BBD">
      <w:pPr>
        <w:pStyle w:val="Normalalteradora"/>
        <w:ind w:firstLine="709"/>
      </w:pPr>
      <w:r w:rsidRPr="0097459F">
        <w:t>Art. 23.  Qualquer material de divulgação deve:</w:t>
      </w:r>
    </w:p>
    <w:p w14:paraId="2476A75E" w14:textId="77777777" w:rsidR="00C20BBD" w:rsidRPr="0097459F" w:rsidRDefault="00C20BBD" w:rsidP="00C20BBD">
      <w:pPr>
        <w:pStyle w:val="Normalalteradora"/>
        <w:ind w:firstLine="709"/>
      </w:pPr>
      <w:r w:rsidRPr="0097459F">
        <w:t xml:space="preserve">I – </w:t>
      </w:r>
      <w:proofErr w:type="gramStart"/>
      <w:r w:rsidRPr="0097459F">
        <w:t>ser</w:t>
      </w:r>
      <w:proofErr w:type="gramEnd"/>
      <w:r w:rsidRPr="0097459F">
        <w:t xml:space="preserve"> consistente com o regulamento e a lâmina, se aplicável;</w:t>
      </w:r>
    </w:p>
    <w:p w14:paraId="76FF76B8" w14:textId="77777777" w:rsidR="00C20BBD" w:rsidRPr="0097459F" w:rsidRDefault="00C20BBD" w:rsidP="00C20BBD">
      <w:pPr>
        <w:pStyle w:val="Normalalteradora"/>
        <w:ind w:firstLine="709"/>
      </w:pPr>
      <w:r w:rsidRPr="0097459F">
        <w:lastRenderedPageBreak/>
        <w:t xml:space="preserve">II – </w:t>
      </w:r>
      <w:proofErr w:type="gramStart"/>
      <w:r w:rsidRPr="0097459F">
        <w:t>ser</w:t>
      </w:r>
      <w:proofErr w:type="gramEnd"/>
      <w:r w:rsidRPr="0097459F">
        <w:t xml:space="preserve"> apresentado em conjunto com a lâmina, se aplicável</w:t>
      </w:r>
    </w:p>
    <w:p w14:paraId="417A6C2D" w14:textId="77777777" w:rsidR="00C20BBD" w:rsidRPr="0097459F" w:rsidRDefault="00C20BBD" w:rsidP="00C20BBD">
      <w:pPr>
        <w:pStyle w:val="Normalalteradora"/>
        <w:ind w:firstLine="709"/>
      </w:pPr>
      <w:r w:rsidRPr="0097459F">
        <w:t>III – mencionar a existência da lâmina, se for o caso, bem como os endereços na rede mundial de computadores nos quais pode ser obtida; e</w:t>
      </w:r>
    </w:p>
    <w:p w14:paraId="1094D397" w14:textId="77777777" w:rsidR="00C20BBD" w:rsidRPr="0097459F" w:rsidRDefault="00C20BBD" w:rsidP="00C20BBD">
      <w:pPr>
        <w:pStyle w:val="Normalalteradora"/>
        <w:ind w:firstLine="709"/>
      </w:pPr>
      <w:r w:rsidRPr="0097459F">
        <w:t xml:space="preserve">IV – </w:t>
      </w:r>
      <w:proofErr w:type="gramStart"/>
      <w:r w:rsidRPr="0097459F">
        <w:t>conter</w:t>
      </w:r>
      <w:proofErr w:type="gramEnd"/>
      <w:r w:rsidRPr="0097459F">
        <w:t xml:space="preserve"> as informações do item 11 da lâmina, se esta não for obrigatória.</w:t>
      </w:r>
    </w:p>
    <w:p w14:paraId="38860825" w14:textId="77777777" w:rsidR="00C20BBD" w:rsidRPr="0097459F" w:rsidRDefault="00C20BBD" w:rsidP="00C20BBD">
      <w:pPr>
        <w:pStyle w:val="Normalalteradora"/>
        <w:ind w:firstLine="709"/>
      </w:pPr>
      <w:r w:rsidRPr="0097459F">
        <w:t>§ 1</w:t>
      </w:r>
      <w:proofErr w:type="gramStart"/>
      <w:r w:rsidRPr="0097459F">
        <w:t>º  O</w:t>
      </w:r>
      <w:proofErr w:type="gramEnd"/>
      <w:r w:rsidRPr="0097459F">
        <w:t xml:space="preserve"> disposto no inciso II não se aplica:</w:t>
      </w:r>
    </w:p>
    <w:p w14:paraId="08F34771" w14:textId="77777777" w:rsidR="00C20BBD" w:rsidRPr="0097459F" w:rsidRDefault="00C20BBD" w:rsidP="00C20BBD">
      <w:pPr>
        <w:pStyle w:val="Normalalteradora"/>
        <w:ind w:firstLine="709"/>
      </w:pPr>
      <w:r w:rsidRPr="0097459F">
        <w:t xml:space="preserve">I – </w:t>
      </w:r>
      <w:proofErr w:type="gramStart"/>
      <w:r w:rsidRPr="0097459F">
        <w:t>aos</w:t>
      </w:r>
      <w:proofErr w:type="gramEnd"/>
      <w:r w:rsidRPr="0097459F">
        <w:t xml:space="preserve"> materiais de divulgação veiculados em áudio, vídeo ou em mídia impressa, tais como jornais e revistas;</w:t>
      </w:r>
    </w:p>
    <w:p w14:paraId="78085EEA" w14:textId="77777777" w:rsidR="00C20BBD" w:rsidRPr="0097459F" w:rsidRDefault="00C20BBD" w:rsidP="00C20BBD">
      <w:pPr>
        <w:pStyle w:val="Normalalteradora"/>
        <w:ind w:firstLine="709"/>
      </w:pPr>
      <w:r w:rsidRPr="0097459F">
        <w:t xml:space="preserve">II – </w:t>
      </w:r>
      <w:proofErr w:type="gramStart"/>
      <w:r w:rsidRPr="0097459F">
        <w:t>aos</w:t>
      </w:r>
      <w:proofErr w:type="gramEnd"/>
      <w:r w:rsidRPr="0097459F">
        <w:t xml:space="preserve"> materiais que citem mais de uma classe de cotas, sem destacar qualquer classe mencionada;</w:t>
      </w:r>
    </w:p>
    <w:p w14:paraId="742E1EEE" w14:textId="77777777" w:rsidR="00C20BBD" w:rsidRPr="0097459F" w:rsidRDefault="00C20BBD" w:rsidP="00C20BBD">
      <w:pPr>
        <w:pStyle w:val="Normalalteradora"/>
        <w:ind w:firstLine="709"/>
      </w:pPr>
      <w:r w:rsidRPr="0097459F">
        <w:t>III – aos materiais que, exclusivamente, citem a rentabilidade de mais de uma classe de cotas; e</w:t>
      </w:r>
    </w:p>
    <w:p w14:paraId="28658E44" w14:textId="77777777" w:rsidR="00C20BBD" w:rsidRPr="0097459F" w:rsidRDefault="00C20BBD" w:rsidP="00C20BBD">
      <w:pPr>
        <w:pStyle w:val="Normalalteradora"/>
        <w:ind w:firstLine="709"/>
      </w:pPr>
      <w:r w:rsidRPr="0097459F">
        <w:t xml:space="preserve">IV – </w:t>
      </w:r>
      <w:proofErr w:type="gramStart"/>
      <w:r w:rsidRPr="0097459F">
        <w:t>aos</w:t>
      </w:r>
      <w:proofErr w:type="gramEnd"/>
      <w:r w:rsidRPr="0097459F">
        <w:t xml:space="preserve"> textos de natureza digital ou impressa que não permitam, por restrições técnicas, a disponibilização de documentos.</w:t>
      </w:r>
    </w:p>
    <w:p w14:paraId="5B0F9FA4" w14:textId="77777777" w:rsidR="00C20BBD" w:rsidRPr="0097459F" w:rsidRDefault="00C20BBD" w:rsidP="00C20BBD">
      <w:pPr>
        <w:pStyle w:val="Normalalteradora"/>
        <w:ind w:firstLine="709"/>
      </w:pPr>
      <w:r w:rsidRPr="0097459F">
        <w:t>§ 2</w:t>
      </w:r>
      <w:proofErr w:type="gramStart"/>
      <w:r w:rsidRPr="0097459F">
        <w:t>º  Os</w:t>
      </w:r>
      <w:proofErr w:type="gramEnd"/>
      <w:r w:rsidRPr="0097459F">
        <w:t xml:space="preserve"> materiais mencionados no § 1º devem veicular, em destaque e preferencialmente em formato de </w:t>
      </w:r>
      <w:r w:rsidRPr="0097459F">
        <w:rPr>
          <w:b/>
        </w:rPr>
        <w:t>hyperlink</w:t>
      </w:r>
      <w:r w:rsidRPr="0097459F">
        <w:t>, o endereço na rede mundial de computadores em que a lâmina possa ser obtida, nos casos em que esta seja obrigatória.</w:t>
      </w:r>
    </w:p>
    <w:p w14:paraId="016C47B9" w14:textId="77777777" w:rsidR="00C20BBD" w:rsidRPr="0097459F" w:rsidRDefault="00C20BBD" w:rsidP="00C20BBD">
      <w:pPr>
        <w:pStyle w:val="Normalalteradora"/>
        <w:ind w:firstLine="709"/>
      </w:pPr>
      <w:r w:rsidRPr="0097459F">
        <w:t>Art. 24.  Caso o material de divulgação inclua informação sobre a rentabilidade da classe de cotas, em acréscimo às informações contidas no art. 56 da parte geral da Resolução, deve ser informada a taxa de performance, se houver, conforme expressa no regulamento vigente nos últimos 12 (doze) meses ou desde sua constituição, se mais recente.</w:t>
      </w:r>
    </w:p>
    <w:p w14:paraId="32084253" w14:textId="77777777" w:rsidR="00C20BBD" w:rsidRPr="0097459F" w:rsidRDefault="00C20BBD" w:rsidP="00C20BBD">
      <w:pPr>
        <w:pStyle w:val="Normalalteradora"/>
        <w:ind w:firstLine="709"/>
      </w:pPr>
      <w:r w:rsidRPr="0097459F">
        <w:t>Art. 25.  Caso a classe seja destinada ao público em geral e sua política de investimentos admita a aquisição de precatórios federais, o material de divulgação deve destacar os riscos específicos do investimento nesse tipo de ativo.</w:t>
      </w:r>
    </w:p>
    <w:p w14:paraId="01E533E3" w14:textId="209036EB" w:rsidR="00C20BBD" w:rsidRPr="0097459F" w:rsidRDefault="00C20BBD" w:rsidP="00C20BBD">
      <w:pPr>
        <w:pStyle w:val="Normalalteradora"/>
        <w:ind w:firstLine="709"/>
      </w:pPr>
      <w:r w:rsidRPr="0097459F">
        <w:t xml:space="preserve">Art. 26.  As disposições constantes da Seção III do Capítulo V da </w:t>
      </w:r>
      <w:r w:rsidR="00B51EDE">
        <w:t xml:space="preserve">parte geral da </w:t>
      </w:r>
      <w:r w:rsidRPr="0097459F">
        <w:t>Resolução não se aplicam à lâmina.</w:t>
      </w:r>
    </w:p>
    <w:p w14:paraId="51044040" w14:textId="77777777" w:rsidR="00C20BBD" w:rsidRPr="0097459F" w:rsidRDefault="00C20BBD" w:rsidP="00C20BBD">
      <w:pPr>
        <w:pStyle w:val="Captulo"/>
      </w:pPr>
      <w:bookmarkStart w:id="626" w:name="_Toc53594278"/>
      <w:bookmarkStart w:id="627" w:name="_Toc53594526"/>
      <w:bookmarkStart w:id="628" w:name="_Toc53595551"/>
      <w:bookmarkStart w:id="629" w:name="_Toc57836288"/>
      <w:bookmarkStart w:id="630" w:name="_Toc161141300"/>
      <w:r w:rsidRPr="0097459F">
        <w:t>CAPÍTULO VI – INFORMAÇÕES</w:t>
      </w:r>
      <w:bookmarkEnd w:id="626"/>
      <w:bookmarkEnd w:id="627"/>
      <w:bookmarkEnd w:id="628"/>
      <w:bookmarkEnd w:id="629"/>
      <w:bookmarkEnd w:id="630"/>
    </w:p>
    <w:p w14:paraId="2B21C2F7" w14:textId="77777777" w:rsidR="00C20BBD" w:rsidRPr="0097459F" w:rsidRDefault="00C20BBD" w:rsidP="00C20BBD">
      <w:pPr>
        <w:pStyle w:val="Normalalteradora"/>
        <w:ind w:firstLine="709"/>
      </w:pPr>
      <w:r w:rsidRPr="0097459F">
        <w:t>Art. 27.  O administrador é responsável por:</w:t>
      </w:r>
    </w:p>
    <w:p w14:paraId="49413926" w14:textId="77777777" w:rsidR="00C20BBD" w:rsidRPr="0097459F" w:rsidRDefault="00C20BBD" w:rsidP="00C20BBD">
      <w:pPr>
        <w:pStyle w:val="Normalalteradora"/>
        <w:ind w:firstLine="709"/>
      </w:pPr>
      <w:r w:rsidRPr="0097459F">
        <w:lastRenderedPageBreak/>
        <w:t xml:space="preserve">I – </w:t>
      </w:r>
      <w:proofErr w:type="gramStart"/>
      <w:r w:rsidRPr="0097459F">
        <w:t>calcular e divulgar</w:t>
      </w:r>
      <w:proofErr w:type="gramEnd"/>
      <w:r w:rsidRPr="0097459F">
        <w:t xml:space="preserve"> o valor da cota e do patrimônio líquido das classes e subclasses abertas, em periodicidade compatível com o prazo entre o pedido de resgate e seu pagamento, conforme previsto em regulamento;</w:t>
      </w:r>
    </w:p>
    <w:p w14:paraId="663A4237" w14:textId="77777777" w:rsidR="00C20BBD" w:rsidRPr="0097459F" w:rsidRDefault="00C20BBD" w:rsidP="00C20BBD">
      <w:pPr>
        <w:pStyle w:val="Normalalteradora"/>
        <w:ind w:firstLine="709"/>
      </w:pPr>
      <w:r w:rsidRPr="0097459F">
        <w:t xml:space="preserve">II – </w:t>
      </w:r>
      <w:proofErr w:type="gramStart"/>
      <w:r w:rsidRPr="0097459F">
        <w:t>disponibilizar</w:t>
      </w:r>
      <w:proofErr w:type="gramEnd"/>
      <w:r w:rsidRPr="0097459F">
        <w:t xml:space="preserve"> aos cotistas das classes destinadas ao público em geral, mensalmente, extrato de conta contendo:</w:t>
      </w:r>
    </w:p>
    <w:p w14:paraId="640B28E5" w14:textId="77777777" w:rsidR="00C20BBD" w:rsidRPr="0097459F" w:rsidRDefault="00C20BBD" w:rsidP="00C20BBD">
      <w:pPr>
        <w:pStyle w:val="Normalalteradora"/>
        <w:ind w:firstLine="709"/>
      </w:pPr>
      <w:r w:rsidRPr="0097459F">
        <w:t>a) nome do fundo e, se for o caso, da classe a que se referirem as informações, e os números de seus registros no CNPJ;</w:t>
      </w:r>
    </w:p>
    <w:p w14:paraId="1B2CCF22" w14:textId="77777777" w:rsidR="00C20BBD" w:rsidRPr="0097459F" w:rsidRDefault="00C20BBD" w:rsidP="00C20BBD">
      <w:pPr>
        <w:pStyle w:val="Normalalteradora"/>
        <w:ind w:firstLine="709"/>
      </w:pPr>
      <w:r w:rsidRPr="0097459F">
        <w:t>b) nome, endereço e número de registro do administrador no CNPJ;</w:t>
      </w:r>
    </w:p>
    <w:p w14:paraId="2112FB15" w14:textId="77777777" w:rsidR="00C20BBD" w:rsidRPr="0097459F" w:rsidRDefault="00C20BBD" w:rsidP="00C20BBD">
      <w:pPr>
        <w:pStyle w:val="Normalalteradora"/>
        <w:ind w:firstLine="709"/>
      </w:pPr>
      <w:r w:rsidRPr="0097459F">
        <w:t>c) nome do cotista;</w:t>
      </w:r>
    </w:p>
    <w:p w14:paraId="70372327" w14:textId="77777777" w:rsidR="00C20BBD" w:rsidRPr="0097459F" w:rsidRDefault="00C20BBD" w:rsidP="00C20BBD">
      <w:pPr>
        <w:pStyle w:val="Normalalteradora"/>
        <w:ind w:firstLine="709"/>
      </w:pPr>
      <w:r w:rsidRPr="0097459F">
        <w:t>d) saldo e valor das cotas no início e no final do período;</w:t>
      </w:r>
    </w:p>
    <w:p w14:paraId="0E4C76CC" w14:textId="77777777" w:rsidR="00C20BBD" w:rsidRPr="0097459F" w:rsidRDefault="00C20BBD" w:rsidP="00C20BBD">
      <w:pPr>
        <w:pStyle w:val="Normalalteradora"/>
        <w:ind w:firstLine="709"/>
      </w:pPr>
      <w:r w:rsidRPr="0097459F">
        <w:t>e) data de emissão do extrato da conta; e</w:t>
      </w:r>
    </w:p>
    <w:p w14:paraId="26762BAE" w14:textId="1C3D0081" w:rsidR="00C20BBD" w:rsidRPr="0097459F" w:rsidRDefault="00C20BBD" w:rsidP="00C20BBD">
      <w:pPr>
        <w:pStyle w:val="Normalalteradora"/>
        <w:ind w:firstLine="709"/>
      </w:pPr>
      <w:r w:rsidRPr="0097459F">
        <w:t xml:space="preserve">f) </w:t>
      </w:r>
      <w:r w:rsidR="002F0393">
        <w:t>canais de atendimento</w:t>
      </w:r>
      <w:r w:rsidRPr="0097459F">
        <w:t xml:space="preserve"> para correspondência do serviço de atendimento aos cotistas referido no inciso VI do art. 104 da parte geral </w:t>
      </w:r>
      <w:r w:rsidR="00B51EDE">
        <w:t xml:space="preserve">da </w:t>
      </w:r>
      <w:r w:rsidRPr="0097459F">
        <w:t>Resolução;</w:t>
      </w:r>
    </w:p>
    <w:p w14:paraId="1E767533" w14:textId="3815E13E" w:rsidR="00C20BBD" w:rsidRPr="0097459F" w:rsidRDefault="00C20BBD" w:rsidP="00C20BBD">
      <w:pPr>
        <w:pStyle w:val="Normalalteradora"/>
        <w:ind w:firstLine="709"/>
      </w:pPr>
      <w:r w:rsidRPr="0097459F">
        <w:t>III – encaminhar o informe mensal à CVM,</w:t>
      </w:r>
      <w:bookmarkStart w:id="631" w:name="_Hlk51255827"/>
      <w:r w:rsidRPr="0097459F">
        <w:t xml:space="preserve"> por meio de sistema eletrônico disponível na rede mundial de computadores</w:t>
      </w:r>
      <w:bookmarkEnd w:id="631"/>
      <w:r w:rsidRPr="0097459F">
        <w:t xml:space="preserve">, conforme modelo disposto no Suplemento </w:t>
      </w:r>
      <w:r w:rsidR="005C69F0" w:rsidRPr="0097459F">
        <w:t>G</w:t>
      </w:r>
      <w:r w:rsidRPr="0097459F">
        <w:t>, observando o prazo de 15 (quinze) dias após o encerramento do mês a que se referirem as informações;</w:t>
      </w:r>
    </w:p>
    <w:p w14:paraId="417AE7D7" w14:textId="77777777" w:rsidR="00C20BBD" w:rsidRPr="0097459F" w:rsidRDefault="00C20BBD" w:rsidP="00C20BBD">
      <w:pPr>
        <w:pStyle w:val="Normalalteradora"/>
        <w:ind w:firstLine="709"/>
      </w:pPr>
      <w:r w:rsidRPr="0097459F">
        <w:t xml:space="preserve">IV – </w:t>
      </w:r>
      <w:proofErr w:type="gramStart"/>
      <w:r w:rsidRPr="0097459F">
        <w:t>encaminhar</w:t>
      </w:r>
      <w:proofErr w:type="gramEnd"/>
      <w:r w:rsidRPr="0097459F">
        <w:t xml:space="preserve"> o demonstrativo de composição e diversificação das aplicações das classes de investimento em cotas à CVM, mensalmente, por meio de sistema eletrônico disponível na rede mundial de computadores, conforme formulário disponível no referido sistema, observando o prazo de 15 (quinze) dias após o encerramento do mês a que se referirem as informações; e</w:t>
      </w:r>
    </w:p>
    <w:p w14:paraId="231CF36E" w14:textId="77777777" w:rsidR="00C20BBD" w:rsidRPr="0097459F" w:rsidRDefault="00C20BBD" w:rsidP="00C20BBD">
      <w:pPr>
        <w:pStyle w:val="Normalalteradora"/>
        <w:ind w:firstLine="709"/>
      </w:pPr>
      <w:r w:rsidRPr="0097459F">
        <w:t xml:space="preserve">V – </w:t>
      </w:r>
      <w:proofErr w:type="gramStart"/>
      <w:r w:rsidRPr="0097459F">
        <w:t>encaminhar</w:t>
      </w:r>
      <w:proofErr w:type="gramEnd"/>
      <w:r w:rsidRPr="0097459F">
        <w:t xml:space="preserve"> o demonstrativo trimestral à CVM, por meio de sistema eletrônico disponível na rede mundial de computadores, no prazo de 45 (quarenta e cinco) dias após o encerramento do trimestre civil a que se referirem as informações, evidenciando:</w:t>
      </w:r>
    </w:p>
    <w:p w14:paraId="28B39203" w14:textId="3EC49388" w:rsidR="00C20BBD" w:rsidRPr="0097459F" w:rsidRDefault="00C20BBD" w:rsidP="00C20BBD">
      <w:pPr>
        <w:pStyle w:val="Normalalteradora"/>
        <w:ind w:firstLine="709"/>
      </w:pPr>
      <w:r w:rsidRPr="0097459F">
        <w:t xml:space="preserve">a) os resultados da última verificação do lastro dos direitos creditórios realizado pelo custodiante, nos termos do art. 38 deste </w:t>
      </w:r>
      <w:r w:rsidR="00FB1127" w:rsidRPr="0097459F">
        <w:t>Anexo Normativo II</w:t>
      </w:r>
      <w:r w:rsidRPr="0097459F">
        <w:t>, explicitando, dentre o universo analisado, a quantidade e a relevância dos créditos inexistentes porventura encontrados;</w:t>
      </w:r>
    </w:p>
    <w:p w14:paraId="0BF548C5" w14:textId="77777777" w:rsidR="00C20BBD" w:rsidRPr="0097459F" w:rsidRDefault="00C20BBD" w:rsidP="00C20BBD">
      <w:pPr>
        <w:pStyle w:val="Normalalteradora"/>
        <w:ind w:firstLine="709"/>
      </w:pPr>
      <w:r w:rsidRPr="0097459F">
        <w:lastRenderedPageBreak/>
        <w:t>b) os resultados do registro dos direitos creditórios no que se refere à origem, existência e exigibilidade desses ativos, explicitando a quantidade e a relevância dos créditos que não foram aceitos para registro;</w:t>
      </w:r>
    </w:p>
    <w:p w14:paraId="5BF57293" w14:textId="77777777" w:rsidR="00C20BBD" w:rsidRPr="0097459F" w:rsidRDefault="00C20BBD" w:rsidP="00C20BBD">
      <w:pPr>
        <w:pStyle w:val="Normalalteradora"/>
        <w:ind w:firstLine="709"/>
      </w:pPr>
      <w:r w:rsidRPr="0097459F">
        <w:t>c) o eventual ajuizamento de ação judicial de cobrança ou propositura de processo administrativo, judicial ou arbitral envolvendo a classe de cotas, bem como a indicação do percentual do patrimônio envolvido e em risco;</w:t>
      </w:r>
    </w:p>
    <w:p w14:paraId="72395667" w14:textId="6D1CCDAB" w:rsidR="00C20BBD" w:rsidRPr="0097459F" w:rsidRDefault="00C20BBD" w:rsidP="00C20BBD">
      <w:pPr>
        <w:pStyle w:val="Normalalteradora"/>
        <w:ind w:firstLine="709"/>
      </w:pPr>
      <w:r w:rsidRPr="0097459F">
        <w:t>d) informações contidas no relatório trimestral do gestor a que se refere o § 3º deste artigo;</w:t>
      </w:r>
      <w:r w:rsidR="00D72A68">
        <w:t xml:space="preserve"> </w:t>
      </w:r>
      <w:r w:rsidR="00B51EDE">
        <w:t>e</w:t>
      </w:r>
    </w:p>
    <w:p w14:paraId="1CB4A7EE" w14:textId="77777777" w:rsidR="00C20BBD" w:rsidRPr="0097459F" w:rsidRDefault="00C20BBD" w:rsidP="00C20BBD">
      <w:pPr>
        <w:pStyle w:val="Normalalteradora"/>
        <w:ind w:firstLine="709"/>
      </w:pPr>
      <w:r w:rsidRPr="0097459F">
        <w:t>e) no caso de classe destinada ao público em geral que adquira precatórios federais:</w:t>
      </w:r>
    </w:p>
    <w:p w14:paraId="599B0856" w14:textId="77777777" w:rsidR="00C20BBD" w:rsidRPr="0097459F" w:rsidRDefault="00C20BBD" w:rsidP="00C20BBD">
      <w:pPr>
        <w:pStyle w:val="Normalalteradora"/>
        <w:ind w:firstLine="709"/>
      </w:pPr>
      <w:r w:rsidRPr="0097459F">
        <w:t>1. se o precatório permanece na ordem de pagamento da União; e</w:t>
      </w:r>
    </w:p>
    <w:p w14:paraId="2B9BB1E5" w14:textId="77777777" w:rsidR="00C20BBD" w:rsidRPr="0097459F" w:rsidRDefault="00C20BBD" w:rsidP="00C20BBD">
      <w:pPr>
        <w:pStyle w:val="Normalalteradora"/>
        <w:ind w:firstLine="709"/>
      </w:pPr>
      <w:r w:rsidRPr="0097459F">
        <w:t>2. sobre eventual existência de impugnação judicial ou fatos supervenientes capazes de alterar a ordem ou o prazo de pagamento do precatório e avaliação, fundamentada, sobre a chance de êxito das impugnações.</w:t>
      </w:r>
    </w:p>
    <w:p w14:paraId="0F047230" w14:textId="77777777" w:rsidR="00C20BBD" w:rsidRPr="0097459F" w:rsidRDefault="00C20BBD" w:rsidP="00C20BBD">
      <w:pPr>
        <w:pStyle w:val="Normalalteradora"/>
        <w:ind w:firstLine="709"/>
      </w:pPr>
      <w:r w:rsidRPr="0097459F">
        <w:t>§ 1</w:t>
      </w:r>
      <w:proofErr w:type="gramStart"/>
      <w:r w:rsidRPr="0097459F">
        <w:t>º  O</w:t>
      </w:r>
      <w:proofErr w:type="gramEnd"/>
      <w:r w:rsidRPr="0097459F">
        <w:t xml:space="preserve"> administrador está dispensado de disponibilizar o extrato de que trata o inciso II do </w:t>
      </w:r>
      <w:r w:rsidRPr="0097459F">
        <w:rPr>
          <w:b/>
        </w:rPr>
        <w:t>caput</w:t>
      </w:r>
      <w:r w:rsidRPr="0097459F">
        <w:t xml:space="preserve"> para os cotistas que expressamente concordarem em não receber o documento.</w:t>
      </w:r>
    </w:p>
    <w:p w14:paraId="389D66AB" w14:textId="77777777" w:rsidR="00C20BBD" w:rsidRPr="0097459F" w:rsidRDefault="00C20BBD" w:rsidP="00C20BBD">
      <w:pPr>
        <w:pStyle w:val="Normalalteradora"/>
        <w:ind w:firstLine="709"/>
      </w:pPr>
      <w:r w:rsidRPr="0097459F">
        <w:t>§ 2</w:t>
      </w:r>
      <w:proofErr w:type="gramStart"/>
      <w:r w:rsidRPr="0097459F">
        <w:t>º  A</w:t>
      </w:r>
      <w:proofErr w:type="gramEnd"/>
      <w:r w:rsidRPr="0097459F">
        <w:t xml:space="preserve"> informação de que trata a alínea “c” do inciso V do </w:t>
      </w:r>
      <w:r w:rsidRPr="0097459F">
        <w:rPr>
          <w:b/>
          <w:bCs/>
        </w:rPr>
        <w:t>caput</w:t>
      </w:r>
      <w:r w:rsidRPr="0097459F">
        <w:t>:</w:t>
      </w:r>
    </w:p>
    <w:p w14:paraId="09786FB0" w14:textId="77777777" w:rsidR="00C20BBD" w:rsidRPr="0097459F" w:rsidRDefault="00C20BBD" w:rsidP="00C20BBD">
      <w:pPr>
        <w:pStyle w:val="Normalalteradora"/>
        <w:ind w:firstLine="709"/>
      </w:pPr>
      <w:r w:rsidRPr="0097459F">
        <w:t xml:space="preserve">I – </w:t>
      </w:r>
      <w:proofErr w:type="gramStart"/>
      <w:r w:rsidRPr="0097459F">
        <w:t>pode</w:t>
      </w:r>
      <w:proofErr w:type="gramEnd"/>
      <w:r w:rsidRPr="0097459F">
        <w:t xml:space="preserve"> ser dada de forma agregada, caso a quantidade e valores envolvidos nas ações judiciais e arbitrais assim justifiquem; ou</w:t>
      </w:r>
    </w:p>
    <w:p w14:paraId="6C6163F0" w14:textId="77777777" w:rsidR="00C20BBD" w:rsidRPr="0097459F" w:rsidRDefault="00C20BBD" w:rsidP="00C20BBD">
      <w:pPr>
        <w:pStyle w:val="Normalalteradora"/>
        <w:ind w:firstLine="709"/>
      </w:pPr>
      <w:r w:rsidRPr="0097459F">
        <w:t xml:space="preserve">II – </w:t>
      </w:r>
      <w:proofErr w:type="gramStart"/>
      <w:r w:rsidRPr="0097459F">
        <w:t>pode</w:t>
      </w:r>
      <w:proofErr w:type="gramEnd"/>
      <w:r w:rsidRPr="0097459F">
        <w:t xml:space="preserve"> ser omitida do demonstrativo trimestral, a critério do gestor, caso sua divulgação possa prejudicar a estratégia de cobrança ou fomentar a inadimplência de direitos creditórios.</w:t>
      </w:r>
    </w:p>
    <w:p w14:paraId="6F43E672" w14:textId="77777777" w:rsidR="00C20BBD" w:rsidRPr="0097459F" w:rsidRDefault="00C20BBD" w:rsidP="00C20BBD">
      <w:pPr>
        <w:pStyle w:val="Normalalteradora"/>
        <w:ind w:firstLine="709"/>
      </w:pPr>
      <w:r w:rsidRPr="0097459F">
        <w:t>§ 3</w:t>
      </w:r>
      <w:proofErr w:type="gramStart"/>
      <w:r w:rsidRPr="0097459F">
        <w:t>º  Para</w:t>
      </w:r>
      <w:proofErr w:type="gramEnd"/>
      <w:r w:rsidRPr="0097459F">
        <w:t xml:space="preserve"> efeitos da alínea “d” do inciso V do </w:t>
      </w:r>
      <w:r w:rsidRPr="0097459F">
        <w:rPr>
          <w:b/>
          <w:bCs/>
        </w:rPr>
        <w:t>caput</w:t>
      </w:r>
      <w:r w:rsidRPr="0097459F">
        <w:t>, o gestor deve elaborar e encaminhar ao administrador, em até 40 (quarenta) dias após o encerramento do trimestre civil a que se referir, relatório contendo:</w:t>
      </w:r>
    </w:p>
    <w:p w14:paraId="1AEC91C9" w14:textId="77777777" w:rsidR="00C20BBD" w:rsidRPr="0097459F" w:rsidRDefault="00C20BBD" w:rsidP="00C20BBD">
      <w:pPr>
        <w:pStyle w:val="Normalalteradora"/>
        <w:ind w:firstLine="709"/>
      </w:pPr>
      <w:r w:rsidRPr="0097459F">
        <w:t xml:space="preserve">I – </w:t>
      </w:r>
      <w:proofErr w:type="gramStart"/>
      <w:r w:rsidRPr="0097459F">
        <w:t>os</w:t>
      </w:r>
      <w:proofErr w:type="gramEnd"/>
      <w:r w:rsidRPr="0097459F">
        <w:t xml:space="preserve"> efeitos de eventual alteração na política de investimento sobre a rentabilidade da carteira de ativos;</w:t>
      </w:r>
    </w:p>
    <w:p w14:paraId="00A194EE" w14:textId="77777777" w:rsidR="00C20BBD" w:rsidRPr="0097459F" w:rsidRDefault="00C20BBD" w:rsidP="00C20BBD">
      <w:pPr>
        <w:pStyle w:val="Normalalteradora"/>
        <w:ind w:firstLine="709"/>
      </w:pPr>
      <w:r w:rsidRPr="0097459F">
        <w:t xml:space="preserve">II – </w:t>
      </w:r>
      <w:proofErr w:type="gramStart"/>
      <w:r w:rsidRPr="0097459F">
        <w:t>em</w:t>
      </w:r>
      <w:proofErr w:type="gramEnd"/>
      <w:r w:rsidRPr="0097459F">
        <w:t xml:space="preserve"> relação aos originadores que representem individualmente 10% (dez por cento) ou mais da carteira de direitos creditórios no trimestre:</w:t>
      </w:r>
    </w:p>
    <w:p w14:paraId="51DB17D2" w14:textId="77777777" w:rsidR="00C20BBD" w:rsidRPr="0097459F" w:rsidRDefault="00C20BBD" w:rsidP="00C20BBD">
      <w:pPr>
        <w:pStyle w:val="Normalalteradora"/>
        <w:ind w:firstLine="709"/>
      </w:pPr>
      <w:r w:rsidRPr="0097459F">
        <w:lastRenderedPageBreak/>
        <w:t>a) critérios para a concessão de crédito adotados pelos originadores, caso tais critérios não tenham sido descritos no regulamento ou em outros demonstrativos trimestrais; e</w:t>
      </w:r>
    </w:p>
    <w:p w14:paraId="5D2DB751" w14:textId="77777777" w:rsidR="00C20BBD" w:rsidRPr="0097459F" w:rsidRDefault="00C20BBD" w:rsidP="00C20BBD">
      <w:pPr>
        <w:pStyle w:val="Normalalteradora"/>
        <w:ind w:firstLine="709"/>
      </w:pPr>
      <w:r w:rsidRPr="0097459F">
        <w:t>b) eventuais alterações nos critérios para a concessão de crédito adotados por tais originadores, caso os critérios adotados já tenham sido descritos no regulamento ou em outros demonstrativos trimestrais;</w:t>
      </w:r>
    </w:p>
    <w:p w14:paraId="3DDE9689" w14:textId="77777777" w:rsidR="00C20BBD" w:rsidRPr="0097459F" w:rsidRDefault="00C20BBD" w:rsidP="00C20BBD">
      <w:pPr>
        <w:pStyle w:val="Normalalteradora"/>
        <w:ind w:firstLine="709"/>
      </w:pPr>
      <w:r w:rsidRPr="0097459F">
        <w:t>III – eventuais alterações nas garantias existentes para o conjunto de direitos creditórios;</w:t>
      </w:r>
    </w:p>
    <w:p w14:paraId="1F41E621" w14:textId="77777777" w:rsidR="00C20BBD" w:rsidRPr="0097459F" w:rsidRDefault="00C20BBD" w:rsidP="00C20BBD">
      <w:pPr>
        <w:pStyle w:val="Normalalteradora"/>
        <w:ind w:firstLine="709"/>
      </w:pPr>
      <w:r w:rsidRPr="0097459F">
        <w:t xml:space="preserve">IV – </w:t>
      </w:r>
      <w:proofErr w:type="gramStart"/>
      <w:r w:rsidRPr="0097459F">
        <w:t>forma</w:t>
      </w:r>
      <w:proofErr w:type="gramEnd"/>
      <w:r w:rsidRPr="0097459F">
        <w:t xml:space="preserve"> como se operou a cessão dos direitos creditórios, incluindo:</w:t>
      </w:r>
    </w:p>
    <w:p w14:paraId="3E264A18" w14:textId="77777777" w:rsidR="00C20BBD" w:rsidRPr="0097459F" w:rsidRDefault="00C20BBD" w:rsidP="00C20BBD">
      <w:pPr>
        <w:pStyle w:val="Normalalteradora"/>
        <w:ind w:firstLine="709"/>
      </w:pPr>
      <w:r w:rsidRPr="0097459F">
        <w:t>a) descrição de contratos relevantes firmados com esse propósito, se houver; e</w:t>
      </w:r>
    </w:p>
    <w:p w14:paraId="5DF546D8" w14:textId="77777777" w:rsidR="00C20BBD" w:rsidRPr="0097459F" w:rsidRDefault="00C20BBD" w:rsidP="00C20BBD">
      <w:pPr>
        <w:pStyle w:val="Normalalteradora"/>
        <w:ind w:firstLine="709"/>
      </w:pPr>
      <w:r w:rsidRPr="0097459F">
        <w:t>b) indicação do caráter definitivo, ou não, da cessão de direitos creditórios;</w:t>
      </w:r>
    </w:p>
    <w:p w14:paraId="25ABBB4A" w14:textId="77777777" w:rsidR="00C20BBD" w:rsidRPr="0097459F" w:rsidRDefault="00C20BBD" w:rsidP="00C20BBD">
      <w:pPr>
        <w:pStyle w:val="Normalalteradora"/>
        <w:ind w:firstLine="709"/>
      </w:pPr>
      <w:r w:rsidRPr="0097459F">
        <w:t xml:space="preserve">V – </w:t>
      </w:r>
      <w:proofErr w:type="gramStart"/>
      <w:r w:rsidRPr="0097459F">
        <w:t>impacto</w:t>
      </w:r>
      <w:proofErr w:type="gramEnd"/>
      <w:r w:rsidRPr="0097459F">
        <w:t xml:space="preserve"> dos eventos de pré-pagamento no valor do patrimônio líquido e na rentabilidade da carteira;</w:t>
      </w:r>
    </w:p>
    <w:p w14:paraId="483CD229" w14:textId="77777777" w:rsidR="00C20BBD" w:rsidRPr="0097459F" w:rsidRDefault="00C20BBD" w:rsidP="00C20BBD">
      <w:pPr>
        <w:pStyle w:val="Normalalteradora"/>
        <w:ind w:firstLine="709"/>
      </w:pPr>
      <w:r w:rsidRPr="0097459F">
        <w:t xml:space="preserve">VI – </w:t>
      </w:r>
      <w:proofErr w:type="gramStart"/>
      <w:r w:rsidRPr="0097459F">
        <w:t>condições</w:t>
      </w:r>
      <w:proofErr w:type="gramEnd"/>
      <w:r w:rsidRPr="0097459F">
        <w:t xml:space="preserve"> de alienação, a qualquer título, de direitos creditórios, incluindo:</w:t>
      </w:r>
    </w:p>
    <w:p w14:paraId="60574549" w14:textId="77777777" w:rsidR="00C20BBD" w:rsidRPr="0097459F" w:rsidRDefault="00C20BBD" w:rsidP="00C20BBD">
      <w:pPr>
        <w:pStyle w:val="Normalalteradora"/>
        <w:ind w:firstLine="709"/>
      </w:pPr>
      <w:r w:rsidRPr="0097459F">
        <w:t>a) momento da alienação (antes ou depois do vencimento); e</w:t>
      </w:r>
    </w:p>
    <w:p w14:paraId="0F09EBEC" w14:textId="77777777" w:rsidR="00C20BBD" w:rsidRPr="0097459F" w:rsidRDefault="00C20BBD" w:rsidP="00C20BBD">
      <w:pPr>
        <w:pStyle w:val="Normalalteradora"/>
        <w:ind w:firstLine="709"/>
      </w:pPr>
      <w:r w:rsidRPr="0097459F">
        <w:t>b) motivação da alienação;</w:t>
      </w:r>
    </w:p>
    <w:p w14:paraId="0AAC6D84" w14:textId="77777777" w:rsidR="00C20BBD" w:rsidRPr="0097459F" w:rsidRDefault="00C20BBD" w:rsidP="00C20BBD">
      <w:pPr>
        <w:pStyle w:val="Normalalteradora"/>
        <w:ind w:firstLine="709"/>
      </w:pPr>
      <w:r w:rsidRPr="0097459F">
        <w:t>VII – impacto no valor do patrimônio líquido e na rentabilidade da carteira de ativos de uma possível descontinuidade, a qualquer título, da originação ou cessão de direitos creditórios; e</w:t>
      </w:r>
    </w:p>
    <w:p w14:paraId="13F21DF3" w14:textId="77777777" w:rsidR="00C20BBD" w:rsidRPr="0097459F" w:rsidRDefault="00C20BBD" w:rsidP="00C20BBD">
      <w:pPr>
        <w:pStyle w:val="Normalalteradora"/>
        <w:ind w:firstLine="709"/>
      </w:pPr>
      <w:r w:rsidRPr="0097459F">
        <w:t xml:space="preserve">VIII – informações sobre fatos ocorridos que afetaram a regularidade dos fluxos financeiros oriundos dos direitos creditórios, incluindo, mas não se limitando, a quaisquer eventos que acarretem </w:t>
      </w:r>
      <w:proofErr w:type="gramStart"/>
      <w:r w:rsidRPr="0097459F">
        <w:t>na</w:t>
      </w:r>
      <w:proofErr w:type="gramEnd"/>
      <w:r w:rsidRPr="0097459F">
        <w:t xml:space="preserve"> liquidação ou amortização antecipada de direitos creditórios.</w:t>
      </w:r>
    </w:p>
    <w:p w14:paraId="4A73A135" w14:textId="77777777" w:rsidR="00C20BBD" w:rsidRPr="0097459F" w:rsidRDefault="00C20BBD" w:rsidP="00C20BBD">
      <w:pPr>
        <w:pStyle w:val="Normalalteradora"/>
        <w:ind w:firstLine="709"/>
      </w:pPr>
      <w:r w:rsidRPr="0097459F">
        <w:t>§ 4</w:t>
      </w:r>
      <w:proofErr w:type="gramStart"/>
      <w:r w:rsidRPr="0097459F">
        <w:t>º  O</w:t>
      </w:r>
      <w:proofErr w:type="gramEnd"/>
      <w:r w:rsidRPr="0097459F">
        <w:t xml:space="preserve"> administrador deve diligenciar junto ao gestor para o cumprimento do disposto na alínea “d” do inciso V do </w:t>
      </w:r>
      <w:r w:rsidRPr="0097459F">
        <w:rPr>
          <w:b/>
          <w:bCs/>
        </w:rPr>
        <w:t>caput</w:t>
      </w:r>
      <w:r w:rsidRPr="0097459F">
        <w:t>, devendo notificar o gestor e comunicar imediatamente à CVM caso não receba a informação no prazo estipulado no § 3º.</w:t>
      </w:r>
    </w:p>
    <w:p w14:paraId="50FC555B" w14:textId="77777777" w:rsidR="00C20BBD" w:rsidRPr="0097459F" w:rsidRDefault="00C20BBD" w:rsidP="00C20BBD">
      <w:pPr>
        <w:pStyle w:val="Captulo"/>
        <w:ind w:firstLine="709"/>
      </w:pPr>
      <w:bookmarkStart w:id="632" w:name="_Toc53594279"/>
      <w:bookmarkStart w:id="633" w:name="_Toc53594527"/>
      <w:bookmarkStart w:id="634" w:name="_Toc53595552"/>
      <w:bookmarkStart w:id="635" w:name="_Toc57836289"/>
      <w:bookmarkStart w:id="636" w:name="_Toc161141301"/>
      <w:r w:rsidRPr="0097459F">
        <w:t>CAPÍTULO VII – ASSEMBLEIAS DE COTISTAS</w:t>
      </w:r>
      <w:bookmarkEnd w:id="632"/>
      <w:bookmarkEnd w:id="633"/>
      <w:bookmarkEnd w:id="634"/>
      <w:bookmarkEnd w:id="635"/>
      <w:bookmarkEnd w:id="636"/>
    </w:p>
    <w:p w14:paraId="7B635B7F" w14:textId="77777777" w:rsidR="00C20BBD" w:rsidRPr="0097459F" w:rsidRDefault="00C20BBD" w:rsidP="00C20BBD">
      <w:pPr>
        <w:pStyle w:val="Normalalteradora"/>
        <w:ind w:firstLine="709"/>
      </w:pPr>
      <w:r w:rsidRPr="0097459F">
        <w:t>Art. 28.  Caso a classe possua subclasses de cotas, para fins de quórum em assembleia de cotistas, o regulamento do fundo deve dispor sobre os votos atribuídos a cada subclasse na assembleia.</w:t>
      </w:r>
    </w:p>
    <w:p w14:paraId="2DBA165E" w14:textId="77777777" w:rsidR="00C20BBD" w:rsidRDefault="00C20BBD" w:rsidP="00C20BBD">
      <w:pPr>
        <w:pStyle w:val="Normalalteradora"/>
        <w:ind w:firstLine="709"/>
        <w:rPr>
          <w:strike/>
        </w:rPr>
      </w:pPr>
      <w:r w:rsidRPr="008205C5">
        <w:rPr>
          <w:strike/>
        </w:rPr>
        <w:lastRenderedPageBreak/>
        <w:t>Parágrafo único.  Caso a matéria em deliberação resulte ou possa resultar em uma redução do índice de subordinação de uma determinada subclasse de cotas, somente podem votar os titulares de cotas seniores, assim como titulares de cotas mezanino que não se subordinem à subclasse em deliberação.</w:t>
      </w:r>
    </w:p>
    <w:p w14:paraId="0E6999B3" w14:textId="77777777" w:rsidR="008205C5" w:rsidRPr="0097459F" w:rsidRDefault="008205C5" w:rsidP="008205C5">
      <w:pPr>
        <w:pStyle w:val="NormaAlterada"/>
      </w:pPr>
      <w:r>
        <w:t>§ 1</w:t>
      </w:r>
      <w:proofErr w:type="gramStart"/>
      <w:r>
        <w:t xml:space="preserve">º  </w:t>
      </w:r>
      <w:r w:rsidRPr="0097459F">
        <w:t>Caso</w:t>
      </w:r>
      <w:proofErr w:type="gramEnd"/>
      <w:r w:rsidRPr="0097459F">
        <w:t xml:space="preserve"> a matéria em deliberação resulte ou possa resultar em uma redução do índice de subordinação de uma determinada subclasse de cotas, somente podem votar os titulares de cotas seniores, assim como </w:t>
      </w:r>
      <w:r w:rsidRPr="00261FB9">
        <w:rPr>
          <w:rStyle w:val="normaltextrun"/>
          <w:rFonts w:eastAsia="Calibri"/>
          <w:shd w:val="clear" w:color="auto" w:fill="FFFFFF"/>
        </w:rPr>
        <w:t>titulares</w:t>
      </w:r>
      <w:r w:rsidRPr="0097459F">
        <w:t xml:space="preserve"> de cotas mezanino que não se subordinem à subclasse em deliberação.</w:t>
      </w:r>
    </w:p>
    <w:p w14:paraId="40EC2AC6" w14:textId="4DBA4E1E" w:rsidR="008205C5" w:rsidRPr="008205C5" w:rsidRDefault="008205C5" w:rsidP="008205C5">
      <w:pPr>
        <w:pStyle w:val="Normalalteradora"/>
        <w:numPr>
          <w:ilvl w:val="0"/>
          <w:numId w:val="40"/>
        </w:numPr>
        <w:ind w:left="709" w:hanging="142"/>
        <w:rPr>
          <w:strike/>
        </w:rPr>
      </w:pPr>
      <w:r w:rsidRPr="008205C5">
        <w:rPr>
          <w:rFonts w:cstheme="minorHAnsi"/>
          <w:b/>
          <w:bCs/>
          <w:i/>
          <w:iCs/>
        </w:rPr>
        <w:t xml:space="preserve"> </w:t>
      </w:r>
      <w:r w:rsidRPr="008205C5">
        <w:rPr>
          <w:b/>
          <w:bCs/>
          <w:i/>
          <w:iCs/>
        </w:rPr>
        <w:t>§ 1º</w:t>
      </w:r>
      <w:r w:rsidRPr="00172906">
        <w:rPr>
          <w:b/>
          <w:bCs/>
          <w:i/>
          <w:iCs/>
        </w:rPr>
        <w:t xml:space="preserve"> </w:t>
      </w:r>
      <w:r w:rsidR="00172906" w:rsidRPr="00172906">
        <w:rPr>
          <w:b/>
          <w:bCs/>
          <w:i/>
          <w:iCs/>
        </w:rPr>
        <w:t>renumerado</w:t>
      </w:r>
      <w:r>
        <w:rPr>
          <w:rFonts w:cstheme="minorHAnsi"/>
          <w:b/>
          <w:i/>
          <w:iCs/>
        </w:rPr>
        <w:t xml:space="preserve">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56296DE4" w14:textId="3193E9CE" w:rsidR="008205C5" w:rsidRDefault="008205C5" w:rsidP="00C20BBD">
      <w:pPr>
        <w:pStyle w:val="Normalalteradora"/>
        <w:ind w:firstLine="709"/>
      </w:pPr>
      <w:r w:rsidRPr="0097459F">
        <w:t xml:space="preserve">§ </w:t>
      </w:r>
      <w:r>
        <w:t>2</w:t>
      </w:r>
      <w:proofErr w:type="gramStart"/>
      <w:r w:rsidRPr="0097459F">
        <w:t xml:space="preserve">º  </w:t>
      </w:r>
      <w:r>
        <w:rPr>
          <w:rStyle w:val="normaltextrun"/>
          <w:rFonts w:eastAsia="Calibri"/>
          <w:shd w:val="clear" w:color="auto" w:fill="FFFFFF"/>
        </w:rPr>
        <w:t>Em</w:t>
      </w:r>
      <w:proofErr w:type="gramEnd"/>
      <w:r>
        <w:rPr>
          <w:rStyle w:val="normaltextrun"/>
          <w:rFonts w:eastAsia="Calibri"/>
          <w:shd w:val="clear" w:color="auto" w:fill="FFFFFF"/>
        </w:rPr>
        <w:t xml:space="preserve"> acréscimo às hipóteses previstas no § 1º do art. 78 da parte geral da Resolução, o regulamento pode permitir o voto dos prestadores de serviços da classe de cotas de </w:t>
      </w:r>
      <w:r>
        <w:rPr>
          <w:rStyle w:val="normaltextrun"/>
          <w:rFonts w:eastAsia="Calibri"/>
        </w:rPr>
        <w:t xml:space="preserve">que </w:t>
      </w:r>
      <w:r>
        <w:rPr>
          <w:rStyle w:val="normaltextrun"/>
          <w:rFonts w:eastAsia="Calibri"/>
          <w:shd w:val="clear" w:color="auto" w:fill="FFFFFF"/>
        </w:rPr>
        <w:t>sejam titulares de cotas subordinadas</w:t>
      </w:r>
      <w:r w:rsidRPr="0097459F">
        <w:t>.</w:t>
      </w:r>
    </w:p>
    <w:p w14:paraId="44B0BB05" w14:textId="6FB58E24" w:rsidR="008205C5" w:rsidRPr="008205C5" w:rsidRDefault="008205C5" w:rsidP="008205C5">
      <w:pPr>
        <w:pStyle w:val="Normalalteradora"/>
        <w:numPr>
          <w:ilvl w:val="0"/>
          <w:numId w:val="40"/>
        </w:numPr>
        <w:ind w:left="709" w:hanging="142"/>
        <w:rPr>
          <w:strike/>
        </w:rPr>
      </w:pPr>
      <w:r>
        <w:rPr>
          <w:b/>
          <w:bCs/>
          <w:i/>
          <w:iCs/>
        </w:rPr>
        <w:t xml:space="preserve"> </w:t>
      </w:r>
      <w:r w:rsidRPr="008205C5">
        <w:rPr>
          <w:b/>
          <w:bCs/>
          <w:i/>
          <w:iCs/>
        </w:rPr>
        <w:t xml:space="preserve">§ </w:t>
      </w:r>
      <w:r>
        <w:rPr>
          <w:b/>
          <w:bCs/>
          <w:i/>
          <w:iCs/>
        </w:rPr>
        <w:t>2</w:t>
      </w:r>
      <w:r w:rsidRPr="008205C5">
        <w:rPr>
          <w:b/>
          <w:bCs/>
          <w:i/>
          <w:iCs/>
        </w:rPr>
        <w:t>º</w:t>
      </w:r>
      <w:r>
        <w:t xml:space="preserve"> </w:t>
      </w:r>
      <w:r>
        <w:rPr>
          <w:rFonts w:cstheme="minorHAnsi"/>
          <w:b/>
          <w:i/>
          <w:iCs/>
        </w:rPr>
        <w:t xml:space="preserve">incluído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56F8D81B" w14:textId="77777777" w:rsidR="00C20BBD" w:rsidRPr="0097459F" w:rsidRDefault="00C20BBD" w:rsidP="00C20BBD">
      <w:pPr>
        <w:pStyle w:val="Normalalteradora"/>
        <w:ind w:firstLine="709"/>
      </w:pPr>
      <w:r w:rsidRPr="0097459F">
        <w:t>Art. 29.  Em acréscimo aos documentos previstos no art. 51 da parte geral da Resolução, na data do início da vigência das alterações deliberadas em assembleia, o administrador deve encaminhar a lâmina atualizada, se aplicável, por meio de sistema eletrônico na rede mundial de computadores.</w:t>
      </w:r>
    </w:p>
    <w:p w14:paraId="23877A59" w14:textId="35CB1A55" w:rsidR="00C20BBD" w:rsidRPr="0097459F" w:rsidRDefault="00C20BBD" w:rsidP="00C20BBD">
      <w:pPr>
        <w:pStyle w:val="Captulo"/>
        <w:ind w:firstLine="709"/>
      </w:pPr>
      <w:bookmarkStart w:id="637" w:name="_Toc53594280"/>
      <w:bookmarkStart w:id="638" w:name="_Toc53594528"/>
      <w:bookmarkStart w:id="639" w:name="_Toc53595553"/>
      <w:bookmarkStart w:id="640" w:name="_Toc57836290"/>
      <w:bookmarkStart w:id="641" w:name="_Toc161141302"/>
      <w:r w:rsidRPr="0097459F">
        <w:t xml:space="preserve">CAPÍTULO VIII – </w:t>
      </w:r>
      <w:bookmarkEnd w:id="609"/>
      <w:r w:rsidRPr="0097459F">
        <w:t>PRESTAÇÃO DE SERVIÇOS</w:t>
      </w:r>
      <w:bookmarkEnd w:id="637"/>
      <w:bookmarkEnd w:id="638"/>
      <w:bookmarkEnd w:id="639"/>
      <w:bookmarkEnd w:id="640"/>
      <w:bookmarkEnd w:id="641"/>
    </w:p>
    <w:p w14:paraId="1F6D6972" w14:textId="77777777" w:rsidR="00C20BBD" w:rsidRPr="0097459F" w:rsidRDefault="00C20BBD" w:rsidP="00C20BBD">
      <w:pPr>
        <w:pStyle w:val="Seo"/>
        <w:ind w:firstLine="709"/>
      </w:pPr>
      <w:bookmarkStart w:id="642" w:name="_Toc507331281"/>
      <w:bookmarkStart w:id="643" w:name="_Toc53594281"/>
      <w:bookmarkStart w:id="644" w:name="_Toc53594529"/>
      <w:bookmarkStart w:id="645" w:name="_Toc53595554"/>
      <w:bookmarkStart w:id="646" w:name="_Toc57836291"/>
      <w:bookmarkStart w:id="647" w:name="_Toc161141303"/>
      <w:r w:rsidRPr="0097459F">
        <w:t xml:space="preserve">Seção I – </w:t>
      </w:r>
      <w:bookmarkEnd w:id="642"/>
      <w:r w:rsidRPr="0097459F">
        <w:t>Administração</w:t>
      </w:r>
      <w:bookmarkEnd w:id="643"/>
      <w:bookmarkEnd w:id="644"/>
      <w:bookmarkEnd w:id="645"/>
      <w:bookmarkEnd w:id="646"/>
      <w:bookmarkEnd w:id="647"/>
    </w:p>
    <w:p w14:paraId="43730E55" w14:textId="77777777" w:rsidR="00C20BBD" w:rsidRPr="0097459F" w:rsidRDefault="00C20BBD" w:rsidP="00C20BBD">
      <w:pPr>
        <w:pStyle w:val="Normalalteradora"/>
        <w:ind w:firstLine="709"/>
        <w:rPr>
          <w:rFonts w:eastAsia="Calibri"/>
        </w:rPr>
      </w:pPr>
      <w:r w:rsidRPr="0097459F">
        <w:t xml:space="preserve">Art. 30.  Em acréscimo aos serviços previstos no </w:t>
      </w:r>
      <w:r w:rsidRPr="0097459F">
        <w:rPr>
          <w:rFonts w:eastAsia="Calibri"/>
        </w:rPr>
        <w:t>art. 83 da parte geral da Resolução,</w:t>
      </w:r>
      <w:r w:rsidRPr="0097459F">
        <w:t xml:space="preserve"> o administrador deve contratar, em nome do fundo, os seguintes serviços:</w:t>
      </w:r>
    </w:p>
    <w:p w14:paraId="2FF9BD81" w14:textId="347F469B" w:rsidR="00C20BBD" w:rsidRDefault="00C20BBD" w:rsidP="00C20BBD">
      <w:pPr>
        <w:pStyle w:val="Normalalteradora"/>
        <w:ind w:firstLine="709"/>
      </w:pPr>
      <w:r w:rsidRPr="0097459F">
        <w:t xml:space="preserve">I – </w:t>
      </w:r>
      <w:proofErr w:type="gramStart"/>
      <w:r w:rsidRPr="0097459F">
        <w:t>registro</w:t>
      </w:r>
      <w:proofErr w:type="gramEnd"/>
      <w:r w:rsidRPr="0097459F">
        <w:t xml:space="preserve"> de direitos creditórios em entidade registradora autorizada pelo Banco Central do Brasil, observado que a entidade registradora não pode ser parte relacionada </w:t>
      </w:r>
      <w:r w:rsidR="00DC6C89">
        <w:t xml:space="preserve">ao </w:t>
      </w:r>
      <w:r w:rsidRPr="0097459F">
        <w:t>gestor ou da consultoria especializada;</w:t>
      </w:r>
    </w:p>
    <w:p w14:paraId="11C485E6" w14:textId="08210345" w:rsidR="006767E3" w:rsidRDefault="006767E3" w:rsidP="006767E3">
      <w:pPr>
        <w:pStyle w:val="Normalalteradora"/>
        <w:ind w:firstLine="709"/>
        <w:rPr>
          <w:strike/>
        </w:rPr>
      </w:pPr>
      <w:r w:rsidRPr="0019363E">
        <w:rPr>
          <w:strike/>
        </w:rPr>
        <w:t xml:space="preserve">II – </w:t>
      </w:r>
      <w:proofErr w:type="gramStart"/>
      <w:r w:rsidRPr="0019363E">
        <w:rPr>
          <w:strike/>
        </w:rPr>
        <w:t>custódia</w:t>
      </w:r>
      <w:proofErr w:type="gramEnd"/>
      <w:r w:rsidRPr="0019363E">
        <w:rPr>
          <w:strike/>
        </w:rPr>
        <w:t>, alcançando os serviços previstos na Seção IV deste Capítulo VIII, se for o caso, e observado, ainda, que o custodiante não pode ser parte relacionada do gestor ou da consultoria especializada;</w:t>
      </w:r>
    </w:p>
    <w:p w14:paraId="59C5DE32" w14:textId="77777777" w:rsidR="0019363E" w:rsidRPr="0097459F" w:rsidRDefault="0019363E" w:rsidP="0019363E">
      <w:pPr>
        <w:pStyle w:val="NormaAlterada"/>
      </w:pPr>
      <w:r w:rsidRPr="0097459F">
        <w:t xml:space="preserve">II – </w:t>
      </w:r>
      <w:proofErr w:type="gramStart"/>
      <w:r w:rsidRPr="0097459F">
        <w:t>custódia</w:t>
      </w:r>
      <w:proofErr w:type="gramEnd"/>
      <w:r w:rsidRPr="0097459F">
        <w:t>, alcançando os serviços previstos na Seção IV deste Capítulo VIII;</w:t>
      </w:r>
    </w:p>
    <w:p w14:paraId="758711E1" w14:textId="56935218"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lastRenderedPageBreak/>
        <w:t xml:space="preserve"> Inciso II</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845A8DA" w14:textId="77777777" w:rsidR="00C20BBD" w:rsidRPr="0097459F" w:rsidRDefault="00C20BBD" w:rsidP="00C20BBD">
      <w:pPr>
        <w:pStyle w:val="Normalalteradora"/>
        <w:ind w:firstLine="709"/>
      </w:pPr>
      <w:r w:rsidRPr="0097459F">
        <w:t>III – custódia de valores mobiliários, se for o caso;</w:t>
      </w:r>
    </w:p>
    <w:p w14:paraId="336B889D" w14:textId="77777777" w:rsidR="00C20BBD" w:rsidRPr="0097459F" w:rsidRDefault="00C20BBD" w:rsidP="00C20BBD">
      <w:pPr>
        <w:pStyle w:val="Normalalteradora"/>
        <w:ind w:firstLine="709"/>
      </w:pPr>
      <w:r w:rsidRPr="0097459F">
        <w:t xml:space="preserve">IV – </w:t>
      </w:r>
      <w:proofErr w:type="gramStart"/>
      <w:r w:rsidRPr="0097459F">
        <w:t>guarda</w:t>
      </w:r>
      <w:proofErr w:type="gramEnd"/>
      <w:r w:rsidRPr="0097459F">
        <w:t xml:space="preserve"> da documentação que constitui o lastro dos direitos creditórios, a qual pode se dar por meio físico ou eletrônico; e</w:t>
      </w:r>
    </w:p>
    <w:p w14:paraId="3F64CB92" w14:textId="77777777" w:rsidR="00C20BBD" w:rsidRPr="0097459F" w:rsidRDefault="00C20BBD" w:rsidP="00C20BBD">
      <w:pPr>
        <w:pStyle w:val="Normalalteradora"/>
        <w:ind w:firstLine="709"/>
      </w:pPr>
      <w:r w:rsidRPr="0097459F">
        <w:t xml:space="preserve">V – </w:t>
      </w:r>
      <w:proofErr w:type="gramStart"/>
      <w:r w:rsidRPr="0097459F">
        <w:t>liquidação</w:t>
      </w:r>
      <w:proofErr w:type="gramEnd"/>
      <w:r w:rsidRPr="0097459F">
        <w:t xml:space="preserve"> física ou eletrônica e financeira dos direitos creditórios.</w:t>
      </w:r>
    </w:p>
    <w:p w14:paraId="18E28665" w14:textId="2F1F12B8" w:rsidR="00C20BBD" w:rsidRDefault="00C20BBD" w:rsidP="00C20BBD">
      <w:pPr>
        <w:pStyle w:val="Normalalteradora"/>
        <w:ind w:firstLine="709"/>
      </w:pPr>
      <w:r w:rsidRPr="0097459F">
        <w:t>§ 1</w:t>
      </w:r>
      <w:proofErr w:type="gramStart"/>
      <w:r w:rsidRPr="0097459F">
        <w:t>º  O</w:t>
      </w:r>
      <w:proofErr w:type="gramEnd"/>
      <w:r w:rsidRPr="0097459F">
        <w:t xml:space="preserve"> administrador deve diligenciar para que os prestadores de serviços por ele contratados possuam regras e procedimentos adequados, por escrito e passíveis de verificação, para permitir o efetivo controle sobre a movimentação da documentação relativa aos direitos creditórios.</w:t>
      </w:r>
    </w:p>
    <w:p w14:paraId="78CA9A57" w14:textId="79757CF4" w:rsidR="00695CEF" w:rsidRDefault="008E7465" w:rsidP="00695CEF">
      <w:pPr>
        <w:pStyle w:val="Normalalteradora"/>
        <w:ind w:firstLine="709"/>
        <w:rPr>
          <w:strike/>
        </w:rPr>
      </w:pPr>
      <w:r w:rsidRPr="005B7D30">
        <w:rPr>
          <w:strike/>
        </w:rPr>
        <w:t>§ 2</w:t>
      </w:r>
      <w:proofErr w:type="gramStart"/>
      <w:r w:rsidRPr="005B7D30">
        <w:rPr>
          <w:strike/>
        </w:rPr>
        <w:t xml:space="preserve">º  </w:t>
      </w:r>
      <w:r w:rsidR="00695CEF" w:rsidRPr="005B7D30">
        <w:rPr>
          <w:strike/>
        </w:rPr>
        <w:t>O</w:t>
      </w:r>
      <w:proofErr w:type="gramEnd"/>
      <w:r w:rsidR="00695CEF" w:rsidRPr="005B7D30">
        <w:rPr>
          <w:strike/>
        </w:rPr>
        <w:t xml:space="preserve"> cedente dos direitos creditórios pode ser contratado pelo administrador, em nome do fundo, exclusivamente como agente de cobrança dos créditos vencidos e não pagos.</w:t>
      </w:r>
    </w:p>
    <w:p w14:paraId="2B4793DA" w14:textId="102484BF" w:rsidR="005B7D30" w:rsidRDefault="003359FF" w:rsidP="00695CEF">
      <w:pPr>
        <w:pStyle w:val="Normalalteradora"/>
        <w:ind w:firstLine="709"/>
      </w:pPr>
      <w:r>
        <w:t>§ 2</w:t>
      </w:r>
      <w:proofErr w:type="gramStart"/>
      <w:r>
        <w:t xml:space="preserve">º </w:t>
      </w:r>
      <w:r w:rsidR="005B7D30">
        <w:t xml:space="preserve"> REVOGADO</w:t>
      </w:r>
      <w:proofErr w:type="gramEnd"/>
    </w:p>
    <w:p w14:paraId="0AA7A337" w14:textId="3746FE8B" w:rsidR="005B7D30" w:rsidRPr="005B7D30" w:rsidRDefault="005B7D30">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B7D30">
        <w:rPr>
          <w:rFonts w:asciiTheme="minorHAnsi" w:hAnsiTheme="minorHAnsi" w:cstheme="minorHAnsi"/>
          <w:b/>
          <w:i/>
          <w:sz w:val="24"/>
          <w:szCs w:val="24"/>
        </w:rPr>
        <w:t xml:space="preserve">  § 2º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F8FFA03" w14:textId="77777777" w:rsidR="00695CEF" w:rsidRPr="005B7D30" w:rsidRDefault="00695CEF" w:rsidP="00695CEF">
      <w:pPr>
        <w:pStyle w:val="Normalalteradora"/>
        <w:ind w:firstLine="709"/>
        <w:rPr>
          <w:strike/>
        </w:rPr>
      </w:pPr>
      <w:r w:rsidRPr="005B7D30">
        <w:rPr>
          <w:strike/>
        </w:rPr>
        <w:t>§ 3</w:t>
      </w:r>
      <w:proofErr w:type="gramStart"/>
      <w:r w:rsidRPr="005B7D30">
        <w:rPr>
          <w:strike/>
        </w:rPr>
        <w:t>º  Na</w:t>
      </w:r>
      <w:proofErr w:type="gramEnd"/>
      <w:r w:rsidRPr="005B7D30">
        <w:rPr>
          <w:strike/>
        </w:rPr>
        <w:t xml:space="preserve"> classe destinada exclusivamente a investidor profissional e que não tenha as suas cotas admitidas à negociação, o originador e o cedente dos direitos creditórios podem ser contratados pelo administrador para efetuar a guarda dos documentos relativos aos direitos creditórios, desde que:</w:t>
      </w:r>
    </w:p>
    <w:p w14:paraId="2177090D" w14:textId="77777777" w:rsidR="00695CEF" w:rsidRPr="005B7D30" w:rsidRDefault="00695CEF" w:rsidP="00695CEF">
      <w:pPr>
        <w:pStyle w:val="Normalalteradora"/>
        <w:ind w:firstLine="709"/>
        <w:rPr>
          <w:strike/>
        </w:rPr>
      </w:pPr>
      <w:r w:rsidRPr="005B7D30">
        <w:rPr>
          <w:strike/>
        </w:rPr>
        <w:t xml:space="preserve">I – </w:t>
      </w:r>
      <w:proofErr w:type="gramStart"/>
      <w:r w:rsidRPr="005B7D30">
        <w:rPr>
          <w:strike/>
        </w:rPr>
        <w:t>a</w:t>
      </w:r>
      <w:proofErr w:type="gramEnd"/>
      <w:r w:rsidRPr="005B7D30">
        <w:rPr>
          <w:strike/>
        </w:rPr>
        <w:t xml:space="preserve"> classe seja dedicada à aquisição de créditos inadimplidos, massificados, de reduzido valor médio e cedidos à classe por percentual inferior ao valor de face;</w:t>
      </w:r>
    </w:p>
    <w:p w14:paraId="6EA307E5" w14:textId="77777777" w:rsidR="00695CEF" w:rsidRPr="005B7D30" w:rsidRDefault="00695CEF" w:rsidP="00695CEF">
      <w:pPr>
        <w:pStyle w:val="Normalalteradora"/>
        <w:ind w:firstLine="709"/>
        <w:rPr>
          <w:strike/>
        </w:rPr>
      </w:pPr>
      <w:r w:rsidRPr="005B7D30">
        <w:rPr>
          <w:strike/>
        </w:rPr>
        <w:t xml:space="preserve">II – </w:t>
      </w:r>
      <w:proofErr w:type="gramStart"/>
      <w:r w:rsidRPr="005B7D30">
        <w:rPr>
          <w:strike/>
        </w:rPr>
        <w:t>a</w:t>
      </w:r>
      <w:proofErr w:type="gramEnd"/>
      <w:r w:rsidRPr="005B7D30">
        <w:rPr>
          <w:strike/>
        </w:rPr>
        <w:t xml:space="preserve"> cobrança dos créditos seja preponderantemente realizada, de forma extrajudicial;</w:t>
      </w:r>
    </w:p>
    <w:p w14:paraId="7F72C3AA" w14:textId="77777777" w:rsidR="00695CEF" w:rsidRPr="005B7D30" w:rsidRDefault="00695CEF" w:rsidP="00695CEF">
      <w:pPr>
        <w:pStyle w:val="Normalalteradora"/>
        <w:ind w:firstLine="709"/>
        <w:rPr>
          <w:strike/>
        </w:rPr>
      </w:pPr>
      <w:r w:rsidRPr="005B7D30">
        <w:rPr>
          <w:strike/>
        </w:rPr>
        <w:t>III – haja prévia aprovação pela unanimidade dos cotistas, reunidos em assembleia geral, ou declaração de ciência do cotista por meio de termo de adesão;</w:t>
      </w:r>
    </w:p>
    <w:p w14:paraId="70C94B1D" w14:textId="77777777" w:rsidR="00695CEF" w:rsidRPr="005B7D30" w:rsidRDefault="00695CEF" w:rsidP="00695CEF">
      <w:pPr>
        <w:pStyle w:val="Normalalteradora"/>
        <w:ind w:firstLine="709"/>
        <w:rPr>
          <w:strike/>
        </w:rPr>
      </w:pPr>
      <w:r w:rsidRPr="005B7D30">
        <w:rPr>
          <w:strike/>
        </w:rPr>
        <w:t xml:space="preserve">IV – </w:t>
      </w:r>
      <w:proofErr w:type="gramStart"/>
      <w:r w:rsidRPr="005B7D30">
        <w:rPr>
          <w:strike/>
        </w:rPr>
        <w:t>todos</w:t>
      </w:r>
      <w:proofErr w:type="gramEnd"/>
      <w:r w:rsidRPr="005B7D30">
        <w:rPr>
          <w:strike/>
        </w:rPr>
        <w:t xml:space="preserve"> contratos de cessão de direitos creditórios à classe </w:t>
      </w:r>
      <w:r w:rsidRPr="005B7D30">
        <w:rPr>
          <w:rFonts w:ascii="Calibri" w:eastAsia="Calibri" w:hAnsi="Calibri" w:cs="Calibri"/>
          <w:strike/>
        </w:rPr>
        <w:t>contenham</w:t>
      </w:r>
      <w:r w:rsidRPr="005B7D30">
        <w:rPr>
          <w:strike/>
        </w:rPr>
        <w:t xml:space="preserve"> cláusulas que prevejam a recompra ou indenização pelas cedentes, no mínimo pelo valor de aquisição pago pela classe, corrigidos, quando for o caso, na hipótese de a cedente não conseguir apresentar os documentos que comprovem a existência do crédito, ou de existirem óbices na documentação à efetiva cobrança do crédito;</w:t>
      </w:r>
    </w:p>
    <w:p w14:paraId="75538933" w14:textId="77777777" w:rsidR="00695CEF" w:rsidRPr="005B7D30" w:rsidRDefault="00695CEF" w:rsidP="00695CEF">
      <w:pPr>
        <w:pStyle w:val="Normalalteradora"/>
        <w:ind w:firstLine="709"/>
        <w:rPr>
          <w:strike/>
        </w:rPr>
      </w:pPr>
      <w:r w:rsidRPr="005B7D30">
        <w:rPr>
          <w:strike/>
        </w:rPr>
        <w:t xml:space="preserve">V – </w:t>
      </w:r>
      <w:proofErr w:type="gramStart"/>
      <w:r w:rsidRPr="005B7D30">
        <w:rPr>
          <w:strike/>
        </w:rPr>
        <w:t>o</w:t>
      </w:r>
      <w:proofErr w:type="gramEnd"/>
      <w:r w:rsidRPr="005B7D30">
        <w:rPr>
          <w:strike/>
        </w:rPr>
        <w:t xml:space="preserve"> regulamento não preveja a dispensa de verificação do lastro, conforme prevista no art. 36, § 3º, deste Anexo Normativo II; e</w:t>
      </w:r>
    </w:p>
    <w:p w14:paraId="20C35880" w14:textId="3DB63AFD" w:rsidR="00695CEF" w:rsidRDefault="00695CEF" w:rsidP="00695CEF">
      <w:pPr>
        <w:pStyle w:val="Normalalteradora"/>
        <w:ind w:firstLine="709"/>
        <w:rPr>
          <w:strike/>
        </w:rPr>
      </w:pPr>
      <w:r w:rsidRPr="005B7D30">
        <w:rPr>
          <w:strike/>
        </w:rPr>
        <w:lastRenderedPageBreak/>
        <w:t xml:space="preserve">VI – </w:t>
      </w:r>
      <w:proofErr w:type="gramStart"/>
      <w:r w:rsidRPr="005B7D30">
        <w:rPr>
          <w:strike/>
        </w:rPr>
        <w:t>os</w:t>
      </w:r>
      <w:proofErr w:type="gramEnd"/>
      <w:r w:rsidRPr="005B7D30">
        <w:rPr>
          <w:strike/>
        </w:rPr>
        <w:t xml:space="preserve"> demonstrativos trimestrais previstos no inciso V do </w:t>
      </w:r>
      <w:r w:rsidRPr="005B7D30">
        <w:rPr>
          <w:b/>
          <w:strike/>
        </w:rPr>
        <w:t>caput</w:t>
      </w:r>
      <w:r w:rsidRPr="005B7D30">
        <w:rPr>
          <w:strike/>
        </w:rPr>
        <w:t xml:space="preserve"> do art. 27 deste Anexo Normativo II divulguem a exposição da classe a cada cedente e o montante de créditos recomprados ou indenizados conforme o estabelecido no inciso IV deste artigo.</w:t>
      </w:r>
    </w:p>
    <w:p w14:paraId="49E1E7DE" w14:textId="5D3CC390" w:rsidR="005B7D30" w:rsidRDefault="003359FF" w:rsidP="005B7D30">
      <w:pPr>
        <w:pStyle w:val="Normalalteradora"/>
        <w:ind w:firstLine="709"/>
      </w:pPr>
      <w:r>
        <w:t>§ 3</w:t>
      </w:r>
      <w:proofErr w:type="gramStart"/>
      <w:r>
        <w:t xml:space="preserve">º </w:t>
      </w:r>
      <w:r w:rsidR="005B7D30">
        <w:t xml:space="preserve"> REVOGADO</w:t>
      </w:r>
      <w:proofErr w:type="gramEnd"/>
    </w:p>
    <w:p w14:paraId="0AA94BDC" w14:textId="781AFD05" w:rsidR="005B7D30" w:rsidRPr="005B7D30" w:rsidRDefault="005B7D30">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B7D30">
        <w:rPr>
          <w:rFonts w:asciiTheme="minorHAnsi" w:hAnsiTheme="minorHAnsi" w:cstheme="minorHAnsi"/>
          <w:b/>
          <w:i/>
          <w:sz w:val="24"/>
          <w:szCs w:val="24"/>
        </w:rPr>
        <w:t xml:space="preserve">  § </w:t>
      </w:r>
      <w:r>
        <w:rPr>
          <w:rFonts w:asciiTheme="minorHAnsi" w:hAnsiTheme="minorHAnsi" w:cstheme="minorHAnsi"/>
          <w:b/>
          <w:i/>
          <w:sz w:val="24"/>
          <w:szCs w:val="24"/>
        </w:rPr>
        <w:t>3</w:t>
      </w:r>
      <w:r w:rsidRPr="005B7D30">
        <w:rPr>
          <w:rFonts w:asciiTheme="minorHAnsi" w:hAnsiTheme="minorHAnsi" w:cstheme="minorHAnsi"/>
          <w:b/>
          <w:i/>
          <w:sz w:val="24"/>
          <w:szCs w:val="24"/>
        </w:rPr>
        <w:t xml:space="preserve">º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EC9FEC5" w14:textId="2999EDDB" w:rsidR="008E7465" w:rsidRDefault="00695CEF" w:rsidP="00695CEF">
      <w:pPr>
        <w:pStyle w:val="Normalalteradora"/>
        <w:ind w:firstLine="709"/>
        <w:rPr>
          <w:strike/>
        </w:rPr>
      </w:pPr>
      <w:r w:rsidRPr="005B7D30">
        <w:rPr>
          <w:strike/>
        </w:rPr>
        <w:t>§ 4</w:t>
      </w:r>
      <w:proofErr w:type="gramStart"/>
      <w:r w:rsidRPr="005B7D30">
        <w:rPr>
          <w:strike/>
        </w:rPr>
        <w:t>º  No</w:t>
      </w:r>
      <w:proofErr w:type="gramEnd"/>
      <w:r w:rsidRPr="005B7D30">
        <w:rPr>
          <w:strike/>
        </w:rPr>
        <w:t xml:space="preserve"> caso de classe exclusiva, fica dispensado o cumprimento do disposto nos incisos III e IV do § 3º deste artigo.</w:t>
      </w:r>
    </w:p>
    <w:p w14:paraId="5FD2D24A" w14:textId="7BC07B8C" w:rsidR="005B7D30" w:rsidRDefault="005B7D30" w:rsidP="005B7D30">
      <w:pPr>
        <w:pStyle w:val="Normalalteradora"/>
        <w:ind w:firstLine="709"/>
      </w:pPr>
      <w:r>
        <w:t>§ 4</w:t>
      </w:r>
      <w:proofErr w:type="gramStart"/>
      <w:r>
        <w:t>º</w:t>
      </w:r>
      <w:r w:rsidR="003359FF">
        <w:t xml:space="preserve"> </w:t>
      </w:r>
      <w:r>
        <w:t xml:space="preserve"> REVOGADO</w:t>
      </w:r>
      <w:proofErr w:type="gramEnd"/>
    </w:p>
    <w:p w14:paraId="1146AFCC" w14:textId="4A3F34F6" w:rsidR="005B7D30" w:rsidRPr="005B7D30" w:rsidRDefault="005B7D30">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5B7D30">
        <w:rPr>
          <w:rFonts w:asciiTheme="minorHAnsi" w:hAnsiTheme="minorHAnsi" w:cstheme="minorHAnsi"/>
          <w:b/>
          <w:i/>
          <w:sz w:val="24"/>
          <w:szCs w:val="24"/>
        </w:rPr>
        <w:t xml:space="preserve">  § </w:t>
      </w:r>
      <w:r>
        <w:rPr>
          <w:rFonts w:asciiTheme="minorHAnsi" w:hAnsiTheme="minorHAnsi" w:cstheme="minorHAnsi"/>
          <w:b/>
          <w:i/>
          <w:sz w:val="24"/>
          <w:szCs w:val="24"/>
        </w:rPr>
        <w:t>4</w:t>
      </w:r>
      <w:r w:rsidRPr="005B7D30">
        <w:rPr>
          <w:rFonts w:asciiTheme="minorHAnsi" w:hAnsiTheme="minorHAnsi" w:cstheme="minorHAnsi"/>
          <w:b/>
          <w:i/>
          <w:sz w:val="24"/>
          <w:szCs w:val="24"/>
        </w:rPr>
        <w:t xml:space="preserve">º </w:t>
      </w:r>
      <w:r>
        <w:rPr>
          <w:rFonts w:asciiTheme="minorHAnsi" w:hAnsiTheme="minorHAnsi" w:cstheme="minorHAnsi"/>
          <w:b/>
          <w:i/>
          <w:sz w:val="24"/>
          <w:szCs w:val="24"/>
        </w:rPr>
        <w:t xml:space="preserve">revogado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7642A333" w14:textId="07CACFA0" w:rsidR="0019363E" w:rsidRDefault="0019363E" w:rsidP="0019363E">
      <w:pPr>
        <w:pStyle w:val="NormaAlterada"/>
      </w:pPr>
      <w:r w:rsidRPr="00FA7EC0">
        <w:t xml:space="preserve">§ </w:t>
      </w:r>
      <w:r>
        <w:t>5</w:t>
      </w:r>
      <w:proofErr w:type="gramStart"/>
      <w:r w:rsidRPr="00FA7EC0">
        <w:t xml:space="preserve">º </w:t>
      </w:r>
      <w:r>
        <w:t xml:space="preserve"> </w:t>
      </w:r>
      <w:r w:rsidRPr="00FA7EC0">
        <w:t>Caso</w:t>
      </w:r>
      <w:proofErr w:type="gramEnd"/>
      <w:r w:rsidRPr="00FA7EC0">
        <w:t xml:space="preserve"> a política de investimentos admita a aquisição de direitos creditórios originados ou cedidos pelo administrador, gestor, consultoria especializada e suas partes relacionadas, o custodiante contratado nos termos do inciso II não pode ser parte relacionada ao gestor</w:t>
      </w:r>
      <w:r>
        <w:t xml:space="preserve"> ou à consultoria especializada</w:t>
      </w:r>
      <w:r w:rsidRPr="00FA7EC0">
        <w:t>.</w:t>
      </w:r>
    </w:p>
    <w:p w14:paraId="0856FB7E" w14:textId="1EB53A0F" w:rsidR="00BD3980" w:rsidRPr="0019363E" w:rsidRDefault="00BD3980" w:rsidP="00BD3980">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19363E">
        <w:rPr>
          <w:rFonts w:asciiTheme="minorHAnsi" w:hAnsiTheme="minorHAnsi" w:cstheme="minorHAnsi"/>
          <w:b/>
          <w:i/>
          <w:sz w:val="24"/>
          <w:szCs w:val="24"/>
        </w:rPr>
        <w:t>§ 5º incluído pela</w:t>
      </w:r>
      <w:r w:rsidRPr="00D960C9">
        <w:rPr>
          <w:rFonts w:asciiTheme="minorHAnsi" w:hAnsiTheme="minorHAnsi" w:cstheme="minorHAnsi"/>
          <w:b/>
          <w:i/>
          <w:sz w:val="24"/>
          <w:szCs w:val="24"/>
        </w:rPr>
        <w:t xml:space="preserve">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r>
        <w:rPr>
          <w:rFonts w:asciiTheme="minorHAnsi" w:hAnsiTheme="minorHAnsi" w:cstheme="minorHAnsi"/>
          <w:b/>
          <w:i/>
          <w:sz w:val="24"/>
          <w:szCs w:val="24"/>
        </w:rPr>
        <w:t>.</w:t>
      </w:r>
    </w:p>
    <w:p w14:paraId="0A8BD2D1" w14:textId="7B691584" w:rsidR="00BD3980" w:rsidRDefault="00BD3980" w:rsidP="0019363E">
      <w:pPr>
        <w:pStyle w:val="NormaAlterada"/>
      </w:pPr>
      <w:r>
        <w:t>§ 6</w:t>
      </w:r>
      <w:proofErr w:type="gramStart"/>
      <w:r>
        <w:t>º  O</w:t>
      </w:r>
      <w:proofErr w:type="gramEnd"/>
      <w:r>
        <w:t xml:space="preserve"> requisito previsto no § 5º não é aplicável à classe exclusivamente destinada a investidores profissionais.</w:t>
      </w:r>
    </w:p>
    <w:p w14:paraId="05144909" w14:textId="23F15DE1" w:rsidR="0019363E" w:rsidRPr="0019363E" w:rsidRDefault="0019363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19363E">
        <w:rPr>
          <w:rFonts w:asciiTheme="minorHAnsi" w:hAnsiTheme="minorHAnsi" w:cstheme="minorHAnsi"/>
          <w:b/>
          <w:i/>
          <w:sz w:val="24"/>
          <w:szCs w:val="24"/>
        </w:rPr>
        <w:t xml:space="preserve"> § </w:t>
      </w:r>
      <w:r w:rsidR="00BD3980">
        <w:rPr>
          <w:rFonts w:asciiTheme="minorHAnsi" w:hAnsiTheme="minorHAnsi" w:cstheme="minorHAnsi"/>
          <w:b/>
          <w:i/>
          <w:sz w:val="24"/>
          <w:szCs w:val="24"/>
        </w:rPr>
        <w:t>6</w:t>
      </w:r>
      <w:r w:rsidRPr="0019363E">
        <w:rPr>
          <w:rFonts w:asciiTheme="minorHAnsi" w:hAnsiTheme="minorHAnsi" w:cstheme="minorHAnsi"/>
          <w:b/>
          <w:i/>
          <w:sz w:val="24"/>
          <w:szCs w:val="24"/>
        </w:rPr>
        <w:t>º incluído pela</w:t>
      </w:r>
      <w:r w:rsidRPr="00D960C9">
        <w:rPr>
          <w:rFonts w:asciiTheme="minorHAnsi" w:hAnsiTheme="minorHAnsi" w:cstheme="minorHAnsi"/>
          <w:b/>
          <w:i/>
          <w:sz w:val="24"/>
          <w:szCs w:val="24"/>
        </w:rPr>
        <w:t xml:space="preserve">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r>
        <w:rPr>
          <w:rFonts w:asciiTheme="minorHAnsi" w:hAnsiTheme="minorHAnsi" w:cstheme="minorHAnsi"/>
          <w:b/>
          <w:i/>
          <w:sz w:val="24"/>
          <w:szCs w:val="24"/>
        </w:rPr>
        <w:t>.</w:t>
      </w:r>
    </w:p>
    <w:p w14:paraId="524EEB26" w14:textId="4B5DA1B7" w:rsidR="00C20BBD" w:rsidRPr="0097459F" w:rsidRDefault="00C20BBD" w:rsidP="00C20BBD">
      <w:pPr>
        <w:pStyle w:val="Normalalteradora"/>
        <w:ind w:firstLine="709"/>
      </w:pPr>
      <w:r w:rsidRPr="0097459F">
        <w:t xml:space="preserve">Art. 31.  Em acréscimo às obrigações previstas na parte geral da Resolução e neste </w:t>
      </w:r>
      <w:r w:rsidR="00FB1127" w:rsidRPr="0097459F">
        <w:t>Anexo Normativo II</w:t>
      </w:r>
      <w:r w:rsidRPr="0097459F">
        <w:t>, o administrador é responsável pelas seguintes atividades:</w:t>
      </w:r>
    </w:p>
    <w:p w14:paraId="389FDFDB" w14:textId="77777777" w:rsidR="00C20BBD" w:rsidRPr="0097459F" w:rsidRDefault="00C20BBD" w:rsidP="00C20BBD">
      <w:pPr>
        <w:pStyle w:val="Normalalteradora"/>
        <w:ind w:firstLine="709"/>
      </w:pPr>
      <w:r w:rsidRPr="0097459F">
        <w:t xml:space="preserve">I – </w:t>
      </w:r>
      <w:proofErr w:type="gramStart"/>
      <w:r w:rsidRPr="0097459F">
        <w:t>sem</w:t>
      </w:r>
      <w:proofErr w:type="gramEnd"/>
      <w:r w:rsidRPr="0097459F">
        <w:t xml:space="preserve"> prejuízo da observância dos procedimentos relativos às demonstrações contábeis, manter, separadamente, registros com informações completas sobre toda e qualquer modalidade de negociação realizada entre o administrador, gestor, custodiante, entidade registradora, consultoria especializada e respectivas partes relacionadas, de um lado; e a classe de cotas, de outro;</w:t>
      </w:r>
    </w:p>
    <w:p w14:paraId="685BA03C" w14:textId="77777777" w:rsidR="00C20BBD" w:rsidRPr="0097459F" w:rsidRDefault="00C20BBD" w:rsidP="00C20BBD">
      <w:pPr>
        <w:pStyle w:val="Normalalteradora"/>
        <w:ind w:firstLine="709"/>
      </w:pPr>
      <w:r w:rsidRPr="0097459F">
        <w:t xml:space="preserve">II – </w:t>
      </w:r>
      <w:proofErr w:type="gramStart"/>
      <w:r w:rsidRPr="0097459F">
        <w:rPr>
          <w:rFonts w:ascii="Calibri" w:hAnsi="Calibri" w:cs="Calibri"/>
        </w:rPr>
        <w:t>encaminhar</w:t>
      </w:r>
      <w:proofErr w:type="gramEnd"/>
      <w:r w:rsidRPr="0097459F">
        <w:rPr>
          <w:rFonts w:ascii="Calibri" w:hAnsi="Calibri" w:cs="Calibri"/>
        </w:rPr>
        <w:t xml:space="preserve"> ao Sistema de Informações de Créditos do Banco Central do Brasil - SCR documento composto pelos dados individualizados de risco de crédito referentes a cada operação de crédito, conforme modelos disponíveis na página do Banco Central do Brasil na rede mundial de computadores</w:t>
      </w:r>
      <w:r w:rsidRPr="0097459F">
        <w:t>;</w:t>
      </w:r>
    </w:p>
    <w:p w14:paraId="1E1F092C" w14:textId="0B74F97F" w:rsidR="00C20BBD" w:rsidRPr="0097459F" w:rsidRDefault="00C20BBD" w:rsidP="00C20BBD">
      <w:pPr>
        <w:pStyle w:val="Normalalteradora"/>
        <w:ind w:firstLine="709"/>
        <w:rPr>
          <w:rFonts w:ascii="Calibri" w:hAnsi="Calibri" w:cs="Calibri"/>
        </w:rPr>
      </w:pPr>
      <w:r w:rsidRPr="0097459F">
        <w:rPr>
          <w:rFonts w:ascii="Calibri" w:hAnsi="Calibri" w:cs="Calibri"/>
        </w:rPr>
        <w:t xml:space="preserve">III </w:t>
      </w:r>
      <w:r w:rsidR="00B248D0" w:rsidRPr="0097459F">
        <w:t>–</w:t>
      </w:r>
      <w:r w:rsidRPr="0097459F">
        <w:rPr>
          <w:rFonts w:ascii="Calibri" w:hAnsi="Calibri" w:cs="Calibri"/>
        </w:rPr>
        <w:t xml:space="preserve"> obter autorização específica do devedor, passível de comprovação, para fins de consulta às informações constantes do SCR; e</w:t>
      </w:r>
    </w:p>
    <w:p w14:paraId="27AF9BA0" w14:textId="48C98E92" w:rsidR="00C20BBD" w:rsidRPr="0097459F" w:rsidRDefault="00C20BBD" w:rsidP="00C20BBD">
      <w:pPr>
        <w:spacing w:before="120" w:after="120" w:line="312" w:lineRule="auto"/>
        <w:ind w:firstLine="709"/>
        <w:jc w:val="both"/>
        <w:rPr>
          <w:rFonts w:asciiTheme="minorHAnsi" w:hAnsiTheme="minorHAnsi" w:cstheme="minorBidi"/>
          <w:sz w:val="24"/>
          <w:szCs w:val="24"/>
        </w:rPr>
      </w:pPr>
      <w:r w:rsidRPr="0097459F">
        <w:rPr>
          <w:rFonts w:asciiTheme="minorHAnsi" w:hAnsiTheme="minorHAnsi" w:cstheme="minorBidi"/>
          <w:sz w:val="24"/>
          <w:szCs w:val="24"/>
        </w:rPr>
        <w:lastRenderedPageBreak/>
        <w:t xml:space="preserve">IV – </w:t>
      </w:r>
      <w:proofErr w:type="gramStart"/>
      <w:r w:rsidRPr="0097459F">
        <w:rPr>
          <w:rFonts w:asciiTheme="minorHAnsi" w:hAnsiTheme="minorHAnsi" w:cstheme="minorBidi"/>
          <w:sz w:val="24"/>
          <w:szCs w:val="24"/>
        </w:rPr>
        <w:t>no</w:t>
      </w:r>
      <w:proofErr w:type="gramEnd"/>
      <w:r w:rsidRPr="0097459F">
        <w:rPr>
          <w:rFonts w:asciiTheme="minorHAnsi" w:hAnsiTheme="minorHAnsi" w:cstheme="minorBidi"/>
          <w:sz w:val="24"/>
          <w:szCs w:val="24"/>
        </w:rPr>
        <w:t xml:space="preserve"> que se refere às classes que adquiram os precatórios federais previstos no inciso II do </w:t>
      </w:r>
      <w:r w:rsidR="00B248D0">
        <w:rPr>
          <w:rFonts w:asciiTheme="minorHAnsi" w:hAnsiTheme="minorHAnsi" w:cstheme="minorBidi"/>
          <w:sz w:val="24"/>
          <w:szCs w:val="24"/>
        </w:rPr>
        <w:t>§ 1º</w:t>
      </w:r>
      <w:r w:rsidRPr="0097459F">
        <w:rPr>
          <w:rFonts w:asciiTheme="minorHAnsi" w:hAnsiTheme="minorHAnsi" w:cstheme="minorBidi"/>
          <w:sz w:val="24"/>
          <w:szCs w:val="24"/>
        </w:rPr>
        <w:t xml:space="preserve"> do art. 2º deste </w:t>
      </w:r>
      <w:r w:rsidR="00FB1127" w:rsidRPr="0097459F">
        <w:rPr>
          <w:rFonts w:asciiTheme="minorHAnsi" w:hAnsiTheme="minorHAnsi" w:cstheme="minorBidi"/>
          <w:sz w:val="24"/>
          <w:szCs w:val="24"/>
        </w:rPr>
        <w:t>Anexo Normativo II</w:t>
      </w:r>
      <w:r w:rsidRPr="0097459F">
        <w:rPr>
          <w:rFonts w:asciiTheme="minorHAnsi" w:hAnsiTheme="minorHAnsi" w:cstheme="minorBidi"/>
          <w:sz w:val="24"/>
          <w:szCs w:val="24"/>
        </w:rPr>
        <w:t>, monitorar e informar, imediatamente, via comunicado ao mercado ou fato relevante, a depender da relevância, sobre quaisquer eventos de reavaliação do ativo.</w:t>
      </w:r>
    </w:p>
    <w:p w14:paraId="16F21D46" w14:textId="77777777" w:rsidR="00C20BBD" w:rsidRPr="0097459F" w:rsidRDefault="00C20BBD" w:rsidP="00C20BBD">
      <w:pPr>
        <w:spacing w:before="120" w:after="120" w:line="312" w:lineRule="auto"/>
        <w:ind w:firstLine="709"/>
        <w:jc w:val="both"/>
        <w:rPr>
          <w:rFonts w:asciiTheme="minorHAnsi" w:hAnsiTheme="minorHAnsi" w:cstheme="minorBidi"/>
          <w:sz w:val="24"/>
          <w:szCs w:val="24"/>
        </w:rPr>
      </w:pPr>
      <w:r w:rsidRPr="0097459F">
        <w:rPr>
          <w:rFonts w:asciiTheme="minorHAnsi" w:hAnsiTheme="minorHAnsi" w:cstheme="minorBidi"/>
          <w:sz w:val="24"/>
          <w:szCs w:val="24"/>
        </w:rPr>
        <w:t xml:space="preserve">Parágrafo único.  O documento referido no inciso II deve ser encaminhado mensalmente, em até 10 (dez) dias úteis após o encerramento do mês a que se referirem. </w:t>
      </w:r>
    </w:p>
    <w:p w14:paraId="6159B93B" w14:textId="77777777" w:rsidR="00C20BBD" w:rsidRPr="0097459F" w:rsidRDefault="00C20BBD" w:rsidP="00C20BBD">
      <w:pPr>
        <w:pStyle w:val="Seo"/>
        <w:ind w:firstLine="709"/>
      </w:pPr>
      <w:bookmarkStart w:id="648" w:name="_Toc507331283"/>
      <w:bookmarkStart w:id="649" w:name="_Toc53594282"/>
      <w:bookmarkStart w:id="650" w:name="_Toc53594530"/>
      <w:bookmarkStart w:id="651" w:name="_Toc53595555"/>
      <w:bookmarkStart w:id="652" w:name="_Toc57836292"/>
      <w:bookmarkStart w:id="653" w:name="_Toc161141304"/>
      <w:r w:rsidRPr="0097459F">
        <w:t>Seção II – Gestão</w:t>
      </w:r>
      <w:bookmarkEnd w:id="648"/>
      <w:bookmarkEnd w:id="649"/>
      <w:bookmarkEnd w:id="650"/>
      <w:bookmarkEnd w:id="651"/>
      <w:bookmarkEnd w:id="652"/>
      <w:bookmarkEnd w:id="653"/>
    </w:p>
    <w:p w14:paraId="4A23EC1E" w14:textId="77777777" w:rsidR="00C20BBD" w:rsidRPr="0097459F" w:rsidRDefault="00C20BBD" w:rsidP="00C20BBD">
      <w:pPr>
        <w:pStyle w:val="Normalalteradora"/>
        <w:ind w:firstLine="709"/>
      </w:pPr>
      <w:r w:rsidRPr="0097459F">
        <w:t xml:space="preserve">Art. 32.  Em acréscimo aos serviços previstos no </w:t>
      </w:r>
      <w:r w:rsidRPr="0097459F">
        <w:rPr>
          <w:rFonts w:eastAsia="Calibri"/>
        </w:rPr>
        <w:t xml:space="preserve">art. 85 da parte geral da Resolução, </w:t>
      </w:r>
      <w:r w:rsidRPr="0097459F">
        <w:t>o gestor pode contratar, em nome do fundo, os seguintes prestadores de serviços:</w:t>
      </w:r>
    </w:p>
    <w:p w14:paraId="5F261303" w14:textId="77777777" w:rsidR="00C20BBD" w:rsidRPr="0097459F" w:rsidRDefault="00C20BBD" w:rsidP="00C20BBD">
      <w:pPr>
        <w:pStyle w:val="Normalalteradora"/>
        <w:ind w:firstLine="709"/>
      </w:pPr>
      <w:r w:rsidRPr="0097459F">
        <w:t xml:space="preserve">I – </w:t>
      </w:r>
      <w:proofErr w:type="gramStart"/>
      <w:r w:rsidRPr="0097459F">
        <w:t>consultoria</w:t>
      </w:r>
      <w:proofErr w:type="gramEnd"/>
      <w:r w:rsidRPr="0097459F">
        <w:t xml:space="preserve"> especializada; e</w:t>
      </w:r>
    </w:p>
    <w:p w14:paraId="52B44B4E" w14:textId="1EBCF09B" w:rsidR="00C20BBD" w:rsidRDefault="00C20BBD" w:rsidP="00C20BBD">
      <w:pPr>
        <w:pStyle w:val="Normalalteradora"/>
        <w:ind w:firstLine="709"/>
      </w:pPr>
      <w:r w:rsidRPr="0097459F">
        <w:t xml:space="preserve">II – </w:t>
      </w:r>
      <w:proofErr w:type="gramStart"/>
      <w:r w:rsidRPr="0097459F">
        <w:t>agente</w:t>
      </w:r>
      <w:proofErr w:type="gramEnd"/>
      <w:r w:rsidRPr="0097459F">
        <w:t xml:space="preserve"> de cobrança.</w:t>
      </w:r>
    </w:p>
    <w:p w14:paraId="7CB1F0E5" w14:textId="2753B4AA" w:rsidR="006767E3" w:rsidRDefault="006767E3" w:rsidP="006767E3">
      <w:pPr>
        <w:pStyle w:val="Normalalteradora"/>
        <w:ind w:firstLine="709"/>
        <w:rPr>
          <w:strike/>
        </w:rPr>
      </w:pPr>
      <w:r w:rsidRPr="00677629">
        <w:rPr>
          <w:strike/>
        </w:rPr>
        <w:t>Parágrafo único.  Sem prejuízo da possibilidade de contratação de outros tipos de prestadores de serviço para a função, a contratação da consultoria especializada pode englobar sua atuação como agente de cobrança.</w:t>
      </w:r>
    </w:p>
    <w:p w14:paraId="1E241B1B" w14:textId="63746223" w:rsidR="00677629" w:rsidRDefault="00677629" w:rsidP="00677629">
      <w:pPr>
        <w:pStyle w:val="NormaAlterada"/>
      </w:pPr>
      <w:r>
        <w:t>§ 1</w:t>
      </w:r>
      <w:proofErr w:type="gramStart"/>
      <w:r>
        <w:t>º</w:t>
      </w:r>
      <w:r w:rsidRPr="0097459F">
        <w:t xml:space="preserve">  Sem</w:t>
      </w:r>
      <w:proofErr w:type="gramEnd"/>
      <w:r w:rsidRPr="0097459F">
        <w:t xml:space="preserve"> prejuízo da possibilidade de contratação de outros tipos de prestadores de serviço para a função, a contratação da consultoria especializada pode englobar sua atuação como agente de cobrança.</w:t>
      </w:r>
    </w:p>
    <w:p w14:paraId="447DBB0A" w14:textId="477955A4" w:rsidR="00677629" w:rsidRPr="00D960C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677629">
        <w:rPr>
          <w:rFonts w:asciiTheme="minorHAnsi" w:hAnsiTheme="minorHAnsi" w:cstheme="minorHAnsi"/>
          <w:b/>
          <w:bCs/>
          <w:i/>
          <w:iCs/>
          <w:sz w:val="24"/>
          <w:szCs w:val="24"/>
        </w:rPr>
        <w:t xml:space="preserve"> § 1º</w:t>
      </w:r>
      <w:r w:rsidRPr="0097459F">
        <w:t xml:space="preserve"> </w:t>
      </w:r>
      <w:r w:rsidR="00BD3980">
        <w:rPr>
          <w:rFonts w:asciiTheme="minorHAnsi" w:hAnsiTheme="minorHAnsi" w:cstheme="minorHAnsi"/>
          <w:b/>
          <w:i/>
          <w:sz w:val="24"/>
          <w:szCs w:val="24"/>
        </w:rPr>
        <w:t>renumerado</w:t>
      </w:r>
      <w:r>
        <w:rPr>
          <w:rFonts w:asciiTheme="minorHAnsi" w:hAnsiTheme="minorHAnsi" w:cstheme="minorHAnsi"/>
          <w:b/>
          <w:i/>
          <w:sz w:val="24"/>
          <w:szCs w:val="24"/>
        </w:rPr>
        <w:t xml:space="preserve">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04195EBB" w14:textId="33474047" w:rsidR="00677629" w:rsidRDefault="00677629" w:rsidP="00677629">
      <w:pPr>
        <w:pStyle w:val="NormaAlterada"/>
      </w:pPr>
      <w:r w:rsidRPr="0097459F">
        <w:t>§ 2</w:t>
      </w:r>
      <w:proofErr w:type="gramStart"/>
      <w:r w:rsidRPr="0097459F">
        <w:t>º  O</w:t>
      </w:r>
      <w:proofErr w:type="gramEnd"/>
      <w:r w:rsidRPr="0097459F">
        <w:t xml:space="preserve"> cedente dos direitos creditórios pode ser contratado pelo </w:t>
      </w:r>
      <w:r>
        <w:t>gestor</w:t>
      </w:r>
      <w:r w:rsidRPr="0097459F">
        <w:t>, em nome do fundo, exclusivamente como agente de cobrança dos créditos vencidos e não pagos.</w:t>
      </w:r>
    </w:p>
    <w:p w14:paraId="713ABCC7" w14:textId="483A16AD" w:rsidR="00677629" w:rsidRPr="0067762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w:t>
      </w:r>
      <w:r w:rsidRPr="00677629">
        <w:rPr>
          <w:rFonts w:asciiTheme="minorHAnsi" w:hAnsiTheme="minorHAnsi" w:cstheme="minorHAnsi"/>
          <w:b/>
          <w:bCs/>
          <w:i/>
          <w:iCs/>
          <w:sz w:val="24"/>
          <w:szCs w:val="24"/>
        </w:rPr>
        <w:t xml:space="preserve">§ </w:t>
      </w:r>
      <w:r>
        <w:rPr>
          <w:rFonts w:asciiTheme="minorHAnsi" w:hAnsiTheme="minorHAnsi" w:cstheme="minorHAnsi"/>
          <w:b/>
          <w:bCs/>
          <w:i/>
          <w:iCs/>
          <w:sz w:val="24"/>
          <w:szCs w:val="24"/>
        </w:rPr>
        <w:t>2</w:t>
      </w:r>
      <w:r w:rsidRPr="00677629">
        <w:rPr>
          <w:rFonts w:asciiTheme="minorHAnsi" w:hAnsiTheme="minorHAnsi" w:cstheme="minorHAnsi"/>
          <w:b/>
          <w:bCs/>
          <w:i/>
          <w:iCs/>
          <w:sz w:val="24"/>
          <w:szCs w:val="24"/>
        </w:rPr>
        <w:t>º</w:t>
      </w:r>
      <w:r w:rsidRPr="0097459F">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23126B4F" w14:textId="77777777" w:rsidR="00677629" w:rsidRPr="00677629" w:rsidRDefault="00677629" w:rsidP="00677629">
      <w:pPr>
        <w:pStyle w:val="NormaAlterada"/>
      </w:pPr>
      <w:r w:rsidRPr="00677629">
        <w:t>§ 3</w:t>
      </w:r>
      <w:proofErr w:type="gramStart"/>
      <w:r w:rsidRPr="00677629">
        <w:t>º  Na</w:t>
      </w:r>
      <w:proofErr w:type="gramEnd"/>
      <w:r w:rsidRPr="00677629">
        <w:t xml:space="preserve"> classe destinada exclusivamente a investidor profissional e que não tenha as suas cotas admitidas à negociação, o originador e o cedente dos direitos creditórios podem ser contratados pelo gestor para efetuar a guarda dos documentos relativos aos direitos creditórios, desde que:</w:t>
      </w:r>
    </w:p>
    <w:p w14:paraId="14AB6FC6" w14:textId="77777777" w:rsidR="00677629" w:rsidRPr="00677629" w:rsidRDefault="00677629" w:rsidP="00677629">
      <w:pPr>
        <w:pStyle w:val="NormaAlterada"/>
      </w:pPr>
      <w:r w:rsidRPr="00677629">
        <w:t xml:space="preserve">I – </w:t>
      </w:r>
      <w:proofErr w:type="gramStart"/>
      <w:r w:rsidRPr="00677629">
        <w:t>a</w:t>
      </w:r>
      <w:proofErr w:type="gramEnd"/>
      <w:r w:rsidRPr="00677629">
        <w:t xml:space="preserve"> classe seja dedicada à aquisição de créditos inadimplidos, massificados, de reduzido valor médio e cedidos à classe por percentual inferior ao valor de face;</w:t>
      </w:r>
    </w:p>
    <w:p w14:paraId="0FEBA9A4" w14:textId="77777777" w:rsidR="00677629" w:rsidRPr="00677629" w:rsidRDefault="00677629" w:rsidP="00677629">
      <w:pPr>
        <w:pStyle w:val="NormaAlterada"/>
      </w:pPr>
      <w:r w:rsidRPr="00677629">
        <w:t xml:space="preserve">II – </w:t>
      </w:r>
      <w:proofErr w:type="gramStart"/>
      <w:r w:rsidRPr="00677629">
        <w:t>a</w:t>
      </w:r>
      <w:proofErr w:type="gramEnd"/>
      <w:r w:rsidRPr="00677629">
        <w:t xml:space="preserve"> cobrança dos créditos seja preponderantemente realizada, de forma extrajudicial;</w:t>
      </w:r>
    </w:p>
    <w:p w14:paraId="5ED7C095" w14:textId="77777777" w:rsidR="00677629" w:rsidRPr="00677629" w:rsidRDefault="00677629" w:rsidP="00677629">
      <w:pPr>
        <w:pStyle w:val="NormaAlterada"/>
      </w:pPr>
      <w:r w:rsidRPr="00677629">
        <w:lastRenderedPageBreak/>
        <w:t>III – haja prévia aprovação pela unanimidade dos cotistas, reunidos em assembleia geral, ou declaração de ciência do cotista por meio de termo de adesão;</w:t>
      </w:r>
    </w:p>
    <w:p w14:paraId="16040353" w14:textId="77777777" w:rsidR="00677629" w:rsidRPr="00677629" w:rsidRDefault="00677629" w:rsidP="00677629">
      <w:pPr>
        <w:pStyle w:val="NormaAlterada"/>
      </w:pPr>
      <w:r w:rsidRPr="00677629">
        <w:t xml:space="preserve">IV – </w:t>
      </w:r>
      <w:proofErr w:type="gramStart"/>
      <w:r w:rsidRPr="00677629">
        <w:t>todos</w:t>
      </w:r>
      <w:proofErr w:type="gramEnd"/>
      <w:r w:rsidRPr="00677629">
        <w:t xml:space="preserve"> contratos de cessão de direitos creditórios à classe contenham cláusulas que prevejam a recompra ou indenização pelas cedentes, no mínimo pelo valor de aquisição pago pela classe, corrigidos, quando for o caso, na hipótese de a cedente não conseguir apresentar os documentos que comprovem a existência do crédito, ou de existirem óbices na documentação à efetiva cobrança do crédito;</w:t>
      </w:r>
    </w:p>
    <w:p w14:paraId="33004FE9" w14:textId="77777777" w:rsidR="00677629" w:rsidRPr="00677629" w:rsidRDefault="00677629" w:rsidP="00677629">
      <w:pPr>
        <w:pStyle w:val="NormaAlterada"/>
      </w:pPr>
      <w:r w:rsidRPr="00677629">
        <w:t xml:space="preserve">V – </w:t>
      </w:r>
      <w:proofErr w:type="gramStart"/>
      <w:r w:rsidRPr="00677629">
        <w:t>o</w:t>
      </w:r>
      <w:proofErr w:type="gramEnd"/>
      <w:r w:rsidRPr="00677629">
        <w:t xml:space="preserve"> regulamento não preveja a dispensa de verificação do lastro, conforme prevista no art. 36, § 3º, deste Anexo Normativo II; e</w:t>
      </w:r>
    </w:p>
    <w:p w14:paraId="2E065F6F" w14:textId="77777777" w:rsidR="00677629" w:rsidRPr="00677629" w:rsidRDefault="00677629" w:rsidP="00677629">
      <w:pPr>
        <w:pStyle w:val="NormaAlterada"/>
      </w:pPr>
      <w:r w:rsidRPr="00677629">
        <w:t xml:space="preserve">VI – </w:t>
      </w:r>
      <w:proofErr w:type="gramStart"/>
      <w:r w:rsidRPr="00677629">
        <w:t>os</w:t>
      </w:r>
      <w:proofErr w:type="gramEnd"/>
      <w:r w:rsidRPr="00677629">
        <w:t xml:space="preserve"> demonstrativos trimestrais previstos no inciso V do </w:t>
      </w:r>
      <w:r w:rsidRPr="00677629">
        <w:rPr>
          <w:b/>
        </w:rPr>
        <w:t>caput</w:t>
      </w:r>
      <w:r w:rsidRPr="00677629">
        <w:t xml:space="preserve"> do art. 27 deste Anexo Normativo II divulguem a exposição da classe a cada cedente e o montante de créditos recomprados ou indenizados conforme o estabelecido no inciso IV deste § 3º.</w:t>
      </w:r>
    </w:p>
    <w:p w14:paraId="333202F3" w14:textId="2F5F700F" w:rsidR="00677629" w:rsidRPr="0067762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w:t>
      </w:r>
      <w:r w:rsidRPr="00677629">
        <w:rPr>
          <w:rFonts w:asciiTheme="minorHAnsi" w:hAnsiTheme="minorHAnsi" w:cstheme="minorHAnsi"/>
          <w:b/>
          <w:bCs/>
          <w:i/>
          <w:iCs/>
          <w:sz w:val="24"/>
          <w:szCs w:val="24"/>
        </w:rPr>
        <w:t xml:space="preserve">§ </w:t>
      </w:r>
      <w:r>
        <w:rPr>
          <w:rFonts w:asciiTheme="minorHAnsi" w:hAnsiTheme="minorHAnsi" w:cstheme="minorHAnsi"/>
          <w:b/>
          <w:bCs/>
          <w:i/>
          <w:iCs/>
          <w:sz w:val="24"/>
          <w:szCs w:val="24"/>
        </w:rPr>
        <w:t>3</w:t>
      </w:r>
      <w:r w:rsidRPr="00677629">
        <w:rPr>
          <w:rFonts w:asciiTheme="minorHAnsi" w:hAnsiTheme="minorHAnsi" w:cstheme="minorHAnsi"/>
          <w:b/>
          <w:bCs/>
          <w:i/>
          <w:iCs/>
          <w:sz w:val="24"/>
          <w:szCs w:val="24"/>
        </w:rPr>
        <w:t>º</w:t>
      </w:r>
      <w:r w:rsidRPr="0097459F">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4F79AD26" w14:textId="309A0938" w:rsidR="00677629" w:rsidRPr="0097459F" w:rsidRDefault="00677629" w:rsidP="00677629">
      <w:pPr>
        <w:pStyle w:val="NormaAlterada"/>
      </w:pPr>
      <w:r w:rsidRPr="00677629">
        <w:t>§ 4</w:t>
      </w:r>
      <w:proofErr w:type="gramStart"/>
      <w:r w:rsidRPr="00677629">
        <w:t>º  No</w:t>
      </w:r>
      <w:proofErr w:type="gramEnd"/>
      <w:r w:rsidRPr="00677629">
        <w:t xml:space="preserve"> caso de classe exclusiva, fica dispensado o cumprimento do disposto nos incisos III e IV do § 3º deste artigo.</w:t>
      </w:r>
    </w:p>
    <w:p w14:paraId="3482A071" w14:textId="42215898" w:rsidR="00677629" w:rsidRPr="0067762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w:t>
      </w:r>
      <w:r w:rsidRPr="00677629">
        <w:rPr>
          <w:rFonts w:asciiTheme="minorHAnsi" w:hAnsiTheme="minorHAnsi" w:cstheme="minorHAnsi"/>
          <w:b/>
          <w:bCs/>
          <w:i/>
          <w:iCs/>
          <w:sz w:val="24"/>
          <w:szCs w:val="24"/>
        </w:rPr>
        <w:t xml:space="preserve">§ </w:t>
      </w:r>
      <w:r>
        <w:rPr>
          <w:rFonts w:asciiTheme="minorHAnsi" w:hAnsiTheme="minorHAnsi" w:cstheme="minorHAnsi"/>
          <w:b/>
          <w:bCs/>
          <w:i/>
          <w:iCs/>
          <w:sz w:val="24"/>
          <w:szCs w:val="24"/>
        </w:rPr>
        <w:t>4</w:t>
      </w:r>
      <w:r w:rsidRPr="00677629">
        <w:rPr>
          <w:rFonts w:asciiTheme="minorHAnsi" w:hAnsiTheme="minorHAnsi" w:cstheme="minorHAnsi"/>
          <w:b/>
          <w:bCs/>
          <w:i/>
          <w:iCs/>
          <w:sz w:val="24"/>
          <w:szCs w:val="24"/>
        </w:rPr>
        <w:t>º</w:t>
      </w:r>
      <w:r w:rsidRPr="0097459F">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1A0B16A1" w14:textId="48AD7286" w:rsidR="00C20BBD" w:rsidRPr="0097459F" w:rsidRDefault="00C20BBD" w:rsidP="00C20BBD">
      <w:pPr>
        <w:pStyle w:val="Normalalteradora"/>
        <w:ind w:firstLine="709"/>
      </w:pPr>
      <w:r w:rsidRPr="0097459F">
        <w:t xml:space="preserve">Art. 33.  Em acréscimo às demais obrigações previstas na parte geral da Resolução e neste </w:t>
      </w:r>
      <w:r w:rsidR="00FB1127" w:rsidRPr="0097459F">
        <w:t>Anexo Normativo II</w:t>
      </w:r>
      <w:r w:rsidRPr="0097459F">
        <w:t>, o gestor é responsável pelas seguintes atividades:</w:t>
      </w:r>
    </w:p>
    <w:p w14:paraId="366FEE83" w14:textId="77777777" w:rsidR="00C20BBD" w:rsidRPr="0097459F" w:rsidRDefault="00C20BBD" w:rsidP="00C20BBD">
      <w:pPr>
        <w:pStyle w:val="Normalalteradora"/>
        <w:ind w:firstLine="709"/>
      </w:pPr>
      <w:r w:rsidRPr="0097459F">
        <w:t xml:space="preserve">I – </w:t>
      </w:r>
      <w:proofErr w:type="gramStart"/>
      <w:r w:rsidRPr="0097459F">
        <w:t>estruturar</w:t>
      </w:r>
      <w:proofErr w:type="gramEnd"/>
      <w:r w:rsidRPr="0097459F">
        <w:t xml:space="preserve"> o fundo, nos termos do § 1º deste artigo; </w:t>
      </w:r>
    </w:p>
    <w:p w14:paraId="7F1DF120" w14:textId="77777777" w:rsidR="00C20BBD" w:rsidRPr="0097459F" w:rsidRDefault="00C20BBD" w:rsidP="00C20BBD">
      <w:pPr>
        <w:pStyle w:val="Normalalteradora"/>
        <w:ind w:firstLine="709"/>
      </w:pPr>
      <w:r w:rsidRPr="0097459F">
        <w:t xml:space="preserve">II – </w:t>
      </w:r>
      <w:proofErr w:type="gramStart"/>
      <w:r w:rsidRPr="0097459F">
        <w:t>executar</w:t>
      </w:r>
      <w:proofErr w:type="gramEnd"/>
      <w:r w:rsidRPr="0097459F">
        <w:t xml:space="preserve"> a política de investimentos, devendo analisar e selecionar os direitos creditórios para a carteira de ativos, o que inclui, no mínimo:</w:t>
      </w:r>
    </w:p>
    <w:p w14:paraId="3AB85B27" w14:textId="77777777" w:rsidR="00C20BBD" w:rsidRPr="0097459F" w:rsidRDefault="00C20BBD" w:rsidP="00C20BBD">
      <w:pPr>
        <w:pStyle w:val="Normalalteradora"/>
        <w:ind w:firstLine="709"/>
      </w:pPr>
      <w:r w:rsidRPr="0097459F">
        <w:t>a) verificar o enquadramento dos direitos creditórios à política de investimento, compreendendo, no mínimo, a validação dos direitos creditórios quanto aos critérios de elegibilidade e a observância aos requisitos de composição e diversificação, de forma individualizada ou por amostragem, utilizando modelo estatístico consistente e passível de verificação; e</w:t>
      </w:r>
    </w:p>
    <w:p w14:paraId="4D8DAAD4" w14:textId="77777777" w:rsidR="00C20BBD" w:rsidRPr="0097459F" w:rsidRDefault="00C20BBD" w:rsidP="00C20BBD">
      <w:pPr>
        <w:pStyle w:val="Normalalteradora"/>
        <w:ind w:firstLine="709"/>
      </w:pPr>
      <w:r w:rsidRPr="0097459F">
        <w:t>b) avaliar a aderência do risco de performance dos direitos creditórios, se houver, à política de investimento;</w:t>
      </w:r>
    </w:p>
    <w:p w14:paraId="4EDF61AE" w14:textId="77777777" w:rsidR="00C20BBD" w:rsidRPr="0097459F" w:rsidRDefault="00C20BBD" w:rsidP="00C20BBD">
      <w:pPr>
        <w:pStyle w:val="Normalalteradora"/>
        <w:ind w:firstLine="709"/>
      </w:pPr>
      <w:r w:rsidRPr="0097459F">
        <w:lastRenderedPageBreak/>
        <w:t>III – registrar os direitos creditórios na entidade registradora da classe ou entregá-los ao custodiante ou administrador, conforme o caso;</w:t>
      </w:r>
    </w:p>
    <w:p w14:paraId="6AB321CE" w14:textId="77777777" w:rsidR="00C20BBD" w:rsidRPr="0097459F" w:rsidRDefault="00C20BBD" w:rsidP="00C20BBD">
      <w:pPr>
        <w:pStyle w:val="Normalalteradora"/>
        <w:ind w:firstLine="709"/>
      </w:pPr>
      <w:r w:rsidRPr="0097459F">
        <w:t xml:space="preserve">IV – </w:t>
      </w:r>
      <w:proofErr w:type="gramStart"/>
      <w:r w:rsidRPr="0097459F">
        <w:t>na</w:t>
      </w:r>
      <w:proofErr w:type="gramEnd"/>
      <w:r w:rsidRPr="0097459F">
        <w:t xml:space="preserve"> hipótese de ocorrer substituição de direitos creditórios, por qualquer motivo, diligenciar para que a relação entre risco e retorno da carteira de direitos creditórios não seja alterada, nos termos da política de investimentos;</w:t>
      </w:r>
    </w:p>
    <w:p w14:paraId="7524D49E" w14:textId="77777777" w:rsidR="00C20BBD" w:rsidRPr="0097459F" w:rsidRDefault="00C20BBD" w:rsidP="00C20BBD">
      <w:pPr>
        <w:pStyle w:val="Normalalteradora"/>
        <w:ind w:firstLine="709"/>
      </w:pPr>
      <w:r w:rsidRPr="0097459F">
        <w:t xml:space="preserve">V – </w:t>
      </w:r>
      <w:proofErr w:type="gramStart"/>
      <w:r w:rsidRPr="0097459F">
        <w:t>efetuar</w:t>
      </w:r>
      <w:proofErr w:type="gramEnd"/>
      <w:r w:rsidRPr="0097459F">
        <w:t xml:space="preserve"> a correta formalização dos documentos relativos à cessão dos direitos creditórios; e</w:t>
      </w:r>
    </w:p>
    <w:p w14:paraId="20FDAA1C" w14:textId="77777777" w:rsidR="00C20BBD" w:rsidRPr="0097459F" w:rsidRDefault="00C20BBD" w:rsidP="00C20BBD">
      <w:pPr>
        <w:pStyle w:val="Normalalteradora"/>
        <w:ind w:firstLine="709"/>
      </w:pPr>
      <w:r w:rsidRPr="0097459F">
        <w:t xml:space="preserve">VI – </w:t>
      </w:r>
      <w:proofErr w:type="gramStart"/>
      <w:r w:rsidRPr="0097459F">
        <w:t>sem</w:t>
      </w:r>
      <w:proofErr w:type="gramEnd"/>
      <w:r w:rsidRPr="0097459F">
        <w:t xml:space="preserve"> prejuízo de outros parâmetros eventualmente definidos no regulamento, monitorar:</w:t>
      </w:r>
    </w:p>
    <w:p w14:paraId="3E73BFA0" w14:textId="77777777" w:rsidR="00C20BBD" w:rsidRPr="0097459F" w:rsidRDefault="00C20BBD" w:rsidP="00C20BBD">
      <w:pPr>
        <w:pStyle w:val="Normalalteradora"/>
        <w:ind w:firstLine="709"/>
      </w:pPr>
      <w:r w:rsidRPr="0097459F">
        <w:t>a) o índice de subordinação;</w:t>
      </w:r>
    </w:p>
    <w:p w14:paraId="798B3397" w14:textId="77777777" w:rsidR="00C20BBD" w:rsidRPr="0097459F" w:rsidRDefault="00C20BBD" w:rsidP="00C20BBD">
      <w:pPr>
        <w:pStyle w:val="Normalalteradora"/>
        <w:ind w:firstLine="709"/>
      </w:pPr>
      <w:r w:rsidRPr="0097459F">
        <w:t>b) a adimplência da carteira de direitos creditórios e, em relação aos direitos creditórios vencidos e não pagos, diligenciar para que sejam adotados os procedimentos de cobrança, observado que essa última obrigação inexiste no caso de hipóteses de dispensa previstas no regulamento; e</w:t>
      </w:r>
    </w:p>
    <w:p w14:paraId="6C471938" w14:textId="21E78DC1" w:rsidR="00C20BBD" w:rsidRPr="0097459F" w:rsidRDefault="00C20BBD" w:rsidP="00C20BBD">
      <w:pPr>
        <w:pStyle w:val="Normalalteradora"/>
        <w:ind w:firstLine="709"/>
      </w:pPr>
      <w:r w:rsidRPr="0097459F">
        <w:t>c) a taxa de retorno dos direitos creditórios, considerando, no mínimo, pagamentos, pré-pagamentos e inadimplência</w:t>
      </w:r>
      <w:r w:rsidR="00B248D0">
        <w:t>;</w:t>
      </w:r>
      <w:r w:rsidR="00014CA9">
        <w:t xml:space="preserve"> e</w:t>
      </w:r>
    </w:p>
    <w:p w14:paraId="7E9F72CD" w14:textId="77777777" w:rsidR="00C20BBD" w:rsidRPr="0097459F" w:rsidRDefault="00C20BBD" w:rsidP="00C20BBD">
      <w:pPr>
        <w:pStyle w:val="Normalalteradora"/>
        <w:ind w:firstLine="709"/>
      </w:pPr>
      <w:r w:rsidRPr="0097459F">
        <w:t>VII – na gestão de classes de cotas destinadas ao público em geral ou a investidores qualificados que aplicam recursos em precatórios federais:</w:t>
      </w:r>
    </w:p>
    <w:p w14:paraId="46040D3F" w14:textId="77777777" w:rsidR="00C20BBD" w:rsidRPr="0097459F" w:rsidRDefault="00C20BBD" w:rsidP="00C20BBD">
      <w:pPr>
        <w:pStyle w:val="Normalalteradora"/>
        <w:ind w:firstLine="709"/>
      </w:pPr>
      <w:r w:rsidRPr="0097459F">
        <w:t>a) se certificar acerca da inexistência de impugnações, podendo contratar serviços de advocacia em nome do fundo e às expensas da classe, para atuar na defesa dos interesses referentes aos precatórios, incluindo representação judicial e monitoramento de tais direitos creditórios; e</w:t>
      </w:r>
    </w:p>
    <w:p w14:paraId="247CFD95" w14:textId="77777777" w:rsidR="00C20BBD" w:rsidRPr="0097459F" w:rsidRDefault="00C20BBD" w:rsidP="00C20BBD">
      <w:pPr>
        <w:pStyle w:val="Normalalteradora"/>
        <w:ind w:firstLine="709"/>
      </w:pPr>
      <w:r w:rsidRPr="0097459F">
        <w:t>b) previamente a cada aquisição de precatórios, possuir o ofício requisitório e a certidão de remessa do precatório ao Tribunal Regional Federal, ou o comprovante de consulta do precatório na página eletrônica do tribunal.</w:t>
      </w:r>
    </w:p>
    <w:p w14:paraId="6A1912D8" w14:textId="77777777" w:rsidR="00C20BBD" w:rsidRPr="0097459F" w:rsidRDefault="00C20BBD" w:rsidP="00C20BBD">
      <w:pPr>
        <w:pStyle w:val="Normalalteradora"/>
        <w:ind w:firstLine="709"/>
      </w:pPr>
      <w:r w:rsidRPr="0097459F">
        <w:t>§ 1</w:t>
      </w:r>
      <w:proofErr w:type="gramStart"/>
      <w:r w:rsidRPr="0097459F">
        <w:t>º  A</w:t>
      </w:r>
      <w:proofErr w:type="gramEnd"/>
      <w:r w:rsidRPr="0097459F">
        <w:t xml:space="preserve"> estruturação da classe de cotas, nos termos do inciso I do </w:t>
      </w:r>
      <w:r w:rsidRPr="0097459F">
        <w:rPr>
          <w:b/>
        </w:rPr>
        <w:t>caput</w:t>
      </w:r>
      <w:r w:rsidRPr="0097459F">
        <w:t>, consiste, no mínimo, no conjunto das seguintes atividades:</w:t>
      </w:r>
    </w:p>
    <w:p w14:paraId="5EF4E0E0" w14:textId="77777777" w:rsidR="00C20BBD" w:rsidRPr="0097459F" w:rsidRDefault="00C20BBD" w:rsidP="00C20BBD">
      <w:pPr>
        <w:pStyle w:val="Normalalteradora"/>
        <w:ind w:firstLine="709"/>
      </w:pPr>
      <w:r w:rsidRPr="0097459F">
        <w:t xml:space="preserve">I – </w:t>
      </w:r>
      <w:proofErr w:type="gramStart"/>
      <w:r w:rsidRPr="0097459F">
        <w:t>estabelecer</w:t>
      </w:r>
      <w:proofErr w:type="gramEnd"/>
      <w:r w:rsidRPr="0097459F">
        <w:t xml:space="preserve"> a política de investimento;</w:t>
      </w:r>
    </w:p>
    <w:p w14:paraId="7363ED9A" w14:textId="77777777" w:rsidR="00C20BBD" w:rsidRPr="0097459F" w:rsidRDefault="00C20BBD" w:rsidP="00C20BBD">
      <w:pPr>
        <w:pStyle w:val="Normalalteradora"/>
        <w:ind w:firstLine="709"/>
      </w:pPr>
      <w:r w:rsidRPr="0097459F">
        <w:t xml:space="preserve">II – </w:t>
      </w:r>
      <w:proofErr w:type="gramStart"/>
      <w:r w:rsidRPr="0097459F">
        <w:t>estimar</w:t>
      </w:r>
      <w:proofErr w:type="gramEnd"/>
      <w:r w:rsidRPr="0097459F">
        <w:t xml:space="preserve"> a inadimplência da carteira de direitos creditórios e, se for o caso, estabelecer um índice de subordinação;</w:t>
      </w:r>
    </w:p>
    <w:p w14:paraId="5B9F334A" w14:textId="77777777" w:rsidR="00C20BBD" w:rsidRPr="0097459F" w:rsidRDefault="00C20BBD" w:rsidP="00C20BBD">
      <w:pPr>
        <w:pStyle w:val="Normalalteradora"/>
        <w:ind w:firstLine="709"/>
      </w:pPr>
      <w:r w:rsidRPr="0097459F">
        <w:t>III – estimar o prazo médio ponderado da carteira de direitos creditórios;</w:t>
      </w:r>
    </w:p>
    <w:p w14:paraId="057F91F3" w14:textId="77777777" w:rsidR="00C20BBD" w:rsidRPr="0097459F" w:rsidRDefault="00C20BBD" w:rsidP="00C20BBD">
      <w:pPr>
        <w:pStyle w:val="Normalalteradora"/>
        <w:ind w:firstLine="709"/>
      </w:pPr>
      <w:r w:rsidRPr="0097459F">
        <w:lastRenderedPageBreak/>
        <w:t xml:space="preserve">IV – </w:t>
      </w:r>
      <w:proofErr w:type="gramStart"/>
      <w:r w:rsidRPr="0097459F">
        <w:t>estabelecer</w:t>
      </w:r>
      <w:proofErr w:type="gramEnd"/>
      <w:r w:rsidRPr="0097459F">
        <w:t xml:space="preserve"> como se darão os fluxos financeiros derivados dos direitos creditórios; e</w:t>
      </w:r>
    </w:p>
    <w:p w14:paraId="0A0ED89E" w14:textId="77777777" w:rsidR="00C20BBD" w:rsidRPr="0097459F" w:rsidRDefault="00C20BBD" w:rsidP="00C20BBD">
      <w:pPr>
        <w:pStyle w:val="Normalalteradora"/>
        <w:ind w:firstLine="709"/>
      </w:pPr>
      <w:r w:rsidRPr="0097459F">
        <w:t xml:space="preserve">V – </w:t>
      </w:r>
      <w:proofErr w:type="gramStart"/>
      <w:r w:rsidRPr="0097459F">
        <w:t>estabelecer</w:t>
      </w:r>
      <w:proofErr w:type="gramEnd"/>
      <w:r w:rsidRPr="0097459F">
        <w:t xml:space="preserve"> hipóteses de liquidação antecipada que devem constar do regulamento.</w:t>
      </w:r>
    </w:p>
    <w:p w14:paraId="7698E7DB" w14:textId="2C36E9E9" w:rsidR="00C20BBD" w:rsidRPr="0097459F" w:rsidRDefault="00C20BBD" w:rsidP="00C20BBD">
      <w:pPr>
        <w:pStyle w:val="Normalalteradora"/>
        <w:ind w:firstLine="709"/>
      </w:pPr>
      <w:r w:rsidRPr="0097459F">
        <w:t>§ 2</w:t>
      </w:r>
      <w:proofErr w:type="gramStart"/>
      <w:r w:rsidRPr="0097459F">
        <w:t>º  A</w:t>
      </w:r>
      <w:proofErr w:type="gramEnd"/>
      <w:r w:rsidRPr="0097459F">
        <w:t xml:space="preserve"> validação referida na alínea “</w:t>
      </w:r>
      <w:r w:rsidR="00014CA9">
        <w:t>a</w:t>
      </w:r>
      <w:r w:rsidRPr="0097459F">
        <w:t xml:space="preserve">” do inciso II do </w:t>
      </w:r>
      <w:r w:rsidRPr="0097459F">
        <w:rPr>
          <w:b/>
        </w:rPr>
        <w:t>caput</w:t>
      </w:r>
      <w:r w:rsidRPr="0097459F">
        <w:t xml:space="preserve"> deve utilizar informações que estejam sob controle do gestor ou de qualquer outro prestador de serviços da classe, ou, ainda, caso necessário, que possam ser obtidas por meio de esforços razoáveis, as quais devem contemplar, no mínimo, informações prestadas por serviços de proteção ao crédito e obtidas de base de dados de cadastro positivo.</w:t>
      </w:r>
    </w:p>
    <w:p w14:paraId="6303C12E" w14:textId="77777777" w:rsidR="00C20BBD" w:rsidRPr="0097459F" w:rsidRDefault="00C20BBD" w:rsidP="00C20BBD">
      <w:pPr>
        <w:pStyle w:val="Normalalteradora"/>
        <w:ind w:firstLine="709"/>
      </w:pPr>
      <w:r w:rsidRPr="0097459F">
        <w:t>§ 3</w:t>
      </w:r>
      <w:proofErr w:type="gramStart"/>
      <w:r w:rsidRPr="0097459F">
        <w:t>º  A</w:t>
      </w:r>
      <w:proofErr w:type="gramEnd"/>
      <w:r w:rsidRPr="0097459F">
        <w:t xml:space="preserve"> consultoria especializada pode ser contratada pelo gestor para realizar atividades relacionadas à análise, seleção, aquisição e substituição dos direitos creditórios que comporão a carteira de direitos creditórios.</w:t>
      </w:r>
    </w:p>
    <w:p w14:paraId="2216EF09" w14:textId="77777777" w:rsidR="00C20BBD" w:rsidRPr="0097459F" w:rsidRDefault="00C20BBD" w:rsidP="00C20BBD">
      <w:pPr>
        <w:pStyle w:val="Normalalteradora"/>
        <w:ind w:firstLine="709"/>
      </w:pPr>
      <w:r w:rsidRPr="0097459F">
        <w:t>§ 4</w:t>
      </w:r>
      <w:proofErr w:type="gramStart"/>
      <w:r w:rsidRPr="0097459F">
        <w:t>º  Para</w:t>
      </w:r>
      <w:proofErr w:type="gramEnd"/>
      <w:r w:rsidRPr="0097459F">
        <w:t xml:space="preserve"> a contratação da consultoria especializada, o gestor deve verificar se o prestador de serviço possui reputação ilibada e capacidade técnica e operacional compatível com as atividades para as quais está sendo contratado.</w:t>
      </w:r>
    </w:p>
    <w:p w14:paraId="64DCE045" w14:textId="77777777" w:rsidR="00C20BBD" w:rsidRPr="0097459F" w:rsidRDefault="00C20BBD" w:rsidP="00C20BBD">
      <w:pPr>
        <w:pStyle w:val="Normalalteradora"/>
        <w:ind w:firstLine="709"/>
      </w:pPr>
      <w:r w:rsidRPr="0097459F">
        <w:t>Art. 34</w:t>
      </w:r>
      <w:r w:rsidRPr="0097459F">
        <w:rPr>
          <w:rFonts w:cstheme="minorHAnsi"/>
        </w:rPr>
        <w:t xml:space="preserve">.  No âmbito das diligências relacionadas à aquisição de direitos creditórios, o gestor deve verificar a possibilidade de ineficácia da cessão </w:t>
      </w:r>
      <w:r w:rsidRPr="0097459F">
        <w:t>à classe em virtude de riscos de natureza fiscal, alcançando direitos creditórios que tenham representatividade no patrimônio da classe, assim como dar ciência do risco, caso existente, no termo de adesão e no material de divulgação.</w:t>
      </w:r>
    </w:p>
    <w:p w14:paraId="08949328" w14:textId="72795FBF" w:rsidR="00C20BBD" w:rsidRPr="0097459F" w:rsidRDefault="00C20BBD" w:rsidP="00C20BBD">
      <w:pPr>
        <w:pStyle w:val="Normalalteradora"/>
        <w:ind w:firstLine="709"/>
      </w:pPr>
      <w:r w:rsidRPr="0097459F">
        <w:t xml:space="preserve">Art. 35.  As classes e subclasses de cotas que contam com taxa de performance devem observar a disciplina conferida à matéria no Anexo </w:t>
      </w:r>
      <w:r w:rsidR="00967B1C" w:rsidRPr="0097459F">
        <w:t>Normativo I</w:t>
      </w:r>
      <w:r w:rsidRPr="0097459F">
        <w:t xml:space="preserve"> da Resolução.</w:t>
      </w:r>
    </w:p>
    <w:p w14:paraId="46DE2213" w14:textId="77777777" w:rsidR="00C20BBD" w:rsidRPr="0097459F" w:rsidRDefault="00C20BBD" w:rsidP="00C20BBD">
      <w:pPr>
        <w:pStyle w:val="Seo"/>
        <w:ind w:firstLine="709"/>
      </w:pPr>
      <w:bookmarkStart w:id="654" w:name="_Toc507331284"/>
      <w:bookmarkStart w:id="655" w:name="_Toc53594283"/>
      <w:bookmarkStart w:id="656" w:name="_Toc53594531"/>
      <w:bookmarkStart w:id="657" w:name="_Toc53595556"/>
      <w:bookmarkStart w:id="658" w:name="_Toc57836293"/>
      <w:bookmarkStart w:id="659" w:name="_Toc161141305"/>
      <w:r w:rsidRPr="0097459F">
        <w:t>Seção III – Verificação do Lastro</w:t>
      </w:r>
      <w:bookmarkEnd w:id="659"/>
    </w:p>
    <w:p w14:paraId="52CE03C0" w14:textId="77777777" w:rsidR="00C20BBD" w:rsidRPr="0097459F" w:rsidRDefault="00C20BBD" w:rsidP="00C20BBD">
      <w:pPr>
        <w:spacing w:before="120" w:after="120" w:line="312" w:lineRule="auto"/>
        <w:ind w:firstLine="709"/>
        <w:jc w:val="both"/>
        <w:rPr>
          <w:rFonts w:asciiTheme="minorHAnsi" w:eastAsia="Times New Roman" w:hAnsiTheme="minorHAnsi" w:cstheme="minorBidi"/>
          <w:sz w:val="24"/>
          <w:szCs w:val="24"/>
          <w:lang w:eastAsia="pt-BR"/>
        </w:rPr>
      </w:pPr>
      <w:r w:rsidRPr="0097459F">
        <w:rPr>
          <w:rFonts w:asciiTheme="minorHAnsi" w:eastAsia="Times New Roman" w:hAnsiTheme="minorHAnsi" w:cstheme="minorBidi"/>
          <w:sz w:val="24"/>
          <w:szCs w:val="24"/>
          <w:lang w:eastAsia="pt-BR"/>
        </w:rPr>
        <w:t>Art. 36.  No âmbito das diligências relacionadas à aquisição de direitos creditórios, o gestor deve verificar a existência, integridade e titularidade do lastro dos direitos e títulos representativos de crédito referidos na alínea “a” do inciso XII do art. 2º.</w:t>
      </w:r>
    </w:p>
    <w:p w14:paraId="4472B637" w14:textId="52189069" w:rsidR="00C20BBD" w:rsidRPr="0097459F" w:rsidRDefault="00C20BBD" w:rsidP="00C20BBD">
      <w:pPr>
        <w:pStyle w:val="Normalalteradora"/>
        <w:ind w:firstLine="709"/>
      </w:pPr>
      <w:r w:rsidRPr="0097459F">
        <w:t>§ 1</w:t>
      </w:r>
      <w:proofErr w:type="gramStart"/>
      <w:r w:rsidRPr="0097459F">
        <w:t>º  A</w:t>
      </w:r>
      <w:proofErr w:type="gramEnd"/>
      <w:r w:rsidRPr="0097459F">
        <w:t xml:space="preserve"> verificação prevista no </w:t>
      </w:r>
      <w:r w:rsidRPr="0097459F">
        <w:rPr>
          <w:b/>
        </w:rPr>
        <w:t>caput</w:t>
      </w:r>
      <w:r w:rsidRPr="0097459F">
        <w:t xml:space="preserve"> pode ser efetuada de forma individualizada ou por amostragem, utilizando modelo estatístico consistente e passível de verificação, observados os parâmetros previstos no regulamento, nos termos do art. 20, inciso VII, deste </w:t>
      </w:r>
      <w:r w:rsidR="00FB1127" w:rsidRPr="0097459F">
        <w:t>Anexo Normativo II</w:t>
      </w:r>
      <w:r w:rsidRPr="0097459F">
        <w:t>.</w:t>
      </w:r>
    </w:p>
    <w:p w14:paraId="7FC5312C" w14:textId="77777777" w:rsidR="00C20BBD" w:rsidRPr="0097459F" w:rsidRDefault="00C20BBD" w:rsidP="00C20BBD">
      <w:pPr>
        <w:pStyle w:val="Normalalteradora"/>
        <w:ind w:firstLine="709"/>
      </w:pPr>
      <w:r w:rsidRPr="0097459F">
        <w:lastRenderedPageBreak/>
        <w:t>§ 2</w:t>
      </w:r>
      <w:proofErr w:type="gramStart"/>
      <w:r w:rsidRPr="0097459F">
        <w:t>º  As</w:t>
      </w:r>
      <w:proofErr w:type="gramEnd"/>
      <w:r w:rsidRPr="0097459F">
        <w:t xml:space="preserve"> regras e procedimentos aplicáveis à verificação de lastro por amostragem a que se refere o § 1º devem ser disponibilizados e mantidos atualizados pelo administrador na mesma página eletrônica onde estejam disponibilizadas as informações periódicas e eventuais da classe de cotas.</w:t>
      </w:r>
    </w:p>
    <w:p w14:paraId="4AFC52FB" w14:textId="77777777" w:rsidR="00C20BBD" w:rsidRPr="0097459F" w:rsidRDefault="00C20BBD" w:rsidP="00C20BBD">
      <w:pPr>
        <w:pStyle w:val="Normalalteradora"/>
        <w:ind w:firstLine="709"/>
      </w:pPr>
      <w:r w:rsidRPr="0097459F">
        <w:t>§ 3</w:t>
      </w:r>
      <w:proofErr w:type="gramStart"/>
      <w:r w:rsidRPr="0097459F">
        <w:t>º  Caso</w:t>
      </w:r>
      <w:proofErr w:type="gramEnd"/>
      <w:r w:rsidRPr="0097459F">
        <w:t xml:space="preserve"> o reduzido valor médio dos direitos creditórios não justifique a realização de verificação do lastro dos direitos creditórios sequer por amostragem, o regulamento pode dispensar tal verificação, hipótese na qual deve especificar os parâmetros relativos à diversificação de devedores, quantidade e valor médio dos créditos que ensejam a dispensa.</w:t>
      </w:r>
    </w:p>
    <w:p w14:paraId="4D083389" w14:textId="77777777" w:rsidR="00C20BBD" w:rsidRDefault="00C20BBD" w:rsidP="00C20BBD">
      <w:pPr>
        <w:pStyle w:val="Normalalteradora"/>
        <w:ind w:firstLine="709"/>
        <w:rPr>
          <w:strike/>
        </w:rPr>
      </w:pPr>
      <w:r w:rsidRPr="008205C5">
        <w:rPr>
          <w:strike/>
        </w:rPr>
        <w:t>§ 4</w:t>
      </w:r>
      <w:proofErr w:type="gramStart"/>
      <w:r w:rsidRPr="008205C5">
        <w:rPr>
          <w:strike/>
        </w:rPr>
        <w:t>º  O</w:t>
      </w:r>
      <w:proofErr w:type="gramEnd"/>
      <w:r w:rsidRPr="008205C5">
        <w:rPr>
          <w:strike/>
        </w:rPr>
        <w:t xml:space="preserve"> gestor pode contratar terceiros para efetuar a verificação do lastro de que trata este artigo, inclusive a entidade registradora, o custodiante ou a consultoria especializada, desde que o agente contratado não seja sua parte relacionada, devendo constar do contrato de prestação de serviços as regras e procedimentos aplicáveis à verificação.</w:t>
      </w:r>
    </w:p>
    <w:p w14:paraId="04F93F3A" w14:textId="77777777" w:rsidR="008205C5" w:rsidRPr="0097459F" w:rsidRDefault="008205C5" w:rsidP="008205C5">
      <w:pPr>
        <w:pStyle w:val="NormaAlterada"/>
      </w:pPr>
      <w:r w:rsidRPr="0097459F">
        <w:t>§ 4</w:t>
      </w:r>
      <w:proofErr w:type="gramStart"/>
      <w:r w:rsidRPr="0097459F">
        <w:t>º  O</w:t>
      </w:r>
      <w:proofErr w:type="gramEnd"/>
      <w:r w:rsidRPr="0097459F">
        <w:t xml:space="preserve"> gestor pode contratar terceiros para efetuar a verificação do lastro de que trata este artigo, inclusive a entidade registradora, o custodiante ou a consultoria especializada,</w:t>
      </w:r>
      <w:r w:rsidRPr="00E24D22">
        <w:t xml:space="preserve"> </w:t>
      </w:r>
      <w:r w:rsidRPr="0097459F">
        <w:t>devendo constar do contrato de prestação de serviços as regras e procedimentos aplicáveis à verificação.</w:t>
      </w:r>
    </w:p>
    <w:p w14:paraId="118A62B4" w14:textId="2CD8AF09" w:rsidR="008205C5" w:rsidRPr="008205C5" w:rsidRDefault="008205C5" w:rsidP="008205C5">
      <w:pPr>
        <w:pStyle w:val="Normalalteradora"/>
        <w:numPr>
          <w:ilvl w:val="0"/>
          <w:numId w:val="40"/>
        </w:numPr>
        <w:ind w:left="709" w:hanging="142"/>
        <w:rPr>
          <w:strike/>
        </w:rPr>
      </w:pPr>
      <w:r w:rsidRPr="008205C5">
        <w:rPr>
          <w:rFonts w:cstheme="minorHAnsi"/>
          <w:b/>
          <w:bCs/>
          <w:i/>
          <w:iCs/>
        </w:rPr>
        <w:t xml:space="preserve"> </w:t>
      </w:r>
      <w:r w:rsidRPr="008205C5">
        <w:rPr>
          <w:b/>
          <w:bCs/>
          <w:i/>
          <w:iCs/>
        </w:rPr>
        <w:t>§ 4º</w:t>
      </w:r>
      <w:r w:rsidRPr="0097459F">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4EADEC21" w14:textId="77777777" w:rsidR="00C20BBD" w:rsidRPr="0097459F" w:rsidRDefault="00C20BBD" w:rsidP="00C20BBD">
      <w:pPr>
        <w:pStyle w:val="Normalalteradora"/>
        <w:ind w:firstLine="709"/>
      </w:pPr>
      <w:r w:rsidRPr="0097459F">
        <w:t>§ 5</w:t>
      </w:r>
      <w:proofErr w:type="gramStart"/>
      <w:r w:rsidRPr="0097459F">
        <w:t>º  Caso</w:t>
      </w:r>
      <w:proofErr w:type="gramEnd"/>
      <w:r w:rsidRPr="0097459F">
        <w:t xml:space="preserve"> contrate prestador de serviços para efetuar a verificação do lastro, o gestor deve fiscalizar sua atuação no tocante à observância às regras e procedimentos aplicáveis à verificação.</w:t>
      </w:r>
    </w:p>
    <w:p w14:paraId="01489445" w14:textId="3C583AB6" w:rsidR="00C20BBD" w:rsidRPr="0097459F" w:rsidRDefault="00C20BBD" w:rsidP="00C20BBD">
      <w:pPr>
        <w:pStyle w:val="Seo"/>
        <w:ind w:firstLine="709"/>
      </w:pPr>
      <w:bookmarkStart w:id="660" w:name="_Toc161141306"/>
      <w:r w:rsidRPr="0097459F">
        <w:t xml:space="preserve">Seção IV – </w:t>
      </w:r>
      <w:bookmarkEnd w:id="654"/>
      <w:r w:rsidRPr="0097459F">
        <w:t>Custódia</w:t>
      </w:r>
      <w:bookmarkEnd w:id="655"/>
      <w:bookmarkEnd w:id="656"/>
      <w:bookmarkEnd w:id="657"/>
      <w:bookmarkEnd w:id="658"/>
      <w:bookmarkEnd w:id="660"/>
    </w:p>
    <w:p w14:paraId="586CCC38" w14:textId="2B5DE3CE" w:rsidR="00C20BBD" w:rsidRDefault="00C20BBD" w:rsidP="00C20BBD">
      <w:pPr>
        <w:pStyle w:val="Normalalteradora"/>
        <w:ind w:firstLine="709"/>
      </w:pPr>
      <w:r w:rsidRPr="0097459F">
        <w:t>Art. 37.  Caso a classe aplique recursos em direitos creditórios que não sejam passíveis de registro em entidade registradora, o administrador deve contratar o serviço de custódia para a carteira de ativos.</w:t>
      </w:r>
    </w:p>
    <w:p w14:paraId="4BF90E8E" w14:textId="7CE12EAD" w:rsidR="00677629" w:rsidRDefault="00677629" w:rsidP="00C20BBD">
      <w:pPr>
        <w:pStyle w:val="Normalalteradora"/>
        <w:ind w:firstLine="709"/>
        <w:rPr>
          <w:rStyle w:val="ui-provider"/>
          <w:rFonts w:eastAsiaTheme="majorEastAsia"/>
        </w:rPr>
      </w:pPr>
      <w:r>
        <w:t xml:space="preserve">Parágrafo único.  </w:t>
      </w:r>
      <w:r>
        <w:rPr>
          <w:rStyle w:val="ui-provider"/>
          <w:rFonts w:eastAsiaTheme="majorEastAsia"/>
        </w:rPr>
        <w:t xml:space="preserve">Caso o direito creditório esteja registrado em mercado organizado de balcão autorizado pela CVM ou depositado em depositário central autorizado pela CVM ou pelo Banco Central do Brasil, fica dispensado o registro de que trata o </w:t>
      </w:r>
      <w:r w:rsidRPr="00ED67B8">
        <w:rPr>
          <w:rStyle w:val="ui-provider"/>
          <w:rFonts w:eastAsiaTheme="majorEastAsia"/>
          <w:b/>
        </w:rPr>
        <w:t>caput</w:t>
      </w:r>
      <w:r>
        <w:rPr>
          <w:rStyle w:val="ui-provider"/>
          <w:rFonts w:eastAsiaTheme="majorEastAsia"/>
        </w:rPr>
        <w:t>.</w:t>
      </w:r>
    </w:p>
    <w:p w14:paraId="65C8ABBD" w14:textId="2CD6953F" w:rsidR="00677629" w:rsidRPr="0067762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bCs/>
          <w:i/>
          <w:iCs/>
          <w:sz w:val="24"/>
          <w:szCs w:val="24"/>
        </w:rPr>
        <w:t xml:space="preserve"> Parágrafo único</w:t>
      </w:r>
      <w:r w:rsidRPr="0097459F">
        <w:t xml:space="preserve"> </w:t>
      </w:r>
      <w:r>
        <w:rPr>
          <w:rFonts w:asciiTheme="minorHAnsi" w:hAnsiTheme="minorHAnsi" w:cstheme="minorHAnsi"/>
          <w:b/>
          <w:i/>
          <w:sz w:val="24"/>
          <w:szCs w:val="24"/>
        </w:rPr>
        <w:t xml:space="preserve">incluído </w:t>
      </w:r>
      <w:r w:rsidRPr="00D960C9">
        <w:rPr>
          <w:rFonts w:asciiTheme="minorHAnsi" w:hAnsiTheme="minorHAnsi" w:cstheme="minorHAnsi"/>
          <w:b/>
          <w:i/>
          <w:sz w:val="24"/>
          <w:szCs w:val="24"/>
        </w:rPr>
        <w:t xml:space="preserve">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0E3602D" w14:textId="1D8D5FCA" w:rsidR="00C20BBD" w:rsidRPr="0097459F" w:rsidRDefault="00C20BBD" w:rsidP="00C20BBD">
      <w:pPr>
        <w:pStyle w:val="Normalalteradora"/>
        <w:ind w:firstLine="709"/>
      </w:pPr>
      <w:r w:rsidRPr="0097459F">
        <w:t xml:space="preserve">Art. 38.  Considerando a totalidade do lastro, passível ou não de registro, trimestralmente ou em periodicidade compatível com o prazo médio ponderado dos direitos creditórios da carteira, o que for maior, o custodiante dos direitos creditórios deve verificar a existência, integridade e titularidade do </w:t>
      </w:r>
      <w:r w:rsidRPr="0097459F">
        <w:lastRenderedPageBreak/>
        <w:t>lastro dos direitos creditórios que ingressaram na carteira no período a título de substituição, assim como o lastro dos direitos creditórios vencidos e não pagos no mesmo período.</w:t>
      </w:r>
    </w:p>
    <w:p w14:paraId="0DED8FDE" w14:textId="77777777" w:rsidR="00C20BBD" w:rsidRPr="0097459F" w:rsidRDefault="00C20BBD" w:rsidP="00C20BBD">
      <w:pPr>
        <w:pStyle w:val="Normalalteradora"/>
        <w:ind w:firstLine="709"/>
      </w:pPr>
      <w:r w:rsidRPr="0097459F">
        <w:t>§ 1</w:t>
      </w:r>
      <w:proofErr w:type="gramStart"/>
      <w:r w:rsidRPr="0097459F">
        <w:t>º  O</w:t>
      </w:r>
      <w:proofErr w:type="gramEnd"/>
      <w:r w:rsidRPr="0097459F">
        <w:t xml:space="preserve"> regulamento pode prever que a verificação periódica do lastro é responsabilidade do administrador, desde que não seja parte relacionada ao gestor e, se houver, à consultoria especializada.</w:t>
      </w:r>
    </w:p>
    <w:p w14:paraId="6DB4F23D" w14:textId="77777777" w:rsidR="00C20BBD" w:rsidRPr="0097459F" w:rsidRDefault="00C20BBD" w:rsidP="00C20BBD">
      <w:pPr>
        <w:pStyle w:val="Normalalteradora"/>
        <w:ind w:firstLine="709"/>
      </w:pPr>
      <w:r w:rsidRPr="0097459F">
        <w:t>§ 2</w:t>
      </w:r>
      <w:proofErr w:type="gramStart"/>
      <w:r w:rsidRPr="0097459F">
        <w:t>º  O</w:t>
      </w:r>
      <w:proofErr w:type="gramEnd"/>
      <w:r w:rsidRPr="0097459F">
        <w:t xml:space="preserve"> custodiante ou o administrador, conforme o caso, pode utilizar informações oriundas da entidade registradora, observado que deve verificar se tais informações são consistentes e adequadas à verificação.</w:t>
      </w:r>
    </w:p>
    <w:p w14:paraId="51BE1003" w14:textId="77777777" w:rsidR="00C20BBD" w:rsidRPr="0097459F" w:rsidRDefault="00C20BBD" w:rsidP="00C20BBD">
      <w:pPr>
        <w:pStyle w:val="Normalalteradora"/>
        <w:ind w:firstLine="709"/>
      </w:pPr>
      <w:r w:rsidRPr="0097459F">
        <w:t>Art. 39.  O custodiante pode ser contratado pelo administrador para:</w:t>
      </w:r>
    </w:p>
    <w:p w14:paraId="037914B1" w14:textId="77777777" w:rsidR="00C20BBD" w:rsidRPr="0097459F" w:rsidRDefault="00C20BBD" w:rsidP="00C20BBD">
      <w:pPr>
        <w:pStyle w:val="Normalalteradora"/>
        <w:ind w:firstLine="709"/>
      </w:pPr>
      <w:r w:rsidRPr="0097459F">
        <w:t xml:space="preserve">I – </w:t>
      </w:r>
      <w:proofErr w:type="gramStart"/>
      <w:r w:rsidRPr="0097459F">
        <w:t>realizar</w:t>
      </w:r>
      <w:proofErr w:type="gramEnd"/>
      <w:r w:rsidRPr="0097459F">
        <w:t xml:space="preserve"> a liquidação física ou eletrônica e financeira dos direitos creditórios;</w:t>
      </w:r>
    </w:p>
    <w:p w14:paraId="571B765C" w14:textId="77777777" w:rsidR="00C20BBD" w:rsidRPr="0097459F" w:rsidRDefault="00C20BBD" w:rsidP="00C20BBD">
      <w:pPr>
        <w:pStyle w:val="Normalalteradora"/>
        <w:ind w:firstLine="709"/>
      </w:pPr>
      <w:r w:rsidRPr="0097459F">
        <w:t xml:space="preserve">II – </w:t>
      </w:r>
      <w:proofErr w:type="gramStart"/>
      <w:r w:rsidRPr="0097459F">
        <w:t>cobrar e receber</w:t>
      </w:r>
      <w:proofErr w:type="gramEnd"/>
      <w:r w:rsidRPr="0097459F">
        <w:t>, em nome da classe, pagamentos, resgate de títulos ou qualquer outro rendimento relativo aos ativos da carteira, depositando os valores recebidos diretamente em conta de titularidade da classe ou, se for o caso, em conta-vinculada; e</w:t>
      </w:r>
    </w:p>
    <w:p w14:paraId="539879C4" w14:textId="77777777" w:rsidR="00C20BBD" w:rsidRPr="0097459F" w:rsidRDefault="00C20BBD" w:rsidP="00C20BBD">
      <w:pPr>
        <w:pStyle w:val="Normalalteradora"/>
        <w:ind w:firstLine="709"/>
      </w:pPr>
      <w:r w:rsidRPr="0097459F">
        <w:t>III – realizar a guarda da documentação relativa ao lastro dos direitos creditórios.</w:t>
      </w:r>
    </w:p>
    <w:p w14:paraId="1B8445F2" w14:textId="77777777" w:rsidR="00C20BBD" w:rsidRPr="0097459F" w:rsidRDefault="00C20BBD" w:rsidP="00C20BBD">
      <w:pPr>
        <w:pStyle w:val="Normalalteradora"/>
        <w:ind w:firstLine="709"/>
      </w:pPr>
      <w:r w:rsidRPr="0097459F">
        <w:t>Art. 40.  Os prestadores de serviço eventualmente subcontratados pelo custodiante não podem ser, em relação à classe de cotas, originador, cedente, gestor, consultoria especializada ou partes a eles relacionadas.</w:t>
      </w:r>
    </w:p>
    <w:p w14:paraId="3C7C246A" w14:textId="42BC68F2" w:rsidR="00C20BBD" w:rsidRPr="0097459F" w:rsidRDefault="00C20BBD" w:rsidP="007A74D4">
      <w:pPr>
        <w:pStyle w:val="Seo"/>
      </w:pPr>
      <w:bookmarkStart w:id="661" w:name="_Toc53594284"/>
      <w:bookmarkStart w:id="662" w:name="_Toc53594532"/>
      <w:bookmarkStart w:id="663" w:name="_Toc53595557"/>
      <w:bookmarkStart w:id="664" w:name="_Toc57836294"/>
      <w:bookmarkStart w:id="665" w:name="_Toc161141307"/>
      <w:r w:rsidRPr="0097459F">
        <w:t>Seção V – Vedações</w:t>
      </w:r>
      <w:bookmarkStart w:id="666" w:name="_Toc507331286"/>
      <w:bookmarkStart w:id="667" w:name="_Toc514432578"/>
      <w:bookmarkEnd w:id="661"/>
      <w:bookmarkEnd w:id="662"/>
      <w:bookmarkEnd w:id="663"/>
      <w:bookmarkEnd w:id="664"/>
      <w:bookmarkEnd w:id="665"/>
    </w:p>
    <w:bookmarkEnd w:id="666"/>
    <w:bookmarkEnd w:id="667"/>
    <w:p w14:paraId="018DC5A3" w14:textId="451D43E1" w:rsidR="00C20BBD" w:rsidRPr="0097459F" w:rsidRDefault="00C20BBD" w:rsidP="00C20BBD">
      <w:pPr>
        <w:pStyle w:val="Normalalteradora"/>
        <w:ind w:firstLine="709"/>
      </w:pPr>
      <w:r w:rsidRPr="0097459F">
        <w:t xml:space="preserve">Art. 41.  É vedado a qualquer prestador de serviços receber ou orientar o recebimento de depósito em conta corrente que não seja de titularidade da classe de cotas ou </w:t>
      </w:r>
      <w:r w:rsidR="00382F11">
        <w:t xml:space="preserve">não </w:t>
      </w:r>
      <w:r w:rsidRPr="0097459F">
        <w:t>seja conta-vinculada.</w:t>
      </w:r>
    </w:p>
    <w:p w14:paraId="36E3AA80" w14:textId="77777777" w:rsidR="00C20BBD" w:rsidRPr="0097459F" w:rsidRDefault="00C20BBD" w:rsidP="00C20BBD">
      <w:pPr>
        <w:pStyle w:val="Normalalteradora"/>
        <w:ind w:firstLine="709"/>
      </w:pPr>
      <w:r w:rsidRPr="0097459F">
        <w:t>Art. 42.  É vedada a aquisição de direitos creditórios originados ou cedidos pelo administrador, gestor, consultoria especializada ou partes a eles relacionadas.</w:t>
      </w:r>
    </w:p>
    <w:p w14:paraId="5710B163" w14:textId="77777777" w:rsidR="00C20BBD" w:rsidRPr="0097459F" w:rsidRDefault="00C20BBD" w:rsidP="00C20BBD">
      <w:pPr>
        <w:pStyle w:val="Normalalteradora"/>
        <w:ind w:firstLine="709"/>
      </w:pPr>
      <w:r w:rsidRPr="0097459F">
        <w:t>§ 1</w:t>
      </w:r>
      <w:proofErr w:type="gramStart"/>
      <w:r w:rsidRPr="0097459F">
        <w:t>º  O</w:t>
      </w:r>
      <w:proofErr w:type="gramEnd"/>
      <w:r w:rsidRPr="0097459F">
        <w:t xml:space="preserve"> regulamento pode afastar a vedação prevista no </w:t>
      </w:r>
      <w:r w:rsidRPr="0097459F">
        <w:rPr>
          <w:b/>
        </w:rPr>
        <w:t>caput</w:t>
      </w:r>
      <w:r w:rsidRPr="0097459F">
        <w:t>, desde que:</w:t>
      </w:r>
    </w:p>
    <w:p w14:paraId="367213CF" w14:textId="354B41E9" w:rsidR="00C20BBD" w:rsidRPr="0097459F" w:rsidRDefault="00C20BBD" w:rsidP="00C20BBD">
      <w:pPr>
        <w:pStyle w:val="Normalalteradora"/>
        <w:ind w:firstLine="709"/>
      </w:pPr>
      <w:r w:rsidRPr="0097459F">
        <w:t xml:space="preserve">I – </w:t>
      </w:r>
      <w:proofErr w:type="gramStart"/>
      <w:r w:rsidRPr="0097459F">
        <w:t>o</w:t>
      </w:r>
      <w:proofErr w:type="gramEnd"/>
      <w:r w:rsidRPr="0097459F">
        <w:t xml:space="preserve"> gestor, a entidade registradora e o custodiante dos direitos creditórios não sejam partes relacionadas entre si; e</w:t>
      </w:r>
    </w:p>
    <w:p w14:paraId="516EB4CE" w14:textId="77777777" w:rsidR="00C20BBD" w:rsidRPr="0097459F" w:rsidRDefault="00C20BBD" w:rsidP="00C20BBD">
      <w:pPr>
        <w:pStyle w:val="Normalalteradora"/>
        <w:ind w:firstLine="709"/>
      </w:pPr>
      <w:r w:rsidRPr="0097459F">
        <w:t xml:space="preserve">II – </w:t>
      </w:r>
      <w:proofErr w:type="gramStart"/>
      <w:r w:rsidRPr="0097459F">
        <w:t>a</w:t>
      </w:r>
      <w:proofErr w:type="gramEnd"/>
      <w:r w:rsidRPr="0097459F">
        <w:t xml:space="preserve"> entidade registradora e o custodiante não sejam partes relacionadas ao originador ou cedente.</w:t>
      </w:r>
    </w:p>
    <w:p w14:paraId="1F1B1D0D" w14:textId="2C71BDA8" w:rsidR="00C20BBD" w:rsidRPr="0097459F" w:rsidRDefault="00C20BBD" w:rsidP="00C20BBD">
      <w:pPr>
        <w:pStyle w:val="Normalalteradora"/>
        <w:ind w:firstLine="709"/>
      </w:pPr>
      <w:r w:rsidRPr="0097459F">
        <w:lastRenderedPageBreak/>
        <w:t>§ 2</w:t>
      </w:r>
      <w:proofErr w:type="gramStart"/>
      <w:r w:rsidRPr="0097459F">
        <w:t>º  O</w:t>
      </w:r>
      <w:proofErr w:type="gramEnd"/>
      <w:r w:rsidRPr="0097459F">
        <w:t xml:space="preserve"> disposto no inciso I </w:t>
      </w:r>
      <w:r w:rsidR="004A49B0" w:rsidRPr="0097459F">
        <w:t xml:space="preserve">do §1º deste artigo </w:t>
      </w:r>
      <w:r w:rsidRPr="0097459F">
        <w:t>não se aplica à classe exclusivamente destinada a investidores profissionais.</w:t>
      </w:r>
    </w:p>
    <w:p w14:paraId="6E3649DF" w14:textId="77777777" w:rsidR="00C20BBD" w:rsidRPr="0097459F" w:rsidRDefault="00C20BBD" w:rsidP="00C20BBD">
      <w:pPr>
        <w:pStyle w:val="Normalalteradora"/>
        <w:ind w:firstLine="709"/>
      </w:pPr>
      <w:r w:rsidRPr="0097459F">
        <w:t>Art. 43.  É vedado ao administrador e ao gestor, em suas respectivas esferas de atuação, aceitar que as garantias em favor da classe sejam formalizadas em nome de terceiros que não representem o fundo, ressalvada a possibilidade de formalização de garantias em favor do administrador, gestor ou terceiros que representem o fundo como titular da garantia, que devem diligenciar para segregá-las adequadamente dos seus próprios patrimônios.</w:t>
      </w:r>
    </w:p>
    <w:p w14:paraId="33BCDB29" w14:textId="77777777" w:rsidR="00C20BBD" w:rsidRPr="0097459F" w:rsidRDefault="00C20BBD" w:rsidP="00C20BBD">
      <w:pPr>
        <w:pStyle w:val="Normalalteradora"/>
        <w:ind w:firstLine="709"/>
      </w:pPr>
      <w:r w:rsidRPr="0097459F">
        <w:t xml:space="preserve">Parágrafo único.  A vedação de que trata o </w:t>
      </w:r>
      <w:r w:rsidRPr="0097459F">
        <w:rPr>
          <w:b/>
        </w:rPr>
        <w:t>caput</w:t>
      </w:r>
      <w:r w:rsidRPr="0097459F">
        <w:t xml:space="preserve"> é inaplicável no âmbito de emissões de valores mobiliários, nas quais a garantia é constituída em prol da comunhão de investidores, que são representados por um agente de garantia.</w:t>
      </w:r>
    </w:p>
    <w:p w14:paraId="6F308424" w14:textId="77777777" w:rsidR="00C20BBD" w:rsidRPr="0097459F" w:rsidRDefault="00C20BBD" w:rsidP="00C20BBD">
      <w:pPr>
        <w:pStyle w:val="Captulo"/>
        <w:ind w:firstLine="709"/>
      </w:pPr>
      <w:bookmarkStart w:id="668" w:name="_Toc53594285"/>
      <w:bookmarkStart w:id="669" w:name="_Toc53594533"/>
      <w:bookmarkStart w:id="670" w:name="_Toc53595558"/>
      <w:bookmarkStart w:id="671" w:name="_Toc57836295"/>
      <w:bookmarkStart w:id="672" w:name="_Toc161141308"/>
      <w:bookmarkEnd w:id="563"/>
      <w:r w:rsidRPr="0097459F">
        <w:t>CAPÍTULO IX – CARTEIRA</w:t>
      </w:r>
      <w:bookmarkEnd w:id="668"/>
      <w:bookmarkEnd w:id="669"/>
      <w:bookmarkEnd w:id="670"/>
      <w:bookmarkEnd w:id="671"/>
      <w:bookmarkEnd w:id="672"/>
    </w:p>
    <w:p w14:paraId="334A4786" w14:textId="77777777" w:rsidR="00C20BBD" w:rsidRPr="0097459F" w:rsidRDefault="00C20BBD" w:rsidP="00C20BBD">
      <w:pPr>
        <w:pStyle w:val="Seo"/>
        <w:ind w:firstLine="709"/>
      </w:pPr>
      <w:bookmarkStart w:id="673" w:name="_Toc53594286"/>
      <w:bookmarkStart w:id="674" w:name="_Toc53594534"/>
      <w:bookmarkStart w:id="675" w:name="_Toc53595559"/>
      <w:bookmarkStart w:id="676" w:name="_Toc57836296"/>
      <w:bookmarkStart w:id="677" w:name="_Toc161141309"/>
      <w:r w:rsidRPr="0097459F" w:rsidDel="0072729B">
        <w:t xml:space="preserve">Seção </w:t>
      </w:r>
      <w:r w:rsidRPr="0097459F">
        <w:t>I</w:t>
      </w:r>
      <w:r w:rsidRPr="0097459F" w:rsidDel="0072729B">
        <w:t xml:space="preserve"> – Enquadramento</w:t>
      </w:r>
      <w:r w:rsidRPr="0097459F">
        <w:t xml:space="preserve"> e Concentração</w:t>
      </w:r>
      <w:bookmarkEnd w:id="673"/>
      <w:bookmarkEnd w:id="674"/>
      <w:bookmarkEnd w:id="675"/>
      <w:bookmarkEnd w:id="676"/>
      <w:bookmarkEnd w:id="677"/>
    </w:p>
    <w:p w14:paraId="43A6AFA1" w14:textId="77777777" w:rsidR="00C20BBD" w:rsidRPr="0097459F" w:rsidRDefault="00C20BBD" w:rsidP="00C20BBD">
      <w:pPr>
        <w:pStyle w:val="Normalalteradora"/>
        <w:ind w:firstLine="709"/>
      </w:pPr>
      <w:r w:rsidRPr="0097459F">
        <w:t>Art. 44.  Em até 180 (cento e oitenta) dias do início de suas atividades, a classe de cotas deve possuir parcela superior a 50% (cinquenta por cento) de seu patrimônio líquido representada por direitos creditórios, sendo que a classe de investimento em cotas, nesse mesmo prazo, deve possuir no mínimo 67% (sessenta e sete por cento) de seu patrimônio líquido representado por cotas de outros FIDC.</w:t>
      </w:r>
    </w:p>
    <w:p w14:paraId="6CAC860F" w14:textId="11A6DD6E" w:rsidR="00C20BBD" w:rsidRPr="0097459F" w:rsidRDefault="00C20BBD" w:rsidP="00C20BBD">
      <w:pPr>
        <w:pStyle w:val="Normalalteradora"/>
        <w:ind w:firstLine="709"/>
      </w:pPr>
      <w:r w:rsidRPr="0097459F">
        <w:t>§ 1</w:t>
      </w:r>
      <w:proofErr w:type="gramStart"/>
      <w:r w:rsidRPr="0097459F">
        <w:t>º  A</w:t>
      </w:r>
      <w:proofErr w:type="gramEnd"/>
      <w:r w:rsidRPr="0097459F">
        <w:t xml:space="preserve"> parcela do patrimônio não investida em direitos creditórios ou cotas deve ser aplicada em ativos financeiros de liquidez, conforme definidos no art. 2º, inciso II, deste </w:t>
      </w:r>
      <w:r w:rsidR="00FB1127" w:rsidRPr="0097459F">
        <w:t>Anexo Normativo II</w:t>
      </w:r>
      <w:r w:rsidRPr="0097459F">
        <w:t>.</w:t>
      </w:r>
    </w:p>
    <w:p w14:paraId="319FCDBC" w14:textId="77777777" w:rsidR="00C20BBD" w:rsidRPr="0097459F" w:rsidRDefault="00C20BBD" w:rsidP="00C20BBD">
      <w:pPr>
        <w:pStyle w:val="Normalalteradora"/>
        <w:ind w:firstLine="709"/>
        <w:rPr>
          <w:rFonts w:cstheme="minorHAnsi"/>
        </w:rPr>
      </w:pPr>
      <w:r w:rsidRPr="0097459F">
        <w:t>§ 2</w:t>
      </w:r>
      <w:proofErr w:type="gramStart"/>
      <w:r w:rsidRPr="0097459F">
        <w:t>º  É</w:t>
      </w:r>
      <w:proofErr w:type="gramEnd"/>
      <w:r w:rsidRPr="0097459F">
        <w:t xml:space="preserve"> </w:t>
      </w:r>
      <w:r w:rsidRPr="0097459F">
        <w:rPr>
          <w:rFonts w:cstheme="minorHAnsi"/>
        </w:rPr>
        <w:t>facultado à classe, ainda, realizar operações com derivativos, exclusivamente com o objetivo de proteção patrimonial</w:t>
      </w:r>
      <w:r w:rsidRPr="0097459F">
        <w:rPr>
          <w:rFonts w:cstheme="minorHAnsi"/>
          <w:shd w:val="clear" w:color="auto" w:fill="FFFFFF"/>
        </w:rPr>
        <w:t xml:space="preserve">, </w:t>
      </w:r>
      <w:r w:rsidRPr="0097459F">
        <w:rPr>
          <w:rStyle w:val="normaltextrun"/>
          <w:rFonts w:cstheme="minorHAnsi"/>
          <w:shd w:val="clear" w:color="auto" w:fill="FFFFFF"/>
        </w:rPr>
        <w:t xml:space="preserve">ou, desde que não resulte em exposição </w:t>
      </w:r>
      <w:proofErr w:type="spellStart"/>
      <w:r w:rsidRPr="0097459F">
        <w:rPr>
          <w:rStyle w:val="normaltextrun"/>
          <w:rFonts w:cstheme="minorHAnsi"/>
          <w:shd w:val="clear" w:color="auto" w:fill="FFFFFF"/>
        </w:rPr>
        <w:t>a</w:t>
      </w:r>
      <w:proofErr w:type="spellEnd"/>
      <w:r w:rsidRPr="0097459F">
        <w:rPr>
          <w:rStyle w:val="normaltextrun"/>
          <w:rFonts w:cstheme="minorHAnsi"/>
          <w:shd w:val="clear" w:color="auto" w:fill="FFFFFF"/>
        </w:rPr>
        <w:t xml:space="preserve"> risco de capital, conforme definida no inciso XXIV do art. 3º da parte geral da Resolução, troca de </w:t>
      </w:r>
      <w:r w:rsidRPr="0097459F">
        <w:rPr>
          <w:rStyle w:val="findhit"/>
          <w:rFonts w:cstheme="minorHAnsi"/>
          <w:shd w:val="clear" w:color="auto" w:fill="FFFFFF"/>
        </w:rPr>
        <w:t>indexador</w:t>
      </w:r>
      <w:r w:rsidRPr="0097459F">
        <w:rPr>
          <w:rStyle w:val="normaltextrun"/>
          <w:rFonts w:cstheme="minorHAnsi"/>
          <w:shd w:val="clear" w:color="auto" w:fill="FFFFFF"/>
        </w:rPr>
        <w:t xml:space="preserve"> a que os ativos estão indexados e o índice de referência de cada subclasse</w:t>
      </w:r>
      <w:r w:rsidRPr="0097459F">
        <w:rPr>
          <w:rFonts w:cstheme="minorHAnsi"/>
        </w:rPr>
        <w:t>.</w:t>
      </w:r>
    </w:p>
    <w:p w14:paraId="5AA46882" w14:textId="77777777" w:rsidR="00C20BBD" w:rsidRPr="0097459F" w:rsidRDefault="00C20BBD" w:rsidP="00C20BBD">
      <w:pPr>
        <w:pStyle w:val="Normalalteradora"/>
        <w:ind w:firstLine="709"/>
        <w:rPr>
          <w:rFonts w:cstheme="minorHAnsi"/>
        </w:rPr>
      </w:pPr>
      <w:r w:rsidRPr="0097459F">
        <w:rPr>
          <w:rFonts w:cstheme="minorHAnsi"/>
        </w:rPr>
        <w:t>§ 3</w:t>
      </w:r>
      <w:proofErr w:type="gramStart"/>
      <w:r w:rsidRPr="0097459F">
        <w:rPr>
          <w:rFonts w:cstheme="minorHAnsi"/>
        </w:rPr>
        <w:t>º  É</w:t>
      </w:r>
      <w:proofErr w:type="gramEnd"/>
      <w:r w:rsidRPr="0097459F">
        <w:rPr>
          <w:rFonts w:cstheme="minorHAnsi"/>
        </w:rPr>
        <w:t xml:space="preserve"> vedada a aplicação de recursos na aquisição de direitos creditórios e ativos financeiros de liquidez no exterior.</w:t>
      </w:r>
    </w:p>
    <w:p w14:paraId="704A1A71" w14:textId="77777777" w:rsidR="00C20BBD" w:rsidRPr="0097459F" w:rsidRDefault="00C20BBD" w:rsidP="00C20BBD">
      <w:pPr>
        <w:pStyle w:val="Normalalteradora"/>
        <w:ind w:firstLine="709"/>
      </w:pPr>
      <w:r w:rsidRPr="0097459F">
        <w:t>Art. 45.  A aplicação de recursos em direitos creditórios e outros ativos de responsabilidade ou coobrigação de um mesmo devedor está limitada a 20% (vinte por cento) do patrimônio líquido da classe de cotas.</w:t>
      </w:r>
    </w:p>
    <w:p w14:paraId="65E54B5F" w14:textId="77777777" w:rsidR="00C20BBD" w:rsidRPr="0097459F" w:rsidRDefault="00C20BBD" w:rsidP="00C20BBD">
      <w:pPr>
        <w:pStyle w:val="Normalalteradora"/>
        <w:ind w:firstLine="709"/>
      </w:pPr>
      <w:r w:rsidRPr="0097459F">
        <w:lastRenderedPageBreak/>
        <w:t>§ 1</w:t>
      </w:r>
      <w:proofErr w:type="gramStart"/>
      <w:r w:rsidRPr="0097459F">
        <w:t>º  Para</w:t>
      </w:r>
      <w:proofErr w:type="gramEnd"/>
      <w:r w:rsidRPr="0097459F">
        <w:t xml:space="preserve"> efeito de cálculo dos limites, consideram-se como pertencentes a um único devedor os direitos creditórios e ativos financeiros de liquidez de responsabilidade ou coobrigação de devedores integrantes de um mesmo grupo econômico.</w:t>
      </w:r>
    </w:p>
    <w:p w14:paraId="28897220" w14:textId="77777777" w:rsidR="00C20BBD" w:rsidRPr="0097459F" w:rsidRDefault="00C20BBD" w:rsidP="00C20BBD">
      <w:pPr>
        <w:pStyle w:val="paragraph"/>
        <w:spacing w:before="120" w:beforeAutospacing="0" w:after="120" w:afterAutospacing="0" w:line="312" w:lineRule="auto"/>
        <w:ind w:firstLine="709"/>
        <w:jc w:val="both"/>
        <w:textAlignment w:val="baseline"/>
        <w:rPr>
          <w:rFonts w:asciiTheme="minorHAnsi" w:hAnsiTheme="minorHAnsi" w:cstheme="minorHAnsi"/>
          <w:lang w:val="pt-BR"/>
        </w:rPr>
      </w:pPr>
      <w:r w:rsidRPr="0097459F">
        <w:rPr>
          <w:rFonts w:asciiTheme="minorHAnsi" w:hAnsiTheme="minorHAnsi" w:cstheme="minorHAnsi"/>
          <w:lang w:val="pt-BR"/>
        </w:rPr>
        <w:t>§ 2</w:t>
      </w:r>
      <w:proofErr w:type="gramStart"/>
      <w:r w:rsidRPr="0097459F">
        <w:rPr>
          <w:rFonts w:asciiTheme="minorHAnsi" w:hAnsiTheme="minorHAnsi" w:cstheme="minorHAnsi"/>
          <w:lang w:val="pt-BR"/>
        </w:rPr>
        <w:t>º  O</w:t>
      </w:r>
      <w:proofErr w:type="gramEnd"/>
      <w:r w:rsidRPr="0097459F">
        <w:rPr>
          <w:rFonts w:asciiTheme="minorHAnsi" w:hAnsiTheme="minorHAnsi" w:cstheme="minorHAnsi"/>
          <w:lang w:val="pt-BR"/>
        </w:rPr>
        <w:t xml:space="preserve"> gestor deve assegurar que, na consolidação das aplicações da classe investidora com as das classes investidas, o limite disposto no </w:t>
      </w:r>
      <w:r w:rsidRPr="0097459F">
        <w:rPr>
          <w:rFonts w:asciiTheme="minorHAnsi" w:hAnsiTheme="minorHAnsi" w:cstheme="minorHAnsi"/>
          <w:b/>
          <w:lang w:val="pt-BR"/>
        </w:rPr>
        <w:t>caput</w:t>
      </w:r>
      <w:r w:rsidRPr="0097459F">
        <w:rPr>
          <w:rFonts w:asciiTheme="minorHAnsi" w:hAnsiTheme="minorHAnsi" w:cstheme="minorHAnsi"/>
          <w:lang w:val="pt-BR"/>
        </w:rPr>
        <w:t xml:space="preserve"> remanesce observado, ficando dispensada a consolidação no caso de aplicações em classes geridas por terceiros que não sejam partes relacionadas ao gestor da classe investidora.</w:t>
      </w:r>
    </w:p>
    <w:p w14:paraId="3BEBFDB5" w14:textId="77777777" w:rsidR="00C20BBD" w:rsidRPr="0097459F" w:rsidRDefault="00C20BBD" w:rsidP="00C20BBD">
      <w:pPr>
        <w:pStyle w:val="Normalalteradora"/>
        <w:ind w:firstLine="709"/>
      </w:pPr>
      <w:r w:rsidRPr="0097459F">
        <w:t>§ 3</w:t>
      </w:r>
      <w:proofErr w:type="gramStart"/>
      <w:r w:rsidRPr="0097459F">
        <w:t>º  Nas</w:t>
      </w:r>
      <w:proofErr w:type="gramEnd"/>
      <w:r w:rsidRPr="0097459F">
        <w:t xml:space="preserve"> classes destinadas a investidores qualificados, o limite referido no </w:t>
      </w:r>
      <w:r w:rsidRPr="0097459F">
        <w:rPr>
          <w:b/>
        </w:rPr>
        <w:t>caput</w:t>
      </w:r>
      <w:r w:rsidRPr="0097459F">
        <w:t xml:space="preserve"> pode ser aumentado quando:</w:t>
      </w:r>
    </w:p>
    <w:p w14:paraId="6770D88D" w14:textId="77777777" w:rsidR="00C20BBD" w:rsidRPr="0097459F" w:rsidRDefault="00C20BBD" w:rsidP="00C20BBD">
      <w:pPr>
        <w:pStyle w:val="Normalalteradora"/>
        <w:ind w:firstLine="709"/>
      </w:pPr>
      <w:r w:rsidRPr="0097459F">
        <w:t xml:space="preserve">I – </w:t>
      </w:r>
      <w:proofErr w:type="gramStart"/>
      <w:r w:rsidRPr="0097459F">
        <w:t>o</w:t>
      </w:r>
      <w:proofErr w:type="gramEnd"/>
      <w:r w:rsidRPr="0097459F">
        <w:t xml:space="preserve"> devedor ou coobrigado:</w:t>
      </w:r>
    </w:p>
    <w:p w14:paraId="6F308438" w14:textId="77777777" w:rsidR="00C20BBD" w:rsidRPr="0097459F" w:rsidRDefault="00C20BBD" w:rsidP="00C20BBD">
      <w:pPr>
        <w:pStyle w:val="Normalalteradora"/>
        <w:ind w:firstLine="709"/>
      </w:pPr>
      <w:r w:rsidRPr="0097459F">
        <w:t>a) tenha registro de companhia aberta;</w:t>
      </w:r>
    </w:p>
    <w:p w14:paraId="334D40DF" w14:textId="69018317" w:rsidR="00C20BBD" w:rsidRDefault="00C20BBD" w:rsidP="00C20BBD">
      <w:pPr>
        <w:pStyle w:val="Normalalteradora"/>
        <w:ind w:firstLine="709"/>
      </w:pPr>
      <w:r w:rsidRPr="0097459F">
        <w:t>b) seja instituição financeira ou equiparada; ou</w:t>
      </w:r>
    </w:p>
    <w:p w14:paraId="7A0F04AF" w14:textId="15FF6C08" w:rsidR="006767E3" w:rsidRDefault="006767E3" w:rsidP="006767E3">
      <w:pPr>
        <w:pStyle w:val="Normalalteradora"/>
        <w:ind w:firstLine="709"/>
        <w:rPr>
          <w:strike/>
        </w:rPr>
      </w:pPr>
      <w:r w:rsidRPr="00677629">
        <w:rPr>
          <w:strike/>
        </w:rPr>
        <w:t>c) seja entidade que tenha suas demonstrações contábeis relativas ao exercício social imediatamente anterior à data de constituição da classe elaboradas em conformidade com o disposto na Lei nº 6.404, de 1976, e a regulamentação editada pela CVM, e auditadas por auditor independente registrado na CVM; ou</w:t>
      </w:r>
    </w:p>
    <w:p w14:paraId="6B491EA2" w14:textId="77777777" w:rsidR="00677629" w:rsidRPr="0097459F" w:rsidRDefault="00677629" w:rsidP="00677629">
      <w:pPr>
        <w:pStyle w:val="NormaAlterada"/>
      </w:pPr>
      <w:r w:rsidRPr="0097459F">
        <w:t xml:space="preserve">c) seja entidade que tenha suas demonstrações contábeis relativas ao exercício social imediatamente anterior à </w:t>
      </w:r>
      <w:r w:rsidRPr="00A05C05">
        <w:rPr>
          <w:rStyle w:val="ui-provider"/>
          <w:rFonts w:eastAsiaTheme="majorEastAsia"/>
        </w:rPr>
        <w:t>data</w:t>
      </w:r>
      <w:r w:rsidRPr="0097459F">
        <w:t xml:space="preserve"> de </w:t>
      </w:r>
      <w:r w:rsidRPr="007A5308">
        <w:rPr>
          <w:rFonts w:cstheme="minorHAnsi"/>
          <w:bCs/>
          <w:iCs/>
        </w:rPr>
        <w:t>aquisição do direito creditório</w:t>
      </w:r>
      <w:r w:rsidRPr="0097459F">
        <w:t xml:space="preserve"> elaboradas em conformidade com o disposto na Lei nº 6.404, de 1976, e a regulamentação editada pela CVM, e auditadas por auditor independente registrado na CVM; ou</w:t>
      </w:r>
    </w:p>
    <w:p w14:paraId="02E02070" w14:textId="685A7674" w:rsidR="00677629" w:rsidRPr="00677629" w:rsidRDefault="00677629">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iCs/>
          <w:sz w:val="24"/>
          <w:szCs w:val="24"/>
        </w:rPr>
        <w:t xml:space="preserve"> Alínea c</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657A9937" w14:textId="77777777" w:rsidR="00C20BBD" w:rsidRPr="0097459F" w:rsidRDefault="00C20BBD" w:rsidP="00C20BBD">
      <w:pPr>
        <w:pStyle w:val="Normalalteradora"/>
        <w:ind w:firstLine="709"/>
      </w:pPr>
      <w:r w:rsidRPr="0097459F">
        <w:t xml:space="preserve">II – </w:t>
      </w:r>
      <w:proofErr w:type="gramStart"/>
      <w:r w:rsidRPr="0097459F">
        <w:t>se</w:t>
      </w:r>
      <w:proofErr w:type="gramEnd"/>
      <w:r w:rsidRPr="0097459F">
        <w:t xml:space="preserve"> tratar de aplicações em: </w:t>
      </w:r>
    </w:p>
    <w:p w14:paraId="2B54C027" w14:textId="77777777" w:rsidR="00C20BBD" w:rsidRPr="0097459F" w:rsidRDefault="00C20BBD" w:rsidP="00C20BBD">
      <w:pPr>
        <w:pStyle w:val="Normalalteradora"/>
        <w:ind w:firstLine="709"/>
      </w:pPr>
      <w:r w:rsidRPr="0097459F">
        <w:t>a) títulos públicos federais;</w:t>
      </w:r>
    </w:p>
    <w:p w14:paraId="6D5C6498" w14:textId="77777777" w:rsidR="00C20BBD" w:rsidRPr="0097459F" w:rsidRDefault="00C20BBD" w:rsidP="00C20BBD">
      <w:pPr>
        <w:pStyle w:val="Normalalteradora"/>
        <w:ind w:firstLine="709"/>
      </w:pPr>
      <w:r w:rsidRPr="0097459F">
        <w:t>b) operações compromissadas lastreadas em títulos públicos federais; e</w:t>
      </w:r>
    </w:p>
    <w:p w14:paraId="0C8BFF8D" w14:textId="77777777" w:rsidR="00C20BBD" w:rsidRPr="0097459F" w:rsidRDefault="00C20BBD" w:rsidP="00C20BBD">
      <w:pPr>
        <w:pStyle w:val="Normalalteradora"/>
        <w:ind w:firstLine="709"/>
      </w:pPr>
      <w:r w:rsidRPr="0097459F">
        <w:t>c) cotas de fundos que possuam como política de investimento a alocação exclusiva nos títulos a que se referem as alíneas “a” e “b”.</w:t>
      </w:r>
    </w:p>
    <w:p w14:paraId="71D78016" w14:textId="77777777" w:rsidR="00C20BBD" w:rsidRPr="0097459F" w:rsidRDefault="00C20BBD" w:rsidP="00C20BBD">
      <w:pPr>
        <w:pStyle w:val="Normalalteradora"/>
        <w:ind w:firstLine="709"/>
      </w:pPr>
      <w:r w:rsidRPr="0097459F">
        <w:lastRenderedPageBreak/>
        <w:t>§ 4º  Na hipótese prevista na alínea “c” do inciso I do § 3º, as demonstrações contábeis anuais do devedor ou coobrigado e respectivo parecer do auditor independente devem ser disponibilizados pelo administrador, até 3 (três) meses após o encerramento do exercício social do devedor ou coobrigado, na página eletrônica na rede mundial de computadores onde serão fornecidas as informações sobre o fundo, até o seu encerramento ou até o exercício em que os direitos creditórios de responsabilidade do devedor ou do coobrigado deixarem de representar mais de 20% (vinte por cento) dos direitos creditórios que integram o patrimônio da classe.</w:t>
      </w:r>
    </w:p>
    <w:p w14:paraId="7359D136" w14:textId="77777777" w:rsidR="00C20BBD" w:rsidRPr="0097459F" w:rsidRDefault="00C20BBD" w:rsidP="00C20BBD">
      <w:pPr>
        <w:pStyle w:val="Normalalteradora"/>
        <w:ind w:firstLine="709"/>
      </w:pPr>
      <w:r w:rsidRPr="0097459F">
        <w:t>§ 5</w:t>
      </w:r>
      <w:proofErr w:type="gramStart"/>
      <w:r w:rsidRPr="0097459F">
        <w:t>º  Os</w:t>
      </w:r>
      <w:proofErr w:type="gramEnd"/>
      <w:r w:rsidRPr="0097459F">
        <w:t xml:space="preserve"> percentuais referidos neste artigo devem ser cumpridos mensalmente, com base no patrimônio líquido da classe de cotas ao final do mês imediatamente anterior.</w:t>
      </w:r>
    </w:p>
    <w:p w14:paraId="57BC0352" w14:textId="77777777" w:rsidR="00C20BBD" w:rsidRPr="0097459F" w:rsidRDefault="00C20BBD" w:rsidP="00C20BBD">
      <w:pPr>
        <w:pStyle w:val="Normalalteradora"/>
        <w:ind w:firstLine="709"/>
      </w:pPr>
      <w:r w:rsidRPr="0097459F">
        <w:t>§ 6</w:t>
      </w:r>
      <w:proofErr w:type="gramStart"/>
      <w:r w:rsidRPr="0097459F">
        <w:t>º  As</w:t>
      </w:r>
      <w:proofErr w:type="gramEnd"/>
      <w:r w:rsidRPr="0097459F">
        <w:t xml:space="preserve"> hipóteses de elevação do limite de 20% (vinte por cento) para aquisição de direitos creditórios de um mesmo devedor de que trata o inciso I do § 3º não são aplicáveis aos direitos creditórios de responsabilidade ou coobrigação de prestadores de serviços e de suas partes relacionadas.</w:t>
      </w:r>
    </w:p>
    <w:p w14:paraId="62D8409F" w14:textId="77777777" w:rsidR="00C20BBD" w:rsidRPr="0097459F" w:rsidRDefault="00C20BBD" w:rsidP="00C20BBD">
      <w:pPr>
        <w:pStyle w:val="Normalalteradora"/>
        <w:ind w:firstLine="709"/>
      </w:pPr>
      <w:r w:rsidRPr="0097459F">
        <w:t>§ 7</w:t>
      </w:r>
      <w:proofErr w:type="gramStart"/>
      <w:r w:rsidRPr="0097459F">
        <w:t>º  A</w:t>
      </w:r>
      <w:proofErr w:type="gramEnd"/>
      <w:r w:rsidRPr="0097459F">
        <w:t xml:space="preserve"> classe fica dispensada de observar as disposições deste artigo, caso tenha como cotistas exclusivamente:</w:t>
      </w:r>
    </w:p>
    <w:p w14:paraId="1D33F9D1" w14:textId="77777777" w:rsidR="00C20BBD" w:rsidRPr="0097459F" w:rsidRDefault="00C20BBD" w:rsidP="00C20BBD">
      <w:pPr>
        <w:pStyle w:val="Normalalteradora"/>
        <w:ind w:firstLine="709"/>
      </w:pPr>
      <w:r w:rsidRPr="0097459F">
        <w:t xml:space="preserve">I – </w:t>
      </w:r>
      <w:proofErr w:type="gramStart"/>
      <w:r w:rsidRPr="0097459F">
        <w:t>sociedades</w:t>
      </w:r>
      <w:proofErr w:type="gramEnd"/>
      <w:r w:rsidRPr="0097459F">
        <w:t xml:space="preserve"> integrantes de um mesmo grupo econômico e seus respectivos administradores e controladores pessoas naturais; ou</w:t>
      </w:r>
    </w:p>
    <w:p w14:paraId="6E038989" w14:textId="77777777" w:rsidR="00C20BBD" w:rsidRPr="0097459F" w:rsidRDefault="00C20BBD" w:rsidP="00C20BBD">
      <w:pPr>
        <w:pStyle w:val="Normalalteradora"/>
        <w:ind w:firstLine="709"/>
      </w:pPr>
      <w:r w:rsidRPr="0097459F">
        <w:t xml:space="preserve">II – </w:t>
      </w:r>
      <w:proofErr w:type="gramStart"/>
      <w:r w:rsidRPr="0097459F">
        <w:t>investidores</w:t>
      </w:r>
      <w:proofErr w:type="gramEnd"/>
      <w:r w:rsidRPr="0097459F">
        <w:t xml:space="preserve"> profissionais.</w:t>
      </w:r>
    </w:p>
    <w:p w14:paraId="18C038F8" w14:textId="77777777" w:rsidR="00C20BBD" w:rsidRPr="0097459F" w:rsidRDefault="00C20BBD" w:rsidP="00C20BBD">
      <w:pPr>
        <w:spacing w:before="120" w:after="120" w:line="312"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8</w:t>
      </w:r>
      <w:proofErr w:type="gramStart"/>
      <w:r w:rsidRPr="0097459F">
        <w:rPr>
          <w:rFonts w:asciiTheme="minorHAnsi" w:hAnsiTheme="minorHAnsi" w:cstheme="minorHAnsi"/>
          <w:sz w:val="24"/>
          <w:szCs w:val="24"/>
        </w:rPr>
        <w:t>º  As</w:t>
      </w:r>
      <w:proofErr w:type="gramEnd"/>
      <w:r w:rsidRPr="0097459F">
        <w:rPr>
          <w:rFonts w:asciiTheme="minorHAnsi" w:hAnsiTheme="minorHAnsi" w:cstheme="minorHAnsi"/>
          <w:sz w:val="24"/>
          <w:szCs w:val="24"/>
        </w:rPr>
        <w:t xml:space="preserve"> aplicações em direitos creditórios decorrentes de receitas públicas originárias ou derivadas da União, dos Estados, do Distrito Federal e dos Municípios ou de suas autarquias e fundações, assim como em direitos creditórios cedidos ou originados por empresas controladas pelo poder público, não estão submetidas ao limite de concentração por emissor previsto no </w:t>
      </w:r>
      <w:r w:rsidRPr="0097459F">
        <w:rPr>
          <w:rFonts w:asciiTheme="minorHAnsi" w:hAnsiTheme="minorHAnsi" w:cstheme="minorHAnsi"/>
          <w:b/>
          <w:sz w:val="24"/>
          <w:szCs w:val="24"/>
        </w:rPr>
        <w:t>caput</w:t>
      </w:r>
      <w:r w:rsidRPr="0097459F">
        <w:rPr>
          <w:rFonts w:asciiTheme="minorHAnsi" w:hAnsiTheme="minorHAnsi" w:cstheme="minorHAnsi"/>
          <w:sz w:val="24"/>
          <w:szCs w:val="24"/>
        </w:rPr>
        <w:t>.</w:t>
      </w:r>
    </w:p>
    <w:p w14:paraId="215640A9" w14:textId="15C461DF" w:rsidR="00C20BBD" w:rsidRPr="0097459F" w:rsidRDefault="00C20BBD" w:rsidP="00C20BBD">
      <w:pPr>
        <w:spacing w:before="120" w:after="120" w:line="312"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Art. 46.  Caso a classe de cotas seja destinada ao público em geral, a aplicação de recursos nos precatórios federais de que trata o inciso II do § 1º do art. 2º deste </w:t>
      </w:r>
      <w:r w:rsidR="00FB1127" w:rsidRPr="0097459F">
        <w:rPr>
          <w:rFonts w:asciiTheme="minorHAnsi" w:hAnsiTheme="minorHAnsi" w:cstheme="minorHAnsi"/>
          <w:sz w:val="24"/>
          <w:szCs w:val="24"/>
        </w:rPr>
        <w:t>Anexo Normativo II</w:t>
      </w:r>
      <w:r w:rsidRPr="0097459F">
        <w:rPr>
          <w:rFonts w:asciiTheme="minorHAnsi" w:hAnsiTheme="minorHAnsi" w:cstheme="minorHAnsi"/>
          <w:sz w:val="24"/>
          <w:szCs w:val="24"/>
        </w:rPr>
        <w:t xml:space="preserve"> está limitada a 20% (vinte por cento) do seu patrimônio líquido, por precatório.</w:t>
      </w:r>
    </w:p>
    <w:p w14:paraId="04FB6093" w14:textId="77777777" w:rsidR="00C20BBD" w:rsidRPr="0097459F" w:rsidRDefault="00C20BBD" w:rsidP="00C20BBD">
      <w:pPr>
        <w:pStyle w:val="Seo"/>
        <w:ind w:firstLine="709"/>
      </w:pPr>
      <w:bookmarkStart w:id="678" w:name="_Toc53594287"/>
      <w:bookmarkStart w:id="679" w:name="_Toc53594535"/>
      <w:bookmarkStart w:id="680" w:name="_Toc53595560"/>
      <w:bookmarkStart w:id="681" w:name="_Toc57836297"/>
      <w:bookmarkStart w:id="682" w:name="_Toc161141310"/>
      <w:r w:rsidRPr="0097459F" w:rsidDel="0072729B">
        <w:t xml:space="preserve">Seção </w:t>
      </w:r>
      <w:r w:rsidRPr="0097459F">
        <w:t>II – Investimento em Cotas</w:t>
      </w:r>
      <w:bookmarkEnd w:id="682"/>
    </w:p>
    <w:bookmarkEnd w:id="678"/>
    <w:bookmarkEnd w:id="679"/>
    <w:bookmarkEnd w:id="680"/>
    <w:bookmarkEnd w:id="681"/>
    <w:p w14:paraId="3AB49E53" w14:textId="77777777" w:rsidR="00C20BBD" w:rsidRPr="0097459F" w:rsidRDefault="00C20BBD" w:rsidP="00C20BBD">
      <w:pPr>
        <w:pStyle w:val="Normalalteradora"/>
        <w:ind w:firstLine="709"/>
      </w:pPr>
      <w:r w:rsidRPr="0097459F">
        <w:t>Art. 47.  As aplicações em cotas de uma mesma classe não podem exceder 25% (vinte e cinco por cento) do patrimônio líquido da classe investidora.</w:t>
      </w:r>
    </w:p>
    <w:p w14:paraId="3E2AB576" w14:textId="77777777" w:rsidR="00C20BBD" w:rsidRPr="0097459F" w:rsidRDefault="00C20BBD" w:rsidP="00C20BBD">
      <w:pPr>
        <w:pStyle w:val="Normalalteradora"/>
        <w:ind w:firstLine="709"/>
      </w:pPr>
      <w:r w:rsidRPr="0097459F">
        <w:t>Parágrafo único.  O regulamento da classe restrita pode disciplinar a extrapolação do limite.</w:t>
      </w:r>
    </w:p>
    <w:p w14:paraId="07804B82" w14:textId="210C0960" w:rsidR="00C20BBD" w:rsidRPr="0097459F" w:rsidRDefault="00C20BBD" w:rsidP="00C20BBD">
      <w:pPr>
        <w:pStyle w:val="Normalalteradora"/>
        <w:ind w:firstLine="709"/>
      </w:pPr>
      <w:r w:rsidRPr="0097459F">
        <w:lastRenderedPageBreak/>
        <w:t xml:space="preserve">Art. 48.  O regulamento e, se aplicável, </w:t>
      </w:r>
      <w:proofErr w:type="gramStart"/>
      <w:r w:rsidRPr="0097459F">
        <w:t>a lâmina da classe de cotas devem</w:t>
      </w:r>
      <w:proofErr w:type="gramEnd"/>
      <w:r w:rsidRPr="0097459F">
        <w:t xml:space="preserve"> especificar o percentual máximo do patrimônio que pode ser aplicado em uma única classe investida, sem prejuízo do disposto no art. 47 deste </w:t>
      </w:r>
      <w:r w:rsidR="00FB1127" w:rsidRPr="0097459F">
        <w:t>Anexo Normativo II</w:t>
      </w:r>
      <w:r w:rsidRPr="0097459F">
        <w:t>.</w:t>
      </w:r>
    </w:p>
    <w:p w14:paraId="5FDD7352" w14:textId="77777777" w:rsidR="00C20BBD" w:rsidRPr="0097459F" w:rsidRDefault="00C20BBD" w:rsidP="00C20BBD">
      <w:pPr>
        <w:pStyle w:val="Normalalteradora"/>
        <w:ind w:firstLine="709"/>
      </w:pPr>
      <w:r w:rsidRPr="0097459F">
        <w:t>Art. 49.  A classe de cotas de aplicação do público em geral pode investir até o limite de 20% (vinte por cento) do seu patrimônio líquido em cotas de classes e subclasses e ativos financeiros de liquidez destinados exclusivamente a investidores qualificados.</w:t>
      </w:r>
    </w:p>
    <w:p w14:paraId="4D9DFA5D" w14:textId="77777777" w:rsidR="00C20BBD" w:rsidRPr="0097459F" w:rsidRDefault="00C20BBD" w:rsidP="00C20BBD">
      <w:pPr>
        <w:pStyle w:val="Normalalteradora"/>
        <w:ind w:firstLine="709"/>
      </w:pPr>
      <w:r w:rsidRPr="0097459F">
        <w:t xml:space="preserve">Parágrafo único.  Dentro do limite previsto no </w:t>
      </w:r>
      <w:r w:rsidRPr="0097459F">
        <w:rPr>
          <w:b/>
        </w:rPr>
        <w:t>caput</w:t>
      </w:r>
      <w:r w:rsidRPr="0097459F">
        <w:t>, pode ser investido até 5% (cinco por cento) do patrimônio líquido em cotas de classes e subclasses e ativos financeiros de liquidez destinados exclusivamente a investidores profissionais.</w:t>
      </w:r>
    </w:p>
    <w:p w14:paraId="409A9901" w14:textId="77777777" w:rsidR="00C20BBD" w:rsidRPr="0097459F" w:rsidRDefault="00C20BBD" w:rsidP="00C20BBD">
      <w:pPr>
        <w:pStyle w:val="Normalalteradora"/>
        <w:ind w:firstLine="709"/>
      </w:pPr>
      <w:r w:rsidRPr="0097459F">
        <w:t>Art. 50.  A classe de cotas destinada exclusivamente a investidores qualificados pode investir até o limite de 20% (vinte por cento) do seu patrimônio líquido em cotas de classes e subclasses e ativos financeiros de liquidez destinados exclusivamente a investidores profissionais.</w:t>
      </w:r>
    </w:p>
    <w:p w14:paraId="05EC7F54" w14:textId="77777777" w:rsidR="00C20BBD" w:rsidRPr="0097459F" w:rsidRDefault="00C20BBD" w:rsidP="00C20BBD">
      <w:pPr>
        <w:pStyle w:val="Normalalteradora"/>
        <w:ind w:firstLine="709"/>
      </w:pPr>
      <w:r w:rsidRPr="0097459F">
        <w:t xml:space="preserve">Parágrafo único.  Dentro do limite previsto no </w:t>
      </w:r>
      <w:r w:rsidRPr="0097459F">
        <w:rPr>
          <w:b/>
        </w:rPr>
        <w:t>caput</w:t>
      </w:r>
      <w:r w:rsidRPr="0097459F">
        <w:t>, pode ser investido até 10% (dez por cento) do patrimônio líquido em classes de FIDC que admitam a aquisição de direitos creditórios não-padronizados.</w:t>
      </w:r>
    </w:p>
    <w:p w14:paraId="5CDD6353" w14:textId="77777777" w:rsidR="00C20BBD" w:rsidRPr="0097459F" w:rsidRDefault="00C20BBD" w:rsidP="00C20BBD">
      <w:pPr>
        <w:pStyle w:val="Captulo"/>
        <w:ind w:firstLine="709"/>
      </w:pPr>
      <w:bookmarkStart w:id="683" w:name="_Toc53594288"/>
      <w:bookmarkStart w:id="684" w:name="_Toc53594536"/>
      <w:bookmarkStart w:id="685" w:name="_Toc53595561"/>
      <w:bookmarkStart w:id="686" w:name="_Toc57836298"/>
      <w:bookmarkStart w:id="687" w:name="_Toc161141311"/>
      <w:r w:rsidRPr="0097459F">
        <w:t>CAPÍTULO X – CLASSES RESTRITAS</w:t>
      </w:r>
      <w:bookmarkEnd w:id="683"/>
      <w:bookmarkEnd w:id="684"/>
      <w:bookmarkEnd w:id="685"/>
      <w:bookmarkEnd w:id="686"/>
      <w:bookmarkEnd w:id="687"/>
    </w:p>
    <w:p w14:paraId="34384EA1" w14:textId="7A11798A" w:rsidR="00C20BBD" w:rsidRPr="0097459F" w:rsidRDefault="00C20BBD" w:rsidP="00C20BBD">
      <w:pPr>
        <w:pStyle w:val="Normalalteradora"/>
        <w:ind w:firstLine="709"/>
        <w:rPr>
          <w:rFonts w:eastAsia="Calibri"/>
        </w:rPr>
      </w:pPr>
      <w:r w:rsidRPr="0097459F">
        <w:rPr>
          <w:rFonts w:eastAsia="Calibri"/>
        </w:rPr>
        <w:t xml:space="preserve">Art. 51.  O regulamento da classe restrita pode prever a existência de encargos que não estão previstos nos </w:t>
      </w:r>
      <w:proofErr w:type="spellStart"/>
      <w:r w:rsidRPr="0097459F">
        <w:rPr>
          <w:rFonts w:eastAsia="Calibri"/>
        </w:rPr>
        <w:t>arts</w:t>
      </w:r>
      <w:proofErr w:type="spellEnd"/>
      <w:r w:rsidRPr="0097459F">
        <w:rPr>
          <w:rFonts w:eastAsia="Calibri"/>
        </w:rPr>
        <w:t xml:space="preserve">. 117 da parte geral da Resolução e 53 deste </w:t>
      </w:r>
      <w:r w:rsidR="00FB1127" w:rsidRPr="0097459F">
        <w:rPr>
          <w:rFonts w:eastAsia="Calibri"/>
        </w:rPr>
        <w:t>Anexo Normativo II</w:t>
      </w:r>
      <w:r w:rsidRPr="0097459F">
        <w:rPr>
          <w:rFonts w:eastAsia="Calibri"/>
        </w:rPr>
        <w:t xml:space="preserve">. </w:t>
      </w:r>
    </w:p>
    <w:p w14:paraId="6F2D4A68" w14:textId="78DAD60A" w:rsidR="00C20BBD" w:rsidRPr="0097459F" w:rsidRDefault="00C20BBD" w:rsidP="00C20BBD">
      <w:pPr>
        <w:pStyle w:val="Normalalteradora"/>
        <w:ind w:firstLine="709"/>
        <w:rPr>
          <w:rFonts w:eastAsia="Calibri"/>
        </w:rPr>
      </w:pPr>
      <w:r w:rsidRPr="0097459F">
        <w:rPr>
          <w:rFonts w:eastAsia="Calibri"/>
        </w:rPr>
        <w:t xml:space="preserve">Art. 52.  No que se refere à classe de cotas destinada exclusivamente a investidores profissionais, adicionalmente às faculdades dispostas na parte geral da Resolução e neste </w:t>
      </w:r>
      <w:r w:rsidR="00FB1127" w:rsidRPr="0097459F">
        <w:rPr>
          <w:rFonts w:eastAsia="Calibri"/>
        </w:rPr>
        <w:t>Anexo Normativo II</w:t>
      </w:r>
      <w:r w:rsidRPr="0097459F">
        <w:rPr>
          <w:rFonts w:eastAsia="Calibri"/>
        </w:rPr>
        <w:t>, o regulamento pode prever:</w:t>
      </w:r>
    </w:p>
    <w:p w14:paraId="378C6268" w14:textId="714FA84B" w:rsidR="00C20BBD" w:rsidRPr="0097459F" w:rsidRDefault="00C20BBD" w:rsidP="00C20BBD">
      <w:pPr>
        <w:pStyle w:val="Normalalteradora"/>
        <w:ind w:firstLine="709"/>
        <w:rPr>
          <w:rFonts w:eastAsia="Calibri"/>
        </w:rPr>
      </w:pPr>
      <w:r w:rsidRPr="0097459F">
        <w:rPr>
          <w:rFonts w:eastAsia="Calibri"/>
        </w:rPr>
        <w:t xml:space="preserve">I – </w:t>
      </w:r>
      <w:proofErr w:type="gramStart"/>
      <w:r w:rsidRPr="0097459F">
        <w:rPr>
          <w:rFonts w:eastAsia="Calibri"/>
        </w:rPr>
        <w:t>a</w:t>
      </w:r>
      <w:proofErr w:type="gramEnd"/>
      <w:r w:rsidRPr="0097459F">
        <w:rPr>
          <w:rFonts w:eastAsia="Calibri"/>
        </w:rPr>
        <w:t xml:space="preserve"> não observância da carteira aos limites de concentração por devedor, emissor e tipo de direito creditório, conforme dispostos neste </w:t>
      </w:r>
      <w:r w:rsidR="00FB1127" w:rsidRPr="0097459F">
        <w:rPr>
          <w:rFonts w:eastAsia="Calibri"/>
        </w:rPr>
        <w:t>Anexo Normativo II</w:t>
      </w:r>
      <w:r w:rsidRPr="0097459F">
        <w:rPr>
          <w:rFonts w:eastAsia="Calibri"/>
        </w:rPr>
        <w:t>;</w:t>
      </w:r>
    </w:p>
    <w:p w14:paraId="1FA7F58B" w14:textId="76DA17CF" w:rsidR="00C20BBD" w:rsidRPr="0097459F" w:rsidRDefault="00C20BBD" w:rsidP="00C20BBD">
      <w:pPr>
        <w:pStyle w:val="Normalalteradora"/>
        <w:ind w:firstLine="709"/>
        <w:rPr>
          <w:rFonts w:eastAsia="Calibri"/>
        </w:rPr>
      </w:pPr>
      <w:r w:rsidRPr="0097459F">
        <w:rPr>
          <w:rFonts w:eastAsia="Calibri"/>
        </w:rPr>
        <w:t xml:space="preserve">II – </w:t>
      </w:r>
      <w:proofErr w:type="gramStart"/>
      <w:r w:rsidRPr="0097459F">
        <w:rPr>
          <w:rFonts w:eastAsia="Calibri"/>
        </w:rPr>
        <w:t>o</w:t>
      </w:r>
      <w:proofErr w:type="gramEnd"/>
      <w:r w:rsidRPr="0097459F">
        <w:rPr>
          <w:rFonts w:eastAsia="Calibri"/>
        </w:rPr>
        <w:t xml:space="preserve"> não cumprimento pelo administrador das obrigações previstas no inciso I do art. 27 deste </w:t>
      </w:r>
      <w:r w:rsidR="00FB1127" w:rsidRPr="0097459F">
        <w:rPr>
          <w:rFonts w:eastAsia="Calibri"/>
        </w:rPr>
        <w:t>Anexo Normativo II</w:t>
      </w:r>
      <w:r w:rsidRPr="0097459F">
        <w:rPr>
          <w:rFonts w:eastAsia="Calibri"/>
        </w:rPr>
        <w:t>; e</w:t>
      </w:r>
    </w:p>
    <w:p w14:paraId="09838D19" w14:textId="71D7A19A" w:rsidR="00C20BBD" w:rsidRPr="0097459F" w:rsidRDefault="00CE48E2" w:rsidP="00C20BBD">
      <w:pPr>
        <w:pStyle w:val="Normalalteradora"/>
        <w:ind w:firstLine="709"/>
        <w:rPr>
          <w:rFonts w:eastAsia="Calibri"/>
        </w:rPr>
      </w:pPr>
      <w:r>
        <w:rPr>
          <w:rFonts w:eastAsia="Calibri"/>
        </w:rPr>
        <w:t>I</w:t>
      </w:r>
      <w:r w:rsidR="00C20BBD" w:rsidRPr="0097459F">
        <w:rPr>
          <w:rFonts w:eastAsia="Calibri"/>
        </w:rPr>
        <w:t>II – que os recursos oriundos da liquidação financeira dos direitos creditórios podem ser recebidos pelo cedente em conta corrente de livre movimentação, para posterior repasse à classe.</w:t>
      </w:r>
    </w:p>
    <w:p w14:paraId="16C8A305" w14:textId="607F5FD4" w:rsidR="00C20BBD" w:rsidRPr="0097459F" w:rsidRDefault="00C20BBD" w:rsidP="00C20BBD">
      <w:pPr>
        <w:pStyle w:val="Normalalteradora"/>
        <w:ind w:firstLine="709"/>
        <w:rPr>
          <w:rFonts w:eastAsia="Calibri"/>
        </w:rPr>
      </w:pPr>
      <w:r w:rsidRPr="0097459F">
        <w:rPr>
          <w:rFonts w:eastAsia="Calibri"/>
        </w:rPr>
        <w:lastRenderedPageBreak/>
        <w:t xml:space="preserve">Parágrafo único.  O uso da previsão constante do inciso I não exime o administrador de encaminhar à CVM as informações de que tratam os incisos III a V do art. 27 deste </w:t>
      </w:r>
      <w:r w:rsidR="00FB1127" w:rsidRPr="0097459F">
        <w:t>Anexo Normativo II</w:t>
      </w:r>
      <w:r w:rsidRPr="0097459F">
        <w:rPr>
          <w:rFonts w:eastAsia="Calibri"/>
        </w:rPr>
        <w:t xml:space="preserve">. </w:t>
      </w:r>
    </w:p>
    <w:p w14:paraId="2A22AD5E" w14:textId="77777777" w:rsidR="00C20BBD" w:rsidRPr="0097459F" w:rsidRDefault="00C20BBD" w:rsidP="00C20BBD">
      <w:pPr>
        <w:pStyle w:val="Captulo"/>
        <w:ind w:firstLine="709"/>
      </w:pPr>
      <w:bookmarkStart w:id="688" w:name="_Toc507331287"/>
      <w:bookmarkStart w:id="689" w:name="_Toc53594291"/>
      <w:bookmarkStart w:id="690" w:name="_Toc53594539"/>
      <w:bookmarkStart w:id="691" w:name="_Toc53595564"/>
      <w:bookmarkStart w:id="692" w:name="_Toc57836301"/>
      <w:bookmarkStart w:id="693" w:name="_Toc161141312"/>
      <w:r w:rsidRPr="0097459F">
        <w:t xml:space="preserve">CAPÍTULO XI – </w:t>
      </w:r>
      <w:bookmarkEnd w:id="688"/>
      <w:r w:rsidRPr="0097459F">
        <w:t>ENCARGOS</w:t>
      </w:r>
      <w:bookmarkEnd w:id="689"/>
      <w:bookmarkEnd w:id="690"/>
      <w:bookmarkEnd w:id="691"/>
      <w:bookmarkEnd w:id="692"/>
      <w:bookmarkEnd w:id="693"/>
    </w:p>
    <w:p w14:paraId="0F61AB9E"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lang w:val="pt-BR"/>
        </w:rPr>
      </w:pPr>
      <w:r w:rsidRPr="0097459F">
        <w:rPr>
          <w:rStyle w:val="normaltextrun"/>
          <w:rFonts w:asciiTheme="minorHAnsi" w:hAnsiTheme="minorHAnsi" w:cstheme="minorHAnsi"/>
          <w:lang w:val="pt-BR"/>
        </w:rPr>
        <w:t>Art. 53.  Em acréscimo aos encargos dispostos no art. 117 da parte geral da Resolução, o regulamento do FIDC pode prever como encargos as seguintes despesas, que podem ser debitadas diretamente de suas classes de cotas:</w:t>
      </w:r>
    </w:p>
    <w:p w14:paraId="31019647"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 xml:space="preserve">I – </w:t>
      </w:r>
      <w:proofErr w:type="gramStart"/>
      <w:r w:rsidRPr="0097459F">
        <w:rPr>
          <w:rStyle w:val="normaltextrun"/>
          <w:rFonts w:asciiTheme="minorHAnsi" w:hAnsiTheme="minorHAnsi" w:cstheme="minorHAnsi"/>
          <w:lang w:val="pt-BR"/>
        </w:rPr>
        <w:t>taxa</w:t>
      </w:r>
      <w:proofErr w:type="gramEnd"/>
      <w:r w:rsidRPr="0097459F">
        <w:rPr>
          <w:rStyle w:val="normaltextrun"/>
          <w:rFonts w:asciiTheme="minorHAnsi" w:hAnsiTheme="minorHAnsi" w:cstheme="minorHAnsi"/>
          <w:lang w:val="pt-BR"/>
        </w:rPr>
        <w:t xml:space="preserve"> de performance;</w:t>
      </w:r>
    </w:p>
    <w:p w14:paraId="24EEFF61"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 xml:space="preserve">II – </w:t>
      </w:r>
      <w:proofErr w:type="gramStart"/>
      <w:r w:rsidRPr="0097459F">
        <w:rPr>
          <w:rStyle w:val="normaltextrun"/>
          <w:rFonts w:asciiTheme="minorHAnsi" w:hAnsiTheme="minorHAnsi" w:cstheme="minorHAnsi"/>
          <w:lang w:val="pt-BR"/>
        </w:rPr>
        <w:t>taxa</w:t>
      </w:r>
      <w:proofErr w:type="gramEnd"/>
      <w:r w:rsidRPr="0097459F">
        <w:rPr>
          <w:rStyle w:val="normaltextrun"/>
          <w:rFonts w:asciiTheme="minorHAnsi" w:hAnsiTheme="minorHAnsi" w:cstheme="minorHAnsi"/>
          <w:lang w:val="pt-BR"/>
        </w:rPr>
        <w:t xml:space="preserve"> máxima de custódia; e</w:t>
      </w:r>
    </w:p>
    <w:p w14:paraId="7FC8010E"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III – registro de direitos creditórios.</w:t>
      </w:r>
    </w:p>
    <w:p w14:paraId="36DD679A"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Parágrafo único.  Na classe restrita, o regulamento pode acrescentar aos encargos as despesas com:</w:t>
      </w:r>
    </w:p>
    <w:p w14:paraId="66DC5FFA"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 xml:space="preserve">I – </w:t>
      </w:r>
      <w:proofErr w:type="gramStart"/>
      <w:r w:rsidRPr="0097459F">
        <w:rPr>
          <w:rStyle w:val="normaltextrun"/>
          <w:rFonts w:asciiTheme="minorHAnsi" w:hAnsiTheme="minorHAnsi" w:cstheme="minorHAnsi"/>
          <w:lang w:val="pt-BR"/>
        </w:rPr>
        <w:t>consultoria</w:t>
      </w:r>
      <w:proofErr w:type="gramEnd"/>
      <w:r w:rsidRPr="0097459F">
        <w:rPr>
          <w:rStyle w:val="normaltextrun"/>
          <w:rFonts w:asciiTheme="minorHAnsi" w:hAnsiTheme="minorHAnsi" w:cstheme="minorHAnsi"/>
          <w:lang w:val="pt-BR"/>
        </w:rPr>
        <w:t xml:space="preserve"> especializada; e</w:t>
      </w:r>
    </w:p>
    <w:p w14:paraId="2F5ADC47" w14:textId="77777777" w:rsidR="00C20BBD" w:rsidRPr="0097459F" w:rsidRDefault="00C20BBD" w:rsidP="00C20BBD">
      <w:pPr>
        <w:pStyle w:val="paragraph"/>
        <w:spacing w:before="120" w:beforeAutospacing="0" w:after="120" w:afterAutospacing="0" w:line="312" w:lineRule="auto"/>
        <w:ind w:firstLine="709"/>
        <w:jc w:val="both"/>
        <w:textAlignment w:val="baseline"/>
        <w:rPr>
          <w:rStyle w:val="normaltextrun"/>
          <w:rFonts w:asciiTheme="minorHAnsi" w:hAnsiTheme="minorHAnsi" w:cstheme="minorHAnsi"/>
          <w:lang w:val="pt-BR"/>
        </w:rPr>
      </w:pPr>
      <w:r w:rsidRPr="0097459F">
        <w:rPr>
          <w:rStyle w:val="normaltextrun"/>
          <w:rFonts w:asciiTheme="minorHAnsi" w:hAnsiTheme="minorHAnsi" w:cstheme="minorHAnsi"/>
          <w:lang w:val="pt-BR"/>
        </w:rPr>
        <w:t xml:space="preserve">II – </w:t>
      </w:r>
      <w:proofErr w:type="gramStart"/>
      <w:r w:rsidRPr="0097459F">
        <w:rPr>
          <w:rStyle w:val="normaltextrun"/>
          <w:rFonts w:asciiTheme="minorHAnsi" w:hAnsiTheme="minorHAnsi" w:cstheme="minorHAnsi"/>
          <w:lang w:val="pt-BR"/>
        </w:rPr>
        <w:t>agente</w:t>
      </w:r>
      <w:proofErr w:type="gramEnd"/>
      <w:r w:rsidRPr="0097459F">
        <w:rPr>
          <w:rStyle w:val="normaltextrun"/>
          <w:rFonts w:asciiTheme="minorHAnsi" w:hAnsiTheme="minorHAnsi" w:cstheme="minorHAnsi"/>
          <w:lang w:val="pt-BR"/>
        </w:rPr>
        <w:t xml:space="preserve"> de cobrança.</w:t>
      </w:r>
    </w:p>
    <w:p w14:paraId="4BC15D32" w14:textId="77777777" w:rsidR="00C20BBD" w:rsidRPr="0097459F" w:rsidRDefault="00C20BBD" w:rsidP="00C20BBD">
      <w:pPr>
        <w:pStyle w:val="Captulo"/>
        <w:ind w:firstLine="709"/>
      </w:pPr>
      <w:bookmarkStart w:id="694" w:name="_Toc53594292"/>
      <w:bookmarkStart w:id="695" w:name="_Toc53594540"/>
      <w:bookmarkStart w:id="696" w:name="_Toc53595565"/>
      <w:bookmarkStart w:id="697" w:name="_Toc57836302"/>
      <w:bookmarkStart w:id="698" w:name="_Toc161141313"/>
      <w:r w:rsidRPr="0097459F">
        <w:t>CAPÍTULO XII – LIQUIDAÇÃO</w:t>
      </w:r>
      <w:bookmarkEnd w:id="694"/>
      <w:bookmarkEnd w:id="695"/>
      <w:bookmarkEnd w:id="696"/>
      <w:bookmarkEnd w:id="697"/>
      <w:bookmarkEnd w:id="698"/>
    </w:p>
    <w:p w14:paraId="542112FE" w14:textId="77777777" w:rsidR="00C20BBD" w:rsidRPr="0097459F" w:rsidRDefault="00C20BBD" w:rsidP="00C20BBD">
      <w:pPr>
        <w:pStyle w:val="Normalalteradora"/>
        <w:ind w:firstLine="709"/>
      </w:pPr>
      <w:r w:rsidRPr="0097459F">
        <w:t>Art. 54.  No âmbito da liquidação de uma classe de cotas, desde que de modo integrado ao plano de liquidação</w:t>
      </w:r>
      <w:bookmarkStart w:id="699" w:name="_Hlk52090590"/>
      <w:r w:rsidRPr="0097459F">
        <w:t>, em acréscimo às dispensas concedidas no art. 128 da parte geral Resolução</w:t>
      </w:r>
      <w:bookmarkEnd w:id="699"/>
      <w:r w:rsidRPr="0097459F">
        <w:t>, fica dispensado o cumprimento das regras listadas a seguir:</w:t>
      </w:r>
    </w:p>
    <w:p w14:paraId="13E26D39" w14:textId="72BA896C" w:rsidR="00C20BBD" w:rsidRPr="0097459F" w:rsidRDefault="00C20BBD" w:rsidP="00C20BBD">
      <w:pPr>
        <w:pStyle w:val="Normalalteradora"/>
        <w:ind w:firstLine="709"/>
      </w:pPr>
      <w:r w:rsidRPr="0097459F">
        <w:t xml:space="preserve">I – elaboração e divulgação das informações de que tratam os incisos I e II do art. 27 deste </w:t>
      </w:r>
      <w:r w:rsidR="00FB1127" w:rsidRPr="0097459F">
        <w:t>Anexo Normativo II</w:t>
      </w:r>
      <w:r w:rsidRPr="0097459F">
        <w:t>; e</w:t>
      </w:r>
    </w:p>
    <w:p w14:paraId="7084DA1A" w14:textId="3EDCAC82" w:rsidR="00C20BBD" w:rsidRPr="0097459F" w:rsidRDefault="00C20BBD" w:rsidP="00C20BBD">
      <w:pPr>
        <w:pStyle w:val="Normalalteradora"/>
        <w:ind w:firstLine="709"/>
      </w:pPr>
      <w:r w:rsidRPr="0097459F">
        <w:t xml:space="preserve">II – </w:t>
      </w:r>
      <w:proofErr w:type="gramStart"/>
      <w:r w:rsidRPr="0097459F">
        <w:t>envio</w:t>
      </w:r>
      <w:proofErr w:type="gramEnd"/>
      <w:r w:rsidRPr="0097459F">
        <w:t xml:space="preserve"> das informações de que tratam os incisos III a V do art. 27 deste </w:t>
      </w:r>
      <w:r w:rsidR="00FB1127" w:rsidRPr="0097459F">
        <w:t>Anexo Normativo II</w:t>
      </w:r>
      <w:r w:rsidRPr="0097459F">
        <w:t xml:space="preserve"> à CVM.</w:t>
      </w:r>
    </w:p>
    <w:p w14:paraId="33B012B4" w14:textId="77777777" w:rsidR="00C20BBD" w:rsidRPr="0097459F" w:rsidRDefault="00C20BBD" w:rsidP="00C20BBD">
      <w:pPr>
        <w:pStyle w:val="Normalalteradora"/>
        <w:ind w:firstLine="709"/>
      </w:pPr>
      <w:r w:rsidRPr="0097459F">
        <w:t>Art. 55.  Caso os cotistas reunidos em assembleia deliberem pela não liquidação da classe de cotas em função de ocorrência de hipótese prevista no regulamento, é assegurada a amortização ou o resgate total das cotas seniores aos cotistas dissidentes que o solicitarem.</w:t>
      </w:r>
    </w:p>
    <w:p w14:paraId="04CA5597" w14:textId="77777777" w:rsidR="00C20BBD" w:rsidRPr="0097459F" w:rsidRDefault="00C20BBD" w:rsidP="00C20BBD">
      <w:pPr>
        <w:pStyle w:val="Normalalteradora"/>
        <w:ind w:firstLine="709"/>
      </w:pPr>
      <w:r w:rsidRPr="0097459F">
        <w:lastRenderedPageBreak/>
        <w:t xml:space="preserve">Parágrafo único.  Na hipótese prevista no </w:t>
      </w:r>
      <w:r w:rsidRPr="0097459F">
        <w:rPr>
          <w:b/>
        </w:rPr>
        <w:t>caput</w:t>
      </w:r>
      <w:r w:rsidRPr="0097459F">
        <w:t>, os titulares de cotas subordinadas mezanino e subordinadas que sejam dissidentes podem amortizar ou resgatar suas cotas, desde que o índice de subordinação não seja comprometido.</w:t>
      </w:r>
    </w:p>
    <w:p w14:paraId="61423F4C" w14:textId="77777777" w:rsidR="00C20BBD" w:rsidRPr="0097459F" w:rsidRDefault="00C20BBD" w:rsidP="00C20BBD">
      <w:pPr>
        <w:pStyle w:val="Captulo"/>
        <w:ind w:firstLine="709"/>
      </w:pPr>
      <w:bookmarkStart w:id="700" w:name="_Toc53594293"/>
      <w:bookmarkStart w:id="701" w:name="_Toc53594541"/>
      <w:bookmarkStart w:id="702" w:name="_Toc53595566"/>
      <w:bookmarkStart w:id="703" w:name="_Toc57836303"/>
      <w:bookmarkStart w:id="704" w:name="_Toc507331292"/>
      <w:bookmarkStart w:id="705" w:name="_Toc161141314"/>
      <w:r w:rsidRPr="0097459F">
        <w:t>CAPÍTULO XIII – PENALIDADES</w:t>
      </w:r>
      <w:bookmarkEnd w:id="700"/>
      <w:bookmarkEnd w:id="701"/>
      <w:bookmarkEnd w:id="702"/>
      <w:bookmarkEnd w:id="703"/>
      <w:bookmarkEnd w:id="704"/>
      <w:bookmarkEnd w:id="705"/>
    </w:p>
    <w:p w14:paraId="45831E5A" w14:textId="77777777" w:rsidR="00C20BBD" w:rsidRPr="0097459F" w:rsidRDefault="00C20BBD" w:rsidP="00C20BBD">
      <w:pPr>
        <w:pStyle w:val="Normalalteradora"/>
        <w:ind w:firstLine="709"/>
      </w:pPr>
      <w:r w:rsidRPr="0097459F">
        <w:t>Art. 56.  Em acréscimo às condutas previstas no art. 131 da parte geral da Resolução, considera-se infração grave:</w:t>
      </w:r>
    </w:p>
    <w:p w14:paraId="52303112" w14:textId="51E6E359" w:rsidR="00C20BBD" w:rsidRPr="0097459F" w:rsidRDefault="00C20BBD" w:rsidP="00C20BBD">
      <w:pPr>
        <w:pStyle w:val="Normalalteradora"/>
        <w:ind w:firstLine="709"/>
      </w:pPr>
      <w:r w:rsidRPr="0097459F">
        <w:t xml:space="preserve">I – </w:t>
      </w:r>
      <w:proofErr w:type="gramStart"/>
      <w:r w:rsidRPr="0097459F">
        <w:t>a</w:t>
      </w:r>
      <w:proofErr w:type="gramEnd"/>
      <w:r w:rsidRPr="0097459F">
        <w:t xml:space="preserve"> não observância aos limites de concentração, composição e exposição da carteira de ativos, conforme previstos no regulamento e neste </w:t>
      </w:r>
      <w:r w:rsidR="00FB1127" w:rsidRPr="0097459F">
        <w:t>Anexo Normativo II</w:t>
      </w:r>
      <w:r w:rsidRPr="0097459F">
        <w:t>;</w:t>
      </w:r>
    </w:p>
    <w:p w14:paraId="1DD7593B" w14:textId="77777777" w:rsidR="00C20BBD" w:rsidRPr="0097459F" w:rsidRDefault="00C20BBD" w:rsidP="00C20BBD">
      <w:pPr>
        <w:pStyle w:val="Normalalteradora"/>
        <w:ind w:firstLine="709"/>
      </w:pPr>
      <w:r w:rsidRPr="0097459F">
        <w:t xml:space="preserve">II – </w:t>
      </w:r>
      <w:proofErr w:type="gramStart"/>
      <w:r w:rsidRPr="0097459F">
        <w:t>a</w:t>
      </w:r>
      <w:proofErr w:type="gramEnd"/>
      <w:r w:rsidRPr="0097459F">
        <w:t xml:space="preserve"> aplicação de recursos na aquisição de direitos creditórios e ativos financeiros no exterior; e</w:t>
      </w:r>
    </w:p>
    <w:p w14:paraId="6986F02B" w14:textId="6E1AB7E2" w:rsidR="00C20BBD" w:rsidRPr="0097459F" w:rsidRDefault="00C20BBD" w:rsidP="00C20BBD">
      <w:pPr>
        <w:pStyle w:val="Normalalteradora"/>
        <w:ind w:firstLine="709"/>
      </w:pPr>
      <w:r w:rsidRPr="0097459F">
        <w:t xml:space="preserve">III – a não disponibilização da lâmina, se aplicável, conforme previsto neste </w:t>
      </w:r>
      <w:r w:rsidR="00FB1127" w:rsidRPr="0097459F">
        <w:t>Anexo Normativo II</w:t>
      </w:r>
      <w:r w:rsidRPr="0097459F">
        <w:t>.</w:t>
      </w:r>
    </w:p>
    <w:p w14:paraId="78B88340" w14:textId="77777777" w:rsidR="00C20BBD" w:rsidRPr="0097459F" w:rsidRDefault="00C20BBD" w:rsidP="00C20BBD">
      <w:pPr>
        <w:pStyle w:val="Captulo"/>
        <w:ind w:firstLine="709"/>
      </w:pPr>
      <w:bookmarkStart w:id="706" w:name="_Toc507331293"/>
      <w:bookmarkStart w:id="707" w:name="_Toc53594294"/>
      <w:bookmarkStart w:id="708" w:name="_Toc53594542"/>
      <w:bookmarkStart w:id="709" w:name="_Toc53595567"/>
      <w:bookmarkStart w:id="710" w:name="_Toc57836304"/>
      <w:bookmarkStart w:id="711" w:name="_Toc161141315"/>
      <w:r w:rsidRPr="0097459F">
        <w:t>CAPÍTULO XIV – DISPOSIÇÕES FINAIS E TRANSITÓRIAS</w:t>
      </w:r>
      <w:bookmarkEnd w:id="706"/>
      <w:bookmarkEnd w:id="707"/>
      <w:bookmarkEnd w:id="708"/>
      <w:bookmarkEnd w:id="709"/>
      <w:bookmarkEnd w:id="710"/>
      <w:bookmarkEnd w:id="711"/>
    </w:p>
    <w:p w14:paraId="66E9D572" w14:textId="0A945F72" w:rsidR="002C072D" w:rsidRDefault="00C20BBD" w:rsidP="00063BE2">
      <w:pPr>
        <w:pStyle w:val="Normalalteradora"/>
        <w:ind w:firstLine="709"/>
        <w:sectPr w:rsidR="002C072D" w:rsidSect="002A08BD">
          <w:headerReference w:type="default" r:id="rId17"/>
          <w:pgSz w:w="11906" w:h="16838"/>
          <w:pgMar w:top="2268" w:right="567" w:bottom="851" w:left="1134" w:header="709" w:footer="709" w:gutter="0"/>
          <w:cols w:space="708"/>
          <w:titlePg/>
          <w:docGrid w:linePitch="360"/>
        </w:sectPr>
      </w:pPr>
      <w:r w:rsidRPr="0097459F">
        <w:t xml:space="preserve">Art. 57.  Quando da entrada em vigor da Resolução, o fundo será automaticamente considerado como constituído na forma de classe única de cotas, preservados direitos e obrigações das cotas seniores e subordinadas existentes à ocasião, que deverão ser tratadas como subclasses para fins de adaptação a este </w:t>
      </w:r>
      <w:r w:rsidR="00FB1127" w:rsidRPr="0097459F">
        <w:t>Anexo Normativo II</w:t>
      </w:r>
      <w:r w:rsidRPr="0097459F">
        <w:t>.</w:t>
      </w:r>
    </w:p>
    <w:p w14:paraId="42A149B9" w14:textId="77777777" w:rsidR="00AF795C" w:rsidRPr="00A46087" w:rsidRDefault="00AF795C" w:rsidP="00036557">
      <w:pPr>
        <w:pStyle w:val="TtulodaResoluo"/>
        <w:spacing w:after="0"/>
        <w:ind w:firstLine="0"/>
      </w:pPr>
      <w:bookmarkStart w:id="712" w:name="_Toc161141316"/>
      <w:r w:rsidRPr="00A46087">
        <w:lastRenderedPageBreak/>
        <w:t>ANEXO NORMATIVO III – FUNDOS DE INVESTIMENTO IMOBILIÁRIO</w:t>
      </w:r>
      <w:bookmarkEnd w:id="712"/>
    </w:p>
    <w:p w14:paraId="409614D3" w14:textId="77777777" w:rsidR="00AF795C" w:rsidRPr="00A46087" w:rsidRDefault="00AF795C" w:rsidP="00AF795C">
      <w:pPr>
        <w:pStyle w:val="Ementa"/>
        <w:ind w:left="5387"/>
      </w:pPr>
      <w:r w:rsidRPr="00A46087">
        <w:t>Dispõe sobre as regras específicas para os fund</w:t>
      </w:r>
      <w:r>
        <w:t>os de investimento imobiliário.</w:t>
      </w:r>
    </w:p>
    <w:p w14:paraId="58A9BB97" w14:textId="77777777" w:rsidR="00AF795C" w:rsidRPr="00A46087" w:rsidRDefault="00AF795C" w:rsidP="00AF795C">
      <w:pPr>
        <w:pStyle w:val="Captulo"/>
        <w:ind w:left="567" w:firstLine="0"/>
        <w:rPr>
          <w:b/>
        </w:rPr>
      </w:pPr>
      <w:bookmarkStart w:id="713" w:name="_Toc161141317"/>
      <w:r w:rsidRPr="00A46087">
        <w:t>CAPÍTULO I – ÂMBITO E FINALIDADE</w:t>
      </w:r>
      <w:bookmarkEnd w:id="713"/>
    </w:p>
    <w:p w14:paraId="028E8100" w14:textId="77777777" w:rsidR="00AF795C" w:rsidRPr="00A46087" w:rsidRDefault="00AF795C" w:rsidP="00AF795C">
      <w:pPr>
        <w:pStyle w:val="NormaAlterada"/>
      </w:pPr>
      <w:r w:rsidRPr="00A46087">
        <w:t>Art. 1</w:t>
      </w:r>
      <w:bookmarkStart w:id="714" w:name="_Int_1eTBz2hM"/>
      <w:proofErr w:type="gramStart"/>
      <w:r w:rsidRPr="00A46087">
        <w:t>º  Este</w:t>
      </w:r>
      <w:bookmarkEnd w:id="714"/>
      <w:proofErr w:type="gramEnd"/>
      <w:r w:rsidRPr="00A46087">
        <w:t xml:space="preserve"> Anexo Normativo III à Resolução CVM nº 175 (“Resolução”) dispõe sobre as regras específicas para os fundos de investimento imobiliário – FII.</w:t>
      </w:r>
    </w:p>
    <w:p w14:paraId="2FF79B1E" w14:textId="77777777" w:rsidR="00AF795C" w:rsidRPr="00A46087" w:rsidRDefault="00AF795C" w:rsidP="00AF795C">
      <w:pPr>
        <w:pStyle w:val="Captulo"/>
        <w:ind w:left="567" w:firstLine="0"/>
      </w:pPr>
      <w:bookmarkStart w:id="715" w:name="_Toc161141318"/>
      <w:r w:rsidRPr="00A46087">
        <w:t>CAPÍTULO II – CARACTERÍSTICAS E CONSTITUIÇÃO</w:t>
      </w:r>
      <w:bookmarkEnd w:id="715"/>
    </w:p>
    <w:p w14:paraId="490697A1" w14:textId="77777777" w:rsidR="00AF795C" w:rsidRPr="00A46087" w:rsidRDefault="00AF795C" w:rsidP="00AF795C">
      <w:pPr>
        <w:pStyle w:val="Seo"/>
        <w:ind w:left="567" w:firstLine="0"/>
      </w:pPr>
      <w:bookmarkStart w:id="716" w:name="_Toc161141319"/>
      <w:r w:rsidRPr="00A46087">
        <w:t>Seção I – Características Gerais</w:t>
      </w:r>
      <w:bookmarkEnd w:id="716"/>
    </w:p>
    <w:p w14:paraId="1CF3E224" w14:textId="77777777" w:rsidR="00AF795C" w:rsidRPr="00A46087" w:rsidRDefault="00AF795C" w:rsidP="00AF795C">
      <w:pPr>
        <w:pStyle w:val="NormaAlterada"/>
      </w:pPr>
      <w:r w:rsidRPr="00A46087">
        <w:t>Art. 2</w:t>
      </w:r>
      <w:bookmarkStart w:id="717" w:name="_Int_raHw2ZEg"/>
      <w:proofErr w:type="gramStart"/>
      <w:r w:rsidRPr="00A46087">
        <w:t>º  O</w:t>
      </w:r>
      <w:bookmarkEnd w:id="717"/>
      <w:proofErr w:type="gramEnd"/>
      <w:r w:rsidRPr="00A46087">
        <w:t xml:space="preserve"> FII é destinado à aplicação em empreendimentos imobiliários, nos termos do art. 40 deste Anexo Normativo III.</w:t>
      </w:r>
    </w:p>
    <w:p w14:paraId="53375312" w14:textId="77777777" w:rsidR="00AF795C" w:rsidRPr="00A46087" w:rsidRDefault="00AF795C" w:rsidP="00AF795C">
      <w:pPr>
        <w:pStyle w:val="NormaAlterada"/>
      </w:pPr>
      <w:r w:rsidRPr="00A46087">
        <w:t>Parágrafo único.  O FII deve captar recursos por meio do sistema de distribuição de valores mobiliários.</w:t>
      </w:r>
    </w:p>
    <w:p w14:paraId="0C7ACB22" w14:textId="77777777" w:rsidR="00AF795C" w:rsidRPr="00A46087" w:rsidRDefault="00AF795C" w:rsidP="00AF795C">
      <w:pPr>
        <w:pStyle w:val="NormaAlterada"/>
      </w:pPr>
      <w:r w:rsidRPr="00A46087">
        <w:t>Art. 3</w:t>
      </w:r>
      <w:bookmarkStart w:id="718" w:name="_Int_28KJtj8o"/>
      <w:proofErr w:type="gramStart"/>
      <w:r w:rsidRPr="00A46087">
        <w:t>º  As</w:t>
      </w:r>
      <w:bookmarkEnd w:id="718"/>
      <w:proofErr w:type="gramEnd"/>
      <w:r w:rsidRPr="00A46087">
        <w:t xml:space="preserve"> classes de cotas dos FII devem ser constituídas em regime fechado e podem ter prazo de duração indeterminado.</w:t>
      </w:r>
    </w:p>
    <w:p w14:paraId="5DCF98EA" w14:textId="77777777" w:rsidR="00AF795C" w:rsidRPr="00A46087" w:rsidRDefault="00AF795C" w:rsidP="00AF795C">
      <w:pPr>
        <w:pStyle w:val="NormaAlterada"/>
      </w:pPr>
      <w:r w:rsidRPr="00A46087">
        <w:t>Art. 4</w:t>
      </w:r>
      <w:bookmarkStart w:id="719" w:name="_Int_cdj6tDSJ"/>
      <w:proofErr w:type="gramStart"/>
      <w:r w:rsidRPr="00A46087">
        <w:t>º  Da</w:t>
      </w:r>
      <w:bookmarkEnd w:id="719"/>
      <w:proofErr w:type="gramEnd"/>
      <w:r w:rsidRPr="00A46087">
        <w:t xml:space="preserve"> denominação do fundo e de suas classes de cotas, caso existentes, deve constar a expressão “Fundo de Investimento Imobiliário”. </w:t>
      </w:r>
    </w:p>
    <w:p w14:paraId="002A2061" w14:textId="77777777" w:rsidR="00AF795C" w:rsidRPr="00A46087" w:rsidRDefault="00AF795C" w:rsidP="00AF795C">
      <w:pPr>
        <w:pStyle w:val="Seo"/>
        <w:ind w:left="567" w:firstLine="0"/>
      </w:pPr>
      <w:bookmarkStart w:id="720" w:name="_Toc161141320"/>
      <w:r w:rsidRPr="00A46087">
        <w:t>Seção II – Constituição</w:t>
      </w:r>
      <w:bookmarkEnd w:id="720"/>
    </w:p>
    <w:p w14:paraId="6B28D4C5" w14:textId="77777777" w:rsidR="00AF795C" w:rsidRPr="00A46087" w:rsidRDefault="00AF795C" w:rsidP="00AF795C">
      <w:pPr>
        <w:pStyle w:val="NormaAlterada"/>
      </w:pPr>
      <w:r w:rsidRPr="00A46087">
        <w:t>Art. 5</w:t>
      </w:r>
      <w:bookmarkStart w:id="721" w:name="_Int_8HzWiVUc"/>
      <w:proofErr w:type="gramStart"/>
      <w:r w:rsidRPr="00A46087">
        <w:t>º  Caso</w:t>
      </w:r>
      <w:bookmarkEnd w:id="721"/>
      <w:proofErr w:type="gramEnd"/>
      <w:r w:rsidRPr="00A46087">
        <w:t xml:space="preserve"> a política de investimentos não permita a aplicação de parcela superior a 5% (cinco por cento) do patrimônio líquido em valores mobiliários, o fundo e suas classes de cotas podem ser constituídos por deliberação exclusiva do administrador, hipótese na qual o administrador é o único prestador de serviços essenciais, englobando tanto a administração fiduciária quanto a gestão da carteira.</w:t>
      </w:r>
    </w:p>
    <w:p w14:paraId="187777DD" w14:textId="77777777" w:rsidR="00AF795C" w:rsidRPr="00A46087" w:rsidRDefault="00AF795C" w:rsidP="00AF795C">
      <w:pPr>
        <w:pStyle w:val="Captulo"/>
        <w:ind w:left="567" w:firstLine="0"/>
      </w:pPr>
      <w:bookmarkStart w:id="722" w:name="_Toc161141321"/>
      <w:r w:rsidRPr="00A46087">
        <w:lastRenderedPageBreak/>
        <w:t>CAPÍTULO III – COTAS</w:t>
      </w:r>
      <w:bookmarkEnd w:id="722"/>
    </w:p>
    <w:p w14:paraId="3A3E2989" w14:textId="77777777" w:rsidR="00AF795C" w:rsidRPr="00A46087" w:rsidRDefault="00AF795C" w:rsidP="00AF795C">
      <w:pPr>
        <w:pStyle w:val="Seo"/>
        <w:ind w:left="567" w:firstLine="0"/>
      </w:pPr>
      <w:bookmarkStart w:id="723" w:name="_Toc161141322"/>
      <w:r w:rsidRPr="00A46087">
        <w:t>Seção I – Recompra</w:t>
      </w:r>
      <w:bookmarkEnd w:id="723"/>
    </w:p>
    <w:p w14:paraId="7DCC34D9" w14:textId="77777777" w:rsidR="00AF795C" w:rsidRPr="00A46087" w:rsidRDefault="00AF795C" w:rsidP="00AF795C">
      <w:pPr>
        <w:pStyle w:val="NormaAlterada"/>
      </w:pPr>
      <w:r w:rsidRPr="00A46087">
        <w:t>Art. 6</w:t>
      </w:r>
      <w:bookmarkStart w:id="724" w:name="_Int_ajBDDdtk"/>
      <w:proofErr w:type="gramStart"/>
      <w:r w:rsidRPr="00A46087">
        <w:t>º  As</w:t>
      </w:r>
      <w:bookmarkEnd w:id="724"/>
      <w:proofErr w:type="gramEnd"/>
      <w:r w:rsidRPr="00A46087">
        <w:t xml:space="preserve"> recompras que visem à aquisição de parte ou da totalidade das cotas de classe de cotas devem obedecer às regras e procedimentos operacionais estabelecidos pela entidade administradora do mercado organizado em que as cotas estejam admitidas à negociação.</w:t>
      </w:r>
    </w:p>
    <w:p w14:paraId="1E145EFF" w14:textId="77777777" w:rsidR="00AF795C" w:rsidRPr="00A46087" w:rsidRDefault="00AF795C" w:rsidP="00AF795C">
      <w:pPr>
        <w:pStyle w:val="Seo"/>
        <w:ind w:left="567" w:firstLine="0"/>
      </w:pPr>
      <w:bookmarkStart w:id="725" w:name="_Toc161141323"/>
      <w:r w:rsidRPr="00A46087">
        <w:t>Seção II – Distribuição</w:t>
      </w:r>
      <w:bookmarkEnd w:id="725"/>
    </w:p>
    <w:p w14:paraId="0E8D2159" w14:textId="77777777" w:rsidR="00AF795C" w:rsidRPr="00A46087" w:rsidRDefault="00AF795C" w:rsidP="00AF795C">
      <w:pPr>
        <w:pStyle w:val="NormaAlterada"/>
      </w:pPr>
      <w:r w:rsidRPr="00A46087">
        <w:t>Art. 7</w:t>
      </w:r>
      <w:bookmarkStart w:id="726" w:name="_Int_hQMCzo7i"/>
      <w:proofErr w:type="gramStart"/>
      <w:r w:rsidRPr="00A46087">
        <w:t>º  O</w:t>
      </w:r>
      <w:bookmarkEnd w:id="726"/>
      <w:proofErr w:type="gramEnd"/>
      <w:r w:rsidRPr="00A46087">
        <w:t xml:space="preserve"> pedido de registro de oferta pública de distribuição deve ser instruído com os documentos exigidos em regulamentação específica, bem como:</w:t>
      </w:r>
    </w:p>
    <w:p w14:paraId="57451C76" w14:textId="77777777" w:rsidR="00AF795C" w:rsidRPr="00A46087" w:rsidRDefault="00AF795C" w:rsidP="00AF795C">
      <w:pPr>
        <w:pStyle w:val="NormaAlterada"/>
      </w:pPr>
      <w:r w:rsidRPr="00A46087">
        <w:t xml:space="preserve">I – </w:t>
      </w:r>
      <w:bookmarkStart w:id="727" w:name="_Int_oYO6lhok"/>
      <w:proofErr w:type="gramStart"/>
      <w:r w:rsidRPr="00A46087">
        <w:t>os</w:t>
      </w:r>
      <w:bookmarkEnd w:id="727"/>
      <w:proofErr w:type="gramEnd"/>
      <w:r w:rsidRPr="00A46087">
        <w:t xml:space="preserve"> documentos e informações exigidos no Suplemento K, no que couber, quando se tratar da primeira oferta pública de distribuição da classe de cotas, contendo as devidas atualizações quando se </w:t>
      </w:r>
      <w:bookmarkStart w:id="728" w:name="_Int_ltVB9B8b"/>
      <w:r w:rsidRPr="00A46087">
        <w:t>tratarem</w:t>
      </w:r>
      <w:bookmarkEnd w:id="728"/>
      <w:r w:rsidRPr="00A46087">
        <w:t xml:space="preserve"> de ofertas públicas subsequentes; e</w:t>
      </w:r>
    </w:p>
    <w:p w14:paraId="1161BF80" w14:textId="77777777" w:rsidR="00AF795C" w:rsidRPr="00A46087" w:rsidRDefault="00AF795C" w:rsidP="00AF795C">
      <w:pPr>
        <w:pStyle w:val="NormaAlterada"/>
      </w:pPr>
      <w:r w:rsidRPr="00A46087">
        <w:t xml:space="preserve">II – </w:t>
      </w:r>
      <w:bookmarkStart w:id="729" w:name="_Int_ru0tF0fO"/>
      <w:proofErr w:type="gramStart"/>
      <w:r w:rsidRPr="00A46087">
        <w:t>o</w:t>
      </w:r>
      <w:bookmarkEnd w:id="729"/>
      <w:proofErr w:type="gramEnd"/>
      <w:r w:rsidRPr="00A46087">
        <w:t xml:space="preserve"> laudo de avaliação de que trata o art. 9º deste Anexo Normativo III, no caso da primeira oferta pública de distribuição da classe de cotas, com exceção das informações mencionadas no item 7 do Suplemento H, quando estiverem protegidas por sigilo ou prejudicarem a estratégia de investimento. </w:t>
      </w:r>
    </w:p>
    <w:p w14:paraId="6DFC42CD" w14:textId="77777777" w:rsidR="00AF795C" w:rsidRPr="00A46087" w:rsidRDefault="00AF795C" w:rsidP="00AF795C">
      <w:pPr>
        <w:pStyle w:val="Seo"/>
        <w:ind w:left="567" w:firstLine="0"/>
      </w:pPr>
      <w:bookmarkStart w:id="730" w:name="_Toc161141324"/>
      <w:r w:rsidRPr="00A46087">
        <w:t>Seção III – Integralização e Subscrição</w:t>
      </w:r>
      <w:bookmarkEnd w:id="730"/>
    </w:p>
    <w:p w14:paraId="019BA03F" w14:textId="77777777" w:rsidR="00AF795C" w:rsidRPr="00A46087" w:rsidRDefault="00AF795C" w:rsidP="00AF795C">
      <w:pPr>
        <w:pStyle w:val="NormaAlterada"/>
      </w:pPr>
      <w:r w:rsidRPr="00A46087">
        <w:t>Art. 8</w:t>
      </w:r>
      <w:bookmarkStart w:id="731" w:name="_Int_hPLV1QZJ"/>
      <w:proofErr w:type="gramStart"/>
      <w:r w:rsidRPr="00A46087">
        <w:t>º  A</w:t>
      </w:r>
      <w:bookmarkEnd w:id="731"/>
      <w:proofErr w:type="gramEnd"/>
      <w:r w:rsidRPr="00A46087">
        <w:t xml:space="preserve"> integralização das cotas será efetuada em moeda corrente nacional, admitindo-se, desde que prevista no regulamento, a integralização em imóveis, bem como em direitos relativos a imóveis.</w:t>
      </w:r>
    </w:p>
    <w:p w14:paraId="4A5F4869" w14:textId="77777777" w:rsidR="00AF795C" w:rsidRPr="00A46087" w:rsidRDefault="00AF795C" w:rsidP="00AF795C">
      <w:pPr>
        <w:pStyle w:val="NormaAlterada"/>
      </w:pPr>
      <w:r w:rsidRPr="00A46087">
        <w:t>Art. 9</w:t>
      </w:r>
      <w:bookmarkStart w:id="732" w:name="_Int_jDdogoEX"/>
      <w:proofErr w:type="gramStart"/>
      <w:r w:rsidRPr="00A46087">
        <w:t>º  A</w:t>
      </w:r>
      <w:bookmarkEnd w:id="732"/>
      <w:proofErr w:type="gramEnd"/>
      <w:r w:rsidRPr="00A46087">
        <w:t xml:space="preserve"> integralização em bens e direitos deve ser feita com base em laudo de avaliação, elaborado por empresa especializada, de acordo com o Suplemento H, e aprovado pela assembleia de cotistas.</w:t>
      </w:r>
    </w:p>
    <w:p w14:paraId="4469AE7A" w14:textId="77777777" w:rsidR="00AF795C" w:rsidRPr="00A46087" w:rsidRDefault="00AF795C" w:rsidP="00AF795C">
      <w:pPr>
        <w:pStyle w:val="NormaAlterada"/>
      </w:pPr>
      <w:r w:rsidRPr="00A46087">
        <w:t>§ 1</w:t>
      </w:r>
      <w:bookmarkStart w:id="733" w:name="_Int_ZdAt2MnK"/>
      <w:proofErr w:type="gramStart"/>
      <w:r w:rsidRPr="00A46087">
        <w:t>º  A</w:t>
      </w:r>
      <w:bookmarkEnd w:id="733"/>
      <w:proofErr w:type="gramEnd"/>
      <w:r w:rsidRPr="00A46087">
        <w:t xml:space="preserve"> aprovação do laudo pela assembleia de cotistas não é requerida quando se tratar do(s) ativo(s) que constitua(m) a destinação de recursos da primeira oferta pública de distribuição de cotas.</w:t>
      </w:r>
    </w:p>
    <w:p w14:paraId="25574475" w14:textId="77777777" w:rsidR="00AF795C" w:rsidRPr="00A46087" w:rsidRDefault="00AF795C" w:rsidP="00AF795C">
      <w:pPr>
        <w:pStyle w:val="NormaAlterada"/>
      </w:pPr>
      <w:r w:rsidRPr="00A46087">
        <w:t>§ 2</w:t>
      </w:r>
      <w:bookmarkStart w:id="734" w:name="_Int_83nR2PMB"/>
      <w:proofErr w:type="gramStart"/>
      <w:r w:rsidRPr="00A46087">
        <w:t>º  O</w:t>
      </w:r>
      <w:bookmarkEnd w:id="734"/>
      <w:proofErr w:type="gramEnd"/>
      <w:r w:rsidRPr="00A46087">
        <w:t xml:space="preserve"> administrador deve tomar todas as cautelas e agir com elevados padrões de diligência para assegurar que as informações constantes do laudo de avaliação sejam verdadeiras, consistentes, corretas e suficientes, respondendo pela omissão nesse seu dever.</w:t>
      </w:r>
    </w:p>
    <w:p w14:paraId="1FE9F095" w14:textId="77777777" w:rsidR="00AF795C" w:rsidRPr="00A46087" w:rsidRDefault="00AF795C" w:rsidP="00AF795C">
      <w:pPr>
        <w:pStyle w:val="NormaAlterada"/>
      </w:pPr>
      <w:r w:rsidRPr="00A46087">
        <w:t>§ 3</w:t>
      </w:r>
      <w:bookmarkStart w:id="735" w:name="_Int_tcI9l50Q"/>
      <w:proofErr w:type="gramStart"/>
      <w:r w:rsidRPr="00A46087">
        <w:t>º  A</w:t>
      </w:r>
      <w:bookmarkEnd w:id="735"/>
      <w:proofErr w:type="gramEnd"/>
      <w:r w:rsidRPr="00A46087">
        <w:t xml:space="preserve"> integralização em bens e direitos deve ocorrer no prazo estabelecido pelo regulamento ou no documento de aceitação da oferta, aplicando-se, em acréscimo ao art. 78 da parte geral da Resolução, </w:t>
      </w:r>
      <w:r w:rsidRPr="00A46087">
        <w:lastRenderedPageBreak/>
        <w:t xml:space="preserve">o art. 18 deste Anexo Normativo III e, no que couber, os </w:t>
      </w:r>
      <w:proofErr w:type="spellStart"/>
      <w:r w:rsidRPr="00A46087">
        <w:t>arts</w:t>
      </w:r>
      <w:proofErr w:type="spellEnd"/>
      <w:r w:rsidRPr="00A46087">
        <w:t xml:space="preserve">. 8º a 10, </w:t>
      </w:r>
      <w:r w:rsidRPr="00A46087">
        <w:rPr>
          <w:lang w:val="pt-PT"/>
        </w:rPr>
        <w:t xml:space="preserve">89 e 98, § 2º, </w:t>
      </w:r>
      <w:r w:rsidRPr="00A46087">
        <w:t>da Lei nº 6.404, de 1976.</w:t>
      </w:r>
    </w:p>
    <w:p w14:paraId="6CBF40D2" w14:textId="77777777" w:rsidR="00AF795C" w:rsidRPr="00A46087" w:rsidRDefault="00AF795C" w:rsidP="00AF795C">
      <w:pPr>
        <w:pStyle w:val="NormaAlterada"/>
      </w:pPr>
      <w:r w:rsidRPr="00A46087">
        <w:t>§ 4</w:t>
      </w:r>
      <w:bookmarkStart w:id="736" w:name="_Int_cPruOwYw"/>
      <w:proofErr w:type="gramStart"/>
      <w:r w:rsidRPr="00A46087">
        <w:t>º  O</w:t>
      </w:r>
      <w:bookmarkEnd w:id="736"/>
      <w:proofErr w:type="gramEnd"/>
      <w:r w:rsidRPr="00A46087">
        <w:t xml:space="preserve"> avaliador deve apresentar declaração de que não possui conflito de interesses que diminua a independência necessária ao desempenho de suas funções.</w:t>
      </w:r>
    </w:p>
    <w:p w14:paraId="00269714" w14:textId="77777777" w:rsidR="00AF795C" w:rsidRPr="00A46087" w:rsidRDefault="00AF795C" w:rsidP="00AF795C">
      <w:pPr>
        <w:pStyle w:val="NormaAlterada"/>
      </w:pPr>
      <w:r w:rsidRPr="00A46087">
        <w:t>§ 5</w:t>
      </w:r>
      <w:bookmarkStart w:id="737" w:name="_Int_OkSPGqrO"/>
      <w:proofErr w:type="gramStart"/>
      <w:r w:rsidRPr="00A46087">
        <w:t>º  As</w:t>
      </w:r>
      <w:bookmarkEnd w:id="737"/>
      <w:proofErr w:type="gramEnd"/>
      <w:r w:rsidRPr="00A46087">
        <w:t xml:space="preserve"> avaliações realizadas para fins deste artigo ou do art. 40, § 3º, deste Anexo Normativo III, devem observar, ainda, as regras contábeis que tratam da mensuração do valor justo dos bens e direitos avaliados.</w:t>
      </w:r>
    </w:p>
    <w:p w14:paraId="637E8533" w14:textId="77777777" w:rsidR="00AF795C" w:rsidRPr="00A46087" w:rsidRDefault="00AF795C" w:rsidP="00AF795C">
      <w:pPr>
        <w:pStyle w:val="NormaAlterada"/>
      </w:pPr>
      <w:r w:rsidRPr="00A46087">
        <w:t>Art. 10.  O regulamento pode autorizar a subscrição parcial de cotas das emissões, bem como o cancelamento do saldo não colocado, observadas as disposições da regulamentação específica que dispõe sobre as ofertas públicas de distribuição primária ou secundária de valores mobiliários.</w:t>
      </w:r>
    </w:p>
    <w:p w14:paraId="07C8D272" w14:textId="77777777" w:rsidR="00AF795C" w:rsidRPr="00A46087" w:rsidRDefault="00AF795C" w:rsidP="00AF795C">
      <w:pPr>
        <w:pStyle w:val="NormaAlterada"/>
      </w:pPr>
      <w:r w:rsidRPr="00A46087">
        <w:t>§ 1</w:t>
      </w:r>
      <w:bookmarkStart w:id="738" w:name="_Int_qPj5tTGy"/>
      <w:proofErr w:type="gramStart"/>
      <w:r w:rsidRPr="00A46087">
        <w:t>º  Na</w:t>
      </w:r>
      <w:bookmarkEnd w:id="738"/>
      <w:proofErr w:type="gramEnd"/>
      <w:r w:rsidRPr="00A46087">
        <w:t xml:space="preserve"> hipótese do </w:t>
      </w:r>
      <w:r w:rsidRPr="00A64232">
        <w:rPr>
          <w:b/>
        </w:rPr>
        <w:t>caput</w:t>
      </w:r>
      <w:r w:rsidRPr="00A46087">
        <w:t>, o ato que aprovar a emissão deve estipular um valor mínimo a ser subscrito que, uma vez não atingido, implica o cancelamento da oferta pública, observado que o valor mínimo não pode comprometer a execução da política de investimentos.</w:t>
      </w:r>
    </w:p>
    <w:p w14:paraId="3E3E03E8" w14:textId="77777777" w:rsidR="00AF795C" w:rsidRPr="00A46087" w:rsidRDefault="00AF795C" w:rsidP="00AF795C">
      <w:pPr>
        <w:pStyle w:val="NormaAlterada"/>
      </w:pPr>
      <w:r w:rsidRPr="00A46087">
        <w:t>§ 2</w:t>
      </w:r>
      <w:bookmarkStart w:id="739" w:name="_Int_sxabexol"/>
      <w:proofErr w:type="gramStart"/>
      <w:r w:rsidRPr="00A46087">
        <w:t>º  Caso</w:t>
      </w:r>
      <w:bookmarkEnd w:id="739"/>
      <w:proofErr w:type="gramEnd"/>
      <w:r w:rsidRPr="00A46087">
        <w:t xml:space="preserve"> o valor mínimo referido no § 1º não seja alcançado, o administrador deve, imediatamente, fazer o rateio entre os subscritores dos recursos financeiros recebidos, nas proporções das cotas integralizadas e acrescidos dos rendimentos líquidos porventura auferidos pelas aplicações da carteira.</w:t>
      </w:r>
    </w:p>
    <w:p w14:paraId="6C28A05D" w14:textId="77777777" w:rsidR="00AF795C" w:rsidRPr="00A46087" w:rsidRDefault="00AF795C" w:rsidP="00AF795C">
      <w:pPr>
        <w:pStyle w:val="Captulo"/>
      </w:pPr>
      <w:bookmarkStart w:id="740" w:name="_Toc161141325"/>
      <w:r w:rsidRPr="00A46087">
        <w:t>CAPÍTULO IV – REGULAMENTO</w:t>
      </w:r>
      <w:bookmarkEnd w:id="740"/>
    </w:p>
    <w:p w14:paraId="6D9CFBC1" w14:textId="77777777" w:rsidR="00AF795C" w:rsidRPr="00A46087" w:rsidRDefault="00AF795C" w:rsidP="00AF795C">
      <w:pPr>
        <w:pStyle w:val="NormaAlterada"/>
      </w:pPr>
      <w:r w:rsidRPr="00A46087">
        <w:t xml:space="preserve">Art. 11.  Em acréscimo às matérias previstas no art. 48 da parte geral da Resolução, o regulamento deve dispor sobre: </w:t>
      </w:r>
    </w:p>
    <w:p w14:paraId="3A731193" w14:textId="77777777" w:rsidR="00AF795C" w:rsidRPr="00A46087" w:rsidRDefault="00AF795C" w:rsidP="00AF795C">
      <w:pPr>
        <w:pStyle w:val="NormaAlterada"/>
      </w:pPr>
      <w:r w:rsidRPr="00A46087">
        <w:t xml:space="preserve">I – </w:t>
      </w:r>
      <w:bookmarkStart w:id="741" w:name="_Int_7yjOCoKO"/>
      <w:proofErr w:type="gramStart"/>
      <w:r w:rsidRPr="00A46087">
        <w:t>o</w:t>
      </w:r>
      <w:bookmarkEnd w:id="741"/>
      <w:proofErr w:type="gramEnd"/>
      <w:r w:rsidRPr="00A46087">
        <w:t xml:space="preserve"> objeto da classe de cotas, definindo, com clareza, os segmentos em que atuará, se for o caso, assim como a natureza dos investimentos que poderão ser realizados, nos termos do art. 40 deste Anexo Normativo III;</w:t>
      </w:r>
    </w:p>
    <w:p w14:paraId="6B7614FC" w14:textId="77777777" w:rsidR="00AF795C" w:rsidRPr="007C33EA" w:rsidRDefault="00AF795C" w:rsidP="007C33EA">
      <w:pPr>
        <w:pStyle w:val="NormaAlterada"/>
      </w:pPr>
      <w:r w:rsidRPr="007C33EA">
        <w:t xml:space="preserve">II – </w:t>
      </w:r>
      <w:bookmarkStart w:id="742" w:name="_Int_vxcKm5Wy"/>
      <w:proofErr w:type="gramStart"/>
      <w:r w:rsidRPr="007C33EA">
        <w:t>a</w:t>
      </w:r>
      <w:bookmarkEnd w:id="742"/>
      <w:proofErr w:type="gramEnd"/>
      <w:r w:rsidRPr="007C33EA">
        <w:t xml:space="preserve"> política de investimento, contendo, no mínimo:</w:t>
      </w:r>
    </w:p>
    <w:p w14:paraId="2C0FE68F" w14:textId="77777777" w:rsidR="00AF795C" w:rsidRPr="00A46087" w:rsidRDefault="00AF795C" w:rsidP="00AF795C">
      <w:pPr>
        <w:pStyle w:val="NormaAlterada"/>
      </w:pPr>
      <w:r w:rsidRPr="00A46087">
        <w:t>a) a descrição do objetivo fundamental dos investimentos a serem realizados (ganho de capital, obtenção de renda ou outros, que podem ser combinados), identificando os aspectos que somente poderão ser alterados com prévia anuência dos cotistas;</w:t>
      </w:r>
    </w:p>
    <w:p w14:paraId="790CBBB6" w14:textId="77777777" w:rsidR="00AF795C" w:rsidRPr="00A46087" w:rsidRDefault="00AF795C" w:rsidP="00AF795C">
      <w:pPr>
        <w:pStyle w:val="NormaAlterada"/>
      </w:pPr>
      <w:r w:rsidRPr="00A46087">
        <w:lastRenderedPageBreak/>
        <w:t>b) a especificação do grau de liberdade que o administrador ou gestor possuem no cumprimento da política de investimento, indicando a natureza das operações que ficam autorizados a realizar independentemente de prévia autorização dos cotistas;</w:t>
      </w:r>
    </w:p>
    <w:p w14:paraId="788A250F" w14:textId="77777777" w:rsidR="00AF795C" w:rsidRPr="00A46087" w:rsidRDefault="00AF795C" w:rsidP="00AF795C">
      <w:pPr>
        <w:pStyle w:val="NormaAlterada"/>
      </w:pPr>
      <w:r w:rsidRPr="00A46087">
        <w:t xml:space="preserve">c) os ativos que podem compor o patrimônio e os requisitos de diversificação de investimentos; </w:t>
      </w:r>
    </w:p>
    <w:p w14:paraId="66BC98AC" w14:textId="77777777" w:rsidR="00AF795C" w:rsidRPr="00A46087" w:rsidRDefault="00AF795C" w:rsidP="00AF795C">
      <w:pPr>
        <w:pStyle w:val="NormaAlterada"/>
      </w:pPr>
      <w:r w:rsidRPr="00A46087">
        <w:t xml:space="preserve">d) a possibilidade de realizar operações com derivativos para fins de proteção patrimonial, cuja exposição seja sempre, no máximo, o valor do patrimônio líquido; </w:t>
      </w:r>
    </w:p>
    <w:p w14:paraId="6C39F1CC" w14:textId="77777777" w:rsidR="00AF795C" w:rsidRPr="00A46087" w:rsidRDefault="00AF795C" w:rsidP="00AF795C">
      <w:pPr>
        <w:pStyle w:val="NormaAlterada"/>
      </w:pPr>
      <w:r w:rsidRPr="00A46087">
        <w:t>e) a possibilidade de aquisição de imóveis gravados com ônus reais; e</w:t>
      </w:r>
    </w:p>
    <w:p w14:paraId="05FE0DDB" w14:textId="77777777" w:rsidR="00AF795C" w:rsidRPr="00A46087" w:rsidRDefault="00AF795C" w:rsidP="00AF795C">
      <w:pPr>
        <w:pStyle w:val="NormaAlterada"/>
      </w:pPr>
      <w:r w:rsidRPr="00A46087">
        <w:t>f) localização geográfica das áreas em que a classe de cotas pode adquirir imóveis ou direitos a eles relacionados, se for o caso;</w:t>
      </w:r>
    </w:p>
    <w:p w14:paraId="7E665003" w14:textId="77777777" w:rsidR="00AF795C" w:rsidRPr="00A46087" w:rsidRDefault="00AF795C" w:rsidP="00AF795C">
      <w:pPr>
        <w:pStyle w:val="NormaAlterada"/>
      </w:pPr>
      <w:r w:rsidRPr="00A46087">
        <w:t>III – taxa de performance, se for o caso;</w:t>
      </w:r>
    </w:p>
    <w:p w14:paraId="361891E7" w14:textId="77777777" w:rsidR="00AF795C" w:rsidRDefault="00AF795C" w:rsidP="00AF795C">
      <w:pPr>
        <w:pStyle w:val="NormaAlterada"/>
        <w:rPr>
          <w:strike/>
        </w:rPr>
      </w:pPr>
      <w:r w:rsidRPr="008205C5">
        <w:rPr>
          <w:strike/>
        </w:rPr>
        <w:t xml:space="preserve">IV – </w:t>
      </w:r>
      <w:bookmarkStart w:id="743" w:name="_Int_Whw2zlVv"/>
      <w:proofErr w:type="gramStart"/>
      <w:r w:rsidRPr="008205C5">
        <w:rPr>
          <w:strike/>
        </w:rPr>
        <w:t>número</w:t>
      </w:r>
      <w:bookmarkEnd w:id="743"/>
      <w:proofErr w:type="gramEnd"/>
      <w:r w:rsidRPr="008205C5">
        <w:rPr>
          <w:strike/>
        </w:rPr>
        <w:t xml:space="preserve"> de cotas a serem emitidas para a constituição do patrimônio inicial e sua divisão em séries, se for o caso;</w:t>
      </w:r>
    </w:p>
    <w:p w14:paraId="6B63A88C" w14:textId="77777777" w:rsidR="008205C5" w:rsidRPr="0097459F" w:rsidRDefault="008205C5" w:rsidP="008205C5">
      <w:pPr>
        <w:pStyle w:val="NormaAlterada"/>
      </w:pPr>
      <w:r>
        <w:t xml:space="preserve">IV – </w:t>
      </w:r>
      <w:proofErr w:type="gramStart"/>
      <w:r w:rsidRPr="00A46087">
        <w:t>número</w:t>
      </w:r>
      <w:proofErr w:type="gramEnd"/>
      <w:r w:rsidRPr="00A46087">
        <w:t xml:space="preserve"> de cotas a serem emitidas para a constituição do patrimônio inicial e sua divisão em </w:t>
      </w:r>
      <w:r>
        <w:t>subclasses</w:t>
      </w:r>
      <w:r w:rsidRPr="00A46087">
        <w:t>, se for o caso;</w:t>
      </w:r>
    </w:p>
    <w:p w14:paraId="3D11B543" w14:textId="2BB10124" w:rsidR="008205C5" w:rsidRPr="008205C5" w:rsidRDefault="008205C5" w:rsidP="008205C5">
      <w:pPr>
        <w:pStyle w:val="Normalalteradora"/>
        <w:numPr>
          <w:ilvl w:val="0"/>
          <w:numId w:val="40"/>
        </w:numPr>
        <w:ind w:left="709" w:hanging="142"/>
        <w:rPr>
          <w:strike/>
        </w:rPr>
      </w:pPr>
      <w:r>
        <w:rPr>
          <w:rFonts w:cstheme="minorHAnsi"/>
          <w:b/>
          <w:i/>
          <w:iCs/>
        </w:rPr>
        <w:t xml:space="preserve"> Inciso IV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67A22CD9" w14:textId="77777777" w:rsidR="00AF795C" w:rsidRPr="00A46087" w:rsidRDefault="00AF795C" w:rsidP="00AF795C">
      <w:pPr>
        <w:pStyle w:val="NormaAlterada"/>
      </w:pPr>
      <w:r w:rsidRPr="00A46087">
        <w:t xml:space="preserve">V </w:t>
      </w:r>
      <w:bookmarkStart w:id="744" w:name="_Int_d5PK247R"/>
      <w:proofErr w:type="gramStart"/>
      <w:r w:rsidRPr="00A46087">
        <w:t>–  critérios</w:t>
      </w:r>
      <w:bookmarkEnd w:id="744"/>
      <w:proofErr w:type="gramEnd"/>
      <w:r w:rsidRPr="00A46087">
        <w:t xml:space="preserve"> para a subscrição de cotas por um mesmo investidor;</w:t>
      </w:r>
    </w:p>
    <w:p w14:paraId="539F6A2E" w14:textId="77777777" w:rsidR="00AF795C" w:rsidRPr="00A46087" w:rsidRDefault="00AF795C" w:rsidP="00AF795C">
      <w:pPr>
        <w:pStyle w:val="NormaAlterada"/>
      </w:pPr>
      <w:r w:rsidRPr="00A46087">
        <w:t xml:space="preserve">VI – </w:t>
      </w:r>
      <w:bookmarkStart w:id="745" w:name="_Int_KXlwoMto"/>
      <w:proofErr w:type="gramStart"/>
      <w:r w:rsidRPr="00A46087">
        <w:t>política</w:t>
      </w:r>
      <w:bookmarkEnd w:id="745"/>
      <w:proofErr w:type="gramEnd"/>
      <w:r w:rsidRPr="00A46087">
        <w:t xml:space="preserve"> de distribuição de rendimentos e resultados;</w:t>
      </w:r>
    </w:p>
    <w:p w14:paraId="25B94F63" w14:textId="77777777" w:rsidR="00AF795C" w:rsidRPr="00A46087" w:rsidRDefault="00AF795C" w:rsidP="00AF795C">
      <w:pPr>
        <w:pStyle w:val="NormaAlterada"/>
      </w:pPr>
      <w:r w:rsidRPr="00A46087">
        <w:t>VII – obrigações e responsabilidades do administrador, sem prejuízo daquelas prevista</w:t>
      </w:r>
      <w:r>
        <w:t>s</w:t>
      </w:r>
      <w:r w:rsidRPr="00A46087">
        <w:t xml:space="preserve"> na regulamentação, bem como seus deveres na qualidade de proprietário fiduciário dos imóveis e direitos integrantes da carteira de ativos;</w:t>
      </w:r>
    </w:p>
    <w:p w14:paraId="5127594A" w14:textId="77777777" w:rsidR="00AF795C" w:rsidRPr="00A46087" w:rsidRDefault="00AF795C" w:rsidP="00AF795C">
      <w:pPr>
        <w:pStyle w:val="NormaAlterada"/>
      </w:pPr>
      <w:r w:rsidRPr="00A46087">
        <w:t>VIII – modo de convocação, competência, quórum de instalação e de deliberação da assembleia de cotistas, assim como as formas de representação dos cotistas;</w:t>
      </w:r>
    </w:p>
    <w:p w14:paraId="6D993AEE" w14:textId="77777777" w:rsidR="00AF795C" w:rsidRPr="00A46087" w:rsidRDefault="00AF795C" w:rsidP="00AF795C">
      <w:pPr>
        <w:pStyle w:val="NormaAlterada"/>
      </w:pPr>
      <w:r w:rsidRPr="00A46087">
        <w:t xml:space="preserve">IX – </w:t>
      </w:r>
      <w:bookmarkStart w:id="746" w:name="_Int_wpZteJpH"/>
      <w:proofErr w:type="gramStart"/>
      <w:r w:rsidRPr="00A46087">
        <w:t>percentual</w:t>
      </w:r>
      <w:bookmarkEnd w:id="746"/>
      <w:proofErr w:type="gramEnd"/>
      <w:r w:rsidRPr="00A46087">
        <w:t xml:space="preserve"> máximo de cotas que o incorporador, construtor e sócios de um determinado empreendimento que componha o patrimônio da classe de cotas poderão, isoladamente ou em conjunto com pessoas a ele ligadas, subscrever ou adquirir no mercado, indicando inclusive as consequências tributárias; </w:t>
      </w:r>
    </w:p>
    <w:p w14:paraId="2A76AE81" w14:textId="77777777" w:rsidR="00AF795C" w:rsidRPr="00A46087" w:rsidRDefault="00AF795C" w:rsidP="00AF795C">
      <w:pPr>
        <w:pStyle w:val="NormaAlterada"/>
      </w:pPr>
      <w:r w:rsidRPr="00A46087">
        <w:lastRenderedPageBreak/>
        <w:t xml:space="preserve">X – </w:t>
      </w:r>
      <w:bookmarkStart w:id="747" w:name="_Int_E7fdMvIz"/>
      <w:proofErr w:type="gramStart"/>
      <w:r w:rsidRPr="00A46087">
        <w:t>prazo</w:t>
      </w:r>
      <w:bookmarkEnd w:id="747"/>
      <w:proofErr w:type="gramEnd"/>
      <w:r w:rsidRPr="00A46087">
        <w:t xml:space="preserve"> máximo para a integralização ao patrimônio de bens e direitos oriundos de subscrição de cotas, se for o caso;</w:t>
      </w:r>
    </w:p>
    <w:p w14:paraId="26115006" w14:textId="77777777" w:rsidR="00AF795C" w:rsidRPr="00A46087" w:rsidRDefault="00AF795C" w:rsidP="00AF795C">
      <w:pPr>
        <w:pStyle w:val="NormaAlterada"/>
      </w:pPr>
      <w:r w:rsidRPr="00A46087">
        <w:t xml:space="preserve">XI – descrição das medidas que poderão ser adotadas pelo administrador para evitar alterações no tratamento tributário conferido ao fundo ou aos seus cotistas; </w:t>
      </w:r>
    </w:p>
    <w:p w14:paraId="0137C2C3" w14:textId="77777777" w:rsidR="00AF795C" w:rsidRPr="00A46087" w:rsidRDefault="00AF795C" w:rsidP="00AF795C">
      <w:pPr>
        <w:pStyle w:val="NormaAlterada"/>
      </w:pPr>
      <w:r w:rsidRPr="00A46087">
        <w:t>XII – a contratação de formador de mercado para as cotas, se for o caso; e</w:t>
      </w:r>
    </w:p>
    <w:p w14:paraId="53375861" w14:textId="77777777" w:rsidR="00AF795C" w:rsidRPr="00A46087" w:rsidRDefault="00AF795C" w:rsidP="00AF795C">
      <w:pPr>
        <w:pStyle w:val="NormaAlterada"/>
      </w:pPr>
      <w:r w:rsidRPr="00A46087">
        <w:t>XIII – número máximo de representantes de cotistas a serem eleitos pela assembleia de cotistas e respectivo prazo de mandato, o qual não pode ser inferior a 1 (um) ano, ressalvado o disposto no § 2º do art. 20 deste Anexo Normativo III.</w:t>
      </w:r>
    </w:p>
    <w:p w14:paraId="0D465B28" w14:textId="77777777" w:rsidR="00AF795C" w:rsidRPr="00A46087" w:rsidRDefault="00AF795C" w:rsidP="00AF795C">
      <w:pPr>
        <w:pStyle w:val="NormaAlterada"/>
      </w:pPr>
      <w:r w:rsidRPr="00A46087">
        <w:t>§ 1</w:t>
      </w:r>
      <w:bookmarkStart w:id="748" w:name="_Int_IUr6vYWI"/>
      <w:proofErr w:type="gramStart"/>
      <w:r w:rsidRPr="00A46087">
        <w:t>º  O</w:t>
      </w:r>
      <w:bookmarkEnd w:id="748"/>
      <w:proofErr w:type="gramEnd"/>
      <w:r w:rsidRPr="00A46087">
        <w:t xml:space="preserve"> regulamento pode estabelecer uma taxa de ingresso, nos termos do art. 48, § 2º, inciso XII, da parte geral da Resolução, mas não pode prever a existência de taxa de saída.</w:t>
      </w:r>
    </w:p>
    <w:p w14:paraId="5F23CB45" w14:textId="77777777" w:rsidR="00AF795C" w:rsidRPr="00A46087" w:rsidRDefault="00AF795C" w:rsidP="00AF795C">
      <w:pPr>
        <w:pStyle w:val="NormaAlterada"/>
      </w:pPr>
      <w:r w:rsidRPr="00A46087">
        <w:t>§ 2</w:t>
      </w:r>
      <w:bookmarkStart w:id="749" w:name="_Int_otQpZqVl"/>
      <w:proofErr w:type="gramStart"/>
      <w:r w:rsidRPr="00A46087">
        <w:t>º  Caso</w:t>
      </w:r>
      <w:bookmarkEnd w:id="749"/>
      <w:proofErr w:type="gramEnd"/>
      <w:r w:rsidRPr="00A46087">
        <w:t xml:space="preserve"> a classe de cotas seja destinada ao público em geral, o regulamento não pode conter disposições que:</w:t>
      </w:r>
    </w:p>
    <w:p w14:paraId="7B3A09AD" w14:textId="77777777" w:rsidR="00AF795C" w:rsidRPr="00A46087" w:rsidRDefault="00AF795C" w:rsidP="00AF795C">
      <w:pPr>
        <w:pStyle w:val="NormaAlterada"/>
      </w:pPr>
      <w:r w:rsidRPr="00A46087">
        <w:t xml:space="preserve">I – </w:t>
      </w:r>
      <w:bookmarkStart w:id="750" w:name="_Int_5prsGg1H"/>
      <w:proofErr w:type="gramStart"/>
      <w:r w:rsidRPr="00A46087">
        <w:t>limitem</w:t>
      </w:r>
      <w:bookmarkEnd w:id="750"/>
      <w:proofErr w:type="gramEnd"/>
      <w:r w:rsidRPr="00A46087">
        <w:t xml:space="preserve"> o número de votos por cotista em percentuais inferiores a 10% (dez por cento) do total de cotas emitidas; e</w:t>
      </w:r>
    </w:p>
    <w:p w14:paraId="7C923C76" w14:textId="77777777" w:rsidR="00AF795C" w:rsidRPr="00A46087" w:rsidRDefault="00AF795C" w:rsidP="00AF795C">
      <w:pPr>
        <w:pStyle w:val="NormaAlterada"/>
      </w:pPr>
      <w:r w:rsidRPr="00A46087">
        <w:t xml:space="preserve">II – </w:t>
      </w:r>
      <w:bookmarkStart w:id="751" w:name="_Int_7aknoVnM"/>
      <w:proofErr w:type="gramStart"/>
      <w:r w:rsidRPr="00A46087">
        <w:t>estabeleçam</w:t>
      </w:r>
      <w:bookmarkEnd w:id="751"/>
      <w:proofErr w:type="gramEnd"/>
      <w:r w:rsidRPr="00A46087">
        <w:t xml:space="preserve"> diferentes limites de exercício do direito de voto para diferentes cotistas.</w:t>
      </w:r>
    </w:p>
    <w:p w14:paraId="11267C92" w14:textId="77777777" w:rsidR="00AF795C" w:rsidRPr="00A46087" w:rsidRDefault="00AF795C" w:rsidP="00AF795C">
      <w:pPr>
        <w:pStyle w:val="Captulo"/>
      </w:pPr>
      <w:bookmarkStart w:id="752" w:name="_Toc161141326"/>
      <w:r w:rsidRPr="00A46087">
        <w:t>CAPÍTULO V – ASSEMBLEIA DE COTISTAS</w:t>
      </w:r>
      <w:bookmarkEnd w:id="752"/>
    </w:p>
    <w:p w14:paraId="0C85B0B4" w14:textId="77777777" w:rsidR="00AF795C" w:rsidRPr="00A46087" w:rsidRDefault="00AF795C" w:rsidP="00AF795C">
      <w:pPr>
        <w:pStyle w:val="Seo"/>
        <w:rPr>
          <w:bCs/>
        </w:rPr>
      </w:pPr>
      <w:bookmarkStart w:id="753" w:name="_Toc161141327"/>
      <w:r w:rsidRPr="00A46087">
        <w:t>Seção I – Competência</w:t>
      </w:r>
      <w:bookmarkEnd w:id="753"/>
    </w:p>
    <w:p w14:paraId="7FD89DB0" w14:textId="77777777" w:rsidR="00AF795C" w:rsidRPr="00A46087" w:rsidRDefault="00AF795C" w:rsidP="00AF795C">
      <w:pPr>
        <w:pStyle w:val="NormaAlterada"/>
      </w:pPr>
      <w:r w:rsidRPr="00A46087">
        <w:t>Art. 12.  Em acréscimo às matérias previstas no art. 70 da parte geral da Resolução, compete privativamente à assembleia de cotistas deliberar sobre:</w:t>
      </w:r>
    </w:p>
    <w:p w14:paraId="342660E6" w14:textId="77777777" w:rsidR="00AF795C" w:rsidRPr="00A46087" w:rsidRDefault="00AF795C" w:rsidP="00AF795C">
      <w:pPr>
        <w:pStyle w:val="NormaAlterada"/>
      </w:pPr>
      <w:r w:rsidRPr="00A46087">
        <w:t xml:space="preserve">I – </w:t>
      </w:r>
      <w:bookmarkStart w:id="754" w:name="_Int_PpktcEHw"/>
      <w:proofErr w:type="gramStart"/>
      <w:r w:rsidRPr="00A46087">
        <w:t>salvo</w:t>
      </w:r>
      <w:bookmarkEnd w:id="754"/>
      <w:proofErr w:type="gramEnd"/>
      <w:r w:rsidRPr="00A46087">
        <w:t xml:space="preserve"> quando diversamente previsto em regulamento, a alteração do mercado em que as cotas são admitidas à negociação;</w:t>
      </w:r>
    </w:p>
    <w:p w14:paraId="3F602A0D" w14:textId="77777777" w:rsidR="00AF795C" w:rsidRPr="00A46087" w:rsidRDefault="00AF795C" w:rsidP="00AF795C">
      <w:pPr>
        <w:pStyle w:val="NormaAlterada"/>
      </w:pPr>
      <w:r w:rsidRPr="00A46087">
        <w:t xml:space="preserve">II – </w:t>
      </w:r>
      <w:bookmarkStart w:id="755" w:name="_Int_YFuzmnNw"/>
      <w:proofErr w:type="gramStart"/>
      <w:r w:rsidRPr="00A46087">
        <w:t>apreciação</w:t>
      </w:r>
      <w:bookmarkEnd w:id="755"/>
      <w:proofErr w:type="gramEnd"/>
      <w:r w:rsidRPr="00A46087">
        <w:t xml:space="preserve"> do laudo de avaliação de bens e direitos utilizados na integralização de cotas;</w:t>
      </w:r>
    </w:p>
    <w:p w14:paraId="673A0E09" w14:textId="77777777" w:rsidR="00AF795C" w:rsidRPr="00A46087" w:rsidRDefault="00AF795C" w:rsidP="00AF795C">
      <w:pPr>
        <w:pStyle w:val="NormaAlterada"/>
      </w:pPr>
      <w:r w:rsidRPr="00A46087">
        <w:t>III – eleição e destituição de representante dos cotistas de que trata o art. 20 deste Anexo Normativo III</w:t>
      </w:r>
      <w:r>
        <w:t>,</w:t>
      </w:r>
      <w:r w:rsidRPr="00A46087">
        <w:t xml:space="preserve"> fixação de sua remuneração, se houver</w:t>
      </w:r>
      <w:r>
        <w:t>,</w:t>
      </w:r>
      <w:r w:rsidRPr="00A46087">
        <w:t xml:space="preserve"> e aprovação do valor máximo das despesas que poderão ser incorridas no exercício de sua atividade;</w:t>
      </w:r>
    </w:p>
    <w:p w14:paraId="39395CE4" w14:textId="77777777" w:rsidR="00AF795C" w:rsidRPr="00A46087" w:rsidRDefault="00AF795C" w:rsidP="00AF795C">
      <w:pPr>
        <w:pStyle w:val="NormaAlterada"/>
      </w:pPr>
      <w:r w:rsidRPr="00A46087">
        <w:lastRenderedPageBreak/>
        <w:t xml:space="preserve">IV – </w:t>
      </w:r>
      <w:bookmarkStart w:id="756" w:name="_Int_8MBTKPT2"/>
      <w:proofErr w:type="gramStart"/>
      <w:r w:rsidRPr="00A46087">
        <w:t>aprovação</w:t>
      </w:r>
      <w:bookmarkEnd w:id="756"/>
      <w:proofErr w:type="gramEnd"/>
      <w:r w:rsidRPr="00A46087">
        <w:t xml:space="preserve"> dos atos que configurem potencial conflito de interesses, nos termos do § 1º do art. 27, do art. 31 e do inciso I</w:t>
      </w:r>
      <w:r>
        <w:t>V</w:t>
      </w:r>
      <w:r w:rsidRPr="00A46087">
        <w:t xml:space="preserve"> do art. 32, todos deste Anexo Normativo III; e</w:t>
      </w:r>
    </w:p>
    <w:p w14:paraId="68AD66B3" w14:textId="77777777" w:rsidR="00AF795C" w:rsidRPr="00A46087" w:rsidRDefault="00AF795C" w:rsidP="00AF795C">
      <w:pPr>
        <w:pStyle w:val="NormaAlterada"/>
      </w:pPr>
      <w:r w:rsidRPr="00A46087">
        <w:t xml:space="preserve">V – </w:t>
      </w:r>
      <w:bookmarkStart w:id="757" w:name="_Int_KA7TFFG7"/>
      <w:proofErr w:type="gramStart"/>
      <w:r w:rsidRPr="00A46087">
        <w:t>alteração</w:t>
      </w:r>
      <w:bookmarkEnd w:id="757"/>
      <w:proofErr w:type="gramEnd"/>
      <w:r w:rsidRPr="00A46087">
        <w:t xml:space="preserve"> de qualquer matéria relacionada à taxa de administração e, caso o fundo conte com um gestor na qualidade de prestador de serviços essenciais, à taxa de gestão.</w:t>
      </w:r>
    </w:p>
    <w:p w14:paraId="5F49D2FE" w14:textId="77777777" w:rsidR="00AF795C" w:rsidRPr="00A46087" w:rsidRDefault="00AF795C" w:rsidP="00AF795C">
      <w:pPr>
        <w:pStyle w:val="Seo"/>
      </w:pPr>
      <w:bookmarkStart w:id="758" w:name="_Toc161141328"/>
      <w:r w:rsidRPr="00A46087">
        <w:t>Seção II – Convocação e Instalação</w:t>
      </w:r>
      <w:bookmarkEnd w:id="758"/>
    </w:p>
    <w:p w14:paraId="2E303EAE" w14:textId="77777777" w:rsidR="00AF795C" w:rsidRPr="00A46087" w:rsidRDefault="00AF795C" w:rsidP="00AF795C">
      <w:pPr>
        <w:pStyle w:val="NormaAlterada"/>
      </w:pPr>
      <w:r w:rsidRPr="00A46087">
        <w:t>Art. 13.  Compete ao administrador convocar a assembleia de cotistas.</w:t>
      </w:r>
    </w:p>
    <w:p w14:paraId="0BE15BFA" w14:textId="77777777" w:rsidR="00AF795C" w:rsidRPr="00A46087" w:rsidRDefault="00AF795C" w:rsidP="00AF795C">
      <w:pPr>
        <w:pStyle w:val="NormaAlterada"/>
      </w:pPr>
      <w:r w:rsidRPr="00A46087">
        <w:t>§ 1</w:t>
      </w:r>
      <w:bookmarkStart w:id="759" w:name="_Int_GPDLvnut"/>
      <w:proofErr w:type="gramStart"/>
      <w:r w:rsidRPr="00A46087">
        <w:t>º  A</w:t>
      </w:r>
      <w:bookmarkEnd w:id="759"/>
      <w:proofErr w:type="gramEnd"/>
      <w:r w:rsidRPr="00A46087">
        <w:t xml:space="preserve"> assembleia de cotistas também pode ser convocada diretamente por cotistas que detenham, no mínimo, 5% (cinco por cento) das cotas emitidas pela classe ou pelo representante dos cotistas, observados os requisitos estabelecidos no regulamento.</w:t>
      </w:r>
    </w:p>
    <w:p w14:paraId="5F92333A" w14:textId="77777777" w:rsidR="00AF795C" w:rsidRPr="00A46087" w:rsidRDefault="00AF795C" w:rsidP="00AF795C">
      <w:pPr>
        <w:pStyle w:val="NormaAlterada"/>
      </w:pPr>
      <w:r w:rsidRPr="00A46087">
        <w:t>§ 2</w:t>
      </w:r>
      <w:bookmarkStart w:id="760" w:name="_Int_tSQbAmUv"/>
      <w:proofErr w:type="gramStart"/>
      <w:r w:rsidRPr="00A46087">
        <w:t>º  A</w:t>
      </w:r>
      <w:bookmarkEnd w:id="760"/>
      <w:proofErr w:type="gramEnd"/>
      <w:r w:rsidRPr="00A46087">
        <w:t xml:space="preserve"> primeira convocação das assembleias de cotistas deve ocorrer:</w:t>
      </w:r>
    </w:p>
    <w:p w14:paraId="06C414C3" w14:textId="77777777" w:rsidR="00AF795C" w:rsidRPr="00A46087" w:rsidRDefault="00AF795C" w:rsidP="00AF795C">
      <w:pPr>
        <w:pStyle w:val="NormaAlterada"/>
      </w:pPr>
      <w:r w:rsidRPr="00A46087">
        <w:t xml:space="preserve">I – </w:t>
      </w:r>
      <w:bookmarkStart w:id="761" w:name="_Int_ugovGIug"/>
      <w:proofErr w:type="gramStart"/>
      <w:r w:rsidRPr="00A46087">
        <w:t>com</w:t>
      </w:r>
      <w:bookmarkEnd w:id="761"/>
      <w:proofErr w:type="gramEnd"/>
      <w:r w:rsidRPr="00A46087">
        <w:t>, no mínimo, 30 (trinta) dias de antecedência, no caso das assembleias ordinárias; e</w:t>
      </w:r>
    </w:p>
    <w:p w14:paraId="2B5D2467" w14:textId="77777777" w:rsidR="00AF795C" w:rsidRPr="00A46087" w:rsidRDefault="00AF795C" w:rsidP="00AF795C">
      <w:pPr>
        <w:pStyle w:val="NormaAlterada"/>
      </w:pPr>
      <w:r w:rsidRPr="00A46087">
        <w:t xml:space="preserve">II – </w:t>
      </w:r>
      <w:bookmarkStart w:id="762" w:name="_Int_AmOVSPMP"/>
      <w:proofErr w:type="gramStart"/>
      <w:r w:rsidRPr="00A46087">
        <w:t>com</w:t>
      </w:r>
      <w:bookmarkEnd w:id="762"/>
      <w:proofErr w:type="gramEnd"/>
      <w:r w:rsidRPr="00A46087">
        <w:t xml:space="preserve">, no mínimo, 15 (quinze) dias de antecedência, no caso das assembleias extraordinárias. </w:t>
      </w:r>
    </w:p>
    <w:p w14:paraId="2F4A59A9" w14:textId="77777777" w:rsidR="00AF795C" w:rsidRPr="00A46087" w:rsidRDefault="00AF795C" w:rsidP="00AF795C">
      <w:pPr>
        <w:pStyle w:val="NormaAlterada"/>
      </w:pPr>
      <w:r w:rsidRPr="00A46087">
        <w:t>§ 3</w:t>
      </w:r>
      <w:proofErr w:type="gramStart"/>
      <w:r w:rsidRPr="00A46087">
        <w:t>º  Por</w:t>
      </w:r>
      <w:proofErr w:type="gramEnd"/>
      <w:r w:rsidRPr="00A46087">
        <w:t xml:space="preserve"> ocasião da assembleia ordinária, os titulares de, no mínimo, 3% (três por cento) das cotas emitidas ou o representante dos cotistas podem solicitar, por meio de requerimento escrito encaminhado ao administrador, a inclusão de matérias na ordem do dia da assembleia, que passa a ser ordinária e extraordinária.</w:t>
      </w:r>
    </w:p>
    <w:p w14:paraId="525E84DB" w14:textId="77777777" w:rsidR="00AF795C" w:rsidRPr="00A46087" w:rsidRDefault="00AF795C" w:rsidP="00AF795C">
      <w:pPr>
        <w:pStyle w:val="NormaAlterada"/>
      </w:pPr>
      <w:r w:rsidRPr="00A46087">
        <w:t>§ 4</w:t>
      </w:r>
      <w:bookmarkStart w:id="763" w:name="_Int_2L3H0N2V"/>
      <w:proofErr w:type="gramStart"/>
      <w:r w:rsidRPr="00A46087">
        <w:t>º  O</w:t>
      </w:r>
      <w:bookmarkEnd w:id="763"/>
      <w:proofErr w:type="gramEnd"/>
      <w:r w:rsidRPr="00A46087">
        <w:t xml:space="preserve"> pedido de que trata o § 3º deve vir acompanhado de eventuais documentos necessários ao exercício do direito de voto, inclusive aqueles referidos no § 2º do art. 14 deste Anexo Normativo III, e deve ser encaminhado em até 10 (dez) dias contados da data de convocação da assembleia ordinária. </w:t>
      </w:r>
    </w:p>
    <w:p w14:paraId="0F1BA4F2" w14:textId="77777777" w:rsidR="00AF795C" w:rsidRPr="00A46087" w:rsidRDefault="00AF795C" w:rsidP="00AF795C">
      <w:pPr>
        <w:pStyle w:val="NormaAlterada"/>
      </w:pPr>
      <w:r w:rsidRPr="00A46087">
        <w:t>§ 5</w:t>
      </w:r>
      <w:bookmarkStart w:id="764" w:name="_Int_9MNnzolE"/>
      <w:proofErr w:type="gramStart"/>
      <w:r w:rsidRPr="00A46087">
        <w:t>º  O</w:t>
      </w:r>
      <w:bookmarkEnd w:id="764"/>
      <w:proofErr w:type="gramEnd"/>
      <w:r w:rsidRPr="00A46087">
        <w:t xml:space="preserve"> percentual de que trata o § 3º deve ser calculado com base nas participações constantes do registro de cotistas na data de convocação da assembleia.</w:t>
      </w:r>
    </w:p>
    <w:p w14:paraId="32939428" w14:textId="77777777" w:rsidR="00AF795C" w:rsidRPr="00A46087" w:rsidRDefault="00AF795C" w:rsidP="00AF795C">
      <w:pPr>
        <w:pStyle w:val="NormaAlterada"/>
      </w:pPr>
      <w:r w:rsidRPr="00A46087">
        <w:t>Art. 14.  O administrador deve disponibilizar, na mesma data da convocação, todas as informações e documentos necessários ao exercício informado do direito de voto em assembleias:</w:t>
      </w:r>
    </w:p>
    <w:p w14:paraId="62A79DDE" w14:textId="77777777" w:rsidR="00AF795C" w:rsidRPr="00A46087" w:rsidRDefault="00AF795C" w:rsidP="00AF795C">
      <w:pPr>
        <w:pStyle w:val="NormaAlterada"/>
      </w:pPr>
      <w:r w:rsidRPr="00A46087">
        <w:t xml:space="preserve">I – </w:t>
      </w:r>
      <w:bookmarkStart w:id="765" w:name="_Int_y5EiLSmO"/>
      <w:proofErr w:type="gramStart"/>
      <w:r w:rsidRPr="00A46087">
        <w:t>em</w:t>
      </w:r>
      <w:bookmarkEnd w:id="765"/>
      <w:proofErr w:type="gramEnd"/>
      <w:r w:rsidRPr="00A46087">
        <w:t xml:space="preserve"> sua página na rede mundial de computadores;</w:t>
      </w:r>
    </w:p>
    <w:p w14:paraId="53603799" w14:textId="77777777" w:rsidR="00AF795C" w:rsidRPr="00A46087" w:rsidRDefault="00AF795C" w:rsidP="00AF795C">
      <w:pPr>
        <w:pStyle w:val="NormaAlterada"/>
      </w:pPr>
      <w:r w:rsidRPr="00A46087">
        <w:t xml:space="preserve">II – </w:t>
      </w:r>
      <w:bookmarkStart w:id="766" w:name="_Int_7eO6Ks2z"/>
      <w:proofErr w:type="gramStart"/>
      <w:r w:rsidRPr="00A46087">
        <w:t>na</w:t>
      </w:r>
      <w:bookmarkEnd w:id="766"/>
      <w:proofErr w:type="gramEnd"/>
      <w:r w:rsidRPr="00A46087">
        <w:t xml:space="preserve"> página da CVM na rede mundial de computadores, por meio de sistema eletrônico disponível na rede ou de sistema eletrônico disponibilizado por entidade que tenha formalizado convênio ou instrumento congênere com a CVM para esse fim; e</w:t>
      </w:r>
    </w:p>
    <w:p w14:paraId="2D41BC47" w14:textId="77777777" w:rsidR="00AF795C" w:rsidRPr="00A46087" w:rsidRDefault="00AF795C" w:rsidP="00AF795C">
      <w:pPr>
        <w:pStyle w:val="NormaAlterada"/>
      </w:pPr>
      <w:r w:rsidRPr="00A46087">
        <w:lastRenderedPageBreak/>
        <w:t>III – na página da entidade administradora do mercado organizado em que as cotas sejam admitidas à negociação.</w:t>
      </w:r>
    </w:p>
    <w:p w14:paraId="4DE0C583" w14:textId="77777777" w:rsidR="00AF795C" w:rsidRPr="00A46087" w:rsidRDefault="00AF795C" w:rsidP="00AF795C">
      <w:pPr>
        <w:pStyle w:val="NormaAlterada"/>
      </w:pPr>
      <w:r w:rsidRPr="00A46087">
        <w:t>§ 1</w:t>
      </w:r>
      <w:bookmarkStart w:id="767" w:name="_Int_o4oJVTgV"/>
      <w:proofErr w:type="gramStart"/>
      <w:r w:rsidRPr="00A46087">
        <w:t>º  Nas</w:t>
      </w:r>
      <w:bookmarkEnd w:id="767"/>
      <w:proofErr w:type="gramEnd"/>
      <w:r w:rsidRPr="00A46087">
        <w:t xml:space="preserve"> assembleias ordinárias, as informações de que trata o </w:t>
      </w:r>
      <w:r w:rsidRPr="00A46087">
        <w:rPr>
          <w:b/>
          <w:bCs/>
        </w:rPr>
        <w:t xml:space="preserve">caput </w:t>
      </w:r>
      <w:r w:rsidRPr="00A46087">
        <w:t>incluem, no mínimo, aquelas referidas no art. 36, inciso III, deste Anexo Normativo III, sendo que as informações referidas no art. 36, inciso IV, devem ser divulgadas até 15 (quinze) dias após a convocação dessa assembleia.</w:t>
      </w:r>
    </w:p>
    <w:p w14:paraId="430604A3" w14:textId="77777777" w:rsidR="00AF795C" w:rsidRPr="00A46087" w:rsidRDefault="00AF795C" w:rsidP="00AF795C">
      <w:pPr>
        <w:pStyle w:val="NormaAlterada"/>
      </w:pPr>
      <w:r w:rsidRPr="00A46087">
        <w:t>§ 2</w:t>
      </w:r>
      <w:bookmarkStart w:id="768" w:name="_Int_r94DUqYN"/>
      <w:proofErr w:type="gramStart"/>
      <w:r w:rsidRPr="00A46087">
        <w:t>º  Sempre</w:t>
      </w:r>
      <w:bookmarkEnd w:id="768"/>
      <w:proofErr w:type="gramEnd"/>
      <w:r w:rsidRPr="00A46087">
        <w:t xml:space="preserve"> que a assembleia for convocada para eleger representantes de cotistas, as informações de que trata o </w:t>
      </w:r>
      <w:r w:rsidRPr="00A46087">
        <w:rPr>
          <w:b/>
          <w:bCs/>
        </w:rPr>
        <w:t xml:space="preserve">caput </w:t>
      </w:r>
      <w:r w:rsidRPr="00A46087">
        <w:t xml:space="preserve">incluem: </w:t>
      </w:r>
    </w:p>
    <w:p w14:paraId="58ECB715" w14:textId="77777777" w:rsidR="00AF795C" w:rsidRPr="00A46087" w:rsidRDefault="00AF795C" w:rsidP="00AF795C">
      <w:pPr>
        <w:pStyle w:val="NormaAlterada"/>
      </w:pPr>
      <w:r w:rsidRPr="00A46087">
        <w:t xml:space="preserve">I – </w:t>
      </w:r>
      <w:bookmarkStart w:id="769" w:name="_Int_JVUBEdU6"/>
      <w:proofErr w:type="gramStart"/>
      <w:r w:rsidRPr="00A46087">
        <w:t>declaração</w:t>
      </w:r>
      <w:bookmarkEnd w:id="769"/>
      <w:proofErr w:type="gramEnd"/>
      <w:r w:rsidRPr="00A46087">
        <w:t xml:space="preserve"> dos candidatos de que atendem os requisitos previstos no art. 21 deste Anexo Normativo III; e</w:t>
      </w:r>
    </w:p>
    <w:p w14:paraId="0C38809E" w14:textId="77777777" w:rsidR="00AF795C" w:rsidRPr="00A46087" w:rsidRDefault="00AF795C" w:rsidP="00AF795C">
      <w:pPr>
        <w:pStyle w:val="NormaAlterada"/>
      </w:pPr>
      <w:r w:rsidRPr="00A46087">
        <w:t xml:space="preserve">II – </w:t>
      </w:r>
      <w:bookmarkStart w:id="770" w:name="_Int_tPB8bI5X"/>
      <w:proofErr w:type="gramStart"/>
      <w:r w:rsidRPr="00A46087">
        <w:t>as</w:t>
      </w:r>
      <w:bookmarkEnd w:id="770"/>
      <w:proofErr w:type="gramEnd"/>
      <w:r w:rsidRPr="00A46087">
        <w:t xml:space="preserve"> informações exigidas no item 12.1 do Suplemento K.</w:t>
      </w:r>
    </w:p>
    <w:p w14:paraId="6EAAD4A9" w14:textId="77777777" w:rsidR="00AF795C" w:rsidRPr="00A46087" w:rsidRDefault="00AF795C" w:rsidP="00AF795C">
      <w:pPr>
        <w:pStyle w:val="NormaAlterada"/>
      </w:pPr>
      <w:r w:rsidRPr="00A46087">
        <w:t>§ 3</w:t>
      </w:r>
      <w:bookmarkStart w:id="771" w:name="_Int_eor0qg0X"/>
      <w:proofErr w:type="gramStart"/>
      <w:r w:rsidRPr="00A46087">
        <w:t>º  Caso</w:t>
      </w:r>
      <w:bookmarkEnd w:id="771"/>
      <w:proofErr w:type="gramEnd"/>
      <w:r w:rsidRPr="00A46087">
        <w:t xml:space="preserve"> cotistas ou o representante de cotistas tenham se utilizado da prerrogativa do § 3º do art. 13 deste Anexo Normativo III, o administrador deve divulgar, pelos meios referidos nos incisos I a III do </w:t>
      </w:r>
      <w:r w:rsidRPr="00A46087">
        <w:rPr>
          <w:b/>
          <w:bCs/>
        </w:rPr>
        <w:t>caput</w:t>
      </w:r>
      <w:r w:rsidRPr="00A46087">
        <w:t>, no prazo de 5 (cinco) dias a contar do encerramento do prazo previsto no § 4º do referido art. 13, o pedido de inclusão de matéria na pauta, bem como os documentos encaminhados pelos solicitantes.</w:t>
      </w:r>
    </w:p>
    <w:p w14:paraId="2AAD3821" w14:textId="77777777" w:rsidR="00AF795C" w:rsidRPr="00A46087" w:rsidRDefault="00AF795C" w:rsidP="00AF795C">
      <w:pPr>
        <w:pStyle w:val="Seo"/>
      </w:pPr>
      <w:bookmarkStart w:id="772" w:name="_Toc161141329"/>
      <w:r w:rsidRPr="00A46087">
        <w:t>Seção III – Deliberações</w:t>
      </w:r>
      <w:bookmarkEnd w:id="772"/>
    </w:p>
    <w:p w14:paraId="524F10A5" w14:textId="77777777" w:rsidR="00AF795C" w:rsidRPr="00A46087" w:rsidRDefault="00AF795C" w:rsidP="00AF795C">
      <w:pPr>
        <w:pStyle w:val="NormaAlterada"/>
      </w:pPr>
      <w:r w:rsidRPr="00A46087">
        <w:t xml:space="preserve">Art. 15. </w:t>
      </w:r>
      <w:r>
        <w:t xml:space="preserve"> </w:t>
      </w:r>
      <w:r w:rsidRPr="00A46087">
        <w:t>Ressalvado o disposto no art. 16 deste Anexo Normativo III, as deliberações da assembleia de cotistas são tomadas por maioria de votos dos cotistas presentes, cabendo a cada cota 1 (um) voto.</w:t>
      </w:r>
    </w:p>
    <w:p w14:paraId="3E3E6ECC" w14:textId="77777777" w:rsidR="00AF795C" w:rsidRPr="00A46087" w:rsidRDefault="00AF795C" w:rsidP="00AF795C">
      <w:pPr>
        <w:pStyle w:val="NormaAlterada"/>
      </w:pPr>
      <w:r w:rsidRPr="00A46087">
        <w:t>Art. 16.  As deliberações exclusivamente relativas às matérias previstas nos incisos II, IV e V, do art. 70 da parte geral da Resolução, assim como as matérias previstas nos incisos II, IV e V do art. 12 deste Anexo Normativo III dependem da aprovação por maioria de votos dos cotistas presentes e que representem:</w:t>
      </w:r>
    </w:p>
    <w:p w14:paraId="7C2D4E50" w14:textId="77777777" w:rsidR="00AF795C" w:rsidRPr="00A46087" w:rsidRDefault="00AF795C" w:rsidP="00AF795C">
      <w:pPr>
        <w:pStyle w:val="NormaAlterada"/>
      </w:pPr>
      <w:r w:rsidRPr="00A46087">
        <w:t>I – 25% (vinte e cinco por cento), no mínimo, das cotas emitidas, quando a classe de cotas tiver mais de 100 (cem) cotistas; ou</w:t>
      </w:r>
    </w:p>
    <w:p w14:paraId="71225AD4" w14:textId="77777777" w:rsidR="00AF795C" w:rsidRPr="00A46087" w:rsidRDefault="00AF795C" w:rsidP="00AF795C">
      <w:pPr>
        <w:pStyle w:val="NormaAlterada"/>
      </w:pPr>
      <w:r w:rsidRPr="00A46087">
        <w:t xml:space="preserve">II – </w:t>
      </w:r>
      <w:bookmarkStart w:id="773" w:name="_Int_6ua9krTH"/>
      <w:proofErr w:type="gramStart"/>
      <w:r w:rsidRPr="00A46087">
        <w:t>metade</w:t>
      </w:r>
      <w:bookmarkEnd w:id="773"/>
      <w:proofErr w:type="gramEnd"/>
      <w:r w:rsidRPr="00A46087">
        <w:t>, no mínimo, das cotas emitidas, quando a classe de cotas tiver até 100 (cem) cotistas.</w:t>
      </w:r>
    </w:p>
    <w:p w14:paraId="4E037C50" w14:textId="77777777" w:rsidR="00AF795C" w:rsidRPr="00A46087" w:rsidRDefault="00AF795C" w:rsidP="00AF795C">
      <w:pPr>
        <w:pStyle w:val="NormaAlterada"/>
      </w:pPr>
      <w:r w:rsidRPr="00A46087">
        <w:t xml:space="preserve">Parágrafo único.  Os percentuais referidos nos incisos do </w:t>
      </w:r>
      <w:r w:rsidRPr="00A46087">
        <w:rPr>
          <w:b/>
          <w:bCs/>
        </w:rPr>
        <w:t xml:space="preserve">caput </w:t>
      </w:r>
      <w:r w:rsidRPr="00A46087">
        <w:t xml:space="preserve">devem ser determinados com base no número de cotistas indicados no registro de cotistas na data de convocação da assembleia, cabendo </w:t>
      </w:r>
      <w:r w:rsidRPr="00A46087">
        <w:lastRenderedPageBreak/>
        <w:t>ao administrador informar no edital de convocação qual será o percentual aplicável nas assembleias que tratem das matérias sujeitas à deliberação por quórum qualificado.</w:t>
      </w:r>
    </w:p>
    <w:p w14:paraId="76C4E84B" w14:textId="77777777" w:rsidR="00AF795C" w:rsidRPr="00A46087" w:rsidRDefault="00AF795C" w:rsidP="00AF795C">
      <w:pPr>
        <w:pStyle w:val="NormaAlterada"/>
      </w:pPr>
      <w:r w:rsidRPr="00A46087">
        <w:t>Art. 17.  O pedido de representação em assembleia de cotistas, encaminhado pelo administrador mediante correspondência, física ou eletrônica, ou anúncio publicado, deve satisfazer os seguintes requisitos:</w:t>
      </w:r>
    </w:p>
    <w:p w14:paraId="7B108046" w14:textId="77777777" w:rsidR="00AF795C" w:rsidRPr="00A46087" w:rsidRDefault="00AF795C" w:rsidP="00AF795C">
      <w:pPr>
        <w:pStyle w:val="NormaAlterada"/>
      </w:pPr>
      <w:r w:rsidRPr="00A46087">
        <w:t xml:space="preserve">I – </w:t>
      </w:r>
      <w:bookmarkStart w:id="774" w:name="_Int_HTKlSY3O"/>
      <w:proofErr w:type="gramStart"/>
      <w:r w:rsidRPr="00A46087">
        <w:t>conter</w:t>
      </w:r>
      <w:bookmarkEnd w:id="774"/>
      <w:proofErr w:type="gramEnd"/>
      <w:r w:rsidRPr="00A46087">
        <w:t xml:space="preserve"> todos os elementos informativos necessários ao exercício do voto pedido;</w:t>
      </w:r>
    </w:p>
    <w:p w14:paraId="43160786" w14:textId="77777777" w:rsidR="00AF795C" w:rsidRPr="00A46087" w:rsidRDefault="00AF795C" w:rsidP="00AF795C">
      <w:pPr>
        <w:pStyle w:val="NormaAlterada"/>
      </w:pPr>
      <w:r w:rsidRPr="00A46087">
        <w:t xml:space="preserve">II – </w:t>
      </w:r>
      <w:bookmarkStart w:id="775" w:name="_Int_QDQkZYPN"/>
      <w:proofErr w:type="gramStart"/>
      <w:r w:rsidRPr="00A46087">
        <w:t>facultar</w:t>
      </w:r>
      <w:bookmarkEnd w:id="775"/>
      <w:proofErr w:type="gramEnd"/>
      <w:r w:rsidRPr="00A46087">
        <w:t xml:space="preserve"> que o cotista exerça o voto contrário à proposta, por meio da mesma procuração; e</w:t>
      </w:r>
    </w:p>
    <w:p w14:paraId="3F2B7087" w14:textId="77777777" w:rsidR="00AF795C" w:rsidRPr="00A46087" w:rsidRDefault="00AF795C" w:rsidP="00AF795C">
      <w:pPr>
        <w:pStyle w:val="NormaAlterada"/>
      </w:pPr>
      <w:r w:rsidRPr="00A46087">
        <w:t>III – ser dirigido a todos os cotistas.</w:t>
      </w:r>
    </w:p>
    <w:p w14:paraId="0088C483" w14:textId="77777777" w:rsidR="00AF795C" w:rsidRPr="00A46087" w:rsidRDefault="00AF795C" w:rsidP="00AF795C">
      <w:pPr>
        <w:pStyle w:val="NormaAlterada"/>
      </w:pPr>
      <w:r w:rsidRPr="00A46087">
        <w:t>§ 1</w:t>
      </w:r>
      <w:proofErr w:type="gramStart"/>
      <w:r w:rsidRPr="00A46087">
        <w:t>º  É</w:t>
      </w:r>
      <w:proofErr w:type="gramEnd"/>
      <w:r w:rsidRPr="00A46087">
        <w:t xml:space="preserve"> facultado a cotistas que detenham, isolada ou conjuntamente, 0,5% (meio por cento) ou mais do total de cotas emitidas solicitar ao administrador o envio de pedido de procuração aos demais cotistas do FII, desde que sejam obedecidos os requisitos do inciso I do </w:t>
      </w:r>
      <w:r w:rsidRPr="00A46087">
        <w:rPr>
          <w:b/>
          <w:bCs/>
        </w:rPr>
        <w:t>caput</w:t>
      </w:r>
      <w:r w:rsidRPr="00A46087">
        <w:t>.</w:t>
      </w:r>
    </w:p>
    <w:p w14:paraId="19E7846C" w14:textId="77777777" w:rsidR="00AF795C" w:rsidRPr="00A46087" w:rsidRDefault="00AF795C" w:rsidP="00AF795C">
      <w:pPr>
        <w:pStyle w:val="NormaAlterada"/>
      </w:pPr>
      <w:r w:rsidRPr="00A46087">
        <w:t>§ 2</w:t>
      </w:r>
      <w:proofErr w:type="gramStart"/>
      <w:r w:rsidRPr="00A46087">
        <w:t>º  O</w:t>
      </w:r>
      <w:proofErr w:type="gramEnd"/>
      <w:r w:rsidRPr="00A46087">
        <w:t xml:space="preserve"> administrador que receber a solicitação de que trata o § 1º deve encaminhar, em nome do cotista solicitante, o pedido de procuração, conforme conteúdo e nos termos determinados pelo cotista solicitante, em até 5 (cinco) dias úteis da solicitação. </w:t>
      </w:r>
    </w:p>
    <w:p w14:paraId="61CFEADE" w14:textId="77777777" w:rsidR="00AF795C" w:rsidRPr="00A46087" w:rsidRDefault="00AF795C" w:rsidP="00AF795C">
      <w:pPr>
        <w:pStyle w:val="NormaAlterada"/>
      </w:pPr>
      <w:r w:rsidRPr="00A46087">
        <w:t>§ 3</w:t>
      </w:r>
      <w:proofErr w:type="gramStart"/>
      <w:r w:rsidRPr="00A46087">
        <w:t>º  Nas</w:t>
      </w:r>
      <w:proofErr w:type="gramEnd"/>
      <w:r w:rsidRPr="00A46087">
        <w:t xml:space="preserve"> hipóteses previstas no § 1º, o administrador pode exigir:</w:t>
      </w:r>
    </w:p>
    <w:p w14:paraId="00721E82" w14:textId="77777777" w:rsidR="00AF795C" w:rsidRPr="00A46087" w:rsidRDefault="00AF795C" w:rsidP="00AF795C">
      <w:pPr>
        <w:pStyle w:val="NormaAlterada"/>
      </w:pPr>
      <w:r w:rsidRPr="00A46087">
        <w:t xml:space="preserve">I – </w:t>
      </w:r>
      <w:proofErr w:type="gramStart"/>
      <w:r w:rsidRPr="00A46087">
        <w:t>reconhecimento</w:t>
      </w:r>
      <w:proofErr w:type="gramEnd"/>
      <w:r w:rsidRPr="00A46087">
        <w:t xml:space="preserve"> da firma do signatário do pedido; e</w:t>
      </w:r>
    </w:p>
    <w:p w14:paraId="3509008C" w14:textId="77777777" w:rsidR="00AF795C" w:rsidRPr="00A46087" w:rsidRDefault="00AF795C" w:rsidP="00AF795C">
      <w:pPr>
        <w:pStyle w:val="NormaAlterada"/>
      </w:pPr>
      <w:r w:rsidRPr="00A46087">
        <w:t xml:space="preserve">II – </w:t>
      </w:r>
      <w:bookmarkStart w:id="776" w:name="_Int_Jl46AftX"/>
      <w:proofErr w:type="gramStart"/>
      <w:r w:rsidRPr="00A46087">
        <w:t>cópia</w:t>
      </w:r>
      <w:bookmarkEnd w:id="776"/>
      <w:proofErr w:type="gramEnd"/>
      <w:r w:rsidRPr="00A46087">
        <w:t xml:space="preserve"> dos documentos que comprovem que o signatário tem poderes para representar os cotistas solicitantes, quando o pedido for assinado por representantes.</w:t>
      </w:r>
    </w:p>
    <w:p w14:paraId="3566D1DA" w14:textId="77777777" w:rsidR="00AF795C" w:rsidRPr="00A46087" w:rsidRDefault="00AF795C" w:rsidP="00AF795C">
      <w:pPr>
        <w:pStyle w:val="NormaAlterada"/>
      </w:pPr>
      <w:r w:rsidRPr="00A46087">
        <w:t>§ 4</w:t>
      </w:r>
      <w:bookmarkStart w:id="777" w:name="_Int_0HEbVMLr"/>
      <w:proofErr w:type="gramStart"/>
      <w:r w:rsidRPr="00A46087">
        <w:t>º  É</w:t>
      </w:r>
      <w:bookmarkEnd w:id="777"/>
      <w:proofErr w:type="gramEnd"/>
      <w:r w:rsidRPr="00A46087">
        <w:t xml:space="preserve"> vedado ao administrador:</w:t>
      </w:r>
    </w:p>
    <w:p w14:paraId="448D791D" w14:textId="77777777" w:rsidR="00AF795C" w:rsidRPr="00A46087" w:rsidRDefault="00AF795C" w:rsidP="00AF795C">
      <w:pPr>
        <w:pStyle w:val="NormaAlterada"/>
      </w:pPr>
      <w:r w:rsidRPr="00A46087">
        <w:t xml:space="preserve">I – </w:t>
      </w:r>
      <w:bookmarkStart w:id="778" w:name="_Int_QBHeJuum"/>
      <w:proofErr w:type="gramStart"/>
      <w:r w:rsidRPr="00A46087">
        <w:t>exigir</w:t>
      </w:r>
      <w:bookmarkEnd w:id="778"/>
      <w:proofErr w:type="gramEnd"/>
      <w:r w:rsidRPr="00A46087">
        <w:t xml:space="preserve"> quaisquer outras justificativas para o pedido de que trata o § 1º;</w:t>
      </w:r>
    </w:p>
    <w:p w14:paraId="026C38B0" w14:textId="77777777" w:rsidR="00AF795C" w:rsidRPr="00A46087" w:rsidRDefault="00AF795C" w:rsidP="00AF795C">
      <w:pPr>
        <w:pStyle w:val="NormaAlterada"/>
      </w:pPr>
      <w:r w:rsidRPr="00A46087">
        <w:t xml:space="preserve">II – </w:t>
      </w:r>
      <w:bookmarkStart w:id="779" w:name="_Int_3SWTnwdE"/>
      <w:proofErr w:type="gramStart"/>
      <w:r w:rsidRPr="00A46087">
        <w:t>cobrar</w:t>
      </w:r>
      <w:bookmarkEnd w:id="779"/>
      <w:proofErr w:type="gramEnd"/>
      <w:r w:rsidRPr="00A46087">
        <w:t xml:space="preserve"> pelo fornecimento da relação de cotistas; e</w:t>
      </w:r>
    </w:p>
    <w:p w14:paraId="0CC761AD" w14:textId="77777777" w:rsidR="00AF795C" w:rsidRPr="00A46087" w:rsidRDefault="00AF795C" w:rsidP="00AF795C">
      <w:pPr>
        <w:pStyle w:val="NormaAlterada"/>
      </w:pPr>
      <w:r w:rsidRPr="00A46087">
        <w:t>III – condicionar o deferimento do pedido ao cumprimento de quaisquer formalidades ou à apresentação de quaisquer documentos não previstos no § 3º.</w:t>
      </w:r>
    </w:p>
    <w:p w14:paraId="57FAE3FE" w14:textId="77777777" w:rsidR="00AF795C" w:rsidRPr="00A46087" w:rsidDel="00593370" w:rsidRDefault="00AF795C" w:rsidP="00AF795C">
      <w:pPr>
        <w:pStyle w:val="NormaAlterada"/>
      </w:pPr>
      <w:r w:rsidRPr="00A46087">
        <w:t>§ 5</w:t>
      </w:r>
      <w:proofErr w:type="gramStart"/>
      <w:r w:rsidRPr="00A46087">
        <w:t>º  Os</w:t>
      </w:r>
      <w:proofErr w:type="gramEnd"/>
      <w:r w:rsidRPr="00A46087">
        <w:t xml:space="preserve"> custos incorridos com o envio do pedido de procuração pelo administrador em nome de cotistas devem ser arcados pela classe afetada.</w:t>
      </w:r>
    </w:p>
    <w:p w14:paraId="4F09764F" w14:textId="77777777" w:rsidR="00AF795C" w:rsidRPr="00A46087" w:rsidDel="00593370" w:rsidRDefault="00AF795C" w:rsidP="00AF795C">
      <w:pPr>
        <w:pStyle w:val="NormaAlterada"/>
      </w:pPr>
      <w:r w:rsidRPr="00A46087">
        <w:t xml:space="preserve">Art. 18.  O cotista deve exercer o direito a voto no interesse da classe de cotas. </w:t>
      </w:r>
    </w:p>
    <w:p w14:paraId="390C8699" w14:textId="77777777" w:rsidR="00AF795C" w:rsidRPr="00A46087" w:rsidRDefault="00AF795C" w:rsidP="00AF795C">
      <w:pPr>
        <w:pStyle w:val="NormaAlterada"/>
      </w:pPr>
      <w:r w:rsidRPr="00A46087">
        <w:lastRenderedPageBreak/>
        <w:t>Art. 19.  Além das hipóteses previstas no § 1º do art. 78 da parte geral, quando todos os subscritores de cotas forem condôminos de ativo com que concorreram para a integralização de cotas, estes podem votar na assembleia de cotistas que apreciar o laudo utilizado na avaliação do ativo para fins de integralização de cotas, sem prejuízo da responsabilidade de que trata o § 6º do art. 8º da Lei nº 6.404, de 1976.</w:t>
      </w:r>
    </w:p>
    <w:p w14:paraId="30946384" w14:textId="77777777" w:rsidR="00AF795C" w:rsidRPr="00A46087" w:rsidRDefault="00AF795C" w:rsidP="00AF795C">
      <w:pPr>
        <w:pStyle w:val="Seo"/>
      </w:pPr>
      <w:bookmarkStart w:id="780" w:name="_Toc161141330"/>
      <w:r w:rsidRPr="00A46087">
        <w:t>Seção IV – Representante dos Cotistas</w:t>
      </w:r>
      <w:bookmarkEnd w:id="780"/>
    </w:p>
    <w:p w14:paraId="47BA80D1" w14:textId="77777777" w:rsidR="00AF795C" w:rsidRPr="00A46087" w:rsidRDefault="00AF795C" w:rsidP="00AF795C">
      <w:pPr>
        <w:pStyle w:val="NormaAlterada"/>
      </w:pPr>
      <w:r w:rsidRPr="00A46087">
        <w:t>Art. 20.  A assembleia de cotistas pode eleger um ou mais representantes para exercer as funções de fiscalização dos empreendimentos ou investimentos da classe de cotas, em defesa dos direitos e interesses dos cotistas.</w:t>
      </w:r>
    </w:p>
    <w:p w14:paraId="58EC9ECD" w14:textId="77777777" w:rsidR="00AF795C" w:rsidRPr="00A46087" w:rsidRDefault="00AF795C" w:rsidP="00AF795C">
      <w:pPr>
        <w:pStyle w:val="NormaAlterada"/>
      </w:pPr>
      <w:r w:rsidRPr="00A46087">
        <w:t>§ 1</w:t>
      </w:r>
      <w:bookmarkStart w:id="781" w:name="_Int_H4xhpVKJ"/>
      <w:proofErr w:type="gramStart"/>
      <w:r w:rsidRPr="00A46087">
        <w:t>º  A</w:t>
      </w:r>
      <w:bookmarkEnd w:id="781"/>
      <w:proofErr w:type="gramEnd"/>
      <w:r w:rsidRPr="00A46087">
        <w:t xml:space="preserve"> eleição dos representantes dos cotistas pode ser aprovada pela maioria dos cotistas presentes e que representem, no mínimo:</w:t>
      </w:r>
    </w:p>
    <w:p w14:paraId="08950641" w14:textId="77777777" w:rsidR="00AF795C" w:rsidRPr="00A46087" w:rsidRDefault="00AF795C" w:rsidP="00AF795C">
      <w:pPr>
        <w:pStyle w:val="NormaAlterada"/>
      </w:pPr>
      <w:r w:rsidRPr="00A46087">
        <w:t>I – 3% (três por cento) do total de cotas emitidas, quando a classe tiver mais de 100 (cem) cotistas; ou</w:t>
      </w:r>
    </w:p>
    <w:p w14:paraId="581D8EAE" w14:textId="77777777" w:rsidR="00AF795C" w:rsidRPr="00A46087" w:rsidRDefault="00AF795C" w:rsidP="00AF795C">
      <w:pPr>
        <w:pStyle w:val="NormaAlterada"/>
      </w:pPr>
      <w:r w:rsidRPr="00A46087">
        <w:t>II – 5% (cinco por cento) do total de cotas emitidas, quando a classe tiver até 100 (cem) cotistas.</w:t>
      </w:r>
    </w:p>
    <w:p w14:paraId="00F7835B" w14:textId="77777777" w:rsidR="00AF795C" w:rsidRPr="00A46087" w:rsidRDefault="00AF795C" w:rsidP="00AF795C">
      <w:pPr>
        <w:pStyle w:val="NormaAlterada"/>
      </w:pPr>
      <w:r w:rsidRPr="00A46087">
        <w:t>§ 2</w:t>
      </w:r>
      <w:proofErr w:type="gramStart"/>
      <w:r w:rsidRPr="00A46087">
        <w:t>º  Salvo</w:t>
      </w:r>
      <w:proofErr w:type="gramEnd"/>
      <w:r w:rsidRPr="00A46087">
        <w:t xml:space="preserve"> disposição contrária em regulamento, os representantes de cotistas devem ser eleitos com prazo de mandato unificado, a se encerrar na próxima assembleia de cotistas que deliberar sobre as demonstrações contábeis da classe de cotas, permitida a reeleição.</w:t>
      </w:r>
    </w:p>
    <w:p w14:paraId="3276DAE1" w14:textId="77777777" w:rsidR="00AF795C" w:rsidRPr="00A46087" w:rsidRDefault="00AF795C" w:rsidP="00AF795C">
      <w:pPr>
        <w:pStyle w:val="NormaAlterada"/>
      </w:pPr>
      <w:r w:rsidRPr="00A46087">
        <w:t>§ 3</w:t>
      </w:r>
      <w:proofErr w:type="gramStart"/>
      <w:r w:rsidRPr="00A46087">
        <w:t>º  A</w:t>
      </w:r>
      <w:proofErr w:type="gramEnd"/>
      <w:r w:rsidRPr="00A46087">
        <w:t xml:space="preserve"> função de representante dos cotistas é indelegável.</w:t>
      </w:r>
    </w:p>
    <w:p w14:paraId="14B7B2A6" w14:textId="77777777" w:rsidR="00AF795C" w:rsidRPr="00A46087" w:rsidRDefault="00AF795C" w:rsidP="00AF795C">
      <w:pPr>
        <w:pStyle w:val="NormaAlterada"/>
      </w:pPr>
      <w:r w:rsidRPr="00A46087">
        <w:t>Art. 21.  Somente pode exercer a função de representante dos cotistas</w:t>
      </w:r>
      <w:r>
        <w:t>,</w:t>
      </w:r>
      <w:r w:rsidRPr="00A46087">
        <w:t xml:space="preserve"> pessoa natural ou jurídica, que atenda aos seguintes requisitos:</w:t>
      </w:r>
    </w:p>
    <w:p w14:paraId="664D3F2A" w14:textId="77777777" w:rsidR="00AF795C" w:rsidRPr="00A46087" w:rsidRDefault="00AF795C" w:rsidP="00AF795C">
      <w:pPr>
        <w:pStyle w:val="NormaAlterada"/>
      </w:pPr>
      <w:r w:rsidRPr="00A46087">
        <w:t xml:space="preserve">I – </w:t>
      </w:r>
      <w:bookmarkStart w:id="782" w:name="_Int_YfWudHse"/>
      <w:proofErr w:type="gramStart"/>
      <w:r w:rsidRPr="00A46087">
        <w:t>ser</w:t>
      </w:r>
      <w:bookmarkEnd w:id="782"/>
      <w:proofErr w:type="gramEnd"/>
      <w:r w:rsidRPr="00A46087">
        <w:t xml:space="preserve"> cotista da classe de cotas;</w:t>
      </w:r>
    </w:p>
    <w:p w14:paraId="3C7D20F0" w14:textId="77777777" w:rsidR="00AF795C" w:rsidRPr="00A46087" w:rsidRDefault="00AF795C" w:rsidP="00AF795C">
      <w:pPr>
        <w:pStyle w:val="NormaAlterada"/>
      </w:pPr>
      <w:r w:rsidRPr="00A46087">
        <w:t xml:space="preserve">II – </w:t>
      </w:r>
      <w:bookmarkStart w:id="783" w:name="_Int_a8MLccv9"/>
      <w:proofErr w:type="gramStart"/>
      <w:r w:rsidRPr="00A46087">
        <w:t>não</w:t>
      </w:r>
      <w:bookmarkEnd w:id="783"/>
      <w:proofErr w:type="gramEnd"/>
      <w:r w:rsidRPr="00A46087">
        <w:t xml:space="preserve"> exercer cargo ou função no administrador ou no controlador do administrador ou do gestor, em sociedades por eles diretamente controladas e em coligadas ou outras sociedades sob controle comum, ou prestar-lhes assessoria de qualquer natureza; </w:t>
      </w:r>
    </w:p>
    <w:p w14:paraId="27655DEC" w14:textId="77777777" w:rsidR="00AF795C" w:rsidRPr="00A46087" w:rsidRDefault="00AF795C" w:rsidP="00AF795C">
      <w:pPr>
        <w:pStyle w:val="NormaAlterada"/>
      </w:pPr>
      <w:r w:rsidRPr="00A46087">
        <w:t xml:space="preserve">III – não exercer cargo ou função no empreendedor do empreendimento imobiliário que constitua objeto da classe de cotas, ou prestar-lhe serviço de qualquer natureza; </w:t>
      </w:r>
    </w:p>
    <w:p w14:paraId="76D0EC31" w14:textId="77777777" w:rsidR="00AF795C" w:rsidRPr="00A46087" w:rsidRDefault="00AF795C" w:rsidP="00AF795C">
      <w:pPr>
        <w:pStyle w:val="NormaAlterada"/>
      </w:pPr>
      <w:r w:rsidRPr="00A46087">
        <w:lastRenderedPageBreak/>
        <w:t xml:space="preserve">IV – </w:t>
      </w:r>
      <w:bookmarkStart w:id="784" w:name="_Int_cV3Vmsvk"/>
      <w:proofErr w:type="gramStart"/>
      <w:r w:rsidRPr="00A46087">
        <w:t>não</w:t>
      </w:r>
      <w:bookmarkEnd w:id="784"/>
      <w:proofErr w:type="gramEnd"/>
      <w:r w:rsidRPr="00A46087">
        <w:t xml:space="preserve"> ser administrador, gestor ou consultor especializado de outros fundos de investimento imobiliário;</w:t>
      </w:r>
    </w:p>
    <w:p w14:paraId="4801FC40" w14:textId="77777777" w:rsidR="00AF795C" w:rsidRPr="00A46087" w:rsidRDefault="00AF795C" w:rsidP="00AF795C">
      <w:pPr>
        <w:pStyle w:val="NormaAlterada"/>
      </w:pPr>
      <w:r w:rsidRPr="00A46087">
        <w:t xml:space="preserve">V – </w:t>
      </w:r>
      <w:bookmarkStart w:id="785" w:name="_Int_iG9YY0SC"/>
      <w:proofErr w:type="gramStart"/>
      <w:r w:rsidRPr="00A46087">
        <w:t>não</w:t>
      </w:r>
      <w:bookmarkEnd w:id="785"/>
      <w:proofErr w:type="gramEnd"/>
      <w:r w:rsidRPr="00A46087">
        <w:t xml:space="preserve"> estar em conflito de interesses com a classe de cotas; e</w:t>
      </w:r>
    </w:p>
    <w:p w14:paraId="0F37052F" w14:textId="77777777" w:rsidR="00AF795C" w:rsidRPr="00A46087" w:rsidRDefault="00AF795C" w:rsidP="00AF795C">
      <w:pPr>
        <w:pStyle w:val="NormaAlterada"/>
      </w:pPr>
      <w:r w:rsidRPr="00A46087">
        <w:t xml:space="preserve">VI – </w:t>
      </w:r>
      <w:bookmarkStart w:id="786" w:name="_Int_a5uGDOXG"/>
      <w:proofErr w:type="gramStart"/>
      <w:r w:rsidRPr="00A46087">
        <w:t>não</w:t>
      </w:r>
      <w:bookmarkEnd w:id="786"/>
      <w:proofErr w:type="gramEnd"/>
      <w:r w:rsidRPr="00A46087">
        <w:t xml:space="preserve"> estar impedido por lei ou ter sido condenado por crime falimentar, de prevaricação, peita ou suborno, concussão, peculato, contra a economia popular, a fé pública ou a propriedade, ou a pena criminal que vede, ainda que temporariamente, o acesso a cargos públicos; nem ter sido condenado a pena de suspensão ou inabilitação temporária aplicada pela CVM.</w:t>
      </w:r>
    </w:p>
    <w:p w14:paraId="4CCE9F0F" w14:textId="77777777" w:rsidR="00AF795C" w:rsidRPr="00A46087" w:rsidRDefault="00AF795C" w:rsidP="00AF795C">
      <w:pPr>
        <w:pStyle w:val="NormaAlterada"/>
      </w:pPr>
      <w:r w:rsidRPr="00A46087">
        <w:t xml:space="preserve">Parágrafo único. </w:t>
      </w:r>
      <w:r>
        <w:t xml:space="preserve"> </w:t>
      </w:r>
      <w:r w:rsidRPr="00A46087">
        <w:t>Cabe ao representante de cotistas já eleito informar ao administrador e aos cotistas a superveniência de circunstâncias que possam impedi-lo de exercer a sua função.</w:t>
      </w:r>
    </w:p>
    <w:p w14:paraId="2DB8EB20" w14:textId="77777777" w:rsidR="00AF795C" w:rsidRPr="00A46087" w:rsidRDefault="00AF795C" w:rsidP="00AF795C">
      <w:pPr>
        <w:pStyle w:val="NormaAlterada"/>
      </w:pPr>
      <w:r w:rsidRPr="00A46087">
        <w:t xml:space="preserve">Art. </w:t>
      </w:r>
      <w:bookmarkStart w:id="787" w:name="art163"/>
      <w:bookmarkEnd w:id="787"/>
      <w:r w:rsidRPr="00A46087">
        <w:t>22.  Compete ao representante dos cotistas exclusivamente:</w:t>
      </w:r>
    </w:p>
    <w:p w14:paraId="2A20FAF3" w14:textId="77777777" w:rsidR="00AF795C" w:rsidRPr="00A46087" w:rsidRDefault="00AF795C" w:rsidP="00AF795C">
      <w:pPr>
        <w:pStyle w:val="NormaAlterada"/>
      </w:pPr>
      <w:bookmarkStart w:id="788" w:name="art163i"/>
      <w:bookmarkEnd w:id="788"/>
      <w:r w:rsidRPr="00A46087">
        <w:t xml:space="preserve">I – </w:t>
      </w:r>
      <w:bookmarkStart w:id="789" w:name="_Int_ragrzVlw"/>
      <w:proofErr w:type="gramStart"/>
      <w:r w:rsidRPr="00A46087">
        <w:t>fiscalizar</w:t>
      </w:r>
      <w:bookmarkEnd w:id="789"/>
      <w:proofErr w:type="gramEnd"/>
      <w:r w:rsidRPr="00A46087">
        <w:t xml:space="preserve"> os atos dos prestadores de serviços essenciais e verificar o cumprimento dos seus deveres legais e regulamentares;</w:t>
      </w:r>
    </w:p>
    <w:p w14:paraId="4E480B53" w14:textId="77777777" w:rsidR="00AF795C" w:rsidRPr="00A46087" w:rsidRDefault="00AF795C" w:rsidP="00AF795C">
      <w:pPr>
        <w:pStyle w:val="NormaAlterada"/>
      </w:pPr>
      <w:bookmarkStart w:id="790" w:name="art163iii"/>
      <w:bookmarkEnd w:id="790"/>
      <w:r w:rsidRPr="00A46087">
        <w:t xml:space="preserve">II – </w:t>
      </w:r>
      <w:bookmarkStart w:id="791" w:name="_Int_IKlDidx4"/>
      <w:proofErr w:type="gramStart"/>
      <w:r w:rsidRPr="00A46087">
        <w:t>emitir</w:t>
      </w:r>
      <w:bookmarkEnd w:id="791"/>
      <w:proofErr w:type="gramEnd"/>
      <w:r w:rsidRPr="00A46087">
        <w:t xml:space="preserve"> opinião sobre as propostas a serem submetidas à assembleia de cotistas relativas à:</w:t>
      </w:r>
    </w:p>
    <w:p w14:paraId="3CE76132" w14:textId="77777777" w:rsidR="00AF795C" w:rsidRPr="00A46087" w:rsidRDefault="00AF795C" w:rsidP="00AF795C">
      <w:pPr>
        <w:pStyle w:val="NormaAlterada"/>
      </w:pPr>
      <w:r w:rsidRPr="00A46087">
        <w:t>a) emissão de novas cotas, exceto se aprovada nos termos do inciso VI do art. 29 deste Anexo Normativo III; e</w:t>
      </w:r>
    </w:p>
    <w:p w14:paraId="1388802D" w14:textId="77777777" w:rsidR="00AF795C" w:rsidRPr="00A46087" w:rsidRDefault="00AF795C" w:rsidP="00AF795C">
      <w:pPr>
        <w:pStyle w:val="NormaAlterada"/>
      </w:pPr>
      <w:r w:rsidRPr="00A46087">
        <w:t xml:space="preserve">b) transformação, incorporação, fusão ou cisão; </w:t>
      </w:r>
    </w:p>
    <w:p w14:paraId="76A9FCFC" w14:textId="77777777" w:rsidR="00AF795C" w:rsidRPr="00A46087" w:rsidRDefault="00AF795C" w:rsidP="00AF795C">
      <w:pPr>
        <w:pStyle w:val="NormaAlterada"/>
      </w:pPr>
      <w:bookmarkStart w:id="792" w:name="art163iv"/>
      <w:bookmarkEnd w:id="792"/>
      <w:r w:rsidRPr="00A46087">
        <w:t>III – denunciar ao administrador e, se este não tomar as providências necessárias para a proteção dos interesses da classe de cotas, à assembleia de cotistas, os erros, fraudes ou crimes de que tiverem conhecimento, e sugerir providências;</w:t>
      </w:r>
    </w:p>
    <w:p w14:paraId="725B4A0D" w14:textId="77777777" w:rsidR="00AF795C" w:rsidRPr="00A46087" w:rsidRDefault="00AF795C" w:rsidP="00AF795C">
      <w:pPr>
        <w:pStyle w:val="NormaAlterada"/>
      </w:pPr>
      <w:r w:rsidRPr="00A46087">
        <w:t xml:space="preserve">IV – </w:t>
      </w:r>
      <w:bookmarkStart w:id="793" w:name="_Int_U2H0HyEJ"/>
      <w:proofErr w:type="gramStart"/>
      <w:r w:rsidRPr="00A46087">
        <w:t>analisar</w:t>
      </w:r>
      <w:bookmarkEnd w:id="793"/>
      <w:proofErr w:type="gramEnd"/>
      <w:r w:rsidRPr="00A46087">
        <w:t>, ao menos trimestralmente, as informações financeiras da classe de cotas;</w:t>
      </w:r>
    </w:p>
    <w:p w14:paraId="3334D454" w14:textId="77777777" w:rsidR="00AF795C" w:rsidRPr="00A46087" w:rsidRDefault="00AF795C" w:rsidP="00AF795C">
      <w:pPr>
        <w:pStyle w:val="NormaAlterada"/>
      </w:pPr>
      <w:r w:rsidRPr="00A46087">
        <w:t xml:space="preserve">V – </w:t>
      </w:r>
      <w:bookmarkStart w:id="794" w:name="_Int_Rfw34kQe"/>
      <w:proofErr w:type="gramStart"/>
      <w:r w:rsidRPr="00A46087">
        <w:t>examinar</w:t>
      </w:r>
      <w:bookmarkEnd w:id="794"/>
      <w:proofErr w:type="gramEnd"/>
      <w:r w:rsidRPr="00A46087">
        <w:t xml:space="preserve"> as demonstrações contábeis do exercício social e sobre elas opinar;</w:t>
      </w:r>
    </w:p>
    <w:p w14:paraId="0CC25AE2" w14:textId="77777777" w:rsidR="00AF795C" w:rsidRPr="00A46087" w:rsidRDefault="00AF795C" w:rsidP="00AF795C">
      <w:pPr>
        <w:pStyle w:val="NormaAlterada"/>
      </w:pPr>
      <w:r w:rsidRPr="00A46087">
        <w:t xml:space="preserve">VI – </w:t>
      </w:r>
      <w:bookmarkStart w:id="795" w:name="_Int_PNc8rUaL"/>
      <w:proofErr w:type="gramStart"/>
      <w:r w:rsidRPr="00A46087">
        <w:t>elaborar</w:t>
      </w:r>
      <w:bookmarkEnd w:id="795"/>
      <w:proofErr w:type="gramEnd"/>
      <w:r w:rsidRPr="00A46087">
        <w:t xml:space="preserve"> relatório que contenha, no mínimo:</w:t>
      </w:r>
    </w:p>
    <w:p w14:paraId="172544B4" w14:textId="77777777" w:rsidR="00AF795C" w:rsidRPr="00A46087" w:rsidRDefault="00AF795C" w:rsidP="00AF795C">
      <w:pPr>
        <w:pStyle w:val="NormaAlterada"/>
      </w:pPr>
      <w:r w:rsidRPr="00A46087">
        <w:t>a) descrição das atividades desempenhadas no exercício findo;</w:t>
      </w:r>
    </w:p>
    <w:p w14:paraId="0BC97480" w14:textId="77777777" w:rsidR="00AF795C" w:rsidRPr="00A46087" w:rsidRDefault="00AF795C" w:rsidP="00AF795C">
      <w:pPr>
        <w:pStyle w:val="NormaAlterada"/>
      </w:pPr>
      <w:r w:rsidRPr="00A46087">
        <w:t>b) indicação da quantidade de cotas de emissão da classe de cotas detida por cada um dos representantes de cotistas;</w:t>
      </w:r>
    </w:p>
    <w:p w14:paraId="4A871470" w14:textId="77777777" w:rsidR="00AF795C" w:rsidRPr="00A46087" w:rsidRDefault="00AF795C" w:rsidP="00AF795C">
      <w:pPr>
        <w:pStyle w:val="NormaAlterada"/>
      </w:pPr>
      <w:r w:rsidRPr="00A46087">
        <w:t>c) despesas incorridas no exercício de suas atividades; e</w:t>
      </w:r>
    </w:p>
    <w:p w14:paraId="3B27E088" w14:textId="77777777" w:rsidR="00AF795C" w:rsidRPr="00A46087" w:rsidRDefault="00AF795C" w:rsidP="00AF795C">
      <w:pPr>
        <w:pStyle w:val="NormaAlterada"/>
      </w:pPr>
      <w:r w:rsidRPr="00A46087">
        <w:lastRenderedPageBreak/>
        <w:t>d) opinião sobre as demonstrações contábeis da classe de cotas e o formulário cujo conteúdo reflita o Suplemento K, fazendo constar do seu parecer as informações complementares que julgar necessárias ou úteis à deliberação da assembleia; e</w:t>
      </w:r>
    </w:p>
    <w:p w14:paraId="03DDA511" w14:textId="77777777" w:rsidR="00AF795C" w:rsidRPr="00A46087" w:rsidRDefault="00AF795C" w:rsidP="00AF795C">
      <w:pPr>
        <w:pStyle w:val="NormaAlterada"/>
      </w:pPr>
      <w:r w:rsidRPr="00A46087">
        <w:t>VII – exercer essas atribuições durante a liquidação da classe de cotas.</w:t>
      </w:r>
    </w:p>
    <w:p w14:paraId="6912209D" w14:textId="77777777" w:rsidR="00AF795C" w:rsidRPr="00A46087" w:rsidRDefault="00AF795C" w:rsidP="00AF795C">
      <w:pPr>
        <w:pStyle w:val="NormaAlterada"/>
      </w:pPr>
      <w:r w:rsidRPr="00A46087">
        <w:t>§ 1</w:t>
      </w:r>
      <w:bookmarkStart w:id="796" w:name="_Int_JjOti5ck"/>
      <w:proofErr w:type="gramStart"/>
      <w:r w:rsidRPr="00A46087">
        <w:t>º  O</w:t>
      </w:r>
      <w:bookmarkEnd w:id="796"/>
      <w:proofErr w:type="gramEnd"/>
      <w:r w:rsidRPr="00A46087">
        <w:t xml:space="preserve"> administrador é obrigado, por meio de comunicação por escrito, a colocar à disposição dos representantes dos cotistas em, no máximo, 90 (noventa) dias a contar do encerramento do exercício social, as demonstrações contábeis e o formulário de que trata a alínea “d” do inciso VI do </w:t>
      </w:r>
      <w:r w:rsidRPr="00A46087">
        <w:rPr>
          <w:b/>
          <w:bCs/>
        </w:rPr>
        <w:t>caput</w:t>
      </w:r>
      <w:r w:rsidRPr="00A46087">
        <w:t>.</w:t>
      </w:r>
      <w:bookmarkStart w:id="797" w:name="art163§2"/>
      <w:bookmarkEnd w:id="797"/>
    </w:p>
    <w:p w14:paraId="777A2403" w14:textId="77777777" w:rsidR="00AF795C" w:rsidRPr="00A46087" w:rsidRDefault="00AF795C" w:rsidP="00AF795C">
      <w:pPr>
        <w:pStyle w:val="NormaAlterada"/>
      </w:pPr>
      <w:r w:rsidRPr="00A46087">
        <w:t>§ 2</w:t>
      </w:r>
      <w:bookmarkStart w:id="798" w:name="_Int_FlNhtjDc"/>
      <w:proofErr w:type="gramStart"/>
      <w:r>
        <w:t xml:space="preserve">º </w:t>
      </w:r>
      <w:r w:rsidRPr="00A46087">
        <w:t xml:space="preserve"> Os</w:t>
      </w:r>
      <w:bookmarkEnd w:id="798"/>
      <w:proofErr w:type="gramEnd"/>
      <w:r w:rsidRPr="00A46087">
        <w:t xml:space="preserve"> representantes de cotistas podem solicitar ao administrador esclarecimentos ou informações, desde que relativas à sua função fiscalizadora.</w:t>
      </w:r>
    </w:p>
    <w:p w14:paraId="23C48665" w14:textId="77777777" w:rsidR="00AF795C" w:rsidRPr="00A46087" w:rsidRDefault="00AF795C" w:rsidP="00AF795C">
      <w:pPr>
        <w:pStyle w:val="NormaAlterada"/>
      </w:pPr>
      <w:r w:rsidRPr="00A46087">
        <w:t>§ 3</w:t>
      </w:r>
      <w:proofErr w:type="gramStart"/>
      <w:r w:rsidRPr="00A46087">
        <w:t xml:space="preserve">º </w:t>
      </w:r>
      <w:r>
        <w:t xml:space="preserve"> </w:t>
      </w:r>
      <w:r w:rsidRPr="00A46087">
        <w:t>Os</w:t>
      </w:r>
      <w:proofErr w:type="gramEnd"/>
      <w:r w:rsidRPr="00A46087">
        <w:t xml:space="preserve"> pareceres e opiniões dos representantes de cotistas devem ser encaminhados ao administrador no prazo de até 15 (quinze) dias, a contar do recebimento das demonstrações contábeis de que trata a alínea “d” do inciso VI do </w:t>
      </w:r>
      <w:r w:rsidRPr="00A46087">
        <w:rPr>
          <w:b/>
          <w:bCs/>
        </w:rPr>
        <w:t>caput</w:t>
      </w:r>
      <w:r w:rsidRPr="00A46087">
        <w:t>, e, tão logo concluídos, no caso dos demais documentos para que o administrador proceda à divulgação nos termos do art. 61 da parte geral da Resolução e do art. 38 deste Anexo Normativo III.</w:t>
      </w:r>
    </w:p>
    <w:p w14:paraId="45649B8B" w14:textId="77777777" w:rsidR="00AF795C" w:rsidRPr="00A46087" w:rsidRDefault="00AF795C" w:rsidP="00AF795C">
      <w:pPr>
        <w:pStyle w:val="NormaAlterada"/>
      </w:pPr>
      <w:bookmarkStart w:id="799" w:name="art163§3"/>
      <w:bookmarkStart w:id="800" w:name="art163§4"/>
      <w:bookmarkStart w:id="801" w:name="art163§8"/>
      <w:bookmarkEnd w:id="799"/>
      <w:bookmarkEnd w:id="800"/>
      <w:bookmarkEnd w:id="801"/>
      <w:r w:rsidRPr="00A46087">
        <w:t>Art. 23.  Os representantes de cotistas devem comparecer às assembleias e responder aos pedidos de informações formulados pelos cotistas.</w:t>
      </w:r>
    </w:p>
    <w:p w14:paraId="3FB00EF2" w14:textId="77777777" w:rsidR="00AF795C" w:rsidRPr="00A46087" w:rsidRDefault="00AF795C" w:rsidP="00AF795C">
      <w:pPr>
        <w:pStyle w:val="NormaAlterada"/>
      </w:pPr>
      <w:bookmarkStart w:id="802" w:name="art164p"/>
      <w:bookmarkEnd w:id="802"/>
      <w:r w:rsidRPr="00A46087">
        <w:t>Parágrafo único.  Os pareceres e representações, individuais ou conjuntos, dos representantes de cotistas podem ser apresentados e lidos na assembleia, independentemente de publicação e ainda que a matéria não conste da ordem do dia.</w:t>
      </w:r>
      <w:bookmarkStart w:id="803" w:name="art165"/>
      <w:bookmarkEnd w:id="803"/>
    </w:p>
    <w:p w14:paraId="603A1F85" w14:textId="77777777" w:rsidR="00AF795C" w:rsidRPr="00A46087" w:rsidRDefault="00AF795C" w:rsidP="00AF795C">
      <w:pPr>
        <w:pStyle w:val="NormaAlterada"/>
      </w:pPr>
      <w:r w:rsidRPr="00A46087">
        <w:t>Art. 24.  Os representantes de cotistas devem exercer suas atividades com boa fé, transparência, diligência e lealdade em relação à classe de cotas e aos cotistas.</w:t>
      </w:r>
    </w:p>
    <w:p w14:paraId="30D827B4" w14:textId="77777777" w:rsidR="00AF795C" w:rsidRPr="00A46087" w:rsidRDefault="00AF795C" w:rsidP="00AF795C">
      <w:pPr>
        <w:pStyle w:val="NormaAlterada"/>
      </w:pPr>
      <w:r w:rsidRPr="00A46087">
        <w:t xml:space="preserve">Parágrafo único. </w:t>
      </w:r>
      <w:r>
        <w:t xml:space="preserve"> </w:t>
      </w:r>
      <w:r w:rsidRPr="00A46087">
        <w:t>Os representantes de cotistas devem exercer suas funções no exclusivo interesse da classe de cotas.</w:t>
      </w:r>
      <w:bookmarkStart w:id="804" w:name="art165§2"/>
      <w:bookmarkEnd w:id="804"/>
    </w:p>
    <w:p w14:paraId="6F77FDED" w14:textId="77777777" w:rsidR="00AF795C" w:rsidRPr="00A46087" w:rsidRDefault="00AF795C" w:rsidP="00AF795C">
      <w:pPr>
        <w:pStyle w:val="Captulo"/>
        <w:rPr>
          <w:b/>
          <w:bCs/>
        </w:rPr>
      </w:pPr>
      <w:bookmarkStart w:id="805" w:name="_Toc161141331"/>
      <w:r w:rsidRPr="00A46087">
        <w:rPr>
          <w:bCs/>
        </w:rPr>
        <w:t xml:space="preserve">CAPÍTULO VI </w:t>
      </w:r>
      <w:r w:rsidRPr="00A46087">
        <w:t>– PRESTAÇÃO DE SERVIÇOS</w:t>
      </w:r>
      <w:bookmarkEnd w:id="805"/>
    </w:p>
    <w:p w14:paraId="69556F9F" w14:textId="77777777" w:rsidR="00AF795C" w:rsidRPr="00A46087" w:rsidRDefault="00AF795C" w:rsidP="00AF795C">
      <w:pPr>
        <w:pStyle w:val="Seo"/>
      </w:pPr>
      <w:bookmarkStart w:id="806" w:name="_Toc161141332"/>
      <w:r w:rsidRPr="00A46087">
        <w:t>Seção I – Disposições Gerais</w:t>
      </w:r>
      <w:bookmarkEnd w:id="806"/>
    </w:p>
    <w:p w14:paraId="0DA810CA" w14:textId="77777777" w:rsidR="00AF795C" w:rsidRPr="00A46087" w:rsidRDefault="00AF795C" w:rsidP="00AF795C">
      <w:pPr>
        <w:pStyle w:val="NormaAlterada"/>
      </w:pPr>
      <w:r w:rsidRPr="00A46087">
        <w:t xml:space="preserve">Art. 25.  A administração do fundo compete, exclusivamente, a bancos comerciais, bancos múltiplos com carteira de investimento ou carteira de crédito imobiliário, bancos de investimento, sociedades </w:t>
      </w:r>
      <w:r w:rsidRPr="00A46087">
        <w:lastRenderedPageBreak/>
        <w:t>corretoras ou sociedades distribuidoras de valores mobiliários, sociedades de crédito imobiliário, caixas econômicas e companhias hipotecárias.</w:t>
      </w:r>
    </w:p>
    <w:p w14:paraId="0398C9B0" w14:textId="77777777" w:rsidR="00AF795C" w:rsidRPr="00A46087" w:rsidRDefault="00AF795C" w:rsidP="00AF795C">
      <w:pPr>
        <w:pStyle w:val="NormaAlterada"/>
      </w:pPr>
      <w:bookmarkStart w:id="807" w:name="_Int_10m0vBcQ"/>
      <w:r w:rsidRPr="00A46087">
        <w:t>Parágrafo único.  A</w:t>
      </w:r>
      <w:bookmarkEnd w:id="807"/>
      <w:r w:rsidRPr="00A46087">
        <w:t xml:space="preserve"> administração do fundo deve ficar sob a supervisão e responsabilidade direta de um diretor estatutário do administrador, especialmente indicado para esse fim.</w:t>
      </w:r>
    </w:p>
    <w:p w14:paraId="177E102D" w14:textId="77777777" w:rsidR="00AF795C" w:rsidRPr="00A46087" w:rsidRDefault="00AF795C" w:rsidP="00AF795C">
      <w:pPr>
        <w:pStyle w:val="NormaAlterada"/>
      </w:pPr>
      <w:r w:rsidRPr="00A46087">
        <w:t>Art. 26.  O administrador deve prover o fundo com os seguintes serviços, seja prestando-os diretamente, hipótese em que deve estar habilitado para tanto, ou indiretamente, por meio da contratação de prestadores de serviços:</w:t>
      </w:r>
    </w:p>
    <w:p w14:paraId="5A3F3A67" w14:textId="77777777" w:rsidR="00AF795C" w:rsidRPr="00A46087" w:rsidRDefault="00AF795C" w:rsidP="00AF795C">
      <w:pPr>
        <w:pStyle w:val="NormaAlterada"/>
      </w:pPr>
      <w:r w:rsidRPr="00A46087">
        <w:t xml:space="preserve">I – </w:t>
      </w:r>
      <w:bookmarkStart w:id="808" w:name="_Int_xaWZ501Q"/>
      <w:proofErr w:type="gramStart"/>
      <w:r w:rsidRPr="00A46087">
        <w:t>departamento</w:t>
      </w:r>
      <w:bookmarkEnd w:id="808"/>
      <w:proofErr w:type="gramEnd"/>
      <w:r w:rsidRPr="00A46087">
        <w:t xml:space="preserve"> técnico habilitado a prestar serviços de análise e acompanhamento de projetos imobiliários; e</w:t>
      </w:r>
    </w:p>
    <w:p w14:paraId="46B07A21" w14:textId="77777777" w:rsidR="00AF795C" w:rsidRPr="00A46087" w:rsidRDefault="00AF795C" w:rsidP="00AF795C">
      <w:pPr>
        <w:pStyle w:val="NormaAlterada"/>
      </w:pPr>
      <w:r w:rsidRPr="00A46087">
        <w:t xml:space="preserve">II – </w:t>
      </w:r>
      <w:proofErr w:type="gramStart"/>
      <w:r w:rsidRPr="00A46087">
        <w:t>custódia</w:t>
      </w:r>
      <w:proofErr w:type="gramEnd"/>
      <w:r w:rsidRPr="00A46087">
        <w:t xml:space="preserve"> de ativos financeiros.</w:t>
      </w:r>
    </w:p>
    <w:p w14:paraId="7B4A0F5D" w14:textId="77777777" w:rsidR="00AF795C" w:rsidRPr="00A46087" w:rsidRDefault="00AF795C" w:rsidP="00AF795C">
      <w:pPr>
        <w:pStyle w:val="NormaAlterada"/>
      </w:pPr>
      <w:r w:rsidRPr="00A46087">
        <w:t>§ 1</w:t>
      </w:r>
      <w:proofErr w:type="gramStart"/>
      <w:r w:rsidRPr="00A46087">
        <w:t>º  Sem</w:t>
      </w:r>
      <w:proofErr w:type="gramEnd"/>
      <w:r w:rsidRPr="00A46087">
        <w:t xml:space="preserve"> prejuízo de sua responsabilidade e da responsabilidade do diretor responsável, o administrador pode, em nome do fundo, contratar junto a terceiros devidamente habilitados a prestação dos serviços indicados neste artigo, mediante deliberação da assembleia de cotistas ou desde que previsto no regulamento.</w:t>
      </w:r>
    </w:p>
    <w:p w14:paraId="633C58A5" w14:textId="77777777" w:rsidR="00AF795C" w:rsidRPr="00A46087" w:rsidRDefault="00AF795C" w:rsidP="00AF795C">
      <w:pPr>
        <w:pStyle w:val="NormaAlterada"/>
      </w:pPr>
      <w:r w:rsidRPr="00A46087">
        <w:t>§ 2</w:t>
      </w:r>
      <w:bookmarkStart w:id="809" w:name="_Int_1O6sPBov"/>
      <w:proofErr w:type="gramStart"/>
      <w:r w:rsidRPr="00A46087">
        <w:t>º  Sem</w:t>
      </w:r>
      <w:bookmarkEnd w:id="809"/>
      <w:proofErr w:type="gramEnd"/>
      <w:r w:rsidRPr="00A46087">
        <w:t xml:space="preserve"> prejuízo da possibilidade de contratar terceiros para a administração dos imóveis, a responsabilidade pela gestão dos ativos imobiliários da carteira compete exclusivamente ao administrador, que detém sua propriedade fiduciária.</w:t>
      </w:r>
    </w:p>
    <w:p w14:paraId="1D21A782" w14:textId="77777777" w:rsidR="00AF795C" w:rsidRPr="00A46087" w:rsidRDefault="00AF795C" w:rsidP="00AF795C">
      <w:pPr>
        <w:pStyle w:val="NormaAlterada"/>
      </w:pPr>
      <w:r w:rsidRPr="00A46087">
        <w:t>§ 3</w:t>
      </w:r>
      <w:bookmarkStart w:id="810" w:name="_Int_tLtd6hH3"/>
      <w:proofErr w:type="gramStart"/>
      <w:r w:rsidRPr="00A46087">
        <w:t>º  É</w:t>
      </w:r>
      <w:bookmarkEnd w:id="810"/>
      <w:proofErr w:type="gramEnd"/>
      <w:r w:rsidRPr="00A46087">
        <w:t xml:space="preserve"> dispensada a contratação do serviço de custódia para os ativos financeiros que representem até 5% (cinco por cento) do patrimônio líquido da classe de cotas, desde que tais ativos estejam admitidos à negociação em mercado organizado de valores mobiliários ou registrados em sistema de registro e de liquidação financeira autorizado pelo Banco Central do Brasil ou pela CVM.</w:t>
      </w:r>
    </w:p>
    <w:p w14:paraId="2F23D97B" w14:textId="77777777" w:rsidR="00AF795C" w:rsidRPr="00A46087" w:rsidRDefault="00AF795C" w:rsidP="00AF795C">
      <w:pPr>
        <w:pStyle w:val="NormaAlterada"/>
      </w:pPr>
      <w:r w:rsidRPr="00A46087">
        <w:t>Art. 27.  O administrador pode contratar, em nome do fundo, os seguintes serviços facultativos:</w:t>
      </w:r>
    </w:p>
    <w:p w14:paraId="0D5B0074" w14:textId="77777777" w:rsidR="00AF795C" w:rsidRPr="00A46087" w:rsidRDefault="00AF795C" w:rsidP="00AF795C">
      <w:pPr>
        <w:pStyle w:val="NormaAlterada"/>
      </w:pPr>
      <w:r w:rsidRPr="00A46087">
        <w:t xml:space="preserve">I – </w:t>
      </w:r>
      <w:bookmarkStart w:id="811" w:name="_Int_o4PAKm1u"/>
      <w:proofErr w:type="gramStart"/>
      <w:r w:rsidRPr="00A46087">
        <w:t>distribuição</w:t>
      </w:r>
      <w:bookmarkEnd w:id="811"/>
      <w:proofErr w:type="gramEnd"/>
      <w:r w:rsidRPr="00A46087">
        <w:t xml:space="preserve"> primária de cotas;</w:t>
      </w:r>
    </w:p>
    <w:p w14:paraId="772D2187" w14:textId="77777777" w:rsidR="00AF795C" w:rsidRPr="00A46087" w:rsidRDefault="00AF795C" w:rsidP="00AF795C">
      <w:pPr>
        <w:pStyle w:val="NormaAlterada"/>
      </w:pPr>
      <w:r w:rsidRPr="00A46087">
        <w:t xml:space="preserve">II – </w:t>
      </w:r>
      <w:bookmarkStart w:id="812" w:name="_Int_YyExXhI7"/>
      <w:proofErr w:type="gramStart"/>
      <w:r w:rsidRPr="00A46087">
        <w:t>consultoria</w:t>
      </w:r>
      <w:bookmarkEnd w:id="812"/>
      <w:proofErr w:type="gramEnd"/>
      <w:r w:rsidRPr="00A46087">
        <w:t xml:space="preserve"> especializada, que objetive dar suporte e subsidiar as atividades de análise, seleção, acompanhamento e avaliação de empreendimentos imobiliários e demais ativos integrantes ou que possam vir a integrar a carteira de ativos; </w:t>
      </w:r>
    </w:p>
    <w:p w14:paraId="196C2B83" w14:textId="77777777" w:rsidR="00AF795C" w:rsidRPr="00A46087" w:rsidRDefault="00AF795C" w:rsidP="00AF795C">
      <w:pPr>
        <w:pStyle w:val="NormaAlterada"/>
      </w:pPr>
      <w:r w:rsidRPr="00A46087">
        <w:lastRenderedPageBreak/>
        <w:t>III – empresa especializada para administrar as locações ou arrendamentos de empreendimentos integrantes do patrimônio da classe de cotas, a exploração do direito de superfície, monitorar e acompanhar projetos e a comercialização dos respectivos imóveis e consolidar dados econômicos e financeiros selecionados das companhias investidas para fins de monitoramento; e</w:t>
      </w:r>
    </w:p>
    <w:p w14:paraId="65CDF09E" w14:textId="77777777" w:rsidR="00AF795C" w:rsidRPr="00A46087" w:rsidRDefault="00AF795C" w:rsidP="00AF795C">
      <w:pPr>
        <w:pStyle w:val="NormaAlterada"/>
      </w:pPr>
      <w:r w:rsidRPr="00A46087">
        <w:t xml:space="preserve">IV – </w:t>
      </w:r>
      <w:bookmarkStart w:id="813" w:name="_Int_Ujl9TfUV"/>
      <w:proofErr w:type="gramStart"/>
      <w:r w:rsidRPr="00A46087">
        <w:t>formador</w:t>
      </w:r>
      <w:bookmarkEnd w:id="813"/>
      <w:proofErr w:type="gramEnd"/>
      <w:r w:rsidRPr="00A46087">
        <w:t xml:space="preserve"> de mercado para as cotas.</w:t>
      </w:r>
    </w:p>
    <w:p w14:paraId="2894C7CC" w14:textId="77777777" w:rsidR="00AF795C" w:rsidRPr="00A46087" w:rsidRDefault="00AF795C" w:rsidP="00AF795C">
      <w:pPr>
        <w:pStyle w:val="NormaAlterada"/>
      </w:pPr>
      <w:r w:rsidRPr="00A46087">
        <w:t>§ 1</w:t>
      </w:r>
      <w:bookmarkStart w:id="814" w:name="_Int_SiUxDZfo"/>
      <w:proofErr w:type="gramStart"/>
      <w:r w:rsidRPr="00A46087">
        <w:t>º  A</w:t>
      </w:r>
      <w:bookmarkEnd w:id="814"/>
      <w:proofErr w:type="gramEnd"/>
      <w:r w:rsidRPr="00A46087">
        <w:t xml:space="preserve"> contratação do administrador, gestor, consultor especializado ou partes relacionadas para o exercício da função de formador de mercado deve ser submetida à prévia aprovação da assembleia de cotistas.</w:t>
      </w:r>
    </w:p>
    <w:p w14:paraId="6EC1B440" w14:textId="77777777" w:rsidR="00AF795C" w:rsidRPr="00A46087" w:rsidRDefault="00AF795C" w:rsidP="00AF795C">
      <w:pPr>
        <w:pStyle w:val="NormaAlterada"/>
      </w:pPr>
      <w:r w:rsidRPr="00A46087">
        <w:t>§ 2</w:t>
      </w:r>
      <w:bookmarkStart w:id="815" w:name="_Int_6MhAac8j"/>
      <w:proofErr w:type="gramStart"/>
      <w:r w:rsidRPr="00A46087">
        <w:t>º  Os</w:t>
      </w:r>
      <w:bookmarkEnd w:id="815"/>
      <w:proofErr w:type="gramEnd"/>
      <w:r w:rsidRPr="00A46087">
        <w:t xml:space="preserve"> custos com a contratação de terceiros para os serviços abaixo relacionados devem ser arcados pelo administrador:</w:t>
      </w:r>
    </w:p>
    <w:p w14:paraId="182CDE9C" w14:textId="77777777" w:rsidR="00AF795C" w:rsidRPr="00A46087" w:rsidRDefault="00AF795C" w:rsidP="00AF795C">
      <w:pPr>
        <w:pStyle w:val="NormaAlterada"/>
      </w:pPr>
      <w:r w:rsidRPr="00A46087">
        <w:t xml:space="preserve">I – </w:t>
      </w:r>
      <w:bookmarkStart w:id="816" w:name="_Int_ZGJPCvOn"/>
      <w:proofErr w:type="gramStart"/>
      <w:r w:rsidRPr="00A46087">
        <w:t>departamento</w:t>
      </w:r>
      <w:bookmarkEnd w:id="816"/>
      <w:proofErr w:type="gramEnd"/>
      <w:r w:rsidRPr="00A46087">
        <w:t xml:space="preserve"> técnico habilitado a prestar serviços de análise e acompanhamento de projetos imobiliários;</w:t>
      </w:r>
    </w:p>
    <w:p w14:paraId="0C64B4C2" w14:textId="77777777" w:rsidR="00AF795C" w:rsidRPr="00A46087" w:rsidRDefault="00AF795C" w:rsidP="00AF795C">
      <w:pPr>
        <w:pStyle w:val="NormaAlterada"/>
      </w:pPr>
      <w:r w:rsidRPr="00A46087">
        <w:t xml:space="preserve">II – </w:t>
      </w:r>
      <w:bookmarkStart w:id="817" w:name="_Int_SF6VJPcx"/>
      <w:proofErr w:type="gramStart"/>
      <w:r w:rsidRPr="00A46087">
        <w:t>atividades</w:t>
      </w:r>
      <w:bookmarkEnd w:id="817"/>
      <w:proofErr w:type="gramEnd"/>
      <w:r w:rsidRPr="00A46087">
        <w:t xml:space="preserve"> de tesouraria, de controle e processamento de ativos;</w:t>
      </w:r>
    </w:p>
    <w:p w14:paraId="0E771ECB" w14:textId="77777777" w:rsidR="00AF795C" w:rsidRPr="00A46087" w:rsidRDefault="00AF795C" w:rsidP="00AF795C">
      <w:pPr>
        <w:pStyle w:val="NormaAlterada"/>
      </w:pPr>
      <w:r w:rsidRPr="00A46087">
        <w:t>III – escrituração de cotas; e</w:t>
      </w:r>
    </w:p>
    <w:p w14:paraId="0AE4FA96" w14:textId="77777777" w:rsidR="00AF795C" w:rsidRPr="00A46087" w:rsidRDefault="00AF795C" w:rsidP="00AF795C">
      <w:pPr>
        <w:pStyle w:val="NormaAlterada"/>
      </w:pPr>
      <w:r w:rsidRPr="00A46087">
        <w:t xml:space="preserve">IV - </w:t>
      </w:r>
      <w:bookmarkStart w:id="818" w:name="_Int_l4PftOSh"/>
      <w:proofErr w:type="gramStart"/>
      <w:r w:rsidRPr="00A46087">
        <w:t>gestão</w:t>
      </w:r>
      <w:bookmarkEnd w:id="818"/>
      <w:proofErr w:type="gramEnd"/>
      <w:r w:rsidRPr="00A46087">
        <w:t xml:space="preserve"> dos valores mobiliários integrantes da carteira de ativos, na hipótese de o administrador ser o único prestador de serviços essenciais.</w:t>
      </w:r>
    </w:p>
    <w:p w14:paraId="0D6DFFBF" w14:textId="77777777" w:rsidR="00AF795C" w:rsidRPr="00A46087" w:rsidRDefault="00AF795C" w:rsidP="00AF795C">
      <w:pPr>
        <w:pStyle w:val="NormaAlterada"/>
      </w:pPr>
      <w:r w:rsidRPr="00A46087">
        <w:t>Art. 28.  Caso o administrador seja o único prestador de serviço essencia</w:t>
      </w:r>
      <w:r>
        <w:t>l</w:t>
      </w:r>
      <w:r w:rsidRPr="00A46087">
        <w:t xml:space="preserve"> do fundo, a contratação de serviços deve ocorrer conforme disposto nos </w:t>
      </w:r>
      <w:proofErr w:type="spellStart"/>
      <w:r w:rsidRPr="00A46087">
        <w:t>arts</w:t>
      </w:r>
      <w:proofErr w:type="spellEnd"/>
      <w:r w:rsidRPr="00A46087">
        <w:t>. 83 e 85 da parte geral da Resolução.</w:t>
      </w:r>
    </w:p>
    <w:p w14:paraId="4FF8FF27" w14:textId="77777777" w:rsidR="00AF795C" w:rsidRPr="00A46087" w:rsidRDefault="00AF795C" w:rsidP="00AF795C">
      <w:pPr>
        <w:pStyle w:val="Seo"/>
      </w:pPr>
      <w:bookmarkStart w:id="819" w:name="_Toc161141333"/>
      <w:r w:rsidRPr="00A46087">
        <w:t>Seção II – Administração</w:t>
      </w:r>
      <w:bookmarkEnd w:id="819"/>
    </w:p>
    <w:p w14:paraId="1E6160EC" w14:textId="77777777" w:rsidR="00AF795C" w:rsidRPr="00A46087" w:rsidRDefault="00AF795C" w:rsidP="00AF795C">
      <w:pPr>
        <w:pStyle w:val="NormaAlterada"/>
        <w:rPr>
          <w:b/>
          <w:bCs/>
          <w:lang w:val="x-none"/>
        </w:rPr>
      </w:pPr>
      <w:r w:rsidRPr="00A46087">
        <w:rPr>
          <w:lang w:val="x-none"/>
        </w:rPr>
        <w:t xml:space="preserve">Art. </w:t>
      </w:r>
      <w:r w:rsidRPr="00A46087">
        <w:t>29</w:t>
      </w:r>
      <w:r w:rsidRPr="00A46087">
        <w:rPr>
          <w:lang w:val="x-none"/>
        </w:rPr>
        <w:t xml:space="preserve">. </w:t>
      </w:r>
      <w:r w:rsidRPr="00A46087">
        <w:rPr>
          <w:bCs/>
          <w:lang w:val="x-none"/>
        </w:rPr>
        <w:t xml:space="preserve"> Compete ao administrador, observado o disposto no regulamento:</w:t>
      </w:r>
    </w:p>
    <w:p w14:paraId="18D00AD7" w14:textId="77777777" w:rsidR="00AF795C" w:rsidRPr="00A46087" w:rsidRDefault="00AF795C" w:rsidP="00AF795C">
      <w:pPr>
        <w:pStyle w:val="NormaAlterada"/>
      </w:pPr>
      <w:r w:rsidRPr="00A46087">
        <w:t xml:space="preserve">I – </w:t>
      </w:r>
      <w:bookmarkStart w:id="820" w:name="_Int_p2oOMQjK"/>
      <w:proofErr w:type="gramStart"/>
      <w:r w:rsidRPr="00A46087">
        <w:t>realizar</w:t>
      </w:r>
      <w:bookmarkEnd w:id="820"/>
      <w:proofErr w:type="gramEnd"/>
      <w:r w:rsidRPr="00A46087">
        <w:t xml:space="preserve"> todas as operações e praticar todos os atos que se relacionem com o objeto da classe de cotas; </w:t>
      </w:r>
    </w:p>
    <w:p w14:paraId="003C8A10" w14:textId="77777777" w:rsidR="00AF795C" w:rsidRPr="00A46087" w:rsidRDefault="00AF795C" w:rsidP="00AF795C">
      <w:pPr>
        <w:pStyle w:val="NormaAlterada"/>
      </w:pPr>
      <w:r w:rsidRPr="00A46087">
        <w:t xml:space="preserve">II – </w:t>
      </w:r>
      <w:bookmarkStart w:id="821" w:name="_Int_UWMBX07c"/>
      <w:proofErr w:type="gramStart"/>
      <w:r w:rsidRPr="00A46087">
        <w:t>exercer</w:t>
      </w:r>
      <w:bookmarkEnd w:id="821"/>
      <w:proofErr w:type="gramEnd"/>
      <w:r w:rsidRPr="00A46087">
        <w:t xml:space="preserve"> todos os direitos inerentes à propriedade dos bens e direitos integrantes do patrimônio da classe de cotas;</w:t>
      </w:r>
    </w:p>
    <w:p w14:paraId="2D8944E1" w14:textId="77777777" w:rsidR="00AF795C" w:rsidRPr="00A46087" w:rsidRDefault="00AF795C" w:rsidP="00AF795C">
      <w:pPr>
        <w:pStyle w:val="NormaAlterada"/>
      </w:pPr>
      <w:r w:rsidRPr="00A46087">
        <w:t>III – abrir e movimentar contas bancárias;</w:t>
      </w:r>
    </w:p>
    <w:p w14:paraId="06244702" w14:textId="77777777" w:rsidR="00AF795C" w:rsidRPr="00A46087" w:rsidRDefault="00AF795C" w:rsidP="00AF795C">
      <w:pPr>
        <w:pStyle w:val="NormaAlterada"/>
      </w:pPr>
      <w:r w:rsidRPr="00A46087">
        <w:t xml:space="preserve">IV – </w:t>
      </w:r>
      <w:bookmarkStart w:id="822" w:name="_Int_r1FPt8du"/>
      <w:proofErr w:type="gramStart"/>
      <w:r w:rsidRPr="00A46087">
        <w:t>representar</w:t>
      </w:r>
      <w:bookmarkEnd w:id="822"/>
      <w:proofErr w:type="gramEnd"/>
      <w:r w:rsidRPr="00A46087">
        <w:t xml:space="preserve"> a classe de cotas em juízo e fora dele; </w:t>
      </w:r>
    </w:p>
    <w:p w14:paraId="38C4BC5E" w14:textId="77777777" w:rsidR="00AF795C" w:rsidRPr="00A46087" w:rsidRDefault="00AF795C" w:rsidP="00AF795C">
      <w:pPr>
        <w:pStyle w:val="NormaAlterada"/>
      </w:pPr>
      <w:r w:rsidRPr="00A46087">
        <w:lastRenderedPageBreak/>
        <w:t xml:space="preserve">V – </w:t>
      </w:r>
      <w:bookmarkStart w:id="823" w:name="_Int_t6MNfEIH"/>
      <w:proofErr w:type="gramStart"/>
      <w:r w:rsidRPr="00A46087">
        <w:t>solicitar</w:t>
      </w:r>
      <w:bookmarkEnd w:id="823"/>
      <w:proofErr w:type="gramEnd"/>
      <w:r w:rsidRPr="00A46087">
        <w:t>, se for o caso, a admissão à negociação de cotas em mercado organizado; e</w:t>
      </w:r>
    </w:p>
    <w:p w14:paraId="6E7B352B" w14:textId="77777777" w:rsidR="00AF795C" w:rsidRPr="00A46087" w:rsidRDefault="00AF795C" w:rsidP="00AF795C">
      <w:pPr>
        <w:pStyle w:val="NormaAlterada"/>
      </w:pPr>
      <w:r w:rsidRPr="00A46087">
        <w:t xml:space="preserve">VI – </w:t>
      </w:r>
      <w:proofErr w:type="gramStart"/>
      <w:r w:rsidRPr="00A46087">
        <w:t>deliberar</w:t>
      </w:r>
      <w:proofErr w:type="gramEnd"/>
      <w:r w:rsidRPr="00A46087">
        <w:t xml:space="preserve"> sobre a emissão de novas cotas, observados os limites e condições estabelecidos no regulamento, nos termos do inciso VII do § 2º do art. 48 da parte geral da Resolução.</w:t>
      </w:r>
    </w:p>
    <w:p w14:paraId="07B3965B" w14:textId="77777777" w:rsidR="00AF795C" w:rsidRPr="00A46087" w:rsidRDefault="00AF795C" w:rsidP="00AF795C">
      <w:pPr>
        <w:pStyle w:val="NormaAlterada"/>
      </w:pPr>
      <w:r w:rsidRPr="00A46087">
        <w:t xml:space="preserve">Art. 30.  Em acréscimo às obrigações dispostas no art. 104 da parte geral da Resolução, cabe ao administrador: </w:t>
      </w:r>
    </w:p>
    <w:p w14:paraId="0F9BCB8C" w14:textId="77777777" w:rsidR="00AF795C" w:rsidRPr="00A46087" w:rsidDel="00381D2A" w:rsidRDefault="00AF795C" w:rsidP="00AF795C">
      <w:pPr>
        <w:pStyle w:val="NormaAlterada"/>
      </w:pPr>
      <w:r w:rsidRPr="00A46087">
        <w:t xml:space="preserve">I – </w:t>
      </w:r>
      <w:bookmarkStart w:id="824" w:name="_Int_rItcZ55E"/>
      <w:proofErr w:type="gramStart"/>
      <w:r w:rsidRPr="00A46087">
        <w:t>selecionar</w:t>
      </w:r>
      <w:bookmarkEnd w:id="824"/>
      <w:proofErr w:type="gramEnd"/>
      <w:r w:rsidRPr="00A46087">
        <w:t xml:space="preserve"> os bens e direitos que comporão o patrimônio da classe de cotas, de acordo com a política de investimento prevista no respectivo regulamento;</w:t>
      </w:r>
    </w:p>
    <w:p w14:paraId="66DC6CF5" w14:textId="77777777" w:rsidR="00AF795C" w:rsidRPr="00A46087" w:rsidRDefault="00AF795C" w:rsidP="00AF795C">
      <w:pPr>
        <w:pStyle w:val="NormaAlterada"/>
      </w:pPr>
      <w:r w:rsidRPr="00A46087">
        <w:t xml:space="preserve">II – </w:t>
      </w:r>
      <w:bookmarkStart w:id="825" w:name="_Int_SVvnqlut"/>
      <w:proofErr w:type="gramStart"/>
      <w:r w:rsidRPr="00A46087">
        <w:t>providenciar</w:t>
      </w:r>
      <w:bookmarkEnd w:id="825"/>
      <w:proofErr w:type="gramEnd"/>
      <w:r w:rsidRPr="00A46087">
        <w:t xml:space="preserve"> a averbação, no cartório de registro de imóveis, das restrições determinadas pelo art. 7º da Lei n</w:t>
      </w:r>
      <w:r w:rsidRPr="00A46087">
        <w:rPr>
          <w:u w:val="single"/>
          <w:vertAlign w:val="superscript"/>
        </w:rPr>
        <w:t>º</w:t>
      </w:r>
      <w:r>
        <w:t xml:space="preserve"> 8.668, de 25 de junho de </w:t>
      </w:r>
      <w:r w:rsidRPr="00A46087">
        <w:t>1993, fazendo constar nas matrículas dos bens imóveis e direitos integrantes da carteira que tais ativos imobiliários:</w:t>
      </w:r>
    </w:p>
    <w:p w14:paraId="314CEE90" w14:textId="77777777" w:rsidR="00AF795C" w:rsidRPr="00A46087" w:rsidRDefault="00AF795C" w:rsidP="00AF795C">
      <w:pPr>
        <w:pStyle w:val="NormaAlterada"/>
      </w:pPr>
      <w:r w:rsidRPr="00A46087">
        <w:t>a) não integram o ativo do administrador;</w:t>
      </w:r>
    </w:p>
    <w:p w14:paraId="6F68D1F1" w14:textId="77777777" w:rsidR="00AF795C" w:rsidRPr="00A46087" w:rsidRDefault="00AF795C" w:rsidP="00AF795C">
      <w:pPr>
        <w:pStyle w:val="NormaAlterada"/>
      </w:pPr>
      <w:r w:rsidRPr="00A46087">
        <w:t>b) não respondem direta ou indiretamente por qualquer obrigação do administrador;</w:t>
      </w:r>
    </w:p>
    <w:p w14:paraId="234AFD45" w14:textId="77777777" w:rsidR="00AF795C" w:rsidRPr="00A46087" w:rsidRDefault="00AF795C" w:rsidP="00AF795C">
      <w:pPr>
        <w:pStyle w:val="NormaAlterada"/>
      </w:pPr>
      <w:r w:rsidRPr="00A46087">
        <w:t>c) não compõem a lista de bens e direitos do administrador, para efeito de liquidação judicial ou extrajudicial;</w:t>
      </w:r>
    </w:p>
    <w:p w14:paraId="0EE2F724" w14:textId="77777777" w:rsidR="00AF795C" w:rsidRPr="00A46087" w:rsidRDefault="00AF795C" w:rsidP="00AF795C">
      <w:pPr>
        <w:pStyle w:val="NormaAlterada"/>
      </w:pPr>
      <w:r w:rsidRPr="00A46087">
        <w:t>d) não podem ser dados em garantia de débito de operação do administrador;</w:t>
      </w:r>
    </w:p>
    <w:p w14:paraId="342FE6F6" w14:textId="77777777" w:rsidR="00AF795C" w:rsidRPr="00A46087" w:rsidRDefault="00AF795C" w:rsidP="00AF795C">
      <w:pPr>
        <w:pStyle w:val="NormaAlterada"/>
      </w:pPr>
      <w:r w:rsidRPr="00A46087">
        <w:t>e) não são passíveis de execução por quaisquer credores do administrador, por mais privilegiados que possam ser; e</w:t>
      </w:r>
    </w:p>
    <w:p w14:paraId="2CBC3EC4" w14:textId="77777777" w:rsidR="00AF795C" w:rsidRPr="00A46087" w:rsidRDefault="00AF795C" w:rsidP="00AF795C">
      <w:pPr>
        <w:pStyle w:val="NormaAlterada"/>
      </w:pPr>
      <w:r w:rsidRPr="00A46087">
        <w:t>f) não podem ser objeto de constituição de quaisquer ônus reais</w:t>
      </w:r>
      <w:r>
        <w:t>;</w:t>
      </w:r>
    </w:p>
    <w:p w14:paraId="4CC09F0C" w14:textId="77777777" w:rsidR="00AF795C" w:rsidRPr="00A46087" w:rsidRDefault="00AF795C" w:rsidP="00AF795C">
      <w:pPr>
        <w:pStyle w:val="NormaAlterada"/>
      </w:pPr>
      <w:r w:rsidRPr="00A46087">
        <w:t>III – diligenciar para que sejam mantidos, às suas expensas, atualizados e em perfeita ordem:</w:t>
      </w:r>
    </w:p>
    <w:p w14:paraId="14A271E5" w14:textId="77777777" w:rsidR="00AF795C" w:rsidRPr="00A46087" w:rsidRDefault="00AF795C" w:rsidP="00AF795C">
      <w:pPr>
        <w:pStyle w:val="NormaAlterada"/>
      </w:pPr>
      <w:r w:rsidRPr="00A46087">
        <w:t>a) a documentação relativa aos imóveis e às operações do fundo; e</w:t>
      </w:r>
    </w:p>
    <w:p w14:paraId="36F80C33" w14:textId="77777777" w:rsidR="00AF795C" w:rsidRPr="00A46087" w:rsidRDefault="00AF795C" w:rsidP="00AF795C">
      <w:pPr>
        <w:pStyle w:val="NormaAlterada"/>
      </w:pPr>
      <w:r w:rsidRPr="00A46087">
        <w:t xml:space="preserve">b) os relatórios dos representantes de cotistas e dos profissionais ou empresas contratadas nos termos do </w:t>
      </w:r>
      <w:proofErr w:type="spellStart"/>
      <w:r w:rsidRPr="00A46087">
        <w:t>arts</w:t>
      </w:r>
      <w:proofErr w:type="spellEnd"/>
      <w:r w:rsidRPr="00A46087">
        <w:t>. 26 e 27 deste Anexo Normativo III, quando for o caso;</w:t>
      </w:r>
    </w:p>
    <w:p w14:paraId="64F8C83B" w14:textId="77777777" w:rsidR="00AF795C" w:rsidRPr="00A46087" w:rsidRDefault="00AF795C" w:rsidP="00AF795C">
      <w:pPr>
        <w:pStyle w:val="NormaAlterada"/>
      </w:pPr>
      <w:r w:rsidRPr="00A46087">
        <w:t xml:space="preserve">IV – </w:t>
      </w:r>
      <w:proofErr w:type="gramStart"/>
      <w:r w:rsidRPr="00A46087">
        <w:t>receber</w:t>
      </w:r>
      <w:proofErr w:type="gramEnd"/>
      <w:r w:rsidRPr="00A46087">
        <w:t xml:space="preserve"> rendimentos ou quaisquer valores devidos à classe;</w:t>
      </w:r>
    </w:p>
    <w:p w14:paraId="3726791E" w14:textId="77777777" w:rsidR="00AF795C" w:rsidRPr="00A46087" w:rsidRDefault="00AF795C" w:rsidP="00AF795C">
      <w:pPr>
        <w:pStyle w:val="NormaAlterada"/>
      </w:pPr>
      <w:r w:rsidRPr="00A46087">
        <w:t xml:space="preserve">V – </w:t>
      </w:r>
      <w:proofErr w:type="gramStart"/>
      <w:r w:rsidRPr="00A46087">
        <w:t>custear</w:t>
      </w:r>
      <w:proofErr w:type="gramEnd"/>
      <w:r w:rsidRPr="00A46087">
        <w:t xml:space="preserve"> as despesas de propaganda da classe, exceto pelas despesas de propaganda em período de distribuição de cotas, que podem ser arcadas pela classe; e</w:t>
      </w:r>
    </w:p>
    <w:p w14:paraId="5A014D23" w14:textId="77777777" w:rsidR="00AF795C" w:rsidRPr="00A46087" w:rsidRDefault="00AF795C" w:rsidP="00AF795C">
      <w:pPr>
        <w:pStyle w:val="NormaAlterada"/>
      </w:pPr>
      <w:r w:rsidRPr="00A46087">
        <w:t xml:space="preserve">VI – </w:t>
      </w:r>
      <w:proofErr w:type="gramStart"/>
      <w:r w:rsidRPr="00A46087">
        <w:t>fiscalizar</w:t>
      </w:r>
      <w:proofErr w:type="gramEnd"/>
      <w:r w:rsidRPr="00A46087">
        <w:t xml:space="preserve"> o andamento dos empreendimentos imobiliários que constituem ativo da classe.</w:t>
      </w:r>
    </w:p>
    <w:p w14:paraId="7EF91E5D" w14:textId="77777777" w:rsidR="00AF795C" w:rsidRPr="00A46087" w:rsidRDefault="00AF795C" w:rsidP="00AF795C">
      <w:pPr>
        <w:pStyle w:val="NormaAlterada"/>
      </w:pPr>
      <w:r w:rsidRPr="00A46087">
        <w:lastRenderedPageBreak/>
        <w:t xml:space="preserve">Parágrafo </w:t>
      </w:r>
      <w:r w:rsidRPr="00A46087">
        <w:rPr>
          <w:rFonts w:hint="eastAsia"/>
        </w:rPr>
        <w:t>ú</w:t>
      </w:r>
      <w:r w:rsidRPr="00A46087">
        <w:t>nico.  Os contratos de custódia devem conter cláusula que:</w:t>
      </w:r>
    </w:p>
    <w:p w14:paraId="360ED025" w14:textId="77777777" w:rsidR="00AF795C" w:rsidRPr="00A46087" w:rsidRDefault="00AF795C" w:rsidP="00AF795C">
      <w:pPr>
        <w:pStyle w:val="NormaAlterada"/>
      </w:pPr>
      <w:r w:rsidRPr="00A46087">
        <w:t xml:space="preserve">I </w:t>
      </w:r>
      <w:r w:rsidRPr="00A46087">
        <w:rPr>
          <w:rFonts w:hint="eastAsia"/>
        </w:rPr>
        <w:t>–</w:t>
      </w:r>
      <w:r w:rsidRPr="00A46087">
        <w:t xml:space="preserve"> </w:t>
      </w:r>
      <w:bookmarkStart w:id="826" w:name="_Int_B4k2MfQf"/>
      <w:proofErr w:type="gramStart"/>
      <w:r w:rsidRPr="00A46087">
        <w:t>estipule</w:t>
      </w:r>
      <w:bookmarkEnd w:id="826"/>
      <w:proofErr w:type="gramEnd"/>
      <w:r w:rsidRPr="00A46087">
        <w:t xml:space="preserve"> que somente as ordens emitidas pelo administrador, pelo gestor ou por seus representantes legais ou mandatários, devidamente autorizados, podem ser acatadas pela instituição custodiante;</w:t>
      </w:r>
    </w:p>
    <w:p w14:paraId="7153E6BE" w14:textId="77777777" w:rsidR="00AF795C" w:rsidRPr="00A46087" w:rsidRDefault="00AF795C" w:rsidP="00AF795C">
      <w:pPr>
        <w:pStyle w:val="NormaAlterada"/>
      </w:pPr>
      <w:r w:rsidRPr="00A46087">
        <w:t xml:space="preserve">II – </w:t>
      </w:r>
      <w:bookmarkStart w:id="827" w:name="_Int_YexUrtdv"/>
      <w:proofErr w:type="gramStart"/>
      <w:r w:rsidRPr="00A46087">
        <w:t>vede</w:t>
      </w:r>
      <w:bookmarkEnd w:id="827"/>
      <w:proofErr w:type="gramEnd"/>
      <w:r w:rsidRPr="00A46087">
        <w:t xml:space="preserve"> ao custodiante a execução de ordens que não estejam diretamente vinculadas às operações da classe; e</w:t>
      </w:r>
    </w:p>
    <w:p w14:paraId="3AC7F5EB" w14:textId="77777777" w:rsidR="00AF795C" w:rsidRPr="00A46087" w:rsidRDefault="00AF795C" w:rsidP="00AF795C">
      <w:pPr>
        <w:pStyle w:val="NormaAlterada"/>
      </w:pPr>
      <w:r w:rsidRPr="00A46087">
        <w:t>III – estipule com clareza o preço dos serviços.</w:t>
      </w:r>
    </w:p>
    <w:p w14:paraId="24320B9E" w14:textId="77777777" w:rsidR="00AF795C" w:rsidRPr="00A46087" w:rsidRDefault="00AF795C" w:rsidP="00AF795C">
      <w:pPr>
        <w:pStyle w:val="NormaAlterada"/>
      </w:pPr>
      <w:r w:rsidRPr="00A46087">
        <w:t>Art. 31.</w:t>
      </w:r>
      <w:r>
        <w:t xml:space="preserve"> </w:t>
      </w:r>
      <w:r w:rsidRPr="00A46087">
        <w:t xml:space="preserve"> Os atos que caracterizem conflito de interesses entre a classe de cotas e o administrador, gestor ou consultor especializado dependem de aprovação prévia, específica e informada da assembleia de cotistas.</w:t>
      </w:r>
    </w:p>
    <w:p w14:paraId="2EF47EAC" w14:textId="77777777" w:rsidR="00AF795C" w:rsidRPr="00A46087" w:rsidRDefault="00AF795C" w:rsidP="00AF795C">
      <w:pPr>
        <w:pStyle w:val="NormaAlterada"/>
      </w:pPr>
      <w:r w:rsidRPr="00A46087">
        <w:t>§ 1</w:t>
      </w:r>
      <w:bookmarkStart w:id="828" w:name="_Int_F0blAA2H"/>
      <w:proofErr w:type="gramStart"/>
      <w:r w:rsidRPr="00A46087">
        <w:t>º  As</w:t>
      </w:r>
      <w:bookmarkEnd w:id="828"/>
      <w:proofErr w:type="gramEnd"/>
      <w:r w:rsidRPr="00A46087">
        <w:t xml:space="preserve"> seguintes hipóteses são exemplos de situação de conflito de interesses:</w:t>
      </w:r>
    </w:p>
    <w:p w14:paraId="74AC50E4" w14:textId="77777777" w:rsidR="00AF795C" w:rsidRPr="00A46087" w:rsidRDefault="00AF795C" w:rsidP="00AF795C">
      <w:pPr>
        <w:pStyle w:val="NormaAlterada"/>
      </w:pPr>
      <w:r w:rsidRPr="00A46087">
        <w:t xml:space="preserve">I – </w:t>
      </w:r>
      <w:bookmarkStart w:id="829" w:name="_Int_NFyzjfsB"/>
      <w:proofErr w:type="gramStart"/>
      <w:r w:rsidRPr="00A46087">
        <w:t>a</w:t>
      </w:r>
      <w:bookmarkEnd w:id="829"/>
      <w:proofErr w:type="gramEnd"/>
      <w:r w:rsidRPr="00A46087">
        <w:t xml:space="preserve"> aquisição, locação, arrendamento ou exploração do direito de superfície, pela classe de cotas, de imóvel de propriedade do administrador, gestor, consultor especializado ou de pessoas a eles ligadas;</w:t>
      </w:r>
    </w:p>
    <w:p w14:paraId="11A834D1" w14:textId="77777777" w:rsidR="00AF795C" w:rsidRPr="00A46087" w:rsidRDefault="00AF795C" w:rsidP="00AF795C">
      <w:pPr>
        <w:pStyle w:val="NormaAlterada"/>
      </w:pPr>
      <w:r w:rsidRPr="00A46087">
        <w:t xml:space="preserve">II – </w:t>
      </w:r>
      <w:bookmarkStart w:id="830" w:name="_Int_EKW8XPSG"/>
      <w:proofErr w:type="gramStart"/>
      <w:r w:rsidRPr="00A46087">
        <w:t>a</w:t>
      </w:r>
      <w:bookmarkEnd w:id="830"/>
      <w:proofErr w:type="gramEnd"/>
      <w:r w:rsidRPr="00A46087">
        <w:t xml:space="preserve"> alienação, locação ou arrendamento ou exploração do direito de superfície de imóvel integrante do patrimônio da classe de cotas tendo como contraparte o administrador, gestor, consultor especializado ou pessoas a eles ligadas;</w:t>
      </w:r>
    </w:p>
    <w:p w14:paraId="7CFEDE4F" w14:textId="77777777" w:rsidR="00AF795C" w:rsidRPr="00A46087" w:rsidRDefault="00AF795C" w:rsidP="00AF795C">
      <w:pPr>
        <w:pStyle w:val="NormaAlterada"/>
      </w:pPr>
      <w:r w:rsidRPr="00A46087">
        <w:t>III – a aquisição, pela classe de cotas, de imóvel de propriedade de devedores do administrador, gestor ou consultor especializado, uma vez caracterizada a inadimplência do devedor;</w:t>
      </w:r>
    </w:p>
    <w:p w14:paraId="58A3793B" w14:textId="77777777" w:rsidR="00AF795C" w:rsidRPr="00A46087" w:rsidRDefault="00AF795C" w:rsidP="00AF795C">
      <w:pPr>
        <w:pStyle w:val="NormaAlterada"/>
      </w:pPr>
      <w:r w:rsidRPr="00A46087">
        <w:t xml:space="preserve">IV – </w:t>
      </w:r>
      <w:bookmarkStart w:id="831" w:name="_Int_cVvzQ6sx"/>
      <w:proofErr w:type="gramStart"/>
      <w:r w:rsidRPr="00A46087">
        <w:t>a</w:t>
      </w:r>
      <w:bookmarkEnd w:id="831"/>
      <w:proofErr w:type="gramEnd"/>
      <w:r w:rsidRPr="00A46087">
        <w:t xml:space="preserve"> contratação, pela classe de cotas, de pessoas ligadas ao administrador ou ao gestor para prestação dos serviços referidos no art. 27 deste Anexo Normativo III, exceto a distribuição de cotas constitutivas do patrimônio inicial de classe de cotas; e</w:t>
      </w:r>
    </w:p>
    <w:p w14:paraId="126EA214" w14:textId="77777777" w:rsidR="00AF795C" w:rsidRPr="00A46087" w:rsidRDefault="00AF795C" w:rsidP="00AF795C">
      <w:pPr>
        <w:pStyle w:val="NormaAlterada"/>
      </w:pPr>
      <w:r w:rsidRPr="00A46087">
        <w:t xml:space="preserve">V – </w:t>
      </w:r>
      <w:bookmarkStart w:id="832" w:name="_Int_yxpvkbjc"/>
      <w:proofErr w:type="gramStart"/>
      <w:r w:rsidRPr="00A46087">
        <w:t>a</w:t>
      </w:r>
      <w:bookmarkEnd w:id="832"/>
      <w:proofErr w:type="gramEnd"/>
      <w:r w:rsidRPr="00A46087">
        <w:t xml:space="preserve"> aquisição, pela classe de cotas, de valores mobiliários de emissão do administrador, gestor, consultor especializado ou pessoas a eles ligadas, ainda que para as finalidades mencionadas no parágrafo único do art. 41 deste Anexo Normativo III.</w:t>
      </w:r>
    </w:p>
    <w:p w14:paraId="394CA458" w14:textId="77777777" w:rsidR="00AF795C" w:rsidRPr="00A46087" w:rsidRDefault="00AF795C" w:rsidP="00AF795C">
      <w:pPr>
        <w:pStyle w:val="NormaAlterada"/>
      </w:pPr>
      <w:r w:rsidRPr="00A46087">
        <w:t>§ 2</w:t>
      </w:r>
      <w:bookmarkStart w:id="833" w:name="_Int_Kx3AcnZc"/>
      <w:proofErr w:type="gramStart"/>
      <w:r w:rsidRPr="00A46087">
        <w:t>º  Consideram</w:t>
      </w:r>
      <w:bookmarkEnd w:id="833"/>
      <w:proofErr w:type="gramEnd"/>
      <w:r w:rsidRPr="00A46087">
        <w:t>-se pessoas ligadas:</w:t>
      </w:r>
    </w:p>
    <w:p w14:paraId="4C499DF5" w14:textId="77777777" w:rsidR="00AF795C" w:rsidRPr="00A46087" w:rsidRDefault="00AF795C" w:rsidP="00AF795C">
      <w:pPr>
        <w:pStyle w:val="NormaAlterada"/>
      </w:pPr>
      <w:r w:rsidRPr="00A46087">
        <w:t xml:space="preserve">I – </w:t>
      </w:r>
      <w:bookmarkStart w:id="834" w:name="_Int_8bBWRVd7"/>
      <w:proofErr w:type="gramStart"/>
      <w:r w:rsidRPr="00A46087">
        <w:t>a</w:t>
      </w:r>
      <w:bookmarkEnd w:id="834"/>
      <w:proofErr w:type="gramEnd"/>
      <w:r w:rsidRPr="00A46087">
        <w:t xml:space="preserve"> sociedade controladora ou sob controle do administrador, do gestor, do consultor especializado, de seus administradores e acionistas, conforme o caso;</w:t>
      </w:r>
    </w:p>
    <w:p w14:paraId="3F3D9F9D" w14:textId="77777777" w:rsidR="00AF795C" w:rsidRPr="00A46087" w:rsidRDefault="00AF795C" w:rsidP="00AF795C">
      <w:pPr>
        <w:pStyle w:val="NormaAlterada"/>
      </w:pPr>
      <w:r w:rsidRPr="00A46087">
        <w:lastRenderedPageBreak/>
        <w:t xml:space="preserve">II – </w:t>
      </w:r>
      <w:bookmarkStart w:id="835" w:name="_Int_6DCqJ1Td"/>
      <w:proofErr w:type="gramStart"/>
      <w:r w:rsidRPr="00A46087">
        <w:t>a</w:t>
      </w:r>
      <w:bookmarkEnd w:id="835"/>
      <w:proofErr w:type="gramEnd"/>
      <w:r w:rsidRPr="00A46087">
        <w:t xml:space="preserve"> sociedade cujos administradores, no todo ou em parte, sejam os mesmos do administrador, gestor ou consultor especializado, com exceção dos cargos exercidos em órgãos colegiados previstos no estatuto ou regimento interno do administrador, gestor ou consultor, desde que seus titulares não exerçam funções executivas, ouvida previamente a CVM; e</w:t>
      </w:r>
    </w:p>
    <w:p w14:paraId="3A211B2F" w14:textId="77777777" w:rsidR="00AF795C" w:rsidRPr="00A46087" w:rsidRDefault="00AF795C" w:rsidP="00AF795C">
      <w:pPr>
        <w:pStyle w:val="NormaAlterada"/>
      </w:pPr>
      <w:r w:rsidRPr="00A46087">
        <w:t xml:space="preserve">III – parentes até segundo grau das pessoas naturais referidas nos incisos </w:t>
      </w:r>
      <w:r>
        <w:t>I e II</w:t>
      </w:r>
      <w:r w:rsidRPr="00A46087">
        <w:t>.</w:t>
      </w:r>
    </w:p>
    <w:p w14:paraId="231CA90D" w14:textId="77777777" w:rsidR="00AF795C" w:rsidRPr="00A46087" w:rsidRDefault="00AF795C" w:rsidP="00AF795C">
      <w:pPr>
        <w:pStyle w:val="NormaAlterada"/>
      </w:pPr>
      <w:r w:rsidRPr="00A46087">
        <w:t>§ 3</w:t>
      </w:r>
      <w:bookmarkStart w:id="836" w:name="_Int_27Zyh2l1"/>
      <w:proofErr w:type="gramStart"/>
      <w:r w:rsidRPr="00A46087">
        <w:t>º  Não</w:t>
      </w:r>
      <w:bookmarkEnd w:id="836"/>
      <w:proofErr w:type="gramEnd"/>
      <w:r w:rsidRPr="00A46087">
        <w:t xml:space="preserve"> configura situação de conflito a aquisição, pela classe de cotas, de imóvel de propriedade do empreendedor, desde que não seja pessoa ligada ao administrador, ao gestor ou ao consultor especializado.</w:t>
      </w:r>
    </w:p>
    <w:p w14:paraId="1D8E1C6F" w14:textId="77777777" w:rsidR="00AF795C" w:rsidRPr="00A46087" w:rsidRDefault="00AF795C" w:rsidP="00AF795C">
      <w:pPr>
        <w:pStyle w:val="Seo"/>
      </w:pPr>
      <w:bookmarkStart w:id="837" w:name="_Toc161141334"/>
      <w:r w:rsidRPr="00A46087">
        <w:t>Seção III – Vedações</w:t>
      </w:r>
      <w:bookmarkEnd w:id="837"/>
    </w:p>
    <w:p w14:paraId="6FE59774" w14:textId="77777777" w:rsidR="00AF795C" w:rsidRPr="00A46087" w:rsidRDefault="00AF795C" w:rsidP="00AF795C">
      <w:pPr>
        <w:pStyle w:val="NormaAlterada"/>
        <w:rPr>
          <w:bCs/>
        </w:rPr>
      </w:pPr>
      <w:r w:rsidRPr="00A46087">
        <w:rPr>
          <w:bCs/>
          <w:lang w:val="x-none"/>
        </w:rPr>
        <w:t xml:space="preserve">Art. </w:t>
      </w:r>
      <w:r w:rsidRPr="00A46087">
        <w:rPr>
          <w:bCs/>
        </w:rPr>
        <w:t>32</w:t>
      </w:r>
      <w:r w:rsidRPr="00A46087">
        <w:rPr>
          <w:bCs/>
          <w:lang w:val="x-none"/>
        </w:rPr>
        <w:t xml:space="preserve">.  </w:t>
      </w:r>
      <w:r w:rsidRPr="00A46087">
        <w:rPr>
          <w:lang w:val="x-none"/>
        </w:rPr>
        <w:t>Em acréscimo às vedações previstas no art. 101 da parte geral da Resolução, é</w:t>
      </w:r>
      <w:r w:rsidRPr="00A46087">
        <w:rPr>
          <w:bCs/>
          <w:lang w:val="x-none"/>
        </w:rPr>
        <w:t xml:space="preserve"> vedado ao gestor </w:t>
      </w:r>
      <w:r w:rsidRPr="00A46087">
        <w:rPr>
          <w:bCs/>
        </w:rPr>
        <w:t>da carteira</w:t>
      </w:r>
      <w:r w:rsidRPr="00A46087">
        <w:t>,</w:t>
      </w:r>
      <w:r w:rsidRPr="00A46087">
        <w:rPr>
          <w:bCs/>
          <w:lang w:val="x-none"/>
        </w:rPr>
        <w:t xml:space="preserve"> utilizando os recursos </w:t>
      </w:r>
      <w:r w:rsidRPr="00A46087">
        <w:rPr>
          <w:bCs/>
        </w:rPr>
        <w:t>da classe de cotas</w:t>
      </w:r>
      <w:r w:rsidRPr="00A46087">
        <w:rPr>
          <w:bCs/>
          <w:lang w:val="x-none"/>
        </w:rPr>
        <w:t>:</w:t>
      </w:r>
    </w:p>
    <w:p w14:paraId="55F021C5" w14:textId="77777777" w:rsidR="00AF795C" w:rsidRPr="00A46087" w:rsidRDefault="00AF795C" w:rsidP="00AF795C">
      <w:pPr>
        <w:pStyle w:val="NormaAlterada"/>
        <w:rPr>
          <w:lang w:val="x-none"/>
        </w:rPr>
      </w:pPr>
      <w:r w:rsidRPr="00A46087">
        <w:rPr>
          <w:lang w:val="x-none"/>
        </w:rPr>
        <w:t xml:space="preserve">I – </w:t>
      </w:r>
      <w:bookmarkStart w:id="838" w:name="_Int_YBPCk7Ii"/>
      <w:r w:rsidRPr="00A46087">
        <w:rPr>
          <w:lang w:val="x-none"/>
        </w:rPr>
        <w:t>conceder</w:t>
      </w:r>
      <w:bookmarkEnd w:id="838"/>
      <w:r w:rsidRPr="00A46087">
        <w:rPr>
          <w:lang w:val="x-none"/>
        </w:rPr>
        <w:t xml:space="preserve"> crédito sob qualquer modalidade</w:t>
      </w:r>
      <w:r w:rsidRPr="00A46087">
        <w:t>;</w:t>
      </w:r>
    </w:p>
    <w:p w14:paraId="784C5A4E" w14:textId="77777777" w:rsidR="00AF795C" w:rsidRDefault="00AF795C" w:rsidP="00AF795C">
      <w:pPr>
        <w:pStyle w:val="NormaAlterada"/>
        <w:rPr>
          <w:strike/>
          <w:lang w:val="x-none"/>
        </w:rPr>
      </w:pPr>
      <w:r w:rsidRPr="000C3776">
        <w:rPr>
          <w:strike/>
          <w:lang w:val="x-none"/>
        </w:rPr>
        <w:t>I</w:t>
      </w:r>
      <w:r w:rsidRPr="000C3776">
        <w:rPr>
          <w:strike/>
        </w:rPr>
        <w:t>I</w:t>
      </w:r>
      <w:r w:rsidRPr="000C3776">
        <w:rPr>
          <w:strike/>
          <w:lang w:val="x-none"/>
        </w:rPr>
        <w:t xml:space="preserve"> – </w:t>
      </w:r>
      <w:bookmarkStart w:id="839" w:name="_Int_6tBpwFZ0"/>
      <w:r w:rsidRPr="000C3776">
        <w:rPr>
          <w:strike/>
          <w:lang w:val="x-none"/>
        </w:rPr>
        <w:t>prestar</w:t>
      </w:r>
      <w:bookmarkEnd w:id="839"/>
      <w:r w:rsidRPr="000C3776">
        <w:rPr>
          <w:strike/>
          <w:lang w:val="x-none"/>
        </w:rPr>
        <w:t xml:space="preserve"> fiança, aval, aceite ou coobrigar-se sob qualquer forma nas operações da classe de cotas;</w:t>
      </w:r>
    </w:p>
    <w:p w14:paraId="0C40850E" w14:textId="37A83632" w:rsidR="000C3776" w:rsidRDefault="000C3776" w:rsidP="00AF795C">
      <w:pPr>
        <w:pStyle w:val="NormaAlterada"/>
        <w:rPr>
          <w:lang w:val="x-none"/>
        </w:rPr>
      </w:pPr>
      <w:r w:rsidRPr="000C3776">
        <w:rPr>
          <w:lang w:val="x-none"/>
        </w:rPr>
        <w:t xml:space="preserve">II </w:t>
      </w:r>
      <w:r>
        <w:rPr>
          <w:lang w:val="x-none"/>
        </w:rPr>
        <w:t>–</w:t>
      </w:r>
      <w:r w:rsidRPr="000C3776">
        <w:rPr>
          <w:lang w:val="x-none"/>
        </w:rPr>
        <w:t xml:space="preserve"> </w:t>
      </w:r>
      <w:r>
        <w:rPr>
          <w:lang w:val="x-none"/>
        </w:rPr>
        <w:t>REVOGADO</w:t>
      </w:r>
    </w:p>
    <w:p w14:paraId="1C2FB4BD" w14:textId="4844EC36" w:rsidR="000C3776" w:rsidRPr="000C3776" w:rsidRDefault="000C3776" w:rsidP="000C3776">
      <w:pPr>
        <w:pStyle w:val="Normalalteradora"/>
        <w:numPr>
          <w:ilvl w:val="0"/>
          <w:numId w:val="40"/>
        </w:numPr>
        <w:ind w:left="709" w:hanging="142"/>
        <w:rPr>
          <w:strike/>
        </w:rPr>
      </w:pPr>
      <w:r>
        <w:rPr>
          <w:rFonts w:ascii="Calibri" w:hAnsi="Calibri" w:cs="Calibri"/>
          <w:b/>
          <w:bCs/>
          <w:i/>
          <w:iCs/>
        </w:rPr>
        <w:t xml:space="preserve">Inciso II </w:t>
      </w:r>
      <w:r>
        <w:rPr>
          <w:rFonts w:cstheme="minorHAnsi"/>
          <w:b/>
          <w:i/>
          <w:iCs/>
        </w:rPr>
        <w:t xml:space="preserve">revogado </w:t>
      </w:r>
      <w:r w:rsidRPr="00D960C9">
        <w:rPr>
          <w:rFonts w:cstheme="minorHAnsi"/>
          <w:b/>
          <w:i/>
        </w:rPr>
        <w:t xml:space="preserve">pela </w:t>
      </w:r>
      <w:r>
        <w:rPr>
          <w:rFonts w:cstheme="minorHAnsi"/>
          <w:b/>
          <w:i/>
        </w:rPr>
        <w:t>Resolução</w:t>
      </w:r>
      <w:r w:rsidRPr="00D960C9">
        <w:rPr>
          <w:rFonts w:cstheme="minorHAnsi"/>
          <w:b/>
          <w:i/>
        </w:rPr>
        <w:t xml:space="preserve"> CVM nº </w:t>
      </w:r>
      <w:r>
        <w:rPr>
          <w:rFonts w:cstheme="minorHAnsi"/>
          <w:b/>
          <w:i/>
        </w:rPr>
        <w:t>200</w:t>
      </w:r>
      <w:r w:rsidRPr="00D960C9">
        <w:rPr>
          <w:rFonts w:cstheme="minorHAnsi"/>
          <w:b/>
          <w:i/>
        </w:rPr>
        <w:t xml:space="preserve">, de </w:t>
      </w:r>
      <w:r>
        <w:rPr>
          <w:rFonts w:cstheme="minorHAnsi"/>
          <w:b/>
          <w:i/>
        </w:rPr>
        <w:t>12</w:t>
      </w:r>
      <w:r w:rsidRPr="00D960C9">
        <w:rPr>
          <w:rFonts w:cstheme="minorHAnsi"/>
          <w:b/>
          <w:i/>
        </w:rPr>
        <w:t xml:space="preserve"> de </w:t>
      </w:r>
      <w:r>
        <w:rPr>
          <w:rFonts w:cstheme="minorHAnsi"/>
          <w:b/>
          <w:i/>
        </w:rPr>
        <w:t xml:space="preserve">março </w:t>
      </w:r>
      <w:r w:rsidRPr="00D960C9">
        <w:rPr>
          <w:rFonts w:cstheme="minorHAnsi"/>
          <w:b/>
          <w:i/>
        </w:rPr>
        <w:t>de 202</w:t>
      </w:r>
      <w:r>
        <w:rPr>
          <w:rFonts w:cstheme="minorHAnsi"/>
          <w:b/>
          <w:i/>
        </w:rPr>
        <w:t>4.</w:t>
      </w:r>
    </w:p>
    <w:p w14:paraId="24315714" w14:textId="77777777" w:rsidR="00AF795C" w:rsidRPr="00A46087" w:rsidRDefault="00AF795C" w:rsidP="00AF795C">
      <w:pPr>
        <w:pStyle w:val="NormaAlterada"/>
        <w:rPr>
          <w:b/>
          <w:bCs/>
        </w:rPr>
      </w:pPr>
      <w:r w:rsidRPr="00A46087">
        <w:t>III</w:t>
      </w:r>
      <w:r w:rsidRPr="00A46087">
        <w:rPr>
          <w:lang w:val="x-none"/>
        </w:rPr>
        <w:t xml:space="preserve"> – aplicar no exterior recursos captados no País;</w:t>
      </w:r>
    </w:p>
    <w:p w14:paraId="13E64DBF" w14:textId="77777777" w:rsidR="00AF795C" w:rsidRPr="00A46087" w:rsidRDefault="00AF795C" w:rsidP="00AF795C">
      <w:pPr>
        <w:pStyle w:val="NormaAlterada"/>
      </w:pPr>
      <w:r w:rsidRPr="00A46087">
        <w:t xml:space="preserve">IV – </w:t>
      </w:r>
      <w:bookmarkStart w:id="840" w:name="_Int_wTY5i8Z6"/>
      <w:proofErr w:type="gramStart"/>
      <w:r w:rsidRPr="00A46087">
        <w:t>ressalvada</w:t>
      </w:r>
      <w:bookmarkEnd w:id="840"/>
      <w:proofErr w:type="gramEnd"/>
      <w:r w:rsidRPr="00A46087">
        <w:t xml:space="preserve"> a hipótese de aprovação em assembleia de cotistas, nos termos do art. 31 deste Anexo Normativo III, realizar operações da classe de cotas quando caracterizada situação de conflito de interesses entre:</w:t>
      </w:r>
    </w:p>
    <w:p w14:paraId="054143B3" w14:textId="77777777" w:rsidR="00AF795C" w:rsidRPr="00A46087" w:rsidRDefault="00AF795C" w:rsidP="00AF795C">
      <w:pPr>
        <w:pStyle w:val="NormaAlterada"/>
      </w:pPr>
      <w:r w:rsidRPr="00A46087">
        <w:t>a) a classe de cotas e o administrador, gestor ou consultor especializado;</w:t>
      </w:r>
    </w:p>
    <w:p w14:paraId="33CEDD0E" w14:textId="77777777" w:rsidR="00AF795C" w:rsidRPr="00A46087" w:rsidRDefault="00AF795C" w:rsidP="00AF795C">
      <w:pPr>
        <w:pStyle w:val="NormaAlterada"/>
      </w:pPr>
      <w:r w:rsidRPr="00A46087">
        <w:t>b) a classe de cotas e cotistas que detenham participação correspondente a, no mínimo, 10% (dez por cento) do patrimônio da classe de cotas;</w:t>
      </w:r>
    </w:p>
    <w:p w14:paraId="22033050" w14:textId="77777777" w:rsidR="00AF795C" w:rsidRPr="00A46087" w:rsidRDefault="00AF795C" w:rsidP="00AF795C">
      <w:pPr>
        <w:pStyle w:val="NormaAlterada"/>
      </w:pPr>
      <w:r w:rsidRPr="00A46087">
        <w:t xml:space="preserve">c) a classe de cotas e o representante de cotistas; e </w:t>
      </w:r>
    </w:p>
    <w:p w14:paraId="6F6138D0" w14:textId="77777777" w:rsidR="00AF795C" w:rsidRPr="00A46087" w:rsidRDefault="00AF795C" w:rsidP="00AF795C">
      <w:pPr>
        <w:pStyle w:val="NormaAlterada"/>
      </w:pPr>
      <w:r w:rsidRPr="00A46087">
        <w:t>d) a classe de cotas e o empreendedor;</w:t>
      </w:r>
    </w:p>
    <w:p w14:paraId="7FCD75E6" w14:textId="77777777" w:rsidR="00AF795C" w:rsidRDefault="00AF795C" w:rsidP="00AF795C">
      <w:pPr>
        <w:pStyle w:val="NormaAlterada"/>
        <w:rPr>
          <w:strike/>
        </w:rPr>
      </w:pPr>
      <w:r w:rsidRPr="009F0813">
        <w:rPr>
          <w:strike/>
        </w:rPr>
        <w:t xml:space="preserve">V – </w:t>
      </w:r>
      <w:bookmarkStart w:id="841" w:name="_Int_XmW7uFd7"/>
      <w:proofErr w:type="gramStart"/>
      <w:r w:rsidRPr="009F0813">
        <w:rPr>
          <w:strike/>
        </w:rPr>
        <w:t>constituir</w:t>
      </w:r>
      <w:bookmarkEnd w:id="841"/>
      <w:proofErr w:type="gramEnd"/>
      <w:r w:rsidRPr="009F0813">
        <w:rPr>
          <w:strike/>
        </w:rPr>
        <w:t xml:space="preserve"> ônus reais sobre os imóveis integrantes do patrimônio da classe de cotas;</w:t>
      </w:r>
    </w:p>
    <w:p w14:paraId="78FF8754" w14:textId="6815C8B3" w:rsidR="009F0813" w:rsidRDefault="009F0813" w:rsidP="00AF795C">
      <w:pPr>
        <w:pStyle w:val="NormaAlterada"/>
        <w:rPr>
          <w:rStyle w:val="eop"/>
          <w:rFonts w:ascii="Calibri" w:hAnsi="Calibri" w:cs="Calibri"/>
          <w:color w:val="000000"/>
          <w:shd w:val="clear" w:color="auto" w:fill="FFFFFF"/>
        </w:rPr>
      </w:pPr>
      <w:r>
        <w:rPr>
          <w:rStyle w:val="normaltextrun"/>
          <w:rFonts w:ascii="Calibri" w:hAnsi="Calibri" w:cs="Calibri"/>
          <w:color w:val="000000"/>
          <w:shd w:val="clear" w:color="auto" w:fill="FFFFFF"/>
        </w:rPr>
        <w:lastRenderedPageBreak/>
        <w:t xml:space="preserve">V – </w:t>
      </w:r>
      <w:proofErr w:type="gramStart"/>
      <w:r>
        <w:rPr>
          <w:rStyle w:val="normaltextrun"/>
          <w:rFonts w:ascii="Calibri" w:hAnsi="Calibri" w:cs="Calibri"/>
          <w:color w:val="000000"/>
          <w:shd w:val="clear" w:color="auto" w:fill="FFFFFF"/>
        </w:rPr>
        <w:t>constituir</w:t>
      </w:r>
      <w:proofErr w:type="gramEnd"/>
      <w:r>
        <w:rPr>
          <w:rStyle w:val="normaltextrun"/>
          <w:rFonts w:ascii="Calibri" w:hAnsi="Calibri" w:cs="Calibri"/>
          <w:color w:val="000000"/>
          <w:shd w:val="clear" w:color="auto" w:fill="FFFFFF"/>
        </w:rPr>
        <w:t xml:space="preserve"> ônus reais sobre os imóveis integrantes do patrimônio da classe de cotas, exceto para garantir obrigações assumidas pela classe;</w:t>
      </w:r>
    </w:p>
    <w:p w14:paraId="0932EBB6" w14:textId="1076BC5E" w:rsidR="009F0813" w:rsidRPr="000C3776" w:rsidRDefault="009F0813" w:rsidP="000C3776">
      <w:pPr>
        <w:pStyle w:val="Normalalteradora"/>
        <w:numPr>
          <w:ilvl w:val="0"/>
          <w:numId w:val="40"/>
        </w:numPr>
        <w:ind w:left="709" w:hanging="142"/>
        <w:rPr>
          <w:strike/>
        </w:rPr>
      </w:pPr>
      <w:r>
        <w:rPr>
          <w:rFonts w:ascii="Calibri" w:hAnsi="Calibri" w:cs="Calibri"/>
          <w:b/>
          <w:bCs/>
          <w:i/>
          <w:iCs/>
        </w:rPr>
        <w:t>Inciso V</w:t>
      </w:r>
      <w:r w:rsidRPr="6B4419CC">
        <w:rPr>
          <w:rFonts w:ascii="Calibri" w:hAnsi="Calibri" w:cs="Calibri"/>
        </w:rPr>
        <w:t xml:space="preserve"> </w:t>
      </w:r>
      <w:r>
        <w:rPr>
          <w:rFonts w:cstheme="minorHAnsi"/>
          <w:b/>
          <w:i/>
          <w:iCs/>
        </w:rPr>
        <w:t xml:space="preserve">com redação dada </w:t>
      </w:r>
      <w:r w:rsidRPr="00D960C9">
        <w:rPr>
          <w:rFonts w:cstheme="minorHAnsi"/>
          <w:b/>
          <w:i/>
        </w:rPr>
        <w:t xml:space="preserve">pela </w:t>
      </w:r>
      <w:r>
        <w:rPr>
          <w:rFonts w:cstheme="minorHAnsi"/>
          <w:b/>
          <w:i/>
        </w:rPr>
        <w:t>Resolução</w:t>
      </w:r>
      <w:r w:rsidRPr="00D960C9">
        <w:rPr>
          <w:rFonts w:cstheme="minorHAnsi"/>
          <w:b/>
          <w:i/>
        </w:rPr>
        <w:t xml:space="preserve"> CVM nº </w:t>
      </w:r>
      <w:r>
        <w:rPr>
          <w:rFonts w:cstheme="minorHAnsi"/>
          <w:b/>
          <w:i/>
        </w:rPr>
        <w:t>200</w:t>
      </w:r>
      <w:r w:rsidRPr="00D960C9">
        <w:rPr>
          <w:rFonts w:cstheme="minorHAnsi"/>
          <w:b/>
          <w:i/>
        </w:rPr>
        <w:t xml:space="preserve">, de </w:t>
      </w:r>
      <w:r>
        <w:rPr>
          <w:rFonts w:cstheme="minorHAnsi"/>
          <w:b/>
          <w:i/>
        </w:rPr>
        <w:t>12</w:t>
      </w:r>
      <w:r w:rsidRPr="00D960C9">
        <w:rPr>
          <w:rFonts w:cstheme="minorHAnsi"/>
          <w:b/>
          <w:i/>
        </w:rPr>
        <w:t xml:space="preserve"> de </w:t>
      </w:r>
      <w:r>
        <w:rPr>
          <w:rFonts w:cstheme="minorHAnsi"/>
          <w:b/>
          <w:i/>
        </w:rPr>
        <w:t xml:space="preserve">março </w:t>
      </w:r>
      <w:r w:rsidRPr="00D960C9">
        <w:rPr>
          <w:rFonts w:cstheme="minorHAnsi"/>
          <w:b/>
          <w:i/>
        </w:rPr>
        <w:t>de 202</w:t>
      </w:r>
      <w:r>
        <w:rPr>
          <w:rFonts w:cstheme="minorHAnsi"/>
          <w:b/>
          <w:i/>
        </w:rPr>
        <w:t>4.</w:t>
      </w:r>
    </w:p>
    <w:p w14:paraId="0830FFF4" w14:textId="77777777" w:rsidR="00AF795C" w:rsidRPr="00A46087" w:rsidRDefault="00AF795C" w:rsidP="00AF795C">
      <w:pPr>
        <w:pStyle w:val="NormaAlterada"/>
      </w:pPr>
      <w:r w:rsidRPr="00A46087">
        <w:t xml:space="preserve">VI – </w:t>
      </w:r>
      <w:bookmarkStart w:id="842" w:name="_Int_fxJHEEe8"/>
      <w:proofErr w:type="gramStart"/>
      <w:r w:rsidRPr="00A46087">
        <w:t>realizar</w:t>
      </w:r>
      <w:bookmarkEnd w:id="842"/>
      <w:proofErr w:type="gramEnd"/>
      <w:r w:rsidRPr="00A46087">
        <w:t xml:space="preserve"> operações com ativos financeiros ou modalidades operacionais não previstas neste Anexo Normativo</w:t>
      </w:r>
      <w:r>
        <w:t xml:space="preserve"> III</w:t>
      </w:r>
      <w:r w:rsidRPr="00A46087">
        <w:t>;</w:t>
      </w:r>
    </w:p>
    <w:p w14:paraId="5AD7EFCF" w14:textId="77777777" w:rsidR="00AF795C" w:rsidRPr="00A46087" w:rsidRDefault="00AF795C" w:rsidP="00AF795C">
      <w:pPr>
        <w:pStyle w:val="NormaAlterada"/>
      </w:pPr>
      <w:r w:rsidRPr="00A46087">
        <w:t>VII – realizar operações com ações e outros valores mobiliários fora de mercados organizados autorizados pela CVM, ressalvadas as hipóteses de distribuições públicas, de exercício de direito de preferência e de conversão de debêntures em ações, de exercício de bônus de subscrição e nos casos em que a CVM tenha concedido prévia e expressa autorização; e</w:t>
      </w:r>
    </w:p>
    <w:p w14:paraId="2917AC92" w14:textId="77777777" w:rsidR="00AF795C" w:rsidRPr="00A46087" w:rsidRDefault="00AF795C" w:rsidP="00AF795C">
      <w:pPr>
        <w:pStyle w:val="NormaAlterada"/>
      </w:pPr>
      <w:r w:rsidRPr="00A46087">
        <w:t>VIII – realizar operações com derivativos, exceto quando tais operações forem realizadas exclusivamente para fins de proteção patrimonial e desde que a exposição seja sempre, no máximo, o valor do patrimônio líquido.</w:t>
      </w:r>
    </w:p>
    <w:p w14:paraId="0C4424C0" w14:textId="77777777" w:rsidR="00AF795C" w:rsidRPr="00A46087" w:rsidRDefault="00AF795C" w:rsidP="00AF795C">
      <w:pPr>
        <w:pStyle w:val="NormaAlterada"/>
      </w:pPr>
      <w:r w:rsidRPr="00A46087">
        <w:t>§ 1</w:t>
      </w:r>
      <w:bookmarkStart w:id="843" w:name="_Int_GfEmusCJ"/>
      <w:proofErr w:type="gramStart"/>
      <w:r w:rsidRPr="00A46087">
        <w:t>º  A</w:t>
      </w:r>
      <w:bookmarkEnd w:id="843"/>
      <w:proofErr w:type="gramEnd"/>
      <w:r w:rsidRPr="00A46087">
        <w:t xml:space="preserve"> vedação prevista no inciso V do </w:t>
      </w:r>
      <w:r w:rsidRPr="00A46087">
        <w:rPr>
          <w:b/>
          <w:bCs/>
        </w:rPr>
        <w:t xml:space="preserve">caput </w:t>
      </w:r>
      <w:r w:rsidRPr="00A46087">
        <w:t>não impede a aquisição de imóveis sobre os quais tenham sido constituídos ônus reais anteriormente ao seu ingresso no patrimônio.</w:t>
      </w:r>
    </w:p>
    <w:p w14:paraId="2D4286B5" w14:textId="77777777" w:rsidR="00AF795C" w:rsidRDefault="00AF795C" w:rsidP="00AF795C">
      <w:pPr>
        <w:pStyle w:val="NormaAlterada"/>
      </w:pPr>
      <w:r w:rsidRPr="00A46087">
        <w:t>§ 2</w:t>
      </w:r>
      <w:bookmarkStart w:id="844" w:name="_Int_kVjNqf1F"/>
      <w:proofErr w:type="gramStart"/>
      <w:r w:rsidRPr="00A46087">
        <w:t>º  A</w:t>
      </w:r>
      <w:bookmarkEnd w:id="844"/>
      <w:proofErr w:type="gramEnd"/>
      <w:r w:rsidRPr="00A46087">
        <w:t xml:space="preserve"> classe de cotas pode emprestar títulos e valores mobiliários, desde que tais operações de empréstimo sejam cursadas exclusivamente por meio de serviço autorizado pelo Banco Central do Brasil ou pela CVM, bem como usá-los para prestar garantias de operações próprias.</w:t>
      </w:r>
    </w:p>
    <w:p w14:paraId="21DB4201" w14:textId="679018E1" w:rsidR="009F0813" w:rsidRDefault="009F0813" w:rsidP="00AF795C">
      <w:pPr>
        <w:pStyle w:val="NormaAlterada"/>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3</w:t>
      </w:r>
      <w:proofErr w:type="gramStart"/>
      <w:r>
        <w:rPr>
          <w:rStyle w:val="normaltextrun"/>
          <w:rFonts w:ascii="Calibri" w:hAnsi="Calibri" w:cs="Calibri"/>
          <w:color w:val="000000"/>
          <w:shd w:val="clear" w:color="auto" w:fill="FFFFFF"/>
        </w:rPr>
        <w:t>º</w:t>
      </w:r>
      <w:r w:rsidR="008E4554">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 Na</w:t>
      </w:r>
      <w:proofErr w:type="gramEnd"/>
      <w:r>
        <w:rPr>
          <w:rStyle w:val="normaltextrun"/>
          <w:rFonts w:ascii="Calibri" w:hAnsi="Calibri" w:cs="Calibri"/>
          <w:color w:val="000000"/>
          <w:shd w:val="clear" w:color="auto" w:fill="FFFFFF"/>
        </w:rPr>
        <w:t xml:space="preserve"> classe exclusiva, o Regulamento pode permitir que o gestor preste fiança, aval, aceite ou coobrigue-se sob qualquer forma, assim como que constitua ônus reais sobre os imóveis integrantes do patrimônio da classe, para garantir obrigações assumidas pelos cotistas.</w:t>
      </w:r>
    </w:p>
    <w:p w14:paraId="72558C53" w14:textId="0211DA8A" w:rsidR="009F0813" w:rsidRPr="009F0813" w:rsidRDefault="009F0813" w:rsidP="009F0813">
      <w:pPr>
        <w:pStyle w:val="Normalalteradora"/>
        <w:numPr>
          <w:ilvl w:val="0"/>
          <w:numId w:val="40"/>
        </w:numPr>
        <w:ind w:left="709" w:hanging="142"/>
        <w:rPr>
          <w:strike/>
        </w:rPr>
      </w:pPr>
      <w:r w:rsidRPr="009F0813">
        <w:rPr>
          <w:rStyle w:val="normaltextrun"/>
          <w:rFonts w:ascii="Calibri" w:hAnsi="Calibri" w:cs="Calibri"/>
          <w:b/>
          <w:bCs/>
          <w:i/>
          <w:iCs/>
          <w:color w:val="000000"/>
          <w:shd w:val="clear" w:color="auto" w:fill="FFFFFF"/>
        </w:rPr>
        <w:t>§ 3º</w:t>
      </w:r>
      <w:r w:rsidR="008E4554">
        <w:rPr>
          <w:rStyle w:val="normaltextrun"/>
          <w:rFonts w:ascii="Calibri" w:hAnsi="Calibri" w:cs="Calibri"/>
          <w:color w:val="000000"/>
          <w:shd w:val="clear" w:color="auto" w:fill="FFFFFF"/>
        </w:rPr>
        <w:t xml:space="preserve"> </w:t>
      </w:r>
      <w:r>
        <w:rPr>
          <w:rFonts w:cstheme="minorHAnsi"/>
          <w:b/>
          <w:i/>
          <w:iCs/>
        </w:rPr>
        <w:t xml:space="preserve">incluído </w:t>
      </w:r>
      <w:r w:rsidRPr="00D960C9">
        <w:rPr>
          <w:rFonts w:cstheme="minorHAnsi"/>
          <w:b/>
          <w:i/>
        </w:rPr>
        <w:t xml:space="preserve">pela </w:t>
      </w:r>
      <w:r>
        <w:rPr>
          <w:rFonts w:cstheme="minorHAnsi"/>
          <w:b/>
          <w:i/>
        </w:rPr>
        <w:t>Resolução</w:t>
      </w:r>
      <w:r w:rsidRPr="00D960C9">
        <w:rPr>
          <w:rFonts w:cstheme="minorHAnsi"/>
          <w:b/>
          <w:i/>
        </w:rPr>
        <w:t xml:space="preserve"> CVM nº </w:t>
      </w:r>
      <w:r>
        <w:rPr>
          <w:rFonts w:cstheme="minorHAnsi"/>
          <w:b/>
          <w:i/>
        </w:rPr>
        <w:t>200</w:t>
      </w:r>
      <w:r w:rsidRPr="00D960C9">
        <w:rPr>
          <w:rFonts w:cstheme="minorHAnsi"/>
          <w:b/>
          <w:i/>
        </w:rPr>
        <w:t xml:space="preserve">, de </w:t>
      </w:r>
      <w:r>
        <w:rPr>
          <w:rFonts w:cstheme="minorHAnsi"/>
          <w:b/>
          <w:i/>
        </w:rPr>
        <w:t>12</w:t>
      </w:r>
      <w:r w:rsidRPr="00D960C9">
        <w:rPr>
          <w:rFonts w:cstheme="minorHAnsi"/>
          <w:b/>
          <w:i/>
        </w:rPr>
        <w:t xml:space="preserve"> de </w:t>
      </w:r>
      <w:r>
        <w:rPr>
          <w:rFonts w:cstheme="minorHAnsi"/>
          <w:b/>
          <w:i/>
        </w:rPr>
        <w:t xml:space="preserve">março </w:t>
      </w:r>
      <w:r w:rsidRPr="00D960C9">
        <w:rPr>
          <w:rFonts w:cstheme="minorHAnsi"/>
          <w:b/>
          <w:i/>
        </w:rPr>
        <w:t>de 202</w:t>
      </w:r>
      <w:r>
        <w:rPr>
          <w:rFonts w:cstheme="minorHAnsi"/>
          <w:b/>
          <w:i/>
        </w:rPr>
        <w:t>4.</w:t>
      </w:r>
    </w:p>
    <w:p w14:paraId="6C36A6FE" w14:textId="77777777" w:rsidR="00AF795C" w:rsidRPr="00A46087" w:rsidRDefault="00AF795C" w:rsidP="00AF795C">
      <w:pPr>
        <w:pStyle w:val="Seo"/>
      </w:pPr>
      <w:bookmarkStart w:id="845" w:name="art12i"/>
      <w:bookmarkStart w:id="846" w:name="art12ii"/>
      <w:bookmarkStart w:id="847" w:name="art12iii"/>
      <w:bookmarkStart w:id="848" w:name="art12iv"/>
      <w:bookmarkStart w:id="849" w:name="art12v"/>
      <w:bookmarkStart w:id="850" w:name="art12vi"/>
      <w:bookmarkStart w:id="851" w:name="art12vii"/>
      <w:bookmarkStart w:id="852" w:name="_Toc161141335"/>
      <w:bookmarkEnd w:id="845"/>
      <w:bookmarkEnd w:id="846"/>
      <w:bookmarkEnd w:id="847"/>
      <w:bookmarkEnd w:id="848"/>
      <w:bookmarkEnd w:id="849"/>
      <w:bookmarkEnd w:id="850"/>
      <w:bookmarkEnd w:id="851"/>
      <w:r w:rsidRPr="00A46087">
        <w:t>Seção IV – Remuneração</w:t>
      </w:r>
      <w:bookmarkEnd w:id="852"/>
    </w:p>
    <w:p w14:paraId="07B144EE" w14:textId="77777777" w:rsidR="00AF795C" w:rsidRDefault="00AF795C" w:rsidP="00AF795C">
      <w:pPr>
        <w:pStyle w:val="NormaAlterada"/>
        <w:rPr>
          <w:strike/>
        </w:rPr>
      </w:pPr>
      <w:r w:rsidRPr="008205C5">
        <w:rPr>
          <w:strike/>
        </w:rPr>
        <w:t>Art. 33.  A remuneração pelos serviços prestados pelo administrador deve constar expressamente do regulamento e pode incluir uma parcela variável calculada em função do desempenho da classe de cotas ou de indicador relevante para o mercado imobiliário, que com a classe possa ser razoavelmente comparado.</w:t>
      </w:r>
    </w:p>
    <w:p w14:paraId="24A752EF" w14:textId="77777777" w:rsidR="008205C5" w:rsidRDefault="008205C5" w:rsidP="008205C5">
      <w:pPr>
        <w:pStyle w:val="NormaAlterada"/>
      </w:pPr>
      <w:r w:rsidRPr="001B7C22">
        <w:lastRenderedPageBreak/>
        <w:t xml:space="preserve">Art. </w:t>
      </w:r>
      <w:r>
        <w:t xml:space="preserve">33.  </w:t>
      </w:r>
      <w:r w:rsidRPr="00A46087">
        <w:t>A remuneração pelos serviços prestados pelo administrador pode incluir uma parcela variável calculada em função do desempenho da classe de cotas ou de indicador relevante para o mercado imobiliário, que com a classe possa ser razoavelmente comparado.</w:t>
      </w:r>
    </w:p>
    <w:p w14:paraId="0F074323" w14:textId="2808C370" w:rsidR="008205C5" w:rsidRPr="00FB3F77" w:rsidRDefault="00FB3F77" w:rsidP="00FB3F77">
      <w:pPr>
        <w:pStyle w:val="Normalalteradora"/>
        <w:numPr>
          <w:ilvl w:val="0"/>
          <w:numId w:val="40"/>
        </w:numPr>
        <w:ind w:left="709" w:hanging="142"/>
        <w:rPr>
          <w:strike/>
        </w:rPr>
      </w:pPr>
      <w:r>
        <w:rPr>
          <w:rFonts w:cstheme="minorHAnsi"/>
          <w:b/>
          <w:i/>
          <w:iCs/>
        </w:rPr>
        <w:t xml:space="preserve"> Caput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36AE0C3E" w14:textId="77777777" w:rsidR="00AF795C" w:rsidRPr="00A46087" w:rsidRDefault="00AF795C" w:rsidP="00AF795C">
      <w:pPr>
        <w:pStyle w:val="NormaAlterada"/>
      </w:pPr>
      <w:r w:rsidRPr="00A46087">
        <w:t>§ 1</w:t>
      </w:r>
      <w:bookmarkStart w:id="853" w:name="_Int_EIiraPic"/>
      <w:r w:rsidRPr="00A46087">
        <w:t>º  A</w:t>
      </w:r>
      <w:bookmarkEnd w:id="853"/>
      <w:r w:rsidRPr="00A46087">
        <w:t xml:space="preserve"> taxa de administração da classe de cotas destinada ao público em geral cujas cotas sejam admitidas à negociação em mercado organizado de valores mobiliários deve corresponder:</w:t>
      </w:r>
    </w:p>
    <w:p w14:paraId="4E187FB0" w14:textId="77777777" w:rsidR="00AF795C" w:rsidRPr="00A46087" w:rsidRDefault="00AF795C" w:rsidP="00AF795C">
      <w:pPr>
        <w:pStyle w:val="NormaAlterada"/>
      </w:pPr>
      <w:r w:rsidRPr="00A46087">
        <w:t>I – a um percentual sobre o valor de mercado da classe, calculado com base na média diária da cotação de fechamento das cotas de emissão da classe no mês anterior ao do pagamento da remuneração, caso referidas cotas tenham integrado ou passado a integrar, nesse período, índice de mercado, conforme definido nas regras específicas aplicáveis aos fundos de investimento em índices de mercado, cuja metodologia preveja critérios de inclusão que considerem a liquidez das cotas e critérios de ponderação que considerem o volume financeiro das cotas emitidas pela classe de cotas; ou</w:t>
      </w:r>
    </w:p>
    <w:p w14:paraId="1CE762A0" w14:textId="77777777" w:rsidR="00AF795C" w:rsidRPr="00A46087" w:rsidRDefault="00AF795C" w:rsidP="00AF795C">
      <w:pPr>
        <w:pStyle w:val="NormaAlterada"/>
      </w:pPr>
      <w:r w:rsidRPr="00A46087">
        <w:t xml:space="preserve">II – </w:t>
      </w:r>
      <w:bookmarkStart w:id="854" w:name="_Int_ljrZP0BI"/>
      <w:r w:rsidRPr="00A46087">
        <w:t>a</w:t>
      </w:r>
      <w:bookmarkEnd w:id="854"/>
      <w:r w:rsidRPr="00A46087">
        <w:t xml:space="preserve"> um percentual sobre o valor contábil do patrimônio líquido da classe, a um percentual sobre o rendimento distribuído pela classe, a um percentual sobre a receita total da classe de cotas ou ao percentual mencionado no inciso I </w:t>
      </w:r>
      <w:r>
        <w:t>deste § 1º</w:t>
      </w:r>
      <w:r w:rsidRPr="00A46087">
        <w:t xml:space="preserve">, nos demais casos, conforme definido em regulamento. </w:t>
      </w:r>
    </w:p>
    <w:p w14:paraId="73BF45E0" w14:textId="77777777" w:rsidR="00AF795C" w:rsidRPr="00A46087" w:rsidRDefault="00AF795C" w:rsidP="00AF795C">
      <w:pPr>
        <w:pStyle w:val="NormaAlterada"/>
      </w:pPr>
      <w:r w:rsidRPr="00A46087">
        <w:t>§ 2</w:t>
      </w:r>
      <w:bookmarkStart w:id="855" w:name="_Int_ZTiU2767"/>
      <w:r w:rsidRPr="00A46087">
        <w:t>º  A</w:t>
      </w:r>
      <w:bookmarkEnd w:id="855"/>
      <w:r w:rsidRPr="00A46087">
        <w:t xml:space="preserve"> cobrança da parcela variável mencionada no </w:t>
      </w:r>
      <w:r w:rsidRPr="00A46087">
        <w:rPr>
          <w:b/>
          <w:bCs/>
        </w:rPr>
        <w:t xml:space="preserve">caput </w:t>
      </w:r>
      <w:r w:rsidRPr="00A46087">
        <w:t>(taxa de performance) deve atender aos critérios estabelecidos na parte geral da Resolução e no Anexo Normativo I, no que não contrariar as disposições deste Anexo Normativo III.</w:t>
      </w:r>
    </w:p>
    <w:p w14:paraId="0BE89398" w14:textId="77777777" w:rsidR="00AF795C" w:rsidRPr="00A46087" w:rsidRDefault="00AF795C" w:rsidP="00AF795C">
      <w:pPr>
        <w:pStyle w:val="NormaAlterada"/>
      </w:pPr>
      <w:r w:rsidRPr="00A46087">
        <w:t>§ 3</w:t>
      </w:r>
      <w:bookmarkStart w:id="856" w:name="_Int_LbXcoRYk"/>
      <w:r w:rsidRPr="00A46087">
        <w:t>º  O</w:t>
      </w:r>
      <w:bookmarkEnd w:id="856"/>
      <w:r w:rsidRPr="00A46087">
        <w:t xml:space="preserve"> regulamento pode prever um valor mínimo, em moeda corrente, para a remuneração do administrador mencionada no § 1º, a fim de assegurar que, independentemente da metodologia adotada para o seu cálculo, sejam cobertas as despesas incorridas com os serviços prestados para a classe de cotas.</w:t>
      </w:r>
    </w:p>
    <w:p w14:paraId="7472F360" w14:textId="77777777" w:rsidR="00AF795C" w:rsidRPr="00A46087" w:rsidRDefault="00AF795C" w:rsidP="00AF795C">
      <w:pPr>
        <w:pStyle w:val="NormaAlterada"/>
      </w:pPr>
      <w:r w:rsidRPr="00A46087">
        <w:t>§ 4</w:t>
      </w:r>
      <w:bookmarkStart w:id="857" w:name="_Int_SzIbI6qA"/>
      <w:r w:rsidRPr="00A46087">
        <w:t>º  A</w:t>
      </w:r>
      <w:bookmarkEnd w:id="857"/>
      <w:r w:rsidRPr="00A46087">
        <w:t xml:space="preserve"> assembleia de cotistas pode estabelecer que o método alternativo de cobrança de taxa de administração, de que trata o inciso II do § 1º, seja aplicado mesmo quando a classe de cotas integre ou passe a integrar índice de mercado no mês anterior, nos termos do inciso I do mesmo dispositivo.</w:t>
      </w:r>
    </w:p>
    <w:p w14:paraId="78EF9CD0" w14:textId="77777777" w:rsidR="00AF795C" w:rsidRPr="00A46087" w:rsidRDefault="00AF795C" w:rsidP="00AF795C">
      <w:pPr>
        <w:pStyle w:val="Seo"/>
      </w:pPr>
      <w:bookmarkStart w:id="858" w:name="_Toc161141336"/>
      <w:r w:rsidRPr="00A46087">
        <w:t>Seção V – Substituição do Administrador</w:t>
      </w:r>
      <w:bookmarkEnd w:id="858"/>
    </w:p>
    <w:p w14:paraId="1B5FC9FB" w14:textId="77777777" w:rsidR="00AF795C" w:rsidRPr="00A46087" w:rsidRDefault="00AF795C" w:rsidP="00AF795C">
      <w:pPr>
        <w:pStyle w:val="NormaAlterada"/>
      </w:pPr>
      <w:r w:rsidRPr="00A46087">
        <w:t xml:space="preserve">Art. 34.  Na hipótese de renúncia, o administrador fica obrigado a permanecer no exercício de suas funções até a averbação, no cartório de registro de imóveis, nas matrículas referentes aos bens imóveis e </w:t>
      </w:r>
      <w:r w:rsidRPr="00A46087">
        <w:lastRenderedPageBreak/>
        <w:t>direitos integrantes da carteira de ativos, da ata da assembleia de cotistas que eleger seu substituto e sucessor na propriedade fiduciária desses bens e direitos.</w:t>
      </w:r>
    </w:p>
    <w:p w14:paraId="44D463BF" w14:textId="77777777" w:rsidR="00AF795C" w:rsidRPr="00A46087" w:rsidRDefault="00AF795C" w:rsidP="00AF795C">
      <w:pPr>
        <w:pStyle w:val="NormaAlterada"/>
      </w:pPr>
      <w:r w:rsidRPr="00A46087">
        <w:t>§ 1</w:t>
      </w:r>
      <w:bookmarkStart w:id="859" w:name="_Int_UqbCONMe"/>
      <w:r w:rsidRPr="00A46087">
        <w:t>º  É</w:t>
      </w:r>
      <w:bookmarkEnd w:id="859"/>
      <w:r w:rsidRPr="00A46087">
        <w:t xml:space="preserve"> facultado aos cotistas que detenham ao menos 5% (cinco por cento) das cotas emitidas, a convocação da assembleia de cotistas prevista no </w:t>
      </w:r>
      <w:r w:rsidRPr="00A46087">
        <w:rPr>
          <w:b/>
          <w:bCs/>
        </w:rPr>
        <w:t>caput</w:t>
      </w:r>
      <w:r w:rsidRPr="00A46087">
        <w:t>, caso o administrador não a convoque, no prazo de 10 (dez) dias contados da renúncia.</w:t>
      </w:r>
    </w:p>
    <w:p w14:paraId="23036DC1" w14:textId="77777777" w:rsidR="00AF795C" w:rsidRPr="00A46087" w:rsidRDefault="00AF795C" w:rsidP="00AF795C">
      <w:pPr>
        <w:pStyle w:val="NormaAlterada"/>
      </w:pPr>
      <w:r w:rsidRPr="00A46087">
        <w:t>§ 2</w:t>
      </w:r>
      <w:bookmarkStart w:id="860" w:name="_Int_fPPHpouB"/>
      <w:r w:rsidRPr="00A46087">
        <w:t>º  Aplica</w:t>
      </w:r>
      <w:bookmarkEnd w:id="860"/>
      <w:r w:rsidRPr="00A46087">
        <w:t xml:space="preserve">-se o disposto no </w:t>
      </w:r>
      <w:r w:rsidRPr="00A46087">
        <w:rPr>
          <w:b/>
          <w:bCs/>
        </w:rPr>
        <w:t>caput</w:t>
      </w:r>
      <w:r w:rsidRPr="00A46087">
        <w:t>, mesmo quando a assembleia de cotistas deliberar a liquidação do fundo ou da classe de cotas, conforme o caso, em consequência da renúncia, da destituição ou da liquidação extrajudicial do administrador, cabendo à assembleia, nestes casos, eleger novo administrador para processar a liquidação.</w:t>
      </w:r>
    </w:p>
    <w:p w14:paraId="55965702" w14:textId="77777777" w:rsidR="00AF795C" w:rsidRPr="00A46087" w:rsidRDefault="00AF795C" w:rsidP="00AF795C">
      <w:pPr>
        <w:pStyle w:val="NormaAlterada"/>
      </w:pPr>
      <w:r w:rsidRPr="00A46087">
        <w:t>3</w:t>
      </w:r>
      <w:bookmarkStart w:id="861" w:name="_Int_xHNrNd3o"/>
      <w:r w:rsidRPr="00A46087">
        <w:t>º  Se</w:t>
      </w:r>
      <w:bookmarkEnd w:id="861"/>
      <w:r w:rsidRPr="00A46087">
        <w:t xml:space="preserve"> a assembleia geral de cotistas não eleger novo administrador no prazo de 30 (trinta) dias úteis contados da publicação no Diário Oficial do ato que decretar a liquidação extrajudicial, o Banco Central do Brasil deve nomear uma instituição para processar a liquidação do fundo.</w:t>
      </w:r>
    </w:p>
    <w:p w14:paraId="0394D606" w14:textId="77777777" w:rsidR="00AF795C" w:rsidRPr="00A46087" w:rsidRDefault="00AF795C" w:rsidP="00AF795C">
      <w:pPr>
        <w:pStyle w:val="NormaAlterada"/>
      </w:pPr>
      <w:r w:rsidRPr="00A46087">
        <w:t>§ 4</w:t>
      </w:r>
      <w:bookmarkStart w:id="862" w:name="_Int_Az5VGqSA"/>
      <w:r w:rsidRPr="00A46087">
        <w:t>º  Nas</w:t>
      </w:r>
      <w:bookmarkEnd w:id="862"/>
      <w:r w:rsidRPr="00A46087">
        <w:t xml:space="preserve"> hipóteses referidas no </w:t>
      </w:r>
      <w:r w:rsidRPr="00A46087">
        <w:rPr>
          <w:b/>
          <w:bCs/>
        </w:rPr>
        <w:t>caput</w:t>
      </w:r>
      <w:r w:rsidRPr="00A46087">
        <w:t>, bem como na sujeição do administrador ao regime de liquidação judicial ou extrajudicial, a ata da assembleia de cotistas que eleger novo administrador constitui documento hábil para averbação, no Cartório de Registro de Imóveis, da sucessão da propriedade fiduciária dos bens imóveis integrantes do patrimônio da classe de cotas.</w:t>
      </w:r>
    </w:p>
    <w:p w14:paraId="7FE3660A" w14:textId="77777777" w:rsidR="00AF795C" w:rsidRPr="00A46087" w:rsidRDefault="00AF795C" w:rsidP="00AF795C">
      <w:pPr>
        <w:pStyle w:val="NormaAlterada"/>
      </w:pPr>
      <w:r w:rsidRPr="00A46087">
        <w:t xml:space="preserve">§ 5º </w:t>
      </w:r>
      <w:r>
        <w:t xml:space="preserve"> </w:t>
      </w:r>
      <w:r w:rsidRPr="00A46087">
        <w:t>A sucessão da propriedade fiduciária de bem imóvel integrante de patrimônio de classe de cotas de FII não constitui transferência de propriedade.</w:t>
      </w:r>
    </w:p>
    <w:p w14:paraId="51CE80DF" w14:textId="77777777" w:rsidR="00AF795C" w:rsidRPr="00A46087" w:rsidRDefault="00AF795C" w:rsidP="00AF795C">
      <w:pPr>
        <w:pStyle w:val="NormaAlterada"/>
      </w:pPr>
      <w:r w:rsidRPr="00A46087">
        <w:t>Art. 35.  Caso o administrador renuncie às suas funções ou entre em processo de liquidação, correrão por sua conta os emolumentos e demais despesas relativas à transferência, ao seu sucessor, da propriedade fiduciária dos bens imóveis e direitos integrantes da carteira de ativos.</w:t>
      </w:r>
    </w:p>
    <w:p w14:paraId="7A32D2EF" w14:textId="77777777" w:rsidR="00AF795C" w:rsidRPr="00A46087" w:rsidRDefault="00AF795C" w:rsidP="00AF795C">
      <w:pPr>
        <w:pStyle w:val="Captulo"/>
        <w:rPr>
          <w:b/>
        </w:rPr>
      </w:pPr>
      <w:bookmarkStart w:id="863" w:name="_Toc161141337"/>
      <w:r w:rsidRPr="00A46087">
        <w:t>CAPÍTULO VII – DIVULGAÇÃO DE INFORMAÇÕES</w:t>
      </w:r>
      <w:bookmarkEnd w:id="863"/>
    </w:p>
    <w:p w14:paraId="0AD3188F" w14:textId="77777777" w:rsidR="00AF795C" w:rsidRPr="00A46087" w:rsidRDefault="00AF795C" w:rsidP="00AF795C">
      <w:pPr>
        <w:pStyle w:val="Seo"/>
      </w:pPr>
      <w:bookmarkStart w:id="864" w:name="_Toc161141338"/>
      <w:r w:rsidRPr="00A46087">
        <w:t>Seção I – Informações Periódicas</w:t>
      </w:r>
      <w:bookmarkEnd w:id="864"/>
    </w:p>
    <w:p w14:paraId="5F61D1A1" w14:textId="77777777" w:rsidR="00AF795C" w:rsidRPr="00A46087" w:rsidRDefault="00AF795C" w:rsidP="00AF795C">
      <w:pPr>
        <w:pStyle w:val="NormaAlterada"/>
      </w:pPr>
      <w:r w:rsidRPr="00A46087">
        <w:t>Art. 36.  O administrador deve divulgar as seguintes informações periódicas:</w:t>
      </w:r>
    </w:p>
    <w:p w14:paraId="46B409B8" w14:textId="77777777" w:rsidR="00AF795C" w:rsidRPr="00A46087" w:rsidRDefault="00AF795C" w:rsidP="00AF795C">
      <w:pPr>
        <w:pStyle w:val="NormaAlterada"/>
      </w:pPr>
      <w:r w:rsidRPr="00A46087">
        <w:t xml:space="preserve">I – </w:t>
      </w:r>
      <w:bookmarkStart w:id="865" w:name="_Int_Mq8Js6H4"/>
      <w:r w:rsidRPr="00A46087">
        <w:t>mensalmente</w:t>
      </w:r>
      <w:bookmarkEnd w:id="865"/>
      <w:r w:rsidRPr="00A46087">
        <w:t>, até 15 (quinze) dias após o encerramento do mês a que se referir, o formulário eletrônico cujo conteúdo reflita o Suplemento I;</w:t>
      </w:r>
    </w:p>
    <w:p w14:paraId="03E5B7D5" w14:textId="77777777" w:rsidR="00AF795C" w:rsidRPr="00A46087" w:rsidRDefault="00AF795C" w:rsidP="00AF795C">
      <w:pPr>
        <w:pStyle w:val="NormaAlterada"/>
      </w:pPr>
      <w:r w:rsidRPr="00A46087">
        <w:lastRenderedPageBreak/>
        <w:t xml:space="preserve">II – </w:t>
      </w:r>
      <w:bookmarkStart w:id="866" w:name="_Int_4kvlotWF"/>
      <w:r w:rsidRPr="00A46087">
        <w:t>trimestralmente</w:t>
      </w:r>
      <w:bookmarkEnd w:id="866"/>
      <w:r w:rsidRPr="00A46087">
        <w:t>, até 45 (quarenta e cinco) dias após o encerramento do trimestre a que se referir, o formulário eletrônico cujo conteúdo reflita o Suplemento J;</w:t>
      </w:r>
    </w:p>
    <w:p w14:paraId="1ECA0DA5" w14:textId="77777777" w:rsidR="00AF795C" w:rsidRPr="00A46087" w:rsidRDefault="00AF795C" w:rsidP="00AF795C">
      <w:pPr>
        <w:pStyle w:val="NormaAlterada"/>
      </w:pPr>
      <w:r w:rsidRPr="00A46087">
        <w:t>III – anualmente, até 90 (noventa) dias após o encerramento do exercício social a que se referirem:</w:t>
      </w:r>
    </w:p>
    <w:p w14:paraId="487A2D4F" w14:textId="77777777" w:rsidR="00AF795C" w:rsidRPr="00A46087" w:rsidRDefault="00AF795C" w:rsidP="00AF795C">
      <w:pPr>
        <w:pStyle w:val="NormaAlterada"/>
      </w:pPr>
      <w:r w:rsidRPr="00A46087">
        <w:t>a) as demonstrações contábeis auditadas, acompanhadas do relatório do auditor independente; e</w:t>
      </w:r>
    </w:p>
    <w:p w14:paraId="12291CA6" w14:textId="77777777" w:rsidR="00AF795C" w:rsidRPr="00A46087" w:rsidRDefault="00AF795C" w:rsidP="00AF795C">
      <w:pPr>
        <w:pStyle w:val="NormaAlterada"/>
      </w:pPr>
      <w:r w:rsidRPr="00A46087">
        <w:t>b) o formulário eletrônico cujo conteúdo reflita o Suplemento K;</w:t>
      </w:r>
    </w:p>
    <w:p w14:paraId="4E3CC3D3" w14:textId="77777777" w:rsidR="00AF795C" w:rsidRPr="00A46087" w:rsidRDefault="00AF795C" w:rsidP="00AF795C">
      <w:pPr>
        <w:pStyle w:val="NormaAlterada"/>
      </w:pPr>
      <w:r w:rsidRPr="00A46087">
        <w:t xml:space="preserve">IV – </w:t>
      </w:r>
      <w:bookmarkStart w:id="867" w:name="_Int_HCElKU53"/>
      <w:r w:rsidRPr="00A46087">
        <w:t>anualmente</w:t>
      </w:r>
      <w:bookmarkEnd w:id="867"/>
      <w:r w:rsidRPr="00A46087">
        <w:t>, tão logo receba, o relatório dos representantes de cotistas;</w:t>
      </w:r>
    </w:p>
    <w:p w14:paraId="0C316659" w14:textId="77777777" w:rsidR="00AF795C" w:rsidRPr="00A46087" w:rsidRDefault="00AF795C" w:rsidP="00AF795C">
      <w:pPr>
        <w:pStyle w:val="NormaAlterada"/>
      </w:pPr>
      <w:r w:rsidRPr="00A46087">
        <w:t xml:space="preserve">V – </w:t>
      </w:r>
      <w:bookmarkStart w:id="868" w:name="_Int_z7sQhGpB"/>
      <w:r w:rsidRPr="00A46087">
        <w:t>até</w:t>
      </w:r>
      <w:bookmarkEnd w:id="868"/>
      <w:r w:rsidRPr="00A46087">
        <w:t xml:space="preserve"> 8 (oito) dias após sua ocorrência, a ata da assembleia ordinária de cotistas; e</w:t>
      </w:r>
    </w:p>
    <w:p w14:paraId="5E301F00" w14:textId="77777777" w:rsidR="00AF795C" w:rsidRPr="00A46087" w:rsidRDefault="00AF795C" w:rsidP="00AF795C">
      <w:pPr>
        <w:pStyle w:val="NormaAlterada"/>
      </w:pPr>
      <w:r w:rsidRPr="00A46087">
        <w:t xml:space="preserve">VI – </w:t>
      </w:r>
      <w:bookmarkStart w:id="869" w:name="_Int_l0vTBjSJ"/>
      <w:r w:rsidRPr="00A46087">
        <w:t>no</w:t>
      </w:r>
      <w:bookmarkEnd w:id="869"/>
      <w:r w:rsidRPr="00A46087">
        <w:t xml:space="preserve"> mesmo dia de sua realização, o sumário das decisões tomadas na assembleia ordinária de cotistas.</w:t>
      </w:r>
    </w:p>
    <w:p w14:paraId="77222574" w14:textId="77777777" w:rsidR="00AF795C" w:rsidRPr="00A46087" w:rsidRDefault="00AF795C" w:rsidP="00AF795C">
      <w:pPr>
        <w:pStyle w:val="NormaAlterada"/>
      </w:pPr>
      <w:r w:rsidRPr="00A46087">
        <w:t>§ 1</w:t>
      </w:r>
      <w:bookmarkStart w:id="870" w:name="_Int_qLOtJjCP"/>
      <w:r w:rsidRPr="00A46087">
        <w:t>º  O</w:t>
      </w:r>
      <w:bookmarkEnd w:id="870"/>
      <w:r w:rsidRPr="00A46087">
        <w:t xml:space="preserve"> administrador deve reenviar o formulário eletrônico cujo conteúdo reflita o Suplemento K atualizado na data do pedido de registro de distribuição pública de novas cotas.</w:t>
      </w:r>
    </w:p>
    <w:p w14:paraId="7403C6E7" w14:textId="77777777" w:rsidR="00AF795C" w:rsidRPr="00A46087" w:rsidRDefault="00AF795C" w:rsidP="00AF795C">
      <w:pPr>
        <w:pStyle w:val="NormaAlterada"/>
      </w:pPr>
      <w:r w:rsidRPr="00A46087">
        <w:t>§ 2</w:t>
      </w:r>
      <w:bookmarkStart w:id="871" w:name="_Int_L5uQcmXy"/>
      <w:r w:rsidRPr="00A46087">
        <w:t>º  A</w:t>
      </w:r>
      <w:bookmarkEnd w:id="871"/>
      <w:r w:rsidRPr="00A46087">
        <w:t xml:space="preserve"> data de encerramento do exercício social da classe de cotas deve ser 30 de junho ou 31 de dezembro de cada ano.</w:t>
      </w:r>
    </w:p>
    <w:p w14:paraId="4FF27E2F" w14:textId="77777777" w:rsidR="00AF795C" w:rsidRPr="00A46087" w:rsidRDefault="00AF795C" w:rsidP="00AF795C">
      <w:pPr>
        <w:pStyle w:val="Seo"/>
      </w:pPr>
      <w:bookmarkStart w:id="872" w:name="_Toc161141339"/>
      <w:r w:rsidRPr="00A46087">
        <w:t>Seção II – Informações Eventuais</w:t>
      </w:r>
      <w:bookmarkEnd w:id="872"/>
    </w:p>
    <w:p w14:paraId="24DFAB11" w14:textId="77777777" w:rsidR="00AF795C" w:rsidRPr="00A46087" w:rsidRDefault="00AF795C" w:rsidP="00AF795C">
      <w:pPr>
        <w:pStyle w:val="NormaAlterada"/>
      </w:pPr>
      <w:r w:rsidRPr="00A46087">
        <w:t>Art. 37.  O administrador deve disponibilizar aos cotistas os seguintes documentos, relativos a informações eventuais sobre a classe de cotas:</w:t>
      </w:r>
    </w:p>
    <w:p w14:paraId="33B2646C" w14:textId="77777777" w:rsidR="00AF795C" w:rsidRPr="00A46087" w:rsidRDefault="00AF795C" w:rsidP="00AF795C">
      <w:pPr>
        <w:pStyle w:val="NormaAlterada"/>
      </w:pPr>
      <w:r w:rsidRPr="00A46087">
        <w:t xml:space="preserve">I – </w:t>
      </w:r>
      <w:bookmarkStart w:id="873" w:name="_Int_3oVtYLXM"/>
      <w:r w:rsidRPr="00A46087">
        <w:t>edital</w:t>
      </w:r>
      <w:bookmarkEnd w:id="873"/>
      <w:r w:rsidRPr="00A46087">
        <w:t xml:space="preserve"> de convocação, proposta da administração e outros documentos relativos a assembleias extraordinárias de cotistas, no mesmo dia de sua convocação;</w:t>
      </w:r>
    </w:p>
    <w:p w14:paraId="5DC35461" w14:textId="77777777" w:rsidR="00AF795C" w:rsidRPr="00A46087" w:rsidRDefault="00AF795C" w:rsidP="00AF795C">
      <w:pPr>
        <w:pStyle w:val="NormaAlterada"/>
      </w:pPr>
      <w:r w:rsidRPr="00A46087">
        <w:t xml:space="preserve">II – </w:t>
      </w:r>
      <w:bookmarkStart w:id="874" w:name="_Int_pfzricfm"/>
      <w:r w:rsidRPr="00A46087">
        <w:t>até</w:t>
      </w:r>
      <w:bookmarkEnd w:id="874"/>
      <w:r w:rsidRPr="00A46087">
        <w:t xml:space="preserve"> 8 (oito) dias após sua ocorrência, a ata da assembleia extraordinária de cotistas;</w:t>
      </w:r>
    </w:p>
    <w:p w14:paraId="29890294" w14:textId="77777777" w:rsidR="00AF795C" w:rsidRPr="00A46087" w:rsidRDefault="00AF795C" w:rsidP="00AF795C">
      <w:pPr>
        <w:pStyle w:val="NormaAlterada"/>
      </w:pPr>
      <w:r w:rsidRPr="00A46087">
        <w:t xml:space="preserve">III – fatos relevantes; </w:t>
      </w:r>
    </w:p>
    <w:p w14:paraId="0834AC7B" w14:textId="77777777" w:rsidR="00AF795C" w:rsidRPr="00A46087" w:rsidRDefault="00AF795C" w:rsidP="00AF795C">
      <w:pPr>
        <w:pStyle w:val="NormaAlterada"/>
      </w:pPr>
      <w:r w:rsidRPr="00A46087">
        <w:t xml:space="preserve">IV – </w:t>
      </w:r>
      <w:bookmarkStart w:id="875" w:name="_Int_AM44CX5r"/>
      <w:r w:rsidRPr="00A46087">
        <w:t>até</w:t>
      </w:r>
      <w:bookmarkEnd w:id="875"/>
      <w:r w:rsidRPr="00A46087">
        <w:t xml:space="preserve"> 30 (trinta) dias a contar da conclusão do negócio, a avaliação relativa aos imóveis, bens e direitos de uso adquiridos pela classe de cotas, nos termos do § 3º do art. 40 deste Anexo Normativo III, com exceção das informações mencionadas no item </w:t>
      </w:r>
      <w:r>
        <w:t>II.</w:t>
      </w:r>
      <w:r w:rsidRPr="00A46087">
        <w:t>7 do Suplemento H quando estiverem protegidas por sigilo ou se prejudicarem a estratégia de investimentos;</w:t>
      </w:r>
    </w:p>
    <w:p w14:paraId="67C98D73" w14:textId="77777777" w:rsidR="00AF795C" w:rsidRPr="00A46087" w:rsidRDefault="00AF795C" w:rsidP="00AF795C">
      <w:pPr>
        <w:pStyle w:val="NormaAlterada"/>
      </w:pPr>
      <w:r w:rsidRPr="00A46087">
        <w:t xml:space="preserve">V – </w:t>
      </w:r>
      <w:bookmarkStart w:id="876" w:name="_Int_M34UGTFy"/>
      <w:r w:rsidRPr="00A46087">
        <w:t>no</w:t>
      </w:r>
      <w:bookmarkEnd w:id="876"/>
      <w:r w:rsidRPr="00A46087">
        <w:t xml:space="preserve"> mesmo dia de sua realização, o sumário das decisões tomadas na assembleia extraordinária de cotistas; e</w:t>
      </w:r>
    </w:p>
    <w:p w14:paraId="3A445968" w14:textId="77777777" w:rsidR="00AF795C" w:rsidRPr="00A46087" w:rsidRDefault="00AF795C" w:rsidP="00AF795C">
      <w:pPr>
        <w:pStyle w:val="NormaAlterada"/>
      </w:pPr>
      <w:r w:rsidRPr="00A46087">
        <w:lastRenderedPageBreak/>
        <w:t xml:space="preserve">VI – </w:t>
      </w:r>
      <w:bookmarkStart w:id="877" w:name="_Int_ac9ObyVM"/>
      <w:r w:rsidRPr="00A46087">
        <w:t>em</w:t>
      </w:r>
      <w:bookmarkEnd w:id="877"/>
      <w:r w:rsidRPr="00A46087">
        <w:t xml:space="preserve"> até 2 (dois) dias, os relatórios e pareceres recebidos dos representantes dos cotistas, com exceção daquele mencionado no inciso IV do art. 36 deste Anexo Normativo III.</w:t>
      </w:r>
    </w:p>
    <w:p w14:paraId="6B26C272" w14:textId="77777777" w:rsidR="00AF795C" w:rsidRPr="00A46087" w:rsidRDefault="00AF795C" w:rsidP="00AF795C">
      <w:pPr>
        <w:pStyle w:val="NormaAlterada"/>
      </w:pPr>
      <w:r w:rsidRPr="00A46087">
        <w:t>§ 1</w:t>
      </w:r>
      <w:bookmarkStart w:id="878" w:name="_Int_Ywc1WHrv"/>
      <w:r w:rsidRPr="00A46087">
        <w:t>º  Para</w:t>
      </w:r>
      <w:bookmarkEnd w:id="878"/>
      <w:r w:rsidRPr="00A46087">
        <w:t xml:space="preserve"> efeitos do inciso III do </w:t>
      </w:r>
      <w:r w:rsidRPr="00A46087">
        <w:rPr>
          <w:b/>
          <w:bCs/>
        </w:rPr>
        <w:t>caput</w:t>
      </w:r>
      <w:r w:rsidRPr="00A46087">
        <w:t>, são exemplos de fatos potencialmente relevantes, além daqueles previstos no § 3º do art. 64 da parte geral da Resolução:</w:t>
      </w:r>
    </w:p>
    <w:p w14:paraId="48FE7D2F" w14:textId="77777777" w:rsidR="00AF795C" w:rsidRPr="00A46087" w:rsidRDefault="00AF795C" w:rsidP="00AF795C">
      <w:pPr>
        <w:pStyle w:val="NormaAlterada"/>
      </w:pPr>
      <w:r w:rsidRPr="00A46087">
        <w:t xml:space="preserve">I – </w:t>
      </w:r>
      <w:bookmarkStart w:id="879" w:name="_Int_LQqasB8q"/>
      <w:r w:rsidRPr="00A46087">
        <w:t>o</w:t>
      </w:r>
      <w:bookmarkEnd w:id="879"/>
      <w:r w:rsidRPr="00A46087">
        <w:t xml:space="preserve"> atraso para o recebimento de quaisquer rendimentos que representem percentual significativo dentre as receitas da classe; </w:t>
      </w:r>
    </w:p>
    <w:p w14:paraId="661551F5" w14:textId="77777777" w:rsidR="00AF795C" w:rsidRPr="00A46087" w:rsidRDefault="00AF795C" w:rsidP="00AF795C">
      <w:pPr>
        <w:pStyle w:val="NormaAlterada"/>
      </w:pPr>
      <w:r w:rsidRPr="00A46087">
        <w:t xml:space="preserve">II – </w:t>
      </w:r>
      <w:bookmarkStart w:id="880" w:name="_Int_NQzLwEZB"/>
      <w:r w:rsidRPr="00A46087">
        <w:t>a</w:t>
      </w:r>
      <w:bookmarkEnd w:id="880"/>
      <w:r w:rsidRPr="00A46087">
        <w:t xml:space="preserve"> desocupação ou qualquer outra espécie de vacância dos imóveis que sejam destinados a arrendamento ou locação e que possa gerar impacto significativo na rentabilidade da classe; </w:t>
      </w:r>
    </w:p>
    <w:p w14:paraId="5AF614B2" w14:textId="77777777" w:rsidR="00AF795C" w:rsidRPr="00A46087" w:rsidRDefault="00AF795C" w:rsidP="00AF795C">
      <w:pPr>
        <w:pStyle w:val="NormaAlterada"/>
      </w:pPr>
      <w:r w:rsidRPr="00A46087">
        <w:t xml:space="preserve">III – o atraso no andamento de obras que possa gerar impacto significativo na rentabilidade da classe; </w:t>
      </w:r>
    </w:p>
    <w:p w14:paraId="2D84D1B3" w14:textId="77777777" w:rsidR="00AF795C" w:rsidRPr="00A46087" w:rsidRDefault="00AF795C" w:rsidP="00AF795C">
      <w:pPr>
        <w:pStyle w:val="NormaAlterada"/>
      </w:pPr>
      <w:r w:rsidRPr="00A46087">
        <w:t xml:space="preserve">IV – </w:t>
      </w:r>
      <w:bookmarkStart w:id="881" w:name="_Int_Gm3bImHN"/>
      <w:r w:rsidRPr="00A46087">
        <w:t>propositura</w:t>
      </w:r>
      <w:bookmarkEnd w:id="881"/>
      <w:r w:rsidRPr="00A46087">
        <w:t xml:space="preserve"> de ação judicial que possa vir a afetar a situação econômico-financeira da classe; e</w:t>
      </w:r>
    </w:p>
    <w:p w14:paraId="5B6D7C1E" w14:textId="77777777" w:rsidR="00AF795C" w:rsidRPr="00A46087" w:rsidRDefault="00AF795C" w:rsidP="00AF795C">
      <w:pPr>
        <w:pStyle w:val="NormaAlterada"/>
      </w:pPr>
      <w:r w:rsidRPr="00A46087">
        <w:t xml:space="preserve">V – </w:t>
      </w:r>
      <w:bookmarkStart w:id="882" w:name="_Int_DpD3XOHz"/>
      <w:r w:rsidRPr="00A46087">
        <w:t>a</w:t>
      </w:r>
      <w:bookmarkEnd w:id="882"/>
      <w:r w:rsidRPr="00A46087">
        <w:t xml:space="preserve"> venda ou locação dos imóveis destinados a arrendamento ou locação, e que possam gerar impacto significativo na rentabilidade da classe.</w:t>
      </w:r>
    </w:p>
    <w:p w14:paraId="123F7EAA" w14:textId="77777777" w:rsidR="00AF795C" w:rsidRPr="00A46087" w:rsidRDefault="00AF795C" w:rsidP="00AF795C">
      <w:pPr>
        <w:pStyle w:val="NormaAlterada"/>
      </w:pPr>
      <w:r w:rsidRPr="00A46087">
        <w:t>§ 2</w:t>
      </w:r>
      <w:bookmarkStart w:id="883" w:name="_Int_QJAQKcPi"/>
      <w:r w:rsidRPr="00A46087">
        <w:t>º  Nos</w:t>
      </w:r>
      <w:bookmarkEnd w:id="883"/>
      <w:r w:rsidRPr="00A46087">
        <w:t xml:space="preserve"> casos de classes não listadas em mercado organizado de valores mobiliários e que sejam, cumulativamente, exclusivas, dedicadas exclusivamente a investidores profissionais, ou onde a totalidade dos cotistas mantenha vínculo familiar ou societário familiar, a divulgação das avaliações de que trata o inciso IV do </w:t>
      </w:r>
      <w:r w:rsidRPr="00A46087">
        <w:rPr>
          <w:b/>
          <w:bCs/>
        </w:rPr>
        <w:t xml:space="preserve">caput </w:t>
      </w:r>
      <w:r w:rsidRPr="00A46087">
        <w:t xml:space="preserve">é facultativa, devendo, contudo, ser disponibilizada aos cotistas quando requeridas. </w:t>
      </w:r>
    </w:p>
    <w:p w14:paraId="28EB0B96" w14:textId="77777777" w:rsidR="00AF795C" w:rsidRPr="00A46087" w:rsidRDefault="00AF795C" w:rsidP="00AF795C">
      <w:pPr>
        <w:pStyle w:val="NormaAlterada"/>
      </w:pPr>
      <w:r w:rsidRPr="00A46087">
        <w:t>Art. 38.  A divulgação de informações referidas neste Capítulo deve ser feita na página do administrador na rede mundial de computadores, em lugar de destaque e disponível para acesso gratuito, e mantida disponível aos cotistas em sua sede.</w:t>
      </w:r>
    </w:p>
    <w:p w14:paraId="5C284C70" w14:textId="77777777" w:rsidR="00AF795C" w:rsidRPr="00A46087" w:rsidRDefault="00AF795C" w:rsidP="00AF795C">
      <w:pPr>
        <w:pStyle w:val="NormaAlterada"/>
      </w:pPr>
      <w:r w:rsidRPr="00A46087">
        <w:t xml:space="preserve">Parágrafo único.  O administrador deve, ainda, simultaneamente à divulgação referida no </w:t>
      </w:r>
      <w:r w:rsidRPr="00A46087">
        <w:rPr>
          <w:b/>
          <w:bCs/>
        </w:rPr>
        <w:t>caput</w:t>
      </w:r>
      <w:r w:rsidRPr="00A46087">
        <w:t>, enviar as informações referidas neste Capítulo à entidade administradora de mercado organizado em que as cotas sejam admitidas à negociação, bem como à CVM, por meio de Sistema de Envio de Documentos, disponível na página da CVM na rede mundial de computadores.</w:t>
      </w:r>
    </w:p>
    <w:p w14:paraId="11094174" w14:textId="77777777" w:rsidR="00AF795C" w:rsidRPr="00A46087" w:rsidRDefault="00AF795C" w:rsidP="00AF795C">
      <w:pPr>
        <w:pStyle w:val="Seo"/>
      </w:pPr>
      <w:bookmarkStart w:id="884" w:name="_Toc161141340"/>
      <w:r w:rsidRPr="00A46087">
        <w:t>Seção III – Uso Indevido de Informação Privilegiada</w:t>
      </w:r>
      <w:bookmarkEnd w:id="884"/>
    </w:p>
    <w:p w14:paraId="2B20ADAC" w14:textId="77777777" w:rsidR="00AF795C" w:rsidRPr="00A46087" w:rsidRDefault="00AF795C" w:rsidP="00AF795C">
      <w:pPr>
        <w:pStyle w:val="NormaAlterada"/>
        <w:rPr>
          <w:lang w:val="x-none"/>
        </w:rPr>
      </w:pPr>
      <w:r w:rsidRPr="00A46087">
        <w:rPr>
          <w:lang w:val="x-none"/>
        </w:rPr>
        <w:t xml:space="preserve">Art. </w:t>
      </w:r>
      <w:r w:rsidRPr="00A46087">
        <w:t>39</w:t>
      </w:r>
      <w:r w:rsidRPr="00A46087">
        <w:rPr>
          <w:lang w:val="x-none"/>
        </w:rPr>
        <w:t xml:space="preserve">. </w:t>
      </w:r>
      <w:r>
        <w:t xml:space="preserve"> </w:t>
      </w:r>
      <w:r w:rsidRPr="00A46087">
        <w:rPr>
          <w:lang w:val="x-none"/>
        </w:rPr>
        <w:t xml:space="preserve">Em complemento ao disposto no § 1º do art. 45 da parte geral da Resolução, para fins de caracterização do ilícito de negociação com uso indevido de informação privilegiada, presume-se que o </w:t>
      </w:r>
      <w:r w:rsidRPr="00A46087">
        <w:rPr>
          <w:lang w:val="x-none"/>
        </w:rPr>
        <w:lastRenderedPageBreak/>
        <w:t xml:space="preserve">representante dos cotistas que se afasta da função dispondo de informação relevante e ainda não divulgada se vale de tal informação caso negocie cotas </w:t>
      </w:r>
      <w:r w:rsidRPr="00A46087">
        <w:t>da classe afetada</w:t>
      </w:r>
      <w:r w:rsidRPr="00A46087">
        <w:rPr>
          <w:lang w:val="x-none"/>
        </w:rPr>
        <w:t xml:space="preserve"> no período de 3 (três) meses contados do término de seu </w:t>
      </w:r>
      <w:r w:rsidRPr="00A46087">
        <w:t>afastamento da função</w:t>
      </w:r>
      <w:r w:rsidRPr="00A46087">
        <w:rPr>
          <w:lang w:val="x-none"/>
        </w:rPr>
        <w:t>.</w:t>
      </w:r>
    </w:p>
    <w:p w14:paraId="1FB3719C" w14:textId="77777777" w:rsidR="00AF795C" w:rsidRPr="00A46087" w:rsidRDefault="00AF795C" w:rsidP="00AF795C">
      <w:pPr>
        <w:pStyle w:val="Captulo"/>
        <w:rPr>
          <w:b/>
          <w:bCs/>
        </w:rPr>
      </w:pPr>
      <w:bookmarkStart w:id="885" w:name="_Toc161141341"/>
      <w:r w:rsidRPr="00A46087">
        <w:rPr>
          <w:bCs/>
        </w:rPr>
        <w:t xml:space="preserve">CAPÍTULO VIII </w:t>
      </w:r>
      <w:r w:rsidRPr="00A46087">
        <w:t>– CARTEIRA DE ATIVOS</w:t>
      </w:r>
      <w:bookmarkEnd w:id="885"/>
    </w:p>
    <w:p w14:paraId="421A2425" w14:textId="77777777" w:rsidR="00AF795C" w:rsidRPr="00A46087" w:rsidRDefault="00AF795C" w:rsidP="00AF795C">
      <w:pPr>
        <w:pStyle w:val="NormaAlterada"/>
      </w:pPr>
      <w:r w:rsidRPr="00A46087">
        <w:t>Art. 40.  A participação da classe de cotas em empreendimentos imobiliários pode se dar por meio da aquisição dos seguintes ativos:</w:t>
      </w:r>
    </w:p>
    <w:p w14:paraId="7FE97B4D" w14:textId="77777777" w:rsidR="00AF795C" w:rsidRPr="00A46087" w:rsidRDefault="00AF795C" w:rsidP="00AF795C">
      <w:pPr>
        <w:pStyle w:val="NormaAlterada"/>
      </w:pPr>
      <w:r w:rsidRPr="00A46087">
        <w:t xml:space="preserve">I – </w:t>
      </w:r>
      <w:bookmarkStart w:id="886" w:name="_Int_iIPPnPtd"/>
      <w:r w:rsidRPr="00A46087">
        <w:t>quaisquer</w:t>
      </w:r>
      <w:bookmarkEnd w:id="886"/>
      <w:r w:rsidRPr="00A46087">
        <w:t xml:space="preserve"> direitos reais sobre bens imóveis;</w:t>
      </w:r>
    </w:p>
    <w:p w14:paraId="3B2C2D56" w14:textId="77777777" w:rsidR="00AF795C" w:rsidRPr="00A46087" w:rsidRDefault="00AF795C" w:rsidP="00AF795C">
      <w:pPr>
        <w:pStyle w:val="NormaAlterada"/>
      </w:pPr>
      <w:r w:rsidRPr="00A46087">
        <w:t xml:space="preserve">II – </w:t>
      </w:r>
      <w:bookmarkStart w:id="887" w:name="_Int_6qjUgTmB"/>
      <w:r w:rsidRPr="00A46087">
        <w:t>ações</w:t>
      </w:r>
      <w:bookmarkEnd w:id="887"/>
      <w:r w:rsidRPr="00A46087">
        <w:t>, debêntures, bônus de subscrição, seus cupons, direitos e recibos de subscrição, certificados de depósito de valores mobiliários, cotas de fundos de investimento, notas promissórias, notas comerciais e quaisquer outros valores mobiliários, desde que se tratem de emissores registrados na CVM e cujas atividades preponderantes sejam permitidas aos FII;</w:t>
      </w:r>
    </w:p>
    <w:p w14:paraId="28D41988" w14:textId="77777777" w:rsidR="00AF795C" w:rsidRPr="00A46087" w:rsidRDefault="00AF795C" w:rsidP="00AF795C">
      <w:pPr>
        <w:pStyle w:val="NormaAlterada"/>
      </w:pPr>
      <w:r w:rsidRPr="00A46087">
        <w:t>III – ações ou cotas de sociedades cujo único propósito se enquadre entre as atividades permitidas aos FII;</w:t>
      </w:r>
    </w:p>
    <w:p w14:paraId="6BE42F59" w14:textId="77777777" w:rsidR="00AF795C" w:rsidRPr="00A46087" w:rsidRDefault="00AF795C" w:rsidP="00AF795C">
      <w:pPr>
        <w:pStyle w:val="NormaAlterada"/>
      </w:pPr>
      <w:r w:rsidRPr="00A46087">
        <w:t xml:space="preserve">IV – </w:t>
      </w:r>
      <w:bookmarkStart w:id="888" w:name="_Int_017erI7t"/>
      <w:r w:rsidRPr="00A46087">
        <w:t>certificados</w:t>
      </w:r>
      <w:bookmarkEnd w:id="888"/>
      <w:r w:rsidRPr="00A46087">
        <w:t xml:space="preserve"> de potencial adicional de construção emitidos com base na Resolução CVM nº 84, </w:t>
      </w:r>
      <w:r>
        <w:t xml:space="preserve">de 31 de março </w:t>
      </w:r>
      <w:r w:rsidRPr="00A46087">
        <w:t xml:space="preserve">de 2022; </w:t>
      </w:r>
    </w:p>
    <w:p w14:paraId="2BF96B56" w14:textId="77777777" w:rsidR="00AF795C" w:rsidRPr="00A46087" w:rsidRDefault="00AF795C" w:rsidP="00AF795C">
      <w:pPr>
        <w:pStyle w:val="NormaAlterada"/>
      </w:pPr>
      <w:r w:rsidRPr="00A46087">
        <w:t xml:space="preserve">V – </w:t>
      </w:r>
      <w:bookmarkStart w:id="889" w:name="_Int_0MKwAwj1"/>
      <w:r w:rsidRPr="00A46087">
        <w:t>cotas</w:t>
      </w:r>
      <w:bookmarkEnd w:id="889"/>
      <w:r w:rsidRPr="00A46087">
        <w:t xml:space="preserve"> de fundos de investimento em participações que tenham como política de investimento, exclusivamente, atividades permitidas aos FII; e de </w:t>
      </w:r>
      <w:bookmarkStart w:id="890" w:name="OLE_LINK1"/>
      <w:bookmarkStart w:id="891" w:name="OLE_LINK2"/>
      <w:r w:rsidRPr="00A46087">
        <w:t>fundos de investimento em ações que invistam exclusivamente em construção civil ou no mercado imobiliário</w:t>
      </w:r>
      <w:bookmarkEnd w:id="890"/>
      <w:bookmarkEnd w:id="891"/>
      <w:r w:rsidRPr="00A46087">
        <w:t>;</w:t>
      </w:r>
    </w:p>
    <w:p w14:paraId="1A977B6A" w14:textId="77777777" w:rsidR="00AF795C" w:rsidRPr="00A46087" w:rsidRDefault="00AF795C" w:rsidP="00AF795C">
      <w:pPr>
        <w:pStyle w:val="NormaAlterada"/>
      </w:pPr>
      <w:r w:rsidRPr="00A46087">
        <w:t xml:space="preserve">VI – </w:t>
      </w:r>
      <w:bookmarkStart w:id="892" w:name="_Int_5iSLQzgK"/>
      <w:r w:rsidRPr="00A46087">
        <w:t>cotas</w:t>
      </w:r>
      <w:bookmarkEnd w:id="892"/>
      <w:r w:rsidRPr="00A46087">
        <w:t xml:space="preserve"> de outros FII;</w:t>
      </w:r>
    </w:p>
    <w:p w14:paraId="40665BB0" w14:textId="77777777" w:rsidR="00AF795C" w:rsidRPr="00A46087" w:rsidRDefault="00AF795C" w:rsidP="00AF795C">
      <w:pPr>
        <w:pStyle w:val="NormaAlterada"/>
      </w:pPr>
      <w:r w:rsidRPr="00A46087">
        <w:t>VII – certificados de recebíveis imobiliários e cotas de fundos de investimento em direitos creditórios que tenham como política de investimento, exclusivamente, atividades permitidas aos FII, e desde que estes certificados e cotas tenham sido objeto de oferta pública registrada na CVM ou cujo registro tenha sido dispensado;</w:t>
      </w:r>
    </w:p>
    <w:p w14:paraId="31D84209" w14:textId="77777777" w:rsidR="00AF795C" w:rsidRPr="00A46087" w:rsidRDefault="00AF795C" w:rsidP="00AF795C">
      <w:pPr>
        <w:pStyle w:val="NormaAlterada"/>
      </w:pPr>
      <w:r w:rsidRPr="00A46087">
        <w:t xml:space="preserve">VIII – letras hipotecárias; </w:t>
      </w:r>
    </w:p>
    <w:p w14:paraId="506A179A" w14:textId="77777777" w:rsidR="00AF795C" w:rsidRPr="00A46087" w:rsidRDefault="00AF795C" w:rsidP="00AF795C">
      <w:pPr>
        <w:pStyle w:val="NormaAlterada"/>
      </w:pPr>
      <w:r w:rsidRPr="00A46087">
        <w:t xml:space="preserve">IX – </w:t>
      </w:r>
      <w:bookmarkStart w:id="893" w:name="_Int_E0jEzdUh"/>
      <w:r w:rsidRPr="00A46087">
        <w:t>letras</w:t>
      </w:r>
      <w:bookmarkEnd w:id="893"/>
      <w:r w:rsidRPr="00A46087">
        <w:t xml:space="preserve"> de crédito imobiliário; e </w:t>
      </w:r>
    </w:p>
    <w:p w14:paraId="111861F7" w14:textId="77777777" w:rsidR="00AF795C" w:rsidRPr="00A46087" w:rsidRDefault="00AF795C" w:rsidP="00AF795C">
      <w:pPr>
        <w:pStyle w:val="NormaAlterada"/>
      </w:pPr>
      <w:r w:rsidRPr="00A46087">
        <w:t xml:space="preserve">X – </w:t>
      </w:r>
      <w:bookmarkStart w:id="894" w:name="_Int_IIvGqpLh"/>
      <w:r w:rsidRPr="00A46087">
        <w:t>letras</w:t>
      </w:r>
      <w:bookmarkEnd w:id="894"/>
      <w:r w:rsidRPr="00A46087">
        <w:t xml:space="preserve"> imobiliárias garantidas. </w:t>
      </w:r>
    </w:p>
    <w:p w14:paraId="6F72ED3C" w14:textId="77777777" w:rsidR="00AF795C" w:rsidRPr="00A46087" w:rsidRDefault="00AF795C" w:rsidP="00AF795C">
      <w:pPr>
        <w:pStyle w:val="NormaAlterada"/>
      </w:pPr>
      <w:r w:rsidRPr="00A46087">
        <w:lastRenderedPageBreak/>
        <w:t>§ 1</w:t>
      </w:r>
      <w:bookmarkStart w:id="895" w:name="_Int_hZdR5TVq"/>
      <w:r w:rsidRPr="00A46087">
        <w:t>º  Quando</w:t>
      </w:r>
      <w:bookmarkEnd w:id="895"/>
      <w:r w:rsidRPr="00A46087">
        <w:t xml:space="preserve"> o investimento da classe de cotas se der em projetos de construção, cabe ao administrador, independentemente da contratação de terceiros especializados, exercer controle efetivo sobre o desenvolvimento do projeto.</w:t>
      </w:r>
    </w:p>
    <w:p w14:paraId="270412F4" w14:textId="77777777" w:rsidR="00AF795C" w:rsidRPr="00A46087" w:rsidRDefault="00AF795C" w:rsidP="00AF795C">
      <w:pPr>
        <w:pStyle w:val="NormaAlterada"/>
      </w:pPr>
      <w:r w:rsidRPr="00A46087">
        <w:t>§ 2</w:t>
      </w:r>
      <w:bookmarkStart w:id="896" w:name="_Int_zdZ8Nl9J"/>
      <w:r w:rsidRPr="00A46087">
        <w:t>º  O</w:t>
      </w:r>
      <w:bookmarkEnd w:id="896"/>
      <w:r w:rsidRPr="00A46087">
        <w:t xml:space="preserve"> administrador, em nome do FII, pode adiantar quantias para projetos de construção, desde que tais recursos se destinem exclusivamente à aquisição do terreno, execução da obra ou lançamento comercial do empreendimento e sejam compatíveis com o seu cronograma físico-financeiro.</w:t>
      </w:r>
    </w:p>
    <w:p w14:paraId="6257F3BB" w14:textId="77777777" w:rsidR="00AF795C" w:rsidRPr="00A46087" w:rsidRDefault="00AF795C" w:rsidP="00AF795C">
      <w:pPr>
        <w:pStyle w:val="NormaAlterada"/>
      </w:pPr>
      <w:r w:rsidRPr="00A46087">
        <w:t>§ 3</w:t>
      </w:r>
      <w:bookmarkStart w:id="897" w:name="_Int_HNLTfyTM"/>
      <w:r w:rsidRPr="00A46087">
        <w:t>º  Os</w:t>
      </w:r>
      <w:bookmarkEnd w:id="897"/>
      <w:r w:rsidRPr="00A46087">
        <w:t xml:space="preserve"> imóveis, bens e direitos de uso a serem adquiridos devem ser objeto de prévia avaliação pelo administrador, pelo gestor ou por terceiro independente, observados os requisitos constantes do Suplemento H.</w:t>
      </w:r>
    </w:p>
    <w:p w14:paraId="632E25A6" w14:textId="77777777" w:rsidR="00AF795C" w:rsidRPr="00A46087" w:rsidRDefault="00AF795C" w:rsidP="00AF795C">
      <w:pPr>
        <w:pStyle w:val="NormaAlterada"/>
      </w:pPr>
      <w:r w:rsidRPr="00A46087">
        <w:t>§ 4</w:t>
      </w:r>
      <w:bookmarkStart w:id="898" w:name="_Int_9T0RCyIv"/>
      <w:r w:rsidRPr="00A46087">
        <w:t>º  As</w:t>
      </w:r>
      <w:bookmarkEnd w:id="898"/>
      <w:r w:rsidRPr="00A46087">
        <w:t xml:space="preserve"> classes de cotas que invistam preponderantemente em valores mobiliários devem respeitar os limites de aplicação por emissor e por modalidade de ativos financeiros estabelecidos no Anexo Normativo I, e a seus administradores serão aplicáveis as regras de desenquadramento e reenquadramento da carteira de ativos conforme estabelecidas no referido Anexo.</w:t>
      </w:r>
    </w:p>
    <w:p w14:paraId="7C672D8A" w14:textId="77777777" w:rsidR="00AF795C" w:rsidRPr="00A46087" w:rsidRDefault="00AF795C" w:rsidP="00AF795C">
      <w:pPr>
        <w:pStyle w:val="NormaAlterada"/>
      </w:pPr>
      <w:r w:rsidRPr="00A46087">
        <w:t>§ 5</w:t>
      </w:r>
      <w:bookmarkStart w:id="899" w:name="_Int_vUPsWhSW"/>
      <w:r w:rsidRPr="00A46087">
        <w:t>º  Os</w:t>
      </w:r>
      <w:bookmarkEnd w:id="899"/>
      <w:r w:rsidRPr="00A46087">
        <w:t xml:space="preserve"> limites de aplicação por modalidade de ativos financeiros de que trata o § 4º não se aplicam aos investimentos previstos nos incisos V, VI e VII do </w:t>
      </w:r>
      <w:r w:rsidRPr="00A46087">
        <w:rPr>
          <w:b/>
          <w:bCs/>
        </w:rPr>
        <w:t>caput</w:t>
      </w:r>
      <w:r w:rsidRPr="00A46087">
        <w:t>.</w:t>
      </w:r>
    </w:p>
    <w:p w14:paraId="1D4AF7FA" w14:textId="77777777" w:rsidR="00AF795C" w:rsidRPr="00A46087" w:rsidRDefault="00AF795C" w:rsidP="00AF795C">
      <w:pPr>
        <w:pStyle w:val="NormaAlterada"/>
      </w:pPr>
      <w:r w:rsidRPr="00A46087">
        <w:t>Art. 41.  Uma vez integralizadas as cotas objeto da oferta pública, a parcela do patrimônio que, temporariamente, por força do cronograma físico-financeiro das obras constante do prospecto, não estiver aplicada em ativos imobiliários, deve ser aplicada em:</w:t>
      </w:r>
    </w:p>
    <w:p w14:paraId="6017FA93" w14:textId="77777777" w:rsidR="00AF795C" w:rsidRPr="00A46087" w:rsidRDefault="00AF795C" w:rsidP="00AF795C">
      <w:pPr>
        <w:pStyle w:val="NormaAlterada"/>
      </w:pPr>
      <w:r w:rsidRPr="00A46087">
        <w:t xml:space="preserve">I – </w:t>
      </w:r>
      <w:bookmarkStart w:id="900" w:name="_Int_2KSKD8QG"/>
      <w:r w:rsidRPr="00A46087">
        <w:t>cotas</w:t>
      </w:r>
      <w:bookmarkEnd w:id="900"/>
      <w:r w:rsidRPr="00A46087">
        <w:t xml:space="preserve"> de fundos de investimento ou títulos de renda fixa de liquidez compatível com as necessidades da classe de cotas; e</w:t>
      </w:r>
    </w:p>
    <w:p w14:paraId="12F4C18E" w14:textId="77777777" w:rsidR="00AF795C" w:rsidRPr="00A46087" w:rsidRDefault="00AF795C" w:rsidP="00AF795C">
      <w:pPr>
        <w:pStyle w:val="NormaAlterada"/>
        <w:rPr>
          <w:lang w:val="pt-PT"/>
        </w:rPr>
      </w:pPr>
      <w:r w:rsidRPr="00A46087">
        <w:t xml:space="preserve">II – </w:t>
      </w:r>
      <w:r w:rsidRPr="00A46087">
        <w:rPr>
          <w:lang w:val="pt-PT"/>
        </w:rPr>
        <w:t>derivativos, exclusivamente para fins de proteção patrimonial, cuja exposição seja sempre, no máximo, o valor do patrimônio líquido da classe de cotas e desde que previsto na política de investimento.</w:t>
      </w:r>
    </w:p>
    <w:p w14:paraId="52B22A7E" w14:textId="77777777" w:rsidR="00AF795C" w:rsidRPr="00A46087" w:rsidRDefault="00AF795C" w:rsidP="00AF795C">
      <w:pPr>
        <w:pStyle w:val="NormaAlterada"/>
      </w:pPr>
      <w:r w:rsidRPr="00A46087">
        <w:t>Parágrafo único.  A classe de cotas pode manter parcela do seu patrimônio permanentemente aplicada em cotas de fundos de investimento ou títulos de renda fixa, para atender suas necessidades de liquidez.</w:t>
      </w:r>
    </w:p>
    <w:p w14:paraId="18150FAC" w14:textId="77777777" w:rsidR="00AF795C" w:rsidRPr="00A46087" w:rsidRDefault="00AF795C" w:rsidP="00AF795C">
      <w:pPr>
        <w:pStyle w:val="Captulo"/>
        <w:rPr>
          <w:b/>
        </w:rPr>
      </w:pPr>
      <w:bookmarkStart w:id="901" w:name="_Toc161141342"/>
      <w:r w:rsidRPr="00A46087">
        <w:lastRenderedPageBreak/>
        <w:t>CAPÍTULO IX – ENCARGOS</w:t>
      </w:r>
      <w:bookmarkEnd w:id="901"/>
    </w:p>
    <w:p w14:paraId="7B070289" w14:textId="77777777" w:rsidR="00AF795C" w:rsidRPr="00A46087" w:rsidRDefault="00AF795C" w:rsidP="00AF795C">
      <w:pPr>
        <w:pStyle w:val="NormaAlterada"/>
      </w:pPr>
      <w:r w:rsidRPr="00A46087">
        <w:t>Art. 42.  Em acréscimo ao disposto no art. 117 da parte geral da Resolução, constituem encargos do fundo as seguintes despesas:</w:t>
      </w:r>
    </w:p>
    <w:p w14:paraId="56F945CB" w14:textId="77777777" w:rsidR="00AF795C" w:rsidRPr="00A46087" w:rsidRDefault="00AF795C" w:rsidP="00AF795C">
      <w:pPr>
        <w:pStyle w:val="NormaAlterada"/>
      </w:pPr>
      <w:r w:rsidRPr="00A46087">
        <w:t xml:space="preserve">I – </w:t>
      </w:r>
      <w:bookmarkStart w:id="902" w:name="_Int_okhha1sV"/>
      <w:r w:rsidRPr="00A46087">
        <w:t>taxa</w:t>
      </w:r>
      <w:bookmarkEnd w:id="902"/>
      <w:r w:rsidRPr="00A46087">
        <w:t xml:space="preserve"> de performance, se houver;</w:t>
      </w:r>
    </w:p>
    <w:p w14:paraId="33F758AF" w14:textId="77777777" w:rsidR="00AF795C" w:rsidRPr="00A46087" w:rsidRDefault="00AF795C" w:rsidP="00AF795C">
      <w:pPr>
        <w:pStyle w:val="NormaAlterada"/>
      </w:pPr>
      <w:r w:rsidRPr="00A46087">
        <w:t xml:space="preserve">II – </w:t>
      </w:r>
      <w:bookmarkStart w:id="903" w:name="_Int_aFd6awyl"/>
      <w:r w:rsidRPr="00A46087">
        <w:t>comissões</w:t>
      </w:r>
      <w:bookmarkEnd w:id="903"/>
      <w:r w:rsidRPr="00A46087">
        <w:t xml:space="preserve"> e emolumentos pagos sobre as operações, incluindo despesas relativas à compra, venda, locação ou arrendamento dos imóveis que componham seu patrimônio;</w:t>
      </w:r>
    </w:p>
    <w:p w14:paraId="3312068B" w14:textId="77777777" w:rsidR="00AF795C" w:rsidRPr="00A46087" w:rsidRDefault="00AF795C" w:rsidP="00AF795C">
      <w:pPr>
        <w:pStyle w:val="NormaAlterada"/>
      </w:pPr>
      <w:r w:rsidRPr="00A46087">
        <w:t xml:space="preserve">III – honorários e despesas relacionadas às atividades previstas nos incisos II a IV do art. 27 deste Anexo Normativo III; </w:t>
      </w:r>
    </w:p>
    <w:p w14:paraId="5591DB96" w14:textId="77777777" w:rsidR="00AF795C" w:rsidRPr="00A46087" w:rsidRDefault="00AF795C" w:rsidP="00AF795C">
      <w:pPr>
        <w:pStyle w:val="NormaAlterada"/>
      </w:pPr>
      <w:r>
        <w:t>I</w:t>
      </w:r>
      <w:r w:rsidRPr="00A46087">
        <w:t xml:space="preserve">V – </w:t>
      </w:r>
      <w:bookmarkStart w:id="904" w:name="_Int_9I9jfXfj"/>
      <w:r w:rsidRPr="00A46087">
        <w:t>taxa</w:t>
      </w:r>
      <w:bookmarkEnd w:id="904"/>
      <w:r w:rsidRPr="00A46087">
        <w:t xml:space="preserve"> máxima de custódia de ativos financeiros;</w:t>
      </w:r>
    </w:p>
    <w:p w14:paraId="57A1E235" w14:textId="77777777" w:rsidR="00AF795C" w:rsidRPr="00A46087" w:rsidRDefault="00AF795C" w:rsidP="00AF795C">
      <w:pPr>
        <w:pStyle w:val="NormaAlterada"/>
      </w:pPr>
      <w:r w:rsidRPr="00A46087">
        <w:t xml:space="preserve">V – </w:t>
      </w:r>
      <w:bookmarkStart w:id="905" w:name="_Int_ahZJfTMZ"/>
      <w:r w:rsidRPr="00A46087">
        <w:t>gastos</w:t>
      </w:r>
      <w:bookmarkEnd w:id="905"/>
      <w:r w:rsidRPr="00A46087">
        <w:t xml:space="preserve"> decorrentes de avaliações que sejam obrigatórias;</w:t>
      </w:r>
    </w:p>
    <w:p w14:paraId="786FE77D" w14:textId="77777777" w:rsidR="00AF795C" w:rsidRPr="00A46087" w:rsidRDefault="00AF795C" w:rsidP="00AF795C">
      <w:pPr>
        <w:pStyle w:val="NormaAlterada"/>
      </w:pPr>
      <w:r w:rsidRPr="00A46087">
        <w:t>VI – gastos necessários à manutenção, conservação e reparos de imóveis integrantes do patrimônio do fundo; e</w:t>
      </w:r>
    </w:p>
    <w:p w14:paraId="78109740" w14:textId="77777777" w:rsidR="00AF795C" w:rsidRPr="00A46087" w:rsidRDefault="00AF795C" w:rsidP="00AF795C">
      <w:pPr>
        <w:pStyle w:val="NormaAlterada"/>
      </w:pPr>
      <w:r w:rsidRPr="00A46087">
        <w:t xml:space="preserve">VII – honorários e despesas relacionadas às atividades previstas no art. 20 deste Anexo Normativo III. </w:t>
      </w:r>
    </w:p>
    <w:p w14:paraId="2F87615F" w14:textId="77777777" w:rsidR="00AF795C" w:rsidRDefault="00AF795C" w:rsidP="00AF795C">
      <w:pPr>
        <w:pStyle w:val="NormaAlterada"/>
      </w:pPr>
      <w:r w:rsidRPr="00A46087">
        <w:t>Parágrafo único.  O regulamento pode estabelecer que os encargos relacionados à admissão das cotas à negociação em mercado organizado devem ser arcados pelo administrador ou pelos subscritores das cotas que serão admitidas à negociação.</w:t>
      </w:r>
    </w:p>
    <w:p w14:paraId="77AF3B5F" w14:textId="77777777" w:rsidR="00AF795C" w:rsidRPr="00A46087" w:rsidRDefault="00AF795C" w:rsidP="00AF795C">
      <w:pPr>
        <w:pStyle w:val="Captulo"/>
        <w:rPr>
          <w:b/>
        </w:rPr>
      </w:pPr>
      <w:bookmarkStart w:id="906" w:name="_Toc161141343"/>
      <w:r w:rsidRPr="00A46087">
        <w:t>CAPÍTULO X – TRANSFORMAÇÃO, INCORPORAÇÃO, FUSÃO E CISÃO</w:t>
      </w:r>
      <w:bookmarkEnd w:id="906"/>
    </w:p>
    <w:p w14:paraId="18859EC1" w14:textId="77777777" w:rsidR="00AF795C" w:rsidRPr="00A46087" w:rsidRDefault="00AF795C" w:rsidP="00AF795C">
      <w:pPr>
        <w:pStyle w:val="NormaAlterada"/>
      </w:pPr>
      <w:r w:rsidRPr="00A46087">
        <w:t>Art. 43.  Os imóveis integrantes da carteira das classes de cotas objeto de fusão, incorporação ou cisão devem ser avaliados previamente à operação, caso tenham decorrido mais de 3 (três) meses entre a data da última avaliação e aquela de produção de efeitos da operação.</w:t>
      </w:r>
    </w:p>
    <w:p w14:paraId="592813AD" w14:textId="77777777" w:rsidR="00AF795C" w:rsidRPr="00A46087" w:rsidRDefault="00AF795C" w:rsidP="00AF795C">
      <w:pPr>
        <w:pStyle w:val="NormaAlterada"/>
      </w:pPr>
      <w:r w:rsidRPr="00A46087">
        <w:t>Art. 44.  Em acréscimo ao disposto no Capítulo XII da parte geral da Resolução, nas operações de que trata este Capítulo cabe ao administrador:</w:t>
      </w:r>
    </w:p>
    <w:p w14:paraId="7187AB36" w14:textId="77777777" w:rsidR="00AF795C" w:rsidRPr="00A46087" w:rsidRDefault="00AF795C" w:rsidP="00AF795C">
      <w:pPr>
        <w:pStyle w:val="NormaAlterada"/>
      </w:pPr>
      <w:r w:rsidRPr="00A46087">
        <w:t xml:space="preserve">I – </w:t>
      </w:r>
      <w:bookmarkStart w:id="907" w:name="_Int_TaexyRIP"/>
      <w:r w:rsidRPr="00A46087">
        <w:t>demonstrar</w:t>
      </w:r>
      <w:bookmarkEnd w:id="907"/>
      <w:r w:rsidRPr="00A46087">
        <w:t xml:space="preserve"> a compatibilidade da classe de cotas que será incorporada, fundida, cindida ou transformada com a política de investimento daquela que resultará de tais operações;</w:t>
      </w:r>
    </w:p>
    <w:p w14:paraId="7CC02EE0" w14:textId="77777777" w:rsidR="00AF795C" w:rsidRPr="00A46087" w:rsidRDefault="00AF795C" w:rsidP="00AF795C">
      <w:pPr>
        <w:pStyle w:val="NormaAlterada"/>
      </w:pPr>
      <w:r w:rsidRPr="00A46087">
        <w:lastRenderedPageBreak/>
        <w:t xml:space="preserve">II – </w:t>
      </w:r>
      <w:bookmarkStart w:id="908" w:name="_Int_0Lsob4RI"/>
      <w:r w:rsidRPr="00A46087">
        <w:t>indicar</w:t>
      </w:r>
      <w:bookmarkEnd w:id="908"/>
      <w:r w:rsidRPr="00A46087">
        <w:t xml:space="preserve"> os critérios de avaliação adotados quanto aos ativos existentes nas classes de cotas envolvidas, bem como o impacto dessa avaliação no valor do patrimônio de cada classe de cotas;</w:t>
      </w:r>
    </w:p>
    <w:p w14:paraId="73D335BE" w14:textId="77777777" w:rsidR="00AF795C" w:rsidRPr="00A46087" w:rsidRDefault="00AF795C" w:rsidP="00AF795C">
      <w:pPr>
        <w:pStyle w:val="NormaAlterada"/>
      </w:pPr>
      <w:r w:rsidRPr="00A46087">
        <w:t>III – descrever os critérios utilizados para atribuição de cotas aos participantes das classes de cotas que resultarem das operações; e</w:t>
      </w:r>
    </w:p>
    <w:p w14:paraId="08C1A94C" w14:textId="77777777" w:rsidR="00AF795C" w:rsidRPr="00A46087" w:rsidRDefault="00AF795C" w:rsidP="00AF795C">
      <w:pPr>
        <w:pStyle w:val="NormaAlterada"/>
      </w:pPr>
      <w:r w:rsidRPr="00A46087">
        <w:t xml:space="preserve">IV – </w:t>
      </w:r>
      <w:bookmarkStart w:id="909" w:name="_Int_1JKhEPsC"/>
      <w:r w:rsidRPr="00A46087">
        <w:t>identificar</w:t>
      </w:r>
      <w:bookmarkEnd w:id="909"/>
      <w:r w:rsidRPr="00A46087">
        <w:t xml:space="preserve"> as alterações no prospecto e no regulamento que resultarem da operação.</w:t>
      </w:r>
    </w:p>
    <w:p w14:paraId="0888720C" w14:textId="77777777" w:rsidR="00AF795C" w:rsidRPr="00A46087" w:rsidRDefault="00AF795C" w:rsidP="00AF795C">
      <w:pPr>
        <w:pStyle w:val="Captulo"/>
        <w:rPr>
          <w:b/>
          <w:bCs/>
        </w:rPr>
      </w:pPr>
      <w:bookmarkStart w:id="910" w:name="_Toc161141344"/>
      <w:r w:rsidRPr="00A46087">
        <w:rPr>
          <w:bCs/>
        </w:rPr>
        <w:t xml:space="preserve">CAPÍTULO </w:t>
      </w:r>
      <w:r w:rsidRPr="00A46087">
        <w:t>XI – CLASSES RESTRITAS</w:t>
      </w:r>
      <w:bookmarkEnd w:id="910"/>
    </w:p>
    <w:p w14:paraId="758BFAFE" w14:textId="77777777" w:rsidR="00AF795C" w:rsidRPr="00A46087" w:rsidRDefault="00AF795C" w:rsidP="00AF795C">
      <w:pPr>
        <w:pStyle w:val="NormaAlterada"/>
      </w:pPr>
      <w:r w:rsidRPr="00A46087">
        <w:t xml:space="preserve">Art. 45.  Em acréscimo às possibilidades previstas no art. 113 da parte geral da Resolução, a classe de cotas destinada exclusivamente a investidores qualificados, desde que previsto em seu regulamento, pode dispensar a elaboração de laudo de avaliação para integralização de cotas em bens e direitos, sem prejuízo da aprovação da assembleia de cotistas quanto ao valor atribuído ao bem ou direito. </w:t>
      </w:r>
    </w:p>
    <w:p w14:paraId="5AE33A49" w14:textId="77777777" w:rsidR="00EE2C11" w:rsidRDefault="00EE2C11" w:rsidP="00AF795C">
      <w:pPr>
        <w:pStyle w:val="Captulo"/>
        <w:rPr>
          <w:rFonts w:asciiTheme="minorHAnsi" w:hAnsiTheme="minorHAnsi" w:cstheme="minorHAnsi"/>
        </w:rPr>
        <w:sectPr w:rsidR="00EE2C11" w:rsidSect="002A08BD">
          <w:headerReference w:type="default" r:id="rId18"/>
          <w:headerReference w:type="first" r:id="rId19"/>
          <w:pgSz w:w="11906" w:h="16838"/>
          <w:pgMar w:top="2268" w:right="567" w:bottom="851" w:left="1134" w:header="709" w:footer="709" w:gutter="0"/>
          <w:cols w:space="708"/>
          <w:docGrid w:linePitch="360"/>
        </w:sectPr>
      </w:pPr>
    </w:p>
    <w:p w14:paraId="1628CACD" w14:textId="77777777" w:rsidR="00AF795C" w:rsidRPr="00AF795C" w:rsidRDefault="00AF795C" w:rsidP="00AF795C">
      <w:pPr>
        <w:pStyle w:val="Captulo"/>
        <w:rPr>
          <w:rFonts w:asciiTheme="minorHAnsi" w:hAnsiTheme="minorHAnsi" w:cstheme="minorHAnsi"/>
          <w:b/>
        </w:rPr>
      </w:pPr>
      <w:bookmarkStart w:id="911" w:name="_Toc161141345"/>
      <w:r w:rsidRPr="00AF795C">
        <w:rPr>
          <w:rFonts w:asciiTheme="minorHAnsi" w:hAnsiTheme="minorHAnsi" w:cstheme="minorHAnsi"/>
        </w:rPr>
        <w:lastRenderedPageBreak/>
        <w:t>CAPÍTULO XII – PENALIDADES</w:t>
      </w:r>
      <w:bookmarkEnd w:id="911"/>
    </w:p>
    <w:p w14:paraId="7BA359B2" w14:textId="77777777" w:rsidR="00595BEB" w:rsidRDefault="00AF795C" w:rsidP="00613438">
      <w:pPr>
        <w:spacing w:before="120" w:after="120" w:line="312" w:lineRule="auto"/>
        <w:ind w:firstLine="425"/>
        <w:jc w:val="both"/>
        <w:rPr>
          <w:rFonts w:asciiTheme="minorHAnsi" w:hAnsiTheme="minorHAnsi" w:cstheme="minorHAnsi"/>
          <w:sz w:val="24"/>
          <w:szCs w:val="24"/>
        </w:rPr>
      </w:pPr>
      <w:r w:rsidRPr="00AF795C">
        <w:rPr>
          <w:rFonts w:asciiTheme="minorHAnsi" w:hAnsiTheme="minorHAnsi" w:cstheme="minorHAnsi"/>
          <w:sz w:val="24"/>
          <w:szCs w:val="24"/>
        </w:rPr>
        <w:t xml:space="preserve">Art. 46.  Em acréscimo às condutas previstas no art. 131 da parte geral da Resolução, constitui infração grave a violação dos </w:t>
      </w:r>
      <w:proofErr w:type="spellStart"/>
      <w:r w:rsidRPr="00AF795C">
        <w:rPr>
          <w:rFonts w:asciiTheme="minorHAnsi" w:hAnsiTheme="minorHAnsi" w:cstheme="minorHAnsi"/>
          <w:sz w:val="24"/>
          <w:szCs w:val="24"/>
        </w:rPr>
        <w:t>arts</w:t>
      </w:r>
      <w:proofErr w:type="spellEnd"/>
      <w:r w:rsidRPr="00AF795C">
        <w:rPr>
          <w:rFonts w:asciiTheme="minorHAnsi" w:hAnsiTheme="minorHAnsi" w:cstheme="minorHAnsi"/>
          <w:sz w:val="24"/>
          <w:szCs w:val="24"/>
        </w:rPr>
        <w:t xml:space="preserve">. 13, § 2º; 14; 17; 18; 26, incisos I e II e § 2º; 30; 31; 32; 34 e 37 deste Anexo Normativo III, bem como dos </w:t>
      </w:r>
      <w:proofErr w:type="spellStart"/>
      <w:r w:rsidRPr="00AF795C">
        <w:rPr>
          <w:rFonts w:asciiTheme="minorHAnsi" w:hAnsiTheme="minorHAnsi" w:cstheme="minorHAnsi"/>
          <w:sz w:val="24"/>
          <w:szCs w:val="24"/>
        </w:rPr>
        <w:t>arts</w:t>
      </w:r>
      <w:proofErr w:type="spellEnd"/>
      <w:r w:rsidRPr="00AF795C">
        <w:rPr>
          <w:rFonts w:asciiTheme="minorHAnsi" w:hAnsiTheme="minorHAnsi" w:cstheme="minorHAnsi"/>
          <w:sz w:val="24"/>
          <w:szCs w:val="24"/>
        </w:rPr>
        <w:t xml:space="preserve">. 78; 83, incisos I a III, e 108, </w:t>
      </w:r>
      <w:r w:rsidRPr="00AF795C">
        <w:rPr>
          <w:rFonts w:asciiTheme="minorHAnsi" w:hAnsiTheme="minorHAnsi" w:cstheme="minorHAnsi"/>
          <w:b/>
          <w:sz w:val="24"/>
          <w:szCs w:val="24"/>
        </w:rPr>
        <w:t>caput</w:t>
      </w:r>
      <w:r w:rsidRPr="00AF795C">
        <w:rPr>
          <w:rFonts w:asciiTheme="minorHAnsi" w:hAnsiTheme="minorHAnsi" w:cstheme="minorHAnsi"/>
          <w:sz w:val="24"/>
          <w:szCs w:val="24"/>
        </w:rPr>
        <w:t xml:space="preserve"> da parte geral da Resolução</w:t>
      </w:r>
      <w:r w:rsidR="00063BE2">
        <w:rPr>
          <w:rFonts w:asciiTheme="minorHAnsi" w:hAnsiTheme="minorHAnsi" w:cstheme="minorHAnsi"/>
          <w:sz w:val="24"/>
          <w:szCs w:val="24"/>
        </w:rPr>
        <w:t>.</w:t>
      </w:r>
    </w:p>
    <w:p w14:paraId="029CBD04" w14:textId="7B78E4EA" w:rsidR="00511A1B" w:rsidRPr="00517AE6" w:rsidRDefault="00511A1B" w:rsidP="00511A1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III</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1934FA38" w14:textId="77777777" w:rsidR="00511A1B" w:rsidRDefault="00511A1B" w:rsidP="00613438">
      <w:pPr>
        <w:spacing w:before="120" w:after="120" w:line="312" w:lineRule="auto"/>
        <w:ind w:firstLine="425"/>
        <w:jc w:val="both"/>
        <w:rPr>
          <w:rFonts w:asciiTheme="minorHAnsi" w:hAnsiTheme="minorHAnsi" w:cstheme="minorHAnsi"/>
          <w:sz w:val="24"/>
          <w:szCs w:val="24"/>
        </w:rPr>
      </w:pPr>
    </w:p>
    <w:p w14:paraId="15CC173A" w14:textId="530C66CA" w:rsidR="00511A1B" w:rsidRPr="00613438" w:rsidRDefault="00511A1B" w:rsidP="00613438">
      <w:pPr>
        <w:spacing w:before="120" w:after="120" w:line="312" w:lineRule="auto"/>
        <w:ind w:firstLine="425"/>
        <w:jc w:val="both"/>
        <w:rPr>
          <w:rFonts w:asciiTheme="minorHAnsi" w:hAnsiTheme="minorHAnsi" w:cstheme="minorHAnsi"/>
          <w:sz w:val="24"/>
          <w:szCs w:val="24"/>
        </w:rPr>
        <w:sectPr w:rsidR="00511A1B" w:rsidRPr="00613438" w:rsidSect="002A08BD">
          <w:pgSz w:w="11906" w:h="16838"/>
          <w:pgMar w:top="2268" w:right="567" w:bottom="851" w:left="1134" w:header="709" w:footer="709" w:gutter="0"/>
          <w:cols w:space="708"/>
          <w:docGrid w:linePitch="360"/>
        </w:sectPr>
      </w:pPr>
    </w:p>
    <w:p w14:paraId="43EBEFB8" w14:textId="71A916FB" w:rsidR="00D30681" w:rsidRPr="00A24992" w:rsidRDefault="00D30681" w:rsidP="007C33EA">
      <w:pPr>
        <w:pStyle w:val="TtulodaResoluo"/>
        <w:spacing w:after="0"/>
        <w:ind w:firstLine="0"/>
      </w:pPr>
      <w:bookmarkStart w:id="912" w:name="_Toc161141346"/>
      <w:r w:rsidRPr="00373DA7">
        <w:lastRenderedPageBreak/>
        <w:t xml:space="preserve">ANEXO NORMATIVO </w:t>
      </w:r>
      <w:r>
        <w:t>IV</w:t>
      </w:r>
      <w:r w:rsidRPr="00373DA7">
        <w:t xml:space="preserve"> – FUNDOS DE INVESTIMENTO EM PARTICIPAÇÕES</w:t>
      </w:r>
      <w:bookmarkEnd w:id="912"/>
    </w:p>
    <w:p w14:paraId="4D582D8D" w14:textId="77777777" w:rsidR="00D30681" w:rsidRPr="00B47EA2" w:rsidRDefault="00D30681" w:rsidP="00D30681">
      <w:pPr>
        <w:pStyle w:val="Ementa"/>
      </w:pPr>
      <w:r w:rsidRPr="00B47EA2">
        <w:t xml:space="preserve">Dispõe sobre </w:t>
      </w:r>
      <w:r w:rsidRPr="530D1BAE">
        <w:rPr>
          <w:rFonts w:cstheme="minorBidi"/>
        </w:rPr>
        <w:t xml:space="preserve">as </w:t>
      </w:r>
      <w:r w:rsidRPr="00373DA7">
        <w:rPr>
          <w:rFonts w:cstheme="minorBidi"/>
        </w:rPr>
        <w:t xml:space="preserve">regras específicas para os </w:t>
      </w:r>
      <w:r w:rsidRPr="530D1BAE">
        <w:rPr>
          <w:rFonts w:cstheme="minorBidi"/>
        </w:rPr>
        <w:t>f</w:t>
      </w:r>
      <w:r w:rsidRPr="00373DA7">
        <w:rPr>
          <w:rFonts w:cstheme="minorBidi"/>
        </w:rPr>
        <w:t>undos</w:t>
      </w:r>
      <w:r w:rsidRPr="00B47EA2">
        <w:t xml:space="preserve"> de </w:t>
      </w:r>
      <w:r w:rsidRPr="530D1BAE">
        <w:rPr>
          <w:rFonts w:cstheme="minorBidi"/>
        </w:rPr>
        <w:t>i</w:t>
      </w:r>
      <w:r w:rsidRPr="00373DA7">
        <w:rPr>
          <w:rFonts w:cstheme="minorBidi"/>
        </w:rPr>
        <w:t>nvestimento</w:t>
      </w:r>
      <w:r w:rsidRPr="00B47EA2">
        <w:t xml:space="preserve"> em </w:t>
      </w:r>
      <w:r w:rsidRPr="530D1BAE">
        <w:rPr>
          <w:rFonts w:cstheme="minorBidi"/>
        </w:rPr>
        <w:t>p</w:t>
      </w:r>
      <w:r w:rsidRPr="00373DA7">
        <w:rPr>
          <w:rFonts w:cstheme="minorBidi"/>
        </w:rPr>
        <w:t>articipações</w:t>
      </w:r>
      <w:r w:rsidRPr="00B47EA2">
        <w:t>.</w:t>
      </w:r>
    </w:p>
    <w:p w14:paraId="4AD84D8B" w14:textId="77777777" w:rsidR="00D30681" w:rsidRPr="00A24992" w:rsidRDefault="00D30681" w:rsidP="00D30681">
      <w:pPr>
        <w:pStyle w:val="Captulo"/>
      </w:pPr>
      <w:bookmarkStart w:id="913" w:name="_Toc161141347"/>
      <w:r w:rsidRPr="00373DA7">
        <w:t xml:space="preserve">CAPÍTULO I </w:t>
      </w:r>
      <w:r>
        <w:t>–</w:t>
      </w:r>
      <w:r w:rsidRPr="00373DA7">
        <w:t xml:space="preserve"> ÂMBITO E FINALIDADE</w:t>
      </w:r>
      <w:bookmarkEnd w:id="913"/>
    </w:p>
    <w:p w14:paraId="6723A6BC" w14:textId="77777777" w:rsidR="00D30681" w:rsidRPr="00B47EA2" w:rsidRDefault="00D30681" w:rsidP="00D30681">
      <w:pPr>
        <w:pStyle w:val="NormaAlterada"/>
      </w:pPr>
      <w:r w:rsidRPr="75B1C058">
        <w:t>Art. 1</w:t>
      </w:r>
      <w:bookmarkStart w:id="914" w:name="_Int_zSWGzEeh"/>
      <w:r w:rsidRPr="75B1C058">
        <w:t>º  Este</w:t>
      </w:r>
      <w:bookmarkEnd w:id="914"/>
      <w:r w:rsidRPr="75B1C058">
        <w:t xml:space="preserve"> Anexo Normativo IV à Resolução CVM nº 175 (“Resolução”) dispõe sobre as regras específicas para os fundos de investimento em participações – FIP.</w:t>
      </w:r>
    </w:p>
    <w:p w14:paraId="5DC060F2" w14:textId="77777777" w:rsidR="00D30681" w:rsidRPr="00A24992" w:rsidRDefault="00D30681" w:rsidP="00D30681">
      <w:pPr>
        <w:pStyle w:val="Captulo"/>
        <w:tabs>
          <w:tab w:val="center" w:pos="5386"/>
          <w:tab w:val="left" w:pos="8430"/>
        </w:tabs>
      </w:pPr>
      <w:bookmarkStart w:id="915" w:name="_Toc161141348"/>
      <w:r w:rsidRPr="00373DA7">
        <w:t>CAPÍTULO II</w:t>
      </w:r>
      <w:r>
        <w:t xml:space="preserve"> –</w:t>
      </w:r>
      <w:r w:rsidRPr="00373DA7">
        <w:t xml:space="preserve"> CARACTERÍSTICAS E CONSTITUIÇÃO</w:t>
      </w:r>
      <w:bookmarkEnd w:id="915"/>
    </w:p>
    <w:p w14:paraId="38541E46" w14:textId="77777777" w:rsidR="00D30681" w:rsidRPr="00E36CF0" w:rsidRDefault="00D30681" w:rsidP="00D30681">
      <w:pPr>
        <w:pStyle w:val="NormaAlterada"/>
      </w:pPr>
      <w:r w:rsidRPr="75B1C058">
        <w:t>Art. 2</w:t>
      </w:r>
      <w:bookmarkStart w:id="916" w:name="_Int_5DwKQFQ8"/>
      <w:r w:rsidRPr="75B1C058">
        <w:t>º  Para</w:t>
      </w:r>
      <w:bookmarkEnd w:id="916"/>
      <w:r w:rsidRPr="75B1C058">
        <w:t xml:space="preserve"> os efeitos deste Anexo Normativo IV, entende-se por:</w:t>
      </w:r>
    </w:p>
    <w:p w14:paraId="0E1A2EA9" w14:textId="77777777" w:rsidR="00D30681" w:rsidRPr="00E36CF0" w:rsidRDefault="00D30681" w:rsidP="00D30681">
      <w:pPr>
        <w:pStyle w:val="NormaAlterada"/>
      </w:pPr>
      <w:r w:rsidRPr="39080490">
        <w:t>I – AFAC: adiantamento para futuro aumento de capital;</w:t>
      </w:r>
      <w:r>
        <w:t xml:space="preserve"> e</w:t>
      </w:r>
    </w:p>
    <w:p w14:paraId="1D7CCAF6" w14:textId="77777777" w:rsidR="00D30681" w:rsidRDefault="00D30681" w:rsidP="00D30681">
      <w:pPr>
        <w:pStyle w:val="NormaAlterada"/>
      </w:pPr>
      <w:r w:rsidRPr="75B1C058">
        <w:t xml:space="preserve">II – </w:t>
      </w:r>
      <w:bookmarkStart w:id="917" w:name="_Int_mkRx2LVS"/>
      <w:r w:rsidRPr="75B1C058">
        <w:t>classe</w:t>
      </w:r>
      <w:bookmarkEnd w:id="917"/>
      <w:r w:rsidRPr="75B1C058">
        <w:t xml:space="preserve"> de investimento em cotas: </w:t>
      </w:r>
      <w:r w:rsidRPr="75B1C058">
        <w:rPr>
          <w:sz w:val="23"/>
          <w:szCs w:val="23"/>
        </w:rPr>
        <w:t xml:space="preserve">classe de cotas que deve aplicar no mínimo 90% (noventa por cento) do patrimônio líquido em cotas de outros FIP e de </w:t>
      </w:r>
      <w:r w:rsidRPr="75B1C058">
        <w:t>Fundos de Ações – Mercado de Acesso.</w:t>
      </w:r>
    </w:p>
    <w:p w14:paraId="5782F05F" w14:textId="77777777" w:rsidR="00D30681" w:rsidRDefault="00D30681" w:rsidP="00D30681">
      <w:pPr>
        <w:pStyle w:val="NormaAlterada"/>
      </w:pPr>
      <w:r>
        <w:t>Parágrafo único.  Os Fundos de Ações – Mercado de Acesso referidos no inciso II são os fundos de que trata o art. 56, § 3º, do Anexo Normativo I.</w:t>
      </w:r>
    </w:p>
    <w:p w14:paraId="554C3E68" w14:textId="77777777" w:rsidR="00D30681" w:rsidRPr="00B47EA2" w:rsidRDefault="00D30681" w:rsidP="00D30681">
      <w:pPr>
        <w:pStyle w:val="NormaAlterada"/>
      </w:pPr>
      <w:r w:rsidRPr="75B1C058">
        <w:t>Art. 3</w:t>
      </w:r>
      <w:bookmarkStart w:id="918" w:name="_Int_dbEfnDOM"/>
      <w:r w:rsidRPr="75B1C058">
        <w:t>º  Da</w:t>
      </w:r>
      <w:bookmarkEnd w:id="918"/>
      <w:r w:rsidRPr="75B1C058">
        <w:t xml:space="preserve"> denominação do fundo e de suas classes de cotas, caso existentes, deve constar a expressão "Fundo de Investimento em Participações"</w:t>
      </w:r>
      <w:r w:rsidRPr="75B1C058">
        <w:rPr>
          <w:sz w:val="23"/>
          <w:szCs w:val="23"/>
        </w:rPr>
        <w:t>, acrescida da referência ao seu tipo, nos termos do art. 13 deste Anexo Normativo IV.</w:t>
      </w:r>
    </w:p>
    <w:p w14:paraId="69030A13" w14:textId="77777777" w:rsidR="00D30681" w:rsidRPr="00F42759" w:rsidRDefault="00D30681" w:rsidP="00D30681">
      <w:pPr>
        <w:pStyle w:val="NormaAlterada"/>
      </w:pPr>
      <w:r w:rsidRPr="75B1C058">
        <w:t>§ 1</w:t>
      </w:r>
      <w:bookmarkStart w:id="919" w:name="_Int_9ighPZUL"/>
      <w:r w:rsidRPr="75B1C058">
        <w:t>º  Caso</w:t>
      </w:r>
      <w:bookmarkEnd w:id="919"/>
      <w:r w:rsidRPr="75B1C058">
        <w:t xml:space="preserve"> o FIP possua somente classes de investimento em cotas, sua denominação pode utilizar a expressão “Fundo de Investimento em Cotas de FIP”. </w:t>
      </w:r>
    </w:p>
    <w:p w14:paraId="34A66321" w14:textId="77777777" w:rsidR="00D30681" w:rsidRPr="00F42759" w:rsidRDefault="00D30681" w:rsidP="00D30681">
      <w:pPr>
        <w:pStyle w:val="NormaAlterada"/>
      </w:pPr>
      <w:r w:rsidRPr="75B1C058">
        <w:t>§ 2</w:t>
      </w:r>
      <w:bookmarkStart w:id="920" w:name="_Int_NMkECHNX"/>
      <w:r w:rsidRPr="75B1C058">
        <w:t>º  Em</w:t>
      </w:r>
      <w:bookmarkEnd w:id="920"/>
      <w:r w:rsidRPr="75B1C058">
        <w:t xml:space="preserve"> se tratando da denominação da classe de investimento em cotas, deve ser utilizada a expressão “Classe de Investimento em Cotas de FIP”.</w:t>
      </w:r>
    </w:p>
    <w:p w14:paraId="6E35B5DD" w14:textId="77777777" w:rsidR="00D30681" w:rsidRPr="00F42759" w:rsidRDefault="00D30681" w:rsidP="00D30681">
      <w:pPr>
        <w:pStyle w:val="NormaAlterada"/>
      </w:pPr>
      <w:r w:rsidRPr="75B1C058">
        <w:t>Art. 4</w:t>
      </w:r>
      <w:bookmarkStart w:id="921" w:name="_Int_xcNo1pCh"/>
      <w:r w:rsidRPr="75B1C058">
        <w:t>º  Somente</w:t>
      </w:r>
      <w:bookmarkEnd w:id="921"/>
      <w:r w:rsidRPr="75B1C058">
        <w:t xml:space="preserve"> podem investir no FIP investidores qualificados.</w:t>
      </w:r>
    </w:p>
    <w:p w14:paraId="1D8EC710" w14:textId="77777777" w:rsidR="00D30681" w:rsidRDefault="00D30681" w:rsidP="00D30681">
      <w:pPr>
        <w:pStyle w:val="NormaAlterada"/>
      </w:pPr>
      <w:r w:rsidRPr="75B1C058">
        <w:t>Art. 5</w:t>
      </w:r>
      <w:bookmarkStart w:id="922" w:name="_Int_ETin7T9b"/>
      <w:r w:rsidRPr="75B1C058">
        <w:t>º  As</w:t>
      </w:r>
      <w:bookmarkEnd w:id="922"/>
      <w:r w:rsidRPr="75B1C058">
        <w:t xml:space="preserve"> classes de cotas dos FIP devem ser constituídas em regime fechado, sendo destinad</w:t>
      </w:r>
      <w:r w:rsidRPr="75B1C058">
        <w:rPr>
          <w:rFonts w:cs="Calibri"/>
        </w:rPr>
        <w:t>as</w:t>
      </w:r>
      <w:r w:rsidRPr="75B1C058">
        <w:t xml:space="preserve"> à aquisição de</w:t>
      </w:r>
      <w:r>
        <w:t>:</w:t>
      </w:r>
    </w:p>
    <w:p w14:paraId="09777A52" w14:textId="77777777" w:rsidR="00D30681" w:rsidRDefault="00D30681" w:rsidP="00D30681">
      <w:pPr>
        <w:pStyle w:val="NormaAlterada"/>
      </w:pPr>
      <w:r>
        <w:t xml:space="preserve">I – </w:t>
      </w:r>
      <w:r w:rsidRPr="75B1C058">
        <w:t>ações, bônus de subscrição, debêntures simples, notas comerciais e outros títulos e valores mobiliários conversíveis ou permutáveis em ações de emissão de companhias, abertas ou fechadas</w:t>
      </w:r>
      <w:r>
        <w:t>;</w:t>
      </w:r>
    </w:p>
    <w:p w14:paraId="479C5688" w14:textId="77777777" w:rsidR="00D30681" w:rsidRDefault="00D30681" w:rsidP="00D30681">
      <w:pPr>
        <w:pStyle w:val="NormaAlterada"/>
      </w:pPr>
      <w:r>
        <w:lastRenderedPageBreak/>
        <w:t xml:space="preserve">II – </w:t>
      </w:r>
      <w:r w:rsidRPr="75B1C058">
        <w:t>títulos, contratos e valores mobiliários representativos de crédito ou participação em sociedades limitadas</w:t>
      </w:r>
      <w:r>
        <w:t>;</w:t>
      </w:r>
    </w:p>
    <w:p w14:paraId="53B088D4" w14:textId="77777777" w:rsidR="00D30681" w:rsidRDefault="00D30681" w:rsidP="00D30681">
      <w:pPr>
        <w:pStyle w:val="NormaAlterada"/>
      </w:pPr>
      <w:r>
        <w:t xml:space="preserve">III – </w:t>
      </w:r>
      <w:r w:rsidRPr="75B1C058">
        <w:t>cotas de outros FIP</w:t>
      </w:r>
      <w:r>
        <w:t>; e</w:t>
      </w:r>
    </w:p>
    <w:p w14:paraId="367E1CA9" w14:textId="77777777" w:rsidR="00D30681" w:rsidRPr="00B47EA2" w:rsidRDefault="00D30681" w:rsidP="00D30681">
      <w:pPr>
        <w:pStyle w:val="NormaAlterada"/>
      </w:pPr>
      <w:r>
        <w:t>IV – cotas de</w:t>
      </w:r>
      <w:r w:rsidRPr="75B1C058">
        <w:t xml:space="preserve"> Fundos de Ações – Mercado de Acesso.</w:t>
      </w:r>
    </w:p>
    <w:p w14:paraId="1F1E4B99" w14:textId="77777777" w:rsidR="00D30681" w:rsidRPr="00B47EA2" w:rsidRDefault="00D30681" w:rsidP="00D30681">
      <w:pPr>
        <w:pStyle w:val="NormaAlterada"/>
      </w:pPr>
      <w:r>
        <w:t xml:space="preserve">§ 1º  A classe de cotas deve </w:t>
      </w:r>
      <w:r w:rsidRPr="008D2A96">
        <w:t>participar</w:t>
      </w:r>
      <w:r w:rsidRPr="00373DA7">
        <w:t xml:space="preserve"> do processo decisório </w:t>
      </w:r>
      <w:r w:rsidRPr="325D4C69">
        <w:t>de suas</w:t>
      </w:r>
      <w:r w:rsidRPr="00373DA7">
        <w:t xml:space="preserve"> sociedade</w:t>
      </w:r>
      <w:r w:rsidRPr="325D4C69">
        <w:t>s</w:t>
      </w:r>
      <w:r w:rsidRPr="00373DA7">
        <w:t xml:space="preserve"> investida</w:t>
      </w:r>
      <w:r w:rsidRPr="325D4C69">
        <w:t>s</w:t>
      </w:r>
      <w:r w:rsidRPr="00373DA7">
        <w:t>, com efetiva influência na definição de sua política estratégica e na sua gestão</w:t>
      </w:r>
      <w:r w:rsidRPr="325D4C69">
        <w:t xml:space="preserve">, </w:t>
      </w:r>
      <w:r w:rsidRPr="00767C98">
        <w:t xml:space="preserve">exceto </w:t>
      </w:r>
      <w:r>
        <w:t>as classes</w:t>
      </w:r>
      <w:r w:rsidRPr="00767C98">
        <w:t xml:space="preserve"> de investimento em cotas</w:t>
      </w:r>
      <w:r>
        <w:t>.</w:t>
      </w:r>
    </w:p>
    <w:p w14:paraId="6846FC01" w14:textId="77777777" w:rsidR="00D30681" w:rsidRPr="00B47EA2" w:rsidRDefault="00D30681" w:rsidP="00D30681">
      <w:pPr>
        <w:pStyle w:val="NormaAlterada"/>
      </w:pPr>
      <w:r w:rsidRPr="75B1C058">
        <w:t>§ 2</w:t>
      </w:r>
      <w:bookmarkStart w:id="923" w:name="_Int_Etx02FDO"/>
      <w:r w:rsidRPr="75B1C058">
        <w:t>º  A</w:t>
      </w:r>
      <w:bookmarkEnd w:id="923"/>
      <w:r w:rsidRPr="75B1C058">
        <w:t xml:space="preserve"> classe de cotas pode realizar AFAC nas companhias que compõem a sua carteira, desde que:</w:t>
      </w:r>
    </w:p>
    <w:p w14:paraId="063EA0E3" w14:textId="77777777" w:rsidR="00D30681" w:rsidRPr="00B47EA2" w:rsidRDefault="00D30681" w:rsidP="00D30681">
      <w:pPr>
        <w:pStyle w:val="NormaAlterada"/>
      </w:pPr>
      <w:r w:rsidRPr="75B1C058">
        <w:t xml:space="preserve">I – </w:t>
      </w:r>
      <w:bookmarkStart w:id="924" w:name="_Int_PUt0mTnA"/>
      <w:r w:rsidRPr="75B1C058">
        <w:t>possua</w:t>
      </w:r>
      <w:bookmarkEnd w:id="924"/>
      <w:r w:rsidRPr="75B1C058">
        <w:t xml:space="preserve"> investimento em ações da companhia investida na data da realização do AFAC;</w:t>
      </w:r>
    </w:p>
    <w:p w14:paraId="2BAED4DF" w14:textId="77777777" w:rsidR="00D30681" w:rsidRPr="00B47EA2" w:rsidRDefault="00D30681" w:rsidP="00D30681">
      <w:pPr>
        <w:pStyle w:val="NormaAlterada"/>
      </w:pPr>
      <w:r w:rsidRPr="75B1C058">
        <w:t xml:space="preserve">II – </w:t>
      </w:r>
      <w:bookmarkStart w:id="925" w:name="_Int_nehawGAO"/>
      <w:r w:rsidRPr="75B1C058">
        <w:t>a</w:t>
      </w:r>
      <w:bookmarkEnd w:id="925"/>
      <w:r w:rsidRPr="75B1C058">
        <w:t xml:space="preserve"> possibilidade esteja expressamente prevista no seu regulamento, incluindo o limite do capital subscrito da classe que poderá ser utilizado para a realização de AFAC;</w:t>
      </w:r>
    </w:p>
    <w:p w14:paraId="6D292F86" w14:textId="77777777" w:rsidR="00D30681" w:rsidRPr="00B47EA2" w:rsidRDefault="00D30681" w:rsidP="00D30681">
      <w:pPr>
        <w:pStyle w:val="NormaAlterada"/>
      </w:pPr>
      <w:r w:rsidRPr="00B47EA2">
        <w:t xml:space="preserve">III – seja vedada qualquer forma de arrependimento do </w:t>
      </w:r>
      <w:r w:rsidRPr="001A1AF5">
        <w:t>AFAC</w:t>
      </w:r>
      <w:r w:rsidRPr="00B47EA2">
        <w:t xml:space="preserve"> por parte </w:t>
      </w:r>
      <w:r w:rsidRPr="001A1AF5">
        <w:t>da classe investidora</w:t>
      </w:r>
      <w:r w:rsidRPr="00B47EA2">
        <w:t>; e</w:t>
      </w:r>
    </w:p>
    <w:p w14:paraId="60111094" w14:textId="77777777" w:rsidR="00D30681" w:rsidRPr="00B47EA2" w:rsidRDefault="00D30681" w:rsidP="00D30681">
      <w:pPr>
        <w:pStyle w:val="NormaAlterada"/>
      </w:pPr>
      <w:r w:rsidRPr="75B1C058">
        <w:t xml:space="preserve">IV – </w:t>
      </w:r>
      <w:bookmarkStart w:id="926" w:name="_Int_hTs9EoT1"/>
      <w:r w:rsidRPr="75B1C058">
        <w:t>o</w:t>
      </w:r>
      <w:bookmarkEnd w:id="926"/>
      <w:r w:rsidRPr="75B1C058">
        <w:t xml:space="preserve"> AFAC seja convertido em aumento de capital da companhia investida em, no máximo, 12 (doze) meses.</w:t>
      </w:r>
    </w:p>
    <w:p w14:paraId="09B5E2FF" w14:textId="77777777" w:rsidR="00D30681" w:rsidRPr="0014013F" w:rsidRDefault="00D30681" w:rsidP="00D30681">
      <w:pPr>
        <w:pStyle w:val="NormaAlterada"/>
      </w:pPr>
      <w:r w:rsidRPr="75B1C058">
        <w:t>§ 3</w:t>
      </w:r>
      <w:bookmarkStart w:id="927" w:name="_Int_i2KMIi0V"/>
      <w:r w:rsidRPr="75B1C058">
        <w:t>º  A</w:t>
      </w:r>
      <w:bookmarkEnd w:id="927"/>
      <w:r w:rsidRPr="75B1C058">
        <w:t xml:space="preserve"> classe de cotas pode adquirir direitos creditórios que não estão listados no </w:t>
      </w:r>
      <w:r w:rsidRPr="75B1C058">
        <w:rPr>
          <w:b/>
          <w:bCs/>
        </w:rPr>
        <w:t>caput</w:t>
      </w:r>
      <w:r w:rsidRPr="75B1C058">
        <w:t>, desde que sejam emitidos por companhias ou sociedades investidas.</w:t>
      </w:r>
    </w:p>
    <w:p w14:paraId="21D21353" w14:textId="77777777" w:rsidR="00D30681" w:rsidRPr="00373DA7" w:rsidRDefault="00D30681" w:rsidP="00D30681">
      <w:pPr>
        <w:pStyle w:val="NormaAlterada"/>
      </w:pPr>
      <w:r w:rsidRPr="75B1C058">
        <w:t>§ 4</w:t>
      </w:r>
      <w:bookmarkStart w:id="928" w:name="_Int_90naX4Ix"/>
      <w:r w:rsidRPr="75B1C058">
        <w:t>º  O</w:t>
      </w:r>
      <w:bookmarkEnd w:id="928"/>
      <w:r w:rsidRPr="75B1C058">
        <w:t xml:space="preserve"> investimento em sociedades limitadas, nos termos do </w:t>
      </w:r>
      <w:r w:rsidRPr="75B1C058">
        <w:rPr>
          <w:b/>
          <w:bCs/>
        </w:rPr>
        <w:t>caput</w:t>
      </w:r>
      <w:r w:rsidRPr="75B1C058">
        <w:t>, deve observar o disposto no art. 14 deste Anexo Normativo IV, inclusive quanto ao limite de receita bruta anual da investida.</w:t>
      </w:r>
    </w:p>
    <w:p w14:paraId="133C23F5" w14:textId="77777777" w:rsidR="00D30681" w:rsidRPr="00373DA7" w:rsidRDefault="00D30681" w:rsidP="00D30681">
      <w:pPr>
        <w:pStyle w:val="NormaAlterada"/>
      </w:pPr>
      <w:r w:rsidRPr="75B1C058">
        <w:t>§ 5</w:t>
      </w:r>
      <w:bookmarkStart w:id="929" w:name="_Int_0mqwtzpP"/>
      <w:r w:rsidRPr="75B1C058">
        <w:t>º  As</w:t>
      </w:r>
      <w:bookmarkEnd w:id="929"/>
      <w:r w:rsidRPr="75B1C058">
        <w:t xml:space="preserve"> classes investidoras são obrigadas a consolidar as aplicações das classes investidas, inclusive para fins de apuração dos limites de concentração da carteira, exceto as aplicações em cotas de classes geridas por terceiros não ligados ao administrador ou ao gestor da classe </w:t>
      </w:r>
      <w:bookmarkStart w:id="930" w:name="_Int_QfOGl10N"/>
      <w:r w:rsidRPr="75B1C058">
        <w:t>investidora.</w:t>
      </w:r>
      <w:bookmarkEnd w:id="930"/>
    </w:p>
    <w:p w14:paraId="053C2874" w14:textId="77777777" w:rsidR="00D30681" w:rsidRPr="00B47EA2" w:rsidRDefault="00D30681" w:rsidP="00D30681">
      <w:pPr>
        <w:pStyle w:val="NormaAlterada"/>
      </w:pPr>
      <w:r w:rsidRPr="75B1C058">
        <w:t>§ 6</w:t>
      </w:r>
      <w:bookmarkStart w:id="931" w:name="_Int_oyGJoocW"/>
      <w:r w:rsidRPr="75B1C058">
        <w:t>º  O</w:t>
      </w:r>
      <w:bookmarkEnd w:id="931"/>
      <w:r w:rsidRPr="75B1C058">
        <w:t xml:space="preserve"> investimento em cotas de classes do tipo “Multiestratégia” deve observar o limite referido no </w:t>
      </w:r>
      <w:r w:rsidRPr="75B1C058">
        <w:rPr>
          <w:b/>
          <w:bCs/>
        </w:rPr>
        <w:t xml:space="preserve">caput </w:t>
      </w:r>
      <w:r w:rsidRPr="75B1C058">
        <w:t>do art. 12 deste Anexo Normativo IV, sem prejuízo da hipótese prevista no art. 17, § 2º, deste Anexo Normativo IV.</w:t>
      </w:r>
    </w:p>
    <w:p w14:paraId="6FE89153" w14:textId="77777777" w:rsidR="00D30681" w:rsidRPr="00373DA7" w:rsidRDefault="00D30681" w:rsidP="00D30681">
      <w:pPr>
        <w:pStyle w:val="NormaAlterada"/>
      </w:pPr>
      <w:r w:rsidRPr="75B1C058">
        <w:t xml:space="preserve">§ 7º </w:t>
      </w:r>
      <w:r>
        <w:t xml:space="preserve"> </w:t>
      </w:r>
      <w:r w:rsidRPr="75B1C058">
        <w:t xml:space="preserve">A classe de cotas pode investir nas sociedades de que trata o </w:t>
      </w:r>
      <w:r w:rsidRPr="75B1C058">
        <w:rPr>
          <w:b/>
          <w:bCs/>
        </w:rPr>
        <w:t>caput</w:t>
      </w:r>
      <w:r w:rsidRPr="75B1C058">
        <w:t xml:space="preserve"> por meio de instrumentos que lhe confiram o direito de adquirir participação societária, independente do momento do efetivo aporte dos recursos, tais como contratos de opção de compra ou subscrição de ações ou cotas, mútuos </w:t>
      </w:r>
      <w:r w:rsidRPr="75B1C058">
        <w:lastRenderedPageBreak/>
        <w:t>conversíveis em participação societária ou outros instrumentos ou arranjos contratuais que resultem em aporte de capital ou dívida, conversível ou não.</w:t>
      </w:r>
    </w:p>
    <w:p w14:paraId="481C1D48" w14:textId="77777777" w:rsidR="00D30681" w:rsidRPr="00B47EA2" w:rsidRDefault="00D30681" w:rsidP="00D30681">
      <w:pPr>
        <w:pStyle w:val="NormaAlterada"/>
      </w:pPr>
      <w:r w:rsidRPr="75B1C058">
        <w:t>Art. 6</w:t>
      </w:r>
      <w:bookmarkStart w:id="932" w:name="_Int_k4hKiih3"/>
      <w:r w:rsidRPr="75B1C058">
        <w:t>º  A</w:t>
      </w:r>
      <w:bookmarkEnd w:id="932"/>
      <w:r w:rsidRPr="75B1C058">
        <w:t xml:space="preserve"> participação da classe de cotas no processo decisório da sociedade investida pode ocorrer exemplificativamente:</w:t>
      </w:r>
    </w:p>
    <w:p w14:paraId="799C1E02" w14:textId="77777777" w:rsidR="00D30681" w:rsidRPr="00B47EA2" w:rsidRDefault="00D30681" w:rsidP="00D30681">
      <w:pPr>
        <w:pStyle w:val="NormaAlterada"/>
      </w:pPr>
      <w:r w:rsidRPr="75B1C058">
        <w:t xml:space="preserve">I – </w:t>
      </w:r>
      <w:bookmarkStart w:id="933" w:name="_Int_22D6dcBu"/>
      <w:r w:rsidRPr="75B1C058">
        <w:t>pela</w:t>
      </w:r>
      <w:bookmarkEnd w:id="933"/>
      <w:r w:rsidRPr="75B1C058">
        <w:t xml:space="preserve"> detenção de ações que integrem o respectivo bloco de controle;</w:t>
      </w:r>
    </w:p>
    <w:p w14:paraId="75381E2C" w14:textId="77777777" w:rsidR="00D30681" w:rsidRPr="00B47EA2" w:rsidRDefault="00D30681" w:rsidP="00D30681">
      <w:pPr>
        <w:pStyle w:val="NormaAlterada"/>
      </w:pPr>
      <w:r w:rsidRPr="75B1C058">
        <w:t xml:space="preserve">II – </w:t>
      </w:r>
      <w:bookmarkStart w:id="934" w:name="_Int_RopxE2RN"/>
      <w:r w:rsidRPr="75B1C058">
        <w:t>pela</w:t>
      </w:r>
      <w:bookmarkEnd w:id="934"/>
      <w:r w:rsidRPr="75B1C058">
        <w:t xml:space="preserve"> celebração de acordo de acionistas; ou</w:t>
      </w:r>
    </w:p>
    <w:p w14:paraId="04EA6A1C" w14:textId="77777777" w:rsidR="00D30681" w:rsidRPr="00B47EA2" w:rsidRDefault="00D30681" w:rsidP="00D30681">
      <w:pPr>
        <w:pStyle w:val="NormaAlterada"/>
      </w:pPr>
      <w:r w:rsidRPr="00B47EA2">
        <w:t xml:space="preserve">III – pela celebração de qualquer contrato, acordo, negócio jurídico ou a adoção de outro procedimento que assegure efetiva influência na definição de sua política estratégica e na sua gestão, inclusive por meio da indicação de membros do </w:t>
      </w:r>
      <w:r w:rsidRPr="00B47EA2">
        <w:rPr>
          <w:color w:val="2B579A"/>
        </w:rPr>
        <w:t>c</w:t>
      </w:r>
      <w:r w:rsidRPr="00B47EA2">
        <w:t>onselho de</w:t>
      </w:r>
      <w:r w:rsidRPr="00B47EA2">
        <w:rPr>
          <w:color w:val="2B579A"/>
        </w:rPr>
        <w:t xml:space="preserve"> a</w:t>
      </w:r>
      <w:r w:rsidRPr="00B47EA2">
        <w:t>dministração.</w:t>
      </w:r>
    </w:p>
    <w:p w14:paraId="2FF56BD8" w14:textId="77777777" w:rsidR="00D30681" w:rsidRPr="00B47EA2" w:rsidRDefault="00D30681" w:rsidP="00D30681">
      <w:pPr>
        <w:pStyle w:val="NormaAlterada"/>
      </w:pPr>
      <w:r>
        <w:t>Parágrafo único.</w:t>
      </w:r>
      <w:r w:rsidRPr="00B47EA2">
        <w:t xml:space="preserve">  Fica dispensada a participação no processo decisório da sociedade investida quando:</w:t>
      </w:r>
    </w:p>
    <w:p w14:paraId="753715BB" w14:textId="77777777" w:rsidR="00D30681" w:rsidRPr="00B47EA2" w:rsidRDefault="00D30681" w:rsidP="00D30681">
      <w:pPr>
        <w:pStyle w:val="NormaAlterada"/>
      </w:pPr>
      <w:r w:rsidRPr="75B1C058">
        <w:t xml:space="preserve">I – </w:t>
      </w:r>
      <w:bookmarkStart w:id="935" w:name="_Int_CEMi70YF"/>
      <w:r w:rsidRPr="75B1C058">
        <w:t>o</w:t>
      </w:r>
      <w:bookmarkEnd w:id="935"/>
      <w:r w:rsidRPr="75B1C058">
        <w:t xml:space="preserve"> investimento na sociedade for reduzido a menos da metade do percentual originalmente investido e passe a representar parcela inferior a 15% (quinze por cento) do capital social da investida; ou</w:t>
      </w:r>
    </w:p>
    <w:p w14:paraId="5D49A616" w14:textId="77777777" w:rsidR="00D30681" w:rsidRPr="00B47EA2" w:rsidRDefault="00D30681" w:rsidP="00D30681">
      <w:pPr>
        <w:pStyle w:val="NormaAlterada"/>
      </w:pPr>
      <w:r w:rsidRPr="75B1C058">
        <w:t xml:space="preserve">II – </w:t>
      </w:r>
      <w:bookmarkStart w:id="936" w:name="_Int_BnyMC2nd"/>
      <w:r w:rsidRPr="75B1C058">
        <w:t>o</w:t>
      </w:r>
      <w:bookmarkEnd w:id="936"/>
      <w:r w:rsidRPr="75B1C058">
        <w:t xml:space="preserve"> valor contábil do investimento tenha sido reduzido a zero e haja aprovação da assembleia de cotistas</w:t>
      </w:r>
      <w:r>
        <w:t>.</w:t>
      </w:r>
    </w:p>
    <w:p w14:paraId="6D757D45" w14:textId="77777777" w:rsidR="00D30681" w:rsidRPr="00B47EA2" w:rsidRDefault="00D30681" w:rsidP="00D30681">
      <w:pPr>
        <w:pStyle w:val="NormaAlterada"/>
      </w:pPr>
      <w:r w:rsidRPr="75B1C058">
        <w:t>Art. 7º  O requisito de efetiva influência na definição da política estratégica e na gestão das sociedades investidas de que trata o §</w:t>
      </w:r>
      <w:r>
        <w:t xml:space="preserve"> </w:t>
      </w:r>
      <w:r w:rsidRPr="75B1C058">
        <w:t>1º do art. 5º deste Anexo Normativo IV não se aplica ao investimento em companhias investidas listadas em segmento especial de negociação de valores mobiliários, instituído por bolsa de valores ou por entidade do mercado de balcão organizado, voltado ao mercado de acesso, que assegure, por meio de vínculo contratual, padrões de governança corporativa mais estritos que os exigidos por lei, desde que corresponda a até 35% (trinta e cinco por cento) do capital subscrito da classe.</w:t>
      </w:r>
    </w:p>
    <w:p w14:paraId="4F53B3C1" w14:textId="77777777" w:rsidR="00D30681" w:rsidRPr="00B47EA2" w:rsidRDefault="00D30681" w:rsidP="00D30681">
      <w:pPr>
        <w:pStyle w:val="NormaAlterada"/>
      </w:pPr>
      <w:r w:rsidRPr="75B1C058">
        <w:t>§ 1</w:t>
      </w:r>
      <w:bookmarkStart w:id="937" w:name="_Int_v1aQmFJB"/>
      <w:r w:rsidRPr="75B1C058">
        <w:t>º  O</w:t>
      </w:r>
      <w:bookmarkEnd w:id="937"/>
      <w:r w:rsidRPr="75B1C058">
        <w:t xml:space="preserve"> limite de que trata o </w:t>
      </w:r>
      <w:r w:rsidRPr="75B1C058">
        <w:rPr>
          <w:b/>
          <w:bCs/>
        </w:rPr>
        <w:t>caput</w:t>
      </w:r>
      <w:r w:rsidRPr="75B1C058">
        <w:t xml:space="preserve"> será de 100% (cem por cento) durante o prazo de aplicação dos recursos, estabelecido em até 6 (seis) meses contados de cada um dos eventos de integralização de cotas previstos no compromisso de investimento.</w:t>
      </w:r>
    </w:p>
    <w:p w14:paraId="5923DE56" w14:textId="77777777" w:rsidR="00D30681" w:rsidRPr="00B47EA2" w:rsidRDefault="00D30681" w:rsidP="00D30681">
      <w:pPr>
        <w:pStyle w:val="NormaAlterada"/>
      </w:pPr>
      <w:r w:rsidRPr="75B1C058">
        <w:t>§ 2</w:t>
      </w:r>
      <w:bookmarkStart w:id="938" w:name="_Int_epLnNoay"/>
      <w:r w:rsidRPr="75B1C058">
        <w:t>º  Caso</w:t>
      </w:r>
      <w:bookmarkEnd w:id="938"/>
      <w:r w:rsidRPr="75B1C058">
        <w:t xml:space="preserve"> o limite estabelecido no </w:t>
      </w:r>
      <w:r w:rsidRPr="75B1C058">
        <w:rPr>
          <w:b/>
          <w:bCs/>
        </w:rPr>
        <w:t xml:space="preserve">caput </w:t>
      </w:r>
      <w:r w:rsidRPr="75B1C058">
        <w:rPr>
          <w:rFonts w:cs="Calibri"/>
        </w:rPr>
        <w:t>seja ultrapassado</w:t>
      </w:r>
      <w:r w:rsidRPr="75B1C058">
        <w:t xml:space="preserve"> por motivos alheios à vontade do gestor, e tal desenquadramento perdurar até o encerramento do mês seguinte, o administrador deve: </w:t>
      </w:r>
    </w:p>
    <w:p w14:paraId="5015604F" w14:textId="77777777" w:rsidR="00D30681" w:rsidRPr="00B47EA2" w:rsidRDefault="00D30681" w:rsidP="00D30681">
      <w:pPr>
        <w:pStyle w:val="NormaAlterada"/>
      </w:pPr>
      <w:r w:rsidRPr="75B1C058">
        <w:lastRenderedPageBreak/>
        <w:t xml:space="preserve">I – </w:t>
      </w:r>
      <w:bookmarkStart w:id="939" w:name="_Int_KfkCRFcm"/>
      <w:r w:rsidRPr="75B1C058">
        <w:t>comunicar</w:t>
      </w:r>
      <w:bookmarkEnd w:id="939"/>
      <w:r w:rsidRPr="75B1C058">
        <w:t xml:space="preserve"> à CVM imediatamente a ocorrência do desenquadramento passivo, com as devidas justificativas, bem como previsão para reenquadramento; e</w:t>
      </w:r>
    </w:p>
    <w:p w14:paraId="5F1C9316" w14:textId="77777777" w:rsidR="00D30681" w:rsidRPr="009559A6" w:rsidRDefault="00D30681" w:rsidP="00D30681">
      <w:pPr>
        <w:pStyle w:val="NormaAlterada"/>
      </w:pPr>
      <w:r w:rsidRPr="75B1C058">
        <w:t xml:space="preserve">II – </w:t>
      </w:r>
      <w:bookmarkStart w:id="940" w:name="_Int_IzDD8yIh"/>
      <w:r w:rsidRPr="009559A6">
        <w:t>comunicar</w:t>
      </w:r>
      <w:bookmarkEnd w:id="940"/>
      <w:r w:rsidRPr="009559A6">
        <w:t xml:space="preserve"> à CVM o reenquadramento da carteira, </w:t>
      </w:r>
      <w:bookmarkStart w:id="941" w:name="_Int_yVZ68o2v"/>
      <w:r w:rsidRPr="009559A6">
        <w:t>no momento em que</w:t>
      </w:r>
      <w:bookmarkEnd w:id="941"/>
      <w:r w:rsidRPr="009559A6">
        <w:t xml:space="preserve"> ocorrer.</w:t>
      </w:r>
    </w:p>
    <w:p w14:paraId="66438B68" w14:textId="77777777" w:rsidR="00D30681" w:rsidRPr="00B47EA2" w:rsidRDefault="00D30681" w:rsidP="00D30681">
      <w:pPr>
        <w:pStyle w:val="NormaAlterada"/>
      </w:pPr>
      <w:r w:rsidRPr="75B1C058">
        <w:t>Art. 8</w:t>
      </w:r>
      <w:bookmarkStart w:id="942" w:name="_Int_ZYkyugcR"/>
      <w:r w:rsidRPr="75B1C058">
        <w:t>º  As</w:t>
      </w:r>
      <w:bookmarkEnd w:id="942"/>
      <w:r w:rsidRPr="75B1C058">
        <w:t xml:space="preserve"> companhias fechadas referidas no art. 5º </w:t>
      </w:r>
      <w:r w:rsidRPr="75B1C058">
        <w:rPr>
          <w:sz w:val="23"/>
          <w:szCs w:val="23"/>
        </w:rPr>
        <w:t>deste Anexo Normativo IV</w:t>
      </w:r>
      <w:r w:rsidRPr="75B1C058">
        <w:t xml:space="preserve"> devem seguir as seguintes práticas de governança:</w:t>
      </w:r>
    </w:p>
    <w:p w14:paraId="4847FB82" w14:textId="77777777" w:rsidR="00D30681" w:rsidRPr="00B47EA2" w:rsidRDefault="00D30681" w:rsidP="00D30681">
      <w:pPr>
        <w:pStyle w:val="NormaAlterada"/>
      </w:pPr>
      <w:r w:rsidRPr="75B1C058">
        <w:t xml:space="preserve">I – </w:t>
      </w:r>
      <w:bookmarkStart w:id="943" w:name="_Int_GUIrkbpS"/>
      <w:r w:rsidRPr="75B1C058">
        <w:t>proibição</w:t>
      </w:r>
      <w:bookmarkEnd w:id="943"/>
      <w:r w:rsidRPr="75B1C058">
        <w:t xml:space="preserve"> de emissão de partes beneficiárias e inexistência desses títulos em circulação;</w:t>
      </w:r>
    </w:p>
    <w:p w14:paraId="0C888531" w14:textId="77777777" w:rsidR="00D30681" w:rsidRPr="00B47EA2" w:rsidRDefault="00D30681" w:rsidP="00D30681">
      <w:pPr>
        <w:pStyle w:val="NormaAlterada"/>
      </w:pPr>
      <w:r w:rsidRPr="75B1C058">
        <w:t xml:space="preserve">II – </w:t>
      </w:r>
      <w:bookmarkStart w:id="944" w:name="_Int_pHKzuT2G"/>
      <w:r w:rsidRPr="75B1C058">
        <w:t>estabelecimento</w:t>
      </w:r>
      <w:bookmarkEnd w:id="944"/>
      <w:r w:rsidRPr="75B1C058">
        <w:t xml:space="preserve"> de um mandato unificado de até 2 (dois) anos para todo o conselho de administração, quando existente;</w:t>
      </w:r>
    </w:p>
    <w:p w14:paraId="6C6A6FE8" w14:textId="77777777" w:rsidR="00D30681" w:rsidRPr="00B47EA2" w:rsidRDefault="00D30681" w:rsidP="00D30681">
      <w:pPr>
        <w:pStyle w:val="NormaAlterada"/>
      </w:pPr>
      <w:r w:rsidRPr="00B47EA2">
        <w:t>III – disponibilização para os acionistas de contratos com partes relacionadas, acordos de acionistas e programas de opções de aquisição de ações ou de outros títulos ou valores mobiliários de emissão da companhia;</w:t>
      </w:r>
    </w:p>
    <w:p w14:paraId="4A53FF95" w14:textId="77777777" w:rsidR="00D30681" w:rsidRPr="00B47EA2" w:rsidRDefault="00D30681" w:rsidP="00D30681">
      <w:pPr>
        <w:pStyle w:val="NormaAlterada"/>
      </w:pPr>
      <w:r w:rsidRPr="75B1C058">
        <w:t xml:space="preserve">IV – </w:t>
      </w:r>
      <w:bookmarkStart w:id="945" w:name="_Int_XhvtVtbn"/>
      <w:r w:rsidRPr="75B1C058">
        <w:t>adesão</w:t>
      </w:r>
      <w:bookmarkEnd w:id="945"/>
      <w:r w:rsidRPr="75B1C058">
        <w:t xml:space="preserve"> a câmara de arbitragem para resolução de conflitos societários;</w:t>
      </w:r>
    </w:p>
    <w:p w14:paraId="1380CAFA" w14:textId="77777777" w:rsidR="00D30681" w:rsidRPr="00B47EA2" w:rsidRDefault="00D30681" w:rsidP="00D30681">
      <w:pPr>
        <w:pStyle w:val="NormaAlterada"/>
      </w:pPr>
      <w:r w:rsidRPr="75B1C058">
        <w:t xml:space="preserve">V – </w:t>
      </w:r>
      <w:bookmarkStart w:id="946" w:name="_Int_rCzsR2KI"/>
      <w:r w:rsidRPr="75B1C058">
        <w:t>no</w:t>
      </w:r>
      <w:bookmarkEnd w:id="946"/>
      <w:r w:rsidRPr="75B1C058">
        <w:t xml:space="preserve"> caso de obtenção de registro de companhia aberta na categoria </w:t>
      </w:r>
      <w:bookmarkStart w:id="947" w:name="_Int_fIv8UEKf"/>
      <w:r w:rsidRPr="75B1C058">
        <w:t>A, obrigar-se</w:t>
      </w:r>
      <w:bookmarkEnd w:id="947"/>
      <w:r w:rsidRPr="75B1C058">
        <w:t xml:space="preserve">, perante a classe investidora, a aderir a segmento especial de entidade administradora de mercado organizado que assegure, no mínimo, práticas diferenciadas de governança corporativa previstas nos incisos </w:t>
      </w:r>
      <w:r>
        <w:t>I a IV</w:t>
      </w:r>
      <w:r w:rsidRPr="75B1C058">
        <w:t>; e</w:t>
      </w:r>
    </w:p>
    <w:p w14:paraId="4EF7961C" w14:textId="77777777" w:rsidR="00D30681" w:rsidRPr="00B47EA2" w:rsidRDefault="00D30681" w:rsidP="00D30681">
      <w:pPr>
        <w:pStyle w:val="NormaAlterada"/>
      </w:pPr>
      <w:r w:rsidRPr="75B1C058">
        <w:t xml:space="preserve">VI – </w:t>
      </w:r>
      <w:bookmarkStart w:id="948" w:name="_Int_EdFoGBkb"/>
      <w:r w:rsidRPr="75B1C058">
        <w:t>auditoria</w:t>
      </w:r>
      <w:bookmarkEnd w:id="948"/>
      <w:r w:rsidRPr="75B1C058">
        <w:t xml:space="preserve"> anual de suas demonstrações contábeis por auditores independentes registrados na CVM.</w:t>
      </w:r>
    </w:p>
    <w:p w14:paraId="0B46A058" w14:textId="77777777" w:rsidR="00D30681" w:rsidRPr="006C12F7" w:rsidRDefault="00D30681" w:rsidP="00D30681">
      <w:pPr>
        <w:pStyle w:val="Captulo"/>
      </w:pPr>
      <w:bookmarkStart w:id="949" w:name="_Toc161141349"/>
      <w:r w:rsidRPr="00373DA7">
        <w:t xml:space="preserve">CAPÍTULO III </w:t>
      </w:r>
      <w:r>
        <w:t>–</w:t>
      </w:r>
      <w:r w:rsidRPr="00373DA7">
        <w:t xml:space="preserve"> REGULAMENTO</w:t>
      </w:r>
      <w:bookmarkEnd w:id="949"/>
    </w:p>
    <w:p w14:paraId="2F820039" w14:textId="77777777" w:rsidR="00D30681" w:rsidRPr="00B47EA2" w:rsidRDefault="00D30681" w:rsidP="00D30681">
      <w:pPr>
        <w:pStyle w:val="NormaAlterada"/>
      </w:pPr>
      <w:r w:rsidRPr="75B1C058">
        <w:t>Art. 9</w:t>
      </w:r>
      <w:bookmarkStart w:id="950" w:name="_Int_Wc2BEJBr"/>
      <w:r w:rsidRPr="75B1C058">
        <w:t>º  Em</w:t>
      </w:r>
      <w:bookmarkEnd w:id="950"/>
      <w:r w:rsidRPr="75B1C058">
        <w:t xml:space="preserve"> acréscimo às matérias dispostas no art. 48 da parte geral da Resolução, o regulamento do FIP deve dispor sobre:</w:t>
      </w:r>
    </w:p>
    <w:p w14:paraId="294F63A6" w14:textId="77777777" w:rsidR="00D30681" w:rsidRPr="00B47EA2" w:rsidRDefault="00D30681" w:rsidP="00D30681">
      <w:pPr>
        <w:pStyle w:val="NormaAlterada"/>
      </w:pPr>
      <w:r w:rsidRPr="00373DA7">
        <w:t>I</w:t>
      </w:r>
      <w:r w:rsidRPr="00B47EA2">
        <w:t xml:space="preserve"> – regras e critérios para a fixação de prazo para as aplicações a partir de cada integralização de </w:t>
      </w:r>
      <w:r>
        <w:t>cotas</w:t>
      </w:r>
      <w:r w:rsidRPr="00373DA7">
        <w:t xml:space="preserve">; </w:t>
      </w:r>
    </w:p>
    <w:p w14:paraId="65AEA215" w14:textId="77777777" w:rsidR="00D30681" w:rsidRPr="00B47EA2" w:rsidRDefault="00D30681" w:rsidP="00D30681">
      <w:pPr>
        <w:pStyle w:val="NormaAlterada"/>
      </w:pPr>
      <w:r w:rsidRPr="00373DA7">
        <w:t>II</w:t>
      </w:r>
      <w:r w:rsidRPr="00B47EA2">
        <w:t xml:space="preserve"> – regras e critérios sobre a restituição do capital </w:t>
      </w:r>
      <w:r w:rsidRPr="00373DA7">
        <w:t xml:space="preserve">aos cotistas </w:t>
      </w:r>
      <w:r w:rsidRPr="00B47EA2">
        <w:t xml:space="preserve">ou prorrogação </w:t>
      </w:r>
      <w:r w:rsidRPr="00373DA7">
        <w:t>do</w:t>
      </w:r>
      <w:r w:rsidRPr="00B47EA2">
        <w:t xml:space="preserve"> prazo</w:t>
      </w:r>
      <w:r w:rsidRPr="00373DA7">
        <w:t xml:space="preserve"> previsto no inciso I</w:t>
      </w:r>
      <w:r w:rsidRPr="00B47EA2">
        <w:t>, no caso de não concretização do investimento no prazo estabelecido, observado o disposto no art. 11, § 5º</w:t>
      </w:r>
      <w:r>
        <w:t>, deste Anexo Normativo IV</w:t>
      </w:r>
      <w:r w:rsidRPr="00B47EA2">
        <w:t>;</w:t>
      </w:r>
    </w:p>
    <w:p w14:paraId="778CE41B" w14:textId="77777777" w:rsidR="00D30681" w:rsidRPr="00B47EA2" w:rsidRDefault="00D30681" w:rsidP="00D30681">
      <w:pPr>
        <w:pStyle w:val="NormaAlterada"/>
      </w:pPr>
      <w:r w:rsidRPr="2108FDC7">
        <w:rPr>
          <w:rFonts w:cs="Calibri"/>
        </w:rPr>
        <w:lastRenderedPageBreak/>
        <w:t>III</w:t>
      </w:r>
      <w:r w:rsidRPr="00B47EA2">
        <w:t xml:space="preserve"> – a taxa máxima de custódia, expressa em percentual anual do patrimônio líquido d</w:t>
      </w:r>
      <w:r>
        <w:t>a</w:t>
      </w:r>
      <w:r w:rsidRPr="00B47EA2">
        <w:t xml:space="preserve"> </w:t>
      </w:r>
      <w:r>
        <w:t>classe de cotas</w:t>
      </w:r>
      <w:r w:rsidRPr="2108FDC7">
        <w:rPr>
          <w:rFonts w:cs="Calibri"/>
        </w:rPr>
        <w:t xml:space="preserve"> (base 252 dias);</w:t>
      </w:r>
    </w:p>
    <w:p w14:paraId="7317CFE6" w14:textId="77777777" w:rsidR="00D30681" w:rsidRPr="00B47EA2" w:rsidRDefault="00D30681" w:rsidP="00D30681">
      <w:pPr>
        <w:pStyle w:val="NormaAlterada"/>
      </w:pPr>
      <w:r w:rsidRPr="75B1C058">
        <w:t xml:space="preserve">IV – </w:t>
      </w:r>
      <w:bookmarkStart w:id="951" w:name="_Int_rqYYug0o"/>
      <w:r w:rsidRPr="75B1C058">
        <w:t>informações</w:t>
      </w:r>
      <w:bookmarkEnd w:id="951"/>
      <w:r w:rsidRPr="75B1C058">
        <w:t xml:space="preserve"> a serem disponibilizadas aos cotistas, sua periodicidade e forma de divulgação, sem prejuízo das informações previstas no art. 26, inciso I, deste Anexo Normativo IV;</w:t>
      </w:r>
    </w:p>
    <w:p w14:paraId="738FA090" w14:textId="77777777" w:rsidR="00D30681" w:rsidRPr="00B47EA2" w:rsidRDefault="00D30681" w:rsidP="00D30681">
      <w:pPr>
        <w:pStyle w:val="NormaAlterada"/>
      </w:pPr>
      <w:r w:rsidRPr="75B1C058">
        <w:t xml:space="preserve">V – </w:t>
      </w:r>
      <w:bookmarkStart w:id="952" w:name="_Int_sRSwERQA"/>
      <w:r w:rsidRPr="75B1C058">
        <w:t>possibilidades</w:t>
      </w:r>
      <w:bookmarkEnd w:id="952"/>
      <w:r w:rsidRPr="75B1C058">
        <w:t xml:space="preserve"> de amortização de cotas e distribuição de rendimentos, com as respectivas condições;</w:t>
      </w:r>
    </w:p>
    <w:p w14:paraId="680FB7CF" w14:textId="77777777" w:rsidR="00D30681" w:rsidRPr="00B47EA2" w:rsidRDefault="00D30681" w:rsidP="00D30681">
      <w:pPr>
        <w:pStyle w:val="NormaAlterada"/>
      </w:pPr>
      <w:r w:rsidRPr="75B1C058">
        <w:t xml:space="preserve">VI – </w:t>
      </w:r>
      <w:bookmarkStart w:id="953" w:name="_Int_HKYEUOfb"/>
      <w:r w:rsidRPr="75B1C058">
        <w:t>direitos</w:t>
      </w:r>
      <w:bookmarkEnd w:id="953"/>
      <w:r w:rsidRPr="75B1C058">
        <w:t xml:space="preserve"> políticos e econômicos de cada subclasse de cotas, se for o caso;</w:t>
      </w:r>
    </w:p>
    <w:p w14:paraId="3E0B7803" w14:textId="77777777" w:rsidR="00D30681" w:rsidRPr="00B47EA2" w:rsidRDefault="00D30681" w:rsidP="00D30681">
      <w:pPr>
        <w:pStyle w:val="NormaAlterada"/>
      </w:pPr>
      <w:r w:rsidRPr="2108FDC7">
        <w:t>VII</w:t>
      </w:r>
      <w:r w:rsidRPr="00B47EA2">
        <w:t xml:space="preserve"> – prazo de duração </w:t>
      </w:r>
      <w:r w:rsidRPr="00373DA7">
        <w:t>da classe de cotas</w:t>
      </w:r>
      <w:r w:rsidRPr="00B47EA2">
        <w:t xml:space="preserve"> e condições para eventuais prorrogações;</w:t>
      </w:r>
    </w:p>
    <w:p w14:paraId="5907CF93" w14:textId="77777777" w:rsidR="00D30681" w:rsidRPr="00B47EA2" w:rsidRDefault="00D30681" w:rsidP="00D30681">
      <w:pPr>
        <w:pStyle w:val="NormaAlterada"/>
      </w:pPr>
      <w:r w:rsidRPr="2108FDC7">
        <w:t>VIII</w:t>
      </w:r>
      <w:r w:rsidRPr="00B47EA2">
        <w:t xml:space="preserve"> – indicação de possíveis conflitos de interesses existentes no momento da constituição </w:t>
      </w:r>
      <w:r w:rsidRPr="00373DA7">
        <w:t>da classe de cotas</w:t>
      </w:r>
      <w:r w:rsidRPr="00B47EA2">
        <w:t>;</w:t>
      </w:r>
    </w:p>
    <w:p w14:paraId="1BB314FE" w14:textId="77777777" w:rsidR="00D30681" w:rsidRPr="00B47EA2" w:rsidRDefault="00D30681" w:rsidP="00D30681">
      <w:pPr>
        <w:pStyle w:val="NormaAlterada"/>
      </w:pPr>
      <w:r w:rsidRPr="75B1C058">
        <w:t xml:space="preserve">IX – </w:t>
      </w:r>
      <w:bookmarkStart w:id="954" w:name="_Int_NI4ZmzeJ"/>
      <w:r w:rsidRPr="75B1C058">
        <w:t>a</w:t>
      </w:r>
      <w:bookmarkEnd w:id="954"/>
      <w:r w:rsidRPr="75B1C058">
        <w:t xml:space="preserve"> possibilidade de realização de operações nas quais os prestadores de serviços essenciais atuem na </w:t>
      </w:r>
      <w:r w:rsidRPr="00281706">
        <w:t>condição</w:t>
      </w:r>
      <w:r w:rsidRPr="75B1C058">
        <w:t xml:space="preserve"> de contraparte, observado, ainda, o disposto no art. 27 deste Anexo Normativo IV;</w:t>
      </w:r>
    </w:p>
    <w:p w14:paraId="40391EE7" w14:textId="77777777" w:rsidR="00D30681" w:rsidRPr="00B47EA2" w:rsidRDefault="00D30681" w:rsidP="00D30681">
      <w:pPr>
        <w:pStyle w:val="NormaAlterada"/>
      </w:pPr>
      <w:r w:rsidRPr="75B1C058">
        <w:t xml:space="preserve">X – </w:t>
      </w:r>
      <w:bookmarkStart w:id="955" w:name="_Int_1D1nK4uy"/>
      <w:r w:rsidRPr="75B1C058">
        <w:t>processo</w:t>
      </w:r>
      <w:bookmarkEnd w:id="955"/>
      <w:r w:rsidRPr="75B1C058">
        <w:t xml:space="preserve"> decisório para a realização, de investimentos e desinvestimentos;</w:t>
      </w:r>
    </w:p>
    <w:p w14:paraId="6A635A75" w14:textId="77777777" w:rsidR="00D30681" w:rsidRPr="00B47EA2" w:rsidRDefault="00D30681" w:rsidP="00D30681">
      <w:pPr>
        <w:pStyle w:val="NormaAlterada"/>
      </w:pPr>
      <w:r w:rsidRPr="75B1C058">
        <w:t>XI – tratamento a ser dado aos direitos oriundos dos ativos da carteira, incluídos, mas não limitados aos rendimentos, dividendos e juros sobre capital próprio e forma de distribuição ou reinvestimento destes direitos;</w:t>
      </w:r>
    </w:p>
    <w:p w14:paraId="009232D8" w14:textId="77777777" w:rsidR="00D30681" w:rsidRDefault="00D30681" w:rsidP="00D30681">
      <w:pPr>
        <w:pStyle w:val="NormaAlterada"/>
      </w:pPr>
      <w:r w:rsidRPr="58638207">
        <w:t>XII – possibilidade de utilização de bens e direitos, inclusive créditos e valores mobiliários, na integralização e amortização de cotas, bem como na liquidação da classe de cotas, com o estabelecimento de critérios detalhados e específicos para a adoção desses procedimentos, observado o disposto no art. 20, §§ 4º ao 6º, deste Anexo Normativo IV; e</w:t>
      </w:r>
    </w:p>
    <w:p w14:paraId="03B53102" w14:textId="77777777" w:rsidR="00D30681" w:rsidRPr="00B47EA2" w:rsidRDefault="00D30681" w:rsidP="00D30681">
      <w:pPr>
        <w:pStyle w:val="NormaAlterada"/>
      </w:pPr>
      <w:r>
        <w:t xml:space="preserve">XIII – limites para as despesas </w:t>
      </w:r>
      <w:r w:rsidRPr="00A92FCD">
        <w:t xml:space="preserve">inerentes à constituição, fusão, incorporação, cisão, transformação ou liquidação </w:t>
      </w:r>
      <w:r>
        <w:t>da classe de cotas.</w:t>
      </w:r>
    </w:p>
    <w:p w14:paraId="5925D778" w14:textId="77777777" w:rsidR="00D30681" w:rsidRPr="00C93C02" w:rsidRDefault="00D30681" w:rsidP="00D30681">
      <w:pPr>
        <w:pStyle w:val="NormaAlterada"/>
      </w:pPr>
      <w:bookmarkStart w:id="956" w:name="_DV_C2"/>
      <w:r w:rsidRPr="75B1C058">
        <w:t>§ 1</w:t>
      </w:r>
      <w:bookmarkStart w:id="957" w:name="_Int_MqEAWdBP"/>
      <w:r w:rsidRPr="75B1C058">
        <w:t>º  Caso</w:t>
      </w:r>
      <w:bookmarkEnd w:id="957"/>
      <w:r w:rsidRPr="75B1C058">
        <w:t xml:space="preserve"> o fundo conte com diferentes classes de cotas, as matérias </w:t>
      </w:r>
      <w:r w:rsidRPr="75B1C058">
        <w:rPr>
          <w:rFonts w:cs="Calibri"/>
          <w:color w:val="000000" w:themeColor="text1"/>
        </w:rPr>
        <w:t xml:space="preserve">previstas nos incisos do </w:t>
      </w:r>
      <w:r w:rsidRPr="75B1C058">
        <w:rPr>
          <w:rFonts w:cs="Calibri"/>
          <w:b/>
          <w:bCs/>
          <w:color w:val="000000" w:themeColor="text1"/>
        </w:rPr>
        <w:t>caput</w:t>
      </w:r>
      <w:r w:rsidRPr="75B1C058">
        <w:rPr>
          <w:rFonts w:cs="Calibri"/>
          <w:color w:val="000000" w:themeColor="text1"/>
        </w:rPr>
        <w:t xml:space="preserve"> </w:t>
      </w:r>
      <w:r w:rsidRPr="75B1C058">
        <w:t>devem ser disciplinadas no anexo descritivo da classe a que se referirem, assim como no apêndice da subclasse de cotas a que se referirem, conforme o caso.</w:t>
      </w:r>
    </w:p>
    <w:p w14:paraId="1BC7EF58" w14:textId="77777777" w:rsidR="00D30681" w:rsidRPr="00373DA7" w:rsidRDefault="00D30681" w:rsidP="00D30681">
      <w:pPr>
        <w:pStyle w:val="NormaAlterada"/>
      </w:pPr>
      <w:r w:rsidRPr="75B1C058">
        <w:lastRenderedPageBreak/>
        <w:t>§ 2</w:t>
      </w:r>
      <w:bookmarkStart w:id="958" w:name="_Int_cPZxHNad"/>
      <w:r w:rsidRPr="75B1C058">
        <w:t>º  A</w:t>
      </w:r>
      <w:bookmarkEnd w:id="958"/>
      <w:r w:rsidRPr="75B1C058">
        <w:t xml:space="preserve"> política de investimentos deve indicar os ativos que podem compor a sua carteira e conter explicação sobre eventuais riscos de concentração e iliquidez desses ativos, inclusive no que se refere à possibilidade de realização de AFAC, conforme disposto no art. 5º, § 2º, deste Anexo Normativo IV.</w:t>
      </w:r>
    </w:p>
    <w:p w14:paraId="6035C7E7" w14:textId="77777777" w:rsidR="00D30681" w:rsidRPr="00B47EA2" w:rsidRDefault="00D30681" w:rsidP="00D30681">
      <w:pPr>
        <w:pStyle w:val="NormaAlterada"/>
      </w:pPr>
      <w:r w:rsidRPr="75B1C058">
        <w:t xml:space="preserve">§ </w:t>
      </w:r>
      <w:bookmarkStart w:id="959" w:name="_DV_M57"/>
      <w:bookmarkEnd w:id="956"/>
      <w:bookmarkEnd w:id="959"/>
      <w:r w:rsidRPr="75B1C058">
        <w:t>3</w:t>
      </w:r>
      <w:bookmarkStart w:id="960" w:name="_Int_HLJeZJtm"/>
      <w:r w:rsidRPr="75B1C058">
        <w:t>º  É</w:t>
      </w:r>
      <w:bookmarkEnd w:id="960"/>
      <w:r w:rsidRPr="75B1C058">
        <w:t xml:space="preserve"> vedada a realização de operações com derivativos, exceto quando tais operações:</w:t>
      </w:r>
    </w:p>
    <w:p w14:paraId="0A42C6F5" w14:textId="77777777" w:rsidR="00D30681" w:rsidRPr="00B47EA2" w:rsidRDefault="00D30681" w:rsidP="00D30681">
      <w:pPr>
        <w:pStyle w:val="NormaAlterada"/>
      </w:pPr>
      <w:r w:rsidRPr="75B1C058">
        <w:t xml:space="preserve">I – </w:t>
      </w:r>
      <w:bookmarkStart w:id="961" w:name="_Int_YJLqwSYZ"/>
      <w:r w:rsidRPr="75B1C058">
        <w:t>forem</w:t>
      </w:r>
      <w:bookmarkEnd w:id="961"/>
      <w:r w:rsidRPr="75B1C058">
        <w:t xml:space="preserve"> realizadas exclusivamente para fins de proteção patrimonial da classe de cotas; ou</w:t>
      </w:r>
    </w:p>
    <w:p w14:paraId="3ED756E8" w14:textId="77777777" w:rsidR="00D30681" w:rsidRPr="00B47EA2" w:rsidRDefault="00D30681" w:rsidP="00D30681">
      <w:pPr>
        <w:pStyle w:val="NormaAlterada"/>
      </w:pPr>
      <w:r w:rsidRPr="75B1C058">
        <w:t xml:space="preserve">II – </w:t>
      </w:r>
      <w:bookmarkStart w:id="962" w:name="_Int_W0u06bPR"/>
      <w:r w:rsidRPr="75B1C058">
        <w:t>envolverem</w:t>
      </w:r>
      <w:bookmarkEnd w:id="962"/>
      <w:r w:rsidRPr="75B1C058">
        <w:t xml:space="preserve"> opções de compra ou venda de ações das companhias que integram a carteira de ativos, com o propósito de:</w:t>
      </w:r>
    </w:p>
    <w:p w14:paraId="662DDB12" w14:textId="77777777" w:rsidR="00D30681" w:rsidRPr="00B47EA2" w:rsidRDefault="00D30681" w:rsidP="00D30681">
      <w:pPr>
        <w:pStyle w:val="NormaAlterada"/>
      </w:pPr>
      <w:r w:rsidRPr="00B47EA2">
        <w:t>a) ajustar o preço de aquisição da companhia com o consequente aumento ou diminuição futura na quantidade de ações investidas; ou</w:t>
      </w:r>
    </w:p>
    <w:p w14:paraId="083A24BF" w14:textId="77777777" w:rsidR="00D30681" w:rsidRPr="00B47EA2" w:rsidRDefault="00D30681" w:rsidP="00D30681">
      <w:pPr>
        <w:pStyle w:val="NormaAlterada"/>
      </w:pPr>
      <w:r w:rsidRPr="00B47EA2">
        <w:t>b) alienar essas ações no futuro como parte da estratégia de desinvestimento.</w:t>
      </w:r>
    </w:p>
    <w:p w14:paraId="39A079BF" w14:textId="77777777" w:rsidR="00D30681" w:rsidRPr="00E50B4B" w:rsidRDefault="00D30681" w:rsidP="00D30681">
      <w:pPr>
        <w:pStyle w:val="NormaAlterada"/>
      </w:pPr>
      <w:r w:rsidRPr="00E50B4B">
        <w:t>Art. 10.  A classe de cotas que obtenha apoio financeiro direto de organismos de fomento está autorizada a contrair empréstimos ou financiamentos diretamente dos organismos de fomento, limitados ao montante correspondente a 30% (trinta por cento) dos ativos da respectiva carteira.</w:t>
      </w:r>
    </w:p>
    <w:p w14:paraId="5C6B5D5E" w14:textId="77777777" w:rsidR="00D30681" w:rsidRPr="00B47EA2" w:rsidRDefault="00D30681" w:rsidP="00D30681">
      <w:pPr>
        <w:pStyle w:val="NormaAlterada"/>
      </w:pPr>
      <w:r w:rsidRPr="75B1C058">
        <w:t>§ 1</w:t>
      </w:r>
      <w:bookmarkStart w:id="963" w:name="_Int_B4I6a7At"/>
      <w:r w:rsidRPr="75B1C058">
        <w:t>º  O</w:t>
      </w:r>
      <w:bookmarkEnd w:id="963"/>
      <w:r w:rsidRPr="75B1C058">
        <w:t xml:space="preserve"> exercício da faculdade prevista no </w:t>
      </w:r>
      <w:r w:rsidRPr="75B1C058">
        <w:rPr>
          <w:b/>
          <w:bCs/>
        </w:rPr>
        <w:t>caput</w:t>
      </w:r>
      <w:r w:rsidRPr="75B1C058">
        <w:t xml:space="preserve"> somente é permitido após a obtenção do compromisso formal de apoio financeiro de organismos de fomento, que importe na realização de investimentos ou na concessão de empréstimos ou financiamentos em favor da classe de cotas.</w:t>
      </w:r>
    </w:p>
    <w:p w14:paraId="1DE9B5D8" w14:textId="77777777" w:rsidR="00D30681" w:rsidRPr="00B47EA2" w:rsidRDefault="00D30681" w:rsidP="00D30681">
      <w:pPr>
        <w:pStyle w:val="NormaAlterada"/>
      </w:pPr>
      <w:r w:rsidRPr="75B1C058">
        <w:t>§ 2</w:t>
      </w:r>
      <w:bookmarkStart w:id="964" w:name="_Int_ZSX9Ya5e"/>
      <w:r w:rsidRPr="75B1C058">
        <w:t>º  Para</w:t>
      </w:r>
      <w:bookmarkEnd w:id="964"/>
      <w:r w:rsidRPr="75B1C058">
        <w:t xml:space="preserve"> efeitos do disposto no </w:t>
      </w:r>
      <w:r w:rsidRPr="75B1C058">
        <w:rPr>
          <w:b/>
          <w:bCs/>
        </w:rPr>
        <w:t>caput</w:t>
      </w:r>
      <w:r w:rsidRPr="75B1C058">
        <w:t xml:space="preserve">, são considerados como organismos de fomento os organismos multilaterais, as agências de fomento ou os bancos de desenvolvimento que possuam recursos provenientes de contribuições e cotas integralizadas majoritariamente com recursos orçamentários de um único ou diversos governos, nacionais ou estrangeiros, e cujo controle seja governamental ou </w:t>
      </w:r>
      <w:proofErr w:type="spellStart"/>
      <w:r w:rsidRPr="75B1C058">
        <w:t>multigovernamental</w:t>
      </w:r>
      <w:proofErr w:type="spellEnd"/>
      <w:r w:rsidRPr="75B1C058">
        <w:t>.</w:t>
      </w:r>
    </w:p>
    <w:p w14:paraId="29F1D904" w14:textId="77777777" w:rsidR="00D30681" w:rsidRPr="00A24992" w:rsidRDefault="00D30681" w:rsidP="00D30681">
      <w:pPr>
        <w:pStyle w:val="Captulo"/>
      </w:pPr>
      <w:bookmarkStart w:id="965" w:name="_Toc161141350"/>
      <w:r w:rsidRPr="00373DA7">
        <w:t xml:space="preserve">CAPÍTULO </w:t>
      </w:r>
      <w:r w:rsidRPr="00A24992">
        <w:t>IV</w:t>
      </w:r>
      <w:r w:rsidRPr="00373DA7">
        <w:t xml:space="preserve"> </w:t>
      </w:r>
      <w:r>
        <w:t>–</w:t>
      </w:r>
      <w:r w:rsidRPr="00373DA7">
        <w:t xml:space="preserve"> CARTEIRA</w:t>
      </w:r>
      <w:bookmarkEnd w:id="965"/>
    </w:p>
    <w:p w14:paraId="3E1F351C" w14:textId="77777777" w:rsidR="00D30681" w:rsidRPr="00B47EA2" w:rsidRDefault="00D30681" w:rsidP="00D30681">
      <w:pPr>
        <w:pStyle w:val="NormaAlterada"/>
      </w:pPr>
      <w:bookmarkStart w:id="966" w:name="_DV_C4"/>
      <w:r w:rsidRPr="00B47EA2">
        <w:t xml:space="preserve">Art. 11.  </w:t>
      </w:r>
      <w:r>
        <w:t>A</w:t>
      </w:r>
      <w:r w:rsidRPr="00373DA7">
        <w:t xml:space="preserve"> classe de cotas</w:t>
      </w:r>
      <w:r w:rsidRPr="00B47EA2">
        <w:t xml:space="preserve"> deve manter, no mínimo, 90% (noventa por cento) de seu patrimônio líquido investido nos ativos previstos no art. </w:t>
      </w:r>
      <w:r w:rsidRPr="00373DA7">
        <w:t>5º</w:t>
      </w:r>
      <w:r>
        <w:t xml:space="preserve"> deste Anexo Normativo IV</w:t>
      </w:r>
      <w:r w:rsidRPr="00B47EA2">
        <w:t>.</w:t>
      </w:r>
    </w:p>
    <w:p w14:paraId="4E455806" w14:textId="77777777" w:rsidR="00D30681" w:rsidRPr="00B47EA2" w:rsidRDefault="00D30681" w:rsidP="00D30681">
      <w:pPr>
        <w:pStyle w:val="NormaAlterada"/>
      </w:pPr>
      <w:r w:rsidRPr="75B1C058">
        <w:t>§ 1</w:t>
      </w:r>
      <w:bookmarkStart w:id="967" w:name="_Int_uWGdaK3g"/>
      <w:r w:rsidRPr="75B1C058">
        <w:t>º  Exceto</w:t>
      </w:r>
      <w:bookmarkEnd w:id="967"/>
      <w:r w:rsidRPr="75B1C058">
        <w:t xml:space="preserve"> para as classes de cotas referidas nos </w:t>
      </w:r>
      <w:proofErr w:type="spellStart"/>
      <w:r w:rsidRPr="75B1C058">
        <w:t>arts</w:t>
      </w:r>
      <w:proofErr w:type="spellEnd"/>
      <w:r w:rsidRPr="75B1C058">
        <w:t>. 14 e 16 deste Anexo Normativo IV, o investimento em debêntures e outros títulos de dívida não conversíveis está limitado ao máximo de 33% (trinta e três por cento) do total do capital subscrito.</w:t>
      </w:r>
      <w:bookmarkStart w:id="968" w:name="_DV_C5"/>
      <w:bookmarkEnd w:id="966"/>
    </w:p>
    <w:p w14:paraId="554ECAC0" w14:textId="77777777" w:rsidR="00D30681" w:rsidRPr="00B47EA2" w:rsidRDefault="00D30681" w:rsidP="00D30681">
      <w:pPr>
        <w:pStyle w:val="NormaAlterada"/>
      </w:pPr>
      <w:r w:rsidRPr="75B1C058">
        <w:lastRenderedPageBreak/>
        <w:t>§ 2</w:t>
      </w:r>
      <w:bookmarkStart w:id="969" w:name="_Int_jmljhL28"/>
      <w:r w:rsidRPr="75B1C058">
        <w:t>º  O</w:t>
      </w:r>
      <w:bookmarkEnd w:id="969"/>
      <w:r w:rsidRPr="75B1C058">
        <w:t xml:space="preserve"> limite estabelecido no </w:t>
      </w:r>
      <w:r w:rsidRPr="75B1C058">
        <w:rPr>
          <w:b/>
          <w:bCs/>
        </w:rPr>
        <w:t xml:space="preserve">caput </w:t>
      </w:r>
      <w:r w:rsidRPr="75B1C058">
        <w:t xml:space="preserve">não é aplicável </w:t>
      </w:r>
      <w:bookmarkStart w:id="970" w:name="_DV_C6"/>
      <w:bookmarkEnd w:id="968"/>
      <w:r w:rsidRPr="75B1C058">
        <w:t xml:space="preserve">durante o prazo de aplicação dos recursos, estabelecido conforme art. 9º, inciso </w:t>
      </w:r>
      <w:r w:rsidRPr="75B1C058">
        <w:rPr>
          <w:rFonts w:cs="Calibri"/>
          <w:color w:val="000000" w:themeColor="text1"/>
        </w:rPr>
        <w:t>I,</w:t>
      </w:r>
      <w:r w:rsidRPr="75B1C058">
        <w:t xml:space="preserve"> deste Anexo Normativo IV, de cada um dos eventos de integralização de cotas previstos no compromisso de investimento.</w:t>
      </w:r>
      <w:bookmarkEnd w:id="970"/>
    </w:p>
    <w:p w14:paraId="4AC50928" w14:textId="77777777" w:rsidR="00D30681" w:rsidRPr="00B47EA2" w:rsidRDefault="00D30681" w:rsidP="00D30681">
      <w:pPr>
        <w:pStyle w:val="NormaAlterada"/>
      </w:pPr>
      <w:bookmarkStart w:id="971" w:name="_DV_C8"/>
      <w:r w:rsidRPr="75B1C058">
        <w:t>§ 3</w:t>
      </w:r>
      <w:bookmarkStart w:id="972" w:name="_Int_IBmb2wSN"/>
      <w:r w:rsidRPr="75B1C058">
        <w:t>º  O</w:t>
      </w:r>
      <w:bookmarkEnd w:id="972"/>
      <w:r w:rsidRPr="75B1C058">
        <w:t xml:space="preserve"> administrador deve comunicar à CVM, até o final do dia útil seguinte ao término do prazo referido no § 2º, a ocorrência de desenquadramento, com as devidas justificativas, informando ainda o reenquadramento da carteira, assim que ocorra.</w:t>
      </w:r>
      <w:bookmarkEnd w:id="971"/>
    </w:p>
    <w:p w14:paraId="03FD2278" w14:textId="77777777" w:rsidR="00D30681" w:rsidRPr="00B47EA2" w:rsidRDefault="00D30681" w:rsidP="00D30681">
      <w:pPr>
        <w:pStyle w:val="NormaAlterada"/>
      </w:pPr>
      <w:bookmarkStart w:id="973" w:name="_DV_C9"/>
      <w:r w:rsidRPr="75B1C058">
        <w:t>§ 4</w:t>
      </w:r>
      <w:bookmarkStart w:id="974" w:name="_Int_OhtmLqco"/>
      <w:r w:rsidRPr="75B1C058">
        <w:t>º  Para</w:t>
      </w:r>
      <w:bookmarkEnd w:id="974"/>
      <w:r w:rsidRPr="75B1C058">
        <w:t xml:space="preserve"> fins de verificação do enquadramento previsto no </w:t>
      </w:r>
      <w:r w:rsidRPr="75B1C058">
        <w:rPr>
          <w:b/>
        </w:rPr>
        <w:t>caput</w:t>
      </w:r>
      <w:r w:rsidRPr="75B1C058">
        <w:t>, devem ser somados aos ativos previstos no art. 5º deste Anexo Normativo IV os valores:</w:t>
      </w:r>
      <w:bookmarkEnd w:id="973"/>
    </w:p>
    <w:p w14:paraId="21200E64" w14:textId="77777777" w:rsidR="00D30681" w:rsidRPr="00B47EA2" w:rsidRDefault="00D30681" w:rsidP="00D30681">
      <w:pPr>
        <w:pStyle w:val="NormaAlterada"/>
      </w:pPr>
      <w:bookmarkStart w:id="975" w:name="_DV_C10"/>
      <w:r w:rsidRPr="75B1C058">
        <w:t xml:space="preserve">I – </w:t>
      </w:r>
      <w:bookmarkStart w:id="976" w:name="_Int_PpNg0H4K"/>
      <w:r w:rsidRPr="75B1C058">
        <w:t>destinados</w:t>
      </w:r>
      <w:bookmarkEnd w:id="976"/>
      <w:r w:rsidRPr="75B1C058">
        <w:t xml:space="preserve"> ao pagamento de despesas do fundo, desde que limitados a 5% (cinco por cento) do capital subscrito;</w:t>
      </w:r>
      <w:bookmarkEnd w:id="975"/>
    </w:p>
    <w:p w14:paraId="65D4E007" w14:textId="77777777" w:rsidR="00D30681" w:rsidRPr="00773386" w:rsidRDefault="00D30681" w:rsidP="00D30681">
      <w:pPr>
        <w:pStyle w:val="NormaAlterada"/>
      </w:pPr>
      <w:bookmarkStart w:id="977" w:name="_DV_C11"/>
      <w:r w:rsidRPr="75B1C058">
        <w:t xml:space="preserve">II – </w:t>
      </w:r>
      <w:bookmarkStart w:id="978" w:name="_Int_m5IupjEA"/>
      <w:r w:rsidRPr="75B1C058">
        <w:t>decorrentes</w:t>
      </w:r>
      <w:bookmarkEnd w:id="978"/>
      <w:r w:rsidRPr="75B1C058">
        <w:t xml:space="preserve"> de operações de desinvestimento:</w:t>
      </w:r>
      <w:bookmarkEnd w:id="977"/>
    </w:p>
    <w:p w14:paraId="32A3543F" w14:textId="77777777" w:rsidR="00D30681" w:rsidRPr="00B47EA2" w:rsidRDefault="00D30681" w:rsidP="00D30681">
      <w:pPr>
        <w:pStyle w:val="NormaAlterada"/>
      </w:pPr>
      <w:bookmarkStart w:id="979" w:name="_DV_C13"/>
      <w:r w:rsidRPr="75B1C058">
        <w:t xml:space="preserve">a) no período entre a data do efetivo recebimento dos recursos e o último dia útil do </w:t>
      </w:r>
      <w:r w:rsidRPr="009559A6">
        <w:t xml:space="preserve">2º mês subsequente a tal recebimento, nos casos em que ocorra o reinvestimento dos recursos em ativos previstos no art. 5º </w:t>
      </w:r>
      <w:r w:rsidRPr="75B1C058">
        <w:t>deste Anexo Normativo IV;</w:t>
      </w:r>
    </w:p>
    <w:bookmarkEnd w:id="979"/>
    <w:p w14:paraId="3EE3B759" w14:textId="77777777" w:rsidR="00D30681" w:rsidRPr="00373DA7" w:rsidRDefault="00D30681" w:rsidP="00D30681">
      <w:pPr>
        <w:pStyle w:val="NormaAlterada"/>
        <w:rPr>
          <w:rFonts w:cs="Calibri"/>
          <w:color w:val="0D0D0D" w:themeColor="text1" w:themeTint="F2"/>
        </w:rPr>
      </w:pPr>
      <w:r>
        <w:t xml:space="preserve">b) </w:t>
      </w:r>
      <w:r w:rsidRPr="00773386">
        <w:t>no período entre a data do efetivo recebimento dos recursos e o último dia útil do mês subsequente a tal recebimento, nos casos em que não ocorra o reinvestimento dos recursos em ativos previstos no art. 5º deste Anexo Normativo IV; ou</w:t>
      </w:r>
    </w:p>
    <w:p w14:paraId="40FDAF98" w14:textId="77777777" w:rsidR="00D30681" w:rsidRPr="00B47EA2" w:rsidRDefault="00D30681" w:rsidP="00D30681">
      <w:pPr>
        <w:pStyle w:val="NormaAlterada"/>
      </w:pPr>
      <w:bookmarkStart w:id="980" w:name="_DV_C15"/>
      <w:r>
        <w:t xml:space="preserve">c) </w:t>
      </w:r>
      <w:r w:rsidRPr="00773386">
        <w:t>enquanto vinculados a garantias dadas ao comprador do ativo desinvestido</w:t>
      </w:r>
      <w:bookmarkEnd w:id="980"/>
      <w:r w:rsidRPr="00773386">
        <w:t>.</w:t>
      </w:r>
    </w:p>
    <w:p w14:paraId="5F462106" w14:textId="77777777" w:rsidR="00D30681" w:rsidRPr="00E50B4B" w:rsidRDefault="00D30681" w:rsidP="00D30681">
      <w:pPr>
        <w:pStyle w:val="NormaAlterada"/>
      </w:pPr>
      <w:bookmarkStart w:id="981" w:name="_DV_C18"/>
      <w:r w:rsidRPr="00E50B4B">
        <w:t>III – a receber decorrentes da alienação a prazo dos ativos previstos no art. 5º deste Anexo Normativo IV; e</w:t>
      </w:r>
    </w:p>
    <w:p w14:paraId="206DD5F9" w14:textId="77777777" w:rsidR="00D30681" w:rsidRPr="00B47EA2" w:rsidRDefault="00D30681" w:rsidP="00D30681">
      <w:pPr>
        <w:pStyle w:val="NormaAlterada"/>
      </w:pPr>
      <w:r w:rsidRPr="75B1C058">
        <w:t xml:space="preserve">IV – </w:t>
      </w:r>
      <w:bookmarkStart w:id="982" w:name="_Int_PBVww4tL"/>
      <w:r w:rsidRPr="75B1C058">
        <w:t>aplicados</w:t>
      </w:r>
      <w:bookmarkEnd w:id="982"/>
      <w:r w:rsidRPr="75B1C058">
        <w:t xml:space="preserve"> em títulos públicos com o objetivo de constituição de garantia a contratos de financiamento de projetos de infraestrutura junto a instituições financeiras.</w:t>
      </w:r>
      <w:bookmarkEnd w:id="981"/>
    </w:p>
    <w:p w14:paraId="30B66F6D" w14:textId="77777777" w:rsidR="00D30681" w:rsidRPr="00D84285" w:rsidRDefault="00D30681" w:rsidP="00D30681">
      <w:pPr>
        <w:pStyle w:val="NormaAlterada"/>
      </w:pPr>
      <w:bookmarkStart w:id="983" w:name="_DV_C19"/>
      <w:r w:rsidRPr="75B1C058">
        <w:t>§ 5</w:t>
      </w:r>
      <w:bookmarkStart w:id="984" w:name="_Int_M5cRw288"/>
      <w:r w:rsidRPr="75B1C058">
        <w:t>º  Caso</w:t>
      </w:r>
      <w:bookmarkEnd w:id="984"/>
      <w:r w:rsidRPr="75B1C058">
        <w:t xml:space="preserve"> o desenquadramento ao limite estabelecido no </w:t>
      </w:r>
      <w:r w:rsidRPr="75B1C058">
        <w:rPr>
          <w:b/>
          <w:bCs/>
        </w:rPr>
        <w:t xml:space="preserve">caput </w:t>
      </w:r>
      <w:r w:rsidRPr="75B1C058">
        <w:t xml:space="preserve">perdure por período superior ao prazo de aplicação dos recursos, estabelecido conforme art. 9º, inciso I, deste Anexo Normativo IV, o gestor deve, em até 10 (dez) dias úteis contados do término do prazo para aplicação dos recursos: </w:t>
      </w:r>
      <w:bookmarkEnd w:id="983"/>
    </w:p>
    <w:p w14:paraId="61DD6464" w14:textId="77777777" w:rsidR="00D30681" w:rsidRPr="00D84285" w:rsidRDefault="00D30681" w:rsidP="00D30681">
      <w:pPr>
        <w:pStyle w:val="NormaAlterada"/>
      </w:pPr>
      <w:bookmarkStart w:id="985" w:name="_DV_C20"/>
      <w:r w:rsidRPr="75B1C058">
        <w:t xml:space="preserve">I – </w:t>
      </w:r>
      <w:bookmarkStart w:id="986" w:name="_Int_Eq9onpWQ"/>
      <w:r w:rsidRPr="75B1C058">
        <w:t>reenquadrar</w:t>
      </w:r>
      <w:bookmarkEnd w:id="986"/>
      <w:r w:rsidRPr="75B1C058">
        <w:t xml:space="preserve"> a carteira; ou </w:t>
      </w:r>
      <w:bookmarkEnd w:id="985"/>
    </w:p>
    <w:p w14:paraId="05612839" w14:textId="77777777" w:rsidR="00D30681" w:rsidRPr="00B47EA2" w:rsidRDefault="00D30681" w:rsidP="00D30681">
      <w:pPr>
        <w:pStyle w:val="NormaAlterada"/>
      </w:pPr>
      <w:bookmarkStart w:id="987" w:name="_DV_C21"/>
      <w:r w:rsidRPr="75B1C058">
        <w:lastRenderedPageBreak/>
        <w:t xml:space="preserve">II – </w:t>
      </w:r>
      <w:bookmarkStart w:id="988" w:name="_Int_5VDcwj65"/>
      <w:r w:rsidRPr="75B1C058">
        <w:t>solicitar</w:t>
      </w:r>
      <w:bookmarkEnd w:id="988"/>
      <w:r w:rsidRPr="75B1C058">
        <w:t xml:space="preserve"> ao administrador a devolução dos valores que ultrapassem o limite estabelecido aos cotistas que tiverem integralizado a última chamada de capital, sem qualquer rendimento, na proporção por eles integralizada.</w:t>
      </w:r>
      <w:bookmarkEnd w:id="987"/>
    </w:p>
    <w:p w14:paraId="7B50C8A7" w14:textId="77777777" w:rsidR="00D30681" w:rsidRPr="00C96837" w:rsidRDefault="00D30681" w:rsidP="00D30681">
      <w:pPr>
        <w:pStyle w:val="NormaAlterada"/>
        <w:rPr>
          <w:bCs/>
        </w:rPr>
      </w:pPr>
      <w:r w:rsidRPr="00C96837">
        <w:t>Art. 12.  A classe de cotas pode investir até 33% (trinta e três por cento) de seu capital subscrito em ativos no exterior, desde que tais ativos possuam a mesma natureza econômica dos ativos referidos no art. 5º deste Anexo Normativo IV.</w:t>
      </w:r>
    </w:p>
    <w:p w14:paraId="652EA67A" w14:textId="77777777" w:rsidR="00D30681" w:rsidRPr="00B47EA2" w:rsidRDefault="00D30681" w:rsidP="00D30681">
      <w:pPr>
        <w:pStyle w:val="NormaAlterada"/>
      </w:pPr>
      <w:r w:rsidRPr="75B1C058">
        <w:t>§ 1</w:t>
      </w:r>
      <w:bookmarkStart w:id="989" w:name="_Int_75O5UPzr"/>
      <w:r w:rsidRPr="75B1C058">
        <w:t>º  Para</w:t>
      </w:r>
      <w:bookmarkEnd w:id="989"/>
      <w:r w:rsidRPr="75B1C058">
        <w:t xml:space="preserve"> fins deste Anexo Normativo IV, considera-se ativo no exterior quando o emissor tiver:</w:t>
      </w:r>
    </w:p>
    <w:p w14:paraId="49B5813E" w14:textId="77777777" w:rsidR="00D30681" w:rsidRPr="00B47EA2" w:rsidRDefault="00D30681" w:rsidP="00D30681">
      <w:pPr>
        <w:pStyle w:val="NormaAlterada"/>
      </w:pPr>
      <w:r w:rsidRPr="75B1C058">
        <w:t xml:space="preserve">I – </w:t>
      </w:r>
      <w:bookmarkStart w:id="990" w:name="_Int_1TULmYHz"/>
      <w:r w:rsidRPr="75B1C058">
        <w:t>sede</w:t>
      </w:r>
      <w:bookmarkEnd w:id="990"/>
      <w:r w:rsidRPr="75B1C058">
        <w:t xml:space="preserve"> no exterior; ou</w:t>
      </w:r>
    </w:p>
    <w:p w14:paraId="532C0914" w14:textId="77777777" w:rsidR="00D30681" w:rsidRPr="00B47EA2" w:rsidRDefault="00D30681" w:rsidP="00D30681">
      <w:pPr>
        <w:pStyle w:val="NormaAlterada"/>
      </w:pPr>
      <w:r w:rsidRPr="75B1C058">
        <w:t xml:space="preserve">II – </w:t>
      </w:r>
      <w:bookmarkStart w:id="991" w:name="_Int_ZtZWuPOW"/>
      <w:r w:rsidRPr="75B1C058">
        <w:t>sede</w:t>
      </w:r>
      <w:bookmarkEnd w:id="991"/>
      <w:r w:rsidRPr="75B1C058">
        <w:t xml:space="preserve"> no Brasil e ativos localizados no exterior que correspondam a 50% (cinquenta por cento) ou mais daqueles constantes das suas demonstrações contábeis.</w:t>
      </w:r>
    </w:p>
    <w:p w14:paraId="5B653123" w14:textId="77777777" w:rsidR="00D30681" w:rsidRPr="00B47EA2" w:rsidRDefault="00D30681" w:rsidP="00D30681">
      <w:pPr>
        <w:pStyle w:val="NormaAlterada"/>
      </w:pPr>
      <w:r w:rsidRPr="75B1C058">
        <w:t>§ 2</w:t>
      </w:r>
      <w:bookmarkStart w:id="992" w:name="_Int_yCPgLMMt"/>
      <w:r w:rsidRPr="75B1C058">
        <w:t>º  Para</w:t>
      </w:r>
      <w:bookmarkEnd w:id="992"/>
      <w:r w:rsidRPr="75B1C058">
        <w:t xml:space="preserve"> fins deste Anexo Normativo IV, não é considerado ativo no exterior aquele cujo emissor tiver sede no exterior e ativos localizados no Brasil ou receita bruta apurada no Brasil que correspondam a 90% (noventa por cento) ou mais daqueles ou daquela constantes das suas demonstrações contábeis.</w:t>
      </w:r>
    </w:p>
    <w:p w14:paraId="541AE2A1" w14:textId="77777777" w:rsidR="00D30681" w:rsidRPr="00B47EA2" w:rsidRDefault="00D30681" w:rsidP="00D30681">
      <w:pPr>
        <w:pStyle w:val="NormaAlterada"/>
      </w:pPr>
      <w:r w:rsidRPr="75B1C058">
        <w:t>§ 3</w:t>
      </w:r>
      <w:bookmarkStart w:id="993" w:name="_Int_Ubi80LFZ"/>
      <w:r w:rsidRPr="75B1C058">
        <w:t>º  Para</w:t>
      </w:r>
      <w:bookmarkEnd w:id="993"/>
      <w:r w:rsidRPr="75B1C058">
        <w:t xml:space="preserve"> efeitos do disposto nos §§ 1º e 2º, devem ser consideradas as demonstrações contábeis individuais, separadas ou consolidadas, prevalecendo a que melhor representar a essência econômica dos negócios para fins da referida classificação.</w:t>
      </w:r>
    </w:p>
    <w:p w14:paraId="26752F4E" w14:textId="77777777" w:rsidR="00D30681" w:rsidRPr="00C96837" w:rsidRDefault="00D30681" w:rsidP="00D30681">
      <w:pPr>
        <w:pStyle w:val="NormaAlterada"/>
      </w:pPr>
      <w:r w:rsidRPr="00C96837">
        <w:t>§ 4</w:t>
      </w:r>
      <w:bookmarkStart w:id="994" w:name="_Int_DsXsspHs"/>
      <w:r w:rsidRPr="00C96837">
        <w:t>º  A</w:t>
      </w:r>
      <w:bookmarkEnd w:id="994"/>
      <w:r w:rsidRPr="00C96837">
        <w:t xml:space="preserve"> verificação quanto às condições dispostas nos §§ 1º e 2º deve ser realizada no momento do investimento em ativos do emissor.</w:t>
      </w:r>
    </w:p>
    <w:p w14:paraId="78A47DA1" w14:textId="77777777" w:rsidR="00D30681" w:rsidRPr="00B47EA2" w:rsidRDefault="00D30681" w:rsidP="00D30681">
      <w:pPr>
        <w:pStyle w:val="NormaAlterada"/>
        <w:rPr>
          <w:sz w:val="22"/>
          <w:szCs w:val="22"/>
        </w:rPr>
      </w:pPr>
      <w:r w:rsidRPr="75B1C058">
        <w:t>§ 5</w:t>
      </w:r>
      <w:bookmarkStart w:id="995" w:name="_Int_Vd93uc1v"/>
      <w:r w:rsidRPr="75B1C058">
        <w:t>º  Os</w:t>
      </w:r>
      <w:bookmarkEnd w:id="995"/>
      <w:r w:rsidRPr="75B1C058">
        <w:t xml:space="preserve"> investimentos referidos no </w:t>
      </w:r>
      <w:r w:rsidRPr="75B1C058">
        <w:rPr>
          <w:b/>
        </w:rPr>
        <w:t xml:space="preserve">caput </w:t>
      </w:r>
      <w:r w:rsidRPr="75B1C058">
        <w:t>podem ser realizados de forma indireta, por meio de outros fundos ou sociedades de investimento no exterior, independentemente de sua forma ou natureza jurídica.</w:t>
      </w:r>
    </w:p>
    <w:p w14:paraId="59746F77" w14:textId="77777777" w:rsidR="00D30681" w:rsidRPr="00B47EA2" w:rsidRDefault="00D30681" w:rsidP="00D30681">
      <w:pPr>
        <w:pStyle w:val="NormaAlterada"/>
      </w:pPr>
      <w:r w:rsidRPr="75B1C058">
        <w:t>§ 6</w:t>
      </w:r>
      <w:bookmarkStart w:id="996" w:name="_Int_RqPy1Zut"/>
      <w:r w:rsidRPr="75B1C058">
        <w:t>º  A</w:t>
      </w:r>
      <w:bookmarkEnd w:id="996"/>
      <w:r w:rsidRPr="75B1C058">
        <w:t xml:space="preserve"> participação da classe no processo decisório da investida no exterior, com a efetiva influência na definição de sua política estratégica e na sua gestão, deve ser assegurada pelo gestor do FIP no Brasil e pode ocorrer por meio do administrador ou gestor do veículo intermediário utilizado para o investimento no exterior.</w:t>
      </w:r>
    </w:p>
    <w:p w14:paraId="62E50A4F" w14:textId="77777777" w:rsidR="00D30681" w:rsidRPr="00B47EA2" w:rsidRDefault="00D30681" w:rsidP="00D30681">
      <w:pPr>
        <w:pStyle w:val="NormaAlterada"/>
      </w:pPr>
      <w:r w:rsidRPr="75B1C058">
        <w:t>§ 7</w:t>
      </w:r>
      <w:bookmarkStart w:id="997" w:name="_Int_IxaRXQj7"/>
      <w:r w:rsidRPr="75B1C058">
        <w:t>º  Os</w:t>
      </w:r>
      <w:bookmarkEnd w:id="997"/>
      <w:r w:rsidRPr="75B1C058">
        <w:t xml:space="preserve"> requisitos mínimos de governança corporativa previstos no art. 8º deste Anexo Normativo IV devem ser cumpridos pelas investidas no exterior, ressalvadas as adaptações necessárias decorrentes da regulamentação da jurisdição onde se localiza o investimento.</w:t>
      </w:r>
    </w:p>
    <w:p w14:paraId="07C96FFD" w14:textId="77777777" w:rsidR="00D30681" w:rsidRPr="00A24992" w:rsidRDefault="00D30681" w:rsidP="00D30681">
      <w:pPr>
        <w:pStyle w:val="Captulo"/>
      </w:pPr>
      <w:bookmarkStart w:id="998" w:name="_Toc161141351"/>
      <w:r w:rsidRPr="00373DA7">
        <w:lastRenderedPageBreak/>
        <w:t xml:space="preserve">CAPÍTULO </w:t>
      </w:r>
      <w:r w:rsidRPr="00A24992">
        <w:t>V</w:t>
      </w:r>
      <w:r w:rsidRPr="00373DA7">
        <w:t xml:space="preserve"> – CLASSIFICAÇÃO</w:t>
      </w:r>
      <w:bookmarkEnd w:id="998"/>
    </w:p>
    <w:p w14:paraId="55D9F6FB" w14:textId="77777777" w:rsidR="00D30681" w:rsidRPr="00A24992" w:rsidRDefault="00D30681" w:rsidP="00D30681">
      <w:pPr>
        <w:pStyle w:val="Seo"/>
      </w:pPr>
      <w:bookmarkStart w:id="999" w:name="_Toc161141352"/>
      <w:r>
        <w:t>S</w:t>
      </w:r>
      <w:r w:rsidRPr="00373DA7">
        <w:t>eção I – Disposições Gerais</w:t>
      </w:r>
      <w:bookmarkEnd w:id="999"/>
    </w:p>
    <w:p w14:paraId="25E4CC42" w14:textId="77777777" w:rsidR="00D30681" w:rsidRPr="00B47EA2" w:rsidRDefault="00D30681" w:rsidP="00D30681">
      <w:pPr>
        <w:pStyle w:val="NormaAlterada"/>
      </w:pPr>
      <w:r w:rsidRPr="00B47EA2">
        <w:t xml:space="preserve">Art. 13.  </w:t>
      </w:r>
      <w:r w:rsidRPr="325D4C69">
        <w:t>Q</w:t>
      </w:r>
      <w:r w:rsidRPr="00373DA7">
        <w:t>uanto</w:t>
      </w:r>
      <w:r w:rsidRPr="00B47EA2">
        <w:t xml:space="preserve"> à composição de </w:t>
      </w:r>
      <w:r w:rsidRPr="00373DA7">
        <w:t xml:space="preserve">sua carteira, </w:t>
      </w:r>
      <w:r w:rsidRPr="325D4C69">
        <w:t>cada classe de cotas do FIP deve</w:t>
      </w:r>
      <w:r>
        <w:t xml:space="preserve"> configurar</w:t>
      </w:r>
      <w:r w:rsidRPr="325D4C69">
        <w:t xml:space="preserve"> um </w:t>
      </w:r>
      <w:r w:rsidRPr="00373DA7">
        <w:t xml:space="preserve">dentre </w:t>
      </w:r>
      <w:r w:rsidRPr="325D4C69">
        <w:t>os</w:t>
      </w:r>
      <w:r w:rsidRPr="00373DA7">
        <w:t xml:space="preserve"> seguintes </w:t>
      </w:r>
      <w:r w:rsidRPr="325D4C69">
        <w:t>tipos</w:t>
      </w:r>
      <w:r w:rsidRPr="00B47EA2">
        <w:t>:</w:t>
      </w:r>
    </w:p>
    <w:p w14:paraId="557CC7FB" w14:textId="77777777" w:rsidR="00D30681" w:rsidRPr="00B47EA2" w:rsidRDefault="00D30681" w:rsidP="00D30681">
      <w:pPr>
        <w:pStyle w:val="NormaAlterada"/>
      </w:pPr>
      <w:r w:rsidRPr="00B47EA2">
        <w:t>I – Capital Semente;</w:t>
      </w:r>
    </w:p>
    <w:p w14:paraId="2F10D761" w14:textId="77777777" w:rsidR="00D30681" w:rsidRPr="00B47EA2" w:rsidRDefault="00D30681" w:rsidP="00D30681">
      <w:pPr>
        <w:pStyle w:val="NormaAlterada"/>
      </w:pPr>
      <w:r w:rsidRPr="00B47EA2">
        <w:t>II – Empresas Emergentes;</w:t>
      </w:r>
    </w:p>
    <w:p w14:paraId="34236CFF" w14:textId="77777777" w:rsidR="00D30681" w:rsidRPr="00B47EA2" w:rsidRDefault="00D30681" w:rsidP="00D30681">
      <w:pPr>
        <w:pStyle w:val="NormaAlterada"/>
      </w:pPr>
      <w:r w:rsidRPr="00B47EA2">
        <w:t>III – Infraestrutura</w:t>
      </w:r>
      <w:r w:rsidRPr="00373DA7">
        <w:t>;</w:t>
      </w:r>
    </w:p>
    <w:p w14:paraId="4E19346C" w14:textId="77777777" w:rsidR="00D30681" w:rsidRPr="00B47EA2" w:rsidRDefault="00D30681" w:rsidP="00D30681">
      <w:pPr>
        <w:pStyle w:val="NormaAlterada"/>
      </w:pPr>
      <w:r w:rsidRPr="00B47EA2">
        <w:t xml:space="preserve">IV – Produção Econômica Intensiva em Pesquisa, Desenvolvimento e Inovação (PD&amp;I); </w:t>
      </w:r>
      <w:r w:rsidRPr="00E36CF0">
        <w:t>ou</w:t>
      </w:r>
    </w:p>
    <w:p w14:paraId="37FCFF82" w14:textId="77777777" w:rsidR="00D30681" w:rsidRPr="00B47EA2" w:rsidRDefault="00D30681" w:rsidP="00D30681">
      <w:pPr>
        <w:pStyle w:val="NormaAlterada"/>
      </w:pPr>
      <w:r w:rsidRPr="00B47EA2">
        <w:t>V – Multiestratégia.</w:t>
      </w:r>
    </w:p>
    <w:p w14:paraId="7FE2E3C2" w14:textId="77777777" w:rsidR="00D30681" w:rsidRPr="00B47EA2" w:rsidRDefault="00D30681" w:rsidP="00D30681">
      <w:pPr>
        <w:pStyle w:val="NormaAlterada"/>
      </w:pPr>
      <w:r w:rsidRPr="00B47EA2">
        <w:t xml:space="preserve">Parágrafo único.  </w:t>
      </w:r>
      <w:r w:rsidRPr="3C1B1607">
        <w:t>As classes destinadas</w:t>
      </w:r>
      <w:r w:rsidRPr="00B47EA2">
        <w:t xml:space="preserve"> à aplicação em empresas cuja atividade principal seja a inovação, nos termos </w:t>
      </w:r>
      <w:r w:rsidRPr="00373DA7">
        <w:t>da</w:t>
      </w:r>
      <w:r w:rsidRPr="00B47EA2">
        <w:t xml:space="preserve"> Lei nº 10.973, de </w:t>
      </w:r>
      <w:r>
        <w:t xml:space="preserve">2 de dezembro de </w:t>
      </w:r>
      <w:r w:rsidRPr="00B47EA2">
        <w:t>2004, devem conter, em sua denominação, a expressão “Inovação”.</w:t>
      </w:r>
    </w:p>
    <w:p w14:paraId="3E4878E5" w14:textId="77777777" w:rsidR="00D30681" w:rsidRPr="00A24992" w:rsidRDefault="00D30681" w:rsidP="00D30681">
      <w:pPr>
        <w:pStyle w:val="Seo"/>
      </w:pPr>
      <w:bookmarkStart w:id="1000" w:name="_Toc161141353"/>
      <w:r w:rsidRPr="00373DA7">
        <w:t>Seção II – Capital Semente</w:t>
      </w:r>
      <w:bookmarkEnd w:id="1000"/>
    </w:p>
    <w:p w14:paraId="7D52C6EC" w14:textId="77777777" w:rsidR="00D30681" w:rsidRPr="00C96837" w:rsidRDefault="00D30681" w:rsidP="00D30681">
      <w:pPr>
        <w:pStyle w:val="NormaAlterada"/>
      </w:pPr>
      <w:r w:rsidRPr="00B47EA2">
        <w:t xml:space="preserve">Art. </w:t>
      </w:r>
      <w:r w:rsidRPr="00C96837">
        <w:t>14</w:t>
      </w:r>
      <w:r w:rsidRPr="00B47EA2">
        <w:t xml:space="preserve">.  As sociedades investidas </w:t>
      </w:r>
      <w:r w:rsidRPr="00C96837">
        <w:t>pela classe do tipo “</w:t>
      </w:r>
      <w:r w:rsidRPr="00B47EA2">
        <w:t>Capital Semente</w:t>
      </w:r>
      <w:r w:rsidRPr="00C96837">
        <w:t>”:</w:t>
      </w:r>
    </w:p>
    <w:p w14:paraId="6BA654DA" w14:textId="77777777" w:rsidR="00D30681" w:rsidRPr="00C96837" w:rsidRDefault="00D30681" w:rsidP="00D30681">
      <w:pPr>
        <w:pStyle w:val="NormaAlterada"/>
      </w:pPr>
      <w:r w:rsidRPr="00C96837">
        <w:t xml:space="preserve">I – </w:t>
      </w:r>
      <w:bookmarkStart w:id="1001" w:name="_Int_Wa0CRX10"/>
      <w:r w:rsidRPr="00C96837">
        <w:t>devem</w:t>
      </w:r>
      <w:bookmarkEnd w:id="1001"/>
      <w:r w:rsidRPr="00C96837">
        <w:t xml:space="preserve"> ter receita bruta anual de até R$ 20.000.000,00 (vinte milhões de reais), apurada no exercício social encerrado em ano anterior ao primeiro aporte da classe, sem que tenha apresentado receita superior a esse limite nos últimos 3 (três) exercícios sociais; e</w:t>
      </w:r>
    </w:p>
    <w:p w14:paraId="6712189E" w14:textId="77777777" w:rsidR="00D30681" w:rsidRPr="00C96837" w:rsidRDefault="00D30681" w:rsidP="00D30681">
      <w:pPr>
        <w:pStyle w:val="NormaAlterada"/>
      </w:pPr>
      <w:r w:rsidRPr="00C96837">
        <w:t>II – estão dispensadas de seguir as práticas de governança previstas no art. 8º deste Anexo Normativo IV.</w:t>
      </w:r>
    </w:p>
    <w:p w14:paraId="3C47551E" w14:textId="77777777" w:rsidR="00D30681" w:rsidRPr="00B47EA2" w:rsidRDefault="00D30681" w:rsidP="00D30681">
      <w:pPr>
        <w:pStyle w:val="NormaAlterada"/>
      </w:pPr>
      <w:r w:rsidRPr="75B1C058">
        <w:t>§ 1</w:t>
      </w:r>
      <w:bookmarkStart w:id="1002" w:name="_Int_QxjTxAMJ"/>
      <w:r w:rsidRPr="75B1C058">
        <w:t>º  Nos</w:t>
      </w:r>
      <w:bookmarkEnd w:id="1002"/>
      <w:r w:rsidRPr="75B1C058">
        <w:t xml:space="preserve"> casos em que, após a realização do investimento, a receita bruta anual da sociedade investida exceda ao limite referido no inciso I, a investida deve, em até 2 (dois</w:t>
      </w:r>
      <w:r>
        <w:t>)</w:t>
      </w:r>
      <w:r w:rsidRPr="75B1C058">
        <w:t xml:space="preserve"> anos contados a partir da data de encerramento do exercício social em que apresente receita bruta anual superior ao referido limite:</w:t>
      </w:r>
    </w:p>
    <w:p w14:paraId="17993312" w14:textId="77777777" w:rsidR="00D30681" w:rsidRPr="00B47EA2" w:rsidRDefault="00D30681" w:rsidP="00D30681">
      <w:pPr>
        <w:pStyle w:val="NormaAlterada"/>
      </w:pPr>
      <w:r w:rsidRPr="75B1C058">
        <w:t xml:space="preserve">I – </w:t>
      </w:r>
      <w:bookmarkStart w:id="1003" w:name="_Int_NW9KIg7z"/>
      <w:r w:rsidRPr="75B1C058">
        <w:t>atender</w:t>
      </w:r>
      <w:bookmarkEnd w:id="1003"/>
      <w:r w:rsidRPr="75B1C058">
        <w:t xml:space="preserve"> ao disposto no art. 8º, incisos III, V e VI, deste Anexo Normativo IV enquanto a sua receita bruta anual não exceder a R$ 400.000.000,00 (quatrocentos milhões de reais); ou</w:t>
      </w:r>
    </w:p>
    <w:p w14:paraId="6B4904D7" w14:textId="77777777" w:rsidR="00D30681" w:rsidRPr="00B47EA2" w:rsidRDefault="00D30681" w:rsidP="00D30681">
      <w:pPr>
        <w:pStyle w:val="NormaAlterada"/>
      </w:pPr>
      <w:r w:rsidRPr="75B1C058">
        <w:lastRenderedPageBreak/>
        <w:t xml:space="preserve">II – </w:t>
      </w:r>
      <w:bookmarkStart w:id="1004" w:name="_Int_s3XE8hf7"/>
      <w:r w:rsidRPr="75B1C058">
        <w:t>atender</w:t>
      </w:r>
      <w:bookmarkEnd w:id="1004"/>
      <w:r w:rsidRPr="75B1C058">
        <w:t xml:space="preserve"> integralmente ao art. 8º deste Anexo Normativo IV, caso a sua receita supere o montante referido no inciso I.</w:t>
      </w:r>
    </w:p>
    <w:p w14:paraId="6B4B9AFF" w14:textId="77777777" w:rsidR="00D30681" w:rsidRPr="00B47EA2" w:rsidRDefault="00D30681" w:rsidP="00D30681">
      <w:pPr>
        <w:pStyle w:val="NormaAlterada"/>
      </w:pPr>
      <w:r w:rsidRPr="75B1C058">
        <w:t>§ 2</w:t>
      </w:r>
      <w:bookmarkStart w:id="1005" w:name="_Int_uZsaa9GU"/>
      <w:r w:rsidRPr="75B1C058">
        <w:t>º  A</w:t>
      </w:r>
      <w:bookmarkEnd w:id="1005"/>
      <w:r w:rsidRPr="75B1C058">
        <w:t xml:space="preserve"> receita bruta anual referida no inciso I do </w:t>
      </w:r>
      <w:r w:rsidRPr="75B1C058">
        <w:rPr>
          <w:b/>
          <w:bCs/>
        </w:rPr>
        <w:t xml:space="preserve">caput </w:t>
      </w:r>
      <w:r w:rsidRPr="75B1C058">
        <w:t>e no inciso I do § 1º deve ser apurada com base nas demonstrações contábeis consolidadas do emissor.</w:t>
      </w:r>
    </w:p>
    <w:p w14:paraId="4E86223F" w14:textId="77777777" w:rsidR="00D30681" w:rsidRPr="00B47EA2" w:rsidRDefault="00D30681" w:rsidP="00D30681">
      <w:pPr>
        <w:pStyle w:val="NormaAlterada"/>
      </w:pPr>
      <w:r w:rsidRPr="75B1C058">
        <w:t>§ 3</w:t>
      </w:r>
      <w:bookmarkStart w:id="1006" w:name="_Int_vdSbfev2"/>
      <w:r w:rsidRPr="75B1C058">
        <w:t>º  As</w:t>
      </w:r>
      <w:bookmarkEnd w:id="1006"/>
      <w:r w:rsidRPr="75B1C058">
        <w:t xml:space="preserve"> </w:t>
      </w:r>
      <w:r>
        <w:t>sociedades investidas</w:t>
      </w:r>
      <w:r w:rsidRPr="75B1C058">
        <w:t xml:space="preserve"> referidas no </w:t>
      </w:r>
      <w:r w:rsidRPr="75B1C058">
        <w:rPr>
          <w:b/>
          <w:bCs/>
        </w:rPr>
        <w:t xml:space="preserve">caput </w:t>
      </w:r>
      <w:r w:rsidRPr="75B1C058">
        <w:t>não podem ser controladas, direta ou indiretamente, por sociedade ou grupo de sociedades, de fato ou de direito, que apresente superior a R$ 100.000.000,00 (cem milhões de reais) ou receita bruta anual superior a R$ 150.000.000,00 (cento e cinquenta milhões de reais) no encerramento do exercício social imediatamente anterior ao primeiro aporte da classe.</w:t>
      </w:r>
    </w:p>
    <w:p w14:paraId="0ADC9D3D" w14:textId="77777777" w:rsidR="00D30681" w:rsidRPr="00B47EA2" w:rsidRDefault="00D30681" w:rsidP="00D30681">
      <w:pPr>
        <w:pStyle w:val="NormaAlterada"/>
      </w:pPr>
      <w:r w:rsidRPr="75B1C058">
        <w:t>§ 4</w:t>
      </w:r>
      <w:bookmarkStart w:id="1007" w:name="_Int_86BRwh69"/>
      <w:r w:rsidRPr="75B1C058">
        <w:t>º  O</w:t>
      </w:r>
      <w:bookmarkEnd w:id="1007"/>
      <w:r w:rsidRPr="75B1C058">
        <w:t xml:space="preserve"> disposto no § 3º não se aplica quando a sociedade </w:t>
      </w:r>
      <w:r>
        <w:t xml:space="preserve">investida </w:t>
      </w:r>
      <w:r w:rsidRPr="75B1C058">
        <w:t xml:space="preserve">for controlada por </w:t>
      </w:r>
      <w:r>
        <w:t>outra classe de cotas de FIP</w:t>
      </w:r>
      <w:r w:rsidRPr="75B1C058">
        <w:t xml:space="preserve">, desde que as demonstrações contábeis </w:t>
      </w:r>
      <w:r>
        <w:t>dessa classe</w:t>
      </w:r>
      <w:r w:rsidRPr="75B1C058">
        <w:t xml:space="preserve"> não sejam consolidadas nas demonstrações contábeis de qualquer de seus cotistas, hipótese em que a sociedade investida se sujeitará às regras contidas no </w:t>
      </w:r>
      <w:r w:rsidRPr="009559A6">
        <w:t>§ 3º.</w:t>
      </w:r>
    </w:p>
    <w:p w14:paraId="4C88D22D" w14:textId="77777777" w:rsidR="00D30681" w:rsidRPr="00B47EA2" w:rsidRDefault="00D30681" w:rsidP="00D30681">
      <w:pPr>
        <w:pStyle w:val="NormaAlterada"/>
      </w:pPr>
      <w:r w:rsidRPr="75B1C058">
        <w:t>§ 5</w:t>
      </w:r>
      <w:bookmarkStart w:id="1008" w:name="_Int_ZzD4X7L2"/>
      <w:r w:rsidRPr="75B1C058">
        <w:t>º  Caso</w:t>
      </w:r>
      <w:bookmarkEnd w:id="1008"/>
      <w:r w:rsidRPr="75B1C058">
        <w:t xml:space="preserve"> a classe do tipo Capital Semente não seja qualificada como entidade de investimento, nos termos da regulamentação contábil específica, as sociedades por ele investidas devem ter suas demonstrações contábeis anuais auditadas por auditores independentes registrados na CVM, não se aplicando a dispensa do disposto no art. 8º, inciso VI, deste Anexo Normativo IV, conforme previsto no inciso II do </w:t>
      </w:r>
      <w:r w:rsidRPr="75B1C058">
        <w:rPr>
          <w:b/>
          <w:bCs/>
        </w:rPr>
        <w:t>caput</w:t>
      </w:r>
      <w:r w:rsidRPr="75B1C058">
        <w:t>.</w:t>
      </w:r>
    </w:p>
    <w:p w14:paraId="37F3D7D9" w14:textId="77777777" w:rsidR="00D30681" w:rsidRPr="00A24992" w:rsidRDefault="00D30681" w:rsidP="00D30681">
      <w:pPr>
        <w:pStyle w:val="Seo"/>
      </w:pPr>
      <w:bookmarkStart w:id="1009" w:name="_Toc161141354"/>
      <w:r w:rsidRPr="00373DA7">
        <w:t>Seção III – Empresas Emergentes</w:t>
      </w:r>
      <w:bookmarkEnd w:id="1009"/>
    </w:p>
    <w:p w14:paraId="20AC6EF5" w14:textId="77777777" w:rsidR="00D30681" w:rsidRPr="00B47EA2" w:rsidRDefault="00D30681" w:rsidP="00D30681">
      <w:pPr>
        <w:pStyle w:val="NormaAlterada"/>
      </w:pPr>
      <w:r w:rsidRPr="00B47EA2">
        <w:t xml:space="preserve">Art. </w:t>
      </w:r>
      <w:r w:rsidRPr="340735EA">
        <w:t>15</w:t>
      </w:r>
      <w:r w:rsidRPr="00B47EA2">
        <w:t xml:space="preserve">.  As </w:t>
      </w:r>
      <w:r>
        <w:t>sociedades</w:t>
      </w:r>
      <w:r w:rsidRPr="00B47EA2">
        <w:t xml:space="preserve"> investidas </w:t>
      </w:r>
      <w:r w:rsidRPr="340735EA">
        <w:t>pela classe</w:t>
      </w:r>
      <w:r w:rsidRPr="00373DA7">
        <w:t xml:space="preserve"> </w:t>
      </w:r>
      <w:r>
        <w:t>do tipo “</w:t>
      </w:r>
      <w:r w:rsidRPr="00B47EA2">
        <w:t>Empresas Emergentes</w:t>
      </w:r>
      <w:r>
        <w:t>”</w:t>
      </w:r>
      <w:r w:rsidRPr="00373DA7">
        <w:t>:</w:t>
      </w:r>
    </w:p>
    <w:p w14:paraId="12297FA7" w14:textId="77777777" w:rsidR="00D30681" w:rsidRPr="00B47EA2" w:rsidRDefault="00D30681" w:rsidP="00D30681">
      <w:pPr>
        <w:pStyle w:val="NormaAlterada"/>
      </w:pPr>
      <w:r w:rsidRPr="75B1C058">
        <w:t xml:space="preserve">I – </w:t>
      </w:r>
      <w:bookmarkStart w:id="1010" w:name="_Int_92msB6Bo"/>
      <w:r w:rsidRPr="75B1C058">
        <w:t>devem</w:t>
      </w:r>
      <w:bookmarkEnd w:id="1010"/>
      <w:r w:rsidRPr="75B1C058">
        <w:t xml:space="preserve"> ter receita bruta anual de até R$ 400.000.000,00 (quatrocentos milhões de reais), apurada no exercício social encerrado em ano anterior ao primeiro investimento, sem que tenha apresentado receita superior a esse limite nos últimos 3 (três) exercícios sociais; e</w:t>
      </w:r>
    </w:p>
    <w:p w14:paraId="5D12EA8E" w14:textId="77777777" w:rsidR="00D30681" w:rsidRPr="00B47EA2" w:rsidRDefault="00D30681" w:rsidP="00D30681">
      <w:pPr>
        <w:pStyle w:val="NormaAlterada"/>
      </w:pPr>
      <w:r w:rsidRPr="75B1C058">
        <w:t xml:space="preserve">II – </w:t>
      </w:r>
      <w:bookmarkStart w:id="1011" w:name="_Int_zc0EUVlj"/>
      <w:r w:rsidRPr="75B1C058">
        <w:t>estão</w:t>
      </w:r>
      <w:bookmarkEnd w:id="1011"/>
      <w:r w:rsidRPr="75B1C058">
        <w:t xml:space="preserve"> dispensadas de seguir as práticas de governança de que trata o art. 8º, incisos I, II e IV, deste Anexo Normativo IV.</w:t>
      </w:r>
    </w:p>
    <w:p w14:paraId="39BD2EF7" w14:textId="77777777" w:rsidR="00D30681" w:rsidRPr="00B47EA2" w:rsidRDefault="00D30681" w:rsidP="00D30681">
      <w:pPr>
        <w:pStyle w:val="NormaAlterada"/>
      </w:pPr>
      <w:r w:rsidRPr="75B1C058">
        <w:t>§ 1</w:t>
      </w:r>
      <w:bookmarkStart w:id="1012" w:name="_Int_MngP6ivR"/>
      <w:r w:rsidRPr="75B1C058">
        <w:t>º  Nos</w:t>
      </w:r>
      <w:bookmarkEnd w:id="1012"/>
      <w:r w:rsidRPr="75B1C058">
        <w:t xml:space="preserve"> casos em que, após a realização do investimento, a receita bruta anual da companhia investida exceda ao limite referido no inciso I do </w:t>
      </w:r>
      <w:r w:rsidRPr="75B1C058">
        <w:rPr>
          <w:b/>
          <w:bCs/>
        </w:rPr>
        <w:t>caput</w:t>
      </w:r>
      <w:r w:rsidRPr="75B1C058">
        <w:t xml:space="preserve">, a companhia investida deve atender às práticas de governança de que trata o art. 8º deste Anexo Normativo IV, no prazo de até 2 (dois) anos, contado a </w:t>
      </w:r>
      <w:r w:rsidRPr="75B1C058">
        <w:lastRenderedPageBreak/>
        <w:t>partir da data de encerramento do exercício social em que apresente receita bruta anual superior ao referido limite.</w:t>
      </w:r>
    </w:p>
    <w:p w14:paraId="29BF8A5B" w14:textId="77777777" w:rsidR="00D30681" w:rsidRPr="00B47EA2" w:rsidRDefault="00D30681" w:rsidP="00D30681">
      <w:pPr>
        <w:pStyle w:val="NormaAlterada"/>
      </w:pPr>
      <w:r w:rsidRPr="75B1C058">
        <w:t>§ 2</w:t>
      </w:r>
      <w:bookmarkStart w:id="1013" w:name="_Int_t9sQgn4r"/>
      <w:r w:rsidRPr="75B1C058">
        <w:t>º  A</w:t>
      </w:r>
      <w:bookmarkEnd w:id="1013"/>
      <w:r w:rsidRPr="75B1C058">
        <w:t xml:space="preserve"> receita bruta anual referida no inciso I do </w:t>
      </w:r>
      <w:r w:rsidRPr="75B1C058">
        <w:rPr>
          <w:b/>
          <w:bCs/>
        </w:rPr>
        <w:t>caput</w:t>
      </w:r>
      <w:r w:rsidRPr="75B1C058">
        <w:t xml:space="preserve"> deve ser apurada com base nas demonstrações contábeis consolidadas do emissor.</w:t>
      </w:r>
    </w:p>
    <w:p w14:paraId="342B899E" w14:textId="77777777" w:rsidR="00D30681" w:rsidRPr="00B47EA2" w:rsidRDefault="00D30681" w:rsidP="00D30681">
      <w:pPr>
        <w:pStyle w:val="NormaAlterada"/>
      </w:pPr>
      <w:r w:rsidRPr="75B1C058">
        <w:t>§ 3</w:t>
      </w:r>
      <w:bookmarkStart w:id="1014" w:name="_Int_ZYRvdcjr"/>
      <w:r w:rsidRPr="75B1C058">
        <w:t>º  As</w:t>
      </w:r>
      <w:bookmarkEnd w:id="1014"/>
      <w:r w:rsidRPr="75B1C058">
        <w:t xml:space="preserve"> </w:t>
      </w:r>
      <w:r>
        <w:t>sociedades investidas</w:t>
      </w:r>
      <w:r w:rsidRPr="75B1C058">
        <w:t xml:space="preserve"> não podem ser controladas, direta ou indiretamente, por sociedade ou grupo de sociedades, de fato ou de direito, que apresente ativo total superior a R$ 320.000.000,00 (trezentos e vinte milhões de reais) ou receita bruta anual superior a R$ 400.000.000,00 (quatrocentos milhões de reais), no encerramento do exercício social imediatamente anterior ao primeiro aporte da classe.</w:t>
      </w:r>
    </w:p>
    <w:p w14:paraId="054B53F5" w14:textId="77777777" w:rsidR="00D30681" w:rsidRPr="00B47EA2" w:rsidRDefault="00D30681" w:rsidP="00D30681">
      <w:pPr>
        <w:pStyle w:val="NormaAlterada"/>
      </w:pPr>
      <w:r w:rsidRPr="75B1C058">
        <w:t>§ 4</w:t>
      </w:r>
      <w:bookmarkStart w:id="1015" w:name="_Int_BZwP5XE0"/>
      <w:r w:rsidRPr="75B1C058">
        <w:t>º  O</w:t>
      </w:r>
      <w:bookmarkEnd w:id="1015"/>
      <w:r w:rsidRPr="75B1C058">
        <w:t xml:space="preserve"> disposto no § 3º não se aplica quando a co</w:t>
      </w:r>
      <w:r>
        <w:t>mpanhia for controlada por outra classe de cotas de</w:t>
      </w:r>
      <w:r w:rsidRPr="75B1C058">
        <w:t xml:space="preserve"> FIP, desde que as demonstrações contábeis </w:t>
      </w:r>
      <w:r>
        <w:t>dessa classe</w:t>
      </w:r>
      <w:r w:rsidRPr="75B1C058">
        <w:t xml:space="preserve"> não sejam consolidadas nas demonstrações contábeis de qualquer de seus cotistas, hipótese em que a sociedade investida se sujeitará as regras contidas no § 3º.</w:t>
      </w:r>
    </w:p>
    <w:p w14:paraId="35E0A483" w14:textId="77777777" w:rsidR="00D30681" w:rsidRPr="00A24992" w:rsidRDefault="00D30681" w:rsidP="00D30681">
      <w:pPr>
        <w:pStyle w:val="Seo"/>
      </w:pPr>
      <w:bookmarkStart w:id="1016" w:name="_Toc161141355"/>
      <w:r w:rsidRPr="00373DA7">
        <w:t>Seção IV – Infraestrutura e Produção Econômica Intensiva em Pesquisa, Desenvolvimento e Inovação</w:t>
      </w:r>
      <w:r w:rsidRPr="00A24992">
        <w:t xml:space="preserve"> (PD&amp;I)</w:t>
      </w:r>
      <w:bookmarkEnd w:id="1016"/>
    </w:p>
    <w:p w14:paraId="06140C83" w14:textId="77777777" w:rsidR="00D30681" w:rsidRPr="00B47EA2" w:rsidRDefault="00D30681" w:rsidP="00D30681">
      <w:pPr>
        <w:pStyle w:val="NormaAlterada"/>
      </w:pPr>
      <w:r w:rsidRPr="00B47EA2">
        <w:t xml:space="preserve">Art. </w:t>
      </w:r>
      <w:r w:rsidRPr="00373DA7">
        <w:t xml:space="preserve">16.  </w:t>
      </w:r>
      <w:r w:rsidRPr="2108FDC7">
        <w:t>As classes de cotas</w:t>
      </w:r>
      <w:r>
        <w:t xml:space="preserve"> dos tipos</w:t>
      </w:r>
      <w:r w:rsidRPr="2108FDC7">
        <w:t xml:space="preserve"> </w:t>
      </w:r>
      <w:r>
        <w:t>“</w:t>
      </w:r>
      <w:r w:rsidRPr="2108FDC7">
        <w:t>Infraestrutura</w:t>
      </w:r>
      <w:r>
        <w:t>”</w:t>
      </w:r>
      <w:r w:rsidRPr="00B47EA2">
        <w:t xml:space="preserve"> e </w:t>
      </w:r>
      <w:r>
        <w:t>“</w:t>
      </w:r>
      <w:r w:rsidRPr="00B47EA2">
        <w:t>PD&amp;I</w:t>
      </w:r>
      <w:r>
        <w:t>”</w:t>
      </w:r>
      <w:r w:rsidRPr="00B47EA2">
        <w:t xml:space="preserve"> devem manter seu patrimônio líquido investido em ações, bônus de subscrição, debêntures, conversíveis ou não em ações, ou outros títulos de emissão de sociedades anônimas, de capital aberto ou fechado, nos termos do art. 5º</w:t>
      </w:r>
      <w:r w:rsidRPr="000E5985">
        <w:t xml:space="preserve"> </w:t>
      </w:r>
      <w:r>
        <w:t>deste Anexo Normativo IV</w:t>
      </w:r>
      <w:r w:rsidRPr="00B47EA2">
        <w:t>, que desenvolvam, respectivamente, projetos de infraestrutura ou de produção econômica intensiva em pesquisa, desenvolvimento e inovação no território nacional, nos setores de:</w:t>
      </w:r>
    </w:p>
    <w:p w14:paraId="4A30A5AD" w14:textId="77777777" w:rsidR="00D30681" w:rsidRPr="00B47EA2" w:rsidRDefault="00D30681" w:rsidP="00D30681">
      <w:pPr>
        <w:pStyle w:val="NormaAlterada"/>
      </w:pPr>
      <w:r w:rsidRPr="75B1C058">
        <w:t xml:space="preserve">I – </w:t>
      </w:r>
      <w:bookmarkStart w:id="1017" w:name="_Int_ZEavs5qI"/>
      <w:r w:rsidRPr="75B1C058">
        <w:t>energia</w:t>
      </w:r>
      <w:bookmarkEnd w:id="1017"/>
      <w:r w:rsidRPr="75B1C058">
        <w:t>;</w:t>
      </w:r>
    </w:p>
    <w:p w14:paraId="4750BE81" w14:textId="77777777" w:rsidR="00D30681" w:rsidRPr="00B47EA2" w:rsidRDefault="00D30681" w:rsidP="00D30681">
      <w:pPr>
        <w:pStyle w:val="NormaAlterada"/>
      </w:pPr>
      <w:r w:rsidRPr="75B1C058">
        <w:t xml:space="preserve">II – </w:t>
      </w:r>
      <w:bookmarkStart w:id="1018" w:name="_Int_Ysxms8AG"/>
      <w:r w:rsidRPr="75B1C058">
        <w:t>transporte</w:t>
      </w:r>
      <w:bookmarkEnd w:id="1018"/>
      <w:r w:rsidRPr="75B1C058">
        <w:t>;</w:t>
      </w:r>
    </w:p>
    <w:p w14:paraId="7FA940D6" w14:textId="77777777" w:rsidR="00D30681" w:rsidRPr="00B47EA2" w:rsidRDefault="00D30681" w:rsidP="00D30681">
      <w:pPr>
        <w:pStyle w:val="NormaAlterada"/>
      </w:pPr>
      <w:r w:rsidRPr="75B1C058">
        <w:t>III – água e saneamento básico;</w:t>
      </w:r>
    </w:p>
    <w:p w14:paraId="1B295A1D" w14:textId="77777777" w:rsidR="00D30681" w:rsidRPr="00B47EA2" w:rsidRDefault="00D30681" w:rsidP="00D30681">
      <w:pPr>
        <w:pStyle w:val="NormaAlterada"/>
      </w:pPr>
      <w:r w:rsidRPr="75B1C058">
        <w:t xml:space="preserve">IV – </w:t>
      </w:r>
      <w:bookmarkStart w:id="1019" w:name="_Int_MpWNlhHw"/>
      <w:r w:rsidRPr="75B1C058">
        <w:t>irrigação</w:t>
      </w:r>
      <w:bookmarkEnd w:id="1019"/>
      <w:r w:rsidRPr="75B1C058">
        <w:t>; e</w:t>
      </w:r>
    </w:p>
    <w:p w14:paraId="1C72D47E" w14:textId="77777777" w:rsidR="00D30681" w:rsidRPr="00B47EA2" w:rsidRDefault="00D30681" w:rsidP="00D30681">
      <w:pPr>
        <w:pStyle w:val="NormaAlterada"/>
      </w:pPr>
      <w:r w:rsidRPr="75B1C058">
        <w:t xml:space="preserve">V – </w:t>
      </w:r>
      <w:bookmarkStart w:id="1020" w:name="_Int_ZPqF69cz"/>
      <w:r w:rsidRPr="75B1C058">
        <w:t>outras</w:t>
      </w:r>
      <w:bookmarkEnd w:id="1020"/>
      <w:r w:rsidRPr="75B1C058">
        <w:t xml:space="preserve"> áreas tidas como prioritárias pelo Poder Executivo Federal.</w:t>
      </w:r>
    </w:p>
    <w:p w14:paraId="7C4EA3F6" w14:textId="77777777" w:rsidR="00D30681" w:rsidRPr="00B47EA2" w:rsidRDefault="00D30681" w:rsidP="00D30681">
      <w:pPr>
        <w:pStyle w:val="NormaAlterada"/>
      </w:pPr>
      <w:r w:rsidRPr="75B1C058">
        <w:t>§ 1</w:t>
      </w:r>
      <w:bookmarkStart w:id="1021" w:name="_Int_PUrl8hk1"/>
      <w:r w:rsidRPr="75B1C058">
        <w:t>º  Para</w:t>
      </w:r>
      <w:bookmarkEnd w:id="1021"/>
      <w:r w:rsidRPr="75B1C058">
        <w:t xml:space="preserve"> efeito do disposto no </w:t>
      </w:r>
      <w:r w:rsidRPr="75B1C058">
        <w:rPr>
          <w:b/>
          <w:bCs/>
        </w:rPr>
        <w:t>caput</w:t>
      </w:r>
      <w:r w:rsidRPr="75B1C058">
        <w:t>, devem ser considerados os projetos implementados após 22 de janeiro de 2007.</w:t>
      </w:r>
    </w:p>
    <w:p w14:paraId="6FF50B6D" w14:textId="77777777" w:rsidR="00D30681" w:rsidRPr="00B47EA2" w:rsidRDefault="00D30681" w:rsidP="00D30681">
      <w:pPr>
        <w:pStyle w:val="NormaAlterada"/>
      </w:pPr>
      <w:r w:rsidRPr="75B1C058">
        <w:lastRenderedPageBreak/>
        <w:t>§ 2</w:t>
      </w:r>
      <w:bookmarkStart w:id="1022" w:name="_Int_2Le4Isv9"/>
      <w:r w:rsidRPr="75B1C058">
        <w:t>º  São</w:t>
      </w:r>
      <w:bookmarkEnd w:id="1022"/>
      <w:r w:rsidRPr="75B1C058">
        <w:t xml:space="preserve"> também considerados projetos para os efeitos do </w:t>
      </w:r>
      <w:r w:rsidRPr="75B1C058">
        <w:rPr>
          <w:b/>
          <w:bCs/>
        </w:rPr>
        <w:t>caput</w:t>
      </w:r>
      <w:r w:rsidRPr="75B1C058">
        <w:t>:</w:t>
      </w:r>
    </w:p>
    <w:p w14:paraId="26C44691" w14:textId="77777777" w:rsidR="00D30681" w:rsidRPr="00B47EA2" w:rsidRDefault="00D30681" w:rsidP="00D30681">
      <w:pPr>
        <w:pStyle w:val="NormaAlterada"/>
      </w:pPr>
      <w:r w:rsidRPr="75B1C058">
        <w:t xml:space="preserve">I – </w:t>
      </w:r>
      <w:bookmarkStart w:id="1023" w:name="_Int_zqjy7J7v"/>
      <w:r w:rsidRPr="75B1C058">
        <w:t>os</w:t>
      </w:r>
      <w:bookmarkEnd w:id="1023"/>
      <w:r w:rsidRPr="75B1C058">
        <w:t xml:space="preserve"> projetos de produção econômica intensiva em pesquisa, desenvolvimento e inovação implementados a partir da vigência da Lei nº 12.431, de </w:t>
      </w:r>
      <w:r>
        <w:t xml:space="preserve">24 de junho de </w:t>
      </w:r>
      <w:r w:rsidRPr="75B1C058">
        <w:t xml:space="preserve">2011, por sociedades específicas criadas para tal fim e que atendam à regulamentação do Ministério </w:t>
      </w:r>
      <w:r>
        <w:t>competente</w:t>
      </w:r>
      <w:r w:rsidRPr="75B1C058">
        <w:t>; e</w:t>
      </w:r>
    </w:p>
    <w:p w14:paraId="52D3E6CA" w14:textId="77777777" w:rsidR="00D30681" w:rsidRPr="00B47EA2" w:rsidRDefault="00D30681" w:rsidP="00D30681">
      <w:pPr>
        <w:pStyle w:val="NormaAlterada"/>
      </w:pPr>
      <w:r w:rsidRPr="75B1C058">
        <w:t xml:space="preserve">II – </w:t>
      </w:r>
      <w:bookmarkStart w:id="1024" w:name="_Int_Y9SXzJUa"/>
      <w:r w:rsidRPr="75B1C058">
        <w:t>as</w:t>
      </w:r>
      <w:bookmarkEnd w:id="1024"/>
      <w:r w:rsidRPr="75B1C058">
        <w:t xml:space="preserve"> expansões de projetos já existentes, implantados ou em processo de implantação, desde que os investimentos e os resultados da expansão sejam segregados mediante a constituição de sociedade de propósito específico.</w:t>
      </w:r>
    </w:p>
    <w:p w14:paraId="2649C37A" w14:textId="77777777" w:rsidR="00D30681" w:rsidRPr="00B47EA2" w:rsidRDefault="00D30681" w:rsidP="00D30681">
      <w:pPr>
        <w:pStyle w:val="NormaAlterada"/>
      </w:pPr>
      <w:r w:rsidRPr="75B1C058">
        <w:t>§ 3</w:t>
      </w:r>
      <w:bookmarkStart w:id="1025" w:name="_Int_dsiaXGXM"/>
      <w:r w:rsidRPr="75B1C058">
        <w:t>º  As</w:t>
      </w:r>
      <w:bookmarkEnd w:id="1025"/>
      <w:r w:rsidRPr="75B1C058">
        <w:t xml:space="preserve"> classes de cotas Infraestrutura e PD&amp;I têm o prazo de 180 (cento e oitenta) dias, contados da data da primeira integralização de cotas, para iniciar suas atividades e para enquadrar-se no nível mínimo de investimento estabelecido no art. 11 deste Anexo Normativo IV, observado, ainda, o disposto no </w:t>
      </w:r>
      <w:r w:rsidRPr="75B1C058">
        <w:rPr>
          <w:b/>
          <w:bCs/>
        </w:rPr>
        <w:t>caput</w:t>
      </w:r>
      <w:r w:rsidRPr="75B1C058">
        <w:t>.</w:t>
      </w:r>
    </w:p>
    <w:p w14:paraId="76DCEEF7" w14:textId="77777777" w:rsidR="00D30681" w:rsidRPr="00B47EA2" w:rsidRDefault="00D30681" w:rsidP="00D30681">
      <w:pPr>
        <w:pStyle w:val="NormaAlterada"/>
      </w:pPr>
      <w:r w:rsidRPr="75B1C058">
        <w:t>§ 4</w:t>
      </w:r>
      <w:bookmarkStart w:id="1026" w:name="_Int_IRzIsg4Z"/>
      <w:r w:rsidRPr="75B1C058">
        <w:t>º  O</w:t>
      </w:r>
      <w:bookmarkEnd w:id="1026"/>
      <w:r w:rsidRPr="75B1C058">
        <w:t xml:space="preserve"> prazo previsto no § 3º também se aplica para a reversão de eventual desenquadramento decorrente do encerramento de projeto </w:t>
      </w:r>
      <w:r w:rsidRPr="00281706">
        <w:t>que</w:t>
      </w:r>
      <w:r w:rsidRPr="75B1C058">
        <w:t xml:space="preserve"> tenha</w:t>
      </w:r>
      <w:r w:rsidRPr="00281706">
        <w:t xml:space="preserve"> </w:t>
      </w:r>
      <w:r w:rsidRPr="009559A6">
        <w:t>sido</w:t>
      </w:r>
      <w:r w:rsidRPr="75B1C058">
        <w:t xml:space="preserve"> investido.</w:t>
      </w:r>
    </w:p>
    <w:p w14:paraId="14C87D28" w14:textId="77777777" w:rsidR="00D30681" w:rsidRPr="00B47EA2" w:rsidRDefault="00D30681" w:rsidP="00D30681">
      <w:pPr>
        <w:pStyle w:val="NormaAlterada"/>
      </w:pPr>
      <w:r w:rsidRPr="75B1C058">
        <w:t>§ 5</w:t>
      </w:r>
      <w:bookmarkStart w:id="1027" w:name="_Int_tiUw54tS"/>
      <w:r w:rsidRPr="75B1C058">
        <w:t>º  Cada</w:t>
      </w:r>
      <w:bookmarkEnd w:id="1027"/>
      <w:r w:rsidRPr="75B1C058">
        <w:t xml:space="preserve"> </w:t>
      </w:r>
      <w:r w:rsidRPr="00281706">
        <w:t>c</w:t>
      </w:r>
      <w:r w:rsidRPr="75B1C058">
        <w:t>lasse de cotas “Infraestrutura” e “PD&amp;I” deve ter, no mínimo, 5 (cinco) cotistas, sendo que cada cotista não pode deter mais de 40% (quarenta por cento) das cotas emitidas ou auferir rendimento superior a 40% (quarenta por cento) do rendimento da classe.</w:t>
      </w:r>
    </w:p>
    <w:p w14:paraId="6A763215" w14:textId="77777777" w:rsidR="00D30681" w:rsidRPr="009A5D23" w:rsidRDefault="00D30681" w:rsidP="00D30681">
      <w:pPr>
        <w:pStyle w:val="NormaAlterada"/>
      </w:pPr>
      <w:r w:rsidRPr="75B1C058">
        <w:t xml:space="preserve">§ </w:t>
      </w:r>
      <w:r w:rsidRPr="00D56A9D">
        <w:t>6</w:t>
      </w:r>
      <w:bookmarkStart w:id="1028" w:name="_Int_uXbxUMcl"/>
      <w:r w:rsidRPr="00D56A9D">
        <w:t>º  O</w:t>
      </w:r>
      <w:bookmarkEnd w:id="1028"/>
      <w:r w:rsidRPr="00D56A9D">
        <w:t xml:space="preserve"> material de divulgação do FIP, inclusive prospecto, se houver, deve destacar os benefícios tributários do fundo e dos cotistas, se for o caso, e as condições que devem ser observadas para a manutenção destes benefícios.</w:t>
      </w:r>
    </w:p>
    <w:p w14:paraId="536C4591" w14:textId="77777777" w:rsidR="00D30681" w:rsidRPr="00A24992" w:rsidRDefault="00D30681" w:rsidP="00D30681">
      <w:pPr>
        <w:pStyle w:val="Seo"/>
      </w:pPr>
      <w:bookmarkStart w:id="1029" w:name="_Toc161141356"/>
      <w:r w:rsidRPr="00373DA7">
        <w:t>Seção V – Multiestratégia</w:t>
      </w:r>
      <w:bookmarkEnd w:id="1029"/>
    </w:p>
    <w:p w14:paraId="7BB5A1C4" w14:textId="77777777" w:rsidR="00D30681" w:rsidRPr="00B47EA2" w:rsidRDefault="00D30681" w:rsidP="00D30681">
      <w:pPr>
        <w:pStyle w:val="NormaAlterada"/>
      </w:pPr>
      <w:r w:rsidRPr="00B47EA2">
        <w:t xml:space="preserve">Art. </w:t>
      </w:r>
      <w:r w:rsidRPr="340735EA">
        <w:t>17</w:t>
      </w:r>
      <w:r w:rsidRPr="00373DA7">
        <w:t xml:space="preserve">.  </w:t>
      </w:r>
      <w:r w:rsidRPr="340735EA">
        <w:t>A classe</w:t>
      </w:r>
      <w:r w:rsidRPr="00373DA7">
        <w:t xml:space="preserve"> </w:t>
      </w:r>
      <w:r>
        <w:t>do tipo “</w:t>
      </w:r>
      <w:r w:rsidRPr="00B47EA2">
        <w:t>Multiestratégia</w:t>
      </w:r>
      <w:r>
        <w:t>”</w:t>
      </w:r>
      <w:r w:rsidRPr="00B47EA2">
        <w:t xml:space="preserve"> é </w:t>
      </w:r>
      <w:r w:rsidRPr="00373DA7">
        <w:t>aquel</w:t>
      </w:r>
      <w:r w:rsidRPr="340735EA">
        <w:t>a</w:t>
      </w:r>
      <w:r w:rsidRPr="00B47EA2">
        <w:t xml:space="preserve"> que não se </w:t>
      </w:r>
      <w:r w:rsidRPr="340735EA">
        <w:t>enquadra</w:t>
      </w:r>
      <w:r w:rsidRPr="00B47EA2">
        <w:t xml:space="preserve"> nas demais </w:t>
      </w:r>
      <w:r w:rsidRPr="340735EA">
        <w:t>classificações</w:t>
      </w:r>
      <w:r>
        <w:t>,</w:t>
      </w:r>
      <w:r w:rsidRPr="00B47EA2">
        <w:t xml:space="preserve"> por admitir o investimento em diferentes tipos e portes de sociedades investidas.</w:t>
      </w:r>
    </w:p>
    <w:p w14:paraId="020BD118" w14:textId="77777777" w:rsidR="00D30681" w:rsidRPr="00B47EA2" w:rsidRDefault="00D30681" w:rsidP="00D30681">
      <w:pPr>
        <w:pStyle w:val="NormaAlterada"/>
      </w:pPr>
      <w:r w:rsidRPr="75B1C058">
        <w:t>§ 1</w:t>
      </w:r>
      <w:bookmarkStart w:id="1030" w:name="_Int_zJnhI91D"/>
      <w:r w:rsidRPr="75B1C058">
        <w:t>º  A</w:t>
      </w:r>
      <w:bookmarkEnd w:id="1030"/>
      <w:r w:rsidRPr="75B1C058">
        <w:t xml:space="preserve"> classe de cotas “Multiestratégia” faz jus às dispensas de que tratam o:</w:t>
      </w:r>
    </w:p>
    <w:p w14:paraId="1A6146FC" w14:textId="77777777" w:rsidR="00D30681" w:rsidRPr="00B47EA2" w:rsidRDefault="00D30681" w:rsidP="00D30681">
      <w:pPr>
        <w:pStyle w:val="NormaAlterada"/>
      </w:pPr>
      <w:r w:rsidRPr="75B1C058">
        <w:t xml:space="preserve">I – </w:t>
      </w:r>
      <w:bookmarkStart w:id="1031" w:name="_Int_liLW6I6t"/>
      <w:r w:rsidRPr="75B1C058">
        <w:t>art.</w:t>
      </w:r>
      <w:bookmarkEnd w:id="1031"/>
      <w:r w:rsidRPr="75B1C058">
        <w:t xml:space="preserve"> 14, inciso II, deste Anexo Normativo IV, ao investir em sociedades que apresentem receita bruta anual nos termos do art. 14, inciso I, deste Anexo Normativo IV, e desde que observe integralmente os demais dispositivos aplicáveis às classes do tipo “Capital Semente”; e</w:t>
      </w:r>
    </w:p>
    <w:p w14:paraId="20ECED0B" w14:textId="77777777" w:rsidR="00D30681" w:rsidRPr="00B47EA2" w:rsidRDefault="00D30681" w:rsidP="00D30681">
      <w:pPr>
        <w:pStyle w:val="NormaAlterada"/>
      </w:pPr>
      <w:r w:rsidRPr="75B1C058">
        <w:lastRenderedPageBreak/>
        <w:t xml:space="preserve">II – </w:t>
      </w:r>
      <w:bookmarkStart w:id="1032" w:name="_Int_DpVK1SUf"/>
      <w:r w:rsidRPr="75B1C058">
        <w:t>art.</w:t>
      </w:r>
      <w:bookmarkEnd w:id="1032"/>
      <w:r w:rsidRPr="75B1C058">
        <w:t xml:space="preserve"> 15, inciso II, deste Anexo Normativo IV, ao investir em </w:t>
      </w:r>
      <w:r>
        <w:t>sociedades</w:t>
      </w:r>
      <w:r w:rsidRPr="75B1C058">
        <w:t xml:space="preserve"> que apresentem receita bruta anual nos termos do disposto no art. 15, inciso I, deste Anexo Normativo IV, e desde que observe integralmente os demais dispositivos aplicáveis às classes do tipo “Empresas Emergentes”.</w:t>
      </w:r>
    </w:p>
    <w:p w14:paraId="3C4E9204" w14:textId="77777777" w:rsidR="00D30681" w:rsidRPr="00B47EA2" w:rsidRDefault="00D30681" w:rsidP="00D30681">
      <w:pPr>
        <w:pStyle w:val="NormaAlterada"/>
      </w:pPr>
      <w:r w:rsidRPr="75B1C058">
        <w:t>§ 2</w:t>
      </w:r>
      <w:bookmarkStart w:id="1033" w:name="_Int_8waz8hVF"/>
      <w:r w:rsidRPr="75B1C058">
        <w:t>º  A</w:t>
      </w:r>
      <w:bookmarkEnd w:id="1033"/>
      <w:r w:rsidRPr="75B1C058">
        <w:t xml:space="preserve"> classe do tipo “Multiestratégia” destinada exclusivamente a investidores profissionais pode investir até 100% (cem por cento) de seu capital em ativos emitidos ou negociados no exterior, desde que:</w:t>
      </w:r>
    </w:p>
    <w:p w14:paraId="2D44872F" w14:textId="77777777" w:rsidR="00D30681" w:rsidRPr="00B47EA2" w:rsidRDefault="00D30681" w:rsidP="00D30681">
      <w:pPr>
        <w:pStyle w:val="NormaAlterada"/>
      </w:pPr>
      <w:r w:rsidRPr="75B1C058">
        <w:t xml:space="preserve">I – </w:t>
      </w:r>
      <w:bookmarkStart w:id="1034" w:name="_Int_S6U1lpp2"/>
      <w:r w:rsidRPr="75B1C058">
        <w:t>haja</w:t>
      </w:r>
      <w:bookmarkEnd w:id="1034"/>
      <w:r w:rsidRPr="75B1C058">
        <w:t xml:space="preserve"> previsão expressa em seu regulamento quanto à possibilidade de investimento em ativos no exterior e o respectivo percentual máximo do capital subscrito que poderá ser alocado; e</w:t>
      </w:r>
    </w:p>
    <w:p w14:paraId="3902E6D9" w14:textId="77777777" w:rsidR="00D30681" w:rsidRPr="00B47EA2" w:rsidRDefault="00D30681" w:rsidP="00D30681">
      <w:pPr>
        <w:pStyle w:val="NormaAlterada"/>
      </w:pPr>
      <w:r w:rsidRPr="75B1C058">
        <w:t xml:space="preserve">II – </w:t>
      </w:r>
      <w:bookmarkStart w:id="1035" w:name="_Int_B2Rmghxs"/>
      <w:r w:rsidRPr="75B1C058">
        <w:t>o</w:t>
      </w:r>
      <w:bookmarkEnd w:id="1035"/>
      <w:r w:rsidRPr="75B1C058">
        <w:t xml:space="preserve"> seu regulamento seja explícito no que se refere à exclusiva participação de investidores profissionais.</w:t>
      </w:r>
    </w:p>
    <w:p w14:paraId="3F5EE554" w14:textId="77777777" w:rsidR="00D30681" w:rsidRPr="00A24992" w:rsidRDefault="00D30681" w:rsidP="00D30681">
      <w:pPr>
        <w:pStyle w:val="Captulo"/>
      </w:pPr>
      <w:bookmarkStart w:id="1036" w:name="_Toc161141357"/>
      <w:r w:rsidRPr="00373DA7">
        <w:t>CAPÍTULO V</w:t>
      </w:r>
      <w:r w:rsidRPr="00A24992">
        <w:t>I</w:t>
      </w:r>
      <w:r w:rsidRPr="00373DA7">
        <w:t xml:space="preserve"> – COTAS</w:t>
      </w:r>
      <w:bookmarkEnd w:id="1036"/>
    </w:p>
    <w:p w14:paraId="3690A0D5" w14:textId="77777777" w:rsidR="00D30681" w:rsidRPr="00B47EA2" w:rsidRDefault="00D30681" w:rsidP="00D30681">
      <w:pPr>
        <w:pStyle w:val="NormaAlterada"/>
      </w:pPr>
      <w:r w:rsidRPr="00B47EA2">
        <w:t xml:space="preserve">Art. </w:t>
      </w:r>
      <w:r w:rsidRPr="494CC5FC">
        <w:t>18.</w:t>
      </w:r>
      <w:r w:rsidRPr="00B47EA2">
        <w:t xml:space="preserve">  Na hipótese de o regulamento vedar a transferência ou negociação das cotas em mercados secundários, as cotas </w:t>
      </w:r>
      <w:r w:rsidRPr="00373DA7">
        <w:t>ficam</w:t>
      </w:r>
      <w:r w:rsidRPr="00B47EA2">
        <w:t xml:space="preserve"> dispensadas </w:t>
      </w:r>
      <w:r w:rsidRPr="494CC5FC">
        <w:t>do</w:t>
      </w:r>
      <w:r w:rsidRPr="00B47EA2">
        <w:t xml:space="preserve"> registro escritural</w:t>
      </w:r>
      <w:r w:rsidRPr="494CC5FC">
        <w:t xml:space="preserve"> previsto no art. 15 da parte geral da Resolução</w:t>
      </w:r>
      <w:r w:rsidRPr="00B47EA2">
        <w:t xml:space="preserve">, sendo a sua propriedade presumida pelo registro do cotista no livro de </w:t>
      </w:r>
      <w:r>
        <w:t>“</w:t>
      </w:r>
      <w:r w:rsidRPr="00B47EA2">
        <w:t>Registro de Cotas Nominativas</w:t>
      </w:r>
      <w:r>
        <w:t>”</w:t>
      </w:r>
      <w:r w:rsidRPr="00B47EA2">
        <w:t xml:space="preserve"> ou da conta de depósito das cotas aberta em nome do cotista, mantidos sob o controle do administrador.</w:t>
      </w:r>
    </w:p>
    <w:p w14:paraId="6576D2A2" w14:textId="77777777" w:rsidR="00D30681" w:rsidRPr="00B47EA2" w:rsidRDefault="00D30681" w:rsidP="00D30681">
      <w:pPr>
        <w:pStyle w:val="NormaAlterada"/>
      </w:pPr>
      <w:r w:rsidRPr="00B47EA2">
        <w:t xml:space="preserve">Art. </w:t>
      </w:r>
      <w:r w:rsidRPr="340735EA">
        <w:t>19</w:t>
      </w:r>
      <w:r w:rsidRPr="00373DA7">
        <w:t>.</w:t>
      </w:r>
      <w:r w:rsidRPr="00B47EA2">
        <w:t xml:space="preserve">  O regulamento pode atribuir a uma ou mais </w:t>
      </w:r>
      <w:r w:rsidRPr="00373DA7">
        <w:t>subclass</w:t>
      </w:r>
      <w:r w:rsidRPr="00CC2C87">
        <w:t>es</w:t>
      </w:r>
      <w:r w:rsidRPr="00B47EA2">
        <w:t xml:space="preserve"> de cotas distintos direitos econômico-financeiros, exclusivamente quanto:</w:t>
      </w:r>
    </w:p>
    <w:p w14:paraId="1A7B8717" w14:textId="77777777" w:rsidR="00D30681" w:rsidRPr="00B47EA2" w:rsidRDefault="00D30681" w:rsidP="00D30681">
      <w:pPr>
        <w:pStyle w:val="NormaAlterada"/>
      </w:pPr>
      <w:r w:rsidRPr="75B1C058">
        <w:t xml:space="preserve">I – </w:t>
      </w:r>
      <w:bookmarkStart w:id="1037" w:name="_Int_9dS2fDS0"/>
      <w:r w:rsidRPr="75B1C058">
        <w:t>à</w:t>
      </w:r>
      <w:bookmarkEnd w:id="1037"/>
      <w:r w:rsidRPr="75B1C058">
        <w:t xml:space="preserve"> fixação das taxas de administração e de gestão; e</w:t>
      </w:r>
    </w:p>
    <w:p w14:paraId="0FFA48F6" w14:textId="77777777" w:rsidR="00D30681" w:rsidRPr="00B47EA2" w:rsidRDefault="00D30681" w:rsidP="00D30681">
      <w:pPr>
        <w:pStyle w:val="NormaAlterada"/>
      </w:pPr>
      <w:r w:rsidRPr="75B1C058">
        <w:t xml:space="preserve">II – </w:t>
      </w:r>
      <w:bookmarkStart w:id="1038" w:name="_Int_GENH4Z5Z"/>
      <w:r w:rsidRPr="75B1C058">
        <w:t>à</w:t>
      </w:r>
      <w:bookmarkEnd w:id="1038"/>
      <w:r w:rsidRPr="75B1C058">
        <w:t xml:space="preserve"> ordem de preferência no pagamento dos rendimentos, das amortizações ou do saldo de liquidação </w:t>
      </w:r>
      <w:r>
        <w:t>da classe de cotas</w:t>
      </w:r>
      <w:r w:rsidRPr="75B1C058">
        <w:t>.</w:t>
      </w:r>
    </w:p>
    <w:p w14:paraId="0FCDC369" w14:textId="77777777" w:rsidR="00D30681" w:rsidRPr="00B47EA2" w:rsidRDefault="00D30681" w:rsidP="00D30681">
      <w:pPr>
        <w:pStyle w:val="NormaAlterada"/>
      </w:pPr>
      <w:r w:rsidRPr="75B1C058">
        <w:t>§ 1</w:t>
      </w:r>
      <w:bookmarkStart w:id="1039" w:name="_Int_utsxicDi"/>
      <w:r w:rsidRPr="75B1C058">
        <w:t>º  As</w:t>
      </w:r>
      <w:bookmarkEnd w:id="1039"/>
      <w:r w:rsidRPr="75B1C058">
        <w:t xml:space="preserve"> classes de cotas destinadas exclusivamente a investidores profissionais ou aquelas referidas no art. 10 deste Anexo Normativo IV podem atribuir a uma ou mais subclasses de cotas distintos direitos econômico-financeiros além daqueles previstos nos incisos I e II do </w:t>
      </w:r>
      <w:r w:rsidRPr="00E961E4">
        <w:rPr>
          <w:b/>
          <w:bCs/>
        </w:rPr>
        <w:t>caput</w:t>
      </w:r>
      <w:r w:rsidRPr="75B1C058">
        <w:t>.</w:t>
      </w:r>
    </w:p>
    <w:p w14:paraId="63CE55E7" w14:textId="77777777" w:rsidR="00D30681" w:rsidRPr="00B47EA2" w:rsidRDefault="00D30681" w:rsidP="00D30681">
      <w:pPr>
        <w:pStyle w:val="NormaAlterada"/>
      </w:pPr>
      <w:r w:rsidRPr="75B1C058">
        <w:t>§ 2</w:t>
      </w:r>
      <w:bookmarkStart w:id="1040" w:name="_Int_0r0NL90U"/>
      <w:r w:rsidRPr="75B1C058">
        <w:t>º  A</w:t>
      </w:r>
      <w:bookmarkEnd w:id="1040"/>
      <w:r w:rsidRPr="75B1C058">
        <w:t xml:space="preserve"> emissão de cotas de uma mesma subclasse pode ser dividida em séries, com o fim específico de estabelecer, para cada série, datas diversas de integralização e amortização e remuneração.</w:t>
      </w:r>
    </w:p>
    <w:p w14:paraId="7DC2790C" w14:textId="77777777" w:rsidR="00D30681" w:rsidRPr="00B47EA2" w:rsidRDefault="00D30681" w:rsidP="00D30681">
      <w:pPr>
        <w:pStyle w:val="NormaAlterada"/>
      </w:pPr>
      <w:r w:rsidRPr="00B47EA2">
        <w:lastRenderedPageBreak/>
        <w:t>Art. 20.  A subscrição e a integralização de cotas devem atender aos termos e condições estipulados no regulamento.</w:t>
      </w:r>
    </w:p>
    <w:p w14:paraId="28AAC469" w14:textId="77777777" w:rsidR="00D30681" w:rsidRPr="00B47EA2" w:rsidRDefault="00D30681" w:rsidP="00D30681">
      <w:pPr>
        <w:pStyle w:val="NormaAlterada"/>
      </w:pPr>
      <w:r w:rsidRPr="75B1C058">
        <w:t>§ 1</w:t>
      </w:r>
      <w:bookmarkStart w:id="1041" w:name="_Int_egZ6hibw"/>
      <w:r w:rsidRPr="75B1C058">
        <w:t>º  Em</w:t>
      </w:r>
      <w:bookmarkEnd w:id="1041"/>
      <w:r w:rsidRPr="75B1C058">
        <w:t xml:space="preserve"> até 10 (dez) dias úteis contados da integralização das cotas, o cotista deve receber comprovante de pagamento referente à respectiva integralização, que será emitido pelo administrador ou pela instituição responsável pela escrituração das cotas.</w:t>
      </w:r>
    </w:p>
    <w:p w14:paraId="3A3DBE25" w14:textId="77777777" w:rsidR="00D30681" w:rsidRPr="00B47EA2" w:rsidRDefault="00D30681" w:rsidP="00D30681">
      <w:pPr>
        <w:pStyle w:val="NormaAlterada"/>
      </w:pPr>
      <w:r w:rsidRPr="00B47EA2">
        <w:t xml:space="preserve">§ </w:t>
      </w:r>
      <w:r w:rsidRPr="00E36CF0">
        <w:t>2</w:t>
      </w:r>
      <w:r w:rsidRPr="00373DA7">
        <w:t>º</w:t>
      </w:r>
      <w:r w:rsidRPr="00B47EA2">
        <w:t xml:space="preserve"> </w:t>
      </w:r>
      <w:r>
        <w:t xml:space="preserve"> </w:t>
      </w:r>
      <w:r w:rsidRPr="00B47EA2">
        <w:t>A subscrição pode ser realizada mediante lista ou boletim de subscrição, dos quais devem constar:</w:t>
      </w:r>
    </w:p>
    <w:p w14:paraId="6DB46EA6" w14:textId="77777777" w:rsidR="00D30681" w:rsidRPr="00B47EA2" w:rsidRDefault="00D30681" w:rsidP="00D30681">
      <w:pPr>
        <w:pStyle w:val="NormaAlterada"/>
      </w:pPr>
      <w:r w:rsidRPr="00B47EA2">
        <w:t>I – nome e qualificação do subscritor;</w:t>
      </w:r>
    </w:p>
    <w:p w14:paraId="3E05D502" w14:textId="77777777" w:rsidR="00D30681" w:rsidRPr="00B47EA2" w:rsidRDefault="00D30681" w:rsidP="00D30681">
      <w:pPr>
        <w:pStyle w:val="NormaAlterada"/>
      </w:pPr>
      <w:r w:rsidRPr="75B1C058">
        <w:t xml:space="preserve">II – </w:t>
      </w:r>
      <w:bookmarkStart w:id="1042" w:name="_Int_fpnW0jcC"/>
      <w:r w:rsidRPr="75B1C058">
        <w:t>número</w:t>
      </w:r>
      <w:bookmarkEnd w:id="1042"/>
      <w:r w:rsidRPr="75B1C058">
        <w:t xml:space="preserve"> de cotas subscritas, valor total a ser integralizado pelo subscritor e respectivo prazo; e</w:t>
      </w:r>
    </w:p>
    <w:p w14:paraId="00C98D90" w14:textId="77777777" w:rsidR="00D30681" w:rsidRPr="00B47EA2" w:rsidRDefault="00D30681" w:rsidP="00D30681">
      <w:pPr>
        <w:pStyle w:val="NormaAlterada"/>
      </w:pPr>
      <w:r w:rsidRPr="00B47EA2">
        <w:t>III – preço de subscrição.</w:t>
      </w:r>
    </w:p>
    <w:p w14:paraId="4F488D00" w14:textId="77777777" w:rsidR="00D30681" w:rsidRPr="00B47EA2" w:rsidRDefault="00D30681" w:rsidP="00D30681">
      <w:pPr>
        <w:pStyle w:val="NormaAlterada"/>
      </w:pPr>
      <w:bookmarkStart w:id="1043" w:name="_Hlk432169588"/>
      <w:r w:rsidRPr="75B1C058">
        <w:t xml:space="preserve">§ </w:t>
      </w:r>
      <w:bookmarkEnd w:id="1043"/>
      <w:r w:rsidRPr="75B1C058">
        <w:t>3</w:t>
      </w:r>
      <w:bookmarkStart w:id="1044" w:name="_Int_VT3d2xJw"/>
      <w:r w:rsidRPr="75B1C058">
        <w:t>º  A</w:t>
      </w:r>
      <w:bookmarkEnd w:id="1044"/>
      <w:r w:rsidRPr="75B1C058">
        <w:t xml:space="preserve"> subscrição pode ser feita por meio de carta dirigida ao administrador, observadas as disposições deste artigo.</w:t>
      </w:r>
    </w:p>
    <w:p w14:paraId="2D5621FA" w14:textId="77777777" w:rsidR="00D30681" w:rsidRPr="00B47EA2" w:rsidRDefault="00D30681" w:rsidP="00D30681">
      <w:pPr>
        <w:pStyle w:val="NormaAlterada"/>
      </w:pPr>
      <w:r w:rsidRPr="75B1C058">
        <w:t>§ 4</w:t>
      </w:r>
      <w:bookmarkStart w:id="1045" w:name="_Int_jgPUBBiy"/>
      <w:r w:rsidRPr="75B1C058">
        <w:t>º  Admite</w:t>
      </w:r>
      <w:bookmarkEnd w:id="1045"/>
      <w:r w:rsidRPr="75B1C058">
        <w:t>-se a integralização de cotas com os ativos referidos no art. 5º deste Anexo Normativo IV.</w:t>
      </w:r>
    </w:p>
    <w:p w14:paraId="5C62451E" w14:textId="77777777" w:rsidR="00D30681" w:rsidRPr="00B47EA2" w:rsidRDefault="00D30681" w:rsidP="00D30681">
      <w:pPr>
        <w:pStyle w:val="NormaAlterada"/>
      </w:pPr>
      <w:r w:rsidRPr="75B1C058">
        <w:t>§ 5</w:t>
      </w:r>
      <w:bookmarkStart w:id="1046" w:name="_Int_JHsQ4O2N"/>
      <w:r w:rsidRPr="75B1C058">
        <w:t>º  Quando</w:t>
      </w:r>
      <w:bookmarkEnd w:id="1046"/>
      <w:r w:rsidRPr="75B1C058">
        <w:t xml:space="preserve"> da aplicação de recursos em companhias que estejam em processo de recuperação judicial ou extrajudicial, ou em reestruturação financeira, devidamente aprovada pelos órgãos competentes da companhia, é admitida a integralização de cotas em bens ou direitos, inclusive créditos, desde que tais bens e direitos estejam vinculados ao processo de recuperação ou de reestruturação da companhia investida.</w:t>
      </w:r>
    </w:p>
    <w:p w14:paraId="41026CCF" w14:textId="77777777" w:rsidR="00D30681" w:rsidRPr="00B47EA2" w:rsidRDefault="00D30681" w:rsidP="00D30681">
      <w:pPr>
        <w:pStyle w:val="NormaAlterada"/>
      </w:pPr>
      <w:r w:rsidRPr="75B1C058">
        <w:t>§ 6</w:t>
      </w:r>
      <w:bookmarkStart w:id="1047" w:name="_Int_FqEs8WY6"/>
      <w:r w:rsidRPr="75B1C058">
        <w:t>º  O</w:t>
      </w:r>
      <w:bookmarkEnd w:id="1047"/>
      <w:r w:rsidRPr="75B1C058">
        <w:t xml:space="preserve"> valor justo dos ativos utilizados em integralização de cotas deve estar respaldado em laudo de avaliação, o qual deve ser elaborado por empresa especializada independente, conforme norma contábil aprovada pela CVM sobre mensuração do valor justo, quando se tratar das situações previstas no § 5º.</w:t>
      </w:r>
    </w:p>
    <w:p w14:paraId="15152408" w14:textId="77777777" w:rsidR="00D30681" w:rsidRPr="00A24992" w:rsidRDefault="00D30681" w:rsidP="00D30681">
      <w:pPr>
        <w:pStyle w:val="Captulo"/>
      </w:pPr>
      <w:bookmarkStart w:id="1048" w:name="_Toc161141358"/>
      <w:r w:rsidRPr="00373DA7">
        <w:t>CAPÍTULO VI</w:t>
      </w:r>
      <w:r w:rsidRPr="00A24992">
        <w:t>I</w:t>
      </w:r>
      <w:r w:rsidRPr="00373DA7">
        <w:t xml:space="preserve"> – ASSEMBLEIA</w:t>
      </w:r>
      <w:r w:rsidRPr="00A24992">
        <w:t xml:space="preserve"> DE COTISTAS</w:t>
      </w:r>
      <w:bookmarkEnd w:id="1048"/>
    </w:p>
    <w:p w14:paraId="671410C9" w14:textId="77777777" w:rsidR="00D30681" w:rsidRPr="00A24992" w:rsidRDefault="00D30681" w:rsidP="00D30681">
      <w:pPr>
        <w:pStyle w:val="Seo"/>
      </w:pPr>
      <w:bookmarkStart w:id="1049" w:name="_Toc161141359"/>
      <w:r w:rsidRPr="00373DA7">
        <w:t>Seção I – Competência</w:t>
      </w:r>
      <w:bookmarkEnd w:id="1049"/>
    </w:p>
    <w:p w14:paraId="07D4CC9C" w14:textId="77777777" w:rsidR="00D30681" w:rsidRPr="00B47EA2" w:rsidRDefault="00D30681" w:rsidP="00D30681">
      <w:pPr>
        <w:pStyle w:val="NormaAlterada"/>
      </w:pPr>
      <w:r w:rsidRPr="00B47EA2">
        <w:t xml:space="preserve">Art. 21.  </w:t>
      </w:r>
      <w:r w:rsidRPr="00373DA7">
        <w:t xml:space="preserve">Em acréscimo às matérias previstas no </w:t>
      </w:r>
      <w:r w:rsidRPr="0016359C">
        <w:t>art. 70</w:t>
      </w:r>
      <w:r w:rsidRPr="494CC5FC">
        <w:t xml:space="preserve"> </w:t>
      </w:r>
      <w:r w:rsidRPr="00373DA7">
        <w:t xml:space="preserve">da </w:t>
      </w:r>
      <w:r w:rsidRPr="494CC5FC">
        <w:t xml:space="preserve">parte geral da </w:t>
      </w:r>
      <w:r w:rsidRPr="00373DA7">
        <w:t>Resolução, compete</w:t>
      </w:r>
      <w:r w:rsidRPr="00B47EA2">
        <w:t xml:space="preserve"> privativamente à assembleia de cotistas deliberar sobre:</w:t>
      </w:r>
    </w:p>
    <w:p w14:paraId="09BA2B22" w14:textId="77777777" w:rsidR="00D30681" w:rsidRPr="00B47EA2" w:rsidRDefault="00D30681" w:rsidP="00D30681">
      <w:pPr>
        <w:pStyle w:val="NormaAlterada"/>
      </w:pPr>
      <w:r w:rsidRPr="1A4680CE">
        <w:lastRenderedPageBreak/>
        <w:t xml:space="preserve">I – </w:t>
      </w:r>
      <w:bookmarkStart w:id="1050" w:name="_Int_JgAy8I1Z"/>
      <w:r w:rsidRPr="1A4680CE">
        <w:t>o</w:t>
      </w:r>
      <w:bookmarkEnd w:id="1050"/>
      <w:r w:rsidRPr="1A4680CE">
        <w:t xml:space="preserve"> requerimento de informações por parte de cotistas, observado o § 1º do art. 26 deste Anexo Normativo IV;</w:t>
      </w:r>
    </w:p>
    <w:p w14:paraId="46155C24" w14:textId="77777777" w:rsidR="00D30681" w:rsidRPr="00B47EA2" w:rsidRDefault="00D30681" w:rsidP="00D30681">
      <w:pPr>
        <w:pStyle w:val="NormaAlterada"/>
      </w:pPr>
      <w:r w:rsidRPr="1A4680CE">
        <w:t>II – a aprovação dos atos que configurem potencial conflito de interesses entre a classe de cotas e seu administrador ou gestor e entre a classe de cotas e qualquer cotista ou grupo de cotistas que detenham mais de 10% (dez por cento) das cotas subscritas, sem prejuízo do disposto no art. 78, § 2º, da parte geral da Resolução;</w:t>
      </w:r>
    </w:p>
    <w:p w14:paraId="3C7CB209" w14:textId="77777777" w:rsidR="00D30681" w:rsidRPr="00B47EA2" w:rsidRDefault="00D30681" w:rsidP="00D30681">
      <w:pPr>
        <w:pStyle w:val="NormaAlterada"/>
      </w:pPr>
      <w:r w:rsidRPr="1A4680CE">
        <w:t xml:space="preserve">III – </w:t>
      </w:r>
      <w:bookmarkStart w:id="1051" w:name="_Int_kj8dqRRm"/>
      <w:r w:rsidRPr="1A4680CE">
        <w:t>o</w:t>
      </w:r>
      <w:bookmarkEnd w:id="1051"/>
      <w:r w:rsidRPr="1A4680CE">
        <w:t xml:space="preserve"> pagamento de encargos não previstos no art. </w:t>
      </w:r>
      <w:r>
        <w:t xml:space="preserve">117 da parte geral da Resolução e no art. </w:t>
      </w:r>
      <w:r w:rsidRPr="1A4680CE">
        <w:t>28 deste Anexo Normativo IV; e</w:t>
      </w:r>
    </w:p>
    <w:p w14:paraId="16C6DEC3" w14:textId="77777777" w:rsidR="00D30681" w:rsidRDefault="00D30681" w:rsidP="00D30681">
      <w:pPr>
        <w:pStyle w:val="NormaAlterada"/>
      </w:pPr>
      <w:r>
        <w:t>I</w:t>
      </w:r>
      <w:r w:rsidRPr="75B1C058">
        <w:t xml:space="preserve">V – </w:t>
      </w:r>
      <w:bookmarkStart w:id="1052" w:name="_Int_UQiSPZ37"/>
      <w:r w:rsidRPr="75B1C058">
        <w:t>a</w:t>
      </w:r>
      <w:bookmarkEnd w:id="1052"/>
      <w:r w:rsidRPr="75B1C058">
        <w:t xml:space="preserve"> aprovação do laudo de avaliação do valor justo de ativos utilizados na integralização de cotas de que trata o art. 20, § 6º, deste Anexo Normativo IV.</w:t>
      </w:r>
    </w:p>
    <w:p w14:paraId="665C89FF" w14:textId="77777777" w:rsidR="00D30681" w:rsidRPr="00B93CAB" w:rsidRDefault="00D30681" w:rsidP="00D30681">
      <w:pPr>
        <w:pStyle w:val="NormaAlterada"/>
      </w:pPr>
      <w:r w:rsidRPr="00B47EA2">
        <w:t>Parágrafo único.  O regulamento pode estabelecer outras matérias de competência da assembleia de cotistas.</w:t>
      </w:r>
    </w:p>
    <w:p w14:paraId="0726ED75" w14:textId="77777777" w:rsidR="00D30681" w:rsidRPr="00A24992" w:rsidRDefault="00D30681" w:rsidP="00D30681">
      <w:pPr>
        <w:pStyle w:val="Seo"/>
      </w:pPr>
      <w:bookmarkStart w:id="1053" w:name="_Toc161141360"/>
      <w:r w:rsidRPr="00373DA7">
        <w:t>Seção II – Deliberação</w:t>
      </w:r>
      <w:bookmarkEnd w:id="1053"/>
    </w:p>
    <w:p w14:paraId="7B70519B" w14:textId="77777777" w:rsidR="00D30681" w:rsidRPr="00B47EA2" w:rsidRDefault="00D30681" w:rsidP="00D30681">
      <w:pPr>
        <w:pStyle w:val="NormaAlterada"/>
      </w:pPr>
      <w:r w:rsidRPr="00DF603C">
        <w:t xml:space="preserve">Art. 22.  Sem prejuízo de o regulamento poder estabelecer outras matérias sujeitas a quórum qualificado, dependem da aprovação de cotistas que representem metade, no mínimo, das cotas subscritas, se maior quórum não for fixado no regulamento, as deliberações relativas às matérias previstas nos </w:t>
      </w:r>
      <w:proofErr w:type="spellStart"/>
      <w:r w:rsidRPr="00DF603C">
        <w:t>arts</w:t>
      </w:r>
      <w:proofErr w:type="spellEnd"/>
      <w:r w:rsidRPr="00DF603C">
        <w:t>. 21, incisos II, III e IV</w:t>
      </w:r>
      <w:r>
        <w:t>,</w:t>
      </w:r>
      <w:r w:rsidRPr="00DF603C">
        <w:t xml:space="preserve"> e 27 deste Anexo Normativo IV e dos </w:t>
      </w:r>
      <w:proofErr w:type="spellStart"/>
      <w:r w:rsidRPr="00DF603C">
        <w:t>arts</w:t>
      </w:r>
      <w:proofErr w:type="spellEnd"/>
      <w:r w:rsidRPr="00DF603C">
        <w:t>. 70, incisos II</w:t>
      </w:r>
      <w:r>
        <w:t xml:space="preserve"> a </w:t>
      </w:r>
      <w:r w:rsidRPr="00DF603C">
        <w:t xml:space="preserve">V; </w:t>
      </w:r>
      <w:r>
        <w:t xml:space="preserve">74, </w:t>
      </w:r>
      <w:r w:rsidRPr="00DF603C">
        <w:t>76, § 1º; 96, § 1º</w:t>
      </w:r>
      <w:r>
        <w:t>,</w:t>
      </w:r>
      <w:r w:rsidRPr="00DF603C">
        <w:t xml:space="preserve"> e 97 da parte geral da Resolução.</w:t>
      </w:r>
    </w:p>
    <w:p w14:paraId="1EF798AD" w14:textId="77777777" w:rsidR="00D30681" w:rsidRPr="00B47EA2" w:rsidRDefault="00D30681" w:rsidP="00D30681">
      <w:pPr>
        <w:pStyle w:val="NormaAlterada"/>
      </w:pPr>
      <w:r w:rsidRPr="1A4680CE">
        <w:t xml:space="preserve">Parágrafo único.  </w:t>
      </w:r>
      <w:r w:rsidRPr="1A4680CE">
        <w:rPr>
          <w:rFonts w:cs="Calibri"/>
        </w:rPr>
        <w:t>Caso o regulamento não preveja que a gestão da carteira alcança a utilização de ativos na prestação de fiança, aval, aceite ou qualquer outra forma de retenção de risco, nos termos do art. 86, § 1º, da parte geral da Resolução, a medida d</w:t>
      </w:r>
      <w:r w:rsidRPr="1A4680CE">
        <w:t>epende da aprovação de cotistas que representem, no mínimo, 2/3 (dois terços) das cotas subscritas.</w:t>
      </w:r>
    </w:p>
    <w:p w14:paraId="1BA8F7F2" w14:textId="77777777" w:rsidR="00D30681" w:rsidRPr="00B47EA2" w:rsidRDefault="00D30681" w:rsidP="00D30681">
      <w:pPr>
        <w:pStyle w:val="NormaAlterada"/>
      </w:pPr>
      <w:r w:rsidRPr="00B47EA2">
        <w:t xml:space="preserve">Art. </w:t>
      </w:r>
      <w:r w:rsidRPr="340735EA">
        <w:t>23.</w:t>
      </w:r>
      <w:r w:rsidRPr="00B47EA2">
        <w:t xml:space="preserve">  Os cotistas que tenham sido chamados a integralizar as cotas subscritas e que estejam inadimplentes na data da convocação da assembleia não têm direito a voto sobre a respectiva parcela subscrita e não integralizada, podendo o regulamento impor penalidades adicionais, incluindo o impedimento a voto sobre a totalidade das cotas integralizadas.</w:t>
      </w:r>
    </w:p>
    <w:p w14:paraId="3C3CC340" w14:textId="77777777" w:rsidR="00D30681" w:rsidRPr="00B47EA2" w:rsidRDefault="00D30681" w:rsidP="00D30681">
      <w:pPr>
        <w:pStyle w:val="NormaAlterada"/>
      </w:pPr>
      <w:r w:rsidRPr="00B47EA2">
        <w:t xml:space="preserve">Art. 24.  </w:t>
      </w:r>
      <w:r w:rsidRPr="00373DA7">
        <w:t xml:space="preserve">O cotista deve exercer o direito de voto no interesse </w:t>
      </w:r>
      <w:r w:rsidRPr="340735EA">
        <w:t>da classe de cotas</w:t>
      </w:r>
      <w:r w:rsidRPr="00B47EA2">
        <w:t>.</w:t>
      </w:r>
    </w:p>
    <w:p w14:paraId="021B3AE8" w14:textId="77777777" w:rsidR="00D30681" w:rsidRPr="00373DA7" w:rsidRDefault="00D30681" w:rsidP="00D30681">
      <w:pPr>
        <w:pStyle w:val="Captulo"/>
        <w:rPr>
          <w:rFonts w:eastAsiaTheme="minorEastAsia" w:cstheme="minorBidi"/>
        </w:rPr>
      </w:pPr>
      <w:bookmarkStart w:id="1054" w:name="_Toc161141361"/>
      <w:r w:rsidRPr="00373DA7">
        <w:lastRenderedPageBreak/>
        <w:t>CAPÍTULO VII</w:t>
      </w:r>
      <w:r w:rsidRPr="00A24992">
        <w:t>I</w:t>
      </w:r>
      <w:r w:rsidRPr="00373DA7">
        <w:t xml:space="preserve"> – PRESTAÇÃO DE SERVIÇOS</w:t>
      </w:r>
      <w:bookmarkEnd w:id="1054"/>
    </w:p>
    <w:p w14:paraId="69AF82C9" w14:textId="77777777" w:rsidR="00D30681" w:rsidRPr="00A24992" w:rsidRDefault="00D30681" w:rsidP="00D30681">
      <w:pPr>
        <w:pStyle w:val="Seo"/>
      </w:pPr>
      <w:bookmarkStart w:id="1055" w:name="_Toc161141362"/>
      <w:r w:rsidRPr="00373DA7">
        <w:t xml:space="preserve">Seção I – </w:t>
      </w:r>
      <w:r w:rsidRPr="00A24992">
        <w:t>Obrigações</w:t>
      </w:r>
      <w:bookmarkEnd w:id="1055"/>
    </w:p>
    <w:p w14:paraId="0D39552E" w14:textId="77777777" w:rsidR="00D30681" w:rsidRDefault="00D30681" w:rsidP="00D30681">
      <w:pPr>
        <w:pStyle w:val="NormaAlterada"/>
      </w:pPr>
      <w:r>
        <w:t>Art. 25.  Em acréscimo às obrigações dispostas no art. 104 da parte geral da Resolução, cabe ao administrador:</w:t>
      </w:r>
    </w:p>
    <w:p w14:paraId="6B858F5D" w14:textId="77777777" w:rsidR="00D30681" w:rsidRPr="00B47EA2" w:rsidRDefault="00D30681" w:rsidP="00D30681">
      <w:pPr>
        <w:pStyle w:val="NormaAlterada"/>
      </w:pPr>
      <w:r w:rsidRPr="75B1C058">
        <w:t xml:space="preserve">I – </w:t>
      </w:r>
      <w:bookmarkStart w:id="1056" w:name="_Int_j61ct2Uo"/>
      <w:r w:rsidRPr="75B1C058">
        <w:t>receber</w:t>
      </w:r>
      <w:bookmarkEnd w:id="1056"/>
      <w:r w:rsidRPr="75B1C058">
        <w:t xml:space="preserve"> dividendos, bonificações e quaisquer outros rendimentos ou valores atribuídos à classe de cotas; e</w:t>
      </w:r>
    </w:p>
    <w:p w14:paraId="7DD9D1D3" w14:textId="77777777" w:rsidR="00D30681" w:rsidRPr="00B47EA2" w:rsidRDefault="00D30681" w:rsidP="00D30681">
      <w:pPr>
        <w:pStyle w:val="NormaAlterada"/>
      </w:pPr>
      <w:r w:rsidRPr="75B1C058">
        <w:t>II – manter os títulos e valores mobiliários integrantes da carteira de ativos custodiados em entidade de custódia autorizada ao exercício da atividade pela CVM.</w:t>
      </w:r>
    </w:p>
    <w:p w14:paraId="28539359" w14:textId="77777777" w:rsidR="00D30681" w:rsidRPr="00B47EA2" w:rsidRDefault="00D30681" w:rsidP="00D30681">
      <w:pPr>
        <w:pStyle w:val="NormaAlterada"/>
      </w:pPr>
      <w:r w:rsidRPr="75B1C058">
        <w:t>§ 1</w:t>
      </w:r>
      <w:bookmarkStart w:id="1057" w:name="_Int_UsX4wBgC"/>
      <w:r w:rsidRPr="75B1C058">
        <w:t>º  Fica</w:t>
      </w:r>
      <w:bookmarkEnd w:id="1057"/>
      <w:r w:rsidRPr="75B1C058">
        <w:t xml:space="preserve"> dispensada a contratação do serviço de custódia para os investimentos em:</w:t>
      </w:r>
    </w:p>
    <w:p w14:paraId="29489560" w14:textId="77777777" w:rsidR="00D30681" w:rsidRPr="00B47EA2" w:rsidRDefault="00D30681" w:rsidP="00D30681">
      <w:pPr>
        <w:pStyle w:val="NormaAlterada"/>
      </w:pPr>
      <w:r w:rsidRPr="75B1C058">
        <w:t xml:space="preserve">I – </w:t>
      </w:r>
      <w:bookmarkStart w:id="1058" w:name="_Int_WHOyqToW"/>
      <w:r w:rsidRPr="75B1C058">
        <w:t>ações</w:t>
      </w:r>
      <w:bookmarkEnd w:id="1058"/>
      <w:r w:rsidRPr="75B1C058">
        <w:t>, bônus de subscrição, debêntures não conversíveis ou outros títulos e valores mobiliários conversíveis ou permutáveis em ações de emissão de companhias fechadas;</w:t>
      </w:r>
    </w:p>
    <w:p w14:paraId="609747C2" w14:textId="77777777" w:rsidR="00D30681" w:rsidRPr="00B47EA2" w:rsidRDefault="00D30681" w:rsidP="00D30681">
      <w:pPr>
        <w:pStyle w:val="NormaAlterada"/>
      </w:pPr>
      <w:r w:rsidRPr="75B1C058">
        <w:t xml:space="preserve">II – </w:t>
      </w:r>
      <w:bookmarkStart w:id="1059" w:name="_Int_2nK4T4Kz"/>
      <w:r w:rsidRPr="75B1C058">
        <w:t>títulos</w:t>
      </w:r>
      <w:bookmarkEnd w:id="1059"/>
      <w:r w:rsidRPr="75B1C058">
        <w:t xml:space="preserve"> ou valores mobiliários representativos de participação em sociedades limitadas; e</w:t>
      </w:r>
    </w:p>
    <w:p w14:paraId="26A8CD0C" w14:textId="77777777" w:rsidR="00D30681" w:rsidRPr="00B47EA2" w:rsidRDefault="00D30681" w:rsidP="00D30681">
      <w:pPr>
        <w:pStyle w:val="NormaAlterada"/>
      </w:pPr>
      <w:r w:rsidRPr="1A4680CE">
        <w:t>III – ativos referidos no art. 11, § 4º, inciso I, deste Anexo Normativo IV, desde que tais ativos estejam admitidos à negociação em mercado organizado ou registrados em sistema de registro e liquidação financeira</w:t>
      </w:r>
      <w:r>
        <w:t xml:space="preserve"> de ativos</w:t>
      </w:r>
      <w:r w:rsidRPr="1A4680CE">
        <w:t xml:space="preserve"> autorizado pelo Banco Central do Brasil ou pela CVM.</w:t>
      </w:r>
    </w:p>
    <w:p w14:paraId="34CF0A98" w14:textId="77777777" w:rsidR="00D30681" w:rsidRPr="00B47EA2" w:rsidRDefault="00D30681" w:rsidP="00D30681">
      <w:pPr>
        <w:pStyle w:val="NormaAlterada"/>
      </w:pPr>
      <w:r w:rsidRPr="75B1C058">
        <w:t>§ 2</w:t>
      </w:r>
      <w:bookmarkStart w:id="1060" w:name="_Int_HhxC6CtF"/>
      <w:r w:rsidRPr="75B1C058">
        <w:t>º  Para</w:t>
      </w:r>
      <w:bookmarkEnd w:id="1060"/>
      <w:r w:rsidRPr="75B1C058">
        <w:t xml:space="preserve"> utilizar as dispensas referidas nos incisos I e II do §</w:t>
      </w:r>
      <w:r>
        <w:t xml:space="preserve"> </w:t>
      </w:r>
      <w:r w:rsidRPr="75B1C058">
        <w:t>1º, o administrador deve assegurar a adequada salvaguarda desses ativos, o que inclui a realização das seguintes atividades:</w:t>
      </w:r>
    </w:p>
    <w:p w14:paraId="05D63CC5" w14:textId="77777777" w:rsidR="00D30681" w:rsidRPr="00B47EA2" w:rsidRDefault="00D30681" w:rsidP="00D30681">
      <w:pPr>
        <w:pStyle w:val="NormaAlterada"/>
      </w:pPr>
      <w:r w:rsidRPr="75B1C058">
        <w:t xml:space="preserve">I – </w:t>
      </w:r>
      <w:bookmarkStart w:id="1061" w:name="_Int_PiVGqj66"/>
      <w:r w:rsidRPr="75B1C058">
        <w:t>receber, verificar</w:t>
      </w:r>
      <w:bookmarkEnd w:id="1061"/>
      <w:r w:rsidRPr="75B1C058">
        <w:t xml:space="preserve"> e fazer a guarda da documentação que evidencia e comprova a existência do lastro dos ativos;</w:t>
      </w:r>
    </w:p>
    <w:p w14:paraId="06E5F2FD" w14:textId="77777777" w:rsidR="00D30681" w:rsidRPr="00B47EA2" w:rsidRDefault="00D30681" w:rsidP="00D30681">
      <w:pPr>
        <w:pStyle w:val="NormaAlterada"/>
      </w:pPr>
      <w:r w:rsidRPr="75B1C058">
        <w:t xml:space="preserve">II – </w:t>
      </w:r>
      <w:bookmarkStart w:id="1062" w:name="_Int_1oYNakAD"/>
      <w:r w:rsidRPr="75B1C058">
        <w:t>diligenciar</w:t>
      </w:r>
      <w:bookmarkEnd w:id="1062"/>
      <w:r w:rsidRPr="75B1C058">
        <w:t xml:space="preserve"> para que seja mantida, às suas expensas, atualizada e em perfeita ordem a documentação comprobatória dos ativos; e</w:t>
      </w:r>
    </w:p>
    <w:p w14:paraId="3EA787D6" w14:textId="77777777" w:rsidR="00D30681" w:rsidRPr="00B47EA2" w:rsidRDefault="00D30681" w:rsidP="00D30681">
      <w:pPr>
        <w:pStyle w:val="NormaAlterada"/>
      </w:pPr>
      <w:r w:rsidRPr="00B47EA2">
        <w:t xml:space="preserve">III – cobrar e receber, em nome </w:t>
      </w:r>
      <w:r w:rsidRPr="00E36CF0">
        <w:t>da classe de cotas</w:t>
      </w:r>
      <w:r w:rsidRPr="00B47EA2">
        <w:t>, rendas e quaisquer outros pagamentos referentes aos ativos custodiados.</w:t>
      </w:r>
    </w:p>
    <w:p w14:paraId="3C12F1DC" w14:textId="77777777" w:rsidR="00D30681" w:rsidRPr="00373DA7" w:rsidRDefault="00D30681" w:rsidP="00D30681">
      <w:pPr>
        <w:pStyle w:val="NormaAlterada"/>
        <w:rPr>
          <w:rFonts w:eastAsiaTheme="minorEastAsia"/>
        </w:rPr>
      </w:pPr>
      <w:r>
        <w:t>Art. 26.  Em acréscimo às obrigações dispostas no art. 105 da parte geral da Resolução, cabe ao gestor:</w:t>
      </w:r>
    </w:p>
    <w:p w14:paraId="3DD56BF3" w14:textId="77777777" w:rsidR="00D30681" w:rsidRPr="00B47EA2" w:rsidRDefault="00D30681" w:rsidP="00D30681">
      <w:pPr>
        <w:pStyle w:val="NormaAlterada"/>
      </w:pPr>
      <w:r w:rsidRPr="75B1C058">
        <w:t xml:space="preserve">I – </w:t>
      </w:r>
      <w:bookmarkStart w:id="1063" w:name="_Int_N83G1bjp"/>
      <w:r w:rsidRPr="75B1C058">
        <w:t>fornecer</w:t>
      </w:r>
      <w:bookmarkEnd w:id="1063"/>
      <w:r w:rsidRPr="75B1C058">
        <w:t xml:space="preserve"> aos cotistas, conforme conteúdo e periodicidade previstos no regulamento, atualizações periódicas dos estudos e análises que permitam o acompanhamento dos investimentos realizados, </w:t>
      </w:r>
      <w:r w:rsidRPr="75B1C058">
        <w:lastRenderedPageBreak/>
        <w:t>objetivos alcançados, perspectivas de retorno e identificação de possíveis ações que maximizem o resultado do investimento;</w:t>
      </w:r>
    </w:p>
    <w:p w14:paraId="3F9B19C0" w14:textId="77777777" w:rsidR="00D30681" w:rsidRPr="00B47EA2" w:rsidRDefault="00D30681" w:rsidP="00D30681">
      <w:pPr>
        <w:pStyle w:val="NormaAlterada"/>
      </w:pPr>
      <w:r w:rsidRPr="75B1C058">
        <w:t xml:space="preserve">II – firmar os acordos de acionistas em sociedades investidas; </w:t>
      </w:r>
    </w:p>
    <w:p w14:paraId="3C37B7BD" w14:textId="77777777" w:rsidR="00D30681" w:rsidRPr="00B47EA2" w:rsidRDefault="00D30681" w:rsidP="00D30681">
      <w:pPr>
        <w:pStyle w:val="NormaAlterada"/>
      </w:pPr>
      <w:r w:rsidRPr="75B1C058">
        <w:t xml:space="preserve">III – </w:t>
      </w:r>
      <w:bookmarkStart w:id="1064" w:name="_Int_wOvMCBid"/>
      <w:r w:rsidRPr="75B1C058">
        <w:t>manter</w:t>
      </w:r>
      <w:bookmarkEnd w:id="1064"/>
      <w:r w:rsidRPr="75B1C058">
        <w:t xml:space="preserve"> a efetiva influência na definição da política estratégica e na gestão da sociedade investida, nos termos do disposto no § 1º do art. 5º, e assegurar as práticas de governança referidas no art. 8º, ambos deste Anexo Normativo IV; e</w:t>
      </w:r>
    </w:p>
    <w:p w14:paraId="40909119" w14:textId="77777777" w:rsidR="00D30681" w:rsidRPr="00B47EA2" w:rsidRDefault="00D30681" w:rsidP="00D30681">
      <w:pPr>
        <w:pStyle w:val="NormaAlterada"/>
      </w:pPr>
      <w:r w:rsidRPr="75B1C058">
        <w:t xml:space="preserve">IV – </w:t>
      </w:r>
      <w:bookmarkStart w:id="1065" w:name="_Int_VOqWNuLY"/>
      <w:r w:rsidRPr="75B1C058">
        <w:t>diligenciar</w:t>
      </w:r>
      <w:bookmarkEnd w:id="1065"/>
      <w:r w:rsidRPr="75B1C058">
        <w:t xml:space="preserve"> para que sejam mantidos atualizados e em perfeita ordem, às suas expensas, os livros de atas de reuniões dos conselhos consultivos, comitês técnicos e de investimentos.</w:t>
      </w:r>
    </w:p>
    <w:p w14:paraId="051B31D8" w14:textId="77777777" w:rsidR="00D30681" w:rsidRPr="00B47EA2" w:rsidRDefault="00D30681" w:rsidP="00D30681">
      <w:pPr>
        <w:pStyle w:val="NormaAlterada"/>
      </w:pPr>
      <w:r w:rsidRPr="75B1C058">
        <w:t>§ 1</w:t>
      </w:r>
      <w:bookmarkStart w:id="1066" w:name="_Int_16aDhHrA"/>
      <w:r w:rsidRPr="75B1C058">
        <w:t>º  Sempre</w:t>
      </w:r>
      <w:bookmarkEnd w:id="1066"/>
      <w:r w:rsidRPr="75B1C058">
        <w:t xml:space="preserve"> que forem requeridas informações </w:t>
      </w:r>
      <w:r w:rsidRPr="75B1C058" w:rsidDel="004921D3">
        <w:t xml:space="preserve">na forma do inciso </w:t>
      </w:r>
      <w:r>
        <w:t>I</w:t>
      </w:r>
      <w:r w:rsidRPr="75B1C058" w:rsidDel="004921D3">
        <w:t xml:space="preserve"> do </w:t>
      </w:r>
      <w:r w:rsidRPr="75B1C058" w:rsidDel="004921D3">
        <w:rPr>
          <w:b/>
          <w:bCs/>
        </w:rPr>
        <w:t>caput</w:t>
      </w:r>
      <w:r w:rsidRPr="75B1C058">
        <w:t>, os prestadores de serviços essenciais podem submeter a questão à prévia apreciação da assembleia de cotistas, tendo em conta os interesses da classe de cotas e dos demais cotistas, assim como eventuais conflitos de interesses em relação a conhecimentos técnicos e às empresas nas quais a classe tenha investido, ficando, nesta hipótese, impedidos de votar os cotistas que requereram a informação.</w:t>
      </w:r>
    </w:p>
    <w:p w14:paraId="7F53E310" w14:textId="77777777" w:rsidR="00D30681" w:rsidRPr="00B47EA2" w:rsidRDefault="00D30681" w:rsidP="00D30681">
      <w:pPr>
        <w:pStyle w:val="NormaAlterada"/>
      </w:pPr>
      <w:r w:rsidRPr="1AC884D3">
        <w:t xml:space="preserve">§ 2º </w:t>
      </w:r>
      <w:r>
        <w:t xml:space="preserve"> </w:t>
      </w:r>
      <w:r w:rsidRPr="1AC884D3">
        <w:t>Caso o gestor contrate parte relacionada a prestador de serviço essencial para o exercício da função de formador de mercado, a contratação deve ser submetida à aprovação prévia da assembleia de cotistas, nos termos do § 2º do art. 85 da parte geral da Resolução.</w:t>
      </w:r>
    </w:p>
    <w:p w14:paraId="503AD479" w14:textId="77777777" w:rsidR="00D30681" w:rsidRPr="00A24992" w:rsidRDefault="00D30681" w:rsidP="00D30681">
      <w:pPr>
        <w:pStyle w:val="Seo"/>
      </w:pPr>
      <w:bookmarkStart w:id="1067" w:name="_Toc161141363"/>
      <w:r w:rsidRPr="00373DA7">
        <w:t xml:space="preserve">Seção </w:t>
      </w:r>
      <w:r w:rsidRPr="00A24992">
        <w:t>II</w:t>
      </w:r>
      <w:r w:rsidRPr="00373DA7">
        <w:t xml:space="preserve"> – Vedações</w:t>
      </w:r>
      <w:bookmarkEnd w:id="1067"/>
    </w:p>
    <w:p w14:paraId="7BF602F1" w14:textId="77777777" w:rsidR="00D30681" w:rsidRPr="00B47EA2" w:rsidRDefault="00D30681" w:rsidP="00D30681">
      <w:pPr>
        <w:pStyle w:val="NormaAlterada"/>
      </w:pPr>
      <w:r w:rsidRPr="00B47EA2">
        <w:t xml:space="preserve">Art. </w:t>
      </w:r>
      <w:r>
        <w:t>27</w:t>
      </w:r>
      <w:r w:rsidRPr="00B47EA2">
        <w:t xml:space="preserve">.  </w:t>
      </w:r>
      <w:r>
        <w:t>Em acréscimo às vedações previstas no art. 101 da parte geral da Resolução, s</w:t>
      </w:r>
      <w:r w:rsidRPr="00B47EA2">
        <w:t xml:space="preserve">alvo aprovação em assembleia </w:t>
      </w:r>
      <w:r w:rsidRPr="340735EA">
        <w:t>de cotistas</w:t>
      </w:r>
      <w:r w:rsidRPr="00B47EA2">
        <w:t xml:space="preserve">, é vedada a aplicação de recursos </w:t>
      </w:r>
      <w:r w:rsidRPr="00373DA7">
        <w:t xml:space="preserve">em </w:t>
      </w:r>
      <w:r w:rsidRPr="340735EA">
        <w:t>sociedades</w:t>
      </w:r>
      <w:r w:rsidRPr="00373DA7">
        <w:t xml:space="preserve"> </w:t>
      </w:r>
      <w:r w:rsidRPr="00B47EA2">
        <w:t>nas quais participem:</w:t>
      </w:r>
    </w:p>
    <w:p w14:paraId="27DBC15A" w14:textId="77777777" w:rsidR="00D30681" w:rsidRPr="00B47EA2" w:rsidRDefault="00D30681" w:rsidP="00D30681">
      <w:pPr>
        <w:pStyle w:val="NormaAlterada"/>
      </w:pPr>
      <w:r w:rsidRPr="00B47EA2">
        <w:t xml:space="preserve">I – o administrador, o gestor, os membros de comitês ou conselhos e cotistas titulares de cotas representativas de 5% (cinco por cento) do patrimônio </w:t>
      </w:r>
      <w:r w:rsidRPr="00E36CF0">
        <w:t>da classe investidora</w:t>
      </w:r>
      <w:r w:rsidRPr="00B47EA2">
        <w:t>, seus sócios e respectivos cônjuges, individualmente ou em conjunto, com porcentagem superior a 10% (dez por cento) do capital social votante ou total;</w:t>
      </w:r>
      <w:r>
        <w:t xml:space="preserve"> ou</w:t>
      </w:r>
    </w:p>
    <w:p w14:paraId="34955F74" w14:textId="77777777" w:rsidR="00D30681" w:rsidRPr="00B47EA2" w:rsidRDefault="00D30681" w:rsidP="00D30681">
      <w:pPr>
        <w:pStyle w:val="NormaAlterada"/>
      </w:pPr>
      <w:r w:rsidRPr="75B1C058">
        <w:t xml:space="preserve">II – </w:t>
      </w:r>
      <w:bookmarkStart w:id="1068" w:name="_Int_0yorycrd"/>
      <w:r w:rsidRPr="75B1C058">
        <w:t>quaisquer</w:t>
      </w:r>
      <w:bookmarkEnd w:id="1068"/>
      <w:r w:rsidRPr="75B1C058">
        <w:t xml:space="preserve"> das pessoas mencionadas no inciso anterior que:</w:t>
      </w:r>
    </w:p>
    <w:p w14:paraId="617BC319" w14:textId="77777777" w:rsidR="00D30681" w:rsidRPr="00B47EA2" w:rsidRDefault="00D30681" w:rsidP="00D30681">
      <w:pPr>
        <w:pStyle w:val="NormaAlterada"/>
      </w:pPr>
      <w:r w:rsidRPr="00B47EA2">
        <w:t>a) estejam envolvidas, direta ou indiretamente, na estruturação financeira da operação de emissão de valores mobiliários a serem subscritos, inclusive na condição de agente de colocação, coordenação ou garantidor da emissão; ou</w:t>
      </w:r>
    </w:p>
    <w:p w14:paraId="63F88DBE" w14:textId="77777777" w:rsidR="00D30681" w:rsidRPr="00B47EA2" w:rsidRDefault="00D30681" w:rsidP="00D30681">
      <w:pPr>
        <w:pStyle w:val="NormaAlterada"/>
      </w:pPr>
      <w:r w:rsidRPr="00B47EA2">
        <w:lastRenderedPageBreak/>
        <w:t xml:space="preserve">b) façam parte de conselhos de administração, consultivo ou fiscal da </w:t>
      </w:r>
      <w:r w:rsidRPr="00E36CF0">
        <w:t>sociedade</w:t>
      </w:r>
      <w:r w:rsidRPr="00B47EA2">
        <w:t xml:space="preserve"> a </w:t>
      </w:r>
      <w:r w:rsidRPr="00E36CF0">
        <w:t>ser investida</w:t>
      </w:r>
      <w:r w:rsidRPr="00B47EA2">
        <w:t xml:space="preserve">, antes do primeiro investimento por parte </w:t>
      </w:r>
      <w:r w:rsidRPr="00E36CF0">
        <w:t>da classe investidora</w:t>
      </w:r>
      <w:r w:rsidRPr="00B47EA2">
        <w:t xml:space="preserve">. </w:t>
      </w:r>
    </w:p>
    <w:p w14:paraId="51628EEF" w14:textId="77777777" w:rsidR="00D30681" w:rsidRPr="00B47EA2" w:rsidRDefault="00D30681" w:rsidP="00D30681">
      <w:pPr>
        <w:pStyle w:val="NormaAlterada"/>
      </w:pPr>
      <w:r w:rsidRPr="75B1C058">
        <w:t>§ 1</w:t>
      </w:r>
      <w:bookmarkStart w:id="1069" w:name="_Int_d6BKZjcF"/>
      <w:r w:rsidRPr="75B1C058">
        <w:t>º  Salvo</w:t>
      </w:r>
      <w:bookmarkEnd w:id="1069"/>
      <w:r w:rsidRPr="75B1C058">
        <w:t xml:space="preserve"> aprovação em assembleia, é vedada a realização de operações em que a classe de cotas figure como contraparte das pessoas mencionadas no inciso I do </w:t>
      </w:r>
      <w:r w:rsidRPr="75B1C058">
        <w:rPr>
          <w:b/>
          <w:bCs/>
        </w:rPr>
        <w:t>caput</w:t>
      </w:r>
      <w:r w:rsidRPr="75B1C058">
        <w:t>, bem como de outros fundos de investimento ou carteira de valores mobiliários geridos por prestador de serviço essencial.</w:t>
      </w:r>
    </w:p>
    <w:p w14:paraId="4D1249A7" w14:textId="77777777" w:rsidR="00D30681" w:rsidRPr="00B47EA2" w:rsidRDefault="00D30681" w:rsidP="00D30681">
      <w:pPr>
        <w:pStyle w:val="NormaAlterada"/>
      </w:pPr>
      <w:r w:rsidRPr="75B1C058">
        <w:t>§ 2</w:t>
      </w:r>
      <w:bookmarkStart w:id="1070" w:name="_Int_GgU0C8tP"/>
      <w:r w:rsidRPr="75B1C058">
        <w:t>º  O</w:t>
      </w:r>
      <w:bookmarkEnd w:id="1070"/>
      <w:r w:rsidRPr="75B1C058">
        <w:t xml:space="preserve"> disposto no § 1º não se aplica quando o administrador ou gestor do fundo atuarem:</w:t>
      </w:r>
    </w:p>
    <w:p w14:paraId="51A07BE9" w14:textId="77777777" w:rsidR="00D30681" w:rsidRPr="00B47EA2" w:rsidRDefault="00D30681" w:rsidP="00D30681">
      <w:pPr>
        <w:pStyle w:val="NormaAlterada"/>
      </w:pPr>
      <w:r w:rsidRPr="00B47EA2">
        <w:t xml:space="preserve">I – como administrador ou gestor de </w:t>
      </w:r>
      <w:r w:rsidRPr="00E36CF0">
        <w:t>classes</w:t>
      </w:r>
      <w:r w:rsidRPr="00373DA7">
        <w:t xml:space="preserve"> investid</w:t>
      </w:r>
      <w:r w:rsidRPr="00E36CF0">
        <w:t>as</w:t>
      </w:r>
      <w:r w:rsidRPr="00B47EA2">
        <w:t xml:space="preserve"> ou na condição de contraparte </w:t>
      </w:r>
      <w:r w:rsidRPr="00E36CF0">
        <w:t>da classe de cotas</w:t>
      </w:r>
      <w:r w:rsidRPr="00B47EA2">
        <w:t xml:space="preserve">, com a finalidade exclusiva de realizar a gestão de caixa e liquidez </w:t>
      </w:r>
      <w:r w:rsidRPr="00E36CF0">
        <w:t>da classe</w:t>
      </w:r>
      <w:r w:rsidRPr="00B47EA2">
        <w:t>; e</w:t>
      </w:r>
    </w:p>
    <w:p w14:paraId="14BE773C" w14:textId="77777777" w:rsidR="00D30681" w:rsidRPr="00B47EA2" w:rsidRDefault="00D30681" w:rsidP="00D30681">
      <w:pPr>
        <w:pStyle w:val="NormaAlterada"/>
      </w:pPr>
      <w:r w:rsidRPr="00B47EA2">
        <w:t xml:space="preserve">II – como administrador ou gestor de </w:t>
      </w:r>
      <w:r w:rsidRPr="00E36CF0">
        <w:t>classe investida</w:t>
      </w:r>
      <w:r w:rsidRPr="00B47EA2">
        <w:t xml:space="preserve">, desde que expresso em regulamento e quando realizado por meio de </w:t>
      </w:r>
      <w:r w:rsidRPr="00E36CF0">
        <w:t>classe</w:t>
      </w:r>
      <w:r w:rsidRPr="00373DA7">
        <w:t xml:space="preserve"> </w:t>
      </w:r>
      <w:r w:rsidRPr="00E36CF0">
        <w:t>de cotas</w:t>
      </w:r>
      <w:r w:rsidRPr="00B47EA2">
        <w:t xml:space="preserve"> que invista, no mínimo, 95% (noventa e cinco por cento) em </w:t>
      </w:r>
      <w:r w:rsidRPr="00373DA7">
        <w:t>um</w:t>
      </w:r>
      <w:r w:rsidRPr="00E36CF0">
        <w:t>a</w:t>
      </w:r>
      <w:r w:rsidRPr="00373DA7">
        <w:t xml:space="preserve"> únic</w:t>
      </w:r>
      <w:r w:rsidRPr="00E36CF0">
        <w:t>a</w:t>
      </w:r>
      <w:r w:rsidRPr="00373DA7">
        <w:t xml:space="preserve"> </w:t>
      </w:r>
      <w:r w:rsidRPr="00E36CF0">
        <w:t>classe</w:t>
      </w:r>
      <w:r w:rsidRPr="00B47EA2">
        <w:t>.</w:t>
      </w:r>
    </w:p>
    <w:p w14:paraId="69F0E740" w14:textId="77777777" w:rsidR="00D30681" w:rsidRPr="00373DA7" w:rsidRDefault="00D30681" w:rsidP="00D30681">
      <w:pPr>
        <w:pStyle w:val="Captulo"/>
        <w:rPr>
          <w:rFonts w:eastAsiaTheme="minorEastAsia"/>
        </w:rPr>
      </w:pPr>
      <w:bookmarkStart w:id="1071" w:name="_Toc161141364"/>
      <w:r w:rsidRPr="00B47EA2">
        <w:rPr>
          <w:caps w:val="0"/>
        </w:rPr>
        <w:t xml:space="preserve">CAPÍTULO </w:t>
      </w:r>
      <w:r w:rsidRPr="00A24992">
        <w:t>IX</w:t>
      </w:r>
      <w:r w:rsidRPr="00B47EA2">
        <w:rPr>
          <w:caps w:val="0"/>
        </w:rPr>
        <w:t xml:space="preserve"> – ENCARGOS</w:t>
      </w:r>
      <w:bookmarkEnd w:id="1071"/>
    </w:p>
    <w:p w14:paraId="59E473C4" w14:textId="77777777" w:rsidR="00D30681" w:rsidRPr="00B47EA2" w:rsidRDefault="00D30681" w:rsidP="00D30681">
      <w:pPr>
        <w:pStyle w:val="NormaAlterada"/>
      </w:pPr>
      <w:r w:rsidRPr="00B47EA2">
        <w:t xml:space="preserve">Art. </w:t>
      </w:r>
      <w:r w:rsidRPr="00373DA7">
        <w:t xml:space="preserve">28.  Em acréscimo aos </w:t>
      </w:r>
      <w:r w:rsidRPr="00B47EA2">
        <w:t xml:space="preserve">encargos </w:t>
      </w:r>
      <w:r w:rsidRPr="00373DA7">
        <w:t xml:space="preserve">dispostos no </w:t>
      </w:r>
      <w:r w:rsidRPr="00B47EA2">
        <w:t xml:space="preserve">art. </w:t>
      </w:r>
      <w:r w:rsidRPr="00373DA7">
        <w:t xml:space="preserve">117 da parte geral da Resolução, o regulamento pode prever como encargos </w:t>
      </w:r>
      <w:r w:rsidRPr="00B47EA2">
        <w:t>as seguintes despesas:</w:t>
      </w:r>
    </w:p>
    <w:p w14:paraId="2C3A0729" w14:textId="77777777" w:rsidR="00D30681" w:rsidRPr="00993BE7" w:rsidRDefault="00D30681" w:rsidP="00D30681">
      <w:pPr>
        <w:pStyle w:val="NormaAlterada"/>
        <w:rPr>
          <w:rFonts w:eastAsiaTheme="minorEastAsia"/>
        </w:rPr>
      </w:pPr>
      <w:r w:rsidRPr="75B1C058">
        <w:t xml:space="preserve">I – </w:t>
      </w:r>
      <w:bookmarkStart w:id="1072" w:name="_Int_jkVQu74r"/>
      <w:r w:rsidRPr="75B1C058">
        <w:rPr>
          <w:rFonts w:eastAsiaTheme="minorEastAsia"/>
        </w:rPr>
        <w:t>taxa</w:t>
      </w:r>
      <w:bookmarkEnd w:id="1072"/>
      <w:r w:rsidRPr="75B1C058">
        <w:rPr>
          <w:rFonts w:eastAsiaTheme="minorEastAsia"/>
        </w:rPr>
        <w:t xml:space="preserve"> de performance;</w:t>
      </w:r>
    </w:p>
    <w:p w14:paraId="49318B62" w14:textId="77777777" w:rsidR="00D30681" w:rsidRPr="00430857" w:rsidRDefault="00D30681" w:rsidP="00D30681">
      <w:pPr>
        <w:pStyle w:val="NormaAlterada"/>
      </w:pPr>
      <w:r w:rsidRPr="75B1C058">
        <w:rPr>
          <w:rFonts w:eastAsiaTheme="minorEastAsia"/>
        </w:rPr>
        <w:t xml:space="preserve">II – </w:t>
      </w:r>
      <w:bookmarkStart w:id="1073" w:name="_Int_FXsVhfVB"/>
      <w:r w:rsidRPr="75B1C058">
        <w:rPr>
          <w:rFonts w:eastAsiaTheme="minorEastAsia"/>
        </w:rPr>
        <w:t>taxa</w:t>
      </w:r>
      <w:bookmarkEnd w:id="1073"/>
      <w:r w:rsidRPr="75B1C058">
        <w:rPr>
          <w:rFonts w:eastAsiaTheme="minorEastAsia"/>
        </w:rPr>
        <w:t xml:space="preserve"> </w:t>
      </w:r>
      <w:r w:rsidRPr="00430857">
        <w:t>máxima de custódia;</w:t>
      </w:r>
    </w:p>
    <w:p w14:paraId="0CBD0021" w14:textId="77777777" w:rsidR="00D30681" w:rsidRDefault="00D30681" w:rsidP="00D30681">
      <w:pPr>
        <w:pStyle w:val="NormaAlterada"/>
      </w:pPr>
      <w:r w:rsidRPr="00430857">
        <w:t>III –</w:t>
      </w:r>
      <w:r w:rsidRPr="75B1C058">
        <w:t xml:space="preserve"> encargos com empréstimos </w:t>
      </w:r>
      <w:r w:rsidRPr="00281706">
        <w:t>contraídos</w:t>
      </w:r>
      <w:r w:rsidRPr="009559A6">
        <w:t xml:space="preserve"> em nome da classe de cotas</w:t>
      </w:r>
      <w:r w:rsidRPr="75B1C058">
        <w:t>;</w:t>
      </w:r>
    </w:p>
    <w:p w14:paraId="49BA9714" w14:textId="77777777" w:rsidR="00D30681" w:rsidRDefault="00D30681" w:rsidP="00D30681">
      <w:pPr>
        <w:pStyle w:val="NormaAlterada"/>
        <w:rPr>
          <w:strike/>
        </w:rPr>
      </w:pPr>
      <w:r w:rsidRPr="005537A3">
        <w:rPr>
          <w:strike/>
        </w:rPr>
        <w:t>IV – prêmios de seguro; e</w:t>
      </w:r>
    </w:p>
    <w:p w14:paraId="62538939" w14:textId="39C43DA1" w:rsidR="005537A3" w:rsidRDefault="005537A3" w:rsidP="00D30681">
      <w:pPr>
        <w:pStyle w:val="NormaAlterada"/>
        <w:rPr>
          <w:rStyle w:val="ui-provider"/>
        </w:rPr>
      </w:pPr>
      <w:r>
        <w:rPr>
          <w:rStyle w:val="ui-provider"/>
        </w:rPr>
        <w:t>IV – prêmios de seguro;</w:t>
      </w:r>
    </w:p>
    <w:p w14:paraId="3C09A528" w14:textId="656CC2BB" w:rsidR="005537A3" w:rsidRPr="005537A3" w:rsidRDefault="005537A3" w:rsidP="005537A3">
      <w:pPr>
        <w:pStyle w:val="Normalalteradora"/>
        <w:numPr>
          <w:ilvl w:val="0"/>
          <w:numId w:val="40"/>
        </w:numPr>
        <w:ind w:left="709" w:hanging="142"/>
        <w:rPr>
          <w:strike/>
        </w:rPr>
      </w:pPr>
      <w:r>
        <w:rPr>
          <w:rFonts w:cstheme="minorHAnsi"/>
          <w:b/>
          <w:i/>
          <w:iCs/>
        </w:rPr>
        <w:t xml:space="preserve"> Inciso VI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1642B0BC" w14:textId="77777777" w:rsidR="00D30681" w:rsidRDefault="00D30681" w:rsidP="00D30681">
      <w:pPr>
        <w:pStyle w:val="NormaAlterada"/>
        <w:rPr>
          <w:strike/>
        </w:rPr>
      </w:pPr>
      <w:r w:rsidRPr="005537A3">
        <w:rPr>
          <w:strike/>
        </w:rPr>
        <w:t xml:space="preserve">V – </w:t>
      </w:r>
      <w:bookmarkStart w:id="1074" w:name="_Int_imGiKJhG"/>
      <w:r w:rsidRPr="005537A3">
        <w:rPr>
          <w:strike/>
        </w:rPr>
        <w:t>inerentes</w:t>
      </w:r>
      <w:bookmarkEnd w:id="1074"/>
      <w:r w:rsidRPr="005537A3">
        <w:rPr>
          <w:strike/>
        </w:rPr>
        <w:t xml:space="preserve"> à realização de reuniões de comitês ou conselhos, dentro de limites estabelecidos no regulamento.</w:t>
      </w:r>
    </w:p>
    <w:p w14:paraId="17E06A5F" w14:textId="77777777" w:rsidR="005537A3" w:rsidRDefault="005537A3" w:rsidP="005537A3">
      <w:pPr>
        <w:pStyle w:val="NormaAlterada"/>
        <w:rPr>
          <w:rStyle w:val="ui-provider"/>
        </w:rPr>
      </w:pPr>
      <w:r>
        <w:rPr>
          <w:rStyle w:val="ui-provider"/>
        </w:rPr>
        <w:t xml:space="preserve">V – </w:t>
      </w:r>
      <w:r w:rsidRPr="0035006A">
        <w:t>inerentes</w:t>
      </w:r>
      <w:r>
        <w:rPr>
          <w:rStyle w:val="ui-provider"/>
        </w:rPr>
        <w:t xml:space="preserve"> à realização de reuniões de comitês ou conselhos, dentro de limites estabelecidos no regulamento; e </w:t>
      </w:r>
    </w:p>
    <w:p w14:paraId="36775047" w14:textId="797D8B92" w:rsidR="005537A3" w:rsidRPr="005537A3" w:rsidRDefault="005537A3" w:rsidP="005537A3">
      <w:pPr>
        <w:pStyle w:val="Normalalteradora"/>
        <w:numPr>
          <w:ilvl w:val="0"/>
          <w:numId w:val="40"/>
        </w:numPr>
        <w:ind w:left="709" w:hanging="142"/>
        <w:rPr>
          <w:strike/>
        </w:rPr>
      </w:pPr>
      <w:r>
        <w:rPr>
          <w:rFonts w:cstheme="minorHAnsi"/>
          <w:b/>
          <w:i/>
          <w:iCs/>
        </w:rPr>
        <w:t xml:space="preserve"> Inciso V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37681F55" w14:textId="5F0361D0" w:rsidR="005537A3" w:rsidRDefault="005537A3" w:rsidP="00D30681">
      <w:pPr>
        <w:pStyle w:val="NormaAlterada"/>
        <w:rPr>
          <w:rStyle w:val="ui-provider"/>
        </w:rPr>
      </w:pPr>
      <w:r>
        <w:rPr>
          <w:rStyle w:val="ui-provider"/>
        </w:rPr>
        <w:lastRenderedPageBreak/>
        <w:t xml:space="preserve">VI – contratação de </w:t>
      </w:r>
      <w:r w:rsidRPr="0035006A">
        <w:t>terceiros</w:t>
      </w:r>
      <w:r>
        <w:rPr>
          <w:rStyle w:val="ui-provider"/>
        </w:rPr>
        <w:t xml:space="preserve"> para prestar serviços legais, fiscais, contábeis e de consultoria especializada, dentro de limites estabelecidos pelo regulamento.</w:t>
      </w:r>
    </w:p>
    <w:p w14:paraId="788F22C1" w14:textId="1BEB3714" w:rsidR="005537A3" w:rsidRPr="005537A3" w:rsidRDefault="005537A3" w:rsidP="005537A3">
      <w:pPr>
        <w:pStyle w:val="Normalalteradora"/>
        <w:numPr>
          <w:ilvl w:val="0"/>
          <w:numId w:val="40"/>
        </w:numPr>
        <w:ind w:left="709" w:hanging="142"/>
        <w:rPr>
          <w:strike/>
        </w:rPr>
      </w:pPr>
      <w:r>
        <w:rPr>
          <w:rFonts w:cstheme="minorHAnsi"/>
          <w:b/>
          <w:i/>
          <w:iCs/>
        </w:rPr>
        <w:t xml:space="preserve"> Inciso VI incluído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1782E74E" w14:textId="77777777" w:rsidR="00D30681" w:rsidRPr="00A24992" w:rsidRDefault="00D30681" w:rsidP="00D30681">
      <w:pPr>
        <w:pStyle w:val="Captulo"/>
      </w:pPr>
      <w:bookmarkStart w:id="1075" w:name="_Toc161141365"/>
      <w:r w:rsidRPr="00373DA7">
        <w:t xml:space="preserve">CAPÍTULO </w:t>
      </w:r>
      <w:r w:rsidRPr="00A24992">
        <w:t>X</w:t>
      </w:r>
      <w:r w:rsidRPr="00373DA7">
        <w:t xml:space="preserve"> –</w:t>
      </w:r>
      <w:r>
        <w:t xml:space="preserve"> </w:t>
      </w:r>
      <w:r w:rsidRPr="00373DA7">
        <w:t>DIVULGAÇÃO DE INFORMAÇÕES</w:t>
      </w:r>
      <w:bookmarkEnd w:id="1075"/>
    </w:p>
    <w:p w14:paraId="13F047FF" w14:textId="77777777" w:rsidR="00D30681" w:rsidRPr="00B47EA2" w:rsidRDefault="00D30681" w:rsidP="00D30681">
      <w:pPr>
        <w:pStyle w:val="NormaAlterada"/>
      </w:pPr>
      <w:r w:rsidRPr="00B47EA2">
        <w:t xml:space="preserve">Art. </w:t>
      </w:r>
      <w:r>
        <w:t>29</w:t>
      </w:r>
      <w:r w:rsidRPr="00B47EA2">
        <w:t>.  O administrador deve enviar aos cotistas, à entidade administradora de mercado organizado onde as cotas estejam admitidas à negociação</w:t>
      </w:r>
      <w:r>
        <w:t>, se for o caso,</w:t>
      </w:r>
      <w:r w:rsidRPr="00B47EA2">
        <w:t xml:space="preserve"> e à CVM, por meio de </w:t>
      </w:r>
      <w:r>
        <w:t>sistema</w:t>
      </w:r>
      <w:r w:rsidRPr="00B47EA2">
        <w:t xml:space="preserve"> disponível na rede mundial de computadores, as seguintes informações:</w:t>
      </w:r>
    </w:p>
    <w:p w14:paraId="0406BF02" w14:textId="77777777" w:rsidR="00D30681" w:rsidRPr="00B47EA2" w:rsidRDefault="00D30681" w:rsidP="00D30681">
      <w:pPr>
        <w:pStyle w:val="NormaAlterada"/>
      </w:pPr>
      <w:r w:rsidRPr="75B1C058">
        <w:t xml:space="preserve">I – </w:t>
      </w:r>
      <w:bookmarkStart w:id="1076" w:name="_Int_b1XkUqBI"/>
      <w:r w:rsidRPr="75B1C058">
        <w:t>quadrimestralmente</w:t>
      </w:r>
      <w:bookmarkEnd w:id="1076"/>
      <w:r w:rsidRPr="75B1C058">
        <w:t xml:space="preserve">, em até 15 (quinze) dias após o encerramento do quadrimestre civil a que se referirem, as informações referidas no Suplemento </w:t>
      </w:r>
      <w:r w:rsidRPr="00430857">
        <w:t>L</w:t>
      </w:r>
      <w:r w:rsidRPr="75B1C058">
        <w:t>;</w:t>
      </w:r>
    </w:p>
    <w:p w14:paraId="11DA5A24" w14:textId="77777777" w:rsidR="00D30681" w:rsidRPr="00B47EA2" w:rsidRDefault="00D30681" w:rsidP="00D30681">
      <w:pPr>
        <w:pStyle w:val="NormaAlterada"/>
      </w:pPr>
      <w:r w:rsidRPr="75B1C058">
        <w:t xml:space="preserve">II – </w:t>
      </w:r>
      <w:bookmarkStart w:id="1077" w:name="_Int_HEOEmJ4y"/>
      <w:r w:rsidRPr="75B1C058">
        <w:t>semestralmente</w:t>
      </w:r>
      <w:bookmarkEnd w:id="1077"/>
      <w:r w:rsidRPr="75B1C058">
        <w:t>, em até 150 (cento e cinquenta) dias após o encerramento do semestre a que se referir, a composição da carteira, discriminando quantidade e espécie dos títulos e valores mobiliários que a integram;</w:t>
      </w:r>
    </w:p>
    <w:p w14:paraId="00C0C337" w14:textId="77777777" w:rsidR="00D30681" w:rsidRDefault="00D30681" w:rsidP="00D30681">
      <w:pPr>
        <w:pStyle w:val="NormaAlterada"/>
      </w:pPr>
      <w:r>
        <w:t>III – anualmente, em até 150 (cento e cinquenta) dias após o encerramento do exercício social</w:t>
      </w:r>
      <w:r w:rsidRPr="4A35BDEA">
        <w:t xml:space="preserve"> a que se referirem</w:t>
      </w:r>
      <w:r>
        <w:t xml:space="preserve">, as demonstrações contábeis </w:t>
      </w:r>
      <w:r w:rsidRPr="4A35BDEA">
        <w:t>do fundo e, caso existentes, de suas classes de cotas</w:t>
      </w:r>
      <w:r>
        <w:t xml:space="preserve">, acompanhadas dos </w:t>
      </w:r>
      <w:r w:rsidRPr="4A35BDEA">
        <w:t>pareceres de auditoria independente;</w:t>
      </w:r>
    </w:p>
    <w:p w14:paraId="7E0DC7EE" w14:textId="77777777" w:rsidR="00D30681" w:rsidRPr="00116310" w:rsidRDefault="00D30681" w:rsidP="00D30681">
      <w:pPr>
        <w:pStyle w:val="NormaAlterada"/>
      </w:pPr>
      <w:r w:rsidRPr="75B1C058">
        <w:t xml:space="preserve">IV – </w:t>
      </w:r>
      <w:bookmarkStart w:id="1078" w:name="_Int_bCnsDwT9"/>
      <w:r w:rsidRPr="75B1C058">
        <w:t>no</w:t>
      </w:r>
      <w:bookmarkEnd w:id="1078"/>
      <w:r w:rsidRPr="75B1C058">
        <w:t xml:space="preserve"> mesmo dia de sua convocação, edital de convocação e outros documentos relativos a assembleias de cotistas; e</w:t>
      </w:r>
    </w:p>
    <w:p w14:paraId="71BBE314" w14:textId="77777777" w:rsidR="00D30681" w:rsidRPr="00B47EA2" w:rsidRDefault="00D30681" w:rsidP="00D30681">
      <w:pPr>
        <w:pStyle w:val="NormaAlterada"/>
      </w:pPr>
      <w:r w:rsidRPr="75B1C058">
        <w:t xml:space="preserve">V – </w:t>
      </w:r>
      <w:bookmarkStart w:id="1079" w:name="_Int_NEWifEGI"/>
      <w:r w:rsidRPr="75B1C058">
        <w:t>em</w:t>
      </w:r>
      <w:bookmarkEnd w:id="1079"/>
      <w:r w:rsidRPr="75B1C058">
        <w:t xml:space="preserve"> até 8 (oito) dias após sua ocorrência, a ata da assembleia de cotistas.</w:t>
      </w:r>
    </w:p>
    <w:p w14:paraId="5003781E" w14:textId="77777777" w:rsidR="00D30681" w:rsidRPr="00B47EA2" w:rsidRDefault="00D30681" w:rsidP="00D30681">
      <w:pPr>
        <w:pStyle w:val="NormaAlterada"/>
      </w:pPr>
      <w:r w:rsidRPr="00B47EA2">
        <w:t xml:space="preserve">Parágrafo único.  A informação semestral referida no inciso II do </w:t>
      </w:r>
      <w:r w:rsidRPr="00B47EA2">
        <w:rPr>
          <w:b/>
        </w:rPr>
        <w:t>caput</w:t>
      </w:r>
      <w:r w:rsidRPr="00B47EA2">
        <w:t xml:space="preserve"> deve ser enviada à CVM com base no exercício social do fundo.</w:t>
      </w:r>
    </w:p>
    <w:p w14:paraId="3023E87F" w14:textId="77777777" w:rsidR="00D30681" w:rsidRPr="00B47EA2" w:rsidRDefault="00D30681" w:rsidP="00D30681">
      <w:pPr>
        <w:pStyle w:val="NormaAlterada"/>
      </w:pPr>
      <w:r w:rsidRPr="00B47EA2">
        <w:t xml:space="preserve">Art. </w:t>
      </w:r>
      <w:r>
        <w:t>30</w:t>
      </w:r>
      <w:r w:rsidRPr="340735EA">
        <w:t>.</w:t>
      </w:r>
      <w:r w:rsidRPr="00B47EA2">
        <w:t xml:space="preserve">  O administrador é o responsável pela elaboração e divulgação das demonstrações contábeis</w:t>
      </w:r>
      <w:r w:rsidRPr="00373DA7">
        <w:t>, deve</w:t>
      </w:r>
      <w:r w:rsidRPr="340735EA">
        <w:t>ndo</w:t>
      </w:r>
      <w:r w:rsidRPr="00373DA7">
        <w:t xml:space="preserve"> </w:t>
      </w:r>
      <w:r w:rsidRPr="00B47EA2">
        <w:t>definir a classificação contábil</w:t>
      </w:r>
      <w:r w:rsidRPr="00373DA7">
        <w:t xml:space="preserve"> </w:t>
      </w:r>
      <w:r>
        <w:t>da classe de cotas</w:t>
      </w:r>
      <w:r w:rsidRPr="00B47EA2">
        <w:t xml:space="preserve"> entre entidade ou não de investimento e efetuar o adequado reconhecimento, mensuração e divulgação do valor dos investimentos, conforme previsto na regulamentação específica.</w:t>
      </w:r>
    </w:p>
    <w:p w14:paraId="6C9B228E" w14:textId="77777777" w:rsidR="00D30681" w:rsidRPr="00B47EA2" w:rsidRDefault="00D30681" w:rsidP="00D30681">
      <w:pPr>
        <w:pStyle w:val="NormaAlterada"/>
      </w:pPr>
      <w:r w:rsidRPr="75B1C058">
        <w:t>§ 1</w:t>
      </w:r>
      <w:bookmarkStart w:id="1080" w:name="_Int_hqJ2wZ76"/>
      <w:r w:rsidRPr="75B1C058">
        <w:t>º  O</w:t>
      </w:r>
      <w:bookmarkEnd w:id="1080"/>
      <w:r w:rsidRPr="75B1C058">
        <w:t xml:space="preserve"> administrador, sem se eximir de suas responsabilidades pela elaboração das demonstrações contábeis, pode utilizar informações de terceiros, para efetuar a classificação contábil da classe de cotas ou, ainda, para determinar o valor justo dos seus investimentos.</w:t>
      </w:r>
    </w:p>
    <w:p w14:paraId="16899A4C" w14:textId="77777777" w:rsidR="00D30681" w:rsidRPr="00B47EA2" w:rsidRDefault="00D30681" w:rsidP="00D30681">
      <w:pPr>
        <w:pStyle w:val="NormaAlterada"/>
      </w:pPr>
      <w:r w:rsidRPr="75B1C058">
        <w:lastRenderedPageBreak/>
        <w:t>§ 2</w:t>
      </w:r>
      <w:bookmarkStart w:id="1081" w:name="_Int_O2st8iWz"/>
      <w:r w:rsidRPr="75B1C058">
        <w:t>º  Ao</w:t>
      </w:r>
      <w:bookmarkEnd w:id="1081"/>
      <w:r w:rsidRPr="75B1C058">
        <w:t xml:space="preserve"> utilizar informações de terceiros, nos termos do § 1º, o administrador deve, por meio de esforços razoáveis e no âmbito do seu dever de diligência, obter o conforto necessário sobre a adequação de tais informações obtidas.</w:t>
      </w:r>
    </w:p>
    <w:p w14:paraId="37F12110" w14:textId="77777777" w:rsidR="00D30681" w:rsidRPr="00B47EA2" w:rsidRDefault="00D30681" w:rsidP="00D30681">
      <w:pPr>
        <w:pStyle w:val="NormaAlterada"/>
      </w:pPr>
      <w:r>
        <w:t xml:space="preserve">§ </w:t>
      </w:r>
      <w:r w:rsidRPr="4A35BDEA">
        <w:t>3</w:t>
      </w:r>
      <w:bookmarkStart w:id="1082" w:name="_Int_y4CYPl8o"/>
      <w:r w:rsidRPr="4A35BDEA">
        <w:t>º</w:t>
      </w:r>
      <w:r>
        <w:t xml:space="preserve">  Caso</w:t>
      </w:r>
      <w:bookmarkEnd w:id="1082"/>
      <w:r>
        <w:t xml:space="preserve"> o gestor participe na avaliação dos investimentos a valor justo, as seguintes regras devem ser observadas: </w:t>
      </w:r>
    </w:p>
    <w:p w14:paraId="388E3948" w14:textId="77777777" w:rsidR="00D30681" w:rsidRPr="00B47EA2" w:rsidRDefault="00D30681" w:rsidP="00D30681">
      <w:pPr>
        <w:pStyle w:val="NormaAlterada"/>
      </w:pPr>
      <w:r w:rsidRPr="75B1C058">
        <w:t xml:space="preserve">I – </w:t>
      </w:r>
      <w:bookmarkStart w:id="1083" w:name="_Int_pMaWUvBZ"/>
      <w:r w:rsidRPr="75B1C058">
        <w:t>o</w:t>
      </w:r>
      <w:bookmarkEnd w:id="1083"/>
      <w:r w:rsidRPr="75B1C058">
        <w:t xml:space="preserve"> gestor deve possuir metodologia de avaliação estabelecida com base em critérios consistentes e passíveis de verificação;</w:t>
      </w:r>
    </w:p>
    <w:p w14:paraId="43384A29" w14:textId="77777777" w:rsidR="00D30681" w:rsidRPr="00B47EA2" w:rsidRDefault="00D30681" w:rsidP="00D30681">
      <w:pPr>
        <w:pStyle w:val="NormaAlterada"/>
      </w:pPr>
      <w:r w:rsidRPr="75B1C058">
        <w:t xml:space="preserve">II – </w:t>
      </w:r>
      <w:bookmarkStart w:id="1084" w:name="_Int_7MRjlVjr"/>
      <w:r w:rsidRPr="75B1C058">
        <w:t>a</w:t>
      </w:r>
      <w:bookmarkEnd w:id="1084"/>
      <w:r w:rsidRPr="75B1C058">
        <w:t xml:space="preserve"> remuneração do administrador ou do gestor não pode ser calculada sobre o resultado do ajuste a valor justo dos investimentos ainda não alienados; e</w:t>
      </w:r>
    </w:p>
    <w:p w14:paraId="6181D9EA" w14:textId="77777777" w:rsidR="00D30681" w:rsidRPr="00B47EA2" w:rsidRDefault="00D30681" w:rsidP="00D30681">
      <w:pPr>
        <w:pStyle w:val="NormaAlterada"/>
      </w:pPr>
      <w:r w:rsidRPr="00B47EA2">
        <w:t xml:space="preserve">III – a taxa de </w:t>
      </w:r>
      <w:r w:rsidRPr="00E36CF0">
        <w:t>performance</w:t>
      </w:r>
      <w:r w:rsidRPr="00B47EA2">
        <w:t xml:space="preserve">, ou qualquer outro tipo de remuneração de desempenho baseada na rentabilidade </w:t>
      </w:r>
      <w:r w:rsidRPr="00E36CF0">
        <w:t>da classe de cotas</w:t>
      </w:r>
      <w:r w:rsidRPr="00B47EA2">
        <w:t>, somente pode ser recebida quando da distribuição de rendimentos aos cotistas.</w:t>
      </w:r>
    </w:p>
    <w:p w14:paraId="4D91C9BD" w14:textId="77777777" w:rsidR="00D30681" w:rsidRPr="00B47EA2" w:rsidRDefault="00D30681" w:rsidP="00D30681">
      <w:pPr>
        <w:pStyle w:val="NormaAlterada"/>
      </w:pPr>
      <w:r w:rsidRPr="75B1C058">
        <w:t>Art. 31.  Na ocorrência de alteração no valor justo dos investimentos que impacte materialmente o patrimônio líquido</w:t>
      </w:r>
      <w:r w:rsidRPr="00281706">
        <w:t xml:space="preserve"> da classe de cotas</w:t>
      </w:r>
      <w:r w:rsidRPr="009559A6">
        <w:t xml:space="preserve">, </w:t>
      </w:r>
      <w:r w:rsidRPr="75B1C058">
        <w:t xml:space="preserve">e do correspondente reconhecimento contábil dessa alteração, no caso de </w:t>
      </w:r>
      <w:r w:rsidRPr="00281706">
        <w:t>a classe</w:t>
      </w:r>
      <w:r w:rsidRPr="75B1C058">
        <w:t xml:space="preserve"> ser </w:t>
      </w:r>
      <w:r w:rsidRPr="00281706">
        <w:t>qualificada</w:t>
      </w:r>
      <w:r w:rsidRPr="75B1C058">
        <w:t xml:space="preserve"> como entidade para investimento, o administrador deve:</w:t>
      </w:r>
    </w:p>
    <w:p w14:paraId="6CF5286E" w14:textId="77777777" w:rsidR="00D30681" w:rsidRPr="00B47EA2" w:rsidRDefault="00D30681" w:rsidP="00D30681">
      <w:pPr>
        <w:pStyle w:val="NormaAlterada"/>
      </w:pPr>
      <w:r w:rsidRPr="75B1C058">
        <w:t xml:space="preserve">I – </w:t>
      </w:r>
      <w:bookmarkStart w:id="1085" w:name="_Int_jyOXRy3b"/>
      <w:r w:rsidRPr="75B1C058">
        <w:t>disponibilizar</w:t>
      </w:r>
      <w:bookmarkEnd w:id="1085"/>
      <w:r w:rsidRPr="75B1C058">
        <w:t xml:space="preserve"> aos cotistas, em até 5 (cinco) dias úteis após a data do reconhecimento contábil:</w:t>
      </w:r>
    </w:p>
    <w:p w14:paraId="141CFCD3" w14:textId="77777777" w:rsidR="00D30681" w:rsidRPr="00B47EA2" w:rsidRDefault="00D30681" w:rsidP="00D30681">
      <w:pPr>
        <w:pStyle w:val="NormaAlterada"/>
      </w:pPr>
      <w:r w:rsidRPr="75B1C058">
        <w:t xml:space="preserve">a) um relatório, elaborado </w:t>
      </w:r>
      <w:r w:rsidRPr="00281706">
        <w:t>pelos prestadores de serviços essenciais</w:t>
      </w:r>
      <w:r w:rsidRPr="75B1C058">
        <w:t>, com as justificativas para a alteração no valor justo, incluindo um comparativo entre as premissas e estimativas utilizadas nas avaliações atual e anterior; e</w:t>
      </w:r>
    </w:p>
    <w:p w14:paraId="371BDDAE" w14:textId="77777777" w:rsidR="00D30681" w:rsidRPr="00B47EA2" w:rsidRDefault="00D30681" w:rsidP="00D30681">
      <w:pPr>
        <w:pStyle w:val="NormaAlterada"/>
      </w:pPr>
      <w:r w:rsidRPr="00B47EA2">
        <w:t xml:space="preserve">b) o efeito da nova avaliação sobre o resultado do exercício e patrimônio líquido </w:t>
      </w:r>
      <w:r w:rsidRPr="00373DA7">
        <w:t>apurado</w:t>
      </w:r>
      <w:r w:rsidRPr="00B47EA2">
        <w:t xml:space="preserve"> de forma intermediária; e</w:t>
      </w:r>
    </w:p>
    <w:p w14:paraId="43142A70" w14:textId="77777777" w:rsidR="00D30681" w:rsidRPr="00B47EA2" w:rsidRDefault="00D30681" w:rsidP="00D30681">
      <w:pPr>
        <w:pStyle w:val="NormaAlterada"/>
      </w:pPr>
      <w:r w:rsidRPr="75B1C058">
        <w:t xml:space="preserve">II – </w:t>
      </w:r>
      <w:bookmarkStart w:id="1086" w:name="_Int_mVgzJwBT"/>
      <w:r w:rsidRPr="75B1C058">
        <w:t>elaborar</w:t>
      </w:r>
      <w:bookmarkEnd w:id="1086"/>
      <w:r w:rsidRPr="75B1C058">
        <w:t xml:space="preserve"> as demonstrações contábeis </w:t>
      </w:r>
      <w:r w:rsidRPr="00281706">
        <w:t>da classe de cotas</w:t>
      </w:r>
      <w:r w:rsidRPr="75B1C058">
        <w:t xml:space="preserve"> para o período compreendido entre a data de início do exercício e a respectiva data do reconhecimento contábil dos efeitos da nova mensuração caso:</w:t>
      </w:r>
    </w:p>
    <w:p w14:paraId="77ACD670" w14:textId="77777777" w:rsidR="00D30681" w:rsidRPr="00B47EA2" w:rsidRDefault="00D30681" w:rsidP="00D30681">
      <w:pPr>
        <w:pStyle w:val="NormaAlterada"/>
      </w:pPr>
      <w:r w:rsidRPr="75B1C058">
        <w:t>a) sejam emitidas novas cotas da mesma classe até 10 (dez) meses após o reconhecimento contábil dos efeitos da nova avaliação;</w:t>
      </w:r>
    </w:p>
    <w:p w14:paraId="3CAB7907" w14:textId="77777777" w:rsidR="00D30681" w:rsidRPr="00B47EA2" w:rsidRDefault="00D30681" w:rsidP="00D30681">
      <w:pPr>
        <w:pStyle w:val="NormaAlterada"/>
      </w:pPr>
      <w:r w:rsidRPr="75B1C058">
        <w:t xml:space="preserve">b) as cotas </w:t>
      </w:r>
      <w:r w:rsidRPr="00281706">
        <w:t>da mesma classe</w:t>
      </w:r>
      <w:r w:rsidRPr="75B1C058">
        <w:t xml:space="preserve"> sejam admitidas à negociação em mercados organizados; ou</w:t>
      </w:r>
    </w:p>
    <w:p w14:paraId="194EE294" w14:textId="77777777" w:rsidR="00D30681" w:rsidRPr="00B47EA2" w:rsidRDefault="00D30681" w:rsidP="00D30681">
      <w:pPr>
        <w:pStyle w:val="NormaAlterada"/>
      </w:pPr>
      <w:r w:rsidRPr="75B1C058">
        <w:lastRenderedPageBreak/>
        <w:t>c) haja aprovação por maioria das cotas presentes em assembleia de cotistas convocada por solicitação dos cotistas da classe cujo patrimônio líquido foi reavaliado.</w:t>
      </w:r>
    </w:p>
    <w:p w14:paraId="025703DD" w14:textId="77777777" w:rsidR="00D30681" w:rsidRDefault="00D30681" w:rsidP="00D30681">
      <w:pPr>
        <w:pStyle w:val="NormaAlterada"/>
      </w:pPr>
      <w:r w:rsidRPr="75B1C058">
        <w:t>§ 1</w:t>
      </w:r>
      <w:bookmarkStart w:id="1087" w:name="_Int_3PaI4FZs"/>
      <w:r w:rsidRPr="75B1C058">
        <w:t>º  As</w:t>
      </w:r>
      <w:bookmarkEnd w:id="1087"/>
      <w:r w:rsidRPr="75B1C058">
        <w:t xml:space="preserve"> demonstrações contábeis referidas no inciso II do </w:t>
      </w:r>
      <w:r w:rsidRPr="75B1C058">
        <w:rPr>
          <w:b/>
          <w:bCs/>
        </w:rPr>
        <w:t>caput</w:t>
      </w:r>
      <w:r w:rsidRPr="75B1C058">
        <w:t xml:space="preserve"> devem ser auditadas por auditores independentes registrados na CVM e enviadas aos cotistas e à CVM em até 90 (noventa) dias após a data do reconhecimento contábil dos efeitos da nova mensuração.</w:t>
      </w:r>
    </w:p>
    <w:p w14:paraId="5F3BDC52" w14:textId="77777777" w:rsidR="00D30681" w:rsidRDefault="00D30681" w:rsidP="00D30681">
      <w:pPr>
        <w:pStyle w:val="NormaAlterada"/>
      </w:pPr>
      <w:r w:rsidRPr="75B1C058">
        <w:t>§ 2</w:t>
      </w:r>
      <w:bookmarkStart w:id="1088" w:name="_Int_1saQfgYo"/>
      <w:r w:rsidRPr="75B1C058">
        <w:t>º  Fica</w:t>
      </w:r>
      <w:bookmarkEnd w:id="1088"/>
      <w:r w:rsidRPr="75B1C058">
        <w:t xml:space="preserve"> dispensada a elaboração das demonstrações contábeis referidas no § 1º quando estas se encerrarem 2 (dois) meses antes da data de encerramento do exercício social, salvo se houver aprovação dos cotistas reunidos em assembleia</w:t>
      </w:r>
      <w:r w:rsidRPr="009559A6">
        <w:t>,</w:t>
      </w:r>
      <w:r w:rsidRPr="75B1C058">
        <w:t xml:space="preserve"> nos termos </w:t>
      </w:r>
      <w:r w:rsidRPr="009559A6">
        <w:t>da</w:t>
      </w:r>
      <w:r w:rsidRPr="75B1C058">
        <w:t xml:space="preserve"> alínea “c</w:t>
      </w:r>
      <w:r w:rsidRPr="009559A6">
        <w:t>”</w:t>
      </w:r>
      <w:r w:rsidRPr="75B1C058">
        <w:t xml:space="preserve"> do </w:t>
      </w:r>
      <w:r w:rsidRPr="009559A6">
        <w:t>inciso II</w:t>
      </w:r>
      <w:r w:rsidRPr="75B1C058">
        <w:t>.</w:t>
      </w:r>
    </w:p>
    <w:p w14:paraId="168027FC" w14:textId="77777777" w:rsidR="00D30681" w:rsidRPr="00A24992" w:rsidRDefault="00D30681" w:rsidP="00D30681">
      <w:pPr>
        <w:pStyle w:val="Captulo"/>
      </w:pPr>
      <w:bookmarkStart w:id="1089" w:name="_Toc161141366"/>
      <w:r w:rsidRPr="00373DA7">
        <w:t xml:space="preserve">CAPÍTULO </w:t>
      </w:r>
      <w:r w:rsidRPr="00A24992">
        <w:t>XI</w:t>
      </w:r>
      <w:r w:rsidRPr="00373DA7">
        <w:t xml:space="preserve"> – PENALIDADES E MULTA COMINATÓRIA</w:t>
      </w:r>
      <w:bookmarkEnd w:id="1089"/>
    </w:p>
    <w:p w14:paraId="4D8AB222" w14:textId="77777777" w:rsidR="00D30681" w:rsidRPr="00826304" w:rsidRDefault="00D30681" w:rsidP="00D30681">
      <w:pPr>
        <w:pStyle w:val="NormaAlterada"/>
      </w:pPr>
      <w:r w:rsidRPr="00826304">
        <w:t>Art. 32.  Em acréscimo às condutas previstas no art. 131 da parte geral da Resolução, considera-se</w:t>
      </w:r>
      <w:r w:rsidRPr="00826304">
        <w:rPr>
          <w:color w:val="2B579A"/>
          <w:shd w:val="clear" w:color="auto" w:fill="E6E6E6"/>
        </w:rPr>
        <w:t xml:space="preserve"> </w:t>
      </w:r>
      <w:r w:rsidRPr="00826304">
        <w:t xml:space="preserve">infração grave a violação dos </w:t>
      </w:r>
      <w:proofErr w:type="spellStart"/>
      <w:r w:rsidRPr="00826304">
        <w:t>arts</w:t>
      </w:r>
      <w:proofErr w:type="spellEnd"/>
      <w:r w:rsidRPr="00826304">
        <w:t>. 4º; 5º; 7º; 8º; 11; 12; 14 ao 17; 21, 66; 72 e 118 da parte geral da Resolução; e</w:t>
      </w:r>
      <w:r>
        <w:t xml:space="preserve"> </w:t>
      </w:r>
      <w:r w:rsidRPr="00826304">
        <w:t>26, § 2º; 27; 29; e 31 deste Anexo Normativo IV.</w:t>
      </w:r>
    </w:p>
    <w:p w14:paraId="5CE0960C" w14:textId="77777777" w:rsidR="00D30681" w:rsidRPr="00A24992" w:rsidRDefault="00D30681" w:rsidP="00D30681">
      <w:pPr>
        <w:pStyle w:val="Captulo"/>
      </w:pPr>
      <w:bookmarkStart w:id="1090" w:name="_Toc161141367"/>
      <w:r w:rsidRPr="00373DA7">
        <w:t xml:space="preserve">CAPÍTULO </w:t>
      </w:r>
      <w:r w:rsidRPr="00A24992">
        <w:t>XII</w:t>
      </w:r>
      <w:r w:rsidRPr="00373DA7">
        <w:t xml:space="preserve"> – DISPOSIÇÕES TRANSITÓRIAS</w:t>
      </w:r>
      <w:bookmarkEnd w:id="1090"/>
    </w:p>
    <w:p w14:paraId="2EE92014" w14:textId="77777777" w:rsidR="00D30681" w:rsidRPr="00B47EA2" w:rsidDel="00347870" w:rsidRDefault="00D30681" w:rsidP="00D30681">
      <w:pPr>
        <w:pStyle w:val="NormaAlterada"/>
      </w:pPr>
      <w:r w:rsidRPr="00B47EA2">
        <w:t xml:space="preserve">Art. </w:t>
      </w:r>
      <w:r>
        <w:t>33</w:t>
      </w:r>
      <w:r w:rsidRPr="2108FDC7">
        <w:t>.</w:t>
      </w:r>
      <w:r w:rsidRPr="00B47EA2">
        <w:t xml:space="preserve">  As companhias investidas pelos Fundos Mútuos de Investimento em Empresas Emergentes </w:t>
      </w:r>
      <w:r w:rsidRPr="2108FDC7">
        <w:t>emissoras de ativos que ainda integram a carteira dos FIP</w:t>
      </w:r>
      <w:r w:rsidRPr="00B47EA2">
        <w:t xml:space="preserve"> poderão receber novos aportes e estão dispensadas de observar:</w:t>
      </w:r>
    </w:p>
    <w:p w14:paraId="40807150" w14:textId="77777777" w:rsidR="00D30681" w:rsidRPr="00B47EA2" w:rsidDel="00347870" w:rsidRDefault="00D30681" w:rsidP="00D30681">
      <w:pPr>
        <w:pStyle w:val="NormaAlterada"/>
      </w:pPr>
      <w:r w:rsidRPr="75B1C058">
        <w:t xml:space="preserve">I – </w:t>
      </w:r>
      <w:bookmarkStart w:id="1091" w:name="_Int_ok2q0aQU"/>
      <w:r w:rsidRPr="75B1C058">
        <w:t>o</w:t>
      </w:r>
      <w:bookmarkEnd w:id="1091"/>
      <w:r w:rsidRPr="75B1C058">
        <w:t xml:space="preserve"> exercício da efetiva influência na sua gestão, conforme disposto nos </w:t>
      </w:r>
      <w:proofErr w:type="spellStart"/>
      <w:r w:rsidRPr="75B1C058">
        <w:t>arts</w:t>
      </w:r>
      <w:proofErr w:type="spellEnd"/>
      <w:r w:rsidRPr="75B1C058">
        <w:t>. 5º e 6º deste Anexo Normativo IV; e</w:t>
      </w:r>
    </w:p>
    <w:p w14:paraId="1A87DFEF" w14:textId="77777777" w:rsidR="00D30681" w:rsidRPr="00B47EA2" w:rsidDel="00347870" w:rsidRDefault="00D30681" w:rsidP="00D30681">
      <w:pPr>
        <w:pStyle w:val="NormaAlterada"/>
      </w:pPr>
      <w:r w:rsidRPr="75B1C058">
        <w:t xml:space="preserve">II – </w:t>
      </w:r>
      <w:bookmarkStart w:id="1092" w:name="_Int_3CUKXQT4"/>
      <w:r w:rsidRPr="75B1C058">
        <w:t>o</w:t>
      </w:r>
      <w:bookmarkEnd w:id="1092"/>
      <w:r w:rsidRPr="75B1C058">
        <w:t xml:space="preserve"> cumprimento do disposto no art. 8º deste Anexo Normativo IV, exceto quanto ao disposto em seu inciso VI.</w:t>
      </w:r>
    </w:p>
    <w:p w14:paraId="69A68D71" w14:textId="77777777" w:rsidR="00D30681" w:rsidRPr="00D271D6" w:rsidRDefault="00D30681" w:rsidP="00D30681">
      <w:pPr>
        <w:pStyle w:val="NormaAlterada"/>
      </w:pPr>
      <w:r w:rsidRPr="003C6D90">
        <w:t>Parágrafo único.  As classes de investimento em cotas originárias dos</w:t>
      </w:r>
      <w:r w:rsidRPr="00D271D6">
        <w:t xml:space="preserve"> Fundos Mútuos de Investimento em Empresas Emergentes não podem ter o seu prazo de duração prorrogado enquanto adotarem as dispensas previstas no </w:t>
      </w:r>
      <w:r w:rsidRPr="00D271D6">
        <w:rPr>
          <w:b/>
        </w:rPr>
        <w:t>caput</w:t>
      </w:r>
      <w:r w:rsidRPr="00D271D6">
        <w:t>.</w:t>
      </w:r>
    </w:p>
    <w:p w14:paraId="358D1C0A" w14:textId="77777777" w:rsidR="00D30681" w:rsidRPr="00B47EA2" w:rsidDel="00347870" w:rsidRDefault="00D30681" w:rsidP="00D30681">
      <w:pPr>
        <w:pStyle w:val="NormaAlterada"/>
      </w:pPr>
      <w:r w:rsidRPr="75B1C058">
        <w:t xml:space="preserve">Art. 34.  As classes de investimento em cotas originárias de Fundos de Investimento em Cotas de Fundos de Investimento em Participações que tenham obtido registro de funcionamento até 31 de agosto de 2016 estão dispensadas de observar a tipificação estabelecida no art. 13 deste Anexo Normativo IV, </w:t>
      </w:r>
      <w:r w:rsidRPr="75B1C058">
        <w:lastRenderedPageBreak/>
        <w:t>desde que mantenham, no mínimo, 90% (noventa por cento) de seu patrimônio aplicado em cotas de FIP ou Fundos de Ações – Mercado de Acesso.</w:t>
      </w:r>
    </w:p>
    <w:p w14:paraId="01798C5F" w14:textId="77777777" w:rsidR="00D30681" w:rsidRPr="00B47EA2" w:rsidRDefault="00D30681" w:rsidP="00D30681">
      <w:pPr>
        <w:pStyle w:val="NormaAlterada"/>
      </w:pPr>
      <w:r w:rsidRPr="75B1C058">
        <w:t xml:space="preserve">Art. 35.  O limite de que trata o </w:t>
      </w:r>
      <w:r w:rsidRPr="75B1C058">
        <w:rPr>
          <w:b/>
          <w:bCs/>
        </w:rPr>
        <w:t>caput</w:t>
      </w:r>
      <w:r w:rsidRPr="75B1C058">
        <w:t xml:space="preserve"> do art. 11 deste Anexo Normativo IV não é aplicável para classes de cotas originárias de fundos em funcionamento antes de 12 de maio de 2011 e que, a partir dessa data:</w:t>
      </w:r>
    </w:p>
    <w:p w14:paraId="2F0AB8BB" w14:textId="77777777" w:rsidR="00D30681" w:rsidRPr="00B47EA2" w:rsidRDefault="00D30681" w:rsidP="00D30681">
      <w:pPr>
        <w:pStyle w:val="NormaAlterada"/>
      </w:pPr>
      <w:r w:rsidRPr="75B1C058">
        <w:t xml:space="preserve">I – </w:t>
      </w:r>
      <w:bookmarkStart w:id="1093" w:name="_Int_LhAofXw1"/>
      <w:r w:rsidRPr="75B1C058">
        <w:t>não</w:t>
      </w:r>
      <w:bookmarkEnd w:id="1093"/>
      <w:r w:rsidRPr="75B1C058">
        <w:t xml:space="preserve"> efetuaram novas chamadas de capital; ou</w:t>
      </w:r>
    </w:p>
    <w:p w14:paraId="14F7B1D6" w14:textId="77777777" w:rsidR="00063BE2" w:rsidRDefault="00486FFE" w:rsidP="00063BE2">
      <w:pPr>
        <w:spacing w:before="120" w:after="120" w:line="312" w:lineRule="auto"/>
        <w:ind w:firstLine="425"/>
        <w:jc w:val="both"/>
        <w:rPr>
          <w:rFonts w:asciiTheme="minorHAnsi" w:hAnsiTheme="minorHAnsi" w:cstheme="minorHAnsi"/>
          <w:sz w:val="24"/>
          <w:szCs w:val="24"/>
        </w:rPr>
      </w:pPr>
      <w:r>
        <w:rPr>
          <w:rFonts w:asciiTheme="minorHAnsi" w:hAnsiTheme="minorHAnsi" w:cstheme="minorHAnsi"/>
          <w:sz w:val="24"/>
          <w:szCs w:val="24"/>
        </w:rPr>
        <w:t xml:space="preserve">  </w:t>
      </w:r>
      <w:r w:rsidR="00D30681" w:rsidRPr="00D30681">
        <w:rPr>
          <w:rFonts w:asciiTheme="minorHAnsi" w:hAnsiTheme="minorHAnsi" w:cstheme="minorHAnsi"/>
          <w:sz w:val="24"/>
          <w:szCs w:val="24"/>
        </w:rPr>
        <w:t xml:space="preserve">II – </w:t>
      </w:r>
      <w:bookmarkStart w:id="1094" w:name="_Int_t6vfqefW"/>
      <w:r w:rsidR="00D30681" w:rsidRPr="00D30681">
        <w:rPr>
          <w:rFonts w:asciiTheme="minorHAnsi" w:hAnsiTheme="minorHAnsi" w:cstheme="minorHAnsi"/>
          <w:sz w:val="24"/>
          <w:szCs w:val="24"/>
        </w:rPr>
        <w:t>efetuaram</w:t>
      </w:r>
      <w:bookmarkEnd w:id="1094"/>
      <w:r w:rsidR="00D30681" w:rsidRPr="00D30681">
        <w:rPr>
          <w:rFonts w:asciiTheme="minorHAnsi" w:hAnsiTheme="minorHAnsi" w:cstheme="minorHAnsi"/>
          <w:sz w:val="24"/>
          <w:szCs w:val="24"/>
        </w:rPr>
        <w:t xml:space="preserve"> novas chamadas de capital com propósito exclusivo de pagamento de encargos</w:t>
      </w:r>
      <w:r w:rsidR="00063BE2">
        <w:rPr>
          <w:rFonts w:asciiTheme="minorHAnsi" w:hAnsiTheme="minorHAnsi" w:cstheme="minorHAnsi"/>
          <w:sz w:val="24"/>
          <w:szCs w:val="24"/>
        </w:rPr>
        <w:t>.</w:t>
      </w:r>
    </w:p>
    <w:p w14:paraId="44233DAA" w14:textId="2EEBA896" w:rsidR="00511A1B" w:rsidRPr="00517AE6" w:rsidRDefault="00511A1B" w:rsidP="00511A1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IV</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2302F950" w14:textId="77777777" w:rsidR="00511A1B" w:rsidRDefault="00511A1B" w:rsidP="00063BE2">
      <w:pPr>
        <w:spacing w:before="120" w:after="120" w:line="312" w:lineRule="auto"/>
        <w:ind w:firstLine="425"/>
        <w:jc w:val="both"/>
        <w:rPr>
          <w:rFonts w:asciiTheme="minorHAnsi" w:hAnsiTheme="minorHAnsi" w:cstheme="minorHAnsi"/>
          <w:sz w:val="24"/>
          <w:szCs w:val="24"/>
        </w:rPr>
      </w:pPr>
    </w:p>
    <w:p w14:paraId="7A1A417A" w14:textId="21B6E74E" w:rsidR="00511A1B" w:rsidRDefault="00511A1B" w:rsidP="00063BE2">
      <w:pPr>
        <w:spacing w:before="120" w:after="120" w:line="312" w:lineRule="auto"/>
        <w:ind w:firstLine="425"/>
        <w:jc w:val="both"/>
        <w:rPr>
          <w:rFonts w:asciiTheme="minorHAnsi" w:hAnsiTheme="minorHAnsi" w:cstheme="minorHAnsi"/>
          <w:sz w:val="24"/>
          <w:szCs w:val="24"/>
        </w:rPr>
        <w:sectPr w:rsidR="00511A1B" w:rsidSect="002A08BD">
          <w:headerReference w:type="default" r:id="rId20"/>
          <w:pgSz w:w="11906" w:h="16838"/>
          <w:pgMar w:top="2268" w:right="567" w:bottom="851" w:left="1134" w:header="709" w:footer="709" w:gutter="0"/>
          <w:cols w:space="708"/>
          <w:docGrid w:linePitch="360"/>
        </w:sectPr>
      </w:pPr>
    </w:p>
    <w:p w14:paraId="1193597A" w14:textId="0CB12ED3" w:rsidR="00D30681" w:rsidRPr="00D81603" w:rsidRDefault="00063BE2" w:rsidP="00DD2B1F">
      <w:pPr>
        <w:pStyle w:val="TtulodaResoluo"/>
        <w:spacing w:after="0"/>
        <w:ind w:firstLine="0"/>
      </w:pPr>
      <w:bookmarkStart w:id="1095" w:name="_Toc161141368"/>
      <w:r>
        <w:rPr>
          <w:rFonts w:asciiTheme="minorHAnsi" w:hAnsiTheme="minorHAnsi" w:cstheme="minorHAnsi"/>
        </w:rPr>
        <w:lastRenderedPageBreak/>
        <w:t>A</w:t>
      </w:r>
      <w:r w:rsidR="00D30681" w:rsidRPr="00D81603">
        <w:t>NEXO NORMATIVO V – FUNDOS DE ÍNDICE</w:t>
      </w:r>
      <w:bookmarkEnd w:id="1095"/>
    </w:p>
    <w:p w14:paraId="5CDC4DCC" w14:textId="77777777" w:rsidR="00D30681" w:rsidRPr="00C10AD7" w:rsidRDefault="00D30681" w:rsidP="00D30681">
      <w:pPr>
        <w:pStyle w:val="Recuodecorpodetexto"/>
        <w:spacing w:line="312" w:lineRule="auto"/>
        <w:ind w:left="5102"/>
        <w:rPr>
          <w:rFonts w:asciiTheme="minorHAnsi" w:hAnsiTheme="minorHAnsi" w:cstheme="minorBidi"/>
        </w:rPr>
      </w:pPr>
      <w:r w:rsidRPr="6224D431">
        <w:rPr>
          <w:rFonts w:asciiTheme="minorHAnsi" w:hAnsiTheme="minorHAnsi" w:cstheme="minorBidi"/>
        </w:rPr>
        <w:t>Dispõe sobre as regras específicas para os fundos de investimento em índice de mercado.</w:t>
      </w:r>
    </w:p>
    <w:p w14:paraId="0AA178F5" w14:textId="77777777" w:rsidR="00D30681" w:rsidRPr="00510E01" w:rsidRDefault="00D30681" w:rsidP="00D30681">
      <w:pPr>
        <w:pStyle w:val="Captulo"/>
      </w:pPr>
      <w:bookmarkStart w:id="1096" w:name="_Toc161141369"/>
      <w:r w:rsidRPr="00510E01">
        <w:t>CAPÍTULO I – ÂMBITO E FINALIDADE</w:t>
      </w:r>
      <w:bookmarkEnd w:id="1096"/>
    </w:p>
    <w:p w14:paraId="6FAA0D6B" w14:textId="77777777" w:rsidR="00D30681" w:rsidRPr="00510E01" w:rsidRDefault="00D30681" w:rsidP="00D30681">
      <w:pPr>
        <w:pStyle w:val="NormaAlterada"/>
      </w:pPr>
      <w:r w:rsidRPr="00510E01">
        <w:t>Art. 1</w:t>
      </w:r>
      <w:bookmarkStart w:id="1097" w:name="_Int_PFdRqnBo"/>
      <w:r w:rsidRPr="00510E01">
        <w:t>º  Este</w:t>
      </w:r>
      <w:bookmarkEnd w:id="1097"/>
      <w:r w:rsidRPr="00510E01">
        <w:t xml:space="preserve"> Anexo Normativo V à Resolução </w:t>
      </w:r>
      <w:bookmarkStart w:id="1098" w:name="_Int_M6lD0pPq"/>
      <w:r w:rsidRPr="00510E01">
        <w:t>CVM</w:t>
      </w:r>
      <w:bookmarkEnd w:id="1098"/>
      <w:r w:rsidRPr="00510E01">
        <w:t xml:space="preserve"> nº 175 (“Resolução”) dispõe sobre as regras específicas para os fundos de investimento em índice de mercado – fundos de índice.</w:t>
      </w:r>
    </w:p>
    <w:p w14:paraId="69D1A779" w14:textId="77777777" w:rsidR="00D30681" w:rsidRPr="00510E01" w:rsidRDefault="00D30681" w:rsidP="00D30681">
      <w:pPr>
        <w:pStyle w:val="Captulo"/>
      </w:pPr>
      <w:bookmarkStart w:id="1099" w:name="_Toc161141370"/>
      <w:r w:rsidRPr="00510E01">
        <w:t>CAPÍTULO II – CARACTERÍSTICAS E CONSTITUIÇÃO</w:t>
      </w:r>
      <w:bookmarkEnd w:id="1099"/>
    </w:p>
    <w:p w14:paraId="2B12B27D" w14:textId="77777777" w:rsidR="00D30681" w:rsidRPr="00510E01" w:rsidRDefault="00D30681" w:rsidP="00D30681">
      <w:pPr>
        <w:pStyle w:val="NormaAlterada"/>
      </w:pPr>
      <w:r w:rsidRPr="00510E01">
        <w:t>Art. 2</w:t>
      </w:r>
      <w:bookmarkStart w:id="1100" w:name="_Int_GLRGGmXd"/>
      <w:r w:rsidRPr="00510E01">
        <w:t>º  O</w:t>
      </w:r>
      <w:bookmarkEnd w:id="1100"/>
      <w:r w:rsidRPr="00510E01">
        <w:t xml:space="preserve"> fundo de índice é destinado à aplicação em carteira de ativos financeiros que vise refletir as variações e rentabilidade de um índice de referência, por prazo indeterminado.</w:t>
      </w:r>
    </w:p>
    <w:p w14:paraId="07561D9C" w14:textId="77777777" w:rsidR="00D30681" w:rsidRPr="00510E01" w:rsidRDefault="00D30681" w:rsidP="00D30681">
      <w:pPr>
        <w:pStyle w:val="NormaAlterada"/>
      </w:pPr>
      <w:r w:rsidRPr="00510E01">
        <w:t>§ 1</w:t>
      </w:r>
      <w:bookmarkStart w:id="1101" w:name="_Int_keBR5rxx"/>
      <w:r w:rsidRPr="00510E01">
        <w:t>º  Para</w:t>
      </w:r>
      <w:bookmarkEnd w:id="1101"/>
      <w:r w:rsidRPr="00510E01">
        <w:t xml:space="preserve"> os efeitos deste Anexo Normativo V, índice de referência é o índice de mercado específico reconhecido pela CVM ao qual a política de investimento esteja associada.</w:t>
      </w:r>
    </w:p>
    <w:p w14:paraId="0DBAA5FE" w14:textId="77777777" w:rsidR="00D30681" w:rsidRPr="00510E01" w:rsidRDefault="00D30681" w:rsidP="00D30681">
      <w:pPr>
        <w:pStyle w:val="NormaAlterada"/>
      </w:pPr>
      <w:r w:rsidRPr="00510E01">
        <w:t>§ 2</w:t>
      </w:r>
      <w:bookmarkStart w:id="1102" w:name="_Int_uqyiR0rS"/>
      <w:r w:rsidRPr="00510E01">
        <w:t>º  O</w:t>
      </w:r>
      <w:bookmarkEnd w:id="1102"/>
      <w:r w:rsidRPr="00510E01">
        <w:t xml:space="preserve"> reconhecimento do índice de referência pela CVM considera, no mínimo, os seguintes critérios:</w:t>
      </w:r>
    </w:p>
    <w:p w14:paraId="4C7EBD37" w14:textId="77777777" w:rsidR="00D30681" w:rsidRPr="00510E01" w:rsidRDefault="00D30681" w:rsidP="00D30681">
      <w:pPr>
        <w:pStyle w:val="NormaAlterada"/>
      </w:pPr>
      <w:r w:rsidRPr="00510E01">
        <w:t xml:space="preserve">I – </w:t>
      </w:r>
      <w:bookmarkStart w:id="1103" w:name="_Int_kjb2OWAJ"/>
      <w:r w:rsidRPr="00510E01">
        <w:t>não</w:t>
      </w:r>
      <w:bookmarkEnd w:id="1103"/>
      <w:r w:rsidRPr="00510E01">
        <w:t xml:space="preserve"> são aceitos índices cuja metodologia completa de seu cálculo não seja disponibilizada de forma gratuita e por meio da rede mundial de computadores, incluindo sua composição, os pesos de cada ativo financeiro, os critérios de rebalanceamento e sua frequência, e demais parâmetros necessários à sua replicação;</w:t>
      </w:r>
    </w:p>
    <w:p w14:paraId="352DCCCF" w14:textId="77777777" w:rsidR="00D30681" w:rsidRPr="00510E01" w:rsidRDefault="00D30681" w:rsidP="00D30681">
      <w:pPr>
        <w:pStyle w:val="NormaAlterada"/>
      </w:pPr>
      <w:r w:rsidRPr="00510E01">
        <w:t xml:space="preserve">II – </w:t>
      </w:r>
      <w:bookmarkStart w:id="1104" w:name="_Int_0Ov5VsbY"/>
      <w:r w:rsidRPr="00510E01">
        <w:t>não</w:t>
      </w:r>
      <w:bookmarkEnd w:id="1104"/>
      <w:r w:rsidRPr="00510E01">
        <w:t xml:space="preserve"> são admitidos índices cuja metodologia de cálculo não inclua regras predeterminadas e critérios objetivos;</w:t>
      </w:r>
    </w:p>
    <w:p w14:paraId="3916F545" w14:textId="77777777" w:rsidR="00D30681" w:rsidRPr="00510E01" w:rsidRDefault="00D30681" w:rsidP="00D30681">
      <w:pPr>
        <w:pStyle w:val="NormaAlterada"/>
      </w:pPr>
      <w:bookmarkStart w:id="1105" w:name="_Int_PbmUI4tY"/>
      <w:r w:rsidRPr="00510E01">
        <w:t>III</w:t>
      </w:r>
      <w:bookmarkEnd w:id="1105"/>
      <w:r w:rsidRPr="00510E01">
        <w:t xml:space="preserve"> – a frequência de rebalanceamento do índice não pode impedir que os investidores possam replicá-lo;</w:t>
      </w:r>
    </w:p>
    <w:p w14:paraId="40CC2A43" w14:textId="77777777" w:rsidR="00D30681" w:rsidRPr="00510E01" w:rsidRDefault="00D30681" w:rsidP="00D30681">
      <w:pPr>
        <w:pStyle w:val="NormaAlterada"/>
      </w:pPr>
      <w:r w:rsidRPr="00510E01">
        <w:t xml:space="preserve">IV – </w:t>
      </w:r>
      <w:bookmarkStart w:id="1106" w:name="_Int_ZgjzCAQF"/>
      <w:r w:rsidRPr="00510E01">
        <w:t>o</w:t>
      </w:r>
      <w:bookmarkEnd w:id="1106"/>
      <w:r w:rsidRPr="00510E01">
        <w:t xml:space="preserve"> índice não pode estar sujeito a ajustes retroativos;</w:t>
      </w:r>
    </w:p>
    <w:p w14:paraId="737E3024" w14:textId="77777777" w:rsidR="00D30681" w:rsidRPr="00510E01" w:rsidRDefault="00D30681" w:rsidP="00D30681">
      <w:pPr>
        <w:pStyle w:val="NormaAlterada"/>
      </w:pPr>
      <w:r w:rsidRPr="00510E01">
        <w:t xml:space="preserve">V – </w:t>
      </w:r>
      <w:bookmarkStart w:id="1107" w:name="_Int_CVknv3WR"/>
      <w:r w:rsidRPr="00510E01">
        <w:t>o</w:t>
      </w:r>
      <w:bookmarkEnd w:id="1107"/>
      <w:r w:rsidRPr="00510E01">
        <w:t xml:space="preserve"> índice escolhido deve representar um objetivo de investimento claro e único, sem condicionantes;</w:t>
      </w:r>
    </w:p>
    <w:p w14:paraId="4B09D32F" w14:textId="77777777" w:rsidR="00D30681" w:rsidRPr="00510E01" w:rsidRDefault="00D30681" w:rsidP="00D30681">
      <w:pPr>
        <w:pStyle w:val="NormaAlterada"/>
      </w:pPr>
      <w:r w:rsidRPr="00510E01">
        <w:t xml:space="preserve">VI – </w:t>
      </w:r>
      <w:bookmarkStart w:id="1108" w:name="_Int_h4MdY6Sz"/>
      <w:r w:rsidRPr="00510E01">
        <w:t>não</w:t>
      </w:r>
      <w:bookmarkEnd w:id="1108"/>
      <w:r w:rsidRPr="00510E01">
        <w:t xml:space="preserve"> são aceitos índices cujo provedor seja parte relacionada ao administrador ou ao gestor;</w:t>
      </w:r>
    </w:p>
    <w:p w14:paraId="52F78086" w14:textId="77777777" w:rsidR="00D30681" w:rsidRPr="00510E01" w:rsidRDefault="00D30681" w:rsidP="00D30681">
      <w:pPr>
        <w:pStyle w:val="NormaAlterada"/>
      </w:pPr>
      <w:r w:rsidRPr="00510E01">
        <w:lastRenderedPageBreak/>
        <w:t>VII – não são aceitos índices cujo provedor receba pagamentos de potenciais emissores para sua inclusão como componentes;</w:t>
      </w:r>
    </w:p>
    <w:p w14:paraId="7C0A7555" w14:textId="77777777" w:rsidR="00D30681" w:rsidRPr="00510E01" w:rsidRDefault="00D30681" w:rsidP="00D30681">
      <w:pPr>
        <w:pStyle w:val="NormaAlterada"/>
      </w:pPr>
      <w:r w:rsidRPr="00510E01">
        <w:t>VIII – o desempenho do índice deve ser público, ter ampla divulgação e fácil acesso por meio da rede mundial de computadores; e</w:t>
      </w:r>
    </w:p>
    <w:p w14:paraId="38444A38" w14:textId="77777777" w:rsidR="00D30681" w:rsidRPr="00510E01" w:rsidRDefault="00D30681" w:rsidP="00D30681">
      <w:pPr>
        <w:pStyle w:val="NormaAlterada"/>
      </w:pPr>
      <w:r w:rsidRPr="00510E01">
        <w:t xml:space="preserve">IX – </w:t>
      </w:r>
      <w:bookmarkStart w:id="1109" w:name="_Int_fCF6Bf8F"/>
      <w:r w:rsidRPr="00510E01">
        <w:t>não</w:t>
      </w:r>
      <w:bookmarkEnd w:id="1109"/>
      <w:r w:rsidRPr="00510E01">
        <w:t xml:space="preserve"> são aceitos índices que representem múltiplos de outros índices, o inverso destes índices, ou ainda múltiplos do seu inverso.</w:t>
      </w:r>
    </w:p>
    <w:p w14:paraId="2EE0286D" w14:textId="77777777" w:rsidR="00D30681" w:rsidRPr="00510E01" w:rsidRDefault="00D30681" w:rsidP="00D30681">
      <w:pPr>
        <w:pStyle w:val="NormaAlterada"/>
      </w:pPr>
      <w:r w:rsidRPr="00510E01">
        <w:t>§ 3</w:t>
      </w:r>
      <w:bookmarkStart w:id="1110" w:name="_Int_sWa0qQoJ"/>
      <w:r w:rsidRPr="00510E01">
        <w:t>º  A</w:t>
      </w:r>
      <w:bookmarkEnd w:id="1110"/>
      <w:r w:rsidRPr="00510E01">
        <w:t xml:space="preserve"> composição, os pesos de cada ativo financeiro e outros parâmetros que permitam a replicação do índice podem ser divulgados retrospectivamente após cada rebalanceamento do índice, tendo como prazo limite a data do rebalanceamento subsequente.</w:t>
      </w:r>
    </w:p>
    <w:p w14:paraId="687BAE85" w14:textId="77777777" w:rsidR="00D30681" w:rsidRPr="00510E01" w:rsidRDefault="00D30681" w:rsidP="00D30681">
      <w:pPr>
        <w:pStyle w:val="NormaAlterada"/>
      </w:pPr>
      <w:r w:rsidRPr="00510E01">
        <w:t>§ 4</w:t>
      </w:r>
      <w:bookmarkStart w:id="1111" w:name="_Int_OLZSVp0E"/>
      <w:r w:rsidRPr="00510E01">
        <w:t>º  Para</w:t>
      </w:r>
      <w:bookmarkEnd w:id="1111"/>
      <w:r w:rsidRPr="00510E01">
        <w:t xml:space="preserve"> fins do disposto no inciso V do </w:t>
      </w:r>
      <w:r w:rsidRPr="00510E01">
        <w:rPr>
          <w:b/>
          <w:bCs/>
        </w:rPr>
        <w:t>caput</w:t>
      </w:r>
      <w:r w:rsidRPr="00510E01">
        <w:t>, entende-se por condicionantes quaisquer cláusulas ou regras que impliquem, em determinadas circunstâncias, que o desempenho do índice não reflita o retorno da carteira teórica de ativos.</w:t>
      </w:r>
    </w:p>
    <w:p w14:paraId="6BE304BF" w14:textId="77777777" w:rsidR="00D30681" w:rsidRPr="00510E01" w:rsidRDefault="00D30681" w:rsidP="00D30681">
      <w:pPr>
        <w:pStyle w:val="NormaAlterada"/>
      </w:pPr>
      <w:r w:rsidRPr="00510E01">
        <w:t xml:space="preserve">Art. </w:t>
      </w:r>
      <w:bookmarkStart w:id="1112" w:name="_Int_8YxQijFA"/>
      <w:r>
        <w:t>3</w:t>
      </w:r>
      <w:r w:rsidRPr="00510E01">
        <w:t>º  É</w:t>
      </w:r>
      <w:bookmarkEnd w:id="1112"/>
      <w:r w:rsidRPr="00510E01">
        <w:t xml:space="preserve"> vedada a constituição de classes de cotas:</w:t>
      </w:r>
    </w:p>
    <w:p w14:paraId="7F3A0AD2" w14:textId="77777777" w:rsidR="00D30681" w:rsidRPr="00510E01" w:rsidRDefault="00D30681" w:rsidP="00D30681">
      <w:pPr>
        <w:pStyle w:val="NormaAlterada"/>
      </w:pPr>
      <w:r w:rsidRPr="00510E01">
        <w:t xml:space="preserve">I – </w:t>
      </w:r>
      <w:bookmarkStart w:id="1113" w:name="_Int_WzfJCBXy"/>
      <w:r w:rsidRPr="00510E01">
        <w:t>alavancadas</w:t>
      </w:r>
      <w:bookmarkEnd w:id="1113"/>
      <w:r w:rsidRPr="00510E01">
        <w:t>;</w:t>
      </w:r>
    </w:p>
    <w:p w14:paraId="70BE08CE" w14:textId="77777777" w:rsidR="00D30681" w:rsidRPr="00510E01" w:rsidRDefault="00D30681" w:rsidP="00D30681">
      <w:pPr>
        <w:pStyle w:val="NormaAlterada"/>
      </w:pPr>
      <w:r w:rsidRPr="00510E01">
        <w:t xml:space="preserve">II – </w:t>
      </w:r>
      <w:bookmarkStart w:id="1114" w:name="_Int_oHkbBEb3"/>
      <w:r w:rsidRPr="00510E01">
        <w:t>inversas</w:t>
      </w:r>
      <w:bookmarkEnd w:id="1114"/>
      <w:r w:rsidRPr="00510E01">
        <w:t>, que visem refletir um desempenho oposto àquele do índice de referência; ou</w:t>
      </w:r>
    </w:p>
    <w:p w14:paraId="4564C40B" w14:textId="77777777" w:rsidR="00D30681" w:rsidRPr="00510E01" w:rsidRDefault="00D30681" w:rsidP="00D30681">
      <w:pPr>
        <w:pStyle w:val="NormaAlterada"/>
      </w:pPr>
      <w:r w:rsidRPr="00510E01">
        <w:t>III – sintéticas, que visem refletir o desempenho do índice de referência por meio de contratos derivativos, exceto por meio de posições em mercados futuros previstas neste Anexo Normativo V</w:t>
      </w:r>
      <w:r>
        <w:t>.</w:t>
      </w:r>
    </w:p>
    <w:p w14:paraId="45C1A18D" w14:textId="77777777" w:rsidR="00D30681" w:rsidRPr="00510E01" w:rsidRDefault="00D30681" w:rsidP="00D30681">
      <w:pPr>
        <w:pStyle w:val="NormaAlterada"/>
      </w:pPr>
      <w:r w:rsidRPr="00510E01">
        <w:t xml:space="preserve">Art. </w:t>
      </w:r>
      <w:bookmarkStart w:id="1115" w:name="_Int_j7VWQECZ"/>
      <w:r>
        <w:t>4º</w:t>
      </w:r>
      <w:r w:rsidRPr="00510E01">
        <w:t xml:space="preserve">  Da</w:t>
      </w:r>
      <w:bookmarkEnd w:id="1115"/>
      <w:r w:rsidRPr="00510E01">
        <w:t xml:space="preserve"> denominação do fundo e de suas classes de cotas, caso existentes, deve constar a expressão “Fundo de Índice” e a identificação do índice de referência.</w:t>
      </w:r>
    </w:p>
    <w:p w14:paraId="305F89F9" w14:textId="77777777" w:rsidR="00D30681" w:rsidRPr="00510E01" w:rsidRDefault="00D30681" w:rsidP="00D30681">
      <w:pPr>
        <w:pStyle w:val="NormaAlterada"/>
      </w:pPr>
      <w:r w:rsidRPr="00510E01">
        <w:t xml:space="preserve">Art. </w:t>
      </w:r>
      <w:bookmarkStart w:id="1116" w:name="_Int_4UyhdtVh"/>
      <w:r>
        <w:t>5</w:t>
      </w:r>
      <w:r w:rsidRPr="00510E01">
        <w:t>º  A</w:t>
      </w:r>
      <w:bookmarkEnd w:id="1116"/>
      <w:r w:rsidRPr="00510E01">
        <w:t xml:space="preserve"> classe de cotas deve ser constituída em regime aberto, por prazo indeterminado, e pode ser destinad</w:t>
      </w:r>
      <w:bookmarkStart w:id="1117" w:name="_Int_VWBtS6YF"/>
      <w:r w:rsidRPr="00510E01">
        <w:t>a</w:t>
      </w:r>
      <w:bookmarkEnd w:id="1117"/>
      <w:r w:rsidRPr="00510E01">
        <w:t xml:space="preserve"> ao público em geral, independentemente do índice perseguido, nacional ou estrangeiro.</w:t>
      </w:r>
    </w:p>
    <w:p w14:paraId="5C3CD093" w14:textId="77777777" w:rsidR="00D30681" w:rsidRPr="00510E01" w:rsidRDefault="00D30681" w:rsidP="00D30681">
      <w:pPr>
        <w:pStyle w:val="NormaAlterada"/>
      </w:pPr>
      <w:r w:rsidRPr="00510E01">
        <w:t>Parágrafo único.  As cotas devem ser admitidas à negociação no mercado secundário, por intermédio de entidade administradora de mercado organizado de valores mobiliários.</w:t>
      </w:r>
    </w:p>
    <w:p w14:paraId="241A7D4F" w14:textId="77777777" w:rsidR="00D30681" w:rsidRPr="00510E01" w:rsidRDefault="00D30681" w:rsidP="00D30681">
      <w:pPr>
        <w:pStyle w:val="NormaAlterada"/>
      </w:pPr>
      <w:r w:rsidRPr="00510E01">
        <w:t xml:space="preserve">Art. </w:t>
      </w:r>
      <w:bookmarkStart w:id="1118" w:name="_Int_APNsj0bI"/>
      <w:r>
        <w:t>6</w:t>
      </w:r>
      <w:r w:rsidRPr="00510E01">
        <w:t>º  Em</w:t>
      </w:r>
      <w:bookmarkEnd w:id="1118"/>
      <w:r w:rsidRPr="00510E01">
        <w:t xml:space="preserve"> acréscimo aos documentos e informações requeridos no art. 10 da parte geral da Resolução, o pedido de registro de funcionamento do fundo e, se for o caso, de cada classe de cotas, deve ser instruído com as seguintes informações e documentos: </w:t>
      </w:r>
    </w:p>
    <w:p w14:paraId="2745F460" w14:textId="77777777" w:rsidR="00D30681" w:rsidRPr="00510E01" w:rsidRDefault="00D30681" w:rsidP="00D30681">
      <w:pPr>
        <w:pStyle w:val="NormaAlterada"/>
      </w:pPr>
      <w:r w:rsidRPr="00510E01">
        <w:t xml:space="preserve">I – </w:t>
      </w:r>
      <w:bookmarkStart w:id="1119" w:name="_Int_XjPAkNF1"/>
      <w:r w:rsidRPr="00510E01">
        <w:t>endereço</w:t>
      </w:r>
      <w:bookmarkEnd w:id="1119"/>
      <w:r w:rsidRPr="00510E01">
        <w:t xml:space="preserve"> da página eletrônica do fundo na rede mundial de computadores;</w:t>
      </w:r>
    </w:p>
    <w:p w14:paraId="41BCD4F3" w14:textId="77777777" w:rsidR="00D30681" w:rsidRPr="00510E01" w:rsidRDefault="00D30681" w:rsidP="00D30681">
      <w:pPr>
        <w:pStyle w:val="NormaAlterada"/>
      </w:pPr>
      <w:r w:rsidRPr="00510E01">
        <w:lastRenderedPageBreak/>
        <w:t xml:space="preserve">II – </w:t>
      </w:r>
      <w:bookmarkStart w:id="1120" w:name="_Int_eGuJrpUs"/>
      <w:r w:rsidRPr="00510E01">
        <w:t>declaração</w:t>
      </w:r>
      <w:bookmarkEnd w:id="1120"/>
      <w:r w:rsidRPr="00510E01">
        <w:t xml:space="preserve"> da entidade administradora de mercado organizado de valores mobiliários comunicando o deferimento do pedido de admissão das cotas à negociação, condicionado, apenas, à obtenção do registro na CVM, e comprometendo-se a cumprir as obrigações previstas no art. </w:t>
      </w:r>
      <w:r>
        <w:t>19</w:t>
      </w:r>
      <w:r w:rsidRPr="00510E01">
        <w:t xml:space="preserve"> deste Anexo Normativo V; e</w:t>
      </w:r>
    </w:p>
    <w:p w14:paraId="04425276" w14:textId="77777777" w:rsidR="00D30681" w:rsidRPr="00510E01" w:rsidRDefault="00D30681" w:rsidP="00D30681">
      <w:pPr>
        <w:pStyle w:val="NormaAlterada"/>
      </w:pPr>
      <w:r w:rsidRPr="00510E01">
        <w:t xml:space="preserve">III – declaração de não objeção à constituição da classe de cotas pela instituição responsável pelo cálculo do índice, caso sejam cotas distintas das mencionadas no inciso II do </w:t>
      </w:r>
      <w:r w:rsidRPr="00510E01">
        <w:rPr>
          <w:b/>
          <w:bCs/>
        </w:rPr>
        <w:t>caput</w:t>
      </w:r>
      <w:r w:rsidRPr="00510E01">
        <w:t>.</w:t>
      </w:r>
    </w:p>
    <w:p w14:paraId="7F6226B8" w14:textId="77777777" w:rsidR="00D30681" w:rsidRPr="00510E01" w:rsidRDefault="00D30681" w:rsidP="00D30681">
      <w:pPr>
        <w:pStyle w:val="NormaAlterada"/>
      </w:pPr>
      <w:r w:rsidRPr="00510E01">
        <w:t xml:space="preserve">Parágrafo único.  A declaração de que trata o inciso II do </w:t>
      </w:r>
      <w:r w:rsidRPr="00510E01">
        <w:rPr>
          <w:b/>
          <w:bCs/>
        </w:rPr>
        <w:t xml:space="preserve">caput </w:t>
      </w:r>
      <w:r w:rsidRPr="00510E01">
        <w:t>pode ser encaminhada diretamente pela entidade administradora de mercado organizado de valores mobiliários.</w:t>
      </w:r>
    </w:p>
    <w:p w14:paraId="73746756" w14:textId="77777777" w:rsidR="00D30681" w:rsidRPr="00510E01" w:rsidRDefault="00D30681" w:rsidP="00D30681">
      <w:pPr>
        <w:pStyle w:val="Captulo"/>
      </w:pPr>
      <w:bookmarkStart w:id="1121" w:name="_Toc161141371"/>
      <w:r w:rsidRPr="00510E01">
        <w:t>CAPÍTULO III – PRESTAÇÃO DE SERVIÇOS</w:t>
      </w:r>
      <w:bookmarkEnd w:id="1121"/>
    </w:p>
    <w:p w14:paraId="53AD503E" w14:textId="77777777" w:rsidR="00D30681" w:rsidRPr="00510E01" w:rsidRDefault="00D30681" w:rsidP="00D30681">
      <w:pPr>
        <w:pStyle w:val="NormaAlterada"/>
      </w:pPr>
      <w:r w:rsidRPr="00510E01">
        <w:t xml:space="preserve">Art. </w:t>
      </w:r>
      <w:bookmarkStart w:id="1122" w:name="_Int_bl3FCSIx"/>
      <w:r>
        <w:t>7</w:t>
      </w:r>
      <w:r w:rsidRPr="00510E01">
        <w:t>º  É</w:t>
      </w:r>
      <w:bookmarkEnd w:id="1122"/>
      <w:r w:rsidRPr="00510E01">
        <w:t xml:space="preserve"> vedada a cobrança de qualquer taxa de performance aos cotistas ou à classe de cotas.</w:t>
      </w:r>
    </w:p>
    <w:p w14:paraId="3AEC3A0F" w14:textId="77777777" w:rsidR="00D30681" w:rsidRPr="00510E01" w:rsidRDefault="00D30681" w:rsidP="00D30681">
      <w:pPr>
        <w:pStyle w:val="NormaAlterada"/>
      </w:pPr>
      <w:r w:rsidRPr="00510E01">
        <w:t xml:space="preserve">Art. </w:t>
      </w:r>
      <w:r>
        <w:t>8º</w:t>
      </w:r>
      <w:r w:rsidRPr="00510E01">
        <w:t xml:space="preserve">  Em acréscimo às vedações previstas no art. 101 da parte geral da Resolução, é vedado ao administrador praticar os seguintes atos: </w:t>
      </w:r>
    </w:p>
    <w:p w14:paraId="137C1BA2" w14:textId="77777777" w:rsidR="00D30681" w:rsidRPr="00510E01" w:rsidRDefault="00D30681" w:rsidP="00D30681">
      <w:pPr>
        <w:pStyle w:val="NormaAlterada"/>
      </w:pPr>
      <w:r w:rsidRPr="00510E01">
        <w:t xml:space="preserve">I – </w:t>
      </w:r>
      <w:bookmarkStart w:id="1123" w:name="_Int_xzV7RLZ5"/>
      <w:r w:rsidRPr="00510E01">
        <w:t>contrair ou efetuar</w:t>
      </w:r>
      <w:bookmarkEnd w:id="1123"/>
      <w:r w:rsidRPr="00510E01">
        <w:t xml:space="preserve"> empréstimos, ressalvado o disposto nos </w:t>
      </w:r>
      <w:proofErr w:type="spellStart"/>
      <w:r w:rsidRPr="00510E01">
        <w:t>arts</w:t>
      </w:r>
      <w:proofErr w:type="spellEnd"/>
      <w:r w:rsidRPr="00510E01">
        <w:t xml:space="preserve">. </w:t>
      </w:r>
      <w:r>
        <w:t>29</w:t>
      </w:r>
      <w:r w:rsidRPr="00510E01">
        <w:t xml:space="preserve"> e </w:t>
      </w:r>
      <w:r>
        <w:t>43</w:t>
      </w:r>
      <w:r w:rsidRPr="00510E01">
        <w:t xml:space="preserve"> deste Anexo Normativo V, sem prejuízo dos </w:t>
      </w:r>
      <w:proofErr w:type="spellStart"/>
      <w:r w:rsidRPr="00510E01">
        <w:t>arts</w:t>
      </w:r>
      <w:proofErr w:type="spellEnd"/>
      <w:r w:rsidRPr="00510E01">
        <w:t>. 113, inciso V, e 122, inciso II, alínea “a”, item 3, da parte geral da Resolução;</w:t>
      </w:r>
    </w:p>
    <w:p w14:paraId="1B3CC296" w14:textId="77777777" w:rsidR="00D30681" w:rsidRPr="00510E01" w:rsidRDefault="00D30681" w:rsidP="00D30681">
      <w:pPr>
        <w:pStyle w:val="NormaAlterada"/>
      </w:pPr>
      <w:r w:rsidRPr="00510E01">
        <w:t xml:space="preserve">II – </w:t>
      </w:r>
      <w:bookmarkStart w:id="1124" w:name="_Int_ZJvNtYSa"/>
      <w:r w:rsidRPr="00510E01">
        <w:t>realizar</w:t>
      </w:r>
      <w:bookmarkEnd w:id="1124"/>
      <w:r w:rsidRPr="00510E01">
        <w:t xml:space="preserve"> operações com ações fora de mercado organizado de valores mobiliários, ressalvadas as hipóteses de:</w:t>
      </w:r>
    </w:p>
    <w:p w14:paraId="0501B8D5" w14:textId="77777777" w:rsidR="00D30681" w:rsidRPr="00510E01" w:rsidRDefault="00D30681" w:rsidP="00D30681">
      <w:pPr>
        <w:pStyle w:val="NormaAlterada"/>
      </w:pPr>
      <w:r w:rsidRPr="00510E01">
        <w:t>a) subscrição em distribuições públicas;</w:t>
      </w:r>
    </w:p>
    <w:p w14:paraId="2E1C69AB" w14:textId="77777777" w:rsidR="00D30681" w:rsidRPr="00510E01" w:rsidRDefault="00D30681" w:rsidP="00D30681">
      <w:pPr>
        <w:pStyle w:val="NormaAlterada"/>
      </w:pPr>
      <w:r w:rsidRPr="00510E01">
        <w:t>b) exercício de direito de preferência; e</w:t>
      </w:r>
    </w:p>
    <w:p w14:paraId="130E97FF" w14:textId="77777777" w:rsidR="00D30681" w:rsidRPr="00510E01" w:rsidRDefault="00D30681" w:rsidP="00D30681">
      <w:pPr>
        <w:pStyle w:val="NormaAlterada"/>
      </w:pPr>
      <w:r w:rsidRPr="00510E01">
        <w:t>c) operações previamente autorizadas pela CVM; e</w:t>
      </w:r>
    </w:p>
    <w:p w14:paraId="31E9C111" w14:textId="77777777" w:rsidR="00D30681" w:rsidRPr="00510E01" w:rsidRDefault="00D30681" w:rsidP="00D30681">
      <w:pPr>
        <w:pStyle w:val="NormaAlterada"/>
      </w:pPr>
      <w:r w:rsidRPr="00510E01">
        <w:t>III – praticar qualquer ato na qualidade de acionista que possa impedir as negociações das ações em bolsa de valores.</w:t>
      </w:r>
    </w:p>
    <w:p w14:paraId="6FA08230" w14:textId="77777777" w:rsidR="00D30681" w:rsidRPr="00510E01" w:rsidRDefault="00D30681" w:rsidP="00D30681">
      <w:pPr>
        <w:pStyle w:val="Captulo"/>
      </w:pPr>
      <w:bookmarkStart w:id="1125" w:name="_Toc161141372"/>
      <w:r w:rsidRPr="00510E01">
        <w:t>CAPÍTULO IV – COTAS</w:t>
      </w:r>
      <w:bookmarkEnd w:id="1125"/>
    </w:p>
    <w:p w14:paraId="7BAF638B" w14:textId="77777777" w:rsidR="00D30681" w:rsidRPr="00510E01" w:rsidRDefault="00D30681" w:rsidP="00D30681">
      <w:pPr>
        <w:pStyle w:val="NormaAlterada"/>
      </w:pPr>
      <w:r w:rsidRPr="00510E01">
        <w:t xml:space="preserve">Art. </w:t>
      </w:r>
      <w:r>
        <w:t>9º</w:t>
      </w:r>
      <w:r w:rsidRPr="00510E01">
        <w:t xml:space="preserve">  O custodiante que preste serviços a mercado organizado no qual as cotas estejam listadas deve fornecer ao prestador de serviços de escrituração de cotas, no prazo e condições existentes para o mercado de ações, informações sobre a titularidade das cotas que estejam sob a sua custódia.</w:t>
      </w:r>
    </w:p>
    <w:p w14:paraId="128AD24C" w14:textId="77777777" w:rsidR="00D30681" w:rsidRPr="00510E01" w:rsidRDefault="00D30681" w:rsidP="00D30681">
      <w:pPr>
        <w:pStyle w:val="NormaAlterada"/>
      </w:pPr>
      <w:r w:rsidRPr="00510E01">
        <w:lastRenderedPageBreak/>
        <w:t xml:space="preserve">Art. </w:t>
      </w:r>
      <w:r>
        <w:t>10</w:t>
      </w:r>
      <w:r w:rsidRPr="00510E01">
        <w:t>.  O valor patrimonial da cota é o resultante da divisão do valor do patrimônio líquido do fundo, da classe ou da subclasse de cotas, conforme o caso, pelo número de cotas existentes no encerramento do dia, apurado com base nos mesmos critérios utilizados para o cálculo do valor de fechamento do índice de referência.</w:t>
      </w:r>
    </w:p>
    <w:p w14:paraId="72B25864" w14:textId="77777777" w:rsidR="00D30681" w:rsidRPr="00510E01" w:rsidRDefault="00D30681" w:rsidP="00D30681">
      <w:pPr>
        <w:pStyle w:val="NormaAlterada"/>
      </w:pPr>
      <w:r w:rsidRPr="00510E01">
        <w:t xml:space="preserve">Art. </w:t>
      </w:r>
      <w:r>
        <w:t>11</w:t>
      </w:r>
      <w:r w:rsidRPr="00510E01">
        <w:t>.  As cotas da classe de cotas podem ser objeto de empréstimo e de garantia.</w:t>
      </w:r>
    </w:p>
    <w:p w14:paraId="3EF5E9AB" w14:textId="77777777" w:rsidR="00D30681" w:rsidRPr="00510E01" w:rsidRDefault="00D30681" w:rsidP="00D30681">
      <w:pPr>
        <w:pStyle w:val="NormaAlterada"/>
      </w:pPr>
      <w:r w:rsidRPr="00510E01">
        <w:t>§ 1</w:t>
      </w:r>
      <w:bookmarkStart w:id="1126" w:name="_Int_ztkBRHEn"/>
      <w:r w:rsidRPr="00510E01">
        <w:t>º  As</w:t>
      </w:r>
      <w:bookmarkEnd w:id="1126"/>
      <w:r w:rsidRPr="00510E01">
        <w:t xml:space="preserve"> cotas referidas no </w:t>
      </w:r>
      <w:r w:rsidRPr="00510E01">
        <w:rPr>
          <w:b/>
          <w:bCs/>
        </w:rPr>
        <w:t xml:space="preserve">caput </w:t>
      </w:r>
      <w:r w:rsidRPr="00510E01">
        <w:t>devem estar depositadas em centrais depositárias de valores mobiliários autorizadas pela CVM, devendo o cotista autorizar, prévia e expressamente, a realização de operações desta natureza.</w:t>
      </w:r>
    </w:p>
    <w:p w14:paraId="7B1209FA" w14:textId="77777777" w:rsidR="00D30681" w:rsidRPr="00510E01" w:rsidRDefault="00D30681" w:rsidP="00D30681">
      <w:pPr>
        <w:pStyle w:val="NormaAlterada"/>
      </w:pPr>
      <w:r w:rsidRPr="00510E01">
        <w:t>§ 2</w:t>
      </w:r>
      <w:bookmarkStart w:id="1127" w:name="_Int_qSWt1YhU"/>
      <w:r w:rsidRPr="00510E01">
        <w:t>º  Aplicam</w:t>
      </w:r>
      <w:bookmarkEnd w:id="1127"/>
      <w:r w:rsidRPr="00510E01">
        <w:t>-se ao empréstimo de cotas, no que couberem, as normas em vigor para empréstimo de valores mobiliários.</w:t>
      </w:r>
    </w:p>
    <w:p w14:paraId="7E15B93F" w14:textId="77777777" w:rsidR="00D30681" w:rsidRPr="00510E01" w:rsidRDefault="00D30681" w:rsidP="00D30681">
      <w:pPr>
        <w:pStyle w:val="NormaAlterada"/>
      </w:pPr>
      <w:r w:rsidRPr="00510E01">
        <w:t xml:space="preserve">Art. </w:t>
      </w:r>
      <w:r>
        <w:t>12</w:t>
      </w:r>
      <w:r w:rsidRPr="00510E01">
        <w:t xml:space="preserve">.  Observados o regulamento e os procedimentos específicos previstos neste Capítulo, a carteira estabelecida para a integralização ou resgate das cotas </w:t>
      </w:r>
      <w:bookmarkStart w:id="1128" w:name="_Int_NwUAfqyE"/>
      <w:r w:rsidRPr="00510E01">
        <w:t>pode</w:t>
      </w:r>
      <w:bookmarkEnd w:id="1128"/>
      <w:r w:rsidRPr="00510E01">
        <w:t xml:space="preserve"> conter:</w:t>
      </w:r>
    </w:p>
    <w:p w14:paraId="2270A8CA" w14:textId="77777777" w:rsidR="00D30681" w:rsidRPr="00510E01" w:rsidRDefault="00D30681" w:rsidP="00D30681">
      <w:pPr>
        <w:pStyle w:val="NormaAlterada"/>
      </w:pPr>
      <w:r w:rsidRPr="00510E01">
        <w:t xml:space="preserve">I – </w:t>
      </w:r>
      <w:bookmarkStart w:id="1129" w:name="_Int_6JZfZDAt"/>
      <w:r w:rsidRPr="00510E01">
        <w:t>ativos</w:t>
      </w:r>
      <w:bookmarkEnd w:id="1129"/>
      <w:r w:rsidRPr="00510E01">
        <w:t xml:space="preserve"> financeiros que componham o índice de referência;</w:t>
      </w:r>
    </w:p>
    <w:p w14:paraId="57080D72" w14:textId="77777777" w:rsidR="00D30681" w:rsidRPr="00510E01" w:rsidRDefault="00D30681" w:rsidP="00D30681">
      <w:pPr>
        <w:pStyle w:val="NormaAlterada"/>
      </w:pPr>
      <w:r w:rsidRPr="00510E01">
        <w:t xml:space="preserve">II – </w:t>
      </w:r>
      <w:bookmarkStart w:id="1130" w:name="_Int_hkefCVnC"/>
      <w:r w:rsidRPr="00510E01">
        <w:t>moeda</w:t>
      </w:r>
      <w:bookmarkEnd w:id="1130"/>
      <w:r w:rsidRPr="00510E01">
        <w:t xml:space="preserve"> corrente nacional;</w:t>
      </w:r>
    </w:p>
    <w:p w14:paraId="6AF8B3DD" w14:textId="77777777" w:rsidR="00D30681" w:rsidRPr="00510E01" w:rsidRDefault="00D30681" w:rsidP="00D30681">
      <w:pPr>
        <w:pStyle w:val="NormaAlterada"/>
      </w:pPr>
      <w:r w:rsidRPr="00510E01">
        <w:t>III – parcela não superior a 5% (cinco por cento) do montante envolvido na operação, contemplando ativos financeiros que não façam parte do índice de referência; e</w:t>
      </w:r>
    </w:p>
    <w:p w14:paraId="6219233D" w14:textId="77777777" w:rsidR="00D30681" w:rsidRPr="00510E01" w:rsidRDefault="00D30681" w:rsidP="00D30681">
      <w:pPr>
        <w:pStyle w:val="NormaAlterada"/>
      </w:pPr>
      <w:r w:rsidRPr="00510E01">
        <w:t xml:space="preserve">IV – </w:t>
      </w:r>
      <w:bookmarkStart w:id="1131" w:name="_Int_UhtYFntp"/>
      <w:r w:rsidRPr="00510E01">
        <w:t>parcela</w:t>
      </w:r>
      <w:bookmarkEnd w:id="1131"/>
      <w:r w:rsidRPr="00510E01">
        <w:t xml:space="preserve"> não superior a 20% (vinte por cento) do montante envolvido na operação, contemplando ativos financeiros que não façam parte do índice de referência, mas que sejam de mesma natureza daqueles, porém de diferentes emissões, somente no caso de classes de cotas que busquem refletir as variações e a rentabilidade de índices de renda fixa.</w:t>
      </w:r>
    </w:p>
    <w:p w14:paraId="7969C209" w14:textId="77777777" w:rsidR="00D30681" w:rsidRPr="00510E01" w:rsidRDefault="00D30681" w:rsidP="00D30681">
      <w:pPr>
        <w:pStyle w:val="NormaAlterada"/>
      </w:pPr>
      <w:r w:rsidRPr="00510E01">
        <w:t>§ 1</w:t>
      </w:r>
      <w:bookmarkStart w:id="1132" w:name="_Int_mnHL2NXi"/>
      <w:r w:rsidRPr="00510E01">
        <w:t>º  Entende</w:t>
      </w:r>
      <w:bookmarkEnd w:id="1132"/>
      <w:r w:rsidRPr="00510E01">
        <w:t>-se por ativos financeiros de mesma natureza aqueles que possuam mesmo nível de risco para uma expectativa de retorno similar, por apresentarem semelhanças no que se refere à remuneração, ao risco de crédito do emissor, ao risco de liquidez e à data de vencimento ou maturidade.</w:t>
      </w:r>
    </w:p>
    <w:p w14:paraId="6945BC2B" w14:textId="77777777" w:rsidR="00D30681" w:rsidRPr="00510E01" w:rsidRDefault="00D30681" w:rsidP="00D30681">
      <w:pPr>
        <w:pStyle w:val="NormaAlterada"/>
      </w:pPr>
      <w:r w:rsidRPr="00510E01">
        <w:t>§ 2</w:t>
      </w:r>
      <w:bookmarkStart w:id="1133" w:name="_Int_Y6VO0Nij"/>
      <w:r w:rsidRPr="00510E01">
        <w:t>º  Na</w:t>
      </w:r>
      <w:bookmarkEnd w:id="1133"/>
      <w:r w:rsidRPr="00510E01">
        <w:t xml:space="preserve"> integralização de cotas é facultado ao administrador aceitar que mais de 1 (um) investidor entregue, simultaneamente, carteiras de ativos que, em conjunto, enquadrem-se na proporção estabelecida na carteira pelo gestor, devendo, nesse caso, o número de cotas que cabe a cada investidor ser calculado de maneira proporcional ao valor de mercado das carteiras entregues.</w:t>
      </w:r>
    </w:p>
    <w:p w14:paraId="3350A2DA" w14:textId="77777777" w:rsidR="00D30681" w:rsidRPr="00510E01" w:rsidRDefault="00D30681" w:rsidP="00D30681">
      <w:pPr>
        <w:pStyle w:val="NormaAlterada"/>
      </w:pPr>
      <w:r w:rsidRPr="00510E01">
        <w:lastRenderedPageBreak/>
        <w:t>§ 3</w:t>
      </w:r>
      <w:bookmarkStart w:id="1134" w:name="_Int_r9rSZhMM"/>
      <w:r w:rsidRPr="00510E01">
        <w:t>º  Com</w:t>
      </w:r>
      <w:bookmarkEnd w:id="1134"/>
      <w:r w:rsidRPr="00510E01">
        <w:t xml:space="preserve"> o objetivo de ajustar a carteira ao índice de referência, e de acordo com o previsto no regulamento, o administrador pode aceitar ou entregar, na integralização ou resgate de cotas, ativos financeiros individuais ou moeda corrente nacional.</w:t>
      </w:r>
    </w:p>
    <w:p w14:paraId="378447E2" w14:textId="77777777" w:rsidR="00D30681" w:rsidRPr="00510E01" w:rsidRDefault="00D30681" w:rsidP="00D30681">
      <w:pPr>
        <w:pStyle w:val="NormaAlterada"/>
      </w:pPr>
      <w:r w:rsidRPr="00510E01">
        <w:t>§ 4</w:t>
      </w:r>
      <w:bookmarkStart w:id="1135" w:name="_Int_L6uJwem6"/>
      <w:r w:rsidRPr="00510E01">
        <w:t>º  Na</w:t>
      </w:r>
      <w:bookmarkEnd w:id="1135"/>
      <w:r w:rsidRPr="00510E01">
        <w:t xml:space="preserve"> hipótese do </w:t>
      </w:r>
      <w:r>
        <w:t>§ 3º</w:t>
      </w:r>
      <w:r w:rsidRPr="00510E01">
        <w:t>, e havendo solicitações de integralização ou resgate de cotas que superem a necessidade de ajuste da carteira, o aceite ou a entrega de ativos financeiros devem ser rateados entre os cotistas, com base na quantidade do ativo financeiro ofertada ou demandada por cada um.</w:t>
      </w:r>
    </w:p>
    <w:p w14:paraId="68C675E7" w14:textId="77777777" w:rsidR="00D30681" w:rsidRPr="00510E01" w:rsidRDefault="00D30681" w:rsidP="00D30681">
      <w:pPr>
        <w:pStyle w:val="NormaAlterada"/>
      </w:pPr>
      <w:r w:rsidRPr="00510E01">
        <w:t>§ 5</w:t>
      </w:r>
      <w:bookmarkStart w:id="1136" w:name="_Int_SCtT3U0U"/>
      <w:r w:rsidRPr="00510E01">
        <w:t>º  A</w:t>
      </w:r>
      <w:bookmarkEnd w:id="1136"/>
      <w:r w:rsidRPr="00510E01">
        <w:t xml:space="preserve"> hipótese descrita no § 3º somente será admitida se, para os ativos financeiros objeto da operação, for realizada marcação a mercado consistente e passível de verificação conforme os critérios de avaliação e apropriação contábil e demais requisitos constantes do Plano Contábil dos Fundos de Investimento – COFI, editado pela CVM.</w:t>
      </w:r>
    </w:p>
    <w:p w14:paraId="20A5FFBA" w14:textId="77777777" w:rsidR="00D30681" w:rsidRPr="00510E01" w:rsidRDefault="00D30681" w:rsidP="00D30681">
      <w:pPr>
        <w:pStyle w:val="NormaAlterada"/>
      </w:pPr>
      <w:r w:rsidRPr="00510E01">
        <w:t>§ 6</w:t>
      </w:r>
      <w:bookmarkStart w:id="1137" w:name="_Int_Bbioxm0u"/>
      <w:r w:rsidRPr="00510E01">
        <w:t>º  A</w:t>
      </w:r>
      <w:bookmarkEnd w:id="1137"/>
      <w:r w:rsidRPr="00510E01">
        <w:t xml:space="preserve"> integralização e o resgate das cotas devem ser efetuados sem a cobrança de qualquer taxa ou despesa, ressalvadas as taxas de ingresso e de saída, se for o caso, e as despesas previstas no § 7º deste artigo.</w:t>
      </w:r>
    </w:p>
    <w:p w14:paraId="1B505020" w14:textId="77777777" w:rsidR="00D30681" w:rsidRPr="00510E01" w:rsidRDefault="00D30681" w:rsidP="00D30681">
      <w:pPr>
        <w:pStyle w:val="NormaAlterada"/>
      </w:pPr>
      <w:r w:rsidRPr="00510E01">
        <w:t>§ 7</w:t>
      </w:r>
      <w:bookmarkStart w:id="1138" w:name="_Int_uZjtA3ou"/>
      <w:r w:rsidRPr="00510E01">
        <w:t>º  Na</w:t>
      </w:r>
      <w:bookmarkEnd w:id="1138"/>
      <w:r w:rsidRPr="00510E01">
        <w:t xml:space="preserve"> hipótese prevista no inciso II do </w:t>
      </w:r>
      <w:r w:rsidRPr="00510E01">
        <w:rPr>
          <w:b/>
          <w:bCs/>
        </w:rPr>
        <w:t>caput</w:t>
      </w:r>
      <w:r w:rsidRPr="00510E01">
        <w:t>, as despesas oriundas da integralização ou resgate em moeda corrente devem ser:</w:t>
      </w:r>
    </w:p>
    <w:p w14:paraId="731E8F06" w14:textId="77777777" w:rsidR="00D30681" w:rsidRPr="00510E01" w:rsidRDefault="00D30681" w:rsidP="00D30681">
      <w:pPr>
        <w:pStyle w:val="NormaAlterada"/>
      </w:pPr>
      <w:r w:rsidRPr="00510E01">
        <w:t xml:space="preserve">I – </w:t>
      </w:r>
      <w:bookmarkStart w:id="1139" w:name="_Int_H2nBWDQ9"/>
      <w:r w:rsidRPr="00510E01">
        <w:t>calculadas</w:t>
      </w:r>
      <w:bookmarkEnd w:id="1139"/>
      <w:r w:rsidRPr="00510E01">
        <w:t xml:space="preserve"> por operação de integralização ou resgate; e</w:t>
      </w:r>
    </w:p>
    <w:p w14:paraId="7661CA3E" w14:textId="77777777" w:rsidR="00D30681" w:rsidRPr="00510E01" w:rsidRDefault="00D30681" w:rsidP="00D30681">
      <w:pPr>
        <w:pStyle w:val="NormaAlterada"/>
      </w:pPr>
      <w:r w:rsidRPr="00510E01">
        <w:t xml:space="preserve">II – </w:t>
      </w:r>
      <w:bookmarkStart w:id="1140" w:name="_Int_iRzChtPe"/>
      <w:r w:rsidRPr="00510E01">
        <w:t>cobradas</w:t>
      </w:r>
      <w:bookmarkEnd w:id="1140"/>
      <w:r w:rsidRPr="00510E01">
        <w:t xml:space="preserve"> diretamente do cotista que disponibilizou os recursos para a integralização ou que solicitou o resgate. </w:t>
      </w:r>
    </w:p>
    <w:p w14:paraId="2098B079" w14:textId="77777777" w:rsidR="00D30681" w:rsidRPr="00510E01" w:rsidRDefault="00D30681" w:rsidP="00D30681">
      <w:pPr>
        <w:pStyle w:val="NormaAlterada"/>
      </w:pPr>
      <w:r w:rsidRPr="00510E01">
        <w:t>§ 8</w:t>
      </w:r>
      <w:bookmarkStart w:id="1141" w:name="_Int_vWmMUdQB"/>
      <w:r w:rsidRPr="00510E01">
        <w:t>º  A</w:t>
      </w:r>
      <w:bookmarkEnd w:id="1141"/>
      <w:r w:rsidRPr="00510E01">
        <w:t xml:space="preserve"> integralização e o resgate das cotas devem ser efetuados nos respectivos prazos dispostos no regulamento, que não podem ser superiores ao necessário à liquidação de operações de compra e venda dos ativos financeiros aceitos nas carteiras de integralização ou resgate das cotas.</w:t>
      </w:r>
    </w:p>
    <w:p w14:paraId="1CB6E6DA" w14:textId="77777777" w:rsidR="00D30681" w:rsidRPr="00510E01" w:rsidRDefault="00D30681" w:rsidP="00D30681">
      <w:pPr>
        <w:pStyle w:val="NormaAlterada"/>
      </w:pPr>
      <w:r w:rsidRPr="00510E01">
        <w:t>§ 9</w:t>
      </w:r>
      <w:bookmarkStart w:id="1142" w:name="_Int_t8yneqPN"/>
      <w:r w:rsidRPr="00510E01">
        <w:t>º  Alterações</w:t>
      </w:r>
      <w:bookmarkEnd w:id="1142"/>
      <w:r w:rsidRPr="00510E01">
        <w:t xml:space="preserve"> na composição das carteiras aceitas para integralização ou resgate devem ser divulgadas ao mercado, na forma do inciso VIII do art. </w:t>
      </w:r>
      <w:r>
        <w:t>31</w:t>
      </w:r>
      <w:r w:rsidRPr="00510E01">
        <w:t xml:space="preserve"> deste Anexo Normativo V, antes da abertura da negociação de cotas, sendo vedadas alterações durante o horário de negociação.</w:t>
      </w:r>
    </w:p>
    <w:p w14:paraId="2FC30B51" w14:textId="77777777" w:rsidR="00D30681" w:rsidRPr="00510E01" w:rsidRDefault="00D30681" w:rsidP="00D30681">
      <w:pPr>
        <w:pStyle w:val="NormaAlterada"/>
      </w:pPr>
      <w:r w:rsidRPr="00510E01">
        <w:t xml:space="preserve">§ 10.  Conforme estabelecido no regulamento, durante o período de suspensão da integralização de cotas a que se refere o art. </w:t>
      </w:r>
      <w:r>
        <w:t>16</w:t>
      </w:r>
      <w:r w:rsidRPr="00510E01">
        <w:t xml:space="preserve"> deste Anexo Normativo V, os resgates podem ser efetuados em função de fração ideal da carteira.</w:t>
      </w:r>
    </w:p>
    <w:p w14:paraId="6895FF43" w14:textId="77777777" w:rsidR="00D30681" w:rsidRPr="00510E01" w:rsidRDefault="00D30681" w:rsidP="00D30681">
      <w:pPr>
        <w:pStyle w:val="NormaAlterada"/>
      </w:pPr>
      <w:r w:rsidRPr="00510E01">
        <w:lastRenderedPageBreak/>
        <w:t xml:space="preserve">§ 11.  No processo de integralização ou resgate de cotas, podem ser acrescidos, aos ativos financeiros referenciados no </w:t>
      </w:r>
      <w:r w:rsidRPr="00510E01">
        <w:rPr>
          <w:b/>
          <w:bCs/>
        </w:rPr>
        <w:t>caput</w:t>
      </w:r>
      <w:r w:rsidRPr="00510E01">
        <w:t>, cupons, direitos e recibos de subscrição relativos àqueles ativos financeiros eventualmente existentes na carteira no momento do pedido da integralização ou do resgate, conforme estabelecido no regulamento.</w:t>
      </w:r>
    </w:p>
    <w:p w14:paraId="5D6E8933" w14:textId="77777777" w:rsidR="00D30681" w:rsidRPr="00510E01" w:rsidRDefault="00D30681" w:rsidP="00D30681">
      <w:pPr>
        <w:pStyle w:val="NormaAlterada"/>
      </w:pPr>
      <w:r w:rsidRPr="00510E01">
        <w:t xml:space="preserve">Art. </w:t>
      </w:r>
      <w:r>
        <w:t>13</w:t>
      </w:r>
      <w:r w:rsidRPr="00510E01">
        <w:t xml:space="preserve">. </w:t>
      </w:r>
      <w:r>
        <w:t xml:space="preserve"> </w:t>
      </w:r>
      <w:r w:rsidRPr="00510E01">
        <w:t>O regulamento pode estabelecer lotes mínimo e máximo de ativos financeiros para emissão ou resgate de cotas, tendo por base a carteira estabelecida pelo gestor.</w:t>
      </w:r>
    </w:p>
    <w:p w14:paraId="74925DE3" w14:textId="77777777" w:rsidR="00D30681" w:rsidRPr="00510E01" w:rsidRDefault="00D30681" w:rsidP="00D30681">
      <w:pPr>
        <w:pStyle w:val="NormaAlterada"/>
      </w:pPr>
      <w:r w:rsidRPr="00510E01">
        <w:t xml:space="preserve">Art. </w:t>
      </w:r>
      <w:r>
        <w:t>14</w:t>
      </w:r>
      <w:r w:rsidRPr="00510E01">
        <w:t>.  Tanto na emissão quanto no resgate das cotas deve ser utilizado o valor patrimonial apurado no fechamento do dia de sua solicitação.</w:t>
      </w:r>
    </w:p>
    <w:p w14:paraId="2E28D10A" w14:textId="77777777" w:rsidR="00D30681" w:rsidRPr="00510E01" w:rsidRDefault="00D30681" w:rsidP="00D30681">
      <w:pPr>
        <w:pStyle w:val="NormaAlterada"/>
      </w:pPr>
      <w:r w:rsidRPr="00510E01">
        <w:t xml:space="preserve">Art. </w:t>
      </w:r>
      <w:r>
        <w:t>15</w:t>
      </w:r>
      <w:r w:rsidRPr="00510E01">
        <w:t>.  O regulamento pode estabelecer a possibilidade de amortização das cotas, considerando-se como tal o pagamento a todos os cotistas de parcela do valor patrimonial de suas cotas.</w:t>
      </w:r>
    </w:p>
    <w:p w14:paraId="6EE844F9" w14:textId="77777777" w:rsidR="00D30681" w:rsidRPr="00510E01" w:rsidRDefault="00D30681" w:rsidP="00D30681">
      <w:pPr>
        <w:pStyle w:val="NormaAlterada"/>
      </w:pPr>
      <w:r w:rsidRPr="00510E01">
        <w:t xml:space="preserve">Art. </w:t>
      </w:r>
      <w:r>
        <w:t>16</w:t>
      </w:r>
      <w:r w:rsidRPr="00510E01">
        <w:t>.  O administrador pode suspender a integralização de cotas por prazo determinado, entre 5 (cinco) dias úteis antes e 5 (cinco) dias úteis após a data de mudança na composição do índice ao qual a política de investimento esteja associada, devendo o regulamento dispor sobre os procedimentos a serem adotados neste sentido.</w:t>
      </w:r>
    </w:p>
    <w:p w14:paraId="5FAAE437" w14:textId="77777777" w:rsidR="00D30681" w:rsidRPr="00510E01" w:rsidRDefault="00D30681" w:rsidP="00D30681">
      <w:pPr>
        <w:pStyle w:val="NormaAlterada"/>
      </w:pPr>
      <w:r w:rsidRPr="00510E01">
        <w:t>§</w:t>
      </w:r>
      <w:r>
        <w:t xml:space="preserve"> </w:t>
      </w:r>
      <w:r w:rsidRPr="00510E01">
        <w:t>1</w:t>
      </w:r>
      <w:bookmarkStart w:id="1143" w:name="_Int_FWY3Joth"/>
      <w:r w:rsidRPr="00510E01">
        <w:t>º  É</w:t>
      </w:r>
      <w:bookmarkEnd w:id="1143"/>
      <w:r w:rsidRPr="00510E01">
        <w:t xml:space="preserve"> facultado ao administrador suspender a integralização de cotas sempre que houver a suspensão da negociação secundária de cotas, conforme disposto no art. </w:t>
      </w:r>
      <w:r>
        <w:t>20</w:t>
      </w:r>
      <w:r w:rsidRPr="00510E01">
        <w:t xml:space="preserve"> deste Anexo Normativo V.</w:t>
      </w:r>
    </w:p>
    <w:p w14:paraId="3A01F137" w14:textId="77777777" w:rsidR="00D30681" w:rsidRPr="00510E01" w:rsidRDefault="00D30681" w:rsidP="00D30681">
      <w:pPr>
        <w:pStyle w:val="NormaAlterada"/>
      </w:pPr>
      <w:r w:rsidRPr="00510E01">
        <w:t>§</w:t>
      </w:r>
      <w:r>
        <w:t xml:space="preserve"> </w:t>
      </w:r>
      <w:r w:rsidRPr="00510E01">
        <w:t>2</w:t>
      </w:r>
      <w:bookmarkStart w:id="1144" w:name="_Int_oUluc6AY"/>
      <w:r w:rsidRPr="00510E01">
        <w:t>º  A</w:t>
      </w:r>
      <w:bookmarkEnd w:id="1144"/>
      <w:r w:rsidRPr="00510E01">
        <w:t xml:space="preserve"> suspensão da integralização de cotas deve ser considerada fato relevante.</w:t>
      </w:r>
    </w:p>
    <w:p w14:paraId="778F9FA5" w14:textId="77777777" w:rsidR="00D30681" w:rsidRPr="00510E01" w:rsidRDefault="00D30681" w:rsidP="00D30681">
      <w:pPr>
        <w:pStyle w:val="Captulo"/>
      </w:pPr>
      <w:bookmarkStart w:id="1145" w:name="_Toc161141373"/>
      <w:r w:rsidRPr="00510E01">
        <w:t>CAPÍTULO V – NEGOCIAÇÃO NO MERCADO SECUNDÁRIO</w:t>
      </w:r>
      <w:bookmarkEnd w:id="1145"/>
    </w:p>
    <w:p w14:paraId="5BEC86E2" w14:textId="77777777" w:rsidR="00D30681" w:rsidRPr="00510E01" w:rsidRDefault="00D30681" w:rsidP="00D30681">
      <w:pPr>
        <w:pStyle w:val="NormaAlterada"/>
      </w:pPr>
      <w:r w:rsidRPr="00510E01">
        <w:t xml:space="preserve">Art. </w:t>
      </w:r>
      <w:r>
        <w:t>17</w:t>
      </w:r>
      <w:r w:rsidRPr="00510E01">
        <w:t>.  Cabe às entidades administradoras de mercado organizado de valores mobiliários a adoção de regras e procedimentos adicionais a este Anexo Normativo V.</w:t>
      </w:r>
    </w:p>
    <w:p w14:paraId="1BFF7561" w14:textId="77777777" w:rsidR="00D30681" w:rsidRPr="00510E01" w:rsidRDefault="00D30681" w:rsidP="00D30681">
      <w:pPr>
        <w:pStyle w:val="NormaAlterada"/>
      </w:pPr>
      <w:r w:rsidRPr="00510E01">
        <w:t xml:space="preserve">Art. </w:t>
      </w:r>
      <w:r>
        <w:t>18</w:t>
      </w:r>
      <w:r w:rsidRPr="00510E01">
        <w:t>.  É vedado ao gestor da carteira exercer a função de formador de mercado das cotas de fundos sob sua gestão.</w:t>
      </w:r>
    </w:p>
    <w:p w14:paraId="3246C595" w14:textId="77777777" w:rsidR="00D30681" w:rsidRPr="00510E01" w:rsidRDefault="00D30681" w:rsidP="00D30681">
      <w:pPr>
        <w:pStyle w:val="NormaAlterada"/>
      </w:pPr>
      <w:r w:rsidRPr="00510E01">
        <w:t xml:space="preserve">Art. </w:t>
      </w:r>
      <w:r>
        <w:t>19</w:t>
      </w:r>
      <w:r w:rsidRPr="00510E01">
        <w:t>.  Cabe à entidade administradora de mercado organizado na qual as cotas estejam admitidas à negociação:</w:t>
      </w:r>
    </w:p>
    <w:p w14:paraId="6016B992" w14:textId="77777777" w:rsidR="00D30681" w:rsidRPr="00510E01" w:rsidRDefault="00D30681" w:rsidP="00D30681">
      <w:pPr>
        <w:pStyle w:val="NormaAlterada"/>
      </w:pPr>
      <w:r w:rsidRPr="00510E01">
        <w:t xml:space="preserve">I – </w:t>
      </w:r>
      <w:bookmarkStart w:id="1146" w:name="_Int_iiLhwbdB"/>
      <w:r w:rsidRPr="00510E01">
        <w:t>comunicar</w:t>
      </w:r>
      <w:bookmarkEnd w:id="1146"/>
      <w:r w:rsidRPr="00510E01">
        <w:t xml:space="preserve"> à CVM a data da primeira negociação de cotas no mercado secundário;</w:t>
      </w:r>
    </w:p>
    <w:p w14:paraId="62DA0B13" w14:textId="77777777" w:rsidR="00D30681" w:rsidRPr="00510E01" w:rsidRDefault="00D30681" w:rsidP="00D30681">
      <w:pPr>
        <w:pStyle w:val="NormaAlterada"/>
      </w:pPr>
      <w:r w:rsidRPr="00510E01">
        <w:t xml:space="preserve">II – </w:t>
      </w:r>
      <w:bookmarkStart w:id="1147" w:name="_Int_Z2zuw4ds"/>
      <w:r w:rsidRPr="00510E01">
        <w:t>observar</w:t>
      </w:r>
      <w:bookmarkEnd w:id="1147"/>
      <w:r w:rsidRPr="00510E01">
        <w:t xml:space="preserve"> procedimentos especiais no caso de negociação de cotas em quantidade ou preço sensivelmente diversos em comparação a períodos anteriores ou com o índice de referência, conforme </w:t>
      </w:r>
      <w:r w:rsidRPr="00510E01">
        <w:lastRenderedPageBreak/>
        <w:t>regulamentação em vigor para a negociação de ações, equiparando-se, para esse fim, as cotas às ações preferenciais;</w:t>
      </w:r>
      <w:r>
        <w:t xml:space="preserve"> e</w:t>
      </w:r>
    </w:p>
    <w:p w14:paraId="61E7CD77" w14:textId="77777777" w:rsidR="00D30681" w:rsidRPr="00510E01" w:rsidRDefault="00D30681" w:rsidP="00D30681">
      <w:pPr>
        <w:pStyle w:val="NormaAlterada"/>
      </w:pPr>
      <w:r w:rsidRPr="00510E01">
        <w:t>III – divulgar, por meio do seu sistema de negociação e de informação, as mesmas informações sobre preços e volume que divulga para outros ativos listados, bem como as seguintes informações adicionais:</w:t>
      </w:r>
    </w:p>
    <w:p w14:paraId="14C227D9" w14:textId="77777777" w:rsidR="00D30681" w:rsidRPr="00510E01" w:rsidRDefault="00D30681" w:rsidP="00D30681">
      <w:pPr>
        <w:pStyle w:val="NormaAlterada"/>
      </w:pPr>
      <w:r w:rsidRPr="00510E01">
        <w:t>a) convocação de assembleia de cotistas;</w:t>
      </w:r>
    </w:p>
    <w:p w14:paraId="777F6C99" w14:textId="77777777" w:rsidR="00D30681" w:rsidRPr="00510E01" w:rsidRDefault="00D30681" w:rsidP="00D30681">
      <w:pPr>
        <w:pStyle w:val="NormaAlterada"/>
      </w:pPr>
      <w:r w:rsidRPr="00510E01">
        <w:t>b) fatos relevantes; e</w:t>
      </w:r>
    </w:p>
    <w:p w14:paraId="6E760F55" w14:textId="77777777" w:rsidR="00D30681" w:rsidRPr="00510E01" w:rsidRDefault="00D30681" w:rsidP="00D30681">
      <w:pPr>
        <w:pStyle w:val="NormaAlterada"/>
      </w:pPr>
      <w:r w:rsidRPr="00510E01">
        <w:t xml:space="preserve">c) diariamente, as informações previstas nos incisos I a III do </w:t>
      </w:r>
      <w:r w:rsidRPr="00510E01">
        <w:rPr>
          <w:b/>
          <w:bCs/>
        </w:rPr>
        <w:t xml:space="preserve">caput </w:t>
      </w:r>
      <w:r w:rsidRPr="00510E01">
        <w:t xml:space="preserve">do art. </w:t>
      </w:r>
      <w:r>
        <w:t>27</w:t>
      </w:r>
      <w:r w:rsidRPr="00510E01">
        <w:t xml:space="preserve"> deste Anexo Normativo V, comunicando ao mercado e à CVM se os limites ali estabelecidos forem ultrapassados. </w:t>
      </w:r>
    </w:p>
    <w:p w14:paraId="4237237E" w14:textId="77777777" w:rsidR="00D30681" w:rsidRPr="00510E01" w:rsidRDefault="00D30681" w:rsidP="00D30681">
      <w:pPr>
        <w:pStyle w:val="NormaAlterada"/>
      </w:pPr>
      <w:r w:rsidRPr="00510E01">
        <w:t xml:space="preserve">Art. </w:t>
      </w:r>
      <w:r>
        <w:t>20</w:t>
      </w:r>
      <w:r w:rsidRPr="00510E01">
        <w:t>.  A CVM e a entidade administradora de mercado organizado na qual as cotas do fundo estejam admitidas à negociação podem determinar a suspensão temporária da negociação das cotas no mercado secundário.</w:t>
      </w:r>
    </w:p>
    <w:p w14:paraId="58597D1A" w14:textId="77777777" w:rsidR="00D30681" w:rsidRPr="00510E01" w:rsidRDefault="00D30681" w:rsidP="00D30681">
      <w:pPr>
        <w:pStyle w:val="NormaAlterada"/>
      </w:pPr>
      <w:r w:rsidRPr="00510E01">
        <w:t>Parágrafo único.  A suspensão da negociação das cotas no mercado secundário deve ser considerada fato relevante.</w:t>
      </w:r>
    </w:p>
    <w:p w14:paraId="7C213099" w14:textId="77777777" w:rsidR="00D30681" w:rsidRPr="00510E01" w:rsidRDefault="00D30681" w:rsidP="00D30681">
      <w:pPr>
        <w:pStyle w:val="NormaAlterada"/>
      </w:pPr>
      <w:r w:rsidRPr="00510E01">
        <w:t xml:space="preserve">Art. </w:t>
      </w:r>
      <w:r>
        <w:t>21</w:t>
      </w:r>
      <w:r w:rsidRPr="00510E01">
        <w:t>.  A oferta pública secundária de cotas depende de prévia autorização da Superintendência competente.</w:t>
      </w:r>
    </w:p>
    <w:p w14:paraId="20525BD7" w14:textId="77777777" w:rsidR="00D30681" w:rsidRPr="00510E01" w:rsidRDefault="00D30681" w:rsidP="00D30681">
      <w:pPr>
        <w:pStyle w:val="NormaAlterada"/>
      </w:pPr>
      <w:r w:rsidRPr="00510E01">
        <w:t>Parágrafo único.  O pedido de autorização para oferta pública secundária de cotas deve ser acompanhado de:</w:t>
      </w:r>
    </w:p>
    <w:p w14:paraId="1299FD22" w14:textId="77777777" w:rsidR="00D30681" w:rsidRPr="00510E01" w:rsidRDefault="00D30681" w:rsidP="00D30681">
      <w:pPr>
        <w:pStyle w:val="NormaAlterada"/>
      </w:pPr>
      <w:r w:rsidRPr="00510E01">
        <w:t xml:space="preserve">I – </w:t>
      </w:r>
      <w:bookmarkStart w:id="1148" w:name="_Int_POtEupoD"/>
      <w:r w:rsidRPr="00510E01">
        <w:t>declaração</w:t>
      </w:r>
      <w:bookmarkEnd w:id="1148"/>
      <w:r w:rsidRPr="00510E01">
        <w:t xml:space="preserve"> de que a classe de cotas contratou instituição integrante do sistema de distribuição para atuar na oferta, quando for o caso; </w:t>
      </w:r>
    </w:p>
    <w:p w14:paraId="3890B368" w14:textId="77777777" w:rsidR="00D30681" w:rsidRPr="00510E01" w:rsidRDefault="00D30681" w:rsidP="00D30681">
      <w:pPr>
        <w:pStyle w:val="NormaAlterada"/>
      </w:pPr>
      <w:r w:rsidRPr="00510E01">
        <w:t xml:space="preserve">II – </w:t>
      </w:r>
      <w:bookmarkStart w:id="1149" w:name="_Int_zHXVsi79"/>
      <w:r w:rsidRPr="00510E01">
        <w:t>informação</w:t>
      </w:r>
      <w:bookmarkEnd w:id="1149"/>
      <w:r w:rsidRPr="00510E01">
        <w:t xml:space="preserve"> sobre a quantidade de cotas a serem ofertadas, o seu valor unitário e outras condições e informações relevantes sobre a oferta pública secundária; e</w:t>
      </w:r>
    </w:p>
    <w:p w14:paraId="223F5D26" w14:textId="77777777" w:rsidR="00D30681" w:rsidRPr="00510E01" w:rsidRDefault="00D30681" w:rsidP="00D30681">
      <w:pPr>
        <w:pStyle w:val="NormaAlterada"/>
      </w:pPr>
      <w:r w:rsidRPr="00510E01">
        <w:t>III – justificativa para o preço utilizado na distribuição.</w:t>
      </w:r>
    </w:p>
    <w:p w14:paraId="73E52F67" w14:textId="77777777" w:rsidR="00D30681" w:rsidRPr="00510E01" w:rsidRDefault="00D30681" w:rsidP="00D30681">
      <w:pPr>
        <w:pStyle w:val="Captulo"/>
      </w:pPr>
      <w:bookmarkStart w:id="1150" w:name="_Toc161141374"/>
      <w:r w:rsidRPr="00510E01">
        <w:t>CAPÍTULO VI – REGULAMENTO</w:t>
      </w:r>
      <w:bookmarkEnd w:id="1150"/>
    </w:p>
    <w:p w14:paraId="3A586FE4" w14:textId="77777777" w:rsidR="00D30681" w:rsidRPr="00510E01" w:rsidRDefault="00D30681" w:rsidP="00D30681">
      <w:pPr>
        <w:pStyle w:val="NormaAlterada"/>
      </w:pPr>
      <w:r w:rsidRPr="00510E01">
        <w:t xml:space="preserve">Art. </w:t>
      </w:r>
      <w:r>
        <w:t>22</w:t>
      </w:r>
      <w:r w:rsidRPr="00510E01">
        <w:t xml:space="preserve">.  Em acréscimo às matérias dispostas no art. 48 da parte geral da Resolução, o regulamento do fundo de índice deve dispor sobre: </w:t>
      </w:r>
    </w:p>
    <w:p w14:paraId="6DC93FD6" w14:textId="77777777" w:rsidR="00D30681" w:rsidRPr="00510E01" w:rsidRDefault="00D30681" w:rsidP="00D30681">
      <w:pPr>
        <w:pStyle w:val="NormaAlterada"/>
      </w:pPr>
      <w:r w:rsidRPr="00510E01">
        <w:lastRenderedPageBreak/>
        <w:t xml:space="preserve">I – </w:t>
      </w:r>
      <w:bookmarkStart w:id="1151" w:name="_Int_V0w196Wn"/>
      <w:r w:rsidRPr="00510E01">
        <w:t>o</w:t>
      </w:r>
      <w:bookmarkEnd w:id="1151"/>
      <w:r w:rsidRPr="00510E01">
        <w:t xml:space="preserve"> índice de referência ao qual a política de investimento esteja associada, bem como as características básicas desse índice; </w:t>
      </w:r>
    </w:p>
    <w:p w14:paraId="5CA2F5EB" w14:textId="77777777" w:rsidR="00D30681" w:rsidRPr="00510E01" w:rsidRDefault="00D30681" w:rsidP="00D30681">
      <w:pPr>
        <w:pStyle w:val="NormaAlterada"/>
      </w:pPr>
      <w:r w:rsidRPr="00510E01">
        <w:t xml:space="preserve">II – </w:t>
      </w:r>
      <w:bookmarkStart w:id="1152" w:name="_Int_lf2Nsx8z"/>
      <w:r w:rsidRPr="00510E01">
        <w:t>a</w:t>
      </w:r>
      <w:bookmarkEnd w:id="1152"/>
      <w:r w:rsidRPr="00510E01">
        <w:t xml:space="preserve"> entidade administradora de mercado organizado na qual as cotas estejam admitidas à negociação;</w:t>
      </w:r>
    </w:p>
    <w:p w14:paraId="72C117E7" w14:textId="77777777" w:rsidR="00D30681" w:rsidRPr="00510E01" w:rsidRDefault="00D30681" w:rsidP="00D30681">
      <w:pPr>
        <w:pStyle w:val="NormaAlterada"/>
      </w:pPr>
      <w:r w:rsidRPr="00510E01">
        <w:t>III – as regras relacionadas à publicidade, incluindo características do prospecto, se houver;</w:t>
      </w:r>
    </w:p>
    <w:p w14:paraId="74BEE975" w14:textId="77777777" w:rsidR="00D30681" w:rsidRPr="00510E01" w:rsidRDefault="00D30681" w:rsidP="00D30681">
      <w:pPr>
        <w:pStyle w:val="NormaAlterada"/>
      </w:pPr>
      <w:r w:rsidRPr="00510E01">
        <w:t xml:space="preserve">IV – </w:t>
      </w:r>
      <w:bookmarkStart w:id="1153" w:name="_Int_gqvPwDU7"/>
      <w:r w:rsidRPr="00510E01">
        <w:t>as</w:t>
      </w:r>
      <w:bookmarkEnd w:id="1153"/>
      <w:r w:rsidRPr="00510E01">
        <w:t xml:space="preserve"> informações que podem ser obtidas na página eletrônica do fundo na rede mundial de computadores;</w:t>
      </w:r>
    </w:p>
    <w:p w14:paraId="5B0F271C" w14:textId="77777777" w:rsidR="00D30681" w:rsidRPr="00510E01" w:rsidRDefault="00D30681" w:rsidP="00D30681">
      <w:pPr>
        <w:pStyle w:val="NormaAlterada"/>
      </w:pPr>
      <w:r w:rsidRPr="00510E01">
        <w:t xml:space="preserve">V – </w:t>
      </w:r>
      <w:bookmarkStart w:id="1154" w:name="_Int_OqcMHmV2"/>
      <w:r w:rsidRPr="00510E01">
        <w:t>a</w:t>
      </w:r>
      <w:bookmarkEnd w:id="1154"/>
      <w:r w:rsidRPr="00510E01">
        <w:t xml:space="preserve"> possibilidade de o administrador, ou de pessoas ligadas, negociarem as cotas, e em que condições; e</w:t>
      </w:r>
    </w:p>
    <w:p w14:paraId="6F5C55E1" w14:textId="77777777" w:rsidR="00D30681" w:rsidRPr="00510E01" w:rsidRDefault="00D30681" w:rsidP="00D30681">
      <w:pPr>
        <w:pStyle w:val="NormaAlterada"/>
      </w:pPr>
      <w:r w:rsidRPr="00510E01">
        <w:t xml:space="preserve">VI – </w:t>
      </w:r>
      <w:bookmarkStart w:id="1155" w:name="_Int_JDl1ZM4Q"/>
      <w:r w:rsidRPr="00510E01">
        <w:t>a</w:t>
      </w:r>
      <w:bookmarkEnd w:id="1155"/>
      <w:r w:rsidRPr="00510E01">
        <w:t xml:space="preserve"> possibilidade e condições de utilização dos ativos financeiros que compõem a carteira para operações de empréstimo de ativos.</w:t>
      </w:r>
    </w:p>
    <w:p w14:paraId="44578A7B" w14:textId="77777777" w:rsidR="00D30681" w:rsidRPr="00510E01" w:rsidRDefault="00D30681" w:rsidP="00D30681">
      <w:pPr>
        <w:pStyle w:val="NormaAlterada"/>
      </w:pPr>
      <w:r w:rsidRPr="00510E01">
        <w:t xml:space="preserve">Parágrafo único.  Para os fins do disposto neste Anexo Normativo V, consideram-se pessoas ligadas: </w:t>
      </w:r>
    </w:p>
    <w:p w14:paraId="6D686054" w14:textId="77777777" w:rsidR="00D30681" w:rsidRPr="00510E01" w:rsidRDefault="00D30681" w:rsidP="00D30681">
      <w:pPr>
        <w:pStyle w:val="NormaAlterada"/>
      </w:pPr>
      <w:r w:rsidRPr="00510E01">
        <w:t xml:space="preserve">I – </w:t>
      </w:r>
      <w:bookmarkStart w:id="1156" w:name="_Int_b422YOIe"/>
      <w:r w:rsidRPr="00510E01">
        <w:t>as</w:t>
      </w:r>
      <w:bookmarkEnd w:id="1156"/>
      <w:r w:rsidRPr="00510E01">
        <w:t xml:space="preserve"> companhias em que o administrador ou o gestor, seus controladores, administradores ou dependentes destes, ocupem cargo de administração ou que, individualmente ou em conjunto, participem em porcentagem superior a 10% (dez por cento) do capital social; e</w:t>
      </w:r>
    </w:p>
    <w:p w14:paraId="584479F0" w14:textId="77777777" w:rsidR="00D30681" w:rsidRPr="00510E01" w:rsidRDefault="00D30681" w:rsidP="00D30681">
      <w:pPr>
        <w:pStyle w:val="NormaAlterada"/>
      </w:pPr>
      <w:r w:rsidRPr="00510E01">
        <w:t xml:space="preserve">II – </w:t>
      </w:r>
      <w:bookmarkStart w:id="1157" w:name="_Int_zrxDOLaw"/>
      <w:r w:rsidRPr="00510E01">
        <w:t>os</w:t>
      </w:r>
      <w:bookmarkEnd w:id="1157"/>
      <w:r w:rsidRPr="00510E01">
        <w:t xml:space="preserve"> controladores, funcionários e prepostos dos prestadores de serviços essenciais, bem como seus dependentes.</w:t>
      </w:r>
    </w:p>
    <w:p w14:paraId="5606DD1A" w14:textId="77777777" w:rsidR="00D30681" w:rsidRPr="00510E01" w:rsidRDefault="00D30681" w:rsidP="00D30681">
      <w:pPr>
        <w:pStyle w:val="Captulo"/>
      </w:pPr>
      <w:bookmarkStart w:id="1158" w:name="_Toc161141375"/>
      <w:r w:rsidRPr="00510E01">
        <w:t>CAPÍTULO VII – ASSEMBLEIA DE COTISTAS</w:t>
      </w:r>
      <w:bookmarkEnd w:id="1158"/>
    </w:p>
    <w:p w14:paraId="605D2461" w14:textId="77777777" w:rsidR="00D30681" w:rsidRPr="00510E01" w:rsidRDefault="00D30681" w:rsidP="00D30681">
      <w:pPr>
        <w:pStyle w:val="Seo"/>
      </w:pPr>
      <w:bookmarkStart w:id="1159" w:name="_Toc161141376"/>
      <w:r w:rsidRPr="00510E01">
        <w:t>Seção I – Competência</w:t>
      </w:r>
      <w:bookmarkEnd w:id="1159"/>
    </w:p>
    <w:p w14:paraId="704999B1" w14:textId="77777777" w:rsidR="00D30681" w:rsidRPr="00510E01" w:rsidRDefault="00D30681" w:rsidP="00D30681">
      <w:pPr>
        <w:pStyle w:val="NormaAlterada"/>
      </w:pPr>
      <w:r w:rsidRPr="00510E01">
        <w:t xml:space="preserve">Art. </w:t>
      </w:r>
      <w:r>
        <w:t>23</w:t>
      </w:r>
      <w:r w:rsidRPr="00510E01">
        <w:t xml:space="preserve">.  Em acréscimo às matérias previstas no art. 70 da parte geral da Resolução, compete privativamente à assembleia de cotistas deliberar sobre: </w:t>
      </w:r>
    </w:p>
    <w:p w14:paraId="529A1030" w14:textId="77777777" w:rsidR="00D30681" w:rsidRPr="00510E01" w:rsidRDefault="00D30681" w:rsidP="00D30681">
      <w:pPr>
        <w:pStyle w:val="NormaAlterada"/>
      </w:pPr>
      <w:r w:rsidRPr="00510E01">
        <w:t xml:space="preserve">I – </w:t>
      </w:r>
      <w:bookmarkStart w:id="1160" w:name="_Int_VnekzNsI"/>
      <w:r w:rsidRPr="00510E01">
        <w:t>a</w:t>
      </w:r>
      <w:bookmarkEnd w:id="1160"/>
      <w:r w:rsidRPr="00510E01">
        <w:t xml:space="preserve"> amortização de cotas e a distribuição de resultados, caso não estejam previstas no regulamento; </w:t>
      </w:r>
    </w:p>
    <w:p w14:paraId="7B6BE90F" w14:textId="77777777" w:rsidR="00D30681" w:rsidRPr="00510E01" w:rsidRDefault="00D30681" w:rsidP="00D30681">
      <w:pPr>
        <w:pStyle w:val="NormaAlterada"/>
      </w:pPr>
      <w:r w:rsidRPr="00510E01">
        <w:t xml:space="preserve">II – </w:t>
      </w:r>
      <w:bookmarkStart w:id="1161" w:name="_Int_78Q8S4Z4"/>
      <w:r w:rsidRPr="00510E01">
        <w:t>mudança</w:t>
      </w:r>
      <w:bookmarkEnd w:id="1161"/>
      <w:r w:rsidRPr="00510E01">
        <w:t xml:space="preserve"> na política de investimento; </w:t>
      </w:r>
    </w:p>
    <w:p w14:paraId="75D8ECAA" w14:textId="77777777" w:rsidR="00D30681" w:rsidRPr="00510E01" w:rsidRDefault="00D30681" w:rsidP="00D30681">
      <w:pPr>
        <w:pStyle w:val="NormaAlterada"/>
      </w:pPr>
      <w:r w:rsidRPr="00510E01">
        <w:t>III – aumento da taxa de custódia;</w:t>
      </w:r>
    </w:p>
    <w:p w14:paraId="1DFC3EA7" w14:textId="77777777" w:rsidR="00D30681" w:rsidRPr="00510E01" w:rsidRDefault="00D30681" w:rsidP="00D30681">
      <w:pPr>
        <w:pStyle w:val="NormaAlterada"/>
      </w:pPr>
      <w:r w:rsidRPr="00510E01">
        <w:t xml:space="preserve">IV – </w:t>
      </w:r>
      <w:bookmarkStart w:id="1162" w:name="_Int_gBCks7xx"/>
      <w:r w:rsidRPr="00510E01">
        <w:t>mudança</w:t>
      </w:r>
      <w:bookmarkEnd w:id="1162"/>
      <w:r w:rsidRPr="00510E01">
        <w:t xml:space="preserve"> do endereço da página eletrônica do fundo na rede mundial de computadores;</w:t>
      </w:r>
    </w:p>
    <w:p w14:paraId="70FC611C" w14:textId="77777777" w:rsidR="00D30681" w:rsidRPr="00510E01" w:rsidRDefault="00D30681" w:rsidP="00D30681">
      <w:pPr>
        <w:pStyle w:val="NormaAlterada"/>
      </w:pPr>
      <w:r w:rsidRPr="00510E01">
        <w:lastRenderedPageBreak/>
        <w:t xml:space="preserve">V – </w:t>
      </w:r>
      <w:bookmarkStart w:id="1163" w:name="_Int_sHoMyoTz"/>
      <w:r w:rsidRPr="00510E01">
        <w:t>alterações</w:t>
      </w:r>
      <w:bookmarkEnd w:id="1163"/>
      <w:r w:rsidRPr="00510E01">
        <w:t xml:space="preserve"> no contrato entre a instituição proprietária do índice e o administrador, se houver, caso essas alterações acarretem aumento de despesas para a classe de cotas; e</w:t>
      </w:r>
    </w:p>
    <w:p w14:paraId="1D266436" w14:textId="77777777" w:rsidR="00D30681" w:rsidRPr="00510E01" w:rsidRDefault="00D30681" w:rsidP="00D30681">
      <w:pPr>
        <w:pStyle w:val="NormaAlterada"/>
      </w:pPr>
      <w:r w:rsidRPr="00510E01">
        <w:t xml:space="preserve">VI – </w:t>
      </w:r>
      <w:bookmarkStart w:id="1164" w:name="_Int_sjeVAsYA"/>
      <w:r w:rsidRPr="00510E01">
        <w:t>outras</w:t>
      </w:r>
      <w:bookmarkEnd w:id="1164"/>
      <w:r w:rsidRPr="00510E01">
        <w:t xml:space="preserve"> alterações no regulamento que não sejam resultado de decisões relativas aos incisos II a IV do </w:t>
      </w:r>
      <w:r w:rsidRPr="00510E01">
        <w:rPr>
          <w:b/>
          <w:bCs/>
        </w:rPr>
        <w:t>caput</w:t>
      </w:r>
      <w:r w:rsidRPr="00510E01">
        <w:t>.</w:t>
      </w:r>
    </w:p>
    <w:p w14:paraId="64DF3AF7" w14:textId="77777777" w:rsidR="00D30681" w:rsidRPr="00510E01" w:rsidRDefault="00D30681" w:rsidP="00D30681">
      <w:pPr>
        <w:pStyle w:val="NormaAlterada"/>
      </w:pPr>
      <w:r w:rsidRPr="00510E01">
        <w:t xml:space="preserve">Art. </w:t>
      </w:r>
      <w:r>
        <w:t>24</w:t>
      </w:r>
      <w:r w:rsidRPr="00510E01">
        <w:t xml:space="preserve">.  As modificações no regulamento resultantes de deliberações da assembleia passam a vigorar a partir da data do protocolo na CVM dos seguintes documentos: </w:t>
      </w:r>
    </w:p>
    <w:p w14:paraId="62E5FD48" w14:textId="77777777" w:rsidR="00D30681" w:rsidRPr="00510E01" w:rsidRDefault="00D30681" w:rsidP="00D30681">
      <w:pPr>
        <w:pStyle w:val="NormaAlterada"/>
      </w:pPr>
      <w:r w:rsidRPr="00510E01">
        <w:t xml:space="preserve">I – </w:t>
      </w:r>
      <w:bookmarkStart w:id="1165" w:name="_Int_dHnV9jSa"/>
      <w:r w:rsidRPr="00510E01">
        <w:t>lista</w:t>
      </w:r>
      <w:bookmarkEnd w:id="1165"/>
      <w:r w:rsidRPr="00510E01">
        <w:t xml:space="preserve"> de cotistas presentes na assembleia; </w:t>
      </w:r>
    </w:p>
    <w:p w14:paraId="2C328E0C" w14:textId="77777777" w:rsidR="00D30681" w:rsidRPr="00510E01" w:rsidRDefault="00D30681" w:rsidP="00D30681">
      <w:pPr>
        <w:pStyle w:val="NormaAlterada"/>
      </w:pPr>
      <w:r w:rsidRPr="00510E01">
        <w:t xml:space="preserve">II – </w:t>
      </w:r>
      <w:bookmarkStart w:id="1166" w:name="_Int_AHhdEFN1"/>
      <w:r w:rsidRPr="00510E01">
        <w:t>cópia</w:t>
      </w:r>
      <w:bookmarkEnd w:id="1166"/>
      <w:r w:rsidRPr="00510E01">
        <w:t xml:space="preserve"> da ata da assembleia; e</w:t>
      </w:r>
    </w:p>
    <w:p w14:paraId="2A802280" w14:textId="77777777" w:rsidR="00D30681" w:rsidRPr="00510E01" w:rsidRDefault="00D30681" w:rsidP="00D30681">
      <w:pPr>
        <w:pStyle w:val="NormaAlterada"/>
      </w:pPr>
      <w:r w:rsidRPr="00510E01">
        <w:t>III – exemplar do regulamento, consolidando as alterações efetuadas.</w:t>
      </w:r>
    </w:p>
    <w:p w14:paraId="10B84E90" w14:textId="77777777" w:rsidR="00D30681" w:rsidRPr="00510E01" w:rsidRDefault="00D30681" w:rsidP="00D30681">
      <w:pPr>
        <w:pStyle w:val="NormaAlterada"/>
      </w:pPr>
      <w:r w:rsidRPr="00510E01">
        <w:t xml:space="preserve">Parágrafo único.  O protocolo de que trata o </w:t>
      </w:r>
      <w:r w:rsidRPr="00510E01">
        <w:rPr>
          <w:b/>
          <w:bCs/>
        </w:rPr>
        <w:t xml:space="preserve">caput </w:t>
      </w:r>
      <w:r w:rsidRPr="00510E01">
        <w:t>deve ser feito dentro de 5 (cinco) dias úteis, a contar da data da realização da assembleia.</w:t>
      </w:r>
    </w:p>
    <w:p w14:paraId="09AA976C" w14:textId="77777777" w:rsidR="00D30681" w:rsidRPr="00510E01" w:rsidRDefault="00D30681" w:rsidP="00D30681">
      <w:pPr>
        <w:pStyle w:val="Seo"/>
      </w:pPr>
      <w:bookmarkStart w:id="1167" w:name="_Toc161141377"/>
      <w:r w:rsidRPr="00510E01">
        <w:t>Seção II – Convocação</w:t>
      </w:r>
      <w:bookmarkEnd w:id="1167"/>
    </w:p>
    <w:p w14:paraId="707FCB0B" w14:textId="77777777" w:rsidR="00D30681" w:rsidRPr="00510E01" w:rsidRDefault="00D30681" w:rsidP="00D30681">
      <w:pPr>
        <w:pStyle w:val="NormaAlterada"/>
      </w:pPr>
      <w:r w:rsidRPr="00510E01">
        <w:t xml:space="preserve">Art. </w:t>
      </w:r>
      <w:r>
        <w:t>25</w:t>
      </w:r>
      <w:r w:rsidRPr="00510E01">
        <w:t>.  A assembleia deve ser convocada por edital enviado à entidade administradora de mercado organizado na qual as cotas do fundo estejam admitidas à negociação e publicado na página eletrônica do fundo na rede mundial de computadores.</w:t>
      </w:r>
    </w:p>
    <w:p w14:paraId="719D69C4" w14:textId="77777777" w:rsidR="00D30681" w:rsidRPr="00510E01" w:rsidRDefault="00D30681" w:rsidP="00D30681">
      <w:pPr>
        <w:pStyle w:val="NormaAlterada"/>
      </w:pPr>
      <w:r w:rsidRPr="00510E01">
        <w:t xml:space="preserve">Art. </w:t>
      </w:r>
      <w:r>
        <w:t>26</w:t>
      </w:r>
      <w:r w:rsidRPr="00510E01">
        <w:t xml:space="preserve">.  A assembleia de cotistas deve ser convocada pelo administrador, anualmente, até o dia 30 de junho de cada ano, para deliberar sobre a matéria prevista no inciso I do § 1º do art. 48 da parte geral da Resolução. </w:t>
      </w:r>
    </w:p>
    <w:p w14:paraId="3EEF7F50" w14:textId="77777777" w:rsidR="00D30681" w:rsidRPr="00510E01" w:rsidRDefault="00D30681" w:rsidP="00D30681">
      <w:pPr>
        <w:pStyle w:val="NormaAlterada"/>
      </w:pPr>
      <w:r w:rsidRPr="00510E01">
        <w:t xml:space="preserve">Parágrafo único.  A assembleia ordinária de cotistas somente pode ser realizada após a divulgação, com prazo de antecedência mínimo de 15 (quinze) dias, na página eletrônica do fundo na rede mundial de computadores, das demonstrações contábeis relativas ao exercício, que devem ficar também à disposição dos cotistas na sede do administrador. </w:t>
      </w:r>
    </w:p>
    <w:p w14:paraId="04F3E453" w14:textId="77777777" w:rsidR="00D30681" w:rsidRPr="00510E01" w:rsidRDefault="00D30681" w:rsidP="00D30681">
      <w:pPr>
        <w:pStyle w:val="NormaAlterada"/>
      </w:pPr>
      <w:r w:rsidRPr="00510E01">
        <w:t xml:space="preserve">Art. </w:t>
      </w:r>
      <w:r>
        <w:t>27</w:t>
      </w:r>
      <w:r w:rsidRPr="00510E01">
        <w:t>.  A assembleia de cotistas também deve ser convocada pelo administrador, às suas expensas, no prazo de 15 (quinze) dias, sempre que:</w:t>
      </w:r>
    </w:p>
    <w:p w14:paraId="1B8B09D7" w14:textId="77777777" w:rsidR="00D30681" w:rsidRPr="00510E01" w:rsidRDefault="00D30681" w:rsidP="00D30681">
      <w:pPr>
        <w:pStyle w:val="NormaAlterada"/>
      </w:pPr>
      <w:r w:rsidRPr="00510E01">
        <w:t xml:space="preserve">I – </w:t>
      </w:r>
      <w:bookmarkStart w:id="1168" w:name="_Int_h1jPevI8"/>
      <w:r w:rsidRPr="00510E01">
        <w:t>verificar-se</w:t>
      </w:r>
      <w:bookmarkEnd w:id="1168"/>
      <w:r w:rsidRPr="00510E01">
        <w:t xml:space="preserve"> erro de aderência, calculado como o desvio padrão populacional das diferenças entre a variação percentual diária da cota e a variação percentual do valor de fechamento do índice de referência nos últimos 60 (sessenta) pregões, superior a 2 (dois) pontos percentuais, desde que tal erro </w:t>
      </w:r>
      <w:r w:rsidRPr="00510E01">
        <w:lastRenderedPageBreak/>
        <w:t>de aderência não seja reenquadrado ao limite de 2 (dois) pontos percentuais até o 15º (décimo quinto) dia útil consecutivo subsequente à data de verificação do respectivo erro de aderência;</w:t>
      </w:r>
    </w:p>
    <w:p w14:paraId="40052DBC" w14:textId="77777777" w:rsidR="00D30681" w:rsidRPr="00510E01" w:rsidRDefault="00D30681" w:rsidP="00D30681">
      <w:pPr>
        <w:pStyle w:val="NormaAlterada"/>
      </w:pPr>
      <w:r w:rsidRPr="00510E01">
        <w:t xml:space="preserve">II – </w:t>
      </w:r>
      <w:bookmarkStart w:id="1169" w:name="_Int_5zIepbuS"/>
      <w:r w:rsidRPr="00510E01">
        <w:t>a</w:t>
      </w:r>
      <w:bookmarkEnd w:id="1169"/>
      <w:r w:rsidRPr="00510E01">
        <w:t xml:space="preserve"> diferença entre a rentabilidade acumulada da classe de cotas e do valor de fechamento do índice de referência, em um período de 60 (sessenta) pregões, for superior a 2 (dois) pontos percentuais, desde que tal diferença de rentabilidade não seja reenquadrada ao limite de 2 (dois) pontos percentuais até o 15º (décimo quinto) dia útil consecutivo subsequente à data de verificação da respectiva diferença de rentabilidade; ou</w:t>
      </w:r>
    </w:p>
    <w:p w14:paraId="21B85AB8" w14:textId="77777777" w:rsidR="00D30681" w:rsidRPr="00510E01" w:rsidRDefault="00D30681" w:rsidP="00D30681">
      <w:pPr>
        <w:pStyle w:val="NormaAlterada"/>
      </w:pPr>
      <w:r w:rsidRPr="00510E01">
        <w:t>III – a diferença entre a rentabilidade acumulada da classe de cotas e do valor de fechamento do índice de referência em um período de 12 (doze) meses for superior a 4 (quatro) pontos percentuais, desde que tal diferença de rentabilidade não seja reenquadrada ao limite de 4 (quatro) pontos percentuais até o 30º (trigésimo) dia útil consecutivo subsequente à data de verificação da respectiva diferença de rentabilidade.</w:t>
      </w:r>
    </w:p>
    <w:p w14:paraId="387CFB05" w14:textId="77777777" w:rsidR="00D30681" w:rsidRPr="00510E01" w:rsidRDefault="00D30681" w:rsidP="00D30681">
      <w:pPr>
        <w:pStyle w:val="NormaAlterada"/>
      </w:pPr>
      <w:r w:rsidRPr="00510E01">
        <w:t>§ 1</w:t>
      </w:r>
      <w:bookmarkStart w:id="1170" w:name="_Int_FAfOh0UD"/>
      <w:r w:rsidRPr="00510E01">
        <w:t>º  No</w:t>
      </w:r>
      <w:bookmarkEnd w:id="1170"/>
      <w:r w:rsidRPr="00510E01">
        <w:t xml:space="preserve"> caso de classes de cotas que busquem refletir as variações e a rentabilidade de índices de renda fixa, os limites percentuais referidos nos incisos I a III do </w:t>
      </w:r>
      <w:r w:rsidRPr="00510E01">
        <w:rPr>
          <w:b/>
          <w:bCs/>
        </w:rPr>
        <w:t xml:space="preserve">caput </w:t>
      </w:r>
      <w:r w:rsidRPr="00510E01">
        <w:t>serão de 1 (um) ponto percentual, 1 (um) ponto percentual e 2 (dois) pontos percentuais, respectivamente.</w:t>
      </w:r>
    </w:p>
    <w:p w14:paraId="2DB6AECE" w14:textId="77777777" w:rsidR="00D30681" w:rsidRPr="00510E01" w:rsidRDefault="00D30681" w:rsidP="00D30681">
      <w:pPr>
        <w:pStyle w:val="NormaAlterada"/>
      </w:pPr>
      <w:r w:rsidRPr="00510E01">
        <w:t>§ 2</w:t>
      </w:r>
      <w:bookmarkStart w:id="1171" w:name="_Int_fIgEtcad"/>
      <w:r w:rsidRPr="00510E01">
        <w:t>º  Os</w:t>
      </w:r>
      <w:bookmarkEnd w:id="1171"/>
      <w:r w:rsidRPr="00510E01">
        <w:t xml:space="preserve"> eventos referidos nos incisos do </w:t>
      </w:r>
      <w:r w:rsidRPr="00510E01">
        <w:rPr>
          <w:b/>
          <w:bCs/>
        </w:rPr>
        <w:t xml:space="preserve">caput </w:t>
      </w:r>
      <w:r w:rsidRPr="00510E01">
        <w:t>devem ser divulgados imediatamente, devendo a primeira divulgação relativa aos incisos I e II ser feita após decorridos 60 (sessenta) pregões da data de listagem das cotas em mercado organizado de valores mobiliários, enquanto a primeira divulgação relativa ao inciso III deve ser feita após decorridos 12 (doze) meses daquela data.</w:t>
      </w:r>
    </w:p>
    <w:p w14:paraId="545CF352" w14:textId="77777777" w:rsidR="00D30681" w:rsidRPr="00510E01" w:rsidRDefault="00D30681" w:rsidP="00D30681">
      <w:pPr>
        <w:pStyle w:val="NormaAlterada"/>
      </w:pPr>
      <w:r w:rsidRPr="00510E01">
        <w:t>§ 3</w:t>
      </w:r>
      <w:bookmarkStart w:id="1172" w:name="_Int_eGHnoByu"/>
      <w:r w:rsidRPr="00510E01">
        <w:t>º  A</w:t>
      </w:r>
      <w:bookmarkEnd w:id="1172"/>
      <w:r w:rsidRPr="00510E01">
        <w:t xml:space="preserve"> assembleia referida no </w:t>
      </w:r>
      <w:r w:rsidRPr="00510E01">
        <w:rPr>
          <w:b/>
          <w:bCs/>
        </w:rPr>
        <w:t xml:space="preserve">caput </w:t>
      </w:r>
      <w:r w:rsidRPr="00510E01">
        <w:t>deve ter em sua pauta os seguintes itens:</w:t>
      </w:r>
    </w:p>
    <w:p w14:paraId="0CEF6C81" w14:textId="77777777" w:rsidR="00D30681" w:rsidRPr="00510E01" w:rsidRDefault="00D30681" w:rsidP="00D30681">
      <w:pPr>
        <w:pStyle w:val="NormaAlterada"/>
      </w:pPr>
      <w:r w:rsidRPr="00510E01">
        <w:t xml:space="preserve">I – </w:t>
      </w:r>
      <w:bookmarkStart w:id="1173" w:name="_Int_mDzZvpC2"/>
      <w:r w:rsidRPr="00510E01">
        <w:t>explicações</w:t>
      </w:r>
      <w:bookmarkEnd w:id="1173"/>
      <w:r w:rsidRPr="00510E01">
        <w:t xml:space="preserve">, por parte do gestor, das razões que, no seu entendimento, motivaram o erro de aderência ou a diferença de rentabilidade, as quais devem ser divulgadas também na página eletrônica do fundo na rede mundial de computadores, com antecedência mínima de 15 (quinze) dias da realização da assembleia, e mantidas até 30 (trinta) dias após sua realização; e </w:t>
      </w:r>
    </w:p>
    <w:p w14:paraId="582250ED" w14:textId="77777777" w:rsidR="00D30681" w:rsidRPr="00510E01" w:rsidRDefault="00D30681" w:rsidP="00D30681">
      <w:pPr>
        <w:pStyle w:val="NormaAlterada"/>
      </w:pPr>
      <w:r w:rsidRPr="00510E01">
        <w:t xml:space="preserve">II – </w:t>
      </w:r>
      <w:bookmarkStart w:id="1174" w:name="_Int_NIFBjt0M"/>
      <w:r w:rsidRPr="00510E01">
        <w:t>deliberação</w:t>
      </w:r>
      <w:bookmarkEnd w:id="1174"/>
      <w:r w:rsidRPr="00510E01">
        <w:t xml:space="preserve"> sobre a liquidação ou não da classe de cotas e substituição ou não do administrador, do gestor ou de ambos, item sobre o qual não podem votar pessoas ligadas ao administrador ou ao gestor, conforme o caso.</w:t>
      </w:r>
    </w:p>
    <w:p w14:paraId="3787798D" w14:textId="77777777" w:rsidR="00D30681" w:rsidRPr="00510E01" w:rsidRDefault="00D30681" w:rsidP="00D30681">
      <w:pPr>
        <w:pStyle w:val="NormaAlterada"/>
      </w:pPr>
      <w:r w:rsidRPr="00510E01">
        <w:lastRenderedPageBreak/>
        <w:t>§ 4</w:t>
      </w:r>
      <w:bookmarkStart w:id="1175" w:name="_Int_eykmBBQ5"/>
      <w:r w:rsidRPr="00510E01">
        <w:t>º  As</w:t>
      </w:r>
      <w:bookmarkEnd w:id="1175"/>
      <w:r w:rsidRPr="00510E01">
        <w:t xml:space="preserve"> assembleias convocadas em função das condições previstas no </w:t>
      </w:r>
      <w:r w:rsidRPr="00510E01">
        <w:rPr>
          <w:b/>
          <w:bCs/>
        </w:rPr>
        <w:t xml:space="preserve">caput </w:t>
      </w:r>
      <w:r w:rsidRPr="00510E01">
        <w:t>devem ter intervalo mínimo de 30 (trinta) dias, no caso da manutenção do gestor, e de 90 (noventa) dias, caso a assembleia anterior tenha decidido por sua substituição.</w:t>
      </w:r>
    </w:p>
    <w:p w14:paraId="634EEDD0" w14:textId="77777777" w:rsidR="00D30681" w:rsidRPr="00510E01" w:rsidRDefault="00D30681" w:rsidP="00D30681">
      <w:pPr>
        <w:pStyle w:val="Seo"/>
      </w:pPr>
      <w:bookmarkStart w:id="1176" w:name="_Toc161141378"/>
      <w:r w:rsidRPr="00510E01">
        <w:t>Seção III – Deliberação</w:t>
      </w:r>
      <w:bookmarkEnd w:id="1176"/>
    </w:p>
    <w:p w14:paraId="66062B5D" w14:textId="77777777" w:rsidR="00D30681" w:rsidRPr="00510E01" w:rsidRDefault="00D30681" w:rsidP="00D30681">
      <w:pPr>
        <w:pStyle w:val="NormaAlterada"/>
      </w:pPr>
      <w:r w:rsidRPr="00510E01">
        <w:t xml:space="preserve">Art. </w:t>
      </w:r>
      <w:r>
        <w:t>28</w:t>
      </w:r>
      <w:r w:rsidRPr="00510E01">
        <w:t xml:space="preserve">.  As deliberações da assembleia de cotistas, que deve ser instalada com a presença de pelo menos 1 (um) cotista ou representante legal, são tomadas pelo critério da maioria das cotas de titularidade dos presentes, sendo atribuído 1 (um) voto a cada cota. </w:t>
      </w:r>
    </w:p>
    <w:p w14:paraId="15BA70B8" w14:textId="77777777" w:rsidR="00D30681" w:rsidRPr="00510E01" w:rsidRDefault="00D30681" w:rsidP="00D30681">
      <w:pPr>
        <w:pStyle w:val="NormaAlterada"/>
      </w:pPr>
      <w:r w:rsidRPr="00510E01">
        <w:t>§ 1</w:t>
      </w:r>
      <w:bookmarkStart w:id="1177" w:name="_Int_kcVePFNi"/>
      <w:r w:rsidRPr="00510E01">
        <w:t>º  As</w:t>
      </w:r>
      <w:bookmarkEnd w:id="1177"/>
      <w:r w:rsidRPr="00510E01">
        <w:t xml:space="preserve"> matérias previstas nos incisos II e III do </w:t>
      </w:r>
      <w:r w:rsidRPr="00510E01">
        <w:rPr>
          <w:b/>
          <w:bCs/>
        </w:rPr>
        <w:t xml:space="preserve">caput </w:t>
      </w:r>
      <w:r w:rsidRPr="00510E01">
        <w:t xml:space="preserve">do art. </w:t>
      </w:r>
      <w:r>
        <w:t>23</w:t>
      </w:r>
      <w:r w:rsidRPr="00510E01">
        <w:t xml:space="preserve"> deste Anexo Normativo V e dos incisos II e IV do art. 70 da parte geral da Resolução devem ser aprovadas pelo voto dos cotistas que detenham a maioria absoluta das cotas, sendo impedidas de votar as pessoas ligadas a prestador de serviço essencial, quando se tratar de deliberação sobre sua destituição.</w:t>
      </w:r>
    </w:p>
    <w:p w14:paraId="2C8305D5" w14:textId="77777777" w:rsidR="00D30681" w:rsidRPr="00510E01" w:rsidRDefault="00D30681" w:rsidP="00D30681">
      <w:pPr>
        <w:pStyle w:val="NormaAlterada"/>
      </w:pPr>
      <w:r w:rsidRPr="00510E01">
        <w:t>§ 2</w:t>
      </w:r>
      <w:bookmarkStart w:id="1178" w:name="_Int_YQjYUyIe"/>
      <w:r w:rsidRPr="00510E01">
        <w:t>º  O</w:t>
      </w:r>
      <w:bookmarkEnd w:id="1178"/>
      <w:r w:rsidRPr="00510E01">
        <w:t xml:space="preserve"> quórum disposto no § 1º deste artigo não é obrigatório nas deliberações acerca das seguintes matérias:</w:t>
      </w:r>
    </w:p>
    <w:p w14:paraId="39837EB1" w14:textId="77777777" w:rsidR="00D30681" w:rsidRPr="00510E01" w:rsidRDefault="00D30681" w:rsidP="00D30681">
      <w:pPr>
        <w:pStyle w:val="NormaAlterada"/>
      </w:pPr>
      <w:r w:rsidRPr="00510E01">
        <w:t xml:space="preserve">I – </w:t>
      </w:r>
      <w:bookmarkStart w:id="1179" w:name="_Int_QbmvdOHd"/>
      <w:r w:rsidRPr="00510E01">
        <w:t>liquidação</w:t>
      </w:r>
      <w:bookmarkEnd w:id="1179"/>
      <w:r w:rsidRPr="00510E01">
        <w:t xml:space="preserve"> da classe de cotas e substituição do gestor, conforme hipótese prevista do art. </w:t>
      </w:r>
      <w:r>
        <w:t>27</w:t>
      </w:r>
      <w:r w:rsidRPr="00510E01">
        <w:t>, § 3º, inciso II, deste Anexo Normativo V; e</w:t>
      </w:r>
    </w:p>
    <w:p w14:paraId="04A01CA1" w14:textId="77777777" w:rsidR="00D30681" w:rsidRPr="00510E01" w:rsidRDefault="00D30681" w:rsidP="00D30681">
      <w:pPr>
        <w:pStyle w:val="NormaAlterada"/>
      </w:pPr>
      <w:r w:rsidRPr="00510E01">
        <w:t xml:space="preserve">II – </w:t>
      </w:r>
      <w:bookmarkStart w:id="1180" w:name="_Int_ctpHfSwq"/>
      <w:r w:rsidRPr="00510E01">
        <w:t>substituição</w:t>
      </w:r>
      <w:bookmarkEnd w:id="1180"/>
      <w:r w:rsidRPr="00510E01">
        <w:t xml:space="preserve"> do administrador decorrente de sua renúncia ou descredenciamento, nos termos do art. 108 da parte geral da Resolução.</w:t>
      </w:r>
    </w:p>
    <w:p w14:paraId="0D76F52E" w14:textId="7E838FDC" w:rsidR="00D30681" w:rsidRPr="00510E01" w:rsidRDefault="00D30681" w:rsidP="00D30681">
      <w:pPr>
        <w:pStyle w:val="Seo"/>
      </w:pPr>
      <w:bookmarkStart w:id="1181" w:name="_Toc161141379"/>
      <w:r w:rsidRPr="00510E01">
        <w:t xml:space="preserve">Seção IV – Representação </w:t>
      </w:r>
      <w:r w:rsidR="00DD2B1F">
        <w:t>D</w:t>
      </w:r>
      <w:r w:rsidRPr="00510E01">
        <w:t>ireta</w:t>
      </w:r>
      <w:bookmarkEnd w:id="1181"/>
    </w:p>
    <w:p w14:paraId="27A88B07" w14:textId="77777777" w:rsidR="00D30681" w:rsidRPr="00510E01" w:rsidRDefault="00D30681" w:rsidP="00D30681">
      <w:pPr>
        <w:pStyle w:val="NormaAlterada"/>
      </w:pPr>
      <w:r w:rsidRPr="00510E01">
        <w:t xml:space="preserve">Art. </w:t>
      </w:r>
      <w:r>
        <w:t>29</w:t>
      </w:r>
      <w:r w:rsidRPr="00510E01">
        <w:t>.  O cotista pode exercer diretamente o direito de voto em assembleia geral de titulares dos valores mobiliários pertencentes à carteira, devendo, para tanto, manifestar sua intenção ao administrador no prazo estabelecido no regulamento, com a antecedência mínima necessária para a efetivação da operação.</w:t>
      </w:r>
    </w:p>
    <w:p w14:paraId="07EA508E" w14:textId="77777777" w:rsidR="00D30681" w:rsidRPr="00510E01" w:rsidRDefault="00D30681" w:rsidP="00D30681">
      <w:pPr>
        <w:pStyle w:val="NormaAlterada"/>
      </w:pPr>
      <w:r w:rsidRPr="00510E01">
        <w:t>§ 1</w:t>
      </w:r>
      <w:bookmarkStart w:id="1182" w:name="_Int_qiEgs7He"/>
      <w:r w:rsidRPr="00510E01">
        <w:t>º  Cabe</w:t>
      </w:r>
      <w:bookmarkEnd w:id="1182"/>
      <w:r w:rsidRPr="00510E01">
        <w:t xml:space="preserve"> ao administrador providenciar o empréstimo gratuito ao cotista, isento de cobrança de taxa de aluguel, dos valores mobiliários necessários ao exercício do direito de voto, promovendo a transferência dos mesmos junto à entidade responsável por sua custódia, mediante caução das cotas de sua propriedade.</w:t>
      </w:r>
    </w:p>
    <w:p w14:paraId="4321163A" w14:textId="77777777" w:rsidR="00D30681" w:rsidRPr="00510E01" w:rsidRDefault="00D30681" w:rsidP="00D30681">
      <w:pPr>
        <w:pStyle w:val="NormaAlterada"/>
      </w:pPr>
      <w:r w:rsidRPr="00510E01">
        <w:t>§ 2</w:t>
      </w:r>
      <w:bookmarkStart w:id="1183" w:name="_Int_5SjlzpTx"/>
      <w:r w:rsidRPr="00510E01">
        <w:t>º  As</w:t>
      </w:r>
      <w:bookmarkEnd w:id="1183"/>
      <w:r w:rsidRPr="00510E01">
        <w:t xml:space="preserve"> cotas caucionadas na forma do § 1º deste artigo podem servir simultaneamente à caução de mais de um empréstimo de valores mobiliários. </w:t>
      </w:r>
    </w:p>
    <w:p w14:paraId="675E8336" w14:textId="77777777" w:rsidR="00D30681" w:rsidRPr="00510E01" w:rsidRDefault="00D30681" w:rsidP="00D30681">
      <w:pPr>
        <w:pStyle w:val="NormaAlterada"/>
      </w:pPr>
      <w:r w:rsidRPr="00510E01">
        <w:lastRenderedPageBreak/>
        <w:t>§ 3</w:t>
      </w:r>
      <w:bookmarkStart w:id="1184" w:name="_Int_adZIsrXL"/>
      <w:r w:rsidRPr="00510E01">
        <w:t>º  A</w:t>
      </w:r>
      <w:bookmarkEnd w:id="1184"/>
      <w:r w:rsidRPr="00510E01">
        <w:t xml:space="preserve"> quantidade de valores mobiliários a serem mutuados, na forma do § 1º deste artigo, deve ser calculada com base na proporção das cotas detidas pelo requerente em relação aos ativos de titularidade da classe de cotas ao final do dia da manifestação do interesse em exercer o direito de voto.</w:t>
      </w:r>
    </w:p>
    <w:p w14:paraId="2FDCAE25" w14:textId="77777777" w:rsidR="00D30681" w:rsidRPr="00510E01" w:rsidRDefault="00D30681" w:rsidP="00D30681">
      <w:pPr>
        <w:pStyle w:val="NormaAlterada"/>
      </w:pPr>
      <w:r w:rsidRPr="00510E01">
        <w:t>§ 4</w:t>
      </w:r>
      <w:bookmarkStart w:id="1185" w:name="_Int_5I6ml0wp"/>
      <w:r w:rsidRPr="00510E01">
        <w:t>º  O</w:t>
      </w:r>
      <w:bookmarkEnd w:id="1185"/>
      <w:r w:rsidRPr="00510E01">
        <w:t xml:space="preserve"> cotista deve restituir à classe de cotas os valores mobiliários mutuados em até 1 (um) dia útil após a realização da assembleia, não podendo alienar suas cotas dadas em garantia.</w:t>
      </w:r>
    </w:p>
    <w:p w14:paraId="4011A120" w14:textId="77777777" w:rsidR="00D30681" w:rsidRPr="00510E01" w:rsidRDefault="00D30681" w:rsidP="00D30681">
      <w:pPr>
        <w:pStyle w:val="NormaAlterada"/>
      </w:pPr>
      <w:r w:rsidRPr="00510E01">
        <w:t>§ 5</w:t>
      </w:r>
      <w:bookmarkStart w:id="1186" w:name="_Int_pinaCKC2"/>
      <w:r w:rsidRPr="00510E01">
        <w:t>º  O</w:t>
      </w:r>
      <w:bookmarkEnd w:id="1186"/>
      <w:r w:rsidRPr="00510E01">
        <w:t xml:space="preserve"> administrador pode exigir do cotista o ressarcimento de eventuais custos diretos incidentes sobre o empréstimo, desde que esses custos sejam previamente divulgados, na forma do inciso IX do art. </w:t>
      </w:r>
      <w:r>
        <w:t>31</w:t>
      </w:r>
      <w:r w:rsidRPr="00510E01">
        <w:t xml:space="preserve"> deste Anexo Normativo V.</w:t>
      </w:r>
    </w:p>
    <w:p w14:paraId="7F5F20BD" w14:textId="77777777" w:rsidR="00D30681" w:rsidRPr="00510E01" w:rsidRDefault="00D30681" w:rsidP="00D30681">
      <w:pPr>
        <w:pStyle w:val="NormaAlterada"/>
      </w:pPr>
      <w:r w:rsidRPr="00510E01">
        <w:t>§</w:t>
      </w:r>
      <w:r w:rsidRPr="00685700">
        <w:t xml:space="preserve"> </w:t>
      </w:r>
      <w:r w:rsidRPr="00510E01">
        <w:t>6</w:t>
      </w:r>
      <w:bookmarkStart w:id="1187" w:name="_Int_Hff7KvNS"/>
      <w:r w:rsidRPr="00510E01">
        <w:t>º  O</w:t>
      </w:r>
      <w:bookmarkEnd w:id="1187"/>
      <w:r w:rsidRPr="00510E01">
        <w:t xml:space="preserve"> regulamento poderá prever que, em casos excepcionais, e exclusivamente no período máximo de 5 (cinco) dias úteis que anteceder à alteração da composição oficial da carteira teórica do índice de referência, poderá ser parcialmente restringido o empréstimo de valores mobiliários de que trata este artigo, desde que tal restrição se limite à parcela dos valores mobiliários de titularidade da classe de cotas cujo empréstimo possa vir a causar danos significativos ao seu objetivo.</w:t>
      </w:r>
    </w:p>
    <w:p w14:paraId="7F77E3E0" w14:textId="77777777" w:rsidR="00D30681" w:rsidRPr="00510E01" w:rsidRDefault="00D30681" w:rsidP="00D30681">
      <w:pPr>
        <w:pStyle w:val="NormaAlterada"/>
      </w:pPr>
      <w:r w:rsidRPr="00510E01">
        <w:t xml:space="preserve">§ 7º  Na hipótese do </w:t>
      </w:r>
      <w:r>
        <w:t>§ 6º</w:t>
      </w:r>
      <w:r w:rsidRPr="00510E01">
        <w:t xml:space="preserve">, o administrador deverá divulgar, através da página inicial do fundo na rede mundial de computadores, dos endereços de correspondência eletrônicos cadastrados na forma do inciso III do art. </w:t>
      </w:r>
      <w:r>
        <w:t>31</w:t>
      </w:r>
      <w:r w:rsidRPr="00510E01">
        <w:t xml:space="preserve"> deste Anexo Normativo V, e do sistema de divulgação de informações da entidade administradora de mercado organizado na qual as cotas sejam negociadas, uma lista com a identificação e a quantidade dos valores mobiliários de titularidade do fundo da classe de cotas que não estejam sendo disponibilizados para empréstimo na forma deste artigo, devendo, ademais, justificar as razões pelas quais tais valores mobiliários não estarão disponíveis, conforme disposto no § 6º deste artigo.</w:t>
      </w:r>
    </w:p>
    <w:p w14:paraId="356DF3E6" w14:textId="77777777" w:rsidR="00D30681" w:rsidRPr="00510E01" w:rsidRDefault="00D30681" w:rsidP="00D30681">
      <w:pPr>
        <w:pStyle w:val="Captulo"/>
      </w:pPr>
      <w:bookmarkStart w:id="1188" w:name="_Toc161141380"/>
      <w:r w:rsidRPr="00510E01">
        <w:t>CAPÍTULO VIII – DIVULGAÇÃO DE INFORMAÇÕES</w:t>
      </w:r>
      <w:bookmarkEnd w:id="1188"/>
    </w:p>
    <w:p w14:paraId="56328B35" w14:textId="77777777" w:rsidR="00D30681" w:rsidRPr="00510E01" w:rsidRDefault="00D30681" w:rsidP="00D30681">
      <w:pPr>
        <w:pStyle w:val="Seo"/>
        <w:rPr>
          <w:u w:val="single"/>
        </w:rPr>
      </w:pPr>
      <w:bookmarkStart w:id="1189" w:name="_Toc161141381"/>
      <w:r w:rsidRPr="00510E01">
        <w:t>Seção I – Página Eletrônica do Fundo na Rede Mundial de Computadores</w:t>
      </w:r>
      <w:bookmarkEnd w:id="1189"/>
    </w:p>
    <w:p w14:paraId="6C13431F" w14:textId="77777777" w:rsidR="00D30681" w:rsidRPr="00510E01" w:rsidRDefault="00D30681" w:rsidP="00D30681">
      <w:pPr>
        <w:pStyle w:val="NormaAlterada"/>
      </w:pPr>
      <w:r w:rsidRPr="00510E01">
        <w:t xml:space="preserve">Art. </w:t>
      </w:r>
      <w:r>
        <w:t>30</w:t>
      </w:r>
      <w:r w:rsidRPr="00510E01">
        <w:t>.  O principal meio de divulgação de informações do fundo é sua página eletrônica na rede mundial de computadores.</w:t>
      </w:r>
    </w:p>
    <w:p w14:paraId="3A02F86B" w14:textId="77777777" w:rsidR="00D30681" w:rsidRPr="00510E01" w:rsidRDefault="00D30681" w:rsidP="00D30681">
      <w:pPr>
        <w:pStyle w:val="NormaAlterada"/>
      </w:pPr>
      <w:r w:rsidRPr="00510E01">
        <w:t xml:space="preserve">Art. </w:t>
      </w:r>
      <w:r>
        <w:t>31</w:t>
      </w:r>
      <w:r w:rsidRPr="00510E01">
        <w:t xml:space="preserve">.  O administrador deve manter página do fundo em endereço na rede mundial de computadores, em língua portuguesa, que deve conter informações sobre os seguintes tópicos, para cada classe de cotas, assim como quaisquer outras informações consideradas relevantes: </w:t>
      </w:r>
    </w:p>
    <w:p w14:paraId="1F00F9F7" w14:textId="77777777" w:rsidR="00D30681" w:rsidRPr="00510E01" w:rsidRDefault="00D30681" w:rsidP="00D30681">
      <w:pPr>
        <w:pStyle w:val="NormaAlterada"/>
      </w:pPr>
      <w:r w:rsidRPr="00510E01">
        <w:lastRenderedPageBreak/>
        <w:t xml:space="preserve">I – </w:t>
      </w:r>
      <w:bookmarkStart w:id="1190" w:name="_Int_shfM6Nlm"/>
      <w:r w:rsidRPr="00510E01">
        <w:t>descrição</w:t>
      </w:r>
      <w:bookmarkEnd w:id="1190"/>
      <w:r w:rsidRPr="00510E01">
        <w:t xml:space="preserve"> de fatores que podem afetar a aderência do desempenho da classe de cotas ao do índice;</w:t>
      </w:r>
    </w:p>
    <w:p w14:paraId="03822B16" w14:textId="77777777" w:rsidR="00D30681" w:rsidRPr="00510E01" w:rsidRDefault="00D30681" w:rsidP="00D30681">
      <w:pPr>
        <w:pStyle w:val="NormaAlterada"/>
      </w:pPr>
      <w:r w:rsidRPr="00510E01">
        <w:t xml:space="preserve">II – </w:t>
      </w:r>
      <w:bookmarkStart w:id="1191" w:name="_Int_L3xCMHew"/>
      <w:r w:rsidRPr="00510E01">
        <w:t>apresentação</w:t>
      </w:r>
      <w:bookmarkEnd w:id="1191"/>
      <w:r w:rsidRPr="00510E01">
        <w:t xml:space="preserve"> dos prestadores de serviços essenciais, incluindo telefone de contato e sua experiência;</w:t>
      </w:r>
    </w:p>
    <w:p w14:paraId="33BBA0DE" w14:textId="77777777" w:rsidR="00D30681" w:rsidRPr="00510E01" w:rsidRDefault="00D30681" w:rsidP="00D30681">
      <w:pPr>
        <w:pStyle w:val="NormaAlterada"/>
      </w:pPr>
      <w:r w:rsidRPr="00510E01">
        <w:t>III – seção que permita que o cotista cadastre o seu endereço de correspondência eletrônico para receber informações sobre o fundo, bem como disponibilização de um endereço de correspondência eletrônico do fundo que permita a comunicação entre o administrador e os cotistas;</w:t>
      </w:r>
    </w:p>
    <w:p w14:paraId="40172F21" w14:textId="77777777" w:rsidR="00D30681" w:rsidRPr="00510E01" w:rsidRDefault="00D30681" w:rsidP="00D30681">
      <w:pPr>
        <w:pStyle w:val="NormaAlterada"/>
      </w:pPr>
      <w:r w:rsidRPr="00510E01">
        <w:t xml:space="preserve">IV – íntegra dos contratos estabelecidos entre o fundo e terceiros na forma do parágrafo único do art. 80 da parte geral da Resolução e, se for o caso, na do § 6º do art. </w:t>
      </w:r>
      <w:r>
        <w:t>41</w:t>
      </w:r>
      <w:r w:rsidRPr="00510E01">
        <w:t xml:space="preserve"> deste Anexo Normativo V, cuja existência deve ser destacada na página do fundo na rede mundial de computadores;</w:t>
      </w:r>
    </w:p>
    <w:p w14:paraId="5477CD98" w14:textId="77777777" w:rsidR="00D30681" w:rsidRPr="00510E01" w:rsidRDefault="00D30681" w:rsidP="00D30681">
      <w:pPr>
        <w:pStyle w:val="NormaAlterada"/>
      </w:pPr>
      <w:r w:rsidRPr="00510E01">
        <w:t xml:space="preserve">V – </w:t>
      </w:r>
      <w:bookmarkStart w:id="1192" w:name="_Int_M7a7VpJU"/>
      <w:r w:rsidRPr="00510E01">
        <w:t>apresentação</w:t>
      </w:r>
      <w:bookmarkEnd w:id="1192"/>
      <w:r w:rsidRPr="00510E01">
        <w:t xml:space="preserve"> das despesas de corretagem e emolumentos em base anual, na forma do percentual do valor total debitado à classe de cotas em relação ao seu patrimônio líquido médio no exercício;</w:t>
      </w:r>
    </w:p>
    <w:p w14:paraId="13171A6F" w14:textId="77777777" w:rsidR="00D30681" w:rsidRPr="00510E01" w:rsidRDefault="00D30681" w:rsidP="00D30681">
      <w:pPr>
        <w:pStyle w:val="NormaAlterada"/>
      </w:pPr>
      <w:r w:rsidRPr="00510E01">
        <w:t xml:space="preserve">VI – </w:t>
      </w:r>
      <w:bookmarkStart w:id="1193" w:name="_Int_SxBBEQgA"/>
      <w:r w:rsidRPr="00510E01">
        <w:t>especificação</w:t>
      </w:r>
      <w:bookmarkEnd w:id="1193"/>
      <w:r w:rsidRPr="00510E01">
        <w:t>, em destaque e de forma clara, das taxas e demais despesas da classe de cotas;</w:t>
      </w:r>
    </w:p>
    <w:p w14:paraId="785DE279" w14:textId="77777777" w:rsidR="00D30681" w:rsidRPr="00510E01" w:rsidRDefault="00D30681" w:rsidP="00D30681">
      <w:pPr>
        <w:pStyle w:val="NormaAlterada"/>
      </w:pPr>
      <w:r w:rsidRPr="00510E01">
        <w:t xml:space="preserve">VII – o telefone de contato e </w:t>
      </w:r>
      <w:r>
        <w:t>o endereço</w:t>
      </w:r>
      <w:r w:rsidRPr="00510E01">
        <w:t xml:space="preserve"> de correspondência eletrônico da CVM;</w:t>
      </w:r>
    </w:p>
    <w:p w14:paraId="44C6271B" w14:textId="77777777" w:rsidR="00D30681" w:rsidRPr="00510E01" w:rsidRDefault="00D30681" w:rsidP="00D30681">
      <w:pPr>
        <w:pStyle w:val="NormaAlterada"/>
      </w:pPr>
      <w:r w:rsidRPr="00510E01">
        <w:t xml:space="preserve">VIII – condições atualizadas e detalhadas de integralização e resgate de cotas, compreendendo limites mínimos e máximos de investimento ou desinvestimento, bem como valores mínimos para permanência na classe de cotas; </w:t>
      </w:r>
    </w:p>
    <w:p w14:paraId="00D70710" w14:textId="77777777" w:rsidR="00D30681" w:rsidRPr="00510E01" w:rsidRDefault="00D30681" w:rsidP="00D30681">
      <w:pPr>
        <w:pStyle w:val="NormaAlterada"/>
      </w:pPr>
      <w:r w:rsidRPr="00510E01">
        <w:t xml:space="preserve">IX – </w:t>
      </w:r>
      <w:bookmarkStart w:id="1194" w:name="_Int_Dm7Xb4hB"/>
      <w:r w:rsidRPr="00510E01">
        <w:t>de</w:t>
      </w:r>
      <w:bookmarkEnd w:id="1194"/>
      <w:r w:rsidRPr="00510E01">
        <w:t xml:space="preserve"> forma destacada, as condições para realização do empréstimo de valores mobiliários de que trata o art. </w:t>
      </w:r>
      <w:r>
        <w:t>29</w:t>
      </w:r>
      <w:r w:rsidRPr="00510E01">
        <w:t xml:space="preserve"> deste Anexo Normativo V, incluindo informações sobre prazos e custos;</w:t>
      </w:r>
    </w:p>
    <w:p w14:paraId="54369288" w14:textId="77777777" w:rsidR="00D30681" w:rsidRPr="00510E01" w:rsidRDefault="00D30681" w:rsidP="00D30681">
      <w:pPr>
        <w:pStyle w:val="NormaAlterada"/>
      </w:pPr>
      <w:r w:rsidRPr="00510E01">
        <w:t xml:space="preserve">X – </w:t>
      </w:r>
      <w:bookmarkStart w:id="1195" w:name="_Int_UDKvzQVI"/>
      <w:r w:rsidRPr="00510E01">
        <w:t>política</w:t>
      </w:r>
      <w:bookmarkEnd w:id="1195"/>
      <w:r w:rsidRPr="00510E01">
        <w:t xml:space="preserve"> de distribuição de resultados, compreendendo os prazos e condições de pagamento;</w:t>
      </w:r>
    </w:p>
    <w:p w14:paraId="4CA03B35" w14:textId="77777777" w:rsidR="00D30681" w:rsidRPr="00510E01" w:rsidRDefault="00D30681" w:rsidP="00D30681">
      <w:pPr>
        <w:pStyle w:val="NormaAlterada"/>
      </w:pPr>
      <w:r w:rsidRPr="00510E01">
        <w:t>XI – riscos envolvidos;</w:t>
      </w:r>
    </w:p>
    <w:p w14:paraId="3A0C305A" w14:textId="77777777" w:rsidR="00D30681" w:rsidRPr="00510E01" w:rsidRDefault="00D30681" w:rsidP="00D30681">
      <w:pPr>
        <w:pStyle w:val="NormaAlterada"/>
      </w:pPr>
      <w:r w:rsidRPr="00510E01">
        <w:t>XII – descrição qualitativa dos componentes da remuneração da instituição proprietária do índice;</w:t>
      </w:r>
    </w:p>
    <w:p w14:paraId="00A7CD35" w14:textId="77777777" w:rsidR="00D30681" w:rsidRPr="00510E01" w:rsidRDefault="00D30681" w:rsidP="00D30681">
      <w:pPr>
        <w:pStyle w:val="NormaAlterada"/>
      </w:pPr>
      <w:r w:rsidRPr="00510E01">
        <w:t>XIII – tributação aplicável à classe de cotas e a seus cotistas;</w:t>
      </w:r>
    </w:p>
    <w:p w14:paraId="40781BEF" w14:textId="77777777" w:rsidR="00D30681" w:rsidRPr="00510E01" w:rsidRDefault="00D30681" w:rsidP="00D30681">
      <w:pPr>
        <w:pStyle w:val="NormaAlterada"/>
      </w:pPr>
      <w:r w:rsidRPr="00510E01">
        <w:t>XIV – composição da carteira, diariamente atualizada;</w:t>
      </w:r>
    </w:p>
    <w:p w14:paraId="5AD463B6" w14:textId="77777777" w:rsidR="00D30681" w:rsidRPr="00510E01" w:rsidRDefault="00D30681" w:rsidP="00D30681">
      <w:pPr>
        <w:pStyle w:val="NormaAlterada"/>
      </w:pPr>
      <w:r w:rsidRPr="00510E01">
        <w:t xml:space="preserve">XV – </w:t>
      </w:r>
      <w:bookmarkStart w:id="1196" w:name="_Int_Y3bG64ys"/>
      <w:r w:rsidRPr="00510E01">
        <w:t>metodologia</w:t>
      </w:r>
      <w:bookmarkEnd w:id="1196"/>
      <w:r w:rsidRPr="00510E01">
        <w:t xml:space="preserve"> de cálculo do índice subjacente, observado o disposto nos §§ 6º e 7º deste artigo;</w:t>
      </w:r>
    </w:p>
    <w:p w14:paraId="210211CA" w14:textId="77777777" w:rsidR="00D30681" w:rsidRPr="00510E01" w:rsidRDefault="00D30681" w:rsidP="00D30681">
      <w:pPr>
        <w:pStyle w:val="NormaAlterada"/>
      </w:pPr>
      <w:r w:rsidRPr="00510E01">
        <w:lastRenderedPageBreak/>
        <w:t>XVI – informações sobre ofertas públicas em curso;</w:t>
      </w:r>
    </w:p>
    <w:p w14:paraId="67712F99" w14:textId="77777777" w:rsidR="00D30681" w:rsidRPr="00510E01" w:rsidRDefault="00D30681" w:rsidP="00D30681">
      <w:pPr>
        <w:pStyle w:val="NormaAlterada"/>
      </w:pPr>
      <w:r w:rsidRPr="00510E01">
        <w:t>XVII – informações sobre distribuições secundárias em curso;</w:t>
      </w:r>
    </w:p>
    <w:p w14:paraId="7C3BE9C7" w14:textId="77777777" w:rsidR="00D30681" w:rsidRPr="00510E01" w:rsidRDefault="00D30681" w:rsidP="00D30681">
      <w:pPr>
        <w:pStyle w:val="NormaAlterada"/>
      </w:pPr>
      <w:r w:rsidRPr="00510E01">
        <w:t xml:space="preserve">XVIII – relação dos formadores de mercado autorizados a operar com as cotas; </w:t>
      </w:r>
    </w:p>
    <w:p w14:paraId="21847866" w14:textId="77777777" w:rsidR="00D30681" w:rsidRPr="00510E01" w:rsidRDefault="00D30681" w:rsidP="00D30681">
      <w:pPr>
        <w:pStyle w:val="NormaAlterada"/>
      </w:pPr>
      <w:r w:rsidRPr="00510E01">
        <w:t>XIX – uma seção específica para dados estatísticos, acessível a partir da página inicial do fundo na rede mundial de computadores, que deve conter, no mínimo:</w:t>
      </w:r>
    </w:p>
    <w:p w14:paraId="720B9354" w14:textId="77777777" w:rsidR="00D30681" w:rsidRPr="00510E01" w:rsidRDefault="00D30681" w:rsidP="00D30681">
      <w:pPr>
        <w:pStyle w:val="NormaAlterada"/>
      </w:pPr>
      <w:bookmarkStart w:id="1197" w:name="_Int_8XXAl8fv"/>
      <w:proofErr w:type="spellStart"/>
      <w:r w:rsidRPr="00510E01">
        <w:t>a</w:t>
      </w:r>
      <w:bookmarkEnd w:id="1197"/>
      <w:proofErr w:type="spellEnd"/>
      <w:r w:rsidRPr="00510E01">
        <w:t>) tabela comparativa da evolução diária do valor patrimonial da cota, do patrimônio líquido da classe de cotas, bem como do valor do índice subjacente desde a data de início de funcionamento da classe até a data da última cota disponível;</w:t>
      </w:r>
    </w:p>
    <w:p w14:paraId="411FF926" w14:textId="77777777" w:rsidR="00D30681" w:rsidRPr="00510E01" w:rsidRDefault="00D30681" w:rsidP="00D30681">
      <w:pPr>
        <w:pStyle w:val="NormaAlterada"/>
      </w:pPr>
      <w:r w:rsidRPr="00510E01">
        <w:t>b) tabela contendo a rentabilidade mensal da classe de cotas comparado ao índice subjacente, contendo pelo menos os últimos 24 (vinte e quatro) meses;</w:t>
      </w:r>
    </w:p>
    <w:p w14:paraId="02A5F58F" w14:textId="77777777" w:rsidR="00D30681" w:rsidRPr="00510E01" w:rsidRDefault="00D30681" w:rsidP="00D30681">
      <w:pPr>
        <w:pStyle w:val="NormaAlterada"/>
      </w:pPr>
      <w:r w:rsidRPr="00510E01">
        <w:t>c) gráfico da evolução da rentabilidade acumulada da classe de cotas comparada ao índice subjacente, desde a admissão para negociação em mercado organizado de valores mobiliários até a última cota disponível; e</w:t>
      </w:r>
    </w:p>
    <w:p w14:paraId="33CA1EC1" w14:textId="77777777" w:rsidR="00D30681" w:rsidRPr="00510E01" w:rsidRDefault="00D30681" w:rsidP="00D30681">
      <w:pPr>
        <w:pStyle w:val="NormaAlterada"/>
      </w:pPr>
      <w:r w:rsidRPr="00510E01">
        <w:t xml:space="preserve">d) as informações relativas aos incisos I, II e III do </w:t>
      </w:r>
      <w:r w:rsidRPr="00510E01">
        <w:rPr>
          <w:b/>
          <w:bCs/>
        </w:rPr>
        <w:t xml:space="preserve">caput </w:t>
      </w:r>
      <w:r w:rsidRPr="00510E01">
        <w:t xml:space="preserve">do art. </w:t>
      </w:r>
      <w:r>
        <w:t>27</w:t>
      </w:r>
      <w:r w:rsidRPr="00510E01">
        <w:t xml:space="preserve"> deste Anexo Normativo V, incluindo o número de dias úteis decorridos desde o início do desenquadramento, indicando-se junto a essa informação a possibilidade de realização de assembleia de cotistas em caso de erro de aderência excessivo; e</w:t>
      </w:r>
    </w:p>
    <w:p w14:paraId="6C0AA79B" w14:textId="77777777" w:rsidR="00D30681" w:rsidRPr="00510E01" w:rsidRDefault="00D30681" w:rsidP="00D30681">
      <w:pPr>
        <w:pStyle w:val="NormaAlterada"/>
      </w:pPr>
      <w:r w:rsidRPr="00510E01">
        <w:t xml:space="preserve">XX – </w:t>
      </w:r>
      <w:bookmarkStart w:id="1198" w:name="_Int_fCH1jZvG"/>
      <w:r w:rsidRPr="00510E01">
        <w:t>relatório</w:t>
      </w:r>
      <w:bookmarkEnd w:id="1198"/>
      <w:r w:rsidRPr="00510E01">
        <w:t xml:space="preserve"> anual do fundo, no prazo de até 60 (sessenta) dias, contado a partir do encerramento do exercício a que se referir, o qual deve conter o seguinte:</w:t>
      </w:r>
    </w:p>
    <w:p w14:paraId="6FCCDFD0" w14:textId="77777777" w:rsidR="00D30681" w:rsidRPr="00510E01" w:rsidRDefault="00D30681" w:rsidP="00D30681">
      <w:pPr>
        <w:pStyle w:val="NormaAlterada"/>
      </w:pPr>
      <w:r w:rsidRPr="00510E01">
        <w:t xml:space="preserve">a) demonstrações contábeis, acompanhadas do relatório do auditor independente; </w:t>
      </w:r>
    </w:p>
    <w:p w14:paraId="21B32E2B" w14:textId="77777777" w:rsidR="00D30681" w:rsidRPr="00510E01" w:rsidRDefault="00D30681" w:rsidP="00D30681">
      <w:pPr>
        <w:pStyle w:val="NormaAlterada"/>
      </w:pPr>
      <w:r w:rsidRPr="00510E01">
        <w:t xml:space="preserve">b) análise da carteira em face da estratégia adotada e dos objetivos da política de investimento; </w:t>
      </w:r>
    </w:p>
    <w:p w14:paraId="71FEE7FB" w14:textId="77777777" w:rsidR="00D30681" w:rsidRPr="00510E01" w:rsidRDefault="00D30681" w:rsidP="00D30681">
      <w:pPr>
        <w:pStyle w:val="NormaAlterada"/>
      </w:pPr>
      <w:r w:rsidRPr="00510E01">
        <w:t>c) apresentação de desempenho, compreendendo as informações constantes no inciso X</w:t>
      </w:r>
      <w:r>
        <w:t xml:space="preserve">IX </w:t>
      </w:r>
      <w:r w:rsidRPr="00510E01">
        <w:t xml:space="preserve">do </w:t>
      </w:r>
      <w:r w:rsidRPr="00510E01">
        <w:rPr>
          <w:b/>
          <w:bCs/>
        </w:rPr>
        <w:t>caput</w:t>
      </w:r>
      <w:r w:rsidRPr="00510E01">
        <w:t xml:space="preserve">; </w:t>
      </w:r>
    </w:p>
    <w:p w14:paraId="5B168982" w14:textId="77777777" w:rsidR="00D30681" w:rsidRPr="00510E01" w:rsidRDefault="00D30681" w:rsidP="00D30681">
      <w:pPr>
        <w:pStyle w:val="NormaAlterada"/>
      </w:pPr>
      <w:r w:rsidRPr="00510E01">
        <w:t xml:space="preserve">d) explicações sobre eventual erro de aderência ou diferença de rentabilidade, nos termos do art. </w:t>
      </w:r>
      <w:r>
        <w:t>27</w:t>
      </w:r>
      <w:r w:rsidRPr="00510E01">
        <w:t xml:space="preserve"> deste Anexo Normativo V;</w:t>
      </w:r>
    </w:p>
    <w:p w14:paraId="0AA62DDA" w14:textId="77777777" w:rsidR="00D30681" w:rsidRPr="00510E01" w:rsidRDefault="00D30681" w:rsidP="00D30681">
      <w:pPr>
        <w:pStyle w:val="NormaAlterada"/>
      </w:pPr>
      <w:r w:rsidRPr="00510E01">
        <w:t>e) taxas de administração em moeda corrente e em percentual do patrimônio líquido; e</w:t>
      </w:r>
    </w:p>
    <w:p w14:paraId="2439ADB5" w14:textId="77777777" w:rsidR="00D30681" w:rsidRPr="00510E01" w:rsidRDefault="00D30681" w:rsidP="00D30681">
      <w:pPr>
        <w:pStyle w:val="NormaAlterada"/>
      </w:pPr>
      <w:r w:rsidRPr="00510E01">
        <w:t>f) outras informações que o administrador julgar relevantes.</w:t>
      </w:r>
    </w:p>
    <w:p w14:paraId="53C9C45B" w14:textId="77777777" w:rsidR="00D30681" w:rsidRPr="00510E01" w:rsidRDefault="00D30681" w:rsidP="00D30681">
      <w:pPr>
        <w:pStyle w:val="NormaAlterada"/>
      </w:pPr>
      <w:r w:rsidRPr="00510E01">
        <w:lastRenderedPageBreak/>
        <w:t>§ 1</w:t>
      </w:r>
      <w:bookmarkStart w:id="1199" w:name="_Int_YfO2DZTY"/>
      <w:r w:rsidRPr="00510E01">
        <w:t>º  A</w:t>
      </w:r>
      <w:bookmarkEnd w:id="1199"/>
      <w:r w:rsidRPr="00510E01">
        <w:t xml:space="preserve"> página inicial do fundo deve conter, de acordo com o formato padrão definido pela CVM: </w:t>
      </w:r>
    </w:p>
    <w:p w14:paraId="7E7EBB76" w14:textId="77777777" w:rsidR="00D30681" w:rsidRPr="00510E01" w:rsidRDefault="00D30681" w:rsidP="00D30681">
      <w:pPr>
        <w:pStyle w:val="NormaAlterada"/>
      </w:pPr>
      <w:r w:rsidRPr="00510E01">
        <w:t xml:space="preserve">I – </w:t>
      </w:r>
      <w:bookmarkStart w:id="1200" w:name="_Int_5tIDaYzc"/>
      <w:r w:rsidRPr="00510E01">
        <w:t>os</w:t>
      </w:r>
      <w:bookmarkEnd w:id="1200"/>
      <w:r w:rsidRPr="00510E01">
        <w:t xml:space="preserve"> seguintes dizeres de forma destacada: "A autorização para venda e negociação de cotas do fundo não implica, por parte da CVM, garantia de veracidade das informações prestadas ou julgamento sobre a qualidade do fundo ou de seu administrador"; e</w:t>
      </w:r>
    </w:p>
    <w:p w14:paraId="5EEA86FD" w14:textId="77777777" w:rsidR="00D30681" w:rsidRPr="00510E01" w:rsidRDefault="00D30681" w:rsidP="00D30681">
      <w:pPr>
        <w:pStyle w:val="NormaAlterada"/>
      </w:pPr>
      <w:r w:rsidRPr="00510E01">
        <w:t xml:space="preserve">II – </w:t>
      </w:r>
      <w:bookmarkStart w:id="1201" w:name="_Int_2jXkhVfB"/>
      <w:r w:rsidRPr="00510E01">
        <w:t>sob</w:t>
      </w:r>
      <w:bookmarkEnd w:id="1201"/>
      <w:r w:rsidRPr="00510E01">
        <w:t xml:space="preserve"> as informações da alínea “a” do inciso XIX do </w:t>
      </w:r>
      <w:r w:rsidRPr="00510E01">
        <w:rPr>
          <w:b/>
          <w:bCs/>
        </w:rPr>
        <w:t xml:space="preserve">caput </w:t>
      </w:r>
      <w:r w:rsidRPr="00510E01">
        <w:t>e, em negrito, um atalho para a seção da página eletrônica da CVM na rede mundial de computadores que contenha o cadastro de entidades reguladas com os dizeres “Clique aqui para entrar no site da CVM e confirmar que este é um fundo cadastrado”.</w:t>
      </w:r>
    </w:p>
    <w:p w14:paraId="6649921E" w14:textId="77777777" w:rsidR="00D30681" w:rsidRPr="00510E01" w:rsidRDefault="00D30681" w:rsidP="00D30681">
      <w:pPr>
        <w:pStyle w:val="NormaAlterada"/>
      </w:pPr>
      <w:r w:rsidRPr="00510E01">
        <w:t>§ 2</w:t>
      </w:r>
      <w:bookmarkStart w:id="1202" w:name="_Int_9ZlWZLdd"/>
      <w:r w:rsidRPr="00510E01">
        <w:t>º  A</w:t>
      </w:r>
      <w:bookmarkEnd w:id="1202"/>
      <w:r w:rsidRPr="00510E01">
        <w:t xml:space="preserve"> página eletrônica do fundo na rede mundial de computadores pode ter seção em língua estrangeira, desde que o conteúdo dessa seção não divirja do conteúdo em português e a parte em língua estrangeira não contemple mais informações do que aquela em português.</w:t>
      </w:r>
    </w:p>
    <w:p w14:paraId="2F776C8E" w14:textId="77777777" w:rsidR="00D30681" w:rsidRPr="00510E01" w:rsidRDefault="00D30681" w:rsidP="00D30681">
      <w:pPr>
        <w:pStyle w:val="NormaAlterada"/>
      </w:pPr>
      <w:r w:rsidRPr="00510E01">
        <w:t>§ 3</w:t>
      </w:r>
      <w:bookmarkStart w:id="1203" w:name="_Int_LfZbs8d3"/>
      <w:r w:rsidRPr="00510E01">
        <w:t>º  A</w:t>
      </w:r>
      <w:bookmarkEnd w:id="1203"/>
      <w:r w:rsidRPr="00510E01">
        <w:t xml:space="preserve"> comunicação eletrônica entre o administrador e os cotistas feitas por meio d</w:t>
      </w:r>
      <w:r>
        <w:t>o endereço</w:t>
      </w:r>
      <w:r w:rsidRPr="00510E01">
        <w:t xml:space="preserve"> de correspondência eletrônico referenciado no inciso III do </w:t>
      </w:r>
      <w:r w:rsidRPr="00510E01">
        <w:rPr>
          <w:b/>
          <w:bCs/>
        </w:rPr>
        <w:t xml:space="preserve">caput </w:t>
      </w:r>
      <w:r w:rsidRPr="00510E01">
        <w:t>deve ser mantida pelo administrador pelo prazo de, no mínimo, 5 (cinco) anos.</w:t>
      </w:r>
    </w:p>
    <w:p w14:paraId="138C4D65" w14:textId="77777777" w:rsidR="00D30681" w:rsidRPr="00510E01" w:rsidRDefault="00D30681" w:rsidP="00D30681">
      <w:pPr>
        <w:pStyle w:val="NormaAlterada"/>
      </w:pPr>
      <w:r w:rsidRPr="00510E01">
        <w:t>§ 4</w:t>
      </w:r>
      <w:bookmarkStart w:id="1204" w:name="_Int_wLHhgdaG"/>
      <w:r w:rsidRPr="00510E01">
        <w:t>º  O</w:t>
      </w:r>
      <w:bookmarkEnd w:id="1204"/>
      <w:r w:rsidRPr="00510E01">
        <w:t xml:space="preserve"> administrador deve zelar para que as informações referentes a este artigo sejam divulgadas de forma contínua e atualizada, e que a página do fundo na rede mundial de computadores possua capacidade técnica de acesso simultâneo compatível com o número de cotistas do fundo. </w:t>
      </w:r>
    </w:p>
    <w:p w14:paraId="0881CBF3" w14:textId="77777777" w:rsidR="00D30681" w:rsidRPr="00510E01" w:rsidRDefault="00D30681" w:rsidP="00D30681">
      <w:pPr>
        <w:pStyle w:val="NormaAlterada"/>
      </w:pPr>
      <w:r w:rsidRPr="00510E01">
        <w:t>§ 5</w:t>
      </w:r>
      <w:bookmarkStart w:id="1205" w:name="_Int_farYZbHz"/>
      <w:r w:rsidRPr="00510E01">
        <w:t>º  A</w:t>
      </w:r>
      <w:bookmarkEnd w:id="1205"/>
      <w:r w:rsidRPr="00510E01">
        <w:t xml:space="preserve"> troca da página eletrônica do fundo na rede mundial de computadores é considerada fato relevante.</w:t>
      </w:r>
    </w:p>
    <w:p w14:paraId="7679DBDA" w14:textId="77777777" w:rsidR="00D30681" w:rsidRPr="00510E01" w:rsidRDefault="00D30681" w:rsidP="00D30681">
      <w:pPr>
        <w:pStyle w:val="NormaAlterada"/>
      </w:pPr>
      <w:r w:rsidRPr="00510E01">
        <w:t>§ 6</w:t>
      </w:r>
      <w:bookmarkStart w:id="1206" w:name="_Int_R3ArfoQQ"/>
      <w:r w:rsidRPr="00510E01">
        <w:t>º  A</w:t>
      </w:r>
      <w:bookmarkEnd w:id="1206"/>
      <w:r w:rsidRPr="00510E01">
        <w:t xml:space="preserve"> divulgação da metodologia de cálculo do índice deve abranger:</w:t>
      </w:r>
    </w:p>
    <w:p w14:paraId="3BF42B56" w14:textId="77777777" w:rsidR="00D30681" w:rsidRPr="00510E01" w:rsidRDefault="00D30681" w:rsidP="00D30681">
      <w:pPr>
        <w:pStyle w:val="NormaAlterada"/>
      </w:pPr>
      <w:r w:rsidRPr="00510E01">
        <w:t xml:space="preserve">I – </w:t>
      </w:r>
      <w:bookmarkStart w:id="1207" w:name="_Int_c0Db0Lnu"/>
      <w:r w:rsidRPr="00510E01">
        <w:t>critérios</w:t>
      </w:r>
      <w:bookmarkEnd w:id="1207"/>
      <w:r w:rsidRPr="00510E01">
        <w:t xml:space="preserve"> de inclusão e exclusão de ativos;</w:t>
      </w:r>
    </w:p>
    <w:p w14:paraId="212F66E0" w14:textId="77777777" w:rsidR="00D30681" w:rsidRPr="00510E01" w:rsidRDefault="00D30681" w:rsidP="00D30681">
      <w:pPr>
        <w:pStyle w:val="NormaAlterada"/>
      </w:pPr>
      <w:r w:rsidRPr="00510E01">
        <w:t xml:space="preserve">II – </w:t>
      </w:r>
      <w:bookmarkStart w:id="1208" w:name="_Int_LI9koZrF"/>
      <w:r w:rsidRPr="00510E01">
        <w:t>frequência</w:t>
      </w:r>
      <w:bookmarkEnd w:id="1208"/>
      <w:r w:rsidRPr="00510E01">
        <w:t xml:space="preserve"> de rebalanceamento;</w:t>
      </w:r>
    </w:p>
    <w:p w14:paraId="328A50AE" w14:textId="77777777" w:rsidR="00D30681" w:rsidRPr="00510E01" w:rsidRDefault="00D30681" w:rsidP="00D30681">
      <w:pPr>
        <w:pStyle w:val="NormaAlterada"/>
      </w:pPr>
      <w:r w:rsidRPr="00510E01">
        <w:t>III – alterações em relação à metodologia previamente estabelecida pelo provedor de índice; e</w:t>
      </w:r>
    </w:p>
    <w:p w14:paraId="7F45EA9D" w14:textId="77777777" w:rsidR="00D30681" w:rsidRPr="00510E01" w:rsidRDefault="00D30681" w:rsidP="00D30681">
      <w:pPr>
        <w:pStyle w:val="NormaAlterada"/>
      </w:pPr>
      <w:r w:rsidRPr="00510E01">
        <w:t xml:space="preserve">IV – </w:t>
      </w:r>
      <w:bookmarkStart w:id="1209" w:name="_Int_pL38iTW4"/>
      <w:r w:rsidRPr="00510E01">
        <w:t>composição</w:t>
      </w:r>
      <w:bookmarkEnd w:id="1209"/>
      <w:r w:rsidRPr="00510E01">
        <w:t>, pesos de cada ativo financeiro e demais parâmetros necessários à replicação do índice.</w:t>
      </w:r>
    </w:p>
    <w:p w14:paraId="38468D36" w14:textId="77777777" w:rsidR="00D30681" w:rsidRPr="00510E01" w:rsidRDefault="00D30681" w:rsidP="00D30681">
      <w:pPr>
        <w:pStyle w:val="NormaAlterada"/>
      </w:pPr>
      <w:r w:rsidRPr="00510E01">
        <w:t>§ 7</w:t>
      </w:r>
      <w:bookmarkStart w:id="1210" w:name="_Int_Bg3AAsBo"/>
      <w:r w:rsidRPr="00510E01">
        <w:t>º  As</w:t>
      </w:r>
      <w:bookmarkEnd w:id="1210"/>
      <w:r w:rsidRPr="00510E01">
        <w:t xml:space="preserve"> informações previstas no inciso IV do § 6º deste artigo podem ser divulgadas até 3 (três) meses após a data a que se refiram.</w:t>
      </w:r>
    </w:p>
    <w:p w14:paraId="05A413FB" w14:textId="77777777" w:rsidR="00D30681" w:rsidRPr="00510E01" w:rsidRDefault="00D30681" w:rsidP="00D30681">
      <w:pPr>
        <w:pStyle w:val="NormaAlterada"/>
      </w:pPr>
      <w:r w:rsidRPr="00510E01">
        <w:lastRenderedPageBreak/>
        <w:t xml:space="preserve">Art. </w:t>
      </w:r>
      <w:r>
        <w:t>32</w:t>
      </w:r>
      <w:r w:rsidRPr="00510E01">
        <w:t>.  O administrador deve divulgar, diariamente, à entidade administradora de mercado organizado na qual as cotas estejam listadas, o valor patrimonial da cota, a composição da carteira e o valor do seu patrimônio líquido.</w:t>
      </w:r>
    </w:p>
    <w:p w14:paraId="029F42FA" w14:textId="77777777" w:rsidR="00D30681" w:rsidRPr="00510E01" w:rsidRDefault="00D30681" w:rsidP="00D30681">
      <w:pPr>
        <w:pStyle w:val="NormaAlterada"/>
      </w:pPr>
      <w:r w:rsidRPr="00510E01">
        <w:t xml:space="preserve">Parágrafo único.  É facultada a divulgação de estimativas intradiárias dos indicadores constantes do </w:t>
      </w:r>
      <w:r w:rsidRPr="00510E01">
        <w:rPr>
          <w:b/>
          <w:bCs/>
        </w:rPr>
        <w:t>caput</w:t>
      </w:r>
      <w:r w:rsidRPr="00510E01">
        <w:t xml:space="preserve">, desde que a metodologia de cálculo dessas estimativas seja divulgada na página eletrônica do fundo na rede mundial de computadores, e esteja de acordo com o previsto nos </w:t>
      </w:r>
      <w:proofErr w:type="spellStart"/>
      <w:r w:rsidRPr="00510E01">
        <w:t>arts</w:t>
      </w:r>
      <w:proofErr w:type="spellEnd"/>
      <w:r w:rsidRPr="00510E01">
        <w:t xml:space="preserve">. </w:t>
      </w:r>
      <w:r>
        <w:t>10</w:t>
      </w:r>
      <w:r w:rsidRPr="00510E01">
        <w:t xml:space="preserve"> e </w:t>
      </w:r>
      <w:r>
        <w:t>40</w:t>
      </w:r>
      <w:r w:rsidRPr="00510E01">
        <w:t xml:space="preserve"> deste Anexo Normativo V.</w:t>
      </w:r>
    </w:p>
    <w:p w14:paraId="32D92C8A" w14:textId="77777777" w:rsidR="00D30681" w:rsidRPr="00510E01" w:rsidRDefault="00D30681" w:rsidP="00D30681">
      <w:pPr>
        <w:pStyle w:val="NormaAlterada"/>
      </w:pPr>
      <w:r w:rsidRPr="00510E01">
        <w:t xml:space="preserve">Art. </w:t>
      </w:r>
      <w:r>
        <w:t>33</w:t>
      </w:r>
      <w:r w:rsidRPr="00510E01">
        <w:t>.  Os cotistas devem ser comunicados de suas posições pelo prestador de serviços de custódia ou pelo prestador de serviços de escrituração das cotas, conforme legislação em vigor para o mercado de ações.</w:t>
      </w:r>
    </w:p>
    <w:p w14:paraId="508E7B0F" w14:textId="77777777" w:rsidR="00D30681" w:rsidRPr="00510E01" w:rsidRDefault="00D30681" w:rsidP="00D30681">
      <w:pPr>
        <w:pStyle w:val="NormaAlterada"/>
      </w:pPr>
      <w:r w:rsidRPr="00510E01">
        <w:t>Parágrafo único.  Os cotistas que integralizarem ou resgatarem cotas devem receber comunicação por escrito contendo, no mínimo, data, quantidade de cotas e valor da operação.</w:t>
      </w:r>
    </w:p>
    <w:p w14:paraId="0513BF87" w14:textId="77777777" w:rsidR="00D30681" w:rsidRPr="00510E01" w:rsidRDefault="00D30681" w:rsidP="00D30681">
      <w:pPr>
        <w:pStyle w:val="NormaAlterada"/>
      </w:pPr>
      <w:r w:rsidRPr="00510E01">
        <w:t xml:space="preserve">Art. </w:t>
      </w:r>
      <w:r>
        <w:t>34</w:t>
      </w:r>
      <w:r w:rsidRPr="00510E01">
        <w:t xml:space="preserve">.  O administrador deve encaminhar à CVM, por meio de sistema eletrônico disponível na rede mundial de computadores, as seguintes informações: </w:t>
      </w:r>
    </w:p>
    <w:p w14:paraId="61A73FAF" w14:textId="77777777" w:rsidR="00D30681" w:rsidRPr="00510E01" w:rsidRDefault="00D30681" w:rsidP="00D30681">
      <w:pPr>
        <w:pStyle w:val="NormaAlterada"/>
      </w:pPr>
      <w:r w:rsidRPr="00510E01">
        <w:t xml:space="preserve">I – </w:t>
      </w:r>
      <w:bookmarkStart w:id="1211" w:name="_Int_xj64f6so"/>
      <w:r w:rsidRPr="00510E01">
        <w:t>diariamente</w:t>
      </w:r>
      <w:bookmarkEnd w:id="1211"/>
      <w:r w:rsidRPr="00510E01">
        <w:t>:</w:t>
      </w:r>
    </w:p>
    <w:p w14:paraId="68430BC4" w14:textId="77777777" w:rsidR="00D30681" w:rsidRPr="00510E01" w:rsidRDefault="00D30681" w:rsidP="00D30681">
      <w:pPr>
        <w:pStyle w:val="NormaAlterada"/>
      </w:pPr>
      <w:r w:rsidRPr="00510E01">
        <w:t>a) valor patrimonial da cota;</w:t>
      </w:r>
    </w:p>
    <w:p w14:paraId="6F274D52" w14:textId="77777777" w:rsidR="00D30681" w:rsidRPr="00510E01" w:rsidRDefault="00D30681" w:rsidP="00D30681">
      <w:pPr>
        <w:pStyle w:val="NormaAlterada"/>
      </w:pPr>
      <w:r w:rsidRPr="00510E01">
        <w:t>b) patrimônio líquido da classe de cotas; e</w:t>
      </w:r>
    </w:p>
    <w:p w14:paraId="51CE2AF0" w14:textId="77777777" w:rsidR="00D30681" w:rsidRPr="00510E01" w:rsidRDefault="00D30681" w:rsidP="00D30681">
      <w:pPr>
        <w:pStyle w:val="NormaAlterada"/>
      </w:pPr>
      <w:r w:rsidRPr="00510E01">
        <w:t>c) valor das emissões e resgates de cotas efetuados no dia;</w:t>
      </w:r>
    </w:p>
    <w:p w14:paraId="6D52259B" w14:textId="77777777" w:rsidR="00D30681" w:rsidRPr="00510E01" w:rsidRDefault="00D30681" w:rsidP="00D30681">
      <w:pPr>
        <w:pStyle w:val="NormaAlterada"/>
      </w:pPr>
      <w:r w:rsidRPr="00510E01">
        <w:t xml:space="preserve">II – </w:t>
      </w:r>
      <w:bookmarkStart w:id="1212" w:name="_Int_19UbKkOF"/>
      <w:r w:rsidRPr="00510E01">
        <w:t>mensalmente</w:t>
      </w:r>
      <w:bookmarkEnd w:id="1212"/>
      <w:r w:rsidRPr="00510E01">
        <w:t xml:space="preserve">, no prazo de 15 (quinze) dias após o encerramento do mês a que se referirem: </w:t>
      </w:r>
    </w:p>
    <w:p w14:paraId="0379A525" w14:textId="77777777" w:rsidR="00D30681" w:rsidRPr="00510E01" w:rsidRDefault="00D30681" w:rsidP="00D30681">
      <w:pPr>
        <w:pStyle w:val="NormaAlterada"/>
      </w:pPr>
      <w:r w:rsidRPr="00510E01">
        <w:t>a) os demonstrativos da composição e diversificação de carteira; e</w:t>
      </w:r>
    </w:p>
    <w:p w14:paraId="6CC13D67" w14:textId="77777777" w:rsidR="00D30681" w:rsidRPr="00510E01" w:rsidRDefault="00D30681" w:rsidP="00D30681">
      <w:pPr>
        <w:pStyle w:val="NormaAlterada"/>
      </w:pPr>
      <w:r w:rsidRPr="00510E01">
        <w:t>b) balancete; e</w:t>
      </w:r>
    </w:p>
    <w:p w14:paraId="4C5D84C4" w14:textId="77777777" w:rsidR="00D30681" w:rsidRPr="00510E01" w:rsidRDefault="00D30681" w:rsidP="00D30681">
      <w:pPr>
        <w:pStyle w:val="NormaAlterada"/>
      </w:pPr>
      <w:r w:rsidRPr="00510E01">
        <w:t>III – anualmente, no prazo de 90 (noventa) dias contado a partir do encerramento do exercício a que se referirem, as demonstrações contábeis do fundo e, caso existentes, de suas classes de cotas, acompanhadas dos pareceres de auditoria independente.</w:t>
      </w:r>
    </w:p>
    <w:p w14:paraId="3ABB1FDB" w14:textId="77777777" w:rsidR="00D30681" w:rsidRPr="00510E01" w:rsidRDefault="00D30681" w:rsidP="00D30681">
      <w:pPr>
        <w:pStyle w:val="Seo"/>
        <w:rPr>
          <w:u w:val="single"/>
        </w:rPr>
      </w:pPr>
      <w:bookmarkStart w:id="1213" w:name="_Toc161141382"/>
      <w:r w:rsidRPr="00F763EC">
        <w:lastRenderedPageBreak/>
        <w:t>Seção II – Material de Divulgação</w:t>
      </w:r>
      <w:r w:rsidRPr="00E554C1">
        <w:t xml:space="preserve"> dos F</w:t>
      </w:r>
      <w:r w:rsidRPr="000559D0">
        <w:t>undos de Índice</w:t>
      </w:r>
      <w:bookmarkEnd w:id="1213"/>
    </w:p>
    <w:p w14:paraId="37C1E76E" w14:textId="77777777" w:rsidR="00D30681" w:rsidRPr="00510E01" w:rsidRDefault="00D30681" w:rsidP="00D30681">
      <w:pPr>
        <w:pStyle w:val="NormaAlterada"/>
      </w:pPr>
      <w:r w:rsidRPr="00510E01">
        <w:t xml:space="preserve">Art. </w:t>
      </w:r>
      <w:r>
        <w:t>35</w:t>
      </w:r>
      <w:r w:rsidRPr="00510E01">
        <w:t xml:space="preserve">.  As informações prestadas </w:t>
      </w:r>
      <w:r>
        <w:t xml:space="preserve">sobre o fundo </w:t>
      </w:r>
      <w:r w:rsidRPr="00510E01">
        <w:t xml:space="preserve">ou qualquer material de divulgação não podem estar em desacordo com o conteúdo da página eletrônica do fundo na rede mundial de computadores, com o seu regulamento ou com o relatório anual enviado à CVM. </w:t>
      </w:r>
    </w:p>
    <w:p w14:paraId="24D83CC1" w14:textId="77777777" w:rsidR="00D30681" w:rsidRPr="00510E01" w:rsidRDefault="00D30681" w:rsidP="00D30681">
      <w:pPr>
        <w:pStyle w:val="NormaAlterada"/>
      </w:pPr>
      <w:r w:rsidRPr="00510E01">
        <w:t xml:space="preserve">Art. </w:t>
      </w:r>
      <w:r>
        <w:t>36</w:t>
      </w:r>
      <w:r w:rsidRPr="00510E01">
        <w:t>.  Toda informação, divulgada por qualquer meio, deve conter o endereço da página eletrônica do fundo na rede mundial de computadores e mencionar, com destaque, que a página é a forma de divulgação de informações oficiais do fundo.</w:t>
      </w:r>
    </w:p>
    <w:p w14:paraId="169F9122" w14:textId="77777777" w:rsidR="00D30681" w:rsidRPr="00510E01" w:rsidRDefault="00D30681" w:rsidP="00D30681">
      <w:pPr>
        <w:pStyle w:val="NormaAlterada"/>
      </w:pPr>
      <w:r w:rsidRPr="00510E01">
        <w:t xml:space="preserve">Art. </w:t>
      </w:r>
      <w:r>
        <w:t>37</w:t>
      </w:r>
      <w:r w:rsidRPr="00510E01">
        <w:t>.  Em acréscimo ao disposto no art. 56 da parte geral da Resolução, toda informação na qual seja incluída referência à rentabilidade do fundo, deve obrigatoriamente:</w:t>
      </w:r>
    </w:p>
    <w:p w14:paraId="028F70BD" w14:textId="77777777" w:rsidR="00D30681" w:rsidRPr="00510E01" w:rsidRDefault="00D30681" w:rsidP="00D30681">
      <w:pPr>
        <w:pStyle w:val="NormaAlterada"/>
      </w:pPr>
      <w:r w:rsidRPr="00510E01">
        <w:t xml:space="preserve">I – </w:t>
      </w:r>
      <w:bookmarkStart w:id="1214" w:name="_Int_Fszj84WX"/>
      <w:r w:rsidRPr="00510E01">
        <w:t>abranger</w:t>
      </w:r>
      <w:bookmarkEnd w:id="1214"/>
      <w:r w:rsidRPr="00510E01">
        <w:t xml:space="preserve">, no mínimo, os últimos 3 (três) anos ou o período desde a sua constituição, se mais recente; </w:t>
      </w:r>
    </w:p>
    <w:p w14:paraId="53E4BCA7" w14:textId="77777777" w:rsidR="00D30681" w:rsidRPr="00510E01" w:rsidRDefault="00D30681" w:rsidP="00D30681">
      <w:pPr>
        <w:pStyle w:val="NormaAlterada"/>
      </w:pPr>
      <w:r w:rsidRPr="00510E01">
        <w:t xml:space="preserve">II – </w:t>
      </w:r>
      <w:bookmarkStart w:id="1215" w:name="_Int_39jMgcXU"/>
      <w:r w:rsidRPr="00510E01">
        <w:t>ser</w:t>
      </w:r>
      <w:bookmarkEnd w:id="1215"/>
      <w:r w:rsidRPr="00510E01">
        <w:t xml:space="preserve"> acompanhada da rentabilidade do índice de referência para o mesmo período; </w:t>
      </w:r>
    </w:p>
    <w:p w14:paraId="09264324" w14:textId="77777777" w:rsidR="00D30681" w:rsidRPr="00510E01" w:rsidRDefault="00D30681" w:rsidP="00D30681">
      <w:pPr>
        <w:pStyle w:val="NormaAlterada"/>
      </w:pPr>
      <w:r w:rsidRPr="00510E01">
        <w:t>III – ser acompanhada do valor da média aritmética da soma do seu patrimônio líquido apurado no último dia útil de cada mês, nos últimos 3 (três) anos ou desde a sua constituição, se mais recente; e</w:t>
      </w:r>
    </w:p>
    <w:p w14:paraId="1BEA78D9" w14:textId="77777777" w:rsidR="00D30681" w:rsidRPr="00510E01" w:rsidRDefault="00D30681" w:rsidP="00D30681">
      <w:pPr>
        <w:pStyle w:val="NormaAlterada"/>
      </w:pPr>
      <w:r w:rsidRPr="00510E01">
        <w:t xml:space="preserve">IV – </w:t>
      </w:r>
      <w:bookmarkStart w:id="1216" w:name="_Int_BO8ViENH"/>
      <w:r w:rsidRPr="00510E01">
        <w:t>informar</w:t>
      </w:r>
      <w:bookmarkEnd w:id="1216"/>
      <w:r w:rsidRPr="00510E01">
        <w:t>, quando for o caso, a incidência de taxas de ingresso ou de saída e de despesas oriundas de integralização ou resgate em moeda corrente, esclarecendo quanto à sua forma de apuração.</w:t>
      </w:r>
    </w:p>
    <w:p w14:paraId="0D2ADC3A" w14:textId="77777777" w:rsidR="00D30681" w:rsidRPr="00510E01" w:rsidRDefault="00D30681" w:rsidP="00D30681">
      <w:pPr>
        <w:pStyle w:val="Captulo"/>
      </w:pPr>
      <w:bookmarkStart w:id="1217" w:name="_Toc161141383"/>
      <w:r w:rsidRPr="00510E01">
        <w:t>CAPÍTULO IX – DEMONSTRAÇÕES CONTÁBEIS</w:t>
      </w:r>
      <w:bookmarkEnd w:id="1217"/>
    </w:p>
    <w:p w14:paraId="404F43CF" w14:textId="77777777" w:rsidR="00D30681" w:rsidRPr="00510E01" w:rsidRDefault="00D30681" w:rsidP="00D30681">
      <w:pPr>
        <w:pStyle w:val="NormaAlterada"/>
      </w:pPr>
      <w:r w:rsidRPr="00510E01">
        <w:t xml:space="preserve">Art. </w:t>
      </w:r>
      <w:r>
        <w:t>38</w:t>
      </w:r>
      <w:r w:rsidRPr="00510E01">
        <w:t>.  O exercício contábil do fundo e suas classes de cotas, se houver, é de 1 (um) ano e se encerra no dia 31 de março de cada ano.</w:t>
      </w:r>
    </w:p>
    <w:p w14:paraId="3BE93284" w14:textId="77777777" w:rsidR="00D30681" w:rsidRPr="00510E01" w:rsidRDefault="00D30681" w:rsidP="00D30681">
      <w:pPr>
        <w:pStyle w:val="NormaAlterada"/>
      </w:pPr>
      <w:r w:rsidRPr="00510E01">
        <w:t xml:space="preserve">Art. </w:t>
      </w:r>
      <w:r>
        <w:t>39</w:t>
      </w:r>
      <w:r w:rsidRPr="00510E01">
        <w:t>.  As demonstrações contábeis devem ser colocadas à disposição de qualquer interessado que as solicitar ao administrador, no prazo de 60 (sessenta) dias após o encerramento do exercício contábil.</w:t>
      </w:r>
    </w:p>
    <w:p w14:paraId="7C43D561" w14:textId="77777777" w:rsidR="00D30681" w:rsidRPr="00510E01" w:rsidRDefault="00D30681" w:rsidP="00D30681">
      <w:pPr>
        <w:pStyle w:val="NormaAlterada"/>
      </w:pPr>
      <w:r w:rsidRPr="00510E01">
        <w:t xml:space="preserve">Art. </w:t>
      </w:r>
      <w:r>
        <w:t>40</w:t>
      </w:r>
      <w:r w:rsidRPr="00510E01">
        <w:t>.  As demonstrações contábeis devem observar o Plano Contábil dos Fundos de Investimento – COFI editado pela CVM.</w:t>
      </w:r>
    </w:p>
    <w:p w14:paraId="515DEBDD" w14:textId="77777777" w:rsidR="00D30681" w:rsidRPr="00510E01" w:rsidRDefault="00D30681" w:rsidP="00D30681">
      <w:pPr>
        <w:pStyle w:val="Captulo"/>
      </w:pPr>
      <w:bookmarkStart w:id="1218" w:name="_Toc161141384"/>
      <w:r w:rsidRPr="00510E01">
        <w:lastRenderedPageBreak/>
        <w:t>CAPÍTULO X – CARTEIRA</w:t>
      </w:r>
      <w:bookmarkEnd w:id="1218"/>
    </w:p>
    <w:p w14:paraId="1B2E606B" w14:textId="77777777" w:rsidR="00D30681" w:rsidRPr="00510E01" w:rsidRDefault="00D30681" w:rsidP="00D30681">
      <w:pPr>
        <w:pStyle w:val="NormaAlterada"/>
      </w:pPr>
      <w:r w:rsidRPr="00510E01">
        <w:t xml:space="preserve">Art. </w:t>
      </w:r>
      <w:r>
        <w:t>41</w:t>
      </w:r>
      <w:r w:rsidRPr="00510E01">
        <w:t xml:space="preserve">.  De forma a refletir a variação e rentabilidade do índice de referência, e observado o disposto no art. </w:t>
      </w:r>
      <w:r>
        <w:t>27</w:t>
      </w:r>
      <w:r w:rsidRPr="00510E01">
        <w:t xml:space="preserve"> deste Anexo Normativo V, a classe de cotas deve manter 95% (noventa e cinco por cento), no mínimo, de seu patrimônio aplicado em:</w:t>
      </w:r>
    </w:p>
    <w:p w14:paraId="5D35A842" w14:textId="77777777" w:rsidR="00D30681" w:rsidRPr="00510E01" w:rsidRDefault="00D30681" w:rsidP="00D30681">
      <w:pPr>
        <w:pStyle w:val="NormaAlterada"/>
      </w:pPr>
      <w:r w:rsidRPr="00510E01">
        <w:t xml:space="preserve">I – </w:t>
      </w:r>
      <w:bookmarkStart w:id="1219" w:name="_Int_P4caub67"/>
      <w:r w:rsidRPr="00510E01">
        <w:t>ativos</w:t>
      </w:r>
      <w:bookmarkEnd w:id="1219"/>
      <w:r w:rsidRPr="00510E01">
        <w:t xml:space="preserve"> financeiros que compõe</w:t>
      </w:r>
      <w:r>
        <w:t>m</w:t>
      </w:r>
      <w:r w:rsidRPr="00510E01">
        <w:t xml:space="preserve"> o índice de referência;</w:t>
      </w:r>
    </w:p>
    <w:p w14:paraId="6E84DF70" w14:textId="77777777" w:rsidR="00D30681" w:rsidRPr="00510E01" w:rsidRDefault="00D30681" w:rsidP="00D30681">
      <w:pPr>
        <w:pStyle w:val="NormaAlterada"/>
      </w:pPr>
      <w:r w:rsidRPr="00510E01">
        <w:t xml:space="preserve">II – </w:t>
      </w:r>
      <w:bookmarkStart w:id="1220" w:name="_Int_2cHF3Ysx"/>
      <w:r w:rsidRPr="00510E01">
        <w:t>posição</w:t>
      </w:r>
      <w:bookmarkEnd w:id="1220"/>
      <w:r w:rsidRPr="00510E01">
        <w:t xml:space="preserve"> líquida em contratos futuros; e</w:t>
      </w:r>
    </w:p>
    <w:p w14:paraId="7A7CC85D" w14:textId="77777777" w:rsidR="00D30681" w:rsidRPr="00510E01" w:rsidRDefault="00D30681" w:rsidP="00D30681">
      <w:pPr>
        <w:pStyle w:val="NormaAlterada"/>
      </w:pPr>
      <w:r w:rsidRPr="00510E01">
        <w:t>III – cotas de outros fundos de índice que visem refletir as variações e rentabilidade do índice de referência da classe investidora.</w:t>
      </w:r>
    </w:p>
    <w:p w14:paraId="201FA195" w14:textId="77777777" w:rsidR="00D30681" w:rsidRPr="00510E01" w:rsidRDefault="00D30681" w:rsidP="00D30681">
      <w:pPr>
        <w:pStyle w:val="NormaAlterada"/>
      </w:pPr>
      <w:r w:rsidRPr="00510E01">
        <w:t>§ 1</w:t>
      </w:r>
      <w:bookmarkStart w:id="1221" w:name="_Int_prGe6JjR"/>
      <w:r w:rsidRPr="00510E01">
        <w:t>º  No</w:t>
      </w:r>
      <w:bookmarkEnd w:id="1221"/>
      <w:r w:rsidRPr="00510E01">
        <w:t xml:space="preserve"> período entre a divulgação oficial da primeira prévia da nova composição do índice de referência e 1 (um) mês após sua efetiva mudança de composição, é facultado ao gestor, conforme definido no regulamento, efetuar o ajuste da composição da carteira, devendo o mesmo, nesse período, agir de forma a assegurar que a rentabilidade da classe de cotas não se distancie da variação do índice de referência.</w:t>
      </w:r>
    </w:p>
    <w:p w14:paraId="7886861A" w14:textId="77777777" w:rsidR="00D30681" w:rsidRPr="00510E01" w:rsidRDefault="00D30681" w:rsidP="00D30681">
      <w:pPr>
        <w:pStyle w:val="NormaAlterada"/>
      </w:pPr>
      <w:r w:rsidRPr="00510E01">
        <w:t>§ 2</w:t>
      </w:r>
      <w:bookmarkStart w:id="1222" w:name="_Int_8T8ps9tN"/>
      <w:r w:rsidRPr="00510E01">
        <w:t>º  Quando</w:t>
      </w:r>
      <w:bookmarkEnd w:id="1222"/>
      <w:r w:rsidRPr="00510E01">
        <w:t xml:space="preserve"> da distribuição de proventos relacionados aos ativos financeiros subjacentes à carteira, o administrador deve, sempre que possível, seguir a mesma política utilizada no cálculo do índice de referência, podendo, se for o caso, redistribuir esses proventos ou distribuir rendimentos diretamente aos cotistas.</w:t>
      </w:r>
    </w:p>
    <w:p w14:paraId="5BD37D64" w14:textId="77777777" w:rsidR="00D30681" w:rsidRPr="00510E01" w:rsidRDefault="00D30681" w:rsidP="00D30681">
      <w:pPr>
        <w:pStyle w:val="NormaAlterada"/>
      </w:pPr>
      <w:r w:rsidRPr="00510E01">
        <w:t>§ 3</w:t>
      </w:r>
      <w:bookmarkStart w:id="1223" w:name="_Int_FiyS3GWy"/>
      <w:r w:rsidRPr="00510E01">
        <w:t>º  Para</w:t>
      </w:r>
      <w:bookmarkEnd w:id="1223"/>
      <w:r w:rsidRPr="00510E01">
        <w:t xml:space="preserve"> atingir o objetivo previsto no § 2º deste artigo, a classe de cotas cuja política de investimento esteja associada a índice de ações que considere o reinvestimento dos proventos a partir do momento de sua declaração pode negociar os créditos relativos a quaisquer proventos declarados e ainda não efetivamente pagos.</w:t>
      </w:r>
    </w:p>
    <w:p w14:paraId="5B7E5F89" w14:textId="77777777" w:rsidR="00D30681" w:rsidRPr="00510E01" w:rsidRDefault="00D30681" w:rsidP="00D30681">
      <w:pPr>
        <w:pStyle w:val="NormaAlterada"/>
      </w:pPr>
      <w:r w:rsidRPr="00510E01">
        <w:t>§ 4</w:t>
      </w:r>
      <w:bookmarkStart w:id="1224" w:name="_Int_9ycZH9ti"/>
      <w:r w:rsidRPr="00510E01">
        <w:t>º  Casos</w:t>
      </w:r>
      <w:bookmarkEnd w:id="1224"/>
      <w:r w:rsidRPr="00510E01">
        <w:t xml:space="preserve"> excepcionais de desenquadramento da carteira devem ser justificados por escrito à CVM no prazo máximo de 5 (cinco) dias úteis, a contar da data de sua ocorrência.</w:t>
      </w:r>
    </w:p>
    <w:p w14:paraId="1A23EE6D" w14:textId="77777777" w:rsidR="00D30681" w:rsidRPr="00510E01" w:rsidRDefault="00D30681" w:rsidP="00D30681">
      <w:pPr>
        <w:pStyle w:val="NormaAlterada"/>
      </w:pPr>
      <w:r w:rsidRPr="00510E01">
        <w:t>§ 5</w:t>
      </w:r>
      <w:bookmarkStart w:id="1225" w:name="_Int_76TDm5vF"/>
      <w:r w:rsidRPr="00510E01">
        <w:t>º  O</w:t>
      </w:r>
      <w:bookmarkEnd w:id="1225"/>
      <w:r w:rsidRPr="00510E01">
        <w:t xml:space="preserve"> total das margens de garantia exigidas da classe de cotas em suas operações com derivativos não pode exceder a 20% (vinte por cento) de seu patrimônio líquido.</w:t>
      </w:r>
    </w:p>
    <w:p w14:paraId="6F7E9566" w14:textId="77777777" w:rsidR="00D30681" w:rsidRPr="00510E01" w:rsidRDefault="00D30681" w:rsidP="00D30681">
      <w:pPr>
        <w:pStyle w:val="NormaAlterada"/>
      </w:pPr>
      <w:r w:rsidRPr="00510E01">
        <w:t>§ 6</w:t>
      </w:r>
      <w:bookmarkStart w:id="1226" w:name="_Int_C6iBln3X"/>
      <w:r w:rsidRPr="00510E01">
        <w:t>º  Fica</w:t>
      </w:r>
      <w:bookmarkEnd w:id="1226"/>
      <w:r w:rsidRPr="00510E01">
        <w:t xml:space="preserve"> autorizada a celebração de contrato a termo de troca de rentabilidade (“</w:t>
      </w:r>
      <w:r w:rsidRPr="00510E01">
        <w:rPr>
          <w:b/>
          <w:bCs/>
        </w:rPr>
        <w:t>swap</w:t>
      </w:r>
      <w:r w:rsidRPr="00510E01">
        <w:t>”), com cláusula de liquidação por ajuste financeiro diário, entre a classe de cotas e terceiros que tenha como objeto de negociação a diferença de variação da rentabilidade entre a classe e o índice de referência.</w:t>
      </w:r>
    </w:p>
    <w:p w14:paraId="66366708" w14:textId="77777777" w:rsidR="00D30681" w:rsidRPr="00510E01" w:rsidRDefault="00D30681" w:rsidP="00D30681">
      <w:pPr>
        <w:pStyle w:val="NormaAlterada"/>
      </w:pPr>
      <w:r w:rsidRPr="00510E01">
        <w:lastRenderedPageBreak/>
        <w:t>§ 7</w:t>
      </w:r>
      <w:bookmarkStart w:id="1227" w:name="_Int_wrocxm5a"/>
      <w:r w:rsidRPr="00510E01">
        <w:t>º  O</w:t>
      </w:r>
      <w:bookmarkEnd w:id="1227"/>
      <w:r w:rsidRPr="00510E01">
        <w:t xml:space="preserve"> contrato a que se refere o § 6º deste artigo, bem como eventuais modificações acordadas durante o seu período de vigência, devem ser previamente aprovados pela CVM, divulgados na íntegra na página eletrônica do fundo na rede mundial de computadores, na forma do inciso IV do art. </w:t>
      </w:r>
      <w:r>
        <w:t>31</w:t>
      </w:r>
      <w:r w:rsidRPr="00510E01">
        <w:t xml:space="preserve"> deste Anexo Normativo V, e registrados em </w:t>
      </w:r>
      <w:r>
        <w:t>mercado</w:t>
      </w:r>
      <w:r w:rsidRPr="00510E01">
        <w:t xml:space="preserve"> organizado</w:t>
      </w:r>
      <w:r>
        <w:t xml:space="preserve"> de valores mobiliários</w:t>
      </w:r>
      <w:r w:rsidRPr="00510E01">
        <w:t>.</w:t>
      </w:r>
    </w:p>
    <w:p w14:paraId="501B9D35" w14:textId="77777777" w:rsidR="00D30681" w:rsidRPr="00510E01" w:rsidRDefault="00D30681" w:rsidP="00D30681">
      <w:pPr>
        <w:pStyle w:val="NormaAlterada"/>
      </w:pPr>
      <w:r w:rsidRPr="00510E01">
        <w:t>§ 8</w:t>
      </w:r>
      <w:bookmarkStart w:id="1228" w:name="_Int_0tgierui"/>
      <w:r w:rsidRPr="00510E01">
        <w:t>º  O</w:t>
      </w:r>
      <w:bookmarkEnd w:id="1228"/>
      <w:r w:rsidRPr="00510E01">
        <w:t xml:space="preserve"> término da vigência do contrato a que se refere o § 6º deste artigo deve ser divulgado com pelo menos 30 (trinta) dias de antecedência, sendo considerado fato relevante.</w:t>
      </w:r>
    </w:p>
    <w:p w14:paraId="4E6AEB65" w14:textId="77777777" w:rsidR="00D30681" w:rsidRPr="00510E01" w:rsidRDefault="00D30681" w:rsidP="00D30681">
      <w:pPr>
        <w:pStyle w:val="NormaAlterada"/>
      </w:pPr>
      <w:r w:rsidRPr="00510E01">
        <w:t>§ 9</w:t>
      </w:r>
      <w:bookmarkStart w:id="1229" w:name="_Int_4962gZXz"/>
      <w:r w:rsidRPr="00510E01">
        <w:t>º  São</w:t>
      </w:r>
      <w:bookmarkEnd w:id="1229"/>
      <w:r w:rsidRPr="00510E01">
        <w:t xml:space="preserve"> admitidos os seguintes ativos financeiros para fins de composição do índice de referência:</w:t>
      </w:r>
    </w:p>
    <w:p w14:paraId="76D5662B" w14:textId="77777777" w:rsidR="00D30681" w:rsidRPr="00510E01" w:rsidRDefault="00D30681" w:rsidP="00D30681">
      <w:pPr>
        <w:pStyle w:val="NormaAlterada"/>
      </w:pPr>
      <w:r w:rsidRPr="00510E01">
        <w:t xml:space="preserve">I – </w:t>
      </w:r>
      <w:bookmarkStart w:id="1230" w:name="_Int_zcfJcG3z"/>
      <w:r w:rsidRPr="00510E01">
        <w:t>valores</w:t>
      </w:r>
      <w:bookmarkEnd w:id="1230"/>
      <w:r w:rsidRPr="00510E01">
        <w:t xml:space="preserve"> mobiliários cuja oferta pública tenha sido submetida a registro ou dispensada do registro na CVM ou, quando negociados no exterior, no órgão regulador de sua jurisdição;</w:t>
      </w:r>
    </w:p>
    <w:p w14:paraId="73BD6FB6" w14:textId="77777777" w:rsidR="00D30681" w:rsidRPr="00510E01" w:rsidRDefault="00D30681" w:rsidP="00D30681">
      <w:pPr>
        <w:pStyle w:val="NormaAlterada"/>
      </w:pPr>
      <w:r w:rsidRPr="00510E01">
        <w:t xml:space="preserve">II – </w:t>
      </w:r>
      <w:bookmarkStart w:id="1231" w:name="_Int_uzDnRU8q"/>
      <w:r w:rsidRPr="00510E01">
        <w:t>títulos</w:t>
      </w:r>
      <w:bookmarkEnd w:id="1231"/>
      <w:r w:rsidRPr="00510E01">
        <w:t xml:space="preserve"> públicos federais;</w:t>
      </w:r>
    </w:p>
    <w:p w14:paraId="45738F21" w14:textId="77777777" w:rsidR="00D30681" w:rsidRPr="00510E01" w:rsidRDefault="00D30681" w:rsidP="00D30681">
      <w:pPr>
        <w:pStyle w:val="NormaAlterada"/>
      </w:pPr>
      <w:r w:rsidRPr="00510E01">
        <w:t xml:space="preserve">III – cotas de fundos de investimento de índice negociados no exterior, desde que registrados no órgão regulador de sua jurisdição, e observem os critérios e as vedações previstas nos §§ 2º </w:t>
      </w:r>
      <w:r>
        <w:t>a 4º</w:t>
      </w:r>
      <w:r w:rsidRPr="00510E01">
        <w:t xml:space="preserve"> do art. 2º deste Anexo Normativo V; e</w:t>
      </w:r>
    </w:p>
    <w:p w14:paraId="7D46C21F" w14:textId="77777777" w:rsidR="00D30681" w:rsidRPr="00510E01" w:rsidRDefault="00D30681" w:rsidP="00D30681">
      <w:pPr>
        <w:pStyle w:val="NormaAlterada"/>
      </w:pPr>
      <w:r w:rsidRPr="00510E01">
        <w:t xml:space="preserve">IV – </w:t>
      </w:r>
      <w:bookmarkStart w:id="1232" w:name="_Int_G3mB6FN8"/>
      <w:r w:rsidRPr="00510E01">
        <w:t>outros</w:t>
      </w:r>
      <w:bookmarkEnd w:id="1232"/>
      <w:r w:rsidRPr="00510E01">
        <w:t xml:space="preserve"> ativos financeiros, por natureza ou equiparação, nos termos do art. 2º do Anexo Normativo I.</w:t>
      </w:r>
    </w:p>
    <w:p w14:paraId="1E921700" w14:textId="77777777" w:rsidR="00D30681" w:rsidRPr="00510E01" w:rsidRDefault="00D30681" w:rsidP="00D30681">
      <w:pPr>
        <w:pStyle w:val="NormaAlterada"/>
      </w:pPr>
      <w:r w:rsidRPr="001D1E86">
        <w:t xml:space="preserve">§ 10.  Os contratos futuros previstos no </w:t>
      </w:r>
      <w:r w:rsidRPr="001D1E86">
        <w:rPr>
          <w:b/>
          <w:bCs/>
        </w:rPr>
        <w:t xml:space="preserve">caput </w:t>
      </w:r>
      <w:r w:rsidRPr="001D1E86">
        <w:t xml:space="preserve">devem ser negociados em bolsa de mercadorias e de futuros e </w:t>
      </w:r>
      <w:r>
        <w:t>contar com garantia de liquidação por entidade operadora de infraestrutura do mercado financeiro autorizada pela CVM ou pelo Banco Central do Brasil para efetuar a compensação e liquidação das operações.</w:t>
      </w:r>
    </w:p>
    <w:p w14:paraId="658918AA" w14:textId="77777777" w:rsidR="00D30681" w:rsidRPr="00510E01" w:rsidRDefault="00D30681" w:rsidP="00D30681">
      <w:pPr>
        <w:pStyle w:val="NormaAlterada"/>
      </w:pPr>
      <w:r w:rsidRPr="00510E01">
        <w:t>§ 11.  No caso de classes de cotas que busquem refletir as variações e rentabilidade de índices de renda fixa, serão admitidos ativos financeiros que não façam parte do índice de referência, mas que sejam de mesma natureza daqueles, porém de diferentes emissões, limitados a 20% (vinte por cento) do patrimônio líquido da classe.</w:t>
      </w:r>
    </w:p>
    <w:p w14:paraId="57841E67" w14:textId="77777777" w:rsidR="00D30681" w:rsidRPr="00510E01" w:rsidRDefault="00D30681" w:rsidP="00D30681">
      <w:pPr>
        <w:pStyle w:val="NormaAlterada"/>
      </w:pPr>
      <w:r w:rsidRPr="00510E01">
        <w:t xml:space="preserve">Art. </w:t>
      </w:r>
      <w:r>
        <w:t>42</w:t>
      </w:r>
      <w:r w:rsidRPr="00510E01">
        <w:t xml:space="preserve">.  Os recursos excedentes da aplicação mínima fixada no art. </w:t>
      </w:r>
      <w:r>
        <w:t>41</w:t>
      </w:r>
      <w:r w:rsidRPr="00510E01">
        <w:t xml:space="preserve"> deste Anexo Normativo V podem ser investidos em: </w:t>
      </w:r>
    </w:p>
    <w:p w14:paraId="028F3DCC" w14:textId="77777777" w:rsidR="00D30681" w:rsidRPr="00510E01" w:rsidRDefault="00D30681" w:rsidP="00D30681">
      <w:pPr>
        <w:pStyle w:val="NormaAlterada"/>
      </w:pPr>
      <w:r w:rsidRPr="00510E01">
        <w:t xml:space="preserve">I – </w:t>
      </w:r>
      <w:bookmarkStart w:id="1233" w:name="_Int_zWJq1MlR"/>
      <w:r w:rsidRPr="00510E01">
        <w:t>títulos</w:t>
      </w:r>
      <w:bookmarkEnd w:id="1233"/>
      <w:r w:rsidRPr="00510E01">
        <w:t xml:space="preserve"> públicos federais;</w:t>
      </w:r>
    </w:p>
    <w:p w14:paraId="4C426F8F" w14:textId="77777777" w:rsidR="00D30681" w:rsidRPr="00510E01" w:rsidRDefault="00D30681" w:rsidP="00D30681">
      <w:pPr>
        <w:pStyle w:val="NormaAlterada"/>
      </w:pPr>
      <w:r w:rsidRPr="00510E01">
        <w:t xml:space="preserve">II – </w:t>
      </w:r>
      <w:bookmarkStart w:id="1234" w:name="_Int_vbooLzzK"/>
      <w:r w:rsidRPr="00510E01">
        <w:t>títulos</w:t>
      </w:r>
      <w:bookmarkEnd w:id="1234"/>
      <w:r w:rsidRPr="00510E01">
        <w:t xml:space="preserve"> de renda fixa de emissão de instituição financeira;</w:t>
      </w:r>
    </w:p>
    <w:p w14:paraId="2BBEA07D" w14:textId="77777777" w:rsidR="00D30681" w:rsidRPr="00510E01" w:rsidRDefault="00D30681" w:rsidP="00D30681">
      <w:pPr>
        <w:pStyle w:val="NormaAlterada"/>
      </w:pPr>
      <w:r w:rsidRPr="00510E01">
        <w:lastRenderedPageBreak/>
        <w:t>III – cotas de fundo de investimento em renda fixa “Simples”, “Curto Prazo” ou “Referenciado”;</w:t>
      </w:r>
    </w:p>
    <w:p w14:paraId="4B1F963B" w14:textId="77777777" w:rsidR="00D30681" w:rsidRPr="00510E01" w:rsidRDefault="00D30681" w:rsidP="00D30681">
      <w:pPr>
        <w:pStyle w:val="NormaAlterada"/>
      </w:pPr>
      <w:r w:rsidRPr="00510E01">
        <w:t xml:space="preserve">IV – </w:t>
      </w:r>
      <w:bookmarkStart w:id="1235" w:name="_Int_BGZoZPM2"/>
      <w:r w:rsidRPr="00510E01">
        <w:t>operações</w:t>
      </w:r>
      <w:bookmarkEnd w:id="1235"/>
      <w:r w:rsidRPr="00510E01">
        <w:t xml:space="preserve"> compromissadas lastreadas em títulos públicos federais;</w:t>
      </w:r>
    </w:p>
    <w:p w14:paraId="15D31F77" w14:textId="77777777" w:rsidR="00D30681" w:rsidRPr="00510E01" w:rsidRDefault="00D30681" w:rsidP="00D30681">
      <w:pPr>
        <w:pStyle w:val="NormaAlterada"/>
      </w:pPr>
      <w:r w:rsidRPr="00510E01">
        <w:t xml:space="preserve">V – </w:t>
      </w:r>
      <w:bookmarkStart w:id="1236" w:name="_Int_e3s2PUeW"/>
      <w:r w:rsidRPr="00510E01">
        <w:t>operações</w:t>
      </w:r>
      <w:bookmarkEnd w:id="1236"/>
      <w:r w:rsidRPr="00510E01">
        <w:t xml:space="preserve"> com derivativos distintas da prevista no inciso II do art. </w:t>
      </w:r>
      <w:r>
        <w:t>41</w:t>
      </w:r>
      <w:r w:rsidRPr="00510E01">
        <w:t xml:space="preserve"> deste Anexo Normativo V, realizadas em mercado organizado</w:t>
      </w:r>
      <w:r>
        <w:t xml:space="preserve"> de valores mobiliários</w:t>
      </w:r>
      <w:r w:rsidRPr="00510E01">
        <w:t xml:space="preserve">, exclusivamente para administração dos riscos inerentes à carteira ou dos ativos financeiros subjacentes, observado o limite fixado no § 5º do art. </w:t>
      </w:r>
      <w:r>
        <w:t>41</w:t>
      </w:r>
      <w:r w:rsidRPr="00510E01">
        <w:t xml:space="preserve"> deste Anexo Normativo V;</w:t>
      </w:r>
    </w:p>
    <w:p w14:paraId="5F6ADD63" w14:textId="77777777" w:rsidR="00D30681" w:rsidRPr="00510E01" w:rsidRDefault="00D30681" w:rsidP="00D30681">
      <w:pPr>
        <w:pStyle w:val="NormaAlterada"/>
      </w:pPr>
      <w:r w:rsidRPr="00510E01">
        <w:t xml:space="preserve">VI – </w:t>
      </w:r>
      <w:bookmarkStart w:id="1237" w:name="_Int_7X1qhuQH"/>
      <w:r w:rsidRPr="00510E01">
        <w:t>ativos</w:t>
      </w:r>
      <w:bookmarkEnd w:id="1237"/>
      <w:r w:rsidRPr="00510E01">
        <w:t xml:space="preserve"> financeiros com liquidez não incluídos no índice de referência; e</w:t>
      </w:r>
    </w:p>
    <w:p w14:paraId="21BC11E8" w14:textId="77777777" w:rsidR="00D30681" w:rsidRPr="00510E01" w:rsidRDefault="00D30681" w:rsidP="00D30681">
      <w:pPr>
        <w:pStyle w:val="NormaAlterada"/>
      </w:pPr>
      <w:r w:rsidRPr="00510E01">
        <w:t>VII – cotas de outros fundos de índice.</w:t>
      </w:r>
    </w:p>
    <w:p w14:paraId="4707BD2F" w14:textId="77777777" w:rsidR="00D30681" w:rsidRPr="00510E01" w:rsidRDefault="00D30681" w:rsidP="00D30681">
      <w:pPr>
        <w:pStyle w:val="NormaAlterada"/>
      </w:pPr>
      <w:r w:rsidRPr="00510E01">
        <w:t xml:space="preserve">Art. </w:t>
      </w:r>
      <w:r>
        <w:t>43</w:t>
      </w:r>
      <w:r w:rsidRPr="00510E01">
        <w:t>.  A classe de cotas pode realizar operações de empréstimo dos ativos que compõem sua carteira, na forma regulada pela CVM e conforme o limite e as condições estabelecidas no regulamento.</w:t>
      </w:r>
    </w:p>
    <w:p w14:paraId="0EF18DFE" w14:textId="77777777" w:rsidR="00D30681" w:rsidRPr="00510E01" w:rsidRDefault="00D30681" w:rsidP="00D30681">
      <w:pPr>
        <w:pStyle w:val="NormaAlterada"/>
      </w:pPr>
      <w:r w:rsidRPr="00510E01">
        <w:t>§ 1</w:t>
      </w:r>
      <w:bookmarkStart w:id="1238" w:name="_Int_HbbYSq0B"/>
      <w:r w:rsidRPr="00510E01">
        <w:t>º  As</w:t>
      </w:r>
      <w:bookmarkEnd w:id="1238"/>
      <w:r w:rsidRPr="00510E01">
        <w:t xml:space="preserve"> operações de empréstimo referenciadas no </w:t>
      </w:r>
      <w:r w:rsidRPr="00510E01">
        <w:rPr>
          <w:b/>
          <w:bCs/>
        </w:rPr>
        <w:t xml:space="preserve">caput </w:t>
      </w:r>
      <w:r w:rsidRPr="00510E01">
        <w:t>devem ter prazo determinado para a devolução de ativos.</w:t>
      </w:r>
    </w:p>
    <w:p w14:paraId="63E0FB8C" w14:textId="77777777" w:rsidR="00D30681" w:rsidRPr="00510E01" w:rsidRDefault="00D30681" w:rsidP="00D30681">
      <w:pPr>
        <w:pStyle w:val="NormaAlterada"/>
      </w:pPr>
      <w:r w:rsidRPr="00510E01">
        <w:t>§ 2</w:t>
      </w:r>
      <w:bookmarkStart w:id="1239" w:name="_Int_i11bHkrO"/>
      <w:r w:rsidRPr="00510E01">
        <w:t>º  O</w:t>
      </w:r>
      <w:bookmarkEnd w:id="1239"/>
      <w:r w:rsidRPr="00510E01">
        <w:t xml:space="preserve"> administrador deve honrar o pagamento de resgates, bem como atender aos pedidos de empréstimo formulados com base no § 1º do art. </w:t>
      </w:r>
      <w:r>
        <w:t>29</w:t>
      </w:r>
      <w:r w:rsidRPr="00510E01">
        <w:t xml:space="preserve"> deste Anexo Normativo V, caso não haja valores mobiliários disponíveis em quantidade suficiente, em decorrência de terem sido emprestados ou dados em garantia pela classe de cotas, e não seja possível os reaver em tempo hábil.</w:t>
      </w:r>
    </w:p>
    <w:p w14:paraId="491F257E" w14:textId="77777777" w:rsidR="00D30681" w:rsidRPr="00510E01" w:rsidRDefault="00D30681" w:rsidP="00D30681">
      <w:pPr>
        <w:pStyle w:val="Captulo"/>
      </w:pPr>
      <w:bookmarkStart w:id="1240" w:name="_Toc161141385"/>
      <w:r w:rsidRPr="00510E01">
        <w:t>CAPÍTULO XI – ENCARGOS</w:t>
      </w:r>
      <w:bookmarkEnd w:id="1240"/>
    </w:p>
    <w:p w14:paraId="4AEE215F" w14:textId="77777777" w:rsidR="00D30681" w:rsidRPr="00510E01" w:rsidRDefault="00D30681" w:rsidP="00D30681">
      <w:pPr>
        <w:pStyle w:val="NormaAlterada"/>
      </w:pPr>
      <w:r w:rsidRPr="00510E01">
        <w:t xml:space="preserve">Art. </w:t>
      </w:r>
      <w:r>
        <w:t>44</w:t>
      </w:r>
      <w:r w:rsidRPr="00510E01">
        <w:t xml:space="preserve">.  Em acréscimo ao disposto no art. 117 da parte geral da Resolução, o regulamento pode dispor sobre a possibilidade de as despesas relativas às taxas de administração e de gestão e aos </w:t>
      </w:r>
      <w:r w:rsidRPr="00510E01">
        <w:rPr>
          <w:b/>
          <w:bCs/>
        </w:rPr>
        <w:t>royalties</w:t>
      </w:r>
      <w:r w:rsidRPr="00510E01">
        <w:t xml:space="preserve"> devidos pela utilização do índice de referência serem apropriadas em conta própria e pagas exclusivamente em função das receitas auferidas pela classe de cotas por meio de operações de empréstimo de valores mobiliários ou outras receitas extraordinárias.</w:t>
      </w:r>
    </w:p>
    <w:p w14:paraId="2C83281B" w14:textId="77777777" w:rsidR="00D30681" w:rsidRPr="00510E01" w:rsidRDefault="00D30681" w:rsidP="00D30681">
      <w:pPr>
        <w:pStyle w:val="NormaAlterada"/>
      </w:pPr>
      <w:r w:rsidRPr="00510E01">
        <w:t xml:space="preserve">Parágrafo único.  No caso de uso da faculdade prevista no </w:t>
      </w:r>
      <w:r w:rsidRPr="00510E01">
        <w:rPr>
          <w:b/>
          <w:bCs/>
        </w:rPr>
        <w:t>caput</w:t>
      </w:r>
      <w:r w:rsidRPr="00510E01">
        <w:t>, as referidas receitas podem ser utilizadas, a critério do administrador, para pagamento dos demais encargos da classe de cotas, bem como para corrigir eventuais erros de aderência entre a carteira e o índice de mercado subjacente.</w:t>
      </w:r>
    </w:p>
    <w:p w14:paraId="3EA6718B" w14:textId="77777777" w:rsidR="00D30681" w:rsidRPr="00510E01" w:rsidRDefault="00D30681" w:rsidP="00D30681">
      <w:pPr>
        <w:pStyle w:val="Captulo"/>
      </w:pPr>
      <w:bookmarkStart w:id="1241" w:name="_Toc161141386"/>
      <w:r w:rsidRPr="00510E01">
        <w:lastRenderedPageBreak/>
        <w:t>CAPÍTULO XII – INCORPORAÇÃO, FUSÃO, CISÃO, TRANSFORMAÇÃO, LIQUIDAÇÃO E ENCERRAMENTO DO FUNDO</w:t>
      </w:r>
      <w:bookmarkEnd w:id="1241"/>
    </w:p>
    <w:p w14:paraId="125EC441" w14:textId="77777777" w:rsidR="00D30681" w:rsidRPr="00510E01" w:rsidRDefault="00D30681" w:rsidP="00D30681">
      <w:pPr>
        <w:pStyle w:val="NormaAlterada"/>
      </w:pPr>
      <w:r w:rsidRPr="00510E01">
        <w:t xml:space="preserve">Art. </w:t>
      </w:r>
      <w:r>
        <w:t>45</w:t>
      </w:r>
      <w:r w:rsidRPr="00510E01">
        <w:t>.  Somente são permitidas as operações de incorporação e fusão entre classes de cotas que tenham como políticas de investimento o mesmo índice de referência.</w:t>
      </w:r>
    </w:p>
    <w:p w14:paraId="589BB486" w14:textId="77777777" w:rsidR="00D30681" w:rsidRPr="00510E01" w:rsidRDefault="00D30681" w:rsidP="00D30681">
      <w:pPr>
        <w:pStyle w:val="NormaAlterada"/>
      </w:pPr>
      <w:r w:rsidRPr="00510E01">
        <w:t xml:space="preserve">Art. </w:t>
      </w:r>
      <w:r>
        <w:t>46</w:t>
      </w:r>
      <w:r w:rsidRPr="00510E01">
        <w:t>.  A classe de cotas do fundo de índice somente pode ser transformada em classe de fundo de investimento financeiro, observado o Anexo Normativo I desta Resolução.</w:t>
      </w:r>
    </w:p>
    <w:p w14:paraId="68695A62" w14:textId="77777777" w:rsidR="00D30681" w:rsidRPr="00510E01" w:rsidRDefault="00D30681" w:rsidP="00D30681">
      <w:pPr>
        <w:pStyle w:val="NormaAlterada"/>
      </w:pPr>
      <w:r w:rsidRPr="00510E01">
        <w:t xml:space="preserve">Art. </w:t>
      </w:r>
      <w:r>
        <w:t>47</w:t>
      </w:r>
      <w:r w:rsidRPr="00510E01">
        <w:t>.  A cisão será admitida somente na hipótese de criação de classes de cotas, que sigam novos índices de referência, compostos unicamente de parte dos ativos financeiros do índice de referência original.</w:t>
      </w:r>
    </w:p>
    <w:p w14:paraId="2CBD5C69" w14:textId="77777777" w:rsidR="00D30681" w:rsidRPr="00510E01" w:rsidRDefault="00D30681" w:rsidP="00D30681">
      <w:pPr>
        <w:pStyle w:val="NormaAlterada"/>
      </w:pPr>
      <w:r w:rsidRPr="006F2367">
        <w:t>Art. 48.  É facultado ao cotista detentor de cotas cujo valor seja inferior ao do lote padrão definido no art. 13 deste Anexo Normativo V exigir o resgate em dinheiro em caso de liquidação da classe de cotas.</w:t>
      </w:r>
    </w:p>
    <w:p w14:paraId="778EF6D1" w14:textId="77777777" w:rsidR="00D30681" w:rsidRPr="00510E01" w:rsidRDefault="00D30681" w:rsidP="00D30681">
      <w:pPr>
        <w:pStyle w:val="Captulo"/>
      </w:pPr>
      <w:bookmarkStart w:id="1242" w:name="_Toc161141387"/>
      <w:r w:rsidRPr="00510E01">
        <w:t>CAPÍTULO XIII – CERTIFICADOS DE DEPÓSITO DE COTAS DE FUNDOS DE ÍNDICE NEGOCIADAS NO EXTERIOR</w:t>
      </w:r>
      <w:bookmarkEnd w:id="1242"/>
    </w:p>
    <w:p w14:paraId="429FA57D" w14:textId="77777777" w:rsidR="00D30681" w:rsidRPr="00510E01" w:rsidRDefault="00D30681" w:rsidP="00D30681">
      <w:pPr>
        <w:pStyle w:val="Seo"/>
      </w:pPr>
      <w:bookmarkStart w:id="1243" w:name="_Toc161141388"/>
      <w:r w:rsidRPr="00510E01">
        <w:t>Seção I – Definições e Características Gerais</w:t>
      </w:r>
      <w:bookmarkEnd w:id="1243"/>
    </w:p>
    <w:p w14:paraId="019C861A" w14:textId="77777777" w:rsidR="00D30681" w:rsidRPr="00510E01" w:rsidRDefault="00D30681" w:rsidP="00D30681">
      <w:pPr>
        <w:pStyle w:val="NormaAlterada"/>
      </w:pPr>
      <w:r w:rsidRPr="00510E01">
        <w:t xml:space="preserve">Art. </w:t>
      </w:r>
      <w:r>
        <w:t>49</w:t>
      </w:r>
      <w:r w:rsidRPr="00510E01">
        <w:t>.  Para os efeitos deste Capítulo, entende-se por:</w:t>
      </w:r>
    </w:p>
    <w:p w14:paraId="6CD1572E" w14:textId="77777777" w:rsidR="00D30681" w:rsidRPr="00510E01" w:rsidRDefault="00D30681" w:rsidP="00D30681">
      <w:pPr>
        <w:pStyle w:val="NormaAlterada"/>
      </w:pPr>
      <w:r w:rsidRPr="00510E01">
        <w:t xml:space="preserve">I – </w:t>
      </w:r>
      <w:bookmarkStart w:id="1244" w:name="_Int_io9RdS5r"/>
      <w:r w:rsidRPr="00510E01">
        <w:t>administrador</w:t>
      </w:r>
      <w:bookmarkEnd w:id="1244"/>
      <w:r w:rsidRPr="00510E01">
        <w:t>: pessoa jurídica que represente o fundo de índice cujas cotas sirvam de lastro para a emissão de BDR-ETF, independentemente da forma de estruturação do veículo de investimento;</w:t>
      </w:r>
    </w:p>
    <w:p w14:paraId="360A6158" w14:textId="77777777" w:rsidR="00D30681" w:rsidRPr="00510E01" w:rsidRDefault="00D30681" w:rsidP="00D30681">
      <w:pPr>
        <w:pStyle w:val="NormaAlterada"/>
      </w:pPr>
      <w:r w:rsidRPr="00510E01">
        <w:t xml:space="preserve">II – </w:t>
      </w:r>
      <w:bookmarkStart w:id="1245" w:name="_Int_oN53uaCK"/>
      <w:r w:rsidRPr="00510E01">
        <w:t>certificados</w:t>
      </w:r>
      <w:bookmarkEnd w:id="1245"/>
      <w:r w:rsidRPr="00510E01">
        <w:t xml:space="preserve"> de depósito de cotas de fundos de índice – BDR-ETF: certificados representativos de cotas de fundo de índice admitidas à negociação em mercados organizados de valores mobiliários no exterior, emitidos por instituição depositária no Brasil;</w:t>
      </w:r>
    </w:p>
    <w:p w14:paraId="4745460F" w14:textId="77777777" w:rsidR="00D30681" w:rsidRPr="00510E01" w:rsidRDefault="00D30681" w:rsidP="00D30681">
      <w:pPr>
        <w:pStyle w:val="NormaAlterada"/>
      </w:pPr>
      <w:r w:rsidRPr="00510E01">
        <w:t>III – cota: fração ideal do patrimônio do fundo de índice que sirva de lastro para a emissão de BDR-ETF, podendo tal fração ser uma ação, uma cota ou qualquer unidade semelhante;</w:t>
      </w:r>
    </w:p>
    <w:p w14:paraId="479D862A" w14:textId="77777777" w:rsidR="00D30681" w:rsidRPr="00510E01" w:rsidRDefault="00D30681" w:rsidP="00D30681">
      <w:pPr>
        <w:pStyle w:val="NormaAlterada"/>
      </w:pPr>
      <w:r w:rsidRPr="00510E01">
        <w:t xml:space="preserve">IV – </w:t>
      </w:r>
      <w:bookmarkStart w:id="1246" w:name="_Int_fwVMO1MD"/>
      <w:r w:rsidRPr="00510E01">
        <w:t>instituição</w:t>
      </w:r>
      <w:bookmarkEnd w:id="1246"/>
      <w:r w:rsidRPr="00510E01">
        <w:t xml:space="preserve"> custodiante: a instituição sediada no exterior, autorizada por órgão similar à CVM a prestar serviços de custódia; e</w:t>
      </w:r>
    </w:p>
    <w:p w14:paraId="0130D580" w14:textId="77777777" w:rsidR="00D30681" w:rsidRPr="00510E01" w:rsidRDefault="00D30681" w:rsidP="00D30681">
      <w:pPr>
        <w:pStyle w:val="NormaAlterada"/>
      </w:pPr>
      <w:r w:rsidRPr="00510E01">
        <w:t xml:space="preserve">V – </w:t>
      </w:r>
      <w:bookmarkStart w:id="1247" w:name="_Int_z8e7fWTP"/>
      <w:r w:rsidRPr="00510E01">
        <w:t>instituição</w:t>
      </w:r>
      <w:bookmarkEnd w:id="1247"/>
      <w:r w:rsidRPr="00510E01">
        <w:t xml:space="preserve"> depositária: a instituição que emitir, no Brasil, o correspondente certificado de depósito, com base nas cotas de fundos de índice custodiadas no exterior.</w:t>
      </w:r>
    </w:p>
    <w:p w14:paraId="497B339D" w14:textId="77777777" w:rsidR="00D30681" w:rsidRPr="00510E01" w:rsidRDefault="00D30681" w:rsidP="00D30681">
      <w:pPr>
        <w:pStyle w:val="NormaAlterada"/>
      </w:pPr>
      <w:r w:rsidRPr="00510E01">
        <w:lastRenderedPageBreak/>
        <w:t xml:space="preserve">Art. </w:t>
      </w:r>
      <w:r>
        <w:t>50</w:t>
      </w:r>
      <w:r w:rsidRPr="00510E01">
        <w:t>.  Os BDR-ETF somente podem ser lastreados em cotas de fundos de índice admitidas à negociação em mercados organizados de valores mobiliários e custodiadas em países cujos órgãos reguladores tenham celebrado com a CVM acordo de cooperação sobre consulta, assistência técnica e assistência mútua para a troca de informações, ou sejam signatários do memorando multilateral de entendimentos da Organização Internacional das Comissões de Valores – OICV.</w:t>
      </w:r>
    </w:p>
    <w:p w14:paraId="1677FD02" w14:textId="77777777" w:rsidR="00D30681" w:rsidRPr="00510E01" w:rsidRDefault="00D30681" w:rsidP="00D30681">
      <w:pPr>
        <w:pStyle w:val="NormaAlterada"/>
      </w:pPr>
      <w:r w:rsidRPr="00510E01">
        <w:t>§ 1</w:t>
      </w:r>
      <w:bookmarkStart w:id="1248" w:name="_Int_4QUwf3Hb"/>
      <w:r w:rsidRPr="00510E01">
        <w:t>º  É</w:t>
      </w:r>
      <w:bookmarkEnd w:id="1248"/>
      <w:r w:rsidRPr="00510E01">
        <w:t xml:space="preserve"> admitido que as cotas sejam custodiadas e negociadas em países distintos, desde que os órgãos reguladores de ambos os países atendam ao requisito estabelecido no </w:t>
      </w:r>
      <w:r w:rsidRPr="00510E01">
        <w:rPr>
          <w:b/>
          <w:bCs/>
        </w:rPr>
        <w:t>caput</w:t>
      </w:r>
      <w:r w:rsidRPr="00510E01">
        <w:t>.</w:t>
      </w:r>
    </w:p>
    <w:p w14:paraId="1431F50B" w14:textId="77777777" w:rsidR="00D30681" w:rsidRPr="00510E01" w:rsidRDefault="00D30681" w:rsidP="00D30681">
      <w:pPr>
        <w:pStyle w:val="NormaAlterada"/>
      </w:pPr>
      <w:r w:rsidRPr="00510E01">
        <w:t>§ 2</w:t>
      </w:r>
      <w:bookmarkStart w:id="1249" w:name="_Int_ooYxv7gm"/>
      <w:r w:rsidRPr="00510E01">
        <w:t>º  Caso</w:t>
      </w:r>
      <w:bookmarkEnd w:id="1249"/>
      <w:r w:rsidRPr="00510E01">
        <w:t xml:space="preserve"> as cotas que sirvam de lastro para a emissão de BDR-ETF sejam negociadas em mais de um país, o disposto no </w:t>
      </w:r>
      <w:r w:rsidRPr="00510E01">
        <w:rPr>
          <w:b/>
          <w:bCs/>
        </w:rPr>
        <w:t xml:space="preserve">caput </w:t>
      </w:r>
      <w:r w:rsidRPr="00510E01">
        <w:t>se aplica ao país em que as cotas tenham maior volume de negociação.</w:t>
      </w:r>
    </w:p>
    <w:p w14:paraId="5B926D21" w14:textId="77777777" w:rsidR="00D30681" w:rsidRPr="00510E01" w:rsidRDefault="00D30681" w:rsidP="00D30681">
      <w:pPr>
        <w:pStyle w:val="NormaAlterada"/>
      </w:pPr>
      <w:r w:rsidRPr="00510E01">
        <w:t>§ 3</w:t>
      </w:r>
      <w:bookmarkStart w:id="1250" w:name="_Int_RO0rNPgA"/>
      <w:r w:rsidRPr="00510E01">
        <w:t>º  A</w:t>
      </w:r>
      <w:bookmarkEnd w:id="1250"/>
      <w:r w:rsidRPr="00510E01">
        <w:t xml:space="preserve"> CVM pode determinar o ajuste ou cancelamento de emissões de certificados lastreados em cotas admitidas à negociação ou custodiadas em países cujo órgão regulador seja, ou passe a ser considerado pela CVM, como não-cooperante, para fins de assistência mútua para a troca de informações.</w:t>
      </w:r>
    </w:p>
    <w:p w14:paraId="1B71656E" w14:textId="77777777" w:rsidR="00D30681" w:rsidRPr="00510E01" w:rsidRDefault="00D30681" w:rsidP="00D30681">
      <w:pPr>
        <w:pStyle w:val="NormaAlterada"/>
      </w:pPr>
      <w:r w:rsidRPr="00510E01">
        <w:t>§ 4</w:t>
      </w:r>
      <w:bookmarkStart w:id="1251" w:name="_Int_gsw61P1p"/>
      <w:r w:rsidRPr="00510E01">
        <w:t>º  É</w:t>
      </w:r>
      <w:bookmarkEnd w:id="1251"/>
      <w:r w:rsidRPr="00510E01">
        <w:t xml:space="preserve"> vedada a emissão de BDR-ETF lastreados em cotas de fundos de índice não identificados por um código </w:t>
      </w:r>
      <w:r w:rsidRPr="00510E01">
        <w:rPr>
          <w:b/>
          <w:bCs/>
        </w:rPr>
        <w:t xml:space="preserve">ISIN – </w:t>
      </w:r>
      <w:proofErr w:type="spellStart"/>
      <w:r w:rsidRPr="00510E01">
        <w:rPr>
          <w:b/>
          <w:bCs/>
        </w:rPr>
        <w:t>International</w:t>
      </w:r>
      <w:proofErr w:type="spellEnd"/>
      <w:r w:rsidRPr="00510E01">
        <w:rPr>
          <w:b/>
          <w:bCs/>
        </w:rPr>
        <w:t xml:space="preserve"> </w:t>
      </w:r>
      <w:proofErr w:type="spellStart"/>
      <w:r w:rsidRPr="00510E01">
        <w:rPr>
          <w:b/>
          <w:bCs/>
        </w:rPr>
        <w:t>Securities</w:t>
      </w:r>
      <w:proofErr w:type="spellEnd"/>
      <w:r w:rsidRPr="00510E01">
        <w:rPr>
          <w:b/>
          <w:bCs/>
        </w:rPr>
        <w:t xml:space="preserve"> </w:t>
      </w:r>
      <w:proofErr w:type="spellStart"/>
      <w:r w:rsidRPr="00510E01">
        <w:rPr>
          <w:b/>
          <w:bCs/>
        </w:rPr>
        <w:t>Identification</w:t>
      </w:r>
      <w:proofErr w:type="spellEnd"/>
      <w:r w:rsidRPr="00510E01">
        <w:rPr>
          <w:b/>
          <w:bCs/>
        </w:rPr>
        <w:t xml:space="preserve"> </w:t>
      </w:r>
      <w:proofErr w:type="spellStart"/>
      <w:r w:rsidRPr="00510E01">
        <w:rPr>
          <w:b/>
          <w:bCs/>
        </w:rPr>
        <w:t>Number</w:t>
      </w:r>
      <w:proofErr w:type="spellEnd"/>
      <w:r w:rsidRPr="00510E01">
        <w:t>.</w:t>
      </w:r>
    </w:p>
    <w:p w14:paraId="684CE9A7" w14:textId="77777777" w:rsidR="00D30681" w:rsidRPr="00510E01" w:rsidRDefault="00D30681" w:rsidP="00D30681">
      <w:pPr>
        <w:pStyle w:val="NormaAlterada"/>
      </w:pPr>
      <w:r w:rsidRPr="00510E01">
        <w:t xml:space="preserve">Art. </w:t>
      </w:r>
      <w:r>
        <w:t>51</w:t>
      </w:r>
      <w:r w:rsidRPr="00510E01">
        <w:t>.  O administrador do fundo de índice cujas cotas sirvam de lastro para a emissão de BDR-ETF não responde pela prestação das informações previstas neste Anexo Normativo V, porém o programa de BDR-ETF não pode ser realizado sem sua concordância expressa.</w:t>
      </w:r>
    </w:p>
    <w:p w14:paraId="69AC8A73" w14:textId="77777777" w:rsidR="00D30681" w:rsidRPr="00510E01" w:rsidRDefault="00D30681" w:rsidP="00D30681">
      <w:pPr>
        <w:pStyle w:val="NormaAlterada"/>
      </w:pPr>
      <w:r w:rsidRPr="00510E01">
        <w:t>Parágrafo único.  A instituição depositária deve celebrar com o administrador contrato que assegure a disponibilização das informações que devem ser divulgadas nos termos deste Anexo Normativo V.</w:t>
      </w:r>
    </w:p>
    <w:p w14:paraId="1B48555E" w14:textId="77777777" w:rsidR="00D30681" w:rsidRPr="00510E01" w:rsidRDefault="00D30681" w:rsidP="00D30681">
      <w:pPr>
        <w:pStyle w:val="NormaAlterada"/>
      </w:pPr>
      <w:r w:rsidRPr="00510E01">
        <w:t xml:space="preserve">Art. </w:t>
      </w:r>
      <w:r>
        <w:t>52</w:t>
      </w:r>
      <w:r w:rsidRPr="00510E01">
        <w:t xml:space="preserve">.  Os fundos de índice cujas cotas sirvam de lastro para a emissão de BDR-ETF e seus respectivos índices de referência devem observar os critérios e as vedações previstas nos §§ 2º </w:t>
      </w:r>
      <w:r>
        <w:t>a 4º</w:t>
      </w:r>
      <w:r w:rsidRPr="00510E01">
        <w:t xml:space="preserve"> do art. 2º deste Anexo Normativo V.</w:t>
      </w:r>
    </w:p>
    <w:p w14:paraId="40FFA6BA" w14:textId="77777777" w:rsidR="00D30681" w:rsidRPr="00510E01" w:rsidRDefault="00D30681" w:rsidP="00D30681">
      <w:pPr>
        <w:pStyle w:val="NormaAlterada"/>
      </w:pPr>
      <w:r w:rsidRPr="00510E01">
        <w:t xml:space="preserve">Art. </w:t>
      </w:r>
      <w:r>
        <w:t>53</w:t>
      </w:r>
      <w:r w:rsidRPr="00510E01">
        <w:t>.  Os fundos de índice cujas cotas sirvam de lastro para emissão de BDR-ETF ficam dispensados de registro junto à CVM e suas cotas não podem ser objeto de distribuição por oferta pública no Brasil.</w:t>
      </w:r>
    </w:p>
    <w:p w14:paraId="2AAC1486" w14:textId="77777777" w:rsidR="00D30681" w:rsidRPr="00510E01" w:rsidRDefault="00D30681" w:rsidP="00D30681">
      <w:pPr>
        <w:pStyle w:val="NormaAlterada"/>
      </w:pPr>
      <w:r w:rsidRPr="00510E01">
        <w:t xml:space="preserve">Art. </w:t>
      </w:r>
      <w:r>
        <w:t>54</w:t>
      </w:r>
      <w:r w:rsidRPr="00510E01">
        <w:t>.  Os BDR-ETF podem ser negociados em mercado de balcão não organizado ou em segmentos específicos para BDR Nível I de entidade administradora de mercado organizado de valores mobiliários.</w:t>
      </w:r>
    </w:p>
    <w:p w14:paraId="269C2230" w14:textId="77777777" w:rsidR="00D30681" w:rsidRPr="00510E01" w:rsidRDefault="00D30681" w:rsidP="00D30681">
      <w:pPr>
        <w:pStyle w:val="NormaAlterada"/>
      </w:pPr>
      <w:r w:rsidRPr="00510E01">
        <w:t xml:space="preserve">Art. </w:t>
      </w:r>
      <w:r>
        <w:t>55</w:t>
      </w:r>
      <w:r w:rsidRPr="00510E01">
        <w:t>.  A aquisição de BDR-ETF é permitida a:</w:t>
      </w:r>
    </w:p>
    <w:p w14:paraId="4ED8462E" w14:textId="77777777" w:rsidR="00D30681" w:rsidRPr="00510E01" w:rsidRDefault="00D30681" w:rsidP="00D30681">
      <w:pPr>
        <w:pStyle w:val="NormaAlterada"/>
      </w:pPr>
      <w:r w:rsidRPr="00510E01">
        <w:lastRenderedPageBreak/>
        <w:t xml:space="preserve">I – </w:t>
      </w:r>
      <w:bookmarkStart w:id="1252" w:name="_Int_OV3dldwj"/>
      <w:r w:rsidRPr="00510E01">
        <w:t>quaisquer</w:t>
      </w:r>
      <w:bookmarkEnd w:id="1252"/>
      <w:r w:rsidRPr="00510E01">
        <w:t xml:space="preserve"> investidores, caso:</w:t>
      </w:r>
    </w:p>
    <w:p w14:paraId="5A093C22" w14:textId="77777777" w:rsidR="00D30681" w:rsidRPr="00510E01" w:rsidRDefault="00D30681" w:rsidP="00D30681">
      <w:pPr>
        <w:pStyle w:val="NormaAlterada"/>
      </w:pPr>
      <w:r w:rsidRPr="00510E01">
        <w:t>a) as cotas objeto dos certificados de depósito tenham como mercado de negociação de maior volume uma das bolsas de valores estrangeiras classificadas como “mercado reconhecido” no regulamento de entidade administradora de mercado de valores mobiliários aprovado pela CVM; e</w:t>
      </w:r>
    </w:p>
    <w:p w14:paraId="2F54D3FF" w14:textId="77777777" w:rsidR="00D30681" w:rsidRPr="00510E01" w:rsidRDefault="00D30681" w:rsidP="00D30681">
      <w:pPr>
        <w:pStyle w:val="NormaAlterada"/>
      </w:pPr>
      <w:r w:rsidRPr="00510E01">
        <w:t>b) o emissor das cotas que servem de lastro aos BDR-ETF esteja sujeito à supervisão por parte da entidade reguladora do mercado de capitais do “mercado reconhecido”; e</w:t>
      </w:r>
    </w:p>
    <w:p w14:paraId="6455A9D6" w14:textId="77777777" w:rsidR="00D30681" w:rsidRPr="00510E01" w:rsidRDefault="00D30681" w:rsidP="00D30681">
      <w:pPr>
        <w:pStyle w:val="NormaAlterada"/>
      </w:pPr>
      <w:r w:rsidRPr="00510E01">
        <w:t xml:space="preserve">II – </w:t>
      </w:r>
      <w:bookmarkStart w:id="1253" w:name="_Int_n9lXkvgs"/>
      <w:r w:rsidRPr="00510E01">
        <w:t>investidores</w:t>
      </w:r>
      <w:bookmarkEnd w:id="1253"/>
      <w:r w:rsidRPr="00510E01">
        <w:t xml:space="preserve"> qualificados, conforme definidos em norma específica, nos demais casos.</w:t>
      </w:r>
    </w:p>
    <w:p w14:paraId="45616C88" w14:textId="77777777" w:rsidR="00D30681" w:rsidRPr="00510E01" w:rsidRDefault="00D30681" w:rsidP="00D30681">
      <w:pPr>
        <w:pStyle w:val="NormaAlterada"/>
      </w:pPr>
      <w:r w:rsidRPr="00510E01">
        <w:t>§ 1</w:t>
      </w:r>
      <w:bookmarkStart w:id="1254" w:name="_Int_UrbnHblx"/>
      <w:r w:rsidRPr="00510E01">
        <w:t>º  As</w:t>
      </w:r>
      <w:bookmarkEnd w:id="1254"/>
      <w:r w:rsidRPr="00510E01">
        <w:t xml:space="preserve"> entidades administradoras de mercado organizado de valores mobiliários que mantiverem segmentos de negociação de BDR-ETF devem estabelecer mecanismos de alerta sobre os riscos inerentes aos ativos ali negociados, em especial quanto ao fato de se tratar de fundo não registrado na CVM e submetido a padrões contábeis e legislação diversos daqueles vigentes no Brasil.</w:t>
      </w:r>
    </w:p>
    <w:p w14:paraId="458D6590" w14:textId="77777777" w:rsidR="00D30681" w:rsidRPr="00510E01" w:rsidRDefault="00D30681" w:rsidP="00D30681">
      <w:pPr>
        <w:pStyle w:val="NormaAlterada"/>
      </w:pPr>
      <w:r w:rsidRPr="00510E01">
        <w:t>§ 2</w:t>
      </w:r>
      <w:bookmarkStart w:id="1255" w:name="_Int_Of1TmQjh"/>
      <w:r w:rsidRPr="00510E01">
        <w:t>º  A</w:t>
      </w:r>
      <w:bookmarkEnd w:id="1255"/>
      <w:r w:rsidRPr="00510E01">
        <w:t xml:space="preserve"> aceitação de ordens para negociação de BDR-ETF por parte dos intermediários é condicionada:</w:t>
      </w:r>
    </w:p>
    <w:p w14:paraId="5C7E1C14" w14:textId="77777777" w:rsidR="00D30681" w:rsidRPr="00510E01" w:rsidRDefault="00D30681" w:rsidP="00D30681">
      <w:pPr>
        <w:pStyle w:val="NormaAlterada"/>
      </w:pPr>
      <w:r w:rsidRPr="00510E01">
        <w:t xml:space="preserve">I – </w:t>
      </w:r>
      <w:bookmarkStart w:id="1256" w:name="_Int_9Sv13Iyo"/>
      <w:r w:rsidRPr="00510E01">
        <w:t>à</w:t>
      </w:r>
      <w:bookmarkEnd w:id="1256"/>
      <w:r w:rsidRPr="00510E01">
        <w:t xml:space="preserve"> comprovação do enquadramento do investidor em pelo menos uma das condições estabelecidas nos incisos do </w:t>
      </w:r>
      <w:r w:rsidRPr="00510E01">
        <w:rPr>
          <w:b/>
          <w:bCs/>
        </w:rPr>
        <w:t>caput</w:t>
      </w:r>
      <w:r w:rsidRPr="00510E01">
        <w:t>; e</w:t>
      </w:r>
    </w:p>
    <w:p w14:paraId="6D081224" w14:textId="77777777" w:rsidR="00D30681" w:rsidRPr="00510E01" w:rsidRDefault="00D30681" w:rsidP="00D30681">
      <w:pPr>
        <w:pStyle w:val="NormaAlterada"/>
      </w:pPr>
      <w:r w:rsidRPr="00510E01">
        <w:t xml:space="preserve">II – </w:t>
      </w:r>
      <w:bookmarkStart w:id="1257" w:name="_Int_lmFqC6Bc"/>
      <w:r w:rsidRPr="00510E01">
        <w:t>à</w:t>
      </w:r>
      <w:bookmarkEnd w:id="1257"/>
      <w:r w:rsidRPr="00510E01">
        <w:t xml:space="preserve"> verificação da compatibilidade do investimento em BDR-ETF com o perfil do investidor, nos termos da Resolução CVM nº 30, de 11 de maio de 2021.</w:t>
      </w:r>
    </w:p>
    <w:p w14:paraId="69ACD7FA" w14:textId="77777777" w:rsidR="00D30681" w:rsidRPr="00510E01" w:rsidRDefault="00D30681" w:rsidP="00D30681">
      <w:pPr>
        <w:pStyle w:val="Seo"/>
      </w:pPr>
      <w:bookmarkStart w:id="1258" w:name="_Toc161141389"/>
      <w:r w:rsidRPr="00510E01">
        <w:t>Seção II – Informações a Serem Prestadas pela Instituição Depositária</w:t>
      </w:r>
      <w:bookmarkEnd w:id="1258"/>
    </w:p>
    <w:p w14:paraId="26E6770D" w14:textId="77777777" w:rsidR="00D30681" w:rsidRPr="00510E01" w:rsidRDefault="00D30681" w:rsidP="00D30681">
      <w:pPr>
        <w:pStyle w:val="NormaAlterada"/>
      </w:pPr>
      <w:r w:rsidRPr="00510E01">
        <w:t xml:space="preserve">Art. </w:t>
      </w:r>
      <w:r>
        <w:t>56</w:t>
      </w:r>
      <w:r w:rsidRPr="00510E01">
        <w:t>.  A instituição depositária deve divulgar, no Brasil, todas as informações a respeito do fundo de índice cuja divulgação seja obrigatória em seu país de origem.</w:t>
      </w:r>
    </w:p>
    <w:p w14:paraId="7271F068" w14:textId="77777777" w:rsidR="00D30681" w:rsidRPr="00510E01" w:rsidRDefault="00D30681" w:rsidP="00D30681">
      <w:pPr>
        <w:pStyle w:val="NormaAlterada"/>
      </w:pPr>
      <w:r w:rsidRPr="00510E01">
        <w:t>§ 1</w:t>
      </w:r>
      <w:bookmarkStart w:id="1259" w:name="_Int_tha1YP1a"/>
      <w:r w:rsidRPr="00510E01">
        <w:t>º  A</w:t>
      </w:r>
      <w:bookmarkEnd w:id="1259"/>
      <w:r w:rsidRPr="00510E01">
        <w:t xml:space="preserve"> instituição depositária deve ainda manter ou informar a página na rede mundial de computadores em que constem, obrigatoriamente, as seguintes informações:</w:t>
      </w:r>
    </w:p>
    <w:p w14:paraId="1820B8F3" w14:textId="77777777" w:rsidR="00D30681" w:rsidRPr="00510E01" w:rsidRDefault="00D30681" w:rsidP="00D30681">
      <w:pPr>
        <w:pStyle w:val="NormaAlterada"/>
      </w:pPr>
      <w:r w:rsidRPr="00510E01">
        <w:t xml:space="preserve">I – </w:t>
      </w:r>
      <w:bookmarkStart w:id="1260" w:name="_Int_1p7pqq9H"/>
      <w:r w:rsidRPr="00510E01">
        <w:t>qualificação</w:t>
      </w:r>
      <w:bookmarkEnd w:id="1260"/>
      <w:r w:rsidRPr="00510E01">
        <w:t xml:space="preserve"> dos prestadores de serviços essenciais;</w:t>
      </w:r>
    </w:p>
    <w:p w14:paraId="3A63FCCC" w14:textId="77777777" w:rsidR="00D30681" w:rsidRPr="00510E01" w:rsidRDefault="00D30681" w:rsidP="00D30681">
      <w:pPr>
        <w:pStyle w:val="NormaAlterada"/>
      </w:pPr>
      <w:r w:rsidRPr="00510E01">
        <w:t xml:space="preserve">II – </w:t>
      </w:r>
      <w:bookmarkStart w:id="1261" w:name="_Int_ZShipnsG"/>
      <w:r w:rsidRPr="00510E01">
        <w:t>qualificação</w:t>
      </w:r>
      <w:bookmarkEnd w:id="1261"/>
      <w:r w:rsidRPr="00510E01">
        <w:t xml:space="preserve"> do custodiante e da depositária;</w:t>
      </w:r>
    </w:p>
    <w:p w14:paraId="28E5F2A1" w14:textId="77777777" w:rsidR="00D30681" w:rsidRPr="00510E01" w:rsidRDefault="00D30681" w:rsidP="00D30681">
      <w:pPr>
        <w:pStyle w:val="NormaAlterada"/>
      </w:pPr>
      <w:r w:rsidRPr="00510E01">
        <w:t>III – entidades administradoras de mercados organizados de valores mobiliários em que as cotas e os BDR-ETF estejam admitidos à negociação;</w:t>
      </w:r>
    </w:p>
    <w:p w14:paraId="1899E022" w14:textId="77777777" w:rsidR="00D30681" w:rsidRPr="00510E01" w:rsidRDefault="00D30681" w:rsidP="00D30681">
      <w:pPr>
        <w:pStyle w:val="NormaAlterada"/>
      </w:pPr>
      <w:r w:rsidRPr="00510E01">
        <w:t xml:space="preserve">IV – </w:t>
      </w:r>
      <w:bookmarkStart w:id="1262" w:name="_Int_oHoaizdH"/>
      <w:r w:rsidRPr="00510E01">
        <w:t>regulamento ou documento</w:t>
      </w:r>
      <w:bookmarkEnd w:id="1262"/>
      <w:r w:rsidRPr="00510E01">
        <w:t xml:space="preserve"> de natureza similar;</w:t>
      </w:r>
    </w:p>
    <w:p w14:paraId="6238436E" w14:textId="77777777" w:rsidR="00D30681" w:rsidRPr="00510E01" w:rsidRDefault="00D30681" w:rsidP="00D30681">
      <w:pPr>
        <w:pStyle w:val="NormaAlterada"/>
      </w:pPr>
      <w:r w:rsidRPr="00510E01">
        <w:lastRenderedPageBreak/>
        <w:t xml:space="preserve">V – </w:t>
      </w:r>
      <w:bookmarkStart w:id="1263" w:name="_Int_TJlTpTXi"/>
      <w:r w:rsidRPr="00510E01">
        <w:t>descrição</w:t>
      </w:r>
      <w:bookmarkEnd w:id="1263"/>
      <w:r w:rsidRPr="00510E01">
        <w:t xml:space="preserve"> do índice de referência ao qual a política de investimento esteja associada, incluindo sua metodologia de cálculo, nos termos previstos no art. </w:t>
      </w:r>
      <w:r>
        <w:t>31</w:t>
      </w:r>
      <w:r w:rsidRPr="00510E01">
        <w:t>, §§ 6º e 7º, deste Anexo Normativo V;</w:t>
      </w:r>
    </w:p>
    <w:p w14:paraId="237FACF4" w14:textId="77777777" w:rsidR="00D30681" w:rsidRPr="00510E01" w:rsidRDefault="00D30681" w:rsidP="00D30681">
      <w:pPr>
        <w:pStyle w:val="NormaAlterada"/>
      </w:pPr>
      <w:r w:rsidRPr="00510E01">
        <w:t xml:space="preserve">VI – </w:t>
      </w:r>
      <w:bookmarkStart w:id="1264" w:name="_Int_cWn4A56z"/>
      <w:r w:rsidRPr="00510E01">
        <w:t>política</w:t>
      </w:r>
      <w:bookmarkEnd w:id="1264"/>
      <w:r w:rsidRPr="00510E01">
        <w:t xml:space="preserve"> de investimento, </w:t>
      </w:r>
      <w:bookmarkStart w:id="1265" w:name="_Int_OinEhA8b"/>
      <w:r w:rsidRPr="00510E01">
        <w:t>público-alvo</w:t>
      </w:r>
      <w:bookmarkEnd w:id="1265"/>
      <w:r w:rsidRPr="00510E01">
        <w:t>, metas e objetivos de gestão do fundo, incluindo informação específica sobre como o fundo acompanha as variações e a rentabilidade do índice de referência, se por replicação integral da composição da carteira do índice ou por métodos de otimização da composição da carteira;</w:t>
      </w:r>
    </w:p>
    <w:p w14:paraId="741AC5E2" w14:textId="77777777" w:rsidR="00D30681" w:rsidRPr="00510E01" w:rsidRDefault="00D30681" w:rsidP="00D30681">
      <w:pPr>
        <w:pStyle w:val="NormaAlterada"/>
      </w:pPr>
      <w:r w:rsidRPr="00510E01">
        <w:t>VII – riscos envolvidos, incluindo a descrição de fatores que podem afetar a aderência do desempenho do fundo ao índice;</w:t>
      </w:r>
    </w:p>
    <w:p w14:paraId="4226669D" w14:textId="77777777" w:rsidR="00D30681" w:rsidRPr="00510E01" w:rsidRDefault="00D30681" w:rsidP="00D30681">
      <w:pPr>
        <w:pStyle w:val="NormaAlterada"/>
      </w:pPr>
      <w:r w:rsidRPr="00510E01">
        <w:t>VIII – dados estatísticos, contendo, no mínimo:</w:t>
      </w:r>
    </w:p>
    <w:p w14:paraId="563B6415" w14:textId="77777777" w:rsidR="00D30681" w:rsidRPr="00510E01" w:rsidRDefault="00D30681" w:rsidP="00D30681">
      <w:pPr>
        <w:pStyle w:val="NormaAlterada"/>
      </w:pPr>
      <w:bookmarkStart w:id="1266" w:name="_Int_l6J35axs"/>
      <w:proofErr w:type="spellStart"/>
      <w:r w:rsidRPr="00510E01">
        <w:t>a</w:t>
      </w:r>
      <w:bookmarkEnd w:id="1266"/>
      <w:proofErr w:type="spellEnd"/>
      <w:r w:rsidRPr="00510E01">
        <w:t>) tabela comparativa da evolução diária do valor patrimonial da cota, do patrimônio líquido, bem como do valor do índice subjacente desde a data de início de funcionamento do fundo até a data da última cota disponível;</w:t>
      </w:r>
    </w:p>
    <w:p w14:paraId="3F7B6BAC" w14:textId="77777777" w:rsidR="00D30681" w:rsidRPr="00510E01" w:rsidRDefault="00D30681" w:rsidP="00D30681">
      <w:pPr>
        <w:pStyle w:val="NormaAlterada"/>
      </w:pPr>
      <w:r w:rsidRPr="00510E01">
        <w:t xml:space="preserve">b) tabela contendo a rentabilidade mensal da classe de cotas comparada ao índice subjacente, contendo pelo menos os últimos 24 (vinte e quatro) meses; </w:t>
      </w:r>
    </w:p>
    <w:p w14:paraId="7CDE6A7D" w14:textId="77777777" w:rsidR="00D30681" w:rsidRPr="00510E01" w:rsidRDefault="00D30681" w:rsidP="00D30681">
      <w:pPr>
        <w:pStyle w:val="NormaAlterada"/>
      </w:pPr>
      <w:r w:rsidRPr="00510E01">
        <w:t>c) gráfico da evolução da rentabilidade acumulada da classe de cotas comparada ao índice subjacente, desde a admissão para negociação em mercado organizado de valores mobiliários até a última cota disponível; e</w:t>
      </w:r>
    </w:p>
    <w:p w14:paraId="7BA848C6" w14:textId="77777777" w:rsidR="00D30681" w:rsidRPr="00510E01" w:rsidRDefault="00D30681" w:rsidP="00D30681">
      <w:pPr>
        <w:pStyle w:val="NormaAlterada"/>
      </w:pPr>
      <w:r w:rsidRPr="00510E01">
        <w:t xml:space="preserve">d) as informações relativas aos incisos I, II e III do </w:t>
      </w:r>
      <w:r w:rsidRPr="00510E01">
        <w:rPr>
          <w:b/>
          <w:bCs/>
        </w:rPr>
        <w:t xml:space="preserve">caput </w:t>
      </w:r>
      <w:r w:rsidRPr="00510E01">
        <w:t xml:space="preserve">do art. </w:t>
      </w:r>
      <w:r>
        <w:t>27</w:t>
      </w:r>
      <w:r w:rsidRPr="00510E01">
        <w:t xml:space="preserve"> deste Anexo Normativo V, incluindo o número de dias úteis decorridos desde o início do desenquadramento, observado ainda o disposto nos §§ 1º e 2º de tal dispositivo;</w:t>
      </w:r>
    </w:p>
    <w:p w14:paraId="01FCCE71" w14:textId="77777777" w:rsidR="00D30681" w:rsidRPr="00510E01" w:rsidRDefault="00D30681" w:rsidP="00D30681">
      <w:pPr>
        <w:pStyle w:val="NormaAlterada"/>
      </w:pPr>
      <w:r w:rsidRPr="00510E01">
        <w:t xml:space="preserve">IX – </w:t>
      </w:r>
      <w:bookmarkStart w:id="1267" w:name="_Int_3yEh954C"/>
      <w:r w:rsidRPr="00510E01">
        <w:t>fatos</w:t>
      </w:r>
      <w:bookmarkEnd w:id="1267"/>
      <w:r w:rsidRPr="00510E01">
        <w:t xml:space="preserve"> relevantes relacionados aos BDR-ETF que envolvam o custodiante ou a instituição depositária;</w:t>
      </w:r>
    </w:p>
    <w:p w14:paraId="5A8877ED" w14:textId="77777777" w:rsidR="00D30681" w:rsidRPr="00510E01" w:rsidRDefault="00D30681" w:rsidP="00D30681">
      <w:pPr>
        <w:pStyle w:val="NormaAlterada"/>
      </w:pPr>
      <w:r w:rsidRPr="00510E01">
        <w:t xml:space="preserve">X – </w:t>
      </w:r>
      <w:bookmarkStart w:id="1268" w:name="_Int_9EQziUnX"/>
      <w:r w:rsidRPr="00510E01">
        <w:t>principais</w:t>
      </w:r>
      <w:bookmarkEnd w:id="1268"/>
      <w:r w:rsidRPr="00510E01">
        <w:t xml:space="preserve"> direitos e responsabilidades dos titulares de BDR-ETF, do administrador, do gestor, do custodiante e da instituição depositária;</w:t>
      </w:r>
    </w:p>
    <w:p w14:paraId="406DA5C1" w14:textId="77777777" w:rsidR="00D30681" w:rsidRPr="00510E01" w:rsidRDefault="00D30681" w:rsidP="00D30681">
      <w:pPr>
        <w:pStyle w:val="NormaAlterada"/>
      </w:pPr>
      <w:r w:rsidRPr="00510E01">
        <w:t>XI – taxas de administração, ingresso e saída, cujos parâmetros de cálculo devem estar claramente definidos e destacados;</w:t>
      </w:r>
    </w:p>
    <w:p w14:paraId="497CA1BF" w14:textId="77777777" w:rsidR="00D30681" w:rsidRPr="00510E01" w:rsidRDefault="00D30681" w:rsidP="00D30681">
      <w:pPr>
        <w:pStyle w:val="NormaAlterada"/>
      </w:pPr>
      <w:r w:rsidRPr="00510E01">
        <w:t>XII – política de distribuição de resultados;</w:t>
      </w:r>
    </w:p>
    <w:p w14:paraId="4D5604E9" w14:textId="77777777" w:rsidR="00D30681" w:rsidRPr="00510E01" w:rsidRDefault="00D30681" w:rsidP="00D30681">
      <w:pPr>
        <w:pStyle w:val="NormaAlterada"/>
      </w:pPr>
      <w:r>
        <w:lastRenderedPageBreak/>
        <w:t>XIII</w:t>
      </w:r>
      <w:r w:rsidRPr="00510E01">
        <w:t xml:space="preserve"> – se for o caso, destaque sobre a possibilidade de celebração pelo fundo de contrato com o teor previsto no § 6º do art. </w:t>
      </w:r>
      <w:r>
        <w:t>41</w:t>
      </w:r>
      <w:r w:rsidRPr="00510E01">
        <w:t xml:space="preserve"> deste Anexo Normativo V;</w:t>
      </w:r>
    </w:p>
    <w:p w14:paraId="78074764" w14:textId="77777777" w:rsidR="00D30681" w:rsidRPr="00510E01" w:rsidRDefault="00D30681" w:rsidP="00D30681">
      <w:pPr>
        <w:pStyle w:val="NormaAlterada"/>
      </w:pPr>
      <w:r>
        <w:t>XIV</w:t>
      </w:r>
      <w:r w:rsidRPr="00510E01">
        <w:t xml:space="preserve"> – </w:t>
      </w:r>
      <w:bookmarkStart w:id="1269" w:name="_Int_SJ29Pd51"/>
      <w:r w:rsidRPr="00510E01">
        <w:t>descrição</w:t>
      </w:r>
      <w:bookmarkEnd w:id="1269"/>
      <w:r w:rsidRPr="00510E01">
        <w:t xml:space="preserve"> qualitativa dos componentes da remuneração à instituição proprietária do índice;</w:t>
      </w:r>
    </w:p>
    <w:p w14:paraId="4A4AC4FC" w14:textId="77777777" w:rsidR="00D30681" w:rsidRPr="00510E01" w:rsidRDefault="00D30681" w:rsidP="00D30681">
      <w:pPr>
        <w:pStyle w:val="NormaAlterada"/>
      </w:pPr>
      <w:r>
        <w:t>XV</w:t>
      </w:r>
      <w:r w:rsidRPr="00510E01">
        <w:t xml:space="preserve"> – tributação aplicável aos titulares de BDR-ETF;</w:t>
      </w:r>
    </w:p>
    <w:p w14:paraId="3173C28D" w14:textId="77777777" w:rsidR="00D30681" w:rsidRPr="00510E01" w:rsidRDefault="00D30681" w:rsidP="00D30681">
      <w:pPr>
        <w:pStyle w:val="NormaAlterada"/>
      </w:pPr>
      <w:r>
        <w:t>XVI</w:t>
      </w:r>
      <w:r w:rsidRPr="00510E01">
        <w:t xml:space="preserve"> – composição da carteira do fundo, diariamente atualizada;</w:t>
      </w:r>
    </w:p>
    <w:p w14:paraId="40FB6E3E" w14:textId="77777777" w:rsidR="00D30681" w:rsidRPr="00510E01" w:rsidRDefault="00D30681" w:rsidP="00D30681">
      <w:pPr>
        <w:pStyle w:val="NormaAlterada"/>
      </w:pPr>
      <w:r>
        <w:t>XVII</w:t>
      </w:r>
      <w:r w:rsidRPr="00510E01">
        <w:t xml:space="preserve"> – informações sobre ofertas públicas das cotas que sirvam de lastro aos BDR-ETF;</w:t>
      </w:r>
    </w:p>
    <w:p w14:paraId="08C12442" w14:textId="77777777" w:rsidR="00D30681" w:rsidRPr="00510E01" w:rsidRDefault="00D30681" w:rsidP="00D30681">
      <w:pPr>
        <w:pStyle w:val="NormaAlterada"/>
      </w:pPr>
      <w:r>
        <w:t>XVIII</w:t>
      </w:r>
      <w:r w:rsidRPr="00510E01">
        <w:t xml:space="preserve"> – </w:t>
      </w:r>
      <w:bookmarkStart w:id="1270" w:name="_Int_7xj9SJVf"/>
      <w:r w:rsidRPr="00510E01">
        <w:t>seção</w:t>
      </w:r>
      <w:bookmarkEnd w:id="1270"/>
      <w:r w:rsidRPr="00510E01">
        <w:t xml:space="preserve"> que permita que o titular de BDR-ETF cadastre endereço de correspondência eletrônico para receber informações;</w:t>
      </w:r>
    </w:p>
    <w:p w14:paraId="7498A262" w14:textId="77777777" w:rsidR="00D30681" w:rsidRPr="00510E01" w:rsidRDefault="00D30681" w:rsidP="00D30681">
      <w:pPr>
        <w:pStyle w:val="NormaAlterada"/>
      </w:pPr>
      <w:r>
        <w:t>XIX</w:t>
      </w:r>
      <w:r w:rsidRPr="00510E01">
        <w:t xml:space="preserve"> – endereço de correspondência eletrônico da instituição depositária que permita comunicação com os titulares de BDR-ETF;</w:t>
      </w:r>
    </w:p>
    <w:p w14:paraId="1E9A8277" w14:textId="77777777" w:rsidR="00D30681" w:rsidRPr="00510E01" w:rsidRDefault="00D30681" w:rsidP="00D30681">
      <w:pPr>
        <w:pStyle w:val="NormaAlterada"/>
      </w:pPr>
      <w:r>
        <w:t>XX</w:t>
      </w:r>
      <w:r w:rsidRPr="00510E01">
        <w:t xml:space="preserve"> – demais informações consideradas relevantes para a decisão de investimento nos BDR-ETF; e</w:t>
      </w:r>
    </w:p>
    <w:p w14:paraId="288BC242" w14:textId="77777777" w:rsidR="00D30681" w:rsidRPr="00510E01" w:rsidRDefault="00D30681" w:rsidP="00D30681">
      <w:pPr>
        <w:pStyle w:val="NormaAlterada"/>
      </w:pPr>
      <w:r>
        <w:t>XXI</w:t>
      </w:r>
      <w:r w:rsidRPr="00510E01">
        <w:t xml:space="preserve"> – procedimentos a serem seguidos pela instituição depositária em caso de descontinuidade do programa, nos termos do art. </w:t>
      </w:r>
      <w:r>
        <w:t>62</w:t>
      </w:r>
      <w:r w:rsidRPr="00510E01">
        <w:t xml:space="preserve"> deste Anexo Normativo V.</w:t>
      </w:r>
    </w:p>
    <w:p w14:paraId="14A82C34" w14:textId="77777777" w:rsidR="00D30681" w:rsidRPr="00510E01" w:rsidRDefault="00D30681" w:rsidP="00D30681">
      <w:pPr>
        <w:pStyle w:val="NormaAlterada"/>
      </w:pPr>
      <w:r w:rsidRPr="00510E01">
        <w:t>§ 2</w:t>
      </w:r>
      <w:bookmarkStart w:id="1271" w:name="_Int_42ZqMVO2"/>
      <w:r w:rsidRPr="00510E01">
        <w:t>º  A</w:t>
      </w:r>
      <w:bookmarkEnd w:id="1271"/>
      <w:r w:rsidRPr="00510E01">
        <w:t xml:space="preserve"> página inicial na página eletrônica mantida pela instituição depositária na rede mundial de computadores deve conter, de acordo com o formato padrão definido pela CVM:</w:t>
      </w:r>
    </w:p>
    <w:p w14:paraId="12B492A5" w14:textId="77777777" w:rsidR="00D30681" w:rsidRPr="00510E01" w:rsidRDefault="00D30681" w:rsidP="00D30681">
      <w:pPr>
        <w:pStyle w:val="NormaAlterada"/>
      </w:pPr>
      <w:r w:rsidRPr="00510E01">
        <w:t xml:space="preserve">I – </w:t>
      </w:r>
      <w:bookmarkStart w:id="1272" w:name="_Int_P9mz4yGm"/>
      <w:r w:rsidRPr="00510E01">
        <w:t>os</w:t>
      </w:r>
      <w:bookmarkEnd w:id="1272"/>
      <w:r w:rsidRPr="00510E01">
        <w:t xml:space="preserve"> seguintes dizeres de forma destacada: "A autorização para venda e negociação de certificados de depósitos de cotas de fundos de índice não implica, por parte da CVM, garantia de veracidade das informações prestadas ou julgamento sobre a qualidade do fundo ou de seu representante legal"; e</w:t>
      </w:r>
    </w:p>
    <w:p w14:paraId="346A8FEB" w14:textId="77777777" w:rsidR="00D30681" w:rsidRPr="00510E01" w:rsidRDefault="00D30681" w:rsidP="00D30681">
      <w:pPr>
        <w:pStyle w:val="NormaAlterada"/>
      </w:pPr>
      <w:r w:rsidRPr="00510E01">
        <w:t xml:space="preserve">II – </w:t>
      </w:r>
      <w:bookmarkStart w:id="1273" w:name="_Int_jwpQiy85"/>
      <w:r w:rsidRPr="00510E01">
        <w:t>sob</w:t>
      </w:r>
      <w:bookmarkEnd w:id="1273"/>
      <w:r w:rsidRPr="00510E01">
        <w:t xml:space="preserve"> as informações do inciso I do § 2º deste artigo e, em negrito, um atalho para a seção da página eletrônica da CVM na rede mundial de computadores que contenha o cadastro de entidades reguladas com os dizeres “Clique aqui para entrar no site da CVM e confirmar que o programa de BDR-ETF foi objeto de registro”.</w:t>
      </w:r>
    </w:p>
    <w:p w14:paraId="77200B40" w14:textId="77777777" w:rsidR="00D30681" w:rsidRPr="00510E01" w:rsidRDefault="00D30681" w:rsidP="00D30681">
      <w:pPr>
        <w:pStyle w:val="NormaAlterada"/>
      </w:pPr>
      <w:r w:rsidRPr="00510E01">
        <w:t>§ 3</w:t>
      </w:r>
      <w:bookmarkStart w:id="1274" w:name="_Int_v4BXNLec"/>
      <w:r w:rsidRPr="00510E01">
        <w:t>º  As</w:t>
      </w:r>
      <w:bookmarkEnd w:id="1274"/>
      <w:r w:rsidRPr="00510E01">
        <w:t xml:space="preserve"> comunicações eletrônicas entre a instituição depositária e os titulares de BDR-ETF feitas na forma dos incisos </w:t>
      </w:r>
      <w:r>
        <w:t>XIX</w:t>
      </w:r>
      <w:r w:rsidRPr="00510E01">
        <w:t xml:space="preserve"> e </w:t>
      </w:r>
      <w:r>
        <w:t>XX</w:t>
      </w:r>
      <w:r w:rsidRPr="00510E01">
        <w:t xml:space="preserve"> do </w:t>
      </w:r>
      <w:r w:rsidRPr="00510E01">
        <w:rPr>
          <w:b/>
          <w:bCs/>
        </w:rPr>
        <w:t xml:space="preserve">caput </w:t>
      </w:r>
      <w:r w:rsidRPr="00510E01">
        <w:t>devem ser mantidas pelo administrador pelo prazo de, no mínimo, 5 (cinco) anos.</w:t>
      </w:r>
    </w:p>
    <w:p w14:paraId="235C9122" w14:textId="77777777" w:rsidR="00D30681" w:rsidRPr="00510E01" w:rsidRDefault="00D30681" w:rsidP="00D30681">
      <w:pPr>
        <w:pStyle w:val="NormaAlterada"/>
      </w:pPr>
      <w:r w:rsidRPr="00510E01">
        <w:lastRenderedPageBreak/>
        <w:t>§ 4</w:t>
      </w:r>
      <w:bookmarkStart w:id="1275" w:name="_Int_z0xNvcTi"/>
      <w:r w:rsidRPr="00510E01">
        <w:t>º  A</w:t>
      </w:r>
      <w:bookmarkEnd w:id="1275"/>
      <w:r w:rsidRPr="00510E01">
        <w:t xml:space="preserve"> instituição depositária deve zelar para que as informações referentes a este artigo sejam divulgadas de forma contínua e atualizada, e que a página do fundo na rede mundial de computadores possua capacidade técnica de acesso simultâneo compatível com o número de titulares de BDR-ETF. </w:t>
      </w:r>
    </w:p>
    <w:p w14:paraId="31389AFF" w14:textId="77777777" w:rsidR="00D30681" w:rsidRPr="00510E01" w:rsidRDefault="00D30681" w:rsidP="00D30681">
      <w:pPr>
        <w:pStyle w:val="NormaAlterada"/>
      </w:pPr>
      <w:r w:rsidRPr="00510E01">
        <w:t>§ 5</w:t>
      </w:r>
      <w:bookmarkStart w:id="1276" w:name="_Int_6fo9vxhN"/>
      <w:r w:rsidRPr="00510E01">
        <w:t>º  A</w:t>
      </w:r>
      <w:bookmarkEnd w:id="1276"/>
      <w:r w:rsidRPr="00510E01">
        <w:t xml:space="preserve"> troca da página eletrônica do fundo na rede mundial de computadores é considerada fato relevante, na forma do inciso IX do </w:t>
      </w:r>
      <w:r w:rsidRPr="00510E01">
        <w:rPr>
          <w:b/>
          <w:bCs/>
        </w:rPr>
        <w:t>caput</w:t>
      </w:r>
      <w:r w:rsidRPr="00510E01">
        <w:t>.</w:t>
      </w:r>
    </w:p>
    <w:p w14:paraId="639EF3B7" w14:textId="77777777" w:rsidR="00D30681" w:rsidRPr="00510E01" w:rsidRDefault="00D30681" w:rsidP="00D30681">
      <w:pPr>
        <w:pStyle w:val="NormaAlterada"/>
      </w:pPr>
      <w:r w:rsidRPr="00510E01">
        <w:t>§ 6</w:t>
      </w:r>
      <w:bookmarkStart w:id="1277" w:name="_Int_j6FxzFRy"/>
      <w:r w:rsidRPr="00510E01">
        <w:t>º  A</w:t>
      </w:r>
      <w:bookmarkEnd w:id="1277"/>
      <w:r w:rsidRPr="00510E01">
        <w:t xml:space="preserve"> divulgação das informações referidas neste artigo deve ocorrer:</w:t>
      </w:r>
    </w:p>
    <w:p w14:paraId="63F88D78" w14:textId="77777777" w:rsidR="00D30681" w:rsidRPr="00510E01" w:rsidRDefault="00D30681" w:rsidP="00D30681">
      <w:pPr>
        <w:pStyle w:val="NormaAlterada"/>
      </w:pPr>
      <w:r w:rsidRPr="00510E01">
        <w:t xml:space="preserve">I – </w:t>
      </w:r>
      <w:bookmarkStart w:id="1278" w:name="_Int_6qXYQxXs"/>
      <w:r w:rsidRPr="00510E01">
        <w:t>no</w:t>
      </w:r>
      <w:bookmarkEnd w:id="1278"/>
      <w:r w:rsidRPr="00510E01">
        <w:t xml:space="preserve"> idioma do país de origem do fundo, até a abertura das negociações de BDR-ETF no dia seguinte ao da divulgação das informações no país de origem do fundo; e</w:t>
      </w:r>
    </w:p>
    <w:p w14:paraId="51581434" w14:textId="77777777" w:rsidR="00D30681" w:rsidRPr="00510E01" w:rsidRDefault="00D30681" w:rsidP="00D30681">
      <w:pPr>
        <w:pStyle w:val="NormaAlterada"/>
      </w:pPr>
      <w:r w:rsidRPr="00510E01">
        <w:t xml:space="preserve">II – </w:t>
      </w:r>
      <w:bookmarkStart w:id="1279" w:name="_Int_218nFKJI"/>
      <w:r w:rsidRPr="00510E01">
        <w:t>em</w:t>
      </w:r>
      <w:bookmarkEnd w:id="1279"/>
      <w:r w:rsidRPr="00510E01">
        <w:t xml:space="preserve"> português, até a abertura das negociações de BDR-ETF no quinto dia seguinte ao da divulgação das informações no país de origem do fundo.</w:t>
      </w:r>
    </w:p>
    <w:p w14:paraId="3B0BE00A" w14:textId="77777777" w:rsidR="00D30681" w:rsidRPr="00510E01" w:rsidRDefault="00D30681" w:rsidP="00D30681">
      <w:pPr>
        <w:pStyle w:val="NormaAlterada"/>
      </w:pPr>
      <w:r w:rsidRPr="00510E01">
        <w:t>§ 7</w:t>
      </w:r>
      <w:bookmarkStart w:id="1280" w:name="_Int_fkfv1H0c"/>
      <w:r w:rsidRPr="00510E01">
        <w:t>º  A</w:t>
      </w:r>
      <w:bookmarkEnd w:id="1280"/>
      <w:r w:rsidRPr="00510E01">
        <w:t xml:space="preserve"> divulgação das informações no idioma do país de origem do fundo é dispensada caso tais informações sejam apresentadas em português no prazo previsto no inciso I do § 6º deste artigo.</w:t>
      </w:r>
    </w:p>
    <w:p w14:paraId="519EAE9B" w14:textId="77777777" w:rsidR="00D30681" w:rsidRPr="00510E01" w:rsidRDefault="00D30681" w:rsidP="00D30681">
      <w:pPr>
        <w:pStyle w:val="NormaAlterada"/>
      </w:pPr>
      <w:r w:rsidRPr="00510E01">
        <w:t>§ 8</w:t>
      </w:r>
      <w:bookmarkStart w:id="1281" w:name="_Int_nn9GMHgw"/>
      <w:r w:rsidRPr="00510E01">
        <w:t>º  A</w:t>
      </w:r>
      <w:bookmarkEnd w:id="1281"/>
      <w:r w:rsidRPr="00510E01">
        <w:t xml:space="preserve"> divulgação das informações em português é dispensada caso os BDR-ETF sejam passíveis de aquisição apenas por investidores qualificados.</w:t>
      </w:r>
    </w:p>
    <w:p w14:paraId="4F9D5B61" w14:textId="77777777" w:rsidR="00D30681" w:rsidRPr="00510E01" w:rsidRDefault="00D30681" w:rsidP="00D30681">
      <w:pPr>
        <w:pStyle w:val="NormaAlterada"/>
      </w:pPr>
      <w:r w:rsidRPr="00510E01">
        <w:t>§ 9</w:t>
      </w:r>
      <w:bookmarkStart w:id="1282" w:name="_Int_xsmUBuoD"/>
      <w:r w:rsidRPr="00510E01">
        <w:t>º  A</w:t>
      </w:r>
      <w:bookmarkEnd w:id="1282"/>
      <w:r w:rsidRPr="00510E01">
        <w:t xml:space="preserve"> divulgação de informações previstas neste artigo pode ocorrer por meio de </w:t>
      </w:r>
      <w:r w:rsidRPr="00510E01">
        <w:rPr>
          <w:b/>
          <w:bCs/>
        </w:rPr>
        <w:t xml:space="preserve">hyperlink </w:t>
      </w:r>
      <w:r w:rsidRPr="00510E01">
        <w:t>à página na rede mundial de computadores mantida pelo administrador ou gestor do fundo de índice, permanecendo a instituição depositária responsável pela disponibilidade de seu conteúdo.</w:t>
      </w:r>
    </w:p>
    <w:p w14:paraId="62C787BB" w14:textId="77777777" w:rsidR="00D30681" w:rsidRPr="00510E01" w:rsidRDefault="00D30681" w:rsidP="00D30681">
      <w:pPr>
        <w:pStyle w:val="NormaAlterada"/>
      </w:pPr>
      <w:r w:rsidRPr="00510E01">
        <w:t xml:space="preserve">Art. </w:t>
      </w:r>
      <w:r>
        <w:t>57</w:t>
      </w:r>
      <w:r w:rsidRPr="00510E01">
        <w:t>.  A instituição depositária deve manter atualizados e à disposição da CVM os demonstrativos que reflitam a movimentação diária dos BDR-ETF emitidos e cancelados.</w:t>
      </w:r>
    </w:p>
    <w:p w14:paraId="1BAEF591" w14:textId="77777777" w:rsidR="00D30681" w:rsidRPr="00510E01" w:rsidRDefault="00D30681" w:rsidP="00D30681">
      <w:pPr>
        <w:pStyle w:val="Seo"/>
      </w:pPr>
      <w:bookmarkStart w:id="1283" w:name="_Toc161141390"/>
      <w:r w:rsidRPr="00510E01">
        <w:t>Seção III – Material de Divulgação do BDR-ETF</w:t>
      </w:r>
      <w:bookmarkEnd w:id="1283"/>
    </w:p>
    <w:p w14:paraId="220F6CFB" w14:textId="77777777" w:rsidR="00D30681" w:rsidRPr="00510E01" w:rsidRDefault="00D30681" w:rsidP="00D30681">
      <w:pPr>
        <w:pStyle w:val="NormaAlterada"/>
      </w:pPr>
      <w:r w:rsidRPr="00510E01">
        <w:t xml:space="preserve">Art. </w:t>
      </w:r>
      <w:r>
        <w:t>58</w:t>
      </w:r>
      <w:r w:rsidRPr="00510E01">
        <w:t>.  As informações prestadas ou qualquer material de divulgação dos BDR-ETF não podem estar em desacordo com o conteúdo da página mantida pela instituição depositária.</w:t>
      </w:r>
    </w:p>
    <w:p w14:paraId="44D4A097" w14:textId="77777777" w:rsidR="00D30681" w:rsidRPr="00510E01" w:rsidRDefault="00D30681" w:rsidP="00D30681">
      <w:pPr>
        <w:pStyle w:val="NormaAlterada"/>
      </w:pPr>
      <w:r w:rsidRPr="00510E01">
        <w:t>Parágrafo único.</w:t>
      </w:r>
      <w:r>
        <w:t xml:space="preserve"> </w:t>
      </w:r>
      <w:r w:rsidRPr="00510E01">
        <w:t xml:space="preserve"> Caso o material de divulgação apresente incorreções ou impropriedades que possam induzir o investidor a erros de avaliação, a CVM pode exigir que as retificações e os esclarecimentos sejam veiculados, com igual destaque, por meio da mídia utilizada para divulgar o texto publicitário original, devendo constar, de forma expressa, que a informação está sendo republicada por determinação da CVM.</w:t>
      </w:r>
    </w:p>
    <w:p w14:paraId="2C219EAB" w14:textId="77777777" w:rsidR="00D30681" w:rsidRPr="00510E01" w:rsidRDefault="00D30681" w:rsidP="00D30681">
      <w:pPr>
        <w:pStyle w:val="NormaAlterada"/>
      </w:pPr>
      <w:r w:rsidRPr="00510E01">
        <w:lastRenderedPageBreak/>
        <w:t xml:space="preserve">Art. </w:t>
      </w:r>
      <w:r>
        <w:t>59</w:t>
      </w:r>
      <w:r w:rsidRPr="00510E01">
        <w:t xml:space="preserve">. </w:t>
      </w:r>
      <w:r>
        <w:t xml:space="preserve"> </w:t>
      </w:r>
      <w:r w:rsidRPr="00510E01">
        <w:t xml:space="preserve">Toda informação sobre os BDR-ETF, divulgada por qualquer meio, deve informar a página eletrônica referida no § 1º do art. </w:t>
      </w:r>
      <w:r>
        <w:t>56</w:t>
      </w:r>
      <w:r w:rsidRPr="00510E01">
        <w:t xml:space="preserve"> deste Anexo Normativo </w:t>
      </w:r>
      <w:r>
        <w:t>V</w:t>
      </w:r>
      <w:r w:rsidRPr="00510E01">
        <w:t xml:space="preserve">. </w:t>
      </w:r>
    </w:p>
    <w:p w14:paraId="20D0C97C" w14:textId="77777777" w:rsidR="00D30681" w:rsidRPr="00510E01" w:rsidRDefault="00D30681" w:rsidP="00D30681">
      <w:pPr>
        <w:pStyle w:val="Seo"/>
      </w:pPr>
      <w:bookmarkStart w:id="1284" w:name="_Toc161141391"/>
      <w:r w:rsidRPr="00510E01">
        <w:t>Seção IV – Registro do Programa</w:t>
      </w:r>
      <w:bookmarkEnd w:id="1284"/>
    </w:p>
    <w:p w14:paraId="04CE58D7" w14:textId="77777777" w:rsidR="00D30681" w:rsidRPr="00510E01" w:rsidRDefault="00D30681" w:rsidP="00D30681">
      <w:pPr>
        <w:pStyle w:val="NormaAlterada"/>
      </w:pPr>
      <w:r w:rsidRPr="00510E01">
        <w:t xml:space="preserve">Art. </w:t>
      </w:r>
      <w:r>
        <w:t>60</w:t>
      </w:r>
      <w:r w:rsidRPr="00510E01">
        <w:t>.  O programa de BDR-ETF depende de prévio registro na CVM, o qual será automaticamente concedido mediante o protocolo, pela instituição depositária, de cópia da guia de recolhimento da taxa de fiscalização relativa à distribuição dos BDR-ETF, se houver.</w:t>
      </w:r>
    </w:p>
    <w:p w14:paraId="7B32EBD2" w14:textId="77777777" w:rsidR="00D30681" w:rsidRPr="00510E01" w:rsidRDefault="00D30681" w:rsidP="00D30681">
      <w:pPr>
        <w:pStyle w:val="NormaAlterada"/>
      </w:pPr>
      <w:r w:rsidRPr="00510E01">
        <w:t>§ 1</w:t>
      </w:r>
      <w:bookmarkStart w:id="1285" w:name="_Int_3JjKsyxw"/>
      <w:r w:rsidRPr="00510E01">
        <w:t>º  O</w:t>
      </w:r>
      <w:bookmarkEnd w:id="1285"/>
      <w:r w:rsidRPr="00510E01">
        <w:t xml:space="preserve"> protocolo a que se refere o </w:t>
      </w:r>
      <w:r w:rsidRPr="00510E01">
        <w:rPr>
          <w:b/>
          <w:bCs/>
        </w:rPr>
        <w:t xml:space="preserve">caput </w:t>
      </w:r>
      <w:r w:rsidRPr="00510E01">
        <w:t>deve ser direcionado à Superintendência competente.</w:t>
      </w:r>
    </w:p>
    <w:p w14:paraId="6B8DCE93" w14:textId="77777777" w:rsidR="00D30681" w:rsidRPr="00510E01" w:rsidRDefault="00D30681" w:rsidP="00D30681">
      <w:pPr>
        <w:pStyle w:val="NormaAlterada"/>
      </w:pPr>
      <w:r w:rsidRPr="00510E01">
        <w:t>§ 2</w:t>
      </w:r>
      <w:bookmarkStart w:id="1286" w:name="_Int_2CdT6qWk"/>
      <w:r w:rsidRPr="00510E01">
        <w:t>º  Na</w:t>
      </w:r>
      <w:bookmarkEnd w:id="1286"/>
      <w:r w:rsidRPr="00510E01">
        <w:t xml:space="preserve"> hipótese de existir restrição subjetiva ou objetiva à negociação das cotas do fundo no país em que forem negociadas, o registro do programa de BDR-ETF no Brasil será concedido com as mesmas restrições.</w:t>
      </w:r>
    </w:p>
    <w:p w14:paraId="3A3ABDD6" w14:textId="77777777" w:rsidR="00D30681" w:rsidRPr="00510E01" w:rsidRDefault="00D30681" w:rsidP="00D30681">
      <w:pPr>
        <w:pStyle w:val="NormaAlterada"/>
      </w:pPr>
      <w:r w:rsidRPr="00510E01">
        <w:t xml:space="preserve">Art. </w:t>
      </w:r>
      <w:r>
        <w:t>61</w:t>
      </w:r>
      <w:r w:rsidRPr="00510E01">
        <w:t>.  A instituição depositária dos BDR-ETF pode formular pedido de transferência de suas funções a outra instituição depositária, desde que:</w:t>
      </w:r>
    </w:p>
    <w:p w14:paraId="7A918BE3" w14:textId="77777777" w:rsidR="00D30681" w:rsidRPr="00510E01" w:rsidRDefault="00D30681" w:rsidP="00D30681">
      <w:pPr>
        <w:pStyle w:val="NormaAlterada"/>
      </w:pPr>
      <w:r w:rsidRPr="00510E01">
        <w:t xml:space="preserve">I – </w:t>
      </w:r>
      <w:bookmarkStart w:id="1287" w:name="_Int_STEj0UrU"/>
      <w:r w:rsidRPr="00510E01">
        <w:t>os</w:t>
      </w:r>
      <w:bookmarkEnd w:id="1287"/>
      <w:r w:rsidRPr="00510E01">
        <w:t xml:space="preserve"> detentores dos BDR-ETF sejam comunicados com, no mínimo, 60 (sessenta) dias de antecedência; e</w:t>
      </w:r>
    </w:p>
    <w:p w14:paraId="3CB078CE" w14:textId="77777777" w:rsidR="00D30681" w:rsidRPr="00510E01" w:rsidRDefault="00D30681" w:rsidP="00D30681">
      <w:pPr>
        <w:pStyle w:val="NormaAlterada"/>
      </w:pPr>
      <w:r w:rsidRPr="00510E01">
        <w:t xml:space="preserve">II – </w:t>
      </w:r>
      <w:bookmarkStart w:id="1288" w:name="_Int_uOktSegg"/>
      <w:r w:rsidRPr="00510E01">
        <w:t>as</w:t>
      </w:r>
      <w:bookmarkEnd w:id="1288"/>
      <w:r w:rsidRPr="00510E01">
        <w:t xml:space="preserve"> características dos BDR-ETF não sejam alteradas, exceto pela possibilidade de modificação da instituição custodiante.</w:t>
      </w:r>
    </w:p>
    <w:p w14:paraId="59173BB2" w14:textId="77777777" w:rsidR="00D30681" w:rsidRPr="00510E01" w:rsidRDefault="00D30681" w:rsidP="00D30681">
      <w:pPr>
        <w:pStyle w:val="NormaAlterada"/>
      </w:pPr>
      <w:r w:rsidRPr="00510E01">
        <w:t>Parágrafo único.  O pedido de transferência de instituição depositária referido neste artigo deve ser encaminhado à Superintendência competente e será automaticamente concedido.</w:t>
      </w:r>
    </w:p>
    <w:p w14:paraId="6B59F2BA" w14:textId="77777777" w:rsidR="00D30681" w:rsidRPr="00510E01" w:rsidRDefault="00D30681" w:rsidP="00D30681">
      <w:pPr>
        <w:pStyle w:val="NormaAlterada"/>
      </w:pPr>
      <w:r w:rsidRPr="00510E01">
        <w:t xml:space="preserve">Art. </w:t>
      </w:r>
      <w:r>
        <w:t>62</w:t>
      </w:r>
      <w:r w:rsidRPr="00510E01">
        <w:t>.  A instituição depositária pode formular pedido de cancelamento do registro do programa de BDR-ETF, desde que cumpra os procedimentos fixados para esse fim pela entidade administradora de mercados organizados de valores mobiliários.</w:t>
      </w:r>
    </w:p>
    <w:p w14:paraId="74C1CC51" w14:textId="77777777" w:rsidR="00D30681" w:rsidRPr="00510E01" w:rsidRDefault="00D30681" w:rsidP="00D30681">
      <w:pPr>
        <w:pStyle w:val="NormaAlterada"/>
      </w:pPr>
      <w:r w:rsidRPr="00510E01">
        <w:t xml:space="preserve">Parágrafo único.  O pedido deve ser encaminhado à Superintendência competente e será automaticamente concedido, se instruído com os documentos que evidenciem o cumprimento do disposto no </w:t>
      </w:r>
      <w:r w:rsidRPr="009E6C5F">
        <w:rPr>
          <w:b/>
        </w:rPr>
        <w:t>caput</w:t>
      </w:r>
      <w:r w:rsidRPr="00510E01">
        <w:t>.</w:t>
      </w:r>
    </w:p>
    <w:p w14:paraId="49C83E47" w14:textId="77777777" w:rsidR="00D30681" w:rsidRPr="00510E01" w:rsidRDefault="00D30681" w:rsidP="00D30681">
      <w:pPr>
        <w:pStyle w:val="NormaAlterada"/>
      </w:pPr>
      <w:r w:rsidRPr="00510E01">
        <w:t xml:space="preserve">Art. </w:t>
      </w:r>
      <w:r>
        <w:t>63</w:t>
      </w:r>
      <w:r w:rsidRPr="00510E01">
        <w:t>.  A instituição depositária e o diretor responsável por ela indicado respondem perante a CVM por irregularidades relacionadas ao programa e à prestação contínua de informações sobre os BDR-ETF, nos termos deste Anexo Normativo V.</w:t>
      </w:r>
    </w:p>
    <w:p w14:paraId="220A1791" w14:textId="77777777" w:rsidR="00D30681" w:rsidRPr="00510E01" w:rsidRDefault="00D30681" w:rsidP="00D30681">
      <w:pPr>
        <w:pStyle w:val="NormaAlterada"/>
      </w:pPr>
      <w:r w:rsidRPr="00510E01">
        <w:lastRenderedPageBreak/>
        <w:t xml:space="preserve">Art. </w:t>
      </w:r>
      <w:r>
        <w:t>64</w:t>
      </w:r>
      <w:r w:rsidRPr="00510E01">
        <w:t>.  Nos casos em que vier a exercer o direito de voto das cotas dos fundos de índice que sirvam de lastro para programas de BDR-ETF, a instituição depositária deve atuar na forma instruída pelos titulares de BDR-ETF sempre que os contratos relativos ao programa permitam, ou no melhor interesse dos titulares de BDR-ETF, quando tais contratos impeçam o voto por eles instruído.</w:t>
      </w:r>
    </w:p>
    <w:p w14:paraId="7836CD1F" w14:textId="77777777" w:rsidR="00D30681" w:rsidRPr="00510E01" w:rsidRDefault="00D30681" w:rsidP="00D30681">
      <w:pPr>
        <w:pStyle w:val="Captulo"/>
      </w:pPr>
      <w:bookmarkStart w:id="1289" w:name="_Toc161141392"/>
      <w:r w:rsidRPr="00510E01">
        <w:t>CAPÍTULO XIV – PENALIDADES</w:t>
      </w:r>
      <w:bookmarkEnd w:id="1289"/>
    </w:p>
    <w:p w14:paraId="696807FC" w14:textId="77777777" w:rsidR="00D30681" w:rsidRPr="00510E01" w:rsidRDefault="00D30681" w:rsidP="00D30681">
      <w:pPr>
        <w:pStyle w:val="NormaAlterada"/>
      </w:pPr>
      <w:r w:rsidRPr="00510E01">
        <w:t xml:space="preserve">Art. </w:t>
      </w:r>
      <w:r>
        <w:t>65</w:t>
      </w:r>
      <w:r w:rsidRPr="00510E01">
        <w:t xml:space="preserve">.  Em acréscimo às condutas previstas no art. 131 da parte geral da Resolução, considera-se infração grave a infração às normas contidas nos </w:t>
      </w:r>
      <w:proofErr w:type="spellStart"/>
      <w:r w:rsidRPr="00510E01">
        <w:t>arts</w:t>
      </w:r>
      <w:proofErr w:type="spellEnd"/>
      <w:r w:rsidRPr="00510E01">
        <w:t xml:space="preserve">. </w:t>
      </w:r>
      <w:r>
        <w:t>8</w:t>
      </w:r>
      <w:r w:rsidRPr="00510E01">
        <w:t xml:space="preserve">; </w:t>
      </w:r>
      <w:r>
        <w:t>29</w:t>
      </w:r>
      <w:r w:rsidRPr="00510E01">
        <w:t xml:space="preserve">, § 1º; </w:t>
      </w:r>
      <w:r>
        <w:t>52</w:t>
      </w:r>
      <w:r w:rsidRPr="00510E01">
        <w:t xml:space="preserve">; </w:t>
      </w:r>
      <w:r>
        <w:t>55</w:t>
      </w:r>
      <w:r w:rsidRPr="00510E01">
        <w:t xml:space="preserve">; e </w:t>
      </w:r>
      <w:r>
        <w:t>56</w:t>
      </w:r>
      <w:r w:rsidRPr="00510E01">
        <w:t xml:space="preserve">, todos deste Anexo Normativo V, bem como nos </w:t>
      </w:r>
      <w:proofErr w:type="spellStart"/>
      <w:r w:rsidRPr="00510E01">
        <w:t>arts</w:t>
      </w:r>
      <w:proofErr w:type="spellEnd"/>
      <w:r w:rsidRPr="00510E01">
        <w:t>. 83 e 118 da parte geral da Resolução.</w:t>
      </w:r>
    </w:p>
    <w:p w14:paraId="570733C6" w14:textId="77777777" w:rsidR="00D30681" w:rsidRPr="00510E01" w:rsidRDefault="00D30681" w:rsidP="00D30681">
      <w:pPr>
        <w:pStyle w:val="NormaAlterada"/>
      </w:pPr>
      <w:r w:rsidRPr="00510E01">
        <w:t xml:space="preserve">Art. </w:t>
      </w:r>
      <w:r>
        <w:t>66</w:t>
      </w:r>
      <w:r w:rsidRPr="00510E01">
        <w:t xml:space="preserve">.  A multa diária de que trata o art. 132 da parte geral da Resolução não se aplica ao atraso no envio do informe diário, podendo a CVM apurar a responsabilidade do administrador, nos termos do art. 11 da Lei nº 6.385, de 1976, caso a informação não seja encaminhada no prazo aplicável, de acordo com o disposto no inciso I do art. </w:t>
      </w:r>
      <w:r>
        <w:t>34</w:t>
      </w:r>
      <w:r w:rsidRPr="00510E01">
        <w:t xml:space="preserve"> deste Anexo Normativo V.</w:t>
      </w:r>
    </w:p>
    <w:p w14:paraId="4A5A1BFB" w14:textId="77777777" w:rsidR="00D30681" w:rsidRPr="00510E01" w:rsidRDefault="00D30681" w:rsidP="00D30681">
      <w:pPr>
        <w:pStyle w:val="Captulo"/>
      </w:pPr>
      <w:bookmarkStart w:id="1290" w:name="_Toc161141393"/>
      <w:r w:rsidRPr="00510E01">
        <w:t>CAPÍTULO XV – DISPOSIÇÕES FINAIS</w:t>
      </w:r>
      <w:bookmarkEnd w:id="1290"/>
    </w:p>
    <w:p w14:paraId="5FE335A2" w14:textId="77777777" w:rsidR="00063BE2" w:rsidRDefault="00D30681" w:rsidP="00D30681">
      <w:pPr>
        <w:spacing w:before="120" w:after="120" w:line="312" w:lineRule="auto"/>
        <w:ind w:firstLine="425"/>
        <w:jc w:val="both"/>
        <w:rPr>
          <w:rFonts w:asciiTheme="minorHAnsi" w:hAnsiTheme="minorHAnsi" w:cstheme="minorHAnsi"/>
          <w:sz w:val="24"/>
          <w:szCs w:val="24"/>
        </w:rPr>
      </w:pPr>
      <w:r w:rsidRPr="00D30681">
        <w:rPr>
          <w:rFonts w:asciiTheme="minorHAnsi" w:hAnsiTheme="minorHAnsi" w:cstheme="minorHAnsi"/>
          <w:sz w:val="24"/>
          <w:szCs w:val="24"/>
        </w:rPr>
        <w:t>Art. 67.  Considera-se elevação potencial de participação do acionista controlador de companhia aberta a aquisição de cotas de fundo de índice que detenha ações de companhia por ele controlada</w:t>
      </w:r>
      <w:r w:rsidR="00036557">
        <w:rPr>
          <w:rFonts w:asciiTheme="minorHAnsi" w:hAnsiTheme="minorHAnsi" w:cstheme="minorHAnsi"/>
          <w:sz w:val="24"/>
          <w:szCs w:val="24"/>
        </w:rPr>
        <w:t>.</w:t>
      </w:r>
    </w:p>
    <w:p w14:paraId="6A35A26A" w14:textId="094C0EF0" w:rsidR="00511A1B" w:rsidRPr="00517AE6" w:rsidRDefault="00511A1B" w:rsidP="00511A1B">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V</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6A76CA23" w14:textId="77777777" w:rsidR="00511A1B" w:rsidRDefault="00511A1B" w:rsidP="00D30681">
      <w:pPr>
        <w:spacing w:before="120" w:after="120" w:line="312" w:lineRule="auto"/>
        <w:ind w:firstLine="425"/>
        <w:jc w:val="both"/>
        <w:rPr>
          <w:rFonts w:asciiTheme="minorHAnsi" w:hAnsiTheme="minorHAnsi" w:cstheme="minorHAnsi"/>
          <w:sz w:val="24"/>
          <w:szCs w:val="24"/>
        </w:rPr>
      </w:pPr>
    </w:p>
    <w:p w14:paraId="3416D0F2" w14:textId="50845A29" w:rsidR="00511A1B" w:rsidRDefault="00511A1B" w:rsidP="00D30681">
      <w:pPr>
        <w:spacing w:before="120" w:after="120" w:line="312" w:lineRule="auto"/>
        <w:ind w:firstLine="425"/>
        <w:jc w:val="both"/>
        <w:rPr>
          <w:rFonts w:asciiTheme="minorHAnsi" w:hAnsiTheme="minorHAnsi" w:cstheme="minorHAnsi"/>
          <w:sz w:val="24"/>
          <w:szCs w:val="24"/>
        </w:rPr>
        <w:sectPr w:rsidR="00511A1B" w:rsidSect="002A08BD">
          <w:headerReference w:type="default" r:id="rId21"/>
          <w:pgSz w:w="11906" w:h="16838"/>
          <w:pgMar w:top="2268" w:right="567" w:bottom="851" w:left="1134" w:header="709" w:footer="709" w:gutter="0"/>
          <w:cols w:space="708"/>
          <w:docGrid w:linePitch="360"/>
        </w:sectPr>
      </w:pPr>
    </w:p>
    <w:p w14:paraId="552D9BEF" w14:textId="77777777" w:rsidR="006873AD" w:rsidRPr="00207CD3" w:rsidRDefault="006873AD" w:rsidP="00036557">
      <w:pPr>
        <w:pStyle w:val="TtulodaResoluo"/>
        <w:ind w:firstLine="0"/>
      </w:pPr>
      <w:bookmarkStart w:id="1291" w:name="_Int_4LzEg1uc"/>
      <w:bookmarkStart w:id="1292" w:name="_Toc161141394"/>
      <w:r w:rsidRPr="1E4FA5ED">
        <w:lastRenderedPageBreak/>
        <w:t>ANEXO NORMATIVO VII – FUNDOS MÚTUOS DE PRIVATIZAÇÃO – FGTS</w:t>
      </w:r>
      <w:bookmarkEnd w:id="1291"/>
      <w:bookmarkEnd w:id="1292"/>
    </w:p>
    <w:p w14:paraId="51C3FD1C" w14:textId="77777777" w:rsidR="006873AD" w:rsidRPr="00207CD3" w:rsidRDefault="006873AD" w:rsidP="006873AD">
      <w:pPr>
        <w:pStyle w:val="Ementa"/>
      </w:pPr>
      <w:r w:rsidRPr="00207CD3">
        <w:t xml:space="preserve">Dispõe sobre as regras específicas para os fundos mútuos de privatização </w:t>
      </w:r>
      <w:r>
        <w:t>–</w:t>
      </w:r>
      <w:r w:rsidRPr="00207CD3">
        <w:t xml:space="preserve"> FGTS.</w:t>
      </w:r>
    </w:p>
    <w:p w14:paraId="66D1FA7B" w14:textId="77777777" w:rsidR="006873AD" w:rsidRPr="00207CD3" w:rsidRDefault="006873AD" w:rsidP="006873AD">
      <w:pPr>
        <w:pStyle w:val="Captulo"/>
        <w:rPr>
          <w:rFonts w:eastAsiaTheme="minorEastAsia"/>
        </w:rPr>
      </w:pPr>
      <w:bookmarkStart w:id="1293" w:name="_Toc161141395"/>
      <w:r w:rsidRPr="00FF2B42">
        <w:rPr>
          <w:rFonts w:eastAsiaTheme="minorEastAsia"/>
        </w:rPr>
        <w:t xml:space="preserve">CAPÍTULO I </w:t>
      </w:r>
      <w:r>
        <w:rPr>
          <w:rFonts w:eastAsiaTheme="minorEastAsia"/>
        </w:rPr>
        <w:t>–</w:t>
      </w:r>
      <w:r w:rsidRPr="00FF2B42">
        <w:rPr>
          <w:rFonts w:eastAsiaTheme="minorEastAsia"/>
        </w:rPr>
        <w:t xml:space="preserve"> </w:t>
      </w:r>
      <w:r w:rsidRPr="00BB4D02">
        <w:rPr>
          <w:rFonts w:eastAsiaTheme="minorEastAsia" w:cstheme="minorBidi"/>
        </w:rPr>
        <w:t>ÂMBITO</w:t>
      </w:r>
      <w:r w:rsidRPr="00FF2B42">
        <w:rPr>
          <w:rFonts w:eastAsiaTheme="minorEastAsia"/>
        </w:rPr>
        <w:t xml:space="preserve"> E </w:t>
      </w:r>
      <w:r w:rsidRPr="00207CD3">
        <w:rPr>
          <w:rFonts w:eastAsiaTheme="minorEastAsia"/>
        </w:rPr>
        <w:t>FINALIDADE</w:t>
      </w:r>
      <w:bookmarkEnd w:id="1293"/>
    </w:p>
    <w:p w14:paraId="20831C53" w14:textId="77777777" w:rsidR="006873AD" w:rsidRPr="00207CD3" w:rsidRDefault="006873AD" w:rsidP="006873AD">
      <w:pPr>
        <w:pStyle w:val="NormaAlterada"/>
      </w:pPr>
      <w:r w:rsidRPr="72AA9A0C">
        <w:t>Art. 1</w:t>
      </w:r>
      <w:bookmarkStart w:id="1294" w:name="_Int_7WaUzNpL"/>
      <w:r w:rsidRPr="72AA9A0C">
        <w:t>º  Este</w:t>
      </w:r>
      <w:bookmarkEnd w:id="1294"/>
      <w:r w:rsidRPr="72AA9A0C">
        <w:t xml:space="preserve"> Anexo Normativo VII à Resolução </w:t>
      </w:r>
      <w:bookmarkStart w:id="1295" w:name="_Int_EyK207OT"/>
      <w:r w:rsidRPr="72AA9A0C">
        <w:t>CVM</w:t>
      </w:r>
      <w:bookmarkEnd w:id="1295"/>
      <w:r w:rsidRPr="72AA9A0C">
        <w:t xml:space="preserve"> nº 175 (“Resolução”) dispõe sobre as regras específicas para os fundos mútuos de privatização – FGTS </w:t>
      </w:r>
      <w:r>
        <w:t>(“</w:t>
      </w:r>
      <w:r w:rsidRPr="72AA9A0C">
        <w:t>FMP-FGTS</w:t>
      </w:r>
      <w:r>
        <w:t>”)</w:t>
      </w:r>
      <w:r w:rsidRPr="72AA9A0C">
        <w:t>.</w:t>
      </w:r>
    </w:p>
    <w:p w14:paraId="60E2553F" w14:textId="77777777" w:rsidR="006873AD" w:rsidRPr="00FF2B42" w:rsidRDefault="006873AD" w:rsidP="006873AD">
      <w:pPr>
        <w:pStyle w:val="Captulo"/>
        <w:rPr>
          <w:rFonts w:eastAsiaTheme="minorEastAsia"/>
        </w:rPr>
      </w:pPr>
      <w:bookmarkStart w:id="1296" w:name="_Toc161141396"/>
      <w:r w:rsidRPr="00207CD3">
        <w:rPr>
          <w:rFonts w:eastAsiaTheme="minorEastAsia"/>
        </w:rPr>
        <w:t xml:space="preserve">CAPÍTULO II </w:t>
      </w:r>
      <w:r>
        <w:rPr>
          <w:rFonts w:eastAsiaTheme="minorEastAsia"/>
        </w:rPr>
        <w:t>–</w:t>
      </w:r>
      <w:r w:rsidRPr="00FF2B42">
        <w:rPr>
          <w:rFonts w:eastAsiaTheme="minorEastAsia"/>
        </w:rPr>
        <w:t xml:space="preserve"> </w:t>
      </w:r>
      <w:r w:rsidRPr="00BB4D02">
        <w:rPr>
          <w:rFonts w:eastAsiaTheme="minorEastAsia" w:cstheme="minorBidi"/>
        </w:rPr>
        <w:t>CARACTERÍSTICAS</w:t>
      </w:r>
      <w:r w:rsidRPr="00207CD3">
        <w:rPr>
          <w:rFonts w:eastAsiaTheme="minorEastAsia"/>
        </w:rPr>
        <w:t xml:space="preserve"> E CONSTITUIÇÃO</w:t>
      </w:r>
      <w:bookmarkEnd w:id="1296"/>
    </w:p>
    <w:p w14:paraId="65ED3B75" w14:textId="77777777" w:rsidR="006873AD" w:rsidRPr="005257C4" w:rsidRDefault="006873AD" w:rsidP="006873AD">
      <w:pPr>
        <w:pStyle w:val="NormaAlterada"/>
      </w:pPr>
      <w:r w:rsidRPr="005257C4">
        <w:t>Art. 2</w:t>
      </w:r>
      <w:bookmarkStart w:id="1297" w:name="_Int_wWtnDOZU"/>
      <w:r w:rsidRPr="005257C4">
        <w:t>º  O</w:t>
      </w:r>
      <w:bookmarkEnd w:id="1297"/>
      <w:r w:rsidRPr="005257C4">
        <w:t xml:space="preserve"> FMP-FGTS é destinado à aquisição de valores mobiliários no âmbito do Programa Nacional de Desestatização, instituído pela Lei nº 8.031, de 12 de abril de 1990, revogada e substituída pela Lei nº 9.491, de 9 de setembro de 1997, e de Programas Estaduais de Desestatização, mediante aprovação prévia, em ambos os casos, do Conselho do Programa de Parcerias de Investimentos – CPPI.</w:t>
      </w:r>
    </w:p>
    <w:p w14:paraId="590EF515" w14:textId="77777777" w:rsidR="006873AD" w:rsidRPr="005257C4" w:rsidRDefault="006873AD" w:rsidP="006873AD">
      <w:pPr>
        <w:pStyle w:val="NormaAlterada"/>
      </w:pPr>
      <w:r w:rsidRPr="005257C4">
        <w:t xml:space="preserve">§ 1º </w:t>
      </w:r>
      <w:r>
        <w:t xml:space="preserve"> </w:t>
      </w:r>
      <w:r w:rsidRPr="005257C4">
        <w:t>O FMP-FGTS deve ser constituído em regime aberto, tendo seu patrimônio formado, exclusivamente, por recursos de pessoas naturais participantes do FGTS, nos termos da Lei nº 9.491, de 1997, e do Decreto nº 2.430, de 17 de setembro de 1997.</w:t>
      </w:r>
    </w:p>
    <w:p w14:paraId="2DDD10F4" w14:textId="77777777" w:rsidR="006873AD" w:rsidRPr="005257C4" w:rsidRDefault="006873AD" w:rsidP="006873AD">
      <w:pPr>
        <w:pStyle w:val="NormaAlterada"/>
      </w:pPr>
      <w:r w:rsidRPr="005257C4">
        <w:t>§ 2</w:t>
      </w:r>
      <w:bookmarkStart w:id="1298" w:name="_Int_xqDzhjcZ"/>
      <w:r w:rsidRPr="005257C4">
        <w:t>º  Pode</w:t>
      </w:r>
      <w:bookmarkEnd w:id="1298"/>
      <w:r w:rsidRPr="005257C4">
        <w:t xml:space="preserve"> ser constituído FMP-FGTS cujas cotas devem ser integralizadas exclusivamente com recursos resultantes da transferência prevista no inciso II do art. 16 deste Anexo Normativo VII.</w:t>
      </w:r>
    </w:p>
    <w:p w14:paraId="14E030D1" w14:textId="77777777" w:rsidR="006873AD" w:rsidRPr="005257C4" w:rsidRDefault="006873AD" w:rsidP="006873AD">
      <w:pPr>
        <w:pStyle w:val="NormaAlterada"/>
      </w:pPr>
      <w:r w:rsidRPr="005257C4">
        <w:t>Art. 3</w:t>
      </w:r>
      <w:bookmarkStart w:id="1299" w:name="_Int_20PUvS0n"/>
      <w:r w:rsidRPr="005257C4">
        <w:t>º  Da</w:t>
      </w:r>
      <w:bookmarkEnd w:id="1299"/>
      <w:r w:rsidRPr="005257C4">
        <w:t xml:space="preserve"> denominação do fundo e de suas classes de cotas, caso existentes, deve constar a expressão “Fundo Mútuo de Privatização - FGTS”, complementada com a identificação do emissor dos valores mobiliários que compõe a carteira, na forma do art. 18 deste Anexo Normativo VII.</w:t>
      </w:r>
    </w:p>
    <w:p w14:paraId="77BD8309" w14:textId="77777777" w:rsidR="006873AD" w:rsidRPr="005257C4" w:rsidRDefault="006873AD" w:rsidP="006873AD">
      <w:pPr>
        <w:pStyle w:val="NormaAlterada"/>
      </w:pPr>
      <w:r w:rsidRPr="005257C4">
        <w:t xml:space="preserve">Parágrafo único.  O fundo previsto no § 2º do art. 2º deste Anexo Normativo VII e suas classes de cotas, caso existentes, devem adotar a denominação “Fundo Mútuo de Privatização – FGTS Carteira Livre”. </w:t>
      </w:r>
    </w:p>
    <w:p w14:paraId="3C58EA8E" w14:textId="77777777" w:rsidR="006873AD" w:rsidRPr="00207CD3" w:rsidRDefault="006873AD" w:rsidP="006873AD">
      <w:pPr>
        <w:pStyle w:val="Captulo"/>
        <w:rPr>
          <w:rFonts w:eastAsiaTheme="minorEastAsia"/>
        </w:rPr>
      </w:pPr>
      <w:bookmarkStart w:id="1300" w:name="_Toc161141397"/>
      <w:r w:rsidRPr="00207CD3">
        <w:rPr>
          <w:rFonts w:eastAsiaTheme="minorEastAsia"/>
        </w:rPr>
        <w:t xml:space="preserve">CAPÍTULO </w:t>
      </w:r>
      <w:r w:rsidRPr="00BB4D02">
        <w:rPr>
          <w:rFonts w:eastAsiaTheme="minorEastAsia" w:cstheme="minorBidi"/>
        </w:rPr>
        <w:t>III</w:t>
      </w:r>
      <w:r w:rsidRPr="00207CD3">
        <w:rPr>
          <w:rFonts w:eastAsiaTheme="minorEastAsia"/>
        </w:rPr>
        <w:t xml:space="preserve"> </w:t>
      </w:r>
      <w:r>
        <w:rPr>
          <w:rFonts w:eastAsiaTheme="minorEastAsia"/>
        </w:rPr>
        <w:t>–</w:t>
      </w:r>
      <w:r w:rsidRPr="00207CD3">
        <w:rPr>
          <w:rFonts w:eastAsiaTheme="minorEastAsia"/>
        </w:rPr>
        <w:t xml:space="preserve"> REGULAMENTO</w:t>
      </w:r>
      <w:bookmarkEnd w:id="1300"/>
    </w:p>
    <w:p w14:paraId="3A2B0DD9" w14:textId="77777777" w:rsidR="006873AD" w:rsidRPr="00FF2B42" w:rsidRDefault="006873AD" w:rsidP="006873AD">
      <w:pPr>
        <w:pStyle w:val="NormaAlterada"/>
        <w:rPr>
          <w:rFonts w:eastAsiaTheme="minorEastAsia"/>
        </w:rPr>
      </w:pPr>
      <w:r w:rsidRPr="1E4FA5ED">
        <w:rPr>
          <w:rFonts w:eastAsiaTheme="minorEastAsia"/>
        </w:rPr>
        <w:t>Art. 4</w:t>
      </w:r>
      <w:bookmarkStart w:id="1301" w:name="_Int_SZe1YMjq"/>
      <w:r w:rsidRPr="1E4FA5ED">
        <w:rPr>
          <w:rFonts w:eastAsiaTheme="minorEastAsia"/>
        </w:rPr>
        <w:t>º  A</w:t>
      </w:r>
      <w:bookmarkEnd w:id="1301"/>
      <w:r w:rsidRPr="1E4FA5ED">
        <w:rPr>
          <w:rFonts w:eastAsiaTheme="minorEastAsia"/>
        </w:rPr>
        <w:t xml:space="preserve"> política de investimentos constante do regulamento ou nos anexos descritivos das classes de cotas, se for o caso, deve indicar os ativos que </w:t>
      </w:r>
      <w:r>
        <w:rPr>
          <w:rFonts w:eastAsiaTheme="minorEastAsia"/>
        </w:rPr>
        <w:t>podem</w:t>
      </w:r>
      <w:r w:rsidRPr="1E4FA5ED">
        <w:rPr>
          <w:rFonts w:eastAsiaTheme="minorEastAsia"/>
        </w:rPr>
        <w:t xml:space="preserve"> compor a carteira.</w:t>
      </w:r>
    </w:p>
    <w:p w14:paraId="20BF0385" w14:textId="77777777" w:rsidR="006873AD" w:rsidRPr="00FF2B42" w:rsidRDefault="006873AD" w:rsidP="006873AD">
      <w:pPr>
        <w:pStyle w:val="Captulo"/>
        <w:rPr>
          <w:rFonts w:eastAsiaTheme="minorEastAsia"/>
        </w:rPr>
      </w:pPr>
      <w:bookmarkStart w:id="1302" w:name="_Toc161141398"/>
      <w:r w:rsidRPr="00FF2B42">
        <w:rPr>
          <w:rFonts w:eastAsiaTheme="minorEastAsia"/>
        </w:rPr>
        <w:lastRenderedPageBreak/>
        <w:t xml:space="preserve">CAPÍTULO </w:t>
      </w:r>
      <w:r w:rsidRPr="00207CD3">
        <w:rPr>
          <w:rFonts w:eastAsiaTheme="minorEastAsia"/>
        </w:rPr>
        <w:t xml:space="preserve">IV </w:t>
      </w:r>
      <w:r>
        <w:rPr>
          <w:rFonts w:eastAsiaTheme="minorEastAsia"/>
        </w:rPr>
        <w:t>–</w:t>
      </w:r>
      <w:r w:rsidRPr="00207CD3">
        <w:rPr>
          <w:rFonts w:eastAsiaTheme="minorEastAsia"/>
        </w:rPr>
        <w:t xml:space="preserve"> </w:t>
      </w:r>
      <w:r w:rsidRPr="00BB4D02">
        <w:rPr>
          <w:rFonts w:eastAsiaTheme="minorEastAsia" w:cstheme="minorBidi"/>
        </w:rPr>
        <w:t>PRESTAÇÃO</w:t>
      </w:r>
      <w:r w:rsidRPr="00207CD3">
        <w:rPr>
          <w:rFonts w:eastAsiaTheme="minorEastAsia"/>
        </w:rPr>
        <w:t xml:space="preserve"> DE SERVIÇOS</w:t>
      </w:r>
      <w:bookmarkEnd w:id="1302"/>
    </w:p>
    <w:p w14:paraId="5AF6B5F2" w14:textId="77777777" w:rsidR="006873AD" w:rsidRPr="00FF2B42" w:rsidRDefault="006873AD" w:rsidP="006873AD">
      <w:pPr>
        <w:pStyle w:val="NormaAlterada"/>
        <w:rPr>
          <w:rFonts w:eastAsiaTheme="minorEastAsia"/>
        </w:rPr>
      </w:pPr>
      <w:r w:rsidRPr="1E4FA5ED">
        <w:rPr>
          <w:rFonts w:eastAsiaTheme="minorEastAsia"/>
        </w:rPr>
        <w:t>Art. 5</w:t>
      </w:r>
      <w:bookmarkStart w:id="1303" w:name="_Int_o5gKqT4o"/>
      <w:r w:rsidRPr="1E4FA5ED">
        <w:rPr>
          <w:rFonts w:eastAsiaTheme="minorEastAsia"/>
        </w:rPr>
        <w:t>º  O</w:t>
      </w:r>
      <w:bookmarkEnd w:id="1303"/>
      <w:r w:rsidRPr="1E4FA5ED">
        <w:rPr>
          <w:rFonts w:eastAsiaTheme="minorEastAsia"/>
        </w:rPr>
        <w:t xml:space="preserve"> administrador do FMP-FGTS deve possuir capital realizado e patrimônio líquido não inferiores a:</w:t>
      </w:r>
    </w:p>
    <w:p w14:paraId="45AEDA55" w14:textId="77777777" w:rsidR="006873AD" w:rsidRPr="00CF1D2D" w:rsidRDefault="006873AD" w:rsidP="006873AD">
      <w:pPr>
        <w:pStyle w:val="NormaAlterada"/>
        <w:rPr>
          <w:rFonts w:eastAsiaTheme="minorEastAsia"/>
        </w:rPr>
      </w:pPr>
      <w:r w:rsidRPr="0B059081">
        <w:rPr>
          <w:rFonts w:eastAsiaTheme="minorEastAsia"/>
        </w:rPr>
        <w:t xml:space="preserve">I </w:t>
      </w:r>
      <w:r w:rsidRPr="005257C4">
        <w:rPr>
          <w:rFonts w:eastAsiaTheme="minorEastAsia"/>
        </w:rPr>
        <w:t>–</w:t>
      </w:r>
      <w:r w:rsidRPr="0B059081">
        <w:rPr>
          <w:rFonts w:eastAsiaTheme="minorEastAsia"/>
        </w:rPr>
        <w:t xml:space="preserve"> R$ 20.000.000,00 (vinte milhões de reais) para fundos com patrimônio até R$ 40.000.000,00 (quarenta milhões de reais);</w:t>
      </w:r>
    </w:p>
    <w:p w14:paraId="5FFACB6A" w14:textId="77777777" w:rsidR="006873AD" w:rsidRPr="00FF2B42" w:rsidRDefault="006873AD" w:rsidP="006873AD">
      <w:pPr>
        <w:pStyle w:val="NormaAlterada"/>
        <w:rPr>
          <w:rFonts w:eastAsiaTheme="minorEastAsia"/>
        </w:rPr>
      </w:pPr>
      <w:r w:rsidRPr="0B059081">
        <w:rPr>
          <w:rFonts w:eastAsiaTheme="minorEastAsia"/>
        </w:rPr>
        <w:t xml:space="preserve">II </w:t>
      </w:r>
      <w:r w:rsidRPr="005257C4">
        <w:rPr>
          <w:rFonts w:eastAsiaTheme="minorEastAsia"/>
        </w:rPr>
        <w:t>–</w:t>
      </w:r>
      <w:r w:rsidRPr="0B059081">
        <w:rPr>
          <w:rFonts w:eastAsiaTheme="minorEastAsia"/>
        </w:rPr>
        <w:t xml:space="preserve"> R$ 40.000.000,00 (quarenta milhões de reais) para fundos com patrimônio até R$ 120.000.000,00 (cento e vinte milhões de reais);</w:t>
      </w:r>
      <w:r>
        <w:rPr>
          <w:rFonts w:eastAsiaTheme="minorEastAsia"/>
        </w:rPr>
        <w:t xml:space="preserve"> e</w:t>
      </w:r>
    </w:p>
    <w:p w14:paraId="335A87DC" w14:textId="77777777" w:rsidR="006873AD" w:rsidRPr="005257C4" w:rsidRDefault="006873AD" w:rsidP="006873AD">
      <w:pPr>
        <w:pStyle w:val="NormaAlterada"/>
        <w:rPr>
          <w:rFonts w:eastAsiaTheme="minorEastAsia"/>
        </w:rPr>
      </w:pPr>
      <w:r w:rsidRPr="005257C4">
        <w:rPr>
          <w:rFonts w:eastAsiaTheme="minorEastAsia"/>
        </w:rPr>
        <w:t>III – R$ 120.000.000,00 (cento e vinte</w:t>
      </w:r>
      <w:r w:rsidRPr="005257C4" w:rsidDel="00EA7DF9">
        <w:rPr>
          <w:rFonts w:eastAsiaTheme="minorEastAsia"/>
        </w:rPr>
        <w:t xml:space="preserve"> </w:t>
      </w:r>
      <w:r w:rsidRPr="005257C4">
        <w:rPr>
          <w:rFonts w:eastAsiaTheme="minorEastAsia"/>
        </w:rPr>
        <w:t>milhões de reais) para fundos com patrimônio superior a R$ 120.000.000,00 (cento e vinte</w:t>
      </w:r>
      <w:r w:rsidRPr="005257C4" w:rsidDel="00EA7DF9">
        <w:rPr>
          <w:rFonts w:eastAsiaTheme="minorEastAsia"/>
        </w:rPr>
        <w:t xml:space="preserve"> </w:t>
      </w:r>
      <w:r w:rsidRPr="005257C4">
        <w:rPr>
          <w:rFonts w:eastAsiaTheme="minorEastAsia"/>
        </w:rPr>
        <w:t>milhões de reais).</w:t>
      </w:r>
    </w:p>
    <w:p w14:paraId="331AE168"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1</w:t>
      </w:r>
      <w:bookmarkStart w:id="1304" w:name="_Int_qBMFqGlt"/>
      <w:r w:rsidRPr="1E4FA5ED">
        <w:rPr>
          <w:rFonts w:eastAsiaTheme="minorEastAsia"/>
        </w:rPr>
        <w:t>º  Caso</w:t>
      </w:r>
      <w:bookmarkEnd w:id="1304"/>
      <w:r w:rsidRPr="1E4FA5ED">
        <w:rPr>
          <w:rFonts w:eastAsiaTheme="minorEastAsia"/>
        </w:rPr>
        <w:t xml:space="preserve"> os valores correspondentes ao capital realizado e ao patrimônio líquido sejam insuficientes para atender às exigências estabelecidas nos incisos do </w:t>
      </w:r>
      <w:r w:rsidRPr="004B0593">
        <w:rPr>
          <w:rFonts w:eastAsiaTheme="minorEastAsia"/>
          <w:b/>
        </w:rPr>
        <w:t>caput</w:t>
      </w:r>
      <w:r w:rsidRPr="1E4FA5ED">
        <w:rPr>
          <w:rFonts w:eastAsiaTheme="minorEastAsia"/>
        </w:rPr>
        <w:t xml:space="preserve">, </w:t>
      </w:r>
      <w:r>
        <w:rPr>
          <w:rFonts w:eastAsiaTheme="minorEastAsia"/>
        </w:rPr>
        <w:t>podem</w:t>
      </w:r>
      <w:r w:rsidRPr="1E4FA5ED">
        <w:rPr>
          <w:rFonts w:eastAsiaTheme="minorEastAsia"/>
        </w:rPr>
        <w:t xml:space="preserve"> ser utilizados os valores de tais rubricas relativas ao grupo econômico a que pertença o administrador. </w:t>
      </w:r>
    </w:p>
    <w:p w14:paraId="29462E7F"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2</w:t>
      </w:r>
      <w:bookmarkStart w:id="1305" w:name="_Int_yCgH6KJn"/>
      <w:r w:rsidRPr="1E4FA5ED">
        <w:rPr>
          <w:rFonts w:eastAsiaTheme="minorEastAsia"/>
        </w:rPr>
        <w:t>º  O</w:t>
      </w:r>
      <w:bookmarkEnd w:id="1305"/>
      <w:r w:rsidRPr="1E4FA5ED">
        <w:rPr>
          <w:rFonts w:eastAsiaTheme="minorEastAsia"/>
        </w:rPr>
        <w:t xml:space="preserve"> regulamento pode prever mecanismos de participação de cotistas nas decisões administrativas relacionadas com o fundo, sem ônus para o fundo, nas condições estipuladas no regulamento, sem prejuízo da responsabilidade do administrador e das disposições da parte geral da Resolução.</w:t>
      </w:r>
    </w:p>
    <w:p w14:paraId="04727E34"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3</w:t>
      </w:r>
      <w:bookmarkStart w:id="1306" w:name="_Int_C8zFwEYt"/>
      <w:r w:rsidRPr="1E4FA5ED">
        <w:rPr>
          <w:rFonts w:eastAsiaTheme="minorEastAsia"/>
        </w:rPr>
        <w:t>º  A</w:t>
      </w:r>
      <w:bookmarkEnd w:id="1306"/>
      <w:r w:rsidRPr="1E4FA5ED">
        <w:rPr>
          <w:rFonts w:eastAsiaTheme="minorEastAsia"/>
        </w:rPr>
        <w:t xml:space="preserve"> exigência de capital realizado e patrimônio líquido não se aplica quando o administrador contratar os serviços abaixo relacionados com instituições autorizadas pela CVM para a prestação dos serviços de escrituração de cotas e de custódia de valores mobiliários: </w:t>
      </w:r>
    </w:p>
    <w:p w14:paraId="37604FFB" w14:textId="77777777" w:rsidR="006873AD" w:rsidRPr="005257C4" w:rsidRDefault="006873AD" w:rsidP="006873AD">
      <w:pPr>
        <w:pStyle w:val="NormaAlterada"/>
        <w:rPr>
          <w:rFonts w:eastAsiaTheme="minorEastAsia"/>
        </w:rPr>
      </w:pPr>
      <w:r w:rsidRPr="005257C4">
        <w:rPr>
          <w:rFonts w:eastAsiaTheme="minorEastAsia"/>
        </w:rPr>
        <w:t xml:space="preserve">I – escrituração da emissão e resgate de cotas; </w:t>
      </w:r>
    </w:p>
    <w:p w14:paraId="04E927C7" w14:textId="77777777" w:rsidR="006873AD" w:rsidRPr="005257C4" w:rsidRDefault="006873AD" w:rsidP="006873AD">
      <w:pPr>
        <w:pStyle w:val="NormaAlterada"/>
        <w:rPr>
          <w:rFonts w:eastAsiaTheme="minorEastAsia"/>
        </w:rPr>
      </w:pPr>
      <w:r w:rsidRPr="005257C4">
        <w:rPr>
          <w:rFonts w:eastAsiaTheme="minorEastAsia"/>
        </w:rPr>
        <w:t xml:space="preserve">II – tesouraria; e </w:t>
      </w:r>
    </w:p>
    <w:p w14:paraId="7FA7BDBA" w14:textId="77777777" w:rsidR="006873AD" w:rsidRPr="00FF2B42" w:rsidRDefault="006873AD" w:rsidP="006873AD">
      <w:pPr>
        <w:pStyle w:val="NormaAlterada"/>
        <w:rPr>
          <w:rFonts w:eastAsiaTheme="minorEastAsia"/>
        </w:rPr>
      </w:pPr>
      <w:r>
        <w:rPr>
          <w:rFonts w:eastAsiaTheme="minorEastAsia"/>
        </w:rPr>
        <w:t>III –</w:t>
      </w:r>
      <w:r w:rsidRPr="1E4FA5ED">
        <w:rPr>
          <w:rFonts w:eastAsiaTheme="minorEastAsia"/>
        </w:rPr>
        <w:t xml:space="preserve"> organização e o encaminhamento dos documentos e informações previstos nos </w:t>
      </w:r>
      <w:proofErr w:type="spellStart"/>
      <w:r w:rsidRPr="1E4FA5ED">
        <w:rPr>
          <w:rFonts w:eastAsiaTheme="minorEastAsia"/>
        </w:rPr>
        <w:t>arts</w:t>
      </w:r>
      <w:proofErr w:type="spellEnd"/>
      <w:r w:rsidRPr="1E4FA5ED">
        <w:rPr>
          <w:rFonts w:eastAsiaTheme="minorEastAsia"/>
        </w:rPr>
        <w:t>. 23 e 24 deste Anexo Normativo VII</w:t>
      </w:r>
      <w:r>
        <w:rPr>
          <w:rFonts w:eastAsiaTheme="minorEastAsia"/>
        </w:rPr>
        <w:t>.</w:t>
      </w:r>
    </w:p>
    <w:p w14:paraId="612690DD" w14:textId="77777777" w:rsidR="006873AD" w:rsidRPr="00FF2B42" w:rsidRDefault="006873AD" w:rsidP="006873AD">
      <w:pPr>
        <w:pStyle w:val="NormaAlterada"/>
        <w:rPr>
          <w:rFonts w:eastAsiaTheme="minorEastAsia"/>
        </w:rPr>
      </w:pPr>
      <w:r w:rsidRPr="0B059081">
        <w:rPr>
          <w:rFonts w:eastAsiaTheme="minorEastAsia"/>
        </w:rPr>
        <w:t>Art. 6</w:t>
      </w:r>
      <w:bookmarkStart w:id="1307" w:name="_Int_UKgDzkxn"/>
      <w:r w:rsidRPr="0B059081">
        <w:rPr>
          <w:rFonts w:eastAsiaTheme="minorEastAsia"/>
        </w:rPr>
        <w:t>º  É</w:t>
      </w:r>
      <w:bookmarkEnd w:id="1307"/>
      <w:r w:rsidRPr="0B059081">
        <w:rPr>
          <w:rFonts w:eastAsiaTheme="minorEastAsia"/>
        </w:rPr>
        <w:t xml:space="preserve"> vedada a cobrança de taxa de performance, bem como taxas de ingresso e saída.</w:t>
      </w:r>
    </w:p>
    <w:p w14:paraId="1F9057B6" w14:textId="77777777" w:rsidR="006873AD" w:rsidRPr="00FF2B42" w:rsidRDefault="006873AD" w:rsidP="006873AD">
      <w:pPr>
        <w:pStyle w:val="NormaAlterada"/>
        <w:rPr>
          <w:rFonts w:eastAsiaTheme="minorEastAsia"/>
        </w:rPr>
      </w:pPr>
      <w:r w:rsidRPr="1E4FA5ED">
        <w:rPr>
          <w:rFonts w:eastAsiaTheme="minorEastAsia"/>
        </w:rPr>
        <w:t>Art. 7</w:t>
      </w:r>
      <w:bookmarkStart w:id="1308" w:name="_Int_8ISMSdSQ"/>
      <w:r w:rsidRPr="1E4FA5ED">
        <w:rPr>
          <w:rFonts w:eastAsiaTheme="minorEastAsia"/>
        </w:rPr>
        <w:t>º  Nas</w:t>
      </w:r>
      <w:bookmarkEnd w:id="1308"/>
      <w:r w:rsidRPr="1E4FA5ED">
        <w:rPr>
          <w:rFonts w:eastAsiaTheme="minorEastAsia"/>
        </w:rPr>
        <w:t xml:space="preserve"> hipóteses de renúncia e descredenciamento, fica o administrador obrigado a convocar, em até 2 (dois) dias úteis, assembleia geral de cotistas para eleger substituto ou deliberar a incorporação do fundo a outro FMP-FGTS.</w:t>
      </w:r>
    </w:p>
    <w:p w14:paraId="7F81AA65" w14:textId="77777777" w:rsidR="006873AD" w:rsidRPr="005257C4" w:rsidRDefault="006873AD" w:rsidP="006873AD">
      <w:pPr>
        <w:pStyle w:val="NormaAlterada"/>
        <w:rPr>
          <w:rFonts w:eastAsiaTheme="minorEastAsia"/>
        </w:rPr>
      </w:pPr>
      <w:r w:rsidRPr="005257C4">
        <w:rPr>
          <w:rFonts w:eastAsiaTheme="minorEastAsia"/>
        </w:rPr>
        <w:lastRenderedPageBreak/>
        <w:t>Parágrafo único.  O administrador deve permanecer no exercício de suas funções até sua efetiva substituição.</w:t>
      </w:r>
    </w:p>
    <w:p w14:paraId="2C72D742" w14:textId="77777777" w:rsidR="006873AD" w:rsidRPr="00207CD3" w:rsidRDefault="006873AD" w:rsidP="006873AD">
      <w:pPr>
        <w:pStyle w:val="NormaAlterada"/>
        <w:rPr>
          <w:rFonts w:eastAsiaTheme="minorEastAsia"/>
        </w:rPr>
      </w:pPr>
      <w:r w:rsidRPr="1E4FA5ED">
        <w:rPr>
          <w:rFonts w:eastAsiaTheme="minorEastAsia"/>
        </w:rPr>
        <w:t>Art. 8</w:t>
      </w:r>
      <w:bookmarkStart w:id="1309" w:name="_Int_SP3ghTOJ"/>
      <w:r w:rsidRPr="1E4FA5ED">
        <w:rPr>
          <w:rFonts w:eastAsiaTheme="minorEastAsia"/>
        </w:rPr>
        <w:t>º  Em</w:t>
      </w:r>
      <w:bookmarkEnd w:id="1309"/>
      <w:r w:rsidRPr="1E4FA5ED">
        <w:rPr>
          <w:rFonts w:eastAsiaTheme="minorEastAsia"/>
        </w:rPr>
        <w:t xml:space="preserve"> acréscimo às vedações previstas no art. 101 da parte geral da Resolução, é vedado ao administrador:</w:t>
      </w:r>
    </w:p>
    <w:p w14:paraId="4CB8CE7A" w14:textId="77777777" w:rsidR="006873AD" w:rsidRPr="00207CD3" w:rsidRDefault="006873AD" w:rsidP="006873AD">
      <w:pPr>
        <w:pStyle w:val="NormaAlterada"/>
        <w:rPr>
          <w:rFonts w:eastAsiaTheme="minorEastAsia"/>
        </w:rPr>
      </w:pPr>
      <w:r w:rsidRPr="1E4FA5ED">
        <w:rPr>
          <w:rFonts w:eastAsiaTheme="minorEastAsia"/>
        </w:rPr>
        <w:t>I – negociar, fora de mercados regulamentados de valores mobiliários, ações de companhias abertas para registro nesses mercados, ressalvadas, quanto à aquisição, as hipóteses de leilões do Programa Nacional de Desestatização ou dos Programas Estaduais de Desestatização, subscrições e bonificações, observado o disposto no §1º do art. 18 deste Anexo Normativo VII; e</w:t>
      </w:r>
    </w:p>
    <w:p w14:paraId="68D5ED71" w14:textId="77777777" w:rsidR="006873AD" w:rsidRPr="00207CD3" w:rsidRDefault="006873AD" w:rsidP="006873AD">
      <w:pPr>
        <w:pStyle w:val="NormaAlterada"/>
        <w:rPr>
          <w:rFonts w:eastAsiaTheme="minorEastAsia"/>
        </w:rPr>
      </w:pPr>
      <w:r w:rsidRPr="1E4FA5ED">
        <w:rPr>
          <w:rFonts w:eastAsiaTheme="minorEastAsia"/>
        </w:rPr>
        <w:t xml:space="preserve">II </w:t>
      </w:r>
      <w:r>
        <w:rPr>
          <w:rFonts w:eastAsiaTheme="minorEastAsia"/>
        </w:rPr>
        <w:t>–</w:t>
      </w:r>
      <w:r w:rsidRPr="1E4FA5ED">
        <w:rPr>
          <w:rFonts w:eastAsiaTheme="minorEastAsia"/>
        </w:rPr>
        <w:t xml:space="preserve"> </w:t>
      </w:r>
      <w:bookmarkStart w:id="1310" w:name="_Int_Uvh4F2zO"/>
      <w:r w:rsidRPr="1E4FA5ED">
        <w:rPr>
          <w:rFonts w:eastAsiaTheme="minorEastAsia"/>
        </w:rPr>
        <w:t>operar</w:t>
      </w:r>
      <w:bookmarkEnd w:id="1310"/>
      <w:r w:rsidRPr="1E4FA5ED">
        <w:rPr>
          <w:rFonts w:eastAsiaTheme="minorEastAsia"/>
        </w:rPr>
        <w:t>, direta ou indiretamente, na contraparte das operações da classe de cotas.</w:t>
      </w:r>
    </w:p>
    <w:p w14:paraId="7203010F" w14:textId="77777777" w:rsidR="006873AD" w:rsidRPr="00207CD3" w:rsidRDefault="006873AD" w:rsidP="006873AD">
      <w:pPr>
        <w:pStyle w:val="Captulo"/>
        <w:rPr>
          <w:rFonts w:eastAsiaTheme="minorEastAsia"/>
        </w:rPr>
      </w:pPr>
      <w:bookmarkStart w:id="1311" w:name="_Toc161141399"/>
      <w:r w:rsidRPr="00207CD3">
        <w:rPr>
          <w:rFonts w:eastAsiaTheme="minorEastAsia"/>
        </w:rPr>
        <w:t>CAPÍTULO V – ASSEMBLEIA DE COTISTAS</w:t>
      </w:r>
      <w:bookmarkEnd w:id="1311"/>
    </w:p>
    <w:p w14:paraId="784C83B3" w14:textId="77777777" w:rsidR="006873AD" w:rsidRPr="00FF2B42" w:rsidRDefault="006873AD" w:rsidP="006873AD">
      <w:pPr>
        <w:pStyle w:val="NormaAlterada"/>
        <w:rPr>
          <w:rFonts w:eastAsiaTheme="minorEastAsia"/>
        </w:rPr>
      </w:pPr>
      <w:r w:rsidRPr="1E4FA5ED">
        <w:rPr>
          <w:rFonts w:eastAsiaTheme="minorEastAsia"/>
        </w:rPr>
        <w:t>Art. 9º  A assembleia de cotistas somente pode autorizar operações de fusão e incorporação de FMP-FGTS que possuam em sua carteira valores mobiliários de um mesmo emissor, sendo permitida, ainda, a realização de operações de fusão e incorporação de Fundos Mútuos de Privatização – FGTS Carteira Livre com políticas de investimento compatíveis.</w:t>
      </w:r>
    </w:p>
    <w:p w14:paraId="2A654F8F" w14:textId="77777777" w:rsidR="006873AD" w:rsidRPr="00FF2B42" w:rsidRDefault="006873AD" w:rsidP="006873AD">
      <w:pPr>
        <w:pStyle w:val="NormaAlterada"/>
        <w:rPr>
          <w:rFonts w:eastAsiaTheme="minorEastAsia"/>
        </w:rPr>
      </w:pPr>
      <w:r w:rsidRPr="1E4FA5ED">
        <w:rPr>
          <w:rFonts w:eastAsiaTheme="minorEastAsia"/>
        </w:rPr>
        <w:t>§ 1</w:t>
      </w:r>
      <w:bookmarkStart w:id="1312" w:name="_Int_svB5EZP3"/>
      <w:r w:rsidRPr="1E4FA5ED">
        <w:rPr>
          <w:rFonts w:eastAsiaTheme="minorEastAsia"/>
        </w:rPr>
        <w:t>º  É</w:t>
      </w:r>
      <w:bookmarkEnd w:id="1312"/>
      <w:r w:rsidRPr="1E4FA5ED">
        <w:rPr>
          <w:rFonts w:eastAsiaTheme="minorEastAsia"/>
        </w:rPr>
        <w:t xml:space="preserve"> vedada a transformação de FMP-FGTS em Fundo Mútuo de Privatização - FGTS Carteira livre e vice-versa.</w:t>
      </w:r>
    </w:p>
    <w:p w14:paraId="0BA9D939" w14:textId="77777777" w:rsidR="006873AD" w:rsidRPr="00207CD3" w:rsidRDefault="006873AD" w:rsidP="006873AD">
      <w:pPr>
        <w:pStyle w:val="NormaAlterada"/>
        <w:rPr>
          <w:rFonts w:eastAsiaTheme="minorEastAsia"/>
        </w:rPr>
      </w:pPr>
      <w:r w:rsidRPr="1E4FA5ED">
        <w:rPr>
          <w:rFonts w:eastAsiaTheme="minorEastAsia"/>
        </w:rPr>
        <w:t>§ 2</w:t>
      </w:r>
      <w:bookmarkStart w:id="1313" w:name="_Int_WL6uQ74g"/>
      <w:r w:rsidRPr="1E4FA5ED">
        <w:rPr>
          <w:rFonts w:eastAsiaTheme="minorEastAsia"/>
        </w:rPr>
        <w:t>º  É</w:t>
      </w:r>
      <w:bookmarkEnd w:id="1313"/>
      <w:r w:rsidRPr="1E4FA5ED">
        <w:rPr>
          <w:rFonts w:eastAsiaTheme="minorEastAsia"/>
        </w:rPr>
        <w:t xml:space="preserve"> vedada a alteração da política de investimentos no tocante ao emissor dos valores mobiliários integrantes da carteira de ativos.</w:t>
      </w:r>
    </w:p>
    <w:p w14:paraId="0DFF22FF" w14:textId="77777777" w:rsidR="006873AD" w:rsidRPr="00FF2B42" w:rsidRDefault="006873AD" w:rsidP="006873AD">
      <w:pPr>
        <w:pStyle w:val="NormaAlterada"/>
        <w:rPr>
          <w:rFonts w:eastAsiaTheme="minorEastAsia"/>
        </w:rPr>
      </w:pPr>
      <w:r w:rsidRPr="1E4FA5ED">
        <w:rPr>
          <w:rFonts w:eastAsiaTheme="minorEastAsia"/>
        </w:rPr>
        <w:t>Art. 10.  Não se realizando a assembleia, deve ser efetuada segunda convocação, com antecedência mínima de 5 (cinco) dias úteis.</w:t>
      </w:r>
    </w:p>
    <w:p w14:paraId="0FEE4876" w14:textId="77777777" w:rsidR="006873AD" w:rsidRPr="005257C4" w:rsidRDefault="006873AD" w:rsidP="006873AD">
      <w:pPr>
        <w:pStyle w:val="NormaAlterada"/>
        <w:rPr>
          <w:rFonts w:eastAsiaTheme="minorEastAsia"/>
        </w:rPr>
      </w:pPr>
      <w:r w:rsidRPr="0B059081">
        <w:rPr>
          <w:rFonts w:eastAsiaTheme="minorEastAsia"/>
        </w:rPr>
        <w:t xml:space="preserve">Art. 11.  Na assembleia de cotistas, as deliberações </w:t>
      </w:r>
      <w:r>
        <w:rPr>
          <w:rFonts w:eastAsiaTheme="minorEastAsia"/>
        </w:rPr>
        <w:t>devem ser</w:t>
      </w:r>
      <w:r w:rsidRPr="0B059081">
        <w:rPr>
          <w:rFonts w:eastAsiaTheme="minorEastAsia"/>
        </w:rPr>
        <w:t xml:space="preserve"> tomadas </w:t>
      </w:r>
      <w:r w:rsidRPr="005257C4">
        <w:rPr>
          <w:rFonts w:eastAsiaTheme="minorEastAsia"/>
        </w:rPr>
        <w:t>pela maioria das cotas dos cotistas presentes:</w:t>
      </w:r>
    </w:p>
    <w:p w14:paraId="435E96B5" w14:textId="77777777" w:rsidR="006873AD" w:rsidRPr="00FF2B42" w:rsidRDefault="006873AD" w:rsidP="006873AD">
      <w:pPr>
        <w:pStyle w:val="NormaAlterada"/>
        <w:rPr>
          <w:rFonts w:eastAsiaTheme="minorEastAsia"/>
        </w:rPr>
      </w:pPr>
      <w:r w:rsidRPr="1E4FA5ED">
        <w:rPr>
          <w:rFonts w:eastAsiaTheme="minorEastAsia"/>
        </w:rPr>
        <w:t xml:space="preserve">I </w:t>
      </w:r>
      <w:r>
        <w:rPr>
          <w:rFonts w:eastAsiaTheme="minorEastAsia"/>
        </w:rPr>
        <w:t>–</w:t>
      </w:r>
      <w:r w:rsidRPr="1E4FA5ED">
        <w:rPr>
          <w:rFonts w:eastAsiaTheme="minorEastAsia"/>
        </w:rPr>
        <w:t xml:space="preserve"> </w:t>
      </w:r>
      <w:bookmarkStart w:id="1314" w:name="_Int_bmvMoWsi"/>
      <w:r w:rsidRPr="1E4FA5ED">
        <w:rPr>
          <w:rFonts w:eastAsiaTheme="minorEastAsia"/>
        </w:rPr>
        <w:t>em</w:t>
      </w:r>
      <w:bookmarkEnd w:id="1314"/>
      <w:r w:rsidRPr="1E4FA5ED">
        <w:rPr>
          <w:rFonts w:eastAsiaTheme="minorEastAsia"/>
        </w:rPr>
        <w:t xml:space="preserve"> primeira convocação, com um quórum mínimo de 5% (cinco por cento) das cotas emitidas; e</w:t>
      </w:r>
    </w:p>
    <w:p w14:paraId="1EC86E4E" w14:textId="77777777" w:rsidR="006873AD" w:rsidRPr="00FF2B42" w:rsidRDefault="006873AD" w:rsidP="006873AD">
      <w:pPr>
        <w:pStyle w:val="NormaAlterada"/>
        <w:rPr>
          <w:rFonts w:eastAsiaTheme="minorEastAsia"/>
        </w:rPr>
      </w:pPr>
      <w:r w:rsidRPr="1E4FA5ED">
        <w:rPr>
          <w:rFonts w:eastAsiaTheme="minorEastAsia"/>
        </w:rPr>
        <w:t xml:space="preserve">II </w:t>
      </w:r>
      <w:r>
        <w:rPr>
          <w:rFonts w:eastAsiaTheme="minorEastAsia"/>
        </w:rPr>
        <w:t>–</w:t>
      </w:r>
      <w:r w:rsidRPr="1E4FA5ED">
        <w:rPr>
          <w:rFonts w:eastAsiaTheme="minorEastAsia"/>
        </w:rPr>
        <w:t xml:space="preserve"> </w:t>
      </w:r>
      <w:bookmarkStart w:id="1315" w:name="_Int_xymAeZAC"/>
      <w:r w:rsidRPr="1E4FA5ED">
        <w:rPr>
          <w:rFonts w:eastAsiaTheme="minorEastAsia"/>
        </w:rPr>
        <w:t>em</w:t>
      </w:r>
      <w:bookmarkEnd w:id="1315"/>
      <w:r w:rsidRPr="1E4FA5ED">
        <w:rPr>
          <w:rFonts w:eastAsiaTheme="minorEastAsia"/>
        </w:rPr>
        <w:t xml:space="preserve"> segunda convocação, com qualquer número.</w:t>
      </w:r>
    </w:p>
    <w:p w14:paraId="0A3C63EE" w14:textId="6DC4D5C9" w:rsidR="006873AD" w:rsidRPr="00FF2B42" w:rsidRDefault="006873AD" w:rsidP="006873AD">
      <w:pPr>
        <w:pStyle w:val="NormaAlterada"/>
        <w:rPr>
          <w:rFonts w:eastAsiaTheme="minorEastAsia"/>
        </w:rPr>
      </w:pPr>
      <w:r w:rsidRPr="0B059081">
        <w:rPr>
          <w:rFonts w:eastAsiaTheme="minorEastAsia"/>
        </w:rPr>
        <w:t>§</w:t>
      </w:r>
      <w:r w:rsidR="000E44FD">
        <w:rPr>
          <w:rFonts w:eastAsiaTheme="minorEastAsia"/>
        </w:rPr>
        <w:t xml:space="preserve"> </w:t>
      </w:r>
      <w:r w:rsidRPr="0B059081">
        <w:rPr>
          <w:rFonts w:eastAsiaTheme="minorEastAsia"/>
        </w:rPr>
        <w:t>1</w:t>
      </w:r>
      <w:bookmarkStart w:id="1316" w:name="_Int_8xQ5bpJE"/>
      <w:r w:rsidRPr="0B059081">
        <w:rPr>
          <w:rFonts w:eastAsiaTheme="minorEastAsia"/>
        </w:rPr>
        <w:t>º  O</w:t>
      </w:r>
      <w:bookmarkEnd w:id="1316"/>
      <w:r w:rsidRPr="0B059081">
        <w:rPr>
          <w:rFonts w:eastAsiaTheme="minorEastAsia"/>
        </w:rPr>
        <w:t xml:space="preserve"> quórum de deliberação para o processo de consulta formal previsto no § 5º do art. 76 da parte geral da Resolução deve ser o de maioria absoluta das cotas emitidas, independentemente da matéria.</w:t>
      </w:r>
    </w:p>
    <w:p w14:paraId="49D260C6" w14:textId="334A6AB8" w:rsidR="006873AD" w:rsidRPr="00FF2B42" w:rsidRDefault="006873AD" w:rsidP="006873AD">
      <w:pPr>
        <w:pStyle w:val="NormaAlterada"/>
        <w:rPr>
          <w:rFonts w:eastAsiaTheme="minorEastAsia"/>
        </w:rPr>
      </w:pPr>
      <w:r w:rsidRPr="1E4FA5ED">
        <w:rPr>
          <w:rFonts w:eastAsiaTheme="minorEastAsia"/>
        </w:rPr>
        <w:lastRenderedPageBreak/>
        <w:t>§</w:t>
      </w:r>
      <w:r w:rsidR="000E44FD">
        <w:rPr>
          <w:rFonts w:eastAsiaTheme="minorEastAsia"/>
        </w:rPr>
        <w:t xml:space="preserve"> </w:t>
      </w:r>
      <w:r w:rsidRPr="1E4FA5ED">
        <w:rPr>
          <w:rFonts w:eastAsiaTheme="minorEastAsia"/>
        </w:rPr>
        <w:t>2</w:t>
      </w:r>
      <w:bookmarkStart w:id="1317" w:name="_Int_CdS1ZYnQ"/>
      <w:r w:rsidRPr="1E4FA5ED">
        <w:rPr>
          <w:rFonts w:eastAsiaTheme="minorEastAsia"/>
        </w:rPr>
        <w:t>º  A</w:t>
      </w:r>
      <w:bookmarkEnd w:id="1317"/>
      <w:r w:rsidRPr="1E4FA5ED">
        <w:rPr>
          <w:rFonts w:eastAsiaTheme="minorEastAsia"/>
        </w:rPr>
        <w:t xml:space="preserve"> ausência de resposta à consulta formal deve ser considerada como anuência por parte do cotista, desde que tal interpretação esteja expressamente prevista no regulamento e conste da própria consulta.</w:t>
      </w:r>
    </w:p>
    <w:p w14:paraId="26D7786D" w14:textId="77777777" w:rsidR="006873AD" w:rsidRPr="00FF2B42" w:rsidRDefault="006873AD" w:rsidP="006873AD">
      <w:pPr>
        <w:pStyle w:val="Captulo"/>
        <w:rPr>
          <w:rFonts w:eastAsiaTheme="minorEastAsia"/>
        </w:rPr>
      </w:pPr>
      <w:bookmarkStart w:id="1318" w:name="_Toc161141400"/>
      <w:r w:rsidRPr="0B059081">
        <w:rPr>
          <w:rFonts w:eastAsiaTheme="minorEastAsia" w:cstheme="minorBidi"/>
        </w:rPr>
        <w:t>CAPÍTULO VI – COTAS</w:t>
      </w:r>
      <w:bookmarkEnd w:id="1318"/>
    </w:p>
    <w:p w14:paraId="3333C80A" w14:textId="070C7956" w:rsidR="006873AD" w:rsidRPr="00FF2B42" w:rsidRDefault="006873AD" w:rsidP="006873AD">
      <w:pPr>
        <w:pStyle w:val="NormaAlterada"/>
        <w:rPr>
          <w:rFonts w:eastAsiaTheme="minorEastAsia"/>
        </w:rPr>
      </w:pPr>
      <w:r w:rsidRPr="1E4FA5ED">
        <w:rPr>
          <w:rFonts w:eastAsiaTheme="minorEastAsia"/>
        </w:rPr>
        <w:t xml:space="preserve">Art. 12.  As cotas do FMP </w:t>
      </w:r>
      <w:r w:rsidR="000E44FD">
        <w:rPr>
          <w:rFonts w:eastAsiaTheme="minorEastAsia"/>
        </w:rPr>
        <w:t>–</w:t>
      </w:r>
      <w:r w:rsidRPr="1E4FA5ED">
        <w:rPr>
          <w:rFonts w:eastAsiaTheme="minorEastAsia"/>
        </w:rPr>
        <w:t xml:space="preserve"> FGTS corresponde</w:t>
      </w:r>
      <w:r>
        <w:rPr>
          <w:rFonts w:eastAsiaTheme="minorEastAsia"/>
        </w:rPr>
        <w:t>m</w:t>
      </w:r>
      <w:r w:rsidRPr="1E4FA5ED">
        <w:rPr>
          <w:rFonts w:eastAsiaTheme="minorEastAsia"/>
        </w:rPr>
        <w:t xml:space="preserve"> a frações ideais de seu patrimônio e assegura</w:t>
      </w:r>
      <w:r>
        <w:rPr>
          <w:rFonts w:eastAsiaTheme="minorEastAsia"/>
        </w:rPr>
        <w:t>m</w:t>
      </w:r>
      <w:r w:rsidRPr="1E4FA5ED">
        <w:rPr>
          <w:rFonts w:eastAsiaTheme="minorEastAsia"/>
        </w:rPr>
        <w:t xml:space="preserve"> a seus detentores os mesmos direitos.</w:t>
      </w:r>
    </w:p>
    <w:p w14:paraId="648DE453" w14:textId="77777777" w:rsidR="006873AD" w:rsidRDefault="006873AD" w:rsidP="006873AD">
      <w:pPr>
        <w:pStyle w:val="NormaAlterada"/>
        <w:rPr>
          <w:rFonts w:eastAsiaTheme="minorEastAsia"/>
        </w:rPr>
      </w:pPr>
      <w:r w:rsidRPr="0396E2AE">
        <w:rPr>
          <w:rFonts w:eastAsiaTheme="minorEastAsia"/>
        </w:rPr>
        <w:t xml:space="preserve">Parágrafo único.  Caso o fundo conte com classes de cotas, os detentores de cotas de uma classe possuem os mesmos direitos, mas a igualdade não é requerida para detentores de cotas de classes diferentes. </w:t>
      </w:r>
    </w:p>
    <w:p w14:paraId="327D22F0" w14:textId="77777777" w:rsidR="006873AD" w:rsidRPr="005257C4" w:rsidRDefault="006873AD" w:rsidP="006873AD">
      <w:pPr>
        <w:pStyle w:val="NormaAlterada"/>
        <w:rPr>
          <w:rFonts w:eastAsiaTheme="minorEastAsia"/>
        </w:rPr>
      </w:pPr>
      <w:r w:rsidRPr="005257C4">
        <w:rPr>
          <w:rFonts w:eastAsiaTheme="minorEastAsia"/>
        </w:rPr>
        <w:t>Art. 13.  A emissão de cotas deve ser efetuada em conformidade com o disposto no regulamento do FMP-FGTS.</w:t>
      </w:r>
    </w:p>
    <w:p w14:paraId="05B2226A" w14:textId="77777777" w:rsidR="006873AD" w:rsidRPr="00B9050F" w:rsidRDefault="006873AD" w:rsidP="006873AD">
      <w:pPr>
        <w:pStyle w:val="NormaAlterada"/>
        <w:rPr>
          <w:rFonts w:eastAsiaTheme="minorEastAsia"/>
        </w:rPr>
      </w:pPr>
      <w:r w:rsidRPr="005257C4">
        <w:rPr>
          <w:rFonts w:eastAsiaTheme="minorEastAsia"/>
        </w:rPr>
        <w:t xml:space="preserve">Art. 14.  As cotas subscritas devem ser integralizadas exclusivamente com os recursos </w:t>
      </w:r>
      <w:r w:rsidRPr="1E4FA5ED">
        <w:rPr>
          <w:rFonts w:eastAsiaTheme="minorEastAsia"/>
        </w:rPr>
        <w:t>provenientes:</w:t>
      </w:r>
    </w:p>
    <w:p w14:paraId="1DDEEC17" w14:textId="77777777" w:rsidR="006873AD" w:rsidRPr="00B9050F" w:rsidRDefault="006873AD" w:rsidP="006873AD">
      <w:pPr>
        <w:pStyle w:val="NormaAlterada"/>
        <w:rPr>
          <w:rFonts w:eastAsiaTheme="minorEastAsia"/>
        </w:rPr>
      </w:pPr>
      <w:r w:rsidRPr="1E4FA5ED">
        <w:rPr>
          <w:rFonts w:eastAsiaTheme="minorEastAsia"/>
        </w:rPr>
        <w:t xml:space="preserve">I </w:t>
      </w:r>
      <w:r>
        <w:rPr>
          <w:rFonts w:eastAsiaTheme="minorEastAsia"/>
        </w:rPr>
        <w:t>–</w:t>
      </w:r>
      <w:r w:rsidRPr="1E4FA5ED">
        <w:rPr>
          <w:rFonts w:eastAsiaTheme="minorEastAsia"/>
        </w:rPr>
        <w:t xml:space="preserve"> </w:t>
      </w:r>
      <w:bookmarkStart w:id="1319" w:name="_Int_UuqitJCY"/>
      <w:r w:rsidRPr="1E4FA5ED">
        <w:rPr>
          <w:rFonts w:eastAsiaTheme="minorEastAsia"/>
        </w:rPr>
        <w:t>da</w:t>
      </w:r>
      <w:bookmarkEnd w:id="1319"/>
      <w:r w:rsidRPr="1E4FA5ED">
        <w:rPr>
          <w:rFonts w:eastAsiaTheme="minorEastAsia"/>
        </w:rPr>
        <w:t xml:space="preserve"> conversão parcial dos saldos do FGTS dos participantes referidos no § 1º do art. 2º deste Anexo Normativo VII; ou </w:t>
      </w:r>
    </w:p>
    <w:p w14:paraId="0C13EEF2" w14:textId="77777777" w:rsidR="006873AD" w:rsidRPr="00FF2B42" w:rsidRDefault="006873AD" w:rsidP="006873AD">
      <w:pPr>
        <w:pStyle w:val="NormaAlterada"/>
        <w:rPr>
          <w:rFonts w:eastAsiaTheme="minorEastAsia"/>
        </w:rPr>
      </w:pPr>
      <w:r w:rsidRPr="72AA9A0C">
        <w:rPr>
          <w:rFonts w:eastAsiaTheme="minorEastAsia"/>
        </w:rPr>
        <w:t xml:space="preserve">II </w:t>
      </w:r>
      <w:r>
        <w:rPr>
          <w:rFonts w:eastAsiaTheme="minorEastAsia"/>
        </w:rPr>
        <w:t>–</w:t>
      </w:r>
      <w:r w:rsidRPr="72AA9A0C">
        <w:rPr>
          <w:rFonts w:eastAsiaTheme="minorEastAsia"/>
        </w:rPr>
        <w:t xml:space="preserve"> </w:t>
      </w:r>
      <w:bookmarkStart w:id="1320" w:name="_Int_dLxfqYvU"/>
      <w:r w:rsidRPr="72AA9A0C">
        <w:rPr>
          <w:rFonts w:eastAsiaTheme="minorEastAsia"/>
        </w:rPr>
        <w:t>da</w:t>
      </w:r>
      <w:bookmarkEnd w:id="1320"/>
      <w:r w:rsidRPr="72AA9A0C">
        <w:rPr>
          <w:rFonts w:eastAsiaTheme="minorEastAsia"/>
        </w:rPr>
        <w:t xml:space="preserve"> transferência prevista no inciso II do art. 16 deste Anexo Normativo VII.</w:t>
      </w:r>
    </w:p>
    <w:p w14:paraId="73C2836A" w14:textId="43A1717C" w:rsidR="006873AD" w:rsidRPr="00FF2B42" w:rsidRDefault="006873AD" w:rsidP="006873AD">
      <w:pPr>
        <w:pStyle w:val="NormaAlterada"/>
        <w:rPr>
          <w:rFonts w:eastAsiaTheme="minorEastAsia"/>
        </w:rPr>
      </w:pPr>
      <w:r w:rsidRPr="005257C4">
        <w:rPr>
          <w:rFonts w:eastAsiaTheme="minorEastAsia"/>
        </w:rPr>
        <w:t xml:space="preserve">Parágrafo único. </w:t>
      </w:r>
      <w:r w:rsidRPr="72AA9A0C">
        <w:rPr>
          <w:rFonts w:eastAsiaTheme="minorEastAsia"/>
        </w:rPr>
        <w:t xml:space="preserve"> A data da subscrição das cotas corresponde à data em que o agente operador do FGTS comunicar ao FMP-FGTS o bloqueio da importância respectiva na conta do titular do FGTS ou à data de transferência, na forma do § 2º do art. 16 deste Anexo Normativo V</w:t>
      </w:r>
      <w:r>
        <w:rPr>
          <w:rFonts w:eastAsiaTheme="minorEastAsia"/>
        </w:rPr>
        <w:t>II</w:t>
      </w:r>
      <w:r w:rsidRPr="72AA9A0C">
        <w:rPr>
          <w:rFonts w:eastAsiaTheme="minorEastAsia"/>
        </w:rPr>
        <w:t>.</w:t>
      </w:r>
    </w:p>
    <w:p w14:paraId="083880FB" w14:textId="77777777" w:rsidR="006873AD" w:rsidRPr="005257C4" w:rsidRDefault="006873AD" w:rsidP="006873AD">
      <w:pPr>
        <w:pStyle w:val="NormaAlterada"/>
        <w:rPr>
          <w:rFonts w:eastAsiaTheme="minorEastAsia"/>
        </w:rPr>
      </w:pPr>
      <w:r w:rsidRPr="748D07AE">
        <w:rPr>
          <w:rFonts w:eastAsiaTheme="minorEastAsia"/>
        </w:rPr>
        <w:t>Art. 15.  A integralização das cotas dar-se-á concomitantemente à liquidação financeira dos valores mobiliários adquiridos no âmbito do Programa Nacional de Desestatização ou dos Programas Estaduais de Desestatização ou à data da transferência, na forma do § 2º do art. 16 deste Anexo Normativo V</w:t>
      </w:r>
      <w:r>
        <w:rPr>
          <w:rFonts w:eastAsiaTheme="minorEastAsia"/>
        </w:rPr>
        <w:t>II</w:t>
      </w:r>
      <w:r w:rsidRPr="748D07AE">
        <w:rPr>
          <w:rFonts w:eastAsiaTheme="minorEastAsia"/>
        </w:rPr>
        <w:t>.</w:t>
      </w:r>
    </w:p>
    <w:p w14:paraId="7AB8E03E" w14:textId="77777777" w:rsidR="006873AD" w:rsidRPr="00FF2B42" w:rsidRDefault="006873AD" w:rsidP="006873AD">
      <w:pPr>
        <w:pStyle w:val="NormaAlterada"/>
        <w:rPr>
          <w:rFonts w:eastAsiaTheme="minorEastAsia"/>
        </w:rPr>
      </w:pPr>
      <w:r w:rsidRPr="748D07AE">
        <w:rPr>
          <w:rFonts w:eastAsiaTheme="minorEastAsia"/>
        </w:rPr>
        <w:t xml:space="preserve">Art. 16.  </w:t>
      </w:r>
      <w:r>
        <w:rPr>
          <w:rFonts w:eastAsiaTheme="minorEastAsia"/>
        </w:rPr>
        <w:t>São</w:t>
      </w:r>
      <w:r w:rsidRPr="748D07AE">
        <w:rPr>
          <w:rFonts w:eastAsiaTheme="minorEastAsia"/>
        </w:rPr>
        <w:t xml:space="preserve"> permitidos a transferência e o resgate de cotas, totais ou parciais, nas seguintes hipóteses:</w:t>
      </w:r>
    </w:p>
    <w:p w14:paraId="217F9A2B" w14:textId="77777777" w:rsidR="006873AD" w:rsidRPr="00FF2B42" w:rsidRDefault="006873AD" w:rsidP="006873AD">
      <w:pPr>
        <w:pStyle w:val="NormaAlterada"/>
        <w:rPr>
          <w:rFonts w:eastAsiaTheme="minorEastAsia"/>
        </w:rPr>
      </w:pPr>
      <w:r w:rsidRPr="1E4FA5ED">
        <w:rPr>
          <w:rFonts w:eastAsiaTheme="minorEastAsia"/>
        </w:rPr>
        <w:t xml:space="preserve">I </w:t>
      </w:r>
      <w:r>
        <w:rPr>
          <w:rFonts w:eastAsiaTheme="minorEastAsia"/>
        </w:rPr>
        <w:t>–</w:t>
      </w:r>
      <w:r w:rsidRPr="1E4FA5ED">
        <w:rPr>
          <w:rFonts w:eastAsiaTheme="minorEastAsia"/>
        </w:rPr>
        <w:t xml:space="preserve"> </w:t>
      </w:r>
      <w:bookmarkStart w:id="1321" w:name="_Int_dLHiCZGI"/>
      <w:r w:rsidRPr="1E4FA5ED">
        <w:rPr>
          <w:rFonts w:eastAsiaTheme="minorEastAsia"/>
        </w:rPr>
        <w:t>nas</w:t>
      </w:r>
      <w:bookmarkEnd w:id="1321"/>
      <w:r w:rsidRPr="1E4FA5ED">
        <w:rPr>
          <w:rFonts w:eastAsiaTheme="minorEastAsia"/>
        </w:rPr>
        <w:t xml:space="preserve"> condições estabelecidas na Lei nº 9.491, de 1997, e no Decreto nº 2.430, de 1997, que </w:t>
      </w:r>
      <w:r>
        <w:rPr>
          <w:rFonts w:eastAsiaTheme="minorEastAsia"/>
        </w:rPr>
        <w:t>devem</w:t>
      </w:r>
      <w:r w:rsidRPr="1E4FA5ED">
        <w:rPr>
          <w:rFonts w:eastAsiaTheme="minorEastAsia"/>
        </w:rPr>
        <w:t xml:space="preserve"> constar do documento de autorização a ser emitido pelo agente operador do FGTS;</w:t>
      </w:r>
    </w:p>
    <w:p w14:paraId="374A2FF9" w14:textId="77777777" w:rsidR="006873AD" w:rsidRPr="00FF2B42" w:rsidRDefault="006873AD" w:rsidP="006873AD">
      <w:pPr>
        <w:pStyle w:val="NormaAlterada"/>
        <w:rPr>
          <w:rFonts w:eastAsiaTheme="minorEastAsia"/>
        </w:rPr>
      </w:pPr>
      <w:r w:rsidRPr="1E4FA5ED">
        <w:rPr>
          <w:rFonts w:eastAsiaTheme="minorEastAsia"/>
        </w:rPr>
        <w:t xml:space="preserve">II – </w:t>
      </w:r>
      <w:bookmarkStart w:id="1322" w:name="_Int_KB1diMNF"/>
      <w:r w:rsidRPr="1E4FA5ED">
        <w:rPr>
          <w:rFonts w:eastAsiaTheme="minorEastAsia"/>
        </w:rPr>
        <w:t>decorrido</w:t>
      </w:r>
      <w:bookmarkEnd w:id="1322"/>
      <w:r w:rsidRPr="1E4FA5ED">
        <w:rPr>
          <w:rFonts w:eastAsiaTheme="minorEastAsia"/>
        </w:rPr>
        <w:t xml:space="preserve"> o prazo mínimo de 6 (seis) meses, contados da efetiva transferência dos recursos para o FMP-FGTS escolhido, para transferência total ou parcial do investimento para um outro FMP-FGTS; e</w:t>
      </w:r>
    </w:p>
    <w:p w14:paraId="341F40D2" w14:textId="77777777" w:rsidR="006873AD" w:rsidRPr="005257C4" w:rsidRDefault="006873AD" w:rsidP="006873AD">
      <w:pPr>
        <w:pStyle w:val="NormaAlterada"/>
        <w:rPr>
          <w:rFonts w:eastAsiaTheme="minorEastAsia"/>
        </w:rPr>
      </w:pPr>
      <w:r w:rsidRPr="005257C4">
        <w:rPr>
          <w:rFonts w:eastAsiaTheme="minorEastAsia"/>
        </w:rPr>
        <w:lastRenderedPageBreak/>
        <w:t>III – após decorrido o prazo de 12 (doze) meses da data da conversão parcial do saldo do FGTS do participante em cotas de Fundo Mútuo de Privatização, para retorno ao FGTS.</w:t>
      </w:r>
    </w:p>
    <w:p w14:paraId="2E067834"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1</w:t>
      </w:r>
      <w:bookmarkStart w:id="1323" w:name="_Int_ZkwnLwmi"/>
      <w:r w:rsidRPr="1E4FA5ED">
        <w:rPr>
          <w:rFonts w:eastAsiaTheme="minorEastAsia"/>
        </w:rPr>
        <w:t>º  Na</w:t>
      </w:r>
      <w:bookmarkEnd w:id="1323"/>
      <w:r w:rsidRPr="1E4FA5ED">
        <w:rPr>
          <w:rFonts w:eastAsiaTheme="minorEastAsia"/>
        </w:rPr>
        <w:t xml:space="preserve"> solicitação de resgate, o cotista deve indicar o montante em reais ou o número de cotas a serem resgatadas e o FMP-FGTS para o qual pretende transferir os recursos correspondentes ou o retorno ao FGTS.</w:t>
      </w:r>
    </w:p>
    <w:p w14:paraId="493E3A68"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2</w:t>
      </w:r>
      <w:bookmarkStart w:id="1324" w:name="_Int_Uzm6hsbW"/>
      <w:r w:rsidRPr="1E4FA5ED">
        <w:rPr>
          <w:rFonts w:eastAsiaTheme="minorEastAsia"/>
        </w:rPr>
        <w:t>º  Quando</w:t>
      </w:r>
      <w:bookmarkEnd w:id="1324"/>
      <w:r w:rsidRPr="1E4FA5ED">
        <w:rPr>
          <w:rFonts w:eastAsiaTheme="minorEastAsia"/>
        </w:rPr>
        <w:t xml:space="preserve"> ocorrer a transferência do investimento para outro FMP-FGTS, o administrador originário deve repassar os recursos na data do resgate, </w:t>
      </w:r>
      <w:r>
        <w:rPr>
          <w:rFonts w:eastAsiaTheme="minorEastAsia"/>
        </w:rPr>
        <w:t>por meio</w:t>
      </w:r>
      <w:r w:rsidRPr="1E4FA5ED">
        <w:rPr>
          <w:rFonts w:eastAsiaTheme="minorEastAsia"/>
        </w:rPr>
        <w:t xml:space="preserve"> de documento de crédito no qual conste a data da integralização inicial em favor do administrador receptor, que deve proceder à imediata subscrição e integralização de cotas.</w:t>
      </w:r>
    </w:p>
    <w:p w14:paraId="7353879D"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3</w:t>
      </w:r>
      <w:bookmarkStart w:id="1325" w:name="_Int_Q6AP4VDV"/>
      <w:r w:rsidRPr="1E4FA5ED">
        <w:rPr>
          <w:rFonts w:eastAsiaTheme="minorEastAsia"/>
        </w:rPr>
        <w:t>º  Quando</w:t>
      </w:r>
      <w:bookmarkEnd w:id="1325"/>
      <w:r w:rsidRPr="1E4FA5ED">
        <w:rPr>
          <w:rFonts w:eastAsiaTheme="minorEastAsia"/>
        </w:rPr>
        <w:t xml:space="preserve"> ocorrer a hipótese de retorno ao FGTS, o administrador deve repassar os recursos mediante quitação junto à Caixa Econômica Federal - CEF, </w:t>
      </w:r>
      <w:r>
        <w:rPr>
          <w:rFonts w:eastAsiaTheme="minorEastAsia"/>
        </w:rPr>
        <w:t>por meio</w:t>
      </w:r>
      <w:r w:rsidRPr="1E4FA5ED">
        <w:rPr>
          <w:rFonts w:eastAsiaTheme="minorEastAsia"/>
        </w:rPr>
        <w:t xml:space="preserve"> do documento instituído para esse fim pelo agente operador do FGTS.</w:t>
      </w:r>
    </w:p>
    <w:p w14:paraId="66867816" w14:textId="77777777" w:rsidR="006873AD" w:rsidRPr="00FF2B42" w:rsidRDefault="006873AD" w:rsidP="006873AD">
      <w:pPr>
        <w:pStyle w:val="NormaAlterada"/>
        <w:rPr>
          <w:rFonts w:eastAsiaTheme="minorEastAsia"/>
        </w:rPr>
      </w:pPr>
      <w:r w:rsidRPr="1E4FA5ED">
        <w:rPr>
          <w:rFonts w:eastAsiaTheme="minorEastAsia"/>
        </w:rPr>
        <w:t>§</w:t>
      </w:r>
      <w:r>
        <w:rPr>
          <w:rFonts w:eastAsiaTheme="minorEastAsia"/>
        </w:rPr>
        <w:t xml:space="preserve"> </w:t>
      </w:r>
      <w:r w:rsidRPr="1E4FA5ED">
        <w:rPr>
          <w:rFonts w:eastAsiaTheme="minorEastAsia"/>
        </w:rPr>
        <w:t>4</w:t>
      </w:r>
      <w:bookmarkStart w:id="1326" w:name="_Int_DCEkelGM"/>
      <w:r w:rsidRPr="1E4FA5ED">
        <w:rPr>
          <w:rFonts w:eastAsiaTheme="minorEastAsia"/>
        </w:rPr>
        <w:t>º  Sempre</w:t>
      </w:r>
      <w:bookmarkEnd w:id="1326"/>
      <w:r w:rsidRPr="1E4FA5ED">
        <w:rPr>
          <w:rFonts w:eastAsiaTheme="minorEastAsia"/>
        </w:rPr>
        <w:t xml:space="preserve"> que ocorrer a hipótese prevista no inciso II do </w:t>
      </w:r>
      <w:r w:rsidRPr="004B0593">
        <w:rPr>
          <w:rFonts w:eastAsiaTheme="minorEastAsia"/>
          <w:b/>
        </w:rPr>
        <w:t>caput</w:t>
      </w:r>
      <w:r w:rsidRPr="1E4FA5ED">
        <w:rPr>
          <w:rFonts w:eastAsiaTheme="minorEastAsia"/>
        </w:rPr>
        <w:t>, o administrador deve informar ao agente operador do FGTS, no prazo máximo de 5 (cinco) dias úteis, as movimentações realizadas.</w:t>
      </w:r>
    </w:p>
    <w:p w14:paraId="4FB9CD1E" w14:textId="77777777" w:rsidR="006873AD" w:rsidRPr="005257C4" w:rsidRDefault="006873AD" w:rsidP="006873AD">
      <w:pPr>
        <w:pStyle w:val="NormaAlterada"/>
        <w:rPr>
          <w:rFonts w:eastAsiaTheme="minorEastAsia"/>
        </w:rPr>
      </w:pPr>
      <w:r w:rsidRPr="005257C4">
        <w:rPr>
          <w:rFonts w:eastAsiaTheme="minorEastAsia"/>
        </w:rPr>
        <w:t>Art. 17.  O resgate deve ser feito pelo valor de fechamento da cota do dia seguinte ao da solicitação de resgate, devendo o mesmo ser efetivado no período máximo de 5 (cinco) dias úteis, contados da data da formalização do pedido.</w:t>
      </w:r>
    </w:p>
    <w:p w14:paraId="25FECBAC" w14:textId="77777777" w:rsidR="006873AD" w:rsidRPr="00FF2B42" w:rsidRDefault="006873AD" w:rsidP="006873AD">
      <w:pPr>
        <w:pStyle w:val="Captulo"/>
        <w:rPr>
          <w:rFonts w:eastAsiaTheme="minorEastAsia"/>
        </w:rPr>
      </w:pPr>
      <w:bookmarkStart w:id="1327" w:name="_Toc161141401"/>
      <w:r w:rsidRPr="0B059081">
        <w:rPr>
          <w:rFonts w:eastAsiaTheme="minorEastAsia" w:cstheme="minorBidi"/>
        </w:rPr>
        <w:t>CAPÍTULO VII – CARTEIRA</w:t>
      </w:r>
      <w:bookmarkEnd w:id="1327"/>
    </w:p>
    <w:p w14:paraId="3AD83BCF" w14:textId="77777777" w:rsidR="006873AD" w:rsidRPr="005257C4" w:rsidRDefault="006873AD" w:rsidP="006873AD">
      <w:pPr>
        <w:pStyle w:val="NormaAlterada"/>
        <w:rPr>
          <w:rFonts w:eastAsiaTheme="minorEastAsia"/>
        </w:rPr>
      </w:pPr>
      <w:r w:rsidRPr="005257C4">
        <w:rPr>
          <w:rFonts w:eastAsiaTheme="minorEastAsia"/>
        </w:rPr>
        <w:t xml:space="preserve">Art. 18.  A classe de cotas deve manter o seu patrimônio aplicado exclusivamente em: </w:t>
      </w:r>
    </w:p>
    <w:p w14:paraId="147B4221" w14:textId="77777777" w:rsidR="006873AD" w:rsidRPr="00FF2B42" w:rsidRDefault="006873AD" w:rsidP="006873AD">
      <w:pPr>
        <w:pStyle w:val="NormaAlterada"/>
        <w:rPr>
          <w:rFonts w:eastAsiaTheme="minorEastAsia"/>
        </w:rPr>
      </w:pPr>
      <w:r w:rsidRPr="1E4FA5ED">
        <w:rPr>
          <w:rFonts w:eastAsiaTheme="minorEastAsia"/>
        </w:rPr>
        <w:t xml:space="preserve">I – </w:t>
      </w:r>
      <w:bookmarkStart w:id="1328" w:name="_Int_gMF8OKEF"/>
      <w:r w:rsidRPr="1E4FA5ED">
        <w:rPr>
          <w:rFonts w:eastAsiaTheme="minorEastAsia"/>
        </w:rPr>
        <w:t>valores</w:t>
      </w:r>
      <w:bookmarkEnd w:id="1328"/>
      <w:r w:rsidRPr="1E4FA5ED">
        <w:rPr>
          <w:rFonts w:eastAsiaTheme="minorEastAsia"/>
        </w:rPr>
        <w:t xml:space="preserve"> mobiliários adquiridos em oferta pública no âmbito do Programa Nacional de Desestatização, regulado pela Lei nº 9.491, de 1997, e pelo Decreto nº 2.430, de 1997, ou de Programas Estaduais de Desestatização, mediante aprovação do CPPI;</w:t>
      </w:r>
      <w:r>
        <w:rPr>
          <w:rFonts w:eastAsiaTheme="minorEastAsia"/>
        </w:rPr>
        <w:t xml:space="preserve"> e</w:t>
      </w:r>
    </w:p>
    <w:p w14:paraId="57A49BDE" w14:textId="77777777" w:rsidR="006873AD" w:rsidRPr="00FF2B42" w:rsidRDefault="006873AD" w:rsidP="006873AD">
      <w:pPr>
        <w:pStyle w:val="NormaAlterada"/>
        <w:rPr>
          <w:rFonts w:eastAsiaTheme="minorEastAsia"/>
        </w:rPr>
      </w:pPr>
      <w:r w:rsidRPr="1E4FA5ED">
        <w:rPr>
          <w:rFonts w:eastAsiaTheme="minorEastAsia"/>
        </w:rPr>
        <w:t xml:space="preserve">II – </w:t>
      </w:r>
      <w:bookmarkStart w:id="1329" w:name="_Int_FXEZEhlZ"/>
      <w:r w:rsidRPr="1E4FA5ED">
        <w:rPr>
          <w:rFonts w:eastAsiaTheme="minorEastAsia"/>
        </w:rPr>
        <w:t>títulos</w:t>
      </w:r>
      <w:bookmarkEnd w:id="1329"/>
      <w:r w:rsidRPr="1E4FA5ED">
        <w:rPr>
          <w:rFonts w:eastAsiaTheme="minorEastAsia"/>
        </w:rPr>
        <w:t xml:space="preserve"> de renda fixa, privados ou públicos federais, até o limite máximo de 10% (dez por cento) do valor do patrimônio líquido. </w:t>
      </w:r>
    </w:p>
    <w:p w14:paraId="60FC701C" w14:textId="77777777" w:rsidR="006873AD" w:rsidRPr="00FF2B42" w:rsidRDefault="006873AD" w:rsidP="006873AD">
      <w:pPr>
        <w:pStyle w:val="NormaAlterada"/>
        <w:rPr>
          <w:rFonts w:eastAsiaTheme="minorEastAsia"/>
        </w:rPr>
      </w:pPr>
      <w:r w:rsidRPr="1E4FA5ED">
        <w:rPr>
          <w:rFonts w:eastAsiaTheme="minorEastAsia"/>
        </w:rPr>
        <w:t>§ 1</w:t>
      </w:r>
      <w:bookmarkStart w:id="1330" w:name="_Int_rLjsdDQZ"/>
      <w:r w:rsidRPr="1E4FA5ED">
        <w:rPr>
          <w:rFonts w:eastAsiaTheme="minorEastAsia"/>
        </w:rPr>
        <w:t>º  A</w:t>
      </w:r>
      <w:bookmarkEnd w:id="1330"/>
      <w:r w:rsidRPr="1E4FA5ED">
        <w:rPr>
          <w:rFonts w:eastAsiaTheme="minorEastAsia"/>
        </w:rPr>
        <w:t xml:space="preserve"> primeira aquisição de valores mobiliários pela classe de cotas deve ocorrer na forma prevista no inciso I do </w:t>
      </w:r>
      <w:r w:rsidRPr="004B0593">
        <w:rPr>
          <w:rFonts w:eastAsiaTheme="minorEastAsia"/>
          <w:b/>
        </w:rPr>
        <w:t>caput</w:t>
      </w:r>
      <w:r w:rsidRPr="005257C4">
        <w:rPr>
          <w:rFonts w:eastAsiaTheme="minorEastAsia"/>
        </w:rPr>
        <w:t xml:space="preserve"> </w:t>
      </w:r>
      <w:r w:rsidRPr="1E4FA5ED">
        <w:rPr>
          <w:rFonts w:eastAsiaTheme="minorEastAsia"/>
        </w:rPr>
        <w:t>e deve ter por objeto valores mobiliários de um único emissor.</w:t>
      </w:r>
    </w:p>
    <w:p w14:paraId="4F65C18E" w14:textId="77777777" w:rsidR="006873AD" w:rsidRPr="00FF2B42" w:rsidRDefault="006873AD" w:rsidP="006873AD">
      <w:pPr>
        <w:pStyle w:val="NormaAlterada"/>
        <w:rPr>
          <w:rFonts w:eastAsiaTheme="minorEastAsia"/>
        </w:rPr>
      </w:pPr>
      <w:r w:rsidRPr="1E4FA5ED">
        <w:rPr>
          <w:rFonts w:eastAsiaTheme="minorEastAsia"/>
        </w:rPr>
        <w:lastRenderedPageBreak/>
        <w:t>§ 2</w:t>
      </w:r>
      <w:bookmarkStart w:id="1331" w:name="_Int_vVzduWMI"/>
      <w:r w:rsidRPr="1E4FA5ED">
        <w:rPr>
          <w:rFonts w:eastAsiaTheme="minorEastAsia"/>
        </w:rPr>
        <w:t>º  A</w:t>
      </w:r>
      <w:bookmarkEnd w:id="1331"/>
      <w:r w:rsidRPr="1E4FA5ED">
        <w:rPr>
          <w:rFonts w:eastAsiaTheme="minorEastAsia"/>
        </w:rPr>
        <w:t xml:space="preserve"> classe de cotas pode adquirir, em mercados organizados de valores mobiliários, valores mobiliários de emissão do mesmo emissor dos valores mobiliários que já integram sua carteira.</w:t>
      </w:r>
    </w:p>
    <w:p w14:paraId="0DBF4732" w14:textId="77777777" w:rsidR="006873AD" w:rsidRPr="00FF2B42" w:rsidRDefault="006873AD" w:rsidP="006873AD">
      <w:pPr>
        <w:pStyle w:val="NormaAlterada"/>
        <w:rPr>
          <w:rFonts w:eastAsiaTheme="minorEastAsia"/>
        </w:rPr>
      </w:pPr>
      <w:r w:rsidRPr="0B059081">
        <w:rPr>
          <w:rFonts w:eastAsiaTheme="minorEastAsia"/>
        </w:rPr>
        <w:t>§ 3</w:t>
      </w:r>
      <w:bookmarkStart w:id="1332" w:name="_Int_vr7csKR4"/>
      <w:r w:rsidRPr="0B059081">
        <w:rPr>
          <w:rFonts w:eastAsiaTheme="minorEastAsia"/>
        </w:rPr>
        <w:t>º  Os</w:t>
      </w:r>
      <w:bookmarkEnd w:id="1332"/>
      <w:r w:rsidRPr="0B059081">
        <w:rPr>
          <w:rFonts w:eastAsiaTheme="minorEastAsia"/>
        </w:rPr>
        <w:t xml:space="preserve"> recursos resultantes de transferências de outros Fundos Mútuos de Privatização - FGTS, ocorridas antes da liquidação financeira dos valores mobiliários adquiridos no âmbito do Programa Nacional de Desestatização ou dos Programas Estaduais de Privatização, devem ser aplicados obrigatoriamente em títulos de renda fixa privados ou públicos federais.</w:t>
      </w:r>
    </w:p>
    <w:p w14:paraId="7E1AFE23" w14:textId="77777777" w:rsidR="006873AD" w:rsidRPr="00FF2B42" w:rsidRDefault="006873AD" w:rsidP="006873AD">
      <w:pPr>
        <w:pStyle w:val="NormaAlterada"/>
        <w:rPr>
          <w:rFonts w:eastAsiaTheme="minorEastAsia"/>
        </w:rPr>
      </w:pPr>
      <w:r w:rsidRPr="0B059081">
        <w:rPr>
          <w:rFonts w:eastAsiaTheme="minorEastAsia"/>
        </w:rPr>
        <w:t>§ 4</w:t>
      </w:r>
      <w:bookmarkStart w:id="1333" w:name="_Int_aFTf7kCq"/>
      <w:r w:rsidRPr="0B059081">
        <w:rPr>
          <w:rFonts w:eastAsiaTheme="minorEastAsia"/>
        </w:rPr>
        <w:t>º  Caso</w:t>
      </w:r>
      <w:bookmarkEnd w:id="1333"/>
      <w:r w:rsidRPr="0B059081">
        <w:rPr>
          <w:rFonts w:eastAsiaTheme="minorEastAsia"/>
        </w:rPr>
        <w:t>, após a primeira aquisição de valores mobiliários, as aplicações em títulos de renda fixa representem mais do que 10% (dez por cento) do patrimônio líquido da classe de cotas, a classe deve se enquadrar no referido limite no prazo de 180 (cento e oitenta) dias, contados da liquidação financeira dos valores mobiliários adquiridos no âmbito do Programa Nacional de Desestatização ou dos Programas Estaduais de Privatização.</w:t>
      </w:r>
    </w:p>
    <w:p w14:paraId="6C946EA9" w14:textId="77777777" w:rsidR="006873AD" w:rsidRPr="005257C4" w:rsidRDefault="006873AD" w:rsidP="006873AD">
      <w:pPr>
        <w:pStyle w:val="NormaAlterada"/>
        <w:rPr>
          <w:rFonts w:eastAsiaTheme="minorEastAsia"/>
        </w:rPr>
      </w:pPr>
      <w:r w:rsidRPr="005257C4">
        <w:rPr>
          <w:rFonts w:eastAsiaTheme="minorEastAsia"/>
        </w:rPr>
        <w:t>Art. 19.  Durante o período de 6 (seis) meses após a aquisição de valor mobiliário no âmbito do Programa Nacional de Desestatização e de Programas Estaduais de Desestatização, o administrador pode alienar, no máximo, 10% (dez por cento) do valor inicialmente adquirido.</w:t>
      </w:r>
    </w:p>
    <w:p w14:paraId="1566439B" w14:textId="77777777" w:rsidR="006873AD" w:rsidRPr="00FF2B42" w:rsidRDefault="006873AD" w:rsidP="006873AD">
      <w:pPr>
        <w:pStyle w:val="NormaAlterada"/>
        <w:rPr>
          <w:rFonts w:eastAsiaTheme="minorEastAsia"/>
        </w:rPr>
      </w:pPr>
      <w:r w:rsidRPr="067D1FB9">
        <w:rPr>
          <w:rFonts w:eastAsiaTheme="minorEastAsia"/>
        </w:rPr>
        <w:t>Parágrafo único</w:t>
      </w:r>
      <w:r>
        <w:rPr>
          <w:rFonts w:eastAsiaTheme="minorEastAsia"/>
        </w:rPr>
        <w:t>.</w:t>
      </w:r>
      <w:r w:rsidRPr="067D1FB9">
        <w:rPr>
          <w:rFonts w:eastAsiaTheme="minorEastAsia"/>
        </w:rPr>
        <w:t xml:space="preserve"> </w:t>
      </w:r>
      <w:r>
        <w:rPr>
          <w:rFonts w:eastAsiaTheme="minorEastAsia"/>
        </w:rPr>
        <w:t xml:space="preserve"> </w:t>
      </w:r>
      <w:r w:rsidRPr="067D1FB9">
        <w:rPr>
          <w:rFonts w:eastAsiaTheme="minorEastAsia"/>
        </w:rPr>
        <w:t>Este percentual pode ser ultrapassado nas hipóteses previstas nos incisos I a IV, VI a XI e XIII a XVI do art. 20 da Lei nº 8.036, de 11 de maio de 1990, bem como na hipótese prevista na Lei nº 7.670, de 8 de setembro de 1988.</w:t>
      </w:r>
    </w:p>
    <w:p w14:paraId="0F3C4EAE" w14:textId="77777777" w:rsidR="006873AD" w:rsidRPr="005257C4" w:rsidRDefault="006873AD" w:rsidP="006873AD">
      <w:pPr>
        <w:pStyle w:val="NormaAlterada"/>
        <w:rPr>
          <w:rFonts w:eastAsiaTheme="minorEastAsia"/>
        </w:rPr>
      </w:pPr>
      <w:r w:rsidRPr="005257C4">
        <w:rPr>
          <w:rFonts w:eastAsiaTheme="minorEastAsia"/>
        </w:rPr>
        <w:t xml:space="preserve">Art. 20.  O Fundo Mútuo de Privatização - FGTS Carteira Livre deve manter o seu patrimônio aplicado exclusivamente em: </w:t>
      </w:r>
    </w:p>
    <w:p w14:paraId="17A313A0" w14:textId="77777777" w:rsidR="006873AD" w:rsidRPr="00FF2B42" w:rsidRDefault="006873AD" w:rsidP="006873AD">
      <w:pPr>
        <w:pStyle w:val="NormaAlterada"/>
        <w:rPr>
          <w:rFonts w:eastAsiaTheme="minorEastAsia"/>
        </w:rPr>
      </w:pPr>
      <w:r w:rsidRPr="1E4FA5ED">
        <w:rPr>
          <w:rFonts w:eastAsiaTheme="minorEastAsia"/>
        </w:rPr>
        <w:t xml:space="preserve">I </w:t>
      </w:r>
      <w:r>
        <w:rPr>
          <w:rFonts w:eastAsiaTheme="minorEastAsia"/>
        </w:rPr>
        <w:t>–</w:t>
      </w:r>
      <w:r w:rsidRPr="1E4FA5ED">
        <w:rPr>
          <w:rFonts w:eastAsiaTheme="minorEastAsia"/>
        </w:rPr>
        <w:t xml:space="preserve"> </w:t>
      </w:r>
      <w:bookmarkStart w:id="1334" w:name="_Int_PILrLaK1"/>
      <w:r w:rsidRPr="1E4FA5ED">
        <w:rPr>
          <w:rFonts w:eastAsiaTheme="minorEastAsia"/>
        </w:rPr>
        <w:t>valores</w:t>
      </w:r>
      <w:bookmarkEnd w:id="1334"/>
      <w:r w:rsidRPr="1E4FA5ED">
        <w:rPr>
          <w:rFonts w:eastAsiaTheme="minorEastAsia"/>
        </w:rPr>
        <w:t xml:space="preserve"> mobiliários de companhias abertas, negociados em mercados organizados de valores mobiliários, ou objeto de oferta pública registrada na CVM;</w:t>
      </w:r>
    </w:p>
    <w:p w14:paraId="66348D41" w14:textId="77777777" w:rsidR="006873AD" w:rsidRPr="00FF2B42" w:rsidRDefault="006873AD" w:rsidP="006873AD">
      <w:pPr>
        <w:pStyle w:val="NormaAlterada"/>
        <w:rPr>
          <w:rFonts w:eastAsiaTheme="minorEastAsia"/>
        </w:rPr>
      </w:pPr>
      <w:r w:rsidRPr="1E4FA5ED">
        <w:rPr>
          <w:rFonts w:eastAsiaTheme="minorEastAsia"/>
        </w:rPr>
        <w:t xml:space="preserve">II </w:t>
      </w:r>
      <w:r>
        <w:rPr>
          <w:rFonts w:eastAsiaTheme="minorEastAsia"/>
        </w:rPr>
        <w:t>–</w:t>
      </w:r>
      <w:r w:rsidRPr="1E4FA5ED">
        <w:rPr>
          <w:rFonts w:eastAsiaTheme="minorEastAsia"/>
        </w:rPr>
        <w:t xml:space="preserve"> </w:t>
      </w:r>
      <w:bookmarkStart w:id="1335" w:name="_Int_GQr5ovvc"/>
      <w:r w:rsidRPr="1E4FA5ED">
        <w:rPr>
          <w:rFonts w:eastAsiaTheme="minorEastAsia"/>
        </w:rPr>
        <w:t>títulos</w:t>
      </w:r>
      <w:bookmarkEnd w:id="1335"/>
      <w:r w:rsidRPr="1E4FA5ED">
        <w:rPr>
          <w:rFonts w:eastAsiaTheme="minorEastAsia"/>
        </w:rPr>
        <w:t xml:space="preserve"> de renda fixa, privados ou públicos federais, até o limite de 49% (quarenta e nove por cento) do valor do patrimônio líquido da classe de cotas;</w:t>
      </w:r>
    </w:p>
    <w:p w14:paraId="091BF64B" w14:textId="77777777" w:rsidR="006873AD" w:rsidRPr="005257C4" w:rsidRDefault="006873AD" w:rsidP="006873AD">
      <w:pPr>
        <w:pStyle w:val="NormaAlterada"/>
        <w:rPr>
          <w:rFonts w:eastAsiaTheme="minorEastAsia"/>
        </w:rPr>
      </w:pPr>
      <w:r w:rsidRPr="005257C4">
        <w:rPr>
          <w:rFonts w:eastAsiaTheme="minorEastAsia"/>
        </w:rPr>
        <w:t>III – derivativos, envolvendo contratos referenciados em ações ou índices de ações, com o objetivo exclusivo de proteger posições detidas à vista, até o limite destas; e</w:t>
      </w:r>
    </w:p>
    <w:p w14:paraId="10C46282" w14:textId="77777777" w:rsidR="006873AD" w:rsidRPr="00FF2B42" w:rsidRDefault="006873AD" w:rsidP="006873AD">
      <w:pPr>
        <w:pStyle w:val="NormaAlterada"/>
        <w:rPr>
          <w:rFonts w:eastAsiaTheme="minorEastAsia"/>
        </w:rPr>
      </w:pPr>
      <w:r w:rsidRPr="1E4FA5ED">
        <w:rPr>
          <w:rFonts w:eastAsiaTheme="minorEastAsia"/>
        </w:rPr>
        <w:t xml:space="preserve">IV – </w:t>
      </w:r>
      <w:bookmarkStart w:id="1336" w:name="_Int_bMdhmvEF"/>
      <w:r w:rsidRPr="1E4FA5ED">
        <w:rPr>
          <w:rFonts w:eastAsiaTheme="minorEastAsia"/>
        </w:rPr>
        <w:t>cotas</w:t>
      </w:r>
      <w:bookmarkEnd w:id="1336"/>
      <w:r w:rsidRPr="1E4FA5ED">
        <w:rPr>
          <w:rFonts w:eastAsiaTheme="minorEastAsia"/>
        </w:rPr>
        <w:t xml:space="preserve"> de fundos de investimento em índice de mercado, regulado pela CVM.</w:t>
      </w:r>
    </w:p>
    <w:p w14:paraId="5903BEBC" w14:textId="77777777" w:rsidR="006873AD" w:rsidRPr="005257C4" w:rsidRDefault="006873AD" w:rsidP="006873AD">
      <w:pPr>
        <w:pStyle w:val="NormaAlterada"/>
        <w:rPr>
          <w:rFonts w:eastAsiaTheme="minorEastAsia"/>
        </w:rPr>
      </w:pPr>
      <w:r w:rsidRPr="005257C4">
        <w:rPr>
          <w:rFonts w:eastAsiaTheme="minorEastAsia"/>
        </w:rPr>
        <w:t>Parágrafo único.  Não é permitida a aplicação em títulos e valores mobiliários emitidos pelo administrador, gestor e suas partes relacionadas.</w:t>
      </w:r>
    </w:p>
    <w:p w14:paraId="7FB92442" w14:textId="77777777" w:rsidR="006873AD" w:rsidRPr="005257C4" w:rsidRDefault="006873AD" w:rsidP="006873AD">
      <w:pPr>
        <w:pStyle w:val="NormaAlterada"/>
        <w:rPr>
          <w:rFonts w:eastAsiaTheme="minorEastAsia"/>
        </w:rPr>
      </w:pPr>
      <w:r w:rsidRPr="005257C4">
        <w:rPr>
          <w:rFonts w:eastAsiaTheme="minorEastAsia"/>
        </w:rPr>
        <w:lastRenderedPageBreak/>
        <w:t>Art. 21.  Os ativos da carteira do FMP-FGTS não podem ser utilizados na prestação de fiança, aval, aceite ou qualquer outra forma de retenção de risco.</w:t>
      </w:r>
    </w:p>
    <w:p w14:paraId="7CB102BE" w14:textId="77777777" w:rsidR="006873AD" w:rsidRPr="00FF2B42" w:rsidRDefault="006873AD" w:rsidP="006873AD">
      <w:pPr>
        <w:pStyle w:val="Captulo"/>
        <w:rPr>
          <w:rFonts w:eastAsiaTheme="minorEastAsia"/>
        </w:rPr>
      </w:pPr>
      <w:bookmarkStart w:id="1337" w:name="_Toc161141402"/>
      <w:r w:rsidRPr="0B059081">
        <w:rPr>
          <w:rFonts w:eastAsiaTheme="minorEastAsia" w:cstheme="minorBidi"/>
        </w:rPr>
        <w:t>CAPÍTULO VIII – ENCARGOS</w:t>
      </w:r>
      <w:bookmarkEnd w:id="1337"/>
    </w:p>
    <w:p w14:paraId="2DC31C26" w14:textId="77777777" w:rsidR="006873AD" w:rsidRPr="00FF2B42" w:rsidRDefault="006873AD" w:rsidP="006873AD">
      <w:pPr>
        <w:pStyle w:val="NormaAlterada"/>
        <w:rPr>
          <w:rFonts w:eastAsiaTheme="minorEastAsia"/>
        </w:rPr>
      </w:pPr>
      <w:r w:rsidRPr="00FF2B42">
        <w:rPr>
          <w:rFonts w:eastAsiaTheme="minorEastAsia"/>
        </w:rPr>
        <w:t xml:space="preserve">Art. </w:t>
      </w:r>
      <w:r w:rsidRPr="00207CD3">
        <w:rPr>
          <w:rFonts w:eastAsiaTheme="minorEastAsia"/>
        </w:rPr>
        <w:t xml:space="preserve">22.  Em acréscimo aos </w:t>
      </w:r>
      <w:r w:rsidRPr="00FF2B42">
        <w:rPr>
          <w:rFonts w:eastAsiaTheme="minorEastAsia"/>
        </w:rPr>
        <w:t xml:space="preserve">encargos </w:t>
      </w:r>
      <w:r w:rsidRPr="00207CD3">
        <w:rPr>
          <w:rFonts w:eastAsiaTheme="minorEastAsia"/>
        </w:rPr>
        <w:t>dispostos no art. 117 da parte geral da Resolução, o regulamento do FMP-</w:t>
      </w:r>
      <w:r w:rsidRPr="005257C4">
        <w:rPr>
          <w:rFonts w:eastAsiaTheme="minorEastAsia"/>
        </w:rPr>
        <w:t>FGTS</w:t>
      </w:r>
      <w:r w:rsidRPr="00207CD3">
        <w:rPr>
          <w:rFonts w:eastAsiaTheme="minorEastAsia"/>
        </w:rPr>
        <w:t xml:space="preserve"> pode prever</w:t>
      </w:r>
      <w:r w:rsidRPr="00FF2B42">
        <w:rPr>
          <w:rFonts w:eastAsiaTheme="minorEastAsia"/>
        </w:rPr>
        <w:t xml:space="preserve"> como </w:t>
      </w:r>
      <w:r w:rsidRPr="00207CD3">
        <w:rPr>
          <w:rFonts w:eastAsiaTheme="minorEastAsia"/>
        </w:rPr>
        <w:t>encargo a taxa máxima de custódia, que pode ser debitada</w:t>
      </w:r>
      <w:r w:rsidRPr="00FF2B42">
        <w:rPr>
          <w:rFonts w:eastAsiaTheme="minorEastAsia"/>
        </w:rPr>
        <w:t xml:space="preserve"> diretamente de suas </w:t>
      </w:r>
      <w:r w:rsidRPr="00207CD3">
        <w:rPr>
          <w:rFonts w:eastAsiaTheme="minorEastAsia"/>
        </w:rPr>
        <w:t>classes de cotas.</w:t>
      </w:r>
    </w:p>
    <w:p w14:paraId="311BB1A7" w14:textId="77777777" w:rsidR="006873AD" w:rsidRPr="00FF2B42" w:rsidRDefault="006873AD" w:rsidP="006873AD">
      <w:pPr>
        <w:pStyle w:val="Captulo"/>
        <w:rPr>
          <w:rFonts w:eastAsiaTheme="minorEastAsia"/>
        </w:rPr>
      </w:pPr>
      <w:bookmarkStart w:id="1338" w:name="_Toc161141403"/>
      <w:r w:rsidRPr="0B059081">
        <w:rPr>
          <w:rFonts w:eastAsiaTheme="minorEastAsia" w:cstheme="minorBidi"/>
        </w:rPr>
        <w:t>CAPÍTULO IX – DIVULGAÇÃO DE INFORMAÇÕES</w:t>
      </w:r>
      <w:bookmarkEnd w:id="1338"/>
    </w:p>
    <w:p w14:paraId="0E7B10F6" w14:textId="77777777" w:rsidR="006873AD" w:rsidRPr="00FF2B42" w:rsidRDefault="006873AD" w:rsidP="006873AD">
      <w:pPr>
        <w:pStyle w:val="NormaAlterada"/>
        <w:rPr>
          <w:rFonts w:eastAsiaTheme="minorEastAsia"/>
        </w:rPr>
      </w:pPr>
      <w:r w:rsidRPr="00FF2B42">
        <w:rPr>
          <w:rFonts w:eastAsiaTheme="minorEastAsia"/>
        </w:rPr>
        <w:t xml:space="preserve">Art. </w:t>
      </w:r>
      <w:r w:rsidRPr="00207CD3">
        <w:rPr>
          <w:rFonts w:eastAsiaTheme="minorEastAsia"/>
        </w:rPr>
        <w:t>23.  O administrador deve encaminhar</w:t>
      </w:r>
      <w:r w:rsidRPr="00FF2B42">
        <w:rPr>
          <w:rFonts w:eastAsiaTheme="minorEastAsia"/>
        </w:rPr>
        <w:t xml:space="preserve"> à CVM, por meio </w:t>
      </w:r>
      <w:r w:rsidRPr="00207CD3">
        <w:rPr>
          <w:rFonts w:eastAsiaTheme="minorEastAsia"/>
        </w:rPr>
        <w:t>de</w:t>
      </w:r>
      <w:r w:rsidRPr="00FF2B42">
        <w:rPr>
          <w:rFonts w:eastAsiaTheme="minorEastAsia"/>
        </w:rPr>
        <w:t xml:space="preserve"> sistema </w:t>
      </w:r>
      <w:r w:rsidRPr="00207CD3">
        <w:rPr>
          <w:rFonts w:eastAsiaTheme="minorEastAsia"/>
        </w:rPr>
        <w:t>eletrônico</w:t>
      </w:r>
      <w:r w:rsidRPr="00FF2B42">
        <w:rPr>
          <w:rFonts w:eastAsiaTheme="minorEastAsia"/>
        </w:rPr>
        <w:t xml:space="preserve"> disponível na rede mundial de computadores, os seguintes documentos:</w:t>
      </w:r>
    </w:p>
    <w:p w14:paraId="2246772C" w14:textId="77777777" w:rsidR="006873AD" w:rsidRPr="005257C4" w:rsidRDefault="006873AD" w:rsidP="006873AD">
      <w:pPr>
        <w:pStyle w:val="NormaAlterada"/>
        <w:rPr>
          <w:rFonts w:eastAsiaTheme="minorEastAsia"/>
        </w:rPr>
      </w:pPr>
      <w:r w:rsidRPr="005257C4">
        <w:rPr>
          <w:rFonts w:eastAsiaTheme="minorEastAsia"/>
        </w:rPr>
        <w:t xml:space="preserve">I – </w:t>
      </w:r>
      <w:bookmarkStart w:id="1339" w:name="_Int_VGb60IFj"/>
      <w:r w:rsidRPr="005257C4">
        <w:rPr>
          <w:rFonts w:eastAsiaTheme="minorEastAsia"/>
        </w:rPr>
        <w:t>informe</w:t>
      </w:r>
      <w:bookmarkEnd w:id="1339"/>
      <w:r w:rsidRPr="005257C4">
        <w:rPr>
          <w:rFonts w:eastAsiaTheme="minorEastAsia"/>
        </w:rPr>
        <w:t xml:space="preserve"> diário, conforme modelo constante do Suplemento M, no prazo de 2 (dois) dias úteis após o dia a que se referir a informação;</w:t>
      </w:r>
    </w:p>
    <w:p w14:paraId="0456A99B" w14:textId="77777777" w:rsidR="006873AD" w:rsidRPr="005257C4" w:rsidRDefault="006873AD" w:rsidP="006873AD">
      <w:pPr>
        <w:pStyle w:val="NormaAlterada"/>
        <w:rPr>
          <w:rFonts w:eastAsiaTheme="minorEastAsia"/>
        </w:rPr>
      </w:pPr>
      <w:r w:rsidRPr="005257C4">
        <w:rPr>
          <w:rFonts w:eastAsiaTheme="minorEastAsia"/>
        </w:rPr>
        <w:t xml:space="preserve">II – </w:t>
      </w:r>
      <w:bookmarkStart w:id="1340" w:name="_Int_3ybz2a4U"/>
      <w:r w:rsidRPr="005257C4">
        <w:rPr>
          <w:rFonts w:eastAsiaTheme="minorEastAsia"/>
        </w:rPr>
        <w:t>mensalmente</w:t>
      </w:r>
      <w:bookmarkEnd w:id="1340"/>
      <w:r w:rsidRPr="005257C4">
        <w:rPr>
          <w:rFonts w:eastAsiaTheme="minorEastAsia"/>
        </w:rPr>
        <w:t>, no prazo de 15 (quinze) dias após o encerramento do mês a que se referirem:</w:t>
      </w:r>
    </w:p>
    <w:p w14:paraId="0BB551E4" w14:textId="77777777" w:rsidR="006873AD" w:rsidRPr="00207CD3" w:rsidRDefault="006873AD" w:rsidP="006873AD">
      <w:pPr>
        <w:pStyle w:val="NormaAlterada"/>
        <w:rPr>
          <w:rFonts w:eastAsiaTheme="minorEastAsia"/>
        </w:rPr>
      </w:pPr>
      <w:r w:rsidRPr="00207CD3">
        <w:rPr>
          <w:rFonts w:eastAsiaTheme="minorEastAsia"/>
        </w:rPr>
        <w:t>a)  os demonstrativos da composição e diversificação das aplicações da carteira; e</w:t>
      </w:r>
    </w:p>
    <w:p w14:paraId="46133C3E" w14:textId="77777777" w:rsidR="006873AD" w:rsidRPr="00207CD3" w:rsidRDefault="006873AD" w:rsidP="006873AD">
      <w:pPr>
        <w:pStyle w:val="NormaAlterada"/>
        <w:rPr>
          <w:rFonts w:eastAsiaTheme="minorEastAsia"/>
        </w:rPr>
      </w:pPr>
      <w:r w:rsidRPr="00207CD3">
        <w:rPr>
          <w:rFonts w:eastAsiaTheme="minorEastAsia"/>
        </w:rPr>
        <w:t>b)  balancete mensal;</w:t>
      </w:r>
      <w:r>
        <w:rPr>
          <w:rFonts w:eastAsiaTheme="minorEastAsia"/>
        </w:rPr>
        <w:t xml:space="preserve"> e</w:t>
      </w:r>
    </w:p>
    <w:p w14:paraId="6AFAFB00" w14:textId="77777777" w:rsidR="006873AD" w:rsidRPr="00FF2B42" w:rsidRDefault="006873AD" w:rsidP="006873AD">
      <w:pPr>
        <w:pStyle w:val="NormaAlterada"/>
        <w:rPr>
          <w:rFonts w:eastAsiaTheme="minorEastAsia"/>
        </w:rPr>
      </w:pPr>
      <w:r w:rsidRPr="00207CD3">
        <w:rPr>
          <w:rFonts w:eastAsiaTheme="minorEastAsia"/>
        </w:rPr>
        <w:t>III – anualmente, no prazo de 90 (noventa) dias, contado a partir do encerramento do exercício a que se referirem, as demonstrações contábeis do fundo e, caso existentes, de suas classes de cotas, acompanhadas dos pareceres de auditoria independente</w:t>
      </w:r>
      <w:r>
        <w:rPr>
          <w:rFonts w:eastAsiaTheme="minorEastAsia"/>
        </w:rPr>
        <w:t>.</w:t>
      </w:r>
    </w:p>
    <w:p w14:paraId="397C1F18" w14:textId="77777777" w:rsidR="006873AD" w:rsidRPr="00207CD3" w:rsidRDefault="006873AD" w:rsidP="006873AD">
      <w:pPr>
        <w:pStyle w:val="NormaAlterada"/>
        <w:rPr>
          <w:rFonts w:eastAsiaTheme="minorEastAsia"/>
        </w:rPr>
      </w:pPr>
      <w:r w:rsidRPr="00FF2B42">
        <w:rPr>
          <w:rFonts w:eastAsiaTheme="minorEastAsia"/>
        </w:rPr>
        <w:t xml:space="preserve">Art. 24. </w:t>
      </w:r>
      <w:r w:rsidRPr="00207CD3">
        <w:rPr>
          <w:rFonts w:eastAsiaTheme="minorEastAsia"/>
        </w:rPr>
        <w:t xml:space="preserve"> O administrador </w:t>
      </w:r>
      <w:r>
        <w:rPr>
          <w:rFonts w:eastAsiaTheme="minorEastAsia"/>
        </w:rPr>
        <w:t>deve</w:t>
      </w:r>
      <w:r w:rsidRPr="00FF2B42">
        <w:rPr>
          <w:rFonts w:eastAsiaTheme="minorEastAsia"/>
        </w:rPr>
        <w:t xml:space="preserve"> divulgar em página na rede mundial de computadores</w:t>
      </w:r>
      <w:r>
        <w:rPr>
          <w:rFonts w:eastAsiaTheme="minorEastAsia"/>
        </w:rPr>
        <w:t>:</w:t>
      </w:r>
    </w:p>
    <w:p w14:paraId="69C1AB5E" w14:textId="77777777" w:rsidR="006873AD" w:rsidRPr="005257C4" w:rsidRDefault="006873AD" w:rsidP="006873AD">
      <w:pPr>
        <w:pStyle w:val="NormaAlterada"/>
        <w:rPr>
          <w:rFonts w:eastAsiaTheme="minorEastAsia"/>
        </w:rPr>
      </w:pPr>
      <w:r w:rsidRPr="005257C4">
        <w:rPr>
          <w:rFonts w:eastAsiaTheme="minorEastAsia"/>
        </w:rPr>
        <w:t xml:space="preserve">I – </w:t>
      </w:r>
      <w:bookmarkStart w:id="1341" w:name="_Int_H9BMlBpt"/>
      <w:r w:rsidRPr="005257C4">
        <w:rPr>
          <w:rFonts w:eastAsiaTheme="minorEastAsia"/>
        </w:rPr>
        <w:t>diariamente</w:t>
      </w:r>
      <w:bookmarkEnd w:id="1341"/>
      <w:r w:rsidRPr="005257C4">
        <w:rPr>
          <w:rFonts w:eastAsiaTheme="minorEastAsia"/>
        </w:rPr>
        <w:t>, o valor da cota, líquido das taxas apropriadas, o valor do patrimônio líquido e as taxas de administração e gestão da classe de cotas; e</w:t>
      </w:r>
    </w:p>
    <w:p w14:paraId="45D81236" w14:textId="77777777" w:rsidR="006873AD" w:rsidRPr="005257C4" w:rsidRDefault="006873AD" w:rsidP="006873AD">
      <w:pPr>
        <w:pStyle w:val="NormaAlterada"/>
        <w:rPr>
          <w:rFonts w:eastAsiaTheme="minorEastAsia"/>
        </w:rPr>
      </w:pPr>
      <w:r w:rsidRPr="005257C4">
        <w:rPr>
          <w:rFonts w:eastAsiaTheme="minorEastAsia"/>
        </w:rPr>
        <w:t xml:space="preserve">II – </w:t>
      </w:r>
      <w:bookmarkStart w:id="1342" w:name="_Int_mwi8lKf1"/>
      <w:r w:rsidRPr="005257C4">
        <w:rPr>
          <w:rFonts w:eastAsiaTheme="minorEastAsia"/>
        </w:rPr>
        <w:t>semestralmente</w:t>
      </w:r>
      <w:bookmarkEnd w:id="1342"/>
      <w:r w:rsidRPr="005257C4">
        <w:rPr>
          <w:rFonts w:eastAsiaTheme="minorEastAsia"/>
        </w:rPr>
        <w:t>, no prazo de 15 (quinze) dias após o encerramento do semestre a que se referirem, a composição da carteira da classe de cotas e a rentabilidade auferida nos últimos quatro semestres.</w:t>
      </w:r>
    </w:p>
    <w:p w14:paraId="0D3F6C06" w14:textId="77777777" w:rsidR="006873AD" w:rsidRPr="00FF2B42" w:rsidRDefault="006873AD" w:rsidP="006873AD">
      <w:pPr>
        <w:pStyle w:val="Captulo"/>
        <w:rPr>
          <w:rFonts w:eastAsiaTheme="minorEastAsia"/>
        </w:rPr>
      </w:pPr>
      <w:bookmarkStart w:id="1343" w:name="_Toc161141404"/>
      <w:r w:rsidRPr="0B059081">
        <w:rPr>
          <w:rFonts w:eastAsiaTheme="minorEastAsia" w:cstheme="minorBidi"/>
        </w:rPr>
        <w:lastRenderedPageBreak/>
        <w:t>CAPÍTULO X – DISPOSIÇÕES FINAIS</w:t>
      </w:r>
      <w:bookmarkEnd w:id="1343"/>
      <w:r w:rsidRPr="0B059081">
        <w:rPr>
          <w:rFonts w:eastAsiaTheme="minorEastAsia" w:cstheme="minorBidi"/>
        </w:rPr>
        <w:t xml:space="preserve"> </w:t>
      </w:r>
    </w:p>
    <w:p w14:paraId="551FE3D1" w14:textId="77777777" w:rsidR="006873AD" w:rsidRPr="005257C4" w:rsidRDefault="006873AD" w:rsidP="006873AD">
      <w:pPr>
        <w:pStyle w:val="NormaAlterada"/>
        <w:rPr>
          <w:rFonts w:eastAsiaTheme="minorEastAsia"/>
        </w:rPr>
      </w:pPr>
      <w:r w:rsidRPr="005257C4">
        <w:rPr>
          <w:rFonts w:eastAsiaTheme="minorEastAsia"/>
        </w:rPr>
        <w:t>Art. 25. A multa diária de que trata o art. 132 da parte geral da Resolução não se aplica ao atraso no envio do informe diário, podendo a CVM apurar a responsabilidade do administrador, nos termos do art. 11 da Lei nº 6.385, de 1976, caso a informação não seja encaminhada no prazo previsto no art. 23, inciso I, deste Anexo Normativo VII.</w:t>
      </w:r>
    </w:p>
    <w:p w14:paraId="36C0E04C" w14:textId="77777777" w:rsidR="00036557" w:rsidRDefault="006873AD" w:rsidP="006873AD">
      <w:pPr>
        <w:spacing w:before="120" w:after="120" w:line="312" w:lineRule="auto"/>
        <w:ind w:firstLine="425"/>
        <w:jc w:val="both"/>
        <w:rPr>
          <w:rFonts w:asciiTheme="minorHAnsi" w:eastAsiaTheme="minorEastAsia" w:hAnsiTheme="minorHAnsi" w:cstheme="minorHAnsi"/>
          <w:sz w:val="24"/>
          <w:szCs w:val="24"/>
        </w:rPr>
      </w:pPr>
      <w:r w:rsidRPr="006873AD">
        <w:rPr>
          <w:rFonts w:asciiTheme="minorHAnsi" w:eastAsiaTheme="minorEastAsia" w:hAnsiTheme="minorHAnsi" w:cstheme="minorHAnsi"/>
          <w:sz w:val="24"/>
          <w:szCs w:val="24"/>
        </w:rPr>
        <w:t>Art. 26.  Em acréscimo às condutas previstas no art. 131 da parte geral da Resolução, considera-se infração grave permitir a transferência ou o resgate de cotas em desacordo com o disposto no art. 16 deste Anexo Normativo VII.</w:t>
      </w:r>
    </w:p>
    <w:p w14:paraId="4303F0FA" w14:textId="0C01B4A5" w:rsidR="000E44FD" w:rsidRPr="00517AE6" w:rsidRDefault="000E44FD" w:rsidP="000E44FD">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VII</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27DF77CE" w14:textId="77777777" w:rsidR="000E44FD" w:rsidRDefault="000E44FD" w:rsidP="006873AD">
      <w:pPr>
        <w:spacing w:before="120" w:after="120" w:line="312" w:lineRule="auto"/>
        <w:ind w:firstLine="425"/>
        <w:jc w:val="both"/>
        <w:rPr>
          <w:rFonts w:asciiTheme="minorHAnsi" w:eastAsiaTheme="minorEastAsia" w:hAnsiTheme="minorHAnsi" w:cstheme="minorHAnsi"/>
          <w:sz w:val="24"/>
          <w:szCs w:val="24"/>
        </w:rPr>
      </w:pPr>
    </w:p>
    <w:p w14:paraId="0083C9C4" w14:textId="77777777" w:rsidR="000E44FD" w:rsidRDefault="000E44FD" w:rsidP="006873AD">
      <w:pPr>
        <w:spacing w:before="120" w:after="120" w:line="312" w:lineRule="auto"/>
        <w:ind w:firstLine="425"/>
        <w:jc w:val="both"/>
        <w:rPr>
          <w:rFonts w:asciiTheme="minorHAnsi" w:eastAsiaTheme="minorEastAsia" w:hAnsiTheme="minorHAnsi" w:cstheme="minorHAnsi"/>
          <w:sz w:val="24"/>
          <w:szCs w:val="24"/>
        </w:rPr>
        <w:sectPr w:rsidR="000E44FD" w:rsidSect="002A08BD">
          <w:headerReference w:type="default" r:id="rId22"/>
          <w:pgSz w:w="11906" w:h="16838"/>
          <w:pgMar w:top="2268" w:right="567" w:bottom="851" w:left="1134" w:header="709" w:footer="709" w:gutter="0"/>
          <w:cols w:space="708"/>
          <w:docGrid w:linePitch="360"/>
        </w:sectPr>
      </w:pPr>
    </w:p>
    <w:p w14:paraId="29A535F1" w14:textId="77777777" w:rsidR="006873AD" w:rsidRDefault="006873AD" w:rsidP="00036557">
      <w:pPr>
        <w:pStyle w:val="TtulodaResoluo"/>
        <w:ind w:firstLine="0"/>
        <w:rPr>
          <w:rFonts w:ascii="Segoe UI" w:hAnsi="Segoe UI" w:cs="Segoe UI"/>
          <w:sz w:val="18"/>
          <w:szCs w:val="18"/>
        </w:rPr>
      </w:pPr>
      <w:bookmarkStart w:id="1344" w:name="_Toc161141405"/>
      <w:r>
        <w:rPr>
          <w:rStyle w:val="normaltextrun"/>
        </w:rPr>
        <w:lastRenderedPageBreak/>
        <w:t>ANEXO NORMATIVO VIII – FUNDOS DE FINANCIAMENTO DA INDÚSTRIA CINEMATOGRÁFICA NACIONAL</w:t>
      </w:r>
      <w:bookmarkEnd w:id="1344"/>
    </w:p>
    <w:p w14:paraId="42132223" w14:textId="77777777" w:rsidR="006873AD" w:rsidRDefault="006873AD" w:rsidP="006873AD">
      <w:pPr>
        <w:pStyle w:val="paragraph"/>
        <w:spacing w:before="120" w:beforeAutospacing="0" w:after="120" w:afterAutospacing="0" w:line="312" w:lineRule="auto"/>
        <w:ind w:left="5387"/>
        <w:jc w:val="both"/>
        <w:textAlignment w:val="baseline"/>
        <w:rPr>
          <w:rFonts w:ascii="Segoe UI" w:hAnsi="Segoe UI" w:cs="Segoe UI"/>
          <w:sz w:val="18"/>
          <w:szCs w:val="18"/>
        </w:rPr>
      </w:pPr>
      <w:proofErr w:type="spellStart"/>
      <w:r>
        <w:rPr>
          <w:rStyle w:val="normaltextrun"/>
          <w:rFonts w:ascii="Calibri" w:hAnsi="Calibri" w:cs="Calibri"/>
        </w:rPr>
        <w:t>Dispõe</w:t>
      </w:r>
      <w:proofErr w:type="spellEnd"/>
      <w:r>
        <w:rPr>
          <w:rStyle w:val="normaltextrun"/>
          <w:rFonts w:ascii="Calibri" w:hAnsi="Calibri" w:cs="Calibri"/>
        </w:rPr>
        <w:t xml:space="preserve"> </w:t>
      </w:r>
      <w:proofErr w:type="spellStart"/>
      <w:r>
        <w:rPr>
          <w:rStyle w:val="normaltextrun"/>
          <w:rFonts w:ascii="Calibri" w:hAnsi="Calibri" w:cs="Calibri"/>
        </w:rPr>
        <w:t>sobre</w:t>
      </w:r>
      <w:proofErr w:type="spellEnd"/>
      <w:r>
        <w:rPr>
          <w:rStyle w:val="normaltextrun"/>
          <w:rFonts w:ascii="Calibri" w:hAnsi="Calibri" w:cs="Calibri"/>
        </w:rPr>
        <w:t xml:space="preserve"> as </w:t>
      </w:r>
      <w:proofErr w:type="spellStart"/>
      <w:r>
        <w:rPr>
          <w:rStyle w:val="normaltextrun"/>
          <w:rFonts w:ascii="Calibri" w:hAnsi="Calibri" w:cs="Calibri"/>
        </w:rPr>
        <w:t>regras</w:t>
      </w:r>
      <w:proofErr w:type="spellEnd"/>
      <w:r>
        <w:rPr>
          <w:rStyle w:val="normaltextrun"/>
          <w:rFonts w:ascii="Calibri" w:hAnsi="Calibri" w:cs="Calibri"/>
        </w:rPr>
        <w:t xml:space="preserve"> </w:t>
      </w:r>
      <w:proofErr w:type="spellStart"/>
      <w:r>
        <w:rPr>
          <w:rStyle w:val="normaltextrun"/>
          <w:rFonts w:ascii="Calibri" w:hAnsi="Calibri" w:cs="Calibri"/>
        </w:rPr>
        <w:t>específicas</w:t>
      </w:r>
      <w:proofErr w:type="spellEnd"/>
      <w:r>
        <w:rPr>
          <w:rStyle w:val="normaltextrun"/>
          <w:rFonts w:ascii="Calibri" w:hAnsi="Calibri" w:cs="Calibri"/>
        </w:rPr>
        <w:t xml:space="preserve"> para </w:t>
      </w:r>
      <w:proofErr w:type="spellStart"/>
      <w:r>
        <w:rPr>
          <w:rStyle w:val="normaltextrun"/>
          <w:rFonts w:ascii="Calibri" w:hAnsi="Calibri" w:cs="Calibri"/>
        </w:rPr>
        <w:t>os</w:t>
      </w:r>
      <w:proofErr w:type="spellEnd"/>
      <w:r>
        <w:rPr>
          <w:rStyle w:val="normaltextrun"/>
          <w:rFonts w:ascii="Calibri" w:hAnsi="Calibri" w:cs="Calibri"/>
        </w:rPr>
        <w:t xml:space="preserve"> </w:t>
      </w:r>
      <w:proofErr w:type="spellStart"/>
      <w:r>
        <w:rPr>
          <w:rStyle w:val="normaltextrun"/>
          <w:rFonts w:ascii="Calibri" w:hAnsi="Calibri" w:cs="Calibri"/>
        </w:rPr>
        <w:t>fundos</w:t>
      </w:r>
      <w:proofErr w:type="spellEnd"/>
      <w:r>
        <w:rPr>
          <w:rStyle w:val="normaltextrun"/>
          <w:rFonts w:ascii="Calibri" w:hAnsi="Calibri" w:cs="Calibri"/>
        </w:rPr>
        <w:t xml:space="preserve"> de </w:t>
      </w:r>
      <w:proofErr w:type="spellStart"/>
      <w:r>
        <w:rPr>
          <w:rStyle w:val="normaltextrun"/>
          <w:rFonts w:ascii="Calibri" w:hAnsi="Calibri" w:cs="Calibri"/>
        </w:rPr>
        <w:t>financiamento</w:t>
      </w:r>
      <w:proofErr w:type="spellEnd"/>
      <w:r>
        <w:rPr>
          <w:rStyle w:val="normaltextrun"/>
          <w:rFonts w:ascii="Calibri" w:hAnsi="Calibri" w:cs="Calibri"/>
        </w:rPr>
        <w:t xml:space="preserve"> da </w:t>
      </w:r>
      <w:proofErr w:type="spellStart"/>
      <w:r>
        <w:rPr>
          <w:rStyle w:val="normaltextrun"/>
          <w:rFonts w:ascii="Calibri" w:hAnsi="Calibri" w:cs="Calibri"/>
        </w:rPr>
        <w:t>indústria</w:t>
      </w:r>
      <w:proofErr w:type="spellEnd"/>
      <w:r>
        <w:rPr>
          <w:rStyle w:val="normaltextrun"/>
          <w:rFonts w:ascii="Calibri" w:hAnsi="Calibri" w:cs="Calibri"/>
        </w:rPr>
        <w:t xml:space="preserve"> </w:t>
      </w:r>
      <w:proofErr w:type="spellStart"/>
      <w:r>
        <w:rPr>
          <w:rStyle w:val="normaltextrun"/>
          <w:rFonts w:ascii="Calibri" w:hAnsi="Calibri" w:cs="Calibri"/>
        </w:rPr>
        <w:t>cinematográfica</w:t>
      </w:r>
      <w:proofErr w:type="spellEnd"/>
      <w:r>
        <w:rPr>
          <w:rStyle w:val="normaltextrun"/>
          <w:rFonts w:ascii="Calibri" w:hAnsi="Calibri" w:cs="Calibri"/>
        </w:rPr>
        <w:t xml:space="preserve"> </w:t>
      </w:r>
      <w:proofErr w:type="spellStart"/>
      <w:r>
        <w:rPr>
          <w:rStyle w:val="normaltextrun"/>
          <w:rFonts w:ascii="Calibri" w:hAnsi="Calibri" w:cs="Calibri"/>
        </w:rPr>
        <w:t>nacional</w:t>
      </w:r>
      <w:proofErr w:type="spellEnd"/>
      <w:r>
        <w:rPr>
          <w:rStyle w:val="normaltextrun"/>
          <w:rFonts w:ascii="Calibri" w:hAnsi="Calibri" w:cs="Calibri"/>
        </w:rPr>
        <w:t>.</w:t>
      </w:r>
    </w:p>
    <w:p w14:paraId="73116C68" w14:textId="77777777" w:rsidR="006873AD" w:rsidRDefault="006873AD" w:rsidP="006873AD">
      <w:pPr>
        <w:pStyle w:val="Captulo"/>
      </w:pPr>
      <w:bookmarkStart w:id="1345" w:name="_Toc161141406"/>
      <w:r w:rsidRPr="00E40B2B">
        <w:t xml:space="preserve">CAPÍTULO I </w:t>
      </w:r>
      <w:r>
        <w:t>–</w:t>
      </w:r>
      <w:r w:rsidRPr="00E40B2B">
        <w:t xml:space="preserve"> ÂMBITO E FINALIDADE</w:t>
      </w:r>
      <w:bookmarkEnd w:id="1345"/>
    </w:p>
    <w:p w14:paraId="7E78CDDC" w14:textId="77777777" w:rsidR="006873AD" w:rsidRPr="000F5E38" w:rsidRDefault="006873AD" w:rsidP="006873AD">
      <w:pPr>
        <w:pStyle w:val="NormaAlterada"/>
      </w:pPr>
      <w:r w:rsidRPr="402F30ED">
        <w:t>Art. 1</w:t>
      </w:r>
      <w:bookmarkStart w:id="1346" w:name="_Int_U7btn3LE"/>
      <w:r w:rsidRPr="402F30ED">
        <w:t>º</w:t>
      </w:r>
      <w:bookmarkStart w:id="1347" w:name="_Int_msMIMNX4"/>
      <w:r w:rsidRPr="402F30ED">
        <w:t xml:space="preserve">  Este</w:t>
      </w:r>
      <w:bookmarkEnd w:id="1346"/>
      <w:bookmarkEnd w:id="1347"/>
      <w:r w:rsidRPr="402F30ED">
        <w:t xml:space="preserve"> Anexo Normativo VIII à Resolução </w:t>
      </w:r>
      <w:bookmarkStart w:id="1348" w:name="_Int_BJ0aFysg"/>
      <w:r w:rsidRPr="402F30ED">
        <w:t>CVM</w:t>
      </w:r>
      <w:bookmarkEnd w:id="1348"/>
      <w:r w:rsidRPr="402F30ED">
        <w:t xml:space="preserve"> nº 175 (“Resolução”) dispõe sobre as regras específicas para os fundos de financiamento da indústria cinematográfica nacional – FUNCINE.</w:t>
      </w:r>
    </w:p>
    <w:p w14:paraId="7B7E6954" w14:textId="77777777" w:rsidR="006873AD" w:rsidRPr="000E2282" w:rsidRDefault="006873AD" w:rsidP="006873AD">
      <w:pPr>
        <w:pStyle w:val="Captulo"/>
      </w:pPr>
      <w:bookmarkStart w:id="1349" w:name="_Toc161141407"/>
      <w:r w:rsidRPr="000E2282">
        <w:t>CAPÍTULO I</w:t>
      </w:r>
      <w:r>
        <w:t>I</w:t>
      </w:r>
      <w:r w:rsidRPr="000E2282">
        <w:t xml:space="preserve"> – </w:t>
      </w:r>
      <w:r>
        <w:t>DEFINIÇÕES</w:t>
      </w:r>
      <w:bookmarkEnd w:id="1349"/>
    </w:p>
    <w:p w14:paraId="3B9BB7D2" w14:textId="77777777" w:rsidR="006873AD" w:rsidRPr="00860760" w:rsidRDefault="006873AD" w:rsidP="006873AD">
      <w:pPr>
        <w:pStyle w:val="NormaAlterada"/>
      </w:pPr>
      <w:r w:rsidRPr="00860760">
        <w:t>Art. 2</w:t>
      </w:r>
      <w:bookmarkStart w:id="1350" w:name="_Int_oeJgasmk"/>
      <w:r w:rsidRPr="00860760">
        <w:t>º</w:t>
      </w:r>
      <w:bookmarkStart w:id="1351" w:name="_Int_l0y2tix6"/>
      <w:bookmarkStart w:id="1352" w:name="_Int_A2JnKuQV"/>
      <w:r w:rsidRPr="00860760">
        <w:t xml:space="preserve">  Para</w:t>
      </w:r>
      <w:bookmarkEnd w:id="1350"/>
      <w:bookmarkEnd w:id="1351"/>
      <w:bookmarkEnd w:id="1352"/>
      <w:r w:rsidRPr="00860760">
        <w:t xml:space="preserve"> os efeitos deste Anexo Normativo VIII, entende-se por:</w:t>
      </w:r>
    </w:p>
    <w:p w14:paraId="5FE7DA50" w14:textId="77777777" w:rsidR="006873AD" w:rsidRPr="00860760" w:rsidRDefault="006873AD" w:rsidP="006873AD">
      <w:pPr>
        <w:pStyle w:val="NormaAlterada"/>
      </w:pPr>
      <w:r w:rsidRPr="00860760">
        <w:t xml:space="preserve">I – </w:t>
      </w:r>
      <w:bookmarkStart w:id="1353" w:name="_Int_aqFIN0Wt"/>
      <w:r w:rsidRPr="00860760">
        <w:t>projetos</w:t>
      </w:r>
      <w:bookmarkEnd w:id="1353"/>
      <w:r w:rsidRPr="00860760">
        <w:t xml:space="preserve"> aprovados pela Agência Nacional do Cinema - ANCINE: aqueles projetos ou programas aprovados pela ANCINE que sejam destinados a:</w:t>
      </w:r>
    </w:p>
    <w:p w14:paraId="5CAF25E6" w14:textId="77777777" w:rsidR="006873AD" w:rsidRPr="000F5E38" w:rsidRDefault="006873AD" w:rsidP="006873AD">
      <w:pPr>
        <w:pStyle w:val="NormaAlterada"/>
      </w:pPr>
      <w:r w:rsidRPr="000F5E38">
        <w:t>a) projetos de produção de obras audiovisuais brasileiras independentes realizadas por empresas produtoras brasileiras;</w:t>
      </w:r>
    </w:p>
    <w:p w14:paraId="464DC58A" w14:textId="77777777" w:rsidR="006873AD" w:rsidRPr="000F5E38" w:rsidRDefault="006873AD" w:rsidP="006873AD">
      <w:pPr>
        <w:pStyle w:val="NormaAlterada"/>
      </w:pPr>
      <w:r w:rsidRPr="000F5E38">
        <w:t>b) construção, reforma e recuperação das salas de exibição de propriedade de empresas brasileiras;</w:t>
      </w:r>
    </w:p>
    <w:p w14:paraId="30A028EF" w14:textId="77777777" w:rsidR="006873AD" w:rsidRPr="000F5E38" w:rsidRDefault="006873AD" w:rsidP="006873AD">
      <w:pPr>
        <w:pStyle w:val="NormaAlterada"/>
      </w:pPr>
      <w:r w:rsidRPr="000F5E38">
        <w:t>c) aquisição de ações de empresas brasileiras para produção, comercialização, distribuição e exibição de obras audiovisuais brasileiras de produção independente, bem como para prestação de serviços de infraestrutura cinematográficas e audiovisuais;</w:t>
      </w:r>
    </w:p>
    <w:p w14:paraId="0B4F1E96" w14:textId="77777777" w:rsidR="006873AD" w:rsidRPr="000F5E38" w:rsidRDefault="006873AD" w:rsidP="006873AD">
      <w:pPr>
        <w:pStyle w:val="NormaAlterada"/>
      </w:pPr>
      <w:r w:rsidRPr="000F5E38">
        <w:t>d) projetos de comercialização e distribuição de obras audiovisuais cinematográficas brasileiras de produção independente realizados por empresas brasileiras; e</w:t>
      </w:r>
    </w:p>
    <w:p w14:paraId="75551816" w14:textId="77777777" w:rsidR="006873AD" w:rsidRPr="000F5E38" w:rsidRDefault="006873AD" w:rsidP="006873AD">
      <w:pPr>
        <w:pStyle w:val="NormaAlterada"/>
      </w:pPr>
      <w:r w:rsidRPr="000F5E38">
        <w:t>e) projetos de infraestrutura realizados por empresas brasileiras</w:t>
      </w:r>
      <w:r>
        <w:t>; e</w:t>
      </w:r>
    </w:p>
    <w:p w14:paraId="5C89FBA7" w14:textId="77777777" w:rsidR="006873AD" w:rsidRPr="00860760" w:rsidRDefault="006873AD" w:rsidP="006873AD">
      <w:pPr>
        <w:pStyle w:val="NormaAlterada"/>
      </w:pPr>
      <w:r w:rsidRPr="00860760">
        <w:t xml:space="preserve">II – </w:t>
      </w:r>
      <w:bookmarkStart w:id="1354" w:name="_Int_gaT0VeCa"/>
      <w:r w:rsidRPr="00860760">
        <w:t>produção</w:t>
      </w:r>
      <w:bookmarkEnd w:id="1354"/>
      <w:r w:rsidRPr="00860760">
        <w:t xml:space="preserve"> independente: aquela cuja empresa produtora, detentora majoritária dos direitos patrimoniais sobre a obra, não tenha qualquer associação ou vínculo, direto ou indireto, com empresas de serviços de radiodifusão de sons e imagens ou operadoras de comunicação eletrônica de massa por assinatura;</w:t>
      </w:r>
    </w:p>
    <w:p w14:paraId="348812A8" w14:textId="77777777" w:rsidR="006873AD" w:rsidRPr="00860760" w:rsidRDefault="006873AD" w:rsidP="006873AD">
      <w:pPr>
        <w:pStyle w:val="NormaAlterada"/>
      </w:pPr>
      <w:bookmarkStart w:id="1355" w:name="_Int_klk0urkA"/>
      <w:r w:rsidRPr="00860760">
        <w:t>III</w:t>
      </w:r>
      <w:bookmarkEnd w:id="1355"/>
      <w:r w:rsidRPr="00860760">
        <w:t xml:space="preserve"> – </w:t>
      </w:r>
      <w:bookmarkStart w:id="1356" w:name="_Int_g5Nt6bs4"/>
      <w:r w:rsidRPr="00860760">
        <w:t>empresa</w:t>
      </w:r>
      <w:bookmarkEnd w:id="1356"/>
      <w:r w:rsidRPr="00860760">
        <w:t xml:space="preserve"> titular de projeto aprovado pela ANCINE: empresa de capital predominantemente nacional que, podendo revestir-se de qualquer das formas societárias previstas em lei, exceto para os </w:t>
      </w:r>
      <w:r w:rsidRPr="00860760">
        <w:lastRenderedPageBreak/>
        <w:t xml:space="preserve">projetos incluídos na alínea "c" do inciso I do </w:t>
      </w:r>
      <w:r w:rsidRPr="004B0593">
        <w:rPr>
          <w:b/>
        </w:rPr>
        <w:t>caput</w:t>
      </w:r>
      <w:r w:rsidRPr="00860760">
        <w:t>, é a responsável pela produção ou execução de projeto aprovado pela ANCINE, bem como pela prestação de contas relativa à utilização dos recursos oriundos do FUNCINE, em nome da qual a aprovação do projeto é publicada no Diário Oficial da União, na forma da regulamentação da ANCINE; e</w:t>
      </w:r>
    </w:p>
    <w:p w14:paraId="63407A77" w14:textId="77777777" w:rsidR="006873AD" w:rsidRPr="00860760" w:rsidRDefault="006873AD" w:rsidP="006873AD">
      <w:pPr>
        <w:pStyle w:val="NormaAlterada"/>
      </w:pPr>
      <w:r w:rsidRPr="00860760">
        <w:t xml:space="preserve">IV – </w:t>
      </w:r>
      <w:bookmarkStart w:id="1357" w:name="_Int_lIazcdQu"/>
      <w:r w:rsidRPr="00860760">
        <w:t>empresa</w:t>
      </w:r>
      <w:bookmarkEnd w:id="1357"/>
      <w:r w:rsidRPr="00860760">
        <w:t xml:space="preserve"> brasileira: sociedade constituída sob as leis brasileiras, com sede e administração no País, cuja maioria do capital total e votante seja de titularidade direta ou indireta de brasileiros natos ou naturalizados há mais de 10 (dez) anos, os quais devem exercer de fato e de direito o poder decisório da empresa.</w:t>
      </w:r>
    </w:p>
    <w:p w14:paraId="3BA7135A" w14:textId="77777777" w:rsidR="006873AD" w:rsidRPr="00A24992" w:rsidRDefault="006873AD" w:rsidP="006873AD">
      <w:pPr>
        <w:pStyle w:val="Captulo"/>
      </w:pPr>
      <w:bookmarkStart w:id="1358" w:name="_Toc161141408"/>
      <w:r>
        <w:t>CAPÍTULO III – CARACTERÍSTICAS E CONSTITUIÇÃO</w:t>
      </w:r>
      <w:bookmarkEnd w:id="1358"/>
    </w:p>
    <w:p w14:paraId="139E41A9" w14:textId="77777777" w:rsidR="006873AD" w:rsidRPr="00860760" w:rsidRDefault="006873AD" w:rsidP="006873AD">
      <w:pPr>
        <w:pStyle w:val="NormaAlterada"/>
      </w:pPr>
      <w:r w:rsidRPr="00860760">
        <w:t>Art. 3</w:t>
      </w:r>
      <w:bookmarkStart w:id="1359" w:name="_Int_Y6WbRXSP"/>
      <w:r w:rsidRPr="00860760">
        <w:t>º</w:t>
      </w:r>
      <w:bookmarkStart w:id="1360" w:name="_Int_ybauIiiI"/>
      <w:bookmarkStart w:id="1361" w:name="_Int_E6xBjHmk"/>
      <w:r w:rsidRPr="00860760">
        <w:t xml:space="preserve">  O</w:t>
      </w:r>
      <w:bookmarkEnd w:id="1359"/>
      <w:bookmarkEnd w:id="1360"/>
      <w:bookmarkEnd w:id="1361"/>
      <w:r w:rsidRPr="00860760">
        <w:t xml:space="preserve"> FUNCINE é destinado à aplicação em projetos aprovados pela ANCINE.</w:t>
      </w:r>
    </w:p>
    <w:p w14:paraId="39499B54" w14:textId="77777777" w:rsidR="006873AD" w:rsidRPr="00860760" w:rsidRDefault="006873AD" w:rsidP="006873AD">
      <w:pPr>
        <w:pStyle w:val="NormaAlterada"/>
      </w:pPr>
      <w:r w:rsidRPr="00860760">
        <w:t xml:space="preserve">Art. </w:t>
      </w:r>
      <w:bookmarkStart w:id="1362" w:name="_Int_cu8hxpju"/>
      <w:r w:rsidRPr="00860760">
        <w:t>4</w:t>
      </w:r>
      <w:bookmarkStart w:id="1363" w:name="_Int_auPOTwBM"/>
      <w:r w:rsidRPr="00860760">
        <w:t>º</w:t>
      </w:r>
      <w:bookmarkStart w:id="1364" w:name="_Int_UASIz08z"/>
      <w:r w:rsidRPr="00860760">
        <w:t xml:space="preserve">  </w:t>
      </w:r>
      <w:bookmarkEnd w:id="1362"/>
      <w:bookmarkEnd w:id="1363"/>
      <w:bookmarkEnd w:id="1364"/>
      <w:r w:rsidRPr="00860760">
        <w:t>A classe de cotas deve ter prazo de duração determinado, na forma estabelecida pelo seu regulamento.</w:t>
      </w:r>
    </w:p>
    <w:p w14:paraId="57D8C26D" w14:textId="77777777" w:rsidR="006873AD" w:rsidRPr="000F5E38" w:rsidRDefault="006873AD" w:rsidP="006873AD">
      <w:pPr>
        <w:pStyle w:val="Captulo"/>
      </w:pPr>
      <w:bookmarkStart w:id="1365" w:name="_Toc161141409"/>
      <w:r w:rsidRPr="00E40B2B">
        <w:t xml:space="preserve">CAPÍTULO </w:t>
      </w:r>
      <w:r>
        <w:t>IV</w:t>
      </w:r>
      <w:r w:rsidRPr="00E40B2B">
        <w:t xml:space="preserve"> </w:t>
      </w:r>
      <w:r>
        <w:t>–</w:t>
      </w:r>
      <w:r w:rsidRPr="00E40B2B">
        <w:t xml:space="preserve"> CARTEIRA</w:t>
      </w:r>
      <w:bookmarkEnd w:id="1365"/>
    </w:p>
    <w:p w14:paraId="31A7B26E" w14:textId="77777777" w:rsidR="006873AD" w:rsidRPr="00860760" w:rsidRDefault="006873AD" w:rsidP="006873AD">
      <w:pPr>
        <w:pStyle w:val="NormaAlterada"/>
      </w:pPr>
      <w:r w:rsidRPr="00860760">
        <w:t xml:space="preserve">Art. </w:t>
      </w:r>
      <w:bookmarkStart w:id="1366" w:name="_Int_KiJS0nMH"/>
      <w:r w:rsidRPr="00860760">
        <w:t>5</w:t>
      </w:r>
      <w:bookmarkStart w:id="1367" w:name="_Int_EBW2Z9Bf"/>
      <w:r w:rsidRPr="00860760">
        <w:t>º</w:t>
      </w:r>
      <w:bookmarkStart w:id="1368" w:name="_Int_KSCTzqOj"/>
      <w:r w:rsidRPr="00860760">
        <w:t xml:space="preserve">  No</w:t>
      </w:r>
      <w:bookmarkEnd w:id="1366"/>
      <w:bookmarkEnd w:id="1367"/>
      <w:bookmarkEnd w:id="1368"/>
      <w:r w:rsidRPr="00860760">
        <w:t xml:space="preserve"> mínimo 90% (noventa por cento) dos recursos aplicados no FUNCINE devem ser direcionados para projetos aprovados pela ANCINE, observados, em relação a cada espécie de destinação, os percentuais mínimos a serem estabelecidos em seu regulamento.</w:t>
      </w:r>
    </w:p>
    <w:p w14:paraId="0974EFD8" w14:textId="77777777" w:rsidR="006873AD" w:rsidRPr="00860760" w:rsidRDefault="006873AD" w:rsidP="006873AD">
      <w:pPr>
        <w:pStyle w:val="NormaAlterada"/>
      </w:pPr>
      <w:r w:rsidRPr="00860760">
        <w:t>§ 1</w:t>
      </w:r>
      <w:bookmarkStart w:id="1369" w:name="_Int_YL72VkTS"/>
      <w:r w:rsidRPr="00860760">
        <w:t>º</w:t>
      </w:r>
      <w:bookmarkStart w:id="1370" w:name="_Int_vQcj8G1H"/>
      <w:bookmarkStart w:id="1371" w:name="_Int_ZmzmZ9ww"/>
      <w:r w:rsidRPr="00860760">
        <w:t xml:space="preserve">  A</w:t>
      </w:r>
      <w:bookmarkEnd w:id="1369"/>
      <w:bookmarkEnd w:id="1370"/>
      <w:bookmarkEnd w:id="1371"/>
      <w:r w:rsidRPr="00860760">
        <w:t xml:space="preserve"> parcela do patrimônio do FUNCINE não comprometida com as aplicações de que trata o </w:t>
      </w:r>
      <w:r w:rsidRPr="004B0593">
        <w:rPr>
          <w:b/>
        </w:rPr>
        <w:t>caput</w:t>
      </w:r>
      <w:r w:rsidRPr="00860760">
        <w:t xml:space="preserve"> deste artigo deve ser constituída por títulos públicos federais.</w:t>
      </w:r>
    </w:p>
    <w:p w14:paraId="6621E8B0" w14:textId="77777777" w:rsidR="006873AD" w:rsidRPr="00860760" w:rsidRDefault="006873AD" w:rsidP="006873AD">
      <w:pPr>
        <w:pStyle w:val="NormaAlterada"/>
      </w:pPr>
      <w:r w:rsidRPr="00860760">
        <w:t>§ 2</w:t>
      </w:r>
      <w:bookmarkStart w:id="1372" w:name="_Int_3UOMaS7F"/>
      <w:r w:rsidRPr="00860760">
        <w:t>º</w:t>
      </w:r>
      <w:bookmarkStart w:id="1373" w:name="_Int_gHcBVqAC"/>
      <w:bookmarkStart w:id="1374" w:name="_Int_kizM8dl8"/>
      <w:r w:rsidRPr="00860760">
        <w:t xml:space="preserve">  Os</w:t>
      </w:r>
      <w:bookmarkEnd w:id="1372"/>
      <w:bookmarkEnd w:id="1373"/>
      <w:bookmarkEnd w:id="1374"/>
      <w:r w:rsidRPr="00860760">
        <w:t xml:space="preserve"> investimentos nas espécies elencadas nas alíneas "a", "b" e "d" do inciso I do art. 2º deste Anexo Normativo VIII devem se dar por meio de contrato a ser firmado entre o administrador do FUNCINE, em seu nome e representação, e a empresa titular de projeto aprovado pela ANCINE, devendo conter as seguintes especificações: </w:t>
      </w:r>
    </w:p>
    <w:p w14:paraId="3DE8A31F" w14:textId="77777777" w:rsidR="006873AD" w:rsidRPr="00860760" w:rsidRDefault="006873AD" w:rsidP="006873AD">
      <w:pPr>
        <w:pStyle w:val="NormaAlterada"/>
      </w:pPr>
      <w:r w:rsidRPr="00860760">
        <w:t xml:space="preserve">I – </w:t>
      </w:r>
      <w:bookmarkStart w:id="1375" w:name="_Int_w9MUcLNR"/>
      <w:r w:rsidRPr="00860760">
        <w:t>denominação</w:t>
      </w:r>
      <w:bookmarkEnd w:id="1375"/>
      <w:r w:rsidRPr="00860760">
        <w:t xml:space="preserve"> do projeto;</w:t>
      </w:r>
    </w:p>
    <w:p w14:paraId="20C6A76B" w14:textId="77777777" w:rsidR="006873AD" w:rsidRPr="00860760" w:rsidRDefault="006873AD" w:rsidP="006873AD">
      <w:pPr>
        <w:pStyle w:val="NormaAlterada"/>
      </w:pPr>
      <w:r w:rsidRPr="00860760">
        <w:t xml:space="preserve">II – </w:t>
      </w:r>
      <w:bookmarkStart w:id="1376" w:name="_Int_cDMSsPQU"/>
      <w:r w:rsidRPr="00860760">
        <w:t>número</w:t>
      </w:r>
      <w:bookmarkEnd w:id="1376"/>
      <w:r w:rsidRPr="00860760">
        <w:t xml:space="preserve"> de registro e data de aprovação do projeto na ANCINE;</w:t>
      </w:r>
    </w:p>
    <w:p w14:paraId="00116E78" w14:textId="77777777" w:rsidR="006873AD" w:rsidRPr="000F5E38" w:rsidRDefault="006873AD" w:rsidP="006873AD">
      <w:pPr>
        <w:pStyle w:val="NormaAlterada"/>
      </w:pPr>
      <w:r w:rsidRPr="000F5E38">
        <w:t xml:space="preserve">III – </w:t>
      </w:r>
      <w:bookmarkStart w:id="1377" w:name="_Int_1OMdlrwq"/>
      <w:r w:rsidRPr="000F5E38">
        <w:t>qualificação</w:t>
      </w:r>
      <w:bookmarkEnd w:id="1377"/>
      <w:r w:rsidRPr="000F5E38">
        <w:t xml:space="preserve"> da empresa titular do projeto aprovado pela ANCINE com os números de registro no Cadastro Nacional de Pessoas Jurídicas – CNPJ e da inscrição estadual ou municipal;</w:t>
      </w:r>
    </w:p>
    <w:p w14:paraId="37C7A6B8" w14:textId="77777777" w:rsidR="006873AD" w:rsidRPr="00860760" w:rsidRDefault="006873AD" w:rsidP="006873AD">
      <w:pPr>
        <w:pStyle w:val="NormaAlterada"/>
      </w:pPr>
      <w:r w:rsidRPr="00860760">
        <w:lastRenderedPageBreak/>
        <w:t xml:space="preserve">IV – </w:t>
      </w:r>
      <w:bookmarkStart w:id="1378" w:name="_Int_eXOI5xPk"/>
      <w:r w:rsidRPr="00860760">
        <w:t>especificação</w:t>
      </w:r>
      <w:bookmarkEnd w:id="1378"/>
      <w:r w:rsidRPr="00860760">
        <w:t xml:space="preserve"> dos direitos assegurados no empreendimento em contrapartida ao investimento por meio do FUNCINE e da sua forma de participação nos resultados do empreendimento em questão;</w:t>
      </w:r>
    </w:p>
    <w:p w14:paraId="0153B25F" w14:textId="77777777" w:rsidR="006873AD" w:rsidRPr="00860760" w:rsidRDefault="006873AD" w:rsidP="006873AD">
      <w:pPr>
        <w:pStyle w:val="NormaAlterada"/>
      </w:pPr>
      <w:r w:rsidRPr="00860760">
        <w:t xml:space="preserve">V – </w:t>
      </w:r>
      <w:bookmarkStart w:id="1379" w:name="_Int_EncdkzGu"/>
      <w:r w:rsidRPr="00860760">
        <w:t>garantias</w:t>
      </w:r>
      <w:bookmarkEnd w:id="1379"/>
      <w:r w:rsidRPr="00860760">
        <w:t>, se houver;</w:t>
      </w:r>
    </w:p>
    <w:p w14:paraId="02EE993E" w14:textId="77777777" w:rsidR="006873AD" w:rsidRPr="000F5E38" w:rsidRDefault="006873AD" w:rsidP="006873AD">
      <w:pPr>
        <w:pStyle w:val="NormaAlterada"/>
      </w:pPr>
      <w:r w:rsidRPr="000F5E38">
        <w:t xml:space="preserve">VI – </w:t>
      </w:r>
      <w:bookmarkStart w:id="1380" w:name="_Int_KEd7YlBJ"/>
      <w:r w:rsidRPr="000F5E38">
        <w:t>prazo</w:t>
      </w:r>
      <w:bookmarkEnd w:id="1380"/>
      <w:r w:rsidRPr="000F5E38">
        <w:t xml:space="preserve"> para a conclusão do projeto;</w:t>
      </w:r>
    </w:p>
    <w:p w14:paraId="167991E1" w14:textId="77777777" w:rsidR="006873AD" w:rsidRPr="000F5E38" w:rsidRDefault="006873AD" w:rsidP="006873AD">
      <w:pPr>
        <w:pStyle w:val="NormaAlterada"/>
      </w:pPr>
      <w:r w:rsidRPr="000F5E38">
        <w:t>VII – sanções e multas pelo não cumprimento das cláusulas contratuais; e</w:t>
      </w:r>
    </w:p>
    <w:p w14:paraId="50DE261C" w14:textId="77777777" w:rsidR="006873AD" w:rsidRPr="000F5E38" w:rsidRDefault="006873AD" w:rsidP="006873AD">
      <w:pPr>
        <w:pStyle w:val="NormaAlterada"/>
      </w:pPr>
      <w:r w:rsidRPr="000F5E38">
        <w:t>VIII – assinatura autorizada do responsável pela empresa titular do projeto receptor dos investimentos.</w:t>
      </w:r>
    </w:p>
    <w:p w14:paraId="7568E8A8" w14:textId="77777777" w:rsidR="006873AD" w:rsidRPr="00860760" w:rsidRDefault="006873AD" w:rsidP="006873AD">
      <w:pPr>
        <w:pStyle w:val="NormaAlterada"/>
      </w:pPr>
      <w:r w:rsidRPr="00860760">
        <w:t>§ 3</w:t>
      </w:r>
      <w:bookmarkStart w:id="1381" w:name="_Int_X5DIJvRu"/>
      <w:r w:rsidRPr="00860760">
        <w:t>º</w:t>
      </w:r>
      <w:bookmarkStart w:id="1382" w:name="_Int_R1z0iDD0"/>
      <w:bookmarkStart w:id="1383" w:name="_Int_aA6PcKD6"/>
      <w:r w:rsidRPr="00860760">
        <w:t xml:space="preserve">  No</w:t>
      </w:r>
      <w:bookmarkEnd w:id="1381"/>
      <w:bookmarkEnd w:id="1382"/>
      <w:bookmarkEnd w:id="1383"/>
      <w:r w:rsidRPr="00860760">
        <w:t xml:space="preserve"> caso de investimentos na espécie de destinação prevista na alínea "a" do inciso I do art. 2º deste Anexo Normativo VIII, deve estar previsto em contrato ou em declaração da empresa titular do projeto aprovado pela ANCINE que as obras audiovisuais objeto do investimento do FUNCINE têm a sua veiculação e difusão contratadas, no prazo e forma especificados no referido contrato ou declaração, conforme o caso.</w:t>
      </w:r>
    </w:p>
    <w:p w14:paraId="54B26D84" w14:textId="77777777" w:rsidR="006873AD" w:rsidRPr="00860760" w:rsidRDefault="006873AD" w:rsidP="006873AD">
      <w:pPr>
        <w:pStyle w:val="NormaAlterada"/>
      </w:pPr>
      <w:r w:rsidRPr="00860760">
        <w:t>§ 4</w:t>
      </w:r>
      <w:bookmarkStart w:id="1384" w:name="_Int_dLX7LOLS"/>
      <w:r w:rsidRPr="00860760">
        <w:t>º</w:t>
      </w:r>
      <w:bookmarkStart w:id="1385" w:name="_Int_ixHHVEmk"/>
      <w:bookmarkStart w:id="1386" w:name="_Int_PfdEpRDd"/>
      <w:r w:rsidRPr="00860760">
        <w:t xml:space="preserve">  Os</w:t>
      </w:r>
      <w:bookmarkEnd w:id="1384"/>
      <w:bookmarkEnd w:id="1385"/>
      <w:bookmarkEnd w:id="1386"/>
      <w:r w:rsidRPr="00860760">
        <w:t xml:space="preserve"> investimentos nas espécies de destinação contempladas na alínea "b" do inciso I do art. 2º deste Anexo Normativo VIII podem se dar por meio de qualquer forma legal que assegure ao FUNCINE participação nos resultados do projeto em questão.</w:t>
      </w:r>
    </w:p>
    <w:p w14:paraId="5C203DCA" w14:textId="77777777" w:rsidR="006873AD" w:rsidRPr="00860760" w:rsidRDefault="006873AD" w:rsidP="006873AD">
      <w:pPr>
        <w:pStyle w:val="NormaAlterada"/>
      </w:pPr>
      <w:r>
        <w:t>§ 5</w:t>
      </w:r>
      <w:bookmarkStart w:id="1387" w:name="_Int_iLO9edt4"/>
      <w:r>
        <w:t>º</w:t>
      </w:r>
      <w:bookmarkStart w:id="1388" w:name="_Int_cq35ys2E"/>
      <w:r>
        <w:t xml:space="preserve">  Os</w:t>
      </w:r>
      <w:bookmarkEnd w:id="1387"/>
      <w:bookmarkEnd w:id="1388"/>
      <w:r>
        <w:t xml:space="preserve"> investimentos na espécie de destinação elencada na alínea "c" inciso I do art. 2º deste Anexo Normativo VIII devem se dar por meio da aquisição de ações das referidas companhias pelo FUNCINE em mercados organizados de bolsa ou balcão.</w:t>
      </w:r>
    </w:p>
    <w:p w14:paraId="5BEF4A3E" w14:textId="77777777" w:rsidR="006873AD" w:rsidRPr="00860760" w:rsidRDefault="006873AD" w:rsidP="006873AD">
      <w:pPr>
        <w:pStyle w:val="NormaAlterada"/>
      </w:pPr>
      <w:r w:rsidRPr="00860760">
        <w:t>Art. 6</w:t>
      </w:r>
      <w:bookmarkStart w:id="1389" w:name="_Int_Fx1zazf1"/>
      <w:r w:rsidRPr="00860760">
        <w:t>º</w:t>
      </w:r>
      <w:bookmarkStart w:id="1390" w:name="_Int_2xaNBpyz"/>
      <w:r w:rsidRPr="00860760">
        <w:t xml:space="preserve">  Para</w:t>
      </w:r>
      <w:bookmarkEnd w:id="1389"/>
      <w:bookmarkEnd w:id="1390"/>
      <w:r w:rsidRPr="00860760">
        <w:t xml:space="preserve"> efeito da aplicação dos recursos do FUNCINE, as empresas de serviço de radiodifusão de sons e imagens e as prestadoras de serviços de telecomunicações não podem deter o controle acionário das companhias referidas na alínea "c" inciso I do art. 2º deste Anexo Normativo VIII.</w:t>
      </w:r>
    </w:p>
    <w:p w14:paraId="060020E4" w14:textId="77777777" w:rsidR="006873AD" w:rsidRPr="00860760" w:rsidRDefault="006873AD" w:rsidP="006873AD">
      <w:pPr>
        <w:pStyle w:val="NormaAlterada"/>
      </w:pPr>
      <w:r w:rsidRPr="00860760">
        <w:t xml:space="preserve">Art. </w:t>
      </w:r>
      <w:bookmarkStart w:id="1391" w:name="_Int_KqesaEgg"/>
      <w:r w:rsidRPr="00860760">
        <w:t>7</w:t>
      </w:r>
      <w:bookmarkStart w:id="1392" w:name="_Int_tP5aoaKz"/>
      <w:r w:rsidRPr="00860760">
        <w:t>º</w:t>
      </w:r>
      <w:bookmarkStart w:id="1393" w:name="_Int_xYJI0NBx"/>
      <w:r w:rsidRPr="00860760">
        <w:t xml:space="preserve">  É</w:t>
      </w:r>
      <w:bookmarkEnd w:id="1391"/>
      <w:bookmarkEnd w:id="1392"/>
      <w:bookmarkEnd w:id="1393"/>
      <w:r w:rsidRPr="00860760">
        <w:t xml:space="preserve"> vedada a aplicação de recursos do FUNCINE em projetos que tenham participação majoritária de cotista da própria classe de cotas.</w:t>
      </w:r>
    </w:p>
    <w:p w14:paraId="4DFA81AD" w14:textId="77777777" w:rsidR="006873AD" w:rsidRPr="00860760" w:rsidRDefault="006873AD" w:rsidP="006873AD">
      <w:pPr>
        <w:pStyle w:val="NormaAlterada"/>
      </w:pPr>
      <w:r w:rsidRPr="00860760">
        <w:t>Art. 8</w:t>
      </w:r>
      <w:bookmarkStart w:id="1394" w:name="_Int_dXAtpXUN"/>
      <w:r w:rsidRPr="00860760">
        <w:t>º</w:t>
      </w:r>
      <w:bookmarkStart w:id="1395" w:name="_Int_RvgwDWM2"/>
      <w:r w:rsidRPr="00860760">
        <w:t xml:space="preserve">  As</w:t>
      </w:r>
      <w:bookmarkEnd w:id="1394"/>
      <w:bookmarkEnd w:id="1395"/>
      <w:r w:rsidRPr="00860760">
        <w:t xml:space="preserve"> obras audiovisuais de natureza publicitária, esportiva ou jornalística não podem constituir objeto de investimento do FUNCINE.</w:t>
      </w:r>
    </w:p>
    <w:p w14:paraId="1E4DA231" w14:textId="77777777" w:rsidR="006873AD" w:rsidRPr="00860760" w:rsidRDefault="006873AD" w:rsidP="006873AD">
      <w:pPr>
        <w:pStyle w:val="NormaAlterada"/>
      </w:pPr>
      <w:r w:rsidRPr="00860760">
        <w:t>Art. 9</w:t>
      </w:r>
      <w:bookmarkStart w:id="1396" w:name="_Int_5crghc4B"/>
      <w:r w:rsidRPr="00860760">
        <w:t>º</w:t>
      </w:r>
      <w:bookmarkStart w:id="1397" w:name="_Int_m3GRoeK0"/>
      <w:r w:rsidRPr="00860760">
        <w:t xml:space="preserve">  Quaisquer</w:t>
      </w:r>
      <w:bookmarkEnd w:id="1396"/>
      <w:bookmarkEnd w:id="1397"/>
      <w:r w:rsidRPr="00860760">
        <w:t xml:space="preserve"> alterações nos contratos a que se refere o § 2º do art. 5º deste Anexo Normativo VIII são consideradas fatos relevantes.</w:t>
      </w:r>
    </w:p>
    <w:p w14:paraId="2353EB33" w14:textId="77777777" w:rsidR="006873AD" w:rsidRPr="00860760" w:rsidRDefault="006873AD" w:rsidP="006873AD">
      <w:pPr>
        <w:pStyle w:val="NormaAlterada"/>
      </w:pPr>
      <w:r w:rsidRPr="00860760">
        <w:lastRenderedPageBreak/>
        <w:t xml:space="preserve">Art. 10.  O FUNCINE terá o prazo de 360 (trezentos e sessenta dias), contado da data do encerramento da primeira distribuição de cotas, para enquadrar sua carteira nas normas de composição constantes de seu regulamento e da legislação, conforme especificado no art. 5º deste Anexo Normativo VIII, devendo, até o início do processo de sua liquidação, manter a composição de carteira dentro dos referidos parâmetros. </w:t>
      </w:r>
    </w:p>
    <w:p w14:paraId="6572BC3F" w14:textId="77777777" w:rsidR="006873AD" w:rsidRPr="00860760" w:rsidRDefault="006873AD" w:rsidP="006873AD">
      <w:pPr>
        <w:pStyle w:val="NormaAlterada"/>
      </w:pPr>
      <w:r w:rsidRPr="00860760">
        <w:t>§ 1</w:t>
      </w:r>
      <w:bookmarkStart w:id="1398" w:name="_Int_Kdd7prlq"/>
      <w:r w:rsidRPr="00860760">
        <w:t>º</w:t>
      </w:r>
      <w:bookmarkStart w:id="1399" w:name="_Int_5mKU8Soq"/>
      <w:r w:rsidRPr="00860760">
        <w:t xml:space="preserve">  A</w:t>
      </w:r>
      <w:bookmarkEnd w:id="1398"/>
      <w:bookmarkEnd w:id="1399"/>
      <w:r w:rsidRPr="00860760">
        <w:t xml:space="preserve"> CVM pode, a seu critério, e mediante pedido fundamentado do gestor, prorrogar o prazo a que se refere o </w:t>
      </w:r>
      <w:r w:rsidRPr="004B0593">
        <w:rPr>
          <w:b/>
        </w:rPr>
        <w:t>caput</w:t>
      </w:r>
      <w:r w:rsidRPr="00860760">
        <w:t xml:space="preserve"> deste artigo.</w:t>
      </w:r>
    </w:p>
    <w:p w14:paraId="7DACA9FB" w14:textId="77777777" w:rsidR="006873AD" w:rsidRPr="00860760" w:rsidRDefault="006873AD" w:rsidP="006873AD">
      <w:pPr>
        <w:pStyle w:val="NormaAlterada"/>
      </w:pPr>
      <w:r w:rsidRPr="00860760">
        <w:t>§ 2º</w:t>
      </w:r>
      <w:bookmarkStart w:id="1400" w:name="_Int_TdOzjgMf"/>
      <w:r w:rsidRPr="00860760">
        <w:t xml:space="preserve">  Sempre</w:t>
      </w:r>
      <w:bookmarkEnd w:id="1400"/>
      <w:r w:rsidRPr="00860760">
        <w:t xml:space="preserve"> que for do interesse do FUNCINE, o gestor deve alienar, trocar, substituir ou de qualquer outra forma transferir ativos da classe, respeitadas as regras da composição de sua carteira, restando claro que, na hipótese de desmobilização temporária dos ativos necessária para fazer frente às referidas mudanças de posição e composição de carteira, os recursos disponíveis devem ser depositados em banco comercial, ou múltiplo com carteira comercial, em nome do FUNCINE, sendo obrigatória sua aplicação em títulos públicos federais até a determinação de seu destino final. </w:t>
      </w:r>
    </w:p>
    <w:p w14:paraId="6401EE01" w14:textId="77777777" w:rsidR="006873AD" w:rsidRPr="00860760" w:rsidRDefault="006873AD" w:rsidP="006873AD">
      <w:pPr>
        <w:pStyle w:val="NormaAlterada"/>
      </w:pPr>
      <w:r w:rsidRPr="00860760">
        <w:t xml:space="preserve">Art. 11.  O descumprimento dos limites de composição e diversificação de carteira definidos neste Anexo Normativo VIII, após o prazo de 360 (trezentos e sessenta) dias, contado da data do encerramento da primeira distribuição de cotas ou da prorrogação autorizada pela CVM, conforme o caso, deve ser imediatamente justificado perante </w:t>
      </w:r>
      <w:bookmarkStart w:id="1401" w:name="_Int_yBpm50sT"/>
      <w:r w:rsidRPr="00860760">
        <w:t>a</w:t>
      </w:r>
      <w:bookmarkEnd w:id="1401"/>
      <w:r w:rsidRPr="00860760">
        <w:t xml:space="preserve"> CVM que, sem prejuízo das penalidades cabíveis, pode determinar ao administrador a convocação de assembleia de cotistas para decidir sobre uma das seguintes alternativas:</w:t>
      </w:r>
    </w:p>
    <w:p w14:paraId="391484E4" w14:textId="77777777" w:rsidR="006873AD" w:rsidRDefault="006873AD" w:rsidP="006873AD">
      <w:pPr>
        <w:pStyle w:val="NormaAlterada"/>
      </w:pPr>
      <w:r w:rsidRPr="000F5E38">
        <w:t xml:space="preserve">I – </w:t>
      </w:r>
      <w:bookmarkStart w:id="1402" w:name="_Int_gSjorRgU"/>
      <w:r w:rsidRPr="000F5E38">
        <w:t>transferência</w:t>
      </w:r>
      <w:bookmarkEnd w:id="1402"/>
      <w:r w:rsidRPr="000F5E38">
        <w:t xml:space="preserve"> da administração do FUNCINE</w:t>
      </w:r>
      <w:r>
        <w:t>;</w:t>
      </w:r>
    </w:p>
    <w:p w14:paraId="633AE136" w14:textId="77777777" w:rsidR="006873AD" w:rsidRPr="00860760" w:rsidRDefault="006873AD" w:rsidP="006873AD">
      <w:pPr>
        <w:pStyle w:val="NormaAlterada"/>
      </w:pPr>
      <w:r w:rsidRPr="00860760">
        <w:t xml:space="preserve">II – </w:t>
      </w:r>
      <w:bookmarkStart w:id="1403" w:name="_Int_nvlbHeYZ"/>
      <w:r w:rsidRPr="00860760">
        <w:t>cisão</w:t>
      </w:r>
      <w:bookmarkEnd w:id="1403"/>
      <w:r w:rsidRPr="00860760">
        <w:t xml:space="preserve"> da classe de cotas desenquadrada; </w:t>
      </w:r>
    </w:p>
    <w:p w14:paraId="64DED245" w14:textId="77777777" w:rsidR="006873AD" w:rsidRPr="00860760" w:rsidRDefault="006873AD" w:rsidP="006873AD">
      <w:pPr>
        <w:pStyle w:val="NormaAlterada"/>
      </w:pPr>
      <w:r w:rsidRPr="00860760">
        <w:t xml:space="preserve">III – incorporação do fundo ou da classe de cotas desenquadrada, conforme o caso, por outro FUNCINE; ou </w:t>
      </w:r>
    </w:p>
    <w:p w14:paraId="5335925B" w14:textId="77777777" w:rsidR="006873AD" w:rsidRPr="00860760" w:rsidRDefault="006873AD" w:rsidP="006873AD">
      <w:pPr>
        <w:pStyle w:val="NormaAlterada"/>
      </w:pPr>
      <w:r w:rsidRPr="00860760">
        <w:t xml:space="preserve">IV – </w:t>
      </w:r>
      <w:bookmarkStart w:id="1404" w:name="_Int_k6vgCytL"/>
      <w:r w:rsidRPr="00860760">
        <w:t>liquidação</w:t>
      </w:r>
      <w:bookmarkEnd w:id="1404"/>
      <w:r w:rsidRPr="00860760">
        <w:t xml:space="preserve"> do FUNCINE ou da classe de cotas desenquadrada, conforme o caso. </w:t>
      </w:r>
    </w:p>
    <w:p w14:paraId="493C9F79" w14:textId="77777777" w:rsidR="006873AD" w:rsidRPr="000F5E38" w:rsidRDefault="006873AD" w:rsidP="006873AD">
      <w:pPr>
        <w:pStyle w:val="Captulo"/>
      </w:pPr>
      <w:bookmarkStart w:id="1405" w:name="_Toc161141410"/>
      <w:r w:rsidRPr="000F5E38">
        <w:t xml:space="preserve">CAPÍTULO </w:t>
      </w:r>
      <w:r>
        <w:t>V</w:t>
      </w:r>
      <w:r w:rsidRPr="000F5E38">
        <w:t xml:space="preserve"> – COTAS</w:t>
      </w:r>
      <w:bookmarkEnd w:id="1405"/>
    </w:p>
    <w:p w14:paraId="35BECCCF" w14:textId="77777777" w:rsidR="006873AD" w:rsidRPr="00860760" w:rsidRDefault="006873AD" w:rsidP="006873AD">
      <w:pPr>
        <w:pStyle w:val="NormaAlterada"/>
      </w:pPr>
      <w:r w:rsidRPr="00860760">
        <w:t>Art. 12.  A integralização de cotas pode ser realizada em moeda corrente nacional, bens e direitos, conforme estipulado no regulamento do FUNCINE.</w:t>
      </w:r>
    </w:p>
    <w:p w14:paraId="73C3F198" w14:textId="77777777" w:rsidR="006873AD" w:rsidRPr="000F5E38" w:rsidRDefault="006873AD" w:rsidP="006873AD">
      <w:pPr>
        <w:pStyle w:val="NormaAlterada"/>
      </w:pPr>
      <w:r w:rsidRPr="000F5E38">
        <w:lastRenderedPageBreak/>
        <w:t>Parágrafo único.  A integralização em bens e direitos deve ser feita com base em laudo de avaliação elaborado por 3 (três) peritos ou por empresa especializada independente, devidamente fundamentado com a indicação dos critérios de avaliação e elementos de comparação adotados, e aprovado pelo administrador do FUNCINE.</w:t>
      </w:r>
    </w:p>
    <w:p w14:paraId="3F18509A" w14:textId="77777777" w:rsidR="006873AD" w:rsidRPr="000F5E38" w:rsidRDefault="006873AD" w:rsidP="006873AD">
      <w:pPr>
        <w:pStyle w:val="NormaAlterada"/>
      </w:pPr>
      <w:r w:rsidRPr="000F5E38">
        <w:t xml:space="preserve">Art. </w:t>
      </w:r>
      <w:r>
        <w:t>13</w:t>
      </w:r>
      <w:r w:rsidRPr="000F5E38">
        <w:t>.  A amortização de cotas deve ser efetivada sempre em moeda corrente nacional, na forma e no prazo dispostos no regulamento do FUNCINE.</w:t>
      </w:r>
    </w:p>
    <w:p w14:paraId="22D8EB81" w14:textId="77777777" w:rsidR="006873AD" w:rsidRPr="00C8256A" w:rsidRDefault="006873AD" w:rsidP="006873AD">
      <w:pPr>
        <w:pStyle w:val="NormaAlterada"/>
      </w:pPr>
      <w:r w:rsidRPr="00C8256A">
        <w:t>Art. 14.  A subscrição total das cotas do FUNCINE deve ser encerrada no prazo máximo de 360 (trezentos e sessenta) dias, a contar da data do início da distribuição, ficando vedada a sua negociação, alienação, cessão ou transferência a qualquer título, até que a distribuição seja encerrada.</w:t>
      </w:r>
    </w:p>
    <w:p w14:paraId="76CF793E" w14:textId="77777777" w:rsidR="006873AD" w:rsidRPr="00860760" w:rsidRDefault="006873AD" w:rsidP="006873AD">
      <w:pPr>
        <w:pStyle w:val="NormaAlterada"/>
      </w:pPr>
      <w:r w:rsidRPr="00860760">
        <w:t>§ 1</w:t>
      </w:r>
      <w:bookmarkStart w:id="1406" w:name="_Int_ut2ykzMP"/>
      <w:r w:rsidRPr="00860760">
        <w:t>º</w:t>
      </w:r>
      <w:bookmarkStart w:id="1407" w:name="_Int_iPqjD4bC"/>
      <w:r w:rsidRPr="00860760">
        <w:t xml:space="preserve">  Caso</w:t>
      </w:r>
      <w:bookmarkEnd w:id="1406"/>
      <w:bookmarkEnd w:id="1407"/>
      <w:r w:rsidRPr="00860760">
        <w:t xml:space="preserve"> o número mínimo de cotas previsto no regulamento não seja totalmente subscrito no prazo, os valores obtidos durante a distribuição de cotas devem ser imediatamente rateados entre os subscritores, nas proporções dos valores integralizados, acrescidos dos rendimentos líquidos auferidos pelas aplicações do FUNCINE.</w:t>
      </w:r>
    </w:p>
    <w:p w14:paraId="106B475F" w14:textId="77777777" w:rsidR="006873AD" w:rsidRPr="00860760" w:rsidRDefault="006873AD" w:rsidP="006873AD">
      <w:pPr>
        <w:pStyle w:val="NormaAlterada"/>
      </w:pPr>
      <w:r w:rsidRPr="00860760">
        <w:t>§ 2</w:t>
      </w:r>
      <w:bookmarkStart w:id="1408" w:name="_Int_616MGxc5"/>
      <w:r w:rsidRPr="00860760">
        <w:t>º</w:t>
      </w:r>
      <w:bookmarkStart w:id="1409" w:name="_Int_BdVSnDm2"/>
      <w:r w:rsidRPr="00860760">
        <w:t xml:space="preserve">  No</w:t>
      </w:r>
      <w:bookmarkEnd w:id="1408"/>
      <w:bookmarkEnd w:id="1409"/>
      <w:r w:rsidRPr="00860760">
        <w:t xml:space="preserve"> caso do § 1º deste artigo, o gestor pode optar por reduzir o número total de cotas a ser emitido, readequando as participações percentuais relativas às cotas já colocadas, desde que obtenha, por escrito, a concordância formal dos subscritores com relação às novas condições e efetue a devolução do valor integralizado, devidamente remunerado pelo tempo decorrido, aos subscritores </w:t>
      </w:r>
      <w:bookmarkStart w:id="1410" w:name="_Int_3YjhbocK"/>
      <w:r w:rsidRPr="00860760">
        <w:t>discordantes.</w:t>
      </w:r>
      <w:bookmarkEnd w:id="1410"/>
    </w:p>
    <w:p w14:paraId="7E9DC71F" w14:textId="77777777" w:rsidR="006873AD" w:rsidRPr="000F5E38" w:rsidRDefault="006873AD" w:rsidP="006873AD">
      <w:pPr>
        <w:pStyle w:val="Captulo"/>
        <w:ind w:firstLine="0"/>
      </w:pPr>
      <w:bookmarkStart w:id="1411" w:name="_Toc161141411"/>
      <w:r>
        <w:t>CAP</w:t>
      </w:r>
      <w:r w:rsidRPr="00C8256A">
        <w:t>Í</w:t>
      </w:r>
      <w:r>
        <w:t>TULO VI – REGULAMENTO</w:t>
      </w:r>
      <w:bookmarkEnd w:id="1411"/>
    </w:p>
    <w:p w14:paraId="05ECF8A3" w14:textId="77777777" w:rsidR="006873AD" w:rsidRPr="00860760" w:rsidRDefault="006873AD" w:rsidP="006873AD">
      <w:pPr>
        <w:pStyle w:val="NormaAlterada"/>
      </w:pPr>
      <w:r w:rsidRPr="00860760">
        <w:t xml:space="preserve">Art. 15.  Em acréscimo às matérias dispostas no art. 48 da parte geral da Resolução, o regulamento do FUNCINE deve dispor sobre: </w:t>
      </w:r>
    </w:p>
    <w:p w14:paraId="6F0B28CE" w14:textId="77777777" w:rsidR="006873AD" w:rsidRPr="00860760" w:rsidRDefault="006873AD" w:rsidP="006873AD">
      <w:pPr>
        <w:pStyle w:val="NormaAlterada"/>
      </w:pPr>
      <w:r w:rsidRPr="00860760">
        <w:t xml:space="preserve">I – </w:t>
      </w:r>
      <w:bookmarkStart w:id="1412" w:name="_Int_aIG5LJax"/>
      <w:r w:rsidRPr="00860760">
        <w:t>condições</w:t>
      </w:r>
      <w:bookmarkEnd w:id="1412"/>
      <w:r w:rsidRPr="00860760">
        <w:t xml:space="preserve"> para a amortização de cotas;</w:t>
      </w:r>
    </w:p>
    <w:p w14:paraId="1A294B64" w14:textId="77777777" w:rsidR="006873AD" w:rsidRPr="00860760" w:rsidRDefault="006873AD" w:rsidP="006873AD">
      <w:pPr>
        <w:pStyle w:val="NormaAlterada"/>
      </w:pPr>
      <w:r w:rsidRPr="00860760">
        <w:t xml:space="preserve">II – </w:t>
      </w:r>
      <w:bookmarkStart w:id="1413" w:name="_Int_tNwPGg2A"/>
      <w:r w:rsidRPr="00860760">
        <w:t>a</w:t>
      </w:r>
      <w:bookmarkEnd w:id="1413"/>
      <w:r w:rsidRPr="00860760">
        <w:t xml:space="preserve"> possibilidade de novas e futuras emissões de cotas, caso em que deve disciplinar as respectivas hipóteses, os critérios para fixação do preço e o direito de preferência dos cotistas à subscrição de novas emissões; e</w:t>
      </w:r>
    </w:p>
    <w:p w14:paraId="3D3E0C2D" w14:textId="77777777" w:rsidR="006873AD" w:rsidRPr="00860760" w:rsidRDefault="006873AD" w:rsidP="006873AD">
      <w:pPr>
        <w:pStyle w:val="NormaAlterada"/>
      </w:pPr>
      <w:r w:rsidRPr="00860760">
        <w:t>III – quantidade mínima de cotas que deve ser subscrita para iniciar o funcionamento da classe de cotas, nos termos do art. 14 deste Anexo Normativo VIII.</w:t>
      </w:r>
    </w:p>
    <w:p w14:paraId="1065F3D1" w14:textId="77777777" w:rsidR="006873AD" w:rsidRPr="00E40B2B" w:rsidRDefault="006873AD" w:rsidP="006873AD">
      <w:pPr>
        <w:pStyle w:val="Captulo"/>
        <w:rPr>
          <w:rFonts w:eastAsiaTheme="minorEastAsia" w:cstheme="minorBidi"/>
        </w:rPr>
      </w:pPr>
      <w:bookmarkStart w:id="1414" w:name="_Toc161141412"/>
      <w:r w:rsidRPr="00E40B2B">
        <w:lastRenderedPageBreak/>
        <w:t>CAPÍTULO V</w:t>
      </w:r>
      <w:r>
        <w:t>II</w:t>
      </w:r>
      <w:r w:rsidRPr="00E40B2B">
        <w:t xml:space="preserve"> – PRESTAÇÃO DE SERVIÇOS</w:t>
      </w:r>
      <w:bookmarkEnd w:id="1414"/>
    </w:p>
    <w:p w14:paraId="324747C2" w14:textId="77777777" w:rsidR="006873AD" w:rsidRPr="00860760" w:rsidRDefault="006873AD" w:rsidP="006873AD">
      <w:pPr>
        <w:pStyle w:val="NormaAlterada"/>
      </w:pPr>
      <w:r w:rsidRPr="00860760">
        <w:t xml:space="preserve">Art. 16.  Em acréscimo às obrigações dispostas no art. 104 da parte geral da Resolução, cabe ao administrador: </w:t>
      </w:r>
    </w:p>
    <w:p w14:paraId="7398A51B" w14:textId="77777777" w:rsidR="006873AD" w:rsidRPr="00860760" w:rsidRDefault="006873AD" w:rsidP="006873AD">
      <w:pPr>
        <w:pStyle w:val="NormaAlterada"/>
      </w:pPr>
      <w:r w:rsidRPr="00860760">
        <w:t xml:space="preserve">I – </w:t>
      </w:r>
      <w:bookmarkStart w:id="1415" w:name="_Int_uk1yUnca"/>
      <w:r w:rsidRPr="00860760">
        <w:t>manter</w:t>
      </w:r>
      <w:bookmarkEnd w:id="1415"/>
      <w:r w:rsidRPr="00860760">
        <w:t xml:space="preserve"> as ações referidas na alínea "c" do inciso I do art. 2º deste Anexo Normativo VIII, integrantes da carteira do FUNCINE, custodiadas em pessoas jurídicas autorizadas pela CVM a prestar o serviço de custódia de valores mobiliários; e</w:t>
      </w:r>
    </w:p>
    <w:p w14:paraId="4202EF86" w14:textId="77777777" w:rsidR="006873AD" w:rsidRPr="00860760" w:rsidRDefault="006873AD" w:rsidP="006873AD">
      <w:pPr>
        <w:pStyle w:val="NormaAlterada"/>
      </w:pPr>
      <w:r w:rsidRPr="00860760">
        <w:t xml:space="preserve">II – </w:t>
      </w:r>
      <w:bookmarkStart w:id="1416" w:name="_Int_jUXh3neI"/>
      <w:r w:rsidRPr="00860760">
        <w:t>exigir</w:t>
      </w:r>
      <w:bookmarkEnd w:id="1416"/>
      <w:r w:rsidRPr="00860760">
        <w:t>, por meio de cláusula contratual, que a empresa titular de projeto aprovado pela ANCINE encaminhe todos os contratos firmados com terceiros, que impliquem a cessão de direitos patrimoniais ou de participação em receitas do projeto.</w:t>
      </w:r>
    </w:p>
    <w:p w14:paraId="05ABC51F" w14:textId="77777777" w:rsidR="006873AD" w:rsidRPr="00860760" w:rsidRDefault="006873AD" w:rsidP="006873AD">
      <w:pPr>
        <w:pStyle w:val="NormaAlterada"/>
      </w:pPr>
      <w:r w:rsidRPr="00860760">
        <w:t>Art. 17.  Em acréscimo às vedações previstas no art. 101 da parte geral da Resolução, é vedado ao gestor realizar operações do FUNCINE quando caracterizada situação de conflito de interesses entre o FUNCINE e o gestor ou administrador.</w:t>
      </w:r>
    </w:p>
    <w:p w14:paraId="29B5D6C8" w14:textId="77777777" w:rsidR="006873AD" w:rsidRPr="000F5E38" w:rsidRDefault="006873AD" w:rsidP="006873AD">
      <w:pPr>
        <w:pStyle w:val="Captulo"/>
        <w:rPr>
          <w:b/>
        </w:rPr>
      </w:pPr>
      <w:bookmarkStart w:id="1417" w:name="_Toc161141413"/>
      <w:r w:rsidRPr="00E40B2B">
        <w:t>CAPÍTULO</w:t>
      </w:r>
      <w:r>
        <w:t xml:space="preserve"> VIII</w:t>
      </w:r>
      <w:r w:rsidRPr="00E40B2B">
        <w:t xml:space="preserve"> –</w:t>
      </w:r>
      <w:r>
        <w:t xml:space="preserve"> </w:t>
      </w:r>
      <w:r w:rsidRPr="00E40B2B">
        <w:t>DIVULGAÇÃO DE INFORMAÇÕES</w:t>
      </w:r>
      <w:bookmarkEnd w:id="1417"/>
    </w:p>
    <w:p w14:paraId="3FFD8A0D" w14:textId="77777777" w:rsidR="006873AD" w:rsidRPr="00860760" w:rsidRDefault="006873AD" w:rsidP="006873AD">
      <w:pPr>
        <w:pStyle w:val="NormaAlterada"/>
      </w:pPr>
      <w:r w:rsidRPr="00860760">
        <w:t>Art. 18.  O administrador está obrigado a encaminhar aos cotistas:</w:t>
      </w:r>
    </w:p>
    <w:p w14:paraId="7CA5F4ED" w14:textId="77777777" w:rsidR="006873AD" w:rsidRPr="00860760" w:rsidRDefault="006873AD" w:rsidP="006873AD">
      <w:pPr>
        <w:pStyle w:val="NormaAlterada"/>
      </w:pPr>
      <w:r w:rsidRPr="00860760">
        <w:t xml:space="preserve">I – </w:t>
      </w:r>
      <w:bookmarkStart w:id="1418" w:name="_Int_QDSIOXsy"/>
      <w:r w:rsidRPr="00860760">
        <w:t>semestralmente</w:t>
      </w:r>
      <w:bookmarkEnd w:id="1418"/>
      <w:r w:rsidRPr="00860760">
        <w:t>, no prazo de até 60 (sessenta) dias, contados a partir do encerramento do período a que se referirem:</w:t>
      </w:r>
    </w:p>
    <w:p w14:paraId="05B230FF" w14:textId="77777777" w:rsidR="006873AD" w:rsidRPr="000F5E38" w:rsidRDefault="006873AD" w:rsidP="006873AD">
      <w:pPr>
        <w:pStyle w:val="NormaAlterada"/>
      </w:pPr>
      <w:r>
        <w:t xml:space="preserve">a) </w:t>
      </w:r>
      <w:r w:rsidRPr="000F5E38">
        <w:t xml:space="preserve">extrato de conta contendo: </w:t>
      </w:r>
    </w:p>
    <w:p w14:paraId="200E54B8" w14:textId="77777777" w:rsidR="006873AD" w:rsidRPr="00860760" w:rsidRDefault="006873AD" w:rsidP="006873AD">
      <w:pPr>
        <w:pStyle w:val="NormaAlterada"/>
      </w:pPr>
      <w:bookmarkStart w:id="1419" w:name="_Int_TShOsp0A"/>
      <w:r w:rsidRPr="00860760">
        <w:t>1. nome</w:t>
      </w:r>
      <w:bookmarkEnd w:id="1419"/>
      <w:r w:rsidRPr="00860760">
        <w:t xml:space="preserve"> do fundo e, caso existentes, das classes de cotas, e número dos registros do fundo e suas classes no CNPJ;</w:t>
      </w:r>
    </w:p>
    <w:p w14:paraId="60D4E584" w14:textId="77777777" w:rsidR="006873AD" w:rsidRPr="004E21EA" w:rsidRDefault="006873AD" w:rsidP="006873AD">
      <w:pPr>
        <w:pStyle w:val="NormaAlterada"/>
      </w:pPr>
      <w:r>
        <w:t xml:space="preserve">2. </w:t>
      </w:r>
      <w:r w:rsidRPr="004E21EA">
        <w:t>nome, endereço e número de registro do administrador no CNPJ;</w:t>
      </w:r>
    </w:p>
    <w:p w14:paraId="6275EE84" w14:textId="77777777" w:rsidR="006873AD" w:rsidRPr="004E21EA" w:rsidRDefault="006873AD" w:rsidP="006873AD">
      <w:pPr>
        <w:pStyle w:val="NormaAlterada"/>
      </w:pPr>
      <w:bookmarkStart w:id="1420" w:name="_Int_jOfNrSB1"/>
      <w:r>
        <w:t xml:space="preserve">3. </w:t>
      </w:r>
      <w:r w:rsidRPr="004E21EA">
        <w:t>nome</w:t>
      </w:r>
      <w:bookmarkEnd w:id="1420"/>
      <w:r w:rsidRPr="004E21EA">
        <w:t xml:space="preserve"> do cotista; </w:t>
      </w:r>
    </w:p>
    <w:p w14:paraId="614C1791" w14:textId="77777777" w:rsidR="006873AD" w:rsidRPr="004E21EA" w:rsidRDefault="006873AD" w:rsidP="006873AD">
      <w:pPr>
        <w:pStyle w:val="NormaAlterada"/>
      </w:pPr>
      <w:r>
        <w:t xml:space="preserve">4. </w:t>
      </w:r>
      <w:r w:rsidRPr="004E21EA">
        <w:t>saldo e valor das cotas no início e no final do período e a movimentação ocorrida ao longo do período; e</w:t>
      </w:r>
    </w:p>
    <w:p w14:paraId="3F30F8CE" w14:textId="77777777" w:rsidR="006873AD" w:rsidRPr="004E21EA" w:rsidRDefault="006873AD" w:rsidP="006873AD">
      <w:pPr>
        <w:pStyle w:val="NormaAlterada"/>
      </w:pPr>
      <w:r>
        <w:t xml:space="preserve">5. </w:t>
      </w:r>
      <w:r w:rsidRPr="004E21EA">
        <w:t>local e data de emissão; e</w:t>
      </w:r>
    </w:p>
    <w:p w14:paraId="54C5DC96" w14:textId="77777777" w:rsidR="006873AD" w:rsidRPr="00860760" w:rsidRDefault="006873AD" w:rsidP="006873AD">
      <w:pPr>
        <w:pStyle w:val="NormaAlterada"/>
      </w:pPr>
      <w:r w:rsidRPr="00860760">
        <w:t>b) relatório semestral previsto no art. 19, inciso II, alínea “a”, deste Anexo Normativo VIII; e</w:t>
      </w:r>
    </w:p>
    <w:p w14:paraId="45AC59F5" w14:textId="77777777" w:rsidR="006873AD" w:rsidRPr="00860760" w:rsidRDefault="006873AD" w:rsidP="006873AD">
      <w:pPr>
        <w:pStyle w:val="NormaAlterada"/>
      </w:pPr>
      <w:r w:rsidRPr="00860760">
        <w:lastRenderedPageBreak/>
        <w:t>II – anualmente, no prazo de 90 (noventa) dias, contado a partir do encerramento do exercício a que se referirem, as demonstrações contábeis do fundo e, caso existentes, de suas classes de cotas, acompanhadas dos pareceres de auditoria independente.</w:t>
      </w:r>
    </w:p>
    <w:p w14:paraId="0003E253" w14:textId="387BDEAE" w:rsidR="006873AD" w:rsidRPr="00860760" w:rsidRDefault="006873AD" w:rsidP="006873AD">
      <w:pPr>
        <w:pStyle w:val="NormaAlterada"/>
      </w:pPr>
      <w:r w:rsidRPr="00860760">
        <w:t xml:space="preserve">Art. 19. </w:t>
      </w:r>
      <w:r w:rsidR="000E44FD">
        <w:t xml:space="preserve"> </w:t>
      </w:r>
      <w:r w:rsidRPr="00860760">
        <w:t>O administrador deve enviar à CVM, por meio de sistema eletrônico disponível na rede mundial de computadores, as seguintes informações:</w:t>
      </w:r>
    </w:p>
    <w:p w14:paraId="300E4738" w14:textId="77777777" w:rsidR="006873AD" w:rsidRPr="00860760" w:rsidRDefault="006873AD" w:rsidP="006873AD">
      <w:pPr>
        <w:pStyle w:val="NormaAlterada"/>
      </w:pPr>
      <w:r w:rsidRPr="00860760">
        <w:t xml:space="preserve">I – </w:t>
      </w:r>
      <w:bookmarkStart w:id="1421" w:name="_Int_qITMYV3W"/>
      <w:r w:rsidRPr="00860760">
        <w:t>trimestralmente</w:t>
      </w:r>
      <w:bookmarkEnd w:id="1421"/>
      <w:r w:rsidRPr="00860760">
        <w:t>, no prazo de 15 (quinze) dias após o encerramento do trimestre civil a que se referirem:</w:t>
      </w:r>
    </w:p>
    <w:p w14:paraId="2ECF0A9C" w14:textId="77777777" w:rsidR="006873AD" w:rsidRPr="00860760" w:rsidRDefault="006873AD" w:rsidP="006873AD">
      <w:pPr>
        <w:pStyle w:val="NormaAlterada"/>
      </w:pPr>
      <w:r w:rsidRPr="00860760">
        <w:t>a) valor do patrimônio líquido do fundo e, caso existentes, de suas classes de cotas; e</w:t>
      </w:r>
    </w:p>
    <w:p w14:paraId="57D6CD1D" w14:textId="77777777" w:rsidR="006873AD" w:rsidRPr="000F5E38" w:rsidRDefault="006873AD" w:rsidP="006873AD">
      <w:pPr>
        <w:pStyle w:val="NormaAlterada"/>
      </w:pPr>
      <w:r w:rsidRPr="00860760">
        <w:t>b) número</w:t>
      </w:r>
      <w:r w:rsidRPr="000F5E38">
        <w:t xml:space="preserve"> de cotas emitidas.</w:t>
      </w:r>
    </w:p>
    <w:p w14:paraId="6687A9D6" w14:textId="77777777" w:rsidR="006873AD" w:rsidRPr="00860760" w:rsidRDefault="006873AD" w:rsidP="006873AD">
      <w:pPr>
        <w:pStyle w:val="NormaAlterada"/>
      </w:pPr>
      <w:r w:rsidRPr="00860760">
        <w:t xml:space="preserve">II – </w:t>
      </w:r>
      <w:bookmarkStart w:id="1422" w:name="_Int_ReVMbmMe"/>
      <w:r w:rsidRPr="00860760">
        <w:t>semestralmente</w:t>
      </w:r>
      <w:bookmarkEnd w:id="1422"/>
      <w:r w:rsidRPr="00860760">
        <w:t>, no prazo de até 60 (sessenta) dias, contados a partir do encerramento do semestre a que se referirem:</w:t>
      </w:r>
    </w:p>
    <w:p w14:paraId="7D8B663B" w14:textId="77777777" w:rsidR="006873AD" w:rsidRPr="00860760" w:rsidRDefault="006873AD" w:rsidP="006873AD">
      <w:pPr>
        <w:pStyle w:val="NormaAlterada"/>
      </w:pPr>
      <w:r w:rsidRPr="00860760">
        <w:t>a) relatório semestral, conforme estabelecido no art. 20 deste Anexo Normativo VIII; e</w:t>
      </w:r>
    </w:p>
    <w:p w14:paraId="67DDF06C" w14:textId="77777777" w:rsidR="006873AD" w:rsidRPr="000F5E38" w:rsidRDefault="006873AD" w:rsidP="006873AD">
      <w:pPr>
        <w:pStyle w:val="NormaAlterada"/>
      </w:pPr>
      <w:r>
        <w:t xml:space="preserve">b) </w:t>
      </w:r>
      <w:r w:rsidRPr="000F5E38">
        <w:t xml:space="preserve">relação das demandas judiciais ou extrajudiciais, quer na defesa dos direitos dos cotistas, quer desses contra a administração do FUNCINE, indicando a data do seu início, o estágio em que se </w:t>
      </w:r>
      <w:r w:rsidRPr="00860760">
        <w:t>encontram</w:t>
      </w:r>
      <w:r w:rsidRPr="000F5E38">
        <w:t xml:space="preserve"> e a solução final, se houver; e</w:t>
      </w:r>
    </w:p>
    <w:p w14:paraId="485D5D57" w14:textId="77777777" w:rsidR="006873AD" w:rsidRPr="00860760" w:rsidRDefault="006873AD" w:rsidP="006873AD">
      <w:pPr>
        <w:pStyle w:val="NormaAlterada"/>
      </w:pPr>
      <w:r w:rsidRPr="00860760">
        <w:t>III – anualmente, no prazo de 90 (noventa) dias, contado a partir do encerramento do exercício a que se referirem, as demonstrações contábeis do fundo e, caso existentes, de suas classes de cotas, acompanhadas dos pareceres de auditoria independente</w:t>
      </w:r>
      <w:bookmarkStart w:id="1423" w:name="_Int_tcHDnWUn"/>
      <w:r w:rsidRPr="00860760">
        <w:t>.</w:t>
      </w:r>
      <w:bookmarkEnd w:id="1423"/>
    </w:p>
    <w:p w14:paraId="40D2A0FB" w14:textId="77777777" w:rsidR="006873AD" w:rsidRPr="00860760" w:rsidRDefault="006873AD" w:rsidP="006873AD">
      <w:pPr>
        <w:pStyle w:val="NormaAlterada"/>
      </w:pPr>
      <w:r w:rsidRPr="00860760">
        <w:t xml:space="preserve">Art. 20.  Além de outros que o administrador julgar relevantes, o relatório semestral deve abordar os seguintes aspectos: </w:t>
      </w:r>
    </w:p>
    <w:p w14:paraId="6B7696DF" w14:textId="77777777" w:rsidR="006873AD" w:rsidRPr="00860760" w:rsidRDefault="006873AD" w:rsidP="006873AD">
      <w:pPr>
        <w:pStyle w:val="NormaAlterada"/>
      </w:pPr>
      <w:r w:rsidRPr="00860760">
        <w:t xml:space="preserve">I – </w:t>
      </w:r>
      <w:bookmarkStart w:id="1424" w:name="_Int_5m30NMng"/>
      <w:r w:rsidRPr="00860760">
        <w:t>informações</w:t>
      </w:r>
      <w:bookmarkEnd w:id="1424"/>
      <w:r w:rsidRPr="00860760">
        <w:t xml:space="preserve"> básicas, compreendendo a rentabilidade auferida; </w:t>
      </w:r>
    </w:p>
    <w:p w14:paraId="3F86D31C" w14:textId="77777777" w:rsidR="006873AD" w:rsidRPr="00860760" w:rsidRDefault="006873AD" w:rsidP="006873AD">
      <w:pPr>
        <w:pStyle w:val="NormaAlterada"/>
      </w:pPr>
      <w:r w:rsidRPr="00860760">
        <w:t xml:space="preserve">II – </w:t>
      </w:r>
      <w:bookmarkStart w:id="1425" w:name="_Int_NYlXKhvS"/>
      <w:r w:rsidRPr="00860760">
        <w:t>análise</w:t>
      </w:r>
      <w:bookmarkEnd w:id="1425"/>
      <w:r w:rsidRPr="00860760">
        <w:t xml:space="preserve"> da carteira do FUNCINE em face da estratégia adotada e dos objetivos da política de investimento; </w:t>
      </w:r>
    </w:p>
    <w:p w14:paraId="325DBACE" w14:textId="77777777" w:rsidR="006873AD" w:rsidRPr="000F5E38" w:rsidRDefault="006873AD" w:rsidP="006873AD">
      <w:pPr>
        <w:pStyle w:val="NormaAlterada"/>
      </w:pPr>
      <w:r w:rsidRPr="000F5E38">
        <w:t xml:space="preserve">III – </w:t>
      </w:r>
      <w:bookmarkStart w:id="1426" w:name="_Int_gJYmuQGh"/>
      <w:r w:rsidRPr="000F5E38">
        <w:t>apresentação</w:t>
      </w:r>
      <w:bookmarkEnd w:id="1426"/>
      <w:r w:rsidRPr="000F5E38">
        <w:t xml:space="preserve"> de desempenho, compreendendo evolução do valor da cota no último dia de cada semestre dos últimos 24 (vinte e quatro) meses; </w:t>
      </w:r>
    </w:p>
    <w:p w14:paraId="50D43E50" w14:textId="77777777" w:rsidR="006873AD" w:rsidRPr="00860760" w:rsidRDefault="006873AD" w:rsidP="006873AD">
      <w:pPr>
        <w:pStyle w:val="NormaAlterada"/>
      </w:pPr>
      <w:r w:rsidRPr="00860760">
        <w:t xml:space="preserve">IV – </w:t>
      </w:r>
      <w:bookmarkStart w:id="1427" w:name="_Int_75Ju21nd"/>
      <w:r w:rsidRPr="00860760">
        <w:t>taxas</w:t>
      </w:r>
      <w:bookmarkEnd w:id="1427"/>
      <w:r w:rsidRPr="00860760">
        <w:t xml:space="preserve"> de administração e de gestão; </w:t>
      </w:r>
    </w:p>
    <w:p w14:paraId="796755DB" w14:textId="77777777" w:rsidR="006873AD" w:rsidRPr="00860760" w:rsidRDefault="006873AD" w:rsidP="006873AD">
      <w:pPr>
        <w:pStyle w:val="NormaAlterada"/>
      </w:pPr>
      <w:r w:rsidRPr="00860760">
        <w:t xml:space="preserve">V – </w:t>
      </w:r>
      <w:bookmarkStart w:id="1428" w:name="_Int_A7gZBIZM"/>
      <w:r w:rsidRPr="00860760">
        <w:t>despesas</w:t>
      </w:r>
      <w:bookmarkEnd w:id="1428"/>
      <w:r w:rsidRPr="00860760">
        <w:t xml:space="preserve"> incorridas em nome do FUNCINE, informando: </w:t>
      </w:r>
    </w:p>
    <w:p w14:paraId="0C55A7C0" w14:textId="77777777" w:rsidR="006873AD" w:rsidRPr="000F5E38" w:rsidRDefault="006873AD" w:rsidP="006873AD">
      <w:pPr>
        <w:pStyle w:val="NormaAlterada"/>
      </w:pPr>
      <w:r w:rsidRPr="000F5E38">
        <w:lastRenderedPageBreak/>
        <w:t xml:space="preserve">a) valor total debitado, discriminando os principais tipos de despesas; e </w:t>
      </w:r>
    </w:p>
    <w:p w14:paraId="4D112786" w14:textId="77777777" w:rsidR="006873AD" w:rsidRPr="000F5E38" w:rsidRDefault="006873AD" w:rsidP="006873AD">
      <w:pPr>
        <w:pStyle w:val="NormaAlterada"/>
      </w:pPr>
      <w:r w:rsidRPr="000F5E38">
        <w:t>b) percentual do valor debitado como despesas em relação ao patrimônio líquido médio do FUNCINE</w:t>
      </w:r>
      <w:r>
        <w:t>;</w:t>
      </w:r>
      <w:r w:rsidRPr="000F5E38">
        <w:t xml:space="preserve"> </w:t>
      </w:r>
    </w:p>
    <w:p w14:paraId="2626110E" w14:textId="77777777" w:rsidR="006873AD" w:rsidRPr="00860760" w:rsidRDefault="006873AD" w:rsidP="006873AD">
      <w:pPr>
        <w:pStyle w:val="NormaAlterada"/>
      </w:pPr>
      <w:r w:rsidRPr="00860760">
        <w:t>VI – mudança do administrador, do gestor da carteira ou de seus diretores responsáveis;</w:t>
      </w:r>
    </w:p>
    <w:p w14:paraId="1D69039B" w14:textId="77777777" w:rsidR="006873AD" w:rsidRPr="000F5E38" w:rsidRDefault="006873AD" w:rsidP="006873AD">
      <w:pPr>
        <w:pStyle w:val="NormaAlterada"/>
      </w:pPr>
      <w:r w:rsidRPr="000F5E38">
        <w:t xml:space="preserve">VII – </w:t>
      </w:r>
      <w:bookmarkStart w:id="1429" w:name="_Int_S8N4f2h0"/>
      <w:r w:rsidRPr="000F5E38">
        <w:t>descrição</w:t>
      </w:r>
      <w:bookmarkEnd w:id="1429"/>
      <w:r w:rsidRPr="000F5E38">
        <w:t xml:space="preserve"> dos negócios realizados no semestre, especificando, em relação a cada um, os objetivos, os montantes dos investimentos feitos, as receitas auferidas, a origem dos recursos investidos, bem como a rentabilidade apurada no período;</w:t>
      </w:r>
    </w:p>
    <w:p w14:paraId="60BC09A7" w14:textId="77777777" w:rsidR="006873AD" w:rsidRPr="000F5E38" w:rsidRDefault="006873AD" w:rsidP="006873AD">
      <w:pPr>
        <w:pStyle w:val="NormaAlterada"/>
      </w:pPr>
      <w:r w:rsidRPr="000F5E38">
        <w:t xml:space="preserve">VIII – </w:t>
      </w:r>
      <w:bookmarkStart w:id="1430" w:name="_Int_cbBDJoLH"/>
      <w:r w:rsidRPr="000F5E38">
        <w:t>programa</w:t>
      </w:r>
      <w:bookmarkEnd w:id="1430"/>
      <w:r w:rsidRPr="000F5E38">
        <w:t xml:space="preserve"> de investimentos para o semestre seguinte;</w:t>
      </w:r>
    </w:p>
    <w:p w14:paraId="28CB3C49" w14:textId="77777777" w:rsidR="006873AD" w:rsidRPr="00860760" w:rsidRDefault="006873AD" w:rsidP="006873AD">
      <w:pPr>
        <w:pStyle w:val="NormaAlterada"/>
      </w:pPr>
      <w:r w:rsidRPr="00860760">
        <w:t xml:space="preserve">IX – </w:t>
      </w:r>
      <w:bookmarkStart w:id="1431" w:name="_Int_zfTQ2FpB"/>
      <w:r w:rsidRPr="00860760">
        <w:t>informações</w:t>
      </w:r>
      <w:bookmarkEnd w:id="1431"/>
      <w:r w:rsidRPr="00860760">
        <w:t>, baseadas em premissas e fundamentos devidamente explicitados, sobre:</w:t>
      </w:r>
    </w:p>
    <w:p w14:paraId="17D49696" w14:textId="77777777" w:rsidR="006873AD" w:rsidRPr="000F5E38" w:rsidRDefault="006873AD" w:rsidP="006873AD">
      <w:pPr>
        <w:pStyle w:val="NormaAlterada"/>
      </w:pPr>
      <w:r w:rsidRPr="000F5E38">
        <w:t>a)</w:t>
      </w:r>
      <w:r w:rsidRPr="00860760">
        <w:t xml:space="preserve"> </w:t>
      </w:r>
      <w:r w:rsidRPr="000F5E38">
        <w:t>a conjuntura econômica do segmento da indústria cinematográfica em que se concentrarem as operações do FUNCINE relativas ao semestre findo; e</w:t>
      </w:r>
    </w:p>
    <w:p w14:paraId="51A1B8B4" w14:textId="77777777" w:rsidR="006873AD" w:rsidRPr="00860760" w:rsidRDefault="006873AD" w:rsidP="006873AD">
      <w:pPr>
        <w:pStyle w:val="NormaAlterada"/>
      </w:pPr>
      <w:r w:rsidRPr="00860760">
        <w:t>b) as perspectivas da administração para o semestre seguinte; e</w:t>
      </w:r>
    </w:p>
    <w:p w14:paraId="2D2C2F89" w14:textId="77777777" w:rsidR="00036557" w:rsidRDefault="006873AD" w:rsidP="006873AD">
      <w:pPr>
        <w:spacing w:before="120" w:after="120" w:line="312" w:lineRule="auto"/>
        <w:ind w:left="567"/>
        <w:jc w:val="both"/>
        <w:rPr>
          <w:rFonts w:asciiTheme="minorHAnsi" w:hAnsiTheme="minorHAnsi" w:cstheme="minorHAnsi"/>
          <w:sz w:val="24"/>
          <w:szCs w:val="24"/>
        </w:rPr>
      </w:pPr>
      <w:r w:rsidRPr="006873AD">
        <w:rPr>
          <w:rFonts w:asciiTheme="minorHAnsi" w:hAnsiTheme="minorHAnsi" w:cstheme="minorHAnsi"/>
          <w:sz w:val="24"/>
          <w:szCs w:val="24"/>
        </w:rPr>
        <w:t xml:space="preserve">X – </w:t>
      </w:r>
      <w:bookmarkStart w:id="1432" w:name="_Int_OQRJVR59"/>
      <w:r w:rsidRPr="006873AD">
        <w:rPr>
          <w:rFonts w:asciiTheme="minorHAnsi" w:hAnsiTheme="minorHAnsi" w:cstheme="minorHAnsi"/>
          <w:sz w:val="24"/>
          <w:szCs w:val="24"/>
        </w:rPr>
        <w:t>relação</w:t>
      </w:r>
      <w:bookmarkEnd w:id="1432"/>
      <w:r w:rsidRPr="006873AD">
        <w:rPr>
          <w:rFonts w:asciiTheme="minorHAnsi" w:hAnsiTheme="minorHAnsi" w:cstheme="minorHAnsi"/>
          <w:sz w:val="24"/>
          <w:szCs w:val="24"/>
        </w:rPr>
        <w:t xml:space="preserve"> das obrigações contraídas no período.</w:t>
      </w:r>
    </w:p>
    <w:p w14:paraId="64931DD2" w14:textId="7AEBE936" w:rsidR="000E44FD" w:rsidRPr="00517AE6" w:rsidRDefault="000E44FD" w:rsidP="000E44FD">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VIII</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32724378" w14:textId="77777777" w:rsidR="000E44FD" w:rsidRDefault="000E44FD" w:rsidP="006873AD">
      <w:pPr>
        <w:spacing w:before="120" w:after="120" w:line="312" w:lineRule="auto"/>
        <w:ind w:left="567"/>
        <w:jc w:val="both"/>
        <w:rPr>
          <w:rFonts w:asciiTheme="minorHAnsi" w:hAnsiTheme="minorHAnsi" w:cstheme="minorHAnsi"/>
          <w:sz w:val="24"/>
          <w:szCs w:val="24"/>
        </w:rPr>
      </w:pPr>
    </w:p>
    <w:p w14:paraId="7B43D80B" w14:textId="77777777" w:rsidR="000E44FD" w:rsidRDefault="000E44FD" w:rsidP="006873AD">
      <w:pPr>
        <w:spacing w:before="120" w:after="120" w:line="312" w:lineRule="auto"/>
        <w:ind w:left="567"/>
        <w:jc w:val="both"/>
        <w:rPr>
          <w:rFonts w:asciiTheme="minorHAnsi" w:hAnsiTheme="minorHAnsi" w:cstheme="minorHAnsi"/>
          <w:sz w:val="24"/>
          <w:szCs w:val="24"/>
        </w:rPr>
        <w:sectPr w:rsidR="000E44FD" w:rsidSect="002A08BD">
          <w:headerReference w:type="default" r:id="rId23"/>
          <w:pgSz w:w="11906" w:h="16838"/>
          <w:pgMar w:top="2268" w:right="567" w:bottom="851" w:left="1134" w:header="709" w:footer="709" w:gutter="0"/>
          <w:cols w:space="708"/>
          <w:docGrid w:linePitch="360"/>
        </w:sectPr>
      </w:pPr>
    </w:p>
    <w:p w14:paraId="37D771B7" w14:textId="77777777" w:rsidR="006873AD" w:rsidRDefault="006873AD" w:rsidP="00036557">
      <w:pPr>
        <w:pStyle w:val="TtulodaResoluo"/>
        <w:ind w:firstLine="0"/>
      </w:pPr>
      <w:bookmarkStart w:id="1433" w:name="_Toc161141414"/>
      <w:r>
        <w:rPr>
          <w:rStyle w:val="normaltextrun"/>
        </w:rPr>
        <w:lastRenderedPageBreak/>
        <w:t>ANEXO NORMATIVO IX – FUNDOS MÚTUOS DE AÇÕES INCENTIVADAS</w:t>
      </w:r>
      <w:bookmarkEnd w:id="1433"/>
    </w:p>
    <w:p w14:paraId="5F323FD6" w14:textId="77777777" w:rsidR="006873AD" w:rsidRDefault="006873AD" w:rsidP="006873AD">
      <w:pPr>
        <w:pStyle w:val="Ementa"/>
      </w:pPr>
      <w:r w:rsidRPr="00827EB1">
        <w:t>Dispõe sobre as regras específicas para os fundos mútuos de ações incentivadas.</w:t>
      </w:r>
    </w:p>
    <w:p w14:paraId="25C7E416" w14:textId="77777777" w:rsidR="006873AD" w:rsidRPr="00827EB1" w:rsidRDefault="006873AD" w:rsidP="006873AD">
      <w:pPr>
        <w:pStyle w:val="Captulo"/>
        <w:rPr>
          <w:rFonts w:eastAsiaTheme="minorEastAsia" w:cstheme="minorBidi"/>
        </w:rPr>
      </w:pPr>
      <w:bookmarkStart w:id="1434" w:name="_Toc161141415"/>
      <w:r w:rsidRPr="00827EB1">
        <w:rPr>
          <w:rFonts w:eastAsiaTheme="minorEastAsia" w:cstheme="minorBidi"/>
        </w:rPr>
        <w:t>CAPÍTULO I – ÂMBITO E FINALIDADE</w:t>
      </w:r>
      <w:bookmarkEnd w:id="1434"/>
    </w:p>
    <w:p w14:paraId="0085F6B0" w14:textId="77777777" w:rsidR="006873AD" w:rsidRPr="00827EB1" w:rsidRDefault="006873AD" w:rsidP="006873AD">
      <w:pPr>
        <w:pStyle w:val="NormaAlterada"/>
        <w:rPr>
          <w:b/>
          <w:bCs/>
        </w:rPr>
      </w:pPr>
      <w:r w:rsidRPr="00827EB1">
        <w:t>Art. 1º  Este Anexo Normativo IX à Resolução CVM nº 175 (“Resolução”) dispõe sobre as regras específicas para os fundos mútuos de ações incentivadas – FMAI.</w:t>
      </w:r>
    </w:p>
    <w:p w14:paraId="2E55777C" w14:textId="77777777" w:rsidR="006873AD" w:rsidRPr="00827EB1" w:rsidRDefault="006873AD" w:rsidP="006873AD">
      <w:pPr>
        <w:pStyle w:val="Captulo"/>
        <w:rPr>
          <w:bCs/>
        </w:rPr>
      </w:pPr>
      <w:bookmarkStart w:id="1435" w:name="_Toc161141416"/>
      <w:r w:rsidRPr="00827EB1">
        <w:rPr>
          <w:bCs/>
        </w:rPr>
        <w:t xml:space="preserve">CAPÍTULO II – </w:t>
      </w:r>
      <w:r w:rsidRPr="00827EB1">
        <w:rPr>
          <w:rFonts w:eastAsiaTheme="minorEastAsia" w:cstheme="minorBidi"/>
        </w:rPr>
        <w:t>CARACTERÍSTICAS</w:t>
      </w:r>
      <w:r w:rsidRPr="00827EB1">
        <w:rPr>
          <w:bCs/>
        </w:rPr>
        <w:t xml:space="preserve"> E CONSTITUIÇÃO</w:t>
      </w:r>
      <w:bookmarkEnd w:id="1435"/>
    </w:p>
    <w:p w14:paraId="1FD596B5" w14:textId="77777777" w:rsidR="006873AD" w:rsidRPr="00827EB1" w:rsidRDefault="006873AD" w:rsidP="006873AD">
      <w:pPr>
        <w:pStyle w:val="NormaAlterada"/>
      </w:pPr>
      <w:r w:rsidRPr="00827EB1">
        <w:t>Art. 2º  O FMAI é destinado à aplicação em carteira de títulos e valores mobiliários, nos termos do art. 10.</w:t>
      </w:r>
    </w:p>
    <w:p w14:paraId="600367BE" w14:textId="77777777" w:rsidR="006873AD" w:rsidRPr="00A5741A" w:rsidRDefault="006873AD" w:rsidP="006873AD">
      <w:pPr>
        <w:pStyle w:val="NormaAlterada"/>
      </w:pPr>
      <w:r w:rsidRPr="00A5741A">
        <w:t>Art. 3º  A classe de cotas pode ter prazo de duração determinado, não inferior a 24 (vinte e quatro) meses, ou indeterminado.</w:t>
      </w:r>
    </w:p>
    <w:p w14:paraId="7DAFDF3D" w14:textId="77777777" w:rsidR="006873AD" w:rsidRPr="00A5741A" w:rsidRDefault="006873AD" w:rsidP="006873AD">
      <w:pPr>
        <w:pStyle w:val="NormaAlterada"/>
      </w:pPr>
      <w:r w:rsidRPr="00A5741A">
        <w:t>Art. 4º  A classe de cotas do FMAI deve ser constituída em regime fechado, admitida sua transformação em classe aberta por deliberação da assembleia de cotistas, após o prazo de 24 (vinte e quatro) meses, contado a partir de sua constituição.</w:t>
      </w:r>
    </w:p>
    <w:p w14:paraId="5F142F61" w14:textId="77777777" w:rsidR="006873AD" w:rsidRPr="00A5741A" w:rsidRDefault="006873AD" w:rsidP="006873AD">
      <w:pPr>
        <w:pStyle w:val="NormaAlterada"/>
      </w:pPr>
      <w:r w:rsidRPr="00A5741A">
        <w:t>Art. 5º  Da denominação do fundo e de suas classes de cotas, caso existentes, deve constar a expressão "Fundo Mútuo de Ações Incentivadas".</w:t>
      </w:r>
    </w:p>
    <w:p w14:paraId="246A7EC5" w14:textId="77777777" w:rsidR="006873AD" w:rsidRPr="00827EB1" w:rsidRDefault="006873AD" w:rsidP="006873AD">
      <w:pPr>
        <w:pStyle w:val="Captulo"/>
        <w:rPr>
          <w:rFonts w:cstheme="minorBidi"/>
          <w:u w:val="single"/>
        </w:rPr>
      </w:pPr>
      <w:bookmarkStart w:id="1436" w:name="_Toc161141417"/>
      <w:r w:rsidRPr="00827EB1">
        <w:rPr>
          <w:bCs/>
        </w:rPr>
        <w:t>CAPÍTULO</w:t>
      </w:r>
      <w:r w:rsidRPr="00827EB1">
        <w:rPr>
          <w:rFonts w:cstheme="minorBidi"/>
        </w:rPr>
        <w:t xml:space="preserve"> III – </w:t>
      </w:r>
      <w:r w:rsidRPr="00827EB1">
        <w:rPr>
          <w:rFonts w:eastAsiaTheme="minorEastAsia" w:cstheme="minorBidi"/>
        </w:rPr>
        <w:t>REGULAMENTO</w:t>
      </w:r>
      <w:bookmarkEnd w:id="1436"/>
    </w:p>
    <w:p w14:paraId="248E1FF0" w14:textId="77777777" w:rsidR="006873AD" w:rsidRPr="00A5741A" w:rsidRDefault="006873AD" w:rsidP="006873AD">
      <w:pPr>
        <w:pStyle w:val="NormaAlterada"/>
      </w:pPr>
      <w:r w:rsidRPr="00827EB1">
        <w:t xml:space="preserve">Art. </w:t>
      </w:r>
      <w:r w:rsidRPr="00A5741A">
        <w:t>6º  A política de investimentos constante do regulamento deve indicar os ativos que poderão compor sua carteira, dispondo inclusive sobre política de diversificação e a possibilidade de aplicação em companhias ligadas a prestador de serviço essencial.</w:t>
      </w:r>
    </w:p>
    <w:p w14:paraId="7B6C01E4" w14:textId="77777777" w:rsidR="006873AD" w:rsidRPr="00827EB1" w:rsidRDefault="006873AD" w:rsidP="006873AD">
      <w:pPr>
        <w:pStyle w:val="Captulo"/>
      </w:pPr>
      <w:bookmarkStart w:id="1437" w:name="_Toc161141418"/>
      <w:r w:rsidRPr="00827EB1">
        <w:rPr>
          <w:bCs/>
        </w:rPr>
        <w:t>CAPÍTULO</w:t>
      </w:r>
      <w:r w:rsidRPr="00827EB1">
        <w:t xml:space="preserve"> IV – PRESTAÇÃO DE SERVIÇOS</w:t>
      </w:r>
      <w:bookmarkEnd w:id="1437"/>
    </w:p>
    <w:p w14:paraId="79918182" w14:textId="77777777" w:rsidR="006873AD" w:rsidRPr="00A5741A" w:rsidRDefault="006873AD" w:rsidP="006873AD">
      <w:pPr>
        <w:pStyle w:val="NormaAlterada"/>
      </w:pPr>
      <w:r w:rsidRPr="00A5741A">
        <w:t>Art. 7º  Em acréscimo às obrigações dispostas no art. 104 da parte geral da Resolução, cabe ao administrador manter os títulos e valores mobiliários integrantes da carteira de ativos custodiados em entidade de custódia autorizada para o exercício da atividade pela CVM.</w:t>
      </w:r>
    </w:p>
    <w:p w14:paraId="5E2257D4" w14:textId="77777777" w:rsidR="006873AD" w:rsidRPr="00A5741A" w:rsidRDefault="006873AD" w:rsidP="006873AD">
      <w:pPr>
        <w:pStyle w:val="NormaAlterada"/>
      </w:pPr>
      <w:r w:rsidRPr="00A5741A">
        <w:lastRenderedPageBreak/>
        <w:t>Art. 8º  Em acréscimo às vedações previstas no art. 101 da parte geral da Resolução, é vedado ao gestor:</w:t>
      </w:r>
    </w:p>
    <w:p w14:paraId="669046BE" w14:textId="77777777" w:rsidR="006873AD" w:rsidRPr="00A5741A" w:rsidRDefault="006873AD" w:rsidP="006873AD">
      <w:pPr>
        <w:pStyle w:val="NormaAlterada"/>
      </w:pPr>
      <w:r>
        <w:t>I – negociar fora de bolsa de valores ações admitidas à negociação em bolsa, ressalvadas, quanto à aquisição de ações, as hipóteses de subscrição, bonificação e conversão de debêntures em ações; e</w:t>
      </w:r>
    </w:p>
    <w:p w14:paraId="47F6C1FC" w14:textId="77777777" w:rsidR="006873AD" w:rsidRPr="00A5741A" w:rsidRDefault="006873AD" w:rsidP="006873AD">
      <w:pPr>
        <w:pStyle w:val="NormaAlterada"/>
      </w:pPr>
      <w:r w:rsidRPr="00A5741A">
        <w:t>II – aplicar recursos na subscrição ou aquisição de ações de sociedade de investimento.</w:t>
      </w:r>
    </w:p>
    <w:p w14:paraId="607CCE04" w14:textId="77777777" w:rsidR="006873AD" w:rsidRPr="00827EB1" w:rsidRDefault="006873AD" w:rsidP="006873AD">
      <w:pPr>
        <w:pStyle w:val="Captulo"/>
      </w:pPr>
      <w:bookmarkStart w:id="1438" w:name="_Toc161141419"/>
      <w:r w:rsidRPr="00827EB1">
        <w:t>CAPÍTULO V – ENCARGOS</w:t>
      </w:r>
      <w:bookmarkEnd w:id="1438"/>
    </w:p>
    <w:p w14:paraId="2EF857C1" w14:textId="77777777" w:rsidR="006873AD" w:rsidRPr="00A5741A" w:rsidRDefault="006873AD" w:rsidP="006873AD">
      <w:pPr>
        <w:pStyle w:val="NormaAlterada"/>
      </w:pPr>
      <w:r w:rsidRPr="00A5741A">
        <w:t>Art. 9º  Em acréscimo aos encargos dispostos no art. 117 da parte geral da Resolução, o regulamento do FMAI pode prever como encargos as seguintes despesas, que podem ser debitadas diretamente de suas classes de cotas:</w:t>
      </w:r>
    </w:p>
    <w:p w14:paraId="084B5AF6" w14:textId="77777777" w:rsidR="006873AD" w:rsidRPr="00A5741A" w:rsidRDefault="006873AD" w:rsidP="006873AD">
      <w:pPr>
        <w:pStyle w:val="NormaAlterada"/>
      </w:pPr>
      <w:r w:rsidRPr="00A5741A">
        <w:t xml:space="preserve">I – taxa de performance; e </w:t>
      </w:r>
    </w:p>
    <w:p w14:paraId="4DED4CA8" w14:textId="77777777" w:rsidR="006873AD" w:rsidRPr="00A5741A" w:rsidRDefault="006873AD" w:rsidP="006873AD">
      <w:pPr>
        <w:pStyle w:val="NormaAlterada"/>
      </w:pPr>
      <w:r w:rsidRPr="00A5741A">
        <w:t>II – taxa máxima de custódia.</w:t>
      </w:r>
    </w:p>
    <w:p w14:paraId="23A2B933" w14:textId="77777777" w:rsidR="006873AD" w:rsidRPr="00827EB1" w:rsidRDefault="006873AD" w:rsidP="006873AD">
      <w:pPr>
        <w:pStyle w:val="Captulo"/>
        <w:rPr>
          <w:rFonts w:cstheme="minorBidi"/>
        </w:rPr>
      </w:pPr>
      <w:bookmarkStart w:id="1439" w:name="_Toc161141420"/>
      <w:r w:rsidRPr="00827EB1">
        <w:t>CAPÍTULO</w:t>
      </w:r>
      <w:r w:rsidRPr="00827EB1">
        <w:rPr>
          <w:rFonts w:cstheme="minorBidi"/>
        </w:rPr>
        <w:t xml:space="preserve"> VI – </w:t>
      </w:r>
      <w:r w:rsidRPr="00827EB1">
        <w:t>CARTEIRA</w:t>
      </w:r>
      <w:bookmarkEnd w:id="1439"/>
    </w:p>
    <w:p w14:paraId="34A7B025" w14:textId="77777777" w:rsidR="006873AD" w:rsidRPr="00A5741A" w:rsidRDefault="006873AD" w:rsidP="006873AD">
      <w:pPr>
        <w:pStyle w:val="NormaAlterada"/>
      </w:pPr>
      <w:r w:rsidRPr="00A5741A">
        <w:t>Art. 10.  Cada classe de cotas do FMAI deve manter, no mínimo, 70% (setenta por cento) de seu patrimônio líquido aplicado em:</w:t>
      </w:r>
    </w:p>
    <w:p w14:paraId="201D5462" w14:textId="77777777" w:rsidR="006873AD" w:rsidRPr="00A5741A" w:rsidRDefault="006873AD" w:rsidP="006873AD">
      <w:pPr>
        <w:pStyle w:val="NormaAlterada"/>
      </w:pPr>
      <w:r>
        <w:t>I – ações de emissão de sociedades beneficiárias de recursos oriundos dos incentivos fiscais, de que tratam os Decretos-Leis n</w:t>
      </w:r>
      <w:r>
        <w:rPr>
          <w:b/>
          <w:u w:val="single"/>
          <w:vertAlign w:val="superscript"/>
        </w:rPr>
        <w:t>os</w:t>
      </w:r>
      <w:r>
        <w:t xml:space="preserve"> 1.376, de 12 de dezembro de 1974, e 2.298, de 21 de novembro de 1986, e que estejam registradas na CVM, na forma da Resolução CVM nº 10, de 3 de novembro de 2020;</w:t>
      </w:r>
    </w:p>
    <w:p w14:paraId="203AFE62" w14:textId="77777777" w:rsidR="006873AD" w:rsidRPr="00A5741A" w:rsidRDefault="006873AD" w:rsidP="006873AD">
      <w:pPr>
        <w:pStyle w:val="NormaAlterada"/>
      </w:pPr>
      <w:r>
        <w:t>II – certificados de investimentos do Fundo de Investimentos do Nordeste – FINOR, Fundo de Investimentos da Amazônia – FINAM, Fundo de Investimentos Setoriais – FISET e Fundo de Desenvolvimento do Espírito Santo – FUNDES; e</w:t>
      </w:r>
    </w:p>
    <w:p w14:paraId="123DB3B8" w14:textId="77777777" w:rsidR="006873AD" w:rsidRPr="00A5741A" w:rsidRDefault="006873AD" w:rsidP="006873AD">
      <w:pPr>
        <w:pStyle w:val="NormaAlterada"/>
      </w:pPr>
      <w:r>
        <w:t>III – ações adquiridas no mercado secundário, nos termos da Resolução CVM nº 10, de 2020, ou através de leilões de títulos incentivados realizados em bolsa de valores.</w:t>
      </w:r>
    </w:p>
    <w:p w14:paraId="64246392" w14:textId="77777777" w:rsidR="006873AD" w:rsidRPr="00A5741A" w:rsidRDefault="006873AD" w:rsidP="006873AD">
      <w:pPr>
        <w:pStyle w:val="NormaAlterada"/>
      </w:pPr>
      <w:r w:rsidRPr="00A5741A">
        <w:t>Art. 11.  Para atendimento do limite previsto no art. 10 deste Anexo Normativo IX, admite-se que posições diárias representem no mínimo 35% (trinta e cinco por cento) do valor total das aplicações, desde que a média, a cada 720 (setecentos e vinte) dias, situe-se, no mínimo, em 70% (setenta por cento) do valor total das aplicações.</w:t>
      </w:r>
    </w:p>
    <w:p w14:paraId="630CCE0D" w14:textId="77777777" w:rsidR="006873AD" w:rsidRPr="00A5741A" w:rsidRDefault="006873AD" w:rsidP="006873AD">
      <w:pPr>
        <w:pStyle w:val="NormaAlterada"/>
      </w:pPr>
      <w:r w:rsidRPr="00A5741A">
        <w:lastRenderedPageBreak/>
        <w:t>Art. 12.  Os recursos remanescentes poderão ser mantidos aplicados em títulos públicos federais, cotas de fundos de investimento em renda fixa “Curto Prazo” ou “Simples” e ações ou debêntures de emissão de companhias abertas adquiridas em mercado organizado de valores mobiliários ou por subscrição.</w:t>
      </w:r>
    </w:p>
    <w:p w14:paraId="7D49A5C8" w14:textId="77777777" w:rsidR="006873AD" w:rsidRPr="00A5741A" w:rsidRDefault="006873AD" w:rsidP="006873AD">
      <w:pPr>
        <w:pStyle w:val="NormaAlterada"/>
      </w:pPr>
      <w:r w:rsidRPr="00A5741A">
        <w:t>Art. 13.  As aplicações dos recursos do FMAI devem observar os seguintes requisitos de diversificação:</w:t>
      </w:r>
    </w:p>
    <w:p w14:paraId="0D69DA6D" w14:textId="77777777" w:rsidR="006873AD" w:rsidRPr="00827EB1" w:rsidRDefault="006873AD" w:rsidP="006873AD">
      <w:pPr>
        <w:pStyle w:val="NormaAlterada"/>
      </w:pPr>
      <w:r>
        <w:t>I – o  total das aplicações da classe de cotas em uma única companhia não excederá 5% (cinco por cento) do capital votante ou 20% (vinte por cento) do seu capital, no caso de ações preferenciais sem direito a voto; e</w:t>
      </w:r>
    </w:p>
    <w:p w14:paraId="30ED4950" w14:textId="77777777" w:rsidR="006873AD" w:rsidRPr="00827EB1" w:rsidRDefault="006873AD" w:rsidP="006873AD">
      <w:pPr>
        <w:pStyle w:val="NormaAlterada"/>
      </w:pPr>
      <w:r w:rsidRPr="00827EB1">
        <w:t>II – em  qualquer hipótese, o total das aplicações em valores mobiliários de emissão ou coobrigação de uma companhia, de sua controladora, de sociedades por ela direta ou indiretamente controladas e de suas coligadas sob controle comum não excederá a 1/3 (um terço) do total das aplicações da classe de cotas.</w:t>
      </w:r>
    </w:p>
    <w:p w14:paraId="1A224101" w14:textId="77777777" w:rsidR="006873AD" w:rsidRPr="00827EB1" w:rsidRDefault="006873AD" w:rsidP="006873AD">
      <w:pPr>
        <w:pStyle w:val="NormaAlterada"/>
      </w:pPr>
      <w:r w:rsidRPr="00827EB1">
        <w:t>Parágrafo único.  Não são consideradas, na determinação dos limites de diversificação estabelecidos neste artigo, as ações recebidas em bonificação ou resultantes da conversão de debêntures e as ações e debêntures conversíveis provenientes do exercício do direito de preferência, desde que o excedente seja zerado no prazo de 6 (seis) meses.</w:t>
      </w:r>
    </w:p>
    <w:p w14:paraId="2F248D05" w14:textId="77777777" w:rsidR="006873AD" w:rsidRPr="00A5741A" w:rsidRDefault="006873AD" w:rsidP="006873AD">
      <w:pPr>
        <w:pStyle w:val="NormaAlterada"/>
      </w:pPr>
      <w:r w:rsidRPr="00A5741A">
        <w:t>Art. 14.  Os FMAI devem se adaptar aos requisitos de composição de diversificação de carteira no prazo máximo de 8 (oito) meses, contado a partir da data de seu registro de funcionamento.</w:t>
      </w:r>
    </w:p>
    <w:p w14:paraId="2842C180" w14:textId="77777777" w:rsidR="006873AD" w:rsidRPr="00A5741A" w:rsidRDefault="006873AD" w:rsidP="006873AD">
      <w:pPr>
        <w:pStyle w:val="NormaAlterada"/>
      </w:pPr>
      <w:r w:rsidRPr="00A5741A">
        <w:t>Parágrafo único.  O descumprimento dos limites de composição e diversificação de que trata este Anexo Normativo IX no prazo previsto deve ser justificado perante a CVM que, sem prejuízo das penalidades cabíveis, pode determinar a convocação de assembleia de cotistas para decidir sobre uma das seguintes alternativas:</w:t>
      </w:r>
    </w:p>
    <w:p w14:paraId="24060652" w14:textId="77777777" w:rsidR="006873AD" w:rsidRPr="00A5741A" w:rsidRDefault="006873AD" w:rsidP="006873AD">
      <w:pPr>
        <w:pStyle w:val="NormaAlterada"/>
      </w:pPr>
      <w:r w:rsidRPr="00A5741A">
        <w:t xml:space="preserve">I – </w:t>
      </w:r>
      <w:bookmarkStart w:id="1440" w:name="_Int_ihUBv66F"/>
      <w:r w:rsidRPr="00A5741A">
        <w:t>transferência</w:t>
      </w:r>
      <w:bookmarkEnd w:id="1440"/>
      <w:r w:rsidRPr="00A5741A">
        <w:t xml:space="preserve"> da administração do fundo ou cisão da classe de cotas, conforme o caso, para outro administrador; ou</w:t>
      </w:r>
    </w:p>
    <w:p w14:paraId="162D41D2" w14:textId="77777777" w:rsidR="006873AD" w:rsidRPr="00A5741A" w:rsidRDefault="006873AD" w:rsidP="006873AD">
      <w:pPr>
        <w:pStyle w:val="NormaAlterada"/>
      </w:pPr>
      <w:r w:rsidRPr="00A5741A">
        <w:t xml:space="preserve">II – </w:t>
      </w:r>
      <w:bookmarkStart w:id="1441" w:name="_Int_m6dUeKrR"/>
      <w:r w:rsidRPr="00A5741A">
        <w:t>liquidação</w:t>
      </w:r>
      <w:bookmarkEnd w:id="1441"/>
      <w:r w:rsidRPr="00A5741A">
        <w:t xml:space="preserve"> do fundo ou, se for o caso, da classe de cotas.</w:t>
      </w:r>
    </w:p>
    <w:p w14:paraId="6142DA72" w14:textId="77777777" w:rsidR="006873AD" w:rsidRPr="00827EB1" w:rsidRDefault="006873AD" w:rsidP="006873AD">
      <w:pPr>
        <w:pStyle w:val="Captulo"/>
      </w:pPr>
      <w:bookmarkStart w:id="1442" w:name="_Toc161141421"/>
      <w:r w:rsidRPr="00827EB1">
        <w:lastRenderedPageBreak/>
        <w:t>CAPÍTULO VII – COTAS</w:t>
      </w:r>
      <w:bookmarkEnd w:id="1442"/>
    </w:p>
    <w:p w14:paraId="5CC33A5A" w14:textId="77777777" w:rsidR="006873AD" w:rsidRPr="00A5741A" w:rsidRDefault="006873AD" w:rsidP="006873AD">
      <w:pPr>
        <w:pStyle w:val="NormaAlterada"/>
      </w:pPr>
      <w:r w:rsidRPr="00A5741A">
        <w:t>Art. 15.  A integralização de cotas pode ser efetuada em moeda corrente nacional ou por meio de cessão de cotas dos fundos FINOR, FINAM, FISET e FUNDES, desde que as cotas tenham sido adquiridas diretamente em face das deduções de incentivos fiscais previstas no Decreto-Lei nº 1.376, de 1974, por parte de seus titulares, bem como através de cessão de ações de companhias incentivadas.</w:t>
      </w:r>
    </w:p>
    <w:p w14:paraId="48A280F6" w14:textId="77777777" w:rsidR="006873AD" w:rsidRPr="00A5741A" w:rsidRDefault="006873AD" w:rsidP="006873AD">
      <w:pPr>
        <w:pStyle w:val="NormaAlterada"/>
      </w:pPr>
      <w:r w:rsidRPr="00A5741A">
        <w:t>Parágrafo único.  A integralização por meio de cessão de cotas ou ações deve utilizar o valor patrimonial das ações das companhias incentivadas e de cotas dos referidos fundos, apurados pelos bancos operadores na forma de legislação pertinente, assim como divulgados na forma do art. 64 da parte geral da Resolução.</w:t>
      </w:r>
    </w:p>
    <w:p w14:paraId="1D3A3749" w14:textId="77777777" w:rsidR="006873AD" w:rsidRPr="00A5741A" w:rsidRDefault="006873AD" w:rsidP="006873AD">
      <w:pPr>
        <w:pStyle w:val="NormaAlterada"/>
      </w:pPr>
      <w:r>
        <w:t>Art. 16.  Independentemente dos pedidos de resgate apresentados pelos cotistas das classes abertas, o FMAI pode realizar leilões especiais de títulos pertencentes à sua carteira, em mercado organizado de bolsa, nos moldes de como procedem os fundos FINOR, FINAM e FISET e de acordo com a Resolução CMN nº 1.660, de 26 de outubro de 1989.</w:t>
      </w:r>
    </w:p>
    <w:p w14:paraId="5D679DCC" w14:textId="77777777" w:rsidR="006873AD" w:rsidRPr="00827EB1" w:rsidRDefault="006873AD" w:rsidP="006873AD">
      <w:pPr>
        <w:pStyle w:val="NormaAlterada"/>
      </w:pPr>
      <w:r w:rsidRPr="00827EB1">
        <w:t>Parágrafo único.  Nesses leilões especiais, os investidores podem:</w:t>
      </w:r>
    </w:p>
    <w:p w14:paraId="6B1D7060" w14:textId="77777777" w:rsidR="006873AD" w:rsidRPr="00827EB1" w:rsidRDefault="006873AD" w:rsidP="006873AD">
      <w:pPr>
        <w:pStyle w:val="NormaAlterada"/>
      </w:pPr>
      <w:r w:rsidRPr="00827EB1">
        <w:t>I – converter as suas cotas em títulos da carteira do FMAI; ou</w:t>
      </w:r>
    </w:p>
    <w:p w14:paraId="636D07D6" w14:textId="77777777" w:rsidR="006873AD" w:rsidRPr="00827EB1" w:rsidRDefault="006873AD" w:rsidP="006873AD">
      <w:pPr>
        <w:pStyle w:val="NormaAlterada"/>
      </w:pPr>
      <w:r w:rsidRPr="00827EB1">
        <w:t>II – adquiri-las para pagamento integral ou parcial em dinheiro, observados os preços mínimos oferecidos pelo gestor.</w:t>
      </w:r>
    </w:p>
    <w:p w14:paraId="68D28B69" w14:textId="77777777" w:rsidR="006873AD" w:rsidRPr="00827EB1" w:rsidRDefault="006873AD" w:rsidP="006873AD">
      <w:pPr>
        <w:pStyle w:val="Captulo"/>
        <w:rPr>
          <w:rFonts w:cstheme="minorBidi"/>
        </w:rPr>
      </w:pPr>
      <w:bookmarkStart w:id="1443" w:name="_Toc161141422"/>
      <w:r w:rsidRPr="00827EB1">
        <w:rPr>
          <w:rFonts w:cstheme="minorBidi"/>
        </w:rPr>
        <w:t>CAPÍTULO VIII – DIVULGAÇÃO DE INFORMAÇÕES</w:t>
      </w:r>
      <w:bookmarkEnd w:id="1443"/>
    </w:p>
    <w:p w14:paraId="703B1FD8" w14:textId="77777777" w:rsidR="006873AD" w:rsidRPr="00A5741A" w:rsidRDefault="006873AD" w:rsidP="006873AD">
      <w:pPr>
        <w:pStyle w:val="NormaAlterada"/>
      </w:pPr>
      <w:r w:rsidRPr="00A5741A">
        <w:t>Art. 17.  O administrador é responsável por:</w:t>
      </w:r>
    </w:p>
    <w:p w14:paraId="2741A678" w14:textId="77777777" w:rsidR="006873AD" w:rsidRPr="00827EB1" w:rsidRDefault="006873AD" w:rsidP="006873AD">
      <w:pPr>
        <w:pStyle w:val="NormaAlterada"/>
      </w:pPr>
      <w:r w:rsidRPr="00827EB1">
        <w:t xml:space="preserve">I – enviar à entidade administradora do mercado organizado em que as cotas estejam admitidas à negociação, para divulgação ao mercado, as seguintes informações: </w:t>
      </w:r>
    </w:p>
    <w:p w14:paraId="1C9C0CF5" w14:textId="77777777" w:rsidR="006873AD" w:rsidRPr="00827EB1" w:rsidRDefault="006873AD" w:rsidP="006873AD">
      <w:pPr>
        <w:pStyle w:val="NormaAlterada"/>
      </w:pPr>
      <w:r>
        <w:t>a) diariamente, o valor da cota, o valor e a data da última distribuição de rendimentos e o valor do patrimônio líquido da classe de cotas; e</w:t>
      </w:r>
    </w:p>
    <w:p w14:paraId="29A9D1CC" w14:textId="77777777" w:rsidR="006873AD" w:rsidRPr="00827EB1" w:rsidRDefault="006873AD" w:rsidP="006873AD">
      <w:pPr>
        <w:pStyle w:val="NormaAlterada"/>
      </w:pPr>
      <w:r>
        <w:t xml:space="preserve">b) mensalmente, a rentabilidade auferida no período; e </w:t>
      </w:r>
    </w:p>
    <w:p w14:paraId="72E23AD3" w14:textId="77777777" w:rsidR="006873AD" w:rsidRPr="00827EB1" w:rsidRDefault="006873AD" w:rsidP="006873AD">
      <w:pPr>
        <w:pStyle w:val="NormaAlterada"/>
      </w:pPr>
      <w:r w:rsidRPr="00827EB1">
        <w:t xml:space="preserve">II – enviar aos cotistas, anualmente, informações sobre: </w:t>
      </w:r>
    </w:p>
    <w:p w14:paraId="6BF7A7F0" w14:textId="77777777" w:rsidR="006873AD" w:rsidRPr="00827EB1" w:rsidRDefault="006873AD" w:rsidP="006873AD">
      <w:pPr>
        <w:pStyle w:val="NormaAlterada"/>
      </w:pPr>
      <w:r w:rsidRPr="00827EB1">
        <w:t>a) números de cotas de sua titularidade e seu valor;</w:t>
      </w:r>
    </w:p>
    <w:p w14:paraId="16F282A0" w14:textId="77777777" w:rsidR="006873AD" w:rsidRDefault="006873AD" w:rsidP="006873AD">
      <w:pPr>
        <w:pStyle w:val="NormaAlterada"/>
      </w:pPr>
      <w:r w:rsidRPr="00827EB1">
        <w:lastRenderedPageBreak/>
        <w:t>b) rentabilidade auferida no período;</w:t>
      </w:r>
    </w:p>
    <w:p w14:paraId="7089DEE8" w14:textId="77777777" w:rsidR="006873AD" w:rsidRPr="009319AF" w:rsidRDefault="006873AD" w:rsidP="006873AD">
      <w:pPr>
        <w:pStyle w:val="NormaAlterada"/>
      </w:pPr>
      <w:r w:rsidRPr="00A5741A">
        <w:t xml:space="preserve">c) demonstrações contábeis do fundo e, caso existentes, de suas classes de cotas, acompanhadas dos pareceres de auditoria independente; </w:t>
      </w:r>
    </w:p>
    <w:p w14:paraId="74395F9E" w14:textId="77777777" w:rsidR="006873AD" w:rsidRPr="00A5741A" w:rsidRDefault="006873AD" w:rsidP="006873AD">
      <w:pPr>
        <w:pStyle w:val="NormaAlterada"/>
      </w:pPr>
      <w:r w:rsidRPr="00A5741A">
        <w:t>d) os encargos debitados da classe de cotas em cada 1 (um) dos 3 (três) últimos anos, devendo ser especificado seu valor e percentual em relação ao patrimônio líquido médio mensal da classe de cotas, em cada ano; e</w:t>
      </w:r>
    </w:p>
    <w:p w14:paraId="58161B9F" w14:textId="77777777" w:rsidR="006873AD" w:rsidRPr="00A5741A" w:rsidRDefault="006873AD" w:rsidP="006873AD">
      <w:pPr>
        <w:pStyle w:val="NormaAlterada"/>
      </w:pPr>
      <w:r w:rsidRPr="00A5741A">
        <w:t>e) comprovante para efeito de declaração de imposto de renda.</w:t>
      </w:r>
    </w:p>
    <w:p w14:paraId="632E79E7" w14:textId="77777777" w:rsidR="006873AD" w:rsidRPr="00A5741A" w:rsidRDefault="006873AD" w:rsidP="006873AD">
      <w:pPr>
        <w:pStyle w:val="NormaAlterada"/>
      </w:pPr>
      <w:r w:rsidRPr="00A5741A">
        <w:t>Art. 18.  O administrador deve encaminhar à CVM, por meio de sistema eletrônico disponível na rede mundial de computadores, os seguintes documentos:</w:t>
      </w:r>
    </w:p>
    <w:p w14:paraId="09077647" w14:textId="77777777" w:rsidR="006873AD" w:rsidRPr="00827EB1" w:rsidRDefault="006873AD" w:rsidP="006873AD">
      <w:pPr>
        <w:pStyle w:val="NormaAlterada"/>
      </w:pPr>
      <w:r w:rsidRPr="00827EB1">
        <w:t>I – mensalmente, no prazo de 10 (dez) dias após o encerramento do mês a que se referirem:</w:t>
      </w:r>
    </w:p>
    <w:p w14:paraId="7E512FB8" w14:textId="77777777" w:rsidR="006873AD" w:rsidRPr="00A5741A" w:rsidRDefault="006873AD" w:rsidP="006873AD">
      <w:pPr>
        <w:pStyle w:val="NormaAlterada"/>
      </w:pPr>
      <w:r w:rsidRPr="00A5741A">
        <w:t>a) balancete; e</w:t>
      </w:r>
    </w:p>
    <w:p w14:paraId="0BA0B350" w14:textId="77777777" w:rsidR="006873AD" w:rsidRPr="00A5741A" w:rsidRDefault="006873AD" w:rsidP="006873AD">
      <w:pPr>
        <w:pStyle w:val="NormaAlterada"/>
      </w:pPr>
      <w:r w:rsidRPr="00A5741A">
        <w:t>b) demonstrativos da composição e diversificação das aplicações, destacando, quando for o caso, as aplicações em companhias ligadas a prestador de serviço essencial; e</w:t>
      </w:r>
    </w:p>
    <w:p w14:paraId="5DB8D6A3" w14:textId="77777777" w:rsidR="00036557" w:rsidRDefault="006873AD" w:rsidP="006873AD">
      <w:pPr>
        <w:pStyle w:val="NormaAlterada"/>
      </w:pPr>
      <w:r w:rsidRPr="00827EB1">
        <w:t xml:space="preserve">II – </w:t>
      </w:r>
      <w:r w:rsidRPr="00A5741A">
        <w:t>anualmente, no prazo de 90 (noventa) dias, contado a partir do encerramento do exercício a que se referirem, as demonstrações contábeis do fundo e, caso existentes, de suas classes de cotas, acompanhadas dos pareceres de auditoria independente.</w:t>
      </w:r>
    </w:p>
    <w:p w14:paraId="1CA44DF4" w14:textId="554272DF" w:rsidR="00F46125" w:rsidRPr="00517AE6" w:rsidRDefault="00F46125" w:rsidP="00F46125">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IX</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6B1EEE2E" w14:textId="77777777" w:rsidR="00F46125" w:rsidRDefault="00F46125" w:rsidP="006873AD">
      <w:pPr>
        <w:pStyle w:val="NormaAlterada"/>
      </w:pPr>
    </w:p>
    <w:p w14:paraId="597554FE" w14:textId="77777777" w:rsidR="00F46125" w:rsidRDefault="00F46125" w:rsidP="006873AD">
      <w:pPr>
        <w:pStyle w:val="NormaAlterada"/>
        <w:sectPr w:rsidR="00F46125" w:rsidSect="002A08BD">
          <w:headerReference w:type="default" r:id="rId24"/>
          <w:pgSz w:w="11906" w:h="16838"/>
          <w:pgMar w:top="2268" w:right="567" w:bottom="851" w:left="1134" w:header="709" w:footer="709" w:gutter="0"/>
          <w:cols w:space="708"/>
          <w:docGrid w:linePitch="360"/>
        </w:sectPr>
      </w:pPr>
    </w:p>
    <w:p w14:paraId="153BF7B4" w14:textId="77777777" w:rsidR="006873AD" w:rsidRDefault="006873AD" w:rsidP="00036557">
      <w:pPr>
        <w:pStyle w:val="TtulodaResoluo"/>
        <w:ind w:firstLine="0"/>
      </w:pPr>
      <w:bookmarkStart w:id="1444" w:name="_Toc161141423"/>
      <w:r>
        <w:rPr>
          <w:rStyle w:val="normaltextrun"/>
        </w:rPr>
        <w:lastRenderedPageBreak/>
        <w:t xml:space="preserve">ANEXO NORMATIVO X </w:t>
      </w:r>
      <w:r>
        <w:rPr>
          <w:rStyle w:val="normaltextrun"/>
          <w:caps w:val="0"/>
        </w:rPr>
        <w:t>– FUNDOS DE INVESTIMENTO CULTURAL E ARTÍSTICO</w:t>
      </w:r>
      <w:bookmarkEnd w:id="1444"/>
    </w:p>
    <w:p w14:paraId="389A77E7" w14:textId="77777777" w:rsidR="006873AD" w:rsidRDefault="006873AD" w:rsidP="006873AD">
      <w:pPr>
        <w:pStyle w:val="Ementa"/>
        <w:spacing w:line="288" w:lineRule="auto"/>
      </w:pPr>
      <w:r>
        <w:t>Dispõe sobre as regras específicas para os fundos de investimento cultural e artístico.</w:t>
      </w:r>
    </w:p>
    <w:p w14:paraId="18F6A5A6" w14:textId="77777777" w:rsidR="006873AD" w:rsidRDefault="006873AD" w:rsidP="006873AD">
      <w:pPr>
        <w:pStyle w:val="Captulo"/>
      </w:pPr>
      <w:bookmarkStart w:id="1445" w:name="_Toc161141424"/>
      <w:r w:rsidRPr="004E6034">
        <w:t>CAPÍTULO I – ÂMBITO E FINALIDADE</w:t>
      </w:r>
      <w:bookmarkEnd w:id="1445"/>
    </w:p>
    <w:p w14:paraId="493D84C8" w14:textId="77777777" w:rsidR="006873AD" w:rsidRDefault="006873AD" w:rsidP="006873AD">
      <w:pPr>
        <w:pStyle w:val="NormaAlterada"/>
      </w:pPr>
      <w:r>
        <w:t>Art. 1º  Este Anexo Normativo X à Resolução CVM nº 175 (“Resolução”) dispõe sobre as regras específicas para os fundos de investimento cultural e artístico – FICART.</w:t>
      </w:r>
    </w:p>
    <w:p w14:paraId="581BBE54" w14:textId="77777777" w:rsidR="006873AD" w:rsidRDefault="006873AD" w:rsidP="006873AD">
      <w:pPr>
        <w:pStyle w:val="Captulo"/>
      </w:pPr>
      <w:bookmarkStart w:id="1446" w:name="_Toc161141425"/>
      <w:r>
        <w:t>CAPÍTULO II – CARACTERÍSTICAS E CONSTITUIÇÃO</w:t>
      </w:r>
      <w:bookmarkEnd w:id="1446"/>
    </w:p>
    <w:p w14:paraId="3B6175E8" w14:textId="77777777" w:rsidR="006873AD" w:rsidRDefault="006873AD" w:rsidP="006873AD">
      <w:pPr>
        <w:pStyle w:val="NormaAlterada"/>
      </w:pPr>
      <w:r>
        <w:t>Art. 2º  O FICART é destinado à aplicação em projetos culturais e artísticos.</w:t>
      </w:r>
    </w:p>
    <w:p w14:paraId="24F51382" w14:textId="77777777" w:rsidR="006873AD" w:rsidRDefault="006873AD" w:rsidP="006873AD">
      <w:pPr>
        <w:pStyle w:val="NormaAlterada"/>
      </w:pPr>
      <w:r>
        <w:t>Art. 3º  Para fins de aplicação de recursos do FICART, entende-se por projetos culturais e artísticos aqueles definidos na legislação federal que institui o Programa Nacional de Apoio à Cultura (PRONAC).</w:t>
      </w:r>
    </w:p>
    <w:p w14:paraId="68FA2DFA" w14:textId="77777777" w:rsidR="006873AD" w:rsidRDefault="006873AD" w:rsidP="006873AD">
      <w:pPr>
        <w:pStyle w:val="NormaAlterada"/>
      </w:pPr>
      <w:r>
        <w:t>Art. 4º  A CVM pode cancelar o registro de funcionamento da classe de cotas que, no prazo de 120 (cento e vinte) dias, contado da data de seu registro, não tiver obtido os recursos necessários à formação de seu patrimônio inicial.</w:t>
      </w:r>
    </w:p>
    <w:p w14:paraId="60C2C229" w14:textId="77777777" w:rsidR="006873AD" w:rsidRDefault="006873AD" w:rsidP="006873AD">
      <w:pPr>
        <w:pStyle w:val="Captulo"/>
      </w:pPr>
      <w:bookmarkStart w:id="1447" w:name="_Toc161141426"/>
      <w:r>
        <w:t>CAPÍTULO III – DOCUMENTOS E INFORMAÇÕES</w:t>
      </w:r>
      <w:bookmarkEnd w:id="1447"/>
    </w:p>
    <w:p w14:paraId="2A9F7FC7" w14:textId="77777777" w:rsidR="006873AD" w:rsidRDefault="006873AD" w:rsidP="006873AD">
      <w:pPr>
        <w:pStyle w:val="NormaAlterada"/>
      </w:pPr>
      <w:r>
        <w:t>Art. 5º  Em acréscimo às matérias previstas no art. 48 da parte geral da Resolução, o regulamento do FICART deve determinar, em sua política de investimentos, os projetos culturais e artísticos, os setores ou subsetores nos quais serão aplicados seus recursos, bem como a estratégia de diversificação a ser seguida.</w:t>
      </w:r>
    </w:p>
    <w:p w14:paraId="43F5C9D0" w14:textId="77777777" w:rsidR="006873AD" w:rsidRPr="009C462A" w:rsidRDefault="006873AD" w:rsidP="006873AD">
      <w:pPr>
        <w:pStyle w:val="NormaAlterada"/>
      </w:pPr>
      <w:r>
        <w:t>Art. 6º  O administrador do FICART deve :</w:t>
      </w:r>
    </w:p>
    <w:p w14:paraId="474C0635" w14:textId="77777777" w:rsidR="006873AD" w:rsidRDefault="006873AD" w:rsidP="006873AD">
      <w:pPr>
        <w:pStyle w:val="NormaAlterada"/>
      </w:pPr>
      <w:r w:rsidRPr="009C462A">
        <w:t xml:space="preserve">I </w:t>
      </w:r>
      <w:r>
        <w:t>–</w:t>
      </w:r>
      <w:r w:rsidRPr="009C462A">
        <w:t xml:space="preserve"> </w:t>
      </w:r>
      <w:r>
        <w:t>enviar</w:t>
      </w:r>
      <w:r w:rsidRPr="009C462A">
        <w:t xml:space="preserve"> aos </w:t>
      </w:r>
      <w:r>
        <w:t>co</w:t>
      </w:r>
      <w:r w:rsidRPr="009C462A">
        <w:t>tistas, até 30</w:t>
      </w:r>
      <w:r>
        <w:t xml:space="preserve"> </w:t>
      </w:r>
      <w:r w:rsidRPr="009C462A">
        <w:t>(trinta) dias após a data de cada avaliação patrimonial:</w:t>
      </w:r>
    </w:p>
    <w:p w14:paraId="4A96EA55" w14:textId="77777777" w:rsidR="006873AD" w:rsidRPr="009C462A" w:rsidRDefault="006873AD" w:rsidP="006873AD">
      <w:pPr>
        <w:pStyle w:val="NormaAlterada"/>
      </w:pPr>
      <w:r w:rsidRPr="009C462A">
        <w:t xml:space="preserve">a) número de </w:t>
      </w:r>
      <w:r>
        <w:t>c</w:t>
      </w:r>
      <w:r w:rsidRPr="009C462A">
        <w:t>otas e valor das aplicações e resgates;</w:t>
      </w:r>
      <w:r>
        <w:t xml:space="preserve"> e</w:t>
      </w:r>
    </w:p>
    <w:p w14:paraId="1AA898DF" w14:textId="77777777" w:rsidR="006873AD" w:rsidRPr="009C462A" w:rsidRDefault="006873AD" w:rsidP="006873AD">
      <w:pPr>
        <w:pStyle w:val="NormaAlterada"/>
      </w:pPr>
      <w:r>
        <w:t>b) saldo do cotista, em número de cotas e valor patrimonial;</w:t>
      </w:r>
    </w:p>
    <w:p w14:paraId="50FD5C42" w14:textId="77777777" w:rsidR="006873AD" w:rsidRPr="009C462A" w:rsidRDefault="006873AD" w:rsidP="006873AD">
      <w:pPr>
        <w:pStyle w:val="NormaAlterada"/>
      </w:pPr>
      <w:r>
        <w:t>II – enviar semestralmente aos cotistas, no prazo de 30 (trinta) dias após o encerramento do semestre a que se referirem, as seguintes informações:</w:t>
      </w:r>
    </w:p>
    <w:p w14:paraId="22C92120" w14:textId="77777777" w:rsidR="006873AD" w:rsidRPr="009C462A" w:rsidRDefault="006873AD" w:rsidP="006873AD">
      <w:pPr>
        <w:pStyle w:val="NormaAlterada"/>
      </w:pPr>
      <w:r w:rsidRPr="009C462A">
        <w:lastRenderedPageBreak/>
        <w:t>a) rentabilidade auferida no semestre;</w:t>
      </w:r>
    </w:p>
    <w:p w14:paraId="1908979A" w14:textId="77777777" w:rsidR="006873AD" w:rsidRPr="009C462A" w:rsidRDefault="006873AD" w:rsidP="006873AD">
      <w:pPr>
        <w:pStyle w:val="NormaAlterada"/>
      </w:pPr>
      <w:r w:rsidRPr="009C462A">
        <w:t xml:space="preserve">b) valor </w:t>
      </w:r>
      <w:r>
        <w:t xml:space="preserve">total da carteira </w:t>
      </w:r>
      <w:r w:rsidRPr="009C462A">
        <w:t xml:space="preserve">e </w:t>
      </w:r>
      <w:r>
        <w:t xml:space="preserve">sua </w:t>
      </w:r>
      <w:r w:rsidRPr="009C462A">
        <w:t>composição, discriminando quantidade, espécie e cotação dos títulos que a integram;</w:t>
      </w:r>
    </w:p>
    <w:p w14:paraId="79ACB3A7" w14:textId="77777777" w:rsidR="006873AD" w:rsidRPr="009C462A" w:rsidRDefault="006873AD" w:rsidP="006873AD">
      <w:pPr>
        <w:pStyle w:val="NormaAlterada"/>
      </w:pPr>
      <w:r>
        <w:t>c) relação das instituições encarregadas da prestação dos serviços de custódia de títulos componentes da carteira; e</w:t>
      </w:r>
    </w:p>
    <w:p w14:paraId="7174FD29" w14:textId="77777777" w:rsidR="006873AD" w:rsidRPr="009C462A" w:rsidRDefault="006873AD" w:rsidP="006873AD">
      <w:pPr>
        <w:pStyle w:val="NormaAlterada"/>
      </w:pPr>
      <w:r>
        <w:t>d) relatório circunstanciado da situação econômico-financeira dos projetos culturais e artísticos, pertencentes ao patrimônio da classe de cotas; e</w:t>
      </w:r>
    </w:p>
    <w:p w14:paraId="3020F286" w14:textId="77777777" w:rsidR="006873AD" w:rsidRPr="009C462A" w:rsidRDefault="006873AD" w:rsidP="006873AD">
      <w:pPr>
        <w:pStyle w:val="NormaAlterada"/>
      </w:pPr>
      <w:r w:rsidRPr="009C462A">
        <w:t>I</w:t>
      </w:r>
      <w:r>
        <w:t>II</w:t>
      </w:r>
      <w:r w:rsidRPr="009C462A">
        <w:t xml:space="preserve"> </w:t>
      </w:r>
      <w:r>
        <w:t>–</w:t>
      </w:r>
      <w:r w:rsidRPr="009C462A">
        <w:t xml:space="preserve"> </w:t>
      </w:r>
      <w:r>
        <w:t>enviar</w:t>
      </w:r>
      <w:r w:rsidRPr="009C462A">
        <w:t xml:space="preserve"> anualmente aos </w:t>
      </w:r>
      <w:r>
        <w:t>c</w:t>
      </w:r>
      <w:r w:rsidRPr="009C462A">
        <w:t>otistas</w:t>
      </w:r>
      <w:r>
        <w:t>, no prazo de 90 (noventa) dias, contado a partir do encerramento do exercício a que se referirem,</w:t>
      </w:r>
      <w:r w:rsidRPr="009C462A">
        <w:t xml:space="preserve"> as seguintes informações:</w:t>
      </w:r>
    </w:p>
    <w:p w14:paraId="7B04D66B" w14:textId="77777777" w:rsidR="006873AD" w:rsidRPr="009C462A" w:rsidRDefault="006873AD" w:rsidP="006873AD">
      <w:pPr>
        <w:pStyle w:val="NormaAlterada"/>
      </w:pPr>
      <w:r w:rsidRPr="009C462A">
        <w:t xml:space="preserve">a) saldo do </w:t>
      </w:r>
      <w:r>
        <w:t>c</w:t>
      </w:r>
      <w:r w:rsidRPr="009C462A">
        <w:t xml:space="preserve">otista, em número de </w:t>
      </w:r>
      <w:r>
        <w:t>c</w:t>
      </w:r>
      <w:r w:rsidRPr="009C462A">
        <w:t>otas e valor;</w:t>
      </w:r>
    </w:p>
    <w:p w14:paraId="03A2BB9D" w14:textId="77777777" w:rsidR="006873AD" w:rsidRPr="009C462A" w:rsidRDefault="006873AD" w:rsidP="006873AD">
      <w:pPr>
        <w:pStyle w:val="NormaAlterada"/>
      </w:pPr>
      <w:r>
        <w:t xml:space="preserve">b) </w:t>
      </w:r>
      <w:r w:rsidRPr="009C462A">
        <w:t>rentabilidade nos últimos 6 (seis) semestres,</w:t>
      </w:r>
      <w:r>
        <w:t xml:space="preserve"> </w:t>
      </w:r>
      <w:r w:rsidRPr="009C462A">
        <w:t>tomados como base exercícios completos;</w:t>
      </w:r>
    </w:p>
    <w:p w14:paraId="15042984" w14:textId="77777777" w:rsidR="006873AD" w:rsidRPr="009C462A" w:rsidRDefault="006873AD" w:rsidP="006873AD">
      <w:pPr>
        <w:pStyle w:val="NormaAlterada"/>
      </w:pPr>
      <w:r>
        <w:t xml:space="preserve">c) </w:t>
      </w:r>
      <w:r w:rsidRPr="009C462A">
        <w:t xml:space="preserve">valor patrimonial da </w:t>
      </w:r>
      <w:r>
        <w:t>c</w:t>
      </w:r>
      <w:r w:rsidRPr="009C462A">
        <w:t xml:space="preserve">ota, por ocasião dos balanços, nos últimos 6 (seis) semestres, além do valor reajustado </w:t>
      </w:r>
      <w:r>
        <w:t>aos reinvestimentos ocorridos</w:t>
      </w:r>
      <w:r w:rsidRPr="009C462A">
        <w:t xml:space="preserve"> a cada ano;</w:t>
      </w:r>
    </w:p>
    <w:p w14:paraId="5BB95843" w14:textId="77777777" w:rsidR="006873AD" w:rsidRPr="009C462A" w:rsidRDefault="006873AD" w:rsidP="006873AD">
      <w:pPr>
        <w:pStyle w:val="NormaAlterada"/>
      </w:pPr>
      <w:r>
        <w:t>d) encargos debitados da classe de cotas em cada um dos 3 (três) últimos anos, devendo ser especificado seu valor e percentual em relação ao patrimônio líquido médio mensal da classe de cotas, em cada ano; e</w:t>
      </w:r>
    </w:p>
    <w:p w14:paraId="707BDBBA" w14:textId="77777777" w:rsidR="006873AD" w:rsidRDefault="006873AD" w:rsidP="006873AD">
      <w:pPr>
        <w:pStyle w:val="NormaAlterada"/>
      </w:pPr>
      <w:r>
        <w:t>e) comprovante para efeitos de declaração de imposto de renda.</w:t>
      </w:r>
    </w:p>
    <w:p w14:paraId="5AA96328" w14:textId="77777777" w:rsidR="006873AD" w:rsidRDefault="006873AD" w:rsidP="006873AD">
      <w:pPr>
        <w:pStyle w:val="NormaAlterada"/>
      </w:pPr>
      <w:r>
        <w:t>Art. 7º  O administrador deve encaminhar à CVM, por meio de sistema eletrônico disponível na rede mundial de computadores, no prazo de 30 (trinta) dias para os incisos I e II e de 90 (noventa) dias para o inciso III, após o encerramento do período a que se referirem, as seguintes informações:</w:t>
      </w:r>
    </w:p>
    <w:p w14:paraId="2F4DE7A6" w14:textId="77777777" w:rsidR="006873AD" w:rsidRDefault="006873AD" w:rsidP="006873AD">
      <w:pPr>
        <w:pStyle w:val="NormaAlterada"/>
      </w:pPr>
      <w:r>
        <w:t>I – nas datas de avaliação patrimonial, cuja periodicidade deverá ser inferior a um semestre:</w:t>
      </w:r>
    </w:p>
    <w:p w14:paraId="5ABC9748" w14:textId="77777777" w:rsidR="006873AD" w:rsidRDefault="006873AD" w:rsidP="006873AD">
      <w:pPr>
        <w:pStyle w:val="NormaAlterada"/>
      </w:pPr>
      <w:r>
        <w:t>a) balancete;</w:t>
      </w:r>
    </w:p>
    <w:p w14:paraId="1004860B" w14:textId="77777777" w:rsidR="006873AD" w:rsidRDefault="006873AD" w:rsidP="006873AD">
      <w:pPr>
        <w:pStyle w:val="NormaAlterada"/>
      </w:pPr>
      <w:r>
        <w:t>b) contratos firmados com a finalidade de aplicar os recursos em projetos culturais e artísticos; e</w:t>
      </w:r>
    </w:p>
    <w:p w14:paraId="18970228" w14:textId="77777777" w:rsidR="006873AD" w:rsidRDefault="006873AD" w:rsidP="006873AD">
      <w:pPr>
        <w:pStyle w:val="NormaAlterada"/>
      </w:pPr>
      <w:r>
        <w:t>c) demonstrativo de fluxo de caixa;</w:t>
      </w:r>
    </w:p>
    <w:p w14:paraId="743A67CF" w14:textId="77777777" w:rsidR="006873AD" w:rsidRDefault="006873AD" w:rsidP="006873AD">
      <w:pPr>
        <w:pStyle w:val="NormaAlterada"/>
      </w:pPr>
      <w:r>
        <w:t>II – semestralmente:</w:t>
      </w:r>
    </w:p>
    <w:p w14:paraId="7FAD61A3" w14:textId="77777777" w:rsidR="006873AD" w:rsidRDefault="006873AD" w:rsidP="006873AD">
      <w:pPr>
        <w:pStyle w:val="NormaAlterada"/>
      </w:pPr>
      <w:r>
        <w:t>a) exemplares das informações fornecidas aos cotistas;</w:t>
      </w:r>
    </w:p>
    <w:p w14:paraId="3987AAB8" w14:textId="77777777" w:rsidR="006873AD" w:rsidRDefault="006873AD" w:rsidP="006873AD">
      <w:pPr>
        <w:pStyle w:val="NormaAlterada"/>
      </w:pPr>
      <w:r>
        <w:lastRenderedPageBreak/>
        <w:t>b) informações acerca das condições gerais de cobertura por seguro, no caso de trânsito de títulos;</w:t>
      </w:r>
    </w:p>
    <w:p w14:paraId="24AD1C1A" w14:textId="77777777" w:rsidR="006873AD" w:rsidRDefault="006873AD" w:rsidP="006873AD">
      <w:pPr>
        <w:pStyle w:val="NormaAlterada"/>
      </w:pPr>
      <w:r>
        <w:t>c) relação das instituições encarregadas da prestação dos serviços de custódia dos títulos; e</w:t>
      </w:r>
    </w:p>
    <w:p w14:paraId="201BE152" w14:textId="77777777" w:rsidR="006873AD" w:rsidRDefault="006873AD" w:rsidP="006873AD">
      <w:pPr>
        <w:pStyle w:val="NormaAlterada"/>
      </w:pPr>
      <w:r>
        <w:t>d) relação das demandas judiciais e extrajudiciais, quer na defesa dos direitos dos cotistas, quer desses contra a administração do FICART, indicando a data do seu início e a solução final; e</w:t>
      </w:r>
    </w:p>
    <w:p w14:paraId="689FD264" w14:textId="77777777" w:rsidR="006873AD" w:rsidRDefault="006873AD" w:rsidP="006873AD">
      <w:pPr>
        <w:pStyle w:val="NormaAlterada"/>
      </w:pPr>
      <w:r>
        <w:t>III – anualmente, as demonstrações contábeis do fundo e, caso existentes, de suas classes de cotas, acompanhadas dos pareceres de auditoria independente.</w:t>
      </w:r>
    </w:p>
    <w:p w14:paraId="56572ABB" w14:textId="77777777" w:rsidR="006873AD" w:rsidRDefault="006873AD" w:rsidP="006873AD">
      <w:pPr>
        <w:pStyle w:val="Captulo"/>
      </w:pPr>
      <w:bookmarkStart w:id="1448" w:name="_Toc161141427"/>
      <w:r>
        <w:t>CAPÍTULO IV – CARTEIRA</w:t>
      </w:r>
      <w:bookmarkEnd w:id="1448"/>
    </w:p>
    <w:p w14:paraId="690F310E" w14:textId="77777777" w:rsidR="006873AD" w:rsidRDefault="006873AD" w:rsidP="006873AD">
      <w:pPr>
        <w:pStyle w:val="NormaAlterada"/>
      </w:pPr>
      <w:r>
        <w:t>Art. 8º  A aplicação dos recursos do FICART em projetos culturais e artísticos se fará exclusivamente por meio da:</w:t>
      </w:r>
    </w:p>
    <w:p w14:paraId="06D9E039" w14:textId="77777777" w:rsidR="006873AD" w:rsidRDefault="006873AD" w:rsidP="006873AD">
      <w:pPr>
        <w:pStyle w:val="NormaAlterada"/>
      </w:pPr>
      <w:r w:rsidRPr="009C462A">
        <w:t xml:space="preserve">I </w:t>
      </w:r>
      <w:r>
        <w:t>–</w:t>
      </w:r>
      <w:r w:rsidRPr="009C462A">
        <w:t xml:space="preserve"> contratação de pessoas jurídicas de natureza cultural com sede no </w:t>
      </w:r>
      <w:r>
        <w:t>P</w:t>
      </w:r>
      <w:r w:rsidRPr="009C462A">
        <w:t xml:space="preserve">aís que tenham por objeto a execução </w:t>
      </w:r>
      <w:r>
        <w:t>de</w:t>
      </w:r>
      <w:r w:rsidRPr="009C462A">
        <w:t xml:space="preserve"> projetos culturais</w:t>
      </w:r>
      <w:r>
        <w:t xml:space="preserve"> e artísticos</w:t>
      </w:r>
      <w:r w:rsidRPr="009C462A">
        <w:t>;</w:t>
      </w:r>
    </w:p>
    <w:p w14:paraId="6F7BA107" w14:textId="77777777" w:rsidR="006873AD" w:rsidRDefault="006873AD" w:rsidP="006873AD">
      <w:pPr>
        <w:pStyle w:val="NormaAlterada"/>
      </w:pPr>
      <w:r>
        <w:t>II – participação em projetos culturais e artísticos realizados por pessoas jurídicas de natureza cultural com sede no País; e</w:t>
      </w:r>
    </w:p>
    <w:p w14:paraId="74DD7DD4" w14:textId="77777777" w:rsidR="006873AD" w:rsidRDefault="006873AD" w:rsidP="006873AD">
      <w:pPr>
        <w:pStyle w:val="NormaAlterada"/>
      </w:pPr>
      <w:r w:rsidRPr="009C462A">
        <w:t xml:space="preserve">III </w:t>
      </w:r>
      <w:r>
        <w:t>–</w:t>
      </w:r>
      <w:r w:rsidRPr="009C462A">
        <w:t xml:space="preserve"> aquisição de direitos para exploração comercial de </w:t>
      </w:r>
      <w:r>
        <w:t>projetos culturais e artísticos</w:t>
      </w:r>
      <w:r w:rsidRPr="009C462A">
        <w:t>.</w:t>
      </w:r>
    </w:p>
    <w:p w14:paraId="70312A9E" w14:textId="77777777" w:rsidR="006873AD" w:rsidRDefault="006873AD" w:rsidP="006873AD">
      <w:pPr>
        <w:pStyle w:val="NormaAlterada"/>
      </w:pPr>
      <w:r>
        <w:t xml:space="preserve">Art. 9º  Os recursos não aplicados em projetos culturais e artísticos deverão ser mantidos aplicados, exclusivamente, em títulos públicos federais. </w:t>
      </w:r>
    </w:p>
    <w:p w14:paraId="293CF24D" w14:textId="77777777" w:rsidR="006873AD" w:rsidRPr="009C462A" w:rsidRDefault="006873AD" w:rsidP="006873AD">
      <w:pPr>
        <w:pStyle w:val="Captulo"/>
      </w:pPr>
      <w:bookmarkStart w:id="1449" w:name="_Toc161141428"/>
      <w:r>
        <w:t>CAPÍTULO V – PRESTAÇÃO DE SERVIÇOS</w:t>
      </w:r>
      <w:bookmarkEnd w:id="1449"/>
    </w:p>
    <w:p w14:paraId="2228340A" w14:textId="77777777" w:rsidR="006873AD" w:rsidRDefault="006873AD" w:rsidP="006873AD">
      <w:pPr>
        <w:pStyle w:val="NormaAlterada"/>
      </w:pPr>
      <w:r>
        <w:t>Art. 10.  Em acréscimo às vedações previstas no art. 101 da parte geral da Resolução, é vedado ao administrador praticar os seguintes atos em nome do FICART:</w:t>
      </w:r>
    </w:p>
    <w:p w14:paraId="7B6122B8" w14:textId="77777777" w:rsidR="006873AD" w:rsidRDefault="006873AD" w:rsidP="006873AD">
      <w:pPr>
        <w:pStyle w:val="NormaAlterada"/>
      </w:pPr>
      <w:r>
        <w:t>I</w:t>
      </w:r>
      <w:r w:rsidRPr="009C462A">
        <w:t xml:space="preserve"> </w:t>
      </w:r>
      <w:r>
        <w:t>–</w:t>
      </w:r>
      <w:r w:rsidRPr="009C462A">
        <w:t xml:space="preserve"> organizar esforços com o objetivo de realizar os empreendimentos culturais e artísticos</w:t>
      </w:r>
      <w:r>
        <w:t>; e</w:t>
      </w:r>
    </w:p>
    <w:p w14:paraId="587DEACC" w14:textId="77777777" w:rsidR="006873AD" w:rsidRDefault="006873AD" w:rsidP="006873AD">
      <w:pPr>
        <w:pStyle w:val="NormaAlterada"/>
      </w:pPr>
      <w:r>
        <w:t>II</w:t>
      </w:r>
      <w:r w:rsidRPr="009C462A">
        <w:t xml:space="preserve"> </w:t>
      </w:r>
      <w:r>
        <w:t>–</w:t>
      </w:r>
      <w:r w:rsidRPr="009C462A">
        <w:t xml:space="preserve"> aplicar recursos:</w:t>
      </w:r>
    </w:p>
    <w:p w14:paraId="71A57AFC" w14:textId="77777777" w:rsidR="006873AD" w:rsidRDefault="006873AD" w:rsidP="006873AD">
      <w:pPr>
        <w:pStyle w:val="NormaAlterada"/>
      </w:pPr>
      <w:r w:rsidRPr="009C462A">
        <w:t xml:space="preserve">a) </w:t>
      </w:r>
      <w:r>
        <w:t xml:space="preserve">em projetos culturais e artísticos </w:t>
      </w:r>
      <w:r w:rsidRPr="009C462A">
        <w:t>no exterior;</w:t>
      </w:r>
      <w:r>
        <w:t xml:space="preserve"> e</w:t>
      </w:r>
    </w:p>
    <w:p w14:paraId="4BE74647" w14:textId="77777777" w:rsidR="00036557" w:rsidRDefault="006873AD" w:rsidP="006873AD">
      <w:pPr>
        <w:pStyle w:val="NormaAlterada"/>
      </w:pPr>
      <w:r w:rsidRPr="009C462A">
        <w:t>b) na aquisição de bens imóveis</w:t>
      </w:r>
      <w:r>
        <w:t>.</w:t>
      </w:r>
    </w:p>
    <w:p w14:paraId="01798C47" w14:textId="66E68052" w:rsidR="00E00556" w:rsidRDefault="00E00556" w:rsidP="000E27A0">
      <w:pPr>
        <w:numPr>
          <w:ilvl w:val="0"/>
          <w:numId w:val="12"/>
        </w:numPr>
        <w:tabs>
          <w:tab w:val="left" w:pos="709"/>
        </w:tabs>
        <w:spacing w:after="0" w:line="312" w:lineRule="auto"/>
        <w:ind w:left="0" w:firstLine="567"/>
        <w:jc w:val="both"/>
      </w:pPr>
      <w:r w:rsidRPr="00E00556">
        <w:rPr>
          <w:rFonts w:asciiTheme="minorHAnsi" w:hAnsiTheme="minorHAnsi" w:cstheme="minorHAnsi"/>
          <w:b/>
          <w:i/>
          <w:sz w:val="24"/>
          <w:szCs w:val="24"/>
        </w:rPr>
        <w:t>Anexo Normativo X incluído pela Resolução CVM nº 184, de 31 de maio de 2023.</w:t>
      </w:r>
    </w:p>
    <w:p w14:paraId="4038BE67" w14:textId="77777777" w:rsidR="00E00556" w:rsidRDefault="00E00556" w:rsidP="006873AD">
      <w:pPr>
        <w:pStyle w:val="NormaAlterada"/>
      </w:pPr>
    </w:p>
    <w:p w14:paraId="3B9804E3" w14:textId="77777777" w:rsidR="00E00556" w:rsidRDefault="00E00556" w:rsidP="006873AD">
      <w:pPr>
        <w:pStyle w:val="NormaAlterada"/>
        <w:sectPr w:rsidR="00E00556" w:rsidSect="002A08BD">
          <w:headerReference w:type="default" r:id="rId25"/>
          <w:pgSz w:w="11906" w:h="16838"/>
          <w:pgMar w:top="2268" w:right="567" w:bottom="851" w:left="1134" w:header="709" w:footer="709" w:gutter="0"/>
          <w:cols w:space="708"/>
          <w:docGrid w:linePitch="360"/>
        </w:sectPr>
      </w:pPr>
    </w:p>
    <w:p w14:paraId="5A41117A" w14:textId="77777777" w:rsidR="006873AD" w:rsidRDefault="006873AD" w:rsidP="00036557">
      <w:pPr>
        <w:pStyle w:val="TtulodaResoluo"/>
        <w:ind w:firstLine="0"/>
      </w:pPr>
      <w:bookmarkStart w:id="1450" w:name="_Toc161141429"/>
      <w:r>
        <w:rPr>
          <w:rStyle w:val="normaltextrun"/>
        </w:rPr>
        <w:lastRenderedPageBreak/>
        <w:t>ANEXO NORMATIVO XI – FUNDOS PREVIDENCIÁRIOS</w:t>
      </w:r>
      <w:bookmarkEnd w:id="1450"/>
    </w:p>
    <w:p w14:paraId="0D484FFD" w14:textId="77777777" w:rsidR="006873AD" w:rsidRPr="00B01D4F" w:rsidRDefault="006873AD" w:rsidP="006873AD">
      <w:pPr>
        <w:pStyle w:val="Recuodecorpodetexto"/>
        <w:spacing w:before="120" w:line="312" w:lineRule="auto"/>
        <w:ind w:left="5102"/>
        <w:rPr>
          <w:rFonts w:asciiTheme="minorHAnsi" w:hAnsiTheme="minorHAnsi" w:cstheme="minorBidi"/>
        </w:rPr>
      </w:pPr>
      <w:r w:rsidRPr="2C41B6B3">
        <w:rPr>
          <w:rFonts w:asciiTheme="minorHAnsi" w:hAnsiTheme="minorHAnsi" w:cstheme="minorBidi"/>
        </w:rPr>
        <w:t>Dispõe sobre as regras específicas para os fundos de investimento vinculados exclusivamente a planos de previdência complementar ou a seguros de vida com cláusula de cobertura por sobrevivência, estruturados na modalidade de contribuição variável.</w:t>
      </w:r>
    </w:p>
    <w:p w14:paraId="2A314825" w14:textId="77777777" w:rsidR="006873AD" w:rsidRPr="002B23F9" w:rsidRDefault="006873AD" w:rsidP="006873AD">
      <w:pPr>
        <w:pStyle w:val="Captulo"/>
        <w:rPr>
          <w:rFonts w:eastAsiaTheme="minorEastAsia" w:cstheme="minorBidi"/>
        </w:rPr>
      </w:pPr>
      <w:bookmarkStart w:id="1451" w:name="_Toc161141430"/>
      <w:r w:rsidRPr="002B23F9">
        <w:rPr>
          <w:rFonts w:eastAsiaTheme="minorEastAsia" w:cstheme="minorBidi"/>
        </w:rPr>
        <w:t>CAPÍTULO I – ÂMBITO E FINALIDADE</w:t>
      </w:r>
      <w:bookmarkEnd w:id="1451"/>
    </w:p>
    <w:p w14:paraId="3FA985DD" w14:textId="77777777" w:rsidR="006873AD" w:rsidRPr="00B01D4F" w:rsidRDefault="006873AD" w:rsidP="006873AD">
      <w:pPr>
        <w:pStyle w:val="NormaAlterada"/>
      </w:pPr>
      <w:r w:rsidRPr="4D6AF215">
        <w:t xml:space="preserve">Art. 1º  Este Anexo Normativo </w:t>
      </w:r>
      <w:r>
        <w:t>XI</w:t>
      </w:r>
      <w:r w:rsidRPr="4D6AF215">
        <w:t xml:space="preserve"> à Resolução CVM nº 175 (“Resolução”) dispõe sobre as regras específicas para fundos de investimento constituídos por entidades abertas de previdência complementar e sociedades seguradoras, vinculados exclusivamente a planos de previdência complementar ou a seguros de pessoas, a que se referem os arts. 76 e seguintes da Lei nº 11.196, de 21 de novembro de 2005, conforme as regulamentações editadas pelo Conselho Nacional de Seguros Privados – </w:t>
      </w:r>
      <w:r>
        <w:t>f</w:t>
      </w:r>
      <w:r w:rsidRPr="4D6AF215">
        <w:t xml:space="preserve">undos </w:t>
      </w:r>
      <w:r>
        <w:t>p</w:t>
      </w:r>
      <w:r w:rsidRPr="4D6AF215">
        <w:t>revidenciários.</w:t>
      </w:r>
    </w:p>
    <w:p w14:paraId="658141A1" w14:textId="77777777" w:rsidR="006873AD" w:rsidRPr="00B01D4F" w:rsidRDefault="006873AD" w:rsidP="006873AD">
      <w:pPr>
        <w:pStyle w:val="NormaAlterada"/>
        <w:rPr>
          <w:rFonts w:ascii="Calibri" w:hAnsi="Calibri" w:cs="Calibri"/>
        </w:rPr>
      </w:pPr>
      <w:r w:rsidRPr="00B01D4F">
        <w:rPr>
          <w:rFonts w:ascii="Calibri" w:hAnsi="Calibri" w:cs="Calibri"/>
        </w:rPr>
        <w:t xml:space="preserve">§ 1º  O </w:t>
      </w:r>
      <w:r w:rsidRPr="00AA3ACE">
        <w:t>patrimônio</w:t>
      </w:r>
      <w:r w:rsidRPr="00B01D4F">
        <w:rPr>
          <w:rFonts w:ascii="Calibri" w:hAnsi="Calibri" w:cs="Calibri"/>
        </w:rPr>
        <w:t xml:space="preserve"> dos fundos previdenciários não se comunica com o das entidades ou seguradoras que os constituírem, não respondendo, nem mesmo subsidiariamente, por dívidas destas.</w:t>
      </w:r>
    </w:p>
    <w:p w14:paraId="2ABFAF3B" w14:textId="77777777" w:rsidR="006873AD" w:rsidRPr="00B01D4F" w:rsidRDefault="006873AD" w:rsidP="006873AD">
      <w:pPr>
        <w:pStyle w:val="NormaAlterada"/>
        <w:rPr>
          <w:rFonts w:ascii="Calibri" w:hAnsi="Calibri" w:cs="Calibri"/>
        </w:rPr>
      </w:pPr>
      <w:r w:rsidRPr="0CCB8B50">
        <w:rPr>
          <w:rFonts w:ascii="Calibri" w:hAnsi="Calibri" w:cs="Calibri"/>
        </w:rPr>
        <w:t>§ 2º  Os fundos previdenciários não constituem uma categoria específica de fundos de investimento, conforme definição prevista no art. 3º, inciso VIII, da parte geral da Resolução, cabendo à entidade aberta de previdência complementar ou à sociedade seguradora que constituir o fundo definir sua categoria.</w:t>
      </w:r>
    </w:p>
    <w:p w14:paraId="16B239EF" w14:textId="77777777" w:rsidR="006873AD" w:rsidRPr="002B23F9" w:rsidRDefault="006873AD" w:rsidP="006873AD">
      <w:pPr>
        <w:pStyle w:val="Captulo"/>
        <w:rPr>
          <w:rFonts w:eastAsiaTheme="minorEastAsia" w:cstheme="minorBidi"/>
        </w:rPr>
      </w:pPr>
      <w:bookmarkStart w:id="1452" w:name="_Toc161141431"/>
      <w:r w:rsidRPr="002B23F9">
        <w:rPr>
          <w:rFonts w:eastAsiaTheme="minorEastAsia" w:cstheme="minorBidi"/>
        </w:rPr>
        <w:t xml:space="preserve">CAPÍTULO II </w:t>
      </w:r>
      <w:r>
        <w:rPr>
          <w:rFonts w:eastAsiaTheme="minorEastAsia" w:cstheme="minorBidi"/>
        </w:rPr>
        <w:t>–</w:t>
      </w:r>
      <w:r w:rsidRPr="002B23F9">
        <w:rPr>
          <w:rFonts w:eastAsiaTheme="minorEastAsia" w:cstheme="minorBidi"/>
        </w:rPr>
        <w:t xml:space="preserve"> CARACTERÍSTICAS E CONSTITUIÇÃO</w:t>
      </w:r>
      <w:bookmarkEnd w:id="1452"/>
    </w:p>
    <w:p w14:paraId="4E6554F3" w14:textId="77777777" w:rsidR="006873AD" w:rsidRPr="00B01D4F" w:rsidRDefault="006873AD" w:rsidP="006873AD">
      <w:pPr>
        <w:pStyle w:val="NormaAlterada"/>
        <w:rPr>
          <w:rFonts w:ascii="Calibri" w:hAnsi="Calibri" w:cs="Calibri"/>
        </w:rPr>
      </w:pPr>
      <w:r w:rsidRPr="7932BD7E">
        <w:rPr>
          <w:rFonts w:ascii="Calibri" w:hAnsi="Calibri" w:cs="Calibri"/>
        </w:rPr>
        <w:t>Art. 2º  Para os efeitos deste Anexo Normativo XI, entende-se por:</w:t>
      </w:r>
    </w:p>
    <w:p w14:paraId="2078C0ED" w14:textId="77777777" w:rsidR="006873AD" w:rsidRPr="00B01D4F" w:rsidRDefault="006873AD" w:rsidP="006873AD">
      <w:pPr>
        <w:pStyle w:val="NormaAlterada"/>
        <w:rPr>
          <w:rFonts w:ascii="Calibri" w:hAnsi="Calibri" w:cs="Calibri"/>
        </w:rPr>
      </w:pPr>
      <w:r w:rsidRPr="00B01D4F">
        <w:rPr>
          <w:rFonts w:ascii="Calibri" w:hAnsi="Calibri" w:cs="Calibri"/>
        </w:rPr>
        <w:t>I – entidades ou seguradoras: as entidades abertas de previdência complementar e sociedades seguradoras que tenham instituído planos de previdência complementar, e as seguradoras responsáveis por seguros de pessoas</w:t>
      </w:r>
      <w:r>
        <w:rPr>
          <w:rFonts w:ascii="Calibri" w:hAnsi="Calibri" w:cs="Calibri"/>
        </w:rPr>
        <w:t>, respectivamente</w:t>
      </w:r>
      <w:r w:rsidRPr="00B01D4F">
        <w:rPr>
          <w:rFonts w:ascii="Calibri" w:hAnsi="Calibri" w:cs="Calibri"/>
        </w:rPr>
        <w:t>; e</w:t>
      </w:r>
    </w:p>
    <w:p w14:paraId="538E04FC" w14:textId="77777777" w:rsidR="006873AD" w:rsidRPr="00B01D4F" w:rsidRDefault="006873AD" w:rsidP="006873AD">
      <w:pPr>
        <w:pStyle w:val="NormaAlterada"/>
        <w:rPr>
          <w:rFonts w:ascii="Calibri" w:hAnsi="Calibri" w:cs="Calibri"/>
        </w:rPr>
      </w:pPr>
      <w:r w:rsidRPr="7932BD7E">
        <w:rPr>
          <w:rFonts w:ascii="Calibri" w:hAnsi="Calibri" w:cs="Calibri"/>
        </w:rPr>
        <w:t>II – participantes ou segurados, respectivamente: os participantes de planos de previdência complementar, e os segurados que figurem nas apólices de seguro, cuja aquisição se opera mediante a subscrição de cotas de classes de cotas constituídas com base neste Anexo Normativo XI.</w:t>
      </w:r>
    </w:p>
    <w:p w14:paraId="0A621CEE" w14:textId="77777777" w:rsidR="006873AD" w:rsidRPr="00B01D4F" w:rsidRDefault="006873AD" w:rsidP="006873AD">
      <w:pPr>
        <w:pStyle w:val="NormaAlterada"/>
        <w:rPr>
          <w:rFonts w:ascii="Calibri" w:hAnsi="Calibri" w:cs="Calibri"/>
        </w:rPr>
      </w:pPr>
      <w:r w:rsidRPr="66296FEF">
        <w:rPr>
          <w:rFonts w:ascii="Calibri" w:hAnsi="Calibri" w:cs="Calibri"/>
        </w:rPr>
        <w:lastRenderedPageBreak/>
        <w:t>Art. 3º  As classes de cotas de fundos previdenciários devem ser constituídas em regime aberto.</w:t>
      </w:r>
    </w:p>
    <w:p w14:paraId="70FC80B8" w14:textId="77777777" w:rsidR="006873AD" w:rsidRPr="00B01D4F" w:rsidRDefault="006873AD" w:rsidP="006873AD">
      <w:pPr>
        <w:pStyle w:val="NormaAlterada"/>
        <w:rPr>
          <w:rFonts w:ascii="Calibri" w:hAnsi="Calibri" w:cs="Calibri"/>
        </w:rPr>
      </w:pPr>
      <w:r w:rsidRPr="7932BD7E">
        <w:rPr>
          <w:rFonts w:ascii="Calibri" w:hAnsi="Calibri" w:cs="Calibri"/>
        </w:rPr>
        <w:t xml:space="preserve">Art. 4º  </w:t>
      </w:r>
      <w:r>
        <w:rPr>
          <w:rFonts w:ascii="Calibri" w:hAnsi="Calibri" w:cs="Calibri"/>
        </w:rPr>
        <w:t>Podem</w:t>
      </w:r>
      <w:r w:rsidRPr="7932BD7E">
        <w:rPr>
          <w:rFonts w:ascii="Calibri" w:hAnsi="Calibri" w:cs="Calibri"/>
        </w:rPr>
        <w:t xml:space="preserve"> ser cotistas </w:t>
      </w:r>
      <w:r>
        <w:rPr>
          <w:rFonts w:ascii="Calibri" w:hAnsi="Calibri" w:cs="Calibri"/>
        </w:rPr>
        <w:t xml:space="preserve">somente </w:t>
      </w:r>
      <w:r w:rsidRPr="7932BD7E">
        <w:rPr>
          <w:rFonts w:ascii="Calibri" w:hAnsi="Calibri" w:cs="Calibri"/>
        </w:rPr>
        <w:t>os segurados, os participantes e a pessoa jurídica adquirente que houver instituído o plano ou o seguro coletivo para seus respectivos participantes ou segurados.</w:t>
      </w:r>
    </w:p>
    <w:p w14:paraId="21E2FDC5" w14:textId="77777777" w:rsidR="006873AD" w:rsidRPr="00B01D4F" w:rsidRDefault="006873AD" w:rsidP="006873AD">
      <w:pPr>
        <w:pStyle w:val="NormaAlterada"/>
        <w:rPr>
          <w:rFonts w:ascii="Calibri" w:hAnsi="Calibri" w:cs="Calibri"/>
        </w:rPr>
      </w:pPr>
      <w:r w:rsidRPr="7932BD7E">
        <w:rPr>
          <w:rFonts w:ascii="Calibri" w:hAnsi="Calibri" w:cs="Calibri"/>
        </w:rPr>
        <w:t xml:space="preserve">§ 1º  A entidade e a seguradora, conforme o caso, </w:t>
      </w:r>
      <w:r>
        <w:rPr>
          <w:rFonts w:ascii="Calibri" w:hAnsi="Calibri" w:cs="Calibri"/>
        </w:rPr>
        <w:t>podem</w:t>
      </w:r>
      <w:r w:rsidRPr="7932BD7E">
        <w:rPr>
          <w:rFonts w:ascii="Calibri" w:hAnsi="Calibri" w:cs="Calibri"/>
        </w:rPr>
        <w:t xml:space="preserve"> ser cotistas em decorrência da concessão de benefício de caráter continuado por plano ou seguro estruturado, na forma do art. 76 da Lei nº 11.196, de 2005, observado o disposto no § 2º do art. 7º deste Anexo Normativo XI.</w:t>
      </w:r>
    </w:p>
    <w:p w14:paraId="1C2E29D6" w14:textId="77777777" w:rsidR="006873AD" w:rsidRPr="00B01D4F" w:rsidRDefault="006873AD" w:rsidP="006873AD">
      <w:pPr>
        <w:pStyle w:val="NormaAlterada"/>
        <w:rPr>
          <w:rFonts w:ascii="Calibri" w:hAnsi="Calibri" w:cs="Calibri"/>
        </w:rPr>
      </w:pPr>
      <w:r w:rsidRPr="00B01D4F">
        <w:rPr>
          <w:rFonts w:ascii="Calibri" w:hAnsi="Calibri" w:cs="Calibri"/>
        </w:rPr>
        <w:t>§ 2º  A subscrição de cotas far-se-á perante o administrador.</w:t>
      </w:r>
    </w:p>
    <w:p w14:paraId="3207C438" w14:textId="77777777" w:rsidR="006873AD" w:rsidRPr="00B01D4F" w:rsidRDefault="006873AD" w:rsidP="006873AD">
      <w:pPr>
        <w:pStyle w:val="NormaAlterada"/>
        <w:rPr>
          <w:rFonts w:ascii="Calibri" w:hAnsi="Calibri" w:cs="Calibri"/>
        </w:rPr>
      </w:pPr>
      <w:r w:rsidRPr="0CCB8B50">
        <w:rPr>
          <w:rFonts w:ascii="Calibri" w:hAnsi="Calibri" w:cs="Calibri"/>
        </w:rPr>
        <w:t>Art. 5º  A constituição de fundos previdenciários, bem como de suas classes, caso existentes, deve se dar exclusivamente por deliberação de entidades e seguradoras, a quem incumbe, no mesmo ato, designar o administrador e o gestor.</w:t>
      </w:r>
    </w:p>
    <w:p w14:paraId="6EFF6B23" w14:textId="77777777" w:rsidR="006873AD" w:rsidRPr="00B01D4F" w:rsidRDefault="006873AD" w:rsidP="006873AD">
      <w:pPr>
        <w:pStyle w:val="NormaAlterada"/>
        <w:rPr>
          <w:rFonts w:ascii="Calibri" w:hAnsi="Calibri" w:cs="Calibri"/>
        </w:rPr>
      </w:pPr>
      <w:r w:rsidRPr="00B01D4F">
        <w:rPr>
          <w:rFonts w:ascii="Calibri" w:hAnsi="Calibri" w:cs="Calibri"/>
        </w:rPr>
        <w:t>§</w:t>
      </w:r>
      <w:r>
        <w:rPr>
          <w:rFonts w:ascii="Calibri" w:hAnsi="Calibri" w:cs="Calibri"/>
        </w:rPr>
        <w:t xml:space="preserve"> </w:t>
      </w:r>
      <w:r w:rsidRPr="00B01D4F">
        <w:rPr>
          <w:rFonts w:ascii="Calibri" w:hAnsi="Calibri" w:cs="Calibri"/>
        </w:rPr>
        <w:t>1º  A entidade e a seguradora deve</w:t>
      </w:r>
      <w:r>
        <w:rPr>
          <w:rFonts w:ascii="Calibri" w:hAnsi="Calibri" w:cs="Calibri"/>
        </w:rPr>
        <w:t>m</w:t>
      </w:r>
      <w:r w:rsidRPr="00B01D4F">
        <w:rPr>
          <w:rFonts w:ascii="Calibri" w:hAnsi="Calibri" w:cs="Calibri"/>
        </w:rPr>
        <w:t xml:space="preserve"> aprovar o regulamento em conjunto com o administrador e o gestor, no ato de constituição do fundo e a cada classe de cotas, se for o caso.</w:t>
      </w:r>
    </w:p>
    <w:p w14:paraId="57BE12E7" w14:textId="77777777" w:rsidR="006873AD" w:rsidRPr="00B01D4F" w:rsidRDefault="006873AD" w:rsidP="006873AD">
      <w:pPr>
        <w:pStyle w:val="NormaAlterada"/>
        <w:rPr>
          <w:rFonts w:ascii="Calibri" w:hAnsi="Calibri" w:cs="Calibri"/>
        </w:rPr>
      </w:pPr>
      <w:r w:rsidRPr="00B01D4F">
        <w:rPr>
          <w:rFonts w:ascii="Calibri" w:hAnsi="Calibri" w:cs="Calibri"/>
        </w:rPr>
        <w:t xml:space="preserve">§ 2º  A substituição </w:t>
      </w:r>
      <w:r>
        <w:rPr>
          <w:rFonts w:ascii="Calibri" w:hAnsi="Calibri" w:cs="Calibri"/>
        </w:rPr>
        <w:t>de prestador</w:t>
      </w:r>
      <w:r w:rsidRPr="00B01D4F">
        <w:rPr>
          <w:rFonts w:ascii="Calibri" w:hAnsi="Calibri" w:cs="Calibri"/>
        </w:rPr>
        <w:t xml:space="preserve"> </w:t>
      </w:r>
      <w:r>
        <w:rPr>
          <w:rFonts w:ascii="Calibri" w:hAnsi="Calibri" w:cs="Calibri"/>
        </w:rPr>
        <w:t>de serviços essenciais compete</w:t>
      </w:r>
      <w:r w:rsidRPr="00B01D4F">
        <w:rPr>
          <w:rFonts w:ascii="Calibri" w:hAnsi="Calibri" w:cs="Calibri"/>
        </w:rPr>
        <w:t xml:space="preserve"> com </w:t>
      </w:r>
      <w:r>
        <w:rPr>
          <w:rFonts w:ascii="Calibri" w:hAnsi="Calibri" w:cs="Calibri"/>
        </w:rPr>
        <w:t xml:space="preserve">exclusividade à entidade ou </w:t>
      </w:r>
      <w:r w:rsidRPr="00B01D4F">
        <w:rPr>
          <w:rFonts w:ascii="Calibri" w:hAnsi="Calibri" w:cs="Calibri"/>
        </w:rPr>
        <w:t>seguradora que houver deliberado a constituição do fundo.</w:t>
      </w:r>
    </w:p>
    <w:p w14:paraId="31E8050E" w14:textId="77777777" w:rsidR="006873AD" w:rsidRPr="002B23F9" w:rsidRDefault="006873AD" w:rsidP="006873AD">
      <w:pPr>
        <w:pStyle w:val="Captulo"/>
        <w:rPr>
          <w:rFonts w:eastAsiaTheme="minorEastAsia" w:cstheme="minorBidi"/>
        </w:rPr>
      </w:pPr>
      <w:bookmarkStart w:id="1453" w:name="_Toc161141432"/>
      <w:r w:rsidRPr="002B23F9">
        <w:rPr>
          <w:rFonts w:eastAsiaTheme="minorEastAsia" w:cstheme="minorBidi"/>
        </w:rPr>
        <w:t>CAPÍTULO III – CARTEIRA</w:t>
      </w:r>
      <w:bookmarkEnd w:id="1453"/>
    </w:p>
    <w:p w14:paraId="2D16BB76" w14:textId="77777777" w:rsidR="006873AD" w:rsidRPr="00B01D4F" w:rsidRDefault="006873AD" w:rsidP="006873AD">
      <w:pPr>
        <w:pStyle w:val="NormaAlterada"/>
        <w:rPr>
          <w:rFonts w:ascii="Calibri" w:hAnsi="Calibri" w:cs="Calibri"/>
        </w:rPr>
      </w:pPr>
      <w:r w:rsidRPr="00B01D4F">
        <w:rPr>
          <w:rFonts w:ascii="Calibri" w:hAnsi="Calibri" w:cs="Calibri"/>
        </w:rPr>
        <w:t xml:space="preserve">Art. 6º  A composição da carteira </w:t>
      </w:r>
      <w:r>
        <w:rPr>
          <w:rFonts w:ascii="Calibri" w:hAnsi="Calibri" w:cs="Calibri"/>
        </w:rPr>
        <w:t xml:space="preserve">de ativos </w:t>
      </w:r>
      <w:r w:rsidRPr="00B01D4F">
        <w:rPr>
          <w:rFonts w:ascii="Calibri" w:hAnsi="Calibri" w:cs="Calibri"/>
        </w:rPr>
        <w:t xml:space="preserve">deve observar a regulamentação editada pelo Conselho Monetário Nacional – CMN e pelo Conselho Nacional de Seguros Privados – CNSP sobre a matéria. </w:t>
      </w:r>
    </w:p>
    <w:p w14:paraId="5C225B62" w14:textId="77777777" w:rsidR="006873AD" w:rsidRPr="002B23F9" w:rsidRDefault="006873AD" w:rsidP="006873AD">
      <w:pPr>
        <w:pStyle w:val="Captulo"/>
        <w:rPr>
          <w:rFonts w:eastAsiaTheme="minorEastAsia" w:cstheme="minorBidi"/>
        </w:rPr>
      </w:pPr>
      <w:bookmarkStart w:id="1454" w:name="_Toc161141433"/>
      <w:r w:rsidRPr="002B23F9">
        <w:rPr>
          <w:rFonts w:eastAsiaTheme="minorEastAsia" w:cstheme="minorBidi"/>
        </w:rPr>
        <w:t>CAPÍTULO IV – PRESTAÇÃO DE SERVIÇOS</w:t>
      </w:r>
      <w:bookmarkEnd w:id="1454"/>
    </w:p>
    <w:p w14:paraId="2D189D50" w14:textId="77777777" w:rsidR="006873AD" w:rsidRPr="00B01D4F" w:rsidRDefault="006873AD" w:rsidP="006873AD">
      <w:pPr>
        <w:pStyle w:val="NormaAlterada"/>
        <w:rPr>
          <w:rFonts w:ascii="Calibri" w:hAnsi="Calibri" w:cs="Calibri"/>
        </w:rPr>
      </w:pPr>
      <w:r w:rsidRPr="4F072921">
        <w:rPr>
          <w:rFonts w:ascii="Calibri" w:hAnsi="Calibri" w:cs="Calibri"/>
        </w:rPr>
        <w:t>Art. 7º  Em acréscimo às obrigações previstas na parte geral da Resolução, incumbe ao administrador, mediante instrução da entidade ou da sociedade seguradora que houver constituído o fundo:</w:t>
      </w:r>
    </w:p>
    <w:p w14:paraId="2457D052" w14:textId="77777777" w:rsidR="006873AD" w:rsidRPr="00B01D4F" w:rsidRDefault="006873AD" w:rsidP="006873AD">
      <w:pPr>
        <w:pStyle w:val="NormaAlterada"/>
        <w:rPr>
          <w:rFonts w:ascii="Calibri" w:hAnsi="Calibri" w:cs="Calibri"/>
        </w:rPr>
      </w:pPr>
      <w:r w:rsidRPr="1854CC9A">
        <w:rPr>
          <w:rFonts w:ascii="Calibri" w:hAnsi="Calibri" w:cs="Calibri"/>
        </w:rPr>
        <w:t>I – promover a transferência de titularidade das cotas, não se aplicando a vedação disposta no art. 16 da parte geral da Resolução:</w:t>
      </w:r>
    </w:p>
    <w:p w14:paraId="57DF8D7D" w14:textId="77777777" w:rsidR="006873AD" w:rsidRPr="00B01D4F" w:rsidRDefault="006873AD" w:rsidP="006873AD">
      <w:pPr>
        <w:pStyle w:val="NormaAlterada"/>
        <w:rPr>
          <w:rFonts w:ascii="Calibri" w:hAnsi="Calibri" w:cs="Calibri"/>
        </w:rPr>
      </w:pPr>
      <w:r w:rsidRPr="00B01D4F">
        <w:rPr>
          <w:rFonts w:ascii="Calibri" w:hAnsi="Calibri" w:cs="Calibri"/>
        </w:rPr>
        <w:t>a) da pessoa jurídica adquirente que houver instituído plano ou seguro coletivo, para seus respectivos participantes ou segurados, conforme o caso, nos termos dos §§ 1º a 3º do art. 77 da Lei nº 11.196, de 2005; e</w:t>
      </w:r>
    </w:p>
    <w:p w14:paraId="3643DAFD" w14:textId="77777777" w:rsidR="006873AD" w:rsidRPr="00B01D4F" w:rsidRDefault="006873AD" w:rsidP="006873AD">
      <w:pPr>
        <w:pStyle w:val="NormaAlterada"/>
        <w:rPr>
          <w:rFonts w:ascii="Calibri" w:hAnsi="Calibri" w:cs="Calibri"/>
        </w:rPr>
      </w:pPr>
      <w:r w:rsidRPr="0CCB8B50">
        <w:rPr>
          <w:rFonts w:ascii="Calibri" w:hAnsi="Calibri" w:cs="Calibri"/>
        </w:rPr>
        <w:lastRenderedPageBreak/>
        <w:t>b) do participante ou segurado, para a entidade ou a seguradora, conforme o caso, na hipótese de concessão de benefício de caráter continuado, nos termos do art. 82 da Lei nº 11.196, de 2005; e</w:t>
      </w:r>
    </w:p>
    <w:p w14:paraId="6434E8EF" w14:textId="77777777" w:rsidR="006873AD" w:rsidRPr="00B01D4F" w:rsidRDefault="006873AD" w:rsidP="006873AD">
      <w:pPr>
        <w:pStyle w:val="NormaAlterada"/>
        <w:rPr>
          <w:rFonts w:ascii="Calibri" w:hAnsi="Calibri" w:cs="Calibri"/>
        </w:rPr>
      </w:pPr>
      <w:r w:rsidRPr="00B01D4F">
        <w:rPr>
          <w:rFonts w:ascii="Calibri" w:hAnsi="Calibri" w:cs="Calibri"/>
        </w:rPr>
        <w:t>II – no caso de morte do participante ou do segurado, providenciar o pagamento do valor correspondente ao resgate das cotas aos beneficiários informados pela entidade ou seguradora, independentemente de inventário, caso estes tenham optado pelo resgate, na forma do art. 79 da Lei nº 11.196, de 2005.</w:t>
      </w:r>
    </w:p>
    <w:p w14:paraId="5CD90E89" w14:textId="77777777" w:rsidR="006873AD" w:rsidRPr="00B01D4F" w:rsidRDefault="006873AD" w:rsidP="006873AD">
      <w:pPr>
        <w:pStyle w:val="NormaAlterada"/>
        <w:rPr>
          <w:rFonts w:ascii="Calibri" w:hAnsi="Calibri" w:cs="Calibri"/>
        </w:rPr>
      </w:pPr>
      <w:r w:rsidRPr="00B01D4F">
        <w:rPr>
          <w:rFonts w:ascii="Calibri" w:hAnsi="Calibri" w:cs="Calibri"/>
        </w:rPr>
        <w:t xml:space="preserve">§ 1º  Nos casos previstos nos incisos I e II do </w:t>
      </w:r>
      <w:r w:rsidRPr="004B0593">
        <w:rPr>
          <w:rFonts w:ascii="Calibri" w:hAnsi="Calibri" w:cs="Calibri"/>
          <w:b/>
        </w:rPr>
        <w:t>caput</w:t>
      </w:r>
      <w:r w:rsidRPr="00B01D4F">
        <w:rPr>
          <w:rFonts w:ascii="Calibri" w:hAnsi="Calibri" w:cs="Calibri"/>
        </w:rPr>
        <w:t>, o administrador deve dar estrito cumprimento às instruções recebidas pela entidade ou pela seguradora, não sendo responsável por eventuais erros ou incorreções atribuíveis exclusivamente a estas.</w:t>
      </w:r>
    </w:p>
    <w:p w14:paraId="0E0F8553" w14:textId="77777777" w:rsidR="006873AD" w:rsidRDefault="006873AD" w:rsidP="006873AD">
      <w:pPr>
        <w:pStyle w:val="NormaAlterada"/>
        <w:rPr>
          <w:rFonts w:ascii="Calibri" w:hAnsi="Calibri" w:cs="Calibri"/>
        </w:rPr>
      </w:pPr>
      <w:r w:rsidRPr="1854CC9A">
        <w:rPr>
          <w:rFonts w:ascii="Calibri" w:hAnsi="Calibri" w:cs="Calibri"/>
        </w:rPr>
        <w:t xml:space="preserve">§ 2º  Na hipótese da alínea “b” do inciso I do </w:t>
      </w:r>
      <w:r w:rsidRPr="004B0593">
        <w:rPr>
          <w:rFonts w:ascii="Calibri" w:hAnsi="Calibri" w:cs="Calibri"/>
          <w:b/>
        </w:rPr>
        <w:t>caput</w:t>
      </w:r>
      <w:r w:rsidRPr="1854CC9A">
        <w:rPr>
          <w:rFonts w:ascii="Calibri" w:hAnsi="Calibri" w:cs="Calibri"/>
        </w:rPr>
        <w:t>, após efetuada a transferência de titularidade para a entidade o</w:t>
      </w:r>
      <w:r>
        <w:rPr>
          <w:rFonts w:ascii="Calibri" w:hAnsi="Calibri" w:cs="Calibri"/>
        </w:rPr>
        <w:t>u a seguradora, as cotas devem</w:t>
      </w:r>
      <w:r w:rsidRPr="1854CC9A">
        <w:rPr>
          <w:rFonts w:ascii="Calibri" w:hAnsi="Calibri" w:cs="Calibri"/>
        </w:rPr>
        <w:t xml:space="preserve"> ser resgatadas em prazo não superior a 5 (cinco) dias úteis.</w:t>
      </w:r>
    </w:p>
    <w:p w14:paraId="66A874D1" w14:textId="29F4837A" w:rsidR="005537A3" w:rsidRDefault="005537A3" w:rsidP="006873AD">
      <w:pPr>
        <w:pStyle w:val="NormaAlterada"/>
      </w:pPr>
      <w:r w:rsidRPr="001D3918">
        <w:t>Art. 7º-A</w:t>
      </w:r>
      <w:r>
        <w:t xml:space="preserve">.  </w:t>
      </w:r>
      <w:r w:rsidRPr="006E0079">
        <w:t>Em acréscimo aos encargos dispostos no art. 117 da parte geral da Resolução, o regulamento pode prever como encargo uma taxa de estruturação e manutenção de planos de previdência e de seguros de pessoas</w:t>
      </w:r>
      <w:r>
        <w:t>.</w:t>
      </w:r>
    </w:p>
    <w:p w14:paraId="7C8AA641" w14:textId="69480684" w:rsidR="005537A3" w:rsidRPr="005537A3" w:rsidRDefault="005537A3" w:rsidP="005537A3">
      <w:pPr>
        <w:pStyle w:val="Normalalteradora"/>
        <w:numPr>
          <w:ilvl w:val="0"/>
          <w:numId w:val="40"/>
        </w:numPr>
        <w:ind w:left="709" w:hanging="142"/>
        <w:rPr>
          <w:strike/>
        </w:rPr>
      </w:pPr>
      <w:r>
        <w:rPr>
          <w:rFonts w:cstheme="minorHAnsi"/>
          <w:b/>
          <w:i/>
          <w:iCs/>
        </w:rPr>
        <w:t xml:space="preserve"> </w:t>
      </w:r>
      <w:r w:rsidRPr="005537A3">
        <w:rPr>
          <w:b/>
          <w:bCs/>
          <w:i/>
          <w:iCs/>
        </w:rPr>
        <w:t>Art. 7º-A</w:t>
      </w:r>
      <w:r>
        <w:rPr>
          <w:rFonts w:cstheme="minorHAnsi"/>
          <w:b/>
          <w:i/>
          <w:iCs/>
        </w:rPr>
        <w:t xml:space="preserve"> incluído 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047A75AE" w14:textId="77777777" w:rsidR="006873AD" w:rsidRPr="002B23F9" w:rsidRDefault="006873AD" w:rsidP="006873AD">
      <w:pPr>
        <w:pStyle w:val="Captulo"/>
        <w:rPr>
          <w:rFonts w:eastAsiaTheme="minorEastAsia" w:cstheme="minorBidi"/>
        </w:rPr>
      </w:pPr>
      <w:bookmarkStart w:id="1455" w:name="_Toc161141434"/>
      <w:r w:rsidRPr="002B23F9">
        <w:rPr>
          <w:rFonts w:eastAsiaTheme="minorEastAsia" w:cstheme="minorBidi"/>
        </w:rPr>
        <w:t xml:space="preserve">CAPÍTULO V </w:t>
      </w:r>
      <w:r>
        <w:rPr>
          <w:rFonts w:eastAsiaTheme="minorEastAsia" w:cstheme="minorBidi"/>
        </w:rPr>
        <w:t>–</w:t>
      </w:r>
      <w:r w:rsidRPr="002B23F9">
        <w:rPr>
          <w:rFonts w:eastAsiaTheme="minorEastAsia" w:cstheme="minorBidi"/>
        </w:rPr>
        <w:t xml:space="preserve"> COTAS</w:t>
      </w:r>
      <w:bookmarkEnd w:id="1455"/>
    </w:p>
    <w:p w14:paraId="69015459" w14:textId="77777777" w:rsidR="006873AD" w:rsidRPr="00B01D4F" w:rsidRDefault="006873AD" w:rsidP="006873AD">
      <w:pPr>
        <w:pStyle w:val="NormaAlterada"/>
        <w:rPr>
          <w:rFonts w:ascii="Calibri" w:hAnsi="Calibri" w:cs="Calibri"/>
        </w:rPr>
      </w:pPr>
      <w:r w:rsidRPr="00B01D4F">
        <w:rPr>
          <w:rFonts w:ascii="Calibri" w:hAnsi="Calibri" w:cs="Calibri"/>
        </w:rPr>
        <w:t>Art. 8º  Os pedidos de resgate de cotas devem ser apresentados à entidade ou à segurado</w:t>
      </w:r>
      <w:r>
        <w:rPr>
          <w:rFonts w:ascii="Calibri" w:hAnsi="Calibri" w:cs="Calibri"/>
        </w:rPr>
        <w:t>ra, conforme o caso, que devem</w:t>
      </w:r>
      <w:r w:rsidRPr="00B01D4F">
        <w:rPr>
          <w:rFonts w:ascii="Calibri" w:hAnsi="Calibri" w:cs="Calibri"/>
        </w:rPr>
        <w:t xml:space="preserve"> repassá-los ao administrador, no prazo estabelecido pela Superintendência de Seguros Privados – SUSEP.</w:t>
      </w:r>
    </w:p>
    <w:p w14:paraId="730DC6C0" w14:textId="77777777" w:rsidR="006873AD" w:rsidRPr="00B01D4F" w:rsidRDefault="006873AD" w:rsidP="006873AD">
      <w:pPr>
        <w:pStyle w:val="NormaAlterada"/>
        <w:rPr>
          <w:rFonts w:ascii="Calibri" w:hAnsi="Calibri" w:cs="Calibri"/>
        </w:rPr>
      </w:pPr>
      <w:r w:rsidRPr="00B01D4F">
        <w:rPr>
          <w:rFonts w:ascii="Calibri" w:hAnsi="Calibri" w:cs="Calibri"/>
        </w:rPr>
        <w:t>Parágrafo único.  O resgate deve ser efetuado no prazo estabelecido no regulamento, que não pode ser superior a 5 (cinco) dias úteis, contados da data do recebimento, pelo administrador, do pedido de resgate encaminhado pela entidade ou pela seguradora, conforme o caso.</w:t>
      </w:r>
    </w:p>
    <w:p w14:paraId="728EAD95" w14:textId="77777777" w:rsidR="006873AD" w:rsidRPr="00B01D4F" w:rsidRDefault="006873AD" w:rsidP="006873AD">
      <w:pPr>
        <w:pStyle w:val="NormaAlterada"/>
        <w:rPr>
          <w:rFonts w:ascii="Calibri" w:hAnsi="Calibri" w:cs="Calibri"/>
        </w:rPr>
      </w:pPr>
      <w:r>
        <w:rPr>
          <w:rFonts w:ascii="Calibri" w:hAnsi="Calibri" w:cs="Calibri"/>
        </w:rPr>
        <w:t xml:space="preserve">Art. 9º </w:t>
      </w:r>
      <w:r w:rsidRPr="7932BD7E">
        <w:rPr>
          <w:rFonts w:ascii="Calibri" w:hAnsi="Calibri" w:cs="Calibri"/>
        </w:rPr>
        <w:t xml:space="preserve"> Em acréscimo às matérias dispostas no art. 48 da </w:t>
      </w:r>
      <w:r>
        <w:rPr>
          <w:rFonts w:ascii="Calibri" w:hAnsi="Calibri" w:cs="Calibri"/>
        </w:rPr>
        <w:t xml:space="preserve">parte geral da </w:t>
      </w:r>
      <w:r w:rsidRPr="7932BD7E">
        <w:rPr>
          <w:rFonts w:ascii="Calibri" w:hAnsi="Calibri" w:cs="Calibri"/>
        </w:rPr>
        <w:t>Resolução, o regulamento deve:</w:t>
      </w:r>
    </w:p>
    <w:p w14:paraId="66A61474" w14:textId="77777777" w:rsidR="006873AD" w:rsidRPr="00B01D4F" w:rsidRDefault="006873AD" w:rsidP="006873AD">
      <w:pPr>
        <w:pStyle w:val="NormaAlterada"/>
        <w:rPr>
          <w:rFonts w:ascii="Calibri" w:hAnsi="Calibri" w:cs="Calibri"/>
        </w:rPr>
      </w:pPr>
      <w:r w:rsidRPr="00B01D4F">
        <w:rPr>
          <w:rFonts w:ascii="Calibri" w:hAnsi="Calibri" w:cs="Calibri"/>
        </w:rPr>
        <w:t>I – na hipótese de portabilidade, conter autorização para o administrador</w:t>
      </w:r>
      <w:r>
        <w:rPr>
          <w:rFonts w:ascii="Calibri" w:hAnsi="Calibri" w:cs="Calibri"/>
        </w:rPr>
        <w:t xml:space="preserve"> </w:t>
      </w:r>
      <w:r w:rsidRPr="00B01D4F">
        <w:rPr>
          <w:rFonts w:ascii="Calibri" w:hAnsi="Calibri" w:cs="Calibri"/>
        </w:rPr>
        <w:t>entregar o valor correspondente ao resgate das cotas do participante ou do segurado:</w:t>
      </w:r>
    </w:p>
    <w:p w14:paraId="0C6B9291" w14:textId="77777777" w:rsidR="006873AD" w:rsidRPr="00B01D4F" w:rsidRDefault="006873AD" w:rsidP="006873AD">
      <w:pPr>
        <w:pStyle w:val="NormaAlterada"/>
        <w:rPr>
          <w:rFonts w:ascii="Calibri" w:hAnsi="Calibri" w:cs="Calibri"/>
        </w:rPr>
      </w:pPr>
      <w:r w:rsidRPr="00B01D4F">
        <w:rPr>
          <w:rFonts w:ascii="Calibri" w:hAnsi="Calibri" w:cs="Calibri"/>
        </w:rPr>
        <w:lastRenderedPageBreak/>
        <w:t xml:space="preserve">a) ao administrador do fundo vinculado ao novo plano ou seguro de vida designado pelo participante ou </w:t>
      </w:r>
      <w:r>
        <w:rPr>
          <w:rFonts w:ascii="Calibri" w:hAnsi="Calibri" w:cs="Calibri"/>
        </w:rPr>
        <w:t xml:space="preserve">segurado, para os quais devem </w:t>
      </w:r>
      <w:r w:rsidRPr="00B01D4F">
        <w:rPr>
          <w:rFonts w:ascii="Calibri" w:hAnsi="Calibri" w:cs="Calibri"/>
        </w:rPr>
        <w:t>ser transferidos os recursos investidos, observada a regulamentação editada pela SUSEP; e</w:t>
      </w:r>
    </w:p>
    <w:p w14:paraId="15E271C9" w14:textId="77777777" w:rsidR="006873AD" w:rsidRPr="00B01D4F" w:rsidRDefault="006873AD" w:rsidP="006873AD">
      <w:pPr>
        <w:pStyle w:val="NormaAlterada"/>
        <w:rPr>
          <w:rFonts w:ascii="Calibri" w:hAnsi="Calibri" w:cs="Calibri"/>
        </w:rPr>
      </w:pPr>
      <w:r w:rsidRPr="0CCB8B50">
        <w:rPr>
          <w:rFonts w:ascii="Calibri" w:hAnsi="Calibri" w:cs="Calibri"/>
        </w:rPr>
        <w:t>b) à seguradora ou à entidade, conforme o caso, na hipótese de portabilidade para planos ou seguros cujos recursos não sejam aplicados em fundos constituídos de acordo com este Anexo Normativo XI;</w:t>
      </w:r>
    </w:p>
    <w:p w14:paraId="2B33ECD6" w14:textId="77777777" w:rsidR="006873AD" w:rsidRPr="00B01D4F" w:rsidRDefault="006873AD" w:rsidP="006873AD">
      <w:pPr>
        <w:pStyle w:val="NormaAlterada"/>
        <w:rPr>
          <w:rFonts w:ascii="Calibri" w:hAnsi="Calibri" w:cs="Calibri"/>
        </w:rPr>
      </w:pPr>
      <w:r w:rsidRPr="0CCB8B50">
        <w:rPr>
          <w:rFonts w:ascii="Calibri" w:hAnsi="Calibri" w:cs="Calibri"/>
        </w:rPr>
        <w:t>II – prever que a liquidação, a incorporação, a fusão e a cisão do fundo somente podem ocorrer nas hipóteses previstas no plano ou na apólice de seguro, conforme o caso;</w:t>
      </w:r>
    </w:p>
    <w:p w14:paraId="021185CB" w14:textId="77777777" w:rsidR="006873AD" w:rsidRPr="00B01D4F" w:rsidRDefault="006873AD" w:rsidP="006873AD">
      <w:pPr>
        <w:pStyle w:val="NormaAlterada"/>
        <w:rPr>
          <w:rFonts w:ascii="Calibri" w:hAnsi="Calibri" w:cs="Calibri"/>
        </w:rPr>
      </w:pPr>
      <w:r w:rsidRPr="00B01D4F">
        <w:rPr>
          <w:rFonts w:ascii="Calibri" w:hAnsi="Calibri" w:cs="Calibri"/>
        </w:rPr>
        <w:t xml:space="preserve">III – estabelecer que a destituição do administrador e </w:t>
      </w:r>
      <w:r>
        <w:rPr>
          <w:rFonts w:ascii="Calibri" w:hAnsi="Calibri" w:cs="Calibri"/>
        </w:rPr>
        <w:t>a nomeação de substituto cabem</w:t>
      </w:r>
      <w:r w:rsidRPr="00B01D4F">
        <w:rPr>
          <w:rFonts w:ascii="Calibri" w:hAnsi="Calibri" w:cs="Calibri"/>
        </w:rPr>
        <w:t>, com exclusividade, à entidade ou à seguradora a que estiver vinculado o plano ou o seguro, conforme o caso; e</w:t>
      </w:r>
    </w:p>
    <w:p w14:paraId="75466B20" w14:textId="77777777" w:rsidR="006873AD" w:rsidRPr="00B01D4F" w:rsidRDefault="006873AD" w:rsidP="006873AD">
      <w:pPr>
        <w:pStyle w:val="NormaAlterada"/>
        <w:rPr>
          <w:rFonts w:ascii="Calibri" w:hAnsi="Calibri" w:cs="Calibri"/>
        </w:rPr>
      </w:pPr>
      <w:r w:rsidRPr="00B01D4F">
        <w:rPr>
          <w:rFonts w:ascii="Calibri" w:hAnsi="Calibri" w:cs="Calibri"/>
        </w:rPr>
        <w:t>IV – conter autorização para as entidades autorizadas pela CVM a prestar serviços de compensação e liquidação de valores mobiliários colocarem à disposição da SUSEP informações relativas à carteira e às operações do fundo.</w:t>
      </w:r>
    </w:p>
    <w:p w14:paraId="2988952D" w14:textId="77777777" w:rsidR="006873AD" w:rsidRPr="00B01D4F" w:rsidRDefault="006873AD" w:rsidP="006873AD">
      <w:pPr>
        <w:pStyle w:val="NormaAlterada"/>
        <w:rPr>
          <w:rFonts w:ascii="Calibri" w:hAnsi="Calibri" w:cs="Calibri"/>
        </w:rPr>
      </w:pPr>
      <w:r w:rsidRPr="00B01D4F">
        <w:rPr>
          <w:rFonts w:ascii="Calibri" w:hAnsi="Calibri" w:cs="Calibri"/>
        </w:rPr>
        <w:t xml:space="preserve">Parágrafo único.  O </w:t>
      </w:r>
      <w:r>
        <w:rPr>
          <w:rFonts w:ascii="Calibri" w:hAnsi="Calibri" w:cs="Calibri"/>
        </w:rPr>
        <w:t>material de divulgação do fundo, se houver,</w:t>
      </w:r>
      <w:r w:rsidRPr="00B01D4F">
        <w:rPr>
          <w:rFonts w:ascii="Calibri" w:hAnsi="Calibri" w:cs="Calibri"/>
        </w:rPr>
        <w:t xml:space="preserve"> deve descrever os procedimentos a serem adotados para efeito do disposto nos incisos I a IV do </w:t>
      </w:r>
      <w:r w:rsidRPr="004B0593">
        <w:rPr>
          <w:rFonts w:ascii="Calibri" w:hAnsi="Calibri" w:cs="Calibri"/>
          <w:b/>
        </w:rPr>
        <w:t>caput</w:t>
      </w:r>
      <w:r w:rsidRPr="00B01D4F">
        <w:rPr>
          <w:rFonts w:ascii="Calibri" w:hAnsi="Calibri" w:cs="Calibri"/>
        </w:rPr>
        <w:t>.</w:t>
      </w:r>
    </w:p>
    <w:p w14:paraId="77CFB523" w14:textId="77777777" w:rsidR="006873AD" w:rsidRPr="00B01D4F" w:rsidRDefault="006873AD" w:rsidP="006873AD">
      <w:pPr>
        <w:pStyle w:val="NormaAlterada"/>
        <w:rPr>
          <w:rFonts w:ascii="Calibri" w:hAnsi="Calibri" w:cs="Calibri"/>
        </w:rPr>
      </w:pPr>
      <w:r w:rsidRPr="00B01D4F">
        <w:rPr>
          <w:rFonts w:ascii="Calibri" w:hAnsi="Calibri" w:cs="Calibri"/>
        </w:rPr>
        <w:t>Art. 10.  Não é admitida a cobrança de taxa de performance, bem como de taxas de ingresso ou de saída de cotistas.</w:t>
      </w:r>
    </w:p>
    <w:p w14:paraId="7664FF17" w14:textId="77777777" w:rsidR="006873AD" w:rsidRPr="00B01D4F" w:rsidRDefault="006873AD" w:rsidP="006873AD">
      <w:pPr>
        <w:pStyle w:val="NormaAlterada"/>
        <w:rPr>
          <w:rFonts w:ascii="Calibri" w:hAnsi="Calibri" w:cs="Calibri"/>
        </w:rPr>
      </w:pPr>
      <w:r w:rsidRPr="7932BD7E">
        <w:rPr>
          <w:rFonts w:ascii="Calibri" w:hAnsi="Calibri" w:cs="Calibri"/>
        </w:rPr>
        <w:t xml:space="preserve">Art. 11.  A escrituração, avaliação de ativos, reconhecimento de receitas e apropriação de despesas e elaboração das demonstrações contábeis dos fundos previdenciários regem-se pelas regras específicas editadas pela CVM, </w:t>
      </w:r>
      <w:r>
        <w:rPr>
          <w:rFonts w:ascii="Calibri" w:hAnsi="Calibri" w:cs="Calibri"/>
        </w:rPr>
        <w:t>sem prejuízo</w:t>
      </w:r>
      <w:r w:rsidRPr="7932BD7E">
        <w:rPr>
          <w:rFonts w:ascii="Calibri" w:hAnsi="Calibri" w:cs="Calibri"/>
        </w:rPr>
        <w:t xml:space="preserve"> </w:t>
      </w:r>
      <w:r>
        <w:rPr>
          <w:rFonts w:ascii="Calibri" w:hAnsi="Calibri" w:cs="Calibri"/>
        </w:rPr>
        <w:t>d</w:t>
      </w:r>
      <w:r w:rsidRPr="7932BD7E">
        <w:rPr>
          <w:rFonts w:ascii="Calibri" w:hAnsi="Calibri" w:cs="Calibri"/>
        </w:rPr>
        <w:t>as disposições deste Anexo Normativo XI.</w:t>
      </w:r>
    </w:p>
    <w:p w14:paraId="1B9B0D78" w14:textId="77777777" w:rsidR="006873AD" w:rsidRPr="00B01D4F" w:rsidRDefault="006873AD" w:rsidP="006873AD">
      <w:pPr>
        <w:pStyle w:val="NormaAlterada"/>
        <w:rPr>
          <w:rFonts w:ascii="Calibri" w:hAnsi="Calibri" w:cs="Calibri"/>
        </w:rPr>
      </w:pPr>
      <w:r w:rsidRPr="00B01D4F">
        <w:rPr>
          <w:rFonts w:ascii="Calibri" w:hAnsi="Calibri" w:cs="Calibri"/>
        </w:rPr>
        <w:t>§ 1º  Os ativos integrantes das carteiras dos fundos previdenciários devem ser registrados pelo valor efetivamente contratado ou pago, incluindo corretagens e emolumentos, e ajustados, diariamente, ao valor de mercado, sendo vedada a classificação de qualquer ativo na categoria de mantidos até o vencimento.</w:t>
      </w:r>
    </w:p>
    <w:p w14:paraId="26606EAA" w14:textId="77777777" w:rsidR="006873AD" w:rsidRPr="00B01D4F" w:rsidRDefault="006873AD" w:rsidP="006873AD">
      <w:pPr>
        <w:pStyle w:val="NormaAlterada"/>
        <w:rPr>
          <w:rFonts w:ascii="Calibri" w:hAnsi="Calibri" w:cs="Calibri"/>
        </w:rPr>
      </w:pPr>
      <w:r w:rsidRPr="00B01D4F">
        <w:rPr>
          <w:rFonts w:ascii="Calibri" w:hAnsi="Calibri" w:cs="Calibri"/>
        </w:rPr>
        <w:t xml:space="preserve">§ 2º  A constituição e a reversão das provisões matemáticas de benefícios a conceder dos planos ou seguros </w:t>
      </w:r>
      <w:r>
        <w:rPr>
          <w:rFonts w:ascii="Calibri" w:hAnsi="Calibri" w:cs="Calibri"/>
        </w:rPr>
        <w:t>são</w:t>
      </w:r>
      <w:r w:rsidRPr="00B01D4F">
        <w:rPr>
          <w:rFonts w:ascii="Calibri" w:hAnsi="Calibri" w:cs="Calibri"/>
        </w:rPr>
        <w:t xml:space="preserve"> escrituradas nas demonstrações contábeis dos fundos e suas classes de cotas, caso existentes</w:t>
      </w:r>
      <w:r>
        <w:rPr>
          <w:rFonts w:ascii="Calibri" w:hAnsi="Calibri" w:cs="Calibri"/>
        </w:rPr>
        <w:t>, e devem</w:t>
      </w:r>
      <w:r w:rsidRPr="00B01D4F">
        <w:rPr>
          <w:rFonts w:ascii="Calibri" w:hAnsi="Calibri" w:cs="Calibri"/>
        </w:rPr>
        <w:t xml:space="preserve"> observar as normas expedidas pela SUSEP e pelo CNSP.</w:t>
      </w:r>
    </w:p>
    <w:p w14:paraId="5C8240D4" w14:textId="77777777" w:rsidR="006873AD" w:rsidRPr="00B01D4F" w:rsidRDefault="006873AD" w:rsidP="006873AD">
      <w:pPr>
        <w:pStyle w:val="NormaAlterada"/>
        <w:rPr>
          <w:rFonts w:ascii="Calibri" w:hAnsi="Calibri" w:cs="Calibri"/>
        </w:rPr>
      </w:pPr>
      <w:r w:rsidRPr="00B01D4F">
        <w:rPr>
          <w:rFonts w:ascii="Calibri" w:hAnsi="Calibri" w:cs="Calibri"/>
        </w:rPr>
        <w:lastRenderedPageBreak/>
        <w:t>§ 3º  O valor da cota do fundo, classe ou subclasse, conforme o caso, corresponde ao resultante da divisão do valor do patrimônio líquido, acrescido das provisões referidas no § 2º, pelo número de cotas, apurados, ambos, a partir de seus montantes do dia anterior, devidamente atualizado por um dia.</w:t>
      </w:r>
    </w:p>
    <w:p w14:paraId="0BFDF363" w14:textId="77777777" w:rsidR="006873AD" w:rsidRPr="00B01D4F" w:rsidRDefault="006873AD" w:rsidP="006873AD">
      <w:pPr>
        <w:pStyle w:val="NormaAlterada"/>
        <w:rPr>
          <w:rFonts w:ascii="Calibri" w:hAnsi="Calibri" w:cs="Calibri"/>
        </w:rPr>
      </w:pPr>
      <w:r w:rsidRPr="00B01D4F">
        <w:rPr>
          <w:rFonts w:ascii="Calibri" w:hAnsi="Calibri" w:cs="Calibri"/>
        </w:rPr>
        <w:t>Art. 12.  Caso as cotas de fundos previdenciários sejam oferecidas em garantia de contratos de financiamento imobiliário, o instrumento contratual previsto no art. 86 da Lei nº 11.196, de 2005, deve ser averbado pelo administrador no registro de cotistas.</w:t>
      </w:r>
    </w:p>
    <w:p w14:paraId="295A21FA" w14:textId="77777777" w:rsidR="00036557" w:rsidRDefault="006873AD" w:rsidP="006873AD">
      <w:pPr>
        <w:spacing w:before="120" w:after="120" w:line="312" w:lineRule="auto"/>
        <w:ind w:firstLine="567"/>
        <w:jc w:val="both"/>
        <w:rPr>
          <w:rFonts w:ascii="Calibri" w:hAnsi="Calibri" w:cs="Calibri"/>
          <w:sz w:val="24"/>
          <w:szCs w:val="24"/>
        </w:rPr>
      </w:pPr>
      <w:r w:rsidRPr="006873AD">
        <w:rPr>
          <w:rFonts w:ascii="Calibri" w:hAnsi="Calibri" w:cs="Calibri"/>
          <w:sz w:val="24"/>
          <w:szCs w:val="24"/>
        </w:rPr>
        <w:t>Art. 13.  Os fundos previdenciários só podem receber recursos de participantes ou segurados de produtos de uma mesma entidade ou seguradora.</w:t>
      </w:r>
    </w:p>
    <w:p w14:paraId="5049BA11" w14:textId="544B1C9F" w:rsidR="00E00556" w:rsidRPr="00517AE6" w:rsidRDefault="00E00556" w:rsidP="00E00556">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Pr>
          <w:rFonts w:asciiTheme="minorHAnsi" w:hAnsiTheme="minorHAnsi" w:cstheme="minorHAnsi"/>
          <w:b/>
          <w:i/>
          <w:sz w:val="24"/>
          <w:szCs w:val="24"/>
        </w:rPr>
        <w:t>Anexo Normativo XI</w:t>
      </w:r>
      <w:r w:rsidRPr="00517AE6">
        <w:rPr>
          <w:rFonts w:asciiTheme="minorHAnsi" w:hAnsiTheme="minorHAnsi" w:cstheme="minorHAnsi"/>
          <w:b/>
          <w:i/>
          <w:sz w:val="24"/>
          <w:szCs w:val="24"/>
        </w:rPr>
        <w:t xml:space="preserve"> </w:t>
      </w:r>
      <w:r>
        <w:rPr>
          <w:rFonts w:asciiTheme="minorHAnsi" w:hAnsiTheme="minorHAnsi" w:cstheme="minorHAnsi"/>
          <w:b/>
          <w:i/>
          <w:sz w:val="24"/>
          <w:szCs w:val="24"/>
        </w:rPr>
        <w:t xml:space="preserve">incluído </w:t>
      </w:r>
      <w:r w:rsidRPr="00517AE6">
        <w:rPr>
          <w:rFonts w:asciiTheme="minorHAnsi" w:hAnsiTheme="minorHAnsi" w:cstheme="minorHAnsi"/>
          <w:b/>
          <w:i/>
          <w:sz w:val="24"/>
          <w:szCs w:val="24"/>
        </w:rPr>
        <w:t xml:space="preserve">pela Resolução CVM nº </w:t>
      </w:r>
      <w:r>
        <w:rPr>
          <w:rFonts w:asciiTheme="minorHAnsi" w:hAnsiTheme="minorHAnsi" w:cstheme="minorHAnsi"/>
          <w:b/>
          <w:i/>
          <w:sz w:val="24"/>
          <w:szCs w:val="24"/>
        </w:rPr>
        <w:t>184</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31</w:t>
      </w:r>
      <w:r w:rsidRPr="00517AE6">
        <w:rPr>
          <w:rFonts w:asciiTheme="minorHAnsi" w:hAnsiTheme="minorHAnsi" w:cstheme="minorHAnsi"/>
          <w:b/>
          <w:i/>
          <w:sz w:val="24"/>
          <w:szCs w:val="24"/>
        </w:rPr>
        <w:t xml:space="preserve"> de </w:t>
      </w:r>
      <w:r>
        <w:rPr>
          <w:rFonts w:asciiTheme="minorHAnsi" w:hAnsiTheme="minorHAnsi" w:cstheme="minorHAnsi"/>
          <w:b/>
          <w:i/>
          <w:sz w:val="24"/>
          <w:szCs w:val="24"/>
        </w:rPr>
        <w:t>maio</w:t>
      </w:r>
      <w:r w:rsidRPr="00517AE6">
        <w:rPr>
          <w:rFonts w:asciiTheme="minorHAnsi" w:hAnsiTheme="minorHAnsi" w:cstheme="minorHAnsi"/>
          <w:b/>
          <w:i/>
          <w:sz w:val="24"/>
          <w:szCs w:val="24"/>
        </w:rPr>
        <w:t xml:space="preserve"> de 20</w:t>
      </w:r>
      <w:r>
        <w:rPr>
          <w:rFonts w:asciiTheme="minorHAnsi" w:hAnsiTheme="minorHAnsi" w:cstheme="minorHAnsi"/>
          <w:b/>
          <w:i/>
          <w:sz w:val="24"/>
          <w:szCs w:val="24"/>
        </w:rPr>
        <w:t>23</w:t>
      </w:r>
      <w:r w:rsidRPr="00517AE6">
        <w:rPr>
          <w:rFonts w:asciiTheme="minorHAnsi" w:hAnsiTheme="minorHAnsi" w:cstheme="minorHAnsi"/>
          <w:b/>
          <w:i/>
          <w:sz w:val="24"/>
          <w:szCs w:val="24"/>
        </w:rPr>
        <w:t>.</w:t>
      </w:r>
    </w:p>
    <w:p w14:paraId="07C5F4B7" w14:textId="77777777" w:rsidR="00E00556" w:rsidRDefault="00E00556" w:rsidP="006873AD">
      <w:pPr>
        <w:spacing w:before="120" w:after="120" w:line="312" w:lineRule="auto"/>
        <w:ind w:firstLine="567"/>
        <w:jc w:val="both"/>
        <w:rPr>
          <w:rFonts w:ascii="Calibri" w:hAnsi="Calibri" w:cs="Calibri"/>
          <w:sz w:val="24"/>
          <w:szCs w:val="24"/>
        </w:rPr>
      </w:pPr>
    </w:p>
    <w:p w14:paraId="37D6C4C9" w14:textId="77777777" w:rsidR="00E00556" w:rsidRDefault="00E00556" w:rsidP="006873AD">
      <w:pPr>
        <w:spacing w:before="120" w:after="120" w:line="312" w:lineRule="auto"/>
        <w:ind w:firstLine="567"/>
        <w:jc w:val="both"/>
        <w:rPr>
          <w:rFonts w:ascii="Calibri" w:hAnsi="Calibri" w:cs="Calibri"/>
          <w:sz w:val="24"/>
          <w:szCs w:val="24"/>
        </w:rPr>
        <w:sectPr w:rsidR="00E00556" w:rsidSect="002A08BD">
          <w:headerReference w:type="default" r:id="rId26"/>
          <w:pgSz w:w="11906" w:h="16838"/>
          <w:pgMar w:top="2268" w:right="567" w:bottom="851" w:left="1134" w:header="709" w:footer="709" w:gutter="0"/>
          <w:cols w:space="708"/>
          <w:docGrid w:linePitch="360"/>
        </w:sectPr>
      </w:pPr>
    </w:p>
    <w:p w14:paraId="59C3BA5E" w14:textId="77777777" w:rsidR="0045288F" w:rsidRDefault="0045288F" w:rsidP="00036557">
      <w:pPr>
        <w:pStyle w:val="TtulodaResoluo"/>
        <w:ind w:firstLine="0"/>
      </w:pPr>
      <w:bookmarkStart w:id="1456" w:name="_Toc161141435"/>
      <w:r>
        <w:rPr>
          <w:rStyle w:val="normaltextrun"/>
          <w:caps w:val="0"/>
        </w:rPr>
        <w:lastRenderedPageBreak/>
        <w:t xml:space="preserve">ANEXO NORMATIVO XII – FUNDOS DE INVESTIMENTO EM DIREITOS CREDITÓRIOS </w:t>
      </w:r>
      <w:r w:rsidRPr="006E7CCC">
        <w:rPr>
          <w:rStyle w:val="normaltextrun"/>
          <w:caps w:val="0"/>
        </w:rPr>
        <w:t>DO PROGRAMA DE INCENTIVO À IMPLEMENTAÇÃO DE PROJETOS DE INTERESSE SOCIAL</w:t>
      </w:r>
      <w:bookmarkEnd w:id="1456"/>
    </w:p>
    <w:p w14:paraId="44D19013" w14:textId="77777777" w:rsidR="0045288F" w:rsidRPr="00BC71C0" w:rsidRDefault="0045288F" w:rsidP="0045288F">
      <w:pPr>
        <w:pStyle w:val="Ementa"/>
      </w:pPr>
      <w:r>
        <w:t>Dispõe sobre as regras específicas para os fundos de investimento em direitos creditórios constituídos no âmbito do Programa de Incentivo à Implementação de Projetos de Interesse Social – FIDC– PIPS.</w:t>
      </w:r>
    </w:p>
    <w:p w14:paraId="36910045" w14:textId="77777777" w:rsidR="0045288F" w:rsidRPr="00BC71C0" w:rsidRDefault="0045288F" w:rsidP="0045288F">
      <w:pPr>
        <w:pStyle w:val="Captulo"/>
        <w:rPr>
          <w:rFonts w:eastAsiaTheme="minorEastAsia" w:cstheme="minorBidi"/>
        </w:rPr>
      </w:pPr>
      <w:bookmarkStart w:id="1457" w:name="_Toc161141436"/>
      <w:r w:rsidRPr="00870F59">
        <w:rPr>
          <w:rFonts w:eastAsiaTheme="minorEastAsia" w:cstheme="minorBidi"/>
        </w:rPr>
        <w:t xml:space="preserve">CAPÍTULO I – </w:t>
      </w:r>
      <w:r w:rsidRPr="00BC71C0">
        <w:rPr>
          <w:rFonts w:eastAsiaTheme="minorEastAsia" w:cstheme="minorBidi"/>
        </w:rPr>
        <w:t>ÂMBITO E FINALIDADE</w:t>
      </w:r>
      <w:bookmarkEnd w:id="1457"/>
    </w:p>
    <w:p w14:paraId="73C428F6" w14:textId="77777777" w:rsidR="0045288F" w:rsidRPr="00870F59" w:rsidRDefault="0045288F" w:rsidP="0045288F">
      <w:pPr>
        <w:pStyle w:val="NormaAlterada"/>
      </w:pPr>
      <w:r w:rsidRPr="00BC71C0">
        <w:t>Art. 1</w:t>
      </w:r>
      <w:r w:rsidRPr="00861C1B">
        <w:t xml:space="preserve">º  </w:t>
      </w:r>
      <w:r w:rsidRPr="00870F59">
        <w:t xml:space="preserve">Este </w:t>
      </w:r>
      <w:r>
        <w:t>Anexo Normativo X</w:t>
      </w:r>
      <w:r w:rsidRPr="00870F59">
        <w:t>II à Resolução CVM nº 175 (“Resolução”) dispõe sobre as regras específicas para os</w:t>
      </w:r>
      <w:r w:rsidRPr="00BC71C0">
        <w:t xml:space="preserve"> </w:t>
      </w:r>
      <w:r w:rsidRPr="00870F59">
        <w:t>f</w:t>
      </w:r>
      <w:r w:rsidRPr="00BC71C0">
        <w:t xml:space="preserve">undos de </w:t>
      </w:r>
      <w:r w:rsidRPr="00870F59">
        <w:t>i</w:t>
      </w:r>
      <w:r w:rsidRPr="00BC71C0">
        <w:t xml:space="preserve">nvestimento em </w:t>
      </w:r>
      <w:r w:rsidRPr="00870F59">
        <w:t>d</w:t>
      </w:r>
      <w:r w:rsidRPr="00BC71C0">
        <w:t xml:space="preserve">ireitos </w:t>
      </w:r>
      <w:r w:rsidRPr="00870F59">
        <w:t>c</w:t>
      </w:r>
      <w:r w:rsidRPr="00BC71C0">
        <w:t>reditórios</w:t>
      </w:r>
      <w:r w:rsidRPr="00870F59">
        <w:t xml:space="preserve"> constituídos</w:t>
      </w:r>
      <w:r w:rsidRPr="00BC71C0">
        <w:t xml:space="preserve"> no âmbito do Programa de Incentivo à Implementação de Projetos de Interesse Social </w:t>
      </w:r>
      <w:r w:rsidRPr="00870F59">
        <w:t>–</w:t>
      </w:r>
      <w:r w:rsidRPr="00BC71C0">
        <w:t xml:space="preserve"> </w:t>
      </w:r>
      <w:r w:rsidRPr="00870F59">
        <w:t>FIDC–</w:t>
      </w:r>
      <w:r w:rsidRPr="00BC71C0">
        <w:t xml:space="preserve"> PIPS, instituído pela Lei n</w:t>
      </w:r>
      <w:r>
        <w:t>º</w:t>
      </w:r>
      <w:r w:rsidRPr="00BC71C0">
        <w:t xml:space="preserve"> 10.735,</w:t>
      </w:r>
      <w:r>
        <w:t xml:space="preserve"> de 11 de setembro</w:t>
      </w:r>
      <w:r w:rsidRPr="00BC71C0">
        <w:t xml:space="preserve"> de 2003.</w:t>
      </w:r>
    </w:p>
    <w:p w14:paraId="476453A9" w14:textId="77777777" w:rsidR="0045288F" w:rsidRPr="00BC71C0" w:rsidRDefault="0045288F" w:rsidP="0045288F">
      <w:pPr>
        <w:pStyle w:val="NormaAlterada"/>
      </w:pPr>
      <w:r>
        <w:t>Parágrafo único.  Os FIDC</w:t>
      </w:r>
      <w:r w:rsidRPr="00870F59">
        <w:t>–</w:t>
      </w:r>
      <w:r w:rsidRPr="3E6D4EDB">
        <w:t>PIPS devem observar o disposto no Anexo Normativo II da Resolução, prevalecendo, em caso de conflito, as regras específicas deste Anexo Normativo XII.</w:t>
      </w:r>
    </w:p>
    <w:p w14:paraId="6EEA629E" w14:textId="77777777" w:rsidR="0045288F" w:rsidRPr="00BC71C0" w:rsidRDefault="0045288F" w:rsidP="0045288F">
      <w:pPr>
        <w:pStyle w:val="Captulo"/>
        <w:rPr>
          <w:rFonts w:eastAsiaTheme="minorEastAsia" w:cstheme="minorBidi"/>
        </w:rPr>
      </w:pPr>
      <w:bookmarkStart w:id="1458" w:name="_Toc161141437"/>
      <w:r w:rsidRPr="00870F59">
        <w:rPr>
          <w:rFonts w:eastAsiaTheme="minorEastAsia" w:cstheme="minorBidi"/>
        </w:rPr>
        <w:t xml:space="preserve">CAPÍTULO II – </w:t>
      </w:r>
      <w:r w:rsidRPr="00BC71C0">
        <w:rPr>
          <w:rFonts w:eastAsiaTheme="minorEastAsia" w:cstheme="minorBidi"/>
        </w:rPr>
        <w:t>DEFINIÇÕES</w:t>
      </w:r>
      <w:bookmarkEnd w:id="1458"/>
    </w:p>
    <w:p w14:paraId="30D63AA4" w14:textId="77777777" w:rsidR="0045288F" w:rsidRPr="00BC71C0" w:rsidRDefault="0045288F" w:rsidP="0045288F">
      <w:pPr>
        <w:pStyle w:val="NormaAlterada"/>
      </w:pPr>
      <w:r w:rsidRPr="00BC71C0">
        <w:t>Art. 2</w:t>
      </w:r>
      <w:r>
        <w:t>º</w:t>
      </w:r>
      <w:r w:rsidRPr="00861C1B">
        <w:t xml:space="preserve">  </w:t>
      </w:r>
      <w:r w:rsidRPr="00BC71C0">
        <w:t xml:space="preserve">Para </w:t>
      </w:r>
      <w:r w:rsidRPr="00870F59">
        <w:t xml:space="preserve">os </w:t>
      </w:r>
      <w:r w:rsidRPr="00BC71C0">
        <w:t>efeito</w:t>
      </w:r>
      <w:r w:rsidRPr="00870F59">
        <w:t>s</w:t>
      </w:r>
      <w:r w:rsidRPr="00BC71C0">
        <w:t xml:space="preserve"> </w:t>
      </w:r>
      <w:r w:rsidRPr="00870F59">
        <w:t>deste Anexo Normativo XII</w:t>
      </w:r>
      <w:r w:rsidRPr="00BC71C0">
        <w:t xml:space="preserve">, </w:t>
      </w:r>
      <w:r w:rsidRPr="00870F59">
        <w:t>entende-se por</w:t>
      </w:r>
      <w:r w:rsidRPr="00BC71C0">
        <w:t>:</w:t>
      </w:r>
    </w:p>
    <w:p w14:paraId="25946724" w14:textId="77777777" w:rsidR="0045288F" w:rsidRPr="00BE49B1" w:rsidRDefault="0045288F" w:rsidP="0045288F">
      <w:pPr>
        <w:pStyle w:val="NormaAlterada"/>
      </w:pPr>
      <w:r w:rsidRPr="00BE49B1">
        <w:t xml:space="preserve">I – Projetos: projetos e/ou programas aprovados pelo Governo Federal, destinados à criação e à implementação de núcleos habitacionais que tornem acessível moradia para segmentos populacionais de diversas rendas familiares, mediante a construção de núcleos habitacionais providos de serviços públicos básicos, comércio e serviços; </w:t>
      </w:r>
    </w:p>
    <w:p w14:paraId="4945A772" w14:textId="77777777" w:rsidR="0045288F" w:rsidRPr="00BE49B1" w:rsidRDefault="0045288F" w:rsidP="0045288F">
      <w:pPr>
        <w:pStyle w:val="NormaAlterada"/>
      </w:pPr>
      <w:r w:rsidRPr="00BE49B1">
        <w:t xml:space="preserve">II – direitos creditórios: direitos de crédito e títulos representativos </w:t>
      </w:r>
      <w:r>
        <w:t>de</w:t>
      </w:r>
      <w:r w:rsidRPr="00BC71C0">
        <w:t xml:space="preserve"> direitos</w:t>
      </w:r>
      <w:r w:rsidRPr="00BE49B1">
        <w:t xml:space="preserve"> creditórios originários de operações realizadas no âmbito dos Projetos; e</w:t>
      </w:r>
    </w:p>
    <w:p w14:paraId="10359250" w14:textId="77777777" w:rsidR="0045288F" w:rsidRPr="00BE49B1" w:rsidRDefault="0045288F" w:rsidP="0045288F">
      <w:pPr>
        <w:pStyle w:val="NormaAlterada"/>
      </w:pPr>
      <w:r w:rsidRPr="00BE49B1">
        <w:t>III – fundos de investimento em direitos creditórios – FIDC</w:t>
      </w:r>
      <w:r w:rsidRPr="00870F59">
        <w:t>–</w:t>
      </w:r>
      <w:r w:rsidRPr="00BE49B1">
        <w:t>PIPS: fundos de investimento destinados à aplicação em direitos creditórios originários dos Projetos.</w:t>
      </w:r>
    </w:p>
    <w:p w14:paraId="723ACEFE" w14:textId="77777777" w:rsidR="0045288F" w:rsidRPr="00BC71C0" w:rsidRDefault="0045288F" w:rsidP="0045288F">
      <w:pPr>
        <w:pStyle w:val="Captulo"/>
        <w:rPr>
          <w:rFonts w:eastAsiaTheme="minorEastAsia" w:cstheme="minorBidi"/>
        </w:rPr>
      </w:pPr>
      <w:bookmarkStart w:id="1459" w:name="_Toc161141438"/>
      <w:r w:rsidRPr="00870F59">
        <w:rPr>
          <w:rFonts w:eastAsiaTheme="minorEastAsia" w:cstheme="minorBidi"/>
        </w:rPr>
        <w:t xml:space="preserve">CAPÍTULO III – </w:t>
      </w:r>
      <w:r w:rsidRPr="00BC71C0">
        <w:rPr>
          <w:rFonts w:eastAsiaTheme="minorEastAsia" w:cstheme="minorBidi"/>
        </w:rPr>
        <w:t>CARACTERÍSTICAS E CONSTITUIÇÃO</w:t>
      </w:r>
      <w:bookmarkEnd w:id="1459"/>
    </w:p>
    <w:p w14:paraId="5523CE7F" w14:textId="77777777" w:rsidR="0045288F" w:rsidRPr="00BE49B1" w:rsidRDefault="0045288F" w:rsidP="0045288F">
      <w:pPr>
        <w:pStyle w:val="NormaAlterada"/>
      </w:pPr>
      <w:r>
        <w:t>Art. 3º  As classes de cotas dos FIDC– PIPS devem ser constituídas em regime fechado e ter prazo de duração determinado no regulamento.</w:t>
      </w:r>
    </w:p>
    <w:p w14:paraId="59B5D173" w14:textId="77777777" w:rsidR="0045288F" w:rsidRPr="00BE49B1" w:rsidRDefault="0045288F" w:rsidP="0045288F">
      <w:pPr>
        <w:pStyle w:val="NormaAlterada"/>
      </w:pPr>
      <w:r w:rsidRPr="00BC71C0">
        <w:lastRenderedPageBreak/>
        <w:t xml:space="preserve">Parágrafo único.  </w:t>
      </w:r>
      <w:r w:rsidRPr="00BE49B1">
        <w:t>Os FIDC</w:t>
      </w:r>
      <w:r w:rsidRPr="00870F59">
        <w:t>–</w:t>
      </w:r>
      <w:r w:rsidRPr="00BC71C0">
        <w:t xml:space="preserve"> </w:t>
      </w:r>
      <w:r w:rsidRPr="00BE49B1">
        <w:t>PIPS são exclusivamente destinados a investidores qualificados.</w:t>
      </w:r>
    </w:p>
    <w:p w14:paraId="2F311786" w14:textId="77777777" w:rsidR="0045288F" w:rsidRPr="00BE49B1" w:rsidRDefault="0045288F" w:rsidP="0045288F">
      <w:pPr>
        <w:pStyle w:val="NormaAlterada"/>
      </w:pPr>
      <w:r w:rsidRPr="00BE49B1">
        <w:t xml:space="preserve">Art. 4º  Da denominação do fundo e de suas classes de cotas, caso existentes, deve constar a expressão "Fundo de Investimento em Direitos Creditórios – PIPS” e o seu objeto de investimento. </w:t>
      </w:r>
    </w:p>
    <w:p w14:paraId="096034FE" w14:textId="77777777" w:rsidR="0045288F" w:rsidRPr="00BE49B1" w:rsidRDefault="0045288F" w:rsidP="0045288F">
      <w:pPr>
        <w:pStyle w:val="NormaAlterada"/>
      </w:pPr>
      <w:r w:rsidRPr="00BE49B1">
        <w:t>Art. 5º  A data do encerramento do exercício social do fundo e de suas classes de cotas, caso existentes, deve ser o dia 31 de dezembro.</w:t>
      </w:r>
    </w:p>
    <w:p w14:paraId="4ADDA86C" w14:textId="77777777" w:rsidR="0045288F" w:rsidRPr="00BE49B1" w:rsidRDefault="0045288F" w:rsidP="0045288F">
      <w:pPr>
        <w:pStyle w:val="NormaAlterada"/>
      </w:pPr>
      <w:r w:rsidRPr="00BE49B1">
        <w:t>Art. 6º  As taxas, as despesas e os prazos adotados pelo FIDC</w:t>
      </w:r>
      <w:r w:rsidRPr="00870F59">
        <w:t>–</w:t>
      </w:r>
      <w:r w:rsidRPr="00BE49B1">
        <w:t>PIPS devem ser idênticos para todos os cotistas.</w:t>
      </w:r>
    </w:p>
    <w:p w14:paraId="34932142" w14:textId="77777777" w:rsidR="0045288F" w:rsidRPr="00BC71C0" w:rsidRDefault="0045288F" w:rsidP="0045288F">
      <w:pPr>
        <w:pStyle w:val="Captulo"/>
        <w:rPr>
          <w:rFonts w:eastAsiaTheme="minorEastAsia" w:cstheme="minorBidi"/>
        </w:rPr>
      </w:pPr>
      <w:bookmarkStart w:id="1460" w:name="_Toc161141439"/>
      <w:r w:rsidRPr="00870F59">
        <w:rPr>
          <w:rFonts w:eastAsiaTheme="minorEastAsia" w:cstheme="minorBidi"/>
        </w:rPr>
        <w:t>CAPÍTULO IV –</w:t>
      </w:r>
      <w:r w:rsidRPr="00BC71C0">
        <w:rPr>
          <w:rFonts w:eastAsiaTheme="minorEastAsia" w:cstheme="minorBidi"/>
        </w:rPr>
        <w:t xml:space="preserve"> COTAS</w:t>
      </w:r>
      <w:bookmarkEnd w:id="1460"/>
    </w:p>
    <w:p w14:paraId="0B6FBBA5" w14:textId="77777777" w:rsidR="0045288F" w:rsidRPr="00BC71C0" w:rsidRDefault="0045288F" w:rsidP="0045288F">
      <w:pPr>
        <w:pStyle w:val="NormaAlterada"/>
      </w:pPr>
      <w:r w:rsidRPr="00BC71C0">
        <w:rPr>
          <w:rFonts w:eastAsiaTheme="minorEastAsia"/>
        </w:rPr>
        <w:t xml:space="preserve">Art. </w:t>
      </w:r>
      <w:r w:rsidRPr="00870F59">
        <w:rPr>
          <w:rFonts w:eastAsiaTheme="minorEastAsia"/>
        </w:rPr>
        <w:t>7º</w:t>
      </w:r>
      <w:r w:rsidRPr="00BC71C0">
        <w:rPr>
          <w:rFonts w:eastAsiaTheme="minorEastAsia"/>
        </w:rPr>
        <w:t xml:space="preserve">  As cotas </w:t>
      </w:r>
      <w:r w:rsidRPr="00870F59">
        <w:rPr>
          <w:rFonts w:eastAsiaTheme="minorEastAsia"/>
        </w:rPr>
        <w:t xml:space="preserve">da </w:t>
      </w:r>
      <w:r w:rsidRPr="00BE49B1">
        <w:t>classe</w:t>
      </w:r>
      <w:r w:rsidRPr="00870F59">
        <w:rPr>
          <w:rFonts w:eastAsiaTheme="minorEastAsia"/>
        </w:rPr>
        <w:t xml:space="preserve"> de cotas</w:t>
      </w:r>
      <w:r w:rsidRPr="00BC71C0">
        <w:rPr>
          <w:rFonts w:eastAsiaTheme="minorEastAsia"/>
        </w:rPr>
        <w:t xml:space="preserve"> devem ter seu valor calculado pelo menos por ocasião das demonstraçõe</w:t>
      </w:r>
      <w:r>
        <w:rPr>
          <w:rFonts w:eastAsiaTheme="minorEastAsia"/>
        </w:rPr>
        <w:t>s financeiras mensais e anuais.</w:t>
      </w:r>
    </w:p>
    <w:p w14:paraId="587E542D" w14:textId="77777777" w:rsidR="0045288F" w:rsidRPr="00BC71C0" w:rsidRDefault="0045288F" w:rsidP="0045288F">
      <w:pPr>
        <w:pStyle w:val="NormaAlterada"/>
        <w:rPr>
          <w:rFonts w:eastAsiaTheme="minorEastAsia"/>
        </w:rPr>
      </w:pPr>
      <w:r w:rsidRPr="00870F59">
        <w:rPr>
          <w:rFonts w:eastAsiaTheme="minorEastAsia"/>
        </w:rPr>
        <w:t xml:space="preserve">Parágrafo único. </w:t>
      </w:r>
      <w:r w:rsidRPr="00BC71C0">
        <w:rPr>
          <w:rFonts w:eastAsiaTheme="minorEastAsia"/>
        </w:rPr>
        <w:t xml:space="preserve"> Caso o número mínimo de cotas previsto no regulamento não seja totalmente subscrito no prazo de </w:t>
      </w:r>
      <w:r w:rsidRPr="00BE49B1">
        <w:t>180</w:t>
      </w:r>
      <w:r w:rsidRPr="00BC71C0">
        <w:rPr>
          <w:rFonts w:eastAsiaTheme="minorEastAsia"/>
        </w:rPr>
        <w:t xml:space="preserve"> (cento e oitenta) dias, a contar da data do início de distribuição</w:t>
      </w:r>
      <w:r>
        <w:rPr>
          <w:rFonts w:eastAsiaTheme="minorEastAsia"/>
        </w:rPr>
        <w:t xml:space="preserve"> de cotas</w:t>
      </w:r>
      <w:r w:rsidRPr="00BC71C0">
        <w:rPr>
          <w:rFonts w:eastAsiaTheme="minorEastAsia"/>
        </w:rPr>
        <w:t>, os valores obtidos durante a distribuição devem ser imediatamente rateados entre os subscritores, nas proporções dos valores integralizados, acrescidos dos rendimentos líquidos auferidos pelas aplicações do FIDC</w:t>
      </w:r>
      <w:r w:rsidRPr="00870F59">
        <w:t>–</w:t>
      </w:r>
      <w:r w:rsidRPr="00BC71C0">
        <w:rPr>
          <w:rFonts w:eastAsiaTheme="minorEastAsia"/>
        </w:rPr>
        <w:t>PIPS.</w:t>
      </w:r>
    </w:p>
    <w:p w14:paraId="017014C6"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8º</w:t>
      </w:r>
      <w:r w:rsidRPr="00BC71C0">
        <w:rPr>
          <w:rFonts w:eastAsiaTheme="minorEastAsia"/>
        </w:rPr>
        <w:t xml:space="preserve">  As importâncias recebidas na integralização de cotas, durante o processo de distribuição de cotas, devem ser depositadas em conta corrente de instituição financeira, em nome do FIDC</w:t>
      </w:r>
      <w:r w:rsidRPr="00870F59">
        <w:t>–</w:t>
      </w:r>
      <w:r w:rsidRPr="00BC71C0">
        <w:rPr>
          <w:rFonts w:eastAsiaTheme="minorEastAsia"/>
        </w:rPr>
        <w:t xml:space="preserve">PIPS, sendo obrigatória sua imediata aplicação em títulos </w:t>
      </w:r>
      <w:r w:rsidRPr="00870F59">
        <w:rPr>
          <w:rFonts w:eastAsiaTheme="minorEastAsia"/>
        </w:rPr>
        <w:t>públicos federais,</w:t>
      </w:r>
      <w:r w:rsidRPr="00BC71C0">
        <w:rPr>
          <w:rFonts w:eastAsiaTheme="minorEastAsia"/>
        </w:rPr>
        <w:t xml:space="preserve"> ou</w:t>
      </w:r>
      <w:r w:rsidRPr="00870F59">
        <w:rPr>
          <w:rFonts w:eastAsiaTheme="minorEastAsia"/>
        </w:rPr>
        <w:t>,</w:t>
      </w:r>
      <w:r w:rsidRPr="00BC71C0">
        <w:rPr>
          <w:rFonts w:eastAsiaTheme="minorEastAsia"/>
        </w:rPr>
        <w:t xml:space="preserve"> ainda</w:t>
      </w:r>
      <w:r w:rsidRPr="00870F59">
        <w:rPr>
          <w:rFonts w:eastAsiaTheme="minorEastAsia"/>
        </w:rPr>
        <w:t>,</w:t>
      </w:r>
      <w:r w:rsidRPr="00BC71C0">
        <w:rPr>
          <w:rFonts w:eastAsiaTheme="minorEastAsia"/>
        </w:rPr>
        <w:t xml:space="preserve"> </w:t>
      </w:r>
      <w:r w:rsidRPr="00870F59">
        <w:rPr>
          <w:rFonts w:eastAsiaTheme="minorEastAsia"/>
        </w:rPr>
        <w:t xml:space="preserve">em </w:t>
      </w:r>
      <w:r w:rsidRPr="00BC71C0">
        <w:rPr>
          <w:rFonts w:eastAsiaTheme="minorEastAsia"/>
        </w:rPr>
        <w:t xml:space="preserve">operações compromissadas lastreadas nesses títulos, até o enquadramento de sua carteira, na forma do disposto no art. </w:t>
      </w:r>
      <w:r w:rsidRPr="00870F59">
        <w:rPr>
          <w:rFonts w:eastAsiaTheme="minorEastAsia"/>
        </w:rPr>
        <w:t>26</w:t>
      </w:r>
      <w:r w:rsidRPr="00BC71C0">
        <w:rPr>
          <w:rFonts w:eastAsiaTheme="minorEastAsia"/>
        </w:rPr>
        <w:t xml:space="preserve"> </w:t>
      </w:r>
      <w:r w:rsidRPr="00870F59">
        <w:rPr>
          <w:rFonts w:eastAsiaTheme="minorEastAsia"/>
        </w:rPr>
        <w:t xml:space="preserve">deste </w:t>
      </w:r>
      <w:r>
        <w:rPr>
          <w:rFonts w:eastAsiaTheme="minorEastAsia"/>
        </w:rPr>
        <w:t>Anexo Normativo X</w:t>
      </w:r>
      <w:r w:rsidRPr="00870F59">
        <w:rPr>
          <w:rFonts w:eastAsiaTheme="minorEastAsia"/>
        </w:rPr>
        <w:t>II</w:t>
      </w:r>
      <w:r w:rsidRPr="00BC71C0">
        <w:rPr>
          <w:rFonts w:eastAsiaTheme="minorEastAsia"/>
        </w:rPr>
        <w:t>.</w:t>
      </w:r>
    </w:p>
    <w:p w14:paraId="43D99BEA" w14:textId="77777777" w:rsidR="0045288F" w:rsidRPr="00BC71C0" w:rsidRDefault="0045288F" w:rsidP="0045288F">
      <w:pPr>
        <w:pStyle w:val="NormaAlterada"/>
        <w:rPr>
          <w:rFonts w:eastAsiaTheme="minorEastAsia"/>
        </w:rPr>
      </w:pPr>
      <w:r w:rsidRPr="00BC71C0">
        <w:rPr>
          <w:rFonts w:eastAsiaTheme="minorEastAsia"/>
        </w:rPr>
        <w:t xml:space="preserve">Parágrafo único.  </w:t>
      </w:r>
      <w:r w:rsidRPr="00870F59">
        <w:rPr>
          <w:rFonts w:eastAsiaTheme="minorEastAsia"/>
        </w:rPr>
        <w:t>O administrador</w:t>
      </w:r>
      <w:r w:rsidRPr="00BC71C0">
        <w:rPr>
          <w:rFonts w:eastAsiaTheme="minorEastAsia"/>
        </w:rPr>
        <w:t xml:space="preserve"> deve remeter mensalmente à CVM, durante o período de distribuição, </w:t>
      </w:r>
      <w:r w:rsidRPr="00870F59">
        <w:rPr>
          <w:rFonts w:eastAsiaTheme="minorEastAsia"/>
        </w:rPr>
        <w:t xml:space="preserve">o demonstrativo das aplicações da carteira, </w:t>
      </w:r>
      <w:r w:rsidRPr="00BC71C0">
        <w:rPr>
          <w:rFonts w:eastAsiaTheme="minorEastAsia"/>
        </w:rPr>
        <w:t>no prazo máximo de 15 (quinze) dias, contados do encerramento do mês</w:t>
      </w:r>
      <w:r w:rsidRPr="00870F59">
        <w:rPr>
          <w:rFonts w:eastAsiaTheme="minorEastAsia"/>
        </w:rPr>
        <w:t xml:space="preserve"> a que se referir</w:t>
      </w:r>
      <w:r w:rsidRPr="00BC71C0">
        <w:rPr>
          <w:rFonts w:eastAsiaTheme="minorEastAsia"/>
        </w:rPr>
        <w:t>.</w:t>
      </w:r>
    </w:p>
    <w:p w14:paraId="0E3F2B64" w14:textId="77777777" w:rsidR="0045288F" w:rsidRPr="00BC71C0" w:rsidRDefault="0045288F" w:rsidP="0045288F">
      <w:pPr>
        <w:pStyle w:val="Captulo"/>
        <w:rPr>
          <w:rFonts w:eastAsiaTheme="minorEastAsia" w:cstheme="minorBidi"/>
        </w:rPr>
      </w:pPr>
      <w:bookmarkStart w:id="1461" w:name="_Toc161141440"/>
      <w:r w:rsidRPr="00870F59">
        <w:rPr>
          <w:rFonts w:eastAsiaTheme="minorEastAsia" w:cstheme="minorBidi"/>
        </w:rPr>
        <w:t xml:space="preserve">CAPÍTULO V – </w:t>
      </w:r>
      <w:r w:rsidRPr="00BC71C0">
        <w:rPr>
          <w:rFonts w:eastAsiaTheme="minorEastAsia" w:cstheme="minorBidi"/>
        </w:rPr>
        <w:t>REGULAMENTO</w:t>
      </w:r>
      <w:bookmarkEnd w:id="1461"/>
    </w:p>
    <w:p w14:paraId="28704FEE"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9º</w:t>
      </w:r>
      <w:r w:rsidRPr="00BC71C0">
        <w:rPr>
          <w:rFonts w:eastAsiaTheme="minorEastAsia"/>
        </w:rPr>
        <w:t xml:space="preserve">  </w:t>
      </w:r>
      <w:r w:rsidRPr="00870F59">
        <w:rPr>
          <w:rFonts w:eastAsiaTheme="minorEastAsia"/>
        </w:rPr>
        <w:t xml:space="preserve">Em acréscimo às </w:t>
      </w:r>
      <w:r w:rsidRPr="00BC71C0">
        <w:rPr>
          <w:rFonts w:eastAsiaTheme="minorEastAsia"/>
          <w:color w:val="000000" w:themeColor="text1"/>
        </w:rPr>
        <w:t>matérias</w:t>
      </w:r>
      <w:r w:rsidRPr="00870F59">
        <w:rPr>
          <w:rFonts w:eastAsiaTheme="minorEastAsia"/>
        </w:rPr>
        <w:t xml:space="preserve"> dispostas no art. 48 da parte geral da Resolução e no art. 20 do Anexo Normativo II, o</w:t>
      </w:r>
      <w:r w:rsidRPr="00BC71C0">
        <w:rPr>
          <w:rFonts w:eastAsiaTheme="minorEastAsia"/>
        </w:rPr>
        <w:t xml:space="preserve"> regulamento do FIDC</w:t>
      </w:r>
      <w:r w:rsidRPr="00870F59">
        <w:t>–</w:t>
      </w:r>
      <w:r w:rsidRPr="00BC71C0">
        <w:rPr>
          <w:rFonts w:eastAsiaTheme="minorEastAsia"/>
        </w:rPr>
        <w:t xml:space="preserve">PIPS deve </w:t>
      </w:r>
      <w:r w:rsidRPr="00870F59">
        <w:rPr>
          <w:rFonts w:eastAsiaTheme="minorEastAsia"/>
        </w:rPr>
        <w:t>dispor sobre</w:t>
      </w:r>
      <w:r>
        <w:rPr>
          <w:rFonts w:eastAsiaTheme="minorEastAsia"/>
        </w:rPr>
        <w:t xml:space="preserve"> </w:t>
      </w:r>
      <w:r w:rsidRPr="00870F59">
        <w:rPr>
          <w:rFonts w:eastAsiaTheme="minorEastAsia"/>
        </w:rPr>
        <w:t>a</w:t>
      </w:r>
      <w:r w:rsidRPr="00BC71C0">
        <w:rPr>
          <w:rFonts w:eastAsiaTheme="minorEastAsia"/>
        </w:rPr>
        <w:t xml:space="preserve"> possibilidade de nomeação de representante de cotistas, nos termos do art. </w:t>
      </w:r>
      <w:r>
        <w:rPr>
          <w:rFonts w:eastAsiaTheme="minorEastAsia"/>
        </w:rPr>
        <w:t>10</w:t>
      </w:r>
      <w:r w:rsidRPr="00BC71C0">
        <w:rPr>
          <w:rFonts w:eastAsiaTheme="minorEastAsia"/>
        </w:rPr>
        <w:t xml:space="preserve"> </w:t>
      </w:r>
      <w:r w:rsidRPr="00870F59">
        <w:rPr>
          <w:rFonts w:eastAsiaTheme="minorEastAsia"/>
        </w:rPr>
        <w:t>deste Anexo Normativo XII</w:t>
      </w:r>
      <w:r>
        <w:rPr>
          <w:rFonts w:eastAsiaTheme="minorEastAsia"/>
        </w:rPr>
        <w:t>.</w:t>
      </w:r>
    </w:p>
    <w:p w14:paraId="77B72491" w14:textId="77777777" w:rsidR="0045288F" w:rsidRPr="00C407DD" w:rsidRDefault="0045288F" w:rsidP="0045288F">
      <w:pPr>
        <w:pStyle w:val="Captulo"/>
        <w:rPr>
          <w:rFonts w:eastAsiaTheme="minorEastAsia" w:cstheme="minorBidi"/>
        </w:rPr>
      </w:pPr>
      <w:bookmarkStart w:id="1462" w:name="_Toc161141441"/>
      <w:r w:rsidRPr="00870F59">
        <w:rPr>
          <w:rFonts w:eastAsiaTheme="minorEastAsia" w:cstheme="minorBidi"/>
        </w:rPr>
        <w:lastRenderedPageBreak/>
        <w:t>CAPÍTUL</w:t>
      </w:r>
      <w:r w:rsidRPr="00C407DD">
        <w:rPr>
          <w:rFonts w:eastAsiaTheme="minorEastAsia" w:cstheme="minorBidi"/>
        </w:rPr>
        <w:t>O VI – REPRESENTANTE DOS COTISTAS</w:t>
      </w:r>
      <w:bookmarkEnd w:id="1462"/>
    </w:p>
    <w:p w14:paraId="4802B6FA"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10.</w:t>
      </w:r>
      <w:r w:rsidRPr="00BC71C0">
        <w:rPr>
          <w:rFonts w:eastAsiaTheme="minorEastAsia"/>
        </w:rPr>
        <w:t xml:space="preserve">  A </w:t>
      </w:r>
      <w:r w:rsidRPr="00870F59">
        <w:rPr>
          <w:rFonts w:eastAsiaTheme="minorEastAsia"/>
        </w:rPr>
        <w:t>assembleia de cotistas</w:t>
      </w:r>
      <w:r w:rsidRPr="00BC71C0">
        <w:rPr>
          <w:rFonts w:eastAsiaTheme="minorEastAsia"/>
        </w:rPr>
        <w:t xml:space="preserve"> pode, a qualquer momento, nomear um ou mais representantes para exercerem as funções de fiscalização e de controle gerencial das aplicações </w:t>
      </w:r>
      <w:r>
        <w:rPr>
          <w:rFonts w:eastAsiaTheme="minorEastAsia"/>
        </w:rPr>
        <w:t>da classe de cotas</w:t>
      </w:r>
      <w:r w:rsidRPr="00BC71C0">
        <w:rPr>
          <w:rFonts w:eastAsiaThem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idRPr="00BC71C0">
        <w:rPr>
          <w:rFonts w:eastAsiaTheme="minorEastAsia"/>
        </w:rPr>
        <w:t>Parágrafo único.  Somente pode exercer as funções de representante de cotistas</w:t>
      </w:r>
      <w:r>
        <w:rPr>
          <w:rFonts w:eastAsiaTheme="minorEastAsia"/>
        </w:rPr>
        <w:t>,</w:t>
      </w:r>
      <w:r w:rsidRPr="00BC71C0">
        <w:rPr>
          <w:rFonts w:eastAsiaTheme="minorEastAsia"/>
        </w:rPr>
        <w:t xml:space="preserve"> pessoa </w:t>
      </w:r>
      <w:r w:rsidRPr="00870F59">
        <w:rPr>
          <w:rFonts w:eastAsiaTheme="minorEastAsia"/>
        </w:rPr>
        <w:t xml:space="preserve">natural </w:t>
      </w:r>
      <w:r w:rsidRPr="00BC71C0">
        <w:rPr>
          <w:rFonts w:eastAsiaTheme="minorEastAsia"/>
        </w:rPr>
        <w:t>ou jurídica</w:t>
      </w:r>
      <w:r>
        <w:rPr>
          <w:rFonts w:eastAsiaTheme="minorEastAsia"/>
        </w:rPr>
        <w:t>,</w:t>
      </w:r>
      <w:r w:rsidRPr="00BC71C0">
        <w:rPr>
          <w:rFonts w:eastAsiaTheme="minorEastAsia"/>
        </w:rPr>
        <w:t xml:space="preserve"> que atenda aos seguintes requisitos:</w:t>
      </w:r>
    </w:p>
    <w:p w14:paraId="47E6256A" w14:textId="77777777" w:rsidR="0045288F" w:rsidRPr="00BC71C0" w:rsidRDefault="0045288F" w:rsidP="0045288F">
      <w:pPr>
        <w:pStyle w:val="NormaAlterada"/>
        <w:rPr>
          <w:rFonts w:eastAsiaTheme="minorEastAsia"/>
        </w:rPr>
      </w:pPr>
      <w:r w:rsidRPr="00BC71C0">
        <w:rPr>
          <w:rFonts w:eastAsiaTheme="minorEastAsia"/>
        </w:rPr>
        <w:t>I – ser cotista ou profissional especialmente contratado para zelar pelos interesses dos cotistas;</w:t>
      </w:r>
    </w:p>
    <w:p w14:paraId="63361D4F" w14:textId="77777777" w:rsidR="0045288F" w:rsidRPr="00BC71C0" w:rsidRDefault="0045288F" w:rsidP="0045288F">
      <w:pPr>
        <w:pStyle w:val="NormaAlterada"/>
        <w:rPr>
          <w:rFonts w:eastAsiaTheme="minorEastAsia"/>
        </w:rPr>
      </w:pPr>
      <w:r w:rsidRPr="00BC71C0">
        <w:rPr>
          <w:rFonts w:eastAsiaTheme="minorEastAsia"/>
        </w:rPr>
        <w:t xml:space="preserve">II – não exercer cargo ou função </w:t>
      </w:r>
      <w:r w:rsidRPr="00870F59">
        <w:rPr>
          <w:rFonts w:eastAsiaTheme="minorEastAsia"/>
        </w:rPr>
        <w:t>no prestador de serviço essencial</w:t>
      </w:r>
      <w:r w:rsidRPr="00BC71C0">
        <w:rPr>
          <w:rFonts w:eastAsiaTheme="minorEastAsia"/>
        </w:rPr>
        <w:t>, em seu controlador, em sociedades por ele direta ou indiretamente controladas e em coligadas ou outras sociedades sob controle comum; e</w:t>
      </w:r>
    </w:p>
    <w:p w14:paraId="2E0F5CAE" w14:textId="77777777" w:rsidR="0045288F" w:rsidRPr="00870F59" w:rsidRDefault="0045288F" w:rsidP="0045288F">
      <w:pPr>
        <w:pStyle w:val="NormaAlterada"/>
        <w:rPr>
          <w:rFonts w:eastAsiaTheme="minorEastAsia"/>
        </w:rPr>
      </w:pPr>
      <w:r w:rsidRPr="00BC71C0">
        <w:rPr>
          <w:rFonts w:eastAsiaTheme="minorEastAsia"/>
        </w:rPr>
        <w:t xml:space="preserve">III – não exercer cargo em cedente de direitos creditórios integrantes da carteira </w:t>
      </w:r>
      <w:r>
        <w:rPr>
          <w:rFonts w:eastAsiaTheme="minorEastAsia"/>
        </w:rPr>
        <w:t>de ativos</w:t>
      </w:r>
      <w:r w:rsidRPr="00BC71C0">
        <w:rPr>
          <w:rFonts w:eastAsiaTheme="minorEastAsia"/>
        </w:rPr>
        <w:t>.</w:t>
      </w:r>
    </w:p>
    <w:p w14:paraId="1E635827" w14:textId="77777777" w:rsidR="0045288F" w:rsidRPr="00BC71C0" w:rsidRDefault="0045288F" w:rsidP="0045288F">
      <w:pPr>
        <w:pStyle w:val="NormaAlterada"/>
        <w:rPr>
          <w:rFonts w:eastAsiaTheme="minorEastAsia"/>
        </w:rPr>
      </w:pPr>
      <w:r w:rsidRPr="00870F59">
        <w:rPr>
          <w:rFonts w:eastAsiaTheme="minorEastAsia"/>
        </w:rPr>
        <w:t xml:space="preserve">Art. </w:t>
      </w:r>
      <w:r>
        <w:rPr>
          <w:rFonts w:eastAsiaTheme="minorEastAsia"/>
        </w:rPr>
        <w:t>11</w:t>
      </w:r>
      <w:r w:rsidRPr="00870F59">
        <w:rPr>
          <w:rFonts w:eastAsiaTheme="minorEastAsia"/>
        </w:rPr>
        <w:t>.</w:t>
      </w:r>
      <w:r w:rsidRPr="00BC71C0">
        <w:rPr>
          <w:rFonts w:eastAsiaTheme="minorEastAsia"/>
        </w:rPr>
        <w:t xml:space="preserve"> </w:t>
      </w:r>
      <w:r w:rsidRPr="00870F59">
        <w:rPr>
          <w:rFonts w:eastAsiaTheme="minorEastAsia"/>
        </w:rPr>
        <w:t xml:space="preserve"> </w:t>
      </w:r>
      <w:r w:rsidRPr="00BC71C0">
        <w:rPr>
          <w:rFonts w:eastAsiaTheme="minorEastAsia"/>
        </w:rPr>
        <w:t>É facultad</w:t>
      </w:r>
      <w:r w:rsidRPr="00870F59">
        <w:rPr>
          <w:rFonts w:eastAsiaTheme="minorEastAsia"/>
        </w:rPr>
        <w:t>a</w:t>
      </w:r>
      <w:r w:rsidRPr="00BC71C0">
        <w:rPr>
          <w:rFonts w:eastAsiaTheme="minorEastAsia"/>
        </w:rPr>
        <w:t xml:space="preserve"> ao representante dos cotistas</w:t>
      </w:r>
      <w:r w:rsidRPr="00870F59">
        <w:rPr>
          <w:rFonts w:eastAsiaTheme="minorEastAsia"/>
        </w:rPr>
        <w:t xml:space="preserve"> a prerrogativa de convocação de assembleia prevista no art. 108 da parte geral d</w:t>
      </w:r>
      <w:r>
        <w:rPr>
          <w:rFonts w:eastAsiaTheme="minorEastAsia"/>
        </w:rPr>
        <w:t>est</w:t>
      </w:r>
      <w:r w:rsidRPr="00870F59">
        <w:rPr>
          <w:rFonts w:eastAsiaTheme="minorEastAsia"/>
        </w:rPr>
        <w:t>a Resolução</w:t>
      </w:r>
      <w:r w:rsidRPr="00BC71C0">
        <w:rPr>
          <w:rFonts w:eastAsiaTheme="minorEastAsia"/>
        </w:rPr>
        <w:t>.</w:t>
      </w:r>
    </w:p>
    <w:p w14:paraId="64399AF2" w14:textId="77777777" w:rsidR="0045288F" w:rsidRPr="00BC71C0" w:rsidRDefault="0045288F" w:rsidP="0045288F">
      <w:pPr>
        <w:pStyle w:val="Captulo"/>
        <w:rPr>
          <w:rFonts w:eastAsiaTheme="minorEastAsia" w:cstheme="minorBidi"/>
        </w:rPr>
      </w:pPr>
      <w:bookmarkStart w:id="1463" w:name="_Toc161141442"/>
      <w:r w:rsidRPr="00870F59">
        <w:rPr>
          <w:rFonts w:eastAsiaTheme="minorEastAsia" w:cstheme="minorBidi"/>
        </w:rPr>
        <w:t>CAPÍTULO VII – PRESTAÇÃO DE SERVIÇOS</w:t>
      </w:r>
      <w:bookmarkEnd w:id="1463"/>
    </w:p>
    <w:p w14:paraId="10FA1A65"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12</w:t>
      </w:r>
      <w:r w:rsidRPr="00BC71C0">
        <w:rPr>
          <w:rFonts w:eastAsiaTheme="minorEastAsia"/>
        </w:rPr>
        <w:t xml:space="preserve">.  A administração </w:t>
      </w:r>
      <w:r>
        <w:rPr>
          <w:rFonts w:eastAsiaTheme="minorEastAsia"/>
        </w:rPr>
        <w:t>fiduciária deve ser</w:t>
      </w:r>
      <w:r w:rsidRPr="00BC71C0">
        <w:rPr>
          <w:rFonts w:eastAsiaTheme="minorEastAsia"/>
        </w:rPr>
        <w:t xml:space="preserve"> exercida por instituição financeira</w:t>
      </w:r>
      <w:r w:rsidRPr="00870F59">
        <w:rPr>
          <w:rFonts w:eastAsiaTheme="minorEastAsia"/>
        </w:rPr>
        <w:t>, de acordo com os requisitos estabelecidos na regulamentação específica</w:t>
      </w:r>
      <w:r w:rsidRPr="00BC71C0">
        <w:rPr>
          <w:rFonts w:eastAsiaTheme="minorEastAsia"/>
        </w:rPr>
        <w:t>.</w:t>
      </w:r>
    </w:p>
    <w:p w14:paraId="65D35E6B"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13</w:t>
      </w:r>
      <w:r w:rsidRPr="00BC71C0">
        <w:rPr>
          <w:rFonts w:eastAsiaTheme="minorEastAsia"/>
        </w:rPr>
        <w:t xml:space="preserve">.  Uma vez apresentado o </w:t>
      </w:r>
      <w:r w:rsidRPr="00870F59">
        <w:rPr>
          <w:rFonts w:eastAsiaTheme="minorEastAsia"/>
        </w:rPr>
        <w:t>Projeto</w:t>
      </w:r>
      <w:r w:rsidRPr="00BC71C0">
        <w:rPr>
          <w:rFonts w:eastAsiaTheme="minorEastAsia"/>
        </w:rPr>
        <w:t xml:space="preserve"> pelo órgão público</w:t>
      </w:r>
      <w:r w:rsidRPr="00870F59">
        <w:rPr>
          <w:rFonts w:eastAsiaTheme="minorEastAsia"/>
        </w:rPr>
        <w:t xml:space="preserve">, </w:t>
      </w:r>
      <w:r w:rsidRPr="00BC71C0">
        <w:rPr>
          <w:rFonts w:eastAsiaTheme="minorEastAsia"/>
        </w:rPr>
        <w:t xml:space="preserve">o </w:t>
      </w:r>
      <w:r>
        <w:rPr>
          <w:rFonts w:eastAsiaTheme="minorEastAsia"/>
        </w:rPr>
        <w:t>gestor</w:t>
      </w:r>
      <w:r w:rsidRPr="00BC71C0">
        <w:rPr>
          <w:rFonts w:eastAsiaTheme="minorEastAsia"/>
        </w:rPr>
        <w:t xml:space="preserve"> </w:t>
      </w:r>
      <w:r>
        <w:rPr>
          <w:rFonts w:eastAsiaTheme="minorEastAsia"/>
        </w:rPr>
        <w:t>deve</w:t>
      </w:r>
      <w:r w:rsidRPr="00BC71C0">
        <w:rPr>
          <w:rFonts w:eastAsiaTheme="minorEastAsia"/>
        </w:rPr>
        <w:t xml:space="preserve"> fazer uma criteriosa e rígida análise de risco do </w:t>
      </w:r>
      <w:r>
        <w:rPr>
          <w:rFonts w:eastAsiaTheme="minorEastAsia"/>
        </w:rPr>
        <w:t>Projeto</w:t>
      </w:r>
      <w:r w:rsidRPr="00BC71C0">
        <w:rPr>
          <w:rFonts w:eastAsiaTheme="minorEastAsia"/>
        </w:rPr>
        <w:t xml:space="preserve">, </w:t>
      </w:r>
      <w:r w:rsidRPr="00870F59">
        <w:rPr>
          <w:rFonts w:eastAsiaTheme="minorEastAsia"/>
        </w:rPr>
        <w:t>podendo</w:t>
      </w:r>
      <w:r w:rsidRPr="00BC71C0">
        <w:rPr>
          <w:rFonts w:eastAsiaTheme="minorEastAsia"/>
        </w:rPr>
        <w:t xml:space="preserve"> utilizar sua experiência na área habitacional ou contratar terceiros de reconhecida capacidade técnica para esta avaliação.</w:t>
      </w:r>
    </w:p>
    <w:p w14:paraId="78DA24E1" w14:textId="77777777" w:rsidR="0045288F" w:rsidRPr="00BC71C0" w:rsidRDefault="0045288F" w:rsidP="0045288F">
      <w:pPr>
        <w:pStyle w:val="NormaAlterada"/>
        <w:rPr>
          <w:rFonts w:eastAsiaTheme="minorEastAsia"/>
        </w:rPr>
      </w:pPr>
      <w:r w:rsidRPr="00BC71C0">
        <w:rPr>
          <w:rFonts w:eastAsiaTheme="minorEastAsia"/>
        </w:rPr>
        <w:t>Parágrafo único.  Os documentos comprobatórios da qualidade e viabilidade econômico</w:t>
      </w:r>
      <w:r w:rsidRPr="00870F59">
        <w:rPr>
          <w:rFonts w:eastAsiaTheme="minorEastAsia"/>
        </w:rPr>
        <w:t>-</w:t>
      </w:r>
      <w:r w:rsidRPr="00BC71C0">
        <w:rPr>
          <w:rFonts w:eastAsiaTheme="minorEastAsia"/>
        </w:rPr>
        <w:t>financeir</w:t>
      </w:r>
      <w:r w:rsidRPr="00870F59">
        <w:rPr>
          <w:rFonts w:eastAsiaTheme="minorEastAsia"/>
        </w:rPr>
        <w:t>a</w:t>
      </w:r>
      <w:r w:rsidRPr="00BC71C0">
        <w:rPr>
          <w:rFonts w:eastAsiaTheme="minorEastAsia"/>
        </w:rPr>
        <w:t xml:space="preserve"> do </w:t>
      </w:r>
      <w:r w:rsidRPr="00870F59">
        <w:rPr>
          <w:rFonts w:eastAsiaTheme="minorEastAsia"/>
        </w:rPr>
        <w:t>Projeto</w:t>
      </w:r>
      <w:r w:rsidRPr="00BC71C0">
        <w:rPr>
          <w:rFonts w:eastAsiaTheme="minorEastAsia"/>
        </w:rPr>
        <w:t xml:space="preserve"> </w:t>
      </w:r>
      <w:r w:rsidRPr="00870F59">
        <w:rPr>
          <w:rFonts w:eastAsiaTheme="minorEastAsia"/>
        </w:rPr>
        <w:t>devem ser disponibilizados a</w:t>
      </w:r>
      <w:r w:rsidRPr="00BC71C0">
        <w:rPr>
          <w:rFonts w:eastAsiaTheme="minorEastAsia"/>
        </w:rPr>
        <w:t xml:space="preserve"> qualquer interessado </w:t>
      </w:r>
      <w:r w:rsidRPr="00870F59">
        <w:rPr>
          <w:rFonts w:eastAsiaTheme="minorEastAsia"/>
        </w:rPr>
        <w:t>pelo</w:t>
      </w:r>
      <w:r w:rsidRPr="00BC71C0">
        <w:rPr>
          <w:rFonts w:eastAsiaTheme="minorEastAsia"/>
        </w:rPr>
        <w:t xml:space="preserve"> administrador.</w:t>
      </w:r>
    </w:p>
    <w:p w14:paraId="63C5CF29" w14:textId="77777777" w:rsidR="0045288F" w:rsidRPr="00C407DD" w:rsidRDefault="0045288F" w:rsidP="0045288F">
      <w:pPr>
        <w:pStyle w:val="Captulo"/>
        <w:rPr>
          <w:rFonts w:eastAsiaTheme="minorEastAsia" w:cstheme="minorBidi"/>
        </w:rPr>
      </w:pPr>
      <w:bookmarkStart w:id="1464" w:name="_Toc161141443"/>
      <w:r w:rsidRPr="00870F59">
        <w:rPr>
          <w:rFonts w:eastAsiaTheme="minorEastAsia" w:cstheme="minorBidi"/>
        </w:rPr>
        <w:t xml:space="preserve">CAPÍTULO </w:t>
      </w:r>
      <w:r>
        <w:rPr>
          <w:rFonts w:eastAsiaTheme="minorEastAsia" w:cstheme="minorBidi"/>
        </w:rPr>
        <w:t>VIII</w:t>
      </w:r>
      <w:r w:rsidRPr="00870F59">
        <w:rPr>
          <w:rFonts w:eastAsiaTheme="minorEastAsia" w:cstheme="minorBidi"/>
        </w:rPr>
        <w:t xml:space="preserve"> – </w:t>
      </w:r>
      <w:r w:rsidRPr="00BC71C0">
        <w:rPr>
          <w:rFonts w:eastAsiaTheme="minorEastAsia" w:cstheme="minorBidi"/>
        </w:rPr>
        <w:t>CARTEIRA</w:t>
      </w:r>
      <w:bookmarkEnd w:id="1464"/>
    </w:p>
    <w:p w14:paraId="36A948D0"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14</w:t>
      </w:r>
      <w:r w:rsidRPr="00BC71C0">
        <w:rPr>
          <w:rFonts w:eastAsiaTheme="minorEastAsia"/>
        </w:rPr>
        <w:t xml:space="preserve">.  Até 30 (trinta) dias após a subscrição total das cotas, no mínimo 95% (noventa e cinco por cento) dos recursos aplicados no FIDC-PIPS </w:t>
      </w:r>
      <w:r>
        <w:rPr>
          <w:rFonts w:eastAsiaTheme="minorEastAsia"/>
        </w:rPr>
        <w:t>devem</w:t>
      </w:r>
      <w:r w:rsidRPr="00BC71C0">
        <w:rPr>
          <w:rFonts w:eastAsiaTheme="minorEastAsia"/>
        </w:rPr>
        <w:t xml:space="preserve"> ser direcionados para aquisição dos recebíveis originados </w:t>
      </w:r>
      <w:r w:rsidRPr="00870F59">
        <w:rPr>
          <w:rFonts w:eastAsiaTheme="minorEastAsia"/>
        </w:rPr>
        <w:t>n</w:t>
      </w:r>
      <w:r w:rsidRPr="00BC71C0">
        <w:rPr>
          <w:rFonts w:eastAsiaTheme="minorEastAsia"/>
        </w:rPr>
        <w:t xml:space="preserve">os </w:t>
      </w:r>
      <w:r w:rsidRPr="00870F59">
        <w:rPr>
          <w:rFonts w:eastAsiaTheme="minorEastAsia"/>
        </w:rPr>
        <w:t>P</w:t>
      </w:r>
      <w:r w:rsidRPr="00BC71C0">
        <w:rPr>
          <w:rFonts w:eastAsiaTheme="minorEastAsia"/>
        </w:rPr>
        <w:t xml:space="preserve">rojetos, observados, em relação a cada espécie de destinação, os percentuais mínimos a </w:t>
      </w:r>
      <w:r w:rsidRPr="00BC71C0">
        <w:rPr>
          <w:rFonts w:eastAsiaTheme="minorEastAsia"/>
        </w:rPr>
        <w:lastRenderedPageBreak/>
        <w:t xml:space="preserve">serem estabelecidos em seu regulamento, podendo a </w:t>
      </w:r>
      <w:r>
        <w:rPr>
          <w:rFonts w:eastAsiaTheme="minorEastAsia"/>
        </w:rPr>
        <w:t>Superintendência competente</w:t>
      </w:r>
      <w:r w:rsidRPr="00BC71C0">
        <w:rPr>
          <w:rFonts w:eastAsiaTheme="minorEastAsia"/>
        </w:rPr>
        <w:t>, a seu exclusivo critério</w:t>
      </w:r>
      <w:r w:rsidRPr="00870F59">
        <w:rPr>
          <w:rFonts w:eastAsiaTheme="minorEastAsia"/>
        </w:rPr>
        <w:t>,</w:t>
      </w:r>
      <w:r w:rsidRPr="00BC71C0">
        <w:rPr>
          <w:rFonts w:eastAsiaTheme="minorEastAsia"/>
        </w:rPr>
        <w:t xml:space="preserve"> prorrogar esse prazo, desde que o </w:t>
      </w:r>
      <w:r>
        <w:rPr>
          <w:rFonts w:eastAsiaTheme="minorEastAsia"/>
        </w:rPr>
        <w:t>gestor</w:t>
      </w:r>
      <w:r w:rsidRPr="00BC71C0">
        <w:rPr>
          <w:rFonts w:eastAsiaTheme="minorEastAsia"/>
        </w:rPr>
        <w:t xml:space="preserve"> apresente motivos que justifiquem a prorrogação.</w:t>
      </w:r>
    </w:p>
    <w:p w14:paraId="175B2324" w14:textId="77777777" w:rsidR="0045288F" w:rsidRPr="00BC71C0" w:rsidRDefault="0045288F" w:rsidP="0045288F">
      <w:pPr>
        <w:pStyle w:val="NormaAlterada"/>
        <w:rPr>
          <w:rFonts w:eastAsiaTheme="minorEastAsia"/>
        </w:rPr>
      </w:pPr>
      <w:r>
        <w:rPr>
          <w:rFonts w:eastAsiaTheme="minorEastAsia"/>
        </w:rPr>
        <w:t xml:space="preserve">Parágrafo único.  </w:t>
      </w:r>
      <w:r w:rsidRPr="00BC71C0">
        <w:rPr>
          <w:rFonts w:eastAsiaTheme="minorEastAsia"/>
        </w:rPr>
        <w:t xml:space="preserve">A parcela do patrimônio </w:t>
      </w:r>
      <w:r w:rsidRPr="00870F59">
        <w:rPr>
          <w:rFonts w:eastAsiaTheme="minorEastAsia"/>
        </w:rPr>
        <w:t>da classe de cotas</w:t>
      </w:r>
      <w:r w:rsidRPr="00BC71C0">
        <w:rPr>
          <w:rFonts w:eastAsiaTheme="minorEastAsia"/>
        </w:rPr>
        <w:t xml:space="preserve"> não </w:t>
      </w:r>
      <w:r>
        <w:rPr>
          <w:rFonts w:eastAsiaTheme="minorEastAsia"/>
        </w:rPr>
        <w:t>aplicada em direitos creditórios deve ser</w:t>
      </w:r>
      <w:r w:rsidRPr="00BC71C0">
        <w:rPr>
          <w:rFonts w:eastAsiaTheme="minorEastAsia"/>
        </w:rPr>
        <w:t xml:space="preserve"> constituída por títulos </w:t>
      </w:r>
      <w:r w:rsidRPr="00870F59">
        <w:rPr>
          <w:rFonts w:eastAsiaTheme="minorEastAsia"/>
        </w:rPr>
        <w:t>públicos federais</w:t>
      </w:r>
      <w:r w:rsidRPr="00BC71C0">
        <w:rPr>
          <w:rFonts w:eastAsiaTheme="minorEastAsia"/>
        </w:rPr>
        <w:t xml:space="preserve"> ou por operações compromissadas lastreadas </w:t>
      </w:r>
      <w:r w:rsidRPr="00870F59">
        <w:rPr>
          <w:rFonts w:eastAsiaTheme="minorEastAsia"/>
        </w:rPr>
        <w:t>nos referidos</w:t>
      </w:r>
      <w:r w:rsidRPr="00BC71C0">
        <w:rPr>
          <w:rFonts w:eastAsiaTheme="minorEastAsia"/>
        </w:rPr>
        <w:t xml:space="preserve"> títulos, respeitado o limite de 5% (cinco por cento).</w:t>
      </w:r>
    </w:p>
    <w:p w14:paraId="1E5FCBCF" w14:textId="77777777" w:rsidR="0045288F" w:rsidRPr="00BC71C0" w:rsidRDefault="0045288F" w:rsidP="0045288F">
      <w:pPr>
        <w:pStyle w:val="Captulo"/>
        <w:rPr>
          <w:rFonts w:eastAsiaTheme="minorEastAsia" w:cstheme="minorBidi"/>
        </w:rPr>
      </w:pPr>
      <w:bookmarkStart w:id="1465" w:name="_Toc161141444"/>
      <w:r w:rsidRPr="00870F59">
        <w:rPr>
          <w:rFonts w:eastAsiaTheme="minorEastAsia" w:cstheme="minorBidi"/>
        </w:rPr>
        <w:t xml:space="preserve">CAPÍTULO </w:t>
      </w:r>
      <w:r>
        <w:rPr>
          <w:rFonts w:eastAsiaTheme="minorEastAsia" w:cstheme="minorBidi"/>
        </w:rPr>
        <w:t>I</w:t>
      </w:r>
      <w:r w:rsidRPr="00870F59">
        <w:rPr>
          <w:rFonts w:eastAsiaTheme="minorEastAsia" w:cstheme="minorBidi"/>
        </w:rPr>
        <w:t>X – ENCARGOS</w:t>
      </w:r>
      <w:bookmarkEnd w:id="1465"/>
    </w:p>
    <w:p w14:paraId="5C1A92B9" w14:textId="77777777" w:rsidR="0045288F" w:rsidRPr="00BC71C0" w:rsidRDefault="0045288F" w:rsidP="0045288F">
      <w:pPr>
        <w:pStyle w:val="NormaAlterada"/>
        <w:rPr>
          <w:rFonts w:eastAsiaTheme="minorEastAsia"/>
        </w:rPr>
      </w:pPr>
      <w:r w:rsidRPr="00BC71C0">
        <w:rPr>
          <w:rFonts w:eastAsiaTheme="minorEastAsia"/>
        </w:rPr>
        <w:t xml:space="preserve">Art. </w:t>
      </w:r>
      <w:r>
        <w:rPr>
          <w:rFonts w:eastAsiaTheme="minorEastAsia"/>
        </w:rPr>
        <w:t xml:space="preserve">15. </w:t>
      </w:r>
      <w:r w:rsidRPr="00870F59">
        <w:rPr>
          <w:rFonts w:eastAsiaTheme="minorEastAsia"/>
        </w:rPr>
        <w:t xml:space="preserve"> Em acréscimo ao disposto no art. 117 da </w:t>
      </w:r>
      <w:r>
        <w:rPr>
          <w:rFonts w:eastAsiaTheme="minorEastAsia"/>
        </w:rPr>
        <w:t xml:space="preserve">parte geral da </w:t>
      </w:r>
      <w:r w:rsidRPr="00870F59">
        <w:rPr>
          <w:rFonts w:eastAsiaTheme="minorEastAsia"/>
        </w:rPr>
        <w:t>Resolução</w:t>
      </w:r>
      <w:r>
        <w:rPr>
          <w:rFonts w:eastAsiaTheme="minorEastAsia"/>
        </w:rPr>
        <w:t xml:space="preserve"> e no art. 53 do Anexo Normativo II</w:t>
      </w:r>
      <w:r w:rsidRPr="00870F59">
        <w:rPr>
          <w:rFonts w:eastAsiaTheme="minorEastAsia"/>
        </w:rPr>
        <w:t>, constituem encargos do fundo h</w:t>
      </w:r>
      <w:r>
        <w:rPr>
          <w:rFonts w:eastAsiaTheme="minorEastAsia"/>
        </w:rPr>
        <w:t>onorários e despesas relacionado</w:t>
      </w:r>
      <w:r w:rsidRPr="00870F59">
        <w:rPr>
          <w:rFonts w:eastAsiaTheme="minorEastAsia"/>
        </w:rPr>
        <w:t xml:space="preserve">s às atividades </w:t>
      </w:r>
      <w:r>
        <w:rPr>
          <w:rFonts w:eastAsiaTheme="minorEastAsia"/>
        </w:rPr>
        <w:t>de representação dos cotistas, nos termos do art. 10 deste Anexo Normativo XII.</w:t>
      </w:r>
    </w:p>
    <w:p w14:paraId="027BAAD6" w14:textId="77777777" w:rsidR="0045288F" w:rsidRPr="00BC71C0" w:rsidRDefault="0045288F" w:rsidP="0045288F">
      <w:pPr>
        <w:pStyle w:val="Captulo"/>
        <w:rPr>
          <w:rFonts w:eastAsiaTheme="minorEastAsia" w:cstheme="minorBidi"/>
        </w:rPr>
      </w:pPr>
      <w:bookmarkStart w:id="1466" w:name="_Toc161141445"/>
      <w:r w:rsidRPr="00870F59">
        <w:rPr>
          <w:rFonts w:eastAsiaTheme="minorEastAsia" w:cstheme="minorBidi"/>
        </w:rPr>
        <w:t xml:space="preserve">CAPÍTULO X – </w:t>
      </w:r>
      <w:r w:rsidRPr="00BC71C0">
        <w:rPr>
          <w:rFonts w:eastAsiaTheme="minorEastAsia" w:cstheme="minorBidi"/>
        </w:rPr>
        <w:t>PENALIDADES</w:t>
      </w:r>
      <w:bookmarkEnd w:id="1466"/>
    </w:p>
    <w:p w14:paraId="5A338BEF" w14:textId="77777777" w:rsidR="006873AD" w:rsidRDefault="0045288F" w:rsidP="0045288F">
      <w:pPr>
        <w:spacing w:before="120" w:after="120" w:line="312" w:lineRule="auto"/>
        <w:ind w:firstLine="709"/>
        <w:jc w:val="both"/>
        <w:rPr>
          <w:rFonts w:asciiTheme="minorHAnsi" w:eastAsiaTheme="minorEastAsia" w:hAnsiTheme="minorHAnsi" w:cstheme="minorHAnsi"/>
          <w:sz w:val="24"/>
          <w:szCs w:val="24"/>
        </w:rPr>
      </w:pPr>
      <w:r w:rsidRPr="0045288F">
        <w:rPr>
          <w:rFonts w:asciiTheme="minorHAnsi" w:eastAsiaTheme="minorEastAsia" w:hAnsiTheme="minorHAnsi" w:cstheme="minorHAnsi"/>
          <w:sz w:val="24"/>
          <w:szCs w:val="24"/>
        </w:rPr>
        <w:t>Art. 16.  Em acréscimo às condutas previstas no art. 131 da parte geral da Resolução e no art. 56 do Anexo Normativo II, considera-se infração grave, para efeito do disposto no art. 11, § 3º, da Lei nº 6.385, de 1976, a não observância do disposto nos arts. 12 e 13 deste Anexo Normativo XII.</w:t>
      </w:r>
    </w:p>
    <w:p w14:paraId="22818FC9" w14:textId="77777777" w:rsidR="00E00556" w:rsidRPr="00E00556" w:rsidRDefault="0045288F" w:rsidP="00E00556">
      <w:pPr>
        <w:pStyle w:val="PargrafodaLista"/>
        <w:numPr>
          <w:ilvl w:val="0"/>
          <w:numId w:val="13"/>
        </w:numPr>
        <w:spacing w:before="120" w:after="120" w:line="312" w:lineRule="auto"/>
        <w:ind w:left="284" w:hanging="142"/>
        <w:jc w:val="both"/>
        <w:rPr>
          <w:rFonts w:cstheme="minorHAnsi"/>
          <w:sz w:val="24"/>
          <w:szCs w:val="24"/>
        </w:rPr>
      </w:pPr>
      <w:r>
        <w:rPr>
          <w:rFonts w:cstheme="minorHAnsi"/>
          <w:b/>
          <w:i/>
          <w:sz w:val="24"/>
          <w:szCs w:val="24"/>
        </w:rPr>
        <w:t>A</w:t>
      </w:r>
      <w:r w:rsidR="00BB0B2F">
        <w:rPr>
          <w:rFonts w:cstheme="minorHAnsi"/>
          <w:b/>
          <w:i/>
          <w:sz w:val="24"/>
          <w:szCs w:val="24"/>
        </w:rPr>
        <w:t xml:space="preserve">nexo </w:t>
      </w:r>
      <w:r w:rsidR="00E00556">
        <w:rPr>
          <w:rFonts w:cstheme="minorHAnsi"/>
          <w:b/>
          <w:i/>
          <w:sz w:val="24"/>
          <w:szCs w:val="24"/>
        </w:rPr>
        <w:t>N</w:t>
      </w:r>
      <w:r w:rsidR="00BB0B2F">
        <w:rPr>
          <w:rFonts w:cstheme="minorHAnsi"/>
          <w:b/>
          <w:i/>
          <w:sz w:val="24"/>
          <w:szCs w:val="24"/>
        </w:rPr>
        <w:t>ormativo</w:t>
      </w:r>
      <w:r>
        <w:rPr>
          <w:rFonts w:cstheme="minorHAnsi"/>
          <w:b/>
          <w:i/>
          <w:sz w:val="24"/>
          <w:szCs w:val="24"/>
        </w:rPr>
        <w:t xml:space="preserve"> XII </w:t>
      </w:r>
      <w:r w:rsidRPr="0045288F">
        <w:rPr>
          <w:rFonts w:cstheme="minorHAnsi"/>
          <w:b/>
          <w:i/>
          <w:sz w:val="24"/>
          <w:szCs w:val="24"/>
        </w:rPr>
        <w:t>incluído pela Resolução CVM nº 184, de 31 de maio de 2023.</w:t>
      </w:r>
    </w:p>
    <w:p w14:paraId="21A1AEEA" w14:textId="77777777" w:rsidR="00E00556" w:rsidRDefault="00E00556" w:rsidP="00E00556">
      <w:pPr>
        <w:spacing w:before="120" w:after="120" w:line="312" w:lineRule="auto"/>
        <w:jc w:val="both"/>
        <w:rPr>
          <w:rFonts w:cstheme="minorHAnsi"/>
          <w:sz w:val="24"/>
          <w:szCs w:val="24"/>
        </w:rPr>
      </w:pPr>
    </w:p>
    <w:p w14:paraId="7DB8D2E7" w14:textId="2E026E51" w:rsidR="00E00556" w:rsidRPr="00E00556" w:rsidRDefault="00E00556" w:rsidP="00E00556">
      <w:pPr>
        <w:spacing w:before="120" w:after="120" w:line="312" w:lineRule="auto"/>
        <w:jc w:val="both"/>
        <w:rPr>
          <w:rFonts w:cstheme="minorHAnsi"/>
          <w:sz w:val="24"/>
          <w:szCs w:val="24"/>
        </w:rPr>
        <w:sectPr w:rsidR="00E00556" w:rsidRPr="00E00556" w:rsidSect="002A08BD">
          <w:headerReference w:type="default" r:id="rId27"/>
          <w:pgSz w:w="11906" w:h="16838"/>
          <w:pgMar w:top="2268" w:right="567" w:bottom="851" w:left="1134" w:header="709" w:footer="709" w:gutter="0"/>
          <w:cols w:space="708"/>
          <w:docGrid w:linePitch="360"/>
        </w:sectPr>
      </w:pPr>
    </w:p>
    <w:p w14:paraId="1B88B22B" w14:textId="77777777" w:rsidR="00C20BBD" w:rsidRPr="0097459F" w:rsidRDefault="00C20BBD" w:rsidP="00FB1127">
      <w:pPr>
        <w:pStyle w:val="Ttulo1"/>
        <w:spacing w:before="120" w:after="0" w:line="312" w:lineRule="auto"/>
        <w:jc w:val="center"/>
        <w:rPr>
          <w:rFonts w:asciiTheme="minorHAnsi" w:hAnsiTheme="minorHAnsi" w:cstheme="minorHAnsi"/>
          <w:b w:val="0"/>
          <w:bCs w:val="0"/>
          <w:sz w:val="24"/>
          <w:szCs w:val="24"/>
        </w:rPr>
      </w:pPr>
      <w:bookmarkStart w:id="1467" w:name="_Toc53594543"/>
      <w:bookmarkStart w:id="1468" w:name="_Toc53595568"/>
      <w:bookmarkStart w:id="1469" w:name="_Toc53594295"/>
      <w:bookmarkStart w:id="1470" w:name="_Toc57836305"/>
      <w:bookmarkStart w:id="1471" w:name="_Toc161141446"/>
      <w:r w:rsidRPr="0097459F">
        <w:rPr>
          <w:rFonts w:asciiTheme="minorHAnsi" w:hAnsiTheme="minorHAnsi" w:cstheme="minorHAnsi"/>
          <w:sz w:val="24"/>
          <w:szCs w:val="24"/>
        </w:rPr>
        <w:lastRenderedPageBreak/>
        <w:t>SUPLEMENTO A – TERMO DE CIÊNCIA E ASSUNÇÃO DE RESPONSABILIDADE ILIMITADA</w:t>
      </w:r>
      <w:bookmarkEnd w:id="1467"/>
      <w:bookmarkEnd w:id="1468"/>
      <w:bookmarkEnd w:id="1469"/>
      <w:bookmarkEnd w:id="1470"/>
      <w:bookmarkEnd w:id="1471"/>
    </w:p>
    <w:p w14:paraId="2209CF31" w14:textId="0AFA5CAC" w:rsidR="00C20BBD" w:rsidRPr="0097459F" w:rsidRDefault="00C20BBD" w:rsidP="00FB1127">
      <w:pPr>
        <w:spacing w:before="120" w:after="0" w:line="312" w:lineRule="auto"/>
        <w:ind w:firstLine="709"/>
        <w:jc w:val="center"/>
        <w:rPr>
          <w:rFonts w:asciiTheme="minorHAnsi" w:eastAsia="Times" w:hAnsiTheme="minorHAnsi" w:cstheme="minorHAnsi"/>
          <w:i/>
          <w:sz w:val="24"/>
          <w:szCs w:val="24"/>
        </w:rPr>
      </w:pPr>
      <w:r w:rsidRPr="0097459F">
        <w:rPr>
          <w:rFonts w:asciiTheme="minorHAnsi" w:eastAsia="Times" w:hAnsiTheme="minorHAnsi" w:cstheme="minorHAnsi"/>
          <w:i/>
          <w:sz w:val="24"/>
          <w:szCs w:val="24"/>
        </w:rPr>
        <w:t>Termo declaratório, mediante o qual o cotista atesta que possui ciência sobre sua responsabilidade ilimitada</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 xml:space="preserve">conforme previsto </w:t>
      </w:r>
      <w:r w:rsidR="00BD0FEA">
        <w:rPr>
          <w:rFonts w:asciiTheme="minorHAnsi" w:eastAsia="Times" w:hAnsiTheme="minorHAnsi" w:cstheme="minorHAnsi"/>
          <w:i/>
          <w:sz w:val="24"/>
          <w:szCs w:val="24"/>
        </w:rPr>
        <w:t>no art</w:t>
      </w:r>
      <w:r w:rsidR="00201061">
        <w:rPr>
          <w:rFonts w:asciiTheme="minorHAnsi" w:eastAsia="Times" w:hAnsiTheme="minorHAnsi" w:cstheme="minorHAnsi"/>
          <w:i/>
          <w:sz w:val="24"/>
          <w:szCs w:val="24"/>
        </w:rPr>
        <w:t>.</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29, § 3º, da Resolução CVM nº 175, de 2022</w:t>
      </w:r>
      <w:r w:rsidRPr="0097459F">
        <w:rPr>
          <w:rFonts w:asciiTheme="minorHAnsi" w:eastAsia="Times" w:hAnsiTheme="minorHAnsi" w:cstheme="minorHAnsi"/>
          <w:i/>
          <w:sz w:val="24"/>
          <w:szCs w:val="24"/>
        </w:rPr>
        <w:t>.</w:t>
      </w:r>
    </w:p>
    <w:p w14:paraId="6D5E611E"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58C09F54" w14:textId="77777777" w:rsidR="00C20BBD" w:rsidRPr="0097459F" w:rsidRDefault="00C20BBD" w:rsidP="00FB1127">
      <w:pPr>
        <w:spacing w:before="120" w:after="0" w:line="312" w:lineRule="auto"/>
        <w:jc w:val="center"/>
        <w:rPr>
          <w:rFonts w:asciiTheme="minorHAnsi" w:hAnsiTheme="minorHAnsi" w:cstheme="minorHAnsi"/>
          <w:b/>
          <w:bCs/>
          <w:color w:val="0D0D0D"/>
          <w:sz w:val="24"/>
          <w:szCs w:val="24"/>
        </w:rPr>
      </w:pPr>
      <w:r w:rsidRPr="0097459F">
        <w:rPr>
          <w:rFonts w:asciiTheme="minorHAnsi" w:hAnsiTheme="minorHAnsi" w:cstheme="minorHAnsi"/>
          <w:b/>
          <w:bCs/>
          <w:color w:val="0D0D0D"/>
          <w:sz w:val="24"/>
          <w:szCs w:val="24"/>
        </w:rPr>
        <w:t>[nome de fantasia do fundo e, se for o caso, da classe]</w:t>
      </w:r>
    </w:p>
    <w:p w14:paraId="70AD34DA" w14:textId="38974265" w:rsidR="00C20BBD" w:rsidRPr="0097459F" w:rsidRDefault="00C20BBD" w:rsidP="00FB1127">
      <w:pPr>
        <w:spacing w:before="120" w:after="0" w:line="312"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[CNPJ </w:t>
      </w:r>
      <w:r w:rsidR="00FB1127" w:rsidRPr="0097459F">
        <w:rPr>
          <w:rFonts w:asciiTheme="minorHAnsi" w:hAnsiTheme="minorHAnsi" w:cstheme="minorHAnsi"/>
          <w:b/>
          <w:color w:val="000000"/>
          <w:sz w:val="24"/>
          <w:szCs w:val="24"/>
        </w:rPr>
        <w:t>do fundo</w:t>
      </w:r>
      <w:r w:rsidRPr="0097459F">
        <w:rPr>
          <w:rFonts w:asciiTheme="minorHAnsi" w:hAnsiTheme="minorHAnsi" w:cstheme="minorHAnsi"/>
          <w:b/>
          <w:color w:val="000000"/>
          <w:sz w:val="24"/>
          <w:szCs w:val="24"/>
        </w:rPr>
        <w:t>]</w:t>
      </w:r>
    </w:p>
    <w:p w14:paraId="3FD17925"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62215449" w14:textId="77777777" w:rsidR="00C20BBD" w:rsidRPr="0097459F" w:rsidRDefault="00C20BBD" w:rsidP="00FB1127">
      <w:pPr>
        <w:spacing w:before="120" w:after="0" w:line="312" w:lineRule="auto"/>
        <w:ind w:firstLine="709"/>
        <w:jc w:val="both"/>
        <w:rPr>
          <w:rFonts w:asciiTheme="minorHAnsi" w:eastAsia="Times" w:hAnsiTheme="minorHAnsi" w:cstheme="minorHAnsi"/>
          <w:sz w:val="24"/>
          <w:szCs w:val="24"/>
        </w:rPr>
      </w:pPr>
      <w:r w:rsidRPr="0097459F">
        <w:rPr>
          <w:rFonts w:asciiTheme="minorHAnsi" w:eastAsia="Times" w:hAnsiTheme="minorHAnsi" w:cstheme="minorHAnsi"/>
          <w:sz w:val="24"/>
          <w:szCs w:val="24"/>
        </w:rPr>
        <w:t>Ao assinar este termo, estou confirmando que tenho ciência de que:</w:t>
      </w:r>
    </w:p>
    <w:p w14:paraId="33AB582D"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p>
    <w:p w14:paraId="4F628027" w14:textId="77777777" w:rsidR="00C20BBD" w:rsidRPr="0097459F" w:rsidRDefault="00C20BBD" w:rsidP="00FB1127">
      <w:pPr>
        <w:spacing w:before="120" w:after="0" w:line="312" w:lineRule="auto"/>
        <w:ind w:left="357" w:firstLine="709"/>
        <w:jc w:val="both"/>
        <w:rPr>
          <w:rFonts w:asciiTheme="minorHAnsi" w:hAnsiTheme="minorHAnsi" w:cstheme="minorHAnsi"/>
          <w:sz w:val="24"/>
          <w:szCs w:val="24"/>
        </w:rPr>
      </w:pPr>
      <w:r w:rsidRPr="0097459F">
        <w:rPr>
          <w:rFonts w:asciiTheme="minorHAnsi" w:eastAsia="Times" w:hAnsiTheme="minorHAnsi" w:cstheme="minorHAnsi"/>
          <w:sz w:val="24"/>
          <w:szCs w:val="24"/>
        </w:rPr>
        <w:t xml:space="preserve">I – </w:t>
      </w:r>
      <w:r w:rsidRPr="0097459F">
        <w:rPr>
          <w:rFonts w:asciiTheme="minorHAnsi" w:hAnsiTheme="minorHAnsi" w:cstheme="minorHAnsi"/>
          <w:sz w:val="24"/>
          <w:szCs w:val="24"/>
        </w:rPr>
        <w:t>o regulamento do [denominação do fundo], inscrito no CNPJ sob o nº [nn.nnn.nnn/0001-nn] não limita minha responsabilidade ao valor de minhas cotas</w:t>
      </w:r>
      <w:r w:rsidRPr="0097459F">
        <w:rPr>
          <w:rFonts w:asciiTheme="minorHAnsi" w:eastAsia="Times" w:hAnsiTheme="minorHAnsi" w:cstheme="minorHAnsi"/>
          <w:sz w:val="24"/>
          <w:szCs w:val="24"/>
        </w:rPr>
        <w:t>; e</w:t>
      </w:r>
    </w:p>
    <w:p w14:paraId="439EADF6" w14:textId="77777777" w:rsidR="00C20BBD" w:rsidRPr="0097459F" w:rsidRDefault="00C20BBD" w:rsidP="00FB1127">
      <w:pPr>
        <w:spacing w:before="120" w:after="0" w:line="312" w:lineRule="auto"/>
        <w:ind w:left="360" w:firstLine="709"/>
        <w:jc w:val="both"/>
        <w:rPr>
          <w:rFonts w:asciiTheme="minorHAnsi" w:eastAsia="Times" w:hAnsiTheme="minorHAnsi" w:cstheme="minorHAnsi"/>
          <w:sz w:val="24"/>
          <w:szCs w:val="24"/>
        </w:rPr>
      </w:pPr>
      <w:r w:rsidRPr="0097459F">
        <w:rPr>
          <w:rFonts w:asciiTheme="minorHAnsi" w:eastAsia="Times" w:hAnsiTheme="minorHAnsi" w:cstheme="minorHAnsi"/>
          <w:sz w:val="24"/>
          <w:szCs w:val="24"/>
        </w:rPr>
        <w:t xml:space="preserve">II – </w:t>
      </w:r>
      <w:r w:rsidRPr="0097459F">
        <w:rPr>
          <w:rFonts w:asciiTheme="minorHAnsi" w:hAnsiTheme="minorHAnsi" w:cstheme="minorHAnsi"/>
          <w:sz w:val="24"/>
          <w:szCs w:val="24"/>
        </w:rPr>
        <w:t>poderei ser chamado a cobrir um eventual patrimônio líquido negativo do fundo, nos termos do regulamento.</w:t>
      </w:r>
    </w:p>
    <w:p w14:paraId="39848125"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p>
    <w:p w14:paraId="2B5B4CEC"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[data e local]</w:t>
      </w:r>
    </w:p>
    <w:p w14:paraId="68A2C376"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p>
    <w:p w14:paraId="47317BE1"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___________________</w:t>
      </w:r>
    </w:p>
    <w:p w14:paraId="506A43CC" w14:textId="77777777" w:rsidR="00C20BBD" w:rsidRPr="0097459F" w:rsidRDefault="00C20BBD" w:rsidP="00FB1127">
      <w:pPr>
        <w:spacing w:before="120" w:after="0" w:line="312" w:lineRule="auto"/>
        <w:ind w:left="360" w:firstLine="709"/>
        <w:jc w:val="center"/>
        <w:rPr>
          <w:rFonts w:asciiTheme="minorHAnsi" w:eastAsia="Times" w:hAnsiTheme="minorHAnsi" w:cstheme="minorHAnsi"/>
          <w:sz w:val="24"/>
          <w:szCs w:val="24"/>
        </w:rPr>
      </w:pPr>
      <w:r w:rsidRPr="0097459F">
        <w:rPr>
          <w:rFonts w:asciiTheme="minorHAnsi" w:eastAsia="Times" w:hAnsiTheme="minorHAnsi" w:cstheme="minorHAnsi"/>
          <w:sz w:val="24"/>
          <w:szCs w:val="24"/>
        </w:rPr>
        <w:t>[nome e CPF ou CNPJ]</w:t>
      </w:r>
    </w:p>
    <w:p w14:paraId="17B7D9E1" w14:textId="77777777" w:rsidR="00C20BBD" w:rsidRPr="0097459F" w:rsidRDefault="00C20BBD" w:rsidP="00FB1127">
      <w:pPr>
        <w:pStyle w:val="Textodenotadefim"/>
        <w:spacing w:before="120" w:line="312" w:lineRule="auto"/>
        <w:ind w:firstLine="709"/>
        <w:jc w:val="both"/>
        <w:rPr>
          <w:rFonts w:asciiTheme="minorHAnsi" w:hAnsiTheme="minorHAnsi" w:cstheme="minorHAnsi"/>
          <w:sz w:val="24"/>
          <w:szCs w:val="24"/>
        </w:rPr>
      </w:pPr>
    </w:p>
    <w:p w14:paraId="47F76CA5" w14:textId="77777777" w:rsidR="005D57BE" w:rsidRDefault="00C20BBD" w:rsidP="00AF6767">
      <w:pPr>
        <w:spacing w:after="0" w:line="240" w:lineRule="auto"/>
        <w:ind w:firstLine="709"/>
        <w:rPr>
          <w:rFonts w:asciiTheme="minorHAnsi" w:hAnsiTheme="minorHAnsi" w:cstheme="minorHAnsi"/>
          <w:b/>
          <w:sz w:val="24"/>
          <w:szCs w:val="24"/>
        </w:rPr>
        <w:sectPr w:rsidR="005D57BE" w:rsidSect="002A08BD">
          <w:headerReference w:type="first" r:id="rId28"/>
          <w:pgSz w:w="11906" w:h="16838"/>
          <w:pgMar w:top="2268" w:right="567" w:bottom="851" w:left="1134" w:header="709" w:footer="709" w:gutter="0"/>
          <w:cols w:space="708"/>
          <w:titlePg/>
          <w:docGrid w:linePitch="360"/>
        </w:sectPr>
      </w:pPr>
      <w:r w:rsidRPr="0097459F">
        <w:rPr>
          <w:rFonts w:asciiTheme="minorHAnsi" w:hAnsiTheme="minorHAnsi" w:cstheme="minorHAnsi"/>
          <w:b/>
          <w:sz w:val="24"/>
          <w:szCs w:val="24"/>
        </w:rPr>
        <w:br w:type="page"/>
      </w:r>
    </w:p>
    <w:p w14:paraId="7BDB6501" w14:textId="4DA28424" w:rsidR="00C20BBD" w:rsidRPr="0097459F" w:rsidRDefault="00C20BBD" w:rsidP="00AF6767">
      <w:pPr>
        <w:pStyle w:val="Ttulo1"/>
        <w:spacing w:before="0" w:after="0" w:line="240" w:lineRule="auto"/>
        <w:jc w:val="center"/>
        <w:rPr>
          <w:rFonts w:asciiTheme="minorHAnsi" w:hAnsiTheme="minorHAnsi" w:cstheme="minorHAnsi"/>
          <w:b w:val="0"/>
          <w:sz w:val="24"/>
          <w:szCs w:val="24"/>
        </w:rPr>
      </w:pPr>
      <w:bookmarkStart w:id="1473" w:name="_Toc53594545"/>
      <w:bookmarkStart w:id="1474" w:name="_Toc53595570"/>
      <w:bookmarkStart w:id="1475" w:name="_Toc53594297"/>
      <w:bookmarkStart w:id="1476" w:name="_Toc57836307"/>
      <w:bookmarkStart w:id="1477" w:name="_Hlk52177187"/>
      <w:bookmarkStart w:id="1478" w:name="_Toc161141447"/>
      <w:r w:rsidRPr="0097459F">
        <w:rPr>
          <w:rFonts w:asciiTheme="minorHAnsi" w:hAnsiTheme="minorHAnsi" w:cstheme="minorHAnsi"/>
          <w:sz w:val="24"/>
          <w:szCs w:val="24"/>
        </w:rPr>
        <w:lastRenderedPageBreak/>
        <w:t xml:space="preserve">SUPLEMENTO </w:t>
      </w:r>
      <w:r w:rsidR="00591B29" w:rsidRPr="0097459F">
        <w:rPr>
          <w:rFonts w:asciiTheme="minorHAnsi" w:hAnsiTheme="minorHAnsi" w:cstheme="minorHAnsi"/>
          <w:sz w:val="24"/>
          <w:szCs w:val="24"/>
        </w:rPr>
        <w:t>B</w:t>
      </w:r>
      <w:r w:rsidR="002B189F" w:rsidRPr="0097459F">
        <w:rPr>
          <w:rFonts w:asciiTheme="minorHAnsi" w:hAnsiTheme="minorHAnsi" w:cstheme="minorHAnsi"/>
          <w:sz w:val="24"/>
          <w:szCs w:val="24"/>
        </w:rPr>
        <w:t xml:space="preserve"> – </w:t>
      </w:r>
      <w:r w:rsidRPr="0097459F">
        <w:rPr>
          <w:rFonts w:asciiTheme="minorHAnsi" w:hAnsiTheme="minorHAnsi" w:cstheme="minorHAnsi"/>
          <w:sz w:val="24"/>
          <w:szCs w:val="24"/>
        </w:rPr>
        <w:t xml:space="preserve">LÂMINA DE INFORMAÇÕES </w:t>
      </w:r>
      <w:r w:rsidR="002B189F" w:rsidRPr="0097459F">
        <w:rPr>
          <w:rFonts w:asciiTheme="minorHAnsi" w:hAnsiTheme="minorHAnsi" w:cstheme="minorHAnsi"/>
          <w:sz w:val="24"/>
          <w:szCs w:val="24"/>
        </w:rPr>
        <w:t xml:space="preserve">BÁSICAS – </w:t>
      </w:r>
      <w:r w:rsidRPr="0097459F">
        <w:rPr>
          <w:rFonts w:asciiTheme="minorHAnsi" w:hAnsiTheme="minorHAnsi" w:cstheme="minorHAnsi"/>
          <w:sz w:val="24"/>
          <w:szCs w:val="24"/>
        </w:rPr>
        <w:t>FI</w:t>
      </w:r>
      <w:r w:rsidR="00591B29" w:rsidRPr="0097459F">
        <w:rPr>
          <w:rFonts w:asciiTheme="minorHAnsi" w:hAnsiTheme="minorHAnsi" w:cstheme="minorHAnsi"/>
          <w:sz w:val="24"/>
          <w:szCs w:val="24"/>
        </w:rPr>
        <w:t>F</w:t>
      </w:r>
      <w:bookmarkEnd w:id="1473"/>
      <w:bookmarkEnd w:id="1474"/>
      <w:bookmarkEnd w:id="1475"/>
      <w:bookmarkEnd w:id="1476"/>
      <w:bookmarkEnd w:id="1478"/>
    </w:p>
    <w:p w14:paraId="753894AA" w14:textId="554450F5"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w:t>
      </w:r>
      <w:r w:rsidRPr="0097459F">
        <w:rPr>
          <w:rFonts w:asciiTheme="minorHAnsi" w:eastAsia="Times" w:hAnsiTheme="minorHAnsi" w:cstheme="minorHAnsi"/>
          <w:i/>
          <w:sz w:val="24"/>
          <w:szCs w:val="24"/>
        </w:rPr>
        <w:t>informações</w:t>
      </w:r>
      <w:r w:rsidRPr="0097459F">
        <w:rPr>
          <w:rFonts w:asciiTheme="minorHAnsi" w:hAnsiTheme="minorHAnsi" w:cstheme="minorHAnsi"/>
          <w:i/>
          <w:sz w:val="24"/>
          <w:szCs w:val="24"/>
        </w:rPr>
        <w:t xml:space="preserve"> </w:t>
      </w:r>
      <w:r w:rsidR="006E4092" w:rsidRPr="0097459F">
        <w:rPr>
          <w:rFonts w:asciiTheme="minorHAnsi" w:hAnsiTheme="minorHAnsi" w:cstheme="minorHAnsi"/>
          <w:i/>
          <w:sz w:val="24"/>
          <w:szCs w:val="24"/>
        </w:rPr>
        <w:t>básicas</w:t>
      </w:r>
      <w:r w:rsidRPr="0097459F">
        <w:rPr>
          <w:rFonts w:asciiTheme="minorHAnsi" w:hAnsiTheme="minorHAnsi" w:cstheme="minorHAnsi"/>
          <w:i/>
          <w:sz w:val="24"/>
          <w:szCs w:val="24"/>
        </w:rPr>
        <w:t xml:space="preserve"> dos fundos de investimento</w:t>
      </w:r>
      <w:r w:rsidR="00980BF8" w:rsidRPr="0097459F">
        <w:rPr>
          <w:rFonts w:asciiTheme="minorHAnsi" w:hAnsiTheme="minorHAnsi" w:cstheme="minorHAnsi"/>
          <w:i/>
          <w:sz w:val="24"/>
          <w:szCs w:val="24"/>
        </w:rPr>
        <w:t xml:space="preserve"> financeiro</w:t>
      </w:r>
      <w:r w:rsidR="00BD0FEA">
        <w:rPr>
          <w:rFonts w:asciiTheme="minorHAnsi" w:eastAsia="Times" w:hAnsiTheme="minorHAnsi" w:cstheme="minorHAnsi"/>
          <w:i/>
          <w:sz w:val="24"/>
          <w:szCs w:val="24"/>
        </w:rPr>
        <w:t xml:space="preserve">, </w:t>
      </w:r>
      <w:r w:rsidR="00201061">
        <w:rPr>
          <w:rFonts w:asciiTheme="minorHAnsi" w:eastAsia="Times" w:hAnsiTheme="minorHAnsi" w:cstheme="minorHAnsi"/>
          <w:i/>
          <w:sz w:val="24"/>
          <w:szCs w:val="24"/>
        </w:rPr>
        <w:t xml:space="preserve">conforme previsto no art. 2º, </w:t>
      </w:r>
      <w:r w:rsidR="001A1FD8">
        <w:rPr>
          <w:rFonts w:asciiTheme="minorHAnsi" w:eastAsia="Times" w:hAnsiTheme="minorHAnsi" w:cstheme="minorHAnsi"/>
          <w:i/>
          <w:sz w:val="24"/>
          <w:szCs w:val="24"/>
        </w:rPr>
        <w:t>inciso XIV</w:t>
      </w:r>
      <w:r w:rsidR="00201061">
        <w:rPr>
          <w:rFonts w:asciiTheme="minorHAnsi" w:eastAsia="Times" w:hAnsiTheme="minorHAnsi" w:cstheme="minorHAnsi"/>
          <w:i/>
          <w:sz w:val="24"/>
          <w:szCs w:val="24"/>
        </w:rPr>
        <w:t>, do Anexo Normativo I da Resolução CVM nº 175, de 2022.</w:t>
      </w:r>
    </w:p>
    <w:p w14:paraId="106082C9" w14:textId="77777777" w:rsidR="00617D40" w:rsidRPr="0097459F" w:rsidRDefault="00617D40" w:rsidP="00AF6767">
      <w:pPr>
        <w:spacing w:after="0" w:line="240" w:lineRule="auto"/>
        <w:jc w:val="center"/>
        <w:rPr>
          <w:rFonts w:asciiTheme="minorHAnsi" w:hAnsiTheme="minorHAnsi" w:cstheme="minorHAnsi"/>
          <w:b/>
          <w:color w:val="0D0D0D"/>
          <w:sz w:val="24"/>
          <w:szCs w:val="24"/>
        </w:rPr>
      </w:pPr>
    </w:p>
    <w:p w14:paraId="691F74B2" w14:textId="6F46F637" w:rsidR="00C20BBD" w:rsidRPr="0097459F" w:rsidRDefault="00C20BBD" w:rsidP="00AF6767">
      <w:pPr>
        <w:spacing w:after="0" w:line="240" w:lineRule="auto"/>
        <w:jc w:val="center"/>
        <w:rPr>
          <w:rFonts w:asciiTheme="minorHAnsi" w:hAnsiTheme="minorHAnsi" w:cstheme="minorHAnsi"/>
          <w:b/>
          <w:color w:val="0D0D0D"/>
          <w:sz w:val="24"/>
          <w:szCs w:val="24"/>
        </w:rPr>
      </w:pPr>
      <w:r w:rsidRPr="0097459F">
        <w:rPr>
          <w:rFonts w:asciiTheme="minorHAnsi" w:hAnsiTheme="minorHAnsi" w:cstheme="minorHAnsi"/>
          <w:b/>
          <w:color w:val="0D0D0D"/>
          <w:sz w:val="24"/>
          <w:szCs w:val="24"/>
        </w:rPr>
        <w:t>LÂMINA DE INFORMAÇÕES ESSENCIAIS SOBRE O [nome de fantasia do fundo e, se for o caso, da classe]</w:t>
      </w:r>
    </w:p>
    <w:p w14:paraId="76CCBBCF" w14:textId="5F358BBC" w:rsidR="00C20BBD" w:rsidRPr="0097459F" w:rsidRDefault="00C20BBD" w:rsidP="00967B1C">
      <w:pPr>
        <w:spacing w:after="0" w:line="240" w:lineRule="auto"/>
        <w:jc w:val="center"/>
        <w:rPr>
          <w:rFonts w:asciiTheme="minorHAnsi" w:hAnsiTheme="minorHAnsi" w:cstheme="minorHAnsi"/>
          <w:b/>
          <w:color w:val="000000" w:themeColor="text1"/>
          <w:sz w:val="24"/>
          <w:szCs w:val="24"/>
        </w:rPr>
      </w:pPr>
      <w:r w:rsidRPr="0097459F">
        <w:rPr>
          <w:rFonts w:asciiTheme="minorHAnsi" w:hAnsiTheme="minorHAnsi" w:cstheme="minorHAnsi"/>
          <w:b/>
          <w:color w:val="000000" w:themeColor="text1"/>
          <w:sz w:val="24"/>
          <w:szCs w:val="24"/>
        </w:rPr>
        <w:t xml:space="preserve">[CNPJ </w:t>
      </w:r>
      <w:r w:rsidR="00C2608B" w:rsidRPr="0097459F">
        <w:rPr>
          <w:rFonts w:asciiTheme="minorHAnsi" w:hAnsiTheme="minorHAnsi" w:cstheme="minorHAnsi"/>
          <w:b/>
          <w:color w:val="000000" w:themeColor="text1"/>
          <w:sz w:val="24"/>
          <w:szCs w:val="24"/>
        </w:rPr>
        <w:t>d</w:t>
      </w:r>
      <w:r w:rsidR="00967B1C" w:rsidRPr="0097459F">
        <w:rPr>
          <w:rFonts w:asciiTheme="minorHAnsi" w:hAnsiTheme="minorHAnsi" w:cstheme="minorHAnsi"/>
          <w:b/>
          <w:color w:val="000000" w:themeColor="text1"/>
          <w:sz w:val="24"/>
          <w:szCs w:val="24"/>
        </w:rPr>
        <w:t>o fundo</w:t>
      </w:r>
      <w:r w:rsidRPr="0097459F">
        <w:rPr>
          <w:rFonts w:asciiTheme="minorHAnsi" w:hAnsiTheme="minorHAnsi" w:cstheme="minorHAnsi"/>
          <w:b/>
          <w:color w:val="000000" w:themeColor="text1"/>
          <w:sz w:val="24"/>
          <w:szCs w:val="24"/>
        </w:rPr>
        <w:t>]</w:t>
      </w:r>
    </w:p>
    <w:p w14:paraId="243E964C" w14:textId="77777777" w:rsidR="00967B1C" w:rsidRPr="0097459F" w:rsidRDefault="00967B1C" w:rsidP="00967B1C">
      <w:pPr>
        <w:spacing w:after="0" w:line="240" w:lineRule="auto"/>
        <w:jc w:val="center"/>
        <w:rPr>
          <w:rFonts w:asciiTheme="minorHAnsi" w:hAnsiTheme="minorHAnsi" w:cstheme="minorHAnsi"/>
          <w:b/>
          <w:color w:val="000000" w:themeColor="text1"/>
          <w:sz w:val="24"/>
          <w:szCs w:val="24"/>
        </w:rPr>
      </w:pPr>
    </w:p>
    <w:p w14:paraId="274DEAAA" w14:textId="77777777" w:rsidR="00C20BBD" w:rsidRPr="0097459F" w:rsidRDefault="00C20BBD" w:rsidP="00AF6767">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Informações referentes a [mês] de [ano]</w:t>
      </w:r>
    </w:p>
    <w:bookmarkEnd w:id="1477"/>
    <w:p w14:paraId="5C339E93" w14:textId="77777777" w:rsidR="00FB1127" w:rsidRPr="0097459F" w:rsidRDefault="00FB1127" w:rsidP="00AF6767">
      <w:pPr>
        <w:pStyle w:val="Corpodetexto2"/>
        <w:spacing w:after="0" w:line="240" w:lineRule="auto"/>
        <w:ind w:firstLine="709"/>
        <w:jc w:val="both"/>
        <w:rPr>
          <w:rFonts w:asciiTheme="minorHAnsi" w:hAnsiTheme="minorHAnsi" w:cstheme="minorHAnsi"/>
        </w:rPr>
      </w:pPr>
    </w:p>
    <w:p w14:paraId="1B9396D5" w14:textId="1E145669" w:rsidR="00C20BBD" w:rsidRPr="0097459F" w:rsidRDefault="00C20BBD" w:rsidP="00AF6767">
      <w:pPr>
        <w:pStyle w:val="Corpodetexto2"/>
        <w:spacing w:after="0" w:line="240" w:lineRule="auto"/>
        <w:ind w:firstLine="709"/>
        <w:jc w:val="both"/>
        <w:rPr>
          <w:rFonts w:asciiTheme="minorHAnsi" w:hAnsiTheme="minorHAnsi" w:cstheme="minorHAnsi"/>
        </w:rPr>
      </w:pPr>
      <w:r w:rsidRPr="0097459F">
        <w:rPr>
          <w:rFonts w:asciiTheme="minorHAnsi" w:hAnsiTheme="minorHAnsi" w:cstheme="minorHAnsi"/>
        </w:rPr>
        <w:t xml:space="preserve">Esta lâmina contém um resumo das informações essenciais sobre o </w:t>
      </w:r>
      <w:r w:rsidRPr="0097459F">
        <w:rPr>
          <w:rFonts w:asciiTheme="minorHAnsi" w:hAnsiTheme="minorHAnsi" w:cstheme="minorHAnsi"/>
          <w:b/>
        </w:rPr>
        <w:t>[nome completo do fundo</w:t>
      </w:r>
      <w:r w:rsidRPr="0097459F">
        <w:rPr>
          <w:rFonts w:asciiTheme="minorHAnsi" w:hAnsiTheme="minorHAnsi" w:cstheme="minorHAnsi"/>
          <w:b/>
          <w:lang w:val="pt-BR"/>
        </w:rPr>
        <w:t xml:space="preserve"> e, se for o caso, da classe de cotas</w:t>
      </w:r>
      <w:r w:rsidRPr="0097459F">
        <w:rPr>
          <w:rFonts w:asciiTheme="minorHAnsi" w:hAnsiTheme="minorHAnsi" w:cstheme="minorHAnsi"/>
          <w:b/>
        </w:rPr>
        <w:t>]</w:t>
      </w:r>
      <w:r w:rsidRPr="0097459F">
        <w:rPr>
          <w:rFonts w:asciiTheme="minorHAnsi" w:hAnsiTheme="minorHAnsi" w:cstheme="minorHAnsi"/>
          <w:u w:val="single"/>
        </w:rPr>
        <w:t xml:space="preserve">, </w:t>
      </w:r>
      <w:r w:rsidRPr="0097459F">
        <w:rPr>
          <w:rFonts w:asciiTheme="minorHAnsi" w:hAnsiTheme="minorHAnsi" w:cstheme="minorHAnsi"/>
        </w:rPr>
        <w:t xml:space="preserve">administrado por </w:t>
      </w:r>
      <w:r w:rsidRPr="0097459F">
        <w:rPr>
          <w:rFonts w:asciiTheme="minorHAnsi" w:hAnsiTheme="minorHAnsi" w:cstheme="minorHAnsi"/>
          <w:b/>
        </w:rPr>
        <w:t xml:space="preserve">[nome completo do administrador] </w:t>
      </w:r>
      <w:r w:rsidRPr="0097459F">
        <w:rPr>
          <w:rFonts w:asciiTheme="minorHAnsi" w:hAnsiTheme="minorHAnsi" w:cstheme="minorHAnsi"/>
        </w:rPr>
        <w:t>e gerido por</w:t>
      </w:r>
      <w:r w:rsidRPr="0097459F">
        <w:rPr>
          <w:rFonts w:asciiTheme="minorHAnsi" w:hAnsiTheme="minorHAnsi" w:cstheme="minorHAnsi"/>
          <w:b/>
        </w:rPr>
        <w:t xml:space="preserve"> [nome completo do gestor]</w:t>
      </w:r>
      <w:r w:rsidR="00DE4889" w:rsidRPr="0097459F">
        <w:rPr>
          <w:rStyle w:val="Refdenotaderodap"/>
          <w:rFonts w:asciiTheme="minorHAnsi" w:hAnsiTheme="minorHAnsi" w:cstheme="minorHAnsi"/>
        </w:rPr>
        <w:footnoteReference w:id="2"/>
      </w:r>
      <w:r w:rsidR="00DE4889" w:rsidRPr="0097459F">
        <w:rPr>
          <w:rFonts w:asciiTheme="minorHAnsi" w:hAnsiTheme="minorHAnsi" w:cstheme="minorHAnsi"/>
        </w:rPr>
        <w:t>.</w:t>
      </w:r>
      <w:r w:rsidRPr="0097459F">
        <w:rPr>
          <w:rFonts w:asciiTheme="minorHAnsi" w:hAnsiTheme="minorHAnsi" w:cstheme="minorHAnsi"/>
        </w:rPr>
        <w:t xml:space="preserve"> As informações completas sobre esse fundo podem ser obtidas </w:t>
      </w:r>
      <w:r w:rsidRPr="0097459F">
        <w:rPr>
          <w:rFonts w:asciiTheme="minorHAnsi" w:hAnsiTheme="minorHAnsi" w:cstheme="minorHAnsi"/>
          <w:lang w:val="pt-BR"/>
        </w:rPr>
        <w:t>em seu</w:t>
      </w:r>
      <w:r w:rsidRPr="0097459F">
        <w:rPr>
          <w:rFonts w:asciiTheme="minorHAnsi" w:hAnsiTheme="minorHAnsi" w:cstheme="minorHAnsi"/>
        </w:rPr>
        <w:t xml:space="preserve"> Regulament</w:t>
      </w:r>
      <w:r w:rsidRPr="0097459F">
        <w:rPr>
          <w:rFonts w:asciiTheme="minorHAnsi" w:hAnsiTheme="minorHAnsi" w:cstheme="minorHAnsi"/>
          <w:lang w:val="pt-BR"/>
        </w:rPr>
        <w:t>o</w:t>
      </w:r>
      <w:r w:rsidRPr="0097459F">
        <w:rPr>
          <w:rFonts w:asciiTheme="minorHAnsi" w:hAnsiTheme="minorHAnsi" w:cstheme="minorHAnsi"/>
        </w:rPr>
        <w:t xml:space="preserve">, disponível </w:t>
      </w:r>
      <w:r w:rsidRPr="0097459F">
        <w:rPr>
          <w:rFonts w:asciiTheme="minorHAnsi" w:hAnsiTheme="minorHAnsi" w:cstheme="minorHAnsi"/>
          <w:lang w:val="pt-BR"/>
        </w:rPr>
        <w:t>em</w:t>
      </w:r>
      <w:r w:rsidRPr="0097459F">
        <w:rPr>
          <w:rFonts w:asciiTheme="minorHAnsi" w:hAnsiTheme="minorHAnsi" w:cstheme="minorHAnsi"/>
        </w:rPr>
        <w:t xml:space="preserve"> </w:t>
      </w:r>
      <w:r w:rsidRPr="0097459F">
        <w:rPr>
          <w:rFonts w:asciiTheme="minorHAnsi" w:hAnsiTheme="minorHAnsi" w:cstheme="minorHAnsi"/>
          <w:b/>
        </w:rPr>
        <w:t>[endereço eletrônico]</w:t>
      </w:r>
      <w:r w:rsidRPr="0097459F">
        <w:rPr>
          <w:rFonts w:asciiTheme="minorHAnsi" w:hAnsiTheme="minorHAnsi" w:cstheme="minorHAnsi"/>
        </w:rPr>
        <w:t xml:space="preserve">. As informações contidas neste material são atualizadas mensalmente. Ao realizar aplicações adicionais, consulte a versão mais atualizada. </w:t>
      </w:r>
    </w:p>
    <w:p w14:paraId="224D3A06" w14:textId="77777777" w:rsidR="00C20BBD" w:rsidRPr="0097459F" w:rsidRDefault="00C20BBD" w:rsidP="00AF6767">
      <w:pPr>
        <w:tabs>
          <w:tab w:val="num" w:pos="567"/>
        </w:tabs>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sz w:val="24"/>
          <w:szCs w:val="24"/>
        </w:rPr>
        <w:t>Antes de investir, compare a classe de cotas com outras classes da mesma categoria.</w:t>
      </w:r>
    </w:p>
    <w:p w14:paraId="07B7B9E5" w14:textId="77777777" w:rsidR="00C20BBD" w:rsidRPr="0097459F" w:rsidRDefault="00C20BBD" w:rsidP="00AF6767">
      <w:pPr>
        <w:tabs>
          <w:tab w:val="num" w:pos="567"/>
        </w:tabs>
        <w:spacing w:after="0" w:line="240" w:lineRule="auto"/>
        <w:ind w:firstLine="709"/>
        <w:jc w:val="both"/>
        <w:rPr>
          <w:rFonts w:asciiTheme="minorHAnsi" w:hAnsiTheme="minorHAnsi" w:cstheme="minorHAnsi"/>
          <w:b/>
          <w:color w:val="000000"/>
          <w:sz w:val="24"/>
          <w:szCs w:val="24"/>
        </w:rPr>
      </w:pPr>
    </w:p>
    <w:p w14:paraId="2E634522" w14:textId="784CDB19"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PÚBLICO-ALVO:</w:t>
      </w:r>
      <w:r w:rsidRPr="0097459F">
        <w:rPr>
          <w:rFonts w:asciiTheme="minorHAnsi" w:hAnsiTheme="minorHAnsi" w:cstheme="minorHAnsi"/>
          <w:color w:val="000000"/>
          <w:sz w:val="24"/>
          <w:szCs w:val="24"/>
        </w:rPr>
        <w:t xml:space="preserve"> a classe de cotas</w:t>
      </w:r>
      <w:r w:rsidRPr="0097459F">
        <w:rPr>
          <w:rFonts w:asciiTheme="minorHAnsi" w:hAnsiTheme="minorHAnsi" w:cstheme="minorHAnsi"/>
          <w:b/>
          <w:color w:val="000000"/>
          <w:sz w:val="24"/>
          <w:szCs w:val="24"/>
        </w:rPr>
        <w:t xml:space="preserve"> </w:t>
      </w:r>
      <w:r w:rsidRPr="0097459F">
        <w:rPr>
          <w:rFonts w:asciiTheme="minorHAnsi" w:hAnsiTheme="minorHAnsi" w:cstheme="minorHAnsi"/>
          <w:color w:val="000000"/>
          <w:sz w:val="24"/>
          <w:szCs w:val="24"/>
        </w:rPr>
        <w:t xml:space="preserve">é destinada a: </w:t>
      </w:r>
      <w:r w:rsidRPr="0097459F">
        <w:rPr>
          <w:rFonts w:asciiTheme="minorHAnsi" w:hAnsiTheme="minorHAnsi" w:cstheme="minorHAnsi"/>
          <w:b/>
          <w:color w:val="000000"/>
          <w:sz w:val="24"/>
          <w:szCs w:val="24"/>
        </w:rPr>
        <w:t>[descrição do público-alvo]</w:t>
      </w:r>
      <w:r w:rsidR="00DE19FE" w:rsidRPr="0097459F">
        <w:rPr>
          <w:rStyle w:val="Refdenotaderodap"/>
          <w:rFonts w:asciiTheme="minorHAnsi" w:hAnsiTheme="minorHAnsi" w:cstheme="minorHAnsi"/>
          <w:color w:val="000000"/>
          <w:sz w:val="24"/>
          <w:szCs w:val="24"/>
        </w:rPr>
        <w:footnoteReference w:id="3"/>
      </w:r>
      <w:r w:rsidR="00DE19FE" w:rsidRPr="0097459F">
        <w:rPr>
          <w:rFonts w:asciiTheme="minorHAnsi" w:hAnsiTheme="minorHAnsi" w:cstheme="minorHAnsi"/>
          <w:b/>
          <w:color w:val="000000"/>
          <w:sz w:val="24"/>
          <w:szCs w:val="24"/>
        </w:rPr>
        <w:t xml:space="preserve"> </w:t>
      </w:r>
      <w:r w:rsidRPr="0097459F">
        <w:rPr>
          <w:rFonts w:asciiTheme="minorHAnsi" w:hAnsiTheme="minorHAnsi" w:cstheme="minorHAnsi"/>
          <w:color w:val="000000"/>
          <w:sz w:val="24"/>
          <w:szCs w:val="24"/>
        </w:rPr>
        <w:t>e</w:t>
      </w:r>
      <w:r w:rsidRPr="0097459F">
        <w:rPr>
          <w:rFonts w:asciiTheme="minorHAnsi" w:hAnsiTheme="minorHAnsi" w:cstheme="minorHAnsi"/>
          <w:b/>
          <w:color w:val="000000"/>
          <w:sz w:val="24"/>
          <w:szCs w:val="24"/>
        </w:rPr>
        <w:t xml:space="preserve"> [restrições de investimento]</w:t>
      </w:r>
      <w:r w:rsidR="00DE19FE" w:rsidRPr="0097459F">
        <w:rPr>
          <w:rStyle w:val="Refdenotaderodap"/>
          <w:rFonts w:asciiTheme="minorHAnsi" w:hAnsiTheme="minorHAnsi" w:cstheme="minorHAnsi"/>
          <w:color w:val="000000"/>
          <w:sz w:val="24"/>
          <w:szCs w:val="24"/>
        </w:rPr>
        <w:footnoteReference w:id="4"/>
      </w:r>
      <w:r w:rsidR="00DE19FE" w:rsidRPr="0097459F">
        <w:rPr>
          <w:rFonts w:asciiTheme="minorHAnsi" w:hAnsiTheme="minorHAnsi" w:cstheme="minorHAnsi"/>
          <w:color w:val="000000"/>
          <w:sz w:val="24"/>
          <w:szCs w:val="24"/>
        </w:rPr>
        <w:t>.</w:t>
      </w:r>
    </w:p>
    <w:p w14:paraId="22C2A952" w14:textId="77777777" w:rsidR="00C2608B" w:rsidRPr="0097459F" w:rsidRDefault="00C2608B" w:rsidP="00C2608B">
      <w:pPr>
        <w:spacing w:after="0" w:line="240" w:lineRule="auto"/>
        <w:ind w:left="709"/>
        <w:jc w:val="both"/>
        <w:rPr>
          <w:rFonts w:asciiTheme="minorHAnsi" w:hAnsiTheme="minorHAnsi" w:cstheme="minorHAnsi"/>
          <w:color w:val="000000"/>
          <w:sz w:val="24"/>
          <w:szCs w:val="24"/>
        </w:rPr>
      </w:pPr>
    </w:p>
    <w:p w14:paraId="48FA5C68" w14:textId="11F212AC"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OBJETIVOS DA CLASSE DE COTAS: [descrição resumida dos objetivos, de modo que o investidor tenha um entendimento razoável da natureza e dos riscos envolvidos no investimento]</w:t>
      </w:r>
      <w:r w:rsidRPr="0097459F">
        <w:rPr>
          <w:rFonts w:asciiTheme="minorHAnsi" w:hAnsiTheme="minorHAnsi" w:cstheme="minorHAnsi"/>
          <w:color w:val="000000"/>
          <w:sz w:val="24"/>
          <w:szCs w:val="24"/>
        </w:rPr>
        <w:t>.</w:t>
      </w:r>
      <w:r w:rsidR="00DE19FE" w:rsidRPr="0097459F">
        <w:rPr>
          <w:rStyle w:val="Refdenotaderodap"/>
          <w:rFonts w:asciiTheme="minorHAnsi" w:hAnsiTheme="minorHAnsi" w:cstheme="minorHAnsi"/>
          <w:color w:val="000000"/>
          <w:sz w:val="24"/>
          <w:szCs w:val="24"/>
        </w:rPr>
        <w:footnoteReference w:id="5"/>
      </w:r>
      <w:r w:rsidR="00DE19FE" w:rsidRPr="0097459F">
        <w:rPr>
          <w:rFonts w:asciiTheme="minorHAnsi" w:hAnsiTheme="minorHAnsi" w:cstheme="minorHAnsi"/>
          <w:color w:val="000000"/>
          <w:sz w:val="24"/>
          <w:szCs w:val="24"/>
        </w:rPr>
        <w:t xml:space="preserve"> </w:t>
      </w:r>
    </w:p>
    <w:p w14:paraId="4FE2974A" w14:textId="23113F47" w:rsidR="00C2608B" w:rsidRPr="0097459F" w:rsidRDefault="00C2608B" w:rsidP="00C2608B">
      <w:pPr>
        <w:pStyle w:val="PargrafodaLista"/>
        <w:rPr>
          <w:rFonts w:cstheme="minorHAnsi"/>
          <w:b/>
          <w:color w:val="000000"/>
          <w:sz w:val="24"/>
          <w:szCs w:val="24"/>
        </w:rPr>
      </w:pPr>
    </w:p>
    <w:p w14:paraId="748AE7C2" w14:textId="77777777"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POLÍTICA DE INVESTIMENTOS</w:t>
      </w:r>
      <w:r w:rsidRPr="0097459F">
        <w:rPr>
          <w:rFonts w:asciiTheme="minorHAnsi" w:hAnsiTheme="minorHAnsi" w:cstheme="minorHAnsi"/>
          <w:color w:val="000000"/>
          <w:sz w:val="24"/>
          <w:szCs w:val="24"/>
        </w:rPr>
        <w:t xml:space="preserve">: </w:t>
      </w:r>
    </w:p>
    <w:p w14:paraId="1B9C71A7" w14:textId="77777777" w:rsidR="00C20BBD" w:rsidRPr="0097459F" w:rsidRDefault="00C20BBD">
      <w:pPr>
        <w:numPr>
          <w:ilvl w:val="1"/>
          <w:numId w:val="5"/>
        </w:numPr>
        <w:tabs>
          <w:tab w:val="num" w:pos="567"/>
        </w:tabs>
        <w:spacing w:after="0" w:line="240" w:lineRule="auto"/>
        <w:ind w:left="567" w:firstLine="142"/>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[descrição resumida da política de investimentos]</w:t>
      </w:r>
      <w:r w:rsidRPr="0097459F">
        <w:rPr>
          <w:rFonts w:asciiTheme="minorHAnsi" w:hAnsiTheme="minorHAnsi" w:cstheme="minorHAnsi"/>
          <w:color w:val="000000"/>
          <w:sz w:val="24"/>
          <w:szCs w:val="24"/>
        </w:rPr>
        <w:t>.</w:t>
      </w:r>
    </w:p>
    <w:p w14:paraId="125911EE" w14:textId="77777777" w:rsidR="00C20BBD" w:rsidRPr="00AC4161" w:rsidRDefault="00C20BBD">
      <w:pPr>
        <w:numPr>
          <w:ilvl w:val="0"/>
          <w:numId w:val="7"/>
        </w:numPr>
        <w:spacing w:after="0" w:line="240" w:lineRule="auto"/>
        <w:ind w:left="0" w:firstLine="709"/>
        <w:jc w:val="both"/>
        <w:rPr>
          <w:rFonts w:asciiTheme="minorHAnsi" w:hAnsiTheme="minorHAnsi" w:cstheme="minorHAnsi"/>
          <w:strike/>
          <w:color w:val="000000"/>
          <w:sz w:val="24"/>
          <w:szCs w:val="24"/>
        </w:rPr>
      </w:pPr>
      <w:r w:rsidRPr="00AC4161">
        <w:rPr>
          <w:rFonts w:asciiTheme="minorHAnsi" w:hAnsiTheme="minorHAnsi" w:cstheme="minorHAnsi"/>
          <w:b/>
          <w:strike/>
          <w:color w:val="000000"/>
          <w:sz w:val="24"/>
          <w:szCs w:val="24"/>
        </w:rPr>
        <w:t>A política de investimentos admite</w:t>
      </w:r>
      <w:r w:rsidRPr="00AC4161">
        <w:rPr>
          <w:rFonts w:asciiTheme="minorHAnsi" w:hAnsiTheme="minorHAnsi" w:cstheme="minorHAnsi"/>
          <w:strike/>
          <w:color w:val="00000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1"/>
        <w:gridCol w:w="4404"/>
      </w:tblGrid>
      <w:tr w:rsidR="00C20BBD" w:rsidRPr="00AC4161" w14:paraId="209BDFEF" w14:textId="77777777" w:rsidTr="00ED0447">
        <w:tc>
          <w:tcPr>
            <w:tcW w:w="2840" w:type="pct"/>
            <w:shd w:val="clear" w:color="auto" w:fill="DBE5F1"/>
          </w:tcPr>
          <w:p w14:paraId="01EC4C49" w14:textId="77777777" w:rsidR="00C20BBD" w:rsidRPr="00AC4161" w:rsidRDefault="00C20BBD" w:rsidP="00AF6767">
            <w:pPr>
              <w:tabs>
                <w:tab w:val="num" w:pos="1134"/>
              </w:tabs>
              <w:spacing w:after="0" w:line="240" w:lineRule="auto"/>
              <w:jc w:val="both"/>
              <w:rPr>
                <w:rFonts w:asciiTheme="minorHAnsi" w:hAnsiTheme="minorHAnsi" w:cstheme="minorHAnsi"/>
                <w:b/>
                <w:strike/>
                <w:sz w:val="24"/>
                <w:szCs w:val="24"/>
              </w:rPr>
            </w:pPr>
            <w:r w:rsidRPr="00AC4161">
              <w:rPr>
                <w:rFonts w:asciiTheme="minorHAnsi" w:hAnsiTheme="minorHAnsi" w:cstheme="minorHAnsi"/>
                <w:b/>
                <w:strike/>
                <w:sz w:val="24"/>
                <w:szCs w:val="24"/>
              </w:rPr>
              <w:t>Aplicar em ativos no exterior até o limite de</w:t>
            </w:r>
          </w:p>
        </w:tc>
        <w:tc>
          <w:tcPr>
            <w:tcW w:w="2160" w:type="pct"/>
            <w:vAlign w:val="center"/>
          </w:tcPr>
          <w:p w14:paraId="61374696" w14:textId="77777777" w:rsidR="00C20BBD" w:rsidRPr="00AC4161" w:rsidRDefault="00C20BBD" w:rsidP="00AF6767">
            <w:pPr>
              <w:tabs>
                <w:tab w:val="num" w:pos="1134"/>
              </w:tabs>
              <w:spacing w:after="0" w:line="240" w:lineRule="auto"/>
              <w:rPr>
                <w:rFonts w:asciiTheme="minorHAnsi" w:hAnsiTheme="minorHAnsi" w:cstheme="minorHAnsi"/>
                <w:b/>
                <w:strike/>
                <w:color w:val="000000"/>
                <w:sz w:val="24"/>
                <w:szCs w:val="24"/>
              </w:rPr>
            </w:pPr>
            <w:r w:rsidRPr="00AC4161">
              <w:rPr>
                <w:rFonts w:asciiTheme="minorHAnsi" w:hAnsiTheme="minorHAnsi" w:cstheme="minorHAnsi"/>
                <w:b/>
                <w:strike/>
                <w:color w:val="000000"/>
                <w:sz w:val="24"/>
                <w:szCs w:val="24"/>
              </w:rPr>
              <w:t>[% do Patrimônio líquido] ou [não]</w:t>
            </w:r>
          </w:p>
        </w:tc>
      </w:tr>
      <w:tr w:rsidR="00C20BBD" w:rsidRPr="00AC4161" w14:paraId="264A2BCA" w14:textId="77777777" w:rsidTr="00ED0447">
        <w:tc>
          <w:tcPr>
            <w:tcW w:w="2840" w:type="pct"/>
            <w:shd w:val="clear" w:color="auto" w:fill="DBE5F1"/>
          </w:tcPr>
          <w:p w14:paraId="16EA8C79" w14:textId="77777777" w:rsidR="00C20BBD" w:rsidRPr="00AC4161" w:rsidRDefault="00C20BBD" w:rsidP="00AF6767">
            <w:pPr>
              <w:tabs>
                <w:tab w:val="num" w:pos="1134"/>
              </w:tabs>
              <w:spacing w:after="0" w:line="240" w:lineRule="auto"/>
              <w:jc w:val="both"/>
              <w:rPr>
                <w:rFonts w:asciiTheme="minorHAnsi" w:hAnsiTheme="minorHAnsi" w:cstheme="minorHAnsi"/>
                <w:b/>
                <w:strike/>
                <w:sz w:val="24"/>
                <w:szCs w:val="24"/>
              </w:rPr>
            </w:pPr>
            <w:r w:rsidRPr="00AC4161">
              <w:rPr>
                <w:rFonts w:asciiTheme="minorHAnsi" w:hAnsiTheme="minorHAnsi" w:cstheme="minorHAnsi"/>
                <w:b/>
                <w:strike/>
                <w:sz w:val="24"/>
                <w:szCs w:val="24"/>
              </w:rPr>
              <w:t>Aplicar em crédito privado até o limite de</w:t>
            </w:r>
          </w:p>
        </w:tc>
        <w:tc>
          <w:tcPr>
            <w:tcW w:w="2160" w:type="pct"/>
            <w:vAlign w:val="center"/>
          </w:tcPr>
          <w:p w14:paraId="3F1BBDB9" w14:textId="77777777" w:rsidR="00C20BBD" w:rsidRPr="00AC4161" w:rsidRDefault="00C20BBD" w:rsidP="00AF6767">
            <w:pPr>
              <w:tabs>
                <w:tab w:val="num" w:pos="1134"/>
              </w:tabs>
              <w:spacing w:after="0" w:line="240" w:lineRule="auto"/>
              <w:rPr>
                <w:rFonts w:asciiTheme="minorHAnsi" w:hAnsiTheme="minorHAnsi" w:cstheme="minorHAnsi"/>
                <w:b/>
                <w:strike/>
                <w:color w:val="000000"/>
                <w:sz w:val="24"/>
                <w:szCs w:val="24"/>
              </w:rPr>
            </w:pPr>
            <w:r w:rsidRPr="00AC4161">
              <w:rPr>
                <w:rFonts w:asciiTheme="minorHAnsi" w:hAnsiTheme="minorHAnsi" w:cstheme="minorHAnsi"/>
                <w:b/>
                <w:strike/>
                <w:color w:val="000000"/>
                <w:sz w:val="24"/>
                <w:szCs w:val="24"/>
              </w:rPr>
              <w:t>[% do Patrimônio líquido] ou [não]</w:t>
            </w:r>
          </w:p>
        </w:tc>
      </w:tr>
      <w:tr w:rsidR="00C20BBD" w:rsidRPr="00AC4161" w14:paraId="56BDCBD5" w14:textId="77777777" w:rsidTr="00ED0447">
        <w:tc>
          <w:tcPr>
            <w:tcW w:w="2840" w:type="pct"/>
            <w:shd w:val="clear" w:color="auto" w:fill="DBE5F1"/>
          </w:tcPr>
          <w:p w14:paraId="067EA619" w14:textId="77777777" w:rsidR="00C20BBD" w:rsidRPr="00AC4161" w:rsidRDefault="00C20BBD" w:rsidP="00AF6767">
            <w:pPr>
              <w:tabs>
                <w:tab w:val="num" w:pos="1134"/>
              </w:tabs>
              <w:spacing w:after="0" w:line="240" w:lineRule="auto"/>
              <w:jc w:val="both"/>
              <w:rPr>
                <w:rFonts w:asciiTheme="minorHAnsi" w:hAnsiTheme="minorHAnsi" w:cstheme="minorHAnsi"/>
                <w:b/>
                <w:strike/>
                <w:sz w:val="24"/>
                <w:szCs w:val="24"/>
              </w:rPr>
            </w:pPr>
            <w:r w:rsidRPr="00AC4161">
              <w:rPr>
                <w:rFonts w:asciiTheme="minorHAnsi" w:hAnsiTheme="minorHAnsi" w:cstheme="minorHAnsi"/>
                <w:b/>
                <w:strike/>
                <w:sz w:val="24"/>
                <w:szCs w:val="24"/>
              </w:rPr>
              <w:t>Aplicar em um só fundo ou classe até o limite de</w:t>
            </w:r>
          </w:p>
        </w:tc>
        <w:tc>
          <w:tcPr>
            <w:tcW w:w="2160" w:type="pct"/>
            <w:vAlign w:val="center"/>
          </w:tcPr>
          <w:p w14:paraId="43B6CC06" w14:textId="77777777" w:rsidR="00C20BBD" w:rsidRPr="00AC4161" w:rsidDel="005B1924" w:rsidRDefault="00C20BBD" w:rsidP="00AF6767">
            <w:pPr>
              <w:tabs>
                <w:tab w:val="num" w:pos="1134"/>
              </w:tabs>
              <w:spacing w:after="0" w:line="240" w:lineRule="auto"/>
              <w:rPr>
                <w:rFonts w:asciiTheme="minorHAnsi" w:hAnsiTheme="minorHAnsi" w:cstheme="minorHAnsi"/>
                <w:b/>
                <w:strike/>
                <w:sz w:val="24"/>
                <w:szCs w:val="24"/>
              </w:rPr>
            </w:pPr>
            <w:r w:rsidRPr="00AC4161">
              <w:rPr>
                <w:rFonts w:asciiTheme="minorHAnsi" w:hAnsiTheme="minorHAnsi" w:cstheme="minorHAnsi"/>
                <w:b/>
                <w:strike/>
                <w:color w:val="000000"/>
                <w:sz w:val="24"/>
                <w:szCs w:val="24"/>
              </w:rPr>
              <w:t>[% do Patrimônio líquido] ou [não]</w:t>
            </w:r>
          </w:p>
        </w:tc>
      </w:tr>
      <w:tr w:rsidR="00C20BBD" w:rsidRPr="00AC4161" w14:paraId="2781C3E7" w14:textId="77777777" w:rsidTr="00ED0447">
        <w:tc>
          <w:tcPr>
            <w:tcW w:w="2840" w:type="pct"/>
            <w:shd w:val="clear" w:color="auto" w:fill="DBE5F1"/>
          </w:tcPr>
          <w:p w14:paraId="4A41996C" w14:textId="77777777" w:rsidR="00C20BBD" w:rsidRPr="00AC4161" w:rsidRDefault="00C20BBD" w:rsidP="00AF6767">
            <w:pPr>
              <w:tabs>
                <w:tab w:val="num" w:pos="1134"/>
              </w:tabs>
              <w:spacing w:after="0" w:line="240" w:lineRule="auto"/>
              <w:jc w:val="both"/>
              <w:rPr>
                <w:rFonts w:asciiTheme="minorHAnsi" w:hAnsiTheme="minorHAnsi" w:cstheme="minorHAnsi"/>
                <w:b/>
                <w:strike/>
                <w:sz w:val="24"/>
                <w:szCs w:val="24"/>
              </w:rPr>
            </w:pPr>
            <w:r w:rsidRPr="00AC4161">
              <w:rPr>
                <w:rFonts w:asciiTheme="minorHAnsi" w:hAnsiTheme="minorHAnsi" w:cstheme="minorHAnsi"/>
                <w:b/>
                <w:strike/>
                <w:sz w:val="24"/>
                <w:szCs w:val="24"/>
              </w:rPr>
              <w:lastRenderedPageBreak/>
              <w:t>Utiliza derivativos apenas para proteção da carteira?</w:t>
            </w:r>
          </w:p>
        </w:tc>
        <w:tc>
          <w:tcPr>
            <w:tcW w:w="2160" w:type="pct"/>
            <w:vAlign w:val="center"/>
          </w:tcPr>
          <w:p w14:paraId="51A7A56A" w14:textId="77777777" w:rsidR="00C20BBD" w:rsidRPr="00AC4161" w:rsidRDefault="00C20BBD" w:rsidP="00AF6767">
            <w:pPr>
              <w:tabs>
                <w:tab w:val="num" w:pos="1134"/>
              </w:tabs>
              <w:spacing w:after="0" w:line="240" w:lineRule="auto"/>
              <w:rPr>
                <w:rFonts w:asciiTheme="minorHAnsi" w:hAnsiTheme="minorHAnsi" w:cstheme="minorHAnsi"/>
                <w:b/>
                <w:strike/>
                <w:sz w:val="24"/>
                <w:szCs w:val="24"/>
              </w:rPr>
            </w:pPr>
            <w:r w:rsidRPr="00AC4161">
              <w:rPr>
                <w:rFonts w:asciiTheme="minorHAnsi" w:hAnsiTheme="minorHAnsi" w:cstheme="minorHAnsi"/>
                <w:b/>
                <w:strike/>
                <w:sz w:val="24"/>
                <w:szCs w:val="24"/>
              </w:rPr>
              <w:t>[Sim/Não]</w:t>
            </w:r>
          </w:p>
        </w:tc>
      </w:tr>
      <w:tr w:rsidR="00C20BBD" w:rsidRPr="00AC4161" w14:paraId="5838735F" w14:textId="77777777" w:rsidTr="00ED0447">
        <w:tc>
          <w:tcPr>
            <w:tcW w:w="2840" w:type="pct"/>
            <w:shd w:val="clear" w:color="auto" w:fill="DBE5F1"/>
          </w:tcPr>
          <w:p w14:paraId="38453A14" w14:textId="77777777" w:rsidR="00C20BBD" w:rsidRPr="00AC4161" w:rsidRDefault="00C20BBD" w:rsidP="00AF6767">
            <w:pPr>
              <w:tabs>
                <w:tab w:val="num" w:pos="1134"/>
              </w:tabs>
              <w:spacing w:after="0" w:line="240" w:lineRule="auto"/>
              <w:jc w:val="both"/>
              <w:rPr>
                <w:rFonts w:asciiTheme="minorHAnsi" w:hAnsiTheme="minorHAnsi" w:cstheme="minorHAnsi"/>
                <w:b/>
                <w:strike/>
                <w:sz w:val="24"/>
                <w:szCs w:val="24"/>
              </w:rPr>
            </w:pPr>
            <w:r w:rsidRPr="00AC4161">
              <w:rPr>
                <w:rFonts w:asciiTheme="minorHAnsi" w:hAnsiTheme="minorHAnsi" w:cstheme="minorHAnsi"/>
                <w:b/>
                <w:strike/>
                <w:sz w:val="24"/>
                <w:szCs w:val="24"/>
              </w:rPr>
              <w:t>Alavancar-se até o limite de (i)</w:t>
            </w:r>
          </w:p>
        </w:tc>
        <w:tc>
          <w:tcPr>
            <w:tcW w:w="2160" w:type="pct"/>
            <w:vAlign w:val="center"/>
          </w:tcPr>
          <w:p w14:paraId="52D1DDD7" w14:textId="77777777" w:rsidR="00C20BBD" w:rsidRPr="00AC4161" w:rsidRDefault="00C20BBD" w:rsidP="00AF6767">
            <w:pPr>
              <w:tabs>
                <w:tab w:val="num" w:pos="1134"/>
              </w:tabs>
              <w:spacing w:after="0" w:line="240" w:lineRule="auto"/>
              <w:rPr>
                <w:rFonts w:asciiTheme="minorHAnsi" w:hAnsiTheme="minorHAnsi" w:cstheme="minorHAnsi"/>
                <w:b/>
                <w:strike/>
                <w:sz w:val="24"/>
                <w:szCs w:val="24"/>
              </w:rPr>
            </w:pPr>
            <w:r w:rsidRPr="00AC4161">
              <w:rPr>
                <w:rFonts w:asciiTheme="minorHAnsi" w:hAnsiTheme="minorHAnsi" w:cstheme="minorHAnsi"/>
                <w:b/>
                <w:strike/>
                <w:sz w:val="24"/>
                <w:szCs w:val="24"/>
              </w:rPr>
              <w:t>[% do Patrimônio Líquido em margem] ou [sem limite]</w:t>
            </w:r>
          </w:p>
        </w:tc>
      </w:tr>
      <w:tr w:rsidR="00C20BBD" w:rsidRPr="00AC4161" w14:paraId="16F8346E" w14:textId="77777777" w:rsidTr="00ED0447">
        <w:tc>
          <w:tcPr>
            <w:tcW w:w="5000" w:type="pct"/>
            <w:gridSpan w:val="2"/>
            <w:shd w:val="clear" w:color="auto" w:fill="DBE5F1"/>
          </w:tcPr>
          <w:p w14:paraId="3771773D" w14:textId="77777777" w:rsidR="00C20BBD" w:rsidRPr="00AC4161" w:rsidRDefault="00C20BBD" w:rsidP="00AF6767">
            <w:pPr>
              <w:pStyle w:val="Default"/>
              <w:ind w:firstLine="709"/>
              <w:jc w:val="both"/>
              <w:rPr>
                <w:rFonts w:asciiTheme="minorHAnsi" w:eastAsia="Times New Roman" w:hAnsiTheme="minorHAnsi" w:cstheme="minorHAnsi"/>
                <w:b/>
                <w:strike/>
                <w:color w:val="auto"/>
              </w:rPr>
            </w:pPr>
            <w:r w:rsidRPr="00AC4161" w:rsidDel="008A7550">
              <w:rPr>
                <w:rFonts w:asciiTheme="minorHAnsi" w:eastAsia="Times New Roman" w:hAnsiTheme="minorHAnsi" w:cstheme="minorHAnsi"/>
                <w:strike/>
                <w:color w:val="auto"/>
              </w:rPr>
              <w:t xml:space="preserve"> </w:t>
            </w:r>
            <w:r w:rsidRPr="00AC4161">
              <w:rPr>
                <w:rFonts w:asciiTheme="minorHAnsi" w:eastAsia="Times New Roman" w:hAnsiTheme="minorHAnsi" w:cstheme="minorHAnsi"/>
                <w:strike/>
                <w:color w:val="auto"/>
              </w:rPr>
              <w:t>(i) No cálculo do limite de alavancagem, deve-se considerar o valor das margens exigidas em operações com garantia somada à "margem potencial" de operações de derivativos sem garantia. O cálculo de "margem potencial" de operações de derivativos sem garantia deve se basear em modelo de cálculo de garantia do administrador e não pode ser compensado com as margens das operações com garantia.</w:t>
            </w:r>
          </w:p>
        </w:tc>
      </w:tr>
    </w:tbl>
    <w:p w14:paraId="6107128B" w14:textId="77777777" w:rsidR="00C20BBD" w:rsidRDefault="00C20BBD">
      <w:pPr>
        <w:pStyle w:val="PargrafodaLista"/>
        <w:numPr>
          <w:ilvl w:val="0"/>
          <w:numId w:val="7"/>
        </w:numPr>
        <w:spacing w:after="0" w:line="240" w:lineRule="auto"/>
        <w:ind w:left="709" w:firstLine="0"/>
        <w:contextualSpacing w:val="0"/>
        <w:jc w:val="both"/>
        <w:rPr>
          <w:rFonts w:cstheme="minorHAnsi"/>
          <w:i/>
          <w:strike/>
          <w:sz w:val="24"/>
          <w:szCs w:val="24"/>
        </w:rPr>
      </w:pPr>
      <w:r w:rsidRPr="00AC4161">
        <w:rPr>
          <w:rFonts w:cstheme="minorHAnsi"/>
          <w:i/>
          <w:strike/>
          <w:sz w:val="24"/>
          <w:szCs w:val="24"/>
        </w:rPr>
        <w:t xml:space="preserve">[Para classes de cotas: A metodologia utilizada para o cálculo do limite de alavancagem, disposto no item 3.b é o </w:t>
      </w:r>
      <w:r w:rsidRPr="00AC4161">
        <w:rPr>
          <w:rFonts w:cstheme="minorHAnsi"/>
          <w:b/>
          <w:i/>
          <w:strike/>
          <w:sz w:val="24"/>
          <w:szCs w:val="24"/>
        </w:rPr>
        <w:t xml:space="preserve">percentual máximo do patrimônio líquido que pode ser depositado em margem de garantia </w:t>
      </w:r>
      <w:r w:rsidRPr="00AC4161">
        <w:rPr>
          <w:rFonts w:cstheme="minorHAnsi"/>
          <w:i/>
          <w:strike/>
          <w:sz w:val="24"/>
          <w:szCs w:val="24"/>
        </w:rPr>
        <w:t xml:space="preserve">para garantir a liquidação das operações contratadas somado à margem potencial para a liquidação dos derivativos negociados no mercado de balcão.] </w:t>
      </w:r>
      <w:r w:rsidRPr="00AC4161">
        <w:rPr>
          <w:rFonts w:cstheme="minorHAnsi"/>
          <w:b/>
          <w:strike/>
          <w:sz w:val="24"/>
          <w:szCs w:val="24"/>
        </w:rPr>
        <w:t>OU</w:t>
      </w:r>
      <w:r w:rsidRPr="00AC4161">
        <w:rPr>
          <w:rFonts w:cstheme="minorHAnsi"/>
          <w:i/>
          <w:strike/>
          <w:sz w:val="24"/>
          <w:szCs w:val="24"/>
        </w:rPr>
        <w:t xml:space="preserve"> [Para classes de investimento em cotas: A metodologia utilizada para o cálculo do limite de alavancagem, disposto no item 3.b é o percentual máximo que pode ser depositado pela classe de cotas em margem de garantia para garantir a liquidação das operações contratadas somado à margem potencial para a liquidação dos derivativos negociados no mercado de balcão. </w:t>
      </w:r>
      <w:r w:rsidRPr="00AC4161">
        <w:rPr>
          <w:rFonts w:cstheme="minorHAnsi"/>
          <w:b/>
          <w:i/>
          <w:strike/>
          <w:sz w:val="24"/>
          <w:szCs w:val="24"/>
        </w:rPr>
        <w:t>Esta classe de investimento em cotas não realiza depósito de margem de garantia junto às centrais depositárias, mas pode investir em fundos de investimento que podem estar expostos aos riscos decorrentes de aplicações em ativos que incorram em depósito de margem de garantia. As informações apresentadas são provenientes dos fundos investidos geridos por instituições ligadas</w:t>
      </w:r>
      <w:r w:rsidRPr="00AC4161">
        <w:rPr>
          <w:rFonts w:cstheme="minorHAnsi"/>
          <w:i/>
          <w:strike/>
          <w:sz w:val="24"/>
          <w:szCs w:val="24"/>
        </w:rPr>
        <w:t>.]</w:t>
      </w:r>
    </w:p>
    <w:p w14:paraId="5A5E25C0" w14:textId="238EB038" w:rsidR="00AC4161" w:rsidRPr="00AC4161" w:rsidRDefault="00AC4161" w:rsidP="00AC4161">
      <w:pPr>
        <w:pStyle w:val="PargrafodaLista"/>
        <w:numPr>
          <w:ilvl w:val="1"/>
          <w:numId w:val="5"/>
        </w:numPr>
        <w:spacing w:after="0" w:line="240" w:lineRule="auto"/>
        <w:jc w:val="both"/>
        <w:rPr>
          <w:rFonts w:cstheme="minorHAnsi"/>
          <w:color w:val="000000"/>
        </w:rPr>
      </w:pPr>
      <w:r w:rsidRPr="00AC4161">
        <w:rPr>
          <w:rFonts w:cstheme="minorHAnsi"/>
          <w:b/>
          <w:color w:val="000000"/>
        </w:rPr>
        <w:t>A política de investimentos admite</w:t>
      </w:r>
      <w:r w:rsidRPr="00AC4161">
        <w:rPr>
          <w:rFonts w:cstheme="minorHAnsi"/>
          <w:color w:val="000000"/>
        </w:rPr>
        <w:t>:</w:t>
      </w:r>
    </w:p>
    <w:tbl>
      <w:tblPr>
        <w:tblW w:w="4724"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4404"/>
      </w:tblGrid>
      <w:tr w:rsidR="00AC4161" w:rsidRPr="0097459F" w14:paraId="539BC18A" w14:textId="77777777" w:rsidTr="008178D1">
        <w:tc>
          <w:tcPr>
            <w:tcW w:w="2714" w:type="pct"/>
            <w:shd w:val="clear" w:color="auto" w:fill="DBE5F1"/>
          </w:tcPr>
          <w:p w14:paraId="68DB2C9C"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ativos no exterior até o limite de</w:t>
            </w:r>
          </w:p>
        </w:tc>
        <w:tc>
          <w:tcPr>
            <w:tcW w:w="2286" w:type="pct"/>
            <w:vAlign w:val="center"/>
          </w:tcPr>
          <w:p w14:paraId="3B4B5229" w14:textId="77777777" w:rsidR="00AC4161" w:rsidRPr="0097459F" w:rsidRDefault="00AC4161" w:rsidP="008178D1">
            <w:pPr>
              <w:tabs>
                <w:tab w:val="num" w:pos="1134"/>
              </w:tabs>
              <w:spacing w:after="0" w:line="240" w:lineRule="auto"/>
              <w:rPr>
                <w:rFonts w:asciiTheme="minorHAnsi" w:hAnsiTheme="minorHAnsi" w:cstheme="minorHAnsi"/>
                <w:b/>
                <w:color w:val="000000"/>
              </w:rPr>
            </w:pPr>
            <w:r w:rsidRPr="0097459F">
              <w:rPr>
                <w:rFonts w:asciiTheme="minorHAnsi" w:hAnsiTheme="minorHAnsi" w:cstheme="minorHAnsi"/>
                <w:b/>
                <w:color w:val="000000"/>
              </w:rPr>
              <w:t>[% do Patrimônio líquido] ou [não]</w:t>
            </w:r>
          </w:p>
        </w:tc>
      </w:tr>
      <w:tr w:rsidR="00AC4161" w:rsidRPr="0097459F" w14:paraId="3360F3CF" w14:textId="77777777" w:rsidTr="008178D1">
        <w:tc>
          <w:tcPr>
            <w:tcW w:w="2714" w:type="pct"/>
            <w:shd w:val="clear" w:color="auto" w:fill="DBE5F1"/>
          </w:tcPr>
          <w:p w14:paraId="195CB263"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crédito privado até o limite de</w:t>
            </w:r>
          </w:p>
        </w:tc>
        <w:tc>
          <w:tcPr>
            <w:tcW w:w="2286" w:type="pct"/>
            <w:vAlign w:val="center"/>
          </w:tcPr>
          <w:p w14:paraId="14343EFC" w14:textId="77777777" w:rsidR="00AC4161" w:rsidRPr="0097459F" w:rsidRDefault="00AC4161" w:rsidP="008178D1">
            <w:pPr>
              <w:tabs>
                <w:tab w:val="num" w:pos="1134"/>
              </w:tabs>
              <w:spacing w:after="0" w:line="240" w:lineRule="auto"/>
              <w:rPr>
                <w:rFonts w:asciiTheme="minorHAnsi" w:hAnsiTheme="minorHAnsi" w:cstheme="minorHAnsi"/>
                <w:b/>
                <w:color w:val="000000"/>
              </w:rPr>
            </w:pPr>
            <w:r w:rsidRPr="0097459F">
              <w:rPr>
                <w:rFonts w:asciiTheme="minorHAnsi" w:hAnsiTheme="minorHAnsi" w:cstheme="minorHAnsi"/>
                <w:b/>
                <w:color w:val="000000"/>
              </w:rPr>
              <w:t>[% do Patrimônio líquido] ou [não]</w:t>
            </w:r>
          </w:p>
        </w:tc>
      </w:tr>
      <w:tr w:rsidR="00AC4161" w:rsidRPr="0097459F" w14:paraId="5B0653C7" w14:textId="77777777" w:rsidTr="008178D1">
        <w:tc>
          <w:tcPr>
            <w:tcW w:w="2714" w:type="pct"/>
            <w:shd w:val="clear" w:color="auto" w:fill="DBE5F1"/>
          </w:tcPr>
          <w:p w14:paraId="297610C3"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Aplicar em um só fundo ou classe até o limite de</w:t>
            </w:r>
          </w:p>
        </w:tc>
        <w:tc>
          <w:tcPr>
            <w:tcW w:w="2286" w:type="pct"/>
            <w:vAlign w:val="center"/>
          </w:tcPr>
          <w:p w14:paraId="316DC409" w14:textId="77777777" w:rsidR="00AC4161" w:rsidRPr="0097459F" w:rsidDel="005B1924"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color w:val="000000"/>
              </w:rPr>
              <w:t>[% do Patrimônio líquido] ou [não]</w:t>
            </w:r>
          </w:p>
        </w:tc>
      </w:tr>
      <w:tr w:rsidR="00AC4161" w:rsidRPr="0097459F" w14:paraId="17064AD6" w14:textId="77777777" w:rsidTr="008178D1">
        <w:tc>
          <w:tcPr>
            <w:tcW w:w="2714" w:type="pct"/>
            <w:shd w:val="clear" w:color="auto" w:fill="DBE5F1"/>
          </w:tcPr>
          <w:p w14:paraId="1CC8D036"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Utiliza derivativos apenas para proteção da carteira?</w:t>
            </w:r>
          </w:p>
        </w:tc>
        <w:tc>
          <w:tcPr>
            <w:tcW w:w="2286" w:type="pct"/>
            <w:vAlign w:val="center"/>
          </w:tcPr>
          <w:p w14:paraId="5EE87611"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[Sim/Não]</w:t>
            </w:r>
          </w:p>
        </w:tc>
      </w:tr>
      <w:tr w:rsidR="00AC4161" w:rsidRPr="0097459F" w14:paraId="19DC3222" w14:textId="77777777" w:rsidTr="008178D1">
        <w:tc>
          <w:tcPr>
            <w:tcW w:w="2714" w:type="pct"/>
            <w:shd w:val="clear" w:color="auto" w:fill="DBE5F1"/>
          </w:tcPr>
          <w:p w14:paraId="6771B35B" w14:textId="77777777" w:rsidR="00AC4161" w:rsidRPr="0097459F" w:rsidRDefault="00AC4161" w:rsidP="008178D1">
            <w:pPr>
              <w:tabs>
                <w:tab w:val="num" w:pos="1134"/>
              </w:tabs>
              <w:spacing w:after="0" w:line="240" w:lineRule="auto"/>
              <w:rPr>
                <w:rFonts w:asciiTheme="minorHAnsi" w:hAnsiTheme="minorHAnsi" w:cstheme="minorHAnsi"/>
                <w:b/>
              </w:rPr>
            </w:pPr>
            <w:r>
              <w:rPr>
                <w:rFonts w:asciiTheme="minorHAnsi" w:hAnsiTheme="minorHAnsi" w:cstheme="minorHAnsi"/>
                <w:b/>
              </w:rPr>
              <w:t xml:space="preserve">Limite de margem </w:t>
            </w:r>
            <w:r w:rsidRPr="0097459F">
              <w:rPr>
                <w:rFonts w:asciiTheme="minorHAnsi" w:hAnsiTheme="minorHAnsi" w:cstheme="minorHAnsi"/>
                <w:b/>
              </w:rPr>
              <w:t>até (i)</w:t>
            </w:r>
          </w:p>
        </w:tc>
        <w:tc>
          <w:tcPr>
            <w:tcW w:w="2286" w:type="pct"/>
            <w:vAlign w:val="center"/>
          </w:tcPr>
          <w:p w14:paraId="0FFA8C11" w14:textId="77777777" w:rsidR="00AC4161" w:rsidRPr="0097459F" w:rsidRDefault="00AC4161" w:rsidP="008178D1">
            <w:pPr>
              <w:tabs>
                <w:tab w:val="num" w:pos="1134"/>
              </w:tabs>
              <w:spacing w:after="0" w:line="240" w:lineRule="auto"/>
              <w:rPr>
                <w:rFonts w:asciiTheme="minorHAnsi" w:hAnsiTheme="minorHAnsi" w:cstheme="minorHAnsi"/>
                <w:b/>
              </w:rPr>
            </w:pPr>
            <w:r w:rsidRPr="0097459F">
              <w:rPr>
                <w:rFonts w:asciiTheme="minorHAnsi" w:hAnsiTheme="minorHAnsi" w:cstheme="minorHAnsi"/>
                <w:b/>
              </w:rPr>
              <w:t>[% do Patrimônio Líquido em margem] ou [sem limite]</w:t>
            </w:r>
          </w:p>
        </w:tc>
      </w:tr>
      <w:tr w:rsidR="00AC4161" w:rsidRPr="0097459F" w14:paraId="432DA532" w14:textId="77777777" w:rsidTr="008178D1">
        <w:tc>
          <w:tcPr>
            <w:tcW w:w="5000" w:type="pct"/>
            <w:gridSpan w:val="2"/>
            <w:shd w:val="clear" w:color="auto" w:fill="DBE5F1"/>
          </w:tcPr>
          <w:p w14:paraId="2F7C008B" w14:textId="77777777" w:rsidR="00AC4161" w:rsidRPr="0097459F" w:rsidRDefault="00AC4161" w:rsidP="008178D1">
            <w:pPr>
              <w:pStyle w:val="Default"/>
              <w:ind w:left="29" w:hanging="29"/>
              <w:jc w:val="both"/>
              <w:rPr>
                <w:rFonts w:asciiTheme="minorHAnsi" w:eastAsia="Times New Roman" w:hAnsiTheme="minorHAnsi" w:cstheme="minorHAnsi"/>
                <w:b/>
                <w:color w:val="auto"/>
              </w:rPr>
            </w:pPr>
            <w:r w:rsidRPr="0097459F" w:rsidDel="008A7550">
              <w:rPr>
                <w:rFonts w:asciiTheme="minorHAnsi" w:eastAsia="Times New Roman" w:hAnsiTheme="minorHAnsi" w:cstheme="minorHAnsi"/>
                <w:color w:val="auto"/>
              </w:rPr>
              <w:t xml:space="preserve"> </w:t>
            </w:r>
            <w:r w:rsidRPr="0097459F">
              <w:rPr>
                <w:rFonts w:asciiTheme="minorHAnsi" w:eastAsia="Times New Roman" w:hAnsiTheme="minorHAnsi" w:cstheme="minorHAnsi"/>
                <w:color w:val="auto"/>
              </w:rPr>
              <w:t xml:space="preserve">(i) No cálculo do limite de </w:t>
            </w:r>
            <w:r>
              <w:rPr>
                <w:rFonts w:asciiTheme="minorHAnsi" w:eastAsia="Times New Roman" w:hAnsiTheme="minorHAnsi" w:cstheme="minorHAnsi"/>
                <w:color w:val="auto"/>
              </w:rPr>
              <w:t>margem</w:t>
            </w:r>
            <w:r w:rsidRPr="0097459F">
              <w:rPr>
                <w:rFonts w:asciiTheme="minorHAnsi" w:eastAsia="Times New Roman" w:hAnsiTheme="minorHAnsi" w:cstheme="minorHAnsi"/>
                <w:color w:val="auto"/>
              </w:rPr>
              <w:t>, deve-se considerar o valor das margens exigidas em operações com garantia somada à "margem potencial" de operações de derivativos sem garantia. O cálculo de "margem potencial" de operações de derivativos sem garantia deve se basear em modelo de cálculo de garantia do administrador e não pode ser compensado com as margens das operações com garantia.</w:t>
            </w:r>
          </w:p>
        </w:tc>
      </w:tr>
    </w:tbl>
    <w:p w14:paraId="49273AB1" w14:textId="53D59BE0" w:rsidR="00AC4161" w:rsidRPr="00AC4161" w:rsidRDefault="00AC4161" w:rsidP="00AC4161">
      <w:pPr>
        <w:pStyle w:val="PargrafodaLista"/>
        <w:numPr>
          <w:ilvl w:val="1"/>
          <w:numId w:val="5"/>
        </w:numPr>
        <w:spacing w:after="0" w:line="240" w:lineRule="auto"/>
        <w:jc w:val="both"/>
      </w:pPr>
      <w:r w:rsidRPr="00AC4161">
        <w:rPr>
          <w:rFonts w:cstheme="minorHAnsi"/>
          <w:i/>
        </w:rPr>
        <w:t xml:space="preserve">[Para classes de cotas: A metodologia utilizada para o cálculo do limite de margem, disposto no item 3.b é o </w:t>
      </w:r>
      <w:r w:rsidRPr="00AC4161">
        <w:rPr>
          <w:rFonts w:cstheme="minorHAnsi"/>
          <w:b/>
          <w:i/>
        </w:rPr>
        <w:t xml:space="preserve">percentual máximo do patrimônio líquido que pode ser depositado em margem de garantia </w:t>
      </w:r>
      <w:r w:rsidRPr="00AC4161">
        <w:rPr>
          <w:rFonts w:cstheme="minorHAnsi"/>
          <w:i/>
        </w:rPr>
        <w:t xml:space="preserve">para garantir a liquidação das operações contratadas somado à margem potencial para a liquidação dos derivativos negociados no mercado de balcão.] </w:t>
      </w:r>
      <w:r w:rsidRPr="00AC4161">
        <w:rPr>
          <w:rFonts w:cstheme="minorHAnsi"/>
          <w:b/>
        </w:rPr>
        <w:t>OU</w:t>
      </w:r>
      <w:r w:rsidRPr="00AC4161">
        <w:rPr>
          <w:rFonts w:cstheme="minorHAnsi"/>
          <w:i/>
        </w:rPr>
        <w:t xml:space="preserve"> [Para classes de investimento em cotas: A metodologia utilizada para o cálculo do limite de margem, disposto no item 3.b é o percentual máximo que pode ser depositado pela classe de cotas em margem de garantia para garantir a liquidação das operações contratadas somado à margem potencial para a liquidação dos derivativos negociados no mercado de balcão. </w:t>
      </w:r>
      <w:r w:rsidRPr="00AC4161">
        <w:rPr>
          <w:rFonts w:cstheme="minorHAnsi"/>
          <w:b/>
          <w:i/>
        </w:rPr>
        <w:t xml:space="preserve">Esta classe de investimento em cotas não realiza depósito de margem de garantia junto às centrais depositárias, mas pode investir em fundos de </w:t>
      </w:r>
      <w:r w:rsidRPr="00AC4161">
        <w:rPr>
          <w:rFonts w:cstheme="minorHAnsi"/>
          <w:b/>
          <w:i/>
        </w:rPr>
        <w:lastRenderedPageBreak/>
        <w:t>investimento que podem estar expostos aos riscos decorrentes de aplicações em ativos que incorram em depósito de margem de garantia. As informações apresentadas são provenientes dos fundos investidos geridos por instituições ligadas</w:t>
      </w:r>
      <w:r w:rsidRPr="00AC4161">
        <w:rPr>
          <w:rFonts w:cstheme="minorHAnsi"/>
          <w:i/>
        </w:rPr>
        <w:t>.]</w:t>
      </w:r>
    </w:p>
    <w:p w14:paraId="20724675" w14:textId="611130F3" w:rsidR="00AC4161" w:rsidRPr="00AC4161" w:rsidRDefault="00AC4161" w:rsidP="00AC4161">
      <w:pPr>
        <w:pStyle w:val="Normalalteradora"/>
        <w:numPr>
          <w:ilvl w:val="0"/>
          <w:numId w:val="40"/>
        </w:numPr>
        <w:ind w:hanging="153"/>
        <w:rPr>
          <w:strike/>
        </w:rPr>
      </w:pPr>
      <w:r>
        <w:rPr>
          <w:rFonts w:cstheme="minorHAnsi"/>
          <w:b/>
          <w:i/>
          <w:iCs/>
        </w:rPr>
        <w:t xml:space="preserve"> </w:t>
      </w:r>
      <w:r w:rsidR="00E33BC6">
        <w:rPr>
          <w:rFonts w:cstheme="minorHAnsi"/>
          <w:b/>
          <w:i/>
          <w:iCs/>
        </w:rPr>
        <w:t>Itens 3.</w:t>
      </w:r>
      <w:r>
        <w:rPr>
          <w:rFonts w:cstheme="minorHAnsi"/>
          <w:b/>
          <w:i/>
          <w:iCs/>
        </w:rPr>
        <w:t xml:space="preserve">b e </w:t>
      </w:r>
      <w:r w:rsidR="00E33BC6">
        <w:rPr>
          <w:rFonts w:cstheme="minorHAnsi"/>
          <w:b/>
          <w:i/>
          <w:iCs/>
        </w:rPr>
        <w:t>3.</w:t>
      </w:r>
      <w:r>
        <w:rPr>
          <w:rFonts w:cstheme="minorHAnsi"/>
          <w:b/>
          <w:i/>
          <w:iCs/>
        </w:rPr>
        <w:t xml:space="preserve">c com redação dada </w:t>
      </w:r>
      <w:r w:rsidRPr="00D960C9">
        <w:rPr>
          <w:rFonts w:cstheme="minorHAnsi"/>
          <w:b/>
          <w:i/>
        </w:rPr>
        <w:t xml:space="preserve">pela </w:t>
      </w:r>
      <w:r>
        <w:rPr>
          <w:rFonts w:cstheme="minorHAnsi"/>
          <w:b/>
          <w:i/>
        </w:rPr>
        <w:t>Resolução</w:t>
      </w:r>
      <w:r w:rsidRPr="00D960C9">
        <w:rPr>
          <w:rFonts w:cstheme="minorHAnsi"/>
          <w:b/>
          <w:i/>
        </w:rPr>
        <w:t xml:space="preserve"> CVM nº 18</w:t>
      </w:r>
      <w:r>
        <w:rPr>
          <w:rFonts w:cstheme="minorHAnsi"/>
          <w:b/>
          <w:i/>
        </w:rPr>
        <w:t>7</w:t>
      </w:r>
      <w:r w:rsidRPr="00D960C9">
        <w:rPr>
          <w:rFonts w:cstheme="minorHAnsi"/>
          <w:b/>
          <w:i/>
        </w:rPr>
        <w:t>, de 2</w:t>
      </w:r>
      <w:r>
        <w:rPr>
          <w:rFonts w:cstheme="minorHAnsi"/>
          <w:b/>
          <w:i/>
        </w:rPr>
        <w:t>7</w:t>
      </w:r>
      <w:r w:rsidRPr="00D960C9">
        <w:rPr>
          <w:rFonts w:cstheme="minorHAnsi"/>
          <w:b/>
          <w:i/>
        </w:rPr>
        <w:t xml:space="preserve"> de </w:t>
      </w:r>
      <w:r>
        <w:rPr>
          <w:rFonts w:cstheme="minorHAnsi"/>
          <w:b/>
          <w:i/>
        </w:rPr>
        <w:t>setembro</w:t>
      </w:r>
      <w:r w:rsidRPr="00D960C9">
        <w:rPr>
          <w:rFonts w:cstheme="minorHAnsi"/>
          <w:b/>
          <w:i/>
        </w:rPr>
        <w:t xml:space="preserve"> de 2023</w:t>
      </w:r>
      <w:r>
        <w:rPr>
          <w:rFonts w:cstheme="minorHAnsi"/>
          <w:b/>
          <w:i/>
        </w:rPr>
        <w:t>.</w:t>
      </w:r>
    </w:p>
    <w:p w14:paraId="4B968630" w14:textId="36397123" w:rsidR="00C20BBD" w:rsidRPr="00AC4161" w:rsidRDefault="00C20BBD" w:rsidP="00AC4161">
      <w:pPr>
        <w:pStyle w:val="PargrafodaLista"/>
        <w:numPr>
          <w:ilvl w:val="1"/>
          <w:numId w:val="5"/>
        </w:numPr>
        <w:spacing w:after="0" w:line="240" w:lineRule="auto"/>
        <w:jc w:val="both"/>
        <w:rPr>
          <w:rFonts w:cstheme="minorHAnsi"/>
          <w:color w:val="000000"/>
          <w:sz w:val="24"/>
          <w:szCs w:val="24"/>
          <w:highlight w:val="lightGray"/>
        </w:rPr>
      </w:pPr>
      <w:r w:rsidRPr="00AC4161">
        <w:rPr>
          <w:rFonts w:cstheme="minorHAnsi"/>
          <w:color w:val="0D0D0D" w:themeColor="text1" w:themeTint="F2"/>
          <w:sz w:val="24"/>
          <w:szCs w:val="24"/>
          <w:highlight w:val="lightGray"/>
        </w:rPr>
        <w:t>[</w:t>
      </w:r>
      <w:r w:rsidRPr="00AC4161">
        <w:rPr>
          <w:rFonts w:cstheme="minorHAnsi"/>
          <w:i/>
          <w:color w:val="0D0D0D" w:themeColor="text1" w:themeTint="F2"/>
          <w:sz w:val="24"/>
          <w:szCs w:val="24"/>
          <w:highlight w:val="lightGray"/>
        </w:rPr>
        <w:t>Para  classe de cotas cuja política de investimentos permite a realização de operações cujas consequências possam ser significativas perdas patrimoniais</w:t>
      </w:r>
      <w:r w:rsidRPr="00AC4161">
        <w:rPr>
          <w:rFonts w:cstheme="minorHAnsi"/>
          <w:color w:val="0D0D0D" w:themeColor="text1" w:themeTint="F2"/>
          <w:sz w:val="24"/>
          <w:szCs w:val="24"/>
          <w:highlight w:val="lightGray"/>
        </w:rPr>
        <w:t>:</w:t>
      </w:r>
      <w:r w:rsidRPr="00AC4161">
        <w:rPr>
          <w:rFonts w:cstheme="minorHAnsi"/>
          <w:i/>
          <w:color w:val="0D0D0D" w:themeColor="text1" w:themeTint="F2"/>
          <w:sz w:val="24"/>
          <w:szCs w:val="24"/>
          <w:highlight w:val="lightGray"/>
        </w:rPr>
        <w:t xml:space="preserve"> </w:t>
      </w:r>
      <w:r w:rsidRPr="00AC4161">
        <w:rPr>
          <w:rFonts w:cstheme="minorHAnsi"/>
          <w:b/>
          <w:color w:val="000000" w:themeColor="text1"/>
          <w:sz w:val="24"/>
          <w:szCs w:val="24"/>
          <w:highlight w:val="lightGray"/>
        </w:rPr>
        <w:t>As estratégias de investimento podem resultar em significativas perdas patrimoniais para seus cotistas</w:t>
      </w:r>
      <w:r w:rsidRPr="00AC4161">
        <w:rPr>
          <w:rFonts w:cstheme="minorHAnsi"/>
          <w:b/>
          <w:i/>
          <w:color w:val="000000" w:themeColor="text1"/>
          <w:sz w:val="24"/>
          <w:szCs w:val="24"/>
          <w:highlight w:val="lightGray"/>
        </w:rPr>
        <w:t>.</w:t>
      </w:r>
      <w:r w:rsidRPr="00AC4161">
        <w:rPr>
          <w:rFonts w:cstheme="minorHAnsi"/>
          <w:color w:val="000000" w:themeColor="text1"/>
          <w:sz w:val="24"/>
          <w:szCs w:val="24"/>
          <w:highlight w:val="lightGray"/>
        </w:rPr>
        <w:t>]</w:t>
      </w:r>
    </w:p>
    <w:p w14:paraId="616ECFD2" w14:textId="52BBD03C" w:rsidR="00C20BBD" w:rsidRPr="00AC4161" w:rsidRDefault="00C20BBD" w:rsidP="00AC4161">
      <w:pPr>
        <w:pStyle w:val="PargrafodaLista"/>
        <w:numPr>
          <w:ilvl w:val="1"/>
          <w:numId w:val="5"/>
        </w:numPr>
        <w:spacing w:after="0" w:line="240" w:lineRule="auto"/>
        <w:jc w:val="both"/>
        <w:rPr>
          <w:rFonts w:cstheme="minorHAnsi"/>
          <w:color w:val="000000"/>
          <w:sz w:val="24"/>
          <w:szCs w:val="24"/>
          <w:highlight w:val="lightGray"/>
        </w:rPr>
      </w:pPr>
      <w:r w:rsidRPr="00AC4161">
        <w:rPr>
          <w:rFonts w:cstheme="minorHAnsi"/>
          <w:color w:val="000000"/>
          <w:sz w:val="24"/>
          <w:szCs w:val="24"/>
          <w:highlight w:val="lightGray"/>
        </w:rPr>
        <w:t>[</w:t>
      </w:r>
      <w:r w:rsidRPr="00AC4161">
        <w:rPr>
          <w:rFonts w:cstheme="minorHAnsi"/>
          <w:i/>
          <w:color w:val="0D0D0D"/>
          <w:sz w:val="24"/>
          <w:szCs w:val="24"/>
          <w:highlight w:val="lightGray"/>
        </w:rPr>
        <w:t>Para a classe de cotas com responsabilidade ilimitada dos cotistas cuja política de investimento permite a realização de operações que possam resultar em patrimônio líquido negativo</w:t>
      </w:r>
      <w:r w:rsidRPr="00AC4161">
        <w:rPr>
          <w:rFonts w:cstheme="minorHAnsi"/>
          <w:color w:val="000000"/>
          <w:sz w:val="24"/>
          <w:szCs w:val="24"/>
          <w:highlight w:val="lightGray"/>
        </w:rPr>
        <w:t xml:space="preserve">: </w:t>
      </w:r>
      <w:r w:rsidRPr="00AC4161">
        <w:rPr>
          <w:rFonts w:cstheme="minorHAnsi"/>
          <w:b/>
          <w:color w:val="000000"/>
          <w:sz w:val="24"/>
          <w:szCs w:val="24"/>
          <w:highlight w:val="lightGray"/>
        </w:rPr>
        <w:t>As estratégias de investimento podem resultar em perdas superiores ao capital aplicado e na consequente obrigação do cotista de aportar recursos adicionais para cobrir o prejuízo</w:t>
      </w:r>
      <w:r w:rsidRPr="00AC4161">
        <w:rPr>
          <w:rFonts w:cstheme="minorHAnsi"/>
          <w:b/>
          <w:i/>
          <w:color w:val="000000"/>
          <w:sz w:val="24"/>
          <w:szCs w:val="24"/>
          <w:highlight w:val="lightGray"/>
        </w:rPr>
        <w:t>.</w:t>
      </w:r>
      <w:r w:rsidRPr="00AC4161">
        <w:rPr>
          <w:rFonts w:cstheme="minorHAnsi"/>
          <w:color w:val="000000"/>
          <w:sz w:val="24"/>
          <w:szCs w:val="24"/>
          <w:highlight w:val="lightGray"/>
        </w:rPr>
        <w:t>]</w:t>
      </w:r>
    </w:p>
    <w:p w14:paraId="2D1E38CD" w14:textId="77777777" w:rsidR="00C2608B" w:rsidRPr="0097459F" w:rsidRDefault="00C2608B" w:rsidP="00C2608B">
      <w:pPr>
        <w:spacing w:after="0" w:line="240" w:lineRule="auto"/>
        <w:ind w:left="709"/>
        <w:jc w:val="both"/>
        <w:rPr>
          <w:rFonts w:asciiTheme="minorHAnsi" w:hAnsiTheme="minorHAnsi" w:cstheme="minorHAnsi"/>
          <w:color w:val="000000"/>
          <w:sz w:val="24"/>
          <w:szCs w:val="24"/>
          <w:highlight w:val="lightGray"/>
        </w:rPr>
      </w:pPr>
    </w:p>
    <w:p w14:paraId="531BDBC2" w14:textId="77777777"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CONDIÇÕES DE INVESTIMENTO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6857"/>
      </w:tblGrid>
      <w:tr w:rsidR="00C20BBD" w:rsidRPr="0097459F" w14:paraId="5285CF89" w14:textId="77777777" w:rsidTr="00ED0447">
        <w:tc>
          <w:tcPr>
            <w:tcW w:w="1637" w:type="pct"/>
            <w:shd w:val="clear" w:color="auto" w:fill="DBE5F1"/>
            <w:vAlign w:val="center"/>
          </w:tcPr>
          <w:p w14:paraId="67573634"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Investimento inicial mínimo</w:t>
            </w:r>
          </w:p>
        </w:tc>
        <w:tc>
          <w:tcPr>
            <w:tcW w:w="3363" w:type="pct"/>
            <w:vAlign w:val="center"/>
          </w:tcPr>
          <w:p w14:paraId="17C743E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5CC87C45" w14:textId="77777777" w:rsidTr="00ED0447">
        <w:tc>
          <w:tcPr>
            <w:tcW w:w="1637" w:type="pct"/>
            <w:shd w:val="clear" w:color="auto" w:fill="DBE5F1"/>
            <w:vAlign w:val="center"/>
          </w:tcPr>
          <w:p w14:paraId="72779EF2"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Investimento adicional mínimo</w:t>
            </w:r>
          </w:p>
        </w:tc>
        <w:tc>
          <w:tcPr>
            <w:tcW w:w="3363" w:type="pct"/>
            <w:vAlign w:val="center"/>
          </w:tcPr>
          <w:p w14:paraId="7219A47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3AA19468" w14:textId="77777777" w:rsidTr="00ED0447">
        <w:tc>
          <w:tcPr>
            <w:tcW w:w="1637" w:type="pct"/>
            <w:shd w:val="clear" w:color="auto" w:fill="DBE5F1"/>
            <w:vAlign w:val="center"/>
          </w:tcPr>
          <w:p w14:paraId="12543EB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Resgate mínimo</w:t>
            </w:r>
          </w:p>
        </w:tc>
        <w:tc>
          <w:tcPr>
            <w:tcW w:w="3363" w:type="pct"/>
            <w:vAlign w:val="center"/>
          </w:tcPr>
          <w:p w14:paraId="44F65ED9"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4958FD8A" w14:textId="77777777" w:rsidTr="00ED0447">
        <w:tc>
          <w:tcPr>
            <w:tcW w:w="1637" w:type="pct"/>
            <w:shd w:val="clear" w:color="auto" w:fill="DBE5F1"/>
            <w:vAlign w:val="center"/>
          </w:tcPr>
          <w:p w14:paraId="63C730FF"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Horário para aplicação e resgate</w:t>
            </w:r>
          </w:p>
        </w:tc>
        <w:tc>
          <w:tcPr>
            <w:tcW w:w="3363" w:type="pct"/>
            <w:vAlign w:val="center"/>
          </w:tcPr>
          <w:p w14:paraId="6BAF90F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HH.mm</w:t>
            </w:r>
          </w:p>
        </w:tc>
      </w:tr>
      <w:tr w:rsidR="00C20BBD" w:rsidRPr="0097459F" w14:paraId="72533168" w14:textId="77777777" w:rsidTr="00ED0447">
        <w:tc>
          <w:tcPr>
            <w:tcW w:w="1637" w:type="pct"/>
            <w:shd w:val="clear" w:color="auto" w:fill="DBE5F1"/>
            <w:vAlign w:val="center"/>
          </w:tcPr>
          <w:p w14:paraId="76037EC1"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Valor mínimo para permanência</w:t>
            </w:r>
          </w:p>
        </w:tc>
        <w:tc>
          <w:tcPr>
            <w:tcW w:w="3363" w:type="pct"/>
            <w:vAlign w:val="center"/>
          </w:tcPr>
          <w:p w14:paraId="7F22BA54"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R$ [●] </w:t>
            </w:r>
            <w:r w:rsidRPr="0097459F">
              <w:rPr>
                <w:rFonts w:asciiTheme="minorHAnsi" w:hAnsiTheme="minorHAnsi" w:cstheme="minorHAnsi"/>
                <w:color w:val="000000"/>
                <w:sz w:val="24"/>
                <w:szCs w:val="24"/>
              </w:rPr>
              <w:t xml:space="preserve">OU </w:t>
            </w:r>
            <w:r w:rsidRPr="0097459F">
              <w:rPr>
                <w:rFonts w:asciiTheme="minorHAnsi" w:hAnsiTheme="minorHAnsi" w:cstheme="minorHAnsi"/>
                <w:b/>
                <w:color w:val="000000"/>
                <w:sz w:val="24"/>
                <w:szCs w:val="24"/>
              </w:rPr>
              <w:t>[não há]</w:t>
            </w:r>
          </w:p>
        </w:tc>
      </w:tr>
      <w:tr w:rsidR="00C20BBD" w:rsidRPr="0097459F" w14:paraId="2622688E" w14:textId="77777777" w:rsidTr="00ED0447">
        <w:tc>
          <w:tcPr>
            <w:tcW w:w="1637" w:type="pct"/>
            <w:shd w:val="clear" w:color="auto" w:fill="DBE5F1"/>
            <w:vAlign w:val="center"/>
          </w:tcPr>
          <w:p w14:paraId="7C9B5D96"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Prazo de carência</w:t>
            </w:r>
          </w:p>
        </w:tc>
        <w:tc>
          <w:tcPr>
            <w:tcW w:w="3363" w:type="pct"/>
            <w:vAlign w:val="center"/>
          </w:tcPr>
          <w:p w14:paraId="6F62389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Os recursos investidos não podem ser resgatados antes de [●] dias contados da data da aplicação OU [outras condições de carência] OU [não há].</w:t>
            </w:r>
          </w:p>
        </w:tc>
      </w:tr>
      <w:tr w:rsidR="00C20BBD" w:rsidRPr="0097459F" w14:paraId="0DF127EB" w14:textId="77777777" w:rsidTr="00ED0447">
        <w:tc>
          <w:tcPr>
            <w:tcW w:w="1637" w:type="pct"/>
            <w:shd w:val="clear" w:color="auto" w:fill="DBE5F1"/>
            <w:vAlign w:val="center"/>
          </w:tcPr>
          <w:p w14:paraId="1111C5C3"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Conversão das cotas</w:t>
            </w:r>
          </w:p>
        </w:tc>
        <w:tc>
          <w:tcPr>
            <w:tcW w:w="3363" w:type="pct"/>
            <w:vAlign w:val="center"/>
          </w:tcPr>
          <w:p w14:paraId="71DC89D3" w14:textId="77777777" w:rsidR="00C20BBD" w:rsidRPr="0097459F" w:rsidRDefault="00C20BBD" w:rsidP="00AF676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Na aplicação, o número de cotas compradas será calculado de acordo com o valor das cotas [na abertura/no fechamento] do [●] dia contado da data da aplicação.</w:t>
            </w:r>
          </w:p>
          <w:p w14:paraId="08D5D24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No resgate, o número de cotas canceladas será calculado de acordo com o valor das cotas [na abertura/no fechamento] do [●] dia contado da data do pedido de resgate.</w:t>
            </w:r>
          </w:p>
        </w:tc>
      </w:tr>
      <w:tr w:rsidR="00C20BBD" w:rsidRPr="0097459F" w14:paraId="686C4677" w14:textId="77777777" w:rsidTr="00ED0447">
        <w:tc>
          <w:tcPr>
            <w:tcW w:w="1637" w:type="pct"/>
            <w:shd w:val="clear" w:color="auto" w:fill="DBE5F1"/>
            <w:vAlign w:val="center"/>
          </w:tcPr>
          <w:p w14:paraId="77951D56"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Pagamento dos resgates</w:t>
            </w:r>
          </w:p>
        </w:tc>
        <w:tc>
          <w:tcPr>
            <w:tcW w:w="3363" w:type="pct"/>
            <w:vAlign w:val="center"/>
          </w:tcPr>
          <w:p w14:paraId="2E936A93" w14:textId="7AFED8B3"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O prazo para o efetivo pagamento dos resgates é de [●]</w:t>
            </w:r>
            <w:r w:rsidR="00DE19FE" w:rsidRPr="0097459F">
              <w:rPr>
                <w:rStyle w:val="Refdenotaderodap"/>
                <w:rFonts w:asciiTheme="minorHAnsi" w:hAnsiTheme="minorHAnsi" w:cstheme="minorHAnsi"/>
                <w:color w:val="000000"/>
                <w:sz w:val="24"/>
                <w:szCs w:val="24"/>
              </w:rPr>
              <w:footnoteReference w:id="6"/>
            </w:r>
            <w:r w:rsidR="00DE19FE" w:rsidRPr="0097459F">
              <w:rPr>
                <w:rFonts w:asciiTheme="minorHAnsi" w:hAnsiTheme="minorHAnsi" w:cstheme="minorHAnsi"/>
                <w:color w:val="000000"/>
                <w:sz w:val="24"/>
                <w:szCs w:val="24"/>
              </w:rPr>
              <w:t xml:space="preserve"> </w:t>
            </w:r>
            <w:r w:rsidRPr="0097459F">
              <w:rPr>
                <w:rFonts w:asciiTheme="minorHAnsi" w:hAnsiTheme="minorHAnsi" w:cstheme="minorHAnsi"/>
                <w:color w:val="000000"/>
                <w:sz w:val="24"/>
                <w:szCs w:val="24"/>
              </w:rPr>
              <w:t>dias úteis ou corridos contados da data do pedido de resgate.</w:t>
            </w:r>
          </w:p>
        </w:tc>
      </w:tr>
      <w:tr w:rsidR="00C20BBD" w:rsidRPr="0097459F" w14:paraId="4F754DF3" w14:textId="77777777" w:rsidTr="00ED0447">
        <w:tc>
          <w:tcPr>
            <w:tcW w:w="1637" w:type="pct"/>
            <w:shd w:val="clear" w:color="auto" w:fill="DBE5F1"/>
            <w:vAlign w:val="center"/>
          </w:tcPr>
          <w:p w14:paraId="1CD844DC"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administração</w:t>
            </w:r>
          </w:p>
        </w:tc>
        <w:tc>
          <w:tcPr>
            <w:tcW w:w="3363" w:type="pct"/>
            <w:vAlign w:val="center"/>
          </w:tcPr>
          <w:p w14:paraId="2FD6688A"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 do patrimônio líquido ao ano] OU [A taxa de administração pode variar de [●]% a [●]% do patrimônio líquido ao ano].</w:t>
            </w:r>
          </w:p>
        </w:tc>
      </w:tr>
      <w:tr w:rsidR="00C20BBD" w:rsidRPr="0097459F" w14:paraId="4720DDFD" w14:textId="77777777" w:rsidTr="00ED0447">
        <w:tc>
          <w:tcPr>
            <w:tcW w:w="1637" w:type="pct"/>
            <w:shd w:val="clear" w:color="auto" w:fill="DBE5F1"/>
            <w:vAlign w:val="center"/>
          </w:tcPr>
          <w:p w14:paraId="623C389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entrada</w:t>
            </w:r>
          </w:p>
        </w:tc>
        <w:tc>
          <w:tcPr>
            <w:tcW w:w="3363" w:type="pct"/>
            <w:vAlign w:val="center"/>
          </w:tcPr>
          <w:p w14:paraId="3B55015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[Para entrar a classe, o investidor paga uma taxa de [●]% da aplicação inicial, que é deduzida diretamente do valor a ser aplicado.] OU [outras condições de entrada] OU [não há].</w:t>
            </w:r>
          </w:p>
        </w:tc>
      </w:tr>
      <w:tr w:rsidR="00C20BBD" w:rsidRPr="0097459F" w14:paraId="3C6EE364" w14:textId="77777777" w:rsidTr="00ED0447">
        <w:tc>
          <w:tcPr>
            <w:tcW w:w="1637" w:type="pct"/>
            <w:shd w:val="clear" w:color="auto" w:fill="DBE5F1"/>
            <w:vAlign w:val="center"/>
          </w:tcPr>
          <w:p w14:paraId="52F11105"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lastRenderedPageBreak/>
              <w:t>Taxa de saída</w:t>
            </w:r>
          </w:p>
        </w:tc>
        <w:tc>
          <w:tcPr>
            <w:tcW w:w="3363" w:type="pct"/>
            <w:vAlign w:val="center"/>
          </w:tcPr>
          <w:p w14:paraId="0526CC0E"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color w:val="000000"/>
                <w:sz w:val="24"/>
                <w:szCs w:val="24"/>
              </w:rPr>
              <w:t>[Para resgatar suas cotas[, antes de decorridos [●] dias da data de aplicação], o investidor paga uma taxa de [●]% do valor do resgate, que é deduzida diretamente do valor a ser recebido.] OU [outras condições de saída] OU [não há].</w:t>
            </w:r>
          </w:p>
        </w:tc>
      </w:tr>
      <w:tr w:rsidR="00C20BBD" w:rsidRPr="0097459F" w14:paraId="3526A86C" w14:textId="77777777" w:rsidTr="00ED0447">
        <w:tc>
          <w:tcPr>
            <w:tcW w:w="1637" w:type="pct"/>
            <w:shd w:val="clear" w:color="auto" w:fill="DBE5F1"/>
            <w:vAlign w:val="center"/>
          </w:tcPr>
          <w:p w14:paraId="051656E9"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de performance</w:t>
            </w:r>
          </w:p>
        </w:tc>
        <w:tc>
          <w:tcPr>
            <w:tcW w:w="3363" w:type="pct"/>
            <w:vAlign w:val="center"/>
          </w:tcPr>
          <w:p w14:paraId="4510EB7B" w14:textId="77777777" w:rsidR="00C20BBD" w:rsidRPr="0097459F" w:rsidRDefault="00C20BBD" w:rsidP="00AF676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[Descrição sucinta da taxa de performance] OU [não há].</w:t>
            </w:r>
          </w:p>
        </w:tc>
      </w:tr>
      <w:tr w:rsidR="00C20BBD" w:rsidRPr="0097459F" w14:paraId="15D4F3A7" w14:textId="77777777" w:rsidTr="00ED0447">
        <w:tc>
          <w:tcPr>
            <w:tcW w:w="1637" w:type="pct"/>
            <w:shd w:val="clear" w:color="auto" w:fill="DBE5F1"/>
            <w:vAlign w:val="center"/>
          </w:tcPr>
          <w:p w14:paraId="27180FCD" w14:textId="77777777" w:rsidR="00C20BBD" w:rsidRPr="0097459F" w:rsidRDefault="00C20BBD" w:rsidP="00AF6767">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Taxa total de despesas</w:t>
            </w:r>
          </w:p>
        </w:tc>
        <w:tc>
          <w:tcPr>
            <w:tcW w:w="3363" w:type="pct"/>
            <w:vAlign w:val="center"/>
          </w:tcPr>
          <w:p w14:paraId="6122F9C5" w14:textId="427CAEAF" w:rsidR="00C20BBD" w:rsidRPr="0097459F" w:rsidRDefault="00C20BBD" w:rsidP="001A1FD8">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themeColor="text1"/>
                <w:sz w:val="24"/>
                <w:szCs w:val="24"/>
              </w:rPr>
              <w:t>As despesas pagas pel</w:t>
            </w:r>
            <w:r w:rsidR="001A1FD8">
              <w:rPr>
                <w:rFonts w:asciiTheme="minorHAnsi" w:hAnsiTheme="minorHAnsi" w:cstheme="minorHAnsi"/>
                <w:color w:val="000000" w:themeColor="text1"/>
                <w:sz w:val="24"/>
                <w:szCs w:val="24"/>
              </w:rPr>
              <w:t>a</w:t>
            </w:r>
            <w:r w:rsidRPr="0097459F">
              <w:rPr>
                <w:rFonts w:asciiTheme="minorHAnsi" w:hAnsiTheme="minorHAnsi" w:cstheme="minorHAnsi"/>
                <w:color w:val="000000" w:themeColor="text1"/>
                <w:sz w:val="24"/>
                <w:szCs w:val="24"/>
              </w:rPr>
              <w:t xml:space="preserve"> classe de cotas representaram [●]% do seu patrimônio líquido diário médio no período que vai de [●] a [●]. A taxa de despesas pode variar de período para período e reduz a rentabilidade. O quadro com a descrição das despesas pode ser encontrado em [endereço eletrônico].</w:t>
            </w:r>
          </w:p>
        </w:tc>
      </w:tr>
    </w:tbl>
    <w:p w14:paraId="6791E144" w14:textId="77777777" w:rsidR="00C2608B" w:rsidRPr="0097459F" w:rsidRDefault="00C2608B" w:rsidP="00C2608B">
      <w:pPr>
        <w:pStyle w:val="NormalWeb"/>
        <w:spacing w:before="0" w:beforeAutospacing="0" w:after="0" w:afterAutospacing="0"/>
        <w:ind w:left="709"/>
        <w:jc w:val="both"/>
        <w:rPr>
          <w:rFonts w:asciiTheme="minorHAnsi" w:hAnsiTheme="minorHAnsi" w:cstheme="minorHAnsi"/>
        </w:rPr>
      </w:pPr>
    </w:p>
    <w:p w14:paraId="3D0A96F0" w14:textId="15126F0B"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COMPOSIÇÃO DA CARTEIRA:</w:t>
      </w:r>
      <w:r w:rsidR="00DE19FE" w:rsidRPr="0097459F">
        <w:rPr>
          <w:rStyle w:val="Refdenotaderodap"/>
          <w:rFonts w:asciiTheme="minorHAnsi" w:hAnsiTheme="minorHAnsi" w:cstheme="minorHAnsi"/>
        </w:rPr>
        <w:footnoteReference w:id="7"/>
      </w:r>
      <w:r w:rsidR="00DE19FE" w:rsidRPr="0097459F">
        <w:rPr>
          <w:rFonts w:asciiTheme="minorHAnsi" w:hAnsiTheme="minorHAnsi" w:cstheme="minorHAnsi"/>
          <w:b/>
        </w:rPr>
        <w:t xml:space="preserve"> </w:t>
      </w:r>
      <w:r w:rsidRPr="0097459F">
        <w:rPr>
          <w:rFonts w:asciiTheme="minorHAnsi" w:hAnsiTheme="minorHAnsi" w:cstheme="minorHAnsi"/>
        </w:rPr>
        <w:t>o patrimônio líquido da classe</w:t>
      </w:r>
      <w:r w:rsidRPr="0097459F">
        <w:rPr>
          <w:rFonts w:asciiTheme="minorHAnsi" w:hAnsiTheme="minorHAnsi" w:cstheme="minorHAnsi"/>
          <w:b/>
        </w:rPr>
        <w:t xml:space="preserve"> </w:t>
      </w:r>
      <w:r w:rsidRPr="0097459F">
        <w:rPr>
          <w:rFonts w:asciiTheme="minorHAnsi" w:hAnsiTheme="minorHAnsi" w:cstheme="minorHAnsi"/>
          <w:bCs/>
        </w:rPr>
        <w:t>de cotas</w:t>
      </w:r>
      <w:r w:rsidRPr="0097459F">
        <w:rPr>
          <w:rFonts w:asciiTheme="minorHAnsi" w:hAnsiTheme="minorHAnsi" w:cstheme="minorHAnsi"/>
          <w:b/>
        </w:rPr>
        <w:t xml:space="preserve"> </w:t>
      </w:r>
      <w:r w:rsidRPr="0097459F">
        <w:rPr>
          <w:rFonts w:asciiTheme="minorHAnsi" w:hAnsiTheme="minorHAnsi" w:cstheme="minorHAnsi"/>
        </w:rPr>
        <w:t>é</w:t>
      </w:r>
      <w:r w:rsidRPr="0097459F">
        <w:rPr>
          <w:rFonts w:asciiTheme="minorHAnsi" w:hAnsiTheme="minorHAnsi" w:cstheme="minorHAnsi"/>
          <w:b/>
        </w:rPr>
        <w:t xml:space="preserve"> </w:t>
      </w:r>
      <w:r w:rsidRPr="0097459F">
        <w:rPr>
          <w:rFonts w:asciiTheme="minorHAnsi" w:hAnsiTheme="minorHAnsi" w:cstheme="minorHAnsi"/>
        </w:rPr>
        <w:t xml:space="preserve">de </w:t>
      </w:r>
      <w:r w:rsidRPr="0097459F">
        <w:rPr>
          <w:rFonts w:asciiTheme="minorHAnsi" w:hAnsiTheme="minorHAnsi" w:cstheme="minorHAnsi"/>
          <w:b/>
        </w:rPr>
        <w:t xml:space="preserve">[●] </w:t>
      </w:r>
      <w:r w:rsidRPr="0097459F">
        <w:rPr>
          <w:rFonts w:asciiTheme="minorHAnsi" w:hAnsiTheme="minorHAnsi" w:cstheme="minorHAnsi"/>
        </w:rPr>
        <w:t>e as 5 espécies de ativos em que a carteira</w:t>
      </w:r>
      <w:r w:rsidRPr="0097459F">
        <w:rPr>
          <w:rFonts w:asciiTheme="minorHAnsi" w:hAnsiTheme="minorHAnsi" w:cstheme="minorHAnsi"/>
          <w:b/>
        </w:rPr>
        <w:t xml:space="preserve"> </w:t>
      </w:r>
      <w:r w:rsidRPr="0097459F">
        <w:rPr>
          <w:rFonts w:asciiTheme="minorHAnsi" w:hAnsiTheme="minorHAnsi" w:cstheme="minorHAnsi"/>
        </w:rPr>
        <w:t>concentra seus investimentos são</w:t>
      </w:r>
      <w:r w:rsidR="00DE19FE" w:rsidRPr="0097459F">
        <w:rPr>
          <w:rStyle w:val="Refdenotaderodap"/>
          <w:rFonts w:asciiTheme="minorHAnsi" w:hAnsiTheme="minorHAnsi" w:cstheme="minorHAnsi"/>
        </w:rPr>
        <w:footnoteReference w:id="8"/>
      </w:r>
      <w:r w:rsidR="00DE19FE" w:rsidRPr="0097459F">
        <w:rPr>
          <w:rFonts w:asciiTheme="minorHAnsi" w:hAnsiTheme="minorHAnsi" w:cstheme="minorHAnsi"/>
        </w:rPr>
        <w:t>:</w:t>
      </w:r>
      <w:r w:rsidRPr="0097459F">
        <w:rPr>
          <w:rFonts w:asciiTheme="minorHAnsi" w:hAnsiTheme="minorHAnsi" w:cstheme="minorHAnsi"/>
        </w:rPr>
        <w:t xml:space="preserve"> </w:t>
      </w:r>
      <w:r w:rsidRPr="0097459F">
        <w:rPr>
          <w:rFonts w:asciiTheme="minorHAnsi" w:hAnsiTheme="minorHAnsi" w:cstheme="minorHAnsi"/>
          <w:b/>
        </w:rPr>
        <w:t>[●]</w:t>
      </w:r>
      <w:r w:rsidRPr="0097459F">
        <w:rPr>
          <w:rStyle w:val="Refdenotadefim"/>
          <w:rFonts w:asciiTheme="minorHAnsi" w:hAnsiTheme="minorHAnsi" w:cstheme="minorHAnsi"/>
        </w:rPr>
        <w:endnoteReference w:id="2"/>
      </w:r>
      <w:r w:rsidRPr="0097459F">
        <w:rPr>
          <w:rFonts w:asciiTheme="minorHAnsi" w:hAnsiTheme="minorHAnsi" w:cstheme="minorHAnsi"/>
        </w:rPr>
        <w:t xml:space="preserve"> </w:t>
      </w:r>
      <w:r w:rsidRPr="0097459F">
        <w:rPr>
          <w:rFonts w:asciiTheme="minorHAnsi" w:hAnsiTheme="minorHAnsi" w:cstheme="minorHAnsi"/>
          <w:b/>
        </w:rPr>
        <w:t xml:space="preserve"> </w:t>
      </w:r>
      <w:r w:rsidRPr="0097459F">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8"/>
        <w:gridCol w:w="5927"/>
      </w:tblGrid>
      <w:tr w:rsidR="00C20BBD" w:rsidRPr="0097459F" w14:paraId="710546CF" w14:textId="77777777" w:rsidTr="00ED0447">
        <w:tc>
          <w:tcPr>
            <w:tcW w:w="2093" w:type="pct"/>
            <w:shd w:val="clear" w:color="auto" w:fill="DBE5F1"/>
          </w:tcPr>
          <w:p w14:paraId="618A6079"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lastRenderedPageBreak/>
              <w:t>[espécie de ativo]</w:t>
            </w:r>
          </w:p>
        </w:tc>
        <w:tc>
          <w:tcPr>
            <w:tcW w:w="2907" w:type="pct"/>
            <w:vAlign w:val="center"/>
          </w:tcPr>
          <w:p w14:paraId="14A3F546"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34AABDA6" w14:textId="77777777" w:rsidTr="00ED0447">
        <w:tc>
          <w:tcPr>
            <w:tcW w:w="2093" w:type="pct"/>
            <w:shd w:val="clear" w:color="auto" w:fill="DBE5F1"/>
          </w:tcPr>
          <w:p w14:paraId="727A5EDE"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5B966B99"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68F3FA91" w14:textId="77777777" w:rsidTr="00ED0447">
        <w:tc>
          <w:tcPr>
            <w:tcW w:w="2093" w:type="pct"/>
            <w:shd w:val="clear" w:color="auto" w:fill="DBE5F1"/>
          </w:tcPr>
          <w:p w14:paraId="153A66D1"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7C872DC6"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657E8C9A" w14:textId="77777777" w:rsidTr="00ED0447">
        <w:tc>
          <w:tcPr>
            <w:tcW w:w="2093" w:type="pct"/>
            <w:shd w:val="clear" w:color="auto" w:fill="DBE5F1"/>
          </w:tcPr>
          <w:p w14:paraId="72E06D68"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26D21BBB"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r w:rsidR="00C20BBD" w:rsidRPr="0097459F" w14:paraId="3F747902" w14:textId="77777777" w:rsidTr="00ED0447">
        <w:tc>
          <w:tcPr>
            <w:tcW w:w="2093" w:type="pct"/>
            <w:shd w:val="clear" w:color="auto" w:fill="DBE5F1"/>
          </w:tcPr>
          <w:p w14:paraId="42E4EE93" w14:textId="77777777" w:rsidR="00C20BBD" w:rsidRPr="0097459F" w:rsidRDefault="00C20BBD" w:rsidP="00AF6767">
            <w:pPr>
              <w:tabs>
                <w:tab w:val="num"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[espécie de ativo]</w:t>
            </w:r>
          </w:p>
        </w:tc>
        <w:tc>
          <w:tcPr>
            <w:tcW w:w="2907" w:type="pct"/>
            <w:vAlign w:val="center"/>
          </w:tcPr>
          <w:p w14:paraId="63A15631" w14:textId="77777777" w:rsidR="00C20BBD" w:rsidRPr="0097459F" w:rsidRDefault="00C20BBD" w:rsidP="00AF6767">
            <w:pPr>
              <w:tabs>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do Patrimônio líquido] </w:t>
            </w:r>
          </w:p>
        </w:tc>
      </w:tr>
    </w:tbl>
    <w:p w14:paraId="7403F813" w14:textId="77777777" w:rsidR="00C2608B" w:rsidRPr="0097459F" w:rsidRDefault="00C2608B" w:rsidP="00C2608B">
      <w:pPr>
        <w:spacing w:after="0" w:line="240" w:lineRule="auto"/>
        <w:ind w:left="709"/>
        <w:jc w:val="both"/>
        <w:rPr>
          <w:rFonts w:asciiTheme="minorHAnsi" w:hAnsiTheme="minorHAnsi" w:cstheme="minorHAnsi"/>
          <w:color w:val="000000"/>
          <w:sz w:val="24"/>
          <w:szCs w:val="24"/>
        </w:rPr>
      </w:pPr>
    </w:p>
    <w:p w14:paraId="7669FCF8" w14:textId="7A2EE494"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RISCO:</w:t>
      </w:r>
      <w:r w:rsidRPr="0097459F">
        <w:rPr>
          <w:rFonts w:asciiTheme="minorHAnsi" w:hAnsiTheme="minorHAnsi" w:cstheme="minorHAnsi"/>
          <w:color w:val="000000"/>
          <w:sz w:val="24"/>
          <w:szCs w:val="24"/>
        </w:rPr>
        <w:t xml:space="preserve"> o </w:t>
      </w:r>
      <w:r w:rsidRPr="0097459F">
        <w:rPr>
          <w:rFonts w:asciiTheme="minorHAnsi" w:hAnsiTheme="minorHAnsi" w:cstheme="minorHAnsi"/>
          <w:b/>
          <w:color w:val="000000"/>
          <w:sz w:val="24"/>
          <w:szCs w:val="24"/>
        </w:rPr>
        <w:t>[nome do gestor]</w:t>
      </w:r>
      <w:r w:rsidRPr="0097459F">
        <w:rPr>
          <w:rFonts w:asciiTheme="minorHAnsi" w:hAnsiTheme="minorHAnsi" w:cstheme="minorHAnsi"/>
          <w:color w:val="000000"/>
          <w:sz w:val="24"/>
          <w:szCs w:val="24"/>
        </w:rPr>
        <w:t xml:space="preserve"> classifica as carteiras de ativos que administra numa escala de 1 a 5, de acordo com o risco envolvido na estratégia de investimento de cada classe de cotas.  Nessa escala, a classificação </w:t>
      </w:r>
      <w:r w:rsidRPr="0097459F">
        <w:rPr>
          <w:rFonts w:asciiTheme="minorHAnsi" w:hAnsiTheme="minorHAnsi" w:cstheme="minorHAnsi"/>
          <w:sz w:val="24"/>
          <w:szCs w:val="24"/>
        </w:rPr>
        <w:t>da classe</w:t>
      </w:r>
      <w:r w:rsidRPr="0097459F">
        <w:rPr>
          <w:rFonts w:asciiTheme="minorHAnsi" w:hAnsiTheme="minorHAnsi" w:cstheme="minorHAnsi"/>
          <w:b/>
          <w:sz w:val="24"/>
          <w:szCs w:val="24"/>
        </w:rPr>
        <w:t xml:space="preserve"> </w:t>
      </w:r>
      <w:r w:rsidRPr="0097459F">
        <w:rPr>
          <w:rFonts w:asciiTheme="minorHAnsi" w:hAnsiTheme="minorHAnsi" w:cstheme="minorHAnsi"/>
          <w:color w:val="000000"/>
          <w:sz w:val="24"/>
          <w:szCs w:val="24"/>
        </w:rPr>
        <w:t xml:space="preserve">é: </w:t>
      </w:r>
    </w:p>
    <w:p w14:paraId="2A5D5888" w14:textId="77777777" w:rsidR="00C20BBD" w:rsidRPr="0097459F" w:rsidRDefault="00C20BBD" w:rsidP="00AF6767">
      <w:pPr>
        <w:tabs>
          <w:tab w:val="num" w:pos="567"/>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bdr w:val="single" w:sz="4" w:space="0" w:color="auto"/>
        </w:rPr>
        <w:t>1</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2</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3</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4</w:t>
      </w:r>
      <w:r w:rsidRPr="0097459F">
        <w:rPr>
          <w:rFonts w:asciiTheme="minorHAnsi" w:hAnsiTheme="minorHAnsi" w:cstheme="minorHAnsi"/>
          <w:color w:val="000000"/>
          <w:sz w:val="24"/>
          <w:szCs w:val="24"/>
          <w:bdr w:val="single" w:sz="4" w:space="0" w:color="auto"/>
        </w:rPr>
        <w:tab/>
      </w:r>
      <w:r w:rsidRPr="0097459F">
        <w:rPr>
          <w:rFonts w:asciiTheme="minorHAnsi" w:hAnsiTheme="minorHAnsi" w:cstheme="minorHAnsi"/>
          <w:color w:val="000000"/>
          <w:sz w:val="24"/>
          <w:szCs w:val="24"/>
          <w:bdr w:val="single" w:sz="4" w:space="0" w:color="auto"/>
        </w:rPr>
        <w:tab/>
        <w:t>5</w:t>
      </w:r>
    </w:p>
    <w:p w14:paraId="371C0CDE" w14:textId="25B077B4" w:rsidR="00C20BBD" w:rsidRPr="0097459F" w:rsidRDefault="00C20BBD" w:rsidP="00AF6767">
      <w:pPr>
        <w:tabs>
          <w:tab w:val="num" w:pos="567"/>
          <w:tab w:val="num" w:pos="1134"/>
        </w:tabs>
        <w:spacing w:after="0" w:line="240" w:lineRule="auto"/>
        <w:ind w:firstLine="709"/>
        <w:jc w:val="center"/>
        <w:rPr>
          <w:rFonts w:asciiTheme="minorHAnsi" w:hAnsiTheme="minorHAnsi" w:cstheme="minorHAnsi"/>
          <w:color w:val="000000"/>
          <w:sz w:val="24"/>
          <w:szCs w:val="24"/>
        </w:rPr>
      </w:pPr>
      <w:r w:rsidRPr="0097459F">
        <w:rPr>
          <w:rFonts w:asciiTheme="minorHAnsi" w:hAnsiTheme="minorHAnsi" w:cstheme="minorHAnsi"/>
          <w:noProof/>
          <w:color w:val="000000"/>
          <w:sz w:val="24"/>
          <w:szCs w:val="24"/>
          <w:shd w:val="clear" w:color="auto" w:fill="E6E6E6"/>
          <w:lang w:eastAsia="pt-BR"/>
        </w:rPr>
        <mc:AlternateContent>
          <mc:Choice Requires="wps">
            <w:drawing>
              <wp:anchor distT="0" distB="0" distL="114300" distR="114300" simplePos="0" relativeHeight="251654144" behindDoc="0" locked="0" layoutInCell="1" allowOverlap="1" wp14:anchorId="7FF8493A" wp14:editId="731E2509">
                <wp:simplePos x="0" y="0"/>
                <wp:positionH relativeFrom="column">
                  <wp:posOffset>3600615</wp:posOffset>
                </wp:positionH>
                <wp:positionV relativeFrom="paragraph">
                  <wp:posOffset>9608</wp:posOffset>
                </wp:positionV>
                <wp:extent cx="124073" cy="100219"/>
                <wp:effectExtent l="38100" t="19050" r="47625" b="146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3" cy="100219"/>
                        </a:xfrm>
                        <a:prstGeom prst="upArrow">
                          <a:avLst>
                            <a:gd name="adj1" fmla="val 50000"/>
                            <a:gd name="adj2" fmla="val 47203"/>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56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283.5pt;margin-top:.75pt;width:9.75pt;height: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" adj="10196" fillcolor="black [3213]"/>
            </w:pict>
          </mc:Fallback>
        </mc:AlternateContent>
      </w:r>
    </w:p>
    <w:p w14:paraId="4A266030" w14:textId="3E34AED6" w:rsidR="00C20BBD" w:rsidRPr="0097459F" w:rsidRDefault="00C20BBD">
      <w:pPr>
        <w:numPr>
          <w:ilvl w:val="0"/>
          <w:numId w:val="5"/>
        </w:numPr>
        <w:tabs>
          <w:tab w:val="num" w:pos="567"/>
        </w:tabs>
        <w:spacing w:after="0" w:line="240" w:lineRule="auto"/>
        <w:ind w:left="0" w:firstLine="709"/>
        <w:jc w:val="both"/>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 [HISTÓRICO DE RENTABILIDADE</w:t>
      </w:r>
      <w:r w:rsidR="00DE19FE" w:rsidRPr="0097459F">
        <w:rPr>
          <w:rStyle w:val="Refdenotaderodap"/>
          <w:rFonts w:asciiTheme="minorHAnsi" w:hAnsiTheme="minorHAnsi" w:cstheme="minorHAnsi"/>
          <w:color w:val="000000"/>
          <w:sz w:val="24"/>
          <w:szCs w:val="24"/>
        </w:rPr>
        <w:footnoteReference w:id="9"/>
      </w:r>
      <w:r w:rsidR="00DE19FE" w:rsidRPr="0097459F">
        <w:rPr>
          <w:rFonts w:asciiTheme="minorHAnsi" w:hAnsiTheme="minorHAnsi" w:cstheme="minorHAnsi"/>
          <w:i/>
          <w:color w:val="000000"/>
          <w:sz w:val="24"/>
          <w:szCs w:val="24"/>
        </w:rPr>
        <w:t xml:space="preserve"> </w:t>
      </w:r>
      <w:r w:rsidRPr="0097459F">
        <w:rPr>
          <w:rFonts w:asciiTheme="minorHAnsi" w:hAnsiTheme="minorHAnsi" w:cstheme="minorHAnsi"/>
          <w:color w:val="000000"/>
          <w:sz w:val="24"/>
          <w:szCs w:val="24"/>
        </w:rPr>
        <w:t>(</w:t>
      </w:r>
      <w:r w:rsidRPr="0097459F">
        <w:rPr>
          <w:rFonts w:asciiTheme="minorHAnsi" w:hAnsiTheme="minorHAnsi" w:cstheme="minorHAnsi"/>
          <w:i/>
          <w:color w:val="000000"/>
          <w:sz w:val="24"/>
          <w:szCs w:val="24"/>
        </w:rPr>
        <w:t>para todos os fundos, exceto os estruturados</w:t>
      </w:r>
      <w:r w:rsidR="00DE19FE" w:rsidRPr="0097459F">
        <w:rPr>
          <w:rStyle w:val="Refdenotaderodap"/>
          <w:rFonts w:asciiTheme="minorHAnsi" w:hAnsiTheme="minorHAnsi" w:cstheme="minorHAnsi"/>
          <w:color w:val="000000"/>
          <w:sz w:val="24"/>
          <w:szCs w:val="24"/>
        </w:rPr>
        <w:footnoteReference w:id="10"/>
      </w:r>
      <w:r w:rsidR="00DE19FE"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OU [SIMULAÇÃO DE DESEMPENHO </w:t>
      </w:r>
      <w:r w:rsidRPr="0097459F">
        <w:rPr>
          <w:rFonts w:asciiTheme="minorHAnsi" w:hAnsiTheme="minorHAnsi" w:cstheme="minorHAnsi"/>
          <w:color w:val="000000"/>
          <w:sz w:val="24"/>
          <w:szCs w:val="24"/>
        </w:rPr>
        <w:t>(</w:t>
      </w:r>
      <w:r w:rsidRPr="0097459F">
        <w:rPr>
          <w:rFonts w:asciiTheme="minorHAnsi" w:hAnsiTheme="minorHAnsi" w:cstheme="minorHAnsi"/>
          <w:i/>
          <w:color w:val="000000"/>
          <w:sz w:val="24"/>
          <w:szCs w:val="24"/>
        </w:rPr>
        <w:t>para fundos estruturados</w:t>
      </w:r>
      <w:r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w:t>
      </w:r>
    </w:p>
    <w:p w14:paraId="1830D266"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w:t>
      </w:r>
      <w:r w:rsidRPr="0097459F">
        <w:rPr>
          <w:rFonts w:asciiTheme="minorHAnsi" w:hAnsiTheme="minorHAnsi" w:cstheme="minorHAnsi"/>
          <w:i/>
        </w:rPr>
        <w:t>para todos os fundos, exceto os estruturados</w:t>
      </w:r>
      <w:r w:rsidRPr="0097459F">
        <w:rPr>
          <w:rFonts w:asciiTheme="minorHAnsi" w:hAnsiTheme="minorHAnsi" w:cstheme="minorHAnsi"/>
        </w:rPr>
        <w:t>]</w:t>
      </w:r>
    </w:p>
    <w:p w14:paraId="240450DF"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549F4F3B" w14:textId="77777777" w:rsidR="00C20BBD" w:rsidRPr="0097459F" w:rsidRDefault="00C20BBD">
      <w:pPr>
        <w:pStyle w:val="NormalWeb"/>
        <w:numPr>
          <w:ilvl w:val="1"/>
          <w:numId w:val="2"/>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rPr>
        <w:t>A rentabilidade obtida no passado não representa garantia de resultados futuros.</w:t>
      </w:r>
    </w:p>
    <w:p w14:paraId="2A98183D" w14:textId="77777777" w:rsidR="00C20BBD" w:rsidRPr="0097459F" w:rsidRDefault="00C20BBD">
      <w:pPr>
        <w:pStyle w:val="NormalWeb"/>
        <w:numPr>
          <w:ilvl w:val="1"/>
          <w:numId w:val="2"/>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Rentabilidade acumulada nos últimos 5 anos: [●]%</w:t>
      </w:r>
      <w:r w:rsidRPr="0097459F">
        <w:rPr>
          <w:rFonts w:asciiTheme="minorHAnsi" w:hAnsiTheme="minorHAnsi" w:cstheme="minorHAnsi"/>
        </w:rPr>
        <w:t xml:space="preserve"> [</w:t>
      </w:r>
      <w:r w:rsidRPr="0097459F">
        <w:rPr>
          <w:rFonts w:asciiTheme="minorHAnsi" w:hAnsiTheme="minorHAnsi" w:cstheme="minorHAnsi"/>
          <w:i/>
        </w:rPr>
        <w:t>quando houver índice de referência</w:t>
      </w:r>
      <w:r w:rsidRPr="0097459F">
        <w:rPr>
          <w:rFonts w:asciiTheme="minorHAnsi" w:hAnsiTheme="minorHAnsi" w:cstheme="minorHAnsi"/>
        </w:rPr>
        <w:t xml:space="preserve">: no mesmo período o </w:t>
      </w:r>
      <w:r w:rsidRPr="0097459F">
        <w:rPr>
          <w:rFonts w:asciiTheme="minorHAnsi" w:hAnsiTheme="minorHAnsi" w:cstheme="minorHAnsi"/>
          <w:b/>
        </w:rPr>
        <w:t>[índice de referência]</w:t>
      </w:r>
      <w:r w:rsidRPr="0097459F">
        <w:rPr>
          <w:rFonts w:asciiTheme="minorHAnsi" w:hAnsiTheme="minorHAnsi" w:cstheme="minorHAnsi"/>
        </w:rPr>
        <w:t xml:space="preserve"> variou </w:t>
      </w:r>
      <w:r w:rsidRPr="0097459F">
        <w:rPr>
          <w:rFonts w:asciiTheme="minorHAnsi" w:hAnsiTheme="minorHAnsi" w:cstheme="minorHAnsi"/>
          <w:b/>
        </w:rPr>
        <w:t>[●]%]</w:t>
      </w:r>
      <w:r w:rsidRPr="0097459F">
        <w:rPr>
          <w:rFonts w:asciiTheme="minorHAnsi" w:hAnsiTheme="minorHAnsi" w:cstheme="minorHAnsi"/>
        </w:rPr>
        <w:t xml:space="preserve">.  A tabela abaixo mostra a rentabilidade </w:t>
      </w:r>
      <w:r w:rsidRPr="0097459F">
        <w:rPr>
          <w:rFonts w:asciiTheme="minorHAnsi" w:hAnsiTheme="minorHAnsi" w:cstheme="minorHAnsi"/>
          <w:b/>
        </w:rPr>
        <w:t xml:space="preserve">da classe de cotas </w:t>
      </w:r>
      <w:r w:rsidRPr="0097459F">
        <w:rPr>
          <w:rFonts w:asciiTheme="minorHAnsi" w:hAnsiTheme="minorHAnsi" w:cstheme="minorHAnsi"/>
        </w:rPr>
        <w:t>a cada ano nos últimos 5 anos. [</w:t>
      </w:r>
      <w:r w:rsidRPr="0097459F">
        <w:rPr>
          <w:rFonts w:asciiTheme="minorHAnsi" w:hAnsiTheme="minorHAnsi" w:cstheme="minorHAnsi"/>
          <w:i/>
        </w:rPr>
        <w:t>Se for o caso</w:t>
      </w:r>
      <w:r w:rsidRPr="0097459F">
        <w:rPr>
          <w:rFonts w:asciiTheme="minorHAnsi" w:hAnsiTheme="minorHAnsi" w:cstheme="minorHAnsi"/>
        </w:rPr>
        <w:t xml:space="preserve">; A classe obteve rentabilidade negativa em </w:t>
      </w:r>
      <w:r w:rsidRPr="0097459F">
        <w:rPr>
          <w:rFonts w:asciiTheme="minorHAnsi" w:hAnsiTheme="minorHAnsi" w:cstheme="minorHAnsi"/>
          <w:b/>
        </w:rPr>
        <w:t xml:space="preserve">[●] </w:t>
      </w:r>
      <w:r w:rsidRPr="0097459F">
        <w:rPr>
          <w:rFonts w:asciiTheme="minorHAnsi" w:hAnsiTheme="minorHAnsi" w:cstheme="minorHAnsi"/>
        </w:rPr>
        <w:t xml:space="preserve">desses anos.] </w:t>
      </w:r>
    </w:p>
    <w:p w14:paraId="58B2F1BD" w14:textId="19E2CBCE"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r w:rsidRPr="0097459F">
        <w:rPr>
          <w:rFonts w:asciiTheme="minorHAnsi" w:hAnsiTheme="minorHAnsi" w:cstheme="minorHAnsi"/>
        </w:rPr>
        <w:t>[</w:t>
      </w:r>
      <w:r w:rsidRPr="0097459F">
        <w:rPr>
          <w:rFonts w:asciiTheme="minorHAnsi" w:hAnsiTheme="minorHAnsi" w:cstheme="minorHAnsi"/>
          <w:i/>
        </w:rPr>
        <w:t xml:space="preserve">Quando a classe de cotas tiver sido constituída há menos de 5 anos, a rentabilidade acumulada deve ser calculada com base no período de operação da classe. O investidor deve ser alertado, conforme segue: </w:t>
      </w:r>
      <w:r w:rsidRPr="0097459F">
        <w:rPr>
          <w:rFonts w:asciiTheme="minorHAnsi" w:hAnsiTheme="minorHAnsi" w:cstheme="minorHAnsi"/>
        </w:rPr>
        <w:t>A rentabilidade acumulada e a tabela a seguir não englobam os últimos 5 anos porque a classe</w:t>
      </w:r>
      <w:r w:rsidRPr="0097459F">
        <w:rPr>
          <w:rFonts w:asciiTheme="minorHAnsi" w:hAnsiTheme="minorHAnsi" w:cstheme="minorHAnsi"/>
          <w:b/>
        </w:rPr>
        <w:t xml:space="preserve"> </w:t>
      </w:r>
      <w:r w:rsidRPr="0097459F">
        <w:rPr>
          <w:rFonts w:asciiTheme="minorHAnsi" w:hAnsiTheme="minorHAnsi" w:cstheme="minorHAnsi"/>
        </w:rPr>
        <w:t xml:space="preserve">não existia antes de </w:t>
      </w:r>
      <w:r w:rsidRPr="0097459F">
        <w:rPr>
          <w:rFonts w:asciiTheme="minorHAnsi" w:hAnsiTheme="minorHAnsi" w:cstheme="minorHAnsi"/>
          <w:b/>
        </w:rPr>
        <w:t>[início de funcionamento]</w:t>
      </w:r>
      <w:r w:rsidRPr="0097459F">
        <w:rPr>
          <w:rFonts w:asciiTheme="minorHAnsi" w:hAnsiTheme="minorHAnsi" w:cstheme="minorHAns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888"/>
        <w:gridCol w:w="1919"/>
        <w:gridCol w:w="4814"/>
      </w:tblGrid>
      <w:tr w:rsidR="00C20BBD" w:rsidRPr="0097459F" w14:paraId="3A186B12" w14:textId="77777777" w:rsidTr="00ED0447">
        <w:tc>
          <w:tcPr>
            <w:tcW w:w="772" w:type="pct"/>
            <w:shd w:val="clear" w:color="auto" w:fill="FFFF99"/>
            <w:vAlign w:val="center"/>
          </w:tcPr>
          <w:p w14:paraId="2919C65C"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Ano</w:t>
            </w:r>
          </w:p>
        </w:tc>
        <w:tc>
          <w:tcPr>
            <w:tcW w:w="926" w:type="pct"/>
            <w:shd w:val="clear" w:color="auto" w:fill="FFFF99"/>
            <w:vAlign w:val="center"/>
          </w:tcPr>
          <w:p w14:paraId="5CDB6EC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941" w:type="pct"/>
            <w:shd w:val="clear" w:color="auto" w:fill="FFFF99"/>
            <w:vAlign w:val="center"/>
          </w:tcPr>
          <w:p w14:paraId="6936448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2361" w:type="pct"/>
            <w:shd w:val="clear" w:color="auto" w:fill="FFFF99"/>
            <w:vAlign w:val="center"/>
          </w:tcPr>
          <w:p w14:paraId="61EECBC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Em relação às políticas de investimento</w:t>
            </w:r>
            <w:r w:rsidRPr="0097459F" w:rsidDel="0060453F">
              <w:rPr>
                <w:rFonts w:asciiTheme="minorHAnsi" w:hAnsiTheme="minorHAnsi" w:cstheme="minorHAnsi"/>
                <w:color w:val="0D0D0D"/>
              </w:rPr>
              <w:t xml:space="preserve"> </w:t>
            </w:r>
            <w:r w:rsidRPr="0097459F">
              <w:rPr>
                <w:rFonts w:asciiTheme="minorHAnsi" w:hAnsiTheme="minorHAnsi" w:cstheme="minorHAnsi"/>
                <w:color w:val="0D0D0D"/>
              </w:rPr>
              <w:t xml:space="preserve">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210C4CA3"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6FE4DDA8"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lastRenderedPageBreak/>
              <w:t xml:space="preserve">Em relação às </w:t>
            </w:r>
            <w:r w:rsidRPr="0097459F">
              <w:rPr>
                <w:rFonts w:asciiTheme="minorHAnsi" w:hAnsiTheme="minorHAnsi" w:cstheme="minorHAnsi"/>
                <w:color w:val="0D0D0D"/>
              </w:rPr>
              <w:t>políticas de investimento</w:t>
            </w:r>
            <w:r w:rsidRPr="0097459F" w:rsidDel="0060453F">
              <w:rPr>
                <w:rFonts w:asciiTheme="minorHAnsi" w:hAnsiTheme="minorHAnsi" w:cstheme="minorHAnsi"/>
              </w:rPr>
              <w:t xml:space="preserve"> </w:t>
            </w:r>
            <w:r w:rsidRPr="0097459F">
              <w:rPr>
                <w:rFonts w:asciiTheme="minorHAnsi" w:hAnsiTheme="minorHAnsi" w:cstheme="minorHAnsi"/>
              </w:rPr>
              <w:t xml:space="preserve">que possuem índice de referência de renda fixa: </w:t>
            </w:r>
            <w:r w:rsidRPr="0097459F">
              <w:rPr>
                <w:rFonts w:asciiTheme="minorHAnsi" w:hAnsiTheme="minorHAnsi" w:cstheme="minorHAnsi"/>
                <w:b/>
              </w:rPr>
              <w:t>Desempenho como % do índice</w:t>
            </w:r>
          </w:p>
        </w:tc>
      </w:tr>
      <w:tr w:rsidR="00C20BBD" w:rsidRPr="0097459F" w14:paraId="1F5A383B" w14:textId="77777777" w:rsidTr="00ED0447">
        <w:tc>
          <w:tcPr>
            <w:tcW w:w="772" w:type="pct"/>
            <w:shd w:val="clear" w:color="auto" w:fill="DBE5F1"/>
            <w:vAlign w:val="center"/>
          </w:tcPr>
          <w:p w14:paraId="55D060E3" w14:textId="697A9C92"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lastRenderedPageBreak/>
              <w:t>[</w:t>
            </w:r>
            <w:r w:rsidR="006469A3" w:rsidRPr="0097459F">
              <w:rPr>
                <w:rFonts w:asciiTheme="minorHAnsi" w:hAnsiTheme="minorHAnsi" w:cstheme="minorHAnsi"/>
              </w:rPr>
              <w:t>2022</w:t>
            </w:r>
            <w:r w:rsidRPr="0097459F">
              <w:rPr>
                <w:rFonts w:asciiTheme="minorHAnsi" w:hAnsiTheme="minorHAnsi" w:cstheme="minorHAnsi"/>
              </w:rPr>
              <w:t>]</w:t>
            </w:r>
          </w:p>
        </w:tc>
        <w:tc>
          <w:tcPr>
            <w:tcW w:w="926" w:type="pct"/>
            <w:vAlign w:val="center"/>
          </w:tcPr>
          <w:p w14:paraId="3621CC0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99C905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65A401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75B887B" w14:textId="77777777" w:rsidTr="00ED0447">
        <w:tc>
          <w:tcPr>
            <w:tcW w:w="772" w:type="pct"/>
            <w:shd w:val="clear" w:color="auto" w:fill="DBE5F1"/>
            <w:vAlign w:val="center"/>
          </w:tcPr>
          <w:p w14:paraId="632C02E7" w14:textId="1CE69C7C"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2021</w:t>
            </w:r>
            <w:r w:rsidRPr="0097459F">
              <w:rPr>
                <w:rFonts w:asciiTheme="minorHAnsi" w:hAnsiTheme="minorHAnsi" w:cstheme="minorHAnsi"/>
              </w:rPr>
              <w:t>]</w:t>
            </w:r>
          </w:p>
        </w:tc>
        <w:tc>
          <w:tcPr>
            <w:tcW w:w="926" w:type="pct"/>
            <w:vAlign w:val="center"/>
          </w:tcPr>
          <w:p w14:paraId="2A783F1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2195A2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01A378B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47DC16E0" w14:textId="77777777" w:rsidTr="00ED0447">
        <w:tc>
          <w:tcPr>
            <w:tcW w:w="772" w:type="pct"/>
            <w:shd w:val="clear" w:color="auto" w:fill="DBE5F1"/>
            <w:vAlign w:val="center"/>
          </w:tcPr>
          <w:p w14:paraId="0D8FBBC4" w14:textId="1E2E931A"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2020</w:t>
            </w:r>
            <w:r w:rsidRPr="0097459F">
              <w:rPr>
                <w:rFonts w:asciiTheme="minorHAnsi" w:hAnsiTheme="minorHAnsi" w:cstheme="minorHAnsi"/>
              </w:rPr>
              <w:t>]</w:t>
            </w:r>
          </w:p>
        </w:tc>
        <w:tc>
          <w:tcPr>
            <w:tcW w:w="926" w:type="pct"/>
            <w:vAlign w:val="center"/>
          </w:tcPr>
          <w:p w14:paraId="5E230E9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01F2ABA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5AF79A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4444E5D" w14:textId="77777777" w:rsidTr="00ED0447">
        <w:tc>
          <w:tcPr>
            <w:tcW w:w="772" w:type="pct"/>
            <w:shd w:val="clear" w:color="auto" w:fill="DBE5F1"/>
            <w:vAlign w:val="center"/>
          </w:tcPr>
          <w:p w14:paraId="61667A39" w14:textId="1D8A8394"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2019</w:t>
            </w:r>
            <w:r w:rsidRPr="0097459F">
              <w:rPr>
                <w:rFonts w:asciiTheme="minorHAnsi" w:hAnsiTheme="minorHAnsi" w:cstheme="minorHAnsi"/>
              </w:rPr>
              <w:t>]</w:t>
            </w:r>
          </w:p>
        </w:tc>
        <w:tc>
          <w:tcPr>
            <w:tcW w:w="926" w:type="pct"/>
            <w:vAlign w:val="center"/>
          </w:tcPr>
          <w:p w14:paraId="336BB74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663A93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8605FB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6EEA2EF7" w14:textId="77777777" w:rsidTr="00ED0447">
        <w:tc>
          <w:tcPr>
            <w:tcW w:w="772" w:type="pct"/>
            <w:shd w:val="clear" w:color="auto" w:fill="DBE5F1"/>
            <w:vAlign w:val="center"/>
          </w:tcPr>
          <w:p w14:paraId="6B7F14D5" w14:textId="35720CAD"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w:t>
            </w:r>
            <w:r w:rsidR="006469A3" w:rsidRPr="0097459F">
              <w:rPr>
                <w:rFonts w:asciiTheme="minorHAnsi" w:hAnsiTheme="minorHAnsi" w:cstheme="minorHAnsi"/>
              </w:rPr>
              <w:t>2018</w:t>
            </w:r>
            <w:r w:rsidRPr="0097459F">
              <w:rPr>
                <w:rFonts w:asciiTheme="minorHAnsi" w:hAnsiTheme="minorHAnsi" w:cstheme="minorHAnsi"/>
              </w:rPr>
              <w:t>]</w:t>
            </w:r>
          </w:p>
        </w:tc>
        <w:tc>
          <w:tcPr>
            <w:tcW w:w="926" w:type="pct"/>
            <w:vAlign w:val="center"/>
          </w:tcPr>
          <w:p w14:paraId="054F216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7C1F16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6567C4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2918BA16"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34A79750" w14:textId="177ED74B" w:rsidR="00DE19FE" w:rsidRPr="0097459F" w:rsidRDefault="00C20BBD">
      <w:pPr>
        <w:pStyle w:val="NormalWeb"/>
        <w:numPr>
          <w:ilvl w:val="1"/>
          <w:numId w:val="2"/>
        </w:numPr>
        <w:tabs>
          <w:tab w:val="clear" w:pos="1440"/>
          <w:tab w:val="num" w:pos="567"/>
        </w:tabs>
        <w:spacing w:before="0" w:beforeAutospacing="0" w:after="0" w:afterAutospacing="0"/>
        <w:ind w:left="567" w:firstLine="709"/>
        <w:jc w:val="both"/>
        <w:rPr>
          <w:rFonts w:asciiTheme="minorHAnsi" w:hAnsiTheme="minorHAnsi" w:cstheme="minorHAnsi"/>
        </w:rPr>
      </w:pPr>
      <w:r w:rsidRPr="0097459F">
        <w:rPr>
          <w:rFonts w:asciiTheme="minorHAnsi" w:hAnsiTheme="minorHAnsi" w:cstheme="minorHAnsi"/>
          <w:b/>
        </w:rPr>
        <w:t>Rentabilidade mensal</w:t>
      </w:r>
      <w:r w:rsidRPr="0097459F">
        <w:rPr>
          <w:rFonts w:asciiTheme="minorHAnsi" w:hAnsiTheme="minorHAnsi" w:cstheme="minorHAnsi"/>
        </w:rPr>
        <w:t xml:space="preserve">: a rentabilidade </w:t>
      </w:r>
      <w:r w:rsidRPr="0097459F">
        <w:rPr>
          <w:rFonts w:asciiTheme="minorHAnsi" w:hAnsiTheme="minorHAnsi" w:cstheme="minorHAnsi"/>
          <w:b/>
        </w:rPr>
        <w:t xml:space="preserve">da classe </w:t>
      </w:r>
      <w:r w:rsidRPr="0097459F">
        <w:rPr>
          <w:rFonts w:asciiTheme="minorHAnsi" w:hAnsiTheme="minorHAnsi" w:cstheme="minorHAnsi"/>
        </w:rPr>
        <w:t>nos últimos 12 meses foi:</w:t>
      </w:r>
      <w:r w:rsidRPr="0097459F">
        <w:rPr>
          <w:rStyle w:val="Refdenotadefim"/>
          <w:rFonts w:asciiTheme="minorHAnsi" w:hAnsiTheme="minorHAnsi" w:cstheme="minorHAnsi"/>
        </w:rPr>
        <w:t xml:space="preserve"> </w:t>
      </w:r>
      <w:r w:rsidR="00DE19FE" w:rsidRPr="0097459F">
        <w:rPr>
          <w:rStyle w:val="Refdenotaderodap"/>
          <w:rFonts w:asciiTheme="minorHAnsi" w:hAnsiTheme="minorHAnsi" w:cstheme="minorHAnsi"/>
        </w:rPr>
        <w:footnoteReference w:id="11"/>
      </w:r>
    </w:p>
    <w:p w14:paraId="1C64B02E" w14:textId="77777777" w:rsidR="00C20BBD" w:rsidRPr="0097459F" w:rsidRDefault="00C20BBD" w:rsidP="00AF6767">
      <w:pPr>
        <w:pStyle w:val="PargrafodaLista1"/>
        <w:ind w:left="0" w:firstLine="709"/>
        <w:rPr>
          <w:rFonts w:asciiTheme="minorHAnsi" w:hAnsiTheme="minorHAnsi" w:cstheme="minorHAns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4"/>
        <w:gridCol w:w="1888"/>
        <w:gridCol w:w="1919"/>
        <w:gridCol w:w="4814"/>
      </w:tblGrid>
      <w:tr w:rsidR="00C20BBD" w:rsidRPr="0097459F" w14:paraId="7530851F" w14:textId="77777777" w:rsidTr="00ED0447">
        <w:tc>
          <w:tcPr>
            <w:tcW w:w="772" w:type="pct"/>
            <w:shd w:val="clear" w:color="auto" w:fill="FFFF99"/>
            <w:vAlign w:val="center"/>
          </w:tcPr>
          <w:p w14:paraId="5DC79F90" w14:textId="6BCEDDCC" w:rsidR="00DE19FE"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Mês</w:t>
            </w:r>
            <w:r w:rsidR="00DE19FE" w:rsidRPr="0097459F">
              <w:rPr>
                <w:rStyle w:val="Refdenotaderodap"/>
                <w:rFonts w:asciiTheme="minorHAnsi" w:hAnsiTheme="minorHAnsi" w:cstheme="minorHAnsi"/>
                <w:b/>
              </w:rPr>
              <w:footnoteReference w:id="12"/>
            </w:r>
          </w:p>
        </w:tc>
        <w:tc>
          <w:tcPr>
            <w:tcW w:w="926" w:type="pct"/>
            <w:shd w:val="clear" w:color="auto" w:fill="FFFF99"/>
            <w:vAlign w:val="center"/>
          </w:tcPr>
          <w:p w14:paraId="4E4142C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941" w:type="pct"/>
            <w:shd w:val="clear" w:color="auto" w:fill="FFFF99"/>
            <w:vAlign w:val="center"/>
          </w:tcPr>
          <w:p w14:paraId="38AAF87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2361" w:type="pct"/>
            <w:shd w:val="clear" w:color="auto" w:fill="FFFF99"/>
            <w:vAlign w:val="center"/>
          </w:tcPr>
          <w:p w14:paraId="120A23C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 xml:space="preserve">Em relação às políticas de investimento 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2A0C4903"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3459D44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w:t>
            </w:r>
            <w:r w:rsidRPr="0097459F">
              <w:rPr>
                <w:rFonts w:asciiTheme="minorHAnsi" w:hAnsiTheme="minorHAnsi" w:cstheme="minorHAnsi"/>
                <w:color w:val="0D0D0D"/>
              </w:rPr>
              <w:t>políticas de investimento</w:t>
            </w:r>
            <w:r w:rsidRPr="0097459F" w:rsidDel="0060453F">
              <w:rPr>
                <w:rFonts w:asciiTheme="minorHAnsi" w:hAnsiTheme="minorHAnsi" w:cstheme="minorHAnsi"/>
              </w:rPr>
              <w:t xml:space="preserve"> </w:t>
            </w:r>
            <w:r w:rsidRPr="0097459F">
              <w:rPr>
                <w:rFonts w:asciiTheme="minorHAnsi" w:hAnsiTheme="minorHAnsi" w:cstheme="minorHAnsi"/>
              </w:rPr>
              <w:t xml:space="preserve">que possuem índice de referência de renda fixa: </w:t>
            </w:r>
            <w:r w:rsidRPr="0097459F">
              <w:rPr>
                <w:rFonts w:asciiTheme="minorHAnsi" w:hAnsiTheme="minorHAnsi" w:cstheme="minorHAnsi"/>
                <w:b/>
              </w:rPr>
              <w:t>Desempenho como % do índice</w:t>
            </w:r>
          </w:p>
        </w:tc>
      </w:tr>
      <w:tr w:rsidR="00C20BBD" w:rsidRPr="0097459F" w14:paraId="63532D46" w14:textId="77777777" w:rsidTr="00ED0447">
        <w:tc>
          <w:tcPr>
            <w:tcW w:w="772" w:type="pct"/>
            <w:shd w:val="clear" w:color="auto" w:fill="DBE5F1"/>
            <w:vAlign w:val="center"/>
          </w:tcPr>
          <w:p w14:paraId="616FE95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[Janeiro]</w:t>
            </w:r>
          </w:p>
        </w:tc>
        <w:tc>
          <w:tcPr>
            <w:tcW w:w="926" w:type="pct"/>
            <w:vAlign w:val="center"/>
          </w:tcPr>
          <w:p w14:paraId="1D57FB8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5359887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2CD4307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83C8D96" w14:textId="77777777" w:rsidTr="00ED0447">
        <w:tc>
          <w:tcPr>
            <w:tcW w:w="772" w:type="pct"/>
            <w:shd w:val="clear" w:color="auto" w:fill="DBE5F1"/>
            <w:vAlign w:val="center"/>
          </w:tcPr>
          <w:p w14:paraId="08FCC88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[Fevereiro]</w:t>
            </w:r>
          </w:p>
        </w:tc>
        <w:tc>
          <w:tcPr>
            <w:tcW w:w="926" w:type="pct"/>
            <w:vAlign w:val="center"/>
          </w:tcPr>
          <w:p w14:paraId="64A66ED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5FF6E89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E4716A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00F2867" w14:textId="77777777" w:rsidTr="00ED0447">
        <w:tc>
          <w:tcPr>
            <w:tcW w:w="772" w:type="pct"/>
            <w:shd w:val="clear" w:color="auto" w:fill="DBE5F1"/>
            <w:vAlign w:val="center"/>
          </w:tcPr>
          <w:p w14:paraId="36107E9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[Março]</w:t>
            </w:r>
          </w:p>
        </w:tc>
        <w:tc>
          <w:tcPr>
            <w:tcW w:w="926" w:type="pct"/>
            <w:vAlign w:val="center"/>
          </w:tcPr>
          <w:p w14:paraId="31D4810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066C92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423FAE5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11841BC" w14:textId="77777777" w:rsidTr="00ED0447">
        <w:tc>
          <w:tcPr>
            <w:tcW w:w="772" w:type="pct"/>
            <w:shd w:val="clear" w:color="auto" w:fill="DBE5F1"/>
            <w:vAlign w:val="center"/>
          </w:tcPr>
          <w:p w14:paraId="008DBC2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[Abril]</w:t>
            </w:r>
          </w:p>
        </w:tc>
        <w:tc>
          <w:tcPr>
            <w:tcW w:w="926" w:type="pct"/>
            <w:vAlign w:val="center"/>
          </w:tcPr>
          <w:p w14:paraId="5877071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958EE8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3C3942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83A4B78" w14:textId="77777777" w:rsidTr="00ED0447">
        <w:tc>
          <w:tcPr>
            <w:tcW w:w="772" w:type="pct"/>
            <w:shd w:val="clear" w:color="auto" w:fill="DBE5F1"/>
            <w:vAlign w:val="center"/>
          </w:tcPr>
          <w:p w14:paraId="2A9EBCC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[Maio]</w:t>
            </w:r>
          </w:p>
        </w:tc>
        <w:tc>
          <w:tcPr>
            <w:tcW w:w="926" w:type="pct"/>
            <w:vAlign w:val="center"/>
          </w:tcPr>
          <w:p w14:paraId="26BC5B2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301F0F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C85E8A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DD4EF5B" w14:textId="77777777" w:rsidTr="00ED0447">
        <w:tc>
          <w:tcPr>
            <w:tcW w:w="772" w:type="pct"/>
            <w:shd w:val="clear" w:color="auto" w:fill="DBE5F1"/>
            <w:vAlign w:val="center"/>
          </w:tcPr>
          <w:p w14:paraId="4F6E126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[Junho]</w:t>
            </w:r>
          </w:p>
        </w:tc>
        <w:tc>
          <w:tcPr>
            <w:tcW w:w="926" w:type="pct"/>
            <w:vAlign w:val="center"/>
          </w:tcPr>
          <w:p w14:paraId="4CC51B7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0BC5FF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15BAE44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5D985E8" w14:textId="77777777" w:rsidTr="00ED0447">
        <w:tc>
          <w:tcPr>
            <w:tcW w:w="772" w:type="pct"/>
            <w:shd w:val="clear" w:color="auto" w:fill="DBE5F1"/>
            <w:vAlign w:val="center"/>
          </w:tcPr>
          <w:p w14:paraId="2CEF554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[Julho]</w:t>
            </w:r>
          </w:p>
        </w:tc>
        <w:tc>
          <w:tcPr>
            <w:tcW w:w="926" w:type="pct"/>
            <w:vAlign w:val="center"/>
          </w:tcPr>
          <w:p w14:paraId="74A7F2E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A1EDE9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3D4E09C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C033A4F" w14:textId="77777777" w:rsidTr="00ED0447">
        <w:tc>
          <w:tcPr>
            <w:tcW w:w="772" w:type="pct"/>
            <w:shd w:val="clear" w:color="auto" w:fill="DBE5F1"/>
            <w:vAlign w:val="center"/>
          </w:tcPr>
          <w:p w14:paraId="34F31017"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[Agosto]</w:t>
            </w:r>
          </w:p>
        </w:tc>
        <w:tc>
          <w:tcPr>
            <w:tcW w:w="926" w:type="pct"/>
            <w:vAlign w:val="center"/>
          </w:tcPr>
          <w:p w14:paraId="6BBD111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4F460EF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4DB9627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F0C7262" w14:textId="77777777" w:rsidTr="00ED0447">
        <w:tc>
          <w:tcPr>
            <w:tcW w:w="772" w:type="pct"/>
            <w:shd w:val="clear" w:color="auto" w:fill="DBE5F1"/>
            <w:vAlign w:val="center"/>
          </w:tcPr>
          <w:p w14:paraId="02E0C2B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[Setembro]</w:t>
            </w:r>
          </w:p>
        </w:tc>
        <w:tc>
          <w:tcPr>
            <w:tcW w:w="926" w:type="pct"/>
            <w:vAlign w:val="center"/>
          </w:tcPr>
          <w:p w14:paraId="0399B98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3B70010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2E38FB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12AA986" w14:textId="77777777" w:rsidTr="00ED0447">
        <w:tc>
          <w:tcPr>
            <w:tcW w:w="772" w:type="pct"/>
            <w:shd w:val="clear" w:color="auto" w:fill="DBE5F1"/>
            <w:vAlign w:val="center"/>
          </w:tcPr>
          <w:p w14:paraId="1B8D07D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[Outubro]</w:t>
            </w:r>
          </w:p>
        </w:tc>
        <w:tc>
          <w:tcPr>
            <w:tcW w:w="926" w:type="pct"/>
            <w:vAlign w:val="center"/>
          </w:tcPr>
          <w:p w14:paraId="0C71E4A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085C7FB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F9CE5D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48D259E" w14:textId="77777777" w:rsidTr="00ED0447">
        <w:tc>
          <w:tcPr>
            <w:tcW w:w="772" w:type="pct"/>
            <w:shd w:val="clear" w:color="auto" w:fill="DBE5F1"/>
            <w:vAlign w:val="center"/>
          </w:tcPr>
          <w:p w14:paraId="7CB63E8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[Novembro]</w:t>
            </w:r>
          </w:p>
        </w:tc>
        <w:tc>
          <w:tcPr>
            <w:tcW w:w="926" w:type="pct"/>
            <w:vAlign w:val="center"/>
          </w:tcPr>
          <w:p w14:paraId="768A0B3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8DC801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2E29CC3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04FF8982" w14:textId="77777777" w:rsidTr="00ED0447">
        <w:tc>
          <w:tcPr>
            <w:tcW w:w="772" w:type="pct"/>
            <w:shd w:val="clear" w:color="auto" w:fill="DBE5F1"/>
            <w:vAlign w:val="center"/>
          </w:tcPr>
          <w:p w14:paraId="05E8CFA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[Dezembro]</w:t>
            </w:r>
          </w:p>
        </w:tc>
        <w:tc>
          <w:tcPr>
            <w:tcW w:w="926" w:type="pct"/>
            <w:vAlign w:val="center"/>
          </w:tcPr>
          <w:p w14:paraId="4F7213E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66734D0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705EEEE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6CE8B028" w14:textId="77777777" w:rsidTr="00ED0447">
        <w:tc>
          <w:tcPr>
            <w:tcW w:w="772" w:type="pct"/>
            <w:shd w:val="clear" w:color="auto" w:fill="DBE5F1"/>
            <w:vAlign w:val="center"/>
          </w:tcPr>
          <w:p w14:paraId="5A4AEA43"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12 meses</w:t>
            </w:r>
          </w:p>
        </w:tc>
        <w:tc>
          <w:tcPr>
            <w:tcW w:w="926" w:type="pct"/>
            <w:vAlign w:val="center"/>
          </w:tcPr>
          <w:p w14:paraId="0709E25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941" w:type="pct"/>
            <w:vAlign w:val="center"/>
          </w:tcPr>
          <w:p w14:paraId="213DAAF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2361" w:type="pct"/>
            <w:vAlign w:val="center"/>
          </w:tcPr>
          <w:p w14:paraId="55D5249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5BAD46F" w14:textId="77777777" w:rsidR="00C20BBD" w:rsidRPr="0097459F" w:rsidRDefault="00C20BBD" w:rsidP="00AF6767">
      <w:pPr>
        <w:spacing w:after="0" w:line="240" w:lineRule="auto"/>
        <w:ind w:firstLine="709"/>
        <w:jc w:val="both"/>
        <w:rPr>
          <w:rFonts w:asciiTheme="minorHAnsi" w:hAnsiTheme="minorHAnsi" w:cstheme="minorHAnsi"/>
          <w:bCs/>
          <w:color w:val="000000"/>
          <w:sz w:val="24"/>
          <w:szCs w:val="24"/>
        </w:rPr>
      </w:pPr>
    </w:p>
    <w:p w14:paraId="5B74815C" w14:textId="77777777" w:rsidR="00C20BBD" w:rsidRPr="0097459F" w:rsidRDefault="00C20BBD" w:rsidP="00AF6767">
      <w:pPr>
        <w:spacing w:after="0" w:line="240" w:lineRule="auto"/>
        <w:ind w:firstLine="709"/>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t>[</w:t>
      </w:r>
      <w:r w:rsidRPr="0097459F">
        <w:rPr>
          <w:rFonts w:asciiTheme="minorHAnsi" w:hAnsiTheme="minorHAnsi" w:cstheme="minorHAnsi"/>
          <w:i/>
          <w:color w:val="000000"/>
          <w:sz w:val="24"/>
          <w:szCs w:val="24"/>
        </w:rPr>
        <w:t>no caso de</w:t>
      </w:r>
      <w:r w:rsidRPr="0097459F">
        <w:rPr>
          <w:rFonts w:asciiTheme="minorHAnsi" w:hAnsiTheme="minorHAnsi" w:cstheme="minorHAnsi"/>
          <w:b/>
          <w:color w:val="000000"/>
          <w:sz w:val="24"/>
          <w:szCs w:val="24"/>
        </w:rPr>
        <w:t xml:space="preserve"> </w:t>
      </w:r>
      <w:r w:rsidRPr="0097459F">
        <w:rPr>
          <w:rFonts w:asciiTheme="minorHAnsi" w:hAnsiTheme="minorHAnsi" w:cstheme="minorHAnsi"/>
          <w:i/>
          <w:color w:val="000000"/>
          <w:sz w:val="24"/>
          <w:szCs w:val="24"/>
        </w:rPr>
        <w:t>fundos estruturados</w:t>
      </w:r>
      <w:r w:rsidRPr="0097459F">
        <w:rPr>
          <w:rFonts w:asciiTheme="minorHAnsi" w:hAnsiTheme="minorHAnsi" w:cstheme="minorHAnsi"/>
          <w:color w:val="000000"/>
          <w:sz w:val="24"/>
          <w:szCs w:val="24"/>
        </w:rPr>
        <w:t>]</w:t>
      </w:r>
    </w:p>
    <w:p w14:paraId="1F939ADD"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7CA8CE19" w14:textId="77777777" w:rsidR="00C20BBD" w:rsidRPr="0097459F" w:rsidRDefault="00C20BBD">
      <w:pPr>
        <w:numPr>
          <w:ilvl w:val="0"/>
          <w:numId w:val="1"/>
        </w:numPr>
        <w:tabs>
          <w:tab w:val="clear" w:pos="1440"/>
          <w:tab w:val="num" w:pos="567"/>
        </w:tabs>
        <w:spacing w:after="0" w:line="240" w:lineRule="auto"/>
        <w:ind w:left="567" w:firstLine="0"/>
        <w:jc w:val="both"/>
        <w:rPr>
          <w:rFonts w:asciiTheme="minorHAnsi" w:hAnsiTheme="minorHAnsi" w:cstheme="minorHAnsi"/>
          <w:color w:val="000000"/>
          <w:sz w:val="24"/>
          <w:szCs w:val="24"/>
        </w:rPr>
      </w:pPr>
      <w:r w:rsidRPr="0097459F">
        <w:rPr>
          <w:rFonts w:asciiTheme="minorHAnsi" w:hAnsiTheme="minorHAnsi" w:cstheme="minorHAnsi"/>
          <w:b/>
          <w:color w:val="000000"/>
          <w:sz w:val="24"/>
          <w:szCs w:val="24"/>
        </w:rPr>
        <w:lastRenderedPageBreak/>
        <w:t>Cenários para apuração de rentabilidade:</w:t>
      </w:r>
      <w:r w:rsidRPr="0097459F">
        <w:rPr>
          <w:rFonts w:asciiTheme="minorHAnsi" w:hAnsiTheme="minorHAnsi" w:cstheme="minorHAnsi"/>
          <w:color w:val="000000"/>
          <w:sz w:val="24"/>
          <w:szCs w:val="24"/>
        </w:rPr>
        <w:t xml:space="preserve"> [</w:t>
      </w:r>
      <w:r w:rsidRPr="0097459F">
        <w:rPr>
          <w:rFonts w:asciiTheme="minorHAnsi" w:hAnsiTheme="minorHAnsi" w:cstheme="minorHAnsi"/>
          <w:i/>
          <w:color w:val="000000"/>
          <w:sz w:val="24"/>
          <w:szCs w:val="24"/>
        </w:rPr>
        <w:t>descrição da fórmula de cálculo da rentabilidade, incluindo todas as condições (gatilhos) e cláusulas que afetarão o desempenho</w:t>
      </w:r>
      <w:r w:rsidRPr="0097459F">
        <w:rPr>
          <w:rFonts w:asciiTheme="minorHAnsi" w:hAnsiTheme="minorHAnsi" w:cstheme="minorHAnsi"/>
          <w:color w:val="000000"/>
          <w:sz w:val="24"/>
          <w:szCs w:val="24"/>
        </w:rPr>
        <w:t>].</w:t>
      </w:r>
      <w:r w:rsidRPr="0097459F">
        <w:rPr>
          <w:rFonts w:asciiTheme="minorHAnsi" w:hAnsiTheme="minorHAnsi" w:cstheme="minorHAnsi"/>
          <w:b/>
          <w:color w:val="000000"/>
          <w:sz w:val="24"/>
          <w:szCs w:val="24"/>
        </w:rPr>
        <w:t xml:space="preserve"> </w:t>
      </w:r>
    </w:p>
    <w:p w14:paraId="1E4F4CE5" w14:textId="77777777" w:rsidR="00C20BBD" w:rsidRPr="0097459F" w:rsidRDefault="00C20BBD">
      <w:pPr>
        <w:numPr>
          <w:ilvl w:val="0"/>
          <w:numId w:val="1"/>
        </w:numPr>
        <w:tabs>
          <w:tab w:val="clear" w:pos="1440"/>
          <w:tab w:val="num" w:pos="567"/>
        </w:tabs>
        <w:spacing w:after="0" w:line="240" w:lineRule="auto"/>
        <w:ind w:left="567" w:firstLine="0"/>
        <w:jc w:val="both"/>
        <w:rPr>
          <w:rFonts w:asciiTheme="minorHAnsi" w:hAnsiTheme="minorHAnsi" w:cstheme="minorHAnsi"/>
          <w:color w:val="000000"/>
          <w:sz w:val="24"/>
          <w:szCs w:val="24"/>
        </w:rPr>
      </w:pPr>
      <w:r w:rsidRPr="0097459F">
        <w:rPr>
          <w:rFonts w:asciiTheme="minorHAnsi" w:hAnsiTheme="minorHAnsi" w:cstheme="minorHAnsi"/>
          <w:b/>
          <w:color w:val="000000" w:themeColor="text1"/>
          <w:sz w:val="24"/>
          <w:szCs w:val="24"/>
        </w:rPr>
        <w:t>Exemplo do desempenho da classe de cotas:</w:t>
      </w:r>
      <w:r w:rsidRPr="0097459F">
        <w:rPr>
          <w:rFonts w:asciiTheme="minorHAnsi" w:hAnsiTheme="minorHAnsi" w:cstheme="minorHAnsi"/>
          <w:color w:val="000000" w:themeColor="text1"/>
          <w:sz w:val="24"/>
          <w:szCs w:val="24"/>
        </w:rPr>
        <w:t xml:space="preserve"> </w:t>
      </w:r>
      <w:r w:rsidRPr="0097459F">
        <w:rPr>
          <w:rFonts w:asciiTheme="minorHAnsi" w:hAnsiTheme="minorHAnsi" w:cstheme="minorHAnsi"/>
          <w:b/>
          <w:color w:val="000000" w:themeColor="text1"/>
          <w:sz w:val="24"/>
          <w:szCs w:val="24"/>
        </w:rPr>
        <w:t xml:space="preserve">os cenários e desempenhos descritos abaixo são meramente exemplificativos e servem somente para demonstrar como a fórmula de cálculo da rentabilidade funciona: </w:t>
      </w:r>
      <w:r w:rsidRPr="0097459F">
        <w:rPr>
          <w:rFonts w:asciiTheme="minorHAnsi" w:hAnsiTheme="minorHAnsi" w:cstheme="minorHAnsi"/>
          <w:color w:val="000000" w:themeColor="text1"/>
          <w:sz w:val="24"/>
          <w:szCs w:val="24"/>
        </w:rPr>
        <w:t>[</w:t>
      </w:r>
      <w:r w:rsidRPr="0097459F">
        <w:rPr>
          <w:rFonts w:asciiTheme="minorHAnsi" w:hAnsiTheme="minorHAnsi" w:cstheme="minorHAnsi"/>
          <w:i/>
          <w:color w:val="000000" w:themeColor="text1"/>
          <w:sz w:val="24"/>
          <w:szCs w:val="24"/>
        </w:rPr>
        <w:t>elaborar tabela demonstrando a variação do desempenho da classe de acordo com a fórmula de cálculo de sua rentabilidade. Caso existam vários cenários ou gatilhos que afetem o cálculo da rentabilidade, todos eles devem estar contemplados na tabela. Os cenários devem ser escolhidos de forma a demonstrar, pelo menos, um pior cenário para o cotista, um médio, e um bom</w:t>
      </w:r>
      <w:r w:rsidRPr="0097459F">
        <w:rPr>
          <w:rFonts w:asciiTheme="minorHAnsi" w:hAnsiTheme="minorHAnsi" w:cstheme="minorHAnsi"/>
          <w:color w:val="000000" w:themeColor="text1"/>
          <w:sz w:val="24"/>
          <w:szCs w:val="24"/>
        </w:rPr>
        <w:t xml:space="preserve">] </w:t>
      </w:r>
    </w:p>
    <w:p w14:paraId="6345A277" w14:textId="77777777" w:rsidR="00C20BBD" w:rsidRPr="0097459F" w:rsidRDefault="00C20BBD" w:rsidP="00AF6767">
      <w:pPr>
        <w:spacing w:after="0" w:line="240" w:lineRule="auto"/>
        <w:ind w:firstLine="709"/>
        <w:jc w:val="both"/>
        <w:rPr>
          <w:rFonts w:asciiTheme="minorHAnsi" w:hAnsiTheme="minorHAnsi" w:cstheme="minorHAnsi"/>
          <w:color w:val="000000"/>
          <w:sz w:val="24"/>
          <w:szCs w:val="24"/>
        </w:rPr>
      </w:pPr>
    </w:p>
    <w:p w14:paraId="01768EB1" w14:textId="1D0F336B"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EXEMPLO COMPARATIVO</w:t>
      </w:r>
      <w:r w:rsidRPr="0097459F">
        <w:rPr>
          <w:rFonts w:asciiTheme="minorHAnsi" w:hAnsiTheme="minorHAnsi" w:cstheme="minorHAnsi"/>
        </w:rPr>
        <w:t>:</w:t>
      </w:r>
      <w:r w:rsidR="00DE19FE" w:rsidRPr="0097459F">
        <w:rPr>
          <w:rStyle w:val="Refdenotaderodap"/>
          <w:rFonts w:asciiTheme="minorHAnsi" w:hAnsiTheme="minorHAnsi" w:cstheme="minorHAnsi"/>
        </w:rPr>
        <w:footnoteReference w:id="13"/>
      </w:r>
      <w:r w:rsidR="00DE19FE" w:rsidRPr="0097459F">
        <w:rPr>
          <w:rFonts w:asciiTheme="minorHAnsi" w:hAnsiTheme="minorHAnsi" w:cstheme="minorHAnsi"/>
        </w:rPr>
        <w:t xml:space="preserve"> </w:t>
      </w:r>
      <w:r w:rsidRPr="0097459F">
        <w:rPr>
          <w:rFonts w:asciiTheme="minorHAnsi" w:hAnsiTheme="minorHAnsi" w:cstheme="minorHAnsi"/>
          <w:b/>
        </w:rPr>
        <w:t>utilize a informação do exemplo abaixo para comparar os custos e os benefícios de investir na classe de cotas com os de investir em outras classes.</w:t>
      </w:r>
    </w:p>
    <w:p w14:paraId="3C4CDF83" w14:textId="77777777" w:rsidR="00C20BBD" w:rsidRPr="0097459F" w:rsidRDefault="00C20BBD" w:rsidP="00AF6767">
      <w:pPr>
        <w:pStyle w:val="NormalWeb"/>
        <w:tabs>
          <w:tab w:val="left" w:pos="1134"/>
        </w:tabs>
        <w:spacing w:before="0" w:beforeAutospacing="0" w:after="0" w:afterAutospacing="0"/>
        <w:ind w:firstLine="709"/>
        <w:jc w:val="both"/>
        <w:rPr>
          <w:rFonts w:asciiTheme="minorHAnsi" w:hAnsiTheme="minorHAnsi" w:cstheme="minorHAnsi"/>
        </w:rPr>
      </w:pPr>
    </w:p>
    <w:p w14:paraId="6C277BCE" w14:textId="77777777" w:rsidR="00C20BBD" w:rsidRPr="0097459F" w:rsidRDefault="00C20BBD">
      <w:pPr>
        <w:pStyle w:val="NormalWeb"/>
        <w:numPr>
          <w:ilvl w:val="0"/>
          <w:numId w:val="3"/>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 xml:space="preserve">Rentabilidade: </w:t>
      </w:r>
      <w:r w:rsidRPr="0097459F">
        <w:rPr>
          <w:rFonts w:asciiTheme="minorHAnsi" w:hAnsiTheme="minorHAnsi" w:cstheme="minorHAnsi"/>
        </w:rPr>
        <w:t xml:space="preserve">Se você tivesse aplicado R$ 1.000,00 (mil reais) </w:t>
      </w:r>
      <w:r w:rsidRPr="0097459F">
        <w:rPr>
          <w:rFonts w:asciiTheme="minorHAnsi" w:hAnsiTheme="minorHAnsi" w:cstheme="minorHAnsi"/>
          <w:b/>
        </w:rPr>
        <w:t xml:space="preserve">na classe de cotas </w:t>
      </w:r>
      <w:r w:rsidRPr="0097459F">
        <w:rPr>
          <w:rFonts w:asciiTheme="minorHAnsi" w:hAnsiTheme="minorHAnsi" w:cstheme="minorHAnsi"/>
        </w:rPr>
        <w:t xml:space="preserve">no primeiro dia útil de </w:t>
      </w:r>
      <w:r w:rsidRPr="0097459F">
        <w:rPr>
          <w:rFonts w:asciiTheme="minorHAnsi" w:hAnsiTheme="minorHAnsi" w:cstheme="minorHAnsi"/>
          <w:b/>
        </w:rPr>
        <w:t>[ano imediatamente anterior ao ano da lâmina]</w:t>
      </w:r>
      <w:r w:rsidRPr="0097459F">
        <w:rPr>
          <w:rFonts w:asciiTheme="minorHAnsi" w:hAnsiTheme="minorHAnsi" w:cstheme="minorHAnsi"/>
        </w:rPr>
        <w:t xml:space="preserve"> e não houvesse realizado outras aplicações, nem solicitado resgates durante o ano, no primeiro dia útil de </w:t>
      </w:r>
      <w:r w:rsidRPr="0097459F">
        <w:rPr>
          <w:rFonts w:asciiTheme="minorHAnsi" w:hAnsiTheme="minorHAnsi" w:cstheme="minorHAnsi"/>
          <w:b/>
        </w:rPr>
        <w:t>[ano da lâmina]</w:t>
      </w:r>
      <w:r w:rsidRPr="0097459F">
        <w:rPr>
          <w:rFonts w:asciiTheme="minorHAnsi" w:hAnsiTheme="minorHAnsi" w:cstheme="minorHAnsi"/>
        </w:rPr>
        <w:t xml:space="preserve">, você poderia resgatar R$[●], já deduzidos impostos no valor de R$[●]. </w:t>
      </w:r>
    </w:p>
    <w:p w14:paraId="41C583A0" w14:textId="77777777"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p>
    <w:p w14:paraId="51575948" w14:textId="77777777" w:rsidR="00C20BBD" w:rsidRPr="0097459F" w:rsidRDefault="00C20BBD" w:rsidP="00AF6767">
      <w:pPr>
        <w:pStyle w:val="NormalWeb"/>
        <w:tabs>
          <w:tab w:val="num" w:pos="567"/>
        </w:tabs>
        <w:spacing w:before="0" w:beforeAutospacing="0" w:after="0" w:afterAutospacing="0"/>
        <w:ind w:left="567"/>
        <w:jc w:val="both"/>
        <w:rPr>
          <w:rFonts w:asciiTheme="minorHAnsi" w:hAnsiTheme="minorHAnsi" w:cstheme="minorHAnsi"/>
        </w:rPr>
      </w:pPr>
      <w:r w:rsidRPr="0097459F">
        <w:rPr>
          <w:rFonts w:asciiTheme="minorHAnsi" w:hAnsiTheme="minorHAnsi" w:cstheme="minorHAnsi"/>
        </w:rPr>
        <w:tab/>
        <w:t>[</w:t>
      </w:r>
      <w:r w:rsidRPr="0097459F">
        <w:rPr>
          <w:rFonts w:asciiTheme="minorHAnsi" w:hAnsiTheme="minorHAnsi" w:cstheme="minorHAnsi"/>
          <w:i/>
        </w:rPr>
        <w:t>adicionar, quando houver:</w:t>
      </w:r>
      <w:r w:rsidRPr="0097459F">
        <w:rPr>
          <w:rFonts w:asciiTheme="minorHAnsi" w:hAnsiTheme="minorHAnsi" w:cstheme="minorHAnsi"/>
        </w:rPr>
        <w:t>] A taxa de ingresso teria custado R$[●], a taxa de saída teria custado R$[●], e o ajuste sobre performance individual teria custado R$[●].</w:t>
      </w:r>
    </w:p>
    <w:p w14:paraId="1F08F5ED" w14:textId="77777777" w:rsidR="00C20BBD" w:rsidRPr="0097459F" w:rsidRDefault="00C20BBD" w:rsidP="00AF6767">
      <w:pPr>
        <w:pStyle w:val="PargrafodaLista1"/>
        <w:tabs>
          <w:tab w:val="num" w:pos="567"/>
        </w:tabs>
        <w:ind w:left="567"/>
        <w:rPr>
          <w:rFonts w:asciiTheme="minorHAnsi" w:hAnsiTheme="minorHAnsi" w:cstheme="minorHAnsi"/>
          <w:b/>
          <w:color w:val="000000"/>
        </w:rPr>
      </w:pPr>
    </w:p>
    <w:p w14:paraId="35CF459D" w14:textId="77777777" w:rsidR="00C20BBD" w:rsidRPr="0097459F" w:rsidRDefault="00C20BBD">
      <w:pPr>
        <w:pStyle w:val="NormalWeb"/>
        <w:numPr>
          <w:ilvl w:val="0"/>
          <w:numId w:val="3"/>
        </w:numPr>
        <w:tabs>
          <w:tab w:val="clear" w:pos="1440"/>
          <w:tab w:val="num" w:pos="567"/>
        </w:tabs>
        <w:spacing w:before="0" w:beforeAutospacing="0" w:after="0" w:afterAutospacing="0"/>
        <w:ind w:left="567" w:firstLine="0"/>
        <w:jc w:val="both"/>
        <w:rPr>
          <w:rFonts w:asciiTheme="minorHAnsi" w:hAnsiTheme="minorHAnsi" w:cstheme="minorHAnsi"/>
        </w:rPr>
      </w:pPr>
      <w:r w:rsidRPr="0097459F">
        <w:rPr>
          <w:rFonts w:asciiTheme="minorHAnsi" w:hAnsiTheme="minorHAnsi" w:cstheme="minorHAnsi"/>
          <w:b/>
        </w:rPr>
        <w:t xml:space="preserve">Despesas: </w:t>
      </w:r>
      <w:r w:rsidRPr="0097459F">
        <w:rPr>
          <w:rFonts w:asciiTheme="minorHAnsi" w:hAnsiTheme="minorHAnsi" w:cstheme="minorHAnsi"/>
        </w:rPr>
        <w:t xml:space="preserve">As despesas, incluindo a taxa de administração, [a taxa de performance (se houver) ], e as despesas operacionais e de serviços teriam custado R$[●]. </w:t>
      </w:r>
    </w:p>
    <w:p w14:paraId="6BAE5A92"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p>
    <w:p w14:paraId="1AD57845" w14:textId="458F6CB9"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rPr>
        <w:t>SIMULAÇÃO DE DESPESAS:</w:t>
      </w:r>
      <w:r w:rsidR="00DE19FE" w:rsidRPr="0097459F">
        <w:rPr>
          <w:rStyle w:val="Refdenotaderodap"/>
          <w:rFonts w:asciiTheme="minorHAnsi" w:hAnsiTheme="minorHAnsi" w:cstheme="minorHAnsi"/>
        </w:rPr>
        <w:footnoteReference w:id="14"/>
      </w:r>
      <w:r w:rsidR="00DE19FE" w:rsidRPr="0097459F">
        <w:rPr>
          <w:rFonts w:asciiTheme="minorHAnsi" w:hAnsiTheme="minorHAnsi" w:cstheme="minorHAnsi"/>
          <w:b/>
        </w:rPr>
        <w:t xml:space="preserve"> </w:t>
      </w:r>
      <w:r w:rsidRPr="0097459F">
        <w:rPr>
          <w:rFonts w:asciiTheme="minorHAnsi" w:hAnsiTheme="minorHAnsi" w:cstheme="minorHAnsi"/>
          <w:b/>
        </w:rPr>
        <w:t>utilize a informação a seguir para comparar o efeito das despesas em períodos mais longos de investimento entre diversos fundos</w:t>
      </w:r>
      <w:r w:rsidRPr="0097459F">
        <w:rPr>
          <w:rFonts w:asciiTheme="minorHAnsi" w:hAnsiTheme="minorHAnsi" w:cstheme="minorHAnsi"/>
        </w:rPr>
        <w:t xml:space="preserve">: </w:t>
      </w:r>
    </w:p>
    <w:p w14:paraId="0A73B1D5"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
        </w:rPr>
      </w:pPr>
    </w:p>
    <w:p w14:paraId="1379E5CA"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 xml:space="preserve">Assumindo que a última taxa total de despesas divulgada se mantenha constante e que </w:t>
      </w:r>
      <w:r w:rsidRPr="0097459F">
        <w:rPr>
          <w:rFonts w:asciiTheme="minorHAnsi" w:hAnsiTheme="minorHAnsi" w:cstheme="minorHAnsi"/>
          <w:b/>
        </w:rPr>
        <w:t xml:space="preserve">a classe de cotas </w:t>
      </w:r>
      <w:r w:rsidRPr="0097459F">
        <w:rPr>
          <w:rFonts w:asciiTheme="minorHAnsi" w:hAnsiTheme="minorHAnsi" w:cstheme="minorHAnsi"/>
        </w:rPr>
        <w:t>tenha rentabilidade bruta hipotética de 10% ao ano nos próximos 3 e 5 anos, o retorno após as despesas terem sido descontadas, considerando a mesma aplicação inicial de R$ 1.000,00 (mil reais), é apresentado na tabela abaixo: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91"/>
        <w:gridCol w:w="1654"/>
        <w:gridCol w:w="1650"/>
      </w:tblGrid>
      <w:tr w:rsidR="00C20BBD" w:rsidRPr="0097459F" w14:paraId="6FF1D732" w14:textId="77777777" w:rsidTr="00ED0447">
        <w:tc>
          <w:tcPr>
            <w:tcW w:w="3380" w:type="pct"/>
            <w:shd w:val="clear" w:color="auto" w:fill="FFFF99"/>
          </w:tcPr>
          <w:p w14:paraId="7ECCE9AD"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Simulação das Despesas </w:t>
            </w:r>
          </w:p>
        </w:tc>
        <w:tc>
          <w:tcPr>
            <w:tcW w:w="811" w:type="pct"/>
            <w:shd w:val="clear" w:color="auto" w:fill="FFFF99"/>
          </w:tcPr>
          <w:p w14:paraId="162D8E75"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[●+3 anos]</w:t>
            </w:r>
          </w:p>
        </w:tc>
        <w:tc>
          <w:tcPr>
            <w:tcW w:w="809" w:type="pct"/>
            <w:shd w:val="clear" w:color="auto" w:fill="FFFF99"/>
          </w:tcPr>
          <w:p w14:paraId="6CBED4AD"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[●+5 anos]</w:t>
            </w:r>
          </w:p>
        </w:tc>
      </w:tr>
      <w:tr w:rsidR="00C20BBD" w:rsidRPr="0097459F" w14:paraId="4313214E" w14:textId="77777777" w:rsidTr="00ED0447">
        <w:tc>
          <w:tcPr>
            <w:tcW w:w="3380" w:type="pct"/>
            <w:shd w:val="clear" w:color="auto" w:fill="DBE5F1"/>
          </w:tcPr>
          <w:p w14:paraId="2BD99E2A"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Saldo bruto acumulado (hipotético - rentabilidade bruta anual de 10%) </w:t>
            </w:r>
          </w:p>
        </w:tc>
        <w:tc>
          <w:tcPr>
            <w:tcW w:w="811" w:type="pct"/>
          </w:tcPr>
          <w:p w14:paraId="5695749E"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R$ 1.331,00        </w:t>
            </w:r>
          </w:p>
        </w:tc>
        <w:tc>
          <w:tcPr>
            <w:tcW w:w="809" w:type="pct"/>
          </w:tcPr>
          <w:p w14:paraId="3EA7B68D"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R$ 1.610,51  </w:t>
            </w:r>
          </w:p>
        </w:tc>
      </w:tr>
      <w:tr w:rsidR="00C20BBD" w:rsidRPr="0097459F" w14:paraId="151DBF81" w14:textId="77777777" w:rsidTr="00ED0447">
        <w:tc>
          <w:tcPr>
            <w:tcW w:w="3380" w:type="pct"/>
            <w:shd w:val="clear" w:color="auto" w:fill="DBE5F1"/>
          </w:tcPr>
          <w:p w14:paraId="4FF17E42"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Despesas previstas (se a TAXA TOTAL DE DESPESAS se mantiver constante)</w:t>
            </w:r>
          </w:p>
        </w:tc>
        <w:tc>
          <w:tcPr>
            <w:tcW w:w="811" w:type="pct"/>
          </w:tcPr>
          <w:p w14:paraId="7E858A68" w14:textId="77777777" w:rsidR="00C20BBD" w:rsidRPr="0097459F" w:rsidRDefault="00C20BBD" w:rsidP="00AF6767">
            <w:pPr>
              <w:tabs>
                <w:tab w:val="num" w:pos="184"/>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809" w:type="pct"/>
          </w:tcPr>
          <w:p w14:paraId="641BAF37"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r w:rsidR="00C20BBD" w:rsidRPr="0097459F" w14:paraId="65EF73FC" w14:textId="77777777" w:rsidTr="00ED0447">
        <w:tc>
          <w:tcPr>
            <w:tcW w:w="3380" w:type="pct"/>
            <w:shd w:val="clear" w:color="auto" w:fill="DBE5F1"/>
          </w:tcPr>
          <w:p w14:paraId="31486845"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Retorno bruto hipotético após dedução das despesas e do valor do investimento original (antes da incidência de impostos, de taxas de ingresso e/ou saída, ou de taxa de performance)</w:t>
            </w:r>
          </w:p>
        </w:tc>
        <w:tc>
          <w:tcPr>
            <w:tcW w:w="811" w:type="pct"/>
          </w:tcPr>
          <w:p w14:paraId="41D4DF94" w14:textId="77777777" w:rsidR="00C20BBD" w:rsidRPr="0097459F" w:rsidRDefault="00C20BBD" w:rsidP="00AF6767">
            <w:pPr>
              <w:tabs>
                <w:tab w:val="num" w:pos="184"/>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809" w:type="pct"/>
          </w:tcPr>
          <w:p w14:paraId="1E9219AB" w14:textId="77777777" w:rsidR="00C20BBD" w:rsidRPr="0097459F" w:rsidRDefault="00C20BBD" w:rsidP="00AF6767">
            <w:pPr>
              <w:tabs>
                <w:tab w:val="num" w:pos="184"/>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bl>
    <w:p w14:paraId="2E417399"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1FFC8163"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Este exemplo tem a finalidade de facilitar a comparação do efeito das despesas no longo prazo. Esta simulação pode ser encontrada na lâmina e na demonstração de desempenho de outras classes de cotas.</w:t>
      </w:r>
    </w:p>
    <w:p w14:paraId="34FC6D69"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52FE22B2"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A simulação acima não implica promessa de que os valores reais ou esperados das despesas ou dos retornos serão iguais aos aqui apresentados.</w:t>
      </w:r>
    </w:p>
    <w:p w14:paraId="7A85E06D"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7CFFA6A9" w14:textId="77777777"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b/>
        </w:rPr>
      </w:pPr>
      <w:r w:rsidRPr="0097459F">
        <w:rPr>
          <w:rFonts w:asciiTheme="minorHAnsi" w:hAnsiTheme="minorHAnsi" w:cstheme="minorHAnsi"/>
          <w:b/>
        </w:rPr>
        <w:t>POLÍTICA DE DISTRIBUIÇÃO DE COTAS:</w:t>
      </w:r>
    </w:p>
    <w:p w14:paraId="6538F5DC"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que deve abranger, pelo menos, o seguinte:</w:t>
      </w:r>
    </w:p>
    <w:p w14:paraId="553CF17B"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p>
    <w:p w14:paraId="1E08DF7E"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27F7248B"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b. se o principal distribuidor oferta, para o público-alvo da classe, preponderantemente fundos geridos por um único gestor, ou por gestores ligados a um mesmo grupo econômico; e</w:t>
      </w:r>
    </w:p>
    <w:p w14:paraId="28C36F2D"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6C8CCC9D"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Cs/>
        </w:rPr>
      </w:pPr>
    </w:p>
    <w:p w14:paraId="709296DF" w14:textId="77777777"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b/>
        </w:rPr>
      </w:pPr>
      <w:r w:rsidRPr="0097459F">
        <w:rPr>
          <w:rFonts w:asciiTheme="minorHAnsi" w:hAnsiTheme="minorHAnsi" w:cstheme="minorHAnsi"/>
          <w:b/>
          <w:bCs/>
        </w:rPr>
        <w:t>SERVIÇO DE ATENDIMENTO AO COTISTA:</w:t>
      </w:r>
      <w:r w:rsidRPr="0097459F">
        <w:rPr>
          <w:rFonts w:asciiTheme="minorHAnsi" w:hAnsiTheme="minorHAnsi" w:cstheme="minorHAnsi"/>
          <w:b/>
        </w:rPr>
        <w:t xml:space="preserve"> </w:t>
      </w:r>
    </w:p>
    <w:p w14:paraId="42B2E252" w14:textId="77777777" w:rsidR="00C20BBD" w:rsidRPr="0097459F" w:rsidRDefault="00C20BBD" w:rsidP="00AF6767">
      <w:pPr>
        <w:pStyle w:val="PargrafodaLista1"/>
        <w:ind w:left="0" w:firstLine="709"/>
        <w:rPr>
          <w:rFonts w:asciiTheme="minorHAnsi" w:hAnsiTheme="minorHAnsi" w:cstheme="minorHAnsi"/>
          <w:bCs/>
          <w:color w:val="000000"/>
        </w:rPr>
      </w:pPr>
    </w:p>
    <w:p w14:paraId="63A140A0" w14:textId="77777777" w:rsidR="00C20BBD" w:rsidRPr="0097459F" w:rsidRDefault="00C20BBD">
      <w:pPr>
        <w:pStyle w:val="NormalWeb"/>
        <w:numPr>
          <w:ilvl w:val="0"/>
          <w:numId w:val="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Telefone</w:t>
      </w:r>
    </w:p>
    <w:p w14:paraId="750D58E8" w14:textId="77777777" w:rsidR="00C20BBD" w:rsidRPr="0097459F" w:rsidRDefault="00C20BBD">
      <w:pPr>
        <w:pStyle w:val="NormalWeb"/>
        <w:numPr>
          <w:ilvl w:val="0"/>
          <w:numId w:val="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Página na rede mundial de computadores</w:t>
      </w:r>
    </w:p>
    <w:p w14:paraId="7C850CE5" w14:textId="77777777" w:rsidR="00C20BBD" w:rsidRPr="0097459F" w:rsidRDefault="00C20BBD">
      <w:pPr>
        <w:pStyle w:val="NormalWeb"/>
        <w:numPr>
          <w:ilvl w:val="0"/>
          <w:numId w:val="4"/>
        </w:numPr>
        <w:tabs>
          <w:tab w:val="clear" w:pos="1440"/>
          <w:tab w:val="num" w:pos="1134"/>
        </w:tabs>
        <w:spacing w:before="0" w:beforeAutospacing="0" w:after="0" w:afterAutospacing="0"/>
        <w:ind w:left="1134" w:hanging="425"/>
        <w:jc w:val="both"/>
        <w:rPr>
          <w:rFonts w:asciiTheme="minorHAnsi" w:hAnsiTheme="minorHAnsi" w:cstheme="minorHAnsi"/>
        </w:rPr>
      </w:pPr>
      <w:r w:rsidRPr="0097459F">
        <w:rPr>
          <w:rFonts w:asciiTheme="minorHAnsi" w:hAnsiTheme="minorHAnsi" w:cstheme="minorHAnsi"/>
        </w:rPr>
        <w:t>Reclamações: [endereço eletrônico] [e demais canais disponíveis]</w:t>
      </w:r>
    </w:p>
    <w:p w14:paraId="174CB351" w14:textId="77777777" w:rsidR="00C20BBD" w:rsidRPr="0097459F" w:rsidRDefault="00C20BBD" w:rsidP="00AF6767">
      <w:pPr>
        <w:pStyle w:val="NormalWeb"/>
        <w:spacing w:before="0" w:beforeAutospacing="0" w:after="0" w:afterAutospacing="0"/>
        <w:ind w:hanging="425"/>
        <w:jc w:val="both"/>
        <w:rPr>
          <w:rFonts w:asciiTheme="minorHAnsi" w:hAnsiTheme="minorHAnsi" w:cstheme="minorHAnsi"/>
          <w:b/>
        </w:rPr>
      </w:pPr>
    </w:p>
    <w:p w14:paraId="7487E34B" w14:textId="77777777" w:rsidR="00C20BBD" w:rsidRPr="0097459F" w:rsidRDefault="00C20BBD">
      <w:pPr>
        <w:pStyle w:val="NormalWeb"/>
        <w:numPr>
          <w:ilvl w:val="0"/>
          <w:numId w:val="5"/>
        </w:numPr>
        <w:tabs>
          <w:tab w:val="num" w:pos="567"/>
        </w:tabs>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
          <w:bCs/>
        </w:rPr>
        <w:t>SUPERVISÃO E FISCALIZAÇÃO</w:t>
      </w:r>
      <w:r w:rsidRPr="0097459F">
        <w:rPr>
          <w:rFonts w:asciiTheme="minorHAnsi" w:hAnsiTheme="minorHAnsi" w:cstheme="minorHAnsi"/>
        </w:rPr>
        <w:t xml:space="preserve">: </w:t>
      </w:r>
    </w:p>
    <w:p w14:paraId="1C27AF48" w14:textId="77777777" w:rsidR="00C20BBD" w:rsidRPr="0097459F" w:rsidRDefault="00C20BBD" w:rsidP="00AF6767">
      <w:pPr>
        <w:spacing w:after="0" w:line="240" w:lineRule="auto"/>
        <w:ind w:hanging="425"/>
        <w:jc w:val="both"/>
        <w:rPr>
          <w:rFonts w:asciiTheme="minorHAnsi" w:hAnsiTheme="minorHAnsi" w:cstheme="minorHAnsi"/>
          <w:color w:val="000000"/>
          <w:sz w:val="24"/>
          <w:szCs w:val="24"/>
        </w:rPr>
      </w:pPr>
    </w:p>
    <w:p w14:paraId="397C1A86" w14:textId="77777777" w:rsidR="00C20BBD" w:rsidRPr="0097459F" w:rsidRDefault="00C20BBD">
      <w:pPr>
        <w:numPr>
          <w:ilvl w:val="1"/>
          <w:numId w:val="5"/>
        </w:numPr>
        <w:tabs>
          <w:tab w:val="left" w:pos="1134"/>
        </w:tabs>
        <w:spacing w:after="0" w:line="240" w:lineRule="auto"/>
        <w:ind w:left="1134" w:hanging="425"/>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Comissão de Valores Mobiliários – CVM</w:t>
      </w:r>
    </w:p>
    <w:p w14:paraId="7FB1CFA2" w14:textId="77777777" w:rsidR="00C20BBD" w:rsidRPr="0097459F" w:rsidRDefault="00C20BBD">
      <w:pPr>
        <w:numPr>
          <w:ilvl w:val="1"/>
          <w:numId w:val="5"/>
        </w:numPr>
        <w:tabs>
          <w:tab w:val="left" w:pos="1134"/>
        </w:tabs>
        <w:spacing w:after="0" w:line="240" w:lineRule="auto"/>
        <w:ind w:left="1134" w:hanging="425"/>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Serviço de Atendimento ao Cidadão em </w:t>
      </w:r>
      <w:hyperlink r:id="rId29" w:history="1">
        <w:r w:rsidRPr="0097459F">
          <w:rPr>
            <w:rStyle w:val="Hyperlink"/>
            <w:rFonts w:asciiTheme="minorHAnsi" w:hAnsiTheme="minorHAnsi" w:cstheme="minorHAnsi"/>
            <w:color w:val="000000"/>
            <w:sz w:val="24"/>
            <w:szCs w:val="24"/>
          </w:rPr>
          <w:t>www.cvm.gov.br</w:t>
        </w:r>
      </w:hyperlink>
      <w:r w:rsidRPr="0097459F">
        <w:rPr>
          <w:rFonts w:asciiTheme="minorHAnsi" w:hAnsiTheme="minorHAnsi" w:cstheme="minorHAnsi"/>
          <w:color w:val="000000"/>
          <w:sz w:val="24"/>
          <w:szCs w:val="24"/>
        </w:rPr>
        <w:t>.</w:t>
      </w:r>
    </w:p>
    <w:p w14:paraId="6301BD3F" w14:textId="77777777" w:rsidR="00F62946" w:rsidRDefault="00F62946">
      <w:pPr>
        <w:spacing w:after="160" w:line="259" w:lineRule="auto"/>
        <w:rPr>
          <w:rFonts w:asciiTheme="minorHAnsi" w:hAnsiTheme="minorHAnsi" w:cstheme="minorHAnsi"/>
          <w:b/>
        </w:rPr>
        <w:sectPr w:rsidR="00F62946" w:rsidSect="002A08BD">
          <w:headerReference w:type="default" r:id="rId30"/>
          <w:headerReference w:type="first" r:id="rId31"/>
          <w:pgSz w:w="11906" w:h="16838"/>
          <w:pgMar w:top="2268" w:right="567" w:bottom="851" w:left="1134" w:header="709" w:footer="709" w:gutter="0"/>
          <w:cols w:space="708"/>
          <w:titlePg/>
          <w:docGrid w:linePitch="360"/>
        </w:sectPr>
      </w:pPr>
      <w:r>
        <w:rPr>
          <w:rFonts w:asciiTheme="minorHAnsi" w:hAnsiTheme="minorHAnsi" w:cstheme="minorHAnsi"/>
          <w:b/>
        </w:rPr>
        <w:br w:type="page"/>
      </w:r>
    </w:p>
    <w:p w14:paraId="6C4C5594" w14:textId="6BEE6898" w:rsidR="00BB7BEE" w:rsidRPr="0097459F" w:rsidRDefault="00BB7BEE" w:rsidP="00BB7BEE">
      <w:pPr>
        <w:pStyle w:val="Ttulo1"/>
        <w:spacing w:before="0" w:after="0" w:line="240" w:lineRule="auto"/>
        <w:ind w:firstLine="709"/>
        <w:jc w:val="center"/>
        <w:rPr>
          <w:rFonts w:asciiTheme="minorHAnsi" w:hAnsiTheme="minorHAnsi" w:cstheme="minorHAnsi"/>
          <w:b w:val="0"/>
          <w:bCs w:val="0"/>
          <w:sz w:val="24"/>
          <w:szCs w:val="24"/>
        </w:rPr>
      </w:pPr>
      <w:bookmarkStart w:id="1479" w:name="_Toc53594546"/>
      <w:bookmarkStart w:id="1480" w:name="_Toc53595571"/>
      <w:bookmarkStart w:id="1481" w:name="_Toc53594298"/>
      <w:bookmarkStart w:id="1482" w:name="_Toc57836308"/>
      <w:bookmarkStart w:id="1483" w:name="_Toc161141448"/>
      <w:r w:rsidRPr="0097459F">
        <w:rPr>
          <w:rFonts w:asciiTheme="minorHAnsi" w:hAnsiTheme="minorHAnsi" w:cstheme="minorHAnsi"/>
          <w:sz w:val="24"/>
          <w:szCs w:val="24"/>
        </w:rPr>
        <w:lastRenderedPageBreak/>
        <w:t xml:space="preserve">SUPLEMENTO C – DEMONSTRAÇÃO DE DESEMPENHO – </w:t>
      </w:r>
      <w:bookmarkEnd w:id="1479"/>
      <w:bookmarkEnd w:id="1480"/>
      <w:bookmarkEnd w:id="1481"/>
      <w:bookmarkEnd w:id="1482"/>
      <w:r w:rsidRPr="0097459F">
        <w:rPr>
          <w:rFonts w:asciiTheme="minorHAnsi" w:hAnsiTheme="minorHAnsi" w:cstheme="minorHAnsi"/>
          <w:sz w:val="24"/>
          <w:szCs w:val="24"/>
        </w:rPr>
        <w:t>FIF</w:t>
      </w:r>
      <w:bookmarkEnd w:id="1483"/>
    </w:p>
    <w:p w14:paraId="49515C9B" w14:textId="1B28BA87"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relatório padronizado</w:t>
      </w:r>
      <w:r w:rsidR="005E7E86">
        <w:rPr>
          <w:rFonts w:asciiTheme="minorHAnsi" w:eastAsia="Times" w:hAnsiTheme="minorHAnsi" w:cstheme="minorHAnsi"/>
          <w:i/>
          <w:sz w:val="24"/>
          <w:szCs w:val="24"/>
        </w:rPr>
        <w:t>, conforme previsto no art. 2º, inciso XI, do Anexo Normativo I da Resolução CVM nº 175, de 2022</w:t>
      </w:r>
      <w:r w:rsidRPr="0097459F">
        <w:rPr>
          <w:rFonts w:asciiTheme="minorHAnsi" w:hAnsiTheme="minorHAnsi" w:cstheme="minorHAnsi"/>
          <w:i/>
          <w:sz w:val="24"/>
          <w:szCs w:val="24"/>
        </w:rPr>
        <w:t>.</w:t>
      </w:r>
    </w:p>
    <w:p w14:paraId="515A725C" w14:textId="77777777" w:rsidR="00C20BBD" w:rsidRPr="0097459F" w:rsidRDefault="00C20BBD" w:rsidP="00AF6767">
      <w:pPr>
        <w:pStyle w:val="NormalWeb"/>
        <w:tabs>
          <w:tab w:val="left" w:pos="5670"/>
        </w:tabs>
        <w:spacing w:before="0" w:beforeAutospacing="0" w:after="0" w:afterAutospacing="0"/>
        <w:ind w:left="6804"/>
        <w:jc w:val="both"/>
        <w:rPr>
          <w:rFonts w:asciiTheme="minorHAnsi" w:hAnsiTheme="minorHAnsi" w:cstheme="minorHAnsi"/>
          <w:bCs/>
        </w:rPr>
      </w:pPr>
    </w:p>
    <w:p w14:paraId="15E21B46" w14:textId="77777777" w:rsidR="00C20BBD" w:rsidRPr="0097459F" w:rsidRDefault="00C20BBD" w:rsidP="00AF6767">
      <w:pPr>
        <w:spacing w:after="0" w:line="240" w:lineRule="auto"/>
        <w:jc w:val="center"/>
        <w:rPr>
          <w:rFonts w:asciiTheme="minorHAnsi" w:hAnsiTheme="minorHAnsi" w:cstheme="minorHAnsi"/>
          <w:sz w:val="24"/>
          <w:szCs w:val="24"/>
        </w:rPr>
      </w:pPr>
      <w:r w:rsidRPr="0097459F">
        <w:rPr>
          <w:rFonts w:asciiTheme="minorHAnsi" w:hAnsiTheme="minorHAnsi" w:cstheme="minorHAnsi"/>
          <w:b/>
          <w:sz w:val="24"/>
          <w:szCs w:val="24"/>
        </w:rPr>
        <w:t>DEMONSTRAÇÃO DE DESEMPENHO DO</w:t>
      </w:r>
      <w:r w:rsidRPr="0097459F">
        <w:rPr>
          <w:rFonts w:asciiTheme="minorHAnsi" w:hAnsiTheme="minorHAnsi" w:cstheme="minorHAnsi"/>
          <w:b/>
          <w:color w:val="0D0D0D" w:themeColor="text1" w:themeTint="F2"/>
          <w:sz w:val="24"/>
          <w:szCs w:val="24"/>
        </w:rPr>
        <w:t xml:space="preserve"> [nome de fantasia do fundo e, se for o caso, da classe de cotas]</w:t>
      </w:r>
    </w:p>
    <w:p w14:paraId="1E3D1CD5" w14:textId="6A7D15A8" w:rsidR="00C20BBD" w:rsidRPr="0097459F" w:rsidRDefault="00C2608B" w:rsidP="00AF6767">
      <w:pPr>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color w:val="000000" w:themeColor="text1"/>
          <w:sz w:val="24"/>
          <w:szCs w:val="24"/>
        </w:rPr>
        <w:t>[CNPJ do f</w:t>
      </w:r>
      <w:r w:rsidR="00C20BBD" w:rsidRPr="0097459F">
        <w:rPr>
          <w:rFonts w:asciiTheme="minorHAnsi" w:hAnsiTheme="minorHAnsi" w:cstheme="minorHAnsi"/>
          <w:b/>
          <w:color w:val="000000" w:themeColor="text1"/>
          <w:sz w:val="24"/>
          <w:szCs w:val="24"/>
        </w:rPr>
        <w:t>undo]</w:t>
      </w:r>
    </w:p>
    <w:p w14:paraId="71B761D2" w14:textId="77777777" w:rsidR="00C2608B" w:rsidRPr="0097459F" w:rsidRDefault="00C2608B" w:rsidP="00AF6767">
      <w:pPr>
        <w:spacing w:after="0" w:line="240" w:lineRule="auto"/>
        <w:ind w:firstLine="709"/>
        <w:jc w:val="center"/>
        <w:rPr>
          <w:rFonts w:asciiTheme="minorHAnsi" w:hAnsiTheme="minorHAnsi" w:cstheme="minorHAnsi"/>
          <w:b/>
          <w:color w:val="000000"/>
          <w:sz w:val="24"/>
          <w:szCs w:val="24"/>
        </w:rPr>
      </w:pPr>
    </w:p>
    <w:p w14:paraId="2987C709" w14:textId="0A1F66CC" w:rsidR="00C20BBD" w:rsidRPr="0097459F" w:rsidRDefault="00C20BBD" w:rsidP="00AF6767">
      <w:pPr>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b/>
          <w:color w:val="000000"/>
          <w:sz w:val="24"/>
          <w:szCs w:val="24"/>
        </w:rPr>
        <w:t>Informações referentes a [ano]</w:t>
      </w:r>
    </w:p>
    <w:p w14:paraId="58EB6BD3"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5A946966" w14:textId="77777777" w:rsidR="00C20BBD" w:rsidRPr="0097459F" w:rsidRDefault="00C20BBD">
      <w:pPr>
        <w:numPr>
          <w:ilvl w:val="0"/>
          <w:numId w:val="6"/>
        </w:numPr>
        <w:spacing w:after="0" w:line="240" w:lineRule="auto"/>
        <w:ind w:left="0" w:firstLine="709"/>
        <w:rPr>
          <w:rFonts w:asciiTheme="minorHAnsi" w:hAnsiTheme="minorHAnsi" w:cstheme="minorHAnsi"/>
          <w:b/>
          <w:sz w:val="24"/>
          <w:szCs w:val="24"/>
        </w:rPr>
      </w:pPr>
      <w:r w:rsidRPr="0097459F">
        <w:rPr>
          <w:rFonts w:asciiTheme="minorHAnsi" w:hAnsiTheme="minorHAnsi" w:cstheme="minorHAnsi"/>
          <w:b/>
          <w:sz w:val="24"/>
          <w:szCs w:val="24"/>
        </w:rPr>
        <w:t>Denominações completas do fundo e da classe conforme o cadastro na CVM: [nome da classe]</w:t>
      </w:r>
    </w:p>
    <w:p w14:paraId="0A9C4F8A"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29A420AC" w14:textId="77777777" w:rsidR="00C20BBD" w:rsidRPr="0097459F" w:rsidRDefault="00C20BBD">
      <w:pPr>
        <w:numPr>
          <w:ilvl w:val="0"/>
          <w:numId w:val="6"/>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Rentabilidade </w:t>
      </w:r>
    </w:p>
    <w:p w14:paraId="18864186" w14:textId="77777777" w:rsidR="00C20BBD" w:rsidRPr="0097459F" w:rsidRDefault="00C20BBD" w:rsidP="00AF6767">
      <w:pPr>
        <w:pStyle w:val="PargrafodaLista1"/>
        <w:ind w:left="0" w:firstLine="709"/>
        <w:rPr>
          <w:rFonts w:asciiTheme="minorHAnsi" w:hAnsiTheme="minorHAnsi" w:cstheme="minorHAnsi"/>
          <w:b/>
        </w:rPr>
      </w:pPr>
    </w:p>
    <w:p w14:paraId="718C7FC1" w14:textId="77777777" w:rsidR="00C20BBD" w:rsidRPr="0097459F" w:rsidRDefault="00C20BBD" w:rsidP="00AF6767">
      <w:pPr>
        <w:tabs>
          <w:tab w:val="left" w:pos="1134"/>
        </w:tabs>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2.1</w:t>
      </w:r>
      <w:r w:rsidRPr="0097459F">
        <w:rPr>
          <w:rFonts w:asciiTheme="minorHAnsi" w:hAnsiTheme="minorHAnsi" w:cstheme="minorHAnsi"/>
          <w:b/>
          <w:sz w:val="24"/>
          <w:szCs w:val="24"/>
        </w:rPr>
        <w:t xml:space="preserve"> </w:t>
      </w:r>
      <w:r w:rsidRPr="0097459F">
        <w:rPr>
          <w:rFonts w:asciiTheme="minorHAnsi" w:hAnsiTheme="minorHAnsi" w:cstheme="minorHAnsi"/>
          <w:b/>
          <w:sz w:val="24"/>
          <w:szCs w:val="24"/>
        </w:rPr>
        <w:tab/>
        <w:t>Mensal</w:t>
      </w:r>
      <w:r w:rsidRPr="0097459F">
        <w:rPr>
          <w:rFonts w:asciiTheme="minorHAnsi" w:hAnsiTheme="minorHAnsi" w:cstheme="minorHAnsi"/>
          <w:sz w:val="24"/>
          <w:szCs w:val="24"/>
        </w:rPr>
        <w:t xml:space="preserve">: a rentabilidade do </w:t>
      </w:r>
      <w:r w:rsidRPr="0097459F">
        <w:rPr>
          <w:rFonts w:asciiTheme="minorHAnsi" w:hAnsiTheme="minorHAnsi" w:cstheme="minorHAnsi"/>
          <w:b/>
          <w:sz w:val="24"/>
          <w:szCs w:val="24"/>
        </w:rPr>
        <w:t xml:space="preserve">da classe </w:t>
      </w:r>
      <w:r w:rsidRPr="0097459F">
        <w:rPr>
          <w:rFonts w:asciiTheme="minorHAnsi" w:hAnsiTheme="minorHAnsi" w:cstheme="minorHAnsi"/>
          <w:sz w:val="24"/>
          <w:szCs w:val="24"/>
        </w:rPr>
        <w:t>nos últimos 12 meses foi:</w:t>
      </w:r>
    </w:p>
    <w:p w14:paraId="360DF34B" w14:textId="77777777" w:rsidR="00C20BBD" w:rsidRPr="0097459F" w:rsidRDefault="00C20BBD" w:rsidP="00AF6767">
      <w:pPr>
        <w:pStyle w:val="PargrafodaLista1"/>
        <w:ind w:left="0" w:firstLine="709"/>
        <w:rPr>
          <w:rFonts w:asciiTheme="minorHAnsi" w:hAnsiTheme="minorHAnsi" w:cstheme="minorHAnsi"/>
          <w:color w:val="000000"/>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514"/>
        <w:gridCol w:w="2516"/>
        <w:gridCol w:w="3487"/>
      </w:tblGrid>
      <w:tr w:rsidR="00C20BBD" w:rsidRPr="0097459F" w14:paraId="137F8CF8" w14:textId="77777777" w:rsidTr="00ED0447">
        <w:tc>
          <w:tcPr>
            <w:tcW w:w="779" w:type="pct"/>
            <w:shd w:val="clear" w:color="auto" w:fill="FFFF99"/>
            <w:vAlign w:val="center"/>
          </w:tcPr>
          <w:p w14:paraId="503B588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Mês</w:t>
            </w:r>
          </w:p>
        </w:tc>
        <w:tc>
          <w:tcPr>
            <w:tcW w:w="1246" w:type="pct"/>
            <w:shd w:val="clear" w:color="auto" w:fill="FFFF99"/>
            <w:vAlign w:val="center"/>
          </w:tcPr>
          <w:p w14:paraId="0FC08D3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1247" w:type="pct"/>
            <w:shd w:val="clear" w:color="auto" w:fill="FFFF99"/>
            <w:vAlign w:val="center"/>
          </w:tcPr>
          <w:p w14:paraId="68F70E3C"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1729" w:type="pct"/>
            <w:shd w:val="clear" w:color="auto" w:fill="FFFF99"/>
            <w:vAlign w:val="center"/>
          </w:tcPr>
          <w:p w14:paraId="68EA130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 xml:space="preserve">Em relação aos às classes 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76E8B75A"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58CEE04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classes que possuem índice de referência de renda fixa: </w:t>
            </w:r>
            <w:r w:rsidRPr="0097459F">
              <w:rPr>
                <w:rFonts w:asciiTheme="minorHAnsi" w:hAnsiTheme="minorHAnsi" w:cstheme="minorHAnsi"/>
                <w:b/>
              </w:rPr>
              <w:t>Desempenho da classe como % do índice</w:t>
            </w:r>
          </w:p>
        </w:tc>
      </w:tr>
      <w:tr w:rsidR="00C20BBD" w:rsidRPr="0097459F" w14:paraId="2169AD0E" w14:textId="77777777" w:rsidTr="00ED0447">
        <w:tc>
          <w:tcPr>
            <w:tcW w:w="779" w:type="pct"/>
            <w:shd w:val="clear" w:color="auto" w:fill="DBE5F1"/>
            <w:vAlign w:val="center"/>
          </w:tcPr>
          <w:p w14:paraId="1F4FB2E7"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[Janeiro]</w:t>
            </w:r>
          </w:p>
        </w:tc>
        <w:tc>
          <w:tcPr>
            <w:tcW w:w="1246" w:type="pct"/>
            <w:vAlign w:val="center"/>
          </w:tcPr>
          <w:p w14:paraId="4F8F133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EE13A3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6184096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F996A85" w14:textId="77777777" w:rsidTr="00ED0447">
        <w:tc>
          <w:tcPr>
            <w:tcW w:w="779" w:type="pct"/>
            <w:shd w:val="clear" w:color="auto" w:fill="DBE5F1"/>
            <w:vAlign w:val="center"/>
          </w:tcPr>
          <w:p w14:paraId="6E20B67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[Fevereiro]</w:t>
            </w:r>
          </w:p>
        </w:tc>
        <w:tc>
          <w:tcPr>
            <w:tcW w:w="1246" w:type="pct"/>
            <w:vAlign w:val="center"/>
          </w:tcPr>
          <w:p w14:paraId="7805F9C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184B563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D37C55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5F83FCA" w14:textId="77777777" w:rsidTr="00ED0447">
        <w:tc>
          <w:tcPr>
            <w:tcW w:w="779" w:type="pct"/>
            <w:shd w:val="clear" w:color="auto" w:fill="DBE5F1"/>
            <w:vAlign w:val="center"/>
          </w:tcPr>
          <w:p w14:paraId="3B98761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[Março]</w:t>
            </w:r>
          </w:p>
        </w:tc>
        <w:tc>
          <w:tcPr>
            <w:tcW w:w="1246" w:type="pct"/>
            <w:vAlign w:val="center"/>
          </w:tcPr>
          <w:p w14:paraId="62F6267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182F921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403EF1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3FAED56" w14:textId="77777777" w:rsidTr="00ED0447">
        <w:tc>
          <w:tcPr>
            <w:tcW w:w="779" w:type="pct"/>
            <w:shd w:val="clear" w:color="auto" w:fill="DBE5F1"/>
            <w:vAlign w:val="center"/>
          </w:tcPr>
          <w:p w14:paraId="2FB3FAB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[Abril]</w:t>
            </w:r>
          </w:p>
        </w:tc>
        <w:tc>
          <w:tcPr>
            <w:tcW w:w="1246" w:type="pct"/>
            <w:vAlign w:val="center"/>
          </w:tcPr>
          <w:p w14:paraId="26A6A35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61D403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D997A7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AF2CCDC" w14:textId="77777777" w:rsidTr="00ED0447">
        <w:tc>
          <w:tcPr>
            <w:tcW w:w="779" w:type="pct"/>
            <w:shd w:val="clear" w:color="auto" w:fill="DBE5F1"/>
            <w:vAlign w:val="center"/>
          </w:tcPr>
          <w:p w14:paraId="6C6FBD2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[Maio]</w:t>
            </w:r>
          </w:p>
        </w:tc>
        <w:tc>
          <w:tcPr>
            <w:tcW w:w="1246" w:type="pct"/>
            <w:vAlign w:val="center"/>
          </w:tcPr>
          <w:p w14:paraId="15B7805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BC466D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8AA5E5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444F5EA" w14:textId="77777777" w:rsidTr="00ED0447">
        <w:tc>
          <w:tcPr>
            <w:tcW w:w="779" w:type="pct"/>
            <w:shd w:val="clear" w:color="auto" w:fill="DBE5F1"/>
            <w:vAlign w:val="center"/>
          </w:tcPr>
          <w:p w14:paraId="0FA9DAE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[Junho]</w:t>
            </w:r>
          </w:p>
        </w:tc>
        <w:tc>
          <w:tcPr>
            <w:tcW w:w="1246" w:type="pct"/>
            <w:vAlign w:val="center"/>
          </w:tcPr>
          <w:p w14:paraId="023EC41B"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CF5F58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42D9455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429295E" w14:textId="77777777" w:rsidTr="00ED0447">
        <w:tc>
          <w:tcPr>
            <w:tcW w:w="779" w:type="pct"/>
            <w:shd w:val="clear" w:color="auto" w:fill="DBE5F1"/>
            <w:vAlign w:val="center"/>
          </w:tcPr>
          <w:p w14:paraId="049AE26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[Julho]</w:t>
            </w:r>
          </w:p>
        </w:tc>
        <w:tc>
          <w:tcPr>
            <w:tcW w:w="1246" w:type="pct"/>
            <w:vAlign w:val="center"/>
          </w:tcPr>
          <w:p w14:paraId="44EC85C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0D5D10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65C0E54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9B0B1BC" w14:textId="77777777" w:rsidTr="00ED0447">
        <w:tc>
          <w:tcPr>
            <w:tcW w:w="779" w:type="pct"/>
            <w:shd w:val="clear" w:color="auto" w:fill="DBE5F1"/>
            <w:vAlign w:val="center"/>
          </w:tcPr>
          <w:p w14:paraId="2A24BAB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[Agosto]</w:t>
            </w:r>
          </w:p>
        </w:tc>
        <w:tc>
          <w:tcPr>
            <w:tcW w:w="1246" w:type="pct"/>
            <w:vAlign w:val="center"/>
          </w:tcPr>
          <w:p w14:paraId="5E1ACCF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53660E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5230155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FD23158" w14:textId="77777777" w:rsidTr="00ED0447">
        <w:tc>
          <w:tcPr>
            <w:tcW w:w="779" w:type="pct"/>
            <w:shd w:val="clear" w:color="auto" w:fill="DBE5F1"/>
            <w:vAlign w:val="center"/>
          </w:tcPr>
          <w:p w14:paraId="2A9F3311"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[Setembro]</w:t>
            </w:r>
          </w:p>
        </w:tc>
        <w:tc>
          <w:tcPr>
            <w:tcW w:w="1246" w:type="pct"/>
            <w:vAlign w:val="center"/>
          </w:tcPr>
          <w:p w14:paraId="3876EEB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5B1A12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4A801C8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B8DD94A" w14:textId="77777777" w:rsidTr="00ED0447">
        <w:tc>
          <w:tcPr>
            <w:tcW w:w="779" w:type="pct"/>
            <w:shd w:val="clear" w:color="auto" w:fill="DBE5F1"/>
            <w:vAlign w:val="center"/>
          </w:tcPr>
          <w:p w14:paraId="2DBBC474"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[Outubro]</w:t>
            </w:r>
          </w:p>
        </w:tc>
        <w:tc>
          <w:tcPr>
            <w:tcW w:w="1246" w:type="pct"/>
            <w:vAlign w:val="center"/>
          </w:tcPr>
          <w:p w14:paraId="176C54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31F4B131"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33E63F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62B6F47" w14:textId="77777777" w:rsidTr="00ED0447">
        <w:tc>
          <w:tcPr>
            <w:tcW w:w="779" w:type="pct"/>
            <w:shd w:val="clear" w:color="auto" w:fill="DBE5F1"/>
            <w:vAlign w:val="center"/>
          </w:tcPr>
          <w:p w14:paraId="6BD5CE9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[Novembro]</w:t>
            </w:r>
          </w:p>
        </w:tc>
        <w:tc>
          <w:tcPr>
            <w:tcW w:w="1246" w:type="pct"/>
            <w:vAlign w:val="center"/>
          </w:tcPr>
          <w:p w14:paraId="04624C9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A222F3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1C7A982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32F6200" w14:textId="77777777" w:rsidTr="00ED0447">
        <w:tc>
          <w:tcPr>
            <w:tcW w:w="779" w:type="pct"/>
            <w:shd w:val="clear" w:color="auto" w:fill="DBE5F1"/>
            <w:vAlign w:val="center"/>
          </w:tcPr>
          <w:p w14:paraId="6B58B43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[Dezembro]</w:t>
            </w:r>
          </w:p>
        </w:tc>
        <w:tc>
          <w:tcPr>
            <w:tcW w:w="1246" w:type="pct"/>
            <w:vAlign w:val="center"/>
          </w:tcPr>
          <w:p w14:paraId="4507398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4137319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D7601C8"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121B2FE4" w14:textId="77777777" w:rsidTr="00ED0447">
        <w:tc>
          <w:tcPr>
            <w:tcW w:w="779" w:type="pct"/>
            <w:shd w:val="clear" w:color="auto" w:fill="DBE5F1"/>
            <w:vAlign w:val="center"/>
          </w:tcPr>
          <w:p w14:paraId="3BCF55B8"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12 meses</w:t>
            </w:r>
          </w:p>
        </w:tc>
        <w:tc>
          <w:tcPr>
            <w:tcW w:w="1246" w:type="pct"/>
            <w:vAlign w:val="center"/>
          </w:tcPr>
          <w:p w14:paraId="1C1844C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47" w:type="pct"/>
            <w:vAlign w:val="center"/>
          </w:tcPr>
          <w:p w14:paraId="6A12F3A2"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729" w:type="pct"/>
            <w:vAlign w:val="center"/>
          </w:tcPr>
          <w:p w14:paraId="74198549"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80906BC"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4D542A05" w14:textId="77777777" w:rsidR="00C20BBD" w:rsidRPr="0097459F" w:rsidRDefault="00C20BBD" w:rsidP="00AF6767">
      <w:pPr>
        <w:tabs>
          <w:tab w:val="left" w:pos="1134"/>
        </w:tabs>
        <w:spacing w:after="0" w:line="240" w:lineRule="auto"/>
        <w:ind w:firstLine="709"/>
        <w:jc w:val="both"/>
        <w:rPr>
          <w:rFonts w:asciiTheme="minorHAnsi" w:hAnsiTheme="minorHAnsi" w:cstheme="minorHAnsi"/>
          <w:b/>
          <w:color w:val="000000"/>
          <w:sz w:val="24"/>
          <w:szCs w:val="24"/>
        </w:rPr>
      </w:pPr>
      <w:r w:rsidRPr="0097459F">
        <w:rPr>
          <w:rFonts w:asciiTheme="minorHAnsi" w:hAnsiTheme="minorHAnsi" w:cstheme="minorHAnsi"/>
          <w:color w:val="000000"/>
          <w:sz w:val="24"/>
          <w:szCs w:val="24"/>
        </w:rPr>
        <w:t>2.2</w:t>
      </w:r>
      <w:r w:rsidRPr="0097459F">
        <w:rPr>
          <w:rFonts w:asciiTheme="minorHAnsi" w:hAnsiTheme="minorHAnsi" w:cstheme="minorHAnsi"/>
          <w:b/>
          <w:color w:val="000000"/>
          <w:sz w:val="24"/>
          <w:szCs w:val="24"/>
        </w:rPr>
        <w:tab/>
        <w:t>Últimos 5 (cinco) anos:</w:t>
      </w:r>
    </w:p>
    <w:p w14:paraId="30DCE5D9"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2550"/>
        <w:gridCol w:w="2553"/>
        <w:gridCol w:w="3715"/>
      </w:tblGrid>
      <w:tr w:rsidR="00C20BBD" w:rsidRPr="0097459F" w14:paraId="3BF53D75" w14:textId="77777777" w:rsidTr="00ED0447">
        <w:tc>
          <w:tcPr>
            <w:tcW w:w="630" w:type="pct"/>
            <w:shd w:val="clear" w:color="auto" w:fill="FFFF99"/>
            <w:vAlign w:val="center"/>
          </w:tcPr>
          <w:p w14:paraId="256A7C1E"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Ano</w:t>
            </w:r>
          </w:p>
        </w:tc>
        <w:tc>
          <w:tcPr>
            <w:tcW w:w="1264" w:type="pct"/>
            <w:shd w:val="clear" w:color="auto" w:fill="FFFF99"/>
            <w:vAlign w:val="center"/>
          </w:tcPr>
          <w:p w14:paraId="01284CE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Rentabilidade (líquida de despesas, mas não de impostos)</w:t>
            </w:r>
          </w:p>
        </w:tc>
        <w:tc>
          <w:tcPr>
            <w:tcW w:w="1265" w:type="pct"/>
            <w:shd w:val="clear" w:color="auto" w:fill="FFFF99"/>
            <w:vAlign w:val="center"/>
          </w:tcPr>
          <w:p w14:paraId="021B6176"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b/>
              </w:rPr>
              <w:t xml:space="preserve">Variação percentual do [índice de referência] </w:t>
            </w:r>
            <w:r w:rsidRPr="0097459F">
              <w:rPr>
                <w:rFonts w:asciiTheme="minorHAnsi" w:hAnsiTheme="minorHAnsi" w:cstheme="minorHAnsi"/>
              </w:rPr>
              <w:t>(quando houver)</w:t>
            </w:r>
          </w:p>
        </w:tc>
        <w:tc>
          <w:tcPr>
            <w:tcW w:w="1841" w:type="pct"/>
            <w:shd w:val="clear" w:color="auto" w:fill="FFFF99"/>
            <w:vAlign w:val="center"/>
          </w:tcPr>
          <w:p w14:paraId="6F76A509"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color w:val="0D0D0D"/>
              </w:rPr>
              <w:t xml:space="preserve">Em relação às classes que possuem índice de referência de renda variável: </w:t>
            </w:r>
            <w:r w:rsidRPr="0097459F">
              <w:rPr>
                <w:rFonts w:asciiTheme="minorHAnsi" w:hAnsiTheme="minorHAnsi" w:cstheme="minorHAnsi"/>
                <w:b/>
                <w:color w:val="0D0D0D"/>
              </w:rPr>
              <w:t>Contribuição em relação ao índice (Rentabilidade – Rentabilidade do índice)</w:t>
            </w:r>
          </w:p>
          <w:p w14:paraId="35A64650" w14:textId="77777777" w:rsidR="00C20BBD" w:rsidRPr="0097459F" w:rsidRDefault="00C20BBD" w:rsidP="00AF6767">
            <w:pPr>
              <w:pStyle w:val="NormalWeb"/>
              <w:tabs>
                <w:tab w:val="num" w:pos="1440"/>
              </w:tabs>
              <w:spacing w:before="0" w:beforeAutospacing="0" w:after="0" w:afterAutospacing="0"/>
              <w:ind w:firstLine="709"/>
              <w:jc w:val="center"/>
              <w:rPr>
                <w:rFonts w:asciiTheme="minorHAnsi" w:hAnsiTheme="minorHAnsi" w:cstheme="minorHAnsi"/>
              </w:rPr>
            </w:pPr>
          </w:p>
          <w:p w14:paraId="46E435EA"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 xml:space="preserve">Em relação às classes que possuem índice de referência de renda fixa: </w:t>
            </w:r>
            <w:r w:rsidRPr="0097459F">
              <w:rPr>
                <w:rFonts w:asciiTheme="minorHAnsi" w:hAnsiTheme="minorHAnsi" w:cstheme="minorHAnsi"/>
                <w:b/>
              </w:rPr>
              <w:t>Desempenho da classe como % do índice</w:t>
            </w:r>
          </w:p>
        </w:tc>
      </w:tr>
      <w:tr w:rsidR="00C20BBD" w:rsidRPr="0097459F" w14:paraId="47E653EA" w14:textId="77777777" w:rsidTr="00ED0447">
        <w:tc>
          <w:tcPr>
            <w:tcW w:w="630" w:type="pct"/>
            <w:shd w:val="clear" w:color="auto" w:fill="DBE5F1"/>
            <w:vAlign w:val="center"/>
          </w:tcPr>
          <w:p w14:paraId="4A43771D"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[2019]</w:t>
            </w:r>
          </w:p>
        </w:tc>
        <w:tc>
          <w:tcPr>
            <w:tcW w:w="1264" w:type="pct"/>
            <w:vAlign w:val="center"/>
          </w:tcPr>
          <w:p w14:paraId="193D6390"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63213E7D"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0D671D9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50CC0D49" w14:textId="77777777" w:rsidTr="00ED0447">
        <w:tc>
          <w:tcPr>
            <w:tcW w:w="630" w:type="pct"/>
            <w:shd w:val="clear" w:color="auto" w:fill="DBE5F1"/>
            <w:vAlign w:val="center"/>
          </w:tcPr>
          <w:p w14:paraId="6A2E04BB"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[2018]</w:t>
            </w:r>
          </w:p>
        </w:tc>
        <w:tc>
          <w:tcPr>
            <w:tcW w:w="1264" w:type="pct"/>
            <w:vAlign w:val="center"/>
          </w:tcPr>
          <w:p w14:paraId="02787A24"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62F26263"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07B5495C"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28AA58B7" w14:textId="77777777" w:rsidTr="00ED0447">
        <w:tc>
          <w:tcPr>
            <w:tcW w:w="630" w:type="pct"/>
            <w:shd w:val="clear" w:color="auto" w:fill="DBE5F1"/>
            <w:vAlign w:val="center"/>
          </w:tcPr>
          <w:p w14:paraId="3F26929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[2017]</w:t>
            </w:r>
          </w:p>
        </w:tc>
        <w:tc>
          <w:tcPr>
            <w:tcW w:w="1264" w:type="pct"/>
            <w:vAlign w:val="center"/>
          </w:tcPr>
          <w:p w14:paraId="45D1B7D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198693E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5AE5458F"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772A3D1A" w14:textId="77777777" w:rsidTr="00ED0447">
        <w:tc>
          <w:tcPr>
            <w:tcW w:w="630" w:type="pct"/>
            <w:shd w:val="clear" w:color="auto" w:fill="DBE5F1"/>
            <w:vAlign w:val="center"/>
          </w:tcPr>
          <w:p w14:paraId="2A1A2F30"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[2016]</w:t>
            </w:r>
          </w:p>
        </w:tc>
        <w:tc>
          <w:tcPr>
            <w:tcW w:w="1264" w:type="pct"/>
            <w:vAlign w:val="center"/>
          </w:tcPr>
          <w:p w14:paraId="4990FB96"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5A107757"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44BF3A3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r w:rsidR="00C20BBD" w:rsidRPr="0097459F" w14:paraId="33861AC2" w14:textId="77777777" w:rsidTr="00ED0447">
        <w:tc>
          <w:tcPr>
            <w:tcW w:w="630" w:type="pct"/>
            <w:shd w:val="clear" w:color="auto" w:fill="DBE5F1"/>
            <w:vAlign w:val="center"/>
          </w:tcPr>
          <w:p w14:paraId="2A7713D2" w14:textId="77777777" w:rsidR="00C20BBD" w:rsidRPr="0097459F" w:rsidRDefault="00C20BBD" w:rsidP="00AF6767">
            <w:pPr>
              <w:pStyle w:val="NormalWeb"/>
              <w:tabs>
                <w:tab w:val="num" w:pos="1440"/>
              </w:tabs>
              <w:spacing w:before="0" w:beforeAutospacing="0" w:after="0" w:afterAutospacing="0"/>
              <w:rPr>
                <w:rFonts w:asciiTheme="minorHAnsi" w:hAnsiTheme="minorHAnsi" w:cstheme="minorHAnsi"/>
              </w:rPr>
            </w:pPr>
            <w:r w:rsidRPr="0097459F">
              <w:rPr>
                <w:rFonts w:asciiTheme="minorHAnsi" w:hAnsiTheme="minorHAnsi" w:cstheme="minorHAnsi"/>
              </w:rPr>
              <w:t>[2015]</w:t>
            </w:r>
          </w:p>
        </w:tc>
        <w:tc>
          <w:tcPr>
            <w:tcW w:w="1264" w:type="pct"/>
            <w:vAlign w:val="center"/>
          </w:tcPr>
          <w:p w14:paraId="35401F0E"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265" w:type="pct"/>
            <w:vAlign w:val="center"/>
          </w:tcPr>
          <w:p w14:paraId="77F425AA"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c>
          <w:tcPr>
            <w:tcW w:w="1841" w:type="pct"/>
            <w:vAlign w:val="center"/>
          </w:tcPr>
          <w:p w14:paraId="6C55D2D5" w14:textId="77777777" w:rsidR="00C20BBD" w:rsidRPr="0097459F" w:rsidRDefault="00C20BBD" w:rsidP="00AF6767">
            <w:pPr>
              <w:pStyle w:val="NormalWeb"/>
              <w:tabs>
                <w:tab w:val="num" w:pos="1440"/>
              </w:tabs>
              <w:spacing w:before="0" w:beforeAutospacing="0" w:after="0" w:afterAutospacing="0"/>
              <w:ind w:firstLine="709"/>
              <w:rPr>
                <w:rFonts w:asciiTheme="minorHAnsi" w:hAnsiTheme="minorHAnsi" w:cstheme="minorHAnsi"/>
              </w:rPr>
            </w:pPr>
          </w:p>
        </w:tc>
      </w:tr>
    </w:tbl>
    <w:p w14:paraId="3ABD552D"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0C796AE1" w14:textId="45ADCC9E" w:rsidR="00C20BBD" w:rsidRPr="0097459F" w:rsidRDefault="00C20BBD" w:rsidP="00AF6767">
      <w:pPr>
        <w:spacing w:after="0" w:line="240" w:lineRule="auto"/>
        <w:ind w:firstLine="709"/>
        <w:jc w:val="both"/>
        <w:rPr>
          <w:rFonts w:asciiTheme="minorHAnsi" w:eastAsia="Arial Unicode MS" w:hAnsiTheme="minorHAnsi" w:cstheme="minorHAnsi"/>
          <w:color w:val="000000"/>
          <w:sz w:val="24"/>
          <w:szCs w:val="24"/>
        </w:rPr>
      </w:pPr>
      <w:r w:rsidRPr="0097459F">
        <w:rPr>
          <w:rFonts w:asciiTheme="minorHAnsi" w:eastAsia="Arial Unicode MS" w:hAnsiTheme="minorHAnsi" w:cstheme="minorHAnsi"/>
          <w:color w:val="000000" w:themeColor="text1"/>
          <w:sz w:val="24"/>
          <w:szCs w:val="24"/>
        </w:rPr>
        <w:t>O fundo ou a classe de cotas que destinar quantias diretamente aos cotistas, nos termos do art.</w:t>
      </w:r>
      <w:r w:rsidR="00BB2439">
        <w:rPr>
          <w:rFonts w:asciiTheme="minorHAnsi" w:eastAsia="Arial Unicode MS" w:hAnsiTheme="minorHAnsi" w:cstheme="minorHAnsi"/>
          <w:color w:val="000000" w:themeColor="text1"/>
          <w:sz w:val="24"/>
          <w:szCs w:val="24"/>
        </w:rPr>
        <w:t>36</w:t>
      </w:r>
      <w:r w:rsidRPr="0097459F">
        <w:rPr>
          <w:rFonts w:asciiTheme="minorHAnsi" w:eastAsia="Arial Unicode MS" w:hAnsiTheme="minorHAnsi" w:cstheme="minorHAnsi"/>
          <w:color w:val="000000" w:themeColor="text1"/>
          <w:sz w:val="24"/>
          <w:szCs w:val="24"/>
        </w:rPr>
        <w:t>, do Anexo Normativo I, ou realizar a amortização de cotas deve incluir, às tabelas dos itens 2.1 e 2.2, coluna para divulgar a rentabilidade ajustada pela destinação de referidas quantias, agregando os recursos distribuídos e/ou as cotas emitidas à rentabilidade.</w:t>
      </w:r>
    </w:p>
    <w:p w14:paraId="2905F0D0" w14:textId="77777777" w:rsidR="00C20BBD" w:rsidRPr="0097459F" w:rsidRDefault="00C20BBD" w:rsidP="00AF6767">
      <w:pPr>
        <w:spacing w:after="0" w:line="240" w:lineRule="auto"/>
        <w:ind w:firstLine="709"/>
        <w:jc w:val="both"/>
        <w:rPr>
          <w:rFonts w:asciiTheme="minorHAnsi" w:hAnsiTheme="minorHAnsi" w:cstheme="minorHAnsi"/>
          <w:b/>
          <w:color w:val="000000"/>
          <w:sz w:val="24"/>
          <w:szCs w:val="24"/>
        </w:rPr>
      </w:pPr>
    </w:p>
    <w:p w14:paraId="63F42271" w14:textId="3624C61C" w:rsidR="00C20BBD" w:rsidRPr="0097459F" w:rsidRDefault="00C20BBD">
      <w:pPr>
        <w:pStyle w:val="NormalWeb"/>
        <w:numPr>
          <w:ilvl w:val="0"/>
          <w:numId w:val="6"/>
        </w:numPr>
        <w:spacing w:before="0" w:beforeAutospacing="0" w:after="0" w:afterAutospacing="0"/>
        <w:ind w:left="0" w:firstLine="709"/>
        <w:jc w:val="both"/>
        <w:rPr>
          <w:rFonts w:asciiTheme="minorHAnsi" w:hAnsiTheme="minorHAnsi" w:cstheme="minorHAnsi"/>
          <w:b/>
          <w:bCs/>
        </w:rPr>
      </w:pPr>
      <w:r w:rsidRPr="0097459F">
        <w:rPr>
          <w:rFonts w:asciiTheme="minorHAnsi" w:hAnsiTheme="minorHAnsi" w:cstheme="minorHAnsi"/>
          <w:b/>
          <w:bCs/>
        </w:rPr>
        <w:t>Despesas do fundo ou da classe de cotas</w:t>
      </w:r>
      <w:r w:rsidRPr="0097459F">
        <w:rPr>
          <w:rFonts w:asciiTheme="minorHAnsi" w:hAnsiTheme="minorHAnsi" w:cstheme="minorHAnsi"/>
        </w:rPr>
        <w:t>: as despesas apresentadas na tabela abaixo são debitadas diretamente do patrimônio [do fundo] ou [da classe de cotas] e reduzem a sua rentabilidade.  A taxa de despesas é baseada nas despesas ocorridas entre [●] e [●]</w:t>
      </w:r>
      <w:r w:rsidR="00DE19FE" w:rsidRPr="0097459F">
        <w:rPr>
          <w:rStyle w:val="Refdenotaderodap"/>
          <w:rFonts w:asciiTheme="minorHAnsi" w:hAnsiTheme="minorHAnsi" w:cstheme="minorHAnsi"/>
        </w:rPr>
        <w:footnoteReference w:id="15"/>
      </w:r>
      <w:r w:rsidR="00DE19FE" w:rsidRPr="0097459F">
        <w:rPr>
          <w:rFonts w:asciiTheme="minorHAnsi" w:hAnsiTheme="minorHAnsi" w:cstheme="minorHAnsi"/>
        </w:rPr>
        <w:t>.</w:t>
      </w:r>
      <w:r w:rsidRPr="0097459F">
        <w:rPr>
          <w:rFonts w:asciiTheme="minorHAnsi" w:hAnsiTheme="minorHAnsi" w:cstheme="minorHAnsi"/>
        </w:rPr>
        <w:t xml:space="preserve"> A taxa de despesas pode variar de período para período.</w:t>
      </w:r>
    </w:p>
    <w:p w14:paraId="27DA42D0"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8"/>
        <w:gridCol w:w="2305"/>
        <w:gridCol w:w="3172"/>
      </w:tblGrid>
      <w:tr w:rsidR="00C20BBD" w:rsidRPr="0097459F" w14:paraId="779B8081" w14:textId="77777777" w:rsidTr="00ED0447">
        <w:tc>
          <w:tcPr>
            <w:tcW w:w="0" w:type="auto"/>
            <w:gridSpan w:val="2"/>
            <w:shd w:val="clear" w:color="auto" w:fill="D9D9D9"/>
            <w:vAlign w:val="center"/>
          </w:tcPr>
          <w:p w14:paraId="7B41DF6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w:t>
            </w:r>
          </w:p>
        </w:tc>
        <w:tc>
          <w:tcPr>
            <w:tcW w:w="0" w:type="auto"/>
            <w:shd w:val="clear" w:color="auto" w:fill="D9D9D9"/>
            <w:vAlign w:val="center"/>
          </w:tcPr>
          <w:p w14:paraId="29247B50"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Percentual em relação ao patrimônio líquido diário médio em [●]</w:t>
            </w:r>
          </w:p>
        </w:tc>
      </w:tr>
      <w:tr w:rsidR="00C20BBD" w:rsidRPr="0097459F" w14:paraId="70C78240" w14:textId="77777777" w:rsidTr="00ED0447">
        <w:tc>
          <w:tcPr>
            <w:tcW w:w="0" w:type="auto"/>
            <w:gridSpan w:val="2"/>
            <w:shd w:val="clear" w:color="auto" w:fill="auto"/>
            <w:vAlign w:val="center"/>
          </w:tcPr>
          <w:p w14:paraId="239DC9E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 (inclui as taxas de administração de outros fundos em que esta classe tenha investido)</w:t>
            </w:r>
          </w:p>
        </w:tc>
        <w:tc>
          <w:tcPr>
            <w:tcW w:w="0" w:type="auto"/>
            <w:shd w:val="clear" w:color="auto" w:fill="auto"/>
            <w:vAlign w:val="center"/>
          </w:tcPr>
          <w:p w14:paraId="77577244"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03C76001" w14:textId="77777777" w:rsidTr="00ED0447">
        <w:trPr>
          <w:trHeight w:val="787"/>
        </w:trPr>
        <w:tc>
          <w:tcPr>
            <w:tcW w:w="0" w:type="auto"/>
            <w:vMerge w:val="restart"/>
            <w:vAlign w:val="center"/>
          </w:tcPr>
          <w:p w14:paraId="30DCD2A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gestão (inclui as taxas de gestão e, se for o caso, de outros fundos em que esta classe tenha investido)</w:t>
            </w:r>
          </w:p>
        </w:tc>
        <w:tc>
          <w:tcPr>
            <w:tcW w:w="0" w:type="auto"/>
            <w:vAlign w:val="center"/>
          </w:tcPr>
          <w:p w14:paraId="228A1ED2"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Parte fixa</w:t>
            </w:r>
          </w:p>
        </w:tc>
        <w:tc>
          <w:tcPr>
            <w:tcW w:w="0" w:type="auto"/>
          </w:tcPr>
          <w:p w14:paraId="27CD2313"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7ABFB6D8" w14:textId="77777777" w:rsidTr="00ED0447">
        <w:trPr>
          <w:trHeight w:val="133"/>
        </w:trPr>
        <w:tc>
          <w:tcPr>
            <w:tcW w:w="0" w:type="auto"/>
            <w:vMerge/>
          </w:tcPr>
          <w:p w14:paraId="12BAC083"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0" w:type="auto"/>
            <w:vAlign w:val="center"/>
          </w:tcPr>
          <w:p w14:paraId="21781345"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Parte variável (taxa de performance)</w:t>
            </w:r>
          </w:p>
        </w:tc>
        <w:tc>
          <w:tcPr>
            <w:tcW w:w="0" w:type="auto"/>
          </w:tcPr>
          <w:p w14:paraId="168801F4"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61F7ABFD" w14:textId="77777777" w:rsidTr="00ED0447">
        <w:trPr>
          <w:trHeight w:val="701"/>
        </w:trPr>
        <w:tc>
          <w:tcPr>
            <w:tcW w:w="0" w:type="auto"/>
            <w:gridSpan w:val="2"/>
            <w:vAlign w:val="center"/>
          </w:tcPr>
          <w:p w14:paraId="27D6681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Custódia</w:t>
            </w:r>
          </w:p>
        </w:tc>
        <w:tc>
          <w:tcPr>
            <w:tcW w:w="0" w:type="auto"/>
          </w:tcPr>
          <w:p w14:paraId="676327B8"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6589D0F7" w14:textId="77777777" w:rsidTr="00ED0447">
        <w:trPr>
          <w:trHeight w:val="701"/>
        </w:trPr>
        <w:tc>
          <w:tcPr>
            <w:tcW w:w="0" w:type="auto"/>
            <w:gridSpan w:val="2"/>
            <w:vAlign w:val="center"/>
          </w:tcPr>
          <w:p w14:paraId="758DE332"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Outras despesas</w:t>
            </w:r>
          </w:p>
        </w:tc>
        <w:tc>
          <w:tcPr>
            <w:tcW w:w="0" w:type="auto"/>
          </w:tcPr>
          <w:p w14:paraId="5F51F0A5"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75217244" w14:textId="77777777" w:rsidTr="00ED0447">
        <w:trPr>
          <w:trHeight w:val="698"/>
        </w:trPr>
        <w:tc>
          <w:tcPr>
            <w:tcW w:w="0" w:type="auto"/>
            <w:gridSpan w:val="2"/>
            <w:vAlign w:val="center"/>
          </w:tcPr>
          <w:p w14:paraId="73228A90"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0" w:type="auto"/>
          </w:tcPr>
          <w:p w14:paraId="0F2AB9AA" w14:textId="77777777" w:rsidR="00C20BBD" w:rsidRPr="0097459F" w:rsidRDefault="00C20BBD" w:rsidP="00AF6767">
            <w:pPr>
              <w:spacing w:after="0" w:line="240" w:lineRule="auto"/>
              <w:ind w:firstLine="709"/>
              <w:rPr>
                <w:rFonts w:asciiTheme="minorHAnsi" w:hAnsiTheme="minorHAnsi" w:cstheme="minorHAnsi"/>
                <w:sz w:val="24"/>
                <w:szCs w:val="24"/>
              </w:rPr>
            </w:pPr>
          </w:p>
        </w:tc>
      </w:tr>
    </w:tbl>
    <w:p w14:paraId="1F298DCC" w14:textId="77777777" w:rsidR="00C20BBD" w:rsidRPr="0097459F" w:rsidRDefault="00C20BBD" w:rsidP="00AF6767">
      <w:pPr>
        <w:spacing w:after="0" w:line="240" w:lineRule="auto"/>
        <w:ind w:firstLine="709"/>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3992"/>
        <w:gridCol w:w="3089"/>
        <w:gridCol w:w="3114"/>
      </w:tblGrid>
      <w:tr w:rsidR="00C20BBD" w:rsidRPr="0097459F" w14:paraId="3F0FAEA6" w14:textId="77777777" w:rsidTr="00ED0447">
        <w:tc>
          <w:tcPr>
            <w:tcW w:w="3473" w:type="pct"/>
            <w:gridSpan w:val="2"/>
            <w:tcBorders>
              <w:bottom w:val="single" w:sz="4" w:space="0" w:color="auto"/>
            </w:tcBorders>
            <w:shd w:val="clear" w:color="auto" w:fill="D9D9D9"/>
            <w:vAlign w:val="center"/>
          </w:tcPr>
          <w:p w14:paraId="18317E9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pagas ao grupo econômico do administrador (e do gestor, se este pertencer a grupo diferente) </w:t>
            </w:r>
          </w:p>
        </w:tc>
        <w:tc>
          <w:tcPr>
            <w:tcW w:w="1527" w:type="pct"/>
            <w:tcBorders>
              <w:bottom w:val="single" w:sz="4" w:space="0" w:color="auto"/>
            </w:tcBorders>
            <w:shd w:val="clear" w:color="auto" w:fill="D9D9D9"/>
          </w:tcPr>
          <w:p w14:paraId="3DD2122A"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Percentual em relação à taxa de despesas (item 3) em [●]</w:t>
            </w:r>
          </w:p>
        </w:tc>
      </w:tr>
      <w:tr w:rsidR="00C20BBD" w:rsidRPr="0097459F" w14:paraId="0B70450C" w14:textId="77777777" w:rsidTr="00ED0447">
        <w:trPr>
          <w:trHeight w:val="596"/>
        </w:trPr>
        <w:tc>
          <w:tcPr>
            <w:tcW w:w="1958" w:type="pct"/>
            <w:vMerge w:val="restart"/>
            <w:shd w:val="clear" w:color="auto" w:fill="auto"/>
            <w:vAlign w:val="center"/>
          </w:tcPr>
          <w:p w14:paraId="57ABE48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Despesas totais pagas ao grupo econômico do administrador </w:t>
            </w:r>
          </w:p>
        </w:tc>
        <w:tc>
          <w:tcPr>
            <w:tcW w:w="1515" w:type="pct"/>
            <w:shd w:val="clear" w:color="auto" w:fill="auto"/>
            <w:vAlign w:val="center"/>
          </w:tcPr>
          <w:p w14:paraId="786B0128"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1527" w:type="pct"/>
            <w:shd w:val="clear" w:color="auto" w:fill="auto"/>
          </w:tcPr>
          <w:p w14:paraId="3C184DDF"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46D270B" w14:textId="77777777" w:rsidTr="00ED0447">
        <w:trPr>
          <w:trHeight w:val="596"/>
        </w:trPr>
        <w:tc>
          <w:tcPr>
            <w:tcW w:w="1958" w:type="pct"/>
            <w:vMerge/>
            <w:shd w:val="clear" w:color="auto" w:fill="auto"/>
            <w:vAlign w:val="center"/>
          </w:tcPr>
          <w:p w14:paraId="6D159973"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70ACC48A"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Taxas de gestão e performance</w:t>
            </w:r>
          </w:p>
        </w:tc>
        <w:tc>
          <w:tcPr>
            <w:tcW w:w="1527" w:type="pct"/>
            <w:shd w:val="clear" w:color="auto" w:fill="auto"/>
          </w:tcPr>
          <w:p w14:paraId="2EFCD466"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2C78E18B" w14:textId="77777777" w:rsidTr="00ED0447">
        <w:trPr>
          <w:trHeight w:val="596"/>
        </w:trPr>
        <w:tc>
          <w:tcPr>
            <w:tcW w:w="1958" w:type="pct"/>
            <w:vMerge/>
            <w:shd w:val="clear" w:color="auto" w:fill="auto"/>
            <w:vAlign w:val="center"/>
          </w:tcPr>
          <w:p w14:paraId="5A7FB09A"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6FA6FB74"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custódia</w:t>
            </w:r>
          </w:p>
        </w:tc>
        <w:tc>
          <w:tcPr>
            <w:tcW w:w="1527" w:type="pct"/>
            <w:shd w:val="clear" w:color="auto" w:fill="auto"/>
          </w:tcPr>
          <w:p w14:paraId="7409867A"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01663D0F" w14:textId="77777777" w:rsidTr="00ED0447">
        <w:trPr>
          <w:trHeight w:val="243"/>
        </w:trPr>
        <w:tc>
          <w:tcPr>
            <w:tcW w:w="1958" w:type="pct"/>
            <w:vMerge/>
            <w:shd w:val="clear" w:color="auto" w:fill="auto"/>
            <w:vAlign w:val="center"/>
          </w:tcPr>
          <w:p w14:paraId="347168A4"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vAlign w:val="center"/>
          </w:tcPr>
          <w:p w14:paraId="7DC8189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operacionais e de outros serviços</w:t>
            </w:r>
          </w:p>
        </w:tc>
        <w:tc>
          <w:tcPr>
            <w:tcW w:w="1527" w:type="pct"/>
            <w:shd w:val="clear" w:color="auto" w:fill="auto"/>
          </w:tcPr>
          <w:p w14:paraId="00636D56"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2A550E9" w14:textId="77777777" w:rsidTr="00ED0447">
        <w:trPr>
          <w:trHeight w:val="600"/>
        </w:trPr>
        <w:tc>
          <w:tcPr>
            <w:tcW w:w="1958" w:type="pct"/>
            <w:vMerge w:val="restart"/>
            <w:shd w:val="clear" w:color="auto" w:fill="auto"/>
            <w:vAlign w:val="center"/>
          </w:tcPr>
          <w:p w14:paraId="4A41207F" w14:textId="08B4900C" w:rsidR="00DE19FE"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pagas ao grupo econômico do gestor</w:t>
            </w:r>
            <w:r w:rsidR="00DE19FE" w:rsidRPr="0097459F">
              <w:rPr>
                <w:rStyle w:val="Refdenotaderodap"/>
                <w:rFonts w:asciiTheme="minorHAnsi" w:hAnsiTheme="minorHAnsi" w:cstheme="minorHAnsi"/>
                <w:b/>
                <w:sz w:val="24"/>
                <w:szCs w:val="24"/>
              </w:rPr>
              <w:footnoteReference w:id="16"/>
            </w:r>
          </w:p>
        </w:tc>
        <w:tc>
          <w:tcPr>
            <w:tcW w:w="1515" w:type="pct"/>
            <w:shd w:val="clear" w:color="auto" w:fill="auto"/>
            <w:vAlign w:val="center"/>
          </w:tcPr>
          <w:p w14:paraId="3F888B4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Taxas de gestão e performance</w:t>
            </w:r>
          </w:p>
        </w:tc>
        <w:tc>
          <w:tcPr>
            <w:tcW w:w="1527" w:type="pct"/>
            <w:shd w:val="clear" w:color="auto" w:fill="auto"/>
          </w:tcPr>
          <w:p w14:paraId="745316F9"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47B512F1" w14:textId="77777777" w:rsidTr="00ED0447">
        <w:trPr>
          <w:trHeight w:val="133"/>
        </w:trPr>
        <w:tc>
          <w:tcPr>
            <w:tcW w:w="1958" w:type="pct"/>
            <w:vMerge/>
            <w:shd w:val="clear" w:color="auto" w:fill="auto"/>
          </w:tcPr>
          <w:p w14:paraId="0B1DB744" w14:textId="77777777" w:rsidR="00C20BBD" w:rsidRPr="0097459F" w:rsidRDefault="00C20BBD" w:rsidP="00AF6767">
            <w:pPr>
              <w:spacing w:after="0" w:line="240" w:lineRule="auto"/>
              <w:ind w:firstLine="709"/>
              <w:rPr>
                <w:rFonts w:asciiTheme="minorHAnsi" w:hAnsiTheme="minorHAnsi" w:cstheme="minorHAnsi"/>
                <w:sz w:val="24"/>
                <w:szCs w:val="24"/>
              </w:rPr>
            </w:pPr>
          </w:p>
        </w:tc>
        <w:tc>
          <w:tcPr>
            <w:tcW w:w="1515" w:type="pct"/>
            <w:shd w:val="clear" w:color="auto" w:fill="auto"/>
          </w:tcPr>
          <w:p w14:paraId="0E0C5D29"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Despesas operacionais e de outros serviços</w:t>
            </w:r>
          </w:p>
        </w:tc>
        <w:tc>
          <w:tcPr>
            <w:tcW w:w="1527" w:type="pct"/>
            <w:shd w:val="clear" w:color="auto" w:fill="auto"/>
          </w:tcPr>
          <w:p w14:paraId="0B5E9CE1" w14:textId="77777777" w:rsidR="00C20BBD" w:rsidRPr="0097459F" w:rsidRDefault="00C20BBD" w:rsidP="00AF6767">
            <w:pPr>
              <w:spacing w:after="0" w:line="240" w:lineRule="auto"/>
              <w:ind w:firstLine="709"/>
              <w:rPr>
                <w:rFonts w:asciiTheme="minorHAnsi" w:hAnsiTheme="minorHAnsi" w:cstheme="minorHAnsi"/>
                <w:sz w:val="24"/>
                <w:szCs w:val="24"/>
              </w:rPr>
            </w:pPr>
          </w:p>
        </w:tc>
      </w:tr>
      <w:tr w:rsidR="00C20BBD" w:rsidRPr="0097459F" w14:paraId="3130CC1E" w14:textId="77777777" w:rsidTr="00ED0447">
        <w:trPr>
          <w:trHeight w:val="603"/>
        </w:trPr>
        <w:tc>
          <w:tcPr>
            <w:tcW w:w="3473" w:type="pct"/>
            <w:gridSpan w:val="2"/>
            <w:shd w:val="clear" w:color="auto" w:fill="auto"/>
            <w:vAlign w:val="center"/>
          </w:tcPr>
          <w:p w14:paraId="08A4920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TOTAL</w:t>
            </w:r>
          </w:p>
        </w:tc>
        <w:tc>
          <w:tcPr>
            <w:tcW w:w="1527" w:type="pct"/>
            <w:shd w:val="clear" w:color="auto" w:fill="auto"/>
          </w:tcPr>
          <w:p w14:paraId="2C82CE4B" w14:textId="77777777" w:rsidR="00C20BBD" w:rsidRPr="0097459F" w:rsidRDefault="00C20BBD" w:rsidP="00AF6767">
            <w:pPr>
              <w:spacing w:after="0" w:line="240" w:lineRule="auto"/>
              <w:ind w:firstLine="709"/>
              <w:rPr>
                <w:rFonts w:asciiTheme="minorHAnsi" w:hAnsiTheme="minorHAnsi" w:cstheme="minorHAnsi"/>
                <w:sz w:val="24"/>
                <w:szCs w:val="24"/>
              </w:rPr>
            </w:pPr>
          </w:p>
        </w:tc>
      </w:tr>
    </w:tbl>
    <w:p w14:paraId="38136F91" w14:textId="77777777" w:rsidR="00C20BBD" w:rsidRPr="0097459F" w:rsidRDefault="00C20BBD" w:rsidP="00AF6767">
      <w:pPr>
        <w:spacing w:after="0" w:line="240" w:lineRule="auto"/>
        <w:ind w:firstLine="709"/>
        <w:rPr>
          <w:rFonts w:asciiTheme="minorHAnsi" w:hAnsiTheme="minorHAnsi" w:cstheme="minorHAnsi"/>
          <w:sz w:val="24"/>
          <w:szCs w:val="24"/>
        </w:rPr>
      </w:pPr>
    </w:p>
    <w:p w14:paraId="5CABF14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4.EXEMPLO COMPARATIVO: utilize a informação do exemplo abaixo para comparar os custos e os benefícios de investir nesta classe de cotas com os de investir em outras classes.</w:t>
      </w:r>
    </w:p>
    <w:p w14:paraId="4B5333D0" w14:textId="77777777" w:rsidR="00C20BBD" w:rsidRPr="0097459F" w:rsidRDefault="00C20BBD" w:rsidP="00AF6767">
      <w:pPr>
        <w:spacing w:after="0" w:line="240" w:lineRule="auto"/>
        <w:ind w:firstLine="709"/>
        <w:rPr>
          <w:rFonts w:asciiTheme="minorHAnsi" w:hAnsiTheme="minorHAnsi" w:cstheme="minorHAnsi"/>
          <w:sz w:val="24"/>
          <w:szCs w:val="24"/>
        </w:rPr>
      </w:pPr>
    </w:p>
    <w:p w14:paraId="51F78D4D" w14:textId="77777777" w:rsidR="00C20BBD" w:rsidRPr="0097459F" w:rsidRDefault="00C20BBD" w:rsidP="00AF6767">
      <w:pPr>
        <w:spacing w:after="0" w:line="240" w:lineRule="auto"/>
        <w:ind w:firstLine="709"/>
        <w:rPr>
          <w:rFonts w:asciiTheme="minorHAnsi" w:hAnsiTheme="minorHAnsi" w:cstheme="minorHAnsi"/>
          <w:sz w:val="24"/>
          <w:szCs w:val="24"/>
        </w:rPr>
      </w:pPr>
      <w:r w:rsidRPr="0097459F">
        <w:rPr>
          <w:rFonts w:asciiTheme="minorHAnsi" w:hAnsiTheme="minorHAnsi" w:cstheme="minorHAnsi"/>
          <w:sz w:val="24"/>
          <w:szCs w:val="24"/>
        </w:rPr>
        <w:t xml:space="preserve">Rentabilidade: Se você tivesse aplicado R$ 1.000,00 (mil reais) [no fundo] ou [na classe de cotas] no primeiro dia útil de [ano a que se refere a demonstração] e não houvesse realizado outras aplicações, nem solicitado resgates durante o ano, no primeiro dia útil de [ano a que se refere a demonstração +1], você poderia resgatar R$[●], já deduzidos impostos no valor de R$[●]. </w:t>
      </w:r>
    </w:p>
    <w:p w14:paraId="20F49B8A" w14:textId="77777777" w:rsidR="00C20BBD" w:rsidRPr="0097459F" w:rsidRDefault="00C20BBD" w:rsidP="00AF6767">
      <w:pPr>
        <w:spacing w:after="0" w:line="240" w:lineRule="auto"/>
        <w:ind w:firstLine="709"/>
        <w:jc w:val="both"/>
        <w:rPr>
          <w:rFonts w:asciiTheme="minorHAnsi" w:hAnsiTheme="minorHAnsi" w:cstheme="minorHAnsi"/>
          <w:b/>
          <w:sz w:val="24"/>
          <w:szCs w:val="24"/>
        </w:rPr>
      </w:pPr>
    </w:p>
    <w:p w14:paraId="62FFCB6E"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lastRenderedPageBreak/>
        <w:t>[</w:t>
      </w:r>
      <w:r w:rsidRPr="0097459F">
        <w:rPr>
          <w:rFonts w:asciiTheme="minorHAnsi" w:hAnsiTheme="minorHAnsi" w:cstheme="minorHAnsi"/>
          <w:i/>
          <w:sz w:val="24"/>
          <w:szCs w:val="24"/>
        </w:rPr>
        <w:t>adicionar, quando houver:</w:t>
      </w:r>
      <w:r w:rsidRPr="0097459F">
        <w:rPr>
          <w:rFonts w:asciiTheme="minorHAnsi" w:hAnsiTheme="minorHAnsi" w:cstheme="minorHAnsi"/>
          <w:sz w:val="24"/>
          <w:szCs w:val="24"/>
        </w:rPr>
        <w:t>] A taxa de ingresso teria custado R$[●], a taxa de saída teria custado R$[●], o ajuste sobre performance individual teria custado R$[●].</w:t>
      </w:r>
    </w:p>
    <w:p w14:paraId="0A2C340C" w14:textId="77777777" w:rsidR="00C20BBD" w:rsidRPr="0097459F" w:rsidRDefault="00C20BBD" w:rsidP="00AF6767">
      <w:pPr>
        <w:spacing w:after="0" w:line="240" w:lineRule="auto"/>
        <w:ind w:firstLine="709"/>
        <w:jc w:val="both"/>
        <w:rPr>
          <w:rFonts w:asciiTheme="minorHAnsi" w:hAnsiTheme="minorHAnsi" w:cstheme="minorHAnsi"/>
          <w:b/>
          <w:sz w:val="24"/>
          <w:szCs w:val="24"/>
        </w:rPr>
      </w:pPr>
    </w:p>
    <w:p w14:paraId="5CD57837"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Despesas: </w:t>
      </w:r>
      <w:r w:rsidRPr="0097459F">
        <w:rPr>
          <w:rFonts w:asciiTheme="minorHAnsi" w:hAnsiTheme="minorHAnsi" w:cstheme="minorHAnsi"/>
          <w:sz w:val="24"/>
          <w:szCs w:val="24"/>
        </w:rPr>
        <w:t xml:space="preserve">As despesas [do fundo] ou [da classe de cotas], incluindo a taxa de administração, as taxas de gestão e performance (se houver), a taxa de custódia e as despesas operacionais e de serviços teriam custado R$[●]. </w:t>
      </w:r>
    </w:p>
    <w:p w14:paraId="0471B73E"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98F7029" w14:textId="0EDE4CEF"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5.</w:t>
      </w:r>
      <w:r w:rsidRPr="0097459F">
        <w:rPr>
          <w:rFonts w:asciiTheme="minorHAnsi" w:hAnsiTheme="minorHAnsi" w:cstheme="minorHAnsi"/>
        </w:rPr>
        <w:tab/>
      </w:r>
      <w:r w:rsidRPr="0097459F">
        <w:rPr>
          <w:rFonts w:asciiTheme="minorHAnsi" w:hAnsiTheme="minorHAnsi" w:cstheme="minorHAnsi"/>
          <w:b/>
          <w:bCs/>
        </w:rPr>
        <w:t>SIMULAÇÃO DE DESPESAS:</w:t>
      </w:r>
      <w:r w:rsidR="00DE19FE" w:rsidRPr="0097459F">
        <w:rPr>
          <w:rStyle w:val="Refdenotaderodap"/>
          <w:rFonts w:asciiTheme="minorHAnsi" w:hAnsiTheme="minorHAnsi" w:cstheme="minorHAnsi"/>
        </w:rPr>
        <w:footnoteReference w:id="17"/>
      </w:r>
      <w:r w:rsidR="00DE19FE" w:rsidRPr="0097459F">
        <w:rPr>
          <w:rFonts w:asciiTheme="minorHAnsi" w:hAnsiTheme="minorHAnsi" w:cstheme="minorHAnsi"/>
          <w:b/>
          <w:bCs/>
        </w:rPr>
        <w:t xml:space="preserve"> </w:t>
      </w:r>
      <w:r w:rsidRPr="0097459F">
        <w:rPr>
          <w:rFonts w:asciiTheme="minorHAnsi" w:hAnsiTheme="minorHAnsi" w:cstheme="minorHAnsi"/>
          <w:b/>
          <w:bCs/>
        </w:rPr>
        <w:t>utilize a informação a seguir para comparar o efeito das despesas em períodos mais longos de investimento entre diversos fundos ou classes de cotas</w:t>
      </w:r>
      <w:r w:rsidRPr="0097459F">
        <w:rPr>
          <w:rFonts w:asciiTheme="minorHAnsi" w:hAnsiTheme="minorHAnsi" w:cstheme="minorHAnsi"/>
        </w:rPr>
        <w:t xml:space="preserve">: </w:t>
      </w:r>
    </w:p>
    <w:p w14:paraId="2ECE95EF"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b/>
        </w:rPr>
      </w:pPr>
    </w:p>
    <w:p w14:paraId="465ABEC7"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 xml:space="preserve">Assumindo que a última taxa total de despesas divulgada se mantenha constante e que </w:t>
      </w:r>
      <w:r w:rsidRPr="0097459F">
        <w:rPr>
          <w:rFonts w:asciiTheme="minorHAnsi" w:hAnsiTheme="minorHAnsi" w:cstheme="minorHAnsi"/>
          <w:b/>
          <w:bCs/>
        </w:rPr>
        <w:t xml:space="preserve">[o fundo] ou [a classe de cotas] </w:t>
      </w:r>
      <w:r w:rsidRPr="0097459F">
        <w:rPr>
          <w:rFonts w:asciiTheme="minorHAnsi" w:hAnsiTheme="minorHAnsi" w:cstheme="minorHAnsi"/>
        </w:rPr>
        <w:t>tenha rentabilidade bruta hipotética de 10% ao ano nos próximos 3 e 5 anos, o retorno após as despesas terem sido descontadas, considerando a mesma aplicação inicial de R$ 1.000,00 (mil reais), é apresentado na tabela abaixo:</w:t>
      </w:r>
    </w:p>
    <w:p w14:paraId="2255A0AD" w14:textId="77777777" w:rsidR="00C20BBD" w:rsidRPr="0097459F" w:rsidRDefault="00C20BBD" w:rsidP="00AF6767">
      <w:pPr>
        <w:tabs>
          <w:tab w:val="num" w:pos="567"/>
        </w:tabs>
        <w:spacing w:after="0" w:line="240" w:lineRule="auto"/>
        <w:ind w:firstLine="709"/>
        <w:jc w:val="both"/>
        <w:rPr>
          <w:rFonts w:asciiTheme="minorHAnsi" w:hAnsiTheme="minorHAnsi" w:cstheme="minorHAnsi"/>
          <w:color w:val="000000"/>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1"/>
        <w:gridCol w:w="1523"/>
        <w:gridCol w:w="1411"/>
      </w:tblGrid>
      <w:tr w:rsidR="00C20BBD" w:rsidRPr="0097459F" w14:paraId="1FD2657B" w14:textId="77777777" w:rsidTr="00ED0447">
        <w:trPr>
          <w:jc w:val="center"/>
        </w:trPr>
        <w:tc>
          <w:tcPr>
            <w:tcW w:w="3561" w:type="pct"/>
            <w:shd w:val="clear" w:color="auto" w:fill="FFFF99"/>
          </w:tcPr>
          <w:p w14:paraId="4A01D228" w14:textId="77777777" w:rsidR="00C20BBD" w:rsidRPr="0097459F" w:rsidRDefault="00C20BBD" w:rsidP="00AF6767">
            <w:pPr>
              <w:tabs>
                <w:tab w:val="num" w:pos="567"/>
              </w:tabs>
              <w:spacing w:after="0" w:line="240" w:lineRule="auto"/>
              <w:ind w:firstLine="709"/>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 xml:space="preserve">Simulação das Despesas </w:t>
            </w:r>
          </w:p>
        </w:tc>
        <w:tc>
          <w:tcPr>
            <w:tcW w:w="747" w:type="pct"/>
            <w:shd w:val="clear" w:color="auto" w:fill="FFFF99"/>
            <w:vAlign w:val="center"/>
          </w:tcPr>
          <w:p w14:paraId="42E8230B"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[●+3 anos]</w:t>
            </w:r>
          </w:p>
        </w:tc>
        <w:tc>
          <w:tcPr>
            <w:tcW w:w="692" w:type="pct"/>
            <w:shd w:val="clear" w:color="auto" w:fill="FFFF99"/>
            <w:vAlign w:val="center"/>
          </w:tcPr>
          <w:p w14:paraId="5E954705" w14:textId="77777777" w:rsidR="00C20BBD" w:rsidRPr="0097459F" w:rsidRDefault="00C20BBD" w:rsidP="00AF6767">
            <w:pPr>
              <w:tabs>
                <w:tab w:val="num" w:pos="567"/>
              </w:tabs>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[●+5 anos]</w:t>
            </w:r>
          </w:p>
        </w:tc>
      </w:tr>
      <w:tr w:rsidR="00C20BBD" w:rsidRPr="0097459F" w14:paraId="338154EA" w14:textId="77777777" w:rsidTr="00ED0447">
        <w:trPr>
          <w:jc w:val="center"/>
        </w:trPr>
        <w:tc>
          <w:tcPr>
            <w:tcW w:w="3561" w:type="pct"/>
            <w:shd w:val="clear" w:color="auto" w:fill="DBE5F1"/>
          </w:tcPr>
          <w:p w14:paraId="658BF147"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Saldo bruto acumulado (hipotético - rentabilidade bruta anual de 10%) </w:t>
            </w:r>
          </w:p>
        </w:tc>
        <w:tc>
          <w:tcPr>
            <w:tcW w:w="747" w:type="pct"/>
            <w:vAlign w:val="center"/>
          </w:tcPr>
          <w:p w14:paraId="44B42994"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R$ 1.331,10</w:t>
            </w:r>
          </w:p>
        </w:tc>
        <w:tc>
          <w:tcPr>
            <w:tcW w:w="692" w:type="pct"/>
            <w:vAlign w:val="center"/>
          </w:tcPr>
          <w:p w14:paraId="4EABE51C"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R$ 1.610,51  </w:t>
            </w:r>
          </w:p>
        </w:tc>
      </w:tr>
      <w:tr w:rsidR="00C20BBD" w:rsidRPr="0097459F" w14:paraId="58AFB1DB" w14:textId="77777777" w:rsidTr="00ED0447">
        <w:trPr>
          <w:jc w:val="center"/>
        </w:trPr>
        <w:tc>
          <w:tcPr>
            <w:tcW w:w="3561" w:type="pct"/>
            <w:shd w:val="clear" w:color="auto" w:fill="DBE5F1"/>
          </w:tcPr>
          <w:p w14:paraId="03A36483"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Despesas previstas (se a TAXA TOTAL DE DESPESAS se mantiver constante)</w:t>
            </w:r>
          </w:p>
        </w:tc>
        <w:tc>
          <w:tcPr>
            <w:tcW w:w="747" w:type="pct"/>
            <w:vAlign w:val="center"/>
          </w:tcPr>
          <w:p w14:paraId="2E539E5A"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692" w:type="pct"/>
            <w:vAlign w:val="center"/>
          </w:tcPr>
          <w:p w14:paraId="58EEB557"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r w:rsidR="00C20BBD" w:rsidRPr="0097459F" w14:paraId="4C9A04D1" w14:textId="77777777" w:rsidTr="00ED0447">
        <w:trPr>
          <w:jc w:val="center"/>
        </w:trPr>
        <w:tc>
          <w:tcPr>
            <w:tcW w:w="3561" w:type="pct"/>
            <w:shd w:val="clear" w:color="auto" w:fill="DBE5F1"/>
          </w:tcPr>
          <w:p w14:paraId="674703EF" w14:textId="77777777" w:rsidR="00C20BBD" w:rsidRPr="0097459F" w:rsidRDefault="00C20BBD" w:rsidP="00AF6767">
            <w:pPr>
              <w:tabs>
                <w:tab w:val="num" w:pos="567"/>
              </w:tabs>
              <w:spacing w:after="0" w:line="240" w:lineRule="auto"/>
              <w:jc w:val="both"/>
              <w:rPr>
                <w:rFonts w:asciiTheme="minorHAnsi" w:hAnsiTheme="minorHAnsi" w:cstheme="minorHAnsi"/>
                <w:color w:val="000000"/>
                <w:sz w:val="24"/>
                <w:szCs w:val="24"/>
              </w:rPr>
            </w:pPr>
            <w:r w:rsidRPr="0097459F">
              <w:rPr>
                <w:rFonts w:asciiTheme="minorHAnsi" w:hAnsiTheme="minorHAnsi" w:cstheme="minorHAnsi"/>
                <w:color w:val="000000"/>
                <w:sz w:val="24"/>
                <w:szCs w:val="24"/>
              </w:rPr>
              <w:t>Retorno bruto hipotético após dedução das despesas (antes da incidência de impostos, taxas de ingresso e/ou saída e taxa de performance)</w:t>
            </w:r>
          </w:p>
        </w:tc>
        <w:tc>
          <w:tcPr>
            <w:tcW w:w="747" w:type="pct"/>
            <w:vAlign w:val="center"/>
          </w:tcPr>
          <w:p w14:paraId="2A6EDED0"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c>
          <w:tcPr>
            <w:tcW w:w="692" w:type="pct"/>
            <w:vAlign w:val="center"/>
          </w:tcPr>
          <w:p w14:paraId="7A66961E" w14:textId="77777777" w:rsidR="00C20BBD" w:rsidRPr="0097459F" w:rsidRDefault="00C20BBD" w:rsidP="00AF6767">
            <w:pPr>
              <w:tabs>
                <w:tab w:val="num" w:pos="567"/>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R$ [●]</w:t>
            </w:r>
          </w:p>
        </w:tc>
      </w:tr>
    </w:tbl>
    <w:p w14:paraId="4BB7B2F2" w14:textId="77777777"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p>
    <w:p w14:paraId="6158D2C4" w14:textId="789242D1" w:rsidR="00C20BBD" w:rsidRPr="0097459F" w:rsidRDefault="00C20BBD" w:rsidP="00AF6767">
      <w:pPr>
        <w:pStyle w:val="NormalWeb"/>
        <w:tabs>
          <w:tab w:val="num" w:pos="1440"/>
        </w:tabs>
        <w:spacing w:before="0" w:beforeAutospacing="0" w:after="0" w:afterAutospacing="0"/>
        <w:ind w:firstLine="709"/>
        <w:jc w:val="both"/>
        <w:rPr>
          <w:rFonts w:asciiTheme="minorHAnsi" w:hAnsiTheme="minorHAnsi" w:cstheme="minorHAnsi"/>
        </w:rPr>
      </w:pPr>
      <w:r w:rsidRPr="0097459F">
        <w:rPr>
          <w:rFonts w:asciiTheme="minorHAnsi" w:hAnsiTheme="minorHAnsi" w:cstheme="minorHAnsi"/>
        </w:rPr>
        <w:t>A simulação acima não implica promessa de que os valores reais ou esperados das despesas ou dos retornos serão iguais aos aqui apresentados.</w:t>
      </w:r>
    </w:p>
    <w:p w14:paraId="279A95C7"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7070AE55" w14:textId="77777777" w:rsidR="00C20BBD" w:rsidRPr="0097459F" w:rsidRDefault="00C20BBD" w:rsidP="00AF6767">
      <w:pPr>
        <w:spacing w:after="0" w:line="240" w:lineRule="auto"/>
        <w:ind w:firstLine="709"/>
        <w:jc w:val="both"/>
        <w:rPr>
          <w:rFonts w:asciiTheme="minorHAnsi" w:hAnsiTheme="minorHAnsi" w:cstheme="minorHAnsi"/>
          <w:b/>
          <w:sz w:val="24"/>
          <w:szCs w:val="24"/>
        </w:rPr>
      </w:pPr>
      <w:r w:rsidRPr="0097459F">
        <w:rPr>
          <w:rFonts w:asciiTheme="minorHAnsi" w:hAnsiTheme="minorHAnsi" w:cstheme="minorHAnsi"/>
          <w:sz w:val="24"/>
          <w:szCs w:val="24"/>
        </w:rPr>
        <w:t>6.</w:t>
      </w:r>
      <w:r w:rsidRPr="0097459F">
        <w:rPr>
          <w:rFonts w:asciiTheme="minorHAnsi" w:hAnsiTheme="minorHAnsi" w:cstheme="minorHAnsi"/>
          <w:sz w:val="24"/>
          <w:szCs w:val="24"/>
        </w:rPr>
        <w:tab/>
      </w:r>
      <w:r w:rsidRPr="0097459F">
        <w:rPr>
          <w:rFonts w:asciiTheme="minorHAnsi" w:hAnsiTheme="minorHAnsi" w:cstheme="minorHAnsi"/>
          <w:b/>
          <w:sz w:val="24"/>
          <w:szCs w:val="24"/>
        </w:rPr>
        <w:t>ESCLARECIMENTOS:</w:t>
      </w:r>
    </w:p>
    <w:p w14:paraId="2DDCF82E"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129B596"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Exemplo comparativo e investimento de longo prazo:</w:t>
      </w:r>
      <w:r w:rsidRPr="0097459F">
        <w:rPr>
          <w:rFonts w:asciiTheme="minorHAnsi" w:hAnsiTheme="minorHAnsi" w:cstheme="minorHAnsi"/>
          <w:sz w:val="24"/>
          <w:szCs w:val="24"/>
        </w:rPr>
        <w:t xml:space="preserve"> o exemplo comparativo (item 4) e o quadro de simulação de despesas (item 5) apresentados acima servem para facilitar a comparação do desempenho de sua classe com o de outras classes de cotas. É possível encontrar os mesmos exemplos, calculados a partir das mesmas hipóteses, nas lâminas (nos respectivos itens 8 e 9) de outras classes de cotas. As lâminas estão disponíveis nas páginas eletrônicas dos administradores na rede mundial de computadores.</w:t>
      </w:r>
    </w:p>
    <w:p w14:paraId="0827E9CD"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7E411AB0"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lastRenderedPageBreak/>
        <w:t xml:space="preserve">Despesas de fundos investidos: </w:t>
      </w:r>
      <w:r w:rsidRPr="0097459F">
        <w:rPr>
          <w:rFonts w:asciiTheme="minorHAnsi" w:hAnsiTheme="minorHAnsi" w:cstheme="minorHAnsi"/>
          <w:sz w:val="24"/>
          <w:szCs w:val="24"/>
        </w:rPr>
        <w:t>as despesas apresentadas foram acrescidas das despesas de outros fundos e classes de cotas em que [este fundo] ou [esta classe de cotas] tenha feito aplicações, proporcionalmente ao valor e período do investimento.</w:t>
      </w:r>
    </w:p>
    <w:p w14:paraId="22A9BB24" w14:textId="77777777" w:rsidR="00C20BBD" w:rsidRPr="0097459F" w:rsidRDefault="00C20BBD" w:rsidP="00AF6767">
      <w:pPr>
        <w:pStyle w:val="NormalWeb"/>
        <w:spacing w:before="0" w:beforeAutospacing="0" w:after="0" w:afterAutospacing="0"/>
        <w:ind w:firstLine="709"/>
        <w:jc w:val="both"/>
        <w:rPr>
          <w:rFonts w:asciiTheme="minorHAnsi" w:hAnsiTheme="minorHAnsi" w:cstheme="minorHAnsi"/>
        </w:rPr>
      </w:pPr>
    </w:p>
    <w:p w14:paraId="647D0873"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b/>
          <w:sz w:val="24"/>
          <w:szCs w:val="24"/>
        </w:rPr>
        <w:t xml:space="preserve">Rentabilidade: </w:t>
      </w:r>
      <w:r w:rsidRPr="0097459F">
        <w:rPr>
          <w:rFonts w:asciiTheme="minorHAnsi" w:hAnsiTheme="minorHAnsi" w:cstheme="minorHAnsi"/>
          <w:sz w:val="24"/>
          <w:szCs w:val="24"/>
        </w:rPr>
        <w:t>a rentabilidade não considera despesas individuais, pagas diretamente por cada cotista, como o imposto de renda, o ajuste sobre performance individual, quando permitido pelo regulamento do fundo, e taxas de ingresso e/ou de saída, quando permitidas pelo regulamento. Todos esses valores reduzem a rentabilidade da aplicação do cotista, que será inferior à rentabilidade [do fundo] ou [da classe de cotas]. Ao comparar fundos e classes de cotas, verifique o tratamento tributário e a existência de taxas de ingresso, de saída, ou de performance e o seu possível impacto no retorno da aplicação.</w:t>
      </w:r>
    </w:p>
    <w:p w14:paraId="2BBA22B5"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1ED2480E" w14:textId="77777777" w:rsidR="00C20BBD" w:rsidRPr="0097459F" w:rsidRDefault="00C20BBD" w:rsidP="00AF6767">
      <w:pPr>
        <w:spacing w:after="0" w:line="240" w:lineRule="auto"/>
        <w:ind w:firstLine="709"/>
        <w:jc w:val="both"/>
        <w:rPr>
          <w:rFonts w:asciiTheme="minorHAnsi" w:hAnsiTheme="minorHAnsi" w:cstheme="minorHAnsi"/>
          <w:b/>
          <w:sz w:val="24"/>
          <w:szCs w:val="24"/>
        </w:rPr>
      </w:pPr>
      <w:r w:rsidRPr="0097459F">
        <w:rPr>
          <w:rFonts w:asciiTheme="minorHAnsi" w:hAnsiTheme="minorHAnsi" w:cstheme="minorHAnsi"/>
          <w:b/>
          <w:sz w:val="24"/>
          <w:szCs w:val="24"/>
        </w:rPr>
        <w:t xml:space="preserve">Impostos: </w:t>
      </w:r>
    </w:p>
    <w:p w14:paraId="042313D0"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50BBB40E" w14:textId="77777777" w:rsidR="00C20BBD" w:rsidRPr="0097459F"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Quando se tratar de classe de renda fixa:</w:t>
      </w:r>
      <w:r w:rsidRPr="0097459F">
        <w:rPr>
          <w:rFonts w:asciiTheme="minorHAnsi" w:hAnsiTheme="minorHAnsi" w:cstheme="minorHAnsi"/>
          <w:sz w:val="24"/>
          <w:szCs w:val="24"/>
        </w:rPr>
        <w:t>] Imposto de Renda (sobre o ganho nominal): De acordo com as hipóteses do exemplo comparativo, existe somente um resgate total após um ano. Dessa forma, a alíquota incidente sobre os rendimentos para a aplicação pelo período de 1 ano teria sido de 17,5%. Exceção: No caso de classe de renda fixa de curto prazo, a alíquota teria sido de 20%.</w:t>
      </w:r>
    </w:p>
    <w:p w14:paraId="4BF75E58" w14:textId="77777777" w:rsidR="00C20BBD" w:rsidRPr="0097459F" w:rsidRDefault="00C20BBD" w:rsidP="00AF6767">
      <w:pPr>
        <w:spacing w:after="0" w:line="240" w:lineRule="auto"/>
        <w:ind w:firstLine="709"/>
        <w:jc w:val="both"/>
        <w:rPr>
          <w:rFonts w:asciiTheme="minorHAnsi" w:hAnsiTheme="minorHAnsi" w:cstheme="minorHAnsi"/>
          <w:sz w:val="24"/>
          <w:szCs w:val="24"/>
        </w:rPr>
      </w:pPr>
    </w:p>
    <w:p w14:paraId="6BEB26F7" w14:textId="2713184E" w:rsidR="00C20BBD" w:rsidRDefault="00C20BBD" w:rsidP="00AF6767">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Quando se tratar de classe de renda variável:</w:t>
      </w:r>
      <w:r w:rsidRPr="0097459F">
        <w:rPr>
          <w:rFonts w:asciiTheme="minorHAnsi" w:hAnsiTheme="minorHAnsi" w:cstheme="minorHAnsi"/>
          <w:sz w:val="24"/>
          <w:szCs w:val="24"/>
        </w:rPr>
        <w:t>] Imposto de Renda (sobre o ganho nominal): de acordo com as hipóteses do exemplo comparativo, existe somente um resgate total após um ano.  Dessa forma, a alíquota incidente sobre os rendimentos para a aplicação teria sido de 15%.</w:t>
      </w:r>
    </w:p>
    <w:p w14:paraId="27B094D4" w14:textId="77777777" w:rsidR="00BB7BEE" w:rsidRDefault="00BB7BEE" w:rsidP="00AF6767">
      <w:pPr>
        <w:spacing w:after="0" w:line="240" w:lineRule="auto"/>
        <w:ind w:firstLine="709"/>
        <w:jc w:val="both"/>
        <w:rPr>
          <w:rFonts w:asciiTheme="minorHAnsi" w:hAnsiTheme="minorHAnsi" w:cstheme="minorHAnsi"/>
          <w:sz w:val="24"/>
          <w:szCs w:val="24"/>
        </w:rPr>
      </w:pPr>
    </w:p>
    <w:p w14:paraId="3D4B9494" w14:textId="77777777" w:rsidR="00BB7BEE" w:rsidRDefault="00BB7BEE">
      <w:pPr>
        <w:spacing w:after="160" w:line="259" w:lineRule="auto"/>
        <w:rPr>
          <w:rFonts w:asciiTheme="minorHAnsi" w:hAnsiTheme="minorHAnsi" w:cstheme="minorHAnsi"/>
          <w:sz w:val="24"/>
          <w:szCs w:val="24"/>
        </w:rPr>
        <w:sectPr w:rsidR="00BB7BEE" w:rsidSect="002A08BD">
          <w:headerReference w:type="default" r:id="rId32"/>
          <w:headerReference w:type="first" r:id="rId33"/>
          <w:pgSz w:w="11906" w:h="16838"/>
          <w:pgMar w:top="2268" w:right="567" w:bottom="851" w:left="1134" w:header="709" w:footer="709" w:gutter="0"/>
          <w:cols w:space="708"/>
          <w:titlePg/>
          <w:docGrid w:linePitch="360"/>
        </w:sectPr>
      </w:pPr>
      <w:r>
        <w:rPr>
          <w:rFonts w:asciiTheme="minorHAnsi" w:hAnsiTheme="minorHAnsi" w:cstheme="minorHAnsi"/>
          <w:sz w:val="24"/>
          <w:szCs w:val="24"/>
        </w:rPr>
        <w:br w:type="page"/>
      </w:r>
    </w:p>
    <w:p w14:paraId="3742B922" w14:textId="4467B3C7" w:rsidR="00C20BBD" w:rsidRPr="0097459F" w:rsidRDefault="00F96B73" w:rsidP="00AF6767">
      <w:pPr>
        <w:pStyle w:val="Ttulo1"/>
        <w:spacing w:before="0" w:after="0" w:line="240" w:lineRule="auto"/>
        <w:ind w:firstLine="709"/>
        <w:jc w:val="center"/>
        <w:rPr>
          <w:rFonts w:asciiTheme="minorHAnsi" w:hAnsiTheme="minorHAnsi" w:cstheme="minorHAnsi"/>
          <w:b w:val="0"/>
          <w:bCs w:val="0"/>
          <w:sz w:val="24"/>
          <w:szCs w:val="24"/>
        </w:rPr>
      </w:pPr>
      <w:bookmarkStart w:id="1484" w:name="_Toc53594547"/>
      <w:bookmarkStart w:id="1485" w:name="_Toc53595572"/>
      <w:bookmarkStart w:id="1486" w:name="_Toc53594299"/>
      <w:bookmarkStart w:id="1487" w:name="_Toc57836309"/>
      <w:bookmarkStart w:id="1488" w:name="_Toc161141449"/>
      <w:r w:rsidRPr="0097459F">
        <w:rPr>
          <w:rFonts w:asciiTheme="minorHAnsi" w:hAnsiTheme="minorHAnsi" w:cstheme="minorHAnsi"/>
          <w:sz w:val="24"/>
          <w:szCs w:val="24"/>
        </w:rPr>
        <w:lastRenderedPageBreak/>
        <w:t>SUPLEMENTO D</w:t>
      </w:r>
      <w:r w:rsidR="00C20BBD" w:rsidRPr="0097459F">
        <w:rPr>
          <w:rFonts w:asciiTheme="minorHAnsi" w:hAnsiTheme="minorHAnsi" w:cstheme="minorHAnsi"/>
          <w:sz w:val="24"/>
          <w:szCs w:val="24"/>
        </w:rPr>
        <w:t xml:space="preserve"> – PERFIL MENSAL</w:t>
      </w:r>
      <w:bookmarkEnd w:id="1484"/>
      <w:bookmarkEnd w:id="1485"/>
      <w:bookmarkEnd w:id="1486"/>
      <w:bookmarkEnd w:id="1487"/>
      <w:r w:rsidRPr="0097459F">
        <w:rPr>
          <w:rFonts w:asciiTheme="minorHAnsi" w:hAnsiTheme="minorHAnsi" w:cstheme="minorHAnsi"/>
          <w:sz w:val="24"/>
          <w:szCs w:val="24"/>
        </w:rPr>
        <w:t xml:space="preserve"> – FIF</w:t>
      </w:r>
      <w:bookmarkEnd w:id="1488"/>
    </w:p>
    <w:p w14:paraId="458EEAB7" w14:textId="2A957A40" w:rsidR="00C20BBD" w:rsidRPr="0097459F" w:rsidRDefault="00C20BBD" w:rsidP="00AF6767">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perfil mensal</w:t>
      </w:r>
      <w:r w:rsidR="005E7E86">
        <w:rPr>
          <w:rFonts w:asciiTheme="minorHAnsi" w:hAnsiTheme="minorHAnsi" w:cstheme="minorHAnsi"/>
          <w:i/>
          <w:sz w:val="24"/>
          <w:szCs w:val="24"/>
        </w:rPr>
        <w:t xml:space="preserve">, </w:t>
      </w:r>
      <w:r w:rsidR="005E7E86">
        <w:rPr>
          <w:rFonts w:asciiTheme="minorHAnsi" w:eastAsia="Times" w:hAnsiTheme="minorHAnsi" w:cstheme="minorHAnsi"/>
          <w:i/>
          <w:sz w:val="24"/>
          <w:szCs w:val="24"/>
        </w:rPr>
        <w:t>conforme previsto no art. 2º, inciso XV, do Anexo Normativo I da Resolução CVM nº 175, de 2022.</w:t>
      </w:r>
    </w:p>
    <w:p w14:paraId="16CF5A28" w14:textId="77777777" w:rsidR="00C20BBD" w:rsidRPr="0097459F" w:rsidRDefault="00C20BBD" w:rsidP="00AF6767">
      <w:pPr>
        <w:spacing w:after="0" w:line="240" w:lineRule="auto"/>
        <w:ind w:firstLine="709"/>
        <w:rPr>
          <w:rFonts w:asciiTheme="minorHAnsi" w:hAnsiTheme="minorHAnsi" w:cstheme="minorHAnsi"/>
          <w:sz w:val="24"/>
          <w:szCs w:val="24"/>
        </w:rPr>
      </w:pPr>
    </w:p>
    <w:p w14:paraId="2BC264AF"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PERFIL MENSAL DO [nome de fantasia do fundo e, se for o caso, da classe]</w:t>
      </w:r>
    </w:p>
    <w:p w14:paraId="5B9D513C"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3D424576" w14:textId="77777777" w:rsidR="00C20BBD" w:rsidRPr="0097459F" w:rsidRDefault="00C20BBD" w:rsidP="00AF6767">
      <w:pPr>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326F9177" w14:textId="77777777" w:rsidR="00C20BBD" w:rsidRPr="0097459F" w:rsidRDefault="00C20BBD" w:rsidP="00AF6767">
      <w:pPr>
        <w:pStyle w:val="Ttulo"/>
        <w:ind w:firstLine="709"/>
        <w:jc w:val="both"/>
        <w:rPr>
          <w:rFonts w:asciiTheme="minorHAnsi" w:hAnsiTheme="minorHAnsi" w:cstheme="minorHAnsi"/>
          <w:b w:val="0"/>
          <w:bCs w:val="0"/>
        </w:rPr>
      </w:pPr>
    </w:p>
    <w:tbl>
      <w:tblPr>
        <w:tblW w:w="5130" w:type="pct"/>
        <w:tblInd w:w="2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208"/>
        <w:gridCol w:w="1844"/>
        <w:gridCol w:w="372"/>
        <w:gridCol w:w="213"/>
        <w:gridCol w:w="406"/>
        <w:gridCol w:w="571"/>
        <w:gridCol w:w="420"/>
        <w:gridCol w:w="266"/>
        <w:gridCol w:w="1154"/>
      </w:tblGrid>
      <w:tr w:rsidR="00C20BBD" w:rsidRPr="0097459F" w14:paraId="28B85D04" w14:textId="77777777" w:rsidTr="00ED0447">
        <w:tc>
          <w:tcPr>
            <w:tcW w:w="5000" w:type="pct"/>
            <w:gridSpan w:val="9"/>
            <w:tcBorders>
              <w:top w:val="outset" w:sz="6" w:space="0" w:color="auto"/>
              <w:left w:val="outset" w:sz="6" w:space="0" w:color="auto"/>
              <w:bottom w:val="outset" w:sz="6" w:space="0" w:color="auto"/>
              <w:right w:val="outset" w:sz="6" w:space="0" w:color="auto"/>
            </w:tcBorders>
            <w:shd w:val="clear" w:color="auto" w:fill="FFF8DC"/>
          </w:tcPr>
          <w:p w14:paraId="7D2C54A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b/>
                <w:sz w:val="24"/>
                <w:szCs w:val="24"/>
              </w:rPr>
              <w:t>1) Número de cotistas da classe de cotas no último dia útil do mês de referência, por categoria de cotista:</w:t>
            </w:r>
          </w:p>
        </w:tc>
      </w:tr>
      <w:tr w:rsidR="00C20BBD" w:rsidRPr="0097459F" w14:paraId="43E9D7C1"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43D52DE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natural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44EF3BF"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7B53AC7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7D06DA21"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natural varejo;</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AEB2E1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4ABDAE5A"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40C9DC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jurídica não financeira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30DFD5E"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0C35578"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9D69D2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banco comercial;</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9586FB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71DF02CF"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0B28BB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corretora ou distribuidora;</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CA71BB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42833F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137BBC6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outras pessoas jurídicas financeiras;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CF7A95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3D242E7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655F526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investidores não residentes;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4E8AC3C"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8B7D137"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3017A60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aberta de previdência complementar;</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649651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7CE568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EE1E4C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fechada de previdência complementar;</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1B117551"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3DE8C77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11DB4CE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regime próprio de previdência dos servidores públicos;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2522AA37"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DF2CB0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2638DEA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seguradora ou resseguradora;</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6EC2458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0E0F71CE"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566383D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de capitalização e de arrendamento mercantil;</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42C4AC3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1CB6F2A6"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018DABAE"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Fundos e clubes de investimento;</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2FFDC66"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FF8CFD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3187951F"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clientes de distribuidores do da classe (distribuição por conta e ordem);</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39709B0B"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4DABE589" w14:textId="77777777" w:rsidTr="00ED0447">
        <w:tc>
          <w:tcPr>
            <w:tcW w:w="3551" w:type="pct"/>
            <w:gridSpan w:val="3"/>
            <w:tcBorders>
              <w:top w:val="outset" w:sz="6" w:space="0" w:color="auto"/>
              <w:left w:val="outset" w:sz="6" w:space="0" w:color="auto"/>
              <w:bottom w:val="outset" w:sz="6" w:space="0" w:color="auto"/>
              <w:right w:val="outset" w:sz="6" w:space="0" w:color="auto"/>
            </w:tcBorders>
            <w:shd w:val="clear" w:color="auto" w:fill="FFF8DC"/>
          </w:tcPr>
          <w:p w14:paraId="774A87B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outros tipos de cotistas não relacionados.</w:t>
            </w:r>
          </w:p>
        </w:tc>
        <w:tc>
          <w:tcPr>
            <w:tcW w:w="1449" w:type="pct"/>
            <w:gridSpan w:val="6"/>
            <w:tcBorders>
              <w:top w:val="outset" w:sz="6" w:space="0" w:color="auto"/>
              <w:left w:val="outset" w:sz="6" w:space="0" w:color="auto"/>
              <w:bottom w:val="outset" w:sz="6" w:space="0" w:color="auto"/>
              <w:right w:val="outset" w:sz="6" w:space="0" w:color="auto"/>
            </w:tcBorders>
            <w:shd w:val="clear" w:color="auto" w:fill="FFF8DC"/>
          </w:tcPr>
          <w:p w14:paraId="0144F65C" w14:textId="77777777" w:rsidR="00C20BBD" w:rsidRPr="0097459F" w:rsidRDefault="00C20BBD" w:rsidP="00AF6767">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Numérico inteiro</w:t>
            </w:r>
          </w:p>
        </w:tc>
      </w:tr>
      <w:tr w:rsidR="00C20BBD" w:rsidRPr="0097459F" w14:paraId="2D080166" w14:textId="77777777" w:rsidTr="00ED0447">
        <w:tc>
          <w:tcPr>
            <w:tcW w:w="5000" w:type="pct"/>
            <w:gridSpan w:val="9"/>
            <w:tcBorders>
              <w:top w:val="outset" w:sz="6" w:space="0" w:color="auto"/>
              <w:left w:val="outset" w:sz="6" w:space="0" w:color="auto"/>
              <w:bottom w:val="outset" w:sz="6" w:space="0" w:color="auto"/>
              <w:right w:val="outset" w:sz="6" w:space="0" w:color="auto"/>
            </w:tcBorders>
            <w:shd w:val="clear" w:color="auto" w:fill="FAEFCA"/>
          </w:tcPr>
          <w:p w14:paraId="5691A8D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b/>
                <w:sz w:val="24"/>
                <w:szCs w:val="24"/>
              </w:rPr>
              <w:t>2) Distribuição percentual do patrimônio no último dia útil do mês de referência, por categoria de cliente cotista:</w:t>
            </w:r>
          </w:p>
        </w:tc>
      </w:tr>
      <w:tr w:rsidR="00C20BBD" w:rsidRPr="0097459F" w14:paraId="49DF8FA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72A7B1A"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natural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3C14E24"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EB5CDF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097961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natural varejo;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2660409"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29ECC2A"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FAC8BE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pessoa jurídica não financeira </w:t>
            </w:r>
            <w:r w:rsidRPr="0097459F">
              <w:rPr>
                <w:rFonts w:asciiTheme="minorHAnsi" w:hAnsiTheme="minorHAnsi" w:cstheme="minorHAnsi"/>
                <w:b/>
                <w:sz w:val="24"/>
                <w:szCs w:val="24"/>
              </w:rPr>
              <w:t>private banking</w:t>
            </w:r>
            <w:r w:rsidRPr="0097459F">
              <w:rPr>
                <w:rFonts w:asciiTheme="minorHAnsi" w:hAnsiTheme="minorHAnsi" w:cstheme="minorHAnsi"/>
                <w:sz w:val="24"/>
                <w:szCs w:val="24"/>
              </w:rPr>
              <w:t>;</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097EDADB"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CC12FF5"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10B417A"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pessoa jurídica não financeira varejo;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7DB8D1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39CB61E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A59A59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lastRenderedPageBreak/>
              <w:t>banco comercial;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2C32F41A"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0DCF85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A778B95"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corretora ou distribuidora;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732BF2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9F7BBD5"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82FF70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outras pessoas jurídicas financeiras;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3247DB7"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685A0A10"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FEDB8D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investidores não residentes;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DD9D1FF"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7B99210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6140ED4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aberta de previdência complementar;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2DB214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892E2F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3C95AB4B"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entidade fechada de previdência complementar;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54D91F4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92C907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61A8363"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regime próprio de previdência dos servidores públicos;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22F3C63"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45D50E9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DAFBBD0"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seguradora ou resseguradora;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9C50170"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2227A9F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99D75B9"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sociedade de capitalização e de arrendamento mercantil;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8B9FCE5"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05AB8B7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66B15614"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fundos e clubes de investimento;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C40312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1577CD2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1129207"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clientes de distribuidores (distribuição por conta e ordem);</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078CDB0"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7C2278D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30062072"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outros tipos de cotistas não relacionados.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6176FA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 Numérico com uma casa decimal. Valor máximo 100%</w:t>
            </w:r>
          </w:p>
        </w:tc>
      </w:tr>
      <w:tr w:rsidR="00C20BBD" w:rsidRPr="0097459F" w14:paraId="37B343E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5183760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3) Caso o a classe possua política de exercício de direito de voto, apresentar resumo do teor dos votos proferidos pelo administrador, gestor ou por seus representantes, nas assembleias gerais e especiais das companhias nas quais o a classe detenha participação, que tenham sido realizadas no período</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3B549A6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235DC68F"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73416F8D"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4) Caso o a classe possua política de exercício de direito de voto, apresentar justificativa sumária do voto proferido, ou as razões sumárias para a sua abstenção ou não comparecimento à assembleia geral</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3061649E"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5B4AB3D4"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5F97288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lastRenderedPageBreak/>
              <w:t>5) Qual é o VAR (valor de risco) de um dia como percentual do PL calculado para 21 dias úteis e 95% de confiança?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44FA8EF2"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4 casas decimais</w:t>
            </w:r>
          </w:p>
        </w:tc>
      </w:tr>
      <w:tr w:rsidR="00C20BBD" w:rsidRPr="0097459F" w14:paraId="3270D693"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BE1A4A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6) Qual classe de modelos foi utilizada para o cálculo do VAR reportado na questão anterior?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7A76964C"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Paramétrico/ Não-paramétrico/ Simulação de Monte Carlo</w:t>
            </w:r>
          </w:p>
        </w:tc>
      </w:tr>
      <w:tr w:rsidR="00C20BBD" w:rsidRPr="0097459F" w14:paraId="60CB9023"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2DE48DB6"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7) No último dia útil do mês de referência, qual o prazo médio da carteira de ativos? (em meses (30 dias) e calculado de acordo com a metodologia regulamentada pela RFB)</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341D3D75"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4 casas decimais</w:t>
            </w:r>
          </w:p>
        </w:tc>
      </w:tr>
      <w:tr w:rsidR="00C20BBD" w:rsidRPr="0097459F" w14:paraId="0B9FC160"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7C65785C"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8) Caso tenha sido realizada, no mês de referência, alguma assembleia geral/especial de cotistas do fundo/da classe, relatar resumidamente as principais deliberações aprovadas.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5BC765F8"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Campo texto - 4.000 caracteres</w:t>
            </w:r>
          </w:p>
        </w:tc>
      </w:tr>
      <w:tr w:rsidR="00C20BBD" w:rsidRPr="0097459F" w14:paraId="4E1F7DED"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ACA3108"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9) Total de recursos (em US$) enviados para o exterior para aquisição de ativos - Valor total dos contratos de compra de US$ liquidados no mês.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09C7B961"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r w:rsidR="00C20BBD" w:rsidRPr="0097459F" w14:paraId="550D7D39"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92ED613" w14:textId="77777777" w:rsidR="00C20BBD" w:rsidRPr="0097459F" w:rsidRDefault="00C20BBD" w:rsidP="00AF6767">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10) Total de recursos (em US$) ingressados no Brasil referente à venda de ativos - Total de contratos de venda de US$ liquidados no mês.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04D75CBD" w14:textId="77777777" w:rsidR="00C20BBD" w:rsidRPr="0097459F" w:rsidRDefault="00C20BBD" w:rsidP="00AF6767">
            <w:pPr>
              <w:spacing w:after="0" w:line="240" w:lineRule="auto"/>
              <w:ind w:left="76"/>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r w:rsidR="00C20BBD" w:rsidRPr="0097459F" w14:paraId="5234F9E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0189E740" w14:textId="48F8AABE" w:rsidR="00C20BBD" w:rsidRPr="0097459F" w:rsidRDefault="00C20BBD" w:rsidP="00067149">
            <w:pPr>
              <w:spacing w:after="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11) Considerando os cenários de estresse definidos pela </w:t>
            </w:r>
            <w:r w:rsidR="00067149">
              <w:rPr>
                <w:rFonts w:asciiTheme="minorHAnsi" w:hAnsiTheme="minorHAnsi" w:cstheme="minorHAnsi"/>
                <w:sz w:val="24"/>
                <w:szCs w:val="24"/>
              </w:rPr>
              <w:t>B3</w:t>
            </w:r>
            <w:r w:rsidRPr="0097459F">
              <w:rPr>
                <w:rFonts w:asciiTheme="minorHAnsi" w:hAnsiTheme="minorHAnsi" w:cstheme="minorHAnsi"/>
                <w:sz w:val="24"/>
                <w:szCs w:val="24"/>
              </w:rPr>
              <w:t xml:space="preserve"> para os fatores primitivos de risco (FPR) que gerem o pior resultado para o fundo, qual a variação diária percentual esperada para o valor da cota. Especificar quais foram os cenários adotados da </w:t>
            </w:r>
            <w:r w:rsidR="00067149">
              <w:rPr>
                <w:rFonts w:asciiTheme="minorHAnsi" w:hAnsiTheme="minorHAnsi" w:cstheme="minorHAnsi"/>
                <w:sz w:val="24"/>
                <w:szCs w:val="24"/>
              </w:rPr>
              <w:t>B3</w:t>
            </w:r>
            <w:r w:rsidRPr="0097459F">
              <w:rPr>
                <w:rFonts w:asciiTheme="minorHAnsi" w:hAnsiTheme="minorHAnsi" w:cstheme="minorHAnsi"/>
                <w:sz w:val="24"/>
                <w:szCs w:val="24"/>
              </w:rPr>
              <w:t xml:space="preserve">. </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tbl>
            <w:tblPr>
              <w:tblW w:w="512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536"/>
              <w:gridCol w:w="1678"/>
              <w:gridCol w:w="2084"/>
            </w:tblGrid>
            <w:tr w:rsidR="00C20BBD" w:rsidRPr="0097459F" w14:paraId="4E423DB5" w14:textId="77777777" w:rsidTr="00ED0447">
              <w:trPr>
                <w:trHeight w:val="169"/>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2279392D"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Fator primitivo de risco</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1F932C4C"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Cenário utilizado</w:t>
                  </w:r>
                </w:p>
              </w:tc>
              <w:tc>
                <w:tcPr>
                  <w:tcW w:w="1003" w:type="pct"/>
                  <w:vMerge w:val="restart"/>
                  <w:tcBorders>
                    <w:top w:val="outset" w:sz="6" w:space="0" w:color="auto"/>
                    <w:left w:val="outset" w:sz="6" w:space="0" w:color="auto"/>
                    <w:right w:val="outset" w:sz="6" w:space="0" w:color="auto"/>
                  </w:tcBorders>
                  <w:shd w:val="clear" w:color="auto" w:fill="FAEFCA"/>
                </w:tcPr>
                <w:p w14:paraId="6C172062" w14:textId="77777777" w:rsidR="00C20BBD" w:rsidRPr="0097459F" w:rsidRDefault="00C20BBD" w:rsidP="00AF6767">
                  <w:pPr>
                    <w:spacing w:after="0" w:line="240" w:lineRule="auto"/>
                    <w:jc w:val="center"/>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643E545D"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5E4632C7"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IBOVESPA</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4616D6F5"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75414699"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3397D344"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46376C7F"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Juros –Pré</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574A0F83"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4F420A74"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6AA837D9"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6290AA59"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Cupom Cambial</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62E3FF95"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5FD0DC81"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7937CA30" w14:textId="77777777" w:rsidTr="00ED0447">
              <w:trPr>
                <w:trHeight w:val="164"/>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52736AC1"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Dólar</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30D34FAC"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right w:val="outset" w:sz="6" w:space="0" w:color="auto"/>
                  </w:tcBorders>
                  <w:shd w:val="clear" w:color="auto" w:fill="FAEFCA"/>
                </w:tcPr>
                <w:p w14:paraId="35A43FFE" w14:textId="77777777" w:rsidR="00C20BBD" w:rsidRPr="0097459F" w:rsidRDefault="00C20BBD" w:rsidP="00AF6767">
                  <w:pPr>
                    <w:spacing w:after="0" w:line="240" w:lineRule="auto"/>
                    <w:jc w:val="center"/>
                    <w:rPr>
                      <w:rFonts w:asciiTheme="minorHAnsi" w:hAnsiTheme="minorHAnsi" w:cstheme="minorHAnsi"/>
                      <w:sz w:val="24"/>
                      <w:szCs w:val="24"/>
                    </w:rPr>
                  </w:pPr>
                </w:p>
              </w:tc>
            </w:tr>
            <w:tr w:rsidR="00C20BBD" w:rsidRPr="0097459F" w14:paraId="6051E8BF" w14:textId="77777777" w:rsidTr="00ED0447">
              <w:trPr>
                <w:trHeight w:val="342"/>
              </w:trPr>
              <w:tc>
                <w:tcPr>
                  <w:tcW w:w="739" w:type="pct"/>
                  <w:tcBorders>
                    <w:top w:val="outset" w:sz="6" w:space="0" w:color="auto"/>
                    <w:left w:val="outset" w:sz="6" w:space="0" w:color="auto"/>
                    <w:bottom w:val="outset" w:sz="6" w:space="0" w:color="auto"/>
                    <w:right w:val="outset" w:sz="6" w:space="0" w:color="auto"/>
                  </w:tcBorders>
                  <w:shd w:val="clear" w:color="auto" w:fill="FAEFCA"/>
                </w:tcPr>
                <w:p w14:paraId="6C548840" w14:textId="77777777" w:rsidR="00C20BBD" w:rsidRPr="0097459F" w:rsidRDefault="00C20BBD" w:rsidP="00AF6767">
                  <w:pPr>
                    <w:spacing w:after="0" w:line="240" w:lineRule="auto"/>
                    <w:ind w:right="141"/>
                    <w:jc w:val="center"/>
                    <w:rPr>
                      <w:rFonts w:asciiTheme="minorHAnsi" w:hAnsiTheme="minorHAnsi" w:cstheme="minorHAnsi"/>
                      <w:sz w:val="24"/>
                      <w:szCs w:val="24"/>
                    </w:rPr>
                  </w:pPr>
                  <w:r w:rsidRPr="0097459F">
                    <w:rPr>
                      <w:rFonts w:asciiTheme="minorHAnsi" w:hAnsiTheme="minorHAnsi" w:cstheme="minorHAnsi"/>
                      <w:sz w:val="24"/>
                      <w:szCs w:val="24"/>
                    </w:rPr>
                    <w:t>Outros (especificar)</w:t>
                  </w:r>
                </w:p>
              </w:tc>
              <w:tc>
                <w:tcPr>
                  <w:tcW w:w="808" w:type="pct"/>
                  <w:tcBorders>
                    <w:top w:val="outset" w:sz="6" w:space="0" w:color="auto"/>
                    <w:left w:val="outset" w:sz="6" w:space="0" w:color="auto"/>
                    <w:bottom w:val="outset" w:sz="6" w:space="0" w:color="auto"/>
                    <w:right w:val="outset" w:sz="6" w:space="0" w:color="auto"/>
                  </w:tcBorders>
                  <w:shd w:val="clear" w:color="auto" w:fill="FAEFCA"/>
                </w:tcPr>
                <w:p w14:paraId="01FBDFFD" w14:textId="77777777" w:rsidR="00C20BBD" w:rsidRPr="0097459F" w:rsidRDefault="00C20BBD" w:rsidP="00AF6767">
                  <w:pPr>
                    <w:spacing w:after="0" w:line="240" w:lineRule="auto"/>
                    <w:ind w:right="141"/>
                    <w:jc w:val="both"/>
                    <w:rPr>
                      <w:rFonts w:asciiTheme="minorHAnsi" w:hAnsiTheme="minorHAnsi" w:cstheme="minorHAnsi"/>
                      <w:sz w:val="24"/>
                      <w:szCs w:val="24"/>
                    </w:rPr>
                  </w:pPr>
                </w:p>
              </w:tc>
              <w:tc>
                <w:tcPr>
                  <w:tcW w:w="1003" w:type="pct"/>
                  <w:vMerge/>
                  <w:tcBorders>
                    <w:left w:val="outset" w:sz="6" w:space="0" w:color="auto"/>
                    <w:bottom w:val="outset" w:sz="6" w:space="0" w:color="auto"/>
                    <w:right w:val="outset" w:sz="6" w:space="0" w:color="auto"/>
                  </w:tcBorders>
                  <w:shd w:val="clear" w:color="auto" w:fill="FAEFCA"/>
                </w:tcPr>
                <w:p w14:paraId="36CC8D35" w14:textId="77777777" w:rsidR="00C20BBD" w:rsidRPr="0097459F" w:rsidRDefault="00C20BBD" w:rsidP="00AF6767">
                  <w:pPr>
                    <w:spacing w:after="0" w:line="240" w:lineRule="auto"/>
                    <w:jc w:val="center"/>
                    <w:rPr>
                      <w:rFonts w:asciiTheme="minorHAnsi" w:hAnsiTheme="minorHAnsi" w:cstheme="minorHAnsi"/>
                      <w:sz w:val="24"/>
                      <w:szCs w:val="24"/>
                    </w:rPr>
                  </w:pPr>
                </w:p>
              </w:tc>
            </w:tr>
          </w:tbl>
          <w:p w14:paraId="415AC499" w14:textId="77777777" w:rsidR="00C20BBD" w:rsidRPr="0097459F" w:rsidRDefault="00C20BBD" w:rsidP="00AF6767">
            <w:pPr>
              <w:spacing w:after="0" w:line="240" w:lineRule="auto"/>
              <w:ind w:left="76"/>
              <w:rPr>
                <w:rFonts w:asciiTheme="minorHAnsi" w:hAnsiTheme="minorHAnsi" w:cstheme="minorHAnsi"/>
                <w:sz w:val="24"/>
                <w:szCs w:val="24"/>
              </w:rPr>
            </w:pPr>
          </w:p>
        </w:tc>
      </w:tr>
      <w:tr w:rsidR="00C20BBD" w:rsidRPr="0097459F" w14:paraId="5DB040A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5564B27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12) Qual a variação diária percentual esperada para o valor da cota no pior cenário de estresse definido pelo seu administrador.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3206AD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50C452B4"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4DAD327D"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 xml:space="preserve">13) Qual a variação diária percentual esperada para o patrimônio caso ocorra uma variação </w:t>
            </w:r>
            <w:r w:rsidRPr="0097459F">
              <w:rPr>
                <w:rFonts w:asciiTheme="minorHAnsi" w:hAnsiTheme="minorHAnsi" w:cstheme="minorHAnsi"/>
                <w:sz w:val="24"/>
                <w:szCs w:val="24"/>
              </w:rPr>
              <w:lastRenderedPageBreak/>
              <w:t>negativa de 1% na taxa anual de juros (pré).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0876CDDD"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lastRenderedPageBreak/>
              <w:t>% PL numérico com duas casas decimais.</w:t>
            </w:r>
          </w:p>
        </w:tc>
      </w:tr>
      <w:tr w:rsidR="00C20BBD" w:rsidRPr="0097459F" w14:paraId="64BD3EE6"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6A59EC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14) Qual a variação diária percentual esperada para o patrimônio caso ocorra uma variação negativa de 1% na taxa de câmbio (US$/Real).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ACA0F63"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1A302972"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4B22FA29"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15) Qual a variação diária percentual esperada para o patrimônio caso ocorra uma variação negativa de 1% no preço das ações (IBOVESPA). Considerar o último dia útil do mês de referência.</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17E3D35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4A5168C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44B2B6A8"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16) Qual a variação diária percentual esperada para o patrimônio caso ocorra uma variação negativa de 1% no principal fator de risco a que o fundo/a classe está exposto, caso não seja nenhum dos 3 citados anteriormente (juros, câmbio, bolsa). Considerar o último dia útil do mês de referência. Informar também qual foi o fator de risco considerado.</w:t>
            </w:r>
          </w:p>
        </w:tc>
        <w:tc>
          <w:tcPr>
            <w:tcW w:w="882" w:type="pct"/>
            <w:tcBorders>
              <w:top w:val="outset" w:sz="6" w:space="0" w:color="auto"/>
              <w:left w:val="outset" w:sz="6" w:space="0" w:color="auto"/>
              <w:bottom w:val="outset" w:sz="6" w:space="0" w:color="auto"/>
              <w:right w:val="outset" w:sz="6" w:space="0" w:color="auto"/>
            </w:tcBorders>
            <w:shd w:val="clear" w:color="auto" w:fill="FAEFCA"/>
          </w:tcPr>
          <w:p w14:paraId="1716265F"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Indicar o fator de risco.</w:t>
            </w:r>
          </w:p>
        </w:tc>
        <w:tc>
          <w:tcPr>
            <w:tcW w:w="1627" w:type="pct"/>
            <w:gridSpan w:val="7"/>
            <w:tcBorders>
              <w:top w:val="outset" w:sz="6" w:space="0" w:color="auto"/>
              <w:left w:val="outset" w:sz="6" w:space="0" w:color="auto"/>
              <w:bottom w:val="outset" w:sz="6" w:space="0" w:color="auto"/>
              <w:right w:val="outset" w:sz="6" w:space="0" w:color="auto"/>
            </w:tcBorders>
            <w:shd w:val="clear" w:color="auto" w:fill="FAEFCA"/>
          </w:tcPr>
          <w:p w14:paraId="47CACE19"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duas casas decimais.</w:t>
            </w:r>
          </w:p>
        </w:tc>
      </w:tr>
      <w:tr w:rsidR="00C20BBD" w:rsidRPr="0097459F" w14:paraId="5BDD10A0" w14:textId="77777777" w:rsidTr="00ED0447">
        <w:tc>
          <w:tcPr>
            <w:tcW w:w="2491" w:type="pct"/>
            <w:vMerge w:val="restart"/>
            <w:tcBorders>
              <w:top w:val="outset" w:sz="6" w:space="0" w:color="auto"/>
              <w:left w:val="outset" w:sz="6" w:space="0" w:color="auto"/>
              <w:right w:val="single" w:sz="4" w:space="0" w:color="auto"/>
            </w:tcBorders>
            <w:shd w:val="clear" w:color="auto" w:fill="FFF8DC"/>
          </w:tcPr>
          <w:p w14:paraId="302D7003"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17) Qual o valor nocional total de todos os contratos derivativos negociados em balcão mantidos pelo fundo/pela classe, em % do patrimônio líquido, conforme tabela (informar valor numérico inteiro, contemplando a soma dos nocionais em módulo).</w:t>
            </w: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5A2EF523"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Fator de Risco</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567F1595"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Long</w:t>
            </w: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646BD51C"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Short</w:t>
            </w:r>
          </w:p>
        </w:tc>
        <w:tc>
          <w:tcPr>
            <w:tcW w:w="678" w:type="pct"/>
            <w:gridSpan w:val="2"/>
            <w:tcBorders>
              <w:top w:val="single" w:sz="4" w:space="0" w:color="auto"/>
              <w:left w:val="single" w:sz="4" w:space="0" w:color="auto"/>
              <w:bottom w:val="single" w:sz="4" w:space="0" w:color="auto"/>
              <w:right w:val="single" w:sz="4" w:space="0" w:color="auto"/>
            </w:tcBorders>
            <w:shd w:val="clear" w:color="auto" w:fill="FFF8DC"/>
          </w:tcPr>
          <w:p w14:paraId="17DB872A"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Colateral</w:t>
            </w:r>
          </w:p>
        </w:tc>
      </w:tr>
      <w:tr w:rsidR="00C20BBD" w:rsidRPr="0097459F" w14:paraId="5672C9D0" w14:textId="77777777" w:rsidTr="00ED0447">
        <w:tc>
          <w:tcPr>
            <w:tcW w:w="2491" w:type="pct"/>
            <w:vMerge/>
          </w:tcPr>
          <w:p w14:paraId="4AD3B712"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37230B6D"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IBOVESPA</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567A1EED"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26014B2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1AAC137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376F2AF4" w14:textId="77777777" w:rsidTr="00ED0447">
        <w:tc>
          <w:tcPr>
            <w:tcW w:w="2491" w:type="pct"/>
            <w:vMerge/>
          </w:tcPr>
          <w:p w14:paraId="0CB522C2"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1C031910"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Juros - Pré</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3DE5313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C9DB983"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69E2A8B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1FAC055A" w14:textId="77777777" w:rsidTr="00ED0447">
        <w:tc>
          <w:tcPr>
            <w:tcW w:w="2491" w:type="pct"/>
            <w:vMerge/>
          </w:tcPr>
          <w:p w14:paraId="3ECFAE81"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406658DD"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Cupom Cambial</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316BF37F"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569277B"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7E1C5313"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415327D" w14:textId="77777777" w:rsidTr="00ED0447">
        <w:tc>
          <w:tcPr>
            <w:tcW w:w="2491" w:type="pct"/>
            <w:vMerge/>
          </w:tcPr>
          <w:p w14:paraId="25561481"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725D654A" w14:textId="77777777" w:rsidR="00C20BBD" w:rsidRPr="0097459F" w:rsidRDefault="00C20BBD" w:rsidP="00F6174B">
            <w:pPr>
              <w:spacing w:before="120" w:after="120" w:line="240" w:lineRule="auto"/>
              <w:ind w:right="141"/>
              <w:rPr>
                <w:rFonts w:asciiTheme="minorHAnsi" w:hAnsiTheme="minorHAnsi" w:cstheme="minorHAnsi"/>
                <w:sz w:val="24"/>
                <w:szCs w:val="24"/>
              </w:rPr>
            </w:pPr>
            <w:r w:rsidRPr="0097459F">
              <w:rPr>
                <w:rFonts w:asciiTheme="minorHAnsi" w:hAnsiTheme="minorHAnsi" w:cstheme="minorHAnsi"/>
                <w:sz w:val="24"/>
                <w:szCs w:val="24"/>
              </w:rPr>
              <w:t xml:space="preserve"> Dólar</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0403AC37"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1BF275DA"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F9FE4B1"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27A2C90" w14:textId="77777777" w:rsidTr="00ED0447">
        <w:tc>
          <w:tcPr>
            <w:tcW w:w="2491" w:type="pct"/>
            <w:vMerge/>
          </w:tcPr>
          <w:p w14:paraId="6C3EDD98"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single" w:sz="4" w:space="0" w:color="auto"/>
              <w:bottom w:val="single" w:sz="4" w:space="0" w:color="auto"/>
              <w:right w:val="single" w:sz="4" w:space="0" w:color="auto"/>
            </w:tcBorders>
            <w:shd w:val="clear" w:color="auto" w:fill="FFF8DC"/>
          </w:tcPr>
          <w:p w14:paraId="42C7F78C"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Outros (especificar)</w:t>
            </w:r>
          </w:p>
        </w:tc>
        <w:tc>
          <w:tcPr>
            <w:tcW w:w="474" w:type="pct"/>
            <w:gridSpan w:val="3"/>
            <w:tcBorders>
              <w:top w:val="single" w:sz="4" w:space="0" w:color="auto"/>
              <w:left w:val="single" w:sz="4" w:space="0" w:color="auto"/>
              <w:bottom w:val="single" w:sz="4" w:space="0" w:color="auto"/>
              <w:right w:val="single" w:sz="4" w:space="0" w:color="auto"/>
            </w:tcBorders>
            <w:shd w:val="clear" w:color="auto" w:fill="FFF8DC"/>
          </w:tcPr>
          <w:p w14:paraId="0C707BEC"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single" w:sz="4" w:space="0" w:color="auto"/>
              <w:bottom w:val="single" w:sz="4" w:space="0" w:color="auto"/>
              <w:right w:val="single" w:sz="4" w:space="0" w:color="auto"/>
            </w:tcBorders>
            <w:shd w:val="clear" w:color="auto" w:fill="FFF8DC"/>
          </w:tcPr>
          <w:p w14:paraId="524EB9D7"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313C5448"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275A81B" w14:textId="77777777" w:rsidTr="00ED0447">
        <w:tc>
          <w:tcPr>
            <w:tcW w:w="2491" w:type="pct"/>
            <w:vMerge/>
          </w:tcPr>
          <w:p w14:paraId="540C8B6B"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882" w:type="pct"/>
            <w:tcBorders>
              <w:top w:val="single" w:sz="4" w:space="0" w:color="auto"/>
              <w:left w:val="outset" w:sz="6" w:space="0" w:color="auto"/>
              <w:bottom w:val="outset" w:sz="6" w:space="0" w:color="auto"/>
              <w:right w:val="outset" w:sz="6" w:space="0" w:color="auto"/>
            </w:tcBorders>
            <w:shd w:val="clear" w:color="auto" w:fill="FFF8DC"/>
          </w:tcPr>
          <w:p w14:paraId="004D7280" w14:textId="77777777" w:rsidR="00C20BBD" w:rsidRPr="0097459F" w:rsidRDefault="00C20BBD" w:rsidP="00F6174B">
            <w:pPr>
              <w:spacing w:before="120" w:after="120" w:line="240" w:lineRule="auto"/>
              <w:ind w:left="76" w:right="141" w:firstLine="709"/>
              <w:rPr>
                <w:rFonts w:asciiTheme="minorHAnsi" w:hAnsiTheme="minorHAnsi" w:cstheme="minorHAnsi"/>
                <w:sz w:val="24"/>
                <w:szCs w:val="24"/>
              </w:rPr>
            </w:pPr>
            <w:r w:rsidRPr="0097459F">
              <w:rPr>
                <w:rFonts w:asciiTheme="minorHAnsi" w:hAnsiTheme="minorHAnsi" w:cstheme="minorHAnsi"/>
                <w:sz w:val="24"/>
                <w:szCs w:val="24"/>
              </w:rPr>
              <w:t>Totais</w:t>
            </w:r>
          </w:p>
        </w:tc>
        <w:tc>
          <w:tcPr>
            <w:tcW w:w="474" w:type="pct"/>
            <w:gridSpan w:val="3"/>
            <w:tcBorders>
              <w:top w:val="single" w:sz="4" w:space="0" w:color="auto"/>
              <w:left w:val="outset" w:sz="6" w:space="0" w:color="auto"/>
              <w:bottom w:val="outset" w:sz="6" w:space="0" w:color="auto"/>
              <w:right w:val="outset" w:sz="6" w:space="0" w:color="auto"/>
            </w:tcBorders>
            <w:shd w:val="clear" w:color="auto" w:fill="FFF8DC"/>
          </w:tcPr>
          <w:p w14:paraId="362E37D2"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474" w:type="pct"/>
            <w:gridSpan w:val="2"/>
            <w:tcBorders>
              <w:top w:val="single" w:sz="4" w:space="0" w:color="auto"/>
              <w:left w:val="outset" w:sz="6" w:space="0" w:color="auto"/>
              <w:bottom w:val="outset" w:sz="6" w:space="0" w:color="auto"/>
              <w:right w:val="outset" w:sz="6" w:space="0" w:color="auto"/>
            </w:tcBorders>
            <w:shd w:val="clear" w:color="auto" w:fill="FFF8DC"/>
          </w:tcPr>
          <w:p w14:paraId="26204A49"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c>
          <w:tcPr>
            <w:tcW w:w="678" w:type="pct"/>
            <w:gridSpan w:val="2"/>
            <w:tcBorders>
              <w:top w:val="single" w:sz="4" w:space="0" w:color="auto"/>
              <w:left w:val="outset" w:sz="6" w:space="0" w:color="auto"/>
              <w:bottom w:val="outset" w:sz="6" w:space="0" w:color="auto"/>
              <w:right w:val="outset" w:sz="6" w:space="0" w:color="auto"/>
            </w:tcBorders>
            <w:shd w:val="clear" w:color="auto" w:fill="FFF8DC"/>
          </w:tcPr>
          <w:p w14:paraId="3FCE8FF6" w14:textId="77777777" w:rsidR="00C20BBD" w:rsidRPr="0097459F" w:rsidRDefault="00C20BBD" w:rsidP="00F6174B">
            <w:pPr>
              <w:spacing w:before="120" w:after="120" w:line="240" w:lineRule="auto"/>
              <w:ind w:left="76" w:right="141" w:firstLine="709"/>
              <w:jc w:val="both"/>
              <w:rPr>
                <w:rFonts w:asciiTheme="minorHAnsi" w:hAnsiTheme="minorHAnsi" w:cstheme="minorHAnsi"/>
                <w:sz w:val="24"/>
                <w:szCs w:val="24"/>
              </w:rPr>
            </w:pPr>
          </w:p>
        </w:tc>
      </w:tr>
      <w:tr w:rsidR="00C20BBD" w:rsidRPr="0097459F" w14:paraId="7DB8C318" w14:textId="77777777" w:rsidTr="00ED0447">
        <w:trPr>
          <w:trHeight w:val="305"/>
        </w:trPr>
        <w:tc>
          <w:tcPr>
            <w:tcW w:w="2491" w:type="pct"/>
            <w:vMerge w:val="restart"/>
            <w:tcBorders>
              <w:top w:val="outset" w:sz="6" w:space="0" w:color="auto"/>
              <w:left w:val="outset" w:sz="6" w:space="0" w:color="auto"/>
              <w:right w:val="outset" w:sz="6" w:space="0" w:color="auto"/>
            </w:tcBorders>
            <w:shd w:val="clear" w:color="auto" w:fill="FAEFCA"/>
          </w:tcPr>
          <w:p w14:paraId="26BF088C" w14:textId="5D57BDD4" w:rsidR="00C20BBD" w:rsidRPr="0097459F" w:rsidRDefault="00C20BBD" w:rsidP="00E859D6">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18) Para operações cursadas em mercado de balcão, sem garantia de contraparte central, identifique os 3 maiores comitentes que atuaram como contraparte </w:t>
            </w:r>
            <w:r w:rsidRPr="0097459F">
              <w:rPr>
                <w:rFonts w:asciiTheme="minorHAnsi" w:hAnsiTheme="minorHAnsi" w:cstheme="minorHAnsi"/>
                <w:sz w:val="24"/>
                <w:szCs w:val="24"/>
              </w:rPr>
              <w:lastRenderedPageBreak/>
              <w:t xml:space="preserve">da classe, informando o seu CPF/CNPJ, se é parte relacionada ao administrador ou gestor e o valor total das operações realizadas no mês por contraparte. O termo “parte relacionada” é aquele do art. </w:t>
            </w:r>
            <w:r w:rsidR="00E859D6">
              <w:rPr>
                <w:rFonts w:asciiTheme="minorHAnsi" w:hAnsiTheme="minorHAnsi" w:cstheme="minorHAnsi"/>
                <w:sz w:val="24"/>
                <w:szCs w:val="24"/>
              </w:rPr>
              <w:t>3º</w:t>
            </w:r>
            <w:r w:rsidRPr="0097459F">
              <w:rPr>
                <w:rFonts w:asciiTheme="minorHAnsi" w:hAnsiTheme="minorHAnsi" w:cstheme="minorHAnsi"/>
                <w:sz w:val="24"/>
                <w:szCs w:val="24"/>
              </w:rPr>
              <w:t xml:space="preserve">, inciso </w:t>
            </w:r>
            <w:r w:rsidR="00E859D6">
              <w:rPr>
                <w:rFonts w:asciiTheme="minorHAnsi" w:hAnsiTheme="minorHAnsi" w:cstheme="minorHAnsi"/>
                <w:sz w:val="24"/>
                <w:szCs w:val="24"/>
              </w:rPr>
              <w:t>XXIX</w:t>
            </w:r>
            <w:r w:rsidRPr="0097459F">
              <w:rPr>
                <w:rFonts w:asciiTheme="minorHAnsi" w:hAnsiTheme="minorHAnsi" w:cstheme="minorHAnsi"/>
                <w:sz w:val="24"/>
                <w:szCs w:val="24"/>
              </w:rPr>
              <w:t xml:space="preserve">, </w:t>
            </w:r>
            <w:r w:rsidR="00E859D6">
              <w:rPr>
                <w:rFonts w:asciiTheme="minorHAnsi" w:hAnsiTheme="minorHAnsi" w:cstheme="minorHAnsi"/>
                <w:sz w:val="24"/>
                <w:szCs w:val="24"/>
              </w:rPr>
              <w:t>d</w:t>
            </w:r>
            <w:r w:rsidRPr="0097459F">
              <w:rPr>
                <w:rFonts w:asciiTheme="minorHAnsi" w:hAnsiTheme="minorHAnsi" w:cstheme="minorHAnsi"/>
                <w:sz w:val="24"/>
                <w:szCs w:val="24"/>
              </w:rPr>
              <w:t xml:space="preserve">a </w:t>
            </w:r>
            <w:r w:rsidR="00E859D6">
              <w:rPr>
                <w:rFonts w:asciiTheme="minorHAnsi" w:hAnsiTheme="minorHAnsi" w:cstheme="minorHAnsi"/>
                <w:sz w:val="24"/>
                <w:szCs w:val="24"/>
              </w:rPr>
              <w:t xml:space="preserve">parte geral da </w:t>
            </w:r>
            <w:r w:rsidRPr="0097459F">
              <w:rPr>
                <w:rFonts w:asciiTheme="minorHAnsi" w:hAnsiTheme="minorHAnsi" w:cstheme="minorHAnsi"/>
                <w:sz w:val="24"/>
                <w:szCs w:val="24"/>
              </w:rPr>
              <w:t>Resolução.</w:t>
            </w: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09B7BCB4"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lastRenderedPageBreak/>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68CEF0B2"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65F4DC6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5C5C88F1" w14:textId="77777777" w:rsidTr="00ED0447">
        <w:trPr>
          <w:trHeight w:val="305"/>
        </w:trPr>
        <w:tc>
          <w:tcPr>
            <w:tcW w:w="2491" w:type="pct"/>
            <w:vMerge/>
          </w:tcPr>
          <w:p w14:paraId="342161D6"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7FB31AC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1517C59A"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4C044F2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22657A5" w14:textId="77777777" w:rsidTr="00ED0447">
        <w:trPr>
          <w:trHeight w:val="305"/>
        </w:trPr>
        <w:tc>
          <w:tcPr>
            <w:tcW w:w="2491" w:type="pct"/>
            <w:vMerge/>
          </w:tcPr>
          <w:p w14:paraId="64FE6B3A"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outset" w:sz="6" w:space="0" w:color="auto"/>
            </w:tcBorders>
            <w:shd w:val="clear" w:color="auto" w:fill="FAEFCA"/>
          </w:tcPr>
          <w:p w14:paraId="0F647C92"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Comitente (CPF/CNPJ)</w:t>
            </w:r>
          </w:p>
        </w:tc>
        <w:tc>
          <w:tcPr>
            <w:tcW w:w="569" w:type="pct"/>
            <w:gridSpan w:val="3"/>
            <w:tcBorders>
              <w:top w:val="outset" w:sz="6" w:space="0" w:color="auto"/>
              <w:left w:val="outset" w:sz="6" w:space="0" w:color="auto"/>
              <w:bottom w:val="outset" w:sz="6" w:space="0" w:color="auto"/>
              <w:right w:val="outset" w:sz="6" w:space="0" w:color="auto"/>
            </w:tcBorders>
            <w:shd w:val="clear" w:color="auto" w:fill="FAEFCA"/>
          </w:tcPr>
          <w:p w14:paraId="1D0BA11E"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880" w:type="pct"/>
            <w:gridSpan w:val="3"/>
            <w:tcBorders>
              <w:top w:val="outset" w:sz="6" w:space="0" w:color="auto"/>
              <w:left w:val="outset" w:sz="6" w:space="0" w:color="auto"/>
              <w:bottom w:val="outset" w:sz="6" w:space="0" w:color="auto"/>
              <w:right w:val="outset" w:sz="6" w:space="0" w:color="auto"/>
            </w:tcBorders>
            <w:shd w:val="clear" w:color="auto" w:fill="FAEFCA"/>
          </w:tcPr>
          <w:p w14:paraId="6230B897"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BEAAD77"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13FCFFCE"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19) Total dos ativos (em % do PL) em estoque de emissão de partes relacionadas.</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6BEE316A"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D0348D3" w14:textId="77777777" w:rsidTr="00ED0447">
        <w:tc>
          <w:tcPr>
            <w:tcW w:w="2491" w:type="pct"/>
            <w:vMerge w:val="restart"/>
            <w:tcBorders>
              <w:top w:val="outset" w:sz="6" w:space="0" w:color="auto"/>
              <w:left w:val="outset" w:sz="6" w:space="0" w:color="auto"/>
              <w:right w:val="outset" w:sz="6" w:space="0" w:color="auto"/>
            </w:tcBorders>
            <w:shd w:val="clear" w:color="auto" w:fill="FFF8DC"/>
          </w:tcPr>
          <w:p w14:paraId="650D6EBE"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20) Relacionar os 3 maiores emissores de títulos de crédito privado de que a classe é credor, informando o CNPJ/CPF do emissor, se é parte relacionada ao administrador ou gestor, e o valor total aplicado pela classe, em % do seu patrimônio líquido. Considerar como de um mesmo emissor os ativos emitidos por partes relacionadas de um mesmo grupo econômico (informar CNPJ/CPF do emissor mais representativo).</w:t>
            </w: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4F5E57E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715FDDF6"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05D30F6C"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F630297" w14:textId="77777777" w:rsidTr="00ED0447">
        <w:tc>
          <w:tcPr>
            <w:tcW w:w="2491" w:type="pct"/>
            <w:vMerge/>
          </w:tcPr>
          <w:p w14:paraId="520D8F08"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6D351193"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27F03548"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4538CED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04ED676F" w14:textId="77777777" w:rsidTr="00ED0447">
        <w:tc>
          <w:tcPr>
            <w:tcW w:w="2491" w:type="pct"/>
            <w:vMerge/>
          </w:tcPr>
          <w:p w14:paraId="04672C75"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p>
        </w:tc>
        <w:tc>
          <w:tcPr>
            <w:tcW w:w="1059" w:type="pct"/>
            <w:gridSpan w:val="2"/>
            <w:tcBorders>
              <w:top w:val="outset" w:sz="6" w:space="0" w:color="auto"/>
              <w:left w:val="outset" w:sz="6" w:space="0" w:color="auto"/>
              <w:bottom w:val="outset" w:sz="6" w:space="0" w:color="auto"/>
              <w:right w:val="single" w:sz="4" w:space="0" w:color="auto"/>
            </w:tcBorders>
            <w:shd w:val="clear" w:color="auto" w:fill="FFF8DC"/>
          </w:tcPr>
          <w:p w14:paraId="05213091"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Emissor (CPF/CNPJ)</w:t>
            </w:r>
          </w:p>
        </w:tc>
        <w:tc>
          <w:tcPr>
            <w:tcW w:w="897" w:type="pct"/>
            <w:gridSpan w:val="5"/>
            <w:tcBorders>
              <w:top w:val="single" w:sz="4" w:space="0" w:color="auto"/>
              <w:left w:val="single" w:sz="4" w:space="0" w:color="auto"/>
              <w:bottom w:val="single" w:sz="4" w:space="0" w:color="auto"/>
              <w:right w:val="single" w:sz="4" w:space="0" w:color="auto"/>
            </w:tcBorders>
            <w:shd w:val="clear" w:color="auto" w:fill="FFF8DC"/>
          </w:tcPr>
          <w:p w14:paraId="6550D6A8"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Parte relacionada (S/N)</w:t>
            </w:r>
          </w:p>
        </w:tc>
        <w:tc>
          <w:tcPr>
            <w:tcW w:w="552" w:type="pct"/>
            <w:tcBorders>
              <w:top w:val="single" w:sz="4" w:space="0" w:color="auto"/>
              <w:left w:val="single" w:sz="4" w:space="0" w:color="auto"/>
              <w:bottom w:val="single" w:sz="4" w:space="0" w:color="auto"/>
              <w:right w:val="single" w:sz="4" w:space="0" w:color="auto"/>
            </w:tcBorders>
            <w:shd w:val="clear" w:color="auto" w:fill="FFF8DC"/>
          </w:tcPr>
          <w:p w14:paraId="6947DCC5" w14:textId="77777777" w:rsidR="00C20BBD" w:rsidRPr="0097459F" w:rsidRDefault="00C20BBD" w:rsidP="00F6174B">
            <w:pPr>
              <w:spacing w:before="120" w:after="120" w:line="240" w:lineRule="auto"/>
              <w:ind w:left="76"/>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29EE2078"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2A5B616" w14:textId="77777777" w:rsidR="00C20BBD" w:rsidRPr="0097459F" w:rsidRDefault="00C20BBD" w:rsidP="00F6174B">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21) Total dos ativos de crédito privado (em % do PL) em estoque.</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4A473CA3"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PL numérico com uma casa decimal</w:t>
            </w:r>
          </w:p>
        </w:tc>
      </w:tr>
      <w:tr w:rsidR="00C20BBD" w:rsidRPr="0097459F" w14:paraId="519C9F2B"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AEFCA"/>
          </w:tcPr>
          <w:p w14:paraId="2F605A9C" w14:textId="56489C0E" w:rsidR="00C20BBD" w:rsidRPr="0097459F" w:rsidRDefault="00C20BBD" w:rsidP="00350FD6">
            <w:pPr>
              <w:spacing w:before="120" w:after="120" w:line="240" w:lineRule="auto"/>
              <w:ind w:left="76"/>
              <w:jc w:val="both"/>
              <w:rPr>
                <w:rFonts w:asciiTheme="minorHAnsi" w:hAnsiTheme="minorHAnsi" w:cstheme="minorHAnsi"/>
                <w:sz w:val="24"/>
                <w:szCs w:val="24"/>
              </w:rPr>
            </w:pPr>
            <w:r w:rsidRPr="0097459F">
              <w:rPr>
                <w:rFonts w:asciiTheme="minorHAnsi" w:hAnsiTheme="minorHAnsi" w:cstheme="minorHAnsi"/>
                <w:sz w:val="24"/>
                <w:szCs w:val="24"/>
              </w:rPr>
              <w:t xml:space="preserve">22) Caso haja cobrança de taxa de performance, informar se é vedada no regulamento a cobrança de taxa de performance quando o valor da cota for inferior ao seu valor por ocasião da última cobrança efetuada, na forma do disposto no § 2º do art. </w:t>
            </w:r>
            <w:r w:rsidR="00350FD6">
              <w:rPr>
                <w:rFonts w:asciiTheme="minorHAnsi" w:hAnsiTheme="minorHAnsi" w:cstheme="minorHAnsi"/>
                <w:sz w:val="24"/>
                <w:szCs w:val="24"/>
              </w:rPr>
              <w:t>28</w:t>
            </w:r>
            <w:r w:rsidRPr="0097459F">
              <w:rPr>
                <w:rFonts w:asciiTheme="minorHAnsi" w:hAnsiTheme="minorHAnsi" w:cstheme="minorHAnsi"/>
                <w:sz w:val="24"/>
                <w:szCs w:val="24"/>
              </w:rPr>
              <w:t xml:space="preserve"> do Anexo </w:t>
            </w:r>
            <w:r w:rsidR="00E859D6">
              <w:rPr>
                <w:rFonts w:asciiTheme="minorHAnsi" w:hAnsiTheme="minorHAnsi" w:cstheme="minorHAnsi"/>
                <w:sz w:val="24"/>
                <w:szCs w:val="24"/>
              </w:rPr>
              <w:t xml:space="preserve">Normativo </w:t>
            </w:r>
            <w:r w:rsidRPr="0097459F">
              <w:rPr>
                <w:rFonts w:asciiTheme="minorHAnsi" w:hAnsiTheme="minorHAnsi" w:cstheme="minorHAnsi"/>
                <w:sz w:val="24"/>
                <w:szCs w:val="24"/>
              </w:rPr>
              <w:t>I.</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AEFCA"/>
          </w:tcPr>
          <w:p w14:paraId="1E80E34C" w14:textId="77777777" w:rsidR="00C20BBD" w:rsidRPr="0097459F" w:rsidRDefault="00C20BBD" w:rsidP="00F6174B">
            <w:pPr>
              <w:spacing w:before="120" w:after="120" w:line="240" w:lineRule="auto"/>
              <w:ind w:left="76" w:firstLine="709"/>
              <w:jc w:val="center"/>
              <w:rPr>
                <w:rFonts w:asciiTheme="minorHAnsi" w:hAnsiTheme="minorHAnsi" w:cstheme="minorHAnsi"/>
                <w:sz w:val="24"/>
                <w:szCs w:val="24"/>
              </w:rPr>
            </w:pPr>
            <w:r w:rsidRPr="0097459F">
              <w:rPr>
                <w:rFonts w:asciiTheme="minorHAnsi" w:hAnsiTheme="minorHAnsi" w:cstheme="minorHAnsi"/>
                <w:sz w:val="24"/>
                <w:szCs w:val="24"/>
              </w:rPr>
              <w:t>(S/N)</w:t>
            </w:r>
          </w:p>
        </w:tc>
      </w:tr>
      <w:tr w:rsidR="00C20BBD" w:rsidRPr="0097459F" w14:paraId="034F044C"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093162F"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lastRenderedPageBreak/>
              <w:t>23) No caso de a resposta à pergunta anterior ser afirmativa, informar a data e o valor da cota quando da última cobrança de performance efetuada.</w:t>
            </w:r>
          </w:p>
        </w:tc>
        <w:tc>
          <w:tcPr>
            <w:tcW w:w="1162" w:type="pct"/>
            <w:gridSpan w:val="3"/>
            <w:tcBorders>
              <w:top w:val="outset" w:sz="6" w:space="0" w:color="auto"/>
              <w:left w:val="outset" w:sz="6" w:space="0" w:color="auto"/>
              <w:bottom w:val="outset" w:sz="6" w:space="0" w:color="auto"/>
              <w:right w:val="outset" w:sz="6" w:space="0" w:color="auto"/>
            </w:tcBorders>
            <w:shd w:val="clear" w:color="auto" w:fill="FFF8DC"/>
          </w:tcPr>
          <w:p w14:paraId="25C6A938" w14:textId="77777777" w:rsidR="00C20BBD" w:rsidRPr="0097459F" w:rsidRDefault="00C20BBD" w:rsidP="00F6174B">
            <w:pPr>
              <w:spacing w:before="120" w:after="120" w:line="240" w:lineRule="auto"/>
              <w:ind w:left="76" w:right="141"/>
              <w:rPr>
                <w:rFonts w:asciiTheme="minorHAnsi" w:hAnsiTheme="minorHAnsi" w:cstheme="minorHAnsi"/>
                <w:sz w:val="24"/>
                <w:szCs w:val="24"/>
              </w:rPr>
            </w:pPr>
            <w:r w:rsidRPr="0097459F">
              <w:rPr>
                <w:rFonts w:asciiTheme="minorHAnsi" w:hAnsiTheme="minorHAnsi" w:cstheme="minorHAnsi"/>
                <w:sz w:val="24"/>
                <w:szCs w:val="24"/>
              </w:rPr>
              <w:t>Data no formato dd/mm/aaaa.</w:t>
            </w:r>
          </w:p>
        </w:tc>
        <w:tc>
          <w:tcPr>
            <w:tcW w:w="1346" w:type="pct"/>
            <w:gridSpan w:val="5"/>
            <w:tcBorders>
              <w:top w:val="outset" w:sz="6" w:space="0" w:color="auto"/>
              <w:left w:val="outset" w:sz="6" w:space="0" w:color="auto"/>
              <w:bottom w:val="outset" w:sz="6" w:space="0" w:color="auto"/>
              <w:right w:val="outset" w:sz="6" w:space="0" w:color="auto"/>
            </w:tcBorders>
            <w:shd w:val="clear" w:color="auto" w:fill="FFF8DC"/>
          </w:tcPr>
          <w:p w14:paraId="5156A043"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Valor da cota, numérico com cinco casas decimais.</w:t>
            </w:r>
          </w:p>
        </w:tc>
      </w:tr>
      <w:tr w:rsidR="00C20BBD" w:rsidRPr="0097459F" w14:paraId="37FC04BE" w14:textId="77777777" w:rsidTr="00ED0447">
        <w:tc>
          <w:tcPr>
            <w:tcW w:w="2491" w:type="pct"/>
            <w:tcBorders>
              <w:top w:val="outset" w:sz="6" w:space="0" w:color="auto"/>
              <w:left w:val="outset" w:sz="6" w:space="0" w:color="auto"/>
              <w:bottom w:val="outset" w:sz="6" w:space="0" w:color="auto"/>
              <w:right w:val="outset" w:sz="6" w:space="0" w:color="auto"/>
            </w:tcBorders>
            <w:shd w:val="clear" w:color="auto" w:fill="FFF8DC"/>
          </w:tcPr>
          <w:p w14:paraId="09647A3B" w14:textId="77777777" w:rsidR="00C20BBD" w:rsidRPr="0097459F" w:rsidRDefault="00C20BBD" w:rsidP="00F6174B">
            <w:pPr>
              <w:spacing w:before="120" w:after="120" w:line="240" w:lineRule="auto"/>
              <w:ind w:left="76" w:right="141"/>
              <w:jc w:val="both"/>
              <w:rPr>
                <w:rFonts w:asciiTheme="minorHAnsi" w:hAnsiTheme="minorHAnsi" w:cstheme="minorHAnsi"/>
                <w:sz w:val="24"/>
                <w:szCs w:val="24"/>
              </w:rPr>
            </w:pPr>
            <w:r w:rsidRPr="0097459F">
              <w:rPr>
                <w:rFonts w:asciiTheme="minorHAnsi" w:hAnsiTheme="minorHAnsi" w:cstheme="minorHAnsi"/>
                <w:sz w:val="24"/>
                <w:szCs w:val="24"/>
              </w:rPr>
              <w:t>24) Caso a carteira de ativos tenha originado direitos a dividendos, juros sobre capital próprio ou outros rendimentos advindos de ativos financeiros que compõem a carteira e, no período, tenha ocorrido distribuição de tais direitos diretamente aos cotistas ou, ainda, tenha sido realizada amortização de cotas, informar o total dos montantes distribuídos e amortizados (R$).</w:t>
            </w:r>
          </w:p>
        </w:tc>
        <w:tc>
          <w:tcPr>
            <w:tcW w:w="2509" w:type="pct"/>
            <w:gridSpan w:val="8"/>
            <w:tcBorders>
              <w:top w:val="outset" w:sz="6" w:space="0" w:color="auto"/>
              <w:left w:val="outset" w:sz="6" w:space="0" w:color="auto"/>
              <w:bottom w:val="outset" w:sz="6" w:space="0" w:color="auto"/>
              <w:right w:val="outset" w:sz="6" w:space="0" w:color="auto"/>
            </w:tcBorders>
            <w:shd w:val="clear" w:color="auto" w:fill="FFF8DC"/>
          </w:tcPr>
          <w:p w14:paraId="6EB1D9C3" w14:textId="77777777" w:rsidR="00C20BBD" w:rsidRPr="0097459F" w:rsidRDefault="00C20BBD" w:rsidP="00F6174B">
            <w:pPr>
              <w:spacing w:before="120" w:after="120" w:line="240" w:lineRule="auto"/>
              <w:ind w:left="76" w:right="141" w:firstLine="709"/>
              <w:jc w:val="center"/>
              <w:rPr>
                <w:rFonts w:asciiTheme="minorHAnsi" w:hAnsiTheme="minorHAnsi" w:cstheme="minorHAnsi"/>
                <w:sz w:val="24"/>
                <w:szCs w:val="24"/>
              </w:rPr>
            </w:pPr>
            <w:r w:rsidRPr="0097459F">
              <w:rPr>
                <w:rFonts w:asciiTheme="minorHAnsi" w:hAnsiTheme="minorHAnsi" w:cstheme="minorHAnsi"/>
                <w:sz w:val="24"/>
                <w:szCs w:val="24"/>
              </w:rPr>
              <w:t>Numérico com 2 casas decimais</w:t>
            </w:r>
          </w:p>
        </w:tc>
      </w:tr>
    </w:tbl>
    <w:p w14:paraId="5A4EC1C4" w14:textId="77777777" w:rsidR="00C20BBD" w:rsidRPr="0097459F" w:rsidRDefault="00C20BBD" w:rsidP="00F6174B">
      <w:pPr>
        <w:pStyle w:val="Ttulo"/>
        <w:tabs>
          <w:tab w:val="left" w:pos="284"/>
        </w:tabs>
        <w:spacing w:before="120" w:after="120"/>
        <w:ind w:firstLine="709"/>
        <w:jc w:val="both"/>
        <w:rPr>
          <w:rFonts w:asciiTheme="minorHAnsi" w:hAnsiTheme="minorHAnsi" w:cstheme="minorHAnsi"/>
          <w:b w:val="0"/>
          <w:bCs w:val="0"/>
        </w:rPr>
      </w:pPr>
    </w:p>
    <w:p w14:paraId="1A6C66C1" w14:textId="18B722AB" w:rsidR="00C20BBD" w:rsidRPr="0097459F" w:rsidRDefault="00C20BBD" w:rsidP="00F6174B">
      <w:pPr>
        <w:pStyle w:val="Ttulo"/>
        <w:spacing w:before="120" w:after="120"/>
        <w:ind w:firstLine="709"/>
        <w:jc w:val="both"/>
        <w:rPr>
          <w:rFonts w:asciiTheme="minorHAnsi" w:eastAsia="Calibri" w:hAnsiTheme="minorHAnsi" w:cstheme="minorHAnsi"/>
          <w:b w:val="0"/>
        </w:rPr>
      </w:pPr>
      <w:r w:rsidRPr="0097459F">
        <w:rPr>
          <w:rFonts w:asciiTheme="minorHAnsi" w:eastAsia="Calibri" w:hAnsiTheme="minorHAnsi" w:cstheme="minorHAnsi"/>
        </w:rPr>
        <w:t xml:space="preserve">Nota relativa </w:t>
      </w:r>
      <w:r w:rsidR="00722316" w:rsidRPr="0097459F">
        <w:rPr>
          <w:rFonts w:asciiTheme="minorHAnsi" w:eastAsia="Calibri" w:hAnsiTheme="minorHAnsi" w:cstheme="minorHAnsi"/>
        </w:rPr>
        <w:t>às classes de investimento em cotas de FIF</w:t>
      </w:r>
      <w:r w:rsidRPr="0097459F">
        <w:rPr>
          <w:rFonts w:asciiTheme="minorHAnsi" w:eastAsia="Calibri" w:hAnsiTheme="minorHAnsi" w:cstheme="minorHAnsi"/>
          <w:b w:val="0"/>
        </w:rPr>
        <w:t>: As questões 5, 6 e 11 a 16 não precisam ser respondidas.</w:t>
      </w:r>
    </w:p>
    <w:p w14:paraId="70AD11F3" w14:textId="77777777" w:rsidR="00BB7BEE" w:rsidRDefault="00C20BBD" w:rsidP="00F6174B">
      <w:pPr>
        <w:spacing w:before="120" w:after="120" w:line="240" w:lineRule="auto"/>
        <w:ind w:firstLine="709"/>
        <w:rPr>
          <w:rFonts w:asciiTheme="minorHAnsi" w:hAnsiTheme="minorHAnsi" w:cstheme="minorHAnsi"/>
          <w:sz w:val="24"/>
          <w:szCs w:val="24"/>
        </w:rPr>
        <w:sectPr w:rsidR="00BB7BEE" w:rsidSect="002A08BD">
          <w:headerReference w:type="default" r:id="rId34"/>
          <w:headerReference w:type="first" r:id="rId35"/>
          <w:pgSz w:w="11906" w:h="16838"/>
          <w:pgMar w:top="2268" w:right="567" w:bottom="851" w:left="1134" w:header="709" w:footer="709" w:gutter="0"/>
          <w:cols w:space="708"/>
          <w:titlePg/>
          <w:docGrid w:linePitch="360"/>
        </w:sectPr>
      </w:pPr>
      <w:r w:rsidRPr="0097459F">
        <w:rPr>
          <w:rFonts w:asciiTheme="minorHAnsi" w:hAnsiTheme="minorHAnsi" w:cstheme="minorHAnsi"/>
          <w:sz w:val="24"/>
          <w:szCs w:val="24"/>
        </w:rPr>
        <w:br w:type="page"/>
      </w:r>
    </w:p>
    <w:p w14:paraId="08F57822" w14:textId="08FCEF33" w:rsidR="00C20BBD" w:rsidRPr="0097459F" w:rsidRDefault="00C20BBD" w:rsidP="00F6174B">
      <w:pPr>
        <w:pStyle w:val="Ttulo1"/>
        <w:spacing w:before="120" w:after="120" w:line="240" w:lineRule="auto"/>
        <w:jc w:val="center"/>
        <w:rPr>
          <w:rFonts w:asciiTheme="minorHAnsi" w:hAnsiTheme="minorHAnsi" w:cstheme="minorHAnsi"/>
          <w:b w:val="0"/>
          <w:sz w:val="24"/>
          <w:szCs w:val="24"/>
        </w:rPr>
      </w:pPr>
      <w:bookmarkStart w:id="1489" w:name="_Toc406750622"/>
      <w:bookmarkStart w:id="1490" w:name="_Toc53594548"/>
      <w:bookmarkStart w:id="1491" w:name="_Toc53595573"/>
      <w:bookmarkStart w:id="1492" w:name="_Toc53594300"/>
      <w:bookmarkStart w:id="1493" w:name="_Toc57836310"/>
      <w:bookmarkStart w:id="1494" w:name="_Toc161141450"/>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E</w:t>
      </w:r>
      <w:r w:rsidRPr="0097459F">
        <w:rPr>
          <w:rFonts w:asciiTheme="minorHAnsi" w:hAnsiTheme="minorHAnsi" w:cstheme="minorHAnsi"/>
          <w:sz w:val="24"/>
          <w:szCs w:val="24"/>
        </w:rPr>
        <w:t xml:space="preserve"> – LÂMINA DE INFORMAÇÕES </w:t>
      </w:r>
      <w:bookmarkEnd w:id="1489"/>
      <w:r w:rsidR="002B189F" w:rsidRPr="0097459F">
        <w:rPr>
          <w:rFonts w:asciiTheme="minorHAnsi" w:hAnsiTheme="minorHAnsi" w:cstheme="minorHAnsi"/>
          <w:sz w:val="24"/>
          <w:szCs w:val="24"/>
        </w:rPr>
        <w:t>BÁSICAS</w:t>
      </w:r>
      <w:r w:rsidRPr="0097459F">
        <w:rPr>
          <w:rFonts w:asciiTheme="minorHAnsi" w:hAnsiTheme="minorHAnsi" w:cstheme="minorHAnsi"/>
          <w:sz w:val="24"/>
          <w:szCs w:val="24"/>
        </w:rPr>
        <w:t xml:space="preserve"> – FIDC</w:t>
      </w:r>
      <w:bookmarkEnd w:id="1490"/>
      <w:bookmarkEnd w:id="1491"/>
      <w:bookmarkEnd w:id="1492"/>
      <w:bookmarkEnd w:id="1493"/>
      <w:bookmarkEnd w:id="1494"/>
    </w:p>
    <w:p w14:paraId="5E6095F6" w14:textId="6EACA3CC" w:rsidR="00C20BBD" w:rsidRPr="0097459F" w:rsidRDefault="00C20BBD" w:rsidP="00F6174B">
      <w:pPr>
        <w:spacing w:before="120" w:after="12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informações essenciais </w:t>
      </w:r>
      <w:r w:rsidR="008332D2">
        <w:rPr>
          <w:rFonts w:asciiTheme="minorHAnsi" w:eastAsia="Times" w:hAnsiTheme="minorHAnsi" w:cstheme="minorHAnsi"/>
          <w:i/>
          <w:sz w:val="24"/>
          <w:szCs w:val="24"/>
        </w:rPr>
        <w:t>conforme previsto no art. 2</w:t>
      </w:r>
      <w:r w:rsidR="000812C4">
        <w:rPr>
          <w:rFonts w:asciiTheme="minorHAnsi" w:eastAsia="Times" w:hAnsiTheme="minorHAnsi" w:cstheme="minorHAnsi"/>
          <w:i/>
          <w:sz w:val="24"/>
          <w:szCs w:val="24"/>
        </w:rPr>
        <w:t>3</w:t>
      </w:r>
      <w:r w:rsidR="008332D2">
        <w:rPr>
          <w:rFonts w:asciiTheme="minorHAnsi" w:eastAsia="Times" w:hAnsiTheme="minorHAnsi" w:cstheme="minorHAnsi"/>
          <w:i/>
          <w:sz w:val="24"/>
          <w:szCs w:val="24"/>
        </w:rPr>
        <w:t xml:space="preserve"> do Anexo Normativo II da Resolução CVM nº 175, de 2022</w:t>
      </w:r>
      <w:r w:rsidRPr="0097459F">
        <w:rPr>
          <w:rFonts w:asciiTheme="minorHAnsi" w:hAnsiTheme="minorHAnsi" w:cstheme="minorHAnsi"/>
          <w:i/>
          <w:sz w:val="24"/>
          <w:szCs w:val="24"/>
        </w:rPr>
        <w:t>.</w:t>
      </w:r>
    </w:p>
    <w:p w14:paraId="3A65F953" w14:textId="77777777" w:rsidR="00C20BBD" w:rsidRPr="0097459F" w:rsidRDefault="00C20BBD" w:rsidP="00F6174B">
      <w:pPr>
        <w:spacing w:before="120" w:after="120" w:line="240" w:lineRule="auto"/>
        <w:jc w:val="center"/>
        <w:rPr>
          <w:rFonts w:asciiTheme="minorHAnsi" w:hAnsiTheme="minorHAnsi" w:cstheme="minorHAnsi"/>
          <w:b/>
          <w:sz w:val="24"/>
          <w:szCs w:val="24"/>
        </w:rPr>
      </w:pPr>
    </w:p>
    <w:p w14:paraId="751AC1C3"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LÂMINA DE INFORMAÇÕES ESSENCIAIS SOBRE O [nome de fantasia do FIDC e, se for o caso, da classe de cotas]</w:t>
      </w:r>
    </w:p>
    <w:p w14:paraId="1E88432A"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6C855655" w14:textId="77777777" w:rsidR="00C20BBD" w:rsidRPr="0097459F" w:rsidRDefault="00C20BBD" w:rsidP="00F6174B">
      <w:pPr>
        <w:spacing w:before="120" w:after="12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524DDDEF"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1047F8C3" w14:textId="77777777" w:rsidR="00C20BBD" w:rsidRPr="0097459F" w:rsidRDefault="00C20BBD" w:rsidP="00F6174B">
      <w:pPr>
        <w:pStyle w:val="Corpodetexto2"/>
        <w:spacing w:before="120" w:line="240" w:lineRule="auto"/>
        <w:ind w:firstLine="709"/>
        <w:jc w:val="both"/>
        <w:rPr>
          <w:rFonts w:asciiTheme="minorHAnsi" w:hAnsiTheme="minorHAnsi" w:cstheme="minorHAnsi"/>
        </w:rPr>
      </w:pPr>
      <w:r w:rsidRPr="0097459F">
        <w:rPr>
          <w:rFonts w:asciiTheme="minorHAnsi" w:hAnsiTheme="minorHAnsi" w:cstheme="minorHAnsi"/>
        </w:rPr>
        <w:t>Esta lâmina contém um resumo das informações essenciais sobre o [nome completo do fundo ou da classe de cotas]</w:t>
      </w:r>
      <w:r w:rsidRPr="0097459F">
        <w:rPr>
          <w:rFonts w:asciiTheme="minorHAnsi" w:hAnsiTheme="minorHAnsi" w:cstheme="minorHAnsi"/>
          <w:u w:val="single"/>
        </w:rPr>
        <w:t xml:space="preserve">, </w:t>
      </w:r>
      <w:r w:rsidRPr="0097459F">
        <w:rPr>
          <w:rFonts w:asciiTheme="minorHAnsi" w:hAnsiTheme="minorHAnsi" w:cstheme="minorHAnsi"/>
        </w:rPr>
        <w:t>administrado por [nome completo do administrador] e gerido por [nome completo do gestor]. Informações mais detalhadas sobre esse fundo podem ser obtidas em [endereço eletrônico]. Ao realizar aplicações adicionais, consulte a versão mais atualizada da lâmina.</w:t>
      </w:r>
    </w:p>
    <w:p w14:paraId="341F09A3"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25C17FEB" w14:textId="77777777" w:rsidR="00C20BBD" w:rsidRPr="0097459F" w:rsidRDefault="00C20BBD" w:rsidP="00F6174B">
      <w:pPr>
        <w:tabs>
          <w:tab w:val="num" w:pos="567"/>
        </w:tabs>
        <w:spacing w:before="120" w:after="120" w:line="240" w:lineRule="auto"/>
        <w:ind w:firstLine="709"/>
        <w:jc w:val="center"/>
        <w:rPr>
          <w:rFonts w:asciiTheme="minorHAnsi" w:hAnsiTheme="minorHAnsi" w:cstheme="minorHAnsi"/>
          <w:b/>
          <w:smallCaps/>
          <w:sz w:val="24"/>
          <w:szCs w:val="24"/>
        </w:rPr>
      </w:pPr>
      <w:r w:rsidRPr="0097459F">
        <w:rPr>
          <w:rFonts w:asciiTheme="minorHAnsi" w:hAnsiTheme="minorHAnsi" w:cstheme="minorHAnsi"/>
          <w:b/>
          <w:smallCaps/>
          <w:sz w:val="24"/>
          <w:szCs w:val="24"/>
        </w:rPr>
        <w:t>Antes de investir, compare o fundo com outros FIDC destinados ao público em geral.</w:t>
      </w:r>
    </w:p>
    <w:p w14:paraId="0B551BB6"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5B14D794" w14:textId="77777777" w:rsidR="00C20BBD" w:rsidRPr="0097459F" w:rsidRDefault="00C20BBD">
      <w:pPr>
        <w:pStyle w:val="PargrafodaLista"/>
        <w:numPr>
          <w:ilvl w:val="0"/>
          <w:numId w:val="9"/>
        </w:numPr>
        <w:spacing w:before="120" w:after="120" w:line="240" w:lineRule="auto"/>
        <w:contextualSpacing w:val="0"/>
        <w:jc w:val="both"/>
        <w:rPr>
          <w:rFonts w:cstheme="minorHAnsi"/>
          <w:sz w:val="24"/>
          <w:szCs w:val="24"/>
        </w:rPr>
      </w:pPr>
      <w:r w:rsidRPr="0097459F">
        <w:rPr>
          <w:rFonts w:cstheme="minorHAnsi"/>
          <w:sz w:val="24"/>
          <w:szCs w:val="24"/>
        </w:rPr>
        <w:t>PÚBLICO-ALVO: o fundo é destinado a investidores que pretendam: [descrição do público-alvo] e [restrições de investimento].</w:t>
      </w:r>
    </w:p>
    <w:p w14:paraId="499F2706" w14:textId="77777777" w:rsidR="00C20BBD" w:rsidRPr="0097459F" w:rsidRDefault="00C20BBD" w:rsidP="00F6174B">
      <w:pPr>
        <w:pStyle w:val="PargrafodaLista1"/>
        <w:tabs>
          <w:tab w:val="num" w:pos="567"/>
        </w:tabs>
        <w:spacing w:before="120" w:after="120"/>
        <w:ind w:firstLine="709"/>
        <w:rPr>
          <w:rFonts w:asciiTheme="minorHAnsi" w:hAnsiTheme="minorHAnsi" w:cstheme="minorHAnsi"/>
        </w:rPr>
      </w:pPr>
    </w:p>
    <w:p w14:paraId="79A8FE59" w14:textId="77777777" w:rsidR="00C20BBD" w:rsidRPr="0097459F" w:rsidRDefault="00C20BBD">
      <w:pPr>
        <w:pStyle w:val="PargrafodaLista"/>
        <w:numPr>
          <w:ilvl w:val="0"/>
          <w:numId w:val="9"/>
        </w:numPr>
        <w:spacing w:before="120" w:after="120" w:line="240" w:lineRule="auto"/>
        <w:contextualSpacing w:val="0"/>
        <w:jc w:val="both"/>
        <w:rPr>
          <w:rFonts w:cstheme="minorHAnsi"/>
          <w:sz w:val="24"/>
          <w:szCs w:val="24"/>
        </w:rPr>
      </w:pPr>
      <w:r w:rsidRPr="0097459F">
        <w:rPr>
          <w:rFonts w:cstheme="minorHAnsi"/>
          <w:sz w:val="24"/>
          <w:szCs w:val="24"/>
        </w:rPr>
        <w:t>OBJETIVOS DO FUNDO: [descrição resumida dos objetivos da classe, de modo que o investidor possa ter um entendimento razoável da natureza e dos riscos envolvidos no investimento].</w:t>
      </w:r>
    </w:p>
    <w:p w14:paraId="63328F1F"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25A97C98" w14:textId="77777777" w:rsidR="00C20BBD" w:rsidRPr="0097459F" w:rsidRDefault="00C20BBD">
      <w:pPr>
        <w:numPr>
          <w:ilvl w:val="0"/>
          <w:numId w:val="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PRESTADORES DE SERVIÇOS:</w:t>
      </w:r>
    </w:p>
    <w:p w14:paraId="721D8F02"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73043DFA"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a. </w:t>
      </w:r>
      <w:r w:rsidRPr="0097459F">
        <w:rPr>
          <w:rFonts w:asciiTheme="minorHAnsi" w:hAnsiTheme="minorHAnsi" w:cstheme="minorHAnsi"/>
          <w:sz w:val="24"/>
          <w:szCs w:val="24"/>
        </w:rPr>
        <w:tab/>
        <w:t>Nome da agência de classificação de risco e rating atribuído às cotas seniores:</w:t>
      </w:r>
    </w:p>
    <w:p w14:paraId="6CCB9387"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b. </w:t>
      </w:r>
      <w:r w:rsidRPr="0097459F">
        <w:rPr>
          <w:rFonts w:asciiTheme="minorHAnsi" w:hAnsiTheme="minorHAnsi" w:cstheme="minorHAnsi"/>
          <w:sz w:val="24"/>
          <w:szCs w:val="24"/>
        </w:rPr>
        <w:tab/>
        <w:t>Nome da entidade registradora de direitos creditórios:</w:t>
      </w:r>
    </w:p>
    <w:p w14:paraId="46821C81"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 </w:t>
      </w:r>
      <w:r w:rsidRPr="0097459F">
        <w:rPr>
          <w:rFonts w:asciiTheme="minorHAnsi" w:hAnsiTheme="minorHAnsi" w:cstheme="minorHAnsi"/>
          <w:sz w:val="24"/>
          <w:szCs w:val="24"/>
        </w:rPr>
        <w:tab/>
        <w:t>Nome do prestador de serviços de custódia:</w:t>
      </w:r>
    </w:p>
    <w:p w14:paraId="08C03CC0"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d. </w:t>
      </w:r>
      <w:r w:rsidRPr="0097459F">
        <w:rPr>
          <w:rFonts w:asciiTheme="minorHAnsi" w:hAnsiTheme="minorHAnsi" w:cstheme="minorHAnsi"/>
          <w:sz w:val="24"/>
          <w:szCs w:val="24"/>
        </w:rPr>
        <w:tab/>
        <w:t>Nome da consultoria especializada (se houver):</w:t>
      </w:r>
    </w:p>
    <w:p w14:paraId="321ADF70" w14:textId="77777777" w:rsidR="00C20BBD" w:rsidRPr="0097459F" w:rsidRDefault="00C20BBD" w:rsidP="00F6174B">
      <w:pPr>
        <w:tabs>
          <w:tab w:val="left" w:pos="567"/>
        </w:tabs>
        <w:spacing w:before="120" w:after="12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e. </w:t>
      </w:r>
      <w:r w:rsidRPr="0097459F">
        <w:rPr>
          <w:rFonts w:asciiTheme="minorHAnsi" w:hAnsiTheme="minorHAnsi" w:cstheme="minorHAnsi"/>
          <w:sz w:val="24"/>
          <w:szCs w:val="24"/>
        </w:rPr>
        <w:tab/>
        <w:t>Nome do agente de cobrança (se houver):</w:t>
      </w:r>
    </w:p>
    <w:p w14:paraId="4BFAAA3F" w14:textId="77777777" w:rsidR="00C20BBD" w:rsidRPr="0097459F" w:rsidRDefault="00C20BBD" w:rsidP="00F6174B">
      <w:pPr>
        <w:spacing w:before="120" w:after="120" w:line="240" w:lineRule="auto"/>
        <w:ind w:firstLine="709"/>
        <w:rPr>
          <w:rFonts w:asciiTheme="minorHAnsi" w:hAnsiTheme="minorHAnsi" w:cstheme="minorHAnsi"/>
          <w:sz w:val="24"/>
          <w:szCs w:val="24"/>
        </w:rPr>
      </w:pPr>
    </w:p>
    <w:p w14:paraId="6A621591" w14:textId="77777777" w:rsidR="00C20BBD" w:rsidRPr="0097459F" w:rsidRDefault="00C20BBD">
      <w:pPr>
        <w:numPr>
          <w:ilvl w:val="0"/>
          <w:numId w:val="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POLÍTICA DE INVESTIMENTO: </w:t>
      </w:r>
    </w:p>
    <w:p w14:paraId="4FE23DFB"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3570AC03" w14:textId="77777777" w:rsidR="00C20BBD" w:rsidRPr="0097459F" w:rsidRDefault="00C20BBD">
      <w:pPr>
        <w:numPr>
          <w:ilvl w:val="1"/>
          <w:numId w:val="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[descrição resumida da política de investimento].</w:t>
      </w:r>
    </w:p>
    <w:p w14:paraId="5FE2CE17" w14:textId="77777777" w:rsidR="00C20BBD" w:rsidRPr="0097459F" w:rsidRDefault="00C20BBD">
      <w:pPr>
        <w:numPr>
          <w:ilvl w:val="1"/>
          <w:numId w:val="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A classe pode:</w:t>
      </w:r>
    </w:p>
    <w:p w14:paraId="1B092C2A" w14:textId="77777777" w:rsidR="00C20BBD" w:rsidRPr="0097459F" w:rsidRDefault="00C20BBD" w:rsidP="00F6174B">
      <w:pPr>
        <w:pStyle w:val="PargrafodaLista1"/>
        <w:spacing w:before="120" w:after="120"/>
        <w:ind w:firstLine="709"/>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8"/>
        <w:gridCol w:w="4017"/>
      </w:tblGrid>
      <w:tr w:rsidR="00C20BBD" w:rsidRPr="0097459F" w14:paraId="3DEDA18C" w14:textId="77777777" w:rsidTr="00ED0447">
        <w:tc>
          <w:tcPr>
            <w:tcW w:w="3030" w:type="pct"/>
            <w:shd w:val="clear" w:color="auto" w:fill="DBE5F1"/>
          </w:tcPr>
          <w:p w14:paraId="49EFF8A3"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ativos financeiros de emissão ou que envolvam coobrigação do administrador, gestor e suas partes relacionadas?</w:t>
            </w:r>
          </w:p>
        </w:tc>
        <w:tc>
          <w:tcPr>
            <w:tcW w:w="1970" w:type="pct"/>
            <w:vAlign w:val="center"/>
          </w:tcPr>
          <w:p w14:paraId="16225398"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4941D3AC" w14:textId="77777777" w:rsidTr="00ED0447">
        <w:tc>
          <w:tcPr>
            <w:tcW w:w="3030" w:type="pct"/>
            <w:shd w:val="clear" w:color="auto" w:fill="DBE5F1"/>
          </w:tcPr>
          <w:p w14:paraId="605B3B98"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operações compromissadas que tenham como contraparte o administrador, gestor e suas partes relacionadas?</w:t>
            </w:r>
          </w:p>
        </w:tc>
        <w:tc>
          <w:tcPr>
            <w:tcW w:w="1970" w:type="pct"/>
            <w:vAlign w:val="center"/>
          </w:tcPr>
          <w:p w14:paraId="270A17DA"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2EB8F252" w14:textId="77777777" w:rsidTr="00ED0447">
        <w:tc>
          <w:tcPr>
            <w:tcW w:w="3030" w:type="pct"/>
            <w:shd w:val="clear" w:color="auto" w:fill="DBE5F1"/>
          </w:tcPr>
          <w:p w14:paraId="7D624047"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cotas de fundos de investimento que contem com os serviços do administrador, gestor, consultoria especializada e suas partes relacionadas?</w:t>
            </w:r>
          </w:p>
        </w:tc>
        <w:tc>
          <w:tcPr>
            <w:tcW w:w="1970" w:type="pct"/>
            <w:vAlign w:val="center"/>
          </w:tcPr>
          <w:p w14:paraId="3D48D8FB"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15965FA4" w14:textId="77777777" w:rsidTr="00ED0447">
        <w:tc>
          <w:tcPr>
            <w:tcW w:w="3030" w:type="pct"/>
            <w:shd w:val="clear" w:color="auto" w:fill="DBE5F1"/>
          </w:tcPr>
          <w:p w14:paraId="0835052A"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direitos creditórios e outros ativos de um mesmo devedor ou de coobrigação de um mesmo devedor está limitado a 20% do patrimônio líquido?</w:t>
            </w:r>
          </w:p>
        </w:tc>
        <w:tc>
          <w:tcPr>
            <w:tcW w:w="1970" w:type="pct"/>
            <w:vAlign w:val="center"/>
          </w:tcPr>
          <w:p w14:paraId="7513D9C5"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r w:rsidR="00C20BBD" w:rsidRPr="0097459F" w14:paraId="1BC646A1" w14:textId="77777777" w:rsidTr="00ED0447">
        <w:tc>
          <w:tcPr>
            <w:tcW w:w="3030" w:type="pct"/>
            <w:shd w:val="clear" w:color="auto" w:fill="DBE5F1"/>
          </w:tcPr>
          <w:p w14:paraId="44DFE0D5" w14:textId="77777777" w:rsidR="00C20BBD" w:rsidRPr="0097459F" w:rsidRDefault="00C20BBD" w:rsidP="00F6174B">
            <w:pPr>
              <w:tabs>
                <w:tab w:val="num" w:pos="1134"/>
              </w:tabs>
              <w:spacing w:before="120" w:after="120" w:line="240" w:lineRule="auto"/>
              <w:jc w:val="both"/>
              <w:rPr>
                <w:rFonts w:asciiTheme="minorHAnsi" w:hAnsiTheme="minorHAnsi" w:cstheme="minorHAnsi"/>
                <w:sz w:val="24"/>
                <w:szCs w:val="24"/>
              </w:rPr>
            </w:pPr>
            <w:r w:rsidRPr="0097459F">
              <w:rPr>
                <w:rFonts w:asciiTheme="minorHAnsi" w:hAnsiTheme="minorHAnsi" w:cstheme="minorHAnsi"/>
                <w:sz w:val="24"/>
                <w:szCs w:val="24"/>
              </w:rPr>
              <w:t>Utilizar derivativos para proteção patrimonial?</w:t>
            </w:r>
          </w:p>
        </w:tc>
        <w:tc>
          <w:tcPr>
            <w:tcW w:w="1970" w:type="pct"/>
            <w:vAlign w:val="center"/>
          </w:tcPr>
          <w:p w14:paraId="5BC12571" w14:textId="77777777" w:rsidR="00C20BBD" w:rsidRPr="0097459F" w:rsidRDefault="00C20BBD" w:rsidP="00F6174B">
            <w:pPr>
              <w:tabs>
                <w:tab w:val="num" w:pos="1134"/>
              </w:tabs>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bl>
    <w:p w14:paraId="20905B84"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5D13A64D" w14:textId="77777777" w:rsidR="00C20BBD" w:rsidRPr="0097459F" w:rsidRDefault="00C20BBD">
      <w:pPr>
        <w:numPr>
          <w:ilvl w:val="0"/>
          <w:numId w:val="9"/>
        </w:numPr>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Para o fundo cujo regulamento permita realizar operações cujas consequências possam ser significativas perdas patrimoniais</w:t>
      </w: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 “</w:t>
      </w:r>
      <w:r w:rsidRPr="0097459F">
        <w:rPr>
          <w:rFonts w:asciiTheme="minorHAnsi" w:hAnsiTheme="minorHAnsi" w:cstheme="minorHAnsi"/>
          <w:sz w:val="24"/>
          <w:szCs w:val="24"/>
        </w:rPr>
        <w:t>As estratégias de investimento do fundo podem resultar em significativas perdas patrimoniais para seus cotistas</w:t>
      </w:r>
      <w:r w:rsidRPr="0097459F">
        <w:rPr>
          <w:rFonts w:asciiTheme="minorHAnsi" w:hAnsiTheme="minorHAnsi" w:cstheme="minorHAnsi"/>
          <w:i/>
          <w:sz w:val="24"/>
          <w:szCs w:val="24"/>
        </w:rPr>
        <w:t>.”</w:t>
      </w:r>
      <w:r w:rsidRPr="0097459F">
        <w:rPr>
          <w:rFonts w:asciiTheme="minorHAnsi" w:hAnsiTheme="minorHAnsi" w:cstheme="minorHAnsi"/>
          <w:sz w:val="24"/>
          <w:szCs w:val="24"/>
        </w:rPr>
        <w:t>]</w:t>
      </w:r>
    </w:p>
    <w:p w14:paraId="55DFBF86"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p w14:paraId="03C35292" w14:textId="77777777" w:rsidR="00C20BBD" w:rsidRPr="0097459F" w:rsidRDefault="00C20BBD">
      <w:pPr>
        <w:numPr>
          <w:ilvl w:val="0"/>
          <w:numId w:val="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CONDIÇÕES DE INVESTIMENTO </w:t>
      </w:r>
    </w:p>
    <w:p w14:paraId="77436B2D" w14:textId="77777777" w:rsidR="00C20BBD" w:rsidRPr="0097459F" w:rsidRDefault="00C20BBD" w:rsidP="00F6174B">
      <w:pPr>
        <w:spacing w:before="120" w:after="120" w:line="240" w:lineRule="auto"/>
        <w:ind w:firstLine="709"/>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6657"/>
      </w:tblGrid>
      <w:tr w:rsidR="00C20BBD" w:rsidRPr="0097459F" w14:paraId="10850665" w14:textId="77777777" w:rsidTr="00ED0447">
        <w:tc>
          <w:tcPr>
            <w:tcW w:w="1735" w:type="pct"/>
            <w:shd w:val="clear" w:color="auto" w:fill="DBE5F1"/>
            <w:vAlign w:val="center"/>
          </w:tcPr>
          <w:p w14:paraId="707389C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Investimento inicial mínimo</w:t>
            </w:r>
          </w:p>
        </w:tc>
        <w:tc>
          <w:tcPr>
            <w:tcW w:w="3265" w:type="pct"/>
            <w:vAlign w:val="center"/>
          </w:tcPr>
          <w:p w14:paraId="1B791E1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236684D0" w14:textId="77777777" w:rsidTr="00ED0447">
        <w:tc>
          <w:tcPr>
            <w:tcW w:w="1735" w:type="pct"/>
            <w:shd w:val="clear" w:color="auto" w:fill="DBE5F1"/>
            <w:vAlign w:val="center"/>
          </w:tcPr>
          <w:p w14:paraId="5A530B9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Horário para aplicação e resgate</w:t>
            </w:r>
          </w:p>
        </w:tc>
        <w:tc>
          <w:tcPr>
            <w:tcW w:w="3265" w:type="pct"/>
            <w:vAlign w:val="center"/>
          </w:tcPr>
          <w:p w14:paraId="3EF04A7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De hh:mm às hh:mm</w:t>
            </w:r>
          </w:p>
        </w:tc>
      </w:tr>
      <w:tr w:rsidR="00C20BBD" w:rsidRPr="0097459F" w14:paraId="330C448D" w14:textId="77777777" w:rsidTr="00ED0447">
        <w:tc>
          <w:tcPr>
            <w:tcW w:w="1735" w:type="pct"/>
            <w:shd w:val="clear" w:color="auto" w:fill="DBE5F1"/>
            <w:vAlign w:val="center"/>
          </w:tcPr>
          <w:p w14:paraId="2F01EC8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Valor mínimo para permanência</w:t>
            </w:r>
          </w:p>
        </w:tc>
        <w:tc>
          <w:tcPr>
            <w:tcW w:w="3265" w:type="pct"/>
            <w:vAlign w:val="center"/>
          </w:tcPr>
          <w:p w14:paraId="77DB4C5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49EAF358" w14:textId="77777777" w:rsidTr="00ED0447">
        <w:tc>
          <w:tcPr>
            <w:tcW w:w="1735" w:type="pct"/>
            <w:shd w:val="clear" w:color="auto" w:fill="DBE5F1"/>
            <w:vAlign w:val="center"/>
          </w:tcPr>
          <w:p w14:paraId="78AEAFCF"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lastRenderedPageBreak/>
              <w:t>Prazo de carência</w:t>
            </w:r>
          </w:p>
        </w:tc>
        <w:tc>
          <w:tcPr>
            <w:tcW w:w="3265" w:type="pct"/>
            <w:vAlign w:val="center"/>
          </w:tcPr>
          <w:p w14:paraId="609B8930"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Os recursos investidos no fundo não podem ser resgatados antes de [●] dias contados da data da aplicação OU [outras condições de carência] OU [não há].</w:t>
            </w:r>
          </w:p>
        </w:tc>
      </w:tr>
      <w:tr w:rsidR="00C20BBD" w:rsidRPr="0097459F" w14:paraId="408263E2" w14:textId="77777777" w:rsidTr="00ED0447">
        <w:tc>
          <w:tcPr>
            <w:tcW w:w="1735" w:type="pct"/>
            <w:shd w:val="clear" w:color="auto" w:fill="DBE5F1"/>
            <w:vAlign w:val="center"/>
          </w:tcPr>
          <w:p w14:paraId="558648F0"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Pagamento dos resgates</w:t>
            </w:r>
          </w:p>
        </w:tc>
        <w:tc>
          <w:tcPr>
            <w:tcW w:w="3265" w:type="pct"/>
            <w:vAlign w:val="center"/>
          </w:tcPr>
          <w:p w14:paraId="1BA91474"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O prazo para o efetivo pagamento dos resgates é de [●]dias [úteis ou corridos], contados da data do pedido de resgate.</w:t>
            </w:r>
          </w:p>
        </w:tc>
      </w:tr>
      <w:tr w:rsidR="00C20BBD" w:rsidRPr="0097459F" w14:paraId="77CD5776" w14:textId="77777777" w:rsidTr="00ED0447">
        <w:tc>
          <w:tcPr>
            <w:tcW w:w="1735" w:type="pct"/>
            <w:shd w:val="clear" w:color="auto" w:fill="DBE5F1"/>
            <w:vAlign w:val="center"/>
          </w:tcPr>
          <w:p w14:paraId="653EA25A"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3265" w:type="pct"/>
            <w:vAlign w:val="center"/>
          </w:tcPr>
          <w:p w14:paraId="2EE73AF3"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ao ano] OU [A taxa de administração pode variar de [●]% a [●]% do patrimônio líquido ao ano].</w:t>
            </w:r>
          </w:p>
        </w:tc>
      </w:tr>
      <w:tr w:rsidR="00C20BBD" w:rsidRPr="0097459F" w14:paraId="368EFDD6" w14:textId="77777777" w:rsidTr="00ED0447">
        <w:tc>
          <w:tcPr>
            <w:tcW w:w="1735" w:type="pct"/>
            <w:shd w:val="clear" w:color="auto" w:fill="DBE5F1"/>
            <w:vAlign w:val="center"/>
          </w:tcPr>
          <w:p w14:paraId="1BA14C3F"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entrada</w:t>
            </w:r>
          </w:p>
        </w:tc>
        <w:tc>
          <w:tcPr>
            <w:tcW w:w="3265" w:type="pct"/>
            <w:vAlign w:val="center"/>
          </w:tcPr>
          <w:p w14:paraId="15F6C277"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[Para entrar no fundo, o investidor paga uma taxa de [●]% da aplicação inicial, que é deduzida diretamente do valor a ser aplicado.] OU [outras condições de entrada] OU [não há].</w:t>
            </w:r>
          </w:p>
        </w:tc>
      </w:tr>
      <w:tr w:rsidR="00C20BBD" w:rsidRPr="0097459F" w14:paraId="01E453F6" w14:textId="77777777" w:rsidTr="00ED0447">
        <w:tc>
          <w:tcPr>
            <w:tcW w:w="1735" w:type="pct"/>
            <w:shd w:val="clear" w:color="auto" w:fill="DBE5F1"/>
            <w:vAlign w:val="center"/>
          </w:tcPr>
          <w:p w14:paraId="26ACD3D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de saída</w:t>
            </w:r>
          </w:p>
        </w:tc>
        <w:tc>
          <w:tcPr>
            <w:tcW w:w="3265" w:type="pct"/>
            <w:vAlign w:val="center"/>
          </w:tcPr>
          <w:p w14:paraId="4F476B18"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[Para resgatar suas cotas do fundo [, antes de decorridos [●] dias da data de aplicação], o investidor paga uma taxa de [●]% do valor do resgate, que é deduzida diretamente do valor a ser recebido.] OU [outras condições de saída] OU [não há].</w:t>
            </w:r>
          </w:p>
        </w:tc>
      </w:tr>
      <w:tr w:rsidR="00C20BBD" w:rsidRPr="0097459F" w14:paraId="15C1A8E3" w14:textId="77777777" w:rsidTr="00ED0447">
        <w:tc>
          <w:tcPr>
            <w:tcW w:w="1735" w:type="pct"/>
            <w:shd w:val="clear" w:color="auto" w:fill="DBE5F1"/>
            <w:vAlign w:val="center"/>
          </w:tcPr>
          <w:p w14:paraId="2F75A87C"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Remuneração do gestor</w:t>
            </w:r>
          </w:p>
        </w:tc>
        <w:tc>
          <w:tcPr>
            <w:tcW w:w="3265" w:type="pct"/>
            <w:vAlign w:val="center"/>
          </w:tcPr>
          <w:p w14:paraId="4FCD65A7"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[descrição sucinta da remuneração do gestor, incluindo, mas não se limitando, a taxa de performance, se houver]</w:t>
            </w:r>
          </w:p>
        </w:tc>
      </w:tr>
      <w:tr w:rsidR="00C20BBD" w:rsidRPr="0097459F" w14:paraId="07CA6268" w14:textId="77777777" w:rsidTr="00ED0447">
        <w:tc>
          <w:tcPr>
            <w:tcW w:w="1735" w:type="pct"/>
            <w:shd w:val="clear" w:color="auto" w:fill="DBE5F1"/>
            <w:vAlign w:val="center"/>
          </w:tcPr>
          <w:p w14:paraId="4178D18D"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3265" w:type="pct"/>
            <w:vAlign w:val="center"/>
          </w:tcPr>
          <w:p w14:paraId="530BD3D5" w14:textId="77777777" w:rsidR="00C20BBD" w:rsidRPr="0097459F" w:rsidRDefault="00C20BBD" w:rsidP="00F6174B">
            <w:pPr>
              <w:spacing w:before="120" w:after="120" w:line="240" w:lineRule="auto"/>
              <w:rPr>
                <w:rFonts w:asciiTheme="minorHAnsi" w:hAnsiTheme="minorHAnsi" w:cstheme="minorHAnsi"/>
                <w:sz w:val="24"/>
                <w:szCs w:val="24"/>
              </w:rPr>
            </w:pPr>
            <w:r w:rsidRPr="0097459F">
              <w:rPr>
                <w:rFonts w:asciiTheme="minorHAnsi" w:hAnsiTheme="minorHAnsi" w:cstheme="minorHAnsi"/>
                <w:sz w:val="24"/>
                <w:szCs w:val="24"/>
              </w:rPr>
              <w:t>As despesas pagas pelo fundo representaram [●]% do seu patrimônio líquido diário médio no período que vai de [●] a [●]. A taxa de despesas pode variar de período para período e reduz a rentabilidade do fundo. O quadro com a descrição das despesas do fundo pode ser encontrado em [endereço eletrônico].</w:t>
            </w:r>
          </w:p>
        </w:tc>
      </w:tr>
    </w:tbl>
    <w:p w14:paraId="7A2DE2F4" w14:textId="77777777" w:rsidR="00C20BBD" w:rsidRPr="0097459F" w:rsidRDefault="00C20BBD" w:rsidP="00F6174B">
      <w:pPr>
        <w:spacing w:before="120" w:after="120" w:line="240" w:lineRule="auto"/>
        <w:jc w:val="both"/>
        <w:rPr>
          <w:rFonts w:asciiTheme="minorHAnsi" w:hAnsiTheme="minorHAnsi" w:cstheme="minorHAnsi"/>
          <w:sz w:val="24"/>
          <w:szCs w:val="24"/>
        </w:rPr>
      </w:pPr>
    </w:p>
    <w:p w14:paraId="4D68AD2A" w14:textId="77777777" w:rsidR="00C20BBD" w:rsidRPr="0097459F" w:rsidRDefault="00C20BBD">
      <w:pPr>
        <w:numPr>
          <w:ilvl w:val="0"/>
          <w:numId w:val="9"/>
        </w:numPr>
        <w:tabs>
          <w:tab w:val="num" w:pos="847"/>
        </w:tabs>
        <w:spacing w:before="120" w:after="12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RISCO: o [nome do administrador] classifica os fundos que administra numa escala de 1 a 5 de acordo com o risco envolvido na estratégia de investimento de cada um deles.  Nessa escala, a classificação do fundo é: </w:t>
      </w:r>
    </w:p>
    <w:p w14:paraId="43C80E48" w14:textId="77777777" w:rsidR="00C20BBD" w:rsidRPr="0097459F" w:rsidRDefault="00C20BBD" w:rsidP="00F6174B">
      <w:pPr>
        <w:pStyle w:val="PargrafodaLista1"/>
        <w:tabs>
          <w:tab w:val="num" w:pos="1134"/>
        </w:tabs>
        <w:spacing w:before="120" w:after="120"/>
        <w:ind w:firstLine="709"/>
        <w:rPr>
          <w:rFonts w:asciiTheme="minorHAnsi" w:hAnsiTheme="minorHAnsi" w:cstheme="minorHAnsi"/>
        </w:rPr>
      </w:pPr>
      <w:r w:rsidRPr="0097459F">
        <w:rPr>
          <w:rFonts w:asciiTheme="minorHAnsi" w:hAnsiTheme="minorHAnsi" w:cstheme="minorHAnsi"/>
          <w:noProof/>
          <w:color w:val="2B579A"/>
          <w:shd w:val="clear" w:color="auto" w:fill="E6E6E6"/>
        </w:rPr>
        <mc:AlternateContent>
          <mc:Choice Requires="wps">
            <w:drawing>
              <wp:anchor distT="0" distB="0" distL="114300" distR="114300" simplePos="0" relativeHeight="251660288" behindDoc="0" locked="0" layoutInCell="1" allowOverlap="1" wp14:anchorId="667FCAEB" wp14:editId="4F9894ED">
                <wp:simplePos x="0" y="0"/>
                <wp:positionH relativeFrom="column">
                  <wp:posOffset>734695</wp:posOffset>
                </wp:positionH>
                <wp:positionV relativeFrom="paragraph">
                  <wp:posOffset>152400</wp:posOffset>
                </wp:positionV>
                <wp:extent cx="5305425" cy="280670"/>
                <wp:effectExtent l="0" t="0" r="9525" b="5080"/>
                <wp:wrapNone/>
                <wp:docPr id="8"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0670"/>
                        </a:xfrm>
                        <a:prstGeom prst="rect">
                          <a:avLst/>
                        </a:prstGeom>
                        <a:solidFill>
                          <a:srgbClr val="FFFFFF"/>
                        </a:solidFill>
                        <a:ln w="9525">
                          <a:solidFill>
                            <a:srgbClr val="000000"/>
                          </a:solidFill>
                          <a:miter lim="800000"/>
                          <a:headEnd/>
                          <a:tailEnd/>
                        </a:ln>
                      </wps:spPr>
                      <wps:txbx>
                        <w:txbxContent>
                          <w:p w14:paraId="3E255B00" w14:textId="77777777" w:rsidR="00F62946" w:rsidRPr="00BF2007" w:rsidRDefault="00F62946"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FCAEB" id="_x0000_t202" coordsize="21600,21600" o:spt="202" path="m,l,21600r21600,l21600,xe">
                <v:stroke joinstyle="miter"/>
                <v:path gradientshapeok="t" o:connecttype="rect"/>
              </v:shapetype>
              <v:shape id="Caixa de Texto 4" o:spid="_x0000_s1026" type="#_x0000_t202" style="position:absolute;left:0;text-align:left;margin-left:57.85pt;margin-top:12pt;width:417.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">
                <v:textbox>
                  <w:txbxContent>
                    <w:p w14:paraId="3E255B00" w14:textId="77777777" w:rsidR="00F62946" w:rsidRPr="00BF2007" w:rsidRDefault="00F62946"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v:textbox>
              </v:shape>
            </w:pict>
          </mc:Fallback>
        </mc:AlternateContent>
      </w:r>
    </w:p>
    <w:p w14:paraId="6CD8BAD1" w14:textId="77777777" w:rsidR="00C20BBD" w:rsidRPr="0097459F" w:rsidRDefault="00C20BBD" w:rsidP="00F6174B">
      <w:pPr>
        <w:pStyle w:val="PargrafodaLista1"/>
        <w:tabs>
          <w:tab w:val="num" w:pos="1134"/>
        </w:tabs>
        <w:spacing w:before="120" w:after="120"/>
        <w:ind w:firstLine="709"/>
        <w:rPr>
          <w:rFonts w:asciiTheme="minorHAnsi" w:hAnsiTheme="minorHAnsi" w:cstheme="minorHAnsi"/>
        </w:rPr>
      </w:pPr>
    </w:p>
    <w:p w14:paraId="4A9765F6" w14:textId="77777777" w:rsidR="00C20BBD" w:rsidRPr="0097459F" w:rsidRDefault="00C20BBD" w:rsidP="00F6174B">
      <w:pPr>
        <w:tabs>
          <w:tab w:val="num" w:pos="567"/>
          <w:tab w:val="num" w:pos="1134"/>
        </w:tabs>
        <w:spacing w:before="120" w:after="120" w:line="240" w:lineRule="auto"/>
        <w:ind w:firstLine="709"/>
        <w:jc w:val="center"/>
        <w:rPr>
          <w:rFonts w:asciiTheme="minorHAnsi" w:hAnsiTheme="minorHAnsi" w:cstheme="minorHAnsi"/>
          <w:sz w:val="24"/>
          <w:szCs w:val="24"/>
        </w:rPr>
      </w:pPr>
      <w:r w:rsidRPr="0097459F">
        <w:rPr>
          <w:rFonts w:asciiTheme="minorHAnsi" w:hAnsiTheme="minorHAnsi" w:cstheme="minorHAnsi"/>
          <w:sz w:val="24"/>
          <w:szCs w:val="24"/>
          <w:bdr w:val="single" w:sz="4" w:space="0" w:color="auto"/>
        </w:rPr>
        <w:t>1</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2</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3</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4</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5</w:t>
      </w:r>
    </w:p>
    <w:p w14:paraId="2D2F67AF" w14:textId="77777777" w:rsidR="00C20BBD" w:rsidRPr="0097459F" w:rsidRDefault="00C20BBD" w:rsidP="00F6174B">
      <w:pPr>
        <w:tabs>
          <w:tab w:val="num" w:pos="567"/>
          <w:tab w:val="num" w:pos="1134"/>
        </w:tabs>
        <w:spacing w:before="120" w:after="120" w:line="240" w:lineRule="auto"/>
        <w:ind w:firstLine="709"/>
        <w:jc w:val="center"/>
        <w:rPr>
          <w:rFonts w:asciiTheme="minorHAnsi" w:hAnsiTheme="minorHAnsi" w:cstheme="minorHAnsi"/>
          <w:sz w:val="24"/>
          <w:szCs w:val="24"/>
        </w:rPr>
      </w:pPr>
      <w:r w:rsidRPr="0097459F">
        <w:rPr>
          <w:rFonts w:asciiTheme="minorHAnsi" w:hAnsiTheme="minorHAnsi" w:cstheme="minorHAnsi"/>
          <w:noProof/>
          <w:color w:val="2B579A"/>
          <w:sz w:val="24"/>
          <w:szCs w:val="24"/>
          <w:shd w:val="clear" w:color="auto" w:fill="E6E6E6"/>
          <w:lang w:eastAsia="pt-BR"/>
        </w:rPr>
        <mc:AlternateContent>
          <mc:Choice Requires="wps">
            <w:drawing>
              <wp:anchor distT="0" distB="0" distL="114300" distR="114300" simplePos="0" relativeHeight="251662336" behindDoc="0" locked="0" layoutInCell="1" allowOverlap="1" wp14:anchorId="2B963618" wp14:editId="3CA60312">
                <wp:simplePos x="0" y="0"/>
                <wp:positionH relativeFrom="column">
                  <wp:posOffset>3232150</wp:posOffset>
                </wp:positionH>
                <wp:positionV relativeFrom="paragraph">
                  <wp:posOffset>26527</wp:posOffset>
                </wp:positionV>
                <wp:extent cx="90805" cy="171450"/>
                <wp:effectExtent l="19050" t="19050" r="23495" b="0"/>
                <wp:wrapNone/>
                <wp:docPr id="7" name="Seta para Ci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up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A429" id="Seta para Cima 3" o:spid="_x0000_s1026" type="#_x0000_t68" style="position:absolute;margin-left:254.5pt;margin-top:2.1pt;width:7.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"/>
            </w:pict>
          </mc:Fallback>
        </mc:AlternateContent>
      </w:r>
    </w:p>
    <w:p w14:paraId="0EA96BD6" w14:textId="77777777" w:rsidR="00C20BBD" w:rsidRPr="0097459F" w:rsidRDefault="00C20BBD" w:rsidP="00F6174B">
      <w:pPr>
        <w:tabs>
          <w:tab w:val="num" w:pos="567"/>
        </w:tabs>
        <w:spacing w:before="120" w:after="120" w:line="240" w:lineRule="auto"/>
        <w:ind w:firstLine="709"/>
        <w:jc w:val="both"/>
        <w:rPr>
          <w:rFonts w:asciiTheme="minorHAnsi" w:hAnsiTheme="minorHAnsi" w:cstheme="minorHAnsi"/>
          <w:sz w:val="24"/>
          <w:szCs w:val="24"/>
        </w:rPr>
      </w:pPr>
    </w:p>
    <w:p w14:paraId="149A9A41" w14:textId="77777777" w:rsidR="00C20BBD" w:rsidRPr="0097459F" w:rsidRDefault="00C20BBD">
      <w:pPr>
        <w:pStyle w:val="NormalWeb"/>
        <w:numPr>
          <w:ilvl w:val="0"/>
          <w:numId w:val="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5 MAIORES EXPOSIÇÕES:</w:t>
      </w:r>
    </w:p>
    <w:p w14:paraId="0A1C7B3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2835"/>
        <w:gridCol w:w="2830"/>
      </w:tblGrid>
      <w:tr w:rsidR="00C20BBD" w:rsidRPr="0097459F" w14:paraId="3A0E714C" w14:textId="77777777" w:rsidTr="00ED0447">
        <w:tc>
          <w:tcPr>
            <w:tcW w:w="3964" w:type="dxa"/>
            <w:shd w:val="clear" w:color="auto" w:fill="DEEAF6"/>
          </w:tcPr>
          <w:p w14:paraId="01AFD163"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Nome do Devedor ou Coobrigado</w:t>
            </w:r>
          </w:p>
        </w:tc>
        <w:tc>
          <w:tcPr>
            <w:tcW w:w="2835" w:type="dxa"/>
            <w:shd w:val="clear" w:color="auto" w:fill="DEEAF6"/>
          </w:tcPr>
          <w:p w14:paraId="510085BA"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CNPJ</w:t>
            </w:r>
          </w:p>
        </w:tc>
        <w:tc>
          <w:tcPr>
            <w:tcW w:w="2830" w:type="dxa"/>
            <w:shd w:val="clear" w:color="auto" w:fill="DEEAF6"/>
          </w:tcPr>
          <w:p w14:paraId="1C170458" w14:textId="77777777" w:rsidR="00C20BBD" w:rsidRPr="0097459F" w:rsidRDefault="00C20BBD" w:rsidP="00F6174B">
            <w:pPr>
              <w:pStyle w:val="NormalWeb"/>
              <w:spacing w:before="120" w:beforeAutospacing="0" w:after="120" w:afterAutospacing="0"/>
              <w:jc w:val="center"/>
              <w:rPr>
                <w:rFonts w:asciiTheme="minorHAnsi" w:hAnsiTheme="minorHAnsi" w:cstheme="minorHAnsi"/>
              </w:rPr>
            </w:pPr>
            <w:r w:rsidRPr="0097459F">
              <w:rPr>
                <w:rFonts w:asciiTheme="minorHAnsi" w:hAnsiTheme="minorHAnsi" w:cstheme="minorHAnsi"/>
              </w:rPr>
              <w:t>% Carteira de Ativos</w:t>
            </w:r>
          </w:p>
        </w:tc>
      </w:tr>
      <w:tr w:rsidR="00C20BBD" w:rsidRPr="0097459F" w14:paraId="113ACF13" w14:textId="77777777" w:rsidTr="00ED0447">
        <w:tc>
          <w:tcPr>
            <w:tcW w:w="3964" w:type="dxa"/>
          </w:tcPr>
          <w:p w14:paraId="571D357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169913AA"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099416C9"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14ABA360" w14:textId="77777777" w:rsidTr="00ED0447">
        <w:tc>
          <w:tcPr>
            <w:tcW w:w="3964" w:type="dxa"/>
          </w:tcPr>
          <w:p w14:paraId="1826CC45"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237727A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2D39923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7234FE22" w14:textId="77777777" w:rsidTr="00ED0447">
        <w:tc>
          <w:tcPr>
            <w:tcW w:w="3964" w:type="dxa"/>
          </w:tcPr>
          <w:p w14:paraId="17A7475C"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076951B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6E70A348"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7BEB8BC6" w14:textId="77777777" w:rsidTr="00ED0447">
        <w:tc>
          <w:tcPr>
            <w:tcW w:w="3964" w:type="dxa"/>
          </w:tcPr>
          <w:p w14:paraId="76065DA7"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6D43C0E2"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5B4B899F"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r w:rsidR="00C20BBD" w:rsidRPr="0097459F" w14:paraId="26905431" w14:textId="77777777" w:rsidTr="00ED0447">
        <w:tc>
          <w:tcPr>
            <w:tcW w:w="3964" w:type="dxa"/>
          </w:tcPr>
          <w:p w14:paraId="165E242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5" w:type="dxa"/>
          </w:tcPr>
          <w:p w14:paraId="349E3534"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c>
          <w:tcPr>
            <w:tcW w:w="2830" w:type="dxa"/>
          </w:tcPr>
          <w:p w14:paraId="346BCC7B"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tc>
      </w:tr>
    </w:tbl>
    <w:p w14:paraId="09FA968C"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6D6E3BEB" w14:textId="77777777" w:rsidR="00C20BBD" w:rsidRPr="0097459F" w:rsidRDefault="00C20BBD">
      <w:pPr>
        <w:pStyle w:val="NormalWeb"/>
        <w:numPr>
          <w:ilvl w:val="0"/>
          <w:numId w:val="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SIMULAÇÃO DE RENTABILIDADE:</w:t>
      </w:r>
    </w:p>
    <w:p w14:paraId="38FD9604"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p>
    <w:p w14:paraId="7370E3CD"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r w:rsidRPr="0097459F">
        <w:rPr>
          <w:rFonts w:asciiTheme="minorHAnsi" w:hAnsiTheme="minorHAnsi" w:cstheme="minorHAnsi"/>
        </w:rPr>
        <w:t xml:space="preserve">a. Rentabilidade: Se você tivesse aplicado R$ 1.000,00 (mil reais) na classe no primeiro dia útil de [ano imediatamente anterior ao de emissão da lâmina] e não houvesse realizado outras aplicações, nem solicitado resgates durante o ano, no primeiro dia útil de [ano de emissão da lâmina], você poderia resgatar R$[●], já deduzidos impostos no valor de R$[●]. </w:t>
      </w:r>
    </w:p>
    <w:p w14:paraId="5018EB97" w14:textId="77777777" w:rsidR="00C20BBD" w:rsidRPr="0097459F" w:rsidRDefault="00C20BBD" w:rsidP="00F6174B">
      <w:pPr>
        <w:pStyle w:val="NormalWeb"/>
        <w:spacing w:before="120" w:beforeAutospacing="0" w:after="120" w:afterAutospacing="0"/>
        <w:ind w:firstLine="709"/>
        <w:jc w:val="both"/>
        <w:rPr>
          <w:rFonts w:asciiTheme="minorHAnsi" w:hAnsiTheme="minorHAnsi" w:cstheme="minorHAnsi"/>
        </w:rPr>
      </w:pPr>
      <w:r w:rsidRPr="0097459F">
        <w:rPr>
          <w:rFonts w:asciiTheme="minorHAnsi" w:hAnsiTheme="minorHAnsi" w:cstheme="minorHAnsi"/>
        </w:rPr>
        <w:t xml:space="preserve">b. Despesas: As despesas totais da classe teriam custado R$[●]. </w:t>
      </w:r>
    </w:p>
    <w:p w14:paraId="6712E54E" w14:textId="77777777" w:rsidR="00C20BBD" w:rsidRPr="0097459F" w:rsidRDefault="00C20BBD" w:rsidP="00F6174B">
      <w:pPr>
        <w:pStyle w:val="NormalWeb"/>
        <w:tabs>
          <w:tab w:val="num" w:pos="1440"/>
        </w:tabs>
        <w:spacing w:before="120" w:beforeAutospacing="0" w:after="120" w:afterAutospacing="0"/>
        <w:ind w:firstLine="709"/>
        <w:jc w:val="both"/>
        <w:rPr>
          <w:rFonts w:asciiTheme="minorHAnsi" w:hAnsiTheme="minorHAnsi" w:cstheme="minorHAnsi"/>
        </w:rPr>
      </w:pPr>
    </w:p>
    <w:p w14:paraId="5AF3DF4A" w14:textId="77777777" w:rsidR="00C20BBD" w:rsidRPr="0097459F" w:rsidRDefault="00C20BBD">
      <w:pPr>
        <w:pStyle w:val="NormalWeb"/>
        <w:numPr>
          <w:ilvl w:val="0"/>
          <w:numId w:val="9"/>
        </w:numPr>
        <w:spacing w:before="120" w:beforeAutospacing="0" w:after="120" w:afterAutospacing="0"/>
        <w:ind w:left="0" w:firstLine="709"/>
        <w:jc w:val="both"/>
        <w:rPr>
          <w:rFonts w:asciiTheme="minorHAnsi" w:hAnsiTheme="minorHAnsi" w:cstheme="minorHAnsi"/>
        </w:rPr>
      </w:pPr>
      <w:r w:rsidRPr="0097459F">
        <w:rPr>
          <w:rFonts w:asciiTheme="minorHAnsi" w:hAnsiTheme="minorHAnsi" w:cstheme="minorHAnsi"/>
        </w:rPr>
        <w:t>POLÍTICA DE DISTRIBUIÇÃO:</w:t>
      </w:r>
    </w:p>
    <w:p w14:paraId="58CA00A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8891B81"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de cotas, abrangendo, no mínimo, o seguinte:</w:t>
      </w:r>
    </w:p>
    <w:p w14:paraId="1EF10D3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p>
    <w:p w14:paraId="2094B94B"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6D27AA16"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b. se o principal distribuidor oferta, para o público-alvo do fundo, preponderantemente fundos geridos por um único gestor, ou por gestores ligados a um mesmo grupo econômico; e</w:t>
      </w:r>
    </w:p>
    <w:p w14:paraId="2BCF1E6E"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43CF2E8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7E393008" w14:textId="77777777" w:rsidR="00C20BBD" w:rsidRPr="0097459F" w:rsidRDefault="00C20BBD">
      <w:pPr>
        <w:pStyle w:val="NormalWeb"/>
        <w:numPr>
          <w:ilvl w:val="0"/>
          <w:numId w:val="9"/>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Cs/>
        </w:rPr>
        <w:t>ATENDIMENTO AO COTISTA:</w:t>
      </w:r>
      <w:r w:rsidRPr="0097459F">
        <w:rPr>
          <w:rFonts w:asciiTheme="minorHAnsi" w:hAnsiTheme="minorHAnsi" w:cstheme="minorHAnsi"/>
        </w:rPr>
        <w:t xml:space="preserve"> </w:t>
      </w:r>
    </w:p>
    <w:p w14:paraId="72F4A32E" w14:textId="77777777" w:rsidR="00C20BBD" w:rsidRPr="0097459F" w:rsidRDefault="00C20BBD" w:rsidP="00A95105">
      <w:pPr>
        <w:pStyle w:val="PargrafodaLista1"/>
        <w:ind w:firstLine="709"/>
        <w:rPr>
          <w:rFonts w:asciiTheme="minorHAnsi" w:hAnsiTheme="minorHAnsi" w:cstheme="minorHAnsi"/>
        </w:rPr>
      </w:pPr>
    </w:p>
    <w:p w14:paraId="2E251AB7" w14:textId="77777777" w:rsidR="00C20BBD" w:rsidRPr="0097459F" w:rsidRDefault="00C20BBD" w:rsidP="00A95105">
      <w:pPr>
        <w:pStyle w:val="NormalWeb"/>
        <w:spacing w:before="0" w:beforeAutospacing="0" w:after="0" w:afterAutospacing="0"/>
        <w:ind w:left="708"/>
        <w:jc w:val="both"/>
        <w:rPr>
          <w:rFonts w:asciiTheme="minorHAnsi" w:hAnsiTheme="minorHAnsi" w:cstheme="minorHAnsi"/>
        </w:rPr>
      </w:pPr>
      <w:r w:rsidRPr="0097459F">
        <w:rPr>
          <w:rFonts w:asciiTheme="minorHAnsi" w:hAnsiTheme="minorHAnsi" w:cstheme="minorHAnsi"/>
          <w:i/>
          <w:iCs/>
        </w:rPr>
        <w:t xml:space="preserve">a. </w:t>
      </w:r>
      <w:r w:rsidRPr="0097459F">
        <w:rPr>
          <w:rFonts w:asciiTheme="minorHAnsi" w:hAnsiTheme="minorHAnsi" w:cstheme="minorHAnsi"/>
          <w:i/>
        </w:rPr>
        <w:t>Telefone</w:t>
      </w:r>
    </w:p>
    <w:p w14:paraId="77C57B38" w14:textId="77777777" w:rsidR="00C20BBD" w:rsidRPr="0097459F" w:rsidRDefault="00C20BBD" w:rsidP="00A95105">
      <w:pPr>
        <w:pStyle w:val="NormalWeb"/>
        <w:spacing w:before="0" w:beforeAutospacing="0" w:after="0" w:afterAutospacing="0"/>
        <w:ind w:left="708"/>
        <w:jc w:val="both"/>
        <w:rPr>
          <w:rFonts w:asciiTheme="minorHAnsi" w:hAnsiTheme="minorHAnsi" w:cstheme="minorHAnsi"/>
        </w:rPr>
      </w:pPr>
      <w:r w:rsidRPr="0097459F">
        <w:rPr>
          <w:rFonts w:asciiTheme="minorHAnsi" w:hAnsiTheme="minorHAnsi" w:cstheme="minorHAnsi"/>
        </w:rPr>
        <w:t>b. Página na rede mundial de computadores</w:t>
      </w:r>
    </w:p>
    <w:p w14:paraId="365A191D" w14:textId="77777777" w:rsidR="00C20BBD" w:rsidRPr="0097459F" w:rsidRDefault="00C20BBD" w:rsidP="00A95105">
      <w:pPr>
        <w:pStyle w:val="NormalWeb"/>
        <w:spacing w:before="0" w:beforeAutospacing="0" w:after="0" w:afterAutospacing="0"/>
        <w:ind w:left="708"/>
        <w:jc w:val="both"/>
        <w:rPr>
          <w:rFonts w:asciiTheme="minorHAnsi" w:eastAsiaTheme="minorEastAsia" w:hAnsiTheme="minorHAnsi" w:cstheme="minorHAnsi"/>
        </w:rPr>
      </w:pPr>
      <w:r w:rsidRPr="0097459F">
        <w:rPr>
          <w:rFonts w:asciiTheme="minorHAnsi" w:hAnsiTheme="minorHAnsi" w:cstheme="minorHAnsi"/>
        </w:rPr>
        <w:t>c. Reclamações: [endereço eletrônico] [e demais canais disponíveis]</w:t>
      </w:r>
    </w:p>
    <w:p w14:paraId="52166C4B" w14:textId="77777777" w:rsidR="00C20BBD" w:rsidRPr="0097459F" w:rsidRDefault="00C20BBD" w:rsidP="00A95105">
      <w:pPr>
        <w:pStyle w:val="NormalWeb"/>
        <w:tabs>
          <w:tab w:val="num" w:pos="426"/>
        </w:tabs>
        <w:spacing w:before="0" w:beforeAutospacing="0" w:after="0" w:afterAutospacing="0"/>
        <w:ind w:left="708"/>
        <w:rPr>
          <w:rFonts w:asciiTheme="minorHAnsi" w:hAnsiTheme="minorHAnsi" w:cstheme="minorHAnsi"/>
        </w:rPr>
      </w:pPr>
      <w:r w:rsidRPr="0097459F">
        <w:rPr>
          <w:rFonts w:asciiTheme="minorHAnsi" w:hAnsiTheme="minorHAnsi" w:cstheme="minorHAnsi"/>
        </w:rPr>
        <w:t xml:space="preserve">d. Serviço de Atendimento ao Cidadão da Comissão de Valores Mobiliários: </w:t>
      </w:r>
      <w:hyperlink r:id="rId36">
        <w:r w:rsidRPr="0097459F">
          <w:rPr>
            <w:rStyle w:val="Hyperlink"/>
            <w:rFonts w:asciiTheme="minorHAnsi" w:eastAsia="Calibri" w:hAnsiTheme="minorHAnsi" w:cstheme="minorHAnsi"/>
          </w:rPr>
          <w:t>www.cvm.gov.br</w:t>
        </w:r>
      </w:hyperlink>
      <w:r w:rsidRPr="0097459F">
        <w:rPr>
          <w:rFonts w:asciiTheme="minorHAnsi" w:hAnsiTheme="minorHAnsi" w:cstheme="minorHAnsi"/>
        </w:rPr>
        <w:t>.</w:t>
      </w:r>
    </w:p>
    <w:p w14:paraId="7FE8DD8A" w14:textId="77777777" w:rsidR="00BB7BEE" w:rsidRDefault="00C20BBD" w:rsidP="00A95105">
      <w:pPr>
        <w:pStyle w:val="NormalWeb"/>
        <w:spacing w:before="0" w:beforeAutospacing="0" w:after="0" w:afterAutospacing="0"/>
        <w:ind w:firstLine="709"/>
        <w:jc w:val="both"/>
        <w:rPr>
          <w:rFonts w:asciiTheme="minorHAnsi" w:hAnsiTheme="minorHAnsi" w:cstheme="minorHAnsi"/>
        </w:rPr>
        <w:sectPr w:rsidR="00BB7BEE" w:rsidSect="002A08BD">
          <w:headerReference w:type="default" r:id="rId37"/>
          <w:headerReference w:type="first" r:id="rId38"/>
          <w:pgSz w:w="11906" w:h="16838"/>
          <w:pgMar w:top="2268" w:right="567" w:bottom="851" w:left="1134" w:header="709" w:footer="709" w:gutter="0"/>
          <w:cols w:space="708"/>
          <w:titlePg/>
          <w:docGrid w:linePitch="360"/>
        </w:sectPr>
      </w:pPr>
      <w:r w:rsidRPr="0097459F">
        <w:rPr>
          <w:rFonts w:asciiTheme="minorHAnsi" w:hAnsiTheme="minorHAnsi" w:cstheme="minorHAnsi"/>
        </w:rPr>
        <w:br w:type="page"/>
      </w:r>
    </w:p>
    <w:p w14:paraId="1C773A52" w14:textId="4B7434D8" w:rsidR="00C20BBD" w:rsidRPr="0097459F" w:rsidRDefault="00C20BBD" w:rsidP="00A95105">
      <w:pPr>
        <w:pStyle w:val="Ttulo1"/>
        <w:spacing w:before="0" w:after="0" w:line="240" w:lineRule="auto"/>
        <w:ind w:firstLine="709"/>
        <w:jc w:val="center"/>
        <w:rPr>
          <w:rFonts w:asciiTheme="minorHAnsi" w:hAnsiTheme="minorHAnsi" w:cstheme="minorHAnsi"/>
          <w:sz w:val="24"/>
          <w:szCs w:val="24"/>
        </w:rPr>
      </w:pPr>
      <w:bookmarkStart w:id="1495" w:name="_Toc53594549"/>
      <w:bookmarkStart w:id="1496" w:name="_Toc53595574"/>
      <w:bookmarkStart w:id="1497" w:name="_Toc53594301"/>
      <w:bookmarkStart w:id="1498" w:name="_Toc57836311"/>
      <w:bookmarkStart w:id="1499" w:name="_Toc17460998"/>
      <w:bookmarkStart w:id="1500" w:name="_Toc161141451"/>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F</w:t>
      </w:r>
      <w:r w:rsidRPr="0097459F">
        <w:rPr>
          <w:rFonts w:asciiTheme="minorHAnsi" w:hAnsiTheme="minorHAnsi" w:cstheme="minorHAnsi"/>
          <w:sz w:val="24"/>
          <w:szCs w:val="24"/>
        </w:rPr>
        <w:t xml:space="preserve"> – LÂMINA DE INFORMAÇÕES </w:t>
      </w:r>
      <w:r w:rsidR="007964B9" w:rsidRPr="0097459F">
        <w:rPr>
          <w:rFonts w:asciiTheme="minorHAnsi" w:hAnsiTheme="minorHAnsi" w:cstheme="minorHAnsi"/>
          <w:sz w:val="24"/>
          <w:szCs w:val="24"/>
        </w:rPr>
        <w:t>BÁS</w:t>
      </w:r>
      <w:r w:rsidR="00C144D7">
        <w:rPr>
          <w:rFonts w:asciiTheme="minorHAnsi" w:hAnsiTheme="minorHAnsi" w:cstheme="minorHAnsi"/>
          <w:sz w:val="24"/>
          <w:szCs w:val="24"/>
        </w:rPr>
        <w:t>I</w:t>
      </w:r>
      <w:r w:rsidR="007964B9" w:rsidRPr="0097459F">
        <w:rPr>
          <w:rFonts w:asciiTheme="minorHAnsi" w:hAnsiTheme="minorHAnsi" w:cstheme="minorHAnsi"/>
          <w:sz w:val="24"/>
          <w:szCs w:val="24"/>
        </w:rPr>
        <w:t>CAS</w:t>
      </w:r>
      <w:r w:rsidR="001E1C46" w:rsidRPr="0097459F">
        <w:rPr>
          <w:rFonts w:asciiTheme="minorHAnsi" w:hAnsiTheme="minorHAnsi" w:cstheme="minorHAnsi"/>
          <w:sz w:val="24"/>
          <w:szCs w:val="24"/>
        </w:rPr>
        <w:t xml:space="preserve"> DE </w:t>
      </w:r>
      <w:r w:rsidR="00A95105" w:rsidRPr="0097459F">
        <w:rPr>
          <w:rFonts w:asciiTheme="minorHAnsi" w:hAnsiTheme="minorHAnsi" w:cstheme="minorHAnsi"/>
          <w:sz w:val="24"/>
          <w:szCs w:val="24"/>
        </w:rPr>
        <w:t>CLASSES</w:t>
      </w:r>
      <w:r w:rsidRPr="0097459F">
        <w:rPr>
          <w:rFonts w:asciiTheme="minorHAnsi" w:hAnsiTheme="minorHAnsi" w:cstheme="minorHAnsi"/>
          <w:sz w:val="24"/>
          <w:szCs w:val="24"/>
        </w:rPr>
        <w:t xml:space="preserve"> DE </w:t>
      </w:r>
      <w:r w:rsidR="00A95105" w:rsidRPr="0097459F">
        <w:rPr>
          <w:rFonts w:asciiTheme="minorHAnsi" w:hAnsiTheme="minorHAnsi" w:cstheme="minorHAnsi"/>
          <w:sz w:val="24"/>
          <w:szCs w:val="24"/>
        </w:rPr>
        <w:t>INVESTIMENTO EM COTAS DE</w:t>
      </w:r>
      <w:r w:rsidR="001E1C46" w:rsidRPr="0097459F">
        <w:rPr>
          <w:rFonts w:asciiTheme="minorHAnsi" w:hAnsiTheme="minorHAnsi" w:cstheme="minorHAnsi"/>
          <w:sz w:val="24"/>
          <w:szCs w:val="24"/>
        </w:rPr>
        <w:t xml:space="preserve"> </w:t>
      </w:r>
      <w:r w:rsidRPr="0097459F">
        <w:rPr>
          <w:rFonts w:asciiTheme="minorHAnsi" w:hAnsiTheme="minorHAnsi" w:cstheme="minorHAnsi"/>
          <w:sz w:val="24"/>
          <w:szCs w:val="24"/>
        </w:rPr>
        <w:t>FIDC</w:t>
      </w:r>
      <w:bookmarkEnd w:id="1495"/>
      <w:bookmarkEnd w:id="1496"/>
      <w:bookmarkEnd w:id="1497"/>
      <w:bookmarkEnd w:id="1498"/>
      <w:bookmarkEnd w:id="1500"/>
    </w:p>
    <w:p w14:paraId="506C1B40" w14:textId="1A664C38" w:rsidR="00C20BBD" w:rsidRPr="0097459F" w:rsidRDefault="00C20BBD" w:rsidP="00A95105">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 xml:space="preserve">Conteúdo da lâmina de informações </w:t>
      </w:r>
      <w:r w:rsidR="001C008B" w:rsidRPr="0097459F">
        <w:rPr>
          <w:rFonts w:asciiTheme="minorHAnsi" w:hAnsiTheme="minorHAnsi" w:cstheme="minorHAnsi"/>
          <w:i/>
          <w:sz w:val="24"/>
          <w:szCs w:val="24"/>
        </w:rPr>
        <w:t>básicas de classes de investimento em cotas de FIDC</w:t>
      </w:r>
      <w:r w:rsidR="008332D2">
        <w:rPr>
          <w:rFonts w:asciiTheme="minorHAnsi" w:hAnsiTheme="minorHAnsi" w:cstheme="minorHAnsi"/>
          <w:i/>
          <w:sz w:val="24"/>
          <w:szCs w:val="24"/>
        </w:rPr>
        <w:t>,</w:t>
      </w:r>
      <w:r w:rsidR="008332D2" w:rsidRPr="008332D2">
        <w:rPr>
          <w:rFonts w:asciiTheme="minorHAnsi" w:eastAsia="Times" w:hAnsiTheme="minorHAnsi" w:cstheme="minorHAnsi"/>
          <w:i/>
          <w:sz w:val="24"/>
          <w:szCs w:val="24"/>
        </w:rPr>
        <w:t xml:space="preserve"> </w:t>
      </w:r>
      <w:r w:rsidR="008332D2">
        <w:rPr>
          <w:rFonts w:asciiTheme="minorHAnsi" w:eastAsia="Times" w:hAnsiTheme="minorHAnsi" w:cstheme="minorHAnsi"/>
          <w:i/>
          <w:sz w:val="24"/>
          <w:szCs w:val="24"/>
        </w:rPr>
        <w:t>conforme previsto no art. 2º, inciso XVI, do Anexo Normativo II da Resolução CVM nº 175, de 2022.</w:t>
      </w:r>
    </w:p>
    <w:p w14:paraId="5E5E4B2D" w14:textId="77777777" w:rsidR="00C20BBD" w:rsidRPr="0097459F" w:rsidRDefault="00C20BBD" w:rsidP="00A95105">
      <w:pPr>
        <w:spacing w:after="0" w:line="240" w:lineRule="auto"/>
        <w:rPr>
          <w:rFonts w:asciiTheme="minorHAnsi" w:hAnsiTheme="minorHAnsi" w:cstheme="minorHAnsi"/>
          <w:sz w:val="24"/>
          <w:szCs w:val="24"/>
        </w:rPr>
      </w:pPr>
    </w:p>
    <w:p w14:paraId="6276F0E3"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LÂMINA DE INFORMAÇÕES ESSENCIAIS SOBRE O [nome de fantasia do fundo e, se for o caso, da classe]</w:t>
      </w:r>
    </w:p>
    <w:p w14:paraId="080411C1"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1F29D210"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bookmarkEnd w:id="1499"/>
    <w:p w14:paraId="226C6517" w14:textId="77777777" w:rsidR="00C20BBD" w:rsidRPr="0097459F" w:rsidRDefault="00C20BBD" w:rsidP="00A95105">
      <w:pPr>
        <w:spacing w:after="0" w:line="240" w:lineRule="auto"/>
        <w:ind w:firstLine="709"/>
        <w:rPr>
          <w:rFonts w:asciiTheme="minorHAnsi" w:hAnsiTheme="minorHAnsi" w:cstheme="minorHAnsi"/>
          <w:sz w:val="24"/>
          <w:szCs w:val="24"/>
        </w:rPr>
      </w:pPr>
    </w:p>
    <w:p w14:paraId="336EDC74" w14:textId="77777777" w:rsidR="00C20BBD" w:rsidRPr="0097459F" w:rsidRDefault="00C20BBD" w:rsidP="00A95105">
      <w:pPr>
        <w:pStyle w:val="Corpodetexto2"/>
        <w:spacing w:after="0" w:line="240" w:lineRule="auto"/>
        <w:ind w:firstLine="709"/>
        <w:jc w:val="both"/>
        <w:rPr>
          <w:rFonts w:asciiTheme="minorHAnsi" w:hAnsiTheme="minorHAnsi" w:cstheme="minorHAnsi"/>
        </w:rPr>
      </w:pPr>
      <w:r w:rsidRPr="0097459F">
        <w:rPr>
          <w:rFonts w:asciiTheme="minorHAnsi" w:hAnsiTheme="minorHAnsi" w:cstheme="minorHAnsi"/>
        </w:rPr>
        <w:t>Esta lâmina contém um resumo das informações essenciais sobre o [nome completo do fundo]</w:t>
      </w:r>
      <w:r w:rsidRPr="0097459F">
        <w:rPr>
          <w:rFonts w:asciiTheme="minorHAnsi" w:hAnsiTheme="minorHAnsi" w:cstheme="minorHAnsi"/>
          <w:u w:val="single"/>
        </w:rPr>
        <w:t xml:space="preserve">, </w:t>
      </w:r>
      <w:r w:rsidRPr="0097459F">
        <w:rPr>
          <w:rFonts w:asciiTheme="minorHAnsi" w:hAnsiTheme="minorHAnsi" w:cstheme="minorHAnsi"/>
        </w:rPr>
        <w:t xml:space="preserve">administrado por [nome completo do administrador] e gerido por [nome completo do gestor]. Informações mais detalhadas sobre esse fundo podem ser obtidas em [endereço eletrônico]. Ao realizar aplicações adicionais, consulte a versão mais atualizada da lâmina. </w:t>
      </w:r>
    </w:p>
    <w:p w14:paraId="3F0C115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4D0280E9" w14:textId="77777777" w:rsidR="00C20BBD" w:rsidRPr="0097459F" w:rsidRDefault="00C20BBD" w:rsidP="00A95105">
      <w:pPr>
        <w:tabs>
          <w:tab w:val="num" w:pos="567"/>
        </w:tabs>
        <w:spacing w:after="0" w:line="240" w:lineRule="auto"/>
        <w:ind w:firstLine="709"/>
        <w:jc w:val="center"/>
        <w:rPr>
          <w:rFonts w:asciiTheme="minorHAnsi" w:hAnsiTheme="minorHAnsi" w:cstheme="minorHAnsi"/>
          <w:b/>
          <w:smallCaps/>
          <w:sz w:val="24"/>
          <w:szCs w:val="24"/>
        </w:rPr>
      </w:pPr>
      <w:r w:rsidRPr="0097459F">
        <w:rPr>
          <w:rFonts w:asciiTheme="minorHAnsi" w:hAnsiTheme="minorHAnsi" w:cstheme="minorHAnsi"/>
          <w:b/>
          <w:smallCaps/>
          <w:sz w:val="24"/>
          <w:szCs w:val="24"/>
        </w:rPr>
        <w:t>Antes de investir, compare o fundo com outros FIC-FIDC destinados ao público em geral.</w:t>
      </w:r>
    </w:p>
    <w:p w14:paraId="741854F7" w14:textId="77777777" w:rsidR="00C20BBD" w:rsidRPr="0097459F" w:rsidRDefault="00C20BBD" w:rsidP="00A95105">
      <w:pPr>
        <w:tabs>
          <w:tab w:val="num" w:pos="567"/>
        </w:tabs>
        <w:spacing w:after="0" w:line="240" w:lineRule="auto"/>
        <w:ind w:firstLine="709"/>
        <w:jc w:val="both"/>
        <w:rPr>
          <w:rFonts w:asciiTheme="minorHAnsi" w:hAnsiTheme="minorHAnsi" w:cstheme="minorHAnsi"/>
          <w:sz w:val="24"/>
          <w:szCs w:val="24"/>
        </w:rPr>
      </w:pPr>
    </w:p>
    <w:p w14:paraId="64807E44" w14:textId="77777777" w:rsidR="00C20BBD" w:rsidRPr="0097459F" w:rsidRDefault="00C20BBD">
      <w:pPr>
        <w:pStyle w:val="PargrafodaLista"/>
        <w:numPr>
          <w:ilvl w:val="0"/>
          <w:numId w:val="8"/>
        </w:numPr>
        <w:tabs>
          <w:tab w:val="left" w:pos="851"/>
        </w:tabs>
        <w:spacing w:after="0" w:line="240" w:lineRule="auto"/>
        <w:ind w:left="0" w:firstLine="709"/>
        <w:contextualSpacing w:val="0"/>
        <w:jc w:val="both"/>
        <w:rPr>
          <w:rFonts w:cstheme="minorHAnsi"/>
          <w:sz w:val="24"/>
          <w:szCs w:val="24"/>
        </w:rPr>
      </w:pPr>
      <w:r w:rsidRPr="0097459F">
        <w:rPr>
          <w:rFonts w:cstheme="minorHAnsi"/>
          <w:sz w:val="24"/>
          <w:szCs w:val="24"/>
        </w:rPr>
        <w:t>PÚBLICO-ALVO: o fundo é destinado a investidores que pretendam: [descrição do público-alvo] e [restrições de investimento].</w:t>
      </w:r>
    </w:p>
    <w:p w14:paraId="3078DE55" w14:textId="77777777" w:rsidR="00C20BBD" w:rsidRPr="0097459F" w:rsidRDefault="00C20BBD" w:rsidP="00A95105">
      <w:pPr>
        <w:pStyle w:val="PargrafodaLista1"/>
        <w:tabs>
          <w:tab w:val="num" w:pos="567"/>
        </w:tabs>
        <w:ind w:firstLine="709"/>
        <w:rPr>
          <w:rFonts w:asciiTheme="minorHAnsi" w:hAnsiTheme="minorHAnsi" w:cstheme="minorHAnsi"/>
        </w:rPr>
      </w:pPr>
    </w:p>
    <w:p w14:paraId="27F61E60" w14:textId="77777777" w:rsidR="00C20BBD" w:rsidRPr="0097459F" w:rsidRDefault="00C20BBD">
      <w:pPr>
        <w:numPr>
          <w:ilvl w:val="0"/>
          <w:numId w:val="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OBJETIVOS DO FUNDO: [descrição resumida dos objetivos do fundo, de modo que o investidor possa ter um entendimento razoável da natureza e dos riscos envolvidos no investimento].</w:t>
      </w:r>
    </w:p>
    <w:p w14:paraId="27F804E5" w14:textId="77777777" w:rsidR="00C20BBD" w:rsidRPr="0097459F" w:rsidRDefault="00C20BBD" w:rsidP="00A95105">
      <w:pPr>
        <w:tabs>
          <w:tab w:val="num" w:pos="567"/>
        </w:tabs>
        <w:spacing w:after="0" w:line="240" w:lineRule="auto"/>
        <w:ind w:firstLine="709"/>
        <w:jc w:val="both"/>
        <w:rPr>
          <w:rFonts w:asciiTheme="minorHAnsi" w:hAnsiTheme="minorHAnsi" w:cstheme="minorHAnsi"/>
          <w:sz w:val="24"/>
          <w:szCs w:val="24"/>
        </w:rPr>
      </w:pPr>
    </w:p>
    <w:p w14:paraId="70E08B9F" w14:textId="77777777" w:rsidR="00C20BBD" w:rsidRPr="0097459F" w:rsidRDefault="00C20BBD">
      <w:pPr>
        <w:numPr>
          <w:ilvl w:val="0"/>
          <w:numId w:val="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PRESTADORES DE SERVIÇOS:</w:t>
      </w:r>
    </w:p>
    <w:p w14:paraId="71594912" w14:textId="77777777" w:rsidR="00C20BBD" w:rsidRPr="0097459F" w:rsidRDefault="00C20BBD" w:rsidP="00A95105">
      <w:pPr>
        <w:spacing w:after="0" w:line="240" w:lineRule="auto"/>
        <w:ind w:firstLine="709"/>
        <w:rPr>
          <w:rFonts w:asciiTheme="minorHAnsi" w:hAnsiTheme="minorHAnsi" w:cstheme="minorHAnsi"/>
          <w:sz w:val="24"/>
          <w:szCs w:val="24"/>
        </w:rPr>
      </w:pPr>
    </w:p>
    <w:p w14:paraId="0955308D" w14:textId="77777777" w:rsidR="00C20BBD" w:rsidRPr="0097459F" w:rsidRDefault="00C20BBD" w:rsidP="00A95105">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a.</w:t>
      </w:r>
      <w:r w:rsidRPr="0097459F">
        <w:rPr>
          <w:rFonts w:asciiTheme="minorHAnsi" w:hAnsiTheme="minorHAnsi" w:cstheme="minorHAnsi"/>
          <w:sz w:val="24"/>
          <w:szCs w:val="24"/>
        </w:rPr>
        <w:tab/>
        <w:t>Nome da agência de classificação de risco e rating atribuído às cotas:</w:t>
      </w:r>
    </w:p>
    <w:p w14:paraId="0641C16D" w14:textId="77777777" w:rsidR="00C20BBD" w:rsidRPr="0097459F" w:rsidRDefault="00C20BBD" w:rsidP="00A95105">
      <w:pPr>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b.</w:t>
      </w:r>
      <w:r w:rsidRPr="0097459F">
        <w:rPr>
          <w:rFonts w:asciiTheme="minorHAnsi" w:hAnsiTheme="minorHAnsi" w:cstheme="minorHAnsi"/>
          <w:sz w:val="24"/>
          <w:szCs w:val="24"/>
        </w:rPr>
        <w:tab/>
        <w:t>Nome do custodiante:</w:t>
      </w:r>
    </w:p>
    <w:p w14:paraId="23A618BD" w14:textId="77777777" w:rsidR="00C20BBD" w:rsidRPr="0097459F" w:rsidRDefault="00C20BBD" w:rsidP="00A95105">
      <w:pPr>
        <w:spacing w:after="0" w:line="240" w:lineRule="auto"/>
        <w:ind w:firstLine="709"/>
        <w:rPr>
          <w:rFonts w:asciiTheme="minorHAnsi" w:hAnsiTheme="minorHAnsi" w:cstheme="minorHAnsi"/>
          <w:sz w:val="24"/>
          <w:szCs w:val="24"/>
        </w:rPr>
      </w:pPr>
    </w:p>
    <w:p w14:paraId="360FCF98" w14:textId="77777777" w:rsidR="00C20BBD" w:rsidRPr="0097459F" w:rsidRDefault="00C20BBD">
      <w:pPr>
        <w:numPr>
          <w:ilvl w:val="0"/>
          <w:numId w:val="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POLÍTICA DE INVESTIMENTO: </w:t>
      </w:r>
    </w:p>
    <w:p w14:paraId="179BD842"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50C40DE1" w14:textId="77777777" w:rsidR="00C20BBD" w:rsidRPr="0097459F" w:rsidRDefault="00C20BBD">
      <w:pPr>
        <w:numPr>
          <w:ilvl w:val="1"/>
          <w:numId w:val="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[descrição resumida da política de investimento].</w:t>
      </w:r>
    </w:p>
    <w:p w14:paraId="3EF2A340" w14:textId="77777777" w:rsidR="00C20BBD" w:rsidRPr="0097459F" w:rsidRDefault="00C20BBD">
      <w:pPr>
        <w:numPr>
          <w:ilvl w:val="1"/>
          <w:numId w:val="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O fundo pode:</w:t>
      </w:r>
    </w:p>
    <w:p w14:paraId="7D6D949B" w14:textId="77777777" w:rsidR="00C20BBD" w:rsidRPr="0097459F" w:rsidRDefault="00C20BBD" w:rsidP="00A95105">
      <w:pPr>
        <w:pStyle w:val="PargrafodaLista1"/>
        <w:ind w:firstLine="709"/>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8"/>
        <w:gridCol w:w="4017"/>
      </w:tblGrid>
      <w:tr w:rsidR="00C20BBD" w:rsidRPr="0097459F" w14:paraId="3A1CC726" w14:textId="77777777" w:rsidTr="00ED0447">
        <w:tc>
          <w:tcPr>
            <w:tcW w:w="3030" w:type="pct"/>
            <w:shd w:val="clear" w:color="auto" w:fill="DBE5F1"/>
          </w:tcPr>
          <w:p w14:paraId="6FEAEDA6"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cotas de FIDC que contem com os serviços do administrador ou gestor?</w:t>
            </w:r>
          </w:p>
        </w:tc>
        <w:tc>
          <w:tcPr>
            <w:tcW w:w="1970" w:type="pct"/>
            <w:vAlign w:val="center"/>
          </w:tcPr>
          <w:p w14:paraId="22ABF683"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3B88F959" w14:textId="77777777" w:rsidTr="00ED0447">
        <w:tc>
          <w:tcPr>
            <w:tcW w:w="3030" w:type="pct"/>
            <w:shd w:val="clear" w:color="auto" w:fill="DBE5F1"/>
          </w:tcPr>
          <w:p w14:paraId="7D10C22F"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ativos financeiros de emissão ou que envolvam coobrigação do administrador, gestor e suas partes relacionadas?</w:t>
            </w:r>
          </w:p>
        </w:tc>
        <w:tc>
          <w:tcPr>
            <w:tcW w:w="1970" w:type="pct"/>
            <w:vAlign w:val="center"/>
          </w:tcPr>
          <w:p w14:paraId="06F68CEC"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1AF8CE81" w14:textId="77777777" w:rsidTr="00ED0447">
        <w:tc>
          <w:tcPr>
            <w:tcW w:w="3030" w:type="pct"/>
            <w:shd w:val="clear" w:color="auto" w:fill="DBE5F1"/>
          </w:tcPr>
          <w:p w14:paraId="10D2AD57"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t>Aplicar em operações compromissadas que tenham como contraparte o administrador, gestor e suas partes relacionadas?</w:t>
            </w:r>
          </w:p>
        </w:tc>
        <w:tc>
          <w:tcPr>
            <w:tcW w:w="1970" w:type="pct"/>
            <w:vAlign w:val="center"/>
          </w:tcPr>
          <w:p w14:paraId="7D50AC8E"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ou [não]</w:t>
            </w:r>
          </w:p>
        </w:tc>
      </w:tr>
      <w:tr w:rsidR="00C20BBD" w:rsidRPr="0097459F" w14:paraId="41AA7F53" w14:textId="77777777" w:rsidTr="00ED0447">
        <w:tc>
          <w:tcPr>
            <w:tcW w:w="3030" w:type="pct"/>
            <w:shd w:val="clear" w:color="auto" w:fill="DBE5F1"/>
          </w:tcPr>
          <w:p w14:paraId="5616FBB6" w14:textId="77777777" w:rsidR="00C20BBD" w:rsidRPr="0097459F" w:rsidRDefault="00C20BBD" w:rsidP="00A95105">
            <w:pPr>
              <w:tabs>
                <w:tab w:val="num" w:pos="1134"/>
              </w:tabs>
              <w:spacing w:after="0" w:line="240" w:lineRule="auto"/>
              <w:jc w:val="both"/>
              <w:rPr>
                <w:rFonts w:asciiTheme="minorHAnsi" w:hAnsiTheme="minorHAnsi" w:cstheme="minorHAnsi"/>
                <w:sz w:val="24"/>
                <w:szCs w:val="24"/>
              </w:rPr>
            </w:pPr>
            <w:r w:rsidRPr="0097459F">
              <w:rPr>
                <w:rFonts w:asciiTheme="minorHAnsi" w:hAnsiTheme="minorHAnsi" w:cstheme="minorHAnsi"/>
                <w:sz w:val="24"/>
                <w:szCs w:val="24"/>
              </w:rPr>
              <w:lastRenderedPageBreak/>
              <w:t>Utilizar derivativos para proteção patrimonial?</w:t>
            </w:r>
          </w:p>
        </w:tc>
        <w:tc>
          <w:tcPr>
            <w:tcW w:w="1970" w:type="pct"/>
            <w:vAlign w:val="center"/>
          </w:tcPr>
          <w:p w14:paraId="4AC34E95" w14:textId="77777777" w:rsidR="00C20BBD" w:rsidRPr="0097459F" w:rsidRDefault="00C20BBD" w:rsidP="00A95105">
            <w:pPr>
              <w:tabs>
                <w:tab w:val="num" w:pos="1134"/>
              </w:tabs>
              <w:spacing w:after="0" w:line="240" w:lineRule="auto"/>
              <w:rPr>
                <w:rFonts w:asciiTheme="minorHAnsi" w:hAnsiTheme="minorHAnsi" w:cstheme="minorHAnsi"/>
                <w:sz w:val="24"/>
                <w:szCs w:val="24"/>
              </w:rPr>
            </w:pPr>
            <w:r w:rsidRPr="0097459F">
              <w:rPr>
                <w:rFonts w:asciiTheme="minorHAnsi" w:hAnsiTheme="minorHAnsi" w:cstheme="minorHAnsi"/>
                <w:sz w:val="24"/>
                <w:szCs w:val="24"/>
              </w:rPr>
              <w:t>[Sim/Não]</w:t>
            </w:r>
          </w:p>
        </w:tc>
      </w:tr>
    </w:tbl>
    <w:p w14:paraId="44E35AC9"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611E9D5F" w14:textId="7C726A8D" w:rsidR="00C20BBD" w:rsidRPr="0097459F" w:rsidRDefault="00C20BBD">
      <w:pPr>
        <w:numPr>
          <w:ilvl w:val="0"/>
          <w:numId w:val="8"/>
        </w:numPr>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Para </w:t>
      </w:r>
      <w:r w:rsidR="00350FD6">
        <w:rPr>
          <w:rFonts w:asciiTheme="minorHAnsi" w:hAnsiTheme="minorHAnsi" w:cstheme="minorHAnsi"/>
          <w:i/>
          <w:sz w:val="24"/>
          <w:szCs w:val="24"/>
        </w:rPr>
        <w:t>a</w:t>
      </w:r>
      <w:r w:rsidRPr="0097459F">
        <w:rPr>
          <w:rFonts w:asciiTheme="minorHAnsi" w:hAnsiTheme="minorHAnsi" w:cstheme="minorHAnsi"/>
          <w:i/>
          <w:sz w:val="24"/>
          <w:szCs w:val="24"/>
        </w:rPr>
        <w:t xml:space="preserve"> classe cujo regulamento permita realizar operações cujas consequências possam ser significativas perdas patrimoniais</w:t>
      </w:r>
      <w:r w:rsidRPr="0097459F">
        <w:rPr>
          <w:rFonts w:asciiTheme="minorHAnsi" w:hAnsiTheme="minorHAnsi" w:cstheme="minorHAnsi"/>
          <w:sz w:val="24"/>
          <w:szCs w:val="24"/>
        </w:rPr>
        <w:t>:</w:t>
      </w:r>
      <w:r w:rsidRPr="0097459F">
        <w:rPr>
          <w:rFonts w:asciiTheme="minorHAnsi" w:hAnsiTheme="minorHAnsi" w:cstheme="minorHAnsi"/>
          <w:i/>
          <w:sz w:val="24"/>
          <w:szCs w:val="24"/>
        </w:rPr>
        <w:t xml:space="preserve"> “</w:t>
      </w:r>
      <w:r w:rsidRPr="0097459F">
        <w:rPr>
          <w:rFonts w:asciiTheme="minorHAnsi" w:hAnsiTheme="minorHAnsi" w:cstheme="minorHAnsi"/>
          <w:sz w:val="24"/>
          <w:szCs w:val="24"/>
        </w:rPr>
        <w:t>As estratégias de investimento da classe podem resultar em significativas perdas patrimoniais para seus cotistas</w:t>
      </w:r>
      <w:r w:rsidRPr="0097459F">
        <w:rPr>
          <w:rFonts w:asciiTheme="minorHAnsi" w:hAnsiTheme="minorHAnsi" w:cstheme="minorHAnsi"/>
          <w:i/>
          <w:sz w:val="24"/>
          <w:szCs w:val="24"/>
        </w:rPr>
        <w:t>.”</w:t>
      </w:r>
      <w:r w:rsidRPr="0097459F">
        <w:rPr>
          <w:rFonts w:asciiTheme="minorHAnsi" w:hAnsiTheme="minorHAnsi" w:cstheme="minorHAnsi"/>
          <w:sz w:val="24"/>
          <w:szCs w:val="24"/>
        </w:rPr>
        <w:t>]</w:t>
      </w:r>
    </w:p>
    <w:p w14:paraId="6E8822DF"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77AEAB49" w14:textId="77777777" w:rsidR="00C20BBD" w:rsidRPr="0097459F" w:rsidRDefault="00C20BBD">
      <w:pPr>
        <w:numPr>
          <w:ilvl w:val="0"/>
          <w:numId w:val="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CONDIÇÕES DE INVESTIMENTO </w:t>
      </w:r>
    </w:p>
    <w:p w14:paraId="02EE0D7A" w14:textId="77777777" w:rsidR="00C20BBD" w:rsidRPr="0097459F" w:rsidRDefault="00C20BBD" w:rsidP="00A95105">
      <w:pPr>
        <w:spacing w:after="0" w:line="240" w:lineRule="auto"/>
        <w:ind w:firstLine="709"/>
        <w:jc w:val="both"/>
        <w:rPr>
          <w:rFonts w:asciiTheme="minorHAnsi" w:hAnsiTheme="minorHAnsi" w:cs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8"/>
        <w:gridCol w:w="6857"/>
      </w:tblGrid>
      <w:tr w:rsidR="00C20BBD" w:rsidRPr="0097459F" w14:paraId="0DEC2D06" w14:textId="77777777" w:rsidTr="00ED0447">
        <w:tc>
          <w:tcPr>
            <w:tcW w:w="1637" w:type="pct"/>
            <w:shd w:val="clear" w:color="auto" w:fill="DBE5F1"/>
            <w:vAlign w:val="center"/>
          </w:tcPr>
          <w:p w14:paraId="0187C1D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Investimento inicial mínimo</w:t>
            </w:r>
          </w:p>
        </w:tc>
        <w:tc>
          <w:tcPr>
            <w:tcW w:w="3363" w:type="pct"/>
            <w:vAlign w:val="center"/>
          </w:tcPr>
          <w:p w14:paraId="5023F148"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647A8BB2" w14:textId="77777777" w:rsidTr="00ED0447">
        <w:tc>
          <w:tcPr>
            <w:tcW w:w="1637" w:type="pct"/>
            <w:shd w:val="clear" w:color="auto" w:fill="DBE5F1"/>
            <w:vAlign w:val="center"/>
          </w:tcPr>
          <w:p w14:paraId="3887E5B2"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Horário para aplicação e resgate</w:t>
            </w:r>
          </w:p>
        </w:tc>
        <w:tc>
          <w:tcPr>
            <w:tcW w:w="3363" w:type="pct"/>
            <w:vAlign w:val="center"/>
          </w:tcPr>
          <w:p w14:paraId="50839F1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 hh:mm às hh:mm</w:t>
            </w:r>
          </w:p>
        </w:tc>
      </w:tr>
      <w:tr w:rsidR="00C20BBD" w:rsidRPr="0097459F" w14:paraId="327FC3B9" w14:textId="77777777" w:rsidTr="00ED0447">
        <w:tc>
          <w:tcPr>
            <w:tcW w:w="1637" w:type="pct"/>
            <w:shd w:val="clear" w:color="auto" w:fill="DBE5F1"/>
            <w:vAlign w:val="center"/>
          </w:tcPr>
          <w:p w14:paraId="4C4E05C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Valor mínimo para permanência</w:t>
            </w:r>
          </w:p>
        </w:tc>
        <w:tc>
          <w:tcPr>
            <w:tcW w:w="3363" w:type="pct"/>
            <w:vAlign w:val="center"/>
          </w:tcPr>
          <w:p w14:paraId="68417704"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 [●] OU [não há]</w:t>
            </w:r>
          </w:p>
        </w:tc>
      </w:tr>
      <w:tr w:rsidR="00C20BBD" w:rsidRPr="0097459F" w14:paraId="6DE8D50E" w14:textId="77777777" w:rsidTr="00ED0447">
        <w:tc>
          <w:tcPr>
            <w:tcW w:w="1637" w:type="pct"/>
            <w:shd w:val="clear" w:color="auto" w:fill="DBE5F1"/>
            <w:vAlign w:val="center"/>
          </w:tcPr>
          <w:p w14:paraId="6A845FE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Prazo de carência</w:t>
            </w:r>
          </w:p>
        </w:tc>
        <w:tc>
          <w:tcPr>
            <w:tcW w:w="3363" w:type="pct"/>
            <w:vAlign w:val="center"/>
          </w:tcPr>
          <w:p w14:paraId="7361117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Os recursos investidos no fundo não podem ser resgatados antes de [●] dias contados da data da aplicação OU [outras condições de carência] OU [não há].</w:t>
            </w:r>
          </w:p>
        </w:tc>
      </w:tr>
      <w:tr w:rsidR="00C20BBD" w:rsidRPr="0097459F" w14:paraId="069D5D66" w14:textId="77777777" w:rsidTr="00ED0447">
        <w:tc>
          <w:tcPr>
            <w:tcW w:w="1637" w:type="pct"/>
            <w:shd w:val="clear" w:color="auto" w:fill="DBE5F1"/>
            <w:vAlign w:val="center"/>
          </w:tcPr>
          <w:p w14:paraId="1842629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Pagamento dos resgates</w:t>
            </w:r>
          </w:p>
        </w:tc>
        <w:tc>
          <w:tcPr>
            <w:tcW w:w="3363" w:type="pct"/>
            <w:vAlign w:val="center"/>
          </w:tcPr>
          <w:p w14:paraId="45CDE37F"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O prazo para o efetivo pagamento dos resgates é de [●]dias [úteis ou corridos], contados da data do pedido de resgate.</w:t>
            </w:r>
          </w:p>
        </w:tc>
      </w:tr>
      <w:tr w:rsidR="00C20BBD" w:rsidRPr="0097459F" w14:paraId="3567C472" w14:textId="77777777" w:rsidTr="00ED0447">
        <w:tc>
          <w:tcPr>
            <w:tcW w:w="1637" w:type="pct"/>
            <w:shd w:val="clear" w:color="auto" w:fill="DBE5F1"/>
            <w:vAlign w:val="center"/>
          </w:tcPr>
          <w:p w14:paraId="5E14D8D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administração</w:t>
            </w:r>
          </w:p>
        </w:tc>
        <w:tc>
          <w:tcPr>
            <w:tcW w:w="3363" w:type="pct"/>
            <w:vAlign w:val="center"/>
          </w:tcPr>
          <w:p w14:paraId="60D062B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do patrimônio líquido ao ano] OU [A taxa de administração pode variar de [●]% a [●]% do patrimônio líquido ao ano].</w:t>
            </w:r>
          </w:p>
        </w:tc>
      </w:tr>
      <w:tr w:rsidR="00C20BBD" w:rsidRPr="0097459F" w14:paraId="792621C5" w14:textId="77777777" w:rsidTr="00ED0447">
        <w:tc>
          <w:tcPr>
            <w:tcW w:w="1637" w:type="pct"/>
            <w:shd w:val="clear" w:color="auto" w:fill="DBE5F1"/>
            <w:vAlign w:val="center"/>
          </w:tcPr>
          <w:p w14:paraId="68E82B91"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entrada</w:t>
            </w:r>
          </w:p>
        </w:tc>
        <w:tc>
          <w:tcPr>
            <w:tcW w:w="3363" w:type="pct"/>
            <w:vAlign w:val="center"/>
          </w:tcPr>
          <w:p w14:paraId="2DDC57E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[Para entrar no fundo, o investidor paga uma taxa de [●]% da aplicação inicial, que é deduzida diretamente do valor a ser aplicado.] OU [outras condições de entrada] OU [não há].</w:t>
            </w:r>
          </w:p>
        </w:tc>
      </w:tr>
      <w:tr w:rsidR="00C20BBD" w:rsidRPr="0097459F" w14:paraId="51B036AA" w14:textId="77777777" w:rsidTr="00ED0447">
        <w:tc>
          <w:tcPr>
            <w:tcW w:w="1637" w:type="pct"/>
            <w:shd w:val="clear" w:color="auto" w:fill="DBE5F1"/>
            <w:vAlign w:val="center"/>
          </w:tcPr>
          <w:p w14:paraId="46EA7A60"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de saída</w:t>
            </w:r>
          </w:p>
        </w:tc>
        <w:tc>
          <w:tcPr>
            <w:tcW w:w="3363" w:type="pct"/>
            <w:vAlign w:val="center"/>
          </w:tcPr>
          <w:p w14:paraId="2C659FCD"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[Para resgatar suas cotas do fundo [, antes de decorridos [●] dias da data de aplicação], o investidor paga uma taxa de [●]% do valor do resgate, que é deduzida diretamente do valor a ser recebido.] OU [outras condições de saída] OU [não há].</w:t>
            </w:r>
          </w:p>
        </w:tc>
      </w:tr>
      <w:tr w:rsidR="00C20BBD" w:rsidRPr="0097459F" w14:paraId="7D49433A" w14:textId="77777777" w:rsidTr="00ED0447">
        <w:tc>
          <w:tcPr>
            <w:tcW w:w="1637" w:type="pct"/>
            <w:shd w:val="clear" w:color="auto" w:fill="DBE5F1"/>
            <w:vAlign w:val="center"/>
          </w:tcPr>
          <w:p w14:paraId="702E04A0"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Remuneração do gestor</w:t>
            </w:r>
          </w:p>
        </w:tc>
        <w:tc>
          <w:tcPr>
            <w:tcW w:w="3363" w:type="pct"/>
            <w:vAlign w:val="center"/>
          </w:tcPr>
          <w:p w14:paraId="30746B68"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[descrição sucinta da remuneração do gestor, incluindo, mas não se limitando, a taxa de performance, se houver]</w:t>
            </w:r>
          </w:p>
        </w:tc>
      </w:tr>
      <w:tr w:rsidR="00C20BBD" w:rsidRPr="0097459F" w14:paraId="59CB1DB3" w14:textId="77777777" w:rsidTr="00ED0447">
        <w:tc>
          <w:tcPr>
            <w:tcW w:w="1637" w:type="pct"/>
            <w:shd w:val="clear" w:color="auto" w:fill="DBE5F1"/>
            <w:vAlign w:val="center"/>
          </w:tcPr>
          <w:p w14:paraId="7EA50F1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Taxa total de despesas</w:t>
            </w:r>
          </w:p>
        </w:tc>
        <w:tc>
          <w:tcPr>
            <w:tcW w:w="3363" w:type="pct"/>
            <w:vAlign w:val="center"/>
          </w:tcPr>
          <w:p w14:paraId="1D40CB7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As despesas pagas pelo fundo representaram [●]% do seu patrimônio líquido diário médio no período que vai de [●] a [●]. A taxa de despesas pode variar de período para período e reduz a rentabilidade do fundo. O quadro com a descrição das despesas do fundo pode ser encontrado em [endereço eletrônico].</w:t>
            </w:r>
          </w:p>
        </w:tc>
      </w:tr>
    </w:tbl>
    <w:p w14:paraId="603F4B12" w14:textId="77777777" w:rsidR="00C20BBD" w:rsidRPr="0097459F" w:rsidRDefault="00C20BBD" w:rsidP="00A95105">
      <w:pPr>
        <w:spacing w:after="0" w:line="240" w:lineRule="auto"/>
        <w:ind w:firstLine="709"/>
        <w:jc w:val="both"/>
        <w:rPr>
          <w:rFonts w:asciiTheme="minorHAnsi" w:hAnsiTheme="minorHAnsi" w:cstheme="minorHAnsi"/>
          <w:sz w:val="24"/>
          <w:szCs w:val="24"/>
        </w:rPr>
      </w:pPr>
    </w:p>
    <w:p w14:paraId="772FD2B8" w14:textId="77777777" w:rsidR="00C20BBD" w:rsidRPr="0097459F" w:rsidRDefault="00C20BBD">
      <w:pPr>
        <w:numPr>
          <w:ilvl w:val="0"/>
          <w:numId w:val="8"/>
        </w:numPr>
        <w:tabs>
          <w:tab w:val="num" w:pos="847"/>
        </w:tabs>
        <w:spacing w:after="0" w:line="240" w:lineRule="auto"/>
        <w:ind w:left="0" w:firstLine="709"/>
        <w:jc w:val="both"/>
        <w:rPr>
          <w:rFonts w:asciiTheme="minorHAnsi" w:hAnsiTheme="minorHAnsi" w:cstheme="minorHAnsi"/>
          <w:sz w:val="24"/>
          <w:szCs w:val="24"/>
        </w:rPr>
      </w:pPr>
      <w:r w:rsidRPr="0097459F">
        <w:rPr>
          <w:rFonts w:asciiTheme="minorHAnsi" w:hAnsiTheme="minorHAnsi" w:cstheme="minorHAnsi"/>
          <w:sz w:val="24"/>
          <w:szCs w:val="24"/>
        </w:rPr>
        <w:t xml:space="preserve">RISCO: o [nome do administrador] classifica os fundos que administra numa escala de 1 a 5 de acordo com o risco envolvido na estratégia de investimento de cada um deles. Nessa escala, a classificação do fundo é: </w:t>
      </w:r>
    </w:p>
    <w:p w14:paraId="00B3CD3E" w14:textId="77777777" w:rsidR="00C20BBD" w:rsidRPr="0097459F" w:rsidRDefault="00C20BBD" w:rsidP="00A95105">
      <w:pPr>
        <w:pStyle w:val="PargrafodaLista1"/>
        <w:tabs>
          <w:tab w:val="num" w:pos="1134"/>
        </w:tabs>
        <w:ind w:firstLine="709"/>
        <w:rPr>
          <w:rFonts w:asciiTheme="minorHAnsi" w:hAnsiTheme="minorHAnsi" w:cstheme="minorHAnsi"/>
        </w:rPr>
      </w:pPr>
      <w:r w:rsidRPr="0097459F">
        <w:rPr>
          <w:rFonts w:asciiTheme="minorHAnsi" w:hAnsiTheme="minorHAnsi" w:cstheme="minorHAnsi"/>
          <w:noProof/>
          <w:color w:val="2B579A"/>
          <w:shd w:val="clear" w:color="auto" w:fill="E6E6E6"/>
        </w:rPr>
        <mc:AlternateContent>
          <mc:Choice Requires="wps">
            <w:drawing>
              <wp:anchor distT="0" distB="0" distL="114300" distR="114300" simplePos="0" relativeHeight="251656192" behindDoc="0" locked="0" layoutInCell="1" allowOverlap="1" wp14:anchorId="47D0A6E6" wp14:editId="2A9FABD5">
                <wp:simplePos x="0" y="0"/>
                <wp:positionH relativeFrom="column">
                  <wp:posOffset>734695</wp:posOffset>
                </wp:positionH>
                <wp:positionV relativeFrom="paragraph">
                  <wp:posOffset>152400</wp:posOffset>
                </wp:positionV>
                <wp:extent cx="5305425" cy="280670"/>
                <wp:effectExtent l="0" t="0" r="9525" b="5080"/>
                <wp:wrapNone/>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0670"/>
                        </a:xfrm>
                        <a:prstGeom prst="rect">
                          <a:avLst/>
                        </a:prstGeom>
                        <a:solidFill>
                          <a:srgbClr val="FFFFFF"/>
                        </a:solidFill>
                        <a:ln w="9525">
                          <a:solidFill>
                            <a:srgbClr val="000000"/>
                          </a:solidFill>
                          <a:miter lim="800000"/>
                          <a:headEnd/>
                          <a:tailEnd/>
                        </a:ln>
                      </wps:spPr>
                      <wps:txbx>
                        <w:txbxContent>
                          <w:p w14:paraId="3A20E89D" w14:textId="77777777" w:rsidR="00F62946" w:rsidRPr="00BF2007" w:rsidRDefault="00F62946"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0A6E6" id="_x0000_s1027" type="#_x0000_t202" style="position:absolute;left:0;text-align:left;margin-left:57.85pt;margin-top:12pt;width:417.7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">
                <v:textbox>
                  <w:txbxContent>
                    <w:p w14:paraId="3A20E89D" w14:textId="77777777" w:rsidR="00F62946" w:rsidRPr="00BF2007" w:rsidRDefault="00F62946" w:rsidP="00C20BBD">
                      <w:pPr>
                        <w:rPr>
                          <w:rFonts w:ascii="Arial" w:hAnsi="Arial" w:cs="Arial"/>
                          <w:sz w:val="16"/>
                          <w:szCs w:val="16"/>
                        </w:rPr>
                      </w:pPr>
                      <w:r w:rsidRPr="00A44E4D">
                        <w:rPr>
                          <w:sz w:val="20"/>
                          <w:szCs w:val="20"/>
                        </w:rPr>
                        <w:t>Menor risco</w:t>
                      </w:r>
                      <w:r w:rsidRPr="00BF2007">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A44E4D">
                        <w:rPr>
                          <w:sz w:val="20"/>
                          <w:szCs w:val="20"/>
                        </w:rPr>
                        <w:t>Maior risco</w:t>
                      </w:r>
                    </w:p>
                  </w:txbxContent>
                </v:textbox>
              </v:shape>
            </w:pict>
          </mc:Fallback>
        </mc:AlternateContent>
      </w:r>
    </w:p>
    <w:p w14:paraId="0CD56253" w14:textId="77777777" w:rsidR="00C20BBD" w:rsidRPr="0097459F" w:rsidRDefault="00C20BBD" w:rsidP="00A95105">
      <w:pPr>
        <w:pStyle w:val="PargrafodaLista1"/>
        <w:tabs>
          <w:tab w:val="num" w:pos="1134"/>
        </w:tabs>
        <w:ind w:firstLine="709"/>
        <w:rPr>
          <w:rFonts w:asciiTheme="minorHAnsi" w:hAnsiTheme="minorHAnsi" w:cstheme="minorHAnsi"/>
        </w:rPr>
      </w:pPr>
    </w:p>
    <w:p w14:paraId="675FDD8D" w14:textId="77777777" w:rsidR="00C20BBD" w:rsidRPr="0097459F" w:rsidRDefault="00C20BBD" w:rsidP="00A95105">
      <w:pPr>
        <w:tabs>
          <w:tab w:val="num" w:pos="567"/>
          <w:tab w:val="num" w:pos="1134"/>
        </w:tabs>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sz w:val="24"/>
          <w:szCs w:val="24"/>
          <w:bdr w:val="single" w:sz="4" w:space="0" w:color="auto"/>
        </w:rPr>
        <w:lastRenderedPageBreak/>
        <w:t>1</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 xml:space="preserve">   2</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 xml:space="preserve">3 </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4</w:t>
      </w:r>
      <w:r w:rsidRPr="0097459F">
        <w:rPr>
          <w:rFonts w:asciiTheme="minorHAnsi" w:hAnsiTheme="minorHAnsi" w:cstheme="minorHAnsi"/>
          <w:sz w:val="24"/>
          <w:szCs w:val="24"/>
          <w:bdr w:val="single" w:sz="4" w:space="0" w:color="auto"/>
        </w:rPr>
        <w:tab/>
      </w:r>
      <w:r w:rsidRPr="0097459F">
        <w:rPr>
          <w:rFonts w:asciiTheme="minorHAnsi" w:hAnsiTheme="minorHAnsi" w:cstheme="minorHAnsi"/>
          <w:sz w:val="24"/>
          <w:szCs w:val="24"/>
          <w:bdr w:val="single" w:sz="4" w:space="0" w:color="auto"/>
        </w:rPr>
        <w:tab/>
        <w:t>5</w:t>
      </w:r>
    </w:p>
    <w:p w14:paraId="63C352E5" w14:textId="77777777" w:rsidR="00C20BBD" w:rsidRPr="0097459F" w:rsidRDefault="00C20BBD" w:rsidP="00A95105">
      <w:pPr>
        <w:tabs>
          <w:tab w:val="num" w:pos="567"/>
          <w:tab w:val="num" w:pos="1134"/>
        </w:tabs>
        <w:spacing w:after="0" w:line="240" w:lineRule="auto"/>
        <w:ind w:firstLine="709"/>
        <w:jc w:val="center"/>
        <w:rPr>
          <w:rFonts w:asciiTheme="minorHAnsi" w:hAnsiTheme="minorHAnsi" w:cstheme="minorHAnsi"/>
          <w:sz w:val="24"/>
          <w:szCs w:val="24"/>
        </w:rPr>
      </w:pPr>
      <w:r w:rsidRPr="0097459F">
        <w:rPr>
          <w:rFonts w:asciiTheme="minorHAnsi" w:hAnsiTheme="minorHAnsi" w:cstheme="minorHAnsi"/>
          <w:noProof/>
          <w:color w:val="2B579A"/>
          <w:sz w:val="24"/>
          <w:szCs w:val="24"/>
          <w:shd w:val="clear" w:color="auto" w:fill="E6E6E6"/>
          <w:lang w:eastAsia="pt-BR"/>
        </w:rPr>
        <mc:AlternateContent>
          <mc:Choice Requires="wps">
            <w:drawing>
              <wp:anchor distT="0" distB="0" distL="114300" distR="114300" simplePos="0" relativeHeight="251658240" behindDoc="0" locked="0" layoutInCell="1" allowOverlap="1" wp14:anchorId="4A8FE1E5" wp14:editId="0CD9EE07">
                <wp:simplePos x="0" y="0"/>
                <wp:positionH relativeFrom="column">
                  <wp:posOffset>4137025</wp:posOffset>
                </wp:positionH>
                <wp:positionV relativeFrom="paragraph">
                  <wp:posOffset>6985</wp:posOffset>
                </wp:positionV>
                <wp:extent cx="90805" cy="171450"/>
                <wp:effectExtent l="19050" t="19050" r="23495" b="0"/>
                <wp:wrapNone/>
                <wp:docPr id="4" name="Seta para Ci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up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072D" id="Seta para Cima 3" o:spid="_x0000_s1026" type="#_x0000_t68" style="position:absolute;margin-left:325.75pt;margin-top:.55pt;width:7.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"/>
            </w:pict>
          </mc:Fallback>
        </mc:AlternateContent>
      </w:r>
    </w:p>
    <w:p w14:paraId="35CAB3CA" w14:textId="77777777" w:rsidR="00C20BBD" w:rsidRPr="0097459F" w:rsidRDefault="00C20BBD">
      <w:pPr>
        <w:pStyle w:val="NormalWeb"/>
        <w:numPr>
          <w:ilvl w:val="0"/>
          <w:numId w:val="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5 MAIORES EXPOSIÇÕES:</w:t>
      </w:r>
    </w:p>
    <w:p w14:paraId="3C601810"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196"/>
        <w:gridCol w:w="3219"/>
      </w:tblGrid>
      <w:tr w:rsidR="00C20BBD" w:rsidRPr="0097459F" w14:paraId="71157191" w14:textId="77777777" w:rsidTr="00ED0447">
        <w:tc>
          <w:tcPr>
            <w:tcW w:w="3398" w:type="dxa"/>
            <w:shd w:val="clear" w:color="auto" w:fill="DEEAF6"/>
          </w:tcPr>
          <w:p w14:paraId="4D87E2D2"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Nome do FUNDO</w:t>
            </w:r>
          </w:p>
        </w:tc>
        <w:tc>
          <w:tcPr>
            <w:tcW w:w="3398" w:type="dxa"/>
            <w:shd w:val="clear" w:color="auto" w:fill="DEEAF6"/>
          </w:tcPr>
          <w:p w14:paraId="7115774A"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CNPJ</w:t>
            </w:r>
          </w:p>
        </w:tc>
        <w:tc>
          <w:tcPr>
            <w:tcW w:w="3399" w:type="dxa"/>
            <w:shd w:val="clear" w:color="auto" w:fill="DEEAF6"/>
          </w:tcPr>
          <w:p w14:paraId="5F8E4C64" w14:textId="77777777" w:rsidR="00C20BBD" w:rsidRPr="0097459F" w:rsidRDefault="00C20BBD" w:rsidP="00A95105">
            <w:pPr>
              <w:pStyle w:val="NormalWeb"/>
              <w:spacing w:before="0" w:beforeAutospacing="0" w:after="0" w:afterAutospacing="0"/>
              <w:jc w:val="center"/>
              <w:rPr>
                <w:rFonts w:asciiTheme="minorHAnsi" w:hAnsiTheme="minorHAnsi" w:cstheme="minorHAnsi"/>
              </w:rPr>
            </w:pPr>
            <w:r w:rsidRPr="0097459F">
              <w:rPr>
                <w:rFonts w:asciiTheme="minorHAnsi" w:hAnsiTheme="minorHAnsi" w:cstheme="minorHAnsi"/>
              </w:rPr>
              <w:t>% Carteira de Ativos</w:t>
            </w:r>
          </w:p>
        </w:tc>
      </w:tr>
      <w:tr w:rsidR="00C20BBD" w:rsidRPr="0097459F" w14:paraId="1E2BE9A3" w14:textId="77777777" w:rsidTr="00ED0447">
        <w:tc>
          <w:tcPr>
            <w:tcW w:w="3398" w:type="dxa"/>
          </w:tcPr>
          <w:p w14:paraId="5EB2AE53"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07D6A0A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4FDE4C8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3E112B8B" w14:textId="77777777" w:rsidTr="00ED0447">
        <w:tc>
          <w:tcPr>
            <w:tcW w:w="3398" w:type="dxa"/>
          </w:tcPr>
          <w:p w14:paraId="15AEC3F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6CA0CBF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6FBCEE5C"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13ED79B6" w14:textId="77777777" w:rsidTr="00ED0447">
        <w:tc>
          <w:tcPr>
            <w:tcW w:w="3398" w:type="dxa"/>
          </w:tcPr>
          <w:p w14:paraId="33C0518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7404A6AB"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717AED46"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56EF0ABA" w14:textId="77777777" w:rsidTr="00ED0447">
        <w:tc>
          <w:tcPr>
            <w:tcW w:w="3398" w:type="dxa"/>
          </w:tcPr>
          <w:p w14:paraId="18630885"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2A4AA225"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0C3B3864"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r w:rsidR="00C20BBD" w:rsidRPr="0097459F" w14:paraId="78DE5F44" w14:textId="77777777" w:rsidTr="00ED0447">
        <w:tc>
          <w:tcPr>
            <w:tcW w:w="3398" w:type="dxa"/>
          </w:tcPr>
          <w:p w14:paraId="2B7B567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8" w:type="dxa"/>
          </w:tcPr>
          <w:p w14:paraId="35B0E55A"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c>
          <w:tcPr>
            <w:tcW w:w="3399" w:type="dxa"/>
          </w:tcPr>
          <w:p w14:paraId="5E5B8A88"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tc>
      </w:tr>
    </w:tbl>
    <w:p w14:paraId="05F9A81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5B17176" w14:textId="77777777" w:rsidR="00C20BBD" w:rsidRPr="0097459F" w:rsidRDefault="00C20BBD">
      <w:pPr>
        <w:pStyle w:val="NormalWeb"/>
        <w:numPr>
          <w:ilvl w:val="0"/>
          <w:numId w:val="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SIMULAÇÃO DE RENTABILIDADE:</w:t>
      </w:r>
    </w:p>
    <w:p w14:paraId="135A9B2E"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15FFE8FD" w14:textId="77777777" w:rsidR="00C20BBD" w:rsidRPr="0097459F" w:rsidRDefault="00C20BBD" w:rsidP="00A95105">
      <w:pPr>
        <w:pStyle w:val="NormalWeb"/>
        <w:spacing w:before="0" w:beforeAutospacing="0" w:after="0" w:afterAutospacing="0"/>
        <w:ind w:left="709"/>
        <w:jc w:val="both"/>
        <w:rPr>
          <w:rFonts w:asciiTheme="minorHAnsi" w:hAnsiTheme="minorHAnsi" w:cstheme="minorHAnsi"/>
        </w:rPr>
      </w:pPr>
      <w:r w:rsidRPr="0097459F">
        <w:rPr>
          <w:rFonts w:asciiTheme="minorHAnsi" w:hAnsiTheme="minorHAnsi" w:cstheme="minorHAnsi"/>
        </w:rPr>
        <w:t xml:space="preserve">a. Rentabilidade: Se você tivesse aplicado R$ 1.000,00 (mil reais) no fundo no primeiro dia útil de [ano imediatamente anterior ao de emissão da lâmina] e não houvesse realizado outras aplicações, nem solicitado resgates durante o ano, no primeiro dia útil de [ano de emissão da lâmina], você poderia resgatar R$[●], já deduzidos impostos no valor de R$[●]. </w:t>
      </w:r>
    </w:p>
    <w:p w14:paraId="1599EB02" w14:textId="77777777" w:rsidR="00C20BBD" w:rsidRPr="0097459F" w:rsidRDefault="00C20BBD" w:rsidP="00A95105">
      <w:pPr>
        <w:pStyle w:val="NormalWeb"/>
        <w:tabs>
          <w:tab w:val="num" w:pos="567"/>
        </w:tabs>
        <w:spacing w:before="0" w:beforeAutospacing="0" w:after="0" w:afterAutospacing="0"/>
        <w:ind w:firstLine="709"/>
        <w:jc w:val="both"/>
        <w:rPr>
          <w:rFonts w:asciiTheme="minorHAnsi" w:hAnsiTheme="minorHAnsi" w:cstheme="minorHAnsi"/>
        </w:rPr>
      </w:pPr>
    </w:p>
    <w:p w14:paraId="4CD96EF0" w14:textId="77777777" w:rsidR="00C20BBD" w:rsidRPr="0097459F" w:rsidRDefault="00C20BBD" w:rsidP="00A95105">
      <w:pPr>
        <w:pStyle w:val="NormalWeb"/>
        <w:spacing w:before="0" w:beforeAutospacing="0" w:after="0" w:afterAutospacing="0"/>
        <w:ind w:left="709"/>
        <w:jc w:val="both"/>
        <w:rPr>
          <w:rFonts w:asciiTheme="minorHAnsi" w:hAnsiTheme="minorHAnsi" w:cstheme="minorHAnsi"/>
        </w:rPr>
      </w:pPr>
      <w:r w:rsidRPr="0097459F">
        <w:rPr>
          <w:rFonts w:asciiTheme="minorHAnsi" w:hAnsiTheme="minorHAnsi" w:cstheme="minorHAnsi"/>
        </w:rPr>
        <w:t xml:space="preserve">b. Despesas: As despesas totais do fundo teriam custado R$[●]. </w:t>
      </w:r>
    </w:p>
    <w:p w14:paraId="4C81C467"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29588DBE" w14:textId="77777777" w:rsidR="00C20BBD" w:rsidRPr="0097459F" w:rsidRDefault="00C20BBD">
      <w:pPr>
        <w:pStyle w:val="NormalWeb"/>
        <w:numPr>
          <w:ilvl w:val="0"/>
          <w:numId w:val="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rPr>
        <w:t>POLÍTICA DE DISTRIBUIÇÃO:</w:t>
      </w:r>
    </w:p>
    <w:p w14:paraId="45428232"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23899FA4"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rPr>
        <w:t>[</w:t>
      </w:r>
      <w:r w:rsidRPr="0097459F">
        <w:rPr>
          <w:rFonts w:asciiTheme="minorHAnsi" w:hAnsiTheme="minorHAnsi" w:cstheme="minorHAnsi"/>
          <w:i/>
        </w:rPr>
        <w:t>Descrição resumida da política de distribuição de cotas, abrangendo, no mínimo, o seguinte:</w:t>
      </w:r>
    </w:p>
    <w:p w14:paraId="71BE2A7F"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p>
    <w:p w14:paraId="277134C3"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 xml:space="preserve">a. descrição da forma de remuneração dos distribuidores; </w:t>
      </w:r>
    </w:p>
    <w:p w14:paraId="0C5EE58C"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b. se o principal distribuidor oferta, para o público-alvo do fundo, preponderantemente fundos geridos por um único gestor, ou por gestores ligados a um mesmo grupo econômico; e</w:t>
      </w:r>
    </w:p>
    <w:p w14:paraId="157506A9"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i/>
        </w:rPr>
      </w:pPr>
      <w:r w:rsidRPr="0097459F">
        <w:rPr>
          <w:rFonts w:asciiTheme="minorHAnsi" w:hAnsiTheme="minorHAnsi" w:cstheme="minorHAnsi"/>
          <w:i/>
        </w:rPr>
        <w:t>c. qualquer informação que indique a existência de conflito de interesses no esforço de venda]</w:t>
      </w:r>
    </w:p>
    <w:p w14:paraId="458D3DDD" w14:textId="77777777" w:rsidR="00C20BBD" w:rsidRPr="0097459F" w:rsidRDefault="00C20BBD" w:rsidP="00A95105">
      <w:pPr>
        <w:pStyle w:val="NormalWeb"/>
        <w:spacing w:before="0" w:beforeAutospacing="0" w:after="0" w:afterAutospacing="0"/>
        <w:ind w:firstLine="709"/>
        <w:jc w:val="both"/>
        <w:rPr>
          <w:rFonts w:asciiTheme="minorHAnsi" w:hAnsiTheme="minorHAnsi" w:cstheme="minorHAnsi"/>
        </w:rPr>
      </w:pPr>
    </w:p>
    <w:p w14:paraId="568B112A" w14:textId="77777777" w:rsidR="00C20BBD" w:rsidRPr="0097459F" w:rsidRDefault="00C20BBD">
      <w:pPr>
        <w:pStyle w:val="NormalWeb"/>
        <w:numPr>
          <w:ilvl w:val="0"/>
          <w:numId w:val="8"/>
        </w:numPr>
        <w:spacing w:before="0" w:beforeAutospacing="0" w:after="0" w:afterAutospacing="0"/>
        <w:ind w:left="0" w:firstLine="709"/>
        <w:jc w:val="both"/>
        <w:rPr>
          <w:rFonts w:asciiTheme="minorHAnsi" w:hAnsiTheme="minorHAnsi" w:cstheme="minorHAnsi"/>
        </w:rPr>
      </w:pPr>
      <w:r w:rsidRPr="0097459F">
        <w:rPr>
          <w:rFonts w:asciiTheme="minorHAnsi" w:hAnsiTheme="minorHAnsi" w:cstheme="minorHAnsi"/>
          <w:bCs/>
        </w:rPr>
        <w:t>ATENDIMENTO AO COTISTA:</w:t>
      </w:r>
      <w:r w:rsidRPr="0097459F">
        <w:rPr>
          <w:rFonts w:asciiTheme="minorHAnsi" w:hAnsiTheme="minorHAnsi" w:cstheme="minorHAnsi"/>
        </w:rPr>
        <w:t xml:space="preserve"> </w:t>
      </w:r>
    </w:p>
    <w:p w14:paraId="301E55D8" w14:textId="77777777" w:rsidR="00C20BBD" w:rsidRPr="0097459F" w:rsidRDefault="00C20BBD" w:rsidP="00A95105">
      <w:pPr>
        <w:pStyle w:val="PargrafodaLista1"/>
        <w:ind w:firstLine="709"/>
        <w:rPr>
          <w:rFonts w:asciiTheme="minorHAnsi" w:hAnsiTheme="minorHAnsi" w:cstheme="minorHAnsi"/>
        </w:rPr>
      </w:pPr>
    </w:p>
    <w:p w14:paraId="16D0144A" w14:textId="77777777" w:rsidR="00C20BBD" w:rsidRPr="0097459F" w:rsidRDefault="00C20BBD">
      <w:pPr>
        <w:pStyle w:val="NormalWeb"/>
        <w:numPr>
          <w:ilvl w:val="0"/>
          <w:numId w:val="1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Telefone</w:t>
      </w:r>
    </w:p>
    <w:p w14:paraId="726B0839" w14:textId="77777777" w:rsidR="00C20BBD" w:rsidRPr="0097459F" w:rsidRDefault="00C20BBD">
      <w:pPr>
        <w:pStyle w:val="NormalWeb"/>
        <w:numPr>
          <w:ilvl w:val="0"/>
          <w:numId w:val="1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Página na rede mundial de computadores</w:t>
      </w:r>
    </w:p>
    <w:p w14:paraId="77AF638B" w14:textId="77777777" w:rsidR="00C20BBD" w:rsidRPr="0097459F" w:rsidRDefault="00C20BBD">
      <w:pPr>
        <w:pStyle w:val="NormalWeb"/>
        <w:numPr>
          <w:ilvl w:val="0"/>
          <w:numId w:val="1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Reclamações: [endereço eletrônico] [e demais canais disponíveis]</w:t>
      </w:r>
    </w:p>
    <w:p w14:paraId="4C98D081" w14:textId="73EC6CAB" w:rsidR="00C20BBD" w:rsidRDefault="00C20BBD">
      <w:pPr>
        <w:pStyle w:val="NormalWeb"/>
        <w:numPr>
          <w:ilvl w:val="0"/>
          <w:numId w:val="11"/>
        </w:numPr>
        <w:spacing w:before="0" w:beforeAutospacing="0" w:after="0" w:afterAutospacing="0"/>
        <w:ind w:hanging="11"/>
        <w:jc w:val="both"/>
        <w:rPr>
          <w:rFonts w:asciiTheme="minorHAnsi" w:hAnsiTheme="minorHAnsi" w:cstheme="minorHAnsi"/>
        </w:rPr>
      </w:pPr>
      <w:r w:rsidRPr="0097459F">
        <w:rPr>
          <w:rFonts w:asciiTheme="minorHAnsi" w:hAnsiTheme="minorHAnsi" w:cstheme="minorHAnsi"/>
        </w:rPr>
        <w:t xml:space="preserve">Serviço de Atendimento ao Cidadão da </w:t>
      </w:r>
      <w:r w:rsidRPr="0097459F">
        <w:rPr>
          <w:rFonts w:asciiTheme="minorHAnsi" w:hAnsiTheme="minorHAnsi" w:cstheme="minorHAnsi"/>
          <w:bCs/>
        </w:rPr>
        <w:t xml:space="preserve">Comissão de Valores Mobiliários: </w:t>
      </w:r>
      <w:hyperlink r:id="rId39" w:history="1">
        <w:r w:rsidRPr="0097459F">
          <w:rPr>
            <w:rStyle w:val="Hyperlink"/>
            <w:rFonts w:asciiTheme="minorHAnsi" w:eastAsia="Calibri" w:hAnsiTheme="minorHAnsi" w:cstheme="minorHAnsi"/>
          </w:rPr>
          <w:t>www.cvm.gov.br</w:t>
        </w:r>
      </w:hyperlink>
      <w:r w:rsidRPr="0097459F">
        <w:rPr>
          <w:rFonts w:asciiTheme="minorHAnsi" w:hAnsiTheme="minorHAnsi" w:cstheme="minorHAnsi"/>
        </w:rPr>
        <w:t>.</w:t>
      </w:r>
    </w:p>
    <w:p w14:paraId="594CF575" w14:textId="77777777" w:rsidR="006A4600" w:rsidRDefault="006A4600" w:rsidP="006A4600">
      <w:pPr>
        <w:pStyle w:val="NormalWeb"/>
        <w:spacing w:before="0" w:beforeAutospacing="0" w:after="0" w:afterAutospacing="0"/>
        <w:ind w:left="709"/>
        <w:jc w:val="both"/>
        <w:rPr>
          <w:rFonts w:asciiTheme="minorHAnsi" w:hAnsiTheme="minorHAnsi" w:cstheme="minorHAnsi"/>
        </w:rPr>
      </w:pPr>
    </w:p>
    <w:p w14:paraId="5D31D8D9" w14:textId="77777777" w:rsidR="006A4600" w:rsidRDefault="006A4600">
      <w:pPr>
        <w:spacing w:after="160" w:line="259" w:lineRule="auto"/>
        <w:rPr>
          <w:rFonts w:asciiTheme="minorHAnsi" w:hAnsiTheme="minorHAnsi" w:cstheme="minorHAnsi"/>
        </w:rPr>
        <w:sectPr w:rsidR="006A4600" w:rsidSect="002A08BD">
          <w:headerReference w:type="default" r:id="rId40"/>
          <w:headerReference w:type="first" r:id="rId41"/>
          <w:pgSz w:w="11906" w:h="16838"/>
          <w:pgMar w:top="2268" w:right="567" w:bottom="851" w:left="1134" w:header="709" w:footer="709" w:gutter="0"/>
          <w:cols w:space="708"/>
          <w:titlePg/>
          <w:docGrid w:linePitch="360"/>
        </w:sectPr>
      </w:pPr>
      <w:r>
        <w:rPr>
          <w:rFonts w:asciiTheme="minorHAnsi" w:hAnsiTheme="minorHAnsi" w:cstheme="minorHAnsi"/>
        </w:rPr>
        <w:br w:type="page"/>
      </w:r>
    </w:p>
    <w:p w14:paraId="1D83B03E" w14:textId="7108581D" w:rsidR="00C20BBD" w:rsidRPr="0097459F" w:rsidRDefault="00C20BBD" w:rsidP="00A95105">
      <w:pPr>
        <w:pStyle w:val="Ttulo1"/>
        <w:spacing w:before="0" w:after="0" w:line="240" w:lineRule="auto"/>
        <w:jc w:val="center"/>
        <w:rPr>
          <w:rFonts w:asciiTheme="minorHAnsi" w:hAnsiTheme="minorHAnsi" w:cstheme="minorHAnsi"/>
          <w:b w:val="0"/>
          <w:sz w:val="24"/>
          <w:szCs w:val="24"/>
        </w:rPr>
      </w:pPr>
      <w:bookmarkStart w:id="1501" w:name="_Toc57836312"/>
      <w:bookmarkStart w:id="1502" w:name="_Toc161141452"/>
      <w:r w:rsidRPr="0097459F">
        <w:rPr>
          <w:rFonts w:asciiTheme="minorHAnsi" w:hAnsiTheme="minorHAnsi" w:cstheme="minorHAnsi"/>
          <w:sz w:val="24"/>
          <w:szCs w:val="24"/>
        </w:rPr>
        <w:lastRenderedPageBreak/>
        <w:t xml:space="preserve">SUPLEMENTO </w:t>
      </w:r>
      <w:r w:rsidR="001F69FD" w:rsidRPr="0097459F">
        <w:rPr>
          <w:rFonts w:asciiTheme="minorHAnsi" w:hAnsiTheme="minorHAnsi" w:cstheme="minorHAnsi"/>
          <w:sz w:val="24"/>
          <w:szCs w:val="24"/>
        </w:rPr>
        <w:t>G</w:t>
      </w:r>
      <w:r w:rsidRPr="0097459F">
        <w:rPr>
          <w:rFonts w:asciiTheme="minorHAnsi" w:hAnsiTheme="minorHAnsi" w:cstheme="minorHAnsi"/>
          <w:sz w:val="24"/>
          <w:szCs w:val="24"/>
        </w:rPr>
        <w:t xml:space="preserve"> - </w:t>
      </w:r>
      <w:r w:rsidR="00DD32DB" w:rsidRPr="0097459F">
        <w:rPr>
          <w:rFonts w:asciiTheme="minorHAnsi" w:hAnsiTheme="minorHAnsi" w:cstheme="minorHAnsi"/>
          <w:sz w:val="24"/>
          <w:szCs w:val="24"/>
        </w:rPr>
        <w:t>I</w:t>
      </w:r>
      <w:r w:rsidRPr="0097459F">
        <w:rPr>
          <w:rFonts w:asciiTheme="minorHAnsi" w:hAnsiTheme="minorHAnsi" w:cstheme="minorHAnsi"/>
          <w:sz w:val="24"/>
          <w:szCs w:val="24"/>
        </w:rPr>
        <w:t xml:space="preserve">NFORME MENSAL </w:t>
      </w:r>
      <w:r w:rsidR="00522B0D" w:rsidRPr="0097459F">
        <w:rPr>
          <w:rFonts w:asciiTheme="minorHAnsi" w:hAnsiTheme="minorHAnsi" w:cstheme="minorHAnsi"/>
          <w:sz w:val="24"/>
          <w:szCs w:val="24"/>
        </w:rPr>
        <w:t>–</w:t>
      </w:r>
      <w:r w:rsidRPr="0097459F">
        <w:rPr>
          <w:rFonts w:asciiTheme="minorHAnsi" w:hAnsiTheme="minorHAnsi" w:cstheme="minorHAnsi"/>
          <w:sz w:val="24"/>
          <w:szCs w:val="24"/>
        </w:rPr>
        <w:t xml:space="preserve"> FIDC</w:t>
      </w:r>
      <w:bookmarkEnd w:id="1501"/>
      <w:bookmarkEnd w:id="1502"/>
    </w:p>
    <w:p w14:paraId="6F46574D" w14:textId="7CB35A70" w:rsidR="00C20BBD" w:rsidRPr="0097459F" w:rsidRDefault="00C20BBD" w:rsidP="00A95105">
      <w:pPr>
        <w:spacing w:after="0" w:line="240" w:lineRule="auto"/>
        <w:ind w:firstLine="709"/>
        <w:jc w:val="center"/>
        <w:rPr>
          <w:rFonts w:asciiTheme="minorHAnsi" w:hAnsiTheme="minorHAnsi" w:cstheme="minorHAnsi"/>
          <w:i/>
          <w:sz w:val="24"/>
          <w:szCs w:val="24"/>
        </w:rPr>
      </w:pPr>
      <w:r w:rsidRPr="0097459F">
        <w:rPr>
          <w:rFonts w:asciiTheme="minorHAnsi" w:hAnsiTheme="minorHAnsi" w:cstheme="minorHAnsi"/>
          <w:i/>
          <w:sz w:val="24"/>
          <w:szCs w:val="24"/>
        </w:rPr>
        <w:t>Conteúdo do Informe Mensal de FIDC</w:t>
      </w:r>
      <w:r w:rsidR="008332D2">
        <w:rPr>
          <w:rFonts w:asciiTheme="minorHAnsi" w:hAnsiTheme="minorHAnsi" w:cstheme="minorHAnsi"/>
          <w:i/>
          <w:sz w:val="24"/>
          <w:szCs w:val="24"/>
        </w:rPr>
        <w:t>,</w:t>
      </w:r>
      <w:r w:rsidR="008332D2" w:rsidRPr="008332D2">
        <w:rPr>
          <w:rFonts w:asciiTheme="minorHAnsi" w:eastAsia="Times" w:hAnsiTheme="minorHAnsi" w:cstheme="minorHAnsi"/>
          <w:i/>
          <w:sz w:val="24"/>
          <w:szCs w:val="24"/>
        </w:rPr>
        <w:t xml:space="preserve"> </w:t>
      </w:r>
      <w:r w:rsidR="008332D2">
        <w:rPr>
          <w:rFonts w:asciiTheme="minorHAnsi" w:eastAsia="Times" w:hAnsiTheme="minorHAnsi" w:cstheme="minorHAnsi"/>
          <w:i/>
          <w:sz w:val="24"/>
          <w:szCs w:val="24"/>
        </w:rPr>
        <w:t xml:space="preserve">conforme previsto no art. 27, inciso </w:t>
      </w:r>
      <w:r w:rsidR="00E859D6">
        <w:rPr>
          <w:rFonts w:asciiTheme="minorHAnsi" w:eastAsia="Times" w:hAnsiTheme="minorHAnsi" w:cstheme="minorHAnsi"/>
          <w:i/>
          <w:sz w:val="24"/>
          <w:szCs w:val="24"/>
        </w:rPr>
        <w:t>II</w:t>
      </w:r>
      <w:r w:rsidR="008332D2">
        <w:rPr>
          <w:rFonts w:asciiTheme="minorHAnsi" w:eastAsia="Times" w:hAnsiTheme="minorHAnsi" w:cstheme="minorHAnsi"/>
          <w:i/>
          <w:sz w:val="24"/>
          <w:szCs w:val="24"/>
        </w:rPr>
        <w:t>I, do Anexo Normativo II da Resolução CVM nº 175, de 2022.</w:t>
      </w:r>
    </w:p>
    <w:p w14:paraId="78901DFB" w14:textId="77777777" w:rsidR="00C20BBD" w:rsidRPr="0097459F" w:rsidRDefault="00C20BBD" w:rsidP="00A95105">
      <w:pPr>
        <w:spacing w:after="0" w:line="240" w:lineRule="auto"/>
        <w:rPr>
          <w:rFonts w:asciiTheme="minorHAnsi" w:hAnsiTheme="minorHAnsi" w:cstheme="minorHAnsi"/>
          <w:sz w:val="24"/>
          <w:szCs w:val="24"/>
        </w:rPr>
      </w:pPr>
    </w:p>
    <w:p w14:paraId="4BDB0D82"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INFORME MENSAL DO [nome de fantasia do fundo e, se for o caso, da classe]</w:t>
      </w:r>
    </w:p>
    <w:p w14:paraId="2DA220A6"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[CNPJ da classe]</w:t>
      </w:r>
    </w:p>
    <w:p w14:paraId="3FCB53C6" w14:textId="77777777" w:rsidR="00C20BBD" w:rsidRPr="0097459F" w:rsidRDefault="00C20BBD" w:rsidP="00A95105">
      <w:pPr>
        <w:spacing w:after="0" w:line="240" w:lineRule="auto"/>
        <w:jc w:val="center"/>
        <w:rPr>
          <w:rFonts w:asciiTheme="minorHAnsi" w:hAnsiTheme="minorHAnsi" w:cstheme="minorHAnsi"/>
          <w:b/>
          <w:sz w:val="24"/>
          <w:szCs w:val="24"/>
        </w:rPr>
      </w:pPr>
      <w:r w:rsidRPr="0097459F">
        <w:rPr>
          <w:rFonts w:asciiTheme="minorHAnsi" w:hAnsiTheme="minorHAnsi" w:cstheme="minorHAnsi"/>
          <w:b/>
          <w:sz w:val="24"/>
          <w:szCs w:val="24"/>
        </w:rPr>
        <w:t>Informações referentes a [mês] de [ano]</w:t>
      </w:r>
    </w:p>
    <w:p w14:paraId="7659BA1A" w14:textId="77777777" w:rsidR="00C20BBD" w:rsidRPr="0097459F" w:rsidRDefault="00C20BBD" w:rsidP="00A95105">
      <w:pPr>
        <w:spacing w:after="0" w:line="240" w:lineRule="auto"/>
        <w:jc w:val="center"/>
        <w:rPr>
          <w:rFonts w:asciiTheme="minorHAnsi" w:hAnsiTheme="minorHAnsi" w:cstheme="minorHAnsi"/>
          <w:b/>
          <w:sz w:val="24"/>
          <w:szCs w:val="24"/>
        </w:rPr>
      </w:pPr>
    </w:p>
    <w:tbl>
      <w:tblPr>
        <w:tblW w:w="5052"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175"/>
        <w:gridCol w:w="7120"/>
      </w:tblGrid>
      <w:tr w:rsidR="00C20BBD" w:rsidRPr="0097459F" w14:paraId="2256479E"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B457C3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Competência:</w:t>
            </w:r>
          </w:p>
        </w:tc>
        <w:tc>
          <w:tcPr>
            <w:tcW w:w="3458" w:type="pct"/>
            <w:tcBorders>
              <w:top w:val="outset" w:sz="6" w:space="0" w:color="auto"/>
              <w:left w:val="outset" w:sz="6" w:space="0" w:color="auto"/>
              <w:bottom w:val="outset" w:sz="6" w:space="0" w:color="auto"/>
              <w:right w:val="outset" w:sz="6" w:space="0" w:color="auto"/>
            </w:tcBorders>
            <w:vAlign w:val="center"/>
            <w:hideMark/>
          </w:tcPr>
          <w:p w14:paraId="63BB45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mm/aaaa  </w:t>
            </w:r>
          </w:p>
        </w:tc>
      </w:tr>
      <w:tr w:rsidR="00C20BBD" w:rsidRPr="0097459F" w14:paraId="6D07E32D"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3063E1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Administrador:</w:t>
            </w:r>
          </w:p>
        </w:tc>
        <w:tc>
          <w:tcPr>
            <w:tcW w:w="3458" w:type="pct"/>
            <w:tcBorders>
              <w:top w:val="outset" w:sz="6" w:space="0" w:color="auto"/>
              <w:left w:val="outset" w:sz="6" w:space="0" w:color="auto"/>
              <w:bottom w:val="outset" w:sz="6" w:space="0" w:color="auto"/>
              <w:right w:val="outset" w:sz="6" w:space="0" w:color="auto"/>
            </w:tcBorders>
            <w:vAlign w:val="center"/>
            <w:hideMark/>
          </w:tcPr>
          <w:p w14:paraId="018882A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CNPJ:</w:t>
            </w:r>
          </w:p>
        </w:tc>
      </w:tr>
      <w:tr w:rsidR="00C20BBD" w:rsidRPr="0097459F" w14:paraId="7F5A2198" w14:textId="77777777" w:rsidTr="00ED0447">
        <w:trPr>
          <w:trHeight w:val="330"/>
        </w:trPr>
        <w:tc>
          <w:tcPr>
            <w:tcW w:w="1542" w:type="pct"/>
            <w:tcBorders>
              <w:top w:val="outset" w:sz="6" w:space="0" w:color="auto"/>
              <w:left w:val="outset" w:sz="6" w:space="0" w:color="auto"/>
              <w:bottom w:val="outset" w:sz="6" w:space="0" w:color="auto"/>
              <w:right w:val="outset" w:sz="6" w:space="0" w:color="auto"/>
            </w:tcBorders>
            <w:vAlign w:val="center"/>
            <w:hideMark/>
          </w:tcPr>
          <w:p w14:paraId="62A3383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Nome Fundo: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2AB1BAD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CNPJ:</w:t>
            </w:r>
          </w:p>
        </w:tc>
      </w:tr>
      <w:tr w:rsidR="00C20BBD" w:rsidRPr="0097459F" w14:paraId="6E64C33C"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3FC7D3B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Tipo de Condomínio: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70119A99" w14:textId="77777777" w:rsidR="00C20BBD" w:rsidRPr="0097459F" w:rsidRDefault="00C20BBD" w:rsidP="00A95105">
            <w:pPr>
              <w:spacing w:after="0" w:line="240" w:lineRule="auto"/>
              <w:rPr>
                <w:rFonts w:asciiTheme="minorHAnsi" w:hAnsiTheme="minorHAnsi" w:cstheme="minorHAnsi"/>
                <w:b/>
                <w:color w:val="632423"/>
                <w:sz w:val="24"/>
                <w:szCs w:val="24"/>
              </w:rPr>
            </w:pPr>
            <w:r w:rsidRPr="0097459F">
              <w:rPr>
                <w:rFonts w:asciiTheme="minorHAnsi" w:hAnsiTheme="minorHAnsi" w:cstheme="minorHAnsi"/>
                <w:color w:val="000000"/>
                <w:sz w:val="24"/>
                <w:szCs w:val="24"/>
              </w:rPr>
              <w:t>Preenchimento automático pelo sistema.</w:t>
            </w:r>
          </w:p>
        </w:tc>
      </w:tr>
      <w:tr w:rsidR="00C20BBD" w:rsidRPr="0097459F" w14:paraId="1FA1F8ED"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2AA2C51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Fundo Exclusivo:</w:t>
            </w:r>
          </w:p>
        </w:tc>
        <w:tc>
          <w:tcPr>
            <w:tcW w:w="3458" w:type="pct"/>
            <w:tcBorders>
              <w:top w:val="outset" w:sz="6" w:space="0" w:color="auto"/>
              <w:left w:val="outset" w:sz="6" w:space="0" w:color="auto"/>
              <w:bottom w:val="outset" w:sz="6" w:space="0" w:color="auto"/>
              <w:right w:val="outset" w:sz="6" w:space="0" w:color="auto"/>
            </w:tcBorders>
            <w:vAlign w:val="center"/>
            <w:hideMark/>
          </w:tcPr>
          <w:p w14:paraId="4170CE2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“SIM” ou “Não”</w:t>
            </w:r>
          </w:p>
        </w:tc>
      </w:tr>
      <w:tr w:rsidR="00C20BBD" w:rsidRPr="0097459F" w14:paraId="42789535" w14:textId="77777777" w:rsidTr="00ED0447">
        <w:tc>
          <w:tcPr>
            <w:tcW w:w="1542" w:type="pct"/>
            <w:tcBorders>
              <w:top w:val="outset" w:sz="6" w:space="0" w:color="auto"/>
              <w:left w:val="outset" w:sz="6" w:space="0" w:color="auto"/>
              <w:bottom w:val="outset" w:sz="6" w:space="0" w:color="auto"/>
              <w:right w:val="outset" w:sz="6" w:space="0" w:color="auto"/>
            </w:tcBorders>
            <w:vAlign w:val="center"/>
            <w:hideMark/>
          </w:tcPr>
          <w:p w14:paraId="23D76382" w14:textId="77777777" w:rsidR="00C20BBD" w:rsidRPr="0097459F" w:rsidRDefault="00C20BBD" w:rsidP="00A95105">
            <w:pPr>
              <w:spacing w:after="0" w:line="240" w:lineRule="auto"/>
              <w:ind w:left="426"/>
              <w:rPr>
                <w:rFonts w:asciiTheme="minorHAnsi" w:hAnsiTheme="minorHAnsi" w:cstheme="minorHAnsi"/>
                <w:color w:val="000000"/>
                <w:sz w:val="24"/>
                <w:szCs w:val="24"/>
              </w:rPr>
            </w:pPr>
            <w:r w:rsidRPr="0097459F">
              <w:rPr>
                <w:rFonts w:asciiTheme="minorHAnsi" w:hAnsiTheme="minorHAnsi" w:cstheme="minorHAnsi"/>
                <w:b/>
                <w:color w:val="000000"/>
                <w:sz w:val="24"/>
                <w:szCs w:val="24"/>
              </w:rPr>
              <w:t>Todos os Cotistas Vinculados por Interesse Único e Indissociável?</w:t>
            </w:r>
          </w:p>
        </w:tc>
        <w:tc>
          <w:tcPr>
            <w:tcW w:w="3458" w:type="pct"/>
            <w:tcBorders>
              <w:top w:val="outset" w:sz="6" w:space="0" w:color="auto"/>
              <w:left w:val="outset" w:sz="6" w:space="0" w:color="auto"/>
              <w:bottom w:val="outset" w:sz="6" w:space="0" w:color="auto"/>
              <w:right w:val="outset" w:sz="6" w:space="0" w:color="auto"/>
            </w:tcBorders>
            <w:vAlign w:val="center"/>
            <w:hideMark/>
          </w:tcPr>
          <w:p w14:paraId="191129A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“SIM” ou “Não”</w:t>
            </w:r>
          </w:p>
        </w:tc>
      </w:tr>
      <w:tr w:rsidR="00C20BBD" w:rsidRPr="0097459F" w14:paraId="4D4C1935" w14:textId="77777777" w:rsidTr="00ED0447">
        <w:tc>
          <w:tcPr>
            <w:tcW w:w="1542"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2700F769" w14:textId="77777777" w:rsidR="00C20BBD" w:rsidRPr="0097459F" w:rsidRDefault="00C20BBD" w:rsidP="00A95105">
            <w:pPr>
              <w:spacing w:after="0" w:line="240" w:lineRule="auto"/>
              <w:ind w:left="426"/>
              <w:rPr>
                <w:rFonts w:asciiTheme="minorHAnsi" w:hAnsiTheme="minorHAnsi" w:cstheme="minorHAnsi"/>
                <w:color w:val="000000"/>
                <w:sz w:val="24"/>
                <w:szCs w:val="24"/>
              </w:rPr>
            </w:pPr>
            <w:r w:rsidRPr="0097459F">
              <w:rPr>
                <w:rFonts w:asciiTheme="minorHAnsi" w:hAnsiTheme="minorHAnsi" w:cstheme="minorHAnsi"/>
                <w:b/>
                <w:color w:val="000000"/>
                <w:sz w:val="24"/>
                <w:szCs w:val="24"/>
              </w:rPr>
              <w:t xml:space="preserve">Prazo mínimo entre a data do pedido de resgate e a correspondente conversão em quantidade de cotas </w:t>
            </w:r>
          </w:p>
        </w:tc>
        <w:tc>
          <w:tcPr>
            <w:tcW w:w="345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6B2032D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Somente aplicável para </w:t>
            </w:r>
            <w:r w:rsidRPr="0097459F">
              <w:rPr>
                <w:rFonts w:asciiTheme="minorHAnsi" w:hAnsiTheme="minorHAnsi" w:cstheme="minorHAnsi"/>
                <w:b/>
                <w:color w:val="000000"/>
                <w:sz w:val="24"/>
                <w:szCs w:val="24"/>
              </w:rPr>
              <w:t>fundo aberto</w:t>
            </w:r>
            <w:r w:rsidRPr="0097459F">
              <w:rPr>
                <w:rFonts w:asciiTheme="minorHAnsi" w:hAnsiTheme="minorHAnsi" w:cstheme="minorHAnsi"/>
                <w:color w:val="000000"/>
                <w:sz w:val="24"/>
                <w:szCs w:val="24"/>
              </w:rPr>
              <w:t xml:space="preserve"> de acordo com o campo: Tipo de Condomínio</w:t>
            </w:r>
          </w:p>
        </w:tc>
      </w:tr>
      <w:tr w:rsidR="00C20BBD" w:rsidRPr="0097459F" w14:paraId="6B399E3E" w14:textId="77777777" w:rsidTr="00ED0447">
        <w:tc>
          <w:tcPr>
            <w:tcW w:w="1542"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7B6FE6AF" w14:textId="77777777" w:rsidR="00C20BBD" w:rsidRPr="0097459F" w:rsidRDefault="00C20BBD" w:rsidP="00A95105">
            <w:pPr>
              <w:spacing w:after="0" w:line="240" w:lineRule="auto"/>
              <w:ind w:left="426"/>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Prazo para o pagamento do resgate após a conversão em quantidade de cotas</w:t>
            </w:r>
          </w:p>
        </w:tc>
        <w:tc>
          <w:tcPr>
            <w:tcW w:w="3458" w:type="pct"/>
            <w:tcBorders>
              <w:top w:val="outset" w:sz="6" w:space="0" w:color="auto"/>
              <w:left w:val="outset" w:sz="6" w:space="0" w:color="auto"/>
              <w:bottom w:val="outset" w:sz="6" w:space="0" w:color="auto"/>
              <w:right w:val="outset" w:sz="6" w:space="0" w:color="auto"/>
            </w:tcBorders>
            <w:shd w:val="clear" w:color="auto" w:fill="A6A6A6"/>
            <w:vAlign w:val="center"/>
            <w:hideMark/>
          </w:tcPr>
          <w:p w14:paraId="0EF1BF0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Somente aplicável para </w:t>
            </w:r>
            <w:r w:rsidRPr="0097459F">
              <w:rPr>
                <w:rFonts w:asciiTheme="minorHAnsi" w:hAnsiTheme="minorHAnsi" w:cstheme="minorHAnsi"/>
                <w:b/>
                <w:color w:val="000000"/>
                <w:sz w:val="24"/>
                <w:szCs w:val="24"/>
              </w:rPr>
              <w:t>fundo aberto</w:t>
            </w:r>
            <w:r w:rsidRPr="0097459F">
              <w:rPr>
                <w:rFonts w:asciiTheme="minorHAnsi" w:hAnsiTheme="minorHAnsi" w:cstheme="minorHAnsi"/>
                <w:color w:val="000000"/>
                <w:sz w:val="24"/>
                <w:szCs w:val="24"/>
              </w:rPr>
              <w:t xml:space="preserve"> de acordo com o campo: Tipo de Condomínio</w:t>
            </w:r>
          </w:p>
        </w:tc>
      </w:tr>
    </w:tbl>
    <w:p w14:paraId="50F76589" w14:textId="77777777" w:rsidR="00C20BBD" w:rsidRPr="0097459F" w:rsidRDefault="00C20BBD" w:rsidP="00A95105">
      <w:pPr>
        <w:pStyle w:val="Corpodetexto"/>
        <w:jc w:val="center"/>
        <w:rPr>
          <w:rFonts w:asciiTheme="minorHAnsi" w:hAnsiTheme="minorHAnsi" w:cstheme="minorHAnsi"/>
        </w:rPr>
      </w:pPr>
    </w:p>
    <w:tbl>
      <w:tblPr>
        <w:tblW w:w="5196" w:type="pct"/>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235"/>
        <w:gridCol w:w="2840"/>
        <w:gridCol w:w="377"/>
        <w:gridCol w:w="1624"/>
        <w:gridCol w:w="1185"/>
        <w:gridCol w:w="113"/>
        <w:gridCol w:w="118"/>
        <w:gridCol w:w="96"/>
      </w:tblGrid>
      <w:tr w:rsidR="00C20BBD" w:rsidRPr="0097459F" w14:paraId="7ED2ACD2"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3DFF1B9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sz w:val="24"/>
                <w:szCs w:val="24"/>
              </w:rPr>
              <w:t>I - ATIVO (R$)</w:t>
            </w:r>
          </w:p>
        </w:tc>
      </w:tr>
      <w:tr w:rsidR="00EB4EF3" w:rsidRPr="0097459F" w14:paraId="3AF7184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3CF83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1 – Disponibilidades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50C110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9E10E8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46B65F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2 – Carteira</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733661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FC226A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F7EA8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 Direitos Creditórios com Aquisição Substancial dos Riscos e Benefícios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6EDE6F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5F94F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5108C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a.1) Créditos Existentes a Vencer e 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DCA20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4823E7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3E1F35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a.2) Créditos Existentes a Vencer com Parcelas Inadimplentes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E41FC8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9227E1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3A2DFF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color w:val="632423"/>
                <w:sz w:val="24"/>
                <w:szCs w:val="24"/>
              </w:rPr>
              <w:t xml:space="preserve">       </w:t>
            </w:r>
            <w:r w:rsidRPr="0097459F">
              <w:rPr>
                <w:rFonts w:asciiTheme="minorHAnsi" w:hAnsiTheme="minorHAnsi" w:cstheme="minorHAnsi"/>
                <w:sz w:val="24"/>
                <w:szCs w:val="24"/>
              </w:rPr>
              <w:t>a.2.1) Valor Total das Parcelas Inadimplentes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A76583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B81405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B4BD8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a.3) Créditos Existentes Inadimplentes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7BD7D6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AD2B13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88D6A8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a.4) Créditos Referentes a Direitos Creditórios a Performar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43C5D4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A99787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FE5C867"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a.5) Créditos que estejam vencidos e pendentes de pagamento quando da sua cessão para o fundo.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D45D2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E61DA1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CAEA12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a.6) Créditos Originados de Empresas em Processo de Recuperação Judicial ou Extrajudicial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26A2D8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FA755E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AF80E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a.7) Créditos decorrentes de receitas públicas originárias ou derivadas da União, Estados, Distrito Federal e Municípios, suas Autarquias e Fundações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93EF7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60928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96A2E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a.8) Créditos que resultem de ações judiciais em curso, constituam seu objeto de litígio ou tenham sido judicialmente penhorados ou dados em garantia</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AF4760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0A2A8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6E32B4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a.9) Créditos cuja constituição ou validade jurídica da cessão para o fundo seja considerada um fator preponderante de risco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400069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5C7ED4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928987D" w14:textId="396B061B"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a.1</w:t>
            </w:r>
            <w:r w:rsidR="00236A8A">
              <w:rPr>
                <w:rFonts w:asciiTheme="minorHAnsi" w:hAnsiTheme="minorHAnsi" w:cstheme="minorHAnsi"/>
                <w:color w:val="000000"/>
                <w:sz w:val="24"/>
                <w:szCs w:val="24"/>
              </w:rPr>
              <w:t>0</w:t>
            </w:r>
            <w:r w:rsidRPr="0097459F">
              <w:rPr>
                <w:rFonts w:asciiTheme="minorHAnsi" w:hAnsiTheme="minorHAnsi" w:cstheme="minorHAnsi"/>
                <w:color w:val="000000"/>
                <w:sz w:val="24"/>
                <w:szCs w:val="24"/>
              </w:rPr>
              <w:t>) Provisão para Redução no Valor de Recuperação (-)</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56EC6A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0B35AC03"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1E78DBE" w14:textId="643EA717" w:rsidR="00C20BBD" w:rsidRPr="0097459F" w:rsidRDefault="00C20BBD" w:rsidP="00236A8A">
            <w:pPr>
              <w:spacing w:after="0" w:line="240" w:lineRule="auto"/>
              <w:rPr>
                <w:rFonts w:asciiTheme="minorHAnsi" w:hAnsiTheme="minorHAnsi" w:cstheme="minorHAnsi"/>
                <w:color w:val="000000"/>
                <w:sz w:val="24"/>
                <w:szCs w:val="24"/>
                <w:highlight w:val="yellow"/>
              </w:rPr>
            </w:pPr>
            <w:r w:rsidRPr="0097459F">
              <w:rPr>
                <w:rFonts w:asciiTheme="minorHAnsi" w:hAnsiTheme="minorHAnsi" w:cstheme="minorHAnsi"/>
                <w:color w:val="000000"/>
                <w:sz w:val="24"/>
                <w:szCs w:val="24"/>
              </w:rPr>
              <w:t>a.1</w:t>
            </w:r>
            <w:r w:rsidR="00236A8A">
              <w:rPr>
                <w:rFonts w:asciiTheme="minorHAnsi" w:hAnsiTheme="minorHAnsi" w:cstheme="minorHAnsi"/>
                <w:color w:val="000000"/>
                <w:sz w:val="24"/>
                <w:szCs w:val="24"/>
              </w:rPr>
              <w:t>1</w:t>
            </w:r>
            <w:r w:rsidRPr="0097459F">
              <w:rPr>
                <w:rFonts w:asciiTheme="minorHAnsi" w:hAnsiTheme="minorHAnsi" w:cstheme="minorHAnsi"/>
                <w:color w:val="000000"/>
                <w:sz w:val="24"/>
                <w:szCs w:val="24"/>
              </w:rPr>
              <w:t xml:space="preserve">) Direitos Creditórios (especificar o cedente quando representar mais de 10% do PL do fundo) </w:t>
            </w:r>
          </w:p>
        </w:tc>
      </w:tr>
      <w:tr w:rsidR="00EB4EF3" w:rsidRPr="0097459F" w14:paraId="5F3C49AE" w14:textId="77777777" w:rsidTr="00BD3980">
        <w:trPr>
          <w:gridAfter w:val="1"/>
          <w:wAfter w:w="61" w:type="pct"/>
          <w:trHeight w:val="788"/>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D8705E8" w14:textId="76D896AA" w:rsidR="00C20BBD" w:rsidRPr="0097459F" w:rsidRDefault="00C20BBD" w:rsidP="00A95105">
            <w:pPr>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CNPJ/CPF</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D484317" w14:textId="3C22E212" w:rsidR="00C20BBD" w:rsidRPr="0097459F" w:rsidRDefault="00C20BBD" w:rsidP="00A95105">
            <w:pPr>
              <w:spacing w:after="0" w:line="240" w:lineRule="auto"/>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Participação Percentual</w:t>
            </w:r>
          </w:p>
          <w:p w14:paraId="6842A18B" w14:textId="77777777" w:rsidR="00C20BBD" w:rsidRPr="0097459F" w:rsidRDefault="00C20BBD" w:rsidP="00A95105">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w:t>
            </w:r>
          </w:p>
        </w:tc>
      </w:tr>
      <w:tr w:rsidR="00EB4EF3" w:rsidRPr="0097459F" w14:paraId="2BD2266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6E37F8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 Direitos Creditórios sem Aquisição Substancial dos Riscos e Benefícios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0A0971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1245E6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818025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 Créditos Existentes a Vencer e Adimplentes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C1F203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13E557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B45C57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b.2) Créditos Existentes a Vencer com Parcelas Inadimplentes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EB56DB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EF5331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2F610C6C"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color w:val="632423"/>
                <w:sz w:val="24"/>
                <w:szCs w:val="24"/>
              </w:rPr>
              <w:t xml:space="preserve">       </w:t>
            </w:r>
            <w:r w:rsidRPr="0097459F">
              <w:rPr>
                <w:rFonts w:asciiTheme="minorHAnsi" w:hAnsiTheme="minorHAnsi" w:cstheme="minorHAnsi"/>
                <w:sz w:val="24"/>
                <w:szCs w:val="24"/>
              </w:rPr>
              <w:t>b.2.1) Valor Total das Parcelas Inadimplentes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926577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DE5B3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FB6A7B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b.3) Créditos Existentes Inadimplentes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D4C081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140C51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055DAA5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b.4) Créditos Referentes a Direitos Creditórios a Performar</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755D8EE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912845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CD680D6"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b.5) Créditos que estejam vencidos e pendentes de pagamento quando da sua cessão para o fundo.</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C197E6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0313FF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66BD86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b.6) Créditos Originados de Empresas em Processo de Recuperação Judicial ou Extrajudicial</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25A606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17875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C6F937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b.7) Créditos decorrentes de receitas públicas originárias ou derivadas da União, Estados, Distrito Federal e Municípios, suas Autarquias e Fundações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F79009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6FF2C2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21AF746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b.8) Créditos que resultem de ações judiciais em curso, constituam seu objeto de litígio ou tenham sido judicialmente penhorados ou dados em garantia</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310CFC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5CB2D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64CC1F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b.9) Créditos cuja constituição ou validade jurídica da cessão para o fundo seja considerada um fator preponderante de risco</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9BAABC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5554C8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C803FE7" w14:textId="1B79CECE"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w:t>
            </w:r>
            <w:r w:rsidR="00236A8A">
              <w:rPr>
                <w:rFonts w:asciiTheme="minorHAnsi" w:hAnsiTheme="minorHAnsi" w:cstheme="minorHAnsi"/>
                <w:color w:val="000000"/>
                <w:sz w:val="24"/>
                <w:szCs w:val="24"/>
              </w:rPr>
              <w:t>0</w:t>
            </w:r>
            <w:r w:rsidRPr="0097459F">
              <w:rPr>
                <w:rFonts w:asciiTheme="minorHAnsi" w:hAnsiTheme="minorHAnsi" w:cstheme="minorHAnsi"/>
                <w:color w:val="000000"/>
                <w:sz w:val="24"/>
                <w:szCs w:val="24"/>
              </w:rPr>
              <w:t>) Provisão para Redução no Valor de Recuperação (-)</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F204DC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640A5E4F"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24657A1D" w14:textId="5C23F5F6" w:rsidR="00C20BBD" w:rsidRPr="0097459F" w:rsidRDefault="00C20BBD" w:rsidP="00236A8A">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b.1</w:t>
            </w:r>
            <w:r w:rsidR="00236A8A">
              <w:rPr>
                <w:rFonts w:asciiTheme="minorHAnsi" w:hAnsiTheme="minorHAnsi" w:cstheme="minorHAnsi"/>
                <w:color w:val="000000"/>
                <w:sz w:val="24"/>
                <w:szCs w:val="24"/>
              </w:rPr>
              <w:t>1</w:t>
            </w:r>
            <w:r w:rsidRPr="0097459F">
              <w:rPr>
                <w:rFonts w:asciiTheme="minorHAnsi" w:hAnsiTheme="minorHAnsi" w:cstheme="minorHAnsi"/>
                <w:color w:val="000000"/>
                <w:sz w:val="24"/>
                <w:szCs w:val="24"/>
              </w:rPr>
              <w:t xml:space="preserve">) Direitos Creditórios (especificar o cedente quando representar mais de 10% do PL do fundo) </w:t>
            </w:r>
          </w:p>
        </w:tc>
      </w:tr>
      <w:tr w:rsidR="00EB4EF3" w:rsidRPr="0097459F" w14:paraId="50EB872B" w14:textId="77777777" w:rsidTr="00BD3980">
        <w:trPr>
          <w:gridAfter w:val="1"/>
          <w:wAfter w:w="61" w:type="pct"/>
          <w:trHeight w:val="507"/>
        </w:trPr>
        <w:tc>
          <w:tcPr>
            <w:tcW w:w="3327" w:type="pct"/>
            <w:gridSpan w:val="2"/>
            <w:tcBorders>
              <w:top w:val="outset" w:sz="6" w:space="0" w:color="auto"/>
              <w:left w:val="outset" w:sz="6" w:space="0" w:color="auto"/>
              <w:bottom w:val="outset" w:sz="6" w:space="0" w:color="auto"/>
              <w:right w:val="outset" w:sz="6" w:space="0" w:color="auto"/>
            </w:tcBorders>
            <w:vAlign w:val="center"/>
          </w:tcPr>
          <w:p w14:paraId="75B73BCA" w14:textId="77777777" w:rsidR="00C20BBD" w:rsidRPr="0097459F" w:rsidRDefault="00C20BBD" w:rsidP="00A95105">
            <w:pPr>
              <w:spacing w:after="0" w:line="240" w:lineRule="auto"/>
              <w:rPr>
                <w:rFonts w:asciiTheme="minorHAnsi" w:hAnsiTheme="minorHAnsi" w:cstheme="minorHAnsi"/>
                <w:b/>
                <w:sz w:val="24"/>
                <w:szCs w:val="24"/>
              </w:rPr>
            </w:pPr>
            <w:r w:rsidRPr="0097459F">
              <w:rPr>
                <w:rFonts w:asciiTheme="minorHAnsi" w:hAnsiTheme="minorHAnsi" w:cstheme="minorHAnsi"/>
                <w:b/>
                <w:sz w:val="24"/>
                <w:szCs w:val="24"/>
              </w:rPr>
              <w:t>CNPJ/CPF</w:t>
            </w:r>
          </w:p>
        </w:tc>
        <w:tc>
          <w:tcPr>
            <w:tcW w:w="1612" w:type="pct"/>
            <w:gridSpan w:val="5"/>
            <w:tcBorders>
              <w:top w:val="outset" w:sz="6" w:space="0" w:color="auto"/>
              <w:left w:val="outset" w:sz="6" w:space="0" w:color="auto"/>
              <w:bottom w:val="outset" w:sz="6" w:space="0" w:color="auto"/>
              <w:right w:val="outset" w:sz="6" w:space="0" w:color="auto"/>
            </w:tcBorders>
            <w:vAlign w:val="center"/>
          </w:tcPr>
          <w:p w14:paraId="1D048192" w14:textId="77777777" w:rsidR="00C20BBD" w:rsidRPr="0097459F" w:rsidRDefault="00C20BBD" w:rsidP="00A95105">
            <w:pPr>
              <w:spacing w:after="0" w:line="240" w:lineRule="auto"/>
              <w:jc w:val="center"/>
              <w:rPr>
                <w:rFonts w:asciiTheme="minorHAnsi" w:hAnsiTheme="minorHAnsi" w:cstheme="minorHAnsi"/>
                <w:b/>
                <w:color w:val="000000"/>
                <w:sz w:val="24"/>
                <w:szCs w:val="24"/>
              </w:rPr>
            </w:pPr>
            <w:r w:rsidRPr="0097459F">
              <w:rPr>
                <w:rFonts w:asciiTheme="minorHAnsi" w:hAnsiTheme="minorHAnsi" w:cstheme="minorHAnsi"/>
                <w:b/>
                <w:color w:val="000000"/>
                <w:sz w:val="24"/>
                <w:szCs w:val="24"/>
              </w:rPr>
              <w:t>Participação Percentual (%)</w:t>
            </w:r>
          </w:p>
        </w:tc>
      </w:tr>
      <w:tr w:rsidR="00EB4EF3" w:rsidRPr="0097459F" w14:paraId="54681DE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AD613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Valores Mobiliários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478ABE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FEC551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50F8E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c.1) Debêntures </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26A37D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C22048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8886F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c.2) CRI </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518312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C550B1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01374D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c.3) Notas Promissórias Comerciais </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576743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0E5D2E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984D0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Letras Financeiras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ECFB1D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A2A9B5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BD8CD4B" w14:textId="6D042535" w:rsidR="00C20BBD" w:rsidRPr="0097459F" w:rsidRDefault="00C20BBD" w:rsidP="008F0EA1">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c.5) </w:t>
            </w:r>
            <w:r w:rsidR="008F0EA1" w:rsidRPr="003F0970">
              <w:rPr>
                <w:rFonts w:ascii="Calibri" w:eastAsia="Times New Roman" w:hAnsi="Calibri" w:cs="Calibri"/>
                <w:bCs/>
                <w:color w:val="000000"/>
                <w:sz w:val="24"/>
                <w:szCs w:val="24"/>
              </w:rPr>
              <w:t>Classes de cotas dos FIF – Anexo Normativo I da RCVM 175</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748AD3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2F8771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F96D3B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Outros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843FA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F92CF3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D7C2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 Títulos Públicos Federais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791CDD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AA14AF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E23E1C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e) Certificados de Depósitos Bancários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199215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0CC980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C6CF4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 Aplicações em Operações Compromissadas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E0A00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C931E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3F208A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g) Outros Ativos Financeiros de Renda Fixa</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743F2D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79C4E2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8D0D91" w14:textId="053644B0" w:rsidR="00C20BBD" w:rsidRPr="0097459F" w:rsidRDefault="00C20BBD" w:rsidP="00D232E0">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h) </w:t>
            </w:r>
            <w:r w:rsidR="008F0EA1">
              <w:rPr>
                <w:rFonts w:asciiTheme="minorHAnsi" w:hAnsiTheme="minorHAnsi" w:cstheme="minorHAnsi"/>
                <w:color w:val="000000"/>
                <w:sz w:val="24"/>
                <w:szCs w:val="24"/>
              </w:rPr>
              <w:t xml:space="preserve">Classes de </w:t>
            </w:r>
            <w:r w:rsidR="00D232E0">
              <w:rPr>
                <w:rFonts w:asciiTheme="minorHAnsi" w:hAnsiTheme="minorHAnsi" w:cstheme="minorHAnsi"/>
                <w:color w:val="000000"/>
                <w:sz w:val="24"/>
                <w:szCs w:val="24"/>
              </w:rPr>
              <w:t>C</w:t>
            </w:r>
            <w:r w:rsidRPr="0097459F">
              <w:rPr>
                <w:rFonts w:asciiTheme="minorHAnsi" w:hAnsiTheme="minorHAnsi" w:cstheme="minorHAnsi"/>
                <w:color w:val="000000"/>
                <w:sz w:val="24"/>
                <w:szCs w:val="24"/>
              </w:rPr>
              <w:t>otas de Fundos de Investimento em Direitos Creditórios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F4E3D8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73D649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068FD24" w14:textId="1A14B5E8" w:rsidR="00C20BBD" w:rsidRPr="0097459F" w:rsidRDefault="00C20BBD" w:rsidP="00290088">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w:t>
            </w:r>
            <w:r w:rsidR="00290088">
              <w:rPr>
                <w:rFonts w:asciiTheme="minorHAnsi" w:hAnsiTheme="minorHAnsi" w:cstheme="minorHAnsi"/>
                <w:color w:val="000000"/>
                <w:sz w:val="24"/>
                <w:szCs w:val="24"/>
              </w:rPr>
              <w:t>i</w:t>
            </w:r>
            <w:r w:rsidRPr="0097459F">
              <w:rPr>
                <w:rFonts w:asciiTheme="minorHAnsi" w:hAnsiTheme="minorHAnsi" w:cstheme="minorHAnsi"/>
                <w:color w:val="000000"/>
                <w:sz w:val="24"/>
                <w:szCs w:val="24"/>
              </w:rPr>
              <w:t>) Warrants, Contrato de Compra e Venda de Produtos, Mercadorias e/ou Serviços para Entrega ou Prestação Futura</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6C3F93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BFC53A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1949B1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Debêntures, CRI, Notas Promissórias e Letras Financeiras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3B2B6CD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B3259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6A22AAD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Cotas de Fundos de Investimento em Direitos Creditórios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F013D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F8E206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5CB5EB2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Provisões sobre outros ativos</w:t>
            </w:r>
          </w:p>
        </w:tc>
        <w:tc>
          <w:tcPr>
            <w:tcW w:w="1612"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hideMark/>
          </w:tcPr>
          <w:p w14:paraId="4A0BBE3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50E0C7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7DB4A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3 - Posições Mantidas em Mercados de </w:t>
            </w:r>
            <w:r w:rsidRPr="0097459F">
              <w:rPr>
                <w:rFonts w:asciiTheme="minorHAnsi" w:hAnsiTheme="minorHAnsi" w:cstheme="minorHAnsi"/>
                <w:sz w:val="24"/>
                <w:szCs w:val="24"/>
              </w:rPr>
              <w:t xml:space="preserve">Derivativos </w:t>
            </w:r>
            <w:r w:rsidRPr="0097459F">
              <w:rPr>
                <w:rFonts w:asciiTheme="minorHAnsi" w:hAnsiTheme="minorHAnsi" w:cstheme="minorHAnsi"/>
                <w:i/>
                <w:sz w:val="24"/>
                <w:szCs w:val="24"/>
              </w:rPr>
              <w:t>(a+b+c+d)</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388756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FA9E6D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006B8B"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a) Mercado a Termo – Posições Compradas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62AB68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8A510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40A6323"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b) Mercado de Opções – Posições Titulares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D89E7B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CD935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B548B8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xml:space="preserve">        c) Mercado </w:t>
            </w:r>
            <w:r w:rsidRPr="0097459F">
              <w:rPr>
                <w:rFonts w:asciiTheme="minorHAnsi" w:hAnsiTheme="minorHAnsi" w:cstheme="minorHAnsi"/>
                <w:sz w:val="24"/>
                <w:szCs w:val="24"/>
              </w:rPr>
              <w:t xml:space="preserve">Futuro </w:t>
            </w:r>
            <w:r w:rsidRPr="0097459F">
              <w:rPr>
                <w:rFonts w:asciiTheme="minorHAnsi" w:hAnsiTheme="minorHAnsi" w:cstheme="minorHAnsi"/>
                <w:b/>
                <w:sz w:val="24"/>
                <w:szCs w:val="24"/>
              </w:rPr>
              <w:t>–</w:t>
            </w:r>
            <w:r w:rsidRPr="0097459F">
              <w:rPr>
                <w:rFonts w:asciiTheme="minorHAnsi" w:hAnsiTheme="minorHAnsi" w:cstheme="minorHAnsi"/>
                <w:b/>
                <w:color w:val="632423"/>
                <w:sz w:val="24"/>
                <w:szCs w:val="24"/>
              </w:rPr>
              <w:t xml:space="preserve"> </w:t>
            </w:r>
            <w:r w:rsidRPr="0097459F">
              <w:rPr>
                <w:rFonts w:asciiTheme="minorHAnsi" w:hAnsiTheme="minorHAnsi" w:cstheme="minorHAnsi"/>
                <w:sz w:val="24"/>
                <w:szCs w:val="24"/>
              </w:rPr>
              <w:t>Ajustes Positivos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579CD8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7CEAF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599993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d) Diferencial de </w:t>
            </w:r>
            <w:r w:rsidRPr="0097459F">
              <w:rPr>
                <w:rFonts w:asciiTheme="minorHAnsi" w:hAnsiTheme="minorHAnsi" w:cstheme="minorHAnsi"/>
                <w:sz w:val="24"/>
                <w:szCs w:val="24"/>
              </w:rPr>
              <w:t>Swap a Receber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0989AF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EA27EF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84ED048" w14:textId="77777777" w:rsidR="00C20BBD" w:rsidRPr="0097459F" w:rsidRDefault="00C20BBD" w:rsidP="00A95105">
            <w:pPr>
              <w:spacing w:after="0" w:line="240" w:lineRule="auto"/>
              <w:rPr>
                <w:rFonts w:asciiTheme="minorHAnsi" w:hAnsiTheme="minorHAnsi" w:cstheme="minorHAnsi"/>
                <w:i/>
                <w:sz w:val="24"/>
                <w:szCs w:val="24"/>
              </w:rPr>
            </w:pPr>
            <w:r w:rsidRPr="0097459F">
              <w:rPr>
                <w:rFonts w:asciiTheme="minorHAnsi" w:hAnsiTheme="minorHAnsi" w:cstheme="minorHAnsi"/>
                <w:color w:val="000000"/>
                <w:sz w:val="24"/>
                <w:szCs w:val="24"/>
              </w:rPr>
              <w:t>        </w:t>
            </w:r>
            <w:r w:rsidRPr="0097459F">
              <w:rPr>
                <w:rFonts w:asciiTheme="minorHAnsi" w:hAnsiTheme="minorHAnsi" w:cstheme="minorHAnsi"/>
                <w:i/>
                <w:sz w:val="24"/>
                <w:szCs w:val="24"/>
              </w:rPr>
              <w:t>e) Coberturas Prestadas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2995019"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A59EEF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ED7FD5" w14:textId="77777777" w:rsidR="00C20BBD" w:rsidRPr="0097459F" w:rsidRDefault="00C20BBD" w:rsidP="00A95105">
            <w:pPr>
              <w:spacing w:after="0" w:line="240" w:lineRule="auto"/>
              <w:rPr>
                <w:rFonts w:asciiTheme="minorHAnsi" w:hAnsiTheme="minorHAnsi" w:cstheme="minorHAnsi"/>
                <w:i/>
                <w:sz w:val="24"/>
                <w:szCs w:val="24"/>
              </w:rPr>
            </w:pPr>
            <w:r w:rsidRPr="0097459F">
              <w:rPr>
                <w:rFonts w:asciiTheme="minorHAnsi" w:hAnsiTheme="minorHAnsi" w:cstheme="minorHAnsi"/>
                <w:color w:val="000000"/>
                <w:sz w:val="24"/>
                <w:szCs w:val="24"/>
              </w:rPr>
              <w:t>        f</w:t>
            </w:r>
            <w:r w:rsidRPr="0097459F">
              <w:rPr>
                <w:rFonts w:asciiTheme="minorHAnsi" w:hAnsiTheme="minorHAnsi" w:cstheme="minorHAnsi"/>
                <w:i/>
                <w:sz w:val="24"/>
                <w:szCs w:val="24"/>
              </w:rPr>
              <w:t>) Depósitos de Margem</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44DDE68"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B0F371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731092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    4 - Outros </w:t>
            </w:r>
            <w:r w:rsidRPr="0097459F">
              <w:rPr>
                <w:rFonts w:asciiTheme="minorHAnsi" w:hAnsiTheme="minorHAnsi" w:cstheme="minorHAnsi"/>
                <w:sz w:val="24"/>
                <w:szCs w:val="24"/>
              </w:rPr>
              <w:t>Ativos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F397A2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9F8051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1C0D41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Curto Prazo (realização em até 12 meses da data do informe)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D95E17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FE261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AE7782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Longo Prazo (realização após 12 meses da data do informe)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CF855B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2EFC52AA"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1A078EC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 xml:space="preserve">II - Carteira por Segmento </w:t>
            </w:r>
          </w:p>
        </w:tc>
      </w:tr>
      <w:tr w:rsidR="00EB4EF3" w:rsidRPr="0097459F" w14:paraId="0A16CE3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C015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Industrial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ECC990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E52FE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F23B2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Mercado Imobiliário (não financeiro - ver itens f6 e f7 abaixo)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2D3DD8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5F50FD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76C41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Comercial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F2B29F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5AE4D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56E812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Comercial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B5D964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B7F06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A0A6EE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Comercial - Varejo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D4DDA2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D5175F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8E632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Arrendamento Mercantil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E7EB0C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AE0697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26BE3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 Serviços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E5C6D7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2A66E7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E3BB28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d.1) Serviços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33CE83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115C71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E879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d.2) Serviços Públicos (eletricidade, telefonia, transporte, saneamento, etc)</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296DF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B531A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B83BF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d.3) Serviços Educacionais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867E47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881D36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3EAD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d.4) Entretenimento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DA1854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3B630A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797C04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e) Agronegócio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3B9386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8AA960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F75FB1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 Financeiro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C2F966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505F9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4B9BB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f.1) Crédito Pessoal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6A15BE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E9B183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1705B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f.2) Crédito Pessoal Consignado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E81A4C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F75F00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EFC0EF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f.3) Crédito Corporativo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6D689E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B2EB09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875AA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f.4) Middle Market</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5AE4F8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D65C8C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93A29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f.5) Veículos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74717B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7E36D0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4D5744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f.6) Carteira Imobiliária - Empresarial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BDBBCB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11224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AD9A5D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f.7) Carteira Imobiliária - Residencial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ABCFBB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97D354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F5DABC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f.8) Outros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792E58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6E620D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371C39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g) Cartão de Crédito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E68D5F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421A8C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87322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 Factoring</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E9BA54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B196F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55D04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h.1) Factoring - Pessoal (Perfil do Sacado)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923639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DEABDB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F9512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h.2) Factoring - Corporativo (Perfil do Sacado)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7AB33A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32A9F2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17C8945" w14:textId="02E9B713" w:rsidR="00C20BBD" w:rsidRPr="0097459F" w:rsidRDefault="00C20BBD" w:rsidP="004204E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 Setor Público (</w:t>
            </w:r>
            <w:r w:rsidR="004204E5">
              <w:rPr>
                <w:rFonts w:asciiTheme="minorHAnsi" w:hAnsiTheme="minorHAnsi" w:cstheme="minorHAnsi"/>
                <w:color w:val="000000"/>
                <w:sz w:val="24"/>
                <w:szCs w:val="24"/>
              </w:rPr>
              <w:t xml:space="preserve">Anexo Normativo II, </w:t>
            </w:r>
            <w:r w:rsidRPr="0097459F">
              <w:rPr>
                <w:rFonts w:asciiTheme="minorHAnsi" w:hAnsiTheme="minorHAnsi" w:cstheme="minorHAnsi"/>
                <w:color w:val="000000"/>
                <w:sz w:val="24"/>
                <w:szCs w:val="24"/>
              </w:rPr>
              <w:t xml:space="preserve">art. </w:t>
            </w:r>
            <w:r w:rsidR="004204E5">
              <w:rPr>
                <w:rFonts w:asciiTheme="minorHAnsi" w:hAnsiTheme="minorHAnsi" w:cstheme="minorHAnsi"/>
                <w:color w:val="000000"/>
                <w:sz w:val="24"/>
                <w:szCs w:val="24"/>
              </w:rPr>
              <w:t>2</w:t>
            </w:r>
            <w:r w:rsidRPr="0097459F">
              <w:rPr>
                <w:rFonts w:asciiTheme="minorHAnsi" w:hAnsiTheme="minorHAnsi" w:cstheme="minorHAnsi"/>
                <w:color w:val="000000"/>
                <w:sz w:val="24"/>
                <w:szCs w:val="24"/>
              </w:rPr>
              <w:t xml:space="preserve">º, </w:t>
            </w:r>
            <w:r w:rsidR="004204E5">
              <w:rPr>
                <w:rFonts w:asciiTheme="minorHAnsi" w:hAnsiTheme="minorHAnsi" w:cstheme="minorHAnsi"/>
                <w:color w:val="000000"/>
                <w:sz w:val="24"/>
                <w:szCs w:val="24"/>
              </w:rPr>
              <w:t>XI</w:t>
            </w:r>
            <w:r w:rsidRPr="0097459F">
              <w:rPr>
                <w:rFonts w:asciiTheme="minorHAnsi" w:hAnsiTheme="minorHAnsi" w:cstheme="minorHAnsi"/>
                <w:color w:val="000000"/>
                <w:sz w:val="24"/>
                <w:szCs w:val="24"/>
              </w:rPr>
              <w:t xml:space="preserve">II, </w:t>
            </w:r>
            <w:r w:rsidR="004204E5">
              <w:rPr>
                <w:rFonts w:asciiTheme="minorHAnsi" w:hAnsiTheme="minorHAnsi" w:cstheme="minorHAnsi"/>
                <w:color w:val="000000"/>
                <w:sz w:val="24"/>
                <w:szCs w:val="24"/>
              </w:rPr>
              <w:t>alínea “b”</w:t>
            </w:r>
            <w:r w:rsidRPr="0097459F">
              <w:rPr>
                <w:rFonts w:asciiTheme="minorHAnsi" w:hAnsiTheme="minorHAnsi" w:cstheme="minorHAnsi"/>
                <w:color w:val="000000"/>
                <w:sz w:val="24"/>
                <w:szCs w:val="24"/>
              </w:rPr>
              <w:t>)</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1AADE9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971C55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529440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i.1) Precatórios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B23DA1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ACDDE5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CACB4E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i.2) Créditos Tributários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8A41BD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8C3E2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6D8003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i.3) Royalties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78CBF1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C27A7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8396C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i.4) Outros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DF43C8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071EAD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E0A090" w14:textId="1CA4FFAF" w:rsidR="00C20BBD" w:rsidRPr="0097459F" w:rsidRDefault="00C20BBD" w:rsidP="004204E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j) Ações Judiciais (</w:t>
            </w:r>
            <w:r w:rsidR="004204E5">
              <w:rPr>
                <w:rFonts w:asciiTheme="minorHAnsi" w:hAnsiTheme="minorHAnsi" w:cstheme="minorHAnsi"/>
                <w:color w:val="000000"/>
                <w:sz w:val="24"/>
                <w:szCs w:val="24"/>
              </w:rPr>
              <w:t>Anexo Normativo II,</w:t>
            </w:r>
            <w:r w:rsidR="004204E5" w:rsidRPr="0097459F">
              <w:rPr>
                <w:rFonts w:asciiTheme="minorHAnsi" w:hAnsiTheme="minorHAnsi" w:cstheme="minorHAnsi"/>
                <w:color w:val="000000"/>
                <w:sz w:val="24"/>
                <w:szCs w:val="24"/>
              </w:rPr>
              <w:t xml:space="preserve"> </w:t>
            </w:r>
            <w:r w:rsidRPr="0097459F">
              <w:rPr>
                <w:rFonts w:asciiTheme="minorHAnsi" w:hAnsiTheme="minorHAnsi" w:cstheme="minorHAnsi"/>
                <w:color w:val="000000"/>
                <w:sz w:val="24"/>
                <w:szCs w:val="24"/>
              </w:rPr>
              <w:t xml:space="preserve">art. </w:t>
            </w:r>
            <w:r w:rsidR="004204E5">
              <w:rPr>
                <w:rFonts w:asciiTheme="minorHAnsi" w:hAnsiTheme="minorHAnsi" w:cstheme="minorHAnsi"/>
                <w:color w:val="000000"/>
                <w:sz w:val="24"/>
                <w:szCs w:val="24"/>
              </w:rPr>
              <w:t>2</w:t>
            </w:r>
            <w:r w:rsidRPr="0097459F">
              <w:rPr>
                <w:rFonts w:asciiTheme="minorHAnsi" w:hAnsiTheme="minorHAnsi" w:cstheme="minorHAnsi"/>
                <w:color w:val="000000"/>
                <w:sz w:val="24"/>
                <w:szCs w:val="24"/>
              </w:rPr>
              <w:t xml:space="preserve">º, </w:t>
            </w:r>
            <w:r w:rsidR="004204E5">
              <w:rPr>
                <w:rFonts w:asciiTheme="minorHAnsi" w:hAnsiTheme="minorHAnsi" w:cstheme="minorHAnsi"/>
                <w:color w:val="000000"/>
                <w:sz w:val="24"/>
                <w:szCs w:val="24"/>
              </w:rPr>
              <w:t>X</w:t>
            </w:r>
            <w:r w:rsidRPr="0097459F">
              <w:rPr>
                <w:rFonts w:asciiTheme="minorHAnsi" w:hAnsiTheme="minorHAnsi" w:cstheme="minorHAnsi"/>
                <w:color w:val="000000"/>
                <w:sz w:val="24"/>
                <w:szCs w:val="24"/>
              </w:rPr>
              <w:t xml:space="preserve">III, </w:t>
            </w:r>
            <w:r w:rsidR="004204E5">
              <w:rPr>
                <w:rFonts w:asciiTheme="minorHAnsi" w:hAnsiTheme="minorHAnsi" w:cstheme="minorHAnsi"/>
                <w:color w:val="000000"/>
                <w:sz w:val="24"/>
                <w:szCs w:val="24"/>
              </w:rPr>
              <w:t>alínea “c”</w:t>
            </w:r>
            <w:r w:rsidRPr="0097459F">
              <w:rPr>
                <w:rFonts w:asciiTheme="minorHAnsi" w:hAnsiTheme="minorHAnsi" w:cstheme="minorHAnsi"/>
                <w:color w:val="000000"/>
                <w:sz w:val="24"/>
                <w:szCs w:val="24"/>
              </w:rPr>
              <w:t>)</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C7C87C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C2E8B2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D4ACBC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k) Propriedade Intelectual e Marcas &amp; Patentes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978D92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37DBCCED"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309DFC1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III – Passivo (R$)</w:t>
            </w:r>
          </w:p>
        </w:tc>
      </w:tr>
      <w:tr w:rsidR="00EB4EF3" w:rsidRPr="0097459F" w14:paraId="0B49015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517525"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    a) Valores a pagar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E07C6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2BC81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AC41064"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Curto prazo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EB573E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BC7C43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4A7370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a.2) Longo prazo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DF5DA6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87D48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9BF0097"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 xml:space="preserve">    b) Posições Mantidas em Mercado de Derivativos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F868AC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D0F85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F13B2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 Mercado a termo (Posições vendidas)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1760CA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FF667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3D474A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b.2) Mercado de Opções (Posições Lançadas)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88D04D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1813E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50B1CE8"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b.3) Mercado Futuro (Ajustes Negativos)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660A7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38C2AB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7C0841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b.4) Diferencial de Swap a Pagar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F9789BF" w14:textId="77777777" w:rsidR="00C20BBD" w:rsidRPr="0097459F" w:rsidRDefault="00C20BBD" w:rsidP="00A95105">
            <w:pPr>
              <w:spacing w:after="0" w:line="240" w:lineRule="auto"/>
              <w:rPr>
                <w:rFonts w:asciiTheme="minorHAnsi" w:hAnsiTheme="minorHAnsi" w:cstheme="minorHAnsi"/>
                <w:sz w:val="24"/>
                <w:szCs w:val="24"/>
              </w:rPr>
            </w:pPr>
          </w:p>
        </w:tc>
      </w:tr>
      <w:tr w:rsidR="00C20BBD" w:rsidRPr="0097459F" w14:paraId="78A4AED6"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7350AA5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IV - Patrimônio Líquido (R$)</w:t>
            </w:r>
          </w:p>
        </w:tc>
      </w:tr>
      <w:tr w:rsidR="00EB4EF3" w:rsidRPr="0097459F" w14:paraId="4FBD7EC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D44E1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Valor do Patrimônio Líquido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BC4960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6968DB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3B5CDD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Valor do Patrimônio Líquido Médio (últimos três meses)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0A6B5B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0EA7E61C"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08C87E74" w14:textId="77777777" w:rsidR="00C20BBD" w:rsidRPr="0097459F" w:rsidRDefault="00C20BBD" w:rsidP="00A95105">
            <w:pPr>
              <w:spacing w:after="0" w:line="240" w:lineRule="auto"/>
              <w:rPr>
                <w:rFonts w:asciiTheme="minorHAnsi" w:hAnsiTheme="minorHAnsi" w:cstheme="minorHAnsi"/>
                <w:b/>
                <w:color w:val="632423"/>
                <w:sz w:val="24"/>
                <w:szCs w:val="24"/>
              </w:rPr>
            </w:pPr>
            <w:r w:rsidRPr="0097459F">
              <w:rPr>
                <w:rFonts w:asciiTheme="minorHAnsi" w:hAnsiTheme="minorHAnsi" w:cstheme="minorHAnsi"/>
                <w:b/>
                <w:color w:val="000000"/>
                <w:sz w:val="24"/>
                <w:szCs w:val="24"/>
              </w:rPr>
              <w:t>V - Comportamento da Carteira de Direitos Creditórios com Aquisição Substancial dos Riscos e Benefícios</w:t>
            </w:r>
          </w:p>
        </w:tc>
      </w:tr>
      <w:tr w:rsidR="00EB4EF3" w:rsidRPr="0097459F" w14:paraId="7BFDD21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337BF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 Por Prazo de Vencimento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4278AA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D19D02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370F45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 Até 30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F5AE54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7990AB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53EE7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a.2) De 31 a 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8F12EB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FD8EB3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53E486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a.3) De 61 a 90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16CA3E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1ED54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C4D1C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a.4) De 91 a 120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CB0D66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9A7D7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4EA1D0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a.5) De 121 a 150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467790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9D9867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1CD525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a.6) De 151 a 180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CDBDDD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28B934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907B65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a.7) De 181 a 360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7EB8CF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1E3EAD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F9E09C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a.8) De 361 a 720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CEAAC6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93166D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FB51FA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a.9) De 721 a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28B686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171E98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428EF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a.10) Acima de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F7332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0CAD84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A1892D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Inadimplentes (Valor das Parcelas Inadimplentes, em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BC6482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3FE47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0D8336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 Vencidos e não Pagos entre 1 e 30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137AEF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4D26E9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E2CE3F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b.2) Vencidos e não Pagos entre 31 e 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B3394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7D98A3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7EA8CB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b.3) Vencidos e não Pagos entre 61 e 90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C26640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E23863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980FB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b.4) Vencidos e não Pagos entre 91 e 120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79F87A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FCD30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3E05AC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b.5) Vencidos e não Pagos entre 121 e 150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10633C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A1D71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3776F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b.6) Vencidos e não Pagos entre 151 e 180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DDB1AD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AC3A06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C65D0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b.7) Vencidos e não Pagos entre 181 e 360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4EBF28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880B65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DED38D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b.8) Vencidos e não Pagos entre 361 e 720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0AAEE3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64209A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CDF76E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b.9) Vencidos e não Pagos entre 721 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3E1533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FFC15B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E77EBC9"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b.10) Vencidos e não Pagos acima de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99D3B63"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AE2DD1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4DAC62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Pagos Antecipadamente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7F0C5D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0B097A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C488B3B" w14:textId="1ED21153"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entre 1 e 30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612220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6FA09B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1B78A9D" w14:textId="0A598889"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entre 31 e 60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94D567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822623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1547C96" w14:textId="4D160AF9"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entre 61 e 90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13C7A0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DBAF2C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A1DD11D" w14:textId="3BD98832"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entre 91 e 120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4EC064F"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172ADF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801B2CA" w14:textId="7911705E"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c.5) entre 121 e 150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4349CD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4107AC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787C05C" w14:textId="5A6537C8"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entre 151 e 180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DEB39A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59D639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743622A" w14:textId="3FAD904F"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c.7) entre 181 e 360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F19A36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651A9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20300F5" w14:textId="59DF785B"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c.8) entre 361 e 720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848941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9DDA3E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8B987C4" w14:textId="7A563673" w:rsidR="00C20BBD" w:rsidRPr="0097459F" w:rsidRDefault="00C20BBD" w:rsidP="00A500F0">
            <w:pPr>
              <w:tabs>
                <w:tab w:val="left" w:pos="92"/>
              </w:tabs>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c.9) entre 721 e 1080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09A488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C38C2D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6E5E9F3" w14:textId="4033026A" w:rsidR="00C20BBD" w:rsidRPr="0097459F" w:rsidRDefault="00C20BBD" w:rsidP="00A500F0">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c.10) acima de 1080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D4CF3F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68C0A696"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1896B59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b/>
                <w:color w:val="000000"/>
                <w:sz w:val="24"/>
                <w:szCs w:val="24"/>
              </w:rPr>
              <w:t>VI - Comportamento da Carteira de Direitos Creditórios sem Aquisição Substancial dos Riscos e Benefícios</w:t>
            </w:r>
          </w:p>
        </w:tc>
      </w:tr>
      <w:tr w:rsidR="00EB4EF3" w:rsidRPr="0097459F" w14:paraId="4115029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1C3AEB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a) Por Prazo de Vencimento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B11B33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F5EC94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E1080B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 Até 30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A26D8F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7E705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5BCC0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a.2) De 31 a 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6AF2DD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41EF0E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2A88E4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a.3) De 61 a 90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766F70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A304D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20D8E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a.4) De 91 a 120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D2D806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CB0967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9FEAD9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a.5) De 121 a 150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A57284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033BA9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D88297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a.6) De 151 a 180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BAABD79"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05ED26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B8A724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a.7) De 181 a 360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94FAAF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E22D2E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B95E08"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a.8) De 361 a 720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259126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1F89E8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02B71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a.9) De 721 a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83630BD"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0D8BF9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9E648A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a.10) Acima de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27F186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5F294E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63A4A2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 Inadimplentes (Valor das Parcelas Inadimplentes, em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53BE5F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1D500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647C0D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 Vencidos e não Pagos entre 1 e 30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9BD6D7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627D007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935E8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b.2) Vencidos e não Pagos entre 31 e 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E9D456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8B370B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08708C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b.3) Vencidos e não Pagos entre 61 e 90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769963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4B25F3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F764E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b.4) Vencidos e não Pagos entre 91 e 120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BE614A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5739C4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9FBD56A"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b.5) Vencidos e não Pagos entre 121 e 150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D3716D5"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618E24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F3E504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b.6) Vencidos e não Pagos entre 151 e 180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49A14B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CB0486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3ACBF8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b.7) Vencidos e não Pagos entre 181 e 360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53CE881"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27E8FE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D638F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b.8) Vencidos e não Pagos entre 361 e 720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25503C6"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1839509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C62997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b.9) Vencidos e não Pagos entre 721 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DA6EF5B"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5F84CE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9D4DB0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b.10) Vencidos e não Pagos acima de 1080 dias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5E4CF7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388F771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1ABA5C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 Pagos Antecipadamente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1042F18"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DA7184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D8C994" w14:textId="29856A34"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 entre 1 e 30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1BA284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E73DDB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E5A833A" w14:textId="503DDE28"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c.2) entre 31 e 60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169447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D11920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E0CE16A" w14:textId="3C3172B6"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c.3) entre 61 e 90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F305AA0"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9C1421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1BF195" w14:textId="628AE7F8"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c.4) entre 91 e 120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90FAF34"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4C1A63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1080C3" w14:textId="1CB0D891"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c.5) entre 121 e 150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228729C"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5E4FFED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413244A" w14:textId="6FA20B04"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c.6) entre 151 e 180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D63F23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0352CC9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DEFAC22" w14:textId="15249807"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c.7) entre 181 e 360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EAB7922"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71F9E69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7FA263" w14:textId="750C7046"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c.8) entre 361 e 720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D85682A"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49F9035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B0F9502" w14:textId="1D39618E"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c.9) entre 721 e 1080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FD42E17"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EB4EF3" w:rsidRPr="0097459F" w14:paraId="2A70099F"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0127E5" w14:textId="346BFF77" w:rsidR="00C20BBD" w:rsidRPr="0097459F" w:rsidRDefault="00C20BBD" w:rsidP="00C078C7">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c.10) acima de 1080 dias do vencimento</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464647E" w14:textId="77777777" w:rsidR="00C20BBD" w:rsidRPr="0097459F" w:rsidRDefault="00C20BBD" w:rsidP="00A95105">
            <w:pPr>
              <w:spacing w:after="0" w:line="240" w:lineRule="auto"/>
              <w:rPr>
                <w:rFonts w:asciiTheme="minorHAnsi" w:hAnsiTheme="minorHAnsi" w:cstheme="minorHAnsi"/>
                <w:color w:val="000000"/>
                <w:sz w:val="24"/>
                <w:szCs w:val="24"/>
              </w:rPr>
            </w:pPr>
          </w:p>
        </w:tc>
      </w:tr>
      <w:tr w:rsidR="00C20BBD" w:rsidRPr="0097459F" w14:paraId="2479A0E4"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272DD60E"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VII - Negócios com Direitos Creditórios Realizados no Mês</w:t>
            </w:r>
          </w:p>
        </w:tc>
      </w:tr>
      <w:tr w:rsidR="00EB4EF3" w:rsidRPr="0097459F" w14:paraId="4C52CCD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91E2171" w14:textId="77777777" w:rsidR="00C20BBD" w:rsidRPr="0097459F" w:rsidRDefault="00C20BBD">
            <w:pPr>
              <w:pStyle w:val="PargrafodaLista"/>
              <w:numPr>
                <w:ilvl w:val="0"/>
                <w:numId w:val="10"/>
              </w:numPr>
              <w:spacing w:after="0" w:line="240" w:lineRule="auto"/>
              <w:contextualSpacing w:val="0"/>
              <w:jc w:val="both"/>
              <w:rPr>
                <w:rFonts w:cstheme="minorHAnsi"/>
                <w:sz w:val="24"/>
                <w:szCs w:val="24"/>
              </w:rPr>
            </w:pPr>
            <w:r w:rsidRPr="0097459F">
              <w:rPr>
                <w:rFonts w:cstheme="minorHAnsi"/>
                <w:sz w:val="24"/>
                <w:szCs w:val="24"/>
              </w:rPr>
              <w:t>Aquisições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3F5EB5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F3E3E5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891239"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Quantidade Total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88CDE6F"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55CE426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1EA464E"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Total (R$)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397E8E3"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2034672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4D63F8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Direitos Creditórios com Aquisição Substancial dos Riscos e Benefícios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A4F531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5FF9FC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6671C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a.1.1 -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626B5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F57DF0B"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A1B1F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83549A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1D9F008"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9146C22"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a.2) Direitos Creditórios sem Aquisição Substancial dos Riscos e Benefícios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F8524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7D9237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0DA0C5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a.2.1 -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81850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74BCE8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32B8A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a.2.2 -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4E243B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969AE9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23E896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a.3) Direitos Creditórios a vencer com parcela(s) 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429FA0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035AF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65ACA3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,a.3.1 -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40C7C2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4155A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C50F5D"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a.3.2 -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FEB62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C5FA3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7FEE65"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a.4) Direitos Creditórios a vencer com parcela(s) inadimplentes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BE93C9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7A1CE0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1C106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a.4.1 -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2AD264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A17BB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56AB05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a.4.2 -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8FC284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E772279"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A12F79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a.5) Direitos Creditórios Inadimplentes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4B2125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12958B6"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B7247A2"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a.5.1 -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A32FD3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65FCD8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A3D124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a.5.2 -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3F26D8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4AD31EE"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445D4BFA" w14:textId="77777777" w:rsidR="00C20BBD" w:rsidRPr="0097459F" w:rsidRDefault="00C20BBD">
            <w:pPr>
              <w:pStyle w:val="PargrafodaLista"/>
              <w:numPr>
                <w:ilvl w:val="0"/>
                <w:numId w:val="10"/>
              </w:numPr>
              <w:spacing w:after="0" w:line="240" w:lineRule="auto"/>
              <w:contextualSpacing w:val="0"/>
              <w:jc w:val="both"/>
              <w:rPr>
                <w:rFonts w:cstheme="minorHAnsi"/>
                <w:sz w:val="24"/>
                <w:szCs w:val="24"/>
              </w:rPr>
            </w:pPr>
            <w:r w:rsidRPr="0097459F">
              <w:rPr>
                <w:rFonts w:cstheme="minorHAnsi"/>
                <w:sz w:val="24"/>
                <w:szCs w:val="24"/>
              </w:rPr>
              <w:t>Alienações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A3880A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4934B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361636F"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Quantidade Total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A30696C"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2CCDBBE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9793511"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Total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9F59124"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4B1E9D37"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BADDAF0" w14:textId="77777777" w:rsidR="00C20BBD" w:rsidRPr="0097459F" w:rsidRDefault="00C20BBD" w:rsidP="00A95105">
            <w:pPr>
              <w:spacing w:after="0" w:line="240" w:lineRule="auto"/>
              <w:ind w:left="708"/>
              <w:rPr>
                <w:rFonts w:asciiTheme="minorHAnsi" w:hAnsiTheme="minorHAnsi" w:cstheme="minorHAnsi"/>
                <w:i/>
                <w:sz w:val="24"/>
                <w:szCs w:val="24"/>
              </w:rPr>
            </w:pPr>
            <w:r w:rsidRPr="0097459F">
              <w:rPr>
                <w:rFonts w:asciiTheme="minorHAnsi" w:hAnsiTheme="minorHAnsi" w:cstheme="minorHAnsi"/>
                <w:i/>
                <w:sz w:val="24"/>
                <w:szCs w:val="24"/>
              </w:rPr>
              <w:t>Valor Contábil Total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7B52379" w14:textId="77777777" w:rsidR="00C20BBD" w:rsidRPr="0097459F" w:rsidRDefault="00C20BBD" w:rsidP="00A95105">
            <w:pPr>
              <w:spacing w:after="0" w:line="240" w:lineRule="auto"/>
              <w:rPr>
                <w:rFonts w:asciiTheme="minorHAnsi" w:hAnsiTheme="minorHAnsi" w:cstheme="minorHAnsi"/>
                <w:i/>
                <w:sz w:val="24"/>
                <w:szCs w:val="24"/>
              </w:rPr>
            </w:pPr>
          </w:p>
        </w:tc>
      </w:tr>
      <w:tr w:rsidR="00EB4EF3" w:rsidRPr="0097459F" w14:paraId="01BFDF4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082330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b.1.1) Para o Cedente e Partes Relacionadas aos Cedentes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DEC6A8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30878E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8E4F0D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b.1.1.1)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1F870B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25BA7C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1291F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b.1.1.2)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E76104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BF33B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14015F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b.1.1.3) Valor Contábil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296B58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7E36E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42EEED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b.1.2) Para os Prestadores de Serviços e Partes Relacionadas aos Prestadores de Serviços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78E346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E234CB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0C243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b.1.2.1)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6AD5261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BB612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B422AB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b.1.2.2)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46EB24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B8B6223"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508A266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b.1.2.3) Valor Contábil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5EF0EB9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5830D5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D40C7D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b.1.3) Para Terceiros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093F1E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157C3E5"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FA2A1F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b.1.3.1)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D2C236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6CFCE5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F0303F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b.1.3.2)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1BC7B3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C7581F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0D2AAB0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b.1.3.3) Valor Contábil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8F00ED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EE0022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3083F0A" w14:textId="77777777" w:rsidR="00C20BBD" w:rsidRPr="0097459F" w:rsidRDefault="00C20BBD" w:rsidP="00A95105">
            <w:pPr>
              <w:pStyle w:val="PargrafodaLista"/>
              <w:spacing w:after="0" w:line="240" w:lineRule="auto"/>
              <w:ind w:left="360"/>
              <w:jc w:val="both"/>
              <w:rPr>
                <w:rFonts w:cstheme="minorHAnsi"/>
                <w:sz w:val="24"/>
                <w:szCs w:val="24"/>
              </w:rPr>
            </w:pPr>
            <w:r w:rsidRPr="0097459F">
              <w:rPr>
                <w:rFonts w:cstheme="minorHAnsi"/>
                <w:sz w:val="24"/>
                <w:szCs w:val="24"/>
              </w:rPr>
              <w:t>c) Substituições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1E67602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F3E024"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72BF20B4"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b.2.1)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29567C8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5F8090"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7EABF8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b.2.2)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73C1D6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94BB41"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60D40A5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b.2.3) Valor Contábil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19CEF4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6C92F4D"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30E0907E" w14:textId="77777777" w:rsidR="00C20BBD" w:rsidRPr="0097459F" w:rsidRDefault="00C20BBD" w:rsidP="00A95105">
            <w:pPr>
              <w:pStyle w:val="PargrafodaLista"/>
              <w:spacing w:after="0" w:line="240" w:lineRule="auto"/>
              <w:ind w:left="360"/>
              <w:jc w:val="both"/>
              <w:rPr>
                <w:rFonts w:cstheme="minorHAnsi"/>
                <w:sz w:val="24"/>
                <w:szCs w:val="24"/>
              </w:rPr>
            </w:pPr>
            <w:r w:rsidRPr="0097459F">
              <w:rPr>
                <w:rFonts w:cstheme="minorHAnsi"/>
                <w:sz w:val="24"/>
                <w:szCs w:val="24"/>
              </w:rPr>
              <w:t>d) Recompras</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214107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54A3DC"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2F28770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b.3.1) Quantidade</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E6B7AD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A57C4A"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61EFE4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b.3.2) Valor</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3E0D849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223AEA2" w14:textId="77777777" w:rsidTr="00BD3980">
        <w:trPr>
          <w:gridAfter w:val="1"/>
          <w:wAfter w:w="61" w:type="pct"/>
        </w:trPr>
        <w:tc>
          <w:tcPr>
            <w:tcW w:w="3327" w:type="pct"/>
            <w:gridSpan w:val="2"/>
            <w:tcBorders>
              <w:top w:val="outset" w:sz="6" w:space="0" w:color="auto"/>
              <w:left w:val="outset" w:sz="6" w:space="0" w:color="auto"/>
              <w:bottom w:val="outset" w:sz="6" w:space="0" w:color="auto"/>
              <w:right w:val="outset" w:sz="6" w:space="0" w:color="auto"/>
            </w:tcBorders>
            <w:vAlign w:val="center"/>
            <w:hideMark/>
          </w:tcPr>
          <w:p w14:paraId="129DE306"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b.3.3) Valor Contábil</w:t>
            </w:r>
          </w:p>
        </w:tc>
        <w:tc>
          <w:tcPr>
            <w:tcW w:w="1612" w:type="pct"/>
            <w:gridSpan w:val="5"/>
            <w:tcBorders>
              <w:top w:val="outset" w:sz="6" w:space="0" w:color="auto"/>
              <w:left w:val="outset" w:sz="6" w:space="0" w:color="auto"/>
              <w:bottom w:val="outset" w:sz="6" w:space="0" w:color="auto"/>
              <w:right w:val="outset" w:sz="6" w:space="0" w:color="auto"/>
            </w:tcBorders>
            <w:vAlign w:val="center"/>
            <w:hideMark/>
          </w:tcPr>
          <w:p w14:paraId="4E1B233D" w14:textId="77777777" w:rsidR="00C20BBD" w:rsidRPr="0097459F" w:rsidRDefault="00C20BBD" w:rsidP="00A95105">
            <w:pPr>
              <w:spacing w:after="0" w:line="240" w:lineRule="auto"/>
              <w:rPr>
                <w:rFonts w:asciiTheme="minorHAnsi" w:hAnsiTheme="minorHAnsi" w:cstheme="minorHAnsi"/>
                <w:sz w:val="24"/>
                <w:szCs w:val="24"/>
              </w:rPr>
            </w:pPr>
          </w:p>
        </w:tc>
      </w:tr>
      <w:tr w:rsidR="00C20BBD" w:rsidRPr="0097459F" w14:paraId="4E1D812B"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hideMark/>
          </w:tcPr>
          <w:p w14:paraId="2DEF3DAA"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VIII - Relação do Valor Devido dos 25 Maiores Devedores (Sacados) do Fundo</w:t>
            </w:r>
          </w:p>
        </w:tc>
      </w:tr>
      <w:tr w:rsidR="00EB4EF3" w:rsidRPr="0097459F" w14:paraId="1266E23A" w14:textId="77777777" w:rsidTr="00BD3980">
        <w:trPr>
          <w:gridAfter w:val="1"/>
          <w:wAfter w:w="50" w:type="pct"/>
          <w:trHeight w:val="325"/>
        </w:trPr>
        <w:tc>
          <w:tcPr>
            <w:tcW w:w="2001" w:type="pct"/>
            <w:tcBorders>
              <w:top w:val="outset" w:sz="6" w:space="0" w:color="auto"/>
              <w:left w:val="outset" w:sz="6" w:space="0" w:color="auto"/>
              <w:bottom w:val="single" w:sz="4" w:space="0" w:color="auto"/>
              <w:right w:val="outset" w:sz="6" w:space="0" w:color="auto"/>
            </w:tcBorders>
            <w:vAlign w:val="center"/>
            <w:hideMark/>
          </w:tcPr>
          <w:p w14:paraId="5CF13A5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Descrição </w:t>
            </w:r>
          </w:p>
        </w:tc>
        <w:tc>
          <w:tcPr>
            <w:tcW w:w="1332" w:type="pct"/>
            <w:tcBorders>
              <w:top w:val="outset" w:sz="6" w:space="0" w:color="auto"/>
              <w:left w:val="outset" w:sz="6" w:space="0" w:color="auto"/>
              <w:bottom w:val="single" w:sz="4" w:space="0" w:color="auto"/>
              <w:right w:val="outset" w:sz="6" w:space="0" w:color="auto"/>
            </w:tcBorders>
            <w:vAlign w:val="center"/>
            <w:hideMark/>
          </w:tcPr>
          <w:p w14:paraId="2D5909A2"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CPF/CNPJ</w:t>
            </w:r>
          </w:p>
        </w:tc>
        <w:tc>
          <w:tcPr>
            <w:tcW w:w="947" w:type="pct"/>
            <w:gridSpan w:val="2"/>
            <w:tcBorders>
              <w:top w:val="outset" w:sz="6" w:space="0" w:color="auto"/>
              <w:left w:val="outset" w:sz="6" w:space="0" w:color="auto"/>
              <w:bottom w:val="single" w:sz="4" w:space="0" w:color="auto"/>
              <w:right w:val="outset" w:sz="6" w:space="0" w:color="auto"/>
            </w:tcBorders>
            <w:vAlign w:val="center"/>
            <w:hideMark/>
          </w:tcPr>
          <w:p w14:paraId="4BD34B64"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Valor (R$)</w:t>
            </w:r>
          </w:p>
        </w:tc>
        <w:tc>
          <w:tcPr>
            <w:tcW w:w="670" w:type="pct"/>
            <w:gridSpan w:val="3"/>
            <w:tcBorders>
              <w:top w:val="outset" w:sz="6" w:space="0" w:color="auto"/>
              <w:left w:val="outset" w:sz="6" w:space="0" w:color="auto"/>
              <w:bottom w:val="single" w:sz="4" w:space="0" w:color="auto"/>
              <w:right w:val="outset" w:sz="6" w:space="0" w:color="auto"/>
            </w:tcBorders>
            <w:hideMark/>
          </w:tcPr>
          <w:p w14:paraId="0400165F" w14:textId="77777777" w:rsidR="00C20BBD" w:rsidRPr="0097459F" w:rsidRDefault="00C20BBD" w:rsidP="00A95105">
            <w:pPr>
              <w:spacing w:after="0" w:line="240" w:lineRule="auto"/>
              <w:jc w:val="center"/>
              <w:rPr>
                <w:rFonts w:asciiTheme="minorHAnsi" w:hAnsiTheme="minorHAnsi" w:cstheme="minorHAnsi"/>
                <w:color w:val="000000"/>
                <w:sz w:val="24"/>
                <w:szCs w:val="24"/>
              </w:rPr>
            </w:pPr>
            <w:r w:rsidRPr="0097459F">
              <w:rPr>
                <w:rFonts w:asciiTheme="minorHAnsi" w:hAnsiTheme="minorHAnsi" w:cstheme="minorHAnsi"/>
                <w:color w:val="000000"/>
                <w:sz w:val="24"/>
                <w:szCs w:val="24"/>
              </w:rPr>
              <w:t>% PL</w:t>
            </w:r>
          </w:p>
        </w:tc>
      </w:tr>
      <w:tr w:rsidR="00EB4EF3" w:rsidRPr="0097459F" w14:paraId="05C994FA"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00188E4"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 </w:t>
            </w:r>
          </w:p>
        </w:tc>
        <w:tc>
          <w:tcPr>
            <w:tcW w:w="1332" w:type="pct"/>
            <w:vMerge w:val="restart"/>
            <w:tcBorders>
              <w:top w:val="single" w:sz="4" w:space="0" w:color="auto"/>
              <w:left w:val="single" w:sz="4" w:space="0" w:color="auto"/>
              <w:bottom w:val="single" w:sz="4" w:space="0" w:color="auto"/>
              <w:right w:val="single" w:sz="4" w:space="0" w:color="auto"/>
            </w:tcBorders>
            <w:vAlign w:val="center"/>
            <w:hideMark/>
          </w:tcPr>
          <w:p w14:paraId="25ED40B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9D759B6"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val="restart"/>
            <w:tcBorders>
              <w:top w:val="single" w:sz="4" w:space="0" w:color="auto"/>
              <w:left w:val="single" w:sz="4" w:space="0" w:color="auto"/>
              <w:bottom w:val="single" w:sz="4" w:space="0" w:color="auto"/>
              <w:right w:val="single" w:sz="4" w:space="0" w:color="auto"/>
            </w:tcBorders>
          </w:tcPr>
          <w:p w14:paraId="75995050"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5AB0BE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DF4FDC7"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AB8991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36D6642C"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9CDAAC6"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21D5003"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79935402"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240AD786"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EFB00D4"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E5B93FE"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6A493BF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168EFBAE"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65A007B"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5D11FFD"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02C4F452"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58DDA53C" w14:textId="77777777" w:rsidR="00C20BBD" w:rsidRPr="0097459F" w:rsidRDefault="00C20BBD" w:rsidP="00A95105">
            <w:pPr>
              <w:spacing w:after="0" w:line="240" w:lineRule="auto"/>
              <w:jc w:val="center"/>
              <w:rPr>
                <w:rFonts w:asciiTheme="minorHAnsi" w:hAnsiTheme="minorHAnsi" w:cstheme="minorHAnsi"/>
                <w:vanish/>
                <w:sz w:val="24"/>
                <w:szCs w:val="24"/>
              </w:rPr>
            </w:pPr>
          </w:p>
          <w:p w14:paraId="4A18D886" w14:textId="77777777" w:rsidR="00C20BBD" w:rsidRPr="0097459F" w:rsidRDefault="00C20BBD" w:rsidP="00A95105">
            <w:pPr>
              <w:spacing w:after="0" w:line="240" w:lineRule="auto"/>
              <w:rPr>
                <w:rFonts w:asciiTheme="minorHAnsi" w:hAnsiTheme="minorHAnsi" w:cstheme="minorHAnsi"/>
                <w:sz w:val="24"/>
                <w:szCs w:val="24"/>
              </w:rPr>
            </w:pPr>
          </w:p>
          <w:p w14:paraId="36376279" w14:textId="77777777" w:rsidR="00C20BBD" w:rsidRPr="0097459F" w:rsidRDefault="00C20BBD" w:rsidP="00A95105">
            <w:pPr>
              <w:spacing w:after="0" w:line="240" w:lineRule="auto"/>
              <w:jc w:val="center"/>
              <w:rPr>
                <w:rFonts w:asciiTheme="minorHAnsi" w:hAnsiTheme="minorHAnsi" w:cstheme="minorHAnsi"/>
                <w:vanish/>
                <w:sz w:val="24"/>
                <w:szCs w:val="24"/>
              </w:rPr>
            </w:pPr>
          </w:p>
        </w:tc>
      </w:tr>
      <w:tr w:rsidR="00EB4EF3" w:rsidRPr="0097459F" w14:paraId="434092E5"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2164E635"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E0394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301165A"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BC36D2F"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20E63D0"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F50278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3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9DCD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26AA3D6"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01C2042"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24D79DE7"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D17E24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4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F9A39"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DC68F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12B42AB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C0F0FDE"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ED15E3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83FC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A532FAC"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4458C1C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2F3D93D"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8E074F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6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30B5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80778AC"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51AD5DC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60164DE"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5FE1BE3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7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C3C7F"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1B9BB29"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7D4E0AC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34B29BE"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E875F01"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8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498B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A732E98"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2FCF6B11"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6C0AA7C3"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58D2B3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lastRenderedPageBreak/>
              <w:t xml:space="preserve">Sacado/Devedor 9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F20D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65AAAD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F5A08A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137403A"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FD2CD9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4F28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579814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516094BF"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DF1F93B"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FA7A692"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DFD0B"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6D1514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17291406"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83DB71C"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6F3181C"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0D58C"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3D1A80"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332E74A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7CD9F01"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2A6667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13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6C7E4"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431F40AE"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21013EA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95862D1"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3659B963"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14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9E48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01300507"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2A3DA10E"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9303AE0"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ED3AAE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0403D"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26BD3E00"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450057AC"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6D984367"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A4F719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16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5ECB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8165B0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CAE163E"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01BA30C"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55EC26E"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17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59AC1"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21E98B5"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5AD5333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7409724"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F4ACECF"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18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CD807"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6028760F"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0B45FE7C"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37CE5D73"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23F30D7B"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19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8F38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582BB88"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3361538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749CB7C"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02E3E4D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20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EBA55"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44CF51D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0841C98"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4E1452DB"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5102CD6"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4F0F3"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54EC60A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0B441633"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5885BFC0"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7CBB7B7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22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C7140"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2411892E"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4FC876E3"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54D896FC"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E1A0810"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23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40316"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7FE7427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65ED1F59"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013191C3"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142532D7"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24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C2E28"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E239C62"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77332C25"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1243B4E2"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65B1A54D" w14:textId="77777777" w:rsidR="00C20BBD" w:rsidRPr="0097459F" w:rsidRDefault="00C20BBD" w:rsidP="00A95105">
            <w:pPr>
              <w:spacing w:after="0" w:line="240" w:lineRule="auto"/>
              <w:rPr>
                <w:rFonts w:asciiTheme="minorHAnsi" w:hAnsiTheme="minorHAnsi" w:cstheme="minorHAnsi"/>
                <w:color w:val="000000"/>
                <w:sz w:val="24"/>
                <w:szCs w:val="24"/>
              </w:rPr>
            </w:pPr>
            <w:r w:rsidRPr="0097459F">
              <w:rPr>
                <w:rFonts w:asciiTheme="minorHAnsi" w:hAnsiTheme="minorHAnsi" w:cstheme="minorHAnsi"/>
                <w:color w:val="000000"/>
                <w:sz w:val="24"/>
                <w:szCs w:val="24"/>
              </w:rPr>
              <w:t xml:space="preserve">Sacado/Devedor 25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F7568" w14:textId="77777777" w:rsidR="00C20BBD" w:rsidRPr="0097459F" w:rsidRDefault="00C20BBD" w:rsidP="00A95105">
            <w:pPr>
              <w:spacing w:after="0" w:line="240" w:lineRule="auto"/>
              <w:rPr>
                <w:rFonts w:asciiTheme="minorHAnsi" w:hAnsiTheme="minorHAnsi" w:cstheme="minorHAnsi"/>
                <w:color w:val="000000"/>
                <w:sz w:val="24"/>
                <w:szCs w:val="24"/>
              </w:rPr>
            </w:pPr>
          </w:p>
        </w:tc>
        <w:tc>
          <w:tcPr>
            <w:tcW w:w="947" w:type="pct"/>
            <w:gridSpan w:val="2"/>
            <w:vMerge/>
            <w:tcBorders>
              <w:top w:val="single" w:sz="4" w:space="0" w:color="auto"/>
              <w:left w:val="single" w:sz="4" w:space="0" w:color="auto"/>
              <w:bottom w:val="single" w:sz="4" w:space="0" w:color="auto"/>
              <w:right w:val="single" w:sz="4" w:space="0" w:color="auto"/>
            </w:tcBorders>
            <w:vAlign w:val="center"/>
            <w:hideMark/>
          </w:tcPr>
          <w:p w14:paraId="30E7F471"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vMerge/>
            <w:tcBorders>
              <w:top w:val="single" w:sz="4" w:space="0" w:color="auto"/>
              <w:left w:val="single" w:sz="4" w:space="0" w:color="auto"/>
              <w:bottom w:val="single" w:sz="4" w:space="0" w:color="auto"/>
              <w:right w:val="single" w:sz="4" w:space="0" w:color="auto"/>
            </w:tcBorders>
            <w:vAlign w:val="center"/>
            <w:hideMark/>
          </w:tcPr>
          <w:p w14:paraId="4D996EFD" w14:textId="77777777" w:rsidR="00C20BBD" w:rsidRPr="0097459F" w:rsidRDefault="00C20BBD" w:rsidP="00A95105">
            <w:pPr>
              <w:spacing w:after="0" w:line="240" w:lineRule="auto"/>
              <w:rPr>
                <w:rFonts w:asciiTheme="minorHAnsi" w:hAnsiTheme="minorHAnsi" w:cstheme="minorHAnsi"/>
                <w:vanish/>
                <w:sz w:val="24"/>
                <w:szCs w:val="24"/>
              </w:rPr>
            </w:pPr>
          </w:p>
        </w:tc>
      </w:tr>
      <w:tr w:rsidR="00EB4EF3" w:rsidRPr="0097459F" w14:paraId="2100EED7" w14:textId="77777777" w:rsidTr="00BD3980">
        <w:trPr>
          <w:gridAfter w:val="1"/>
          <w:wAfter w:w="50" w:type="pct"/>
        </w:trPr>
        <w:tc>
          <w:tcPr>
            <w:tcW w:w="2001" w:type="pct"/>
            <w:tcBorders>
              <w:top w:val="single" w:sz="4" w:space="0" w:color="auto"/>
              <w:left w:val="single" w:sz="4" w:space="0" w:color="auto"/>
              <w:bottom w:val="single" w:sz="4" w:space="0" w:color="auto"/>
              <w:right w:val="single" w:sz="4" w:space="0" w:color="auto"/>
            </w:tcBorders>
            <w:vAlign w:val="center"/>
            <w:hideMark/>
          </w:tcPr>
          <w:p w14:paraId="4A7EF4D4"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Total</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38341BC" w14:textId="77777777" w:rsidR="00C20BBD" w:rsidRPr="0097459F" w:rsidRDefault="00C20BBD" w:rsidP="00A95105">
            <w:pPr>
              <w:spacing w:after="0" w:line="240" w:lineRule="auto"/>
              <w:rPr>
                <w:rFonts w:asciiTheme="minorHAnsi" w:hAnsiTheme="minorHAnsi" w:cstheme="minorHAnsi"/>
                <w:sz w:val="24"/>
                <w:szCs w:val="24"/>
              </w:rPr>
            </w:pPr>
          </w:p>
        </w:tc>
        <w:tc>
          <w:tcPr>
            <w:tcW w:w="947" w:type="pct"/>
            <w:gridSpan w:val="2"/>
            <w:tcBorders>
              <w:top w:val="single" w:sz="4" w:space="0" w:color="auto"/>
              <w:left w:val="single" w:sz="4" w:space="0" w:color="auto"/>
              <w:bottom w:val="single" w:sz="4" w:space="0" w:color="auto"/>
              <w:right w:val="single" w:sz="4" w:space="0" w:color="auto"/>
            </w:tcBorders>
            <w:vAlign w:val="center"/>
            <w:hideMark/>
          </w:tcPr>
          <w:p w14:paraId="5D7D7F2B" w14:textId="77777777" w:rsidR="00C20BBD" w:rsidRPr="0097459F" w:rsidRDefault="00C20BBD" w:rsidP="00A95105">
            <w:pPr>
              <w:spacing w:after="0" w:line="240" w:lineRule="auto"/>
              <w:rPr>
                <w:rFonts w:asciiTheme="minorHAnsi" w:hAnsiTheme="minorHAnsi" w:cstheme="minorHAnsi"/>
                <w:sz w:val="24"/>
                <w:szCs w:val="24"/>
              </w:rPr>
            </w:pPr>
          </w:p>
        </w:tc>
        <w:tc>
          <w:tcPr>
            <w:tcW w:w="670" w:type="pct"/>
            <w:gridSpan w:val="3"/>
            <w:tcBorders>
              <w:top w:val="single" w:sz="4" w:space="0" w:color="auto"/>
              <w:left w:val="single" w:sz="4" w:space="0" w:color="auto"/>
              <w:bottom w:val="single" w:sz="4" w:space="0" w:color="auto"/>
              <w:right w:val="single" w:sz="4" w:space="0" w:color="auto"/>
            </w:tcBorders>
          </w:tcPr>
          <w:p w14:paraId="32848577" w14:textId="77777777" w:rsidR="00C20BBD" w:rsidRPr="0097459F" w:rsidRDefault="00C20BBD" w:rsidP="00A95105">
            <w:pPr>
              <w:spacing w:after="0" w:line="240" w:lineRule="auto"/>
              <w:jc w:val="center"/>
              <w:rPr>
                <w:rFonts w:asciiTheme="minorHAnsi" w:hAnsiTheme="minorHAnsi" w:cstheme="minorHAnsi"/>
                <w:color w:val="000000"/>
                <w:sz w:val="24"/>
                <w:szCs w:val="24"/>
              </w:rPr>
            </w:pPr>
          </w:p>
        </w:tc>
      </w:tr>
      <w:tr w:rsidR="00C20BBD" w:rsidRPr="0097459F" w14:paraId="50D5C227" w14:textId="77777777" w:rsidTr="00BD3980">
        <w:trPr>
          <w:gridAfter w:val="1"/>
          <w:wAfter w:w="61" w:type="pct"/>
        </w:trPr>
        <w:tc>
          <w:tcPr>
            <w:tcW w:w="4939" w:type="pct"/>
            <w:gridSpan w:val="7"/>
            <w:tcBorders>
              <w:top w:val="single" w:sz="4" w:space="0" w:color="auto"/>
              <w:left w:val="outset" w:sz="6" w:space="0" w:color="auto"/>
              <w:bottom w:val="outset" w:sz="6" w:space="0" w:color="auto"/>
              <w:right w:val="outset" w:sz="6" w:space="0" w:color="auto"/>
            </w:tcBorders>
            <w:vAlign w:val="center"/>
            <w:hideMark/>
          </w:tcPr>
          <w:p w14:paraId="3BD761F5" w14:textId="77777777"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b/>
                <w:color w:val="000000"/>
                <w:sz w:val="24"/>
                <w:szCs w:val="24"/>
              </w:rPr>
              <w:t>IX - Taxas Praticadas nos Negócios com Direitos Creditórios Realizados no Mês</w:t>
            </w:r>
          </w:p>
        </w:tc>
      </w:tr>
      <w:tr w:rsidR="00EB4EF3" w:rsidRPr="0097459F" w14:paraId="39B2213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3863D51" w14:textId="0B6D5382"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a) Direitos Creditórios com Aquisição Substancial dos Riscos e Benefícios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FEB1C8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8868A3F"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1B0067B"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a.1)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8F5609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F84796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C726F2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D1DE91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57923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832B1B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BD8D45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C04CEE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290CB5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7D61C3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450E262"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F836AB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FA1915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D1856C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E09C383"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79E405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3151C9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9C6CB9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A7D46E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09B17F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BF6106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9DF8FC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CAB98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8F3165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0AC65D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E0D6C2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C3D19A8"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lastRenderedPageBreak/>
              <w:t>a.2) Taxa de Juros (dos direitos creditórios)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F0E2E2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BD0EC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3F9FF4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8C3706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2318F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BED4BA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97B16B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3A3BC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7807A5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6E23C9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F72BAD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514F8F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0A11A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CDE97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F75FBA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C442F0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EA33FF"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C81D7E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C44FEA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0A3F0B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CD9839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F9B374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CAE40D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C565B3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a.2.2.3)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7F5684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6D1AC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3FA31CD" w14:textId="476F5A2C"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b) Direitos Creditórios sem Aquisição Substancial dos Riscos e Benefícios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0555A1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1684B2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5A97E56"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260AA0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8710638"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916F062"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0109D5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FE3197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30876A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6BD86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79376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654ECE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31151B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1C321A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74FDE7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E161F7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4D07BA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5EFE22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a.1.2)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EC4F3F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F8A0E1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D23F06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6CBB27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5EA4DD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E4A7AA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A50B9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98EB7A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8B98DE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186559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127EE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3278EA7"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b.2) Taxa de Juros (dos direitos creditórios)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F987D7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D299A25"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89A0AC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89C3EF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5B8B5C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00B71A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214096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21791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A22E14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728FA9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1A50E7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12F878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770136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B0F7172"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428BFF9"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b.2.2)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A599E0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0E5D90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A7FD72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56E3B4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A8AE5F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CC3DC8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0EEF71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CC2F73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DA62A5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b.2.2.3)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AB27F1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D1B179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E91D81B" w14:textId="60B6F22C"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c) Valores Mobiliários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C1C84B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40DC78"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3652340"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lastRenderedPageBreak/>
              <w:t>c.1)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A05F97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11031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D56B9F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3281D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74582D4"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8B1263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F14AD3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6F7FE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0B8B7E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973542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7D48CE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88BB6A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2EB4C2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2BBF71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02EE1A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194563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236B82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003CE6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D13231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D90C4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8434E8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927E71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1501EA5"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3B7D8F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F0B588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ABA4C1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9B44D1F"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c.2) Taxa de Juros </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4FF8C6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2BBCEE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80523A8"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835CB0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58D1BB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9FE10B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2D44CA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D37743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16C7FF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A76DE3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9EA599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37331F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550701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18CEDD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E7BA0F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c.2.2)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7DA020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63ADF2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68DDB8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B2C86C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198718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B90903E"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3FAA4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2CA01D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048060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c.2.2.3)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61B5C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978546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AB661DC" w14:textId="00B04436"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d) Títulos Públicos Federais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1D5285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E54B1B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84B27B1"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d.1)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63EB28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859E72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232F2A1"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792DDF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3700E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C06AE1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752B00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F3E69D5"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B2ACFB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46FC75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0721FC5"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86EF07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30ACD4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3439C1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5398F8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C43E20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D01D2F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3C7B48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F65BC9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E53C2F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A061D5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7A0C93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B031874"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E6BF10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E0A44E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AFF56E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0CE0A9C"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d.2) Taxa de Juros </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B79CEC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370161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0B6B4BD"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d.2.1)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C408D0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A49F418"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E0D7A6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61DA4D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1A34CCF"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2261FB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B9AEDD8"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81DBDF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0C69D2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E86E57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0041FB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80DFF0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d.2.2)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BFE90C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C4503C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940B27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20CB33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9AF112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EAFA4BD"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34FDBC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AE281C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C32A172"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d.2.2.3)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D6871C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2D3D22B"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E9A04C4" w14:textId="214F5F9A"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e) Certificados de Depósitos Bancários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5B599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C6C1D1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33267D4"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e.1)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FC6104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9E1D13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AA58B6C"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BE2765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9FDA8C2"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72462B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9EB7BE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2801D3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33FF1C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72ADD7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97B7CE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7ECA24A"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C1AC16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F7ECCD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117402B0"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A97E02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3AFA7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E857FC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283615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D169BE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2A84EC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DE1DE3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068114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766E48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15AB89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A4A681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36BD93D"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e.2) Taxa de Juros</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B79CA1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2C30DEA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386FEF5"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CEFF25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7285D7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9DB8257"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524283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C653BC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29665A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EC5FC1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56EE20E"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2B2FBF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778EED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208526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9E2FEEA"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e.2.2)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45A29F5"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57018EA"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44E0E51"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187E52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E470148"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08787E8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19A0F3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B63524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508FF7F"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e.2.2.3)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53E8AE6"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47C1EAF3"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C583486" w14:textId="777DF153" w:rsidR="00C20BBD" w:rsidRPr="0097459F" w:rsidRDefault="00C20BBD" w:rsidP="00A95105">
            <w:pPr>
              <w:spacing w:after="0" w:line="240" w:lineRule="auto"/>
              <w:rPr>
                <w:rFonts w:asciiTheme="minorHAnsi" w:hAnsiTheme="minorHAnsi" w:cstheme="minorHAnsi"/>
                <w:sz w:val="24"/>
                <w:szCs w:val="24"/>
              </w:rPr>
            </w:pPr>
            <w:r w:rsidRPr="0097459F">
              <w:rPr>
                <w:rFonts w:asciiTheme="minorHAnsi" w:hAnsiTheme="minorHAnsi" w:cstheme="minorHAnsi"/>
                <w:sz w:val="24"/>
                <w:szCs w:val="24"/>
              </w:rPr>
              <w:t>f) Outros Ativos Financeiros de Renda Fixa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EE3E48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3F098D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55F4E0E"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f.1) Taxa de Desconto (da aquisição)</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44270DC"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EC99AD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0243FA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lastRenderedPageBreak/>
              <w:t>f.1.1)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9ABCC4E"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B0453D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746D18C"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2E1C9B7"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CAC7B51"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0120BB8"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F5861CB"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4894D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003B2B5"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68EBB340"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FD6D9E8"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3C83AA5E"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f.1.2)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22BA7F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188F8DC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7072A82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9AA627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4F1E7E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63DCC99"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BDEFF39"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D648BC4"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F5B4E1B"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f.1.2.3)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CD047EF"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521A39C"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552C647" w14:textId="77777777" w:rsidR="00C20BBD" w:rsidRPr="0097459F" w:rsidRDefault="00C20BBD" w:rsidP="00A95105">
            <w:pPr>
              <w:spacing w:after="0" w:line="240" w:lineRule="auto"/>
              <w:ind w:left="708"/>
              <w:rPr>
                <w:rFonts w:asciiTheme="minorHAnsi" w:hAnsiTheme="minorHAnsi" w:cstheme="minorHAnsi"/>
                <w:sz w:val="24"/>
                <w:szCs w:val="24"/>
              </w:rPr>
            </w:pPr>
            <w:r w:rsidRPr="0097459F">
              <w:rPr>
                <w:rFonts w:asciiTheme="minorHAnsi" w:hAnsiTheme="minorHAnsi" w:cstheme="minorHAnsi"/>
                <w:sz w:val="24"/>
                <w:szCs w:val="24"/>
              </w:rPr>
              <w:t xml:space="preserve">f.2) Taxa de Juros </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138D772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6F18EAC7"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68E5C3B"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f.2.1) Compra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E7524F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71784F9D"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9F3D1A6"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09BEA2CD"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8ECBB60"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F931C44"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39B03BA3"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0BBF84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6CDD1F9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f.2.1.3)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A11321A"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5D29EFEF"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46304D67" w14:textId="77777777" w:rsidR="00C20BBD" w:rsidRPr="0097459F" w:rsidRDefault="00C20BBD" w:rsidP="00A95105">
            <w:pPr>
              <w:spacing w:after="0" w:line="240" w:lineRule="auto"/>
              <w:ind w:left="1416"/>
              <w:rPr>
                <w:rFonts w:asciiTheme="minorHAnsi" w:hAnsiTheme="minorHAnsi" w:cstheme="minorHAnsi"/>
                <w:sz w:val="24"/>
                <w:szCs w:val="24"/>
              </w:rPr>
            </w:pPr>
            <w:r w:rsidRPr="0097459F">
              <w:rPr>
                <w:rFonts w:asciiTheme="minorHAnsi" w:hAnsiTheme="minorHAnsi" w:cstheme="minorHAnsi"/>
                <w:sz w:val="24"/>
                <w:szCs w:val="24"/>
              </w:rPr>
              <w:t>f.2.2) Venda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46163632"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33DD7132"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2CE68083"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f.2.2.1) Mínima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21DCEF84"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5C111D6"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14C67A0" w14:textId="77777777" w:rsidR="00C20BBD" w:rsidRPr="0097459F" w:rsidRDefault="00C20BBD" w:rsidP="00A95105">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f.2.2.2) Média (ponderada)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7B304481" w14:textId="77777777" w:rsidR="00C20BBD" w:rsidRPr="0097459F" w:rsidRDefault="00C20BBD" w:rsidP="00A95105">
            <w:pPr>
              <w:spacing w:after="0" w:line="240" w:lineRule="auto"/>
              <w:rPr>
                <w:rFonts w:asciiTheme="minorHAnsi" w:hAnsiTheme="minorHAnsi" w:cstheme="minorHAnsi"/>
                <w:sz w:val="24"/>
                <w:szCs w:val="24"/>
              </w:rPr>
            </w:pPr>
          </w:p>
        </w:tc>
      </w:tr>
      <w:tr w:rsidR="00EB4EF3" w:rsidRPr="0097459F" w14:paraId="08EB58A9" w14:textId="77777777" w:rsidTr="00BD3980">
        <w:trPr>
          <w:gridAfter w:val="1"/>
          <w:wAfter w:w="61" w:type="pct"/>
        </w:trPr>
        <w:tc>
          <w:tcPr>
            <w:tcW w:w="3333" w:type="pct"/>
            <w:gridSpan w:val="2"/>
            <w:tcBorders>
              <w:top w:val="outset" w:sz="6" w:space="0" w:color="auto"/>
              <w:left w:val="outset" w:sz="6" w:space="0" w:color="auto"/>
              <w:bottom w:val="outset" w:sz="6" w:space="0" w:color="auto"/>
              <w:right w:val="outset" w:sz="6" w:space="0" w:color="auto"/>
            </w:tcBorders>
            <w:vAlign w:val="center"/>
            <w:hideMark/>
          </w:tcPr>
          <w:p w14:paraId="5AD5F3B7" w14:textId="40E9908F" w:rsidR="00C65A64" w:rsidRPr="0097459F" w:rsidRDefault="00C20BBD" w:rsidP="00C65A64">
            <w:pPr>
              <w:spacing w:after="0" w:line="240" w:lineRule="auto"/>
              <w:ind w:left="2124"/>
              <w:rPr>
                <w:rFonts w:asciiTheme="minorHAnsi" w:hAnsiTheme="minorHAnsi" w:cstheme="minorHAnsi"/>
                <w:sz w:val="24"/>
                <w:szCs w:val="24"/>
              </w:rPr>
            </w:pPr>
            <w:r w:rsidRPr="0097459F">
              <w:rPr>
                <w:rFonts w:asciiTheme="minorHAnsi" w:hAnsiTheme="minorHAnsi" w:cstheme="minorHAnsi"/>
                <w:sz w:val="24"/>
                <w:szCs w:val="24"/>
              </w:rPr>
              <w:t>f.2.2.3) Máxima</w:t>
            </w:r>
          </w:p>
        </w:tc>
        <w:tc>
          <w:tcPr>
            <w:tcW w:w="1606" w:type="pct"/>
            <w:gridSpan w:val="5"/>
            <w:tcBorders>
              <w:top w:val="outset" w:sz="6" w:space="0" w:color="auto"/>
              <w:left w:val="outset" w:sz="6" w:space="0" w:color="auto"/>
              <w:bottom w:val="outset" w:sz="6" w:space="0" w:color="auto"/>
              <w:right w:val="outset" w:sz="6" w:space="0" w:color="auto"/>
            </w:tcBorders>
            <w:vAlign w:val="center"/>
            <w:hideMark/>
          </w:tcPr>
          <w:p w14:paraId="5CF39D6D" w14:textId="5C1955B4" w:rsidR="00C65A64" w:rsidRPr="0097459F" w:rsidRDefault="00C65A64" w:rsidP="00A95105">
            <w:pPr>
              <w:spacing w:after="0" w:line="240" w:lineRule="auto"/>
              <w:rPr>
                <w:rFonts w:asciiTheme="minorHAnsi" w:hAnsiTheme="minorHAnsi" w:cstheme="minorHAnsi"/>
                <w:sz w:val="24"/>
                <w:szCs w:val="24"/>
              </w:rPr>
            </w:pPr>
          </w:p>
        </w:tc>
      </w:tr>
      <w:tr w:rsidR="002F774B" w:rsidRPr="00842E5A" w14:paraId="4786EEF6" w14:textId="77777777" w:rsidTr="00BD3980">
        <w:trPr>
          <w:gridAfter w:val="1"/>
          <w:wAfter w:w="61" w:type="pct"/>
        </w:trPr>
        <w:tc>
          <w:tcPr>
            <w:tcW w:w="4939" w:type="pct"/>
            <w:gridSpan w:val="7"/>
            <w:tcBorders>
              <w:top w:val="outset" w:sz="6" w:space="0" w:color="auto"/>
              <w:left w:val="outset" w:sz="6" w:space="0" w:color="auto"/>
              <w:bottom w:val="outset" w:sz="6" w:space="0" w:color="auto"/>
              <w:right w:val="outset" w:sz="6" w:space="0" w:color="auto"/>
            </w:tcBorders>
            <w:vAlign w:val="center"/>
          </w:tcPr>
          <w:p w14:paraId="763417EE" w14:textId="2190FCCD" w:rsidR="002F774B" w:rsidRPr="00842E5A" w:rsidRDefault="002F774B" w:rsidP="00A95105">
            <w:pPr>
              <w:spacing w:after="0" w:line="240" w:lineRule="auto"/>
              <w:rPr>
                <w:rFonts w:asciiTheme="minorHAnsi" w:hAnsiTheme="minorHAnsi" w:cstheme="minorHAnsi"/>
                <w:strike/>
                <w:sz w:val="24"/>
                <w:szCs w:val="24"/>
              </w:rPr>
            </w:pPr>
            <w:r w:rsidRPr="00842E5A">
              <w:rPr>
                <w:rFonts w:asciiTheme="minorHAnsi" w:hAnsiTheme="minorHAnsi" w:cstheme="minorHAnsi"/>
                <w:b/>
                <w:strike/>
                <w:color w:val="000000"/>
                <w:sz w:val="24"/>
                <w:szCs w:val="24"/>
              </w:rPr>
              <w:t>X - Outras Informações</w:t>
            </w:r>
          </w:p>
        </w:tc>
      </w:tr>
      <w:tr w:rsidR="002E2BA2" w:rsidRPr="00F6174B" w14:paraId="59FFE2BB" w14:textId="34C9AB8B" w:rsidTr="00BD3980">
        <w:trPr>
          <w:gridAfter w:val="1"/>
          <w:wAfter w:w="50" w:type="pct"/>
          <w:trHeight w:val="338"/>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FCD1733" w14:textId="5E33AB45" w:rsidR="002E2BA2" w:rsidRPr="00842E5A" w:rsidRDefault="002E2BA2" w:rsidP="002E2BA2">
            <w:pPr>
              <w:spacing w:after="0" w:line="240" w:lineRule="auto"/>
              <w:rPr>
                <w:rFonts w:asciiTheme="minorHAnsi" w:hAnsiTheme="minorHAnsi" w:cstheme="minorHAnsi"/>
                <w:b/>
                <w:strike/>
                <w:color w:val="632423"/>
                <w:sz w:val="24"/>
                <w:szCs w:val="24"/>
              </w:rPr>
            </w:pPr>
            <w:r w:rsidRPr="00842E5A">
              <w:rPr>
                <w:rFonts w:asciiTheme="minorHAnsi" w:hAnsiTheme="minorHAnsi" w:cstheme="minorHAnsi"/>
                <w:strike/>
                <w:color w:val="000000"/>
                <w:sz w:val="24"/>
                <w:szCs w:val="24"/>
              </w:rPr>
              <w:t>1) Número de Cotistas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7C6BC54" w14:textId="77777777" w:rsidR="002E2BA2" w:rsidRPr="00842E5A" w:rsidRDefault="002E2BA2" w:rsidP="002E2BA2">
            <w:pPr>
              <w:spacing w:after="160" w:line="259" w:lineRule="auto"/>
              <w:rPr>
                <w:rFonts w:asciiTheme="minorHAnsi" w:hAnsiTheme="minorHAnsi" w:cstheme="minorHAnsi"/>
                <w:b/>
                <w:strike/>
                <w:color w:val="632423"/>
                <w:sz w:val="24"/>
                <w:szCs w:val="24"/>
              </w:rPr>
            </w:pPr>
          </w:p>
        </w:tc>
      </w:tr>
      <w:tr w:rsidR="002E2BA2" w:rsidRPr="00F6174B" w14:paraId="3EB45203" w14:textId="7F3E5E3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8AA0CA8" w14:textId="2B609339"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6B15041"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71F2BF90" w14:textId="32FCC1BB"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6BB13C9" w14:textId="2C028A1F"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Série 1</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5A0FC7A"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456375CF" w14:textId="78798AC5"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8ABE456" w14:textId="0FB2F8E0"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9CD9AA7"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2EAA6729" w14:textId="600254AF"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3AB5361" w14:textId="0AE74FF6"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Série 3</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47796F6"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0E6AF988" w14:textId="66F335C1"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A446F34" w14:textId="1E5D8606"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 xml:space="preserve">... </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B621F75"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03F73FDD" w14:textId="04EB68B4"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99F0108" w14:textId="1C1B4191"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61C70AB" w14:textId="77777777" w:rsidR="002E2BA2" w:rsidRPr="00842E5A" w:rsidRDefault="002E2BA2" w:rsidP="002E2BA2">
            <w:pPr>
              <w:spacing w:after="160" w:line="259" w:lineRule="auto"/>
              <w:rPr>
                <w:rFonts w:asciiTheme="minorHAnsi" w:hAnsiTheme="minorHAnsi" w:cstheme="minorHAnsi"/>
                <w:strike/>
                <w:color w:val="000000"/>
                <w:sz w:val="24"/>
                <w:szCs w:val="24"/>
              </w:rPr>
            </w:pPr>
          </w:p>
        </w:tc>
      </w:tr>
      <w:tr w:rsidR="002E2BA2" w:rsidRPr="00F6174B" w14:paraId="665AC94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825ED47" w14:textId="43E871FF" w:rsidR="002E2BA2" w:rsidRPr="00842E5A" w:rsidRDefault="002E2BA2" w:rsidP="002E2BA2">
            <w:pPr>
              <w:spacing w:after="0" w:line="240" w:lineRule="auto"/>
              <w:rPr>
                <w:rFonts w:asciiTheme="minorHAnsi" w:hAnsiTheme="minorHAnsi" w:cstheme="minorHAnsi"/>
                <w:strike/>
                <w:sz w:val="24"/>
                <w:szCs w:val="24"/>
              </w:rPr>
            </w:pPr>
            <w:r w:rsidRPr="00842E5A">
              <w:rPr>
                <w:rFonts w:asciiTheme="minorHAnsi" w:hAnsiTheme="minorHAnsi" w:cstheme="minorHAnsi"/>
                <w:strike/>
                <w:sz w:val="24"/>
                <w:szCs w:val="24"/>
              </w:rPr>
              <w:t>Classe Subordinada 1 (as cotas mezanino são subordinadas às seniores)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20C8BC4"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EF9D7C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71ECBC0" w14:textId="71D6C7C6"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lastRenderedPageBreak/>
              <w:t>Classe 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37B5F0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8B636C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416BBFA" w14:textId="31619AC9"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 xml:space="preserve">       Classe 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73649B4"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9D1D11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B5ADD4C" w14:textId="01505B8C"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Classe Subordinada 4</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7E8675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09F136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64D4A95" w14:textId="51B8751E"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 xml:space="preserve">        Classe Subordinada 5</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E32DEE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E47492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9D3A73C" w14:textId="4FCD2CA3"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1.1) Número de Cotistas – Classe Sênior</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C366B1"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0F61D5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2161DCF" w14:textId="6CD00C3C"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Pessoa física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8240A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7211F2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A31E536" w14:textId="0CB507AB"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Pessoa jurídica não financeira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73353C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9A36A8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2FF9721" w14:textId="0D3BF433"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Banco comercial</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559E37"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FEAE16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07BB934" w14:textId="40D6F74D"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Corretora ou distribuidora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57CCDA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F6EA0D5" w14:textId="77777777" w:rsidTr="00BD3980">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00662B8" w14:textId="421CE511"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Outras pessoas jurídicas financeiras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005DDFF" w14:textId="77777777" w:rsidR="002E2BA2" w:rsidRPr="00842E5A" w:rsidRDefault="002E2BA2" w:rsidP="002E2BA2">
            <w:pPr>
              <w:spacing w:after="0" w:line="240" w:lineRule="auto"/>
              <w:rPr>
                <w:rFonts w:asciiTheme="minorHAnsi" w:hAnsiTheme="minorHAnsi" w:cstheme="minorHAnsi"/>
                <w:strike/>
                <w:color w:val="000000"/>
                <w:sz w:val="24"/>
                <w:szCs w:val="24"/>
              </w:rPr>
            </w:pPr>
          </w:p>
        </w:tc>
        <w:tc>
          <w:tcPr>
            <w:tcW w:w="50" w:type="pct"/>
            <w:tcBorders>
              <w:top w:val="nil"/>
              <w:left w:val="nil"/>
              <w:bottom w:val="nil"/>
              <w:right w:val="outset" w:sz="6" w:space="0" w:color="000000" w:themeColor="text1"/>
            </w:tcBorders>
            <w:vAlign w:val="center"/>
          </w:tcPr>
          <w:p w14:paraId="5C226AF8" w14:textId="77777777" w:rsidR="002E2BA2" w:rsidRPr="00F6174B" w:rsidRDefault="002E2BA2" w:rsidP="002E2BA2">
            <w:pPr>
              <w:spacing w:after="0" w:line="240" w:lineRule="auto"/>
              <w:rPr>
                <w:rFonts w:asciiTheme="minorHAnsi" w:hAnsiTheme="minorHAnsi" w:cstheme="minorHAnsi"/>
                <w:color w:val="000000"/>
                <w:sz w:val="24"/>
                <w:szCs w:val="24"/>
                <w:highlight w:val="yellow"/>
              </w:rPr>
            </w:pPr>
          </w:p>
        </w:tc>
      </w:tr>
      <w:tr w:rsidR="002E2BA2" w:rsidRPr="00F6174B" w14:paraId="3DB4C40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60D54A" w14:textId="5AD16A67"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Investidores não residentes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FE34AAE"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B8C79C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03E812" w14:textId="3729E0C7"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Entidade aberta de previdência complementar</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EAC4C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381085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4917245" w14:textId="682A777A"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Entidade fechada de previdência complementar</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AD97597"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C1916B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549661" w14:textId="3989E903"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Regime próprio de previdência dos servidores públicos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19DBF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DA14B2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C0A3EF5" w14:textId="6FCD77F3"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Sociedade seguradora ou resseguradora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01E189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B298E9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2009DB2" w14:textId="544EDEFC"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Sociedade de capitalização e de arrendamento mercantil</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CAE70C8"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336396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34063DE" w14:textId="624523A5"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Fundos de investimento em cotas de fundos de investimento em direitos creditórios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843FC6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4243A6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E501812" w14:textId="6CE209C3"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Fundos de investimento imobiliário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B83DB6"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F80EA6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68E1C00" w14:textId="2FAD90CB"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Outros fundos de investimento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4D521D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F9DA24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B64000F" w14:textId="7D679106"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Clubes de investimento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663040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E7B405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6867D16" w14:textId="495F2D61"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079749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F0E34C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0C022F2" w14:textId="4F0C2324"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1.2) Número de Cotistas – Classe Subordinada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60954F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1C222E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4E64A18" w14:textId="0FC26A9D"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Pessoa física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1B5426C"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11AF50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74D7A54" w14:textId="0235A592"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Pessoa jurídica não financeira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25AD14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9FFEF3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2DDED1" w14:textId="1A88866B"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Banco comercial</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AC9C7BA"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377D33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1F011FF" w14:textId="56EF83F4"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Corretora ou distribuidora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EF46B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17C230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EDA1EF5" w14:textId="2257A6F2"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Outras pessoas jurídicas financeiras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E2A26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DC4097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D30739E" w14:textId="14AB4ACF"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Investidores não residentes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6D03D1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FA5BC0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CA555E6" w14:textId="742AE128"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Entidade aberta de previdência complementar</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DDD58D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890A34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209EB76" w14:textId="1FD585E9"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lastRenderedPageBreak/>
              <w:t>Entidade fechada de previdência complementar</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19ABEA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5BA1CA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905918" w14:textId="5FEABB77"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Regime próprio de previdência dos servidores públicos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7B6AA9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95143E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BBA939A" w14:textId="6DA68999"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Sociedade seguradora ou resseguradora</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FBD397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514EC2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9BA8A1B" w14:textId="2EB4E1FF"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Sociedade de capitalização e de arrendamento mercantil</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451116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B2E41E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6ABFEB98" w14:textId="58A3A5BE"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Fundos de investimento em cotas de fundos de investimento em direitos creditórios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FBE1B68"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A645C9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B4C6BBF" w14:textId="07401A12"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Fundos de investimento imobiliário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DCE3216"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1EC7E4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C473351" w14:textId="48B649CE"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Outros fundos de investimento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288B74A"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2A7039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20533E" w14:textId="0C429F97"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Clubes de investimento</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8265C1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B84CB2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11050856" w14:textId="4072D1E4"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Outros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91D7E59"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027F9E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5CA16D0" w14:textId="68AA3927"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2) Descrição da Série/Classe (separar por classe e série)</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4DA2772"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1D325D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4D6755C" w14:textId="6C609508"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2611798"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DA5EEE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83FE00B" w14:textId="71CA06C0"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Série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583000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7C0F872" w14:textId="77777777" w:rsidTr="00BD3980">
        <w:tc>
          <w:tcPr>
            <w:tcW w:w="3343" w:type="pct"/>
            <w:gridSpan w:val="2"/>
            <w:tcBorders>
              <w:top w:val="outset" w:sz="6" w:space="0" w:color="auto"/>
              <w:left w:val="outset" w:sz="6" w:space="0" w:color="auto"/>
              <w:bottom w:val="outset" w:sz="6" w:space="0" w:color="auto"/>
              <w:right w:val="outset" w:sz="6" w:space="0" w:color="auto"/>
            </w:tcBorders>
            <w:vAlign w:val="center"/>
          </w:tcPr>
          <w:p w14:paraId="1131133B" w14:textId="41082C31"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2BB834B" w14:textId="77777777" w:rsidR="002E2BA2" w:rsidRPr="00842E5A" w:rsidRDefault="002E2BA2" w:rsidP="002E2BA2">
            <w:pPr>
              <w:spacing w:after="0" w:line="240" w:lineRule="auto"/>
              <w:rPr>
                <w:rFonts w:asciiTheme="minorHAnsi" w:hAnsiTheme="minorHAnsi" w:cstheme="minorHAnsi"/>
                <w:strike/>
                <w:sz w:val="24"/>
                <w:szCs w:val="24"/>
              </w:rPr>
            </w:pPr>
          </w:p>
        </w:tc>
        <w:tc>
          <w:tcPr>
            <w:tcW w:w="50" w:type="pct"/>
            <w:tcBorders>
              <w:top w:val="nil"/>
              <w:left w:val="nil"/>
              <w:bottom w:val="nil"/>
              <w:right w:val="outset" w:sz="6" w:space="0" w:color="000000" w:themeColor="text1"/>
            </w:tcBorders>
            <w:vAlign w:val="center"/>
          </w:tcPr>
          <w:p w14:paraId="0EA8AB51" w14:textId="77777777" w:rsidR="002E2BA2" w:rsidRPr="00F6174B" w:rsidRDefault="002E2BA2" w:rsidP="002E2BA2">
            <w:pPr>
              <w:spacing w:after="0" w:line="240" w:lineRule="auto"/>
              <w:rPr>
                <w:rFonts w:asciiTheme="minorHAnsi" w:hAnsiTheme="minorHAnsi" w:cstheme="minorHAnsi"/>
                <w:color w:val="000000"/>
                <w:sz w:val="24"/>
                <w:szCs w:val="24"/>
              </w:rPr>
            </w:pPr>
          </w:p>
        </w:tc>
      </w:tr>
      <w:tr w:rsidR="002E2BA2" w:rsidRPr="00F6174B" w14:paraId="2FC814D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1899BFC" w14:textId="29D43A26"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da Cota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731E26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65927B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155BE19" w14:textId="5554DD56"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16AB973"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43D788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49374E6" w14:textId="254587CB" w:rsidR="002E2BA2" w:rsidRPr="00842E5A" w:rsidRDefault="002E2BA2" w:rsidP="002E2BA2">
            <w:pPr>
              <w:spacing w:after="0" w:line="240" w:lineRule="auto"/>
              <w:ind w:left="1531"/>
              <w:rPr>
                <w:rFonts w:asciiTheme="minorHAnsi" w:hAnsiTheme="minorHAnsi" w:cstheme="minorHAnsi"/>
                <w:strike/>
                <w:sz w:val="24"/>
                <w:szCs w:val="24"/>
              </w:rPr>
            </w:pPr>
            <w:r w:rsidRPr="00842E5A">
              <w:rPr>
                <w:rFonts w:asciiTheme="minorHAnsi" w:hAnsiTheme="minorHAnsi" w:cstheme="minorHAnsi"/>
                <w:strike/>
                <w:sz w:val="24"/>
                <w:szCs w:val="24"/>
              </w:rPr>
              <w:t>Quantidade de Cotas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7F8861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C406F5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55117CC" w14:textId="5EFB9E44" w:rsidR="002E2BA2" w:rsidRPr="00842E5A" w:rsidRDefault="002E2BA2" w:rsidP="002E2BA2">
            <w:pPr>
              <w:spacing w:after="0" w:line="240" w:lineRule="auto"/>
              <w:ind w:left="1531"/>
              <w:rPr>
                <w:rFonts w:asciiTheme="minorHAnsi" w:hAnsiTheme="minorHAnsi" w:cstheme="minorHAnsi"/>
                <w:strike/>
                <w:sz w:val="24"/>
                <w:szCs w:val="24"/>
              </w:rPr>
            </w:pPr>
            <w:r w:rsidRPr="00842E5A">
              <w:rPr>
                <w:rFonts w:asciiTheme="minorHAnsi" w:hAnsiTheme="minorHAnsi" w:cstheme="minorHAnsi"/>
                <w:strike/>
                <w:sz w:val="24"/>
                <w:szCs w:val="24"/>
              </w:rPr>
              <w:t>Valor da Cota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30AB14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62DF5B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79A0C85" w14:textId="5C390C28"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BDF077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C3475E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03C88A6" w14:textId="639AFAD3"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Classe 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D53356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387FEA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934E837" w14:textId="134227BD"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DBD558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73420F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C0E1463" w14:textId="25E0DD99"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da Cota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330EE5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5B86FE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393DE8C" w14:textId="2FAA61BD"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Classe 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ACD6C1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D37C31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67709F7" w14:textId="7F43EC7E" w:rsidR="002E2BA2" w:rsidRPr="00842E5A" w:rsidRDefault="002E2BA2" w:rsidP="002E2BA2">
            <w:pPr>
              <w:spacing w:after="0" w:line="240" w:lineRule="auto"/>
              <w:ind w:left="1531"/>
              <w:rPr>
                <w:rFonts w:asciiTheme="minorHAnsi" w:hAnsiTheme="minorHAnsi" w:cstheme="minorHAnsi"/>
                <w:strike/>
                <w:sz w:val="24"/>
                <w:szCs w:val="24"/>
              </w:rPr>
            </w:pPr>
            <w:r w:rsidRPr="00842E5A">
              <w:rPr>
                <w:rFonts w:asciiTheme="minorHAnsi" w:hAnsiTheme="minorHAnsi" w:cstheme="minorHAnsi"/>
                <w:strike/>
                <w:sz w:val="24"/>
                <w:szCs w:val="24"/>
              </w:rPr>
              <w:t>Quantidade de Cotas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FC6159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1F0E27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09A47A3" w14:textId="212D830B" w:rsidR="002E2BA2" w:rsidRPr="00842E5A" w:rsidRDefault="002E2BA2" w:rsidP="002E2BA2">
            <w:pPr>
              <w:spacing w:after="0" w:line="240" w:lineRule="auto"/>
              <w:ind w:left="1531"/>
              <w:rPr>
                <w:rFonts w:asciiTheme="minorHAnsi" w:hAnsiTheme="minorHAnsi" w:cstheme="minorHAnsi"/>
                <w:strike/>
                <w:sz w:val="24"/>
                <w:szCs w:val="24"/>
              </w:rPr>
            </w:pPr>
            <w:r w:rsidRPr="00842E5A">
              <w:rPr>
                <w:rFonts w:asciiTheme="minorHAnsi" w:hAnsiTheme="minorHAnsi" w:cstheme="minorHAnsi"/>
                <w:strike/>
                <w:sz w:val="24"/>
                <w:szCs w:val="24"/>
              </w:rPr>
              <w:t>Valor da Cota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9BAE50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331C03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4DAD039" w14:textId="46A71E26" w:rsidR="002E2BA2" w:rsidRPr="00842E5A" w:rsidRDefault="002E2BA2" w:rsidP="002E2BA2">
            <w:pPr>
              <w:spacing w:after="0" w:line="240" w:lineRule="auto"/>
              <w:ind w:left="1814"/>
              <w:rPr>
                <w:rFonts w:asciiTheme="minorHAnsi" w:hAnsiTheme="minorHAnsi" w:cstheme="minorHAnsi"/>
                <w:strike/>
                <w:sz w:val="24"/>
                <w:szCs w:val="24"/>
              </w:rPr>
            </w:pPr>
            <w:r w:rsidRPr="00842E5A">
              <w:rPr>
                <w:rFonts w:asciiTheme="minorHAnsi" w:hAnsiTheme="minorHAnsi" w:cstheme="minorHAnsi"/>
                <w:strike/>
                <w:sz w:val="24"/>
                <w:szCs w:val="24"/>
              </w:rPr>
              <w:t>Classe 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972C664"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E23180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5762C40" w14:textId="635C90CA" w:rsidR="002E2BA2" w:rsidRPr="00842E5A" w:rsidRDefault="002E2BA2" w:rsidP="002E2BA2">
            <w:pPr>
              <w:spacing w:after="0" w:line="240" w:lineRule="auto"/>
              <w:ind w:left="2155"/>
              <w:rPr>
                <w:rFonts w:asciiTheme="minorHAnsi" w:hAnsiTheme="minorHAnsi" w:cstheme="minorHAnsi"/>
                <w:strike/>
                <w:sz w:val="24"/>
                <w:szCs w:val="24"/>
              </w:rPr>
            </w:pPr>
            <w:r w:rsidRPr="00842E5A">
              <w:rPr>
                <w:rFonts w:asciiTheme="minorHAnsi" w:hAnsiTheme="minorHAnsi" w:cstheme="minorHAnsi"/>
                <w:strike/>
                <w:sz w:val="24"/>
                <w:szCs w:val="24"/>
              </w:rPr>
              <w:t>Quantidade de Cotas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18C4AE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4F99E4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2F4AA09" w14:textId="7738C45B" w:rsidR="002E2BA2" w:rsidRPr="00842E5A" w:rsidRDefault="002E2BA2" w:rsidP="002E2BA2">
            <w:pPr>
              <w:spacing w:after="0" w:line="240" w:lineRule="auto"/>
              <w:ind w:left="2155"/>
              <w:rPr>
                <w:rFonts w:asciiTheme="minorHAnsi" w:hAnsiTheme="minorHAnsi" w:cstheme="minorHAnsi"/>
                <w:strike/>
                <w:sz w:val="24"/>
                <w:szCs w:val="24"/>
              </w:rPr>
            </w:pPr>
            <w:r w:rsidRPr="00842E5A">
              <w:rPr>
                <w:rFonts w:asciiTheme="minorHAnsi" w:hAnsiTheme="minorHAnsi" w:cstheme="minorHAnsi"/>
                <w:strike/>
                <w:sz w:val="24"/>
                <w:szCs w:val="24"/>
              </w:rPr>
              <w:t>Valor da Cota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F2BF8E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FB4A2B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5C2145C" w14:textId="5FD212E0"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3) Rentabilidade Apurada no Mês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193D739"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CD5455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E2C540E" w14:textId="4CD2A4D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5A16CB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5AF0BD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135F907" w14:textId="2765759F"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lastRenderedPageBreak/>
              <w:t>Série 1</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E9F7096"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DB3942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2E92BFD" w14:textId="6D470F81"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6498656"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2014C7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6E6CE03" w14:textId="66E0554A"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Série 3</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F7A4DA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0B8434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2AE361" w14:textId="37F8E1CA" w:rsidR="002E2BA2" w:rsidRPr="00842E5A" w:rsidRDefault="002E2BA2" w:rsidP="002E2BA2">
            <w:pPr>
              <w:spacing w:after="0" w:line="240" w:lineRule="auto"/>
              <w:ind w:left="851"/>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D61EC7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1DFAA3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6475DD0" w14:textId="6C926F1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Classe 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AE6C34F"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D6BD24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11E605A" w14:textId="6C6E83D2"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        Classe 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5634C1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E6B87E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A0F0A21" w14:textId="7E4A9285"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Classe 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E0484E8"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6B626F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06E5C7A" w14:textId="05010E60"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    4) Captações, Resgates e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4DE7EE0" w14:textId="77777777" w:rsidR="002E2BA2" w:rsidRPr="00842E5A" w:rsidRDefault="002E2BA2" w:rsidP="002E2BA2">
            <w:pPr>
              <w:spacing w:after="0" w:line="240" w:lineRule="auto"/>
              <w:rPr>
                <w:rFonts w:asciiTheme="minorHAnsi" w:hAnsiTheme="minorHAnsi" w:cstheme="minorHAnsi"/>
                <w:b/>
                <w:strike/>
                <w:color w:val="632423"/>
                <w:sz w:val="24"/>
                <w:szCs w:val="24"/>
              </w:rPr>
            </w:pPr>
          </w:p>
        </w:tc>
      </w:tr>
      <w:tr w:rsidR="002E2BA2" w:rsidRPr="00F6174B" w14:paraId="1312B18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72C5C0B" w14:textId="4F318566" w:rsidR="002E2BA2" w:rsidRPr="00842E5A" w:rsidRDefault="002E2BA2" w:rsidP="002E2BA2">
            <w:pPr>
              <w:spacing w:after="0" w:line="240" w:lineRule="auto"/>
              <w:rPr>
                <w:rFonts w:asciiTheme="minorHAnsi" w:hAnsiTheme="minorHAnsi" w:cstheme="minorHAnsi"/>
                <w:strike/>
                <w:sz w:val="24"/>
                <w:szCs w:val="24"/>
              </w:rPr>
            </w:pPr>
            <w:r w:rsidRPr="00842E5A">
              <w:rPr>
                <w:rFonts w:asciiTheme="minorHAnsi" w:hAnsiTheme="minorHAnsi" w:cstheme="minorHAnsi"/>
                <w:strike/>
                <w:sz w:val="24"/>
                <w:szCs w:val="24"/>
              </w:rPr>
              <w:t>4.1) Captações no Mês (valor total captado, em R$, e 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BD41AB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8E96CE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72F3520" w14:textId="5E030087"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4.1.1) 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915EB1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326AF6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087E960" w14:textId="4E23D045"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Série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910C37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141852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3A7F872" w14:textId="099DF1DA"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Captado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DF3138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8BC5C4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7FF1C35" w14:textId="0D2D1013"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0E9E9D5"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E8B4AF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30713C8" w14:textId="10C88861"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18ECE3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B065E5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BFBA8F0" w14:textId="7E5D4BA6"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Total Captado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08CF7A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7BBC16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C5FF23C" w14:textId="28F6F890"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7DCABE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38B792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EE12209" w14:textId="08B3A271"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4.1.2) 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DE3B45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F51189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19FF245" w14:textId="05282E06"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01E23D3"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C3096C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305C2D0" w14:textId="6F157A9A"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Captado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F0F6208"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AF2C79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0F961CD" w14:textId="5EDF05BA"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A29A6D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9471C7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AFA8097" w14:textId="081CEAEA"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723F3A8"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57F2D3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7353296" w14:textId="0AF73D87"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Total Captado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EE2951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26AAF5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C9F69A9" w14:textId="71D48EE0"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AA54C3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5043E9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B12D11E" w14:textId="7EE1E425" w:rsidR="002E2BA2" w:rsidRPr="00842E5A" w:rsidRDefault="002E2BA2" w:rsidP="002E2BA2">
            <w:pPr>
              <w:spacing w:after="0" w:line="240" w:lineRule="auto"/>
              <w:ind w:left="1588"/>
              <w:rPr>
                <w:rFonts w:asciiTheme="minorHAnsi" w:hAnsiTheme="minorHAnsi" w:cstheme="minorHAnsi"/>
                <w:strike/>
                <w:sz w:val="24"/>
                <w:szCs w:val="24"/>
              </w:rPr>
            </w:pPr>
            <w:r w:rsidRPr="00842E5A">
              <w:rPr>
                <w:rFonts w:asciiTheme="minorHAnsi" w:hAnsiTheme="minorHAnsi" w:cstheme="minorHAnsi"/>
                <w:strike/>
                <w:sz w:val="24"/>
                <w:szCs w:val="24"/>
              </w:rPr>
              <w:t>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BED2DD5"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B300EA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347D1B1" w14:textId="3DAE9626"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Valor Total Captado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5446052"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04ED38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EF8B774" w14:textId="2B150E46"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Quantidade de Cotas Emitidas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6A2D83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6854F0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1F69134" w14:textId="4334DB70" w:rsidR="002E2BA2" w:rsidRPr="00842E5A" w:rsidRDefault="002E2BA2" w:rsidP="002E2BA2">
            <w:pPr>
              <w:spacing w:after="0" w:line="240" w:lineRule="auto"/>
              <w:rPr>
                <w:rFonts w:asciiTheme="minorHAnsi" w:hAnsiTheme="minorHAnsi" w:cstheme="minorHAnsi"/>
                <w:strike/>
                <w:sz w:val="24"/>
                <w:szCs w:val="24"/>
              </w:rPr>
            </w:pPr>
            <w:r w:rsidRPr="00842E5A">
              <w:rPr>
                <w:rFonts w:asciiTheme="minorHAnsi" w:hAnsiTheme="minorHAnsi" w:cstheme="minorHAnsi"/>
                <w:strike/>
                <w:sz w:val="24"/>
                <w:szCs w:val="24"/>
              </w:rPr>
              <w:t>4.2) Resgates no Mês (FIDC aberto - quantidade de cotas resgatadas e valor total do resgate, em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B2D5E3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89A64E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1259880" w14:textId="461DDB58"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4.2.1) 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A584D4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EF8E47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2D8F091" w14:textId="6D60AAC0"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lastRenderedPageBreak/>
              <w:t>Série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791C9D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F2F4DF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5B7416F" w14:textId="04CF4E75"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dos Resgates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2562DF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56DB3B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36B2AC5" w14:textId="7C94406E"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154989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18E194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C04D97B" w14:textId="136BA484"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118054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49FCB8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B3D8297" w14:textId="514F7878"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dos Resgates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1C7AF5F"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068A54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DDCB7B7" w14:textId="1998ED15"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780B9E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71877B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5B7462F" w14:textId="20B6AB03"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4.2.2) 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30C39F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325413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4AF87CA" w14:textId="07436EEA"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CF94DA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BDEBBB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BB98685" w14:textId="1AD400A6"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dos Resgates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76A80D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9E3CEB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20017A8" w14:textId="437D30AC"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898683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75B500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8D48B80" w14:textId="251A3087"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CF89439"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4323F0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244B8F1" w14:textId="16A896E2"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Total dos Resgates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17798E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0E235C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9A891DA" w14:textId="31366AB7"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Quantidade de Cotas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2F01F0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9A8540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E66EAFD" w14:textId="29AD1658" w:rsidR="002E2BA2" w:rsidRPr="00842E5A" w:rsidRDefault="002E2BA2" w:rsidP="002E2BA2">
            <w:pPr>
              <w:spacing w:after="0" w:line="240" w:lineRule="auto"/>
              <w:ind w:left="1588"/>
              <w:rPr>
                <w:rFonts w:asciiTheme="minorHAnsi" w:hAnsiTheme="minorHAnsi" w:cstheme="minorHAnsi"/>
                <w:strike/>
                <w:sz w:val="24"/>
                <w:szCs w:val="24"/>
              </w:rPr>
            </w:pPr>
            <w:r w:rsidRPr="00842E5A">
              <w:rPr>
                <w:rFonts w:asciiTheme="minorHAnsi" w:hAnsiTheme="minorHAnsi" w:cstheme="minorHAnsi"/>
                <w:strike/>
                <w:sz w:val="24"/>
                <w:szCs w:val="24"/>
              </w:rPr>
              <w:t>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D51E418"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D78380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190E0DD" w14:textId="1809AE4C"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Valor Total dos Resgates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E0F568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51B18A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BA48D99" w14:textId="4B8D56CB"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Quantidade de Cotas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2D8E02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F7A688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DCE0450" w14:textId="460A0539" w:rsidR="002E2BA2" w:rsidRPr="00842E5A" w:rsidRDefault="002E2BA2" w:rsidP="002E2BA2">
            <w:pPr>
              <w:spacing w:after="0" w:line="240" w:lineRule="auto"/>
              <w:rPr>
                <w:rFonts w:asciiTheme="minorHAnsi" w:hAnsiTheme="minorHAnsi" w:cstheme="minorHAnsi"/>
                <w:strike/>
                <w:sz w:val="24"/>
                <w:szCs w:val="24"/>
              </w:rPr>
            </w:pPr>
            <w:r w:rsidRPr="00842E5A">
              <w:rPr>
                <w:rFonts w:asciiTheme="minorHAnsi" w:hAnsiTheme="minorHAnsi" w:cstheme="minorHAnsi"/>
                <w:strike/>
                <w:sz w:val="24"/>
                <w:szCs w:val="24"/>
              </w:rPr>
              <w:t>4.3) Resgates Solicitados e Ainda Não Pagos (FIDC aberto - quantidade de cotas a serem resgatadas e valor a ser pago, em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3885039"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A7FBFF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7B801BD" w14:textId="21F36302"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4.3.1) 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92779F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BF021D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A4026DF" w14:textId="264E6DC7"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Série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A2015C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AC6574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CA5B22D" w14:textId="160F91A5"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a ser Pago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BB1459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CA8D0E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3AB3E3B" w14:textId="73624983"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a serem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B7F45E3"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6AB585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C355F70" w14:textId="56697964"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69B161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121C45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1050042" w14:textId="27755BFA"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a ser Pago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7E7C29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8F7395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CEAE581" w14:textId="6F60C3B5"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Quantidade de Cotas a serem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A736BB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60210C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4B58FC1" w14:textId="0849C47D"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4.3.2) 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4589968"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38344C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4FE574A" w14:textId="2DF30CFE"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C67570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000F4A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3C0700C" w14:textId="4FB62832"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a ser Pago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89750BC"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8DE1CB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C276854" w14:textId="5BFFBA85"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Quantidade de Cotas a serem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EDA543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2796E99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2D905D0" w14:textId="638B571C"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AC0F58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501402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B603B46" w14:textId="6C05CD2F"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lastRenderedPageBreak/>
              <w:t>Valor a ser Pago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5CEAE4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6687AA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614ECF9" w14:textId="31357158"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Quantidade de Cotas a serem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BD3C63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7A2E6A8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6581D69" w14:textId="61BA88C0" w:rsidR="002E2BA2" w:rsidRPr="00842E5A" w:rsidRDefault="002E2BA2" w:rsidP="002E2BA2">
            <w:pPr>
              <w:spacing w:after="0" w:line="240" w:lineRule="auto"/>
              <w:ind w:left="1588"/>
              <w:rPr>
                <w:rFonts w:asciiTheme="minorHAnsi" w:hAnsiTheme="minorHAnsi" w:cstheme="minorHAnsi"/>
                <w:strike/>
                <w:sz w:val="24"/>
                <w:szCs w:val="24"/>
              </w:rPr>
            </w:pPr>
            <w:r w:rsidRPr="00842E5A">
              <w:rPr>
                <w:rFonts w:asciiTheme="minorHAnsi" w:hAnsiTheme="minorHAnsi" w:cstheme="minorHAnsi"/>
                <w:strike/>
                <w:sz w:val="24"/>
                <w:szCs w:val="24"/>
              </w:rPr>
              <w:t>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D6D039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0AB199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57D7670" w14:textId="3F0199CF"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Valor a ser Pago</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935668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AD9EC2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02431AA" w14:textId="7546BCEF"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Quantidade de Cotas a serem Resgatadas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792191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C5C84A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8A05C02" w14:textId="645998DD" w:rsidR="002E2BA2" w:rsidRPr="00842E5A" w:rsidRDefault="002E2BA2" w:rsidP="002E2BA2">
            <w:pPr>
              <w:spacing w:after="0" w:line="240" w:lineRule="auto"/>
              <w:rPr>
                <w:rFonts w:asciiTheme="minorHAnsi" w:hAnsiTheme="minorHAnsi" w:cstheme="minorHAnsi"/>
                <w:strike/>
                <w:sz w:val="24"/>
                <w:szCs w:val="24"/>
              </w:rPr>
            </w:pPr>
            <w:r w:rsidRPr="00842E5A">
              <w:rPr>
                <w:rFonts w:asciiTheme="minorHAnsi" w:hAnsiTheme="minorHAnsi" w:cstheme="minorHAnsi"/>
                <w:strike/>
                <w:sz w:val="24"/>
                <w:szCs w:val="24"/>
              </w:rPr>
              <w:t>4.4) Amortizações (Informar valor amortizado por cota e valor da amortização total, em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AF677B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0F91FE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7D090BC" w14:textId="4049CDDD"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4.4.1) 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74D711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67CF7C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06F5519" w14:textId="1339580B"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Série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A205C2D"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1408D3F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36451A8" w14:textId="31B90BBE"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Amortizado por Cota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A9D6A6E"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465636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075103E" w14:textId="00A2B126"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das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5FCF59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035D7D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698B538" w14:textId="0CA6D71C"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Série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B6D03C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DDFB17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DFAA8D0" w14:textId="69A7148A"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Amortizado por Cota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42AED55"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EE5F4D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F192567" w14:textId="26EEC89A"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Total das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2BCC533"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DEB31B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AABDBD1" w14:textId="02E05358"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4.4.2) Classe Subordinada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E1CB226"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A9AB3C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664D54B" w14:textId="7BF09D21" w:rsidR="002E2BA2" w:rsidRPr="00842E5A" w:rsidRDefault="002E2BA2" w:rsidP="002E2BA2">
            <w:pPr>
              <w:spacing w:after="0" w:line="240" w:lineRule="auto"/>
              <w:ind w:left="708"/>
              <w:rPr>
                <w:rFonts w:asciiTheme="minorHAnsi" w:hAnsiTheme="minorHAnsi" w:cstheme="minorHAnsi"/>
                <w:strike/>
                <w:sz w:val="24"/>
                <w:szCs w:val="24"/>
              </w:rPr>
            </w:pPr>
            <w:r w:rsidRPr="00842E5A">
              <w:rPr>
                <w:rFonts w:asciiTheme="minorHAnsi" w:hAnsiTheme="minorHAnsi" w:cstheme="minorHAnsi"/>
                <w:strike/>
                <w:sz w:val="24"/>
                <w:szCs w:val="24"/>
              </w:rPr>
              <w:t>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5578BC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3FBC489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ECD945F" w14:textId="3539002D"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Amortizado por Cota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FC1FAB9"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53C16BB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68AF146" w14:textId="3E4E7CB0" w:rsidR="002E2BA2" w:rsidRPr="00842E5A" w:rsidRDefault="002E2BA2" w:rsidP="002E2BA2">
            <w:pPr>
              <w:spacing w:after="0" w:line="240" w:lineRule="auto"/>
              <w:ind w:left="907"/>
              <w:rPr>
                <w:rFonts w:asciiTheme="minorHAnsi" w:hAnsiTheme="minorHAnsi" w:cstheme="minorHAnsi"/>
                <w:strike/>
                <w:sz w:val="24"/>
                <w:szCs w:val="24"/>
              </w:rPr>
            </w:pPr>
            <w:r w:rsidRPr="00842E5A">
              <w:rPr>
                <w:rFonts w:asciiTheme="minorHAnsi" w:hAnsiTheme="minorHAnsi" w:cstheme="minorHAnsi"/>
                <w:strike/>
                <w:sz w:val="24"/>
                <w:szCs w:val="24"/>
              </w:rPr>
              <w:t>Valor Total das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B5700AA"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09D76D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B0752A1" w14:textId="13E4815A" w:rsidR="002E2BA2" w:rsidRPr="00842E5A" w:rsidRDefault="002E2BA2" w:rsidP="002E2BA2">
            <w:pPr>
              <w:spacing w:after="0" w:line="240" w:lineRule="auto"/>
              <w:ind w:left="1247"/>
              <w:rPr>
                <w:rFonts w:asciiTheme="minorHAnsi" w:hAnsiTheme="minorHAnsi" w:cstheme="minorHAnsi"/>
                <w:strike/>
                <w:sz w:val="24"/>
                <w:szCs w:val="24"/>
              </w:rPr>
            </w:pPr>
            <w:r w:rsidRPr="00842E5A">
              <w:rPr>
                <w:rFonts w:asciiTheme="minorHAnsi" w:hAnsiTheme="minorHAnsi" w:cstheme="minorHAnsi"/>
                <w:strike/>
                <w:sz w:val="24"/>
                <w:szCs w:val="24"/>
              </w:rPr>
              <w:t>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2F9B4E5"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3660E2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D92900B" w14:textId="7D3932E5"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Amortizado por Cota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AACD4A1"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32B7F0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3AFE4022" w14:textId="16B57D13" w:rsidR="002E2BA2" w:rsidRPr="00842E5A" w:rsidRDefault="002E2BA2" w:rsidP="002E2BA2">
            <w:pPr>
              <w:spacing w:after="0" w:line="240" w:lineRule="auto"/>
              <w:ind w:left="1416"/>
              <w:rPr>
                <w:rFonts w:asciiTheme="minorHAnsi" w:hAnsiTheme="minorHAnsi" w:cstheme="minorHAnsi"/>
                <w:strike/>
                <w:sz w:val="24"/>
                <w:szCs w:val="24"/>
              </w:rPr>
            </w:pPr>
            <w:r w:rsidRPr="00842E5A">
              <w:rPr>
                <w:rFonts w:asciiTheme="minorHAnsi" w:hAnsiTheme="minorHAnsi" w:cstheme="minorHAnsi"/>
                <w:strike/>
                <w:sz w:val="24"/>
                <w:szCs w:val="24"/>
              </w:rPr>
              <w:t>Valor Total das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6EF3E07"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4139245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F14B395" w14:textId="4834612B" w:rsidR="002E2BA2" w:rsidRPr="00842E5A" w:rsidRDefault="002E2BA2" w:rsidP="002E2BA2">
            <w:pPr>
              <w:spacing w:after="0" w:line="240" w:lineRule="auto"/>
              <w:ind w:left="1588"/>
              <w:rPr>
                <w:rFonts w:asciiTheme="minorHAnsi" w:hAnsiTheme="minorHAnsi" w:cstheme="minorHAnsi"/>
                <w:strike/>
                <w:sz w:val="24"/>
                <w:szCs w:val="24"/>
              </w:rPr>
            </w:pPr>
            <w:r w:rsidRPr="00842E5A">
              <w:rPr>
                <w:rFonts w:asciiTheme="minorHAnsi" w:hAnsiTheme="minorHAnsi" w:cstheme="minorHAnsi"/>
                <w:strike/>
                <w:sz w:val="24"/>
                <w:szCs w:val="24"/>
              </w:rPr>
              <w:t>Subordinada 3</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83A5770"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C4E868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1162EEE" w14:textId="3B8BEC51"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Valor Amortizado por Cota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B133E6B"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0D257C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847DA26" w14:textId="007EC22B" w:rsidR="002E2BA2" w:rsidRPr="00842E5A" w:rsidRDefault="002E2BA2" w:rsidP="002E2BA2">
            <w:pPr>
              <w:spacing w:after="0" w:line="240" w:lineRule="auto"/>
              <w:ind w:left="1758"/>
              <w:rPr>
                <w:rFonts w:asciiTheme="minorHAnsi" w:hAnsiTheme="minorHAnsi" w:cstheme="minorHAnsi"/>
                <w:strike/>
                <w:sz w:val="24"/>
                <w:szCs w:val="24"/>
              </w:rPr>
            </w:pPr>
            <w:r w:rsidRPr="00842E5A">
              <w:rPr>
                <w:rFonts w:asciiTheme="minorHAnsi" w:hAnsiTheme="minorHAnsi" w:cstheme="minorHAnsi"/>
                <w:strike/>
                <w:sz w:val="24"/>
                <w:szCs w:val="24"/>
              </w:rPr>
              <w:t>Valor Total das Amortizações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788A943"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08BFDA0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0B7A7B5" w14:textId="431B6441"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5) Liquidez (Preenchimento compulsório apenas para os fundos abertos) – 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00A9AF89" w14:textId="77777777" w:rsidR="002E2BA2" w:rsidRPr="00842E5A" w:rsidRDefault="002E2BA2" w:rsidP="002E2BA2">
            <w:pPr>
              <w:spacing w:after="0" w:line="240" w:lineRule="auto"/>
              <w:rPr>
                <w:rFonts w:asciiTheme="minorHAnsi" w:hAnsiTheme="minorHAnsi" w:cstheme="minorHAnsi"/>
                <w:strike/>
                <w:sz w:val="24"/>
                <w:szCs w:val="24"/>
              </w:rPr>
            </w:pPr>
          </w:p>
        </w:tc>
      </w:tr>
      <w:tr w:rsidR="002E2BA2" w:rsidRPr="00F6174B" w14:paraId="6C612FD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70222C58" w14:textId="677508B2"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com liquidez imediata</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A0C13D1"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918E7E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CF4BBAB" w14:textId="3B86395A"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que podem ser liquidados em até 30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3D04CA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6475EA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1896FE1D" w14:textId="3B0707B5"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que podem ser liquidados em até 60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39F6DE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064A1D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450EF63" w14:textId="4FA24D69"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que podem ser liquidados em até 90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FFC62BC"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CCF763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53C79C3" w14:textId="7DF6C2DD"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lastRenderedPageBreak/>
              <w:t>Ativos que podem ser liquidados em até 180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C17EC41"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37D127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6D72CEA2" w14:textId="503AFF67"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que podem ser liquidados em até 360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86E1DE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E38485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FCDB1AD" w14:textId="303B1049"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Ativos que podem ser liquidados em mais de 360 dias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1261D2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BDA372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8065D27" w14:textId="5D82C0A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 xml:space="preserve">6) Desempenho Esperado (Benchmark) e o Realizado </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373087E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6AE7B3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1A441D7" w14:textId="6EBA861C"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6.1) Classe Sênior</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257EA5E1"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6420E39" w14:textId="77777777" w:rsidTr="00BD3980">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0885514" w14:textId="4F287081"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6.1.1) Série 1</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934C9C4" w14:textId="77777777" w:rsidR="002E2BA2" w:rsidRPr="00842E5A" w:rsidRDefault="002E2BA2" w:rsidP="002E2BA2">
            <w:pPr>
              <w:spacing w:after="0" w:line="240" w:lineRule="auto"/>
              <w:rPr>
                <w:rFonts w:asciiTheme="minorHAnsi" w:hAnsiTheme="minorHAnsi" w:cstheme="minorHAnsi"/>
                <w:strike/>
                <w:color w:val="000000"/>
                <w:sz w:val="24"/>
                <w:szCs w:val="24"/>
              </w:rPr>
            </w:pPr>
          </w:p>
        </w:tc>
        <w:tc>
          <w:tcPr>
            <w:tcW w:w="50" w:type="pct"/>
            <w:tcBorders>
              <w:top w:val="nil"/>
              <w:left w:val="nil"/>
              <w:bottom w:val="nil"/>
              <w:right w:val="outset" w:sz="6" w:space="0" w:color="000000" w:themeColor="text1"/>
            </w:tcBorders>
            <w:vAlign w:val="center"/>
          </w:tcPr>
          <w:p w14:paraId="092D3474" w14:textId="77777777" w:rsidR="002E2BA2" w:rsidRPr="00F6174B" w:rsidRDefault="002E2BA2" w:rsidP="002E2BA2">
            <w:pPr>
              <w:spacing w:after="0" w:line="240" w:lineRule="auto"/>
              <w:rPr>
                <w:rFonts w:asciiTheme="minorHAnsi" w:hAnsiTheme="minorHAnsi" w:cstheme="minorHAnsi"/>
                <w:vanish/>
                <w:color w:val="FF0000"/>
                <w:sz w:val="24"/>
                <w:szCs w:val="24"/>
              </w:rPr>
            </w:pPr>
          </w:p>
        </w:tc>
      </w:tr>
      <w:tr w:rsidR="002E2BA2" w:rsidRPr="00F6174B" w14:paraId="3DDEEB32" w14:textId="77777777" w:rsidTr="00BD3980">
        <w:tc>
          <w:tcPr>
            <w:tcW w:w="3343" w:type="pct"/>
            <w:gridSpan w:val="2"/>
            <w:tcBorders>
              <w:top w:val="outset" w:sz="6" w:space="0" w:color="auto"/>
              <w:left w:val="outset" w:sz="6" w:space="0" w:color="auto"/>
              <w:bottom w:val="outset" w:sz="6" w:space="0" w:color="auto"/>
              <w:right w:val="outset" w:sz="6" w:space="0" w:color="auto"/>
            </w:tcBorders>
            <w:vAlign w:val="center"/>
          </w:tcPr>
          <w:p w14:paraId="48FDF38D" w14:textId="2BF1AD90"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Esperado (Benchmark)</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1753326" w14:textId="77777777" w:rsidR="002E2BA2" w:rsidRPr="00842E5A" w:rsidRDefault="002E2BA2" w:rsidP="002E2BA2">
            <w:pPr>
              <w:spacing w:after="0" w:line="240" w:lineRule="auto"/>
              <w:rPr>
                <w:rFonts w:asciiTheme="minorHAnsi" w:hAnsiTheme="minorHAnsi" w:cstheme="minorHAnsi"/>
                <w:strike/>
                <w:color w:val="000000"/>
                <w:sz w:val="24"/>
                <w:szCs w:val="24"/>
              </w:rPr>
            </w:pPr>
          </w:p>
        </w:tc>
        <w:tc>
          <w:tcPr>
            <w:tcW w:w="50" w:type="pct"/>
            <w:tcBorders>
              <w:top w:val="nil"/>
              <w:left w:val="nil"/>
              <w:bottom w:val="nil"/>
              <w:right w:val="outset" w:sz="6" w:space="0" w:color="000000" w:themeColor="text1"/>
            </w:tcBorders>
            <w:vAlign w:val="center"/>
          </w:tcPr>
          <w:p w14:paraId="18382B39" w14:textId="77777777" w:rsidR="002E2BA2" w:rsidRPr="00F6174B" w:rsidRDefault="002E2BA2" w:rsidP="002E2BA2">
            <w:pPr>
              <w:spacing w:after="0" w:line="240" w:lineRule="auto"/>
              <w:rPr>
                <w:rFonts w:asciiTheme="minorHAnsi" w:hAnsiTheme="minorHAnsi" w:cstheme="minorHAnsi"/>
                <w:vanish/>
                <w:color w:val="FF0000"/>
                <w:sz w:val="24"/>
                <w:szCs w:val="24"/>
              </w:rPr>
            </w:pPr>
          </w:p>
        </w:tc>
      </w:tr>
      <w:tr w:rsidR="002E2BA2" w:rsidRPr="00F6174B" w14:paraId="7E26989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B221D25" w14:textId="29B97429"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Realizado (Rentabilidade no Mês)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76C4FCE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59AA37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45111E83" w14:textId="187DD73D"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6.1.2) Série 2 OBS: permitir ao administrador abrir quantas séries forem necessárias.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3CCC530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323DC30" w14:textId="77777777" w:rsidTr="00BD3980">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2187CE56" w14:textId="61C2C9A5"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Esperado (Benchmark)</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2036C31" w14:textId="77777777" w:rsidR="002E2BA2" w:rsidRPr="00842E5A" w:rsidRDefault="002E2BA2" w:rsidP="002E2BA2">
            <w:pPr>
              <w:spacing w:after="0" w:line="240" w:lineRule="auto"/>
              <w:rPr>
                <w:rFonts w:asciiTheme="minorHAnsi" w:hAnsiTheme="minorHAnsi" w:cstheme="minorHAnsi"/>
                <w:strike/>
                <w:color w:val="000000"/>
                <w:sz w:val="24"/>
                <w:szCs w:val="24"/>
              </w:rPr>
            </w:pPr>
          </w:p>
        </w:tc>
        <w:tc>
          <w:tcPr>
            <w:tcW w:w="50" w:type="pct"/>
            <w:tcBorders>
              <w:top w:val="nil"/>
              <w:left w:val="nil"/>
              <w:bottom w:val="nil"/>
              <w:right w:val="outset" w:sz="6" w:space="0" w:color="000000" w:themeColor="text1"/>
            </w:tcBorders>
            <w:vAlign w:val="center"/>
          </w:tcPr>
          <w:p w14:paraId="085A816D" w14:textId="77777777" w:rsidR="002E2BA2" w:rsidRPr="00F6174B" w:rsidRDefault="002E2BA2" w:rsidP="002E2BA2">
            <w:pPr>
              <w:spacing w:after="0" w:line="240" w:lineRule="auto"/>
              <w:rPr>
                <w:rFonts w:asciiTheme="minorHAnsi" w:hAnsiTheme="minorHAnsi" w:cstheme="minorHAnsi"/>
                <w:vanish/>
                <w:color w:val="FF0000"/>
                <w:sz w:val="24"/>
                <w:szCs w:val="24"/>
                <w:highlight w:val="yellow"/>
              </w:rPr>
            </w:pPr>
          </w:p>
        </w:tc>
      </w:tr>
      <w:tr w:rsidR="002E2BA2" w:rsidRPr="00F6174B" w14:paraId="6A6FDBB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B25BC80" w14:textId="604CC01D"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Realizado (Rentabilidade no Mês)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51BD68F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462872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438ECCF8" w14:textId="22E8B1F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6.2) Classe Subordinada 1</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85A1EF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7E3C50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E7FA37C" w14:textId="5809D65C"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Esperado (Benchmark)</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1AF949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2E7ACA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09CEDCC6" w14:textId="1CD7AEC8" w:rsidR="002E2BA2" w:rsidRPr="00842E5A" w:rsidRDefault="002E2BA2" w:rsidP="002E2BA2">
            <w:pPr>
              <w:spacing w:after="0" w:line="240" w:lineRule="auto"/>
              <w:ind w:left="708"/>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Realizado (Rentabilidade no Mês)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5FF847CF"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1A31FA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31D98C7" w14:textId="0A0152D6" w:rsidR="002E2BA2" w:rsidRPr="00842E5A" w:rsidRDefault="002E2BA2" w:rsidP="002E2BA2">
            <w:pPr>
              <w:spacing w:after="0" w:line="240" w:lineRule="auto"/>
              <w:ind w:left="56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 xml:space="preserve">   Classe Subordinada 2</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417ADDFE"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7486DE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2EE6F870" w14:textId="70ADB1DA" w:rsidR="002E2BA2" w:rsidRPr="00842E5A" w:rsidRDefault="002E2BA2" w:rsidP="002E2BA2">
            <w:pPr>
              <w:spacing w:after="0" w:line="240" w:lineRule="auto"/>
              <w:ind w:left="124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Esperado (Benchmark)</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6DD59F2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694E4E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vAlign w:val="center"/>
          </w:tcPr>
          <w:p w14:paraId="5975B356" w14:textId="491EE37D" w:rsidR="002E2BA2" w:rsidRPr="00842E5A" w:rsidRDefault="002E2BA2" w:rsidP="002E2BA2">
            <w:pPr>
              <w:spacing w:after="0" w:line="240" w:lineRule="auto"/>
              <w:ind w:left="1247"/>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Desempenho Realizado (Rentabilidade no Mês)</w:t>
            </w:r>
          </w:p>
        </w:tc>
        <w:tc>
          <w:tcPr>
            <w:tcW w:w="1607" w:type="pct"/>
            <w:gridSpan w:val="5"/>
            <w:tcBorders>
              <w:top w:val="outset" w:sz="6" w:space="0" w:color="auto"/>
              <w:left w:val="outset" w:sz="6" w:space="0" w:color="auto"/>
              <w:bottom w:val="outset" w:sz="6" w:space="0" w:color="auto"/>
              <w:right w:val="outset" w:sz="6" w:space="0" w:color="auto"/>
            </w:tcBorders>
            <w:vAlign w:val="center"/>
          </w:tcPr>
          <w:p w14:paraId="136DCE6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ECDCD2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0E80B0FF" w14:textId="7844070A"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7) Garantias</w:t>
            </w:r>
          </w:p>
        </w:tc>
        <w:tc>
          <w:tcPr>
            <w:tcW w:w="1607" w:type="pct"/>
            <w:gridSpan w:val="5"/>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14:paraId="7A12D04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84A2AE9" w14:textId="77777777" w:rsidTr="00BD3980">
        <w:trPr>
          <w:gridAfter w:val="1"/>
          <w:wAfter w:w="50" w:type="pct"/>
        </w:trPr>
        <w:tc>
          <w:tcPr>
            <w:tcW w:w="3343" w:type="pct"/>
            <w:gridSpan w:val="2"/>
            <w:tcBorders>
              <w:top w:val="outset" w:sz="6" w:space="0" w:color="auto"/>
              <w:left w:val="outset" w:sz="6" w:space="0" w:color="auto"/>
              <w:bottom w:val="nil"/>
              <w:right w:val="single" w:sz="4" w:space="0" w:color="auto"/>
            </w:tcBorders>
            <w:shd w:val="clear" w:color="auto" w:fill="A6A6A6" w:themeFill="background1" w:themeFillShade="A6"/>
            <w:vAlign w:val="center"/>
          </w:tcPr>
          <w:p w14:paraId="4CB1010D" w14:textId="605D13D2"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7.1) Valor total das garantias vinculadas aos direitos creditórios</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823C2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DE6F50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58530030" w14:textId="7053560D"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7.2) Percentual dos direitos creditórios com garantias vinculadas</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33B1D7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21F0E3C"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017C82C" w14:textId="4C71CFF7"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8) Resumo das informações prestadas pelo FIDC ao Sistema de Informações de Crédito – SCR do Banco Central do Brasil:</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B6739BF"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6F329F5"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D5B277D" w14:textId="299D7026"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8.1) Valor total dos direitos creditórios reportados ao SCR com base nas classificações de risco dos devedores:</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06BFA6"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920D12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0B17968" w14:textId="7B04DE78"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AA</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38B7BFF"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5A9FE8D"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630F609" w14:textId="75974F72"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5B892A"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A55BF4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2667E796" w14:textId="76972F3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B</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B2C376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55B7A0EF"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0A490E5C" w14:textId="00A5D90E"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B88AF5"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290975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5B193377" w14:textId="700B09F8"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D83C5C"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62C7888"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7A39008" w14:textId="5318DC0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lastRenderedPageBreak/>
              <w:t>E</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D95F5F"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D953251"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D803BB4" w14:textId="2FB80BB1"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7F4C0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28E61177"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2CBD54F" w14:textId="1D38C4EB"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G</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0C3216D"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F6A2793"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3F0C94D" w14:textId="567D3646"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H</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67426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C5A70EA"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7184AA8F" w14:textId="34AAB0F4"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8.2) Valor total dos direitos creditórios reportados ao SCR com base nas classificações de risco das operações:</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903553"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3C9E53E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CD40970" w14:textId="2105D4B5"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AA</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D7AD73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7E4FD2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7D87775" w14:textId="36CFE89B"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A</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6B92A0"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C93857E"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0F39DFDB" w14:textId="52750592"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B</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A4D8FD4"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16EA6F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FB2AFAE" w14:textId="3D08DF06"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C</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50A912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6F1D22D4"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2354EDB" w14:textId="4BCE213E"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D</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1F200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0A36B91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6A58E0F3" w14:textId="70665EC5"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E</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EBAAAC8"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4C56E756"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9EF3F65" w14:textId="3CF59E31"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F</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5FE81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2C37CCB"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43F913F" w14:textId="50976DE8"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G</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B3EE22"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10F326C0"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3475DA11" w14:textId="5B224713" w:rsidR="002E2BA2" w:rsidRPr="00842E5A" w:rsidRDefault="002E2BA2" w:rsidP="002E2BA2">
            <w:pPr>
              <w:spacing w:after="0" w:line="240" w:lineRule="auto"/>
              <w:rPr>
                <w:rFonts w:asciiTheme="minorHAnsi" w:hAnsiTheme="minorHAnsi" w:cstheme="minorHAnsi"/>
                <w:strike/>
                <w:color w:val="000000"/>
                <w:sz w:val="24"/>
                <w:szCs w:val="24"/>
              </w:rPr>
            </w:pPr>
            <w:r w:rsidRPr="00842E5A">
              <w:rPr>
                <w:rFonts w:asciiTheme="minorHAnsi" w:hAnsiTheme="minorHAnsi" w:cstheme="minorHAnsi"/>
                <w:strike/>
                <w:color w:val="000000"/>
                <w:sz w:val="24"/>
                <w:szCs w:val="24"/>
              </w:rPr>
              <w:t>H</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3B95EB" w14:textId="77777777" w:rsidR="002E2BA2" w:rsidRPr="00842E5A" w:rsidRDefault="002E2BA2" w:rsidP="002E2BA2">
            <w:pPr>
              <w:spacing w:after="0" w:line="240" w:lineRule="auto"/>
              <w:rPr>
                <w:rFonts w:asciiTheme="minorHAnsi" w:hAnsiTheme="minorHAnsi" w:cstheme="minorHAnsi"/>
                <w:strike/>
                <w:color w:val="000000"/>
                <w:sz w:val="24"/>
                <w:szCs w:val="24"/>
              </w:rPr>
            </w:pPr>
          </w:p>
        </w:tc>
      </w:tr>
      <w:tr w:rsidR="002E2BA2" w:rsidRPr="00F6174B" w14:paraId="7B05F7E2"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4BB34F54" w14:textId="2F039C9A" w:rsidR="002E2BA2" w:rsidRPr="00842E5A" w:rsidRDefault="002E2BA2" w:rsidP="002E2BA2">
            <w:pPr>
              <w:spacing w:after="0" w:line="240" w:lineRule="auto"/>
              <w:rPr>
                <w:rFonts w:asciiTheme="minorHAnsi" w:hAnsiTheme="minorHAnsi" w:cstheme="minorHAnsi"/>
                <w:strike/>
                <w:color w:val="000000" w:themeColor="text1"/>
                <w:sz w:val="24"/>
                <w:szCs w:val="24"/>
              </w:rPr>
            </w:pPr>
            <w:r w:rsidRPr="00842E5A">
              <w:rPr>
                <w:rFonts w:asciiTheme="minorHAnsi" w:hAnsiTheme="minorHAnsi" w:cstheme="minorHAnsi"/>
                <w:strike/>
                <w:color w:val="000000" w:themeColor="text1"/>
                <w:sz w:val="24"/>
                <w:szCs w:val="24"/>
              </w:rPr>
              <w:t>9) Regularidade tributária dos cedentes:</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F71C50" w14:textId="77777777" w:rsidR="002E2BA2" w:rsidRPr="00842E5A" w:rsidRDefault="002E2BA2" w:rsidP="002E2BA2">
            <w:pPr>
              <w:spacing w:after="0" w:line="240" w:lineRule="auto"/>
              <w:ind w:right="-192"/>
              <w:rPr>
                <w:rFonts w:asciiTheme="minorHAnsi" w:hAnsiTheme="minorHAnsi" w:cstheme="minorHAnsi"/>
                <w:strike/>
                <w:color w:val="000000"/>
                <w:sz w:val="24"/>
                <w:szCs w:val="24"/>
              </w:rPr>
            </w:pPr>
          </w:p>
        </w:tc>
      </w:tr>
      <w:tr w:rsidR="002E2BA2" w:rsidRPr="00F6174B" w14:paraId="017E8179" w14:textId="77777777" w:rsidTr="00BD3980">
        <w:trPr>
          <w:gridAfter w:val="1"/>
          <w:wAfter w:w="50" w:type="pct"/>
        </w:trPr>
        <w:tc>
          <w:tcPr>
            <w:tcW w:w="3343" w:type="pct"/>
            <w:gridSpan w:val="2"/>
            <w:tcBorders>
              <w:top w:val="outset" w:sz="6" w:space="0" w:color="auto"/>
              <w:left w:val="outset" w:sz="6" w:space="0" w:color="auto"/>
              <w:bottom w:val="outset" w:sz="6" w:space="0" w:color="auto"/>
              <w:right w:val="single" w:sz="4" w:space="0" w:color="auto"/>
            </w:tcBorders>
            <w:shd w:val="clear" w:color="auto" w:fill="A6A6A6" w:themeFill="background1" w:themeFillShade="A6"/>
            <w:vAlign w:val="center"/>
          </w:tcPr>
          <w:p w14:paraId="13B25CF0" w14:textId="6D39AA90" w:rsidR="002E2BA2" w:rsidRPr="00842E5A" w:rsidRDefault="002E2BA2" w:rsidP="002E2BA2">
            <w:pPr>
              <w:spacing w:after="0" w:line="240" w:lineRule="auto"/>
              <w:rPr>
                <w:rFonts w:asciiTheme="minorHAnsi" w:hAnsiTheme="minorHAnsi" w:cstheme="minorHAnsi"/>
                <w:strike/>
                <w:color w:val="000000" w:themeColor="text1"/>
                <w:sz w:val="24"/>
                <w:szCs w:val="24"/>
              </w:rPr>
            </w:pPr>
            <w:r w:rsidRPr="00842E5A">
              <w:rPr>
                <w:rFonts w:asciiTheme="minorHAnsi" w:hAnsiTheme="minorHAnsi" w:cstheme="minorHAnsi"/>
                <w:strike/>
                <w:color w:val="000000" w:themeColor="text1"/>
                <w:sz w:val="24"/>
                <w:szCs w:val="24"/>
              </w:rPr>
              <w:t>9.1) Valor total dos direitos creditórios cedidos por cedentes que possuem débitos tributários inscritos em Dívida Ativa da União</w:t>
            </w:r>
          </w:p>
        </w:tc>
        <w:tc>
          <w:tcPr>
            <w:tcW w:w="1607"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CA42DD1" w14:textId="77777777" w:rsidR="002E2BA2" w:rsidRPr="00842E5A" w:rsidRDefault="002E2BA2" w:rsidP="002E2BA2">
            <w:pPr>
              <w:spacing w:after="0" w:line="240" w:lineRule="auto"/>
              <w:ind w:right="-192"/>
              <w:rPr>
                <w:rFonts w:asciiTheme="minorHAnsi" w:hAnsiTheme="minorHAnsi" w:cstheme="minorHAnsi"/>
                <w:strike/>
                <w:color w:val="000000"/>
                <w:sz w:val="24"/>
                <w:szCs w:val="24"/>
              </w:rPr>
            </w:pPr>
          </w:p>
        </w:tc>
      </w:tr>
      <w:tr w:rsidR="00842E5A" w:rsidRPr="00842E5A" w14:paraId="5002140F" w14:textId="77777777" w:rsidTr="00BD3980">
        <w:trPr>
          <w:gridAfter w:val="3"/>
          <w:wAfter w:w="150" w:type="pct"/>
        </w:trPr>
        <w:tc>
          <w:tcPr>
            <w:tcW w:w="4850" w:type="pct"/>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640D397"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b/>
                <w:color w:val="000000"/>
                <w:sz w:val="24"/>
                <w:szCs w:val="24"/>
              </w:rPr>
              <w:t>X - Outras Informações</w:t>
            </w:r>
          </w:p>
        </w:tc>
      </w:tr>
      <w:tr w:rsidR="00842E5A" w:rsidRPr="00842E5A" w14:paraId="1470EBC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AC869DF" w14:textId="77777777" w:rsidR="00842E5A" w:rsidRPr="00842E5A" w:rsidRDefault="00842E5A" w:rsidP="003359FF">
            <w:pPr>
              <w:spacing w:after="0" w:line="240" w:lineRule="auto"/>
              <w:rPr>
                <w:rFonts w:asciiTheme="minorHAnsi" w:eastAsiaTheme="minorHAnsi" w:hAnsiTheme="minorHAnsi" w:cstheme="minorHAnsi"/>
                <w:b/>
                <w:sz w:val="24"/>
                <w:szCs w:val="24"/>
              </w:rPr>
            </w:pPr>
            <w:r w:rsidRPr="00842E5A">
              <w:rPr>
                <w:rFonts w:asciiTheme="minorHAnsi" w:eastAsiaTheme="minorHAnsi" w:hAnsiTheme="minorHAnsi" w:cstheme="minorHAnsi"/>
                <w:sz w:val="24"/>
                <w:szCs w:val="24"/>
              </w:rPr>
              <w:t>1) Número de Cotistas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29BD3" w14:textId="77777777" w:rsidR="00842E5A" w:rsidRPr="00842E5A" w:rsidRDefault="00842E5A" w:rsidP="003359FF">
            <w:pPr>
              <w:spacing w:after="0" w:line="240" w:lineRule="auto"/>
              <w:rPr>
                <w:rFonts w:asciiTheme="minorHAnsi" w:eastAsiaTheme="minorHAnsi" w:hAnsiTheme="minorHAnsi" w:cstheme="minorHAnsi"/>
                <w:b/>
                <w:color w:val="632423"/>
                <w:sz w:val="24"/>
                <w:szCs w:val="24"/>
              </w:rPr>
            </w:pPr>
          </w:p>
        </w:tc>
      </w:tr>
      <w:tr w:rsidR="00842E5A" w:rsidRPr="00842E5A" w14:paraId="57A39D1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B113FED"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CE47C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34ADB1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ACE5D70"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E3629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ADE4C0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9C46BE2"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6B851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5FD46A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168B1F"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E3E60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A452A7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08B7A64"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E2F10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2DAD1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A7B719B"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Subordinada Mezanino (as cotas mezanino são subordinadas às seniores)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C22C6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25DA1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355AD4F" w14:textId="77777777" w:rsidR="00842E5A" w:rsidRPr="00842E5A" w:rsidRDefault="00842E5A" w:rsidP="003359FF">
            <w:pPr>
              <w:spacing w:after="0" w:line="240" w:lineRule="auto"/>
              <w:ind w:left="37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Mezanino 1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E68FC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08D5BE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2BC13B"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A09BFF"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66C65F4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A0AA334"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BAEA"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65B273B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40F596"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1A6571"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5A5E0C6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A0F3C1C"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81A9DC"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3418A2D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50F9194" w14:textId="77777777" w:rsidR="00842E5A" w:rsidRPr="00842E5A" w:rsidRDefault="00842E5A" w:rsidP="003359FF">
            <w:pPr>
              <w:spacing w:after="0" w:line="240" w:lineRule="auto"/>
              <w:ind w:left="708" w:hanging="19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50CEC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E07BA0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02C256A"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43165"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7229914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97832D9"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43914A"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1C34D68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FB76959"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514E46"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0C3EF97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17DAA1"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2B328C"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350F1EE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6F4B3C0" w14:textId="77777777" w:rsidR="00842E5A" w:rsidRPr="00842E5A" w:rsidRDefault="00842E5A" w:rsidP="003359FF">
            <w:pPr>
              <w:spacing w:after="0" w:line="240" w:lineRule="auto"/>
              <w:ind w:left="708" w:hanging="19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A0BA1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C3DCCE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0216002"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6CE945"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14F210C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9EB0679"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642526"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3B77595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57B54D4"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720004"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6741ADF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CAC42AA"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865398"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5B61D55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DBC6620" w14:textId="77777777" w:rsidR="00842E5A" w:rsidRPr="00842E5A" w:rsidRDefault="00842E5A" w:rsidP="003359FF">
            <w:pPr>
              <w:spacing w:after="0" w:line="240" w:lineRule="auto"/>
              <w:ind w:left="1416" w:hanging="132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A6C1B4"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7618BF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341E788"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1.1) Número de Cotistas –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5C3B7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420F68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4432666"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Pessoa física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24DC3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C20EAD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9F97DA"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Pessoa jurídica não financeira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91601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0E82C6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5DD02D5"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Banco comercial</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C273F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B0F8D8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FCBC3E"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Corretora ou distribuidora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CE794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FDE186D" w14:textId="77777777" w:rsidTr="00BD3980">
        <w:trPr>
          <w:gridAfter w:val="2"/>
          <w:wAfter w:w="96"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B5741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Outras pessoas jurídicas financeiras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33A6D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c>
          <w:tcPr>
            <w:tcW w:w="54" w:type="pct"/>
            <w:tcBorders>
              <w:top w:val="nil"/>
              <w:left w:val="nil"/>
              <w:bottom w:val="nil"/>
              <w:right w:val="outset" w:sz="6" w:space="0" w:color="000000" w:themeColor="text1"/>
            </w:tcBorders>
            <w:shd w:val="clear" w:color="auto" w:fill="auto"/>
            <w:vAlign w:val="center"/>
          </w:tcPr>
          <w:p w14:paraId="7293818E" w14:textId="77777777" w:rsidR="00842E5A" w:rsidRPr="00842E5A" w:rsidRDefault="00842E5A" w:rsidP="003359FF">
            <w:pPr>
              <w:spacing w:after="0" w:line="240" w:lineRule="auto"/>
              <w:rPr>
                <w:rFonts w:asciiTheme="minorHAnsi" w:eastAsiaTheme="minorHAnsi" w:hAnsiTheme="minorHAnsi" w:cstheme="minorHAnsi"/>
                <w:color w:val="000000"/>
                <w:sz w:val="24"/>
                <w:szCs w:val="24"/>
                <w:highlight w:val="yellow"/>
              </w:rPr>
            </w:pPr>
          </w:p>
        </w:tc>
      </w:tr>
      <w:tr w:rsidR="00842E5A" w:rsidRPr="00842E5A" w14:paraId="091CE5E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5BE08C"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Investidores não residentes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C2114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7C76C4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AB6E22"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Entidade aberta de previdência complementar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ACEB3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DAB3C7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89293F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Entidade fechada de previdência complementar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4394A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AB95D5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D3B5AA1"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Regime próprio de previdência dos servidores públicos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108B3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F12F22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43F0B27"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Sociedade seguradora ou resseguradora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9BBF9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26BAC4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E1AA1F"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Sociedade de capitalização e de arrendamento mercantil</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8582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746089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7BD429C"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Fundos de investimento em cotas de fundos de investimento em direitos creditórios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B14F8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1D096D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C3D142"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Fundos de investimento imobiliário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3FB35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74BA24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381F81"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Outros fundos de investimento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1D90E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CFB882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B9CC9B7"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Clubes de investimento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8F3687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630771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A321CD"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Outros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5482F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C5BAF1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54E2BB"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1.2) Número de Cotistas – Subclasse Subordinada (mezanino e junior)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8AD6B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9020A8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5A4281"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Pessoa física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B62DA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A637C0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5AB2FD"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Pessoa jurídica não financeira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91548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7BA51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599137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Banco comercial</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8CCC0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BA69ED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2797C6F"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Corretora ou distribuidora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A78BA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BAAE95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228E8B7"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Outras pessoas jurídicas financeiras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6746DF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E940E3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6C6247E"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Investidores não residentes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72BB9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9F7595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0F30757"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Entidade aberta de previdência complementar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6D4B8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D934DD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12BAD55"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Entidade fechada de previdência complementar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A5755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CBD0E7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1D223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Regime próprio de previdência dos servidores públicos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B6894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DFA0BA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BE16C8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Sociedade seguradora ou resseguradora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0D942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6349E8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9D5A22"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Sociedade de capitalização e de arrendamento mercantil</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97B62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AE74A8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BB1C9F9"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Fundos de investimento em cotas de fundos de investimento em direitos creditórios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9E531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79EF25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236327"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Fundos de investimento imobiliário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9FB2E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1DC240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C35304"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Outros fundos de investimento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B54736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F8C3C5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55F6396"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Clubes de investimento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7C1DB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79CAA6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1F28C34" w14:textId="77777777" w:rsidR="00842E5A" w:rsidRPr="00842E5A" w:rsidRDefault="00842E5A" w:rsidP="003359FF">
            <w:pPr>
              <w:spacing w:after="0" w:line="240" w:lineRule="auto"/>
              <w:ind w:left="56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Outros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F950C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80834A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0410BAE"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2) Descrição da Série/Subclasse (separar por Subclasse e série)</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69CDC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5A0332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DD86066"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F72DA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E738C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DD7D30E"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C8C98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61C3136" w14:textId="77777777" w:rsidTr="00BD3980">
        <w:trPr>
          <w:gridAfter w:val="2"/>
          <w:wAfter w:w="96"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17AC946"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8829C4" w14:textId="77777777" w:rsidR="00842E5A" w:rsidRPr="00842E5A" w:rsidRDefault="00842E5A" w:rsidP="003359FF">
            <w:pPr>
              <w:spacing w:after="0" w:line="240" w:lineRule="auto"/>
              <w:rPr>
                <w:rFonts w:asciiTheme="minorHAnsi" w:eastAsiaTheme="minorHAnsi" w:hAnsiTheme="minorHAnsi" w:cstheme="minorHAnsi"/>
                <w:sz w:val="24"/>
                <w:szCs w:val="24"/>
              </w:rPr>
            </w:pPr>
          </w:p>
        </w:tc>
        <w:tc>
          <w:tcPr>
            <w:tcW w:w="54" w:type="pct"/>
            <w:tcBorders>
              <w:top w:val="nil"/>
              <w:left w:val="nil"/>
              <w:bottom w:val="nil"/>
              <w:right w:val="outset" w:sz="6" w:space="0" w:color="000000" w:themeColor="text1"/>
            </w:tcBorders>
            <w:shd w:val="clear" w:color="auto" w:fill="auto"/>
            <w:vAlign w:val="center"/>
          </w:tcPr>
          <w:p w14:paraId="28B72BE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CA1D4F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298947F"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85A89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975D7B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73EA57"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F1C09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743953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E15B2D" w14:textId="77777777" w:rsidR="00842E5A" w:rsidRPr="00842E5A" w:rsidRDefault="00842E5A" w:rsidP="003359FF">
            <w:pPr>
              <w:spacing w:after="0" w:line="240" w:lineRule="auto"/>
              <w:ind w:left="1531"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73A31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075D79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C08193" w14:textId="77777777" w:rsidR="00842E5A" w:rsidRPr="00842E5A" w:rsidRDefault="00842E5A" w:rsidP="003359FF">
            <w:pPr>
              <w:spacing w:after="0" w:line="240" w:lineRule="auto"/>
              <w:ind w:left="1531"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37C46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3A68D9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3DC9C96" w14:textId="77777777" w:rsidR="00842E5A" w:rsidRPr="00842E5A" w:rsidRDefault="00842E5A" w:rsidP="003359FF">
            <w:pPr>
              <w:spacing w:after="0" w:line="240" w:lineRule="auto"/>
              <w:ind w:firstLine="80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70137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43D4E3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920ABC"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B288F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457AEC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EED54D6"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1DC87E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3C82F2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2D89868"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 xml:space="preserve">  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5B834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2411A8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1C5EEBE"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64C75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DFF429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6A42594"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428BF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E1B0F6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4AB655C"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5C830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B1E9E9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2A2833"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55014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257FE3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0B7D21E"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047DB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C57B4B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4C08649"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EC4D2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18A666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BC6A7B"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4DCBA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97F2EA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587B272" w14:textId="77777777" w:rsidR="00842E5A" w:rsidRPr="00842E5A" w:rsidRDefault="00842E5A" w:rsidP="003359FF">
            <w:pPr>
              <w:spacing w:after="0" w:line="240" w:lineRule="auto"/>
              <w:ind w:left="1531"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D5934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22EBE8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F2CC6A9"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CE08A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23D0B2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650A61A"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F00F17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716282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E26AC1"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264AF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329DFA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80EBB14"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2BCB7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B01CF3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76363B"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0B352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2EF951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F781CFE" w14:textId="77777777" w:rsidR="00842E5A" w:rsidRPr="00842E5A" w:rsidRDefault="00842E5A" w:rsidP="003359FF">
            <w:pPr>
              <w:spacing w:after="0" w:line="240" w:lineRule="auto"/>
              <w:ind w:left="1814" w:hanging="73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FD2134"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EF589F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368A77" w14:textId="77777777" w:rsidR="00842E5A" w:rsidRPr="00842E5A" w:rsidRDefault="00842E5A" w:rsidP="003359FF">
            <w:pPr>
              <w:spacing w:after="0" w:line="240" w:lineRule="auto"/>
              <w:ind w:left="1814" w:hanging="1722"/>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6AB02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215E96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CBB6802" w14:textId="77777777" w:rsidR="00842E5A" w:rsidRPr="00842E5A" w:rsidRDefault="00842E5A" w:rsidP="003359FF">
            <w:pPr>
              <w:spacing w:after="0" w:line="240" w:lineRule="auto"/>
              <w:ind w:left="2155" w:hanging="1212"/>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91D7EF"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B566FA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DA7FEBE" w14:textId="77777777" w:rsidR="00842E5A" w:rsidRPr="00842E5A" w:rsidRDefault="00842E5A" w:rsidP="003359FF">
            <w:pPr>
              <w:spacing w:after="0" w:line="240" w:lineRule="auto"/>
              <w:ind w:left="2155" w:hanging="1212"/>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da Cota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E48F3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4108DB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E05D7CB"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3) Rentabilidade Apurada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347244"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A8CC85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A199ECB"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ED882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3F8D0A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5EE5D5E"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80959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56C0A1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B685820"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09A0D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E77E33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CCBA776"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E43FF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E9A50F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8549D0F"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1A076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EDFD9D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219C3A"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7349B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3CF0B8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B58160" w14:textId="77777777" w:rsidR="00842E5A" w:rsidRPr="00842E5A" w:rsidRDefault="00842E5A" w:rsidP="003359FF">
            <w:pPr>
              <w:spacing w:after="0" w:line="240" w:lineRule="auto"/>
              <w:ind w:left="37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Mezanino 1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30F90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434213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8FA803B"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D161BC5"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4AB43FF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EEB3437"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3EF7C6"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1863F53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005F8AA"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214BC2"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45B5194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DC33F20"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5994FA"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6AA1177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F98A10C" w14:textId="77777777" w:rsidR="00842E5A" w:rsidRPr="00842E5A" w:rsidRDefault="00842E5A" w:rsidP="003359FF">
            <w:pPr>
              <w:spacing w:after="0" w:line="240" w:lineRule="auto"/>
              <w:ind w:left="708" w:hanging="19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672FC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21EE65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10E548C"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CE65A9"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6E0C48A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676E781"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9C022D"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77576CA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84CBD88"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0FFC85"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581672A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FF049E9"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506A99"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1037C42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387ED9"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2674E6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DBF0BA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66BB905"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A5D3E7"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53D281A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52ECB21"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337313"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059941C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DC5F1FC"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3</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E14177"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7C98DC2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7E51ED" w14:textId="77777777" w:rsidR="00842E5A" w:rsidRPr="00842E5A" w:rsidRDefault="00842E5A" w:rsidP="003359FF">
            <w:pPr>
              <w:spacing w:after="0" w:line="240" w:lineRule="auto"/>
              <w:ind w:left="85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19E5FD" w14:textId="77777777" w:rsidR="00842E5A" w:rsidRPr="00842E5A" w:rsidRDefault="00842E5A" w:rsidP="003359FF">
            <w:pPr>
              <w:spacing w:after="0" w:line="240" w:lineRule="auto"/>
              <w:rPr>
                <w:rFonts w:asciiTheme="minorHAnsi" w:eastAsiaTheme="minorHAnsi" w:hAnsiTheme="minorHAnsi" w:cstheme="minorHAnsi"/>
                <w:color w:val="FF0000"/>
                <w:sz w:val="24"/>
                <w:szCs w:val="24"/>
              </w:rPr>
            </w:pPr>
          </w:p>
        </w:tc>
      </w:tr>
      <w:tr w:rsidR="00842E5A" w:rsidRPr="00842E5A" w14:paraId="46EA290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4365D8" w14:textId="77777777" w:rsidR="00842E5A" w:rsidRPr="00842E5A" w:rsidRDefault="00842E5A" w:rsidP="003359FF">
            <w:pPr>
              <w:spacing w:after="0" w:line="240" w:lineRule="auto"/>
              <w:ind w:left="1416" w:hanging="132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Subclasse Subordinada Junior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A6D94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663883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0358A4D" w14:textId="77777777" w:rsidR="00842E5A" w:rsidRPr="00842E5A" w:rsidRDefault="00842E5A" w:rsidP="003359FF">
            <w:pPr>
              <w:spacing w:after="0" w:line="240" w:lineRule="auto"/>
              <w:rPr>
                <w:rFonts w:asciiTheme="minorHAnsi" w:eastAsiaTheme="minorHAnsi" w:hAnsiTheme="minorHAnsi" w:cstheme="minorHAnsi"/>
                <w:b/>
                <w:sz w:val="24"/>
                <w:szCs w:val="24"/>
              </w:rPr>
            </w:pPr>
            <w:r w:rsidRPr="00842E5A">
              <w:rPr>
                <w:rFonts w:asciiTheme="minorHAnsi" w:eastAsiaTheme="minorHAnsi" w:hAnsiTheme="minorHAnsi" w:cstheme="minorHAnsi"/>
                <w:sz w:val="24"/>
                <w:szCs w:val="24"/>
              </w:rPr>
              <w:t>4) Captações, Resgates e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0776C0" w14:textId="77777777" w:rsidR="00842E5A" w:rsidRPr="00842E5A" w:rsidRDefault="00842E5A" w:rsidP="003359FF">
            <w:pPr>
              <w:spacing w:after="0" w:line="240" w:lineRule="auto"/>
              <w:rPr>
                <w:rFonts w:asciiTheme="minorHAnsi" w:eastAsiaTheme="minorHAnsi" w:hAnsiTheme="minorHAnsi" w:cstheme="minorHAnsi"/>
                <w:b/>
                <w:color w:val="632423"/>
                <w:sz w:val="24"/>
                <w:szCs w:val="24"/>
              </w:rPr>
            </w:pPr>
          </w:p>
        </w:tc>
      </w:tr>
      <w:tr w:rsidR="00842E5A" w:rsidRPr="00842E5A" w14:paraId="2C06245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36E092A"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4.1) Captações no Mês (valor total captado, em R$, e 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625FE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71765B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AD0E87"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4.1.1)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12FA4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82A3D2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7A5B648"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4EC6B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4A3492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7793033"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F3AFA5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49F567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7394930"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BB973E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020D0E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FC57B0E"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0EC82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9463A9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FA7D10"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9CBE8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CEAD7C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6420B12"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AF7A1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67D338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8650C5E"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983D8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11AC50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C2F2A9F"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4.1.2) 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82E86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5901E0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05A948" w14:textId="77777777" w:rsidR="00842E5A" w:rsidRPr="00842E5A" w:rsidRDefault="00842E5A" w:rsidP="003359FF">
            <w:pPr>
              <w:spacing w:after="0" w:line="240" w:lineRule="auto"/>
              <w:ind w:left="376" w:firstLine="28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Mezanino 1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3C262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92FFAB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4DBC78E" w14:textId="77777777" w:rsidR="00842E5A" w:rsidRPr="00842E5A" w:rsidRDefault="00842E5A" w:rsidP="003359FF">
            <w:pPr>
              <w:spacing w:after="0" w:line="240" w:lineRule="auto"/>
              <w:ind w:left="708" w:firstLine="9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83967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CD7A4B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0B2341F"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86437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20A872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7D6006D"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DB459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DA16E8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EFCB51"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57CEB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FC632D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1B535E" w14:textId="77777777" w:rsidR="00842E5A" w:rsidRPr="00842E5A" w:rsidRDefault="00842E5A" w:rsidP="003359FF">
            <w:pPr>
              <w:spacing w:after="0" w:line="240" w:lineRule="auto"/>
              <w:ind w:left="1416" w:hanging="47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5A1AE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BEF7D4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199E4D6" w14:textId="77777777" w:rsidR="00842E5A" w:rsidRPr="00842E5A" w:rsidRDefault="00842E5A" w:rsidP="003359FF">
            <w:pPr>
              <w:spacing w:after="0" w:line="240" w:lineRule="auto"/>
              <w:ind w:left="1416" w:hanging="47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ECA12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BBC1AA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A70A40" w14:textId="77777777" w:rsidR="00842E5A" w:rsidRPr="00842E5A" w:rsidRDefault="00842E5A" w:rsidP="003359FF">
            <w:pPr>
              <w:spacing w:after="0" w:line="240" w:lineRule="auto"/>
              <w:ind w:left="376" w:firstLine="28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412F3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2B7414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A5861AC" w14:textId="77777777" w:rsidR="00842E5A" w:rsidRPr="00842E5A" w:rsidRDefault="00842E5A" w:rsidP="003359FF">
            <w:pPr>
              <w:spacing w:after="0" w:line="240" w:lineRule="auto"/>
              <w:ind w:left="376" w:firstLine="28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Mezanino 2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A7E2D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4CAA5C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B4F35F3" w14:textId="77777777" w:rsidR="00842E5A" w:rsidRPr="00842E5A" w:rsidRDefault="00842E5A" w:rsidP="003359FF">
            <w:pPr>
              <w:spacing w:after="0" w:line="240" w:lineRule="auto"/>
              <w:ind w:left="708" w:firstLine="9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D5953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309EE9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D4625EB"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29A0C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1FEE58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F134A89"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1F334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C96DE9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AB8A232" w14:textId="77777777" w:rsidR="00842E5A" w:rsidRPr="00842E5A" w:rsidRDefault="00842E5A" w:rsidP="003359FF">
            <w:pPr>
              <w:spacing w:after="0" w:line="240" w:lineRule="auto"/>
              <w:ind w:left="1247" w:hanging="44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3217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B049BF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2E722D3" w14:textId="77777777" w:rsidR="00842E5A" w:rsidRPr="00842E5A" w:rsidRDefault="00842E5A" w:rsidP="003359FF">
            <w:pPr>
              <w:spacing w:after="0" w:line="240" w:lineRule="auto"/>
              <w:ind w:left="1416" w:hanging="47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2FC0CF"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F8C2E5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E0399C" w14:textId="77777777" w:rsidR="00842E5A" w:rsidRPr="00842E5A" w:rsidRDefault="00842E5A" w:rsidP="003359FF">
            <w:pPr>
              <w:spacing w:after="0" w:line="240" w:lineRule="auto"/>
              <w:ind w:left="1416" w:hanging="473"/>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0ED84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8FEC14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FDB17A1"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26224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197DA1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048E048"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4.1.3) Subclasse Subordinada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D12C2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50368D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995885C" w14:textId="77777777" w:rsidR="00842E5A" w:rsidRPr="00842E5A" w:rsidRDefault="00842E5A" w:rsidP="003359FF">
            <w:pPr>
              <w:spacing w:after="0" w:line="240" w:lineRule="auto"/>
              <w:ind w:left="1758" w:hanging="67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Captado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9CDE2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3B8014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EDAD94D" w14:textId="77777777" w:rsidR="00842E5A" w:rsidRPr="00842E5A" w:rsidRDefault="00842E5A" w:rsidP="003359FF">
            <w:pPr>
              <w:spacing w:after="0" w:line="240" w:lineRule="auto"/>
              <w:ind w:left="1758" w:hanging="67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Emitidas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CF31D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EEF233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15405B"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4.2) Resgates no Mês (FIDC aberto - quantidade de cotas resgatadas e valor total do resgate, em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52B4CF"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CC6349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725FF44"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4.2.1)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7BEC63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E67B2A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ADD8409"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1F4A0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713DAB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B3D8EC7" w14:textId="77777777" w:rsidR="00842E5A" w:rsidRPr="00842E5A" w:rsidRDefault="00842E5A" w:rsidP="003359FF">
            <w:pPr>
              <w:spacing w:after="0" w:line="240" w:lineRule="auto"/>
              <w:ind w:left="907"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9B478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C2D8D0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BA5BB3" w14:textId="77777777" w:rsidR="00842E5A" w:rsidRPr="00842E5A" w:rsidRDefault="00842E5A" w:rsidP="003359FF">
            <w:pPr>
              <w:spacing w:after="0" w:line="240" w:lineRule="auto"/>
              <w:ind w:left="907"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5CA4D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CC4248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87F7D1"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D3B088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665660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BBAFD87" w14:textId="77777777" w:rsidR="00842E5A" w:rsidRPr="00842E5A" w:rsidRDefault="00842E5A" w:rsidP="003359FF">
            <w:pPr>
              <w:spacing w:after="0" w:line="240" w:lineRule="auto"/>
              <w:ind w:left="907" w:firstLine="74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9D08B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645E89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B07B78A" w14:textId="77777777" w:rsidR="00842E5A" w:rsidRPr="00842E5A" w:rsidRDefault="00842E5A" w:rsidP="003359FF">
            <w:pPr>
              <w:spacing w:after="0" w:line="240" w:lineRule="auto"/>
              <w:ind w:left="907" w:firstLine="74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2190E4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370F3B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2F92CDE"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B2114"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E34160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42088D"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4.2.2) 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4EB9A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7EC4D9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F3CE6FA"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75CAA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14AE00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F69B3D6" w14:textId="77777777" w:rsidR="00842E5A" w:rsidRPr="00842E5A" w:rsidRDefault="00842E5A" w:rsidP="003359FF">
            <w:pPr>
              <w:spacing w:after="0" w:line="240" w:lineRule="auto"/>
              <w:ind w:left="907" w:firstLine="46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24D6A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DDE80B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081BBA5" w14:textId="77777777" w:rsidR="00842E5A" w:rsidRPr="00842E5A" w:rsidRDefault="00842E5A" w:rsidP="003359FF">
            <w:pPr>
              <w:spacing w:after="0" w:line="240" w:lineRule="auto"/>
              <w:ind w:left="907" w:firstLine="88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C0884E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67FFA2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FC78D8" w14:textId="77777777" w:rsidR="00842E5A" w:rsidRPr="00842E5A" w:rsidRDefault="00842E5A" w:rsidP="003359FF">
            <w:pPr>
              <w:spacing w:after="0" w:line="240" w:lineRule="auto"/>
              <w:ind w:left="907" w:firstLine="88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B4CF4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F56610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6ADA370" w14:textId="77777777" w:rsidR="00842E5A" w:rsidRPr="00842E5A" w:rsidRDefault="00842E5A" w:rsidP="003359FF">
            <w:pPr>
              <w:spacing w:after="0" w:line="240" w:lineRule="auto"/>
              <w:ind w:firstLine="136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63A24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3B22FF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D52974" w14:textId="77777777" w:rsidR="00842E5A" w:rsidRPr="00842E5A" w:rsidRDefault="00842E5A" w:rsidP="003359FF">
            <w:pPr>
              <w:spacing w:after="0" w:line="240" w:lineRule="auto"/>
              <w:ind w:left="1416" w:firstLine="37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A40DC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F2DAE1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5E6DD16" w14:textId="77777777" w:rsidR="00842E5A" w:rsidRPr="00842E5A" w:rsidRDefault="00842E5A" w:rsidP="003359FF">
            <w:pPr>
              <w:spacing w:after="0" w:line="240" w:lineRule="auto"/>
              <w:ind w:left="1416" w:firstLine="37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BC845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0CC90E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67C4979" w14:textId="77777777" w:rsidR="00842E5A" w:rsidRPr="00842E5A" w:rsidRDefault="00842E5A" w:rsidP="003359FF">
            <w:pPr>
              <w:spacing w:after="0" w:line="240" w:lineRule="auto"/>
              <w:ind w:left="1588" w:hanging="22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1B8BB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7D55D1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DFAD15" w14:textId="77777777" w:rsidR="00842E5A" w:rsidRPr="00842E5A" w:rsidRDefault="00842E5A" w:rsidP="003359FF">
            <w:pPr>
              <w:spacing w:after="0" w:line="240" w:lineRule="auto"/>
              <w:ind w:left="1588" w:hanging="22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9FFDD3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6E150E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F622A34" w14:textId="77777777" w:rsidR="00842E5A" w:rsidRPr="00842E5A" w:rsidRDefault="00842E5A" w:rsidP="003359FF">
            <w:pPr>
              <w:spacing w:after="0" w:line="240" w:lineRule="auto"/>
              <w:ind w:left="907" w:firstLine="46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F9F2B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C95856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E9F335" w14:textId="77777777" w:rsidR="00842E5A" w:rsidRPr="00842E5A" w:rsidRDefault="00842E5A" w:rsidP="003359FF">
            <w:pPr>
              <w:spacing w:after="0" w:line="240" w:lineRule="auto"/>
              <w:ind w:left="907" w:firstLine="88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23F5B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5EFE37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2BB529" w14:textId="77777777" w:rsidR="00842E5A" w:rsidRPr="00842E5A" w:rsidRDefault="00842E5A" w:rsidP="003359FF">
            <w:pPr>
              <w:spacing w:after="0" w:line="240" w:lineRule="auto"/>
              <w:ind w:left="907" w:firstLine="88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1993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0460F8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EF547AE" w14:textId="77777777" w:rsidR="00842E5A" w:rsidRPr="00842E5A" w:rsidRDefault="00842E5A" w:rsidP="003359FF">
            <w:pPr>
              <w:spacing w:after="0" w:line="240" w:lineRule="auto"/>
              <w:ind w:firstLine="136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CBD20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F4931C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CE3024" w14:textId="77777777" w:rsidR="00842E5A" w:rsidRPr="00842E5A" w:rsidRDefault="00842E5A" w:rsidP="003359FF">
            <w:pPr>
              <w:spacing w:after="0" w:line="240" w:lineRule="auto"/>
              <w:ind w:left="1416" w:firstLine="5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19C93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5AC947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60851C0" w14:textId="77777777" w:rsidR="00842E5A" w:rsidRPr="00842E5A" w:rsidRDefault="00842E5A" w:rsidP="003359FF">
            <w:pPr>
              <w:spacing w:after="0" w:line="240" w:lineRule="auto"/>
              <w:ind w:left="1416" w:firstLine="5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35092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12DA40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8C8E377" w14:textId="77777777" w:rsidR="00842E5A" w:rsidRPr="00842E5A" w:rsidRDefault="00842E5A" w:rsidP="003359FF">
            <w:pPr>
              <w:spacing w:after="0" w:line="240" w:lineRule="auto"/>
              <w:ind w:left="1758" w:hanging="39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CB0939"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2DBBC5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EF97B1B" w14:textId="77777777" w:rsidR="00842E5A" w:rsidRPr="00842E5A" w:rsidRDefault="00842E5A" w:rsidP="003359FF">
            <w:pPr>
              <w:spacing w:after="0" w:line="240" w:lineRule="auto"/>
              <w:ind w:left="1758" w:hanging="109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4.2.3) 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F46BE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4C6CB7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2D4CCB1" w14:textId="77777777" w:rsidR="00842E5A" w:rsidRPr="00842E5A" w:rsidRDefault="00842E5A" w:rsidP="003359FF">
            <w:pPr>
              <w:spacing w:after="0" w:line="240" w:lineRule="auto"/>
              <w:ind w:left="1758" w:hanging="39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dos Resgates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8BD648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E9022D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9794D94" w14:textId="77777777" w:rsidR="00842E5A" w:rsidRPr="00842E5A" w:rsidRDefault="00842E5A" w:rsidP="003359FF">
            <w:pPr>
              <w:spacing w:after="0" w:line="240" w:lineRule="auto"/>
              <w:ind w:left="1758" w:hanging="39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DA2186F"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483917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95FECE"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4.3) Resgates Solicitados e Ainda Não Pagos (FIDC aberto - quantidade de cotas a serem resgatadas e valor a ser pago, em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75CF72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B03B40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66FDEA3"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4.3.1)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BD08B3"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ECF522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81EA498" w14:textId="77777777" w:rsidR="00842E5A" w:rsidRPr="00842E5A" w:rsidRDefault="00842E5A" w:rsidP="003359FF">
            <w:pPr>
              <w:spacing w:after="0" w:line="240" w:lineRule="auto"/>
              <w:ind w:left="708" w:firstLine="51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9D479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195751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29073A5" w14:textId="77777777" w:rsidR="00842E5A" w:rsidRPr="00842E5A" w:rsidRDefault="00842E5A" w:rsidP="003359FF">
            <w:pPr>
              <w:spacing w:after="0" w:line="240" w:lineRule="auto"/>
              <w:ind w:left="907" w:firstLine="51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B15EF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6D500A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DB9A5C8" w14:textId="77777777" w:rsidR="00842E5A" w:rsidRPr="00842E5A" w:rsidRDefault="00842E5A" w:rsidP="003359FF">
            <w:pPr>
              <w:spacing w:after="0" w:line="240" w:lineRule="auto"/>
              <w:ind w:left="907" w:firstLine="51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19CCD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CEE2B8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48682EC" w14:textId="77777777" w:rsidR="00842E5A" w:rsidRPr="00842E5A" w:rsidRDefault="00842E5A" w:rsidP="003359FF">
            <w:pPr>
              <w:spacing w:after="0" w:line="240" w:lineRule="auto"/>
              <w:ind w:left="1247" w:hanging="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596E6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A88D73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807E0E2" w14:textId="77777777" w:rsidR="00842E5A" w:rsidRPr="00842E5A" w:rsidRDefault="00842E5A" w:rsidP="003359FF">
            <w:pPr>
              <w:spacing w:after="0" w:line="240" w:lineRule="auto"/>
              <w:ind w:left="1416" w:hanging="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14B22F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2407CB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EB51406" w14:textId="77777777" w:rsidR="00842E5A" w:rsidRPr="00842E5A" w:rsidRDefault="00842E5A" w:rsidP="003359FF">
            <w:pPr>
              <w:spacing w:after="0" w:line="240" w:lineRule="auto"/>
              <w:ind w:left="1416" w:hanging="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CE091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CFCCEE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FC865E" w14:textId="77777777" w:rsidR="00842E5A" w:rsidRPr="00842E5A" w:rsidRDefault="00842E5A" w:rsidP="003359FF">
            <w:pPr>
              <w:spacing w:after="0" w:line="240" w:lineRule="auto"/>
              <w:ind w:left="708" w:firstLine="37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BB857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CBDFB9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9991F46"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4.3.2) 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51873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98F544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698DD2"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72937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D75F77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A210B9" w14:textId="77777777" w:rsidR="00842E5A" w:rsidRPr="00842E5A" w:rsidRDefault="00842E5A" w:rsidP="003359FF">
            <w:pPr>
              <w:spacing w:after="0" w:line="240" w:lineRule="auto"/>
              <w:ind w:left="907" w:firstLine="46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6861A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4F7037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1A45161" w14:textId="77777777" w:rsidR="00842E5A" w:rsidRPr="00842E5A" w:rsidRDefault="00842E5A" w:rsidP="003359FF">
            <w:pPr>
              <w:spacing w:after="0" w:line="240" w:lineRule="auto"/>
              <w:ind w:left="907" w:firstLine="74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D296F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61FAA1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34D8B65" w14:textId="77777777" w:rsidR="00842E5A" w:rsidRPr="00842E5A" w:rsidRDefault="00842E5A" w:rsidP="003359FF">
            <w:pPr>
              <w:spacing w:after="0" w:line="240" w:lineRule="auto"/>
              <w:ind w:left="907" w:firstLine="74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0E96DA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71861D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7CC37EF"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AC79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D50788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D6E81E6" w14:textId="77777777" w:rsidR="00842E5A" w:rsidRPr="00842E5A" w:rsidRDefault="00842E5A" w:rsidP="003359FF">
            <w:pPr>
              <w:spacing w:after="0" w:line="240" w:lineRule="auto"/>
              <w:ind w:left="1416" w:firstLine="235"/>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37A13A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8927B6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32CE035" w14:textId="77777777" w:rsidR="00842E5A" w:rsidRPr="00842E5A" w:rsidRDefault="00842E5A" w:rsidP="003359FF">
            <w:pPr>
              <w:spacing w:after="0" w:line="240" w:lineRule="auto"/>
              <w:ind w:left="1416" w:firstLine="235"/>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A2333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9EB012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695C6E8" w14:textId="77777777" w:rsidR="00842E5A" w:rsidRPr="00842E5A" w:rsidRDefault="00842E5A" w:rsidP="003359FF">
            <w:pPr>
              <w:spacing w:after="0" w:line="240" w:lineRule="auto"/>
              <w:ind w:left="1588" w:hanging="22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FCA8F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6705BD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797B432" w14:textId="77777777" w:rsidR="00842E5A" w:rsidRPr="00842E5A" w:rsidRDefault="00842E5A" w:rsidP="003359FF">
            <w:pPr>
              <w:spacing w:after="0" w:line="240" w:lineRule="auto"/>
              <w:ind w:left="1588" w:hanging="22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1E8AE3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802467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F7FCAC7" w14:textId="77777777" w:rsidR="00842E5A" w:rsidRPr="00842E5A" w:rsidRDefault="00842E5A" w:rsidP="003359FF">
            <w:pPr>
              <w:spacing w:after="0" w:line="240" w:lineRule="auto"/>
              <w:ind w:left="1758" w:hanging="39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930A6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0E8760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A57110A" w14:textId="77777777" w:rsidR="00842E5A" w:rsidRPr="00842E5A" w:rsidRDefault="00842E5A" w:rsidP="003359FF">
            <w:pPr>
              <w:spacing w:after="0" w:line="240" w:lineRule="auto"/>
              <w:ind w:left="175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35682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54D0E0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03F128" w14:textId="77777777" w:rsidR="00842E5A" w:rsidRPr="00842E5A" w:rsidRDefault="00842E5A" w:rsidP="003359FF">
            <w:pPr>
              <w:spacing w:after="0" w:line="240" w:lineRule="auto"/>
              <w:ind w:left="175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4781D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A13CE4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8207611"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5E3B4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5A503C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4DC82CE" w14:textId="77777777" w:rsidR="00842E5A" w:rsidRPr="00842E5A" w:rsidRDefault="00842E5A" w:rsidP="003359FF">
            <w:pPr>
              <w:spacing w:after="0" w:line="240" w:lineRule="auto"/>
              <w:ind w:left="1416" w:firstLine="37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 ser Pago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9307F5"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07EF5B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68F48A8" w14:textId="77777777" w:rsidR="00842E5A" w:rsidRPr="00842E5A" w:rsidRDefault="00842E5A" w:rsidP="003359FF">
            <w:pPr>
              <w:spacing w:after="0" w:line="240" w:lineRule="auto"/>
              <w:ind w:left="1416" w:firstLine="37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Quantidade de Cotas a serem Resgatadas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E31A9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1C54EC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1A5E498" w14:textId="77777777" w:rsidR="00842E5A" w:rsidRPr="00842E5A" w:rsidRDefault="00842E5A" w:rsidP="003359FF">
            <w:pPr>
              <w:spacing w:after="0" w:line="240" w:lineRule="auto"/>
              <w:ind w:firstLine="136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3F770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DF1DF8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96B49D0"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4.3.3) 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3FB622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DA908F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3193FE6"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4.4) Amortizações (Informar valor amortizado por cota e valor da amortização total, em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505B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C0C995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8C88F4A"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4.4.1)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2DFB4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D9F21C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63AFAB"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56FFC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5C8CC9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E08B43"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4B88B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54D451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35D9D36"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965111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F67ECA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0617EB8" w14:textId="77777777" w:rsidR="00842E5A" w:rsidRPr="00842E5A" w:rsidRDefault="00842E5A" w:rsidP="003359FF">
            <w:pPr>
              <w:spacing w:after="0" w:line="240" w:lineRule="auto"/>
              <w:ind w:left="1247"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747252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C80D2C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0EEAD11" w14:textId="77777777" w:rsidR="00842E5A" w:rsidRPr="00842E5A" w:rsidRDefault="00842E5A" w:rsidP="003359FF">
            <w:pPr>
              <w:spacing w:after="0" w:line="240" w:lineRule="auto"/>
              <w:ind w:left="1416"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723C5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7D613A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52316F4" w14:textId="77777777" w:rsidR="00842E5A" w:rsidRPr="00842E5A" w:rsidRDefault="00842E5A" w:rsidP="003359FF">
            <w:pPr>
              <w:spacing w:after="0" w:line="240" w:lineRule="auto"/>
              <w:ind w:left="1416" w:hanging="58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E344F6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5D3AD6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BDD327"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5A49F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FDDAE2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AFC56C"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4.4.2) 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358FE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182530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6F4BA9"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Mezanino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B67A66"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B0DD06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B80152"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76F1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56E03CC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C019DDE"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12374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D01C37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3891E05"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51A3B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6B5313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7B5C543" w14:textId="77777777" w:rsidR="00842E5A" w:rsidRPr="00842E5A" w:rsidRDefault="00842E5A" w:rsidP="003359FF">
            <w:pPr>
              <w:spacing w:after="0" w:line="240" w:lineRule="auto"/>
              <w:ind w:left="1247"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5D8B48"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825130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02E89D0" w14:textId="77777777" w:rsidR="00842E5A" w:rsidRPr="00842E5A" w:rsidRDefault="00842E5A" w:rsidP="003359FF">
            <w:pPr>
              <w:spacing w:after="0" w:line="240" w:lineRule="auto"/>
              <w:ind w:left="1416"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69C130"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643A836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156A232" w14:textId="77777777" w:rsidR="00842E5A" w:rsidRPr="00842E5A" w:rsidRDefault="00842E5A" w:rsidP="003359FF">
            <w:pPr>
              <w:spacing w:after="0" w:line="240" w:lineRule="auto"/>
              <w:ind w:left="1416"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991EA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E0B7B5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3CFD4DE"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294E"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2FA3505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39868E12"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05127D"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354E07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74D775D" w14:textId="77777777" w:rsidR="00842E5A" w:rsidRPr="00842E5A" w:rsidRDefault="00842E5A" w:rsidP="003359FF">
            <w:pPr>
              <w:spacing w:after="0" w:line="240" w:lineRule="auto"/>
              <w:ind w:left="90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E9043F"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1349407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2A333D0C"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B9C1B7"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32C8DE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C3B6E98" w14:textId="77777777" w:rsidR="00842E5A" w:rsidRPr="00842E5A" w:rsidRDefault="00842E5A" w:rsidP="003359FF">
            <w:pPr>
              <w:spacing w:after="0" w:line="240" w:lineRule="auto"/>
              <w:ind w:left="907" w:firstLine="319"/>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0EBB1A"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F99536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4D3010" w14:textId="77777777" w:rsidR="00842E5A" w:rsidRPr="00842E5A" w:rsidRDefault="00842E5A" w:rsidP="003359FF">
            <w:pPr>
              <w:spacing w:after="0" w:line="240" w:lineRule="auto"/>
              <w:ind w:left="1247"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39986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DB41AA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82287E5" w14:textId="77777777" w:rsidR="00842E5A" w:rsidRPr="00842E5A" w:rsidRDefault="00842E5A" w:rsidP="003359FF">
            <w:pPr>
              <w:spacing w:after="0" w:line="240" w:lineRule="auto"/>
              <w:ind w:left="1416"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Amortizado por Cota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C40301"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464B8F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16F319D" w14:textId="77777777" w:rsidR="00842E5A" w:rsidRPr="00842E5A" w:rsidRDefault="00842E5A" w:rsidP="003359FF">
            <w:pPr>
              <w:spacing w:after="0" w:line="240" w:lineRule="auto"/>
              <w:ind w:left="1416" w:hanging="304"/>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Valor Total das Amortizações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CF2FAC"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7104F34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5717DF20" w14:textId="77777777" w:rsidR="00842E5A" w:rsidRPr="00842E5A" w:rsidRDefault="00842E5A" w:rsidP="003359FF">
            <w:pPr>
              <w:spacing w:after="0" w:line="240" w:lineRule="auto"/>
              <w:ind w:firstLine="80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D7A5E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3F32FE2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5F69D06"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4.4.3) 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F2D71B"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4EA9982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24DD63F"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5) Liquidez (Preenchimento compulsório apenas para os fundos abertos) – 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20F6D2" w14:textId="77777777" w:rsidR="00842E5A" w:rsidRPr="00842E5A" w:rsidRDefault="00842E5A" w:rsidP="003359FF">
            <w:pPr>
              <w:spacing w:after="0" w:line="240" w:lineRule="auto"/>
              <w:rPr>
                <w:rFonts w:asciiTheme="minorHAnsi" w:eastAsiaTheme="minorHAnsi" w:hAnsiTheme="minorHAnsi" w:cstheme="minorHAnsi"/>
                <w:sz w:val="24"/>
                <w:szCs w:val="24"/>
              </w:rPr>
            </w:pPr>
          </w:p>
        </w:tc>
      </w:tr>
      <w:tr w:rsidR="00842E5A" w:rsidRPr="00842E5A" w14:paraId="08E6335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B3EDD0B"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com liquidez imediata</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B2D6C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CB4DA0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4D2A91"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até 30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669D7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669511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11DBEB9"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até 60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2A9A2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E9BB40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158C7A8"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até 90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F04BE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B97711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65660B6"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até 180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AC8FCD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828632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BDB05D3"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até 360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B7AF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444904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0712683"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Ativos que podem ser liquidados em mais de 360 dias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DF4AC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839A82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60DC45"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6) Desempenho Esperado (Benchmark) e o Realizado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EF3E6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B044E0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6F46C28"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6.1) Subclasse Sênior</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E616C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0F63BB9" w14:textId="77777777" w:rsidTr="00BD3980">
        <w:trPr>
          <w:gridAfter w:val="2"/>
          <w:wAfter w:w="96"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F32EAF6"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6.1.1) 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6CE00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c>
          <w:tcPr>
            <w:tcW w:w="54" w:type="pct"/>
            <w:tcBorders>
              <w:top w:val="nil"/>
              <w:left w:val="nil"/>
              <w:bottom w:val="nil"/>
              <w:right w:val="outset" w:sz="6" w:space="0" w:color="000000" w:themeColor="text1"/>
            </w:tcBorders>
            <w:shd w:val="clear" w:color="auto" w:fill="auto"/>
            <w:vAlign w:val="center"/>
          </w:tcPr>
          <w:p w14:paraId="5EDAF502" w14:textId="77777777" w:rsidR="00842E5A" w:rsidRPr="00842E5A" w:rsidRDefault="00842E5A" w:rsidP="003359FF">
            <w:pPr>
              <w:spacing w:after="0" w:line="240" w:lineRule="auto"/>
              <w:rPr>
                <w:rFonts w:asciiTheme="minorHAnsi" w:eastAsiaTheme="minorHAnsi" w:hAnsiTheme="minorHAnsi" w:cstheme="minorHAnsi"/>
                <w:vanish/>
                <w:color w:val="FF0000"/>
                <w:sz w:val="24"/>
                <w:szCs w:val="24"/>
              </w:rPr>
            </w:pPr>
          </w:p>
        </w:tc>
      </w:tr>
      <w:tr w:rsidR="00842E5A" w:rsidRPr="00842E5A" w14:paraId="4CD84156" w14:textId="77777777" w:rsidTr="00BD3980">
        <w:trPr>
          <w:gridAfter w:val="2"/>
          <w:wAfter w:w="96"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15DF48F"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7BEF5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c>
          <w:tcPr>
            <w:tcW w:w="54" w:type="pct"/>
            <w:tcBorders>
              <w:top w:val="nil"/>
              <w:left w:val="nil"/>
              <w:bottom w:val="nil"/>
              <w:right w:val="outset" w:sz="6" w:space="0" w:color="000000" w:themeColor="text1"/>
            </w:tcBorders>
            <w:shd w:val="clear" w:color="auto" w:fill="auto"/>
            <w:vAlign w:val="center"/>
          </w:tcPr>
          <w:p w14:paraId="59988FFA" w14:textId="77777777" w:rsidR="00842E5A" w:rsidRPr="00842E5A" w:rsidRDefault="00842E5A" w:rsidP="003359FF">
            <w:pPr>
              <w:spacing w:after="0" w:line="240" w:lineRule="auto"/>
              <w:rPr>
                <w:rFonts w:asciiTheme="minorHAnsi" w:eastAsiaTheme="minorHAnsi" w:hAnsiTheme="minorHAnsi" w:cstheme="minorHAnsi"/>
                <w:vanish/>
                <w:color w:val="FF0000"/>
                <w:sz w:val="24"/>
                <w:szCs w:val="24"/>
              </w:rPr>
            </w:pPr>
          </w:p>
        </w:tc>
      </w:tr>
      <w:tr w:rsidR="00842E5A" w:rsidRPr="00842E5A" w14:paraId="154FDF9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F4F6014"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259EF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F34AEF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442763C"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6.1.2) 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4BE9A5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C494F5E" w14:textId="77777777" w:rsidTr="00BD3980">
        <w:trPr>
          <w:gridAfter w:val="2"/>
          <w:wAfter w:w="96"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328F0CE"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AAD5B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c>
          <w:tcPr>
            <w:tcW w:w="54" w:type="pct"/>
            <w:tcBorders>
              <w:top w:val="nil"/>
              <w:left w:val="nil"/>
              <w:bottom w:val="nil"/>
              <w:right w:val="outset" w:sz="6" w:space="0" w:color="000000" w:themeColor="text1"/>
            </w:tcBorders>
            <w:shd w:val="clear" w:color="auto" w:fill="auto"/>
            <w:vAlign w:val="center"/>
          </w:tcPr>
          <w:p w14:paraId="68D5C73D" w14:textId="77777777" w:rsidR="00842E5A" w:rsidRPr="00842E5A" w:rsidRDefault="00842E5A" w:rsidP="003359FF">
            <w:pPr>
              <w:spacing w:after="0" w:line="240" w:lineRule="auto"/>
              <w:rPr>
                <w:rFonts w:asciiTheme="minorHAnsi" w:eastAsiaTheme="minorHAnsi" w:hAnsiTheme="minorHAnsi" w:cstheme="minorHAnsi"/>
                <w:vanish/>
                <w:color w:val="FF0000"/>
                <w:sz w:val="24"/>
                <w:szCs w:val="24"/>
                <w:highlight w:val="yellow"/>
              </w:rPr>
            </w:pPr>
          </w:p>
        </w:tc>
      </w:tr>
      <w:tr w:rsidR="00842E5A" w:rsidRPr="00842E5A" w14:paraId="77FD29B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376ABAE"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AA506A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BD2AD9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635D3F4" w14:textId="77777777" w:rsidR="00842E5A" w:rsidRPr="00842E5A" w:rsidRDefault="00842E5A" w:rsidP="003359FF">
            <w:pPr>
              <w:spacing w:after="0" w:line="240" w:lineRule="auto"/>
              <w:ind w:firstLine="517"/>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11115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DEA628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C5B41AA"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6.2) Subclasse Subordinada Mezanino</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F30A9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2B4D80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3D2B1CF"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6.2.1) Mezanino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FC00B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7060595"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D16DED"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72D29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9D272C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D110256"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lastRenderedPageBreak/>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0939BF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32C339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988EF70"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5684A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C7D839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1C40CC8"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2B483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BC38D5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62E71D4"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D1A56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C7E5FE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8129839"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66BD7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346CE48"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732289C"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4CE70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11B855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646D7C" w14:textId="77777777" w:rsidR="00842E5A" w:rsidRPr="00842E5A" w:rsidRDefault="00842E5A" w:rsidP="003359FF">
            <w:pPr>
              <w:spacing w:after="0" w:line="240" w:lineRule="auto"/>
              <w:ind w:left="708"/>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6.2.2) Mezanino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C8F2E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99484B3"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7D783B7"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Série 1</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E5024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837BD9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01B3C85C"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1A122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8A3A2B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7001CB" w14:textId="77777777" w:rsidR="00842E5A" w:rsidRPr="00842E5A" w:rsidRDefault="00842E5A" w:rsidP="003359FF">
            <w:pPr>
              <w:spacing w:after="0" w:line="240" w:lineRule="auto"/>
              <w:ind w:left="708" w:firstLine="660"/>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01C9B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C17DBF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8A6BD72" w14:textId="77777777" w:rsidR="00842E5A" w:rsidRPr="00842E5A" w:rsidRDefault="00842E5A" w:rsidP="003359FF">
            <w:pPr>
              <w:spacing w:after="0" w:line="240" w:lineRule="auto"/>
              <w:ind w:firstLine="1226"/>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  Série 2</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E8C4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64A27B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A5EE668"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B9DC6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542A60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65E2D426"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F19DE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9D5CFA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8E8BDA6" w14:textId="77777777" w:rsidR="00842E5A" w:rsidRPr="00842E5A" w:rsidRDefault="00842E5A" w:rsidP="003359FF">
            <w:pPr>
              <w:spacing w:after="0" w:line="240" w:lineRule="auto"/>
              <w:ind w:firstLine="80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C0785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1CFD8C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8C84B8" w14:textId="77777777" w:rsidR="00842E5A" w:rsidRPr="00842E5A" w:rsidRDefault="00842E5A" w:rsidP="003359FF">
            <w:pPr>
              <w:spacing w:after="0" w:line="240" w:lineRule="auto"/>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 xml:space="preserve">6.3) Subclasse Subordinada </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CC907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8E3FDF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4DBD6F77"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Esperado (Benchmark)</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6A023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D36EC2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1D924ACA" w14:textId="77777777" w:rsidR="00842E5A" w:rsidRPr="00842E5A" w:rsidRDefault="00842E5A" w:rsidP="003359FF">
            <w:pPr>
              <w:spacing w:after="0" w:line="240" w:lineRule="auto"/>
              <w:ind w:left="1247" w:firstLine="121"/>
              <w:rPr>
                <w:rFonts w:asciiTheme="minorHAnsi" w:eastAsiaTheme="minorHAnsi" w:hAnsiTheme="minorHAnsi" w:cstheme="minorHAnsi"/>
                <w:sz w:val="24"/>
                <w:szCs w:val="24"/>
              </w:rPr>
            </w:pPr>
            <w:r w:rsidRPr="00842E5A">
              <w:rPr>
                <w:rFonts w:asciiTheme="minorHAnsi" w:eastAsiaTheme="minorHAnsi" w:hAnsiTheme="minorHAnsi" w:cstheme="minorHAnsi"/>
                <w:sz w:val="24"/>
                <w:szCs w:val="24"/>
              </w:rPr>
              <w:t>Desempenho Realizado (Rentabilidade no Mês)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4BF65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D6540BA"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F0D9D7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7) Garantias</w:t>
            </w:r>
          </w:p>
        </w:tc>
        <w:tc>
          <w:tcPr>
            <w:tcW w:w="132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5F5C5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E2BEC3B" w14:textId="77777777" w:rsidTr="00BD3980">
        <w:trPr>
          <w:gridAfter w:val="3"/>
          <w:wAfter w:w="150" w:type="pct"/>
        </w:trPr>
        <w:tc>
          <w:tcPr>
            <w:tcW w:w="3522" w:type="pct"/>
            <w:gridSpan w:val="3"/>
            <w:tcBorders>
              <w:top w:val="outset" w:sz="6" w:space="0" w:color="auto"/>
              <w:left w:val="outset" w:sz="6" w:space="0" w:color="auto"/>
              <w:bottom w:val="nil"/>
              <w:right w:val="single" w:sz="4" w:space="0" w:color="auto"/>
            </w:tcBorders>
            <w:shd w:val="clear" w:color="auto" w:fill="auto"/>
            <w:vAlign w:val="center"/>
            <w:hideMark/>
          </w:tcPr>
          <w:p w14:paraId="10710D5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7.1) Valor total das garantias vinculadas aos direitos creditórios</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9A06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5BB7C5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hideMark/>
          </w:tcPr>
          <w:p w14:paraId="5612789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7.2) Percentual dos direitos creditórios com garantias vinculadas</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8F49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5492DD8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349D5C96"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8) Resumo das informações prestadas pelo FIDC ao Sistema de Informações de Crédito – SCR do Banco Central do Brasil:</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5B7A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7896F04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214A554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8.1) Valor total dos direitos creditórios reportados ao SCR com base nas classificações de risco dos devedores:</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0DB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7DE940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518D1E8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AA</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9CEC8"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17536B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50E2251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A</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6AF7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652C27B"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58C14BA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B</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FDD2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031F4E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0FFBC8D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C</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3D57D"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0AEB673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078D094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D</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8B317"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9291B7"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03E2F44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E</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339F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005315E"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51ECF80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lastRenderedPageBreak/>
              <w:t>F</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47A5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D4FE70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4243C8F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G</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1F2E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5BB8841"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3D5EB4F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H</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1FF4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FAB8AF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666725D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8.2) Valor total dos direitos creditórios reportados ao SCR com base nas classificações de risco das operações:</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2949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FAD737F"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62FF40A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AA</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14553"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E07B8A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2C3489C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A</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7864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1239AD44"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79438434"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B</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3BF2B"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016D0A9"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49B8B89C"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C</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F074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B36EF4C"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664FC12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D</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0F1BF"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3B3CCB0"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1587185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E</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CAFD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6B22E86D"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13C04B4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F</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51712"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21BEEB56"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353B841A"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G</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79F81"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3AC1F2E2" w14:textId="77777777" w:rsidTr="00BD3980">
        <w:trPr>
          <w:gridAfter w:val="3"/>
          <w:wAfter w:w="150"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3457030E"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sz w:val="24"/>
                <w:szCs w:val="24"/>
              </w:rPr>
              <w:t>H</w:t>
            </w:r>
          </w:p>
        </w:tc>
        <w:tc>
          <w:tcPr>
            <w:tcW w:w="13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D0E80"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p>
        </w:tc>
      </w:tr>
      <w:tr w:rsidR="00842E5A" w:rsidRPr="00842E5A" w14:paraId="407B15B2" w14:textId="77777777" w:rsidTr="00BD3980">
        <w:trPr>
          <w:gridAfter w:val="2"/>
          <w:wAfter w:w="119"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3D8F8C49"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themeColor="text1"/>
                <w:sz w:val="24"/>
                <w:szCs w:val="24"/>
              </w:rPr>
              <w:t>9) Regularidade tributária dos cedentes:</w:t>
            </w:r>
          </w:p>
        </w:tc>
        <w:tc>
          <w:tcPr>
            <w:tcW w:w="1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05B199" w14:textId="77777777" w:rsidR="00842E5A" w:rsidRPr="00842E5A" w:rsidRDefault="00842E5A" w:rsidP="003359FF">
            <w:pPr>
              <w:spacing w:after="0" w:line="240" w:lineRule="auto"/>
              <w:ind w:right="-192"/>
              <w:rPr>
                <w:rFonts w:asciiTheme="minorHAnsi" w:eastAsiaTheme="minorHAnsi" w:hAnsiTheme="minorHAnsi" w:cstheme="minorHAnsi"/>
                <w:color w:val="000000"/>
                <w:sz w:val="24"/>
                <w:szCs w:val="24"/>
              </w:rPr>
            </w:pPr>
          </w:p>
        </w:tc>
      </w:tr>
      <w:tr w:rsidR="00842E5A" w:rsidRPr="00842E5A" w14:paraId="5D9E5528" w14:textId="77777777" w:rsidTr="00BD3980">
        <w:trPr>
          <w:gridAfter w:val="2"/>
          <w:wAfter w:w="119" w:type="pct"/>
        </w:trPr>
        <w:tc>
          <w:tcPr>
            <w:tcW w:w="3522" w:type="pct"/>
            <w:gridSpan w:val="3"/>
            <w:tcBorders>
              <w:top w:val="outset" w:sz="6" w:space="0" w:color="auto"/>
              <w:left w:val="outset" w:sz="6" w:space="0" w:color="auto"/>
              <w:bottom w:val="outset" w:sz="6" w:space="0" w:color="auto"/>
              <w:right w:val="single" w:sz="4" w:space="0" w:color="auto"/>
            </w:tcBorders>
            <w:shd w:val="clear" w:color="auto" w:fill="auto"/>
            <w:vAlign w:val="center"/>
          </w:tcPr>
          <w:p w14:paraId="4CFC22B5" w14:textId="77777777" w:rsidR="00842E5A" w:rsidRPr="00842E5A" w:rsidRDefault="00842E5A" w:rsidP="003359FF">
            <w:pPr>
              <w:spacing w:after="0" w:line="240" w:lineRule="auto"/>
              <w:rPr>
                <w:rFonts w:asciiTheme="minorHAnsi" w:eastAsiaTheme="minorHAnsi" w:hAnsiTheme="minorHAnsi" w:cstheme="minorHAnsi"/>
                <w:color w:val="000000"/>
                <w:sz w:val="24"/>
                <w:szCs w:val="24"/>
              </w:rPr>
            </w:pPr>
            <w:r w:rsidRPr="00842E5A">
              <w:rPr>
                <w:rFonts w:asciiTheme="minorHAnsi" w:eastAsiaTheme="minorHAnsi" w:hAnsiTheme="minorHAnsi" w:cstheme="minorHAnsi"/>
                <w:color w:val="000000" w:themeColor="text1"/>
                <w:sz w:val="24"/>
                <w:szCs w:val="24"/>
              </w:rPr>
              <w:t>9.1) Valor total dos direitos creditórios cedidos por cedentes que possuem débitos tributários inscritos em Dívida Ativa da União</w:t>
            </w:r>
          </w:p>
        </w:tc>
        <w:tc>
          <w:tcPr>
            <w:tcW w:w="1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C59CF" w14:textId="77777777" w:rsidR="00842E5A" w:rsidRPr="00842E5A" w:rsidRDefault="00842E5A" w:rsidP="003359FF">
            <w:pPr>
              <w:spacing w:after="0" w:line="240" w:lineRule="auto"/>
              <w:ind w:right="-192"/>
              <w:rPr>
                <w:rFonts w:asciiTheme="minorHAnsi" w:eastAsiaTheme="minorHAnsi" w:hAnsiTheme="minorHAnsi" w:cstheme="minorHAnsi"/>
                <w:color w:val="000000"/>
                <w:sz w:val="24"/>
                <w:szCs w:val="24"/>
              </w:rPr>
            </w:pPr>
          </w:p>
        </w:tc>
      </w:tr>
    </w:tbl>
    <w:p w14:paraId="03BE1EE8" w14:textId="3F921023" w:rsidR="00C158BE" w:rsidRPr="00D960C9" w:rsidRDefault="00C158BE">
      <w:pPr>
        <w:numPr>
          <w:ilvl w:val="0"/>
          <w:numId w:val="12"/>
        </w:numPr>
        <w:tabs>
          <w:tab w:val="left" w:pos="709"/>
        </w:tabs>
        <w:spacing w:after="0" w:line="312" w:lineRule="auto"/>
        <w:ind w:left="0" w:firstLine="567"/>
        <w:jc w:val="both"/>
        <w:rPr>
          <w:rFonts w:asciiTheme="minorHAnsi" w:hAnsiTheme="minorHAnsi" w:cstheme="minorHAnsi"/>
          <w:b/>
          <w:i/>
          <w:sz w:val="24"/>
          <w:szCs w:val="24"/>
        </w:rPr>
      </w:pPr>
      <w:r w:rsidRPr="00C158BE">
        <w:rPr>
          <w:rFonts w:asciiTheme="minorHAnsi" w:hAnsiTheme="minorHAnsi" w:cstheme="minorHAnsi"/>
          <w:b/>
          <w:bCs/>
          <w:i/>
          <w:iCs/>
          <w:sz w:val="24"/>
          <w:szCs w:val="24"/>
        </w:rPr>
        <w:t xml:space="preserve"> Item X do Suplemento G</w:t>
      </w:r>
      <w:r w:rsidRPr="00D960C9">
        <w:rPr>
          <w:rFonts w:asciiTheme="minorHAnsi" w:hAnsiTheme="minorHAnsi" w:cstheme="minorHAnsi"/>
          <w:b/>
          <w:i/>
          <w:sz w:val="24"/>
          <w:szCs w:val="24"/>
        </w:rPr>
        <w:t xml:space="preserve"> com redação dada pela </w:t>
      </w:r>
      <w:r w:rsidR="00354506">
        <w:rPr>
          <w:rFonts w:asciiTheme="minorHAnsi" w:hAnsiTheme="minorHAnsi" w:cstheme="minorHAnsi"/>
          <w:b/>
          <w:i/>
          <w:sz w:val="24"/>
          <w:szCs w:val="24"/>
        </w:rPr>
        <w:t xml:space="preserve">Resolução </w:t>
      </w:r>
      <w:r w:rsidRPr="00D960C9">
        <w:rPr>
          <w:rFonts w:asciiTheme="minorHAnsi" w:hAnsiTheme="minorHAnsi" w:cstheme="minorHAnsi"/>
          <w:b/>
          <w:i/>
          <w:sz w:val="24"/>
          <w:szCs w:val="24"/>
        </w:rPr>
        <w:t>CVM nº 181, de 28 de março de 2023.</w:t>
      </w:r>
    </w:p>
    <w:p w14:paraId="519E1B4C" w14:textId="77777777" w:rsidR="00C158BE" w:rsidRPr="002F774B" w:rsidRDefault="00C158BE" w:rsidP="002F774B">
      <w:pPr>
        <w:spacing w:after="0" w:line="240" w:lineRule="auto"/>
        <w:rPr>
          <w:rFonts w:asciiTheme="minorHAnsi" w:hAnsiTheme="minorHAnsi" w:cstheme="minorHAnsi"/>
          <w:b/>
          <w:color w:val="000000"/>
          <w:sz w:val="24"/>
          <w:szCs w:val="24"/>
        </w:rPr>
      </w:pPr>
    </w:p>
    <w:p w14:paraId="663B8D50" w14:textId="1F05A273" w:rsidR="00C20BBD" w:rsidRPr="0097459F" w:rsidRDefault="00C20BBD" w:rsidP="00A95105">
      <w:pPr>
        <w:autoSpaceDE w:val="0"/>
        <w:autoSpaceDN w:val="0"/>
        <w:adjustRightInd w:val="0"/>
        <w:spacing w:after="0" w:line="240" w:lineRule="auto"/>
        <w:ind w:firstLine="709"/>
        <w:jc w:val="center"/>
        <w:rPr>
          <w:rFonts w:asciiTheme="minorHAnsi" w:hAnsiTheme="minorHAnsi" w:cstheme="minorHAnsi"/>
          <w:b/>
          <w:sz w:val="24"/>
          <w:szCs w:val="24"/>
        </w:rPr>
      </w:pPr>
      <w:r w:rsidRPr="0097459F">
        <w:rPr>
          <w:rFonts w:asciiTheme="minorHAnsi" w:hAnsiTheme="minorHAnsi" w:cstheme="minorHAnsi"/>
          <w:b/>
          <w:sz w:val="24"/>
          <w:szCs w:val="24"/>
        </w:rPr>
        <w:t>ATENÇÃO!!!</w:t>
      </w:r>
    </w:p>
    <w:p w14:paraId="55DE6019" w14:textId="5CA2DF16" w:rsidR="003E1511" w:rsidRDefault="00C20BBD" w:rsidP="0045288F">
      <w:pPr>
        <w:autoSpaceDE w:val="0"/>
        <w:autoSpaceDN w:val="0"/>
        <w:adjustRightInd w:val="0"/>
        <w:spacing w:after="0" w:line="240" w:lineRule="auto"/>
        <w:ind w:firstLine="709"/>
        <w:jc w:val="both"/>
        <w:rPr>
          <w:rFonts w:asciiTheme="minorHAnsi" w:hAnsiTheme="minorHAnsi" w:cstheme="minorHAnsi"/>
          <w:sz w:val="24"/>
          <w:szCs w:val="24"/>
        </w:rPr>
      </w:pPr>
      <w:r w:rsidRPr="0097459F">
        <w:rPr>
          <w:rFonts w:asciiTheme="minorHAnsi" w:hAnsiTheme="minorHAnsi" w:cstheme="minorHAnsi"/>
          <w:sz w:val="24"/>
          <w:szCs w:val="24"/>
        </w:rPr>
        <w:t>A existência de campo específico neste informe não significa autorização para sua utilização. O administrador deve observar os critérios estabelecidos na Resolução e no Anexo Normativo que regulamentam a constituição, a administração e o funcionamento do fundo</w:t>
      </w:r>
      <w:r w:rsidR="00F2579A">
        <w:rPr>
          <w:rFonts w:asciiTheme="minorHAnsi" w:hAnsiTheme="minorHAnsi" w:cstheme="minorHAnsi"/>
          <w:sz w:val="24"/>
          <w:szCs w:val="24"/>
        </w:rPr>
        <w:t>.</w:t>
      </w:r>
      <w:r w:rsidR="003E1511">
        <w:rPr>
          <w:rFonts w:asciiTheme="minorHAnsi" w:hAnsiTheme="minorHAnsi" w:cstheme="minorHAnsi"/>
          <w:sz w:val="24"/>
          <w:szCs w:val="24"/>
        </w:rPr>
        <w:br w:type="page"/>
      </w:r>
    </w:p>
    <w:p w14:paraId="6F552622" w14:textId="77777777" w:rsidR="00457375" w:rsidRDefault="00457375" w:rsidP="0045288F">
      <w:pPr>
        <w:autoSpaceDE w:val="0"/>
        <w:autoSpaceDN w:val="0"/>
        <w:adjustRightInd w:val="0"/>
        <w:spacing w:after="0" w:line="240" w:lineRule="auto"/>
        <w:ind w:firstLine="709"/>
        <w:jc w:val="both"/>
        <w:rPr>
          <w:rFonts w:asciiTheme="minorHAnsi" w:hAnsiTheme="minorHAnsi" w:cstheme="minorHAnsi"/>
          <w:sz w:val="24"/>
          <w:szCs w:val="24"/>
        </w:rPr>
        <w:sectPr w:rsidR="00457375" w:rsidSect="002A08BD">
          <w:headerReference w:type="default" r:id="rId42"/>
          <w:headerReference w:type="first" r:id="rId43"/>
          <w:pgSz w:w="11906" w:h="16838"/>
          <w:pgMar w:top="2268" w:right="567" w:bottom="851" w:left="1134" w:header="709" w:footer="709" w:gutter="0"/>
          <w:cols w:space="708"/>
          <w:titlePg/>
          <w:docGrid w:linePitch="360"/>
        </w:sectPr>
      </w:pPr>
    </w:p>
    <w:p w14:paraId="73DDE6AD" w14:textId="77777777" w:rsidR="00457375" w:rsidRPr="00457375" w:rsidRDefault="00457375" w:rsidP="00457375">
      <w:pPr>
        <w:pStyle w:val="Ttulo1"/>
        <w:spacing w:before="0" w:after="0" w:line="240" w:lineRule="auto"/>
        <w:jc w:val="center"/>
        <w:rPr>
          <w:rFonts w:asciiTheme="minorHAnsi" w:hAnsiTheme="minorHAnsi" w:cstheme="minorHAnsi"/>
          <w:sz w:val="24"/>
          <w:szCs w:val="24"/>
        </w:rPr>
      </w:pPr>
      <w:bookmarkStart w:id="1503" w:name="_Toc161141453"/>
      <w:r w:rsidRPr="00457375">
        <w:rPr>
          <w:rFonts w:asciiTheme="minorHAnsi" w:hAnsiTheme="minorHAnsi" w:cstheme="minorHAnsi"/>
          <w:sz w:val="24"/>
          <w:szCs w:val="24"/>
        </w:rPr>
        <w:lastRenderedPageBreak/>
        <w:t>SUPLEMENTO H – LAUDO DE AVALIAÇÃO – FII</w:t>
      </w:r>
      <w:bookmarkEnd w:id="1503"/>
    </w:p>
    <w:p w14:paraId="22E77E20" w14:textId="77777777" w:rsidR="00457375" w:rsidRPr="00457375" w:rsidRDefault="00457375" w:rsidP="00457375">
      <w:pPr>
        <w:spacing w:after="0" w:line="240" w:lineRule="auto"/>
        <w:ind w:firstLine="709"/>
        <w:jc w:val="center"/>
        <w:rPr>
          <w:rFonts w:asciiTheme="minorHAnsi" w:hAnsiTheme="minorHAnsi" w:cstheme="minorHAnsi"/>
          <w:i/>
          <w:sz w:val="24"/>
          <w:szCs w:val="24"/>
        </w:rPr>
      </w:pPr>
      <w:r w:rsidRPr="00457375">
        <w:rPr>
          <w:rFonts w:asciiTheme="minorHAnsi" w:hAnsiTheme="minorHAnsi" w:cstheme="minorHAnsi"/>
          <w:i/>
          <w:sz w:val="24"/>
          <w:szCs w:val="24"/>
        </w:rPr>
        <w:t>Conteúdo informacional mínimo para o Laudo de Avaliação, conforme previsto no art. 9º do Anexo Normativo III</w:t>
      </w:r>
    </w:p>
    <w:p w14:paraId="25DE4E18" w14:textId="77777777" w:rsidR="00457375" w:rsidRPr="00B22CCE" w:rsidRDefault="00457375" w:rsidP="00457375">
      <w:pPr>
        <w:spacing w:after="0" w:line="240" w:lineRule="auto"/>
        <w:ind w:firstLine="709"/>
        <w:rPr>
          <w:i/>
        </w:rPr>
      </w:pPr>
    </w:p>
    <w:p w14:paraId="5C66B899" w14:textId="77777777" w:rsidR="00457375" w:rsidRPr="00283DDA" w:rsidRDefault="00457375" w:rsidP="00457375">
      <w:pPr>
        <w:pStyle w:val="NormaAlterada"/>
        <w:rPr>
          <w:b/>
        </w:rPr>
      </w:pPr>
      <w:r w:rsidRPr="00283DDA">
        <w:rPr>
          <w:b/>
        </w:rPr>
        <w:t>I – ELEMENTOS DE IDENTIFICAÇÃO</w:t>
      </w:r>
    </w:p>
    <w:p w14:paraId="6BC4A32A" w14:textId="77777777" w:rsidR="00457375" w:rsidRPr="001274AE" w:rsidRDefault="00457375" w:rsidP="00457375">
      <w:pPr>
        <w:pStyle w:val="NormaAlterada"/>
      </w:pPr>
      <w:r w:rsidRPr="001274AE">
        <w:t xml:space="preserve">1. </w:t>
      </w:r>
      <w:r>
        <w:t xml:space="preserve"> </w:t>
      </w:r>
      <w:r w:rsidRPr="001274AE">
        <w:t>Identificação da empresa avaliadora e das pessoas responsáveis pela avaliação, com descrição da experiência da empresa na avaliação de imóveis e histórico de empreendimentos avaliados;</w:t>
      </w:r>
    </w:p>
    <w:p w14:paraId="71B47D70" w14:textId="77777777" w:rsidR="00457375" w:rsidRPr="001274AE" w:rsidRDefault="00457375" w:rsidP="00457375">
      <w:pPr>
        <w:pStyle w:val="NormaAlterada"/>
      </w:pPr>
      <w:r w:rsidRPr="12CB03CB">
        <w:t>2.  Identificação do imóvel objeto da avaliação;</w:t>
      </w:r>
    </w:p>
    <w:p w14:paraId="343D2334" w14:textId="77777777" w:rsidR="00457375" w:rsidRPr="001274AE" w:rsidRDefault="00457375" w:rsidP="00457375">
      <w:pPr>
        <w:pStyle w:val="NormaAlterada"/>
      </w:pPr>
      <w:r w:rsidRPr="12CB03CB">
        <w:t>3.  Identificação do FII e de seu administrador;</w:t>
      </w:r>
    </w:p>
    <w:p w14:paraId="287C62ED" w14:textId="77777777" w:rsidR="00457375" w:rsidRPr="001274AE" w:rsidRDefault="00457375" w:rsidP="00457375">
      <w:pPr>
        <w:pStyle w:val="NormaAlterada"/>
      </w:pPr>
      <w:r w:rsidRPr="001274AE">
        <w:t xml:space="preserve">4.  Datas de referência da </w:t>
      </w:r>
      <w:r>
        <w:t>atual</w:t>
      </w:r>
      <w:r w:rsidRPr="001274AE">
        <w:t xml:space="preserve"> e da última avaliação realizada do imóvel.</w:t>
      </w:r>
    </w:p>
    <w:p w14:paraId="46EBDA31" w14:textId="77777777" w:rsidR="00457375" w:rsidRPr="00283DDA" w:rsidRDefault="00457375" w:rsidP="00457375">
      <w:pPr>
        <w:pStyle w:val="NormaAlterada"/>
        <w:rPr>
          <w:b/>
        </w:rPr>
      </w:pPr>
      <w:r w:rsidRPr="00283DDA">
        <w:rPr>
          <w:b/>
        </w:rPr>
        <w:t>II – ELEMENTOS DE AVALIAÇÃO</w:t>
      </w:r>
    </w:p>
    <w:p w14:paraId="611E5733" w14:textId="77777777" w:rsidR="00457375" w:rsidRPr="001274AE" w:rsidRDefault="00457375" w:rsidP="00457375">
      <w:pPr>
        <w:pStyle w:val="NormaAlterada"/>
      </w:pPr>
      <w:r w:rsidRPr="001274AE">
        <w:t>1.  Descrição das características do imóvel abrangendo sua localização, estado de conservação, tipo de construção e finalidade a que se destina;</w:t>
      </w:r>
    </w:p>
    <w:p w14:paraId="640431B7" w14:textId="77777777" w:rsidR="00457375" w:rsidRPr="001274AE" w:rsidRDefault="00457375" w:rsidP="00457375">
      <w:pPr>
        <w:pStyle w:val="NormaAlterada"/>
      </w:pPr>
      <w:r w:rsidRPr="12CB03CB">
        <w:t xml:space="preserve">2.  Análise da localização geográfica do imóvel, compreendendo a existência de melhorias e outros aspectos que possam afetar-lhe o valor, descrição do mercado imobiliário da região e informações relativas a </w:t>
      </w:r>
      <w:bookmarkStart w:id="1504" w:name="_Int_vPcxlFoK"/>
      <w:r w:rsidRPr="12CB03CB">
        <w:t>empreendimentos</w:t>
      </w:r>
      <w:bookmarkEnd w:id="1504"/>
      <w:r w:rsidRPr="12CB03CB">
        <w:t xml:space="preserve"> concorrentes;</w:t>
      </w:r>
    </w:p>
    <w:p w14:paraId="0FF432CB" w14:textId="77777777" w:rsidR="00457375" w:rsidRPr="001274AE" w:rsidRDefault="00457375" w:rsidP="00457375">
      <w:pPr>
        <w:pStyle w:val="NormaAlterada"/>
      </w:pPr>
      <w:r w:rsidRPr="001274AE">
        <w:t>3.  Descrição das diligências efetuadas, de estudos e dados setoriais utilizados, bem como de outras informações relevantes para a determinação do valor do imóvel;</w:t>
      </w:r>
    </w:p>
    <w:p w14:paraId="264D4C25" w14:textId="77777777" w:rsidR="00457375" w:rsidRPr="001274AE" w:rsidRDefault="00457375" w:rsidP="00457375">
      <w:pPr>
        <w:pStyle w:val="NormaAlterada"/>
      </w:pPr>
      <w:r w:rsidRPr="001274AE">
        <w:t>4.  Fundamentação da escolha do método de avaliação e descrição detalhada de sua aplicação, acompanhada das razões pelas quais tenham sido excluídos os demais métodos de avaliação possíveis;</w:t>
      </w:r>
    </w:p>
    <w:p w14:paraId="7E6EFC55" w14:textId="77777777" w:rsidR="00457375" w:rsidRPr="001274AE" w:rsidRDefault="00457375" w:rsidP="00457375">
      <w:pPr>
        <w:pStyle w:val="NormaAlterada"/>
      </w:pPr>
      <w:r w:rsidRPr="001274AE">
        <w:t>5.  Caso tenha sido utilizado como base de avaliação o fluxo de caixa descontado, descrição da (i) taxa de desconto utilizada para avaliação dos fluxos projetados; (ii) incidência ou não de tributos no cálculo do fluxo; (iii) risco de vacância; (iv) valor individualizado de aquisição utilizado para cada imóvel em relação ao valor de mercado; e (v) análise de sensibilidade da valorização do fluxo de caixa, com explicitação das variáveis sensibilizadas;</w:t>
      </w:r>
    </w:p>
    <w:p w14:paraId="02D3415E" w14:textId="77777777" w:rsidR="00457375" w:rsidRPr="001274AE" w:rsidRDefault="00457375" w:rsidP="00457375">
      <w:pPr>
        <w:pStyle w:val="NormaAlterada"/>
      </w:pPr>
      <w:r w:rsidRPr="001274AE">
        <w:t>6.</w:t>
      </w:r>
      <w:r>
        <w:t xml:space="preserve"> </w:t>
      </w:r>
      <w:r w:rsidRPr="001274AE">
        <w:t xml:space="preserve"> O valor, à data da avaliação, dos rendimentos recebidos, se o imóvel estiver arrendado ou alugado, ou, caso contrário, a estimativa dos rendimentos que possa vir a gerar;</w:t>
      </w:r>
    </w:p>
    <w:p w14:paraId="7D7F699E" w14:textId="77777777" w:rsidR="00457375" w:rsidRPr="001274AE" w:rsidRDefault="00457375" w:rsidP="00457375">
      <w:pPr>
        <w:pStyle w:val="NormaAlterada"/>
      </w:pPr>
      <w:r w:rsidRPr="001274AE">
        <w:lastRenderedPageBreak/>
        <w:t xml:space="preserve">7.  </w:t>
      </w:r>
      <w:r>
        <w:t>Caso</w:t>
      </w:r>
      <w:r w:rsidRPr="001274AE">
        <w:t xml:space="preserve"> o imóvel </w:t>
      </w:r>
      <w:r>
        <w:t>esteja</w:t>
      </w:r>
      <w:r w:rsidRPr="001274AE">
        <w:t xml:space="preserve"> alugado, descrição das principais cláusulas dos contratos de aluguel utilizadas para fins da avaliação, explicitando prazos, atualizações, descontos, multas, hipóteses de rescisão e revisão dos valores;</w:t>
      </w:r>
    </w:p>
    <w:p w14:paraId="1C03D4A1" w14:textId="77777777" w:rsidR="00457375" w:rsidRPr="001274AE" w:rsidRDefault="00457375" w:rsidP="00457375">
      <w:pPr>
        <w:pStyle w:val="NormaAlterada"/>
      </w:pPr>
      <w:r w:rsidRPr="001274AE">
        <w:t xml:space="preserve">8. </w:t>
      </w:r>
      <w:r>
        <w:t xml:space="preserve"> </w:t>
      </w:r>
      <w:r w:rsidRPr="001274AE">
        <w:t>Estimativa dos encargos de conservação, manutenção e outros que sejam indispensáveis à exploração econômica do imóvel;</w:t>
      </w:r>
    </w:p>
    <w:p w14:paraId="5A00E334" w14:textId="77777777" w:rsidR="00457375" w:rsidRPr="001274AE" w:rsidRDefault="00457375" w:rsidP="00457375">
      <w:pPr>
        <w:pStyle w:val="NormaAlterada"/>
      </w:pPr>
      <w:r w:rsidRPr="001274AE">
        <w:t xml:space="preserve">9. </w:t>
      </w:r>
      <w:r>
        <w:t xml:space="preserve"> </w:t>
      </w:r>
      <w:r w:rsidRPr="001274AE">
        <w:t>Justificativa utilizada para escolha das taxas de atualização, remuneração, capitalização, depreciação, bem como de outros parâmetros predeterminados pelo avaliador;</w:t>
      </w:r>
    </w:p>
    <w:p w14:paraId="6F191D00" w14:textId="77777777" w:rsidR="00457375" w:rsidRPr="001274AE" w:rsidRDefault="00457375" w:rsidP="00457375">
      <w:pPr>
        <w:pStyle w:val="NormaAlterada"/>
      </w:pPr>
      <w:r w:rsidRPr="001274AE">
        <w:t>10.  Indicação de eventuais transações ou propostas de aquisição em que se tenha baseado a avaliação, relativas a imóveis com idênticas características;</w:t>
      </w:r>
    </w:p>
    <w:p w14:paraId="317A8468" w14:textId="77777777" w:rsidR="00457375" w:rsidRPr="001274AE" w:rsidRDefault="00457375" w:rsidP="00457375">
      <w:pPr>
        <w:pStyle w:val="NormaAlterada"/>
      </w:pPr>
      <w:r w:rsidRPr="001274AE">
        <w:t>11.  Indicação do valor final proposto para o imóvel, de acordo com o método de avaliação escolhido pelo avaliador e independentemente de valores diversos que tenham sido demonstrados por meio da aplicação de outros métodos.</w:t>
      </w:r>
    </w:p>
    <w:p w14:paraId="443669EA" w14:textId="77777777" w:rsidR="00457375" w:rsidRPr="00283DDA" w:rsidRDefault="00457375" w:rsidP="00457375">
      <w:pPr>
        <w:pStyle w:val="NormaAlterada"/>
        <w:rPr>
          <w:b/>
        </w:rPr>
      </w:pPr>
      <w:r w:rsidRPr="00283DDA">
        <w:rPr>
          <w:b/>
        </w:rPr>
        <w:t>III – ELEMENTOS DE RESPONSABILIDADE</w:t>
      </w:r>
    </w:p>
    <w:p w14:paraId="768A1191" w14:textId="77777777" w:rsidR="00457375" w:rsidRPr="001274AE" w:rsidRDefault="00457375" w:rsidP="00457375">
      <w:pPr>
        <w:pStyle w:val="NormaAlterada"/>
      </w:pPr>
      <w:r w:rsidRPr="001274AE">
        <w:t>1.  Indicação de eventuais ressalvas ao valor proposto para o imóvel, bem como da existência de circunstâncias especiais que não permitam a determinação adequada de seu valor;</w:t>
      </w:r>
    </w:p>
    <w:p w14:paraId="29D0E688" w14:textId="77777777" w:rsidR="00457375" w:rsidRPr="001274AE" w:rsidRDefault="00457375" w:rsidP="00457375">
      <w:pPr>
        <w:pStyle w:val="NormaAlterada"/>
      </w:pPr>
      <w:r w:rsidRPr="001274AE">
        <w:t>2.  Sempre que informações ou elementos relevantes, que possam influenciar a determinação do valor do imóvel, não estejam disponíveis, ou não tenham sido apresentados, indicação das limitações decorrentes desse fato para a análise;</w:t>
      </w:r>
    </w:p>
    <w:p w14:paraId="4E28B6D0" w14:textId="77777777" w:rsidR="00457375" w:rsidRPr="001274AE" w:rsidRDefault="00457375" w:rsidP="00457375">
      <w:pPr>
        <w:pStyle w:val="NormaAlterada"/>
      </w:pPr>
      <w:r w:rsidRPr="001274AE">
        <w:t xml:space="preserve">3.  Declaração do avaliador de que elaborou o laudo em consonância com as exigências deste </w:t>
      </w:r>
      <w:r>
        <w:t>Suplemento H</w:t>
      </w:r>
      <w:r w:rsidRPr="001274AE">
        <w:t>;</w:t>
      </w:r>
    </w:p>
    <w:p w14:paraId="0AFA2760" w14:textId="77777777" w:rsidR="00457375" w:rsidRPr="001274AE" w:rsidRDefault="00457375" w:rsidP="00457375">
      <w:pPr>
        <w:pStyle w:val="NormaAlterada"/>
      </w:pPr>
      <w:r w:rsidRPr="001274AE">
        <w:t>4.  Identificação das sociedades controladoras ou controladas pelo administrador, com as quais o avaliador mantenha relação de trabalho ou de subordinação;</w:t>
      </w:r>
    </w:p>
    <w:p w14:paraId="5DA44ED6" w14:textId="39C5513C" w:rsidR="007D1CF2" w:rsidRDefault="00457375" w:rsidP="00457375">
      <w:pPr>
        <w:tabs>
          <w:tab w:val="left" w:pos="3795"/>
        </w:tabs>
        <w:spacing w:after="0"/>
        <w:rPr>
          <w:rFonts w:asciiTheme="minorHAnsi" w:eastAsia="Times New Roman" w:hAnsiTheme="minorHAnsi" w:cstheme="minorBidi"/>
          <w:sz w:val="24"/>
          <w:szCs w:val="24"/>
          <w:lang w:eastAsia="pt-BR"/>
        </w:rPr>
      </w:pPr>
      <w:r w:rsidRPr="00457375">
        <w:rPr>
          <w:rFonts w:asciiTheme="minorHAnsi" w:eastAsia="Times New Roman" w:hAnsiTheme="minorHAnsi" w:cstheme="minorBidi"/>
          <w:sz w:val="24"/>
          <w:szCs w:val="24"/>
          <w:lang w:eastAsia="pt-BR"/>
        </w:rPr>
        <w:t>5.  Indicação das cotas que detenha na classe à qual se refere o imóvel objeto da avaliação.</w:t>
      </w:r>
    </w:p>
    <w:p w14:paraId="5E3FA8B9" w14:textId="6DEC092D" w:rsidR="00F461F9" w:rsidRPr="00E00556" w:rsidRDefault="00F461F9" w:rsidP="00F461F9">
      <w:pPr>
        <w:pStyle w:val="PargrafodaLista"/>
        <w:numPr>
          <w:ilvl w:val="0"/>
          <w:numId w:val="13"/>
        </w:numPr>
        <w:spacing w:before="120" w:after="120" w:line="312" w:lineRule="auto"/>
        <w:ind w:left="284" w:hanging="142"/>
        <w:jc w:val="both"/>
        <w:rPr>
          <w:rFonts w:cstheme="minorHAnsi"/>
          <w:sz w:val="24"/>
          <w:szCs w:val="24"/>
        </w:rPr>
      </w:pPr>
      <w:r>
        <w:rPr>
          <w:rFonts w:cstheme="minorHAnsi"/>
          <w:b/>
          <w:i/>
          <w:sz w:val="24"/>
          <w:szCs w:val="24"/>
        </w:rPr>
        <w:t xml:space="preserve">Suplemento H </w:t>
      </w:r>
      <w:r w:rsidRPr="0045288F">
        <w:rPr>
          <w:rFonts w:cstheme="minorHAnsi"/>
          <w:b/>
          <w:i/>
          <w:sz w:val="24"/>
          <w:szCs w:val="24"/>
        </w:rPr>
        <w:t>incluído pela Resolução CVM nº 184, de 31 de maio de 2023.</w:t>
      </w:r>
    </w:p>
    <w:p w14:paraId="699041F8" w14:textId="77777777" w:rsidR="00F461F9" w:rsidRDefault="00F461F9" w:rsidP="00457375">
      <w:pPr>
        <w:tabs>
          <w:tab w:val="left" w:pos="3795"/>
        </w:tabs>
        <w:spacing w:after="0"/>
        <w:rPr>
          <w:rFonts w:asciiTheme="minorHAnsi" w:eastAsia="Times New Roman" w:hAnsiTheme="minorHAnsi" w:cstheme="minorBidi"/>
          <w:sz w:val="24"/>
          <w:szCs w:val="24"/>
          <w:lang w:eastAsia="pt-BR"/>
        </w:rPr>
      </w:pPr>
    </w:p>
    <w:p w14:paraId="4BB76C17" w14:textId="77777777" w:rsidR="00457375" w:rsidRDefault="00457375" w:rsidP="00457375">
      <w:pPr>
        <w:tabs>
          <w:tab w:val="left" w:pos="3795"/>
        </w:tabs>
        <w:spacing w:after="0"/>
        <w:rPr>
          <w:rFonts w:asciiTheme="minorHAnsi" w:eastAsia="Times New Roman" w:hAnsiTheme="minorHAnsi" w:cstheme="minorBidi"/>
          <w:sz w:val="24"/>
          <w:szCs w:val="24"/>
          <w:lang w:eastAsia="pt-BR"/>
        </w:rPr>
      </w:pPr>
    </w:p>
    <w:p w14:paraId="54CB92EF" w14:textId="77777777" w:rsidR="00457375" w:rsidRDefault="00457375" w:rsidP="00457375">
      <w:pPr>
        <w:tabs>
          <w:tab w:val="left" w:pos="3795"/>
        </w:tabs>
        <w:spacing w:after="0"/>
        <w:rPr>
          <w:rFonts w:asciiTheme="minorHAnsi" w:eastAsia="Times New Roman" w:hAnsiTheme="minorHAnsi" w:cstheme="minorBidi"/>
          <w:sz w:val="24"/>
          <w:szCs w:val="24"/>
          <w:lang w:eastAsia="pt-BR"/>
        </w:rPr>
        <w:sectPr w:rsidR="00457375" w:rsidSect="002A08BD">
          <w:headerReference w:type="default" r:id="rId44"/>
          <w:headerReference w:type="first" r:id="rId45"/>
          <w:pgSz w:w="11906" w:h="16838"/>
          <w:pgMar w:top="2268" w:right="567" w:bottom="851" w:left="1134" w:header="709" w:footer="709" w:gutter="0"/>
          <w:cols w:space="708"/>
          <w:docGrid w:linePitch="360"/>
        </w:sectPr>
      </w:pPr>
    </w:p>
    <w:p w14:paraId="13AE3CBF" w14:textId="77777777" w:rsidR="00457375" w:rsidRPr="00457375" w:rsidRDefault="00457375" w:rsidP="00457375">
      <w:pPr>
        <w:pStyle w:val="Ttulo1"/>
        <w:spacing w:before="0" w:after="0" w:line="240" w:lineRule="auto"/>
        <w:jc w:val="center"/>
        <w:rPr>
          <w:rFonts w:asciiTheme="minorHAnsi" w:hAnsiTheme="minorHAnsi" w:cstheme="minorHAnsi"/>
          <w:sz w:val="24"/>
          <w:szCs w:val="24"/>
        </w:rPr>
      </w:pPr>
      <w:bookmarkStart w:id="1505" w:name="_Toc161141454"/>
      <w:r w:rsidRPr="00457375">
        <w:rPr>
          <w:rFonts w:asciiTheme="minorHAnsi" w:hAnsiTheme="minorHAnsi" w:cstheme="minorHAnsi"/>
          <w:sz w:val="24"/>
          <w:szCs w:val="24"/>
        </w:rPr>
        <w:lastRenderedPageBreak/>
        <w:t>SUPLEMENTO I – INFORME MENSAL – FII</w:t>
      </w:r>
      <w:bookmarkEnd w:id="1505"/>
    </w:p>
    <w:p w14:paraId="1E5D16B3" w14:textId="77777777" w:rsidR="00457375" w:rsidRPr="00457375" w:rsidRDefault="00457375" w:rsidP="00457375">
      <w:pPr>
        <w:spacing w:line="240" w:lineRule="auto"/>
        <w:jc w:val="center"/>
        <w:rPr>
          <w:rFonts w:asciiTheme="minorHAnsi" w:eastAsiaTheme="minorEastAsia" w:hAnsiTheme="minorHAnsi" w:cstheme="minorHAnsi"/>
          <w:bCs/>
          <w:i/>
          <w:sz w:val="24"/>
          <w:szCs w:val="24"/>
        </w:rPr>
      </w:pPr>
      <w:r w:rsidRPr="00457375">
        <w:rPr>
          <w:rFonts w:asciiTheme="minorHAnsi" w:hAnsiTheme="minorHAnsi" w:cstheme="minorHAnsi"/>
          <w:i/>
          <w:sz w:val="24"/>
          <w:szCs w:val="24"/>
        </w:rPr>
        <w:t xml:space="preserve">Conteúdo do Informe Mensal, conforme previsto no </w:t>
      </w:r>
      <w:r w:rsidRPr="00457375">
        <w:rPr>
          <w:rFonts w:asciiTheme="minorHAnsi" w:eastAsiaTheme="minorEastAsia" w:hAnsiTheme="minorHAnsi" w:cstheme="minorHAnsi"/>
          <w:bCs/>
          <w:i/>
          <w:sz w:val="24"/>
          <w:szCs w:val="24"/>
        </w:rPr>
        <w:t>art. 36, I, do Anexo Normativo III</w:t>
      </w:r>
    </w:p>
    <w:p w14:paraId="743C840D" w14:textId="77777777" w:rsidR="00457375" w:rsidRDefault="00457375" w:rsidP="00457375">
      <w:pPr>
        <w:spacing w:after="0" w:line="240" w:lineRule="auto"/>
        <w:rPr>
          <w:rFonts w:eastAsiaTheme="minorEastAsia"/>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2539"/>
        <w:gridCol w:w="2574"/>
      </w:tblGrid>
      <w:tr w:rsidR="00457375" w:rsidRPr="0035066F" w14:paraId="1FE756CD" w14:textId="77777777" w:rsidTr="003C7E27">
        <w:tc>
          <w:tcPr>
            <w:tcW w:w="5082" w:type="dxa"/>
            <w:vAlign w:val="bottom"/>
          </w:tcPr>
          <w:p w14:paraId="50A2DB4F"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Nome do Fundo</w:t>
            </w:r>
          </w:p>
        </w:tc>
        <w:tc>
          <w:tcPr>
            <w:tcW w:w="2539" w:type="dxa"/>
            <w:vAlign w:val="bottom"/>
          </w:tcPr>
          <w:p w14:paraId="12C457D1"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CNPJ do Fundo</w:t>
            </w:r>
          </w:p>
        </w:tc>
        <w:tc>
          <w:tcPr>
            <w:tcW w:w="2574" w:type="dxa"/>
            <w:vAlign w:val="bottom"/>
          </w:tcPr>
          <w:p w14:paraId="1169B8E8"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Data de Funcionamento</w:t>
            </w:r>
          </w:p>
        </w:tc>
      </w:tr>
      <w:tr w:rsidR="00457375" w:rsidRPr="0035066F" w14:paraId="35928EEB" w14:textId="77777777" w:rsidTr="003C7E27">
        <w:tc>
          <w:tcPr>
            <w:tcW w:w="5082" w:type="dxa"/>
            <w:vAlign w:val="bottom"/>
          </w:tcPr>
          <w:p w14:paraId="08F9CAFF"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Público</w:t>
            </w:r>
            <w:r w:rsidRPr="0035066F">
              <w:rPr>
                <w:rFonts w:ascii="Calibri" w:eastAsia="Yu Mincho" w:hAnsi="Calibri" w:cs="Calibri"/>
                <w:b/>
                <w:bCs/>
                <w:color w:val="000000"/>
                <w:lang w:eastAsia="pt-BR"/>
              </w:rPr>
              <w:t>-</w:t>
            </w:r>
            <w:r w:rsidRPr="0035066F">
              <w:rPr>
                <w:rFonts w:ascii="Calibri" w:eastAsia="Yu Mincho" w:hAnsi="Calibri" w:cs="Calibri"/>
                <w:b/>
                <w:color w:val="000000"/>
                <w:lang w:eastAsia="pt-BR"/>
              </w:rPr>
              <w:t>Alvo (Investidores em geral, Investidor Qualificado ou Profissional)</w:t>
            </w:r>
          </w:p>
        </w:tc>
        <w:tc>
          <w:tcPr>
            <w:tcW w:w="2539" w:type="dxa"/>
            <w:vAlign w:val="bottom"/>
          </w:tcPr>
          <w:p w14:paraId="71ED47E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Código ISIN</w:t>
            </w:r>
          </w:p>
        </w:tc>
        <w:tc>
          <w:tcPr>
            <w:tcW w:w="2574" w:type="dxa"/>
            <w:vAlign w:val="bottom"/>
          </w:tcPr>
          <w:p w14:paraId="36ECCD73"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Quantidade de cotas emitidas</w:t>
            </w:r>
          </w:p>
        </w:tc>
      </w:tr>
      <w:tr w:rsidR="00457375" w:rsidRPr="0035066F" w14:paraId="62E0B57F" w14:textId="77777777" w:rsidTr="003C7E27">
        <w:tc>
          <w:tcPr>
            <w:tcW w:w="5082" w:type="dxa"/>
            <w:vAlign w:val="bottom"/>
          </w:tcPr>
          <w:p w14:paraId="5281948D"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Fundo Exclusivo (Sim ou Não)</w:t>
            </w:r>
          </w:p>
        </w:tc>
        <w:tc>
          <w:tcPr>
            <w:tcW w:w="5113" w:type="dxa"/>
            <w:gridSpan w:val="2"/>
            <w:vAlign w:val="bottom"/>
          </w:tcPr>
          <w:p w14:paraId="502CD47E"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Cotistas possuem vínculo familiar ou societário familiar (Sim ou Não)</w:t>
            </w:r>
          </w:p>
        </w:tc>
      </w:tr>
      <w:tr w:rsidR="00457375" w:rsidRPr="0035066F" w14:paraId="45C310E7" w14:textId="77777777" w:rsidTr="003C7E27">
        <w:tc>
          <w:tcPr>
            <w:tcW w:w="10195" w:type="dxa"/>
            <w:gridSpan w:val="3"/>
            <w:vAlign w:val="bottom"/>
          </w:tcPr>
          <w:p w14:paraId="619FAD2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Classificação autorregulação (se houver)</w:t>
            </w:r>
          </w:p>
        </w:tc>
      </w:tr>
      <w:tr w:rsidR="00457375" w:rsidRPr="0035066F" w14:paraId="5FED5CFB" w14:textId="77777777" w:rsidTr="003C7E27">
        <w:tc>
          <w:tcPr>
            <w:tcW w:w="5082" w:type="dxa"/>
            <w:vAlign w:val="bottom"/>
          </w:tcPr>
          <w:p w14:paraId="676C564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Prazo de Duração</w:t>
            </w:r>
          </w:p>
        </w:tc>
        <w:tc>
          <w:tcPr>
            <w:tcW w:w="5113" w:type="dxa"/>
            <w:gridSpan w:val="2"/>
            <w:vAlign w:val="bottom"/>
          </w:tcPr>
          <w:p w14:paraId="4237560F"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Encerramento do exercício social</w:t>
            </w:r>
          </w:p>
        </w:tc>
      </w:tr>
      <w:tr w:rsidR="00457375" w:rsidRPr="0035066F" w14:paraId="06A78F76" w14:textId="77777777" w:rsidTr="003C7E27">
        <w:tc>
          <w:tcPr>
            <w:tcW w:w="5082" w:type="dxa"/>
            <w:vAlign w:val="bottom"/>
          </w:tcPr>
          <w:p w14:paraId="3014F9B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Mercado de negociação das cotas (Bolsa/MBO/MB não organizado)</w:t>
            </w:r>
          </w:p>
        </w:tc>
        <w:tc>
          <w:tcPr>
            <w:tcW w:w="5113" w:type="dxa"/>
            <w:gridSpan w:val="2"/>
            <w:vAlign w:val="bottom"/>
          </w:tcPr>
          <w:p w14:paraId="2FBD27AB"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Entidade administradora de mercado organizado</w:t>
            </w:r>
          </w:p>
        </w:tc>
      </w:tr>
      <w:tr w:rsidR="00457375" w:rsidRPr="0035066F" w14:paraId="3C87BA36" w14:textId="77777777" w:rsidTr="003C7E27">
        <w:tc>
          <w:tcPr>
            <w:tcW w:w="5082" w:type="dxa"/>
            <w:vAlign w:val="bottom"/>
          </w:tcPr>
          <w:p w14:paraId="65374827"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Nome do Administrador</w:t>
            </w:r>
          </w:p>
        </w:tc>
        <w:tc>
          <w:tcPr>
            <w:tcW w:w="5113" w:type="dxa"/>
            <w:gridSpan w:val="2"/>
            <w:vAlign w:val="bottom"/>
          </w:tcPr>
          <w:p w14:paraId="14D7F968"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CNPJ do Administrador</w:t>
            </w:r>
          </w:p>
        </w:tc>
      </w:tr>
      <w:tr w:rsidR="00457375" w:rsidRPr="0035066F" w14:paraId="47C497F1" w14:textId="77777777" w:rsidTr="003C7E27">
        <w:tc>
          <w:tcPr>
            <w:tcW w:w="5082" w:type="dxa"/>
            <w:vAlign w:val="bottom"/>
          </w:tcPr>
          <w:p w14:paraId="3DFF82A2"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Endereço</w:t>
            </w:r>
          </w:p>
        </w:tc>
        <w:tc>
          <w:tcPr>
            <w:tcW w:w="5113" w:type="dxa"/>
            <w:gridSpan w:val="2"/>
            <w:vAlign w:val="bottom"/>
          </w:tcPr>
          <w:p w14:paraId="0E43529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Telefones</w:t>
            </w:r>
          </w:p>
        </w:tc>
      </w:tr>
      <w:tr w:rsidR="00457375" w:rsidRPr="0035066F" w14:paraId="5993B459" w14:textId="77777777" w:rsidTr="003C7E27">
        <w:tc>
          <w:tcPr>
            <w:tcW w:w="5082" w:type="dxa"/>
            <w:vAlign w:val="bottom"/>
          </w:tcPr>
          <w:p w14:paraId="5C05C2A7"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Site</w:t>
            </w:r>
          </w:p>
        </w:tc>
        <w:tc>
          <w:tcPr>
            <w:tcW w:w="5113" w:type="dxa"/>
            <w:gridSpan w:val="2"/>
            <w:vAlign w:val="bottom"/>
          </w:tcPr>
          <w:p w14:paraId="64097328"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E-mail</w:t>
            </w:r>
          </w:p>
        </w:tc>
      </w:tr>
      <w:tr w:rsidR="00457375" w:rsidRPr="0035066F" w14:paraId="5556493B" w14:textId="77777777" w:rsidTr="003C7E27">
        <w:tc>
          <w:tcPr>
            <w:tcW w:w="5082" w:type="dxa"/>
            <w:vAlign w:val="bottom"/>
          </w:tcPr>
          <w:p w14:paraId="127AACF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Competência</w:t>
            </w:r>
          </w:p>
        </w:tc>
        <w:tc>
          <w:tcPr>
            <w:tcW w:w="5113" w:type="dxa"/>
            <w:gridSpan w:val="2"/>
            <w:vAlign w:val="bottom"/>
          </w:tcPr>
          <w:p w14:paraId="074AA2DA"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mm/aaaa</w:t>
            </w:r>
          </w:p>
        </w:tc>
      </w:tr>
    </w:tbl>
    <w:p w14:paraId="6A443393" w14:textId="77777777" w:rsidR="00457375" w:rsidRDefault="00457375" w:rsidP="00457375">
      <w:pPr>
        <w:spacing w:after="0" w:line="120" w:lineRule="auto"/>
        <w:rPr>
          <w:rFonts w:eastAsiaTheme="minorEastAsia"/>
        </w:rPr>
      </w:pPr>
    </w:p>
    <w:tbl>
      <w:tblPr>
        <w:tblW w:w="5000" w:type="pct"/>
        <w:tblLayout w:type="fixed"/>
        <w:tblCellMar>
          <w:left w:w="70" w:type="dxa"/>
          <w:right w:w="70" w:type="dxa"/>
        </w:tblCellMar>
        <w:tblLook w:val="04A0" w:firstRow="1" w:lastRow="0" w:firstColumn="1" w:lastColumn="0" w:noHBand="0" w:noVBand="1"/>
      </w:tblPr>
      <w:tblGrid>
        <w:gridCol w:w="8313"/>
        <w:gridCol w:w="1882"/>
      </w:tblGrid>
      <w:tr w:rsidR="00457375" w:rsidRPr="0035066F" w14:paraId="40DFB3AB" w14:textId="77777777" w:rsidTr="003C7E27">
        <w:trPr>
          <w:trHeight w:val="300"/>
        </w:trPr>
        <w:tc>
          <w:tcPr>
            <w:tcW w:w="40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71C2"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Número de cotistas</w:t>
            </w:r>
            <w:r w:rsidRPr="0035066F">
              <w:rPr>
                <w:rFonts w:ascii="Calibri" w:eastAsia="Yu Mincho" w:hAnsi="Calibri" w:cs="Calibri"/>
                <w:b/>
                <w:color w:val="000000"/>
                <w:vertAlign w:val="superscript"/>
                <w:lang w:eastAsia="pt-BR"/>
              </w:rPr>
              <w:t>1</w:t>
            </w:r>
          </w:p>
        </w:tc>
        <w:tc>
          <w:tcPr>
            <w:tcW w:w="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7F3C4" w14:textId="77777777" w:rsidR="00457375" w:rsidRPr="0035066F" w:rsidRDefault="00457375" w:rsidP="003C7E27">
            <w:pPr>
              <w:spacing w:after="0" w:line="240" w:lineRule="auto"/>
              <w:ind w:right="-1"/>
              <w:rPr>
                <w:rFonts w:ascii="Calibri" w:eastAsia="Yu Mincho" w:hAnsi="Calibri" w:cs="Calibri"/>
                <w:b/>
                <w:color w:val="000000"/>
                <w:lang w:eastAsia="pt-BR"/>
              </w:rPr>
            </w:pPr>
            <w:r w:rsidRPr="0035066F">
              <w:rPr>
                <w:rFonts w:ascii="Calibri" w:eastAsia="Yu Mincho" w:hAnsi="Calibri" w:cs="Calibri"/>
                <w:b/>
                <w:color w:val="000000"/>
                <w:lang w:eastAsia="pt-BR"/>
              </w:rPr>
              <w:t>xxxxx</w:t>
            </w:r>
          </w:p>
        </w:tc>
      </w:tr>
      <w:tr w:rsidR="00457375" w:rsidRPr="0035066F" w14:paraId="24082F86"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FC7E90"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Pessoa física</w:t>
            </w:r>
          </w:p>
        </w:tc>
        <w:tc>
          <w:tcPr>
            <w:tcW w:w="923" w:type="pct"/>
            <w:tcBorders>
              <w:top w:val="nil"/>
              <w:left w:val="nil"/>
              <w:bottom w:val="single" w:sz="4" w:space="0" w:color="auto"/>
              <w:right w:val="single" w:sz="4" w:space="0" w:color="auto"/>
            </w:tcBorders>
            <w:shd w:val="clear" w:color="auto" w:fill="auto"/>
            <w:noWrap/>
            <w:vAlign w:val="bottom"/>
            <w:hideMark/>
          </w:tcPr>
          <w:p w14:paraId="5190332D"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263FA3BE"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13E9EA"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Pessoa jurídica não financeira</w:t>
            </w:r>
          </w:p>
        </w:tc>
        <w:tc>
          <w:tcPr>
            <w:tcW w:w="923" w:type="pct"/>
            <w:tcBorders>
              <w:top w:val="nil"/>
              <w:left w:val="nil"/>
              <w:bottom w:val="single" w:sz="4" w:space="0" w:color="auto"/>
              <w:right w:val="single" w:sz="4" w:space="0" w:color="auto"/>
            </w:tcBorders>
            <w:shd w:val="clear" w:color="auto" w:fill="auto"/>
            <w:noWrap/>
            <w:vAlign w:val="bottom"/>
            <w:hideMark/>
          </w:tcPr>
          <w:p w14:paraId="3C01A5BA"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0D90B59C"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797B53"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Banco comercial</w:t>
            </w:r>
          </w:p>
        </w:tc>
        <w:tc>
          <w:tcPr>
            <w:tcW w:w="923" w:type="pct"/>
            <w:tcBorders>
              <w:top w:val="nil"/>
              <w:left w:val="nil"/>
              <w:bottom w:val="single" w:sz="4" w:space="0" w:color="auto"/>
              <w:right w:val="single" w:sz="4" w:space="0" w:color="auto"/>
            </w:tcBorders>
            <w:shd w:val="clear" w:color="auto" w:fill="auto"/>
            <w:noWrap/>
            <w:vAlign w:val="bottom"/>
            <w:hideMark/>
          </w:tcPr>
          <w:p w14:paraId="397D0E0C"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0CD62EC2"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93CD95"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Corretora ou distribuidora</w:t>
            </w:r>
          </w:p>
        </w:tc>
        <w:tc>
          <w:tcPr>
            <w:tcW w:w="923" w:type="pct"/>
            <w:tcBorders>
              <w:top w:val="nil"/>
              <w:left w:val="nil"/>
              <w:bottom w:val="single" w:sz="4" w:space="0" w:color="auto"/>
              <w:right w:val="single" w:sz="4" w:space="0" w:color="auto"/>
            </w:tcBorders>
            <w:shd w:val="clear" w:color="auto" w:fill="auto"/>
            <w:noWrap/>
            <w:vAlign w:val="bottom"/>
            <w:hideMark/>
          </w:tcPr>
          <w:p w14:paraId="5842918A"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333BCBA3"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CC70DE"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Outras pessoas jurídicas financeiras</w:t>
            </w:r>
          </w:p>
        </w:tc>
        <w:tc>
          <w:tcPr>
            <w:tcW w:w="923" w:type="pct"/>
            <w:tcBorders>
              <w:top w:val="nil"/>
              <w:left w:val="nil"/>
              <w:bottom w:val="single" w:sz="4" w:space="0" w:color="auto"/>
              <w:right w:val="single" w:sz="4" w:space="0" w:color="auto"/>
            </w:tcBorders>
            <w:shd w:val="clear" w:color="auto" w:fill="auto"/>
            <w:noWrap/>
            <w:vAlign w:val="bottom"/>
            <w:hideMark/>
          </w:tcPr>
          <w:p w14:paraId="3112A474"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016B37BF"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FFE95C"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Investidores não residentes</w:t>
            </w:r>
          </w:p>
        </w:tc>
        <w:tc>
          <w:tcPr>
            <w:tcW w:w="923" w:type="pct"/>
            <w:tcBorders>
              <w:top w:val="nil"/>
              <w:left w:val="nil"/>
              <w:bottom w:val="single" w:sz="4" w:space="0" w:color="auto"/>
              <w:right w:val="single" w:sz="4" w:space="0" w:color="auto"/>
            </w:tcBorders>
            <w:shd w:val="clear" w:color="auto" w:fill="auto"/>
            <w:noWrap/>
            <w:vAlign w:val="bottom"/>
            <w:hideMark/>
          </w:tcPr>
          <w:p w14:paraId="4FA82A4A"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7459CA4C"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464C38"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Entidade aberta de previdência complementar</w:t>
            </w:r>
          </w:p>
        </w:tc>
        <w:tc>
          <w:tcPr>
            <w:tcW w:w="923" w:type="pct"/>
            <w:tcBorders>
              <w:top w:val="nil"/>
              <w:left w:val="nil"/>
              <w:bottom w:val="single" w:sz="4" w:space="0" w:color="auto"/>
              <w:right w:val="single" w:sz="4" w:space="0" w:color="auto"/>
            </w:tcBorders>
            <w:shd w:val="clear" w:color="auto" w:fill="auto"/>
            <w:noWrap/>
            <w:vAlign w:val="bottom"/>
            <w:hideMark/>
          </w:tcPr>
          <w:p w14:paraId="68E6ABCD"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5677A279"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B2C0A5"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Entidade fechada de previdência complementar</w:t>
            </w:r>
          </w:p>
        </w:tc>
        <w:tc>
          <w:tcPr>
            <w:tcW w:w="923" w:type="pct"/>
            <w:tcBorders>
              <w:top w:val="nil"/>
              <w:left w:val="nil"/>
              <w:bottom w:val="single" w:sz="4" w:space="0" w:color="auto"/>
              <w:right w:val="single" w:sz="4" w:space="0" w:color="auto"/>
            </w:tcBorders>
            <w:shd w:val="clear" w:color="auto" w:fill="auto"/>
            <w:noWrap/>
            <w:vAlign w:val="bottom"/>
            <w:hideMark/>
          </w:tcPr>
          <w:p w14:paraId="6B95374E"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2CC0508B"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A0CE9A"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Regime próprio de previdência dos servidores públicos</w:t>
            </w:r>
          </w:p>
        </w:tc>
        <w:tc>
          <w:tcPr>
            <w:tcW w:w="923" w:type="pct"/>
            <w:tcBorders>
              <w:top w:val="nil"/>
              <w:left w:val="nil"/>
              <w:bottom w:val="single" w:sz="4" w:space="0" w:color="auto"/>
              <w:right w:val="single" w:sz="4" w:space="0" w:color="auto"/>
            </w:tcBorders>
            <w:shd w:val="clear" w:color="auto" w:fill="auto"/>
            <w:noWrap/>
            <w:vAlign w:val="bottom"/>
            <w:hideMark/>
          </w:tcPr>
          <w:p w14:paraId="2222D133"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53929BD8"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DEB51E"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Sociedade seguradora ou resseguradora</w:t>
            </w:r>
          </w:p>
        </w:tc>
        <w:tc>
          <w:tcPr>
            <w:tcW w:w="923" w:type="pct"/>
            <w:tcBorders>
              <w:top w:val="nil"/>
              <w:left w:val="nil"/>
              <w:bottom w:val="single" w:sz="4" w:space="0" w:color="auto"/>
              <w:right w:val="single" w:sz="4" w:space="0" w:color="auto"/>
            </w:tcBorders>
            <w:shd w:val="clear" w:color="auto" w:fill="auto"/>
            <w:noWrap/>
            <w:vAlign w:val="bottom"/>
            <w:hideMark/>
          </w:tcPr>
          <w:p w14:paraId="42D72AD2"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72AB2D20"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719A57"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Sociedade de capitalização e de arrendamento mercantil</w:t>
            </w:r>
          </w:p>
        </w:tc>
        <w:tc>
          <w:tcPr>
            <w:tcW w:w="923" w:type="pct"/>
            <w:tcBorders>
              <w:top w:val="nil"/>
              <w:left w:val="nil"/>
              <w:bottom w:val="single" w:sz="4" w:space="0" w:color="auto"/>
              <w:right w:val="single" w:sz="4" w:space="0" w:color="auto"/>
            </w:tcBorders>
            <w:shd w:val="clear" w:color="auto" w:fill="auto"/>
            <w:noWrap/>
            <w:vAlign w:val="bottom"/>
            <w:hideMark/>
          </w:tcPr>
          <w:p w14:paraId="333AD286"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34025F1F"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EF2BA6"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Fundos de investimento imobiliário</w:t>
            </w:r>
          </w:p>
        </w:tc>
        <w:tc>
          <w:tcPr>
            <w:tcW w:w="923" w:type="pct"/>
            <w:tcBorders>
              <w:top w:val="nil"/>
              <w:left w:val="nil"/>
              <w:bottom w:val="single" w:sz="4" w:space="0" w:color="auto"/>
              <w:right w:val="single" w:sz="4" w:space="0" w:color="auto"/>
            </w:tcBorders>
            <w:shd w:val="clear" w:color="auto" w:fill="auto"/>
            <w:noWrap/>
            <w:vAlign w:val="bottom"/>
            <w:hideMark/>
          </w:tcPr>
          <w:p w14:paraId="116A3F12"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4E80347E"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07E9F9"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Outros fundos de investimento</w:t>
            </w:r>
          </w:p>
        </w:tc>
        <w:tc>
          <w:tcPr>
            <w:tcW w:w="923" w:type="pct"/>
            <w:tcBorders>
              <w:top w:val="nil"/>
              <w:left w:val="nil"/>
              <w:bottom w:val="single" w:sz="4" w:space="0" w:color="auto"/>
              <w:right w:val="single" w:sz="4" w:space="0" w:color="auto"/>
            </w:tcBorders>
            <w:shd w:val="clear" w:color="auto" w:fill="auto"/>
            <w:noWrap/>
            <w:vAlign w:val="bottom"/>
            <w:hideMark/>
          </w:tcPr>
          <w:p w14:paraId="7CA7DAC2"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7DA34117"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6AB4E5"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Cotistas de distribuidores da classe (distribuição por conta e ordem)</w:t>
            </w:r>
          </w:p>
        </w:tc>
        <w:tc>
          <w:tcPr>
            <w:tcW w:w="923" w:type="pct"/>
            <w:tcBorders>
              <w:top w:val="nil"/>
              <w:left w:val="nil"/>
              <w:bottom w:val="single" w:sz="4" w:space="0" w:color="auto"/>
              <w:right w:val="single" w:sz="4" w:space="0" w:color="auto"/>
            </w:tcBorders>
            <w:shd w:val="clear" w:color="auto" w:fill="auto"/>
            <w:noWrap/>
            <w:vAlign w:val="bottom"/>
            <w:hideMark/>
          </w:tcPr>
          <w:p w14:paraId="43AA76FB" w14:textId="77777777" w:rsidR="00457375" w:rsidRPr="0035066F" w:rsidRDefault="00457375" w:rsidP="003C7E27">
            <w:pPr>
              <w:spacing w:after="0" w:line="240" w:lineRule="auto"/>
              <w:ind w:right="-1"/>
              <w:rPr>
                <w:rFonts w:ascii="Calibri" w:eastAsia="Yu Mincho" w:hAnsi="Calibri" w:cs="Calibri"/>
                <w:color w:val="000000"/>
                <w:lang w:eastAsia="pt-BR"/>
              </w:rPr>
            </w:pPr>
          </w:p>
        </w:tc>
      </w:tr>
      <w:tr w:rsidR="00457375" w:rsidRPr="0035066F" w14:paraId="53713EDB" w14:textId="77777777" w:rsidTr="003C7E27">
        <w:trPr>
          <w:trHeight w:val="255"/>
        </w:trPr>
        <w:tc>
          <w:tcPr>
            <w:tcW w:w="4077"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4FB40" w14:textId="77777777" w:rsidR="00457375" w:rsidRPr="0035066F" w:rsidRDefault="00457375" w:rsidP="003C7E27">
            <w:pPr>
              <w:spacing w:after="0" w:line="240" w:lineRule="auto"/>
              <w:ind w:right="-1" w:firstLineChars="200" w:firstLine="440"/>
              <w:rPr>
                <w:rFonts w:ascii="Calibri" w:eastAsia="Yu Mincho" w:hAnsi="Calibri" w:cs="Calibri"/>
                <w:color w:val="000000"/>
                <w:lang w:eastAsia="pt-BR"/>
              </w:rPr>
            </w:pPr>
            <w:r w:rsidRPr="0035066F">
              <w:rPr>
                <w:rFonts w:ascii="Calibri" w:eastAsia="Yu Mincho" w:hAnsi="Calibri" w:cs="Calibri"/>
                <w:color w:val="000000"/>
                <w:lang w:eastAsia="pt-BR"/>
              </w:rPr>
              <w:t>Outros tipos de cotistas não relacionados</w:t>
            </w:r>
          </w:p>
        </w:tc>
        <w:tc>
          <w:tcPr>
            <w:tcW w:w="923" w:type="pct"/>
            <w:tcBorders>
              <w:top w:val="nil"/>
              <w:left w:val="nil"/>
              <w:bottom w:val="single" w:sz="4" w:space="0" w:color="auto"/>
              <w:right w:val="single" w:sz="4" w:space="0" w:color="auto"/>
            </w:tcBorders>
            <w:shd w:val="clear" w:color="auto" w:fill="auto"/>
            <w:noWrap/>
            <w:vAlign w:val="bottom"/>
            <w:hideMark/>
          </w:tcPr>
          <w:p w14:paraId="0927B5AC" w14:textId="77777777" w:rsidR="00457375" w:rsidRPr="0035066F" w:rsidRDefault="00457375" w:rsidP="003C7E27">
            <w:pPr>
              <w:spacing w:after="0" w:line="240" w:lineRule="auto"/>
              <w:ind w:right="-1"/>
              <w:rPr>
                <w:rFonts w:ascii="Calibri" w:eastAsia="Yu Mincho" w:hAnsi="Calibri" w:cs="Calibri"/>
                <w:color w:val="000000"/>
                <w:lang w:eastAsia="pt-BR"/>
              </w:rPr>
            </w:pPr>
          </w:p>
        </w:tc>
      </w:tr>
    </w:tbl>
    <w:p w14:paraId="3A853A51" w14:textId="77777777" w:rsidR="00457375" w:rsidRDefault="00457375" w:rsidP="00457375">
      <w:pPr>
        <w:spacing w:after="0" w:line="120" w:lineRule="auto"/>
        <w:rPr>
          <w:rFonts w:eastAsiaTheme="minorEastAsia"/>
        </w:rPr>
      </w:pPr>
    </w:p>
    <w:tbl>
      <w:tblPr>
        <w:tblW w:w="5000" w:type="pct"/>
        <w:tblLayout w:type="fixed"/>
        <w:tblCellMar>
          <w:left w:w="70" w:type="dxa"/>
          <w:right w:w="70" w:type="dxa"/>
        </w:tblCellMar>
        <w:tblLook w:val="04A0" w:firstRow="1" w:lastRow="0" w:firstColumn="1" w:lastColumn="0" w:noHBand="0" w:noVBand="1"/>
      </w:tblPr>
      <w:tblGrid>
        <w:gridCol w:w="846"/>
        <w:gridCol w:w="7467"/>
        <w:gridCol w:w="1882"/>
      </w:tblGrid>
      <w:tr w:rsidR="00457375" w:rsidRPr="00B241C6" w14:paraId="0275C9E3" w14:textId="77777777" w:rsidTr="003C7E27">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AF857"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1</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39B5DCF3"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Ativo – R$</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10EA2AB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7A970FAE"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BCEB24C"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2</w:t>
            </w:r>
          </w:p>
        </w:tc>
        <w:tc>
          <w:tcPr>
            <w:tcW w:w="3662" w:type="pct"/>
            <w:tcBorders>
              <w:top w:val="nil"/>
              <w:left w:val="nil"/>
              <w:bottom w:val="single" w:sz="4" w:space="0" w:color="auto"/>
              <w:right w:val="single" w:sz="4" w:space="0" w:color="auto"/>
            </w:tcBorders>
            <w:shd w:val="clear" w:color="auto" w:fill="auto"/>
            <w:noWrap/>
            <w:vAlign w:val="bottom"/>
            <w:hideMark/>
          </w:tcPr>
          <w:p w14:paraId="439B0D97"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Patrimônio Líquido – R$</w:t>
            </w:r>
          </w:p>
        </w:tc>
        <w:tc>
          <w:tcPr>
            <w:tcW w:w="923" w:type="pct"/>
            <w:tcBorders>
              <w:top w:val="nil"/>
              <w:left w:val="nil"/>
              <w:bottom w:val="single" w:sz="4" w:space="0" w:color="auto"/>
              <w:right w:val="single" w:sz="4" w:space="0" w:color="auto"/>
            </w:tcBorders>
            <w:shd w:val="clear" w:color="auto" w:fill="auto"/>
            <w:noWrap/>
            <w:vAlign w:val="bottom"/>
            <w:hideMark/>
          </w:tcPr>
          <w:p w14:paraId="2E652DB4"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6510A2B"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14:paraId="10417662"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3</w:t>
            </w:r>
          </w:p>
        </w:tc>
        <w:tc>
          <w:tcPr>
            <w:tcW w:w="3662" w:type="pct"/>
            <w:tcBorders>
              <w:top w:val="nil"/>
              <w:left w:val="nil"/>
              <w:bottom w:val="single" w:sz="4" w:space="0" w:color="auto"/>
              <w:right w:val="single" w:sz="4" w:space="0" w:color="auto"/>
            </w:tcBorders>
            <w:shd w:val="clear" w:color="auto" w:fill="auto"/>
            <w:noWrap/>
            <w:vAlign w:val="bottom"/>
          </w:tcPr>
          <w:p w14:paraId="3A673DEE" w14:textId="77777777" w:rsidR="00457375" w:rsidRPr="00B241C6" w:rsidRDefault="00457375" w:rsidP="003C7E27">
            <w:pPr>
              <w:spacing w:after="0" w:line="240" w:lineRule="auto"/>
              <w:ind w:right="-1"/>
              <w:rPr>
                <w:rFonts w:ascii="Calibri" w:eastAsia="Yu Mincho" w:hAnsi="Calibri" w:cs="Calibri"/>
                <w:b/>
                <w:color w:val="000000"/>
                <w:lang w:eastAsia="pt-BR"/>
              </w:rPr>
            </w:pPr>
            <w:r>
              <w:rPr>
                <w:rFonts w:ascii="Calibri" w:eastAsia="Yu Mincho" w:hAnsi="Calibri" w:cs="Calibri"/>
                <w:b/>
                <w:color w:val="000000"/>
                <w:lang w:eastAsia="pt-BR"/>
              </w:rPr>
              <w:t>Nú</w:t>
            </w:r>
            <w:r w:rsidRPr="00B241C6">
              <w:rPr>
                <w:rFonts w:ascii="Calibri" w:eastAsia="Yu Mincho" w:hAnsi="Calibri" w:cs="Calibri"/>
                <w:b/>
                <w:color w:val="000000"/>
                <w:lang w:eastAsia="pt-BR"/>
              </w:rPr>
              <w:t>mero de Cotas Emitidas</w:t>
            </w:r>
          </w:p>
        </w:tc>
        <w:tc>
          <w:tcPr>
            <w:tcW w:w="923" w:type="pct"/>
            <w:tcBorders>
              <w:top w:val="nil"/>
              <w:left w:val="nil"/>
              <w:bottom w:val="single" w:sz="4" w:space="0" w:color="auto"/>
              <w:right w:val="single" w:sz="4" w:space="0" w:color="auto"/>
            </w:tcBorders>
            <w:shd w:val="clear" w:color="auto" w:fill="auto"/>
            <w:noWrap/>
            <w:vAlign w:val="bottom"/>
          </w:tcPr>
          <w:p w14:paraId="25BFB35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2C51CB6"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DFFF87A"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4</w:t>
            </w:r>
          </w:p>
        </w:tc>
        <w:tc>
          <w:tcPr>
            <w:tcW w:w="3662" w:type="pct"/>
            <w:tcBorders>
              <w:top w:val="nil"/>
              <w:left w:val="nil"/>
              <w:bottom w:val="single" w:sz="4" w:space="0" w:color="auto"/>
              <w:right w:val="single" w:sz="4" w:space="0" w:color="auto"/>
            </w:tcBorders>
            <w:shd w:val="clear" w:color="auto" w:fill="auto"/>
            <w:noWrap/>
            <w:vAlign w:val="bottom"/>
            <w:hideMark/>
          </w:tcPr>
          <w:p w14:paraId="4FEC2687"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Valor Patrimonial das Cotas – R$</w:t>
            </w:r>
          </w:p>
        </w:tc>
        <w:tc>
          <w:tcPr>
            <w:tcW w:w="923" w:type="pct"/>
            <w:tcBorders>
              <w:top w:val="nil"/>
              <w:left w:val="nil"/>
              <w:bottom w:val="single" w:sz="4" w:space="0" w:color="auto"/>
              <w:right w:val="single" w:sz="4" w:space="0" w:color="auto"/>
            </w:tcBorders>
            <w:shd w:val="clear" w:color="auto" w:fill="auto"/>
            <w:noWrap/>
            <w:vAlign w:val="bottom"/>
            <w:hideMark/>
          </w:tcPr>
          <w:p w14:paraId="318EEA73"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5393DA7" w14:textId="77777777" w:rsidTr="003C7E27">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5146"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5</w:t>
            </w:r>
          </w:p>
        </w:tc>
        <w:tc>
          <w:tcPr>
            <w:tcW w:w="3662" w:type="pct"/>
            <w:tcBorders>
              <w:top w:val="single" w:sz="4" w:space="0" w:color="auto"/>
              <w:left w:val="nil"/>
              <w:bottom w:val="single" w:sz="4" w:space="0" w:color="auto"/>
              <w:right w:val="single" w:sz="4" w:space="0" w:color="auto"/>
            </w:tcBorders>
            <w:shd w:val="clear" w:color="auto" w:fill="auto"/>
            <w:noWrap/>
            <w:vAlign w:val="bottom"/>
            <w:hideMark/>
          </w:tcPr>
          <w:p w14:paraId="5499DE7E"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Despesas com a taxa de administração em relação ao patrimônio líquido do mês (%)</w:t>
            </w:r>
          </w:p>
        </w:tc>
        <w:tc>
          <w:tcPr>
            <w:tcW w:w="923" w:type="pct"/>
            <w:tcBorders>
              <w:top w:val="single" w:sz="4" w:space="0" w:color="auto"/>
              <w:left w:val="nil"/>
              <w:bottom w:val="single" w:sz="4" w:space="0" w:color="auto"/>
              <w:right w:val="single" w:sz="4" w:space="0" w:color="auto"/>
            </w:tcBorders>
            <w:shd w:val="clear" w:color="auto" w:fill="auto"/>
            <w:noWrap/>
            <w:vAlign w:val="bottom"/>
            <w:hideMark/>
          </w:tcPr>
          <w:p w14:paraId="2DF96F8D"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0ED3BF3"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FFF09CF"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6</w:t>
            </w:r>
          </w:p>
        </w:tc>
        <w:tc>
          <w:tcPr>
            <w:tcW w:w="3662" w:type="pct"/>
            <w:tcBorders>
              <w:top w:val="nil"/>
              <w:left w:val="nil"/>
              <w:bottom w:val="single" w:sz="4" w:space="0" w:color="auto"/>
              <w:right w:val="single" w:sz="4" w:space="0" w:color="auto"/>
            </w:tcBorders>
            <w:shd w:val="clear" w:color="auto" w:fill="auto"/>
            <w:noWrap/>
            <w:vAlign w:val="bottom"/>
            <w:hideMark/>
          </w:tcPr>
          <w:p w14:paraId="46281162"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Despesas com o agente custodiante em relação ao patrimônio líquido do mês (%)</w:t>
            </w:r>
          </w:p>
        </w:tc>
        <w:tc>
          <w:tcPr>
            <w:tcW w:w="923" w:type="pct"/>
            <w:tcBorders>
              <w:top w:val="nil"/>
              <w:left w:val="nil"/>
              <w:bottom w:val="single" w:sz="4" w:space="0" w:color="auto"/>
              <w:right w:val="single" w:sz="4" w:space="0" w:color="auto"/>
            </w:tcBorders>
            <w:shd w:val="clear" w:color="auto" w:fill="auto"/>
            <w:noWrap/>
            <w:vAlign w:val="bottom"/>
            <w:hideMark/>
          </w:tcPr>
          <w:p w14:paraId="0A2FA583"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D09C6C4"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821BD4F"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lastRenderedPageBreak/>
              <w:t>7</w:t>
            </w:r>
          </w:p>
        </w:tc>
        <w:tc>
          <w:tcPr>
            <w:tcW w:w="3662" w:type="pct"/>
            <w:tcBorders>
              <w:top w:val="nil"/>
              <w:left w:val="nil"/>
              <w:bottom w:val="single" w:sz="4" w:space="0" w:color="auto"/>
              <w:right w:val="single" w:sz="4" w:space="0" w:color="auto"/>
            </w:tcBorders>
            <w:shd w:val="clear" w:color="auto" w:fill="auto"/>
            <w:noWrap/>
            <w:vAlign w:val="bottom"/>
            <w:hideMark/>
          </w:tcPr>
          <w:p w14:paraId="116845FC"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Rentabilidade Efetiva Mensal (7.1+7.2)</w:t>
            </w:r>
          </w:p>
        </w:tc>
        <w:tc>
          <w:tcPr>
            <w:tcW w:w="923" w:type="pct"/>
            <w:tcBorders>
              <w:top w:val="nil"/>
              <w:left w:val="nil"/>
              <w:bottom w:val="single" w:sz="4" w:space="0" w:color="auto"/>
              <w:right w:val="single" w:sz="4" w:space="0" w:color="auto"/>
            </w:tcBorders>
            <w:shd w:val="clear" w:color="auto" w:fill="auto"/>
            <w:noWrap/>
            <w:vAlign w:val="bottom"/>
            <w:hideMark/>
          </w:tcPr>
          <w:p w14:paraId="6851968E"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284DFE7C"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B1B0660"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7.1</w:t>
            </w:r>
          </w:p>
        </w:tc>
        <w:tc>
          <w:tcPr>
            <w:tcW w:w="3662" w:type="pct"/>
            <w:tcBorders>
              <w:top w:val="nil"/>
              <w:left w:val="nil"/>
              <w:bottom w:val="single" w:sz="4" w:space="0" w:color="auto"/>
              <w:right w:val="single" w:sz="4" w:space="0" w:color="auto"/>
            </w:tcBorders>
            <w:shd w:val="clear" w:color="auto" w:fill="auto"/>
            <w:noWrap/>
            <w:vAlign w:val="bottom"/>
            <w:hideMark/>
          </w:tcPr>
          <w:p w14:paraId="76D05B0D"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Rentabilidade Patrimonial do Mês de Referência</w:t>
            </w:r>
            <w:r w:rsidRPr="00B241C6">
              <w:rPr>
                <w:rFonts w:ascii="Calibri" w:eastAsia="Yu Mincho" w:hAnsi="Calibri" w:cs="Calibri"/>
                <w:color w:val="000000"/>
                <w:vertAlign w:val="superscript"/>
                <w:lang w:eastAsia="pt-BR"/>
              </w:rPr>
              <w:t>2</w:t>
            </w:r>
          </w:p>
        </w:tc>
        <w:tc>
          <w:tcPr>
            <w:tcW w:w="923" w:type="pct"/>
            <w:tcBorders>
              <w:top w:val="nil"/>
              <w:left w:val="nil"/>
              <w:bottom w:val="single" w:sz="4" w:space="0" w:color="auto"/>
              <w:right w:val="single" w:sz="4" w:space="0" w:color="auto"/>
            </w:tcBorders>
            <w:shd w:val="clear" w:color="auto" w:fill="auto"/>
            <w:noWrap/>
            <w:vAlign w:val="bottom"/>
            <w:hideMark/>
          </w:tcPr>
          <w:p w14:paraId="3241FB2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CA51B34"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328AEAA"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7.2</w:t>
            </w:r>
          </w:p>
        </w:tc>
        <w:tc>
          <w:tcPr>
            <w:tcW w:w="3662" w:type="pct"/>
            <w:tcBorders>
              <w:top w:val="nil"/>
              <w:left w:val="nil"/>
              <w:bottom w:val="single" w:sz="4" w:space="0" w:color="auto"/>
              <w:right w:val="single" w:sz="4" w:space="0" w:color="auto"/>
            </w:tcBorders>
            <w:shd w:val="clear" w:color="auto" w:fill="auto"/>
            <w:noWrap/>
            <w:vAlign w:val="bottom"/>
            <w:hideMark/>
          </w:tcPr>
          <w:p w14:paraId="5AC1A4DF" w14:textId="77777777" w:rsidR="00457375" w:rsidRPr="00B241C6" w:rsidRDefault="00457375" w:rsidP="003C7E27">
            <w:pPr>
              <w:spacing w:after="0" w:line="240" w:lineRule="auto"/>
              <w:ind w:right="-1"/>
              <w:rPr>
                <w:rFonts w:ascii="Calibri" w:eastAsia="Yu Mincho" w:hAnsi="Calibri" w:cs="Calibri"/>
                <w:color w:val="000000"/>
                <w:lang w:eastAsia="pt-BR"/>
              </w:rPr>
            </w:pPr>
            <w:r w:rsidRPr="00966D39">
              <w:rPr>
                <w:rFonts w:ascii="Calibri" w:eastAsia="Yu Mincho" w:hAnsi="Calibri" w:cs="Calibri"/>
                <w:b/>
                <w:i/>
                <w:color w:val="000000"/>
                <w:lang w:eastAsia="pt-BR"/>
              </w:rPr>
              <w:t>Dividend Yield</w:t>
            </w:r>
            <w:r w:rsidRPr="00B241C6">
              <w:rPr>
                <w:rFonts w:ascii="Calibri" w:eastAsia="Yu Mincho" w:hAnsi="Calibri" w:cs="Calibri"/>
                <w:color w:val="000000"/>
                <w:lang w:eastAsia="pt-BR"/>
              </w:rPr>
              <w:t xml:space="preserve"> do Mês de Referência</w:t>
            </w:r>
            <w:r w:rsidRPr="00B241C6">
              <w:rPr>
                <w:rFonts w:ascii="Calibri" w:eastAsia="Yu Mincho" w:hAnsi="Calibri" w:cs="Calibri"/>
                <w:color w:val="000000"/>
                <w:vertAlign w:val="superscript"/>
                <w:lang w:eastAsia="pt-BR"/>
              </w:rPr>
              <w:t>3</w:t>
            </w:r>
          </w:p>
        </w:tc>
        <w:tc>
          <w:tcPr>
            <w:tcW w:w="923" w:type="pct"/>
            <w:tcBorders>
              <w:top w:val="nil"/>
              <w:left w:val="nil"/>
              <w:bottom w:val="single" w:sz="4" w:space="0" w:color="auto"/>
              <w:right w:val="single" w:sz="4" w:space="0" w:color="auto"/>
            </w:tcBorders>
            <w:shd w:val="clear" w:color="auto" w:fill="auto"/>
            <w:noWrap/>
            <w:vAlign w:val="bottom"/>
            <w:hideMark/>
          </w:tcPr>
          <w:p w14:paraId="51DED52E"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32840069" w14:textId="77777777" w:rsidTr="003C7E27">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5117D66"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8</w:t>
            </w:r>
          </w:p>
        </w:tc>
        <w:tc>
          <w:tcPr>
            <w:tcW w:w="3662" w:type="pct"/>
            <w:tcBorders>
              <w:top w:val="nil"/>
              <w:left w:val="nil"/>
              <w:bottom w:val="single" w:sz="4" w:space="0" w:color="auto"/>
              <w:right w:val="single" w:sz="4" w:space="0" w:color="auto"/>
            </w:tcBorders>
            <w:shd w:val="clear" w:color="auto" w:fill="auto"/>
            <w:noWrap/>
            <w:vAlign w:val="bottom"/>
            <w:hideMark/>
          </w:tcPr>
          <w:p w14:paraId="5B046DEC" w14:textId="77777777" w:rsidR="00457375" w:rsidRPr="00B241C6" w:rsidRDefault="00457375" w:rsidP="003C7E27">
            <w:pPr>
              <w:spacing w:after="0" w:line="240" w:lineRule="auto"/>
              <w:ind w:right="-1"/>
              <w:rPr>
                <w:rFonts w:ascii="Calibri" w:eastAsia="Yu Mincho" w:hAnsi="Calibri" w:cs="Arial"/>
                <w:b/>
                <w:bCs/>
                <w:color w:val="000000"/>
                <w:lang w:eastAsia="pt-BR"/>
              </w:rPr>
            </w:pPr>
            <w:r w:rsidRPr="00B241C6">
              <w:rPr>
                <w:rFonts w:ascii="Calibri" w:eastAsia="Yu Mincho" w:hAnsi="Calibri" w:cs="Arial"/>
                <w:b/>
                <w:bCs/>
                <w:color w:val="000000"/>
                <w:lang w:eastAsia="pt-BR"/>
              </w:rPr>
              <w:t>Amortizações de cotas do Mês de Referência</w:t>
            </w:r>
            <w:bookmarkStart w:id="1506" w:name="_Int_3YmacdEF"/>
            <w:r w:rsidRPr="00B241C6">
              <w:rPr>
                <w:rFonts w:ascii="Calibri" w:eastAsia="Yu Mincho" w:hAnsi="Calibri" w:cs="Arial"/>
                <w:color w:val="000000"/>
                <w:vertAlign w:val="superscript"/>
                <w:lang w:eastAsia="pt-BR"/>
              </w:rPr>
              <w:t xml:space="preserve">4 </w:t>
            </w:r>
            <w:r w:rsidRPr="00B241C6">
              <w:rPr>
                <w:rFonts w:ascii="Calibri" w:eastAsia="Yu Mincho" w:hAnsi="Calibri" w:cs="Arial"/>
                <w:b/>
                <w:bCs/>
                <w:color w:val="000000"/>
                <w:lang w:eastAsia="pt-BR"/>
              </w:rPr>
              <w:t xml:space="preserve"> (</w:t>
            </w:r>
            <w:bookmarkEnd w:id="1506"/>
            <w:r w:rsidRPr="00B241C6">
              <w:rPr>
                <w:rFonts w:ascii="Calibri" w:eastAsia="Yu Mincho" w:hAnsi="Calibri" w:cs="Arial"/>
                <w:b/>
                <w:bCs/>
                <w:color w:val="000000"/>
                <w:lang w:eastAsia="pt-BR"/>
              </w:rPr>
              <w:t>%)</w:t>
            </w:r>
          </w:p>
        </w:tc>
        <w:tc>
          <w:tcPr>
            <w:tcW w:w="923" w:type="pct"/>
            <w:tcBorders>
              <w:top w:val="nil"/>
              <w:left w:val="nil"/>
              <w:bottom w:val="single" w:sz="4" w:space="0" w:color="auto"/>
              <w:right w:val="single" w:sz="4" w:space="0" w:color="auto"/>
            </w:tcBorders>
            <w:shd w:val="clear" w:color="auto" w:fill="auto"/>
            <w:noWrap/>
            <w:vAlign w:val="bottom"/>
            <w:hideMark/>
          </w:tcPr>
          <w:p w14:paraId="53F9D598" w14:textId="77777777" w:rsidR="00457375" w:rsidRPr="00B241C6" w:rsidRDefault="00457375" w:rsidP="003C7E27">
            <w:pPr>
              <w:spacing w:after="0" w:line="240" w:lineRule="auto"/>
              <w:ind w:right="-1"/>
              <w:rPr>
                <w:rFonts w:ascii="Calibri" w:eastAsia="Yu Mincho" w:hAnsi="Calibri" w:cs="Calibri"/>
                <w:color w:val="000000"/>
                <w:lang w:eastAsia="pt-BR"/>
              </w:rPr>
            </w:pPr>
          </w:p>
        </w:tc>
      </w:tr>
    </w:tbl>
    <w:p w14:paraId="0D108DF8" w14:textId="77777777" w:rsidR="00457375" w:rsidRDefault="00457375" w:rsidP="00457375">
      <w:pPr>
        <w:spacing w:after="0" w:line="120" w:lineRule="auto"/>
        <w:ind w:left="-284"/>
        <w:rPr>
          <w:rFonts w:eastAsiaTheme="minorEastAsia"/>
        </w:rPr>
      </w:pPr>
    </w:p>
    <w:tbl>
      <w:tblPr>
        <w:tblW w:w="5003" w:type="pct"/>
        <w:tblLayout w:type="fixed"/>
        <w:tblCellMar>
          <w:left w:w="70" w:type="dxa"/>
          <w:right w:w="70" w:type="dxa"/>
        </w:tblCellMar>
        <w:tblLook w:val="04A0" w:firstRow="1" w:lastRow="0" w:firstColumn="1" w:lastColumn="0" w:noHBand="0" w:noVBand="1"/>
      </w:tblPr>
      <w:tblGrid>
        <w:gridCol w:w="847"/>
        <w:gridCol w:w="7467"/>
        <w:gridCol w:w="45"/>
        <w:gridCol w:w="1836"/>
        <w:gridCol w:w="6"/>
      </w:tblGrid>
      <w:tr w:rsidR="00457375" w:rsidRPr="00B241C6" w14:paraId="1A7B83D4" w14:textId="77777777" w:rsidTr="004332AB">
        <w:trPr>
          <w:gridAfter w:val="1"/>
          <w:wAfter w:w="3" w:type="pct"/>
          <w:trHeight w:hRule="exact" w:val="397"/>
        </w:trPr>
        <w:tc>
          <w:tcPr>
            <w:tcW w:w="40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240E" w14:textId="77777777" w:rsidR="00457375" w:rsidRPr="00B241C6" w:rsidRDefault="00457375" w:rsidP="003C7E27">
            <w:pPr>
              <w:spacing w:after="0" w:line="240" w:lineRule="auto"/>
              <w:ind w:right="-1"/>
              <w:rPr>
                <w:rFonts w:ascii="Calibri" w:eastAsia="Yu Mincho" w:hAnsi="Calibri" w:cs="Calibri"/>
                <w:b/>
                <w:lang w:eastAsia="pt-BR"/>
              </w:rPr>
            </w:pPr>
            <w:r w:rsidRPr="00B241C6">
              <w:rPr>
                <w:rFonts w:ascii="Calibri" w:eastAsia="Yu Mincho" w:hAnsi="Calibri" w:cs="Calibri"/>
                <w:b/>
                <w:lang w:eastAsia="pt-BR"/>
              </w:rPr>
              <w:t>Informações do Ativo</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122B196F" w14:textId="77777777" w:rsidR="00457375" w:rsidRPr="00B241C6" w:rsidRDefault="00457375" w:rsidP="003C7E27">
            <w:pPr>
              <w:spacing w:after="0" w:line="240" w:lineRule="auto"/>
              <w:ind w:right="-1"/>
              <w:rPr>
                <w:rFonts w:ascii="Calibri" w:eastAsia="Yu Mincho" w:hAnsi="Calibri" w:cs="Calibri"/>
                <w:b/>
                <w:lang w:eastAsia="pt-BR"/>
              </w:rPr>
            </w:pPr>
            <w:r w:rsidRPr="00B241C6">
              <w:rPr>
                <w:rFonts w:ascii="Calibri" w:eastAsia="Yu Mincho" w:hAnsi="Calibri" w:cs="Calibri"/>
                <w:b/>
                <w:lang w:eastAsia="pt-BR"/>
              </w:rPr>
              <w:t>Valor (R$)</w:t>
            </w:r>
          </w:p>
        </w:tc>
      </w:tr>
      <w:tr w:rsidR="00457375" w:rsidRPr="00B241C6" w14:paraId="0507F84F" w14:textId="77777777" w:rsidTr="004332AB">
        <w:trPr>
          <w:gridAfter w:val="1"/>
          <w:wAfter w:w="3" w:type="pct"/>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F7D20F4"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9</w:t>
            </w:r>
          </w:p>
        </w:tc>
        <w:tc>
          <w:tcPr>
            <w:tcW w:w="3660" w:type="pct"/>
            <w:tcBorders>
              <w:top w:val="nil"/>
              <w:left w:val="nil"/>
              <w:bottom w:val="single" w:sz="4" w:space="0" w:color="auto"/>
              <w:right w:val="single" w:sz="4" w:space="0" w:color="auto"/>
            </w:tcBorders>
            <w:shd w:val="clear" w:color="auto" w:fill="auto"/>
            <w:vAlign w:val="bottom"/>
            <w:hideMark/>
          </w:tcPr>
          <w:p w14:paraId="4E65E850"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 xml:space="preserve">Total mantido para as Necessidades de Liquidez (art. </w:t>
            </w:r>
            <w:r w:rsidRPr="00B241C6">
              <w:rPr>
                <w:rFonts w:ascii="Calibri" w:eastAsia="Yu Mincho" w:hAnsi="Calibri" w:cs="Calibri"/>
                <w:b/>
                <w:bCs/>
                <w:color w:val="000000"/>
                <w:lang w:eastAsia="pt-BR"/>
              </w:rPr>
              <w:t>41</w:t>
            </w:r>
            <w:r w:rsidRPr="00B241C6">
              <w:rPr>
                <w:rFonts w:ascii="Calibri" w:eastAsia="Yu Mincho" w:hAnsi="Calibri" w:cs="Calibri"/>
                <w:b/>
                <w:color w:val="000000"/>
                <w:lang w:eastAsia="pt-BR"/>
              </w:rPr>
              <w:t xml:space="preserve">, </w:t>
            </w:r>
            <w:r>
              <w:rPr>
                <w:rFonts w:ascii="Calibri" w:eastAsia="Yu Mincho" w:hAnsi="Calibri" w:cs="Calibri"/>
                <w:b/>
                <w:color w:val="000000"/>
                <w:lang w:eastAsia="pt-BR"/>
              </w:rPr>
              <w:t>parágrafo</w:t>
            </w:r>
            <w:r w:rsidRPr="00B241C6">
              <w:rPr>
                <w:rFonts w:ascii="Calibri" w:eastAsia="Yu Mincho" w:hAnsi="Calibri" w:cs="Calibri"/>
                <w:b/>
                <w:color w:val="000000"/>
                <w:lang w:eastAsia="pt-BR"/>
              </w:rPr>
              <w:t xml:space="preserve"> único, </w:t>
            </w:r>
            <w:r w:rsidRPr="00B241C6">
              <w:rPr>
                <w:rFonts w:ascii="Calibri" w:eastAsia="Yu Mincho" w:hAnsi="Calibri" w:cs="Calibri"/>
                <w:b/>
                <w:bCs/>
                <w:color w:val="000000"/>
                <w:lang w:eastAsia="pt-BR"/>
              </w:rPr>
              <w:t>Anexo Normativo III</w:t>
            </w:r>
            <w:r w:rsidRPr="00B241C6">
              <w:rPr>
                <w:rFonts w:ascii="Calibri" w:eastAsia="Yu Mincho" w:hAnsi="Calibri" w:cs="Calibri"/>
                <w:b/>
                <w:color w:val="000000"/>
                <w:lang w:eastAsia="pt-BR"/>
              </w:rPr>
              <w:t>)</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368E1D54"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753EB7F9"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DCDAB8B"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9.1</w:t>
            </w:r>
          </w:p>
        </w:tc>
        <w:tc>
          <w:tcPr>
            <w:tcW w:w="3660" w:type="pct"/>
            <w:tcBorders>
              <w:top w:val="nil"/>
              <w:left w:val="nil"/>
              <w:bottom w:val="single" w:sz="4" w:space="0" w:color="auto"/>
              <w:right w:val="single" w:sz="4" w:space="0" w:color="auto"/>
            </w:tcBorders>
            <w:shd w:val="clear" w:color="auto" w:fill="auto"/>
            <w:noWrap/>
            <w:vAlign w:val="bottom"/>
            <w:hideMark/>
          </w:tcPr>
          <w:p w14:paraId="763AB9DA"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Disponibilidades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45F8CF8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CD06703"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224B94E"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9.2</w:t>
            </w:r>
          </w:p>
        </w:tc>
        <w:tc>
          <w:tcPr>
            <w:tcW w:w="3660" w:type="pct"/>
            <w:tcBorders>
              <w:top w:val="nil"/>
              <w:left w:val="nil"/>
              <w:bottom w:val="single" w:sz="4" w:space="0" w:color="auto"/>
              <w:right w:val="single" w:sz="4" w:space="0" w:color="auto"/>
            </w:tcBorders>
            <w:shd w:val="clear" w:color="auto" w:fill="auto"/>
            <w:noWrap/>
            <w:vAlign w:val="bottom"/>
            <w:hideMark/>
          </w:tcPr>
          <w:p w14:paraId="55E5A3E6"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Títulos Públicos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65CDA218"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A5968B3"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020C8DF9"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9.3</w:t>
            </w:r>
          </w:p>
        </w:tc>
        <w:tc>
          <w:tcPr>
            <w:tcW w:w="3660" w:type="pct"/>
            <w:tcBorders>
              <w:top w:val="nil"/>
              <w:left w:val="nil"/>
              <w:bottom w:val="single" w:sz="4" w:space="0" w:color="auto"/>
              <w:right w:val="single" w:sz="4" w:space="0" w:color="auto"/>
            </w:tcBorders>
            <w:shd w:val="clear" w:color="auto" w:fill="auto"/>
            <w:noWrap/>
            <w:vAlign w:val="bottom"/>
            <w:hideMark/>
          </w:tcPr>
          <w:p w14:paraId="36AF3F8E"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Títulos Privados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7C2609F8"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AA2077A"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331293BD"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9.4</w:t>
            </w:r>
          </w:p>
        </w:tc>
        <w:tc>
          <w:tcPr>
            <w:tcW w:w="3660" w:type="pct"/>
            <w:tcBorders>
              <w:top w:val="nil"/>
              <w:left w:val="nil"/>
              <w:bottom w:val="single" w:sz="4" w:space="0" w:color="auto"/>
              <w:right w:val="single" w:sz="4" w:space="0" w:color="auto"/>
            </w:tcBorders>
            <w:shd w:val="clear" w:color="auto" w:fill="auto"/>
            <w:noWrap/>
            <w:vAlign w:val="bottom"/>
            <w:hideMark/>
          </w:tcPr>
          <w:p w14:paraId="6ABA8509"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Fundos de Renda Fixa</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108EA023"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6BE91F0" w14:textId="77777777" w:rsidTr="004332AB">
        <w:trPr>
          <w:gridAfter w:val="1"/>
          <w:wAfter w:w="3" w:type="pct"/>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4505A5F7"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10</w:t>
            </w:r>
          </w:p>
        </w:tc>
        <w:tc>
          <w:tcPr>
            <w:tcW w:w="3660" w:type="pct"/>
            <w:tcBorders>
              <w:top w:val="nil"/>
              <w:left w:val="nil"/>
              <w:bottom w:val="single" w:sz="4" w:space="0" w:color="auto"/>
              <w:right w:val="single" w:sz="4" w:space="0" w:color="auto"/>
            </w:tcBorders>
            <w:shd w:val="clear" w:color="auto" w:fill="auto"/>
            <w:noWrap/>
            <w:vAlign w:val="bottom"/>
            <w:hideMark/>
          </w:tcPr>
          <w:p w14:paraId="04BCDBFC" w14:textId="77777777" w:rsidR="00457375" w:rsidRPr="00B241C6" w:rsidRDefault="00457375" w:rsidP="003C7E27">
            <w:pPr>
              <w:spacing w:after="0" w:line="240" w:lineRule="auto"/>
              <w:ind w:right="-1" w:firstLineChars="100" w:firstLine="216"/>
              <w:rPr>
                <w:rFonts w:ascii="Calibri" w:eastAsia="Yu Mincho" w:hAnsi="Calibri" w:cs="Calibri"/>
                <w:b/>
                <w:color w:val="000000"/>
                <w:lang w:eastAsia="pt-BR"/>
              </w:rPr>
            </w:pPr>
            <w:r w:rsidRPr="00B241C6">
              <w:rPr>
                <w:rFonts w:ascii="Calibri" w:eastAsia="Yu Mincho" w:hAnsi="Calibri" w:cs="Calibri"/>
                <w:b/>
                <w:color w:val="000000"/>
                <w:lang w:eastAsia="pt-BR"/>
              </w:rPr>
              <w:t>Total investido</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5C50118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3763027"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7F168BF"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10.1</w:t>
            </w:r>
          </w:p>
        </w:tc>
        <w:tc>
          <w:tcPr>
            <w:tcW w:w="3660" w:type="pct"/>
            <w:tcBorders>
              <w:top w:val="nil"/>
              <w:left w:val="nil"/>
              <w:bottom w:val="single" w:sz="4" w:space="0" w:color="auto"/>
              <w:right w:val="single" w:sz="4" w:space="0" w:color="auto"/>
            </w:tcBorders>
            <w:shd w:val="clear" w:color="auto" w:fill="auto"/>
            <w:noWrap/>
            <w:vAlign w:val="bottom"/>
            <w:hideMark/>
          </w:tcPr>
          <w:p w14:paraId="634C48F1" w14:textId="77777777" w:rsidR="00457375" w:rsidRPr="00B241C6" w:rsidRDefault="00457375" w:rsidP="003C7E27">
            <w:pPr>
              <w:spacing w:after="0" w:line="240" w:lineRule="auto"/>
              <w:ind w:right="-1" w:firstLineChars="200" w:firstLine="432"/>
              <w:rPr>
                <w:rFonts w:ascii="Calibri" w:eastAsia="Yu Mincho" w:hAnsi="Calibri" w:cs="Calibri"/>
                <w:b/>
                <w:color w:val="000000"/>
                <w:lang w:eastAsia="pt-BR"/>
              </w:rPr>
            </w:pPr>
            <w:r w:rsidRPr="00B241C6">
              <w:rPr>
                <w:rFonts w:ascii="Calibri" w:eastAsia="Yu Mincho" w:hAnsi="Calibri" w:cs="Calibri"/>
                <w:b/>
                <w:color w:val="000000"/>
                <w:lang w:eastAsia="pt-BR"/>
              </w:rPr>
              <w:t>Direitos reais sobre bens imóveis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0097326D"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BD52017"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2822169F"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10.1.1</w:t>
            </w:r>
          </w:p>
        </w:tc>
        <w:tc>
          <w:tcPr>
            <w:tcW w:w="3660" w:type="pct"/>
            <w:tcBorders>
              <w:top w:val="nil"/>
              <w:left w:val="nil"/>
              <w:bottom w:val="single" w:sz="4" w:space="0" w:color="auto"/>
              <w:right w:val="single" w:sz="4" w:space="0" w:color="auto"/>
            </w:tcBorders>
            <w:shd w:val="clear" w:color="auto" w:fill="auto"/>
            <w:noWrap/>
            <w:vAlign w:val="bottom"/>
            <w:hideMark/>
          </w:tcPr>
          <w:p w14:paraId="3ECA9785"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Terrenos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7D23A74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1A01119"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1A3CEF58"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10.1.2</w:t>
            </w:r>
          </w:p>
        </w:tc>
        <w:tc>
          <w:tcPr>
            <w:tcW w:w="3660" w:type="pct"/>
            <w:tcBorders>
              <w:top w:val="nil"/>
              <w:left w:val="nil"/>
              <w:bottom w:val="single" w:sz="4" w:space="0" w:color="auto"/>
              <w:right w:val="single" w:sz="4" w:space="0" w:color="auto"/>
            </w:tcBorders>
            <w:shd w:val="clear" w:color="auto" w:fill="auto"/>
            <w:noWrap/>
            <w:vAlign w:val="bottom"/>
            <w:hideMark/>
          </w:tcPr>
          <w:p w14:paraId="2EB6C668"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Imóveis para Renda Acabados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34E6498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3B20065D"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4BC9703"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10.1.3</w:t>
            </w:r>
          </w:p>
        </w:tc>
        <w:tc>
          <w:tcPr>
            <w:tcW w:w="3660" w:type="pct"/>
            <w:tcBorders>
              <w:top w:val="nil"/>
              <w:left w:val="nil"/>
              <w:bottom w:val="single" w:sz="4" w:space="0" w:color="auto"/>
              <w:right w:val="single" w:sz="4" w:space="0" w:color="auto"/>
            </w:tcBorders>
            <w:shd w:val="clear" w:color="auto" w:fill="auto"/>
            <w:noWrap/>
            <w:vAlign w:val="bottom"/>
            <w:hideMark/>
          </w:tcPr>
          <w:p w14:paraId="01FA515F"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Imóveis para Renda em Construção</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7B104B27"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9802205"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6A0FD9E"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10.1.4</w:t>
            </w:r>
          </w:p>
        </w:tc>
        <w:tc>
          <w:tcPr>
            <w:tcW w:w="3660" w:type="pct"/>
            <w:tcBorders>
              <w:top w:val="nil"/>
              <w:left w:val="nil"/>
              <w:bottom w:val="single" w:sz="4" w:space="0" w:color="auto"/>
              <w:right w:val="single" w:sz="4" w:space="0" w:color="auto"/>
            </w:tcBorders>
            <w:shd w:val="clear" w:color="auto" w:fill="auto"/>
            <w:noWrap/>
            <w:vAlign w:val="bottom"/>
            <w:hideMark/>
          </w:tcPr>
          <w:p w14:paraId="792E7C73"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Imóveis para Venda Acabados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076930C1"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D189E9F" w14:textId="77777777" w:rsidTr="004332AB">
        <w:trPr>
          <w:gridAfter w:val="1"/>
          <w:wAfter w:w="3" w:type="pct"/>
          <w:trHeight w:val="301"/>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73A605B6"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10.1.5</w:t>
            </w:r>
          </w:p>
        </w:tc>
        <w:tc>
          <w:tcPr>
            <w:tcW w:w="3660" w:type="pct"/>
            <w:tcBorders>
              <w:top w:val="nil"/>
              <w:left w:val="nil"/>
              <w:bottom w:val="single" w:sz="4" w:space="0" w:color="auto"/>
              <w:right w:val="single" w:sz="4" w:space="0" w:color="auto"/>
            </w:tcBorders>
            <w:shd w:val="clear" w:color="auto" w:fill="auto"/>
            <w:noWrap/>
            <w:vAlign w:val="bottom"/>
            <w:hideMark/>
          </w:tcPr>
          <w:p w14:paraId="43360689"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Imóveis para Venda em Construção</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0AA59382"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3AE60F90"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FCAD"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10.1.6</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3CAF3431"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Outros direitos reais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872103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3939C92"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FD683"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10.2</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5A053934"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Ações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1570630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1E6C386"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A5A24"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10.3</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5990ED65"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Debêntures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7F01F1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4013804"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CEA9"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10.4</w:t>
            </w:r>
          </w:p>
        </w:tc>
        <w:tc>
          <w:tcPr>
            <w:tcW w:w="3660" w:type="pct"/>
            <w:tcBorders>
              <w:top w:val="single" w:sz="4" w:space="0" w:color="auto"/>
              <w:left w:val="nil"/>
              <w:bottom w:val="single" w:sz="4" w:space="0" w:color="auto"/>
              <w:right w:val="single" w:sz="4" w:space="0" w:color="auto"/>
            </w:tcBorders>
            <w:shd w:val="clear" w:color="auto" w:fill="auto"/>
            <w:vAlign w:val="bottom"/>
            <w:hideMark/>
          </w:tcPr>
          <w:p w14:paraId="73F00135"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Bônus de Subscrição, seus cupons, direitos, recibos de subscrição e certificados de desdobramentos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596B49F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A80AC4F"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E962B"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10.5</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3963C99C"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Certificados de Depósitos de Valores Mobiliários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443A4548"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2B91515"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FB50"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10.6</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27DBF0C6"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 xml:space="preserve">Fundo de </w:t>
            </w:r>
            <w:r>
              <w:rPr>
                <w:rFonts w:ascii="Calibri" w:eastAsia="Yu Mincho" w:hAnsi="Calibri" w:cs="Calibri"/>
                <w:color w:val="000000"/>
                <w:lang w:eastAsia="pt-BR"/>
              </w:rPr>
              <w:t xml:space="preserve">Investimento em </w:t>
            </w:r>
            <w:r w:rsidRPr="00B241C6">
              <w:rPr>
                <w:rFonts w:ascii="Calibri" w:eastAsia="Yu Mincho" w:hAnsi="Calibri" w:cs="Calibri"/>
                <w:color w:val="000000"/>
                <w:lang w:eastAsia="pt-BR"/>
              </w:rPr>
              <w:t>Ações (FIA)</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3BB0A50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8B5188B"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77EF"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10.7</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3C87D33C"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Fundo de Investimento em Participações (FIP)</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41BF733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5B62C21"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B727A"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10.8</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48E36DF7"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Fundo de Investimento Imobiliário (FII)</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hideMark/>
          </w:tcPr>
          <w:p w14:paraId="57FE66A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78F8A00"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BEB0"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10.9</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31EB3177"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Fundo de Investimento em Direitos Creditórios (FIDC)</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6D57FAB"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185952E"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1BC3"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10.10</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1A6BC1B0"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Outras cotas de Fundos de Investimento</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32F2391B"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382F04A"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8CD6B"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10.11</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68AD5530"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Notas Promissórias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5CAA120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8C58FA9"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48F483"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10.12</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76D9372E"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Notas Comerciais</w:t>
            </w:r>
          </w:p>
        </w:tc>
        <w:tc>
          <w:tcPr>
            <w:tcW w:w="922" w:type="pct"/>
            <w:gridSpan w:val="2"/>
            <w:tcBorders>
              <w:top w:val="nil"/>
              <w:left w:val="nil"/>
              <w:bottom w:val="single" w:sz="4" w:space="0" w:color="auto"/>
              <w:right w:val="single" w:sz="4" w:space="0" w:color="auto"/>
            </w:tcBorders>
            <w:shd w:val="clear" w:color="auto" w:fill="auto"/>
            <w:noWrap/>
            <w:vAlign w:val="bottom"/>
          </w:tcPr>
          <w:p w14:paraId="0626C7A4"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C0C2231"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4F8E5"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10.13</w:t>
            </w:r>
          </w:p>
        </w:tc>
        <w:tc>
          <w:tcPr>
            <w:tcW w:w="3660" w:type="pct"/>
            <w:tcBorders>
              <w:top w:val="single" w:sz="4" w:space="0" w:color="auto"/>
              <w:left w:val="nil"/>
              <w:bottom w:val="single" w:sz="4" w:space="0" w:color="auto"/>
              <w:right w:val="single" w:sz="4" w:space="0" w:color="auto"/>
            </w:tcBorders>
            <w:shd w:val="clear" w:color="auto" w:fill="auto"/>
            <w:vAlign w:val="bottom"/>
            <w:hideMark/>
          </w:tcPr>
          <w:p w14:paraId="1B6D535E"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Ações de Sociedades cujo único propósito se enquadra entre as atividades permitidas aos FII</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4C23FF7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rsidDel="00DF0428" w14:paraId="6B2EF89A"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8880DA" w14:textId="77777777" w:rsidR="00457375"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10.14</w:t>
            </w:r>
          </w:p>
        </w:tc>
        <w:tc>
          <w:tcPr>
            <w:tcW w:w="3660" w:type="pct"/>
            <w:tcBorders>
              <w:top w:val="single" w:sz="4" w:space="0" w:color="auto"/>
              <w:left w:val="nil"/>
              <w:bottom w:val="single" w:sz="4" w:space="0" w:color="auto"/>
              <w:right w:val="single" w:sz="4" w:space="0" w:color="auto"/>
            </w:tcBorders>
            <w:shd w:val="clear" w:color="auto" w:fill="auto"/>
            <w:vAlign w:val="bottom"/>
          </w:tcPr>
          <w:p w14:paraId="47C3F6DF" w14:textId="77777777" w:rsidR="00457375"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Cotas de Sociedades cujo único propósito se enquadre entre as atividades permitidas aos FII</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43E2B462" w14:textId="77777777" w:rsidR="00457375" w:rsidRDefault="00457375" w:rsidP="003C7E27">
            <w:pPr>
              <w:spacing w:after="0" w:line="240" w:lineRule="auto"/>
              <w:ind w:right="-1"/>
              <w:rPr>
                <w:rFonts w:ascii="Calibri" w:eastAsia="Yu Mincho" w:hAnsi="Calibri" w:cs="Calibri"/>
                <w:color w:val="000000"/>
                <w:lang w:eastAsia="pt-BR"/>
              </w:rPr>
            </w:pPr>
          </w:p>
        </w:tc>
      </w:tr>
      <w:tr w:rsidR="00457375" w:rsidRPr="00B241C6" w14:paraId="4BB062D3"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42675"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10.15</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2E440962"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Certificados de Potencial Adicional de Construção (CEPAC)</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0328B4E5"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1C5ECF5"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03E2"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10.16</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55BDCDAA"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Certificado de Recebíveis Imobiliários (CRI)</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6D87E76B"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265A0AF9"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3ADC"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10.17</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7C7EEB2D"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Letras Hipotecárias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C1114DC"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60862C3"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BE22"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lastRenderedPageBreak/>
              <w:t>10.18</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788209B8"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Letras de Crédito Imobiliário (LCI)</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FBBE33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0898B92D"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AC02"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10.19</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12F0820D" w14:textId="77777777" w:rsidR="00457375" w:rsidRPr="00B241C6" w:rsidRDefault="00457375" w:rsidP="003C7E27">
            <w:pPr>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Letra Imobiliária Garantida (LIG)</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FB9DE7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18FF55F" w14:textId="77777777" w:rsidTr="004332AB">
        <w:trPr>
          <w:gridAfter w:val="1"/>
          <w:wAfter w:w="3" w:type="pct"/>
          <w:trHeight w:val="301"/>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B86E"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10.20</w:t>
            </w:r>
          </w:p>
        </w:tc>
        <w:tc>
          <w:tcPr>
            <w:tcW w:w="3660" w:type="pct"/>
            <w:tcBorders>
              <w:top w:val="single" w:sz="4" w:space="0" w:color="auto"/>
              <w:left w:val="nil"/>
              <w:bottom w:val="single" w:sz="4" w:space="0" w:color="auto"/>
              <w:right w:val="single" w:sz="4" w:space="0" w:color="auto"/>
            </w:tcBorders>
            <w:shd w:val="clear" w:color="auto" w:fill="auto"/>
            <w:noWrap/>
            <w:vAlign w:val="bottom"/>
            <w:hideMark/>
          </w:tcPr>
          <w:p w14:paraId="5E243FEE" w14:textId="77777777" w:rsidR="00457375" w:rsidRPr="00B241C6" w:rsidRDefault="00457375" w:rsidP="003C7E27">
            <w:pPr>
              <w:tabs>
                <w:tab w:val="left" w:pos="3899"/>
              </w:tabs>
              <w:spacing w:after="0" w:line="240" w:lineRule="auto"/>
              <w:ind w:right="-1" w:firstLineChars="200" w:firstLine="440"/>
              <w:rPr>
                <w:rFonts w:ascii="Calibri" w:eastAsia="Yu Mincho" w:hAnsi="Calibri" w:cs="Calibri"/>
                <w:color w:val="000000"/>
                <w:lang w:eastAsia="pt-BR"/>
              </w:rPr>
            </w:pPr>
            <w:r w:rsidRPr="00B241C6">
              <w:rPr>
                <w:rFonts w:ascii="Calibri" w:eastAsia="Yu Mincho" w:hAnsi="Calibri" w:cs="Calibri"/>
                <w:color w:val="000000"/>
                <w:lang w:eastAsia="pt-BR"/>
              </w:rPr>
              <w:t>Outros Valores Mobiliários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2FB583D9"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3B39684" w14:textId="77777777" w:rsidTr="004332AB">
        <w:trPr>
          <w:gridAfter w:val="1"/>
          <w:wAfter w:w="3" w:type="pct"/>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6AC519AC" w14:textId="77777777" w:rsidR="00457375" w:rsidRPr="00B241C6" w:rsidRDefault="00457375" w:rsidP="003C7E27">
            <w:pPr>
              <w:spacing w:after="0" w:line="240" w:lineRule="auto"/>
              <w:ind w:right="-1"/>
              <w:rPr>
                <w:rFonts w:ascii="Calibri" w:eastAsia="Yu Mincho" w:hAnsi="Calibri" w:cs="Calibri"/>
                <w:b/>
                <w:color w:val="000000"/>
                <w:lang w:eastAsia="pt-BR"/>
              </w:rPr>
            </w:pPr>
            <w:r w:rsidRPr="00B241C6">
              <w:rPr>
                <w:rFonts w:ascii="Calibri" w:eastAsia="Yu Mincho" w:hAnsi="Calibri" w:cs="Calibri"/>
                <w:b/>
                <w:color w:val="000000"/>
                <w:lang w:eastAsia="pt-BR"/>
              </w:rPr>
              <w:t>11</w:t>
            </w:r>
          </w:p>
        </w:tc>
        <w:tc>
          <w:tcPr>
            <w:tcW w:w="3660" w:type="pct"/>
            <w:tcBorders>
              <w:top w:val="nil"/>
              <w:left w:val="nil"/>
              <w:bottom w:val="single" w:sz="4" w:space="0" w:color="auto"/>
              <w:right w:val="single" w:sz="4" w:space="0" w:color="auto"/>
            </w:tcBorders>
            <w:shd w:val="clear" w:color="auto" w:fill="auto"/>
            <w:noWrap/>
            <w:vAlign w:val="bottom"/>
            <w:hideMark/>
          </w:tcPr>
          <w:p w14:paraId="2676C55C" w14:textId="77777777" w:rsidR="00457375" w:rsidRPr="00B241C6" w:rsidRDefault="00457375" w:rsidP="003C7E27">
            <w:pPr>
              <w:spacing w:after="0" w:line="240" w:lineRule="auto"/>
              <w:ind w:right="-1" w:firstLineChars="200" w:firstLine="432"/>
              <w:rPr>
                <w:rFonts w:ascii="Calibri" w:eastAsia="Yu Mincho" w:hAnsi="Calibri" w:cs="Calibri"/>
                <w:b/>
                <w:color w:val="000000"/>
                <w:lang w:eastAsia="pt-BR"/>
              </w:rPr>
            </w:pPr>
            <w:r w:rsidRPr="00B241C6">
              <w:rPr>
                <w:rFonts w:ascii="Calibri" w:eastAsia="Yu Mincho" w:hAnsi="Calibri" w:cs="Calibri"/>
                <w:b/>
                <w:color w:val="000000"/>
                <w:lang w:eastAsia="pt-BR"/>
              </w:rPr>
              <w:t>Valores a Receber</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357E2739"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49C1162"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BA21381"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11.1</w:t>
            </w:r>
          </w:p>
        </w:tc>
        <w:tc>
          <w:tcPr>
            <w:tcW w:w="3660" w:type="pct"/>
            <w:tcBorders>
              <w:top w:val="nil"/>
              <w:left w:val="nil"/>
              <w:bottom w:val="single" w:sz="4" w:space="0" w:color="auto"/>
              <w:right w:val="single" w:sz="4" w:space="0" w:color="auto"/>
            </w:tcBorders>
            <w:shd w:val="clear" w:color="auto" w:fill="auto"/>
            <w:noWrap/>
            <w:vAlign w:val="bottom"/>
            <w:hideMark/>
          </w:tcPr>
          <w:p w14:paraId="73D315A0"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Contas a Receber por Aluguéis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03F18C32"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3F227E30"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14:paraId="5253D7C8"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11.2</w:t>
            </w:r>
          </w:p>
        </w:tc>
        <w:tc>
          <w:tcPr>
            <w:tcW w:w="3660" w:type="pct"/>
            <w:tcBorders>
              <w:top w:val="nil"/>
              <w:left w:val="nil"/>
              <w:bottom w:val="single" w:sz="4" w:space="0" w:color="auto"/>
              <w:right w:val="single" w:sz="4" w:space="0" w:color="auto"/>
            </w:tcBorders>
            <w:shd w:val="clear" w:color="auto" w:fill="auto"/>
            <w:noWrap/>
            <w:vAlign w:val="bottom"/>
            <w:hideMark/>
          </w:tcPr>
          <w:p w14:paraId="758A052B"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Contas a Receber por Venda de Imóveis</w:t>
            </w:r>
          </w:p>
        </w:tc>
        <w:tc>
          <w:tcPr>
            <w:tcW w:w="922" w:type="pct"/>
            <w:gridSpan w:val="2"/>
            <w:tcBorders>
              <w:top w:val="nil"/>
              <w:left w:val="nil"/>
              <w:bottom w:val="single" w:sz="4" w:space="0" w:color="auto"/>
              <w:right w:val="single" w:sz="4" w:space="0" w:color="auto"/>
            </w:tcBorders>
            <w:shd w:val="clear" w:color="auto" w:fill="auto"/>
            <w:noWrap/>
            <w:vAlign w:val="bottom"/>
            <w:hideMark/>
          </w:tcPr>
          <w:p w14:paraId="4AF549F1"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91C4932" w14:textId="77777777" w:rsidTr="004332AB">
        <w:trPr>
          <w:gridAfter w:val="1"/>
          <w:wAfter w:w="3" w:type="pct"/>
          <w:trHeight w:val="300"/>
        </w:trPr>
        <w:tc>
          <w:tcPr>
            <w:tcW w:w="415" w:type="pct"/>
            <w:tcBorders>
              <w:top w:val="nil"/>
              <w:left w:val="single" w:sz="4" w:space="0" w:color="auto"/>
              <w:bottom w:val="single" w:sz="4" w:space="0" w:color="auto"/>
              <w:right w:val="single" w:sz="4" w:space="0" w:color="auto"/>
            </w:tcBorders>
            <w:shd w:val="clear" w:color="auto" w:fill="auto"/>
            <w:noWrap/>
            <w:vAlign w:val="bottom"/>
          </w:tcPr>
          <w:p w14:paraId="294FD6E6"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11.3</w:t>
            </w:r>
          </w:p>
        </w:tc>
        <w:tc>
          <w:tcPr>
            <w:tcW w:w="3660" w:type="pct"/>
            <w:tcBorders>
              <w:top w:val="nil"/>
              <w:left w:val="nil"/>
              <w:bottom w:val="single" w:sz="4" w:space="0" w:color="auto"/>
              <w:right w:val="single" w:sz="4" w:space="0" w:color="auto"/>
            </w:tcBorders>
            <w:shd w:val="clear" w:color="auto" w:fill="auto"/>
            <w:noWrap/>
            <w:vAlign w:val="bottom"/>
          </w:tcPr>
          <w:p w14:paraId="76F3F8C3" w14:textId="77777777" w:rsidR="00457375" w:rsidRPr="00B241C6" w:rsidRDefault="00457375" w:rsidP="003C7E27">
            <w:pPr>
              <w:spacing w:after="0" w:line="240" w:lineRule="auto"/>
              <w:ind w:right="-1" w:firstLineChars="300" w:firstLine="660"/>
              <w:rPr>
                <w:rFonts w:ascii="Calibri" w:eastAsia="Yu Mincho" w:hAnsi="Calibri" w:cs="Calibri"/>
                <w:color w:val="000000"/>
                <w:lang w:eastAsia="pt-BR"/>
              </w:rPr>
            </w:pPr>
            <w:r w:rsidRPr="00B241C6">
              <w:rPr>
                <w:rFonts w:ascii="Calibri" w:eastAsia="Yu Mincho" w:hAnsi="Calibri" w:cs="Calibri"/>
                <w:color w:val="000000"/>
                <w:lang w:eastAsia="pt-BR"/>
              </w:rPr>
              <w:t>Outros Valores a Receber</w:t>
            </w:r>
          </w:p>
        </w:tc>
        <w:tc>
          <w:tcPr>
            <w:tcW w:w="922" w:type="pct"/>
            <w:gridSpan w:val="2"/>
            <w:tcBorders>
              <w:top w:val="nil"/>
              <w:left w:val="nil"/>
              <w:bottom w:val="single" w:sz="4" w:space="0" w:color="auto"/>
              <w:right w:val="single" w:sz="4" w:space="0" w:color="auto"/>
            </w:tcBorders>
            <w:shd w:val="clear" w:color="auto" w:fill="auto"/>
            <w:noWrap/>
            <w:vAlign w:val="bottom"/>
          </w:tcPr>
          <w:p w14:paraId="089B4E6C"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B9F73C3" w14:textId="77777777" w:rsidTr="004332AB">
        <w:trPr>
          <w:gridAfter w:val="1"/>
          <w:wAfter w:w="3" w:type="pct"/>
          <w:trHeight w:hRule="exact" w:val="397"/>
        </w:trPr>
        <w:tc>
          <w:tcPr>
            <w:tcW w:w="40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30D356" w14:textId="77777777" w:rsidR="00457375" w:rsidRPr="00B241C6" w:rsidRDefault="00457375" w:rsidP="003C7E27">
            <w:pPr>
              <w:spacing w:after="0" w:line="240" w:lineRule="auto"/>
              <w:ind w:right="-1"/>
              <w:rPr>
                <w:rFonts w:ascii="Calibri" w:eastAsia="Yu Mincho" w:hAnsi="Calibri" w:cs="Calibri"/>
                <w:b/>
                <w:lang w:eastAsia="pt-BR"/>
              </w:rPr>
            </w:pPr>
            <w:r w:rsidRPr="00B241C6">
              <w:rPr>
                <w:rFonts w:ascii="Calibri" w:eastAsia="Yu Mincho" w:hAnsi="Calibri" w:cs="Calibri"/>
                <w:b/>
                <w:lang w:eastAsia="pt-BR"/>
              </w:rPr>
              <w:t>Informações do Passivo</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352871B8" w14:textId="77777777" w:rsidR="00457375" w:rsidRPr="00B241C6" w:rsidRDefault="00457375" w:rsidP="003C7E27">
            <w:pPr>
              <w:spacing w:after="0" w:line="240" w:lineRule="auto"/>
              <w:ind w:right="-1"/>
              <w:rPr>
                <w:rFonts w:ascii="Calibri" w:eastAsia="Yu Mincho" w:hAnsi="Calibri" w:cs="Calibri"/>
                <w:b/>
                <w:lang w:eastAsia="pt-BR"/>
              </w:rPr>
            </w:pPr>
            <w:r w:rsidRPr="00B241C6">
              <w:rPr>
                <w:rFonts w:ascii="Calibri" w:eastAsia="Yu Mincho" w:hAnsi="Calibri" w:cs="Calibri"/>
                <w:b/>
                <w:lang w:eastAsia="pt-BR"/>
              </w:rPr>
              <w:t>Valor (R$)</w:t>
            </w:r>
          </w:p>
        </w:tc>
      </w:tr>
      <w:tr w:rsidR="00457375" w:rsidRPr="00B241C6" w14:paraId="7F80034E"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8EA76"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12</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3FB79CFD"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Rendimentos a distribuir</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020E73E0"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DFD0FE1"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BCA9C"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13</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7868BC94"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Taxa de administração a pagar</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651767FC"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36FC2BCF"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5702B5"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14</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250F96AC"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Taxa de performance a pagar</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621411CF"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D96F451"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97679"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15</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68B2C45D"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Obrigações por aquisição de imóveis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2D241DC6"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5EEFBE47"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27BAE5"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16</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26399326"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Adiantamento por venda de imóveis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09CED5E1"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6C7ADF8"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6383B5"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17</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3AC08F65"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Adiantamento de valores de aluguéis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0849EAF7"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6BC8A49E"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69CB54"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18</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46AA0CE3"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Obrigações por securitização de recebíveis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04BD4339"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4DE95115"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0231C"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19</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022F9742"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Instrumentos financeiros derivativos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76CA6749"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2AC5797"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88340"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20</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2F2FE1F4"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Provisões para contingências</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5AFC0DDA"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57375" w:rsidRPr="00B241C6" w14:paraId="1DCD339E"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8E4D7" w14:textId="77777777" w:rsidR="00457375" w:rsidRPr="00B241C6" w:rsidRDefault="00457375" w:rsidP="003C7E27">
            <w:pPr>
              <w:spacing w:after="0" w:line="240" w:lineRule="auto"/>
              <w:ind w:right="-1"/>
              <w:rPr>
                <w:rFonts w:ascii="Calibri" w:eastAsia="Yu Mincho" w:hAnsi="Calibri" w:cs="Calibri"/>
                <w:color w:val="000000"/>
                <w:lang w:eastAsia="pt-BR"/>
              </w:rPr>
            </w:pPr>
            <w:r w:rsidRPr="00B241C6">
              <w:rPr>
                <w:rFonts w:ascii="Calibri" w:eastAsia="Yu Mincho" w:hAnsi="Calibri" w:cs="Calibri"/>
                <w:color w:val="000000"/>
                <w:lang w:eastAsia="pt-BR"/>
              </w:rPr>
              <w:t>21</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025FF3A9" w14:textId="77777777" w:rsidR="00457375" w:rsidRPr="00B241C6" w:rsidRDefault="00457375" w:rsidP="003C7E27">
            <w:pPr>
              <w:spacing w:after="0" w:line="240" w:lineRule="auto"/>
              <w:ind w:right="-1" w:firstLineChars="100" w:firstLine="220"/>
              <w:rPr>
                <w:rFonts w:ascii="Calibri" w:eastAsia="Yu Mincho" w:hAnsi="Calibri" w:cs="Calibri"/>
                <w:color w:val="000000"/>
                <w:lang w:eastAsia="pt-BR"/>
              </w:rPr>
            </w:pPr>
            <w:r w:rsidRPr="00B241C6">
              <w:rPr>
                <w:rFonts w:ascii="Calibri" w:eastAsia="Yu Mincho" w:hAnsi="Calibri" w:cs="Calibri"/>
                <w:color w:val="000000"/>
                <w:lang w:eastAsia="pt-BR"/>
              </w:rPr>
              <w:t>Outros valores a pagar</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36134F12" w14:textId="77777777" w:rsidR="00457375" w:rsidRPr="00B241C6" w:rsidRDefault="00457375" w:rsidP="003C7E27">
            <w:pPr>
              <w:spacing w:after="0" w:line="240" w:lineRule="auto"/>
              <w:ind w:right="-1"/>
              <w:rPr>
                <w:rFonts w:ascii="Calibri" w:eastAsia="Yu Mincho" w:hAnsi="Calibri" w:cs="Calibri"/>
                <w:color w:val="000000"/>
                <w:lang w:eastAsia="pt-BR"/>
              </w:rPr>
            </w:pPr>
          </w:p>
        </w:tc>
      </w:tr>
      <w:tr w:rsidR="004332AB" w:rsidRPr="004332AB" w14:paraId="5C5B4299" w14:textId="77777777" w:rsidTr="004332AB">
        <w:trPr>
          <w:gridAfter w:val="1"/>
          <w:wAfter w:w="3" w:type="pct"/>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460F97" w14:textId="62D8C779" w:rsidR="004332AB" w:rsidRPr="004332AB" w:rsidRDefault="004332AB" w:rsidP="004332AB">
            <w:pPr>
              <w:spacing w:after="0" w:line="240" w:lineRule="auto"/>
              <w:ind w:right="-1"/>
              <w:rPr>
                <w:rFonts w:ascii="Calibri" w:eastAsia="Yu Mincho" w:hAnsi="Calibri" w:cs="Calibri"/>
                <w:color w:val="000000"/>
                <w:lang w:eastAsia="pt-BR"/>
              </w:rPr>
            </w:pPr>
            <w:r w:rsidRPr="004332AB">
              <w:rPr>
                <w:rFonts w:ascii="Calibri" w:eastAsia="Yu Mincho" w:hAnsi="Calibri" w:cs="Calibri"/>
                <w:color w:val="000000"/>
                <w:lang w:eastAsia="pt-BR"/>
              </w:rPr>
              <w:t>22</w:t>
            </w:r>
          </w:p>
        </w:tc>
        <w:tc>
          <w:tcPr>
            <w:tcW w:w="3660" w:type="pct"/>
            <w:tcBorders>
              <w:top w:val="single" w:sz="4" w:space="0" w:color="auto"/>
              <w:left w:val="nil"/>
              <w:bottom w:val="single" w:sz="4" w:space="0" w:color="auto"/>
              <w:right w:val="single" w:sz="4" w:space="0" w:color="auto"/>
            </w:tcBorders>
            <w:shd w:val="clear" w:color="auto" w:fill="auto"/>
            <w:noWrap/>
            <w:vAlign w:val="bottom"/>
          </w:tcPr>
          <w:p w14:paraId="41D10872" w14:textId="31696571" w:rsidR="004332AB" w:rsidRPr="004332AB" w:rsidRDefault="004332AB" w:rsidP="004332AB">
            <w:pPr>
              <w:spacing w:after="0" w:line="240" w:lineRule="auto"/>
              <w:ind w:right="-1" w:firstLineChars="100" w:firstLine="220"/>
              <w:rPr>
                <w:rFonts w:ascii="Calibri" w:eastAsia="Yu Mincho" w:hAnsi="Calibri" w:cs="Calibri"/>
                <w:color w:val="000000"/>
                <w:lang w:eastAsia="pt-BR"/>
              </w:rPr>
            </w:pPr>
            <w:r w:rsidRPr="004332AB">
              <w:rPr>
                <w:rFonts w:ascii="Calibri" w:eastAsia="Yu Mincho" w:hAnsi="Calibri" w:cs="Calibri"/>
                <w:color w:val="000000"/>
                <w:lang w:eastAsia="pt-BR"/>
              </w:rPr>
              <w:t>Provisões por garantias prestadas (fiança, aval, aceite ou outra coobrigação)</w:t>
            </w:r>
          </w:p>
        </w:tc>
        <w:tc>
          <w:tcPr>
            <w:tcW w:w="922" w:type="pct"/>
            <w:gridSpan w:val="2"/>
            <w:tcBorders>
              <w:top w:val="single" w:sz="4" w:space="0" w:color="auto"/>
              <w:left w:val="nil"/>
              <w:bottom w:val="single" w:sz="4" w:space="0" w:color="auto"/>
              <w:right w:val="single" w:sz="4" w:space="0" w:color="auto"/>
            </w:tcBorders>
            <w:shd w:val="clear" w:color="auto" w:fill="auto"/>
            <w:noWrap/>
            <w:vAlign w:val="bottom"/>
          </w:tcPr>
          <w:p w14:paraId="0B3DC92C" w14:textId="33657CE3" w:rsidR="004332AB" w:rsidRPr="004332AB" w:rsidRDefault="004332AB" w:rsidP="004332AB">
            <w:pPr>
              <w:spacing w:after="0" w:line="240" w:lineRule="auto"/>
              <w:ind w:right="-1"/>
              <w:rPr>
                <w:rFonts w:ascii="Calibri" w:eastAsia="Yu Mincho" w:hAnsi="Calibri" w:cs="Calibri"/>
                <w:color w:val="000000"/>
                <w:lang w:eastAsia="pt-BR"/>
              </w:rPr>
            </w:pPr>
          </w:p>
        </w:tc>
      </w:tr>
      <w:tr w:rsidR="004332AB" w:rsidRPr="004332AB" w14:paraId="691551BF" w14:textId="77777777" w:rsidTr="004332A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0"/>
        </w:trPr>
        <w:tc>
          <w:tcPr>
            <w:tcW w:w="5000" w:type="pct"/>
            <w:gridSpan w:val="5"/>
            <w:tcBorders>
              <w:top w:val="single" w:sz="6" w:space="0" w:color="auto"/>
              <w:left w:val="single" w:sz="6" w:space="0" w:color="auto"/>
              <w:bottom w:val="single" w:sz="6" w:space="0" w:color="auto"/>
              <w:right w:val="single" w:sz="6" w:space="0" w:color="auto"/>
            </w:tcBorders>
            <w:shd w:val="clear" w:color="auto" w:fill="auto"/>
            <w:vAlign w:val="bottom"/>
            <w:hideMark/>
          </w:tcPr>
          <w:p w14:paraId="3416C877" w14:textId="5774EC53" w:rsidR="004332AB" w:rsidRPr="004332AB" w:rsidRDefault="004332AB" w:rsidP="000C3776">
            <w:pPr>
              <w:spacing w:after="0" w:line="240" w:lineRule="auto"/>
              <w:ind w:right="-1"/>
              <w:rPr>
                <w:rFonts w:ascii="Segoe UI" w:eastAsia="Times New Roman" w:hAnsi="Segoe UI" w:cs="Segoe UI"/>
                <w:sz w:val="18"/>
                <w:szCs w:val="18"/>
                <w:lang w:val="pt-PT" w:eastAsia="pt-PT"/>
              </w:rPr>
            </w:pPr>
            <w:r w:rsidRPr="004332AB">
              <w:rPr>
                <w:rFonts w:ascii="Calibri" w:eastAsia="Yu Mincho" w:hAnsi="Calibri" w:cs="Calibri"/>
                <w:b/>
                <w:lang w:eastAsia="pt-BR"/>
              </w:rPr>
              <w:t>Informações adicionais</w:t>
            </w:r>
          </w:p>
        </w:tc>
      </w:tr>
      <w:tr w:rsidR="004332AB" w:rsidRPr="004332AB" w14:paraId="4572A6F0" w14:textId="77777777" w:rsidTr="004332A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0"/>
        </w:trPr>
        <w:tc>
          <w:tcPr>
            <w:tcW w:w="415"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71EE0864" w14:textId="3B9B2084" w:rsidR="004332AB" w:rsidRPr="004332AB" w:rsidRDefault="004332AB" w:rsidP="000C3776">
            <w:pPr>
              <w:spacing w:after="0" w:line="240" w:lineRule="auto"/>
              <w:ind w:right="-1"/>
              <w:rPr>
                <w:rFonts w:ascii="Calibri" w:eastAsia="Yu Mincho" w:hAnsi="Calibri" w:cs="Calibri"/>
                <w:color w:val="000000"/>
                <w:lang w:eastAsia="pt-BR"/>
              </w:rPr>
            </w:pPr>
            <w:r w:rsidRPr="004332AB">
              <w:rPr>
                <w:rFonts w:ascii="Calibri" w:eastAsia="Yu Mincho" w:hAnsi="Calibri" w:cs="Calibri"/>
                <w:color w:val="000000"/>
                <w:lang w:eastAsia="pt-BR"/>
              </w:rPr>
              <w:t>23</w:t>
            </w:r>
          </w:p>
        </w:tc>
        <w:tc>
          <w:tcPr>
            <w:tcW w:w="3682" w:type="pct"/>
            <w:gridSpan w:val="2"/>
            <w:tcBorders>
              <w:top w:val="single" w:sz="6" w:space="0" w:color="auto"/>
              <w:left w:val="nil"/>
              <w:bottom w:val="single" w:sz="6" w:space="0" w:color="auto"/>
              <w:right w:val="single" w:sz="6" w:space="0" w:color="auto"/>
            </w:tcBorders>
            <w:shd w:val="clear" w:color="auto" w:fill="auto"/>
            <w:vAlign w:val="bottom"/>
            <w:hideMark/>
          </w:tcPr>
          <w:p w14:paraId="53C4D5C5" w14:textId="493B452A" w:rsidR="004332AB" w:rsidRPr="004332AB" w:rsidRDefault="004332AB" w:rsidP="000C3776">
            <w:pPr>
              <w:spacing w:after="0" w:line="240" w:lineRule="auto"/>
              <w:ind w:right="-1" w:firstLineChars="100" w:firstLine="220"/>
              <w:rPr>
                <w:rFonts w:ascii="Calibri" w:eastAsia="Yu Mincho" w:hAnsi="Calibri" w:cs="Calibri"/>
                <w:color w:val="000000"/>
                <w:lang w:eastAsia="pt-BR"/>
              </w:rPr>
            </w:pPr>
            <w:r w:rsidRPr="004332AB">
              <w:rPr>
                <w:rFonts w:ascii="Calibri" w:eastAsia="Yu Mincho" w:hAnsi="Calibri" w:cs="Calibri"/>
                <w:color w:val="000000"/>
                <w:lang w:eastAsia="pt-BR"/>
              </w:rPr>
              <w:t>Valor total dos imóveis objeto de ônus reais</w:t>
            </w:r>
          </w:p>
        </w:tc>
        <w:tc>
          <w:tcPr>
            <w:tcW w:w="903" w:type="pct"/>
            <w:gridSpan w:val="2"/>
            <w:tcBorders>
              <w:top w:val="single" w:sz="6" w:space="0" w:color="auto"/>
              <w:left w:val="nil"/>
              <w:bottom w:val="single" w:sz="6" w:space="0" w:color="auto"/>
              <w:right w:val="single" w:sz="6" w:space="0" w:color="auto"/>
            </w:tcBorders>
            <w:shd w:val="clear" w:color="auto" w:fill="auto"/>
            <w:vAlign w:val="bottom"/>
            <w:hideMark/>
          </w:tcPr>
          <w:p w14:paraId="4149C0B5" w14:textId="01D9349A" w:rsidR="004332AB" w:rsidRPr="004332AB" w:rsidRDefault="004332AB" w:rsidP="004332AB">
            <w:pPr>
              <w:spacing w:after="0" w:line="240" w:lineRule="auto"/>
              <w:jc w:val="both"/>
              <w:textAlignment w:val="baseline"/>
              <w:rPr>
                <w:rFonts w:ascii="Segoe UI" w:eastAsia="Times New Roman" w:hAnsi="Segoe UI" w:cs="Segoe UI"/>
                <w:sz w:val="18"/>
                <w:szCs w:val="18"/>
                <w:lang w:val="pt-PT" w:eastAsia="pt-PT"/>
              </w:rPr>
            </w:pPr>
          </w:p>
        </w:tc>
      </w:tr>
      <w:tr w:rsidR="004332AB" w:rsidRPr="004332AB" w14:paraId="483880E9" w14:textId="77777777" w:rsidTr="004332A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0"/>
        </w:trPr>
        <w:tc>
          <w:tcPr>
            <w:tcW w:w="415"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5A7B0E17" w14:textId="04C3B158" w:rsidR="004332AB" w:rsidRPr="004332AB" w:rsidRDefault="004332AB" w:rsidP="000C3776">
            <w:pPr>
              <w:spacing w:after="0" w:line="240" w:lineRule="auto"/>
              <w:ind w:right="-1"/>
              <w:rPr>
                <w:rFonts w:ascii="Calibri" w:eastAsia="Yu Mincho" w:hAnsi="Calibri" w:cs="Calibri"/>
                <w:color w:val="000000"/>
                <w:lang w:eastAsia="pt-BR"/>
              </w:rPr>
            </w:pPr>
            <w:r w:rsidRPr="004332AB">
              <w:rPr>
                <w:rFonts w:ascii="Calibri" w:eastAsia="Yu Mincho" w:hAnsi="Calibri" w:cs="Calibri"/>
                <w:color w:val="000000"/>
                <w:lang w:eastAsia="pt-BR"/>
              </w:rPr>
              <w:t>24</w:t>
            </w:r>
          </w:p>
        </w:tc>
        <w:tc>
          <w:tcPr>
            <w:tcW w:w="3682" w:type="pct"/>
            <w:gridSpan w:val="2"/>
            <w:tcBorders>
              <w:top w:val="single" w:sz="6" w:space="0" w:color="auto"/>
              <w:left w:val="nil"/>
              <w:bottom w:val="single" w:sz="6" w:space="0" w:color="auto"/>
              <w:right w:val="single" w:sz="6" w:space="0" w:color="auto"/>
            </w:tcBorders>
            <w:shd w:val="clear" w:color="auto" w:fill="auto"/>
            <w:vAlign w:val="bottom"/>
            <w:hideMark/>
          </w:tcPr>
          <w:p w14:paraId="3DD87E71" w14:textId="627735B1" w:rsidR="004332AB" w:rsidRPr="004332AB" w:rsidRDefault="004332AB" w:rsidP="000C3776">
            <w:pPr>
              <w:spacing w:after="0" w:line="240" w:lineRule="auto"/>
              <w:ind w:right="-1" w:firstLineChars="100" w:firstLine="220"/>
              <w:rPr>
                <w:rFonts w:ascii="Calibri" w:eastAsia="Yu Mincho" w:hAnsi="Calibri" w:cs="Calibri"/>
                <w:color w:val="000000"/>
                <w:lang w:eastAsia="pt-BR"/>
              </w:rPr>
            </w:pPr>
            <w:r w:rsidRPr="004332AB">
              <w:rPr>
                <w:rFonts w:ascii="Calibri" w:eastAsia="Yu Mincho" w:hAnsi="Calibri" w:cs="Calibri"/>
                <w:color w:val="000000"/>
                <w:lang w:eastAsia="pt-BR"/>
              </w:rPr>
              <w:t>Valor total das garantias prestadas em operações da classe</w:t>
            </w:r>
          </w:p>
        </w:tc>
        <w:tc>
          <w:tcPr>
            <w:tcW w:w="903" w:type="pct"/>
            <w:gridSpan w:val="2"/>
            <w:tcBorders>
              <w:top w:val="single" w:sz="6" w:space="0" w:color="auto"/>
              <w:left w:val="nil"/>
              <w:bottom w:val="single" w:sz="6" w:space="0" w:color="auto"/>
              <w:right w:val="single" w:sz="6" w:space="0" w:color="auto"/>
            </w:tcBorders>
            <w:shd w:val="clear" w:color="auto" w:fill="auto"/>
            <w:vAlign w:val="bottom"/>
            <w:hideMark/>
          </w:tcPr>
          <w:p w14:paraId="35779915" w14:textId="1253A508" w:rsidR="004332AB" w:rsidRPr="004332AB" w:rsidRDefault="004332AB" w:rsidP="004332AB">
            <w:pPr>
              <w:spacing w:after="0" w:line="240" w:lineRule="auto"/>
              <w:jc w:val="both"/>
              <w:textAlignment w:val="baseline"/>
              <w:rPr>
                <w:rFonts w:ascii="Segoe UI" w:eastAsia="Times New Roman" w:hAnsi="Segoe UI" w:cs="Segoe UI"/>
                <w:sz w:val="18"/>
                <w:szCs w:val="18"/>
                <w:lang w:val="pt-PT" w:eastAsia="pt-PT"/>
              </w:rPr>
            </w:pPr>
          </w:p>
        </w:tc>
      </w:tr>
      <w:tr w:rsidR="004332AB" w:rsidRPr="004332AB" w14:paraId="23463970" w14:textId="77777777" w:rsidTr="004332A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70"/>
        </w:trPr>
        <w:tc>
          <w:tcPr>
            <w:tcW w:w="415" w:type="pct"/>
            <w:tcBorders>
              <w:top w:val="single" w:sz="6" w:space="0" w:color="auto"/>
              <w:left w:val="single" w:sz="6" w:space="0" w:color="auto"/>
              <w:bottom w:val="single" w:sz="6" w:space="0" w:color="auto"/>
              <w:right w:val="single" w:sz="6" w:space="0" w:color="auto"/>
            </w:tcBorders>
            <w:shd w:val="clear" w:color="auto" w:fill="auto"/>
            <w:vAlign w:val="bottom"/>
            <w:hideMark/>
          </w:tcPr>
          <w:p w14:paraId="3AB65305" w14:textId="2DEED104" w:rsidR="004332AB" w:rsidRPr="004332AB" w:rsidRDefault="004332AB" w:rsidP="000C3776">
            <w:pPr>
              <w:spacing w:after="0" w:line="240" w:lineRule="auto"/>
              <w:ind w:right="-1"/>
              <w:rPr>
                <w:rFonts w:ascii="Calibri" w:eastAsia="Yu Mincho" w:hAnsi="Calibri" w:cs="Calibri"/>
                <w:color w:val="000000"/>
                <w:lang w:eastAsia="pt-BR"/>
              </w:rPr>
            </w:pPr>
            <w:r w:rsidRPr="004332AB">
              <w:rPr>
                <w:rFonts w:ascii="Calibri" w:eastAsia="Yu Mincho" w:hAnsi="Calibri" w:cs="Calibri"/>
                <w:color w:val="000000"/>
                <w:lang w:eastAsia="pt-BR"/>
              </w:rPr>
              <w:t>25</w:t>
            </w:r>
          </w:p>
        </w:tc>
        <w:tc>
          <w:tcPr>
            <w:tcW w:w="3682" w:type="pct"/>
            <w:gridSpan w:val="2"/>
            <w:tcBorders>
              <w:top w:val="single" w:sz="6" w:space="0" w:color="auto"/>
              <w:left w:val="nil"/>
              <w:bottom w:val="single" w:sz="6" w:space="0" w:color="auto"/>
              <w:right w:val="single" w:sz="6" w:space="0" w:color="auto"/>
            </w:tcBorders>
            <w:shd w:val="clear" w:color="auto" w:fill="auto"/>
            <w:vAlign w:val="bottom"/>
            <w:hideMark/>
          </w:tcPr>
          <w:p w14:paraId="7F9BC1A0" w14:textId="3DD54744" w:rsidR="004332AB" w:rsidRPr="004332AB" w:rsidRDefault="004332AB" w:rsidP="000C3776">
            <w:pPr>
              <w:spacing w:after="0" w:line="240" w:lineRule="auto"/>
              <w:ind w:right="-1" w:firstLineChars="100" w:firstLine="220"/>
              <w:rPr>
                <w:rFonts w:ascii="Calibri" w:eastAsia="Yu Mincho" w:hAnsi="Calibri" w:cs="Calibri"/>
                <w:color w:val="000000"/>
                <w:lang w:eastAsia="pt-BR"/>
              </w:rPr>
            </w:pPr>
            <w:r w:rsidRPr="004332AB">
              <w:rPr>
                <w:rFonts w:ascii="Calibri" w:eastAsia="Yu Mincho" w:hAnsi="Calibri" w:cs="Calibri"/>
                <w:color w:val="000000"/>
                <w:lang w:eastAsia="pt-BR"/>
              </w:rPr>
              <w:t>Valor total das garantias prestadas em operações de cotistas (art. 32, § 3º, Anexo Normativo III)</w:t>
            </w:r>
          </w:p>
        </w:tc>
        <w:tc>
          <w:tcPr>
            <w:tcW w:w="903" w:type="pct"/>
            <w:gridSpan w:val="2"/>
            <w:tcBorders>
              <w:top w:val="single" w:sz="6" w:space="0" w:color="auto"/>
              <w:left w:val="nil"/>
              <w:bottom w:val="single" w:sz="6" w:space="0" w:color="auto"/>
              <w:right w:val="single" w:sz="6" w:space="0" w:color="auto"/>
            </w:tcBorders>
            <w:shd w:val="clear" w:color="auto" w:fill="auto"/>
            <w:vAlign w:val="bottom"/>
            <w:hideMark/>
          </w:tcPr>
          <w:p w14:paraId="15601D06" w14:textId="77777777" w:rsidR="004332AB" w:rsidRPr="004332AB" w:rsidRDefault="004332AB" w:rsidP="004332AB">
            <w:pPr>
              <w:spacing w:after="0" w:line="240" w:lineRule="auto"/>
              <w:jc w:val="both"/>
              <w:textAlignment w:val="baseline"/>
              <w:rPr>
                <w:rFonts w:ascii="Segoe UI" w:eastAsia="Times New Roman" w:hAnsi="Segoe UI" w:cs="Segoe UI"/>
                <w:sz w:val="18"/>
                <w:szCs w:val="18"/>
                <w:lang w:val="pt-PT" w:eastAsia="pt-PT"/>
              </w:rPr>
            </w:pPr>
            <w:r w:rsidRPr="004332AB">
              <w:rPr>
                <w:rFonts w:ascii="Calibri" w:eastAsia="Times New Roman" w:hAnsi="Calibri" w:cs="Calibri"/>
                <w:color w:val="000000"/>
                <w:sz w:val="24"/>
                <w:szCs w:val="24"/>
                <w:lang w:val="pt-PT" w:eastAsia="pt-PT"/>
              </w:rPr>
              <w:t> </w:t>
            </w:r>
          </w:p>
        </w:tc>
      </w:tr>
    </w:tbl>
    <w:p w14:paraId="039D7C38" w14:textId="1653AF24" w:rsidR="004332AB" w:rsidRPr="004332AB" w:rsidRDefault="004332AB" w:rsidP="004332AB">
      <w:pPr>
        <w:pStyle w:val="PargrafodaLista"/>
        <w:numPr>
          <w:ilvl w:val="0"/>
          <w:numId w:val="13"/>
        </w:numPr>
        <w:spacing w:before="120" w:after="120" w:line="312" w:lineRule="auto"/>
        <w:ind w:left="142" w:hanging="142"/>
        <w:jc w:val="both"/>
        <w:rPr>
          <w:rFonts w:cstheme="minorHAnsi"/>
          <w:sz w:val="24"/>
          <w:szCs w:val="24"/>
        </w:rPr>
      </w:pPr>
      <w:r>
        <w:rPr>
          <w:rFonts w:cstheme="minorHAnsi"/>
          <w:b/>
          <w:i/>
          <w:sz w:val="24"/>
          <w:szCs w:val="24"/>
        </w:rPr>
        <w:t xml:space="preserve"> Itens 22, 23, 24 e 25 </w:t>
      </w:r>
      <w:r w:rsidRPr="0045288F">
        <w:rPr>
          <w:rFonts w:cstheme="minorHAnsi"/>
          <w:b/>
          <w:i/>
          <w:sz w:val="24"/>
          <w:szCs w:val="24"/>
        </w:rPr>
        <w:t>incluíd</w:t>
      </w:r>
      <w:r>
        <w:rPr>
          <w:rFonts w:cstheme="minorHAnsi"/>
          <w:b/>
          <w:i/>
          <w:sz w:val="24"/>
          <w:szCs w:val="24"/>
        </w:rPr>
        <w:t>os</w:t>
      </w:r>
      <w:r w:rsidRPr="0045288F">
        <w:rPr>
          <w:rFonts w:cstheme="minorHAnsi"/>
          <w:b/>
          <w:i/>
          <w:sz w:val="24"/>
          <w:szCs w:val="24"/>
        </w:rPr>
        <w:t xml:space="preserve"> pela Resolução CVM nº </w:t>
      </w:r>
      <w:r>
        <w:rPr>
          <w:rFonts w:cstheme="minorHAnsi"/>
          <w:b/>
          <w:i/>
          <w:sz w:val="24"/>
          <w:szCs w:val="24"/>
        </w:rPr>
        <w:t>200</w:t>
      </w:r>
      <w:r w:rsidRPr="0045288F">
        <w:rPr>
          <w:rFonts w:cstheme="minorHAnsi"/>
          <w:b/>
          <w:i/>
          <w:sz w:val="24"/>
          <w:szCs w:val="24"/>
        </w:rPr>
        <w:t xml:space="preserve">, de </w:t>
      </w:r>
      <w:r>
        <w:rPr>
          <w:rFonts w:cstheme="minorHAnsi"/>
          <w:b/>
          <w:i/>
          <w:sz w:val="24"/>
          <w:szCs w:val="24"/>
        </w:rPr>
        <w:t>12</w:t>
      </w:r>
      <w:r w:rsidRPr="0045288F">
        <w:rPr>
          <w:rFonts w:cstheme="minorHAnsi"/>
          <w:b/>
          <w:i/>
          <w:sz w:val="24"/>
          <w:szCs w:val="24"/>
        </w:rPr>
        <w:t xml:space="preserve"> de ma</w:t>
      </w:r>
      <w:r>
        <w:rPr>
          <w:rFonts w:cstheme="minorHAnsi"/>
          <w:b/>
          <w:i/>
          <w:sz w:val="24"/>
          <w:szCs w:val="24"/>
        </w:rPr>
        <w:t>rço</w:t>
      </w:r>
      <w:r w:rsidRPr="0045288F">
        <w:rPr>
          <w:rFonts w:cstheme="minorHAnsi"/>
          <w:b/>
          <w:i/>
          <w:sz w:val="24"/>
          <w:szCs w:val="24"/>
        </w:rPr>
        <w:t xml:space="preserve"> de 202</w:t>
      </w:r>
      <w:r>
        <w:rPr>
          <w:rFonts w:cstheme="minorHAnsi"/>
          <w:b/>
          <w:i/>
          <w:sz w:val="24"/>
          <w:szCs w:val="24"/>
        </w:rPr>
        <w:t>4</w:t>
      </w:r>
      <w:r w:rsidRPr="0045288F">
        <w:rPr>
          <w:rFonts w:cstheme="minorHAnsi"/>
          <w:b/>
          <w:i/>
          <w:sz w:val="24"/>
          <w:szCs w:val="24"/>
        </w:rPr>
        <w:t>.</w:t>
      </w:r>
    </w:p>
    <w:p w14:paraId="64420937" w14:textId="10D9FE8A" w:rsidR="00457375" w:rsidRPr="00D725C6" w:rsidRDefault="00457375" w:rsidP="00457375">
      <w:pPr>
        <w:spacing w:after="0"/>
        <w:rPr>
          <w:rFonts w:eastAsiaTheme="minorEastAsia"/>
        </w:rPr>
      </w:pPr>
      <w:r w:rsidRPr="00D725C6">
        <w:rPr>
          <w:rFonts w:eastAsiaTheme="minorEastAsia"/>
        </w:rPr>
        <w:t>Notas:</w:t>
      </w:r>
    </w:p>
    <w:p w14:paraId="5468747F" w14:textId="77777777" w:rsidR="00457375" w:rsidRPr="00B53E0B" w:rsidRDefault="00457375" w:rsidP="00457375">
      <w:pPr>
        <w:pStyle w:val="PargrafodaLista"/>
        <w:numPr>
          <w:ilvl w:val="0"/>
          <w:numId w:val="14"/>
        </w:numPr>
        <w:spacing w:after="0" w:line="240" w:lineRule="auto"/>
        <w:ind w:left="0" w:right="-1"/>
        <w:contextualSpacing w:val="0"/>
        <w:jc w:val="both"/>
      </w:pPr>
      <w:r w:rsidRPr="00D725C6">
        <w:t xml:space="preserve">A relação de cotistas por tipo de investidor </w:t>
      </w:r>
      <w:r w:rsidRPr="00B53E0B">
        <w:rPr>
          <w:rFonts w:eastAsiaTheme="minorEastAsia"/>
        </w:rPr>
        <w:t>deve</w:t>
      </w:r>
      <w:r w:rsidRPr="00B53E0B">
        <w:t xml:space="preserve"> ser encaminhada, obrigatoriamente, apenas para os meses de março, junho, setembro e dezembro cada ano. Nos demais meses o administrador </w:t>
      </w:r>
      <w:r w:rsidRPr="00B53E0B">
        <w:rPr>
          <w:rFonts w:eastAsiaTheme="minorEastAsia"/>
        </w:rPr>
        <w:t>deve</w:t>
      </w:r>
      <w:r w:rsidRPr="00B53E0B">
        <w:t xml:space="preserve"> informar apenas o número total de cotistas.</w:t>
      </w:r>
    </w:p>
    <w:p w14:paraId="464A0D18" w14:textId="77777777" w:rsidR="00457375" w:rsidRPr="00457375" w:rsidRDefault="00457375" w:rsidP="00457375">
      <w:pPr>
        <w:numPr>
          <w:ilvl w:val="0"/>
          <w:numId w:val="14"/>
        </w:numPr>
        <w:spacing w:after="0" w:line="240" w:lineRule="auto"/>
        <w:ind w:left="0" w:right="-1"/>
        <w:jc w:val="both"/>
        <w:rPr>
          <w:rFonts w:asciiTheme="minorHAnsi" w:eastAsiaTheme="minorHAnsi" w:hAnsiTheme="minorHAnsi" w:cstheme="minorBidi"/>
        </w:rPr>
      </w:pPr>
      <w:r w:rsidRPr="00457375">
        <w:rPr>
          <w:rFonts w:asciiTheme="minorHAnsi" w:eastAsiaTheme="minorHAnsi" w:hAnsiTheme="minorHAnsi" w:cstheme="minorBidi"/>
        </w:rPr>
        <w:t xml:space="preserve">Rentabilidade Patrimonial do Mês de Referência (%) = [(Valor patrimonial da cota do último dia útil do mês de referência + Soma das amortizações por cota realizadas no mês de </w:t>
      </w:r>
      <w:bookmarkStart w:id="1507" w:name="_Int_fI0FddJA"/>
      <w:r w:rsidRPr="00457375">
        <w:rPr>
          <w:rFonts w:asciiTheme="minorHAnsi" w:eastAsiaTheme="minorHAnsi" w:hAnsiTheme="minorHAnsi" w:cstheme="minorBidi"/>
        </w:rPr>
        <w:t>referência)/</w:t>
      </w:r>
      <w:bookmarkEnd w:id="1507"/>
      <w:r w:rsidRPr="00457375">
        <w:rPr>
          <w:rFonts w:asciiTheme="minorHAnsi" w:eastAsiaTheme="minorHAnsi" w:hAnsiTheme="minorHAnsi" w:cstheme="minorBidi"/>
        </w:rPr>
        <w:t>Valor patrimonial da cota do último dia útil do mês anterior ao de referência)] – 1.</w:t>
      </w:r>
    </w:p>
    <w:p w14:paraId="21E52D35" w14:textId="77777777" w:rsidR="00457375" w:rsidRPr="00457375" w:rsidRDefault="00457375" w:rsidP="00457375">
      <w:pPr>
        <w:numPr>
          <w:ilvl w:val="0"/>
          <w:numId w:val="14"/>
        </w:numPr>
        <w:spacing w:after="0" w:line="240" w:lineRule="auto"/>
        <w:ind w:left="0" w:right="-1"/>
        <w:jc w:val="both"/>
        <w:rPr>
          <w:rFonts w:asciiTheme="minorHAnsi" w:eastAsiaTheme="minorHAnsi" w:hAnsiTheme="minorHAnsi" w:cstheme="minorBidi"/>
        </w:rPr>
      </w:pPr>
      <w:r w:rsidRPr="00457375">
        <w:rPr>
          <w:rFonts w:asciiTheme="minorHAnsi" w:eastAsiaTheme="minorHAnsi" w:hAnsiTheme="minorHAnsi" w:cstheme="minorBidi"/>
          <w:b/>
          <w:bCs/>
        </w:rPr>
        <w:t>Dividend Yield</w:t>
      </w:r>
      <w:r w:rsidRPr="00457375">
        <w:rPr>
          <w:rFonts w:asciiTheme="minorHAnsi" w:eastAsiaTheme="minorHAnsi" w:hAnsiTheme="minorHAnsi" w:cstheme="minorBidi"/>
        </w:rPr>
        <w:t xml:space="preserve"> do Mês de Referência (%) = Rendimentos declarados por cota no mês de referência/ Valor patrimonial da cota do último dia útil do mês anterior ao de referência.</w:t>
      </w:r>
    </w:p>
    <w:p w14:paraId="4DC28F6E" w14:textId="70041BC6" w:rsidR="00457375" w:rsidRDefault="00457375" w:rsidP="00457375">
      <w:pPr>
        <w:tabs>
          <w:tab w:val="left" w:pos="3795"/>
        </w:tabs>
        <w:spacing w:after="0"/>
        <w:rPr>
          <w:rFonts w:asciiTheme="minorHAnsi" w:eastAsiaTheme="minorHAnsi" w:hAnsiTheme="minorHAnsi" w:cstheme="minorBidi"/>
        </w:rPr>
      </w:pPr>
      <w:r w:rsidRPr="00457375">
        <w:rPr>
          <w:rFonts w:asciiTheme="minorHAnsi" w:eastAsiaTheme="minorHAnsi" w:hAnsiTheme="minorHAnsi" w:cstheme="minorBidi"/>
        </w:rPr>
        <w:t>Amortizações de cotas do Mês de Referência (%) = [(Soma das amortizações por cota realizadas no mês de referência) / (Valor patrimonial da cota do último dia útil do mês anterior ao de referência)] – 1. As amortizações não se confundem com os rendimentos declarados/distribuídos.</w:t>
      </w:r>
    </w:p>
    <w:p w14:paraId="367CD0E1" w14:textId="012EA76F" w:rsidR="00F461F9" w:rsidRPr="00E00556" w:rsidRDefault="00F461F9" w:rsidP="00F461F9">
      <w:pPr>
        <w:pStyle w:val="PargrafodaLista"/>
        <w:numPr>
          <w:ilvl w:val="0"/>
          <w:numId w:val="13"/>
        </w:numPr>
        <w:spacing w:before="120" w:after="120" w:line="312" w:lineRule="auto"/>
        <w:ind w:left="284" w:hanging="142"/>
        <w:jc w:val="both"/>
        <w:rPr>
          <w:rFonts w:cstheme="minorHAnsi"/>
          <w:sz w:val="24"/>
          <w:szCs w:val="24"/>
        </w:rPr>
      </w:pPr>
      <w:r>
        <w:rPr>
          <w:rFonts w:cstheme="minorHAnsi"/>
          <w:b/>
          <w:i/>
          <w:sz w:val="24"/>
          <w:szCs w:val="24"/>
        </w:rPr>
        <w:t xml:space="preserve">Suplemento I </w:t>
      </w:r>
      <w:r w:rsidRPr="0045288F">
        <w:rPr>
          <w:rFonts w:cstheme="minorHAnsi"/>
          <w:b/>
          <w:i/>
          <w:sz w:val="24"/>
          <w:szCs w:val="24"/>
        </w:rPr>
        <w:t>incluído pela Resolução CVM nº 184, de 31 de maio de 2023.</w:t>
      </w:r>
    </w:p>
    <w:p w14:paraId="23DB20F3" w14:textId="77777777" w:rsidR="00F461F9" w:rsidRDefault="00F461F9" w:rsidP="00457375">
      <w:pPr>
        <w:tabs>
          <w:tab w:val="left" w:pos="3795"/>
        </w:tabs>
        <w:spacing w:after="0"/>
        <w:rPr>
          <w:rFonts w:asciiTheme="minorHAnsi" w:eastAsiaTheme="minorHAnsi" w:hAnsiTheme="minorHAnsi" w:cstheme="minorBidi"/>
        </w:rPr>
      </w:pPr>
    </w:p>
    <w:p w14:paraId="1423A4FA" w14:textId="77777777" w:rsidR="00F461F9" w:rsidRPr="00457375" w:rsidRDefault="00F461F9" w:rsidP="00457375">
      <w:pPr>
        <w:tabs>
          <w:tab w:val="left" w:pos="3795"/>
        </w:tabs>
        <w:spacing w:after="0"/>
        <w:rPr>
          <w:rFonts w:asciiTheme="minorHAnsi" w:eastAsiaTheme="minorHAnsi" w:hAnsiTheme="minorHAnsi" w:cstheme="minorBidi"/>
        </w:rPr>
      </w:pPr>
    </w:p>
    <w:p w14:paraId="40BA4C20" w14:textId="77777777" w:rsidR="008C5242" w:rsidRDefault="008C5242" w:rsidP="00457375">
      <w:pPr>
        <w:tabs>
          <w:tab w:val="left" w:pos="3795"/>
        </w:tabs>
        <w:spacing w:after="0"/>
        <w:rPr>
          <w:rFonts w:asciiTheme="minorHAnsi" w:eastAsiaTheme="minorHAnsi" w:hAnsiTheme="minorHAnsi" w:cstheme="minorBidi"/>
        </w:rPr>
        <w:sectPr w:rsidR="008C5242" w:rsidSect="002A08BD">
          <w:headerReference w:type="default" r:id="rId46"/>
          <w:pgSz w:w="11906" w:h="16838"/>
          <w:pgMar w:top="2268" w:right="567" w:bottom="851" w:left="1134" w:header="709" w:footer="709" w:gutter="0"/>
          <w:cols w:space="708"/>
          <w:docGrid w:linePitch="360"/>
        </w:sectPr>
      </w:pPr>
    </w:p>
    <w:p w14:paraId="7D4AF398" w14:textId="77777777" w:rsidR="008C5242" w:rsidRPr="008C5242" w:rsidRDefault="008C5242" w:rsidP="008C5242">
      <w:pPr>
        <w:pStyle w:val="Ttulo1"/>
        <w:spacing w:before="0" w:after="0" w:line="240" w:lineRule="auto"/>
        <w:jc w:val="center"/>
        <w:rPr>
          <w:rFonts w:asciiTheme="minorHAnsi" w:hAnsiTheme="minorHAnsi" w:cstheme="minorHAnsi"/>
          <w:sz w:val="24"/>
          <w:szCs w:val="24"/>
        </w:rPr>
      </w:pPr>
      <w:bookmarkStart w:id="1508" w:name="_Toc161141455"/>
      <w:r w:rsidRPr="008C5242">
        <w:rPr>
          <w:rFonts w:asciiTheme="minorHAnsi" w:hAnsiTheme="minorHAnsi" w:cstheme="minorHAnsi"/>
          <w:sz w:val="24"/>
          <w:szCs w:val="24"/>
        </w:rPr>
        <w:lastRenderedPageBreak/>
        <w:t>SUPLEMENTO J – INFORME TRIMESTRAL –FII</w:t>
      </w:r>
      <w:bookmarkEnd w:id="1508"/>
    </w:p>
    <w:p w14:paraId="3F6FFF23" w14:textId="77777777" w:rsidR="008C5242" w:rsidRPr="008C5242" w:rsidRDefault="008C5242" w:rsidP="008C5242">
      <w:pPr>
        <w:spacing w:line="240" w:lineRule="auto"/>
        <w:jc w:val="center"/>
        <w:rPr>
          <w:rFonts w:asciiTheme="minorHAnsi" w:hAnsiTheme="minorHAnsi" w:cstheme="minorHAnsi"/>
          <w:i/>
          <w:sz w:val="24"/>
          <w:szCs w:val="24"/>
        </w:rPr>
      </w:pPr>
      <w:r w:rsidRPr="008C5242">
        <w:rPr>
          <w:rFonts w:asciiTheme="minorHAnsi" w:hAnsiTheme="minorHAnsi" w:cstheme="minorHAnsi"/>
          <w:i/>
          <w:sz w:val="24"/>
          <w:szCs w:val="24"/>
        </w:rPr>
        <w:t>Conteúdo do Informe Trimestral de FII, conforme previsto no art. 36, II, do Anexo Normativo III</w:t>
      </w:r>
    </w:p>
    <w:p w14:paraId="469BB15D" w14:textId="77777777" w:rsidR="008C5242" w:rsidRPr="009B7942" w:rsidRDefault="008C5242" w:rsidP="008C5242">
      <w:pPr>
        <w:spacing w:after="0" w:line="240" w:lineRule="auto"/>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2539"/>
        <w:gridCol w:w="2574"/>
      </w:tblGrid>
      <w:tr w:rsidR="008C5242" w:rsidRPr="00DF0428" w14:paraId="713C2571" w14:textId="77777777" w:rsidTr="003C7E27">
        <w:trPr>
          <w:trHeight w:val="300"/>
        </w:trPr>
        <w:tc>
          <w:tcPr>
            <w:tcW w:w="5083" w:type="dxa"/>
            <w:vAlign w:val="bottom"/>
          </w:tcPr>
          <w:p w14:paraId="5DF019D8"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Nome da Classe</w:t>
            </w:r>
          </w:p>
        </w:tc>
        <w:tc>
          <w:tcPr>
            <w:tcW w:w="2539" w:type="dxa"/>
            <w:vAlign w:val="bottom"/>
          </w:tcPr>
          <w:p w14:paraId="5F1C643C"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CNPJ da Classe</w:t>
            </w:r>
          </w:p>
        </w:tc>
        <w:tc>
          <w:tcPr>
            <w:tcW w:w="2574" w:type="dxa"/>
            <w:vAlign w:val="bottom"/>
          </w:tcPr>
          <w:p w14:paraId="5F3E39CC"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Data de Funcionamento</w:t>
            </w:r>
          </w:p>
        </w:tc>
      </w:tr>
      <w:tr w:rsidR="008C5242" w:rsidRPr="00DF0428" w14:paraId="0DCC4802" w14:textId="77777777" w:rsidTr="003C7E27">
        <w:trPr>
          <w:trHeight w:val="300"/>
        </w:trPr>
        <w:tc>
          <w:tcPr>
            <w:tcW w:w="5083" w:type="dxa"/>
            <w:vAlign w:val="bottom"/>
          </w:tcPr>
          <w:p w14:paraId="2B755431" w14:textId="77777777" w:rsidR="008C5242" w:rsidRPr="00DF0428" w:rsidRDefault="008C5242" w:rsidP="003C7E27">
            <w:pPr>
              <w:spacing w:after="0" w:line="240" w:lineRule="auto"/>
              <w:ind w:right="-1"/>
              <w:rPr>
                <w:rFonts w:ascii="Calibri" w:eastAsia="Yu Mincho" w:hAnsi="Calibri" w:cs="Arial"/>
                <w:b/>
                <w:bCs/>
                <w:color w:val="000000"/>
                <w:lang w:eastAsia="pt-BR"/>
              </w:rPr>
            </w:pPr>
            <w:r w:rsidRPr="00DF0428">
              <w:rPr>
                <w:rFonts w:ascii="Calibri" w:eastAsia="Yu Mincho" w:hAnsi="Calibri" w:cs="Arial"/>
                <w:b/>
                <w:bCs/>
                <w:color w:val="000000"/>
                <w:lang w:eastAsia="pt-BR"/>
              </w:rPr>
              <w:t>Público-Alvo (Investidores em geral, Investidor Qualificado ou Profissional)</w:t>
            </w:r>
          </w:p>
        </w:tc>
        <w:tc>
          <w:tcPr>
            <w:tcW w:w="2539" w:type="dxa"/>
            <w:vAlign w:val="bottom"/>
          </w:tcPr>
          <w:p w14:paraId="4F2BA441"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Código ISIN</w:t>
            </w:r>
          </w:p>
        </w:tc>
        <w:tc>
          <w:tcPr>
            <w:tcW w:w="2574" w:type="dxa"/>
            <w:vAlign w:val="bottom"/>
          </w:tcPr>
          <w:p w14:paraId="58494441"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Quantidade de cotas emitidas</w:t>
            </w:r>
          </w:p>
        </w:tc>
      </w:tr>
      <w:tr w:rsidR="008C5242" w:rsidRPr="00DF0428" w14:paraId="3F02EB9D" w14:textId="77777777" w:rsidTr="003C7E27">
        <w:trPr>
          <w:trHeight w:val="300"/>
        </w:trPr>
        <w:tc>
          <w:tcPr>
            <w:tcW w:w="5083" w:type="dxa"/>
            <w:vAlign w:val="bottom"/>
          </w:tcPr>
          <w:p w14:paraId="70F338C2"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Classe Exclusiva (Sim ou Não)</w:t>
            </w:r>
          </w:p>
        </w:tc>
        <w:tc>
          <w:tcPr>
            <w:tcW w:w="5113" w:type="dxa"/>
            <w:gridSpan w:val="2"/>
            <w:vAlign w:val="bottom"/>
          </w:tcPr>
          <w:p w14:paraId="3DD567FB"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Cotistas possuem vínculo familiar ou societário familiar (Sim ou Não)</w:t>
            </w:r>
          </w:p>
        </w:tc>
      </w:tr>
      <w:tr w:rsidR="008C5242" w:rsidRPr="00DF0428" w14:paraId="53A56397" w14:textId="77777777" w:rsidTr="003C7E27">
        <w:trPr>
          <w:trHeight w:val="300"/>
        </w:trPr>
        <w:tc>
          <w:tcPr>
            <w:tcW w:w="10196" w:type="dxa"/>
            <w:gridSpan w:val="3"/>
            <w:vAlign w:val="bottom"/>
          </w:tcPr>
          <w:p w14:paraId="6E15C14C"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Classificação autorregulação (se houver)</w:t>
            </w:r>
          </w:p>
        </w:tc>
      </w:tr>
      <w:tr w:rsidR="008C5242" w:rsidRPr="00DF0428" w14:paraId="187F7A7A" w14:textId="77777777" w:rsidTr="003C7E27">
        <w:trPr>
          <w:trHeight w:val="300"/>
        </w:trPr>
        <w:tc>
          <w:tcPr>
            <w:tcW w:w="5083" w:type="dxa"/>
            <w:vAlign w:val="bottom"/>
          </w:tcPr>
          <w:p w14:paraId="0AEA6FC0"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Prazo de Duração</w:t>
            </w:r>
          </w:p>
        </w:tc>
        <w:tc>
          <w:tcPr>
            <w:tcW w:w="5113" w:type="dxa"/>
            <w:gridSpan w:val="2"/>
            <w:vAlign w:val="bottom"/>
          </w:tcPr>
          <w:p w14:paraId="5ECDCEB2"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Encerramento do exercício social</w:t>
            </w:r>
          </w:p>
        </w:tc>
      </w:tr>
      <w:tr w:rsidR="008C5242" w:rsidRPr="00DF0428" w14:paraId="427F234D" w14:textId="77777777" w:rsidTr="003C7E27">
        <w:trPr>
          <w:trHeight w:val="300"/>
        </w:trPr>
        <w:tc>
          <w:tcPr>
            <w:tcW w:w="5083" w:type="dxa"/>
            <w:vAlign w:val="bottom"/>
          </w:tcPr>
          <w:p w14:paraId="6D8A5ECD"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Mercado de negociação das cotas (Bolsa/MBO/MB não organizado)</w:t>
            </w:r>
          </w:p>
        </w:tc>
        <w:tc>
          <w:tcPr>
            <w:tcW w:w="5113" w:type="dxa"/>
            <w:gridSpan w:val="2"/>
            <w:vAlign w:val="bottom"/>
          </w:tcPr>
          <w:p w14:paraId="7063DF6C"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Entidade administradora de mercado organizado</w:t>
            </w:r>
          </w:p>
        </w:tc>
      </w:tr>
      <w:tr w:rsidR="008C5242" w:rsidRPr="00DF0428" w14:paraId="286FD8B9" w14:textId="77777777" w:rsidTr="003C7E27">
        <w:trPr>
          <w:trHeight w:val="300"/>
        </w:trPr>
        <w:tc>
          <w:tcPr>
            <w:tcW w:w="5083" w:type="dxa"/>
            <w:vAlign w:val="bottom"/>
          </w:tcPr>
          <w:p w14:paraId="227A1E8F"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Nome do Administrador</w:t>
            </w:r>
          </w:p>
        </w:tc>
        <w:tc>
          <w:tcPr>
            <w:tcW w:w="5113" w:type="dxa"/>
            <w:gridSpan w:val="2"/>
            <w:vAlign w:val="bottom"/>
          </w:tcPr>
          <w:p w14:paraId="41F328C5"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CNPJ do Administrador</w:t>
            </w:r>
          </w:p>
        </w:tc>
      </w:tr>
      <w:tr w:rsidR="008C5242" w:rsidRPr="00DF0428" w14:paraId="217098E4" w14:textId="77777777" w:rsidTr="003C7E27">
        <w:trPr>
          <w:trHeight w:val="300"/>
        </w:trPr>
        <w:tc>
          <w:tcPr>
            <w:tcW w:w="5083" w:type="dxa"/>
            <w:vAlign w:val="bottom"/>
          </w:tcPr>
          <w:p w14:paraId="65D9EBCD"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Endereço</w:t>
            </w:r>
          </w:p>
        </w:tc>
        <w:tc>
          <w:tcPr>
            <w:tcW w:w="5113" w:type="dxa"/>
            <w:gridSpan w:val="2"/>
            <w:vAlign w:val="bottom"/>
          </w:tcPr>
          <w:p w14:paraId="7437F2F5"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Telefones</w:t>
            </w:r>
          </w:p>
        </w:tc>
      </w:tr>
      <w:tr w:rsidR="008C5242" w:rsidRPr="00DF0428" w14:paraId="67EA0347" w14:textId="77777777" w:rsidTr="003C7E27">
        <w:trPr>
          <w:trHeight w:val="300"/>
        </w:trPr>
        <w:tc>
          <w:tcPr>
            <w:tcW w:w="5083" w:type="dxa"/>
            <w:vAlign w:val="bottom"/>
          </w:tcPr>
          <w:p w14:paraId="77A62E47"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Site</w:t>
            </w:r>
          </w:p>
        </w:tc>
        <w:tc>
          <w:tcPr>
            <w:tcW w:w="5113" w:type="dxa"/>
            <w:gridSpan w:val="2"/>
            <w:vAlign w:val="bottom"/>
          </w:tcPr>
          <w:p w14:paraId="3D4A56A0"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E-mail</w:t>
            </w:r>
          </w:p>
        </w:tc>
      </w:tr>
      <w:tr w:rsidR="008C5242" w:rsidRPr="00DF0428" w14:paraId="17F025AF" w14:textId="77777777" w:rsidTr="003C7E27">
        <w:trPr>
          <w:trHeight w:val="300"/>
        </w:trPr>
        <w:tc>
          <w:tcPr>
            <w:tcW w:w="5083" w:type="dxa"/>
            <w:vAlign w:val="bottom"/>
          </w:tcPr>
          <w:p w14:paraId="178C9BC1"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Competência</w:t>
            </w:r>
          </w:p>
        </w:tc>
        <w:tc>
          <w:tcPr>
            <w:tcW w:w="5113" w:type="dxa"/>
            <w:gridSpan w:val="2"/>
            <w:vAlign w:val="bottom"/>
          </w:tcPr>
          <w:p w14:paraId="083FF03E" w14:textId="77777777" w:rsidR="008C5242" w:rsidRPr="00DF0428" w:rsidRDefault="008C5242" w:rsidP="003C7E27">
            <w:pPr>
              <w:spacing w:after="0" w:line="240" w:lineRule="auto"/>
              <w:ind w:right="-1"/>
              <w:rPr>
                <w:rFonts w:ascii="Calibri" w:eastAsia="Yu Mincho" w:hAnsi="Calibri" w:cs="Calibri"/>
                <w:b/>
                <w:color w:val="000000"/>
                <w:lang w:eastAsia="pt-BR"/>
              </w:rPr>
            </w:pPr>
            <w:r w:rsidRPr="00DF0428">
              <w:rPr>
                <w:rFonts w:ascii="Calibri" w:eastAsia="Yu Mincho" w:hAnsi="Calibri" w:cs="Calibri"/>
                <w:b/>
                <w:color w:val="000000"/>
                <w:lang w:eastAsia="pt-BR"/>
              </w:rPr>
              <w:t>t/aaaa</w:t>
            </w:r>
          </w:p>
        </w:tc>
      </w:tr>
    </w:tbl>
    <w:p w14:paraId="72E27606" w14:textId="77777777" w:rsidR="008C5242" w:rsidRDefault="008C5242" w:rsidP="008C5242">
      <w:pPr>
        <w:spacing w:after="0" w:line="240" w:lineRule="auto"/>
        <w:ind w:left="-284"/>
        <w:rPr>
          <w:rFonts w:eastAsia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64"/>
        <w:gridCol w:w="122"/>
        <w:gridCol w:w="290"/>
        <w:gridCol w:w="461"/>
        <w:gridCol w:w="88"/>
        <w:gridCol w:w="177"/>
        <w:gridCol w:w="691"/>
        <w:gridCol w:w="661"/>
        <w:gridCol w:w="175"/>
        <w:gridCol w:w="646"/>
        <w:gridCol w:w="840"/>
        <w:gridCol w:w="145"/>
        <w:gridCol w:w="171"/>
        <w:gridCol w:w="689"/>
        <w:gridCol w:w="555"/>
        <w:gridCol w:w="41"/>
        <w:gridCol w:w="114"/>
        <w:gridCol w:w="149"/>
        <w:gridCol w:w="667"/>
        <w:gridCol w:w="899"/>
      </w:tblGrid>
      <w:tr w:rsidR="008C5242" w:rsidRPr="00DF0428" w14:paraId="2E343A8F" w14:textId="77777777" w:rsidTr="003C7E27">
        <w:trPr>
          <w:trHeight w:hRule="exact" w:val="549"/>
        </w:trPr>
        <w:tc>
          <w:tcPr>
            <w:tcW w:w="368" w:type="pct"/>
          </w:tcPr>
          <w:p w14:paraId="74D6C102" w14:textId="77777777" w:rsidR="008C5242" w:rsidRPr="00DF0428" w:rsidRDefault="008C5242" w:rsidP="003C7E27">
            <w:pPr>
              <w:ind w:right="-1"/>
              <w:rPr>
                <w:rFonts w:ascii="Calibri" w:eastAsia="Yu Mincho" w:hAnsi="Calibri" w:cs="Calibri"/>
                <w:b/>
                <w:lang w:eastAsia="pt-BR"/>
              </w:rPr>
            </w:pPr>
            <w:r w:rsidRPr="00DF0428">
              <w:rPr>
                <w:rFonts w:ascii="Calibri" w:eastAsia="Yu Mincho" w:hAnsi="Calibri" w:cs="Calibri"/>
                <w:b/>
                <w:lang w:eastAsia="pt-BR"/>
              </w:rPr>
              <w:t>1.</w:t>
            </w:r>
          </w:p>
        </w:tc>
        <w:tc>
          <w:tcPr>
            <w:tcW w:w="4632" w:type="pct"/>
            <w:gridSpan w:val="20"/>
            <w:shd w:val="clear" w:color="auto" w:fill="auto"/>
          </w:tcPr>
          <w:p w14:paraId="6DB75B3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Informações por tipo de ativo</w:t>
            </w:r>
          </w:p>
        </w:tc>
      </w:tr>
      <w:tr w:rsidR="008C5242" w:rsidRPr="00DF0428" w14:paraId="61DE61C5" w14:textId="77777777" w:rsidTr="003C7E27">
        <w:trPr>
          <w:trHeight w:hRule="exact" w:val="569"/>
        </w:trPr>
        <w:tc>
          <w:tcPr>
            <w:tcW w:w="368" w:type="pct"/>
            <w:vAlign w:val="bottom"/>
          </w:tcPr>
          <w:p w14:paraId="24B73C1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w:t>
            </w:r>
          </w:p>
        </w:tc>
        <w:tc>
          <w:tcPr>
            <w:tcW w:w="4632" w:type="pct"/>
            <w:gridSpan w:val="20"/>
            <w:vAlign w:val="bottom"/>
          </w:tcPr>
          <w:p w14:paraId="248A1F45"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Direitos reais sobre bens imóveis</w:t>
            </w:r>
          </w:p>
        </w:tc>
      </w:tr>
      <w:tr w:rsidR="008C5242" w:rsidRPr="00DF0428" w14:paraId="7487AFCE" w14:textId="77777777" w:rsidTr="003C7E27">
        <w:trPr>
          <w:trHeight w:hRule="exact" w:val="516"/>
        </w:trPr>
        <w:tc>
          <w:tcPr>
            <w:tcW w:w="368" w:type="pct"/>
            <w:vMerge w:val="restart"/>
          </w:tcPr>
          <w:p w14:paraId="2B59BC40"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1.1.1</w:t>
            </w:r>
          </w:p>
          <w:p w14:paraId="2C97BC7E" w14:textId="77777777" w:rsidR="008C5242" w:rsidRPr="00DF0428" w:rsidRDefault="008C5242" w:rsidP="003C7E27">
            <w:pPr>
              <w:spacing w:after="0" w:line="240" w:lineRule="auto"/>
              <w:ind w:right="-1"/>
              <w:rPr>
                <w:rFonts w:ascii="Calibri" w:eastAsia="Yu Mincho" w:hAnsi="Calibri" w:cs="Calibri"/>
                <w:b/>
                <w:lang w:eastAsia="pt-BR"/>
              </w:rPr>
            </w:pPr>
          </w:p>
        </w:tc>
        <w:tc>
          <w:tcPr>
            <w:tcW w:w="4632" w:type="pct"/>
            <w:gridSpan w:val="20"/>
          </w:tcPr>
          <w:p w14:paraId="5426EE10"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Terrenos</w:t>
            </w:r>
          </w:p>
        </w:tc>
      </w:tr>
      <w:tr w:rsidR="008C5242" w:rsidRPr="00DF0428" w14:paraId="441BE982" w14:textId="77777777" w:rsidTr="003C7E27">
        <w:trPr>
          <w:trHeight w:val="284"/>
        </w:trPr>
        <w:tc>
          <w:tcPr>
            <w:tcW w:w="368" w:type="pct"/>
            <w:vMerge/>
          </w:tcPr>
          <w:p w14:paraId="1470636E" w14:textId="77777777" w:rsidR="008C5242" w:rsidRPr="00DF0428" w:rsidRDefault="008C5242" w:rsidP="003C7E27">
            <w:pPr>
              <w:spacing w:after="0" w:line="240" w:lineRule="auto"/>
              <w:ind w:right="-1"/>
              <w:rPr>
                <w:rFonts w:ascii="Calibri" w:eastAsia="Times New Roman" w:hAnsi="Calibri" w:cs="Calibri"/>
                <w:lang w:eastAsia="pt-BR"/>
              </w:rPr>
            </w:pPr>
          </w:p>
        </w:tc>
        <w:tc>
          <w:tcPr>
            <w:tcW w:w="2135" w:type="pct"/>
            <w:gridSpan w:val="8"/>
          </w:tcPr>
          <w:p w14:paraId="36A33486"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Relação de terrenos (endereço, entre outras características relevantes¹)</w:t>
            </w:r>
          </w:p>
        </w:tc>
        <w:tc>
          <w:tcPr>
            <w:tcW w:w="815" w:type="pct"/>
            <w:gridSpan w:val="3"/>
          </w:tcPr>
          <w:p w14:paraId="2E22D00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Área (m2)</w:t>
            </w:r>
          </w:p>
        </w:tc>
        <w:tc>
          <w:tcPr>
            <w:tcW w:w="841" w:type="pct"/>
            <w:gridSpan w:val="6"/>
          </w:tcPr>
          <w:p w14:paraId="08942E42"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terreno em relação ao total investido (% em relação ao valor total de terrenos)</w:t>
            </w:r>
          </w:p>
        </w:tc>
        <w:tc>
          <w:tcPr>
            <w:tcW w:w="841" w:type="pct"/>
            <w:gridSpan w:val="3"/>
          </w:tcPr>
          <w:p w14:paraId="37BF61E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em relação às receitas do FII.</w:t>
            </w:r>
          </w:p>
        </w:tc>
      </w:tr>
      <w:tr w:rsidR="008C5242" w:rsidRPr="00DF0428" w14:paraId="528C0C21" w14:textId="77777777" w:rsidTr="003C7E27">
        <w:trPr>
          <w:trHeight w:val="284"/>
        </w:trPr>
        <w:tc>
          <w:tcPr>
            <w:tcW w:w="368" w:type="pct"/>
            <w:vMerge/>
          </w:tcPr>
          <w:p w14:paraId="7DD9ED19"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2135" w:type="pct"/>
            <w:gridSpan w:val="8"/>
          </w:tcPr>
          <w:p w14:paraId="2C69E639"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Terreno 1</w:t>
            </w:r>
          </w:p>
        </w:tc>
        <w:tc>
          <w:tcPr>
            <w:tcW w:w="815" w:type="pct"/>
            <w:gridSpan w:val="3"/>
          </w:tcPr>
          <w:p w14:paraId="75B1E235"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6"/>
          </w:tcPr>
          <w:p w14:paraId="444012B9"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3"/>
          </w:tcPr>
          <w:p w14:paraId="691B2CA1"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5DCDA66" w14:textId="77777777" w:rsidTr="003C7E27">
        <w:trPr>
          <w:trHeight w:val="284"/>
        </w:trPr>
        <w:tc>
          <w:tcPr>
            <w:tcW w:w="368" w:type="pct"/>
            <w:vMerge/>
          </w:tcPr>
          <w:p w14:paraId="61BA408D"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2135" w:type="pct"/>
            <w:gridSpan w:val="8"/>
          </w:tcPr>
          <w:p w14:paraId="414B5703"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Terreno 2</w:t>
            </w:r>
          </w:p>
        </w:tc>
        <w:tc>
          <w:tcPr>
            <w:tcW w:w="815" w:type="pct"/>
            <w:gridSpan w:val="3"/>
          </w:tcPr>
          <w:p w14:paraId="0255D640"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6"/>
          </w:tcPr>
          <w:p w14:paraId="320905A8"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3"/>
          </w:tcPr>
          <w:p w14:paraId="1F2ABE8D"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6C1D31C" w14:textId="77777777" w:rsidTr="003C7E27">
        <w:trPr>
          <w:trHeight w:val="284"/>
        </w:trPr>
        <w:tc>
          <w:tcPr>
            <w:tcW w:w="368" w:type="pct"/>
            <w:vMerge/>
          </w:tcPr>
          <w:p w14:paraId="44B35737"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2135" w:type="pct"/>
            <w:gridSpan w:val="8"/>
          </w:tcPr>
          <w:p w14:paraId="2F25C2DB"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Terreno N</w:t>
            </w:r>
          </w:p>
        </w:tc>
        <w:tc>
          <w:tcPr>
            <w:tcW w:w="815" w:type="pct"/>
            <w:gridSpan w:val="3"/>
          </w:tcPr>
          <w:p w14:paraId="56B11849"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6"/>
          </w:tcPr>
          <w:p w14:paraId="62FD825B" w14:textId="77777777" w:rsidR="008C5242" w:rsidRPr="00DF0428" w:rsidRDefault="008C5242" w:rsidP="003C7E27">
            <w:pPr>
              <w:spacing w:after="0" w:line="240" w:lineRule="auto"/>
              <w:ind w:right="-1"/>
              <w:rPr>
                <w:rFonts w:ascii="Calibri" w:eastAsia="Yu Mincho" w:hAnsi="Calibri" w:cs="Calibri"/>
                <w:b/>
                <w:lang w:eastAsia="pt-BR"/>
              </w:rPr>
            </w:pPr>
          </w:p>
        </w:tc>
        <w:tc>
          <w:tcPr>
            <w:tcW w:w="841" w:type="pct"/>
            <w:gridSpan w:val="3"/>
          </w:tcPr>
          <w:p w14:paraId="327ED51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451342E" w14:textId="77777777" w:rsidTr="003C7E27">
        <w:trPr>
          <w:trHeight w:hRule="exact" w:val="486"/>
        </w:trPr>
        <w:tc>
          <w:tcPr>
            <w:tcW w:w="368" w:type="pct"/>
          </w:tcPr>
          <w:p w14:paraId="14CCA766"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1.1.2</w:t>
            </w:r>
          </w:p>
        </w:tc>
        <w:tc>
          <w:tcPr>
            <w:tcW w:w="4632" w:type="pct"/>
            <w:gridSpan w:val="20"/>
          </w:tcPr>
          <w:p w14:paraId="0A3EBFD0"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Imóveis</w:t>
            </w:r>
          </w:p>
        </w:tc>
      </w:tr>
      <w:tr w:rsidR="008C5242" w:rsidRPr="00DF0428" w14:paraId="0B73604A" w14:textId="77777777" w:rsidTr="003C7E27">
        <w:trPr>
          <w:trHeight w:hRule="exact" w:val="475"/>
        </w:trPr>
        <w:tc>
          <w:tcPr>
            <w:tcW w:w="368" w:type="pct"/>
          </w:tcPr>
          <w:p w14:paraId="5A4B833B" w14:textId="77777777" w:rsidR="008C5242" w:rsidRPr="00C53631" w:rsidRDefault="008C5242" w:rsidP="003C7E27">
            <w:pPr>
              <w:spacing w:after="0" w:line="240" w:lineRule="auto"/>
              <w:ind w:left="-110" w:right="-1"/>
              <w:rPr>
                <w:rFonts w:ascii="Calibri" w:eastAsia="Yu Mincho" w:hAnsi="Calibri" w:cs="Calibri"/>
                <w:b/>
                <w:lang w:eastAsia="pt-BR"/>
              </w:rPr>
            </w:pPr>
            <w:r w:rsidRPr="00C53631">
              <w:rPr>
                <w:rFonts w:ascii="Calibri" w:eastAsia="Yu Mincho" w:hAnsi="Calibri" w:cs="Calibri"/>
                <w:b/>
                <w:lang w:eastAsia="pt-BR"/>
              </w:rPr>
              <w:t>1.1.2.1</w:t>
            </w:r>
          </w:p>
        </w:tc>
        <w:tc>
          <w:tcPr>
            <w:tcW w:w="4632" w:type="pct"/>
            <w:gridSpan w:val="20"/>
          </w:tcPr>
          <w:p w14:paraId="1DF642F5"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Imóveis para renda acabados</w:t>
            </w:r>
          </w:p>
        </w:tc>
      </w:tr>
      <w:tr w:rsidR="008C5242" w:rsidRPr="00DF0428" w14:paraId="0193B231" w14:textId="77777777" w:rsidTr="003C7E27">
        <w:tc>
          <w:tcPr>
            <w:tcW w:w="368" w:type="pct"/>
            <w:vMerge w:val="restart"/>
          </w:tcPr>
          <w:p w14:paraId="64419B99"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1.1.2.1.1</w:t>
            </w:r>
          </w:p>
        </w:tc>
        <w:tc>
          <w:tcPr>
            <w:tcW w:w="974" w:type="pct"/>
            <w:gridSpan w:val="2"/>
          </w:tcPr>
          <w:p w14:paraId="43FB1692"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xml:space="preserve">Relação de Imóveis para renda acabados (nome, endereço, área – m2, nº de unidades ou lojas, </w:t>
            </w:r>
            <w:r w:rsidRPr="00DF0428">
              <w:rPr>
                <w:rFonts w:ascii="Calibri" w:eastAsia="Yu Mincho" w:hAnsi="Calibri" w:cs="Calibri"/>
                <w:b/>
                <w:lang w:eastAsia="pt-BR"/>
              </w:rPr>
              <w:lastRenderedPageBreak/>
              <w:t>entre outras características relevantes¹)</w:t>
            </w:r>
          </w:p>
        </w:tc>
        <w:tc>
          <w:tcPr>
            <w:tcW w:w="411" w:type="pct"/>
            <w:gridSpan w:val="3"/>
          </w:tcPr>
          <w:p w14:paraId="129DBEA7"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r w:rsidRPr="00DF0428">
              <w:rPr>
                <w:rFonts w:ascii="Calibri" w:eastAsia="Yu Mincho" w:hAnsi="Calibri" w:cs="Calibri"/>
                <w:b/>
                <w:lang w:eastAsia="pt-BR"/>
              </w:rPr>
              <w:lastRenderedPageBreak/>
              <w:t>% de Vacância</w:t>
            </w:r>
          </w:p>
        </w:tc>
        <w:tc>
          <w:tcPr>
            <w:tcW w:w="407" w:type="pct"/>
            <w:gridSpan w:val="2"/>
          </w:tcPr>
          <w:p w14:paraId="48A7B774"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r w:rsidRPr="00DF0428">
              <w:rPr>
                <w:rFonts w:ascii="Calibri" w:eastAsia="Yu Mincho" w:hAnsi="Calibri" w:cs="Calibri"/>
                <w:b/>
                <w:lang w:eastAsia="pt-BR"/>
              </w:rPr>
              <w:t xml:space="preserve">% de Inadimplência (a partir </w:t>
            </w:r>
            <w:r w:rsidRPr="00DF0428">
              <w:rPr>
                <w:rFonts w:ascii="Calibri" w:eastAsia="Yu Mincho" w:hAnsi="Calibri" w:cs="Calibri"/>
                <w:b/>
                <w:lang w:eastAsia="pt-BR"/>
              </w:rPr>
              <w:lastRenderedPageBreak/>
              <w:t>de 90 dias de atraso)</w:t>
            </w:r>
          </w:p>
        </w:tc>
        <w:tc>
          <w:tcPr>
            <w:tcW w:w="410" w:type="pct"/>
            <w:gridSpan w:val="2"/>
          </w:tcPr>
          <w:p w14:paraId="6535AC1D"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r w:rsidRPr="00DF0428">
              <w:rPr>
                <w:rFonts w:ascii="Calibri" w:eastAsia="Yu Mincho" w:hAnsi="Calibri" w:cs="Calibri"/>
                <w:b/>
                <w:lang w:eastAsia="pt-BR"/>
              </w:rPr>
              <w:lastRenderedPageBreak/>
              <w:t>% em relação às receit</w:t>
            </w:r>
            <w:r w:rsidRPr="00DF0428">
              <w:rPr>
                <w:rFonts w:ascii="Calibri" w:eastAsia="Yu Mincho" w:hAnsi="Calibri" w:cs="Calibri"/>
                <w:b/>
                <w:lang w:eastAsia="pt-BR"/>
              </w:rPr>
              <w:lastRenderedPageBreak/>
              <w:t>as do FII.</w:t>
            </w:r>
          </w:p>
        </w:tc>
        <w:tc>
          <w:tcPr>
            <w:tcW w:w="1494" w:type="pct"/>
            <w:gridSpan w:val="6"/>
          </w:tcPr>
          <w:p w14:paraId="5718BF9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lastRenderedPageBreak/>
              <w:t>Relação de setores de atuação dos inquilinos responsáveis por mais de 10% das receitas oriundas do imóvel</w:t>
            </w:r>
          </w:p>
        </w:tc>
        <w:tc>
          <w:tcPr>
            <w:tcW w:w="476" w:type="pct"/>
            <w:gridSpan w:val="4"/>
          </w:tcPr>
          <w:p w14:paraId="6B7B8CC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em relação às receitas oriunda</w:t>
            </w:r>
            <w:r w:rsidRPr="00DF0428">
              <w:rPr>
                <w:rFonts w:ascii="Calibri" w:eastAsia="Yu Mincho" w:hAnsi="Calibri" w:cs="Calibri"/>
                <w:b/>
                <w:lang w:eastAsia="pt-BR"/>
              </w:rPr>
              <w:lastRenderedPageBreak/>
              <w:t>s do imóvel</w:t>
            </w:r>
          </w:p>
        </w:tc>
        <w:tc>
          <w:tcPr>
            <w:tcW w:w="460" w:type="pct"/>
          </w:tcPr>
          <w:p w14:paraId="7DD5791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lastRenderedPageBreak/>
              <w:t>% em relação às receitas do FII.</w:t>
            </w:r>
          </w:p>
        </w:tc>
      </w:tr>
      <w:tr w:rsidR="008C5242" w:rsidRPr="00DF0428" w14:paraId="4308D8E0" w14:textId="77777777" w:rsidTr="003C7E27">
        <w:trPr>
          <w:trHeight w:val="28"/>
        </w:trPr>
        <w:tc>
          <w:tcPr>
            <w:tcW w:w="368" w:type="pct"/>
            <w:vMerge/>
          </w:tcPr>
          <w:p w14:paraId="1A27A9E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val="restart"/>
          </w:tcPr>
          <w:p w14:paraId="7EAD4A1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411" w:type="pct"/>
            <w:gridSpan w:val="3"/>
            <w:vMerge w:val="restart"/>
          </w:tcPr>
          <w:p w14:paraId="590178B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07" w:type="pct"/>
            <w:gridSpan w:val="2"/>
            <w:vMerge w:val="restart"/>
          </w:tcPr>
          <w:p w14:paraId="2881DB6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10" w:type="pct"/>
            <w:gridSpan w:val="2"/>
            <w:vMerge w:val="restart"/>
          </w:tcPr>
          <w:p w14:paraId="18CBCC9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494" w:type="pct"/>
            <w:gridSpan w:val="6"/>
          </w:tcPr>
          <w:p w14:paraId="5D74E7E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 xml:space="preserve">Setor de atuação do Inquilino 1 </w:t>
            </w:r>
          </w:p>
        </w:tc>
        <w:tc>
          <w:tcPr>
            <w:tcW w:w="476" w:type="pct"/>
            <w:gridSpan w:val="4"/>
          </w:tcPr>
          <w:p w14:paraId="68F1F025" w14:textId="77777777" w:rsidR="008C5242" w:rsidRPr="00DF0428" w:rsidRDefault="008C5242" w:rsidP="003C7E27">
            <w:pPr>
              <w:spacing w:after="0" w:line="240" w:lineRule="auto"/>
              <w:ind w:right="-1" w:firstLine="160"/>
              <w:rPr>
                <w:rFonts w:ascii="Calibri" w:eastAsia="Yu Mincho" w:hAnsi="Calibri" w:cs="Calibri"/>
                <w:lang w:eastAsia="pt-BR"/>
              </w:rPr>
            </w:pPr>
          </w:p>
        </w:tc>
        <w:tc>
          <w:tcPr>
            <w:tcW w:w="460" w:type="pct"/>
          </w:tcPr>
          <w:p w14:paraId="2496AA1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7A9C9093" w14:textId="77777777" w:rsidTr="003C7E27">
        <w:trPr>
          <w:trHeight w:val="27"/>
        </w:trPr>
        <w:tc>
          <w:tcPr>
            <w:tcW w:w="368" w:type="pct"/>
            <w:vMerge/>
          </w:tcPr>
          <w:p w14:paraId="4574E802"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30F57E6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54FE070F"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3061B0A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2EC2C73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01616CF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 xml:space="preserve">Setor de atuação do Inquilino 2 </w:t>
            </w:r>
          </w:p>
        </w:tc>
        <w:tc>
          <w:tcPr>
            <w:tcW w:w="476" w:type="pct"/>
            <w:gridSpan w:val="4"/>
          </w:tcPr>
          <w:p w14:paraId="119CF28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4D1004F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4AD61CF4" w14:textId="77777777" w:rsidTr="003C7E27">
        <w:trPr>
          <w:trHeight w:val="27"/>
        </w:trPr>
        <w:tc>
          <w:tcPr>
            <w:tcW w:w="368" w:type="pct"/>
            <w:vMerge/>
          </w:tcPr>
          <w:p w14:paraId="6363492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72F9E01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7716AF6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3C54666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0CEA334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0FBCD4F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 xml:space="preserve">Setor de atuação do Inquilino N </w:t>
            </w:r>
          </w:p>
        </w:tc>
        <w:tc>
          <w:tcPr>
            <w:tcW w:w="476" w:type="pct"/>
            <w:gridSpan w:val="4"/>
          </w:tcPr>
          <w:p w14:paraId="5A4238A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3985533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71981B3" w14:textId="77777777" w:rsidTr="003C7E27">
        <w:trPr>
          <w:trHeight w:val="55"/>
        </w:trPr>
        <w:tc>
          <w:tcPr>
            <w:tcW w:w="368" w:type="pct"/>
            <w:vMerge/>
          </w:tcPr>
          <w:p w14:paraId="13218A6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val="restart"/>
          </w:tcPr>
          <w:p w14:paraId="08C7F32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411" w:type="pct"/>
            <w:gridSpan w:val="3"/>
            <w:vMerge w:val="restart"/>
          </w:tcPr>
          <w:p w14:paraId="79C8EA0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07" w:type="pct"/>
            <w:gridSpan w:val="2"/>
            <w:vMerge w:val="restart"/>
          </w:tcPr>
          <w:p w14:paraId="2BC7D35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10" w:type="pct"/>
            <w:gridSpan w:val="2"/>
            <w:vMerge w:val="restart"/>
          </w:tcPr>
          <w:p w14:paraId="2C0433C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494" w:type="pct"/>
            <w:gridSpan w:val="6"/>
          </w:tcPr>
          <w:p w14:paraId="384364C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0C7F3B4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08120A1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2D57FEE2" w14:textId="77777777" w:rsidTr="003C7E27">
        <w:trPr>
          <w:trHeight w:val="54"/>
        </w:trPr>
        <w:tc>
          <w:tcPr>
            <w:tcW w:w="368" w:type="pct"/>
            <w:vMerge/>
          </w:tcPr>
          <w:p w14:paraId="6891811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31128A7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2F564CF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1CD3B53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00DBC0C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097F0B7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69E80CD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0642021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E9F2341" w14:textId="77777777" w:rsidTr="003C7E27">
        <w:trPr>
          <w:trHeight w:val="54"/>
        </w:trPr>
        <w:tc>
          <w:tcPr>
            <w:tcW w:w="368" w:type="pct"/>
            <w:vMerge/>
          </w:tcPr>
          <w:p w14:paraId="23D9F09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7AF02F3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6B513B8E"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2666B54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4D45B7B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06A5CD8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21CAC36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7AB64C6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6C5E9C4" w14:textId="77777777" w:rsidTr="003C7E27">
        <w:trPr>
          <w:trHeight w:val="55"/>
        </w:trPr>
        <w:tc>
          <w:tcPr>
            <w:tcW w:w="368" w:type="pct"/>
            <w:vMerge/>
          </w:tcPr>
          <w:p w14:paraId="7A1841D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val="restart"/>
          </w:tcPr>
          <w:p w14:paraId="0FA39F8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411" w:type="pct"/>
            <w:gridSpan w:val="3"/>
            <w:vMerge w:val="restart"/>
          </w:tcPr>
          <w:p w14:paraId="132C4C7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07" w:type="pct"/>
            <w:gridSpan w:val="2"/>
            <w:vMerge w:val="restart"/>
          </w:tcPr>
          <w:p w14:paraId="257E818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10" w:type="pct"/>
            <w:gridSpan w:val="2"/>
            <w:vMerge w:val="restart"/>
          </w:tcPr>
          <w:p w14:paraId="013C853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494" w:type="pct"/>
            <w:gridSpan w:val="6"/>
          </w:tcPr>
          <w:p w14:paraId="09CE7E8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51D8865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7AA77F2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592A898E" w14:textId="77777777" w:rsidTr="003C7E27">
        <w:trPr>
          <w:trHeight w:val="54"/>
        </w:trPr>
        <w:tc>
          <w:tcPr>
            <w:tcW w:w="368" w:type="pct"/>
            <w:vMerge/>
          </w:tcPr>
          <w:p w14:paraId="71A5BB93"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7E19D92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40ACBCF5"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3DD9CC5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6781B89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76936A8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106A5F3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5BD36DD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CBA854A" w14:textId="77777777" w:rsidTr="003C7E27">
        <w:trPr>
          <w:trHeight w:val="54"/>
        </w:trPr>
        <w:tc>
          <w:tcPr>
            <w:tcW w:w="368" w:type="pct"/>
            <w:vMerge/>
          </w:tcPr>
          <w:p w14:paraId="4FEBF75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974" w:type="pct"/>
            <w:gridSpan w:val="2"/>
            <w:vMerge/>
          </w:tcPr>
          <w:p w14:paraId="2A7D580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1" w:type="pct"/>
            <w:gridSpan w:val="3"/>
            <w:vMerge/>
          </w:tcPr>
          <w:p w14:paraId="25A76CBF"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07" w:type="pct"/>
            <w:gridSpan w:val="2"/>
            <w:vMerge/>
          </w:tcPr>
          <w:p w14:paraId="2303B18E"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410" w:type="pct"/>
            <w:gridSpan w:val="2"/>
            <w:vMerge/>
          </w:tcPr>
          <w:p w14:paraId="5FBF6A1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94" w:type="pct"/>
            <w:gridSpan w:val="6"/>
          </w:tcPr>
          <w:p w14:paraId="4D5564C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76" w:type="pct"/>
            <w:gridSpan w:val="4"/>
          </w:tcPr>
          <w:p w14:paraId="6007BBC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460" w:type="pct"/>
          </w:tcPr>
          <w:p w14:paraId="23BC5FF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4DCAA466" w14:textId="77777777" w:rsidTr="003C7E27">
        <w:trPr>
          <w:trHeight w:val="284"/>
        </w:trPr>
        <w:tc>
          <w:tcPr>
            <w:tcW w:w="368" w:type="pct"/>
            <w:vMerge w:val="restart"/>
          </w:tcPr>
          <w:p w14:paraId="6A981357"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w:t>
            </w:r>
            <w:r>
              <w:rPr>
                <w:rFonts w:ascii="Calibri" w:eastAsia="Yu Mincho" w:hAnsi="Calibri" w:cs="Calibri"/>
                <w:lang w:eastAsia="pt-BR"/>
              </w:rPr>
              <w:t>2</w:t>
            </w:r>
            <w:r w:rsidRPr="00DF0428">
              <w:rPr>
                <w:rFonts w:ascii="Calibri" w:eastAsia="Yu Mincho" w:hAnsi="Calibri" w:cs="Calibri"/>
                <w:lang w:eastAsia="pt-BR"/>
              </w:rPr>
              <w:t>.</w:t>
            </w:r>
            <w:r>
              <w:rPr>
                <w:rFonts w:ascii="Calibri" w:eastAsia="Yu Mincho" w:hAnsi="Calibri" w:cs="Calibri"/>
                <w:lang w:eastAsia="pt-BR"/>
              </w:rPr>
              <w:t>1</w:t>
            </w:r>
            <w:r w:rsidRPr="00DF0428">
              <w:rPr>
                <w:rFonts w:ascii="Calibri" w:eastAsia="Yu Mincho" w:hAnsi="Calibri" w:cs="Calibri"/>
                <w:lang w:eastAsia="pt-BR"/>
              </w:rPr>
              <w:t>.2</w:t>
            </w:r>
          </w:p>
        </w:tc>
        <w:tc>
          <w:tcPr>
            <w:tcW w:w="1385" w:type="pct"/>
            <w:gridSpan w:val="5"/>
          </w:tcPr>
          <w:p w14:paraId="672AD7E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Distribuição dos contratos de locação dos imóveis por prazo de vencimento</w:t>
            </w:r>
          </w:p>
        </w:tc>
        <w:tc>
          <w:tcPr>
            <w:tcW w:w="1624" w:type="pct"/>
            <w:gridSpan w:val="7"/>
          </w:tcPr>
          <w:p w14:paraId="71AAB1C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contratos dos imóveis alocados na faixa (% em relação ao valor total das receitas auferidas pela classe advindas de imóveis para renda acabados)</w:t>
            </w:r>
          </w:p>
        </w:tc>
        <w:tc>
          <w:tcPr>
            <w:tcW w:w="1623" w:type="pct"/>
            <w:gridSpan w:val="8"/>
          </w:tcPr>
          <w:p w14:paraId="3C741EB4"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contratos dos imóveis alocados na faixa (% em relação às receitas da classe)</w:t>
            </w:r>
          </w:p>
        </w:tc>
      </w:tr>
      <w:tr w:rsidR="008C5242" w:rsidRPr="00DF0428" w14:paraId="72648686" w14:textId="77777777" w:rsidTr="003C7E27">
        <w:trPr>
          <w:trHeight w:val="284"/>
        </w:trPr>
        <w:tc>
          <w:tcPr>
            <w:tcW w:w="368" w:type="pct"/>
            <w:vMerge/>
          </w:tcPr>
          <w:p w14:paraId="7211C20E"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2E4E8D9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Até 3 meses</w:t>
            </w:r>
          </w:p>
        </w:tc>
        <w:tc>
          <w:tcPr>
            <w:tcW w:w="1624" w:type="pct"/>
            <w:gridSpan w:val="7"/>
            <w:vAlign w:val="bottom"/>
          </w:tcPr>
          <w:p w14:paraId="169AD97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4D95442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3F14A41" w14:textId="77777777" w:rsidTr="003C7E27">
        <w:trPr>
          <w:trHeight w:val="284"/>
        </w:trPr>
        <w:tc>
          <w:tcPr>
            <w:tcW w:w="368" w:type="pct"/>
            <w:vMerge/>
          </w:tcPr>
          <w:p w14:paraId="1589B44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5ED5A2F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3 meses e 1 dia a 6 meses</w:t>
            </w:r>
          </w:p>
        </w:tc>
        <w:tc>
          <w:tcPr>
            <w:tcW w:w="1624" w:type="pct"/>
            <w:gridSpan w:val="7"/>
            <w:vAlign w:val="bottom"/>
          </w:tcPr>
          <w:p w14:paraId="44DAC1A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1743827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8E1EC53" w14:textId="77777777" w:rsidTr="003C7E27">
        <w:trPr>
          <w:trHeight w:val="284"/>
        </w:trPr>
        <w:tc>
          <w:tcPr>
            <w:tcW w:w="368" w:type="pct"/>
            <w:vMerge/>
          </w:tcPr>
          <w:p w14:paraId="2ABA617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4B3A523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6 meses e 1 dia a 9 meses</w:t>
            </w:r>
          </w:p>
        </w:tc>
        <w:tc>
          <w:tcPr>
            <w:tcW w:w="1624" w:type="pct"/>
            <w:gridSpan w:val="7"/>
            <w:vAlign w:val="bottom"/>
          </w:tcPr>
          <w:p w14:paraId="17702FF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45EBF9F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384EA30" w14:textId="77777777" w:rsidTr="003C7E27">
        <w:trPr>
          <w:trHeight w:val="284"/>
        </w:trPr>
        <w:tc>
          <w:tcPr>
            <w:tcW w:w="368" w:type="pct"/>
            <w:vMerge/>
          </w:tcPr>
          <w:p w14:paraId="5E33F355"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0A0AF32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9 meses e 1 dia a 12 meses</w:t>
            </w:r>
          </w:p>
        </w:tc>
        <w:tc>
          <w:tcPr>
            <w:tcW w:w="1624" w:type="pct"/>
            <w:gridSpan w:val="7"/>
            <w:vAlign w:val="bottom"/>
          </w:tcPr>
          <w:p w14:paraId="611EC88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74FFC71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88591B6" w14:textId="77777777" w:rsidTr="003C7E27">
        <w:trPr>
          <w:trHeight w:val="284"/>
        </w:trPr>
        <w:tc>
          <w:tcPr>
            <w:tcW w:w="368" w:type="pct"/>
            <w:vMerge/>
          </w:tcPr>
          <w:p w14:paraId="6D18F59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7192D75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12 meses e 1 dia a 15 meses</w:t>
            </w:r>
          </w:p>
        </w:tc>
        <w:tc>
          <w:tcPr>
            <w:tcW w:w="1624" w:type="pct"/>
            <w:gridSpan w:val="7"/>
            <w:vAlign w:val="bottom"/>
          </w:tcPr>
          <w:p w14:paraId="295BAF5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3D61B5B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776CAC43" w14:textId="77777777" w:rsidTr="003C7E27">
        <w:trPr>
          <w:trHeight w:val="284"/>
        </w:trPr>
        <w:tc>
          <w:tcPr>
            <w:tcW w:w="368" w:type="pct"/>
            <w:vMerge/>
          </w:tcPr>
          <w:p w14:paraId="6733D79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4AE2D25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15 meses e 1 dia a 18 meses</w:t>
            </w:r>
          </w:p>
        </w:tc>
        <w:tc>
          <w:tcPr>
            <w:tcW w:w="1624" w:type="pct"/>
            <w:gridSpan w:val="7"/>
            <w:vAlign w:val="bottom"/>
          </w:tcPr>
          <w:p w14:paraId="7AAB16B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1093212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2B27208" w14:textId="77777777" w:rsidTr="003C7E27">
        <w:trPr>
          <w:trHeight w:val="284"/>
        </w:trPr>
        <w:tc>
          <w:tcPr>
            <w:tcW w:w="368" w:type="pct"/>
            <w:vMerge/>
          </w:tcPr>
          <w:p w14:paraId="1F197C4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2FC1860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18 meses e 1 dia a 21 meses</w:t>
            </w:r>
          </w:p>
        </w:tc>
        <w:tc>
          <w:tcPr>
            <w:tcW w:w="1624" w:type="pct"/>
            <w:gridSpan w:val="7"/>
            <w:vAlign w:val="bottom"/>
          </w:tcPr>
          <w:p w14:paraId="2E3FE3B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64105C5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556C0CC" w14:textId="77777777" w:rsidTr="003C7E27">
        <w:trPr>
          <w:trHeight w:val="284"/>
        </w:trPr>
        <w:tc>
          <w:tcPr>
            <w:tcW w:w="368" w:type="pct"/>
            <w:vMerge/>
          </w:tcPr>
          <w:p w14:paraId="72CD783E"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4F8ACC7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21 meses e 1 dia a 24 meses</w:t>
            </w:r>
          </w:p>
        </w:tc>
        <w:tc>
          <w:tcPr>
            <w:tcW w:w="1624" w:type="pct"/>
            <w:gridSpan w:val="7"/>
            <w:vAlign w:val="bottom"/>
          </w:tcPr>
          <w:p w14:paraId="1AD311C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2E5EC92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CF9752F" w14:textId="77777777" w:rsidTr="003C7E27">
        <w:trPr>
          <w:trHeight w:val="284"/>
        </w:trPr>
        <w:tc>
          <w:tcPr>
            <w:tcW w:w="368" w:type="pct"/>
            <w:vMerge/>
          </w:tcPr>
          <w:p w14:paraId="6C2F025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627A82B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24 meses e 1 dia a 27 meses</w:t>
            </w:r>
          </w:p>
        </w:tc>
        <w:tc>
          <w:tcPr>
            <w:tcW w:w="1624" w:type="pct"/>
            <w:gridSpan w:val="7"/>
            <w:vAlign w:val="bottom"/>
          </w:tcPr>
          <w:p w14:paraId="10F5E46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4448EEA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57B7367" w14:textId="77777777" w:rsidTr="003C7E27">
        <w:trPr>
          <w:trHeight w:val="284"/>
        </w:trPr>
        <w:tc>
          <w:tcPr>
            <w:tcW w:w="368" w:type="pct"/>
            <w:vMerge/>
          </w:tcPr>
          <w:p w14:paraId="49115C1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3A07049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27 meses e 1 dia a 30 meses</w:t>
            </w:r>
          </w:p>
        </w:tc>
        <w:tc>
          <w:tcPr>
            <w:tcW w:w="1624" w:type="pct"/>
            <w:gridSpan w:val="7"/>
            <w:vAlign w:val="bottom"/>
          </w:tcPr>
          <w:p w14:paraId="3A4923E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22F3FE9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DC13970" w14:textId="77777777" w:rsidTr="003C7E27">
        <w:trPr>
          <w:trHeight w:val="284"/>
        </w:trPr>
        <w:tc>
          <w:tcPr>
            <w:tcW w:w="368" w:type="pct"/>
            <w:vMerge/>
          </w:tcPr>
          <w:p w14:paraId="6C06E9E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6047C7D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30 meses e 1 dia a 33 meses</w:t>
            </w:r>
          </w:p>
        </w:tc>
        <w:tc>
          <w:tcPr>
            <w:tcW w:w="1624" w:type="pct"/>
            <w:gridSpan w:val="7"/>
            <w:vAlign w:val="bottom"/>
          </w:tcPr>
          <w:p w14:paraId="3CCB42D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5CCF74D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414DB57" w14:textId="77777777" w:rsidTr="003C7E27">
        <w:trPr>
          <w:trHeight w:val="284"/>
        </w:trPr>
        <w:tc>
          <w:tcPr>
            <w:tcW w:w="368" w:type="pct"/>
            <w:vMerge/>
          </w:tcPr>
          <w:p w14:paraId="18C54A6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63C49E5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De 33 meses e 1 dia a 36 meses</w:t>
            </w:r>
          </w:p>
        </w:tc>
        <w:tc>
          <w:tcPr>
            <w:tcW w:w="1624" w:type="pct"/>
            <w:gridSpan w:val="7"/>
            <w:vAlign w:val="bottom"/>
          </w:tcPr>
          <w:p w14:paraId="08FB8E0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358395C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42CB462E" w14:textId="77777777" w:rsidTr="003C7E27">
        <w:trPr>
          <w:trHeight w:val="284"/>
        </w:trPr>
        <w:tc>
          <w:tcPr>
            <w:tcW w:w="368" w:type="pct"/>
            <w:vMerge/>
          </w:tcPr>
          <w:p w14:paraId="7F2F645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5829E96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Acima de 36 meses</w:t>
            </w:r>
          </w:p>
        </w:tc>
        <w:tc>
          <w:tcPr>
            <w:tcW w:w="1624" w:type="pct"/>
            <w:gridSpan w:val="7"/>
            <w:vAlign w:val="bottom"/>
          </w:tcPr>
          <w:p w14:paraId="5AEBCF1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2374617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575816CF" w14:textId="77777777" w:rsidTr="003C7E27">
        <w:trPr>
          <w:trHeight w:val="284"/>
        </w:trPr>
        <w:tc>
          <w:tcPr>
            <w:tcW w:w="368" w:type="pct"/>
          </w:tcPr>
          <w:p w14:paraId="0B501E8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385" w:type="pct"/>
            <w:gridSpan w:val="5"/>
            <w:shd w:val="clear" w:color="auto" w:fill="auto"/>
            <w:vAlign w:val="bottom"/>
          </w:tcPr>
          <w:p w14:paraId="1BB0671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Prazo indeterminado</w:t>
            </w:r>
          </w:p>
        </w:tc>
        <w:tc>
          <w:tcPr>
            <w:tcW w:w="1624" w:type="pct"/>
            <w:gridSpan w:val="7"/>
            <w:shd w:val="clear" w:color="auto" w:fill="auto"/>
            <w:vAlign w:val="bottom"/>
          </w:tcPr>
          <w:p w14:paraId="596F470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shd w:val="clear" w:color="auto" w:fill="auto"/>
            <w:vAlign w:val="bottom"/>
          </w:tcPr>
          <w:p w14:paraId="1D04AC7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55F8709F" w14:textId="77777777" w:rsidTr="003C7E27">
        <w:trPr>
          <w:trHeight w:val="284"/>
        </w:trPr>
        <w:tc>
          <w:tcPr>
            <w:tcW w:w="368" w:type="pct"/>
            <w:vMerge w:val="restart"/>
          </w:tcPr>
          <w:p w14:paraId="696FE008"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w:t>
            </w:r>
            <w:r>
              <w:rPr>
                <w:rFonts w:ascii="Calibri" w:eastAsia="Yu Mincho" w:hAnsi="Calibri" w:cs="Calibri"/>
                <w:lang w:eastAsia="pt-BR"/>
              </w:rPr>
              <w:t>2</w:t>
            </w:r>
            <w:r w:rsidRPr="00DF0428">
              <w:rPr>
                <w:rFonts w:ascii="Calibri" w:eastAsia="Yu Mincho" w:hAnsi="Calibri" w:cs="Calibri"/>
                <w:lang w:eastAsia="pt-BR"/>
              </w:rPr>
              <w:t>.</w:t>
            </w:r>
            <w:r>
              <w:rPr>
                <w:rFonts w:ascii="Calibri" w:eastAsia="Yu Mincho" w:hAnsi="Calibri" w:cs="Calibri"/>
                <w:lang w:eastAsia="pt-BR"/>
              </w:rPr>
              <w:t>1</w:t>
            </w:r>
            <w:r w:rsidRPr="00DF0428">
              <w:rPr>
                <w:rFonts w:ascii="Calibri" w:eastAsia="Yu Mincho" w:hAnsi="Calibri" w:cs="Calibri"/>
                <w:lang w:eastAsia="pt-BR"/>
              </w:rPr>
              <w:t>.3</w:t>
            </w:r>
          </w:p>
        </w:tc>
        <w:tc>
          <w:tcPr>
            <w:tcW w:w="1385" w:type="pct"/>
            <w:gridSpan w:val="5"/>
          </w:tcPr>
          <w:p w14:paraId="03F2952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xml:space="preserve">Distribuição dos contratos dos imóveis por indexador de reajuste </w:t>
            </w:r>
          </w:p>
        </w:tc>
        <w:tc>
          <w:tcPr>
            <w:tcW w:w="1624" w:type="pct"/>
            <w:gridSpan w:val="7"/>
            <w:vAlign w:val="bottom"/>
          </w:tcPr>
          <w:p w14:paraId="0C50075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contratos dos imóveis reajustados pelo respectivo indexador (% em relação ao valor total das receitas auferidas pela classe advindas de imóveis para renda acabados)</w:t>
            </w:r>
          </w:p>
        </w:tc>
        <w:tc>
          <w:tcPr>
            <w:tcW w:w="1623" w:type="pct"/>
            <w:gridSpan w:val="8"/>
            <w:vAlign w:val="bottom"/>
          </w:tcPr>
          <w:p w14:paraId="7536E4E7"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contratos dos imóveis reajustados pelo respectivo indexador (% em relação às receitas da classe)</w:t>
            </w:r>
          </w:p>
        </w:tc>
      </w:tr>
      <w:tr w:rsidR="008C5242" w:rsidRPr="00DF0428" w14:paraId="36E1FCF2" w14:textId="77777777" w:rsidTr="003C7E27">
        <w:trPr>
          <w:trHeight w:val="284"/>
        </w:trPr>
        <w:tc>
          <w:tcPr>
            <w:tcW w:w="368" w:type="pct"/>
            <w:vMerge/>
          </w:tcPr>
          <w:p w14:paraId="3705639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64CAA44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IGP-M</w:t>
            </w:r>
          </w:p>
        </w:tc>
        <w:tc>
          <w:tcPr>
            <w:tcW w:w="1624" w:type="pct"/>
            <w:gridSpan w:val="7"/>
            <w:vAlign w:val="bottom"/>
          </w:tcPr>
          <w:p w14:paraId="4D0CD40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002F6FD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C5A85E8" w14:textId="77777777" w:rsidTr="003C7E27">
        <w:trPr>
          <w:trHeight w:val="284"/>
        </w:trPr>
        <w:tc>
          <w:tcPr>
            <w:tcW w:w="368" w:type="pct"/>
            <w:vMerge/>
          </w:tcPr>
          <w:p w14:paraId="16B19D1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36E4670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INPC</w:t>
            </w:r>
          </w:p>
        </w:tc>
        <w:tc>
          <w:tcPr>
            <w:tcW w:w="1624" w:type="pct"/>
            <w:gridSpan w:val="7"/>
            <w:vAlign w:val="bottom"/>
          </w:tcPr>
          <w:p w14:paraId="7351520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11C5CD1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D451011" w14:textId="77777777" w:rsidTr="003C7E27">
        <w:trPr>
          <w:trHeight w:val="284"/>
        </w:trPr>
        <w:tc>
          <w:tcPr>
            <w:tcW w:w="368" w:type="pct"/>
            <w:vMerge/>
          </w:tcPr>
          <w:p w14:paraId="67D01435"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34A42A1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IPCA</w:t>
            </w:r>
          </w:p>
        </w:tc>
        <w:tc>
          <w:tcPr>
            <w:tcW w:w="1624" w:type="pct"/>
            <w:gridSpan w:val="7"/>
            <w:vAlign w:val="bottom"/>
          </w:tcPr>
          <w:p w14:paraId="18EEAED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17B6075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5FEFA9BC" w14:textId="77777777" w:rsidTr="003C7E27">
        <w:trPr>
          <w:trHeight w:val="284"/>
        </w:trPr>
        <w:tc>
          <w:tcPr>
            <w:tcW w:w="368" w:type="pct"/>
            <w:vMerge/>
          </w:tcPr>
          <w:p w14:paraId="1D862622"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3E71A48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INCC</w:t>
            </w:r>
          </w:p>
        </w:tc>
        <w:tc>
          <w:tcPr>
            <w:tcW w:w="1624" w:type="pct"/>
            <w:gridSpan w:val="7"/>
            <w:vAlign w:val="bottom"/>
          </w:tcPr>
          <w:p w14:paraId="28C2393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3E18FEB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4FDFBFD7" w14:textId="77777777" w:rsidTr="003C7E27">
        <w:trPr>
          <w:trHeight w:val="284"/>
        </w:trPr>
        <w:tc>
          <w:tcPr>
            <w:tcW w:w="368" w:type="pct"/>
            <w:vMerge/>
          </w:tcPr>
          <w:p w14:paraId="084F7E8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6CB66DE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Indicador 1</w:t>
            </w:r>
          </w:p>
        </w:tc>
        <w:tc>
          <w:tcPr>
            <w:tcW w:w="1624" w:type="pct"/>
            <w:gridSpan w:val="7"/>
            <w:vAlign w:val="bottom"/>
          </w:tcPr>
          <w:p w14:paraId="2DA2A40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537BCFC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BA34BE5" w14:textId="77777777" w:rsidTr="003C7E27">
        <w:trPr>
          <w:trHeight w:val="284"/>
        </w:trPr>
        <w:tc>
          <w:tcPr>
            <w:tcW w:w="368" w:type="pct"/>
            <w:vMerge/>
          </w:tcPr>
          <w:p w14:paraId="55CF892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15CE56A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Indicador 2</w:t>
            </w:r>
          </w:p>
        </w:tc>
        <w:tc>
          <w:tcPr>
            <w:tcW w:w="1624" w:type="pct"/>
            <w:gridSpan w:val="7"/>
            <w:vAlign w:val="bottom"/>
          </w:tcPr>
          <w:p w14:paraId="27DFB75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4C8A2B1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FD83118" w14:textId="77777777" w:rsidTr="003C7E27">
        <w:trPr>
          <w:trHeight w:val="284"/>
        </w:trPr>
        <w:tc>
          <w:tcPr>
            <w:tcW w:w="368" w:type="pct"/>
            <w:vMerge/>
          </w:tcPr>
          <w:p w14:paraId="72A381C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385" w:type="pct"/>
            <w:gridSpan w:val="5"/>
            <w:vAlign w:val="bottom"/>
          </w:tcPr>
          <w:p w14:paraId="05B6BD9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Indicador N</w:t>
            </w:r>
          </w:p>
        </w:tc>
        <w:tc>
          <w:tcPr>
            <w:tcW w:w="1624" w:type="pct"/>
            <w:gridSpan w:val="7"/>
            <w:vAlign w:val="bottom"/>
          </w:tcPr>
          <w:p w14:paraId="4E93D49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23" w:type="pct"/>
            <w:gridSpan w:val="8"/>
            <w:vAlign w:val="bottom"/>
          </w:tcPr>
          <w:p w14:paraId="184EBDE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5DFBB98" w14:textId="77777777" w:rsidTr="003C7E27">
        <w:trPr>
          <w:trHeight w:val="753"/>
        </w:trPr>
        <w:tc>
          <w:tcPr>
            <w:tcW w:w="368" w:type="pct"/>
          </w:tcPr>
          <w:p w14:paraId="43E027F5"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w:t>
            </w:r>
            <w:r>
              <w:rPr>
                <w:rFonts w:ascii="Calibri" w:eastAsia="Yu Mincho" w:hAnsi="Calibri" w:cs="Calibri"/>
                <w:lang w:eastAsia="pt-BR"/>
              </w:rPr>
              <w:t>2</w:t>
            </w:r>
            <w:r w:rsidRPr="00DF0428">
              <w:rPr>
                <w:rFonts w:ascii="Calibri" w:eastAsia="Yu Mincho" w:hAnsi="Calibri" w:cs="Calibri"/>
                <w:lang w:eastAsia="pt-BR"/>
              </w:rPr>
              <w:t>.</w:t>
            </w:r>
            <w:r>
              <w:rPr>
                <w:rFonts w:ascii="Calibri" w:eastAsia="Yu Mincho" w:hAnsi="Calibri" w:cs="Calibri"/>
                <w:lang w:eastAsia="pt-BR"/>
              </w:rPr>
              <w:t>1</w:t>
            </w:r>
            <w:r w:rsidRPr="00DF0428">
              <w:rPr>
                <w:rFonts w:ascii="Calibri" w:eastAsia="Yu Mincho" w:hAnsi="Calibri" w:cs="Calibri"/>
                <w:lang w:eastAsia="pt-BR"/>
              </w:rPr>
              <w:t>.4</w:t>
            </w:r>
          </w:p>
        </w:tc>
        <w:tc>
          <w:tcPr>
            <w:tcW w:w="4632" w:type="pct"/>
            <w:gridSpan w:val="20"/>
          </w:tcPr>
          <w:p w14:paraId="0969AB5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Principais características contratuais comuns (Cláusulas de reajuste, indexadores, cláusulas de rescisão, garantias exigidas, entre outras informações relevantes):</w:t>
            </w:r>
          </w:p>
        </w:tc>
      </w:tr>
      <w:tr w:rsidR="008C5242" w:rsidRPr="00DF0428" w14:paraId="4F017CDD" w14:textId="77777777" w:rsidTr="003C7E27">
        <w:trPr>
          <w:trHeight w:val="611"/>
        </w:trPr>
        <w:tc>
          <w:tcPr>
            <w:tcW w:w="368" w:type="pct"/>
            <w:vMerge w:val="restart"/>
          </w:tcPr>
          <w:p w14:paraId="632C8185"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w:t>
            </w:r>
            <w:r>
              <w:rPr>
                <w:rFonts w:ascii="Calibri" w:eastAsia="Yu Mincho" w:hAnsi="Calibri" w:cs="Calibri"/>
                <w:lang w:eastAsia="pt-BR"/>
              </w:rPr>
              <w:t>2</w:t>
            </w:r>
            <w:r w:rsidRPr="00DF0428">
              <w:rPr>
                <w:rFonts w:ascii="Calibri" w:eastAsia="Yu Mincho" w:hAnsi="Calibri" w:cs="Calibri"/>
                <w:lang w:eastAsia="pt-BR"/>
              </w:rPr>
              <w:t>.</w:t>
            </w:r>
            <w:r>
              <w:rPr>
                <w:rFonts w:ascii="Calibri" w:eastAsia="Yu Mincho" w:hAnsi="Calibri" w:cs="Calibri"/>
                <w:lang w:eastAsia="pt-BR"/>
              </w:rPr>
              <w:t>1</w:t>
            </w:r>
            <w:r w:rsidRPr="00DF0428">
              <w:rPr>
                <w:rFonts w:ascii="Calibri" w:eastAsia="Yu Mincho" w:hAnsi="Calibri" w:cs="Calibri"/>
                <w:lang w:eastAsia="pt-BR"/>
              </w:rPr>
              <w:t>.5</w:t>
            </w:r>
          </w:p>
        </w:tc>
        <w:tc>
          <w:tcPr>
            <w:tcW w:w="4632" w:type="pct"/>
            <w:gridSpan w:val="20"/>
          </w:tcPr>
          <w:p w14:paraId="3D71BA36"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Características contratuais individualizadas por imóvel relevante que destoem sensivelmente dos demais contratos (dispor, no mínimo, a respeito dos itens discriminados acima, quando não protegidas por cláusula de sigilo, entre outras informações relevantes) ²:</w:t>
            </w:r>
          </w:p>
        </w:tc>
      </w:tr>
      <w:tr w:rsidR="008C5242" w:rsidRPr="00DF0428" w14:paraId="164AABC0" w14:textId="77777777" w:rsidTr="003C7E27">
        <w:trPr>
          <w:trHeight w:hRule="exact" w:val="564"/>
        </w:trPr>
        <w:tc>
          <w:tcPr>
            <w:tcW w:w="368" w:type="pct"/>
            <w:vMerge/>
          </w:tcPr>
          <w:p w14:paraId="071FFC8F"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tcPr>
          <w:p w14:paraId="7128BE5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Imóvel (nome, ou endereço, caso não possua um nome)</w:t>
            </w:r>
          </w:p>
        </w:tc>
        <w:tc>
          <w:tcPr>
            <w:tcW w:w="2497" w:type="pct"/>
            <w:gridSpan w:val="12"/>
          </w:tcPr>
          <w:p w14:paraId="431BA30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Características contratuais</w:t>
            </w:r>
          </w:p>
        </w:tc>
      </w:tr>
      <w:tr w:rsidR="008C5242" w:rsidRPr="00DF0428" w14:paraId="1F21B30C" w14:textId="77777777" w:rsidTr="003C7E27">
        <w:trPr>
          <w:trHeight w:hRule="exact" w:val="497"/>
        </w:trPr>
        <w:tc>
          <w:tcPr>
            <w:tcW w:w="368" w:type="pct"/>
            <w:vMerge/>
          </w:tcPr>
          <w:p w14:paraId="49AB948E"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566EE11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p w14:paraId="76BD9FC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2497" w:type="pct"/>
            <w:gridSpan w:val="12"/>
          </w:tcPr>
          <w:p w14:paraId="63A72ACC"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2E5825F" w14:textId="77777777" w:rsidTr="003C7E27">
        <w:trPr>
          <w:trHeight w:hRule="exact" w:val="433"/>
        </w:trPr>
        <w:tc>
          <w:tcPr>
            <w:tcW w:w="368" w:type="pct"/>
            <w:vMerge/>
          </w:tcPr>
          <w:p w14:paraId="6ADE8C2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76B3A83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p w14:paraId="6549C73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2497" w:type="pct"/>
            <w:gridSpan w:val="12"/>
          </w:tcPr>
          <w:p w14:paraId="5A6C2C1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8D95804" w14:textId="77777777" w:rsidTr="003C7E27">
        <w:trPr>
          <w:trHeight w:hRule="exact" w:val="425"/>
        </w:trPr>
        <w:tc>
          <w:tcPr>
            <w:tcW w:w="368" w:type="pct"/>
            <w:vMerge/>
          </w:tcPr>
          <w:p w14:paraId="39C73993"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2AF885B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2497" w:type="pct"/>
            <w:gridSpan w:val="12"/>
          </w:tcPr>
          <w:p w14:paraId="1B2D6DC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293185E" w14:textId="77777777" w:rsidTr="003C7E27">
        <w:trPr>
          <w:trHeight w:hRule="exact" w:val="834"/>
        </w:trPr>
        <w:tc>
          <w:tcPr>
            <w:tcW w:w="368" w:type="pct"/>
          </w:tcPr>
          <w:p w14:paraId="05125A70"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w:t>
            </w:r>
            <w:r>
              <w:rPr>
                <w:rFonts w:ascii="Calibri" w:eastAsia="Yu Mincho" w:hAnsi="Calibri" w:cs="Calibri"/>
                <w:lang w:eastAsia="pt-BR"/>
              </w:rPr>
              <w:t>2</w:t>
            </w:r>
            <w:r w:rsidRPr="00DF0428">
              <w:rPr>
                <w:rFonts w:ascii="Calibri" w:eastAsia="Yu Mincho" w:hAnsi="Calibri" w:cs="Calibri"/>
                <w:lang w:eastAsia="pt-BR"/>
              </w:rPr>
              <w:t>.</w:t>
            </w:r>
            <w:r>
              <w:rPr>
                <w:rFonts w:ascii="Calibri" w:eastAsia="Yu Mincho" w:hAnsi="Calibri" w:cs="Calibri"/>
                <w:lang w:eastAsia="pt-BR"/>
              </w:rPr>
              <w:t>1</w:t>
            </w:r>
            <w:r w:rsidRPr="00DF0428">
              <w:rPr>
                <w:rFonts w:ascii="Calibri" w:eastAsia="Yu Mincho" w:hAnsi="Calibri" w:cs="Calibri"/>
                <w:lang w:eastAsia="pt-BR"/>
              </w:rPr>
              <w:t>.6</w:t>
            </w:r>
          </w:p>
        </w:tc>
        <w:tc>
          <w:tcPr>
            <w:tcW w:w="4632" w:type="pct"/>
            <w:gridSpan w:val="20"/>
          </w:tcPr>
          <w:p w14:paraId="2C242B05"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Política de contratação de seguros para preservação dos imóveis dessa categoria:</w:t>
            </w:r>
          </w:p>
        </w:tc>
      </w:tr>
      <w:tr w:rsidR="008C5242" w:rsidRPr="00DF0428" w14:paraId="6C4DA67D" w14:textId="77777777" w:rsidTr="003C7E27">
        <w:trPr>
          <w:trHeight w:hRule="exact" w:val="577"/>
        </w:trPr>
        <w:tc>
          <w:tcPr>
            <w:tcW w:w="368" w:type="pct"/>
          </w:tcPr>
          <w:p w14:paraId="601A6E7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1.1.2.2</w:t>
            </w:r>
          </w:p>
        </w:tc>
        <w:tc>
          <w:tcPr>
            <w:tcW w:w="4632" w:type="pct"/>
            <w:gridSpan w:val="20"/>
          </w:tcPr>
          <w:p w14:paraId="710BC9E7"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b/>
                <w:lang w:eastAsia="pt-BR"/>
              </w:rPr>
              <w:t>Imóveis para renda em construção</w:t>
            </w:r>
          </w:p>
        </w:tc>
      </w:tr>
      <w:tr w:rsidR="008C5242" w:rsidRPr="00DF0428" w14:paraId="739F14CB" w14:textId="77777777" w:rsidTr="003C7E27">
        <w:trPr>
          <w:trHeight w:val="390"/>
        </w:trPr>
        <w:tc>
          <w:tcPr>
            <w:tcW w:w="368" w:type="pct"/>
            <w:vMerge w:val="restart"/>
          </w:tcPr>
          <w:p w14:paraId="79F9081C"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1.1.2.2.1</w:t>
            </w:r>
          </w:p>
        </w:tc>
        <w:tc>
          <w:tcPr>
            <w:tcW w:w="1116" w:type="pct"/>
            <w:gridSpan w:val="3"/>
            <w:vMerge w:val="restart"/>
            <w:vAlign w:val="bottom"/>
          </w:tcPr>
          <w:p w14:paraId="61B9205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Relação de Imóveis para renda em construção (nome, endereço, área – m2, nº de unidades ou lojas, entre outras características relevantes¹)</w:t>
            </w:r>
          </w:p>
        </w:tc>
        <w:tc>
          <w:tcPr>
            <w:tcW w:w="356" w:type="pct"/>
            <w:gridSpan w:val="3"/>
            <w:vMerge w:val="restart"/>
            <w:vAlign w:val="center"/>
          </w:tcPr>
          <w:p w14:paraId="161B9C47"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locado</w:t>
            </w:r>
          </w:p>
        </w:tc>
        <w:tc>
          <w:tcPr>
            <w:tcW w:w="1549" w:type="pct"/>
            <w:gridSpan w:val="6"/>
            <w:vAlign w:val="bottom"/>
          </w:tcPr>
          <w:p w14:paraId="3C471960"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conclusão das obras (acumulado)</w:t>
            </w:r>
          </w:p>
        </w:tc>
        <w:tc>
          <w:tcPr>
            <w:tcW w:w="1611" w:type="pct"/>
            <w:gridSpan w:val="8"/>
            <w:vAlign w:val="bottom"/>
          </w:tcPr>
          <w:p w14:paraId="0EA53997"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Custos de construção (acumulado)</w:t>
            </w:r>
          </w:p>
        </w:tc>
      </w:tr>
      <w:tr w:rsidR="008C5242" w:rsidRPr="00DF0428" w14:paraId="6C62C24E" w14:textId="77777777" w:rsidTr="003C7E27">
        <w:trPr>
          <w:trHeight w:val="390"/>
        </w:trPr>
        <w:tc>
          <w:tcPr>
            <w:tcW w:w="368" w:type="pct"/>
            <w:vMerge/>
          </w:tcPr>
          <w:p w14:paraId="38ED9FC4" w14:textId="77777777" w:rsidR="008C5242" w:rsidRPr="00DF0428" w:rsidRDefault="008C5242" w:rsidP="003C7E27">
            <w:pPr>
              <w:spacing w:after="0" w:line="240" w:lineRule="auto"/>
              <w:ind w:right="-1"/>
              <w:rPr>
                <w:rFonts w:ascii="Calibri" w:eastAsia="Times New Roman" w:hAnsi="Calibri" w:cs="Calibri"/>
                <w:lang w:eastAsia="pt-BR"/>
              </w:rPr>
            </w:pPr>
          </w:p>
        </w:tc>
        <w:tc>
          <w:tcPr>
            <w:tcW w:w="1116" w:type="pct"/>
            <w:gridSpan w:val="3"/>
            <w:vMerge/>
            <w:vAlign w:val="bottom"/>
          </w:tcPr>
          <w:p w14:paraId="0F16EAF6"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356" w:type="pct"/>
            <w:gridSpan w:val="3"/>
            <w:vMerge/>
            <w:vAlign w:val="bottom"/>
          </w:tcPr>
          <w:p w14:paraId="7D40A127"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663" w:type="pct"/>
            <w:gridSpan w:val="2"/>
            <w:vAlign w:val="bottom"/>
          </w:tcPr>
          <w:p w14:paraId="3373417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Realizado (%)</w:t>
            </w:r>
          </w:p>
        </w:tc>
        <w:tc>
          <w:tcPr>
            <w:tcW w:w="886" w:type="pct"/>
            <w:gridSpan w:val="4"/>
            <w:vAlign w:val="bottom"/>
          </w:tcPr>
          <w:p w14:paraId="67A251A8"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Previsto (%)</w:t>
            </w:r>
          </w:p>
        </w:tc>
        <w:tc>
          <w:tcPr>
            <w:tcW w:w="843" w:type="pct"/>
            <w:gridSpan w:val="6"/>
            <w:vAlign w:val="bottom"/>
          </w:tcPr>
          <w:p w14:paraId="5923906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Realizado (R$)</w:t>
            </w:r>
          </w:p>
        </w:tc>
        <w:tc>
          <w:tcPr>
            <w:tcW w:w="768" w:type="pct"/>
            <w:gridSpan w:val="2"/>
            <w:vAlign w:val="bottom"/>
          </w:tcPr>
          <w:p w14:paraId="4468326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Previsto (R$)</w:t>
            </w:r>
          </w:p>
        </w:tc>
      </w:tr>
      <w:tr w:rsidR="008C5242" w:rsidRPr="00DF0428" w14:paraId="1B1595BE" w14:textId="77777777" w:rsidTr="003C7E27">
        <w:trPr>
          <w:trHeight w:val="284"/>
        </w:trPr>
        <w:tc>
          <w:tcPr>
            <w:tcW w:w="368" w:type="pct"/>
            <w:vMerge/>
          </w:tcPr>
          <w:p w14:paraId="23C5143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5AA5286B"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356" w:type="pct"/>
            <w:gridSpan w:val="3"/>
            <w:vAlign w:val="bottom"/>
          </w:tcPr>
          <w:p w14:paraId="0D0C71A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3171EDC3" w14:textId="77777777" w:rsidR="008C5242" w:rsidRPr="00DF0428" w:rsidRDefault="008C5242" w:rsidP="003C7E27">
            <w:pPr>
              <w:spacing w:after="0" w:line="240" w:lineRule="auto"/>
              <w:ind w:right="-1"/>
              <w:rPr>
                <w:rFonts w:ascii="Calibri" w:eastAsia="Yu Mincho" w:hAnsi="Calibri" w:cs="Calibri"/>
                <w:b/>
                <w:lang w:eastAsia="pt-BR"/>
              </w:rPr>
            </w:pPr>
          </w:p>
        </w:tc>
        <w:tc>
          <w:tcPr>
            <w:tcW w:w="886" w:type="pct"/>
            <w:gridSpan w:val="4"/>
            <w:vAlign w:val="bottom"/>
          </w:tcPr>
          <w:p w14:paraId="7ABB2B9A" w14:textId="77777777" w:rsidR="008C5242" w:rsidRPr="00DF0428" w:rsidRDefault="008C5242" w:rsidP="003C7E27">
            <w:pPr>
              <w:spacing w:after="0" w:line="240" w:lineRule="auto"/>
              <w:ind w:right="-1"/>
              <w:rPr>
                <w:rFonts w:ascii="Calibri" w:eastAsia="Yu Mincho" w:hAnsi="Calibri" w:cs="Calibri"/>
                <w:b/>
                <w:lang w:eastAsia="pt-BR"/>
              </w:rPr>
            </w:pPr>
          </w:p>
        </w:tc>
        <w:tc>
          <w:tcPr>
            <w:tcW w:w="843" w:type="pct"/>
            <w:gridSpan w:val="6"/>
            <w:vAlign w:val="bottom"/>
          </w:tcPr>
          <w:p w14:paraId="7984A402" w14:textId="77777777" w:rsidR="008C5242" w:rsidRPr="00DF0428" w:rsidRDefault="008C5242" w:rsidP="003C7E27">
            <w:pPr>
              <w:spacing w:after="0" w:line="240" w:lineRule="auto"/>
              <w:ind w:right="-1"/>
              <w:rPr>
                <w:rFonts w:ascii="Calibri" w:eastAsia="Yu Mincho" w:hAnsi="Calibri" w:cs="Calibri"/>
                <w:b/>
                <w:lang w:eastAsia="pt-BR"/>
              </w:rPr>
            </w:pPr>
          </w:p>
        </w:tc>
        <w:tc>
          <w:tcPr>
            <w:tcW w:w="768" w:type="pct"/>
            <w:gridSpan w:val="2"/>
            <w:vAlign w:val="bottom"/>
          </w:tcPr>
          <w:p w14:paraId="7094E4AC"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5215B2B1" w14:textId="77777777" w:rsidTr="003C7E27">
        <w:trPr>
          <w:trHeight w:val="284"/>
        </w:trPr>
        <w:tc>
          <w:tcPr>
            <w:tcW w:w="368" w:type="pct"/>
            <w:vMerge/>
          </w:tcPr>
          <w:p w14:paraId="261E6C3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782A842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356" w:type="pct"/>
            <w:gridSpan w:val="3"/>
            <w:vAlign w:val="bottom"/>
          </w:tcPr>
          <w:p w14:paraId="121C7D8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6A09324F"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p>
        </w:tc>
        <w:tc>
          <w:tcPr>
            <w:tcW w:w="886" w:type="pct"/>
            <w:gridSpan w:val="4"/>
            <w:vAlign w:val="bottom"/>
          </w:tcPr>
          <w:p w14:paraId="7DDBE15A" w14:textId="77777777" w:rsidR="008C5242" w:rsidRPr="00DF0428" w:rsidRDefault="008C5242" w:rsidP="003C7E27">
            <w:pPr>
              <w:spacing w:after="0" w:line="240" w:lineRule="auto"/>
              <w:ind w:right="-1"/>
              <w:rPr>
                <w:rFonts w:ascii="Calibri" w:eastAsia="Yu Mincho" w:hAnsi="Calibri" w:cs="Calibri"/>
                <w:b/>
                <w:lang w:eastAsia="pt-BR"/>
              </w:rPr>
            </w:pPr>
          </w:p>
        </w:tc>
        <w:tc>
          <w:tcPr>
            <w:tcW w:w="843" w:type="pct"/>
            <w:gridSpan w:val="6"/>
            <w:vAlign w:val="bottom"/>
          </w:tcPr>
          <w:p w14:paraId="77614608" w14:textId="77777777" w:rsidR="008C5242" w:rsidRPr="00DF0428" w:rsidRDefault="008C5242" w:rsidP="003C7E27">
            <w:pPr>
              <w:spacing w:after="0" w:line="240" w:lineRule="auto"/>
              <w:ind w:right="-1"/>
              <w:rPr>
                <w:rFonts w:ascii="Calibri" w:eastAsia="Yu Mincho" w:hAnsi="Calibri" w:cs="Calibri"/>
                <w:b/>
                <w:lang w:eastAsia="pt-BR"/>
              </w:rPr>
            </w:pPr>
          </w:p>
        </w:tc>
        <w:tc>
          <w:tcPr>
            <w:tcW w:w="768" w:type="pct"/>
            <w:gridSpan w:val="2"/>
            <w:vAlign w:val="bottom"/>
          </w:tcPr>
          <w:p w14:paraId="69C8A959"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72C06170" w14:textId="77777777" w:rsidTr="003C7E27">
        <w:trPr>
          <w:trHeight w:val="284"/>
        </w:trPr>
        <w:tc>
          <w:tcPr>
            <w:tcW w:w="368" w:type="pct"/>
            <w:vMerge/>
          </w:tcPr>
          <w:p w14:paraId="257517B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181B215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356" w:type="pct"/>
            <w:gridSpan w:val="3"/>
            <w:vAlign w:val="bottom"/>
          </w:tcPr>
          <w:p w14:paraId="63DAF55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62034301"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p>
        </w:tc>
        <w:tc>
          <w:tcPr>
            <w:tcW w:w="886" w:type="pct"/>
            <w:gridSpan w:val="4"/>
            <w:vAlign w:val="bottom"/>
          </w:tcPr>
          <w:p w14:paraId="322E57E1" w14:textId="77777777" w:rsidR="008C5242" w:rsidRPr="00DF0428" w:rsidRDefault="008C5242" w:rsidP="003C7E27">
            <w:pPr>
              <w:spacing w:after="0" w:line="240" w:lineRule="auto"/>
              <w:ind w:right="-1"/>
              <w:rPr>
                <w:rFonts w:ascii="Calibri" w:eastAsia="Yu Mincho" w:hAnsi="Calibri" w:cs="Calibri"/>
                <w:b/>
                <w:lang w:eastAsia="pt-BR"/>
              </w:rPr>
            </w:pPr>
          </w:p>
        </w:tc>
        <w:tc>
          <w:tcPr>
            <w:tcW w:w="843" w:type="pct"/>
            <w:gridSpan w:val="6"/>
            <w:vAlign w:val="bottom"/>
          </w:tcPr>
          <w:p w14:paraId="36EE1666" w14:textId="77777777" w:rsidR="008C5242" w:rsidRPr="00DF0428" w:rsidRDefault="008C5242" w:rsidP="003C7E27">
            <w:pPr>
              <w:spacing w:after="0" w:line="240" w:lineRule="auto"/>
              <w:ind w:right="-1"/>
              <w:rPr>
                <w:rFonts w:ascii="Calibri" w:eastAsia="Yu Mincho" w:hAnsi="Calibri" w:cs="Calibri"/>
                <w:b/>
                <w:lang w:eastAsia="pt-BR"/>
              </w:rPr>
            </w:pPr>
          </w:p>
        </w:tc>
        <w:tc>
          <w:tcPr>
            <w:tcW w:w="768" w:type="pct"/>
            <w:gridSpan w:val="2"/>
            <w:vAlign w:val="bottom"/>
          </w:tcPr>
          <w:p w14:paraId="66DE21B7"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AF28DB7" w14:textId="77777777" w:rsidTr="003C7E27">
        <w:trPr>
          <w:trHeight w:val="284"/>
        </w:trPr>
        <w:tc>
          <w:tcPr>
            <w:tcW w:w="368" w:type="pct"/>
            <w:vMerge w:val="restart"/>
          </w:tcPr>
          <w:p w14:paraId="5966FE78"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1.1.2.2.2</w:t>
            </w:r>
          </w:p>
        </w:tc>
        <w:tc>
          <w:tcPr>
            <w:tcW w:w="4632" w:type="pct"/>
            <w:gridSpan w:val="20"/>
            <w:vAlign w:val="bottom"/>
          </w:tcPr>
          <w:p w14:paraId="5F3D3A4D" w14:textId="77777777" w:rsidR="008C5242" w:rsidRPr="00DF0428" w:rsidRDefault="008C5242" w:rsidP="003C7E27">
            <w:pPr>
              <w:spacing w:after="0" w:line="240" w:lineRule="auto"/>
              <w:ind w:right="-1" w:firstLineChars="100" w:firstLine="216"/>
              <w:rPr>
                <w:rFonts w:ascii="Calibri" w:eastAsia="Yu Mincho" w:hAnsi="Calibri" w:cs="Calibri"/>
                <w:b/>
                <w:lang w:eastAsia="pt-BR"/>
              </w:rPr>
            </w:pPr>
            <w:r w:rsidRPr="00DF0428">
              <w:rPr>
                <w:rFonts w:ascii="Calibri" w:eastAsia="Yu Mincho" w:hAnsi="Calibri" w:cs="Calibri"/>
                <w:b/>
                <w:lang w:eastAsia="pt-BR"/>
              </w:rPr>
              <w:t>Justificativas de desempenho por imóvel</w:t>
            </w:r>
          </w:p>
        </w:tc>
      </w:tr>
      <w:tr w:rsidR="008C5242" w:rsidRPr="00DF0428" w14:paraId="692525B8" w14:textId="77777777" w:rsidTr="003C7E27">
        <w:trPr>
          <w:trHeight w:val="284"/>
        </w:trPr>
        <w:tc>
          <w:tcPr>
            <w:tcW w:w="368" w:type="pct"/>
            <w:vMerge/>
          </w:tcPr>
          <w:p w14:paraId="563374F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0F1B9050"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b/>
                <w:lang w:eastAsia="pt-BR"/>
              </w:rPr>
              <w:t>Relação de Imóveis para renda em construção (nome, ou endereço, caso não possua um nome)</w:t>
            </w:r>
          </w:p>
        </w:tc>
        <w:tc>
          <w:tcPr>
            <w:tcW w:w="1549" w:type="pct"/>
            <w:gridSpan w:val="6"/>
            <w:vAlign w:val="bottom"/>
          </w:tcPr>
          <w:p w14:paraId="2F7BF95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Justificativas para evolução de construção inferior ao previsto (acumulado)</w:t>
            </w:r>
          </w:p>
        </w:tc>
        <w:tc>
          <w:tcPr>
            <w:tcW w:w="1611" w:type="pct"/>
            <w:gridSpan w:val="8"/>
            <w:vAlign w:val="bottom"/>
          </w:tcPr>
          <w:p w14:paraId="42198C38" w14:textId="77777777" w:rsidR="008C5242" w:rsidRPr="00DF0428" w:rsidRDefault="008C5242" w:rsidP="003C7E27">
            <w:pPr>
              <w:spacing w:after="0" w:line="240" w:lineRule="auto"/>
              <w:ind w:right="-1"/>
              <w:rPr>
                <w:rFonts w:ascii="Calibri" w:eastAsia="Yu Mincho" w:hAnsi="Calibri" w:cs="Arial"/>
                <w:b/>
                <w:bCs/>
                <w:lang w:eastAsia="pt-BR"/>
              </w:rPr>
            </w:pPr>
            <w:r w:rsidRPr="00DF0428">
              <w:rPr>
                <w:rFonts w:ascii="Calibri" w:eastAsia="Yu Mincho" w:hAnsi="Calibri" w:cs="Arial"/>
                <w:b/>
                <w:bCs/>
                <w:lang w:eastAsia="pt-BR"/>
              </w:rPr>
              <w:t>Justificativas para a ocorrência de custos superiores ao previsto (acumulado)</w:t>
            </w:r>
          </w:p>
        </w:tc>
      </w:tr>
      <w:tr w:rsidR="008C5242" w:rsidRPr="00DF0428" w14:paraId="3C65F61C" w14:textId="77777777" w:rsidTr="003C7E27">
        <w:trPr>
          <w:trHeight w:val="284"/>
        </w:trPr>
        <w:tc>
          <w:tcPr>
            <w:tcW w:w="368" w:type="pct"/>
            <w:vMerge/>
          </w:tcPr>
          <w:p w14:paraId="5124FAD4"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12B781F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1549" w:type="pct"/>
            <w:gridSpan w:val="6"/>
            <w:vAlign w:val="bottom"/>
          </w:tcPr>
          <w:p w14:paraId="2500B5B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274926E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E81300F" w14:textId="77777777" w:rsidTr="003C7E27">
        <w:trPr>
          <w:trHeight w:val="284"/>
        </w:trPr>
        <w:tc>
          <w:tcPr>
            <w:tcW w:w="368" w:type="pct"/>
            <w:vMerge/>
          </w:tcPr>
          <w:p w14:paraId="2E9F5EA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32FDDA6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1549" w:type="pct"/>
            <w:gridSpan w:val="6"/>
            <w:vAlign w:val="bottom"/>
          </w:tcPr>
          <w:p w14:paraId="4FB120D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594606D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7EA5822C" w14:textId="77777777" w:rsidTr="003C7E27">
        <w:trPr>
          <w:trHeight w:val="284"/>
        </w:trPr>
        <w:tc>
          <w:tcPr>
            <w:tcW w:w="368" w:type="pct"/>
            <w:vMerge/>
          </w:tcPr>
          <w:p w14:paraId="6D1D940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22C3BB3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1549" w:type="pct"/>
            <w:gridSpan w:val="6"/>
            <w:vAlign w:val="bottom"/>
          </w:tcPr>
          <w:p w14:paraId="49F1E02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5F313AB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60BA1B3" w14:textId="77777777" w:rsidTr="003C7E27">
        <w:trPr>
          <w:trHeight w:hRule="exact" w:val="557"/>
        </w:trPr>
        <w:tc>
          <w:tcPr>
            <w:tcW w:w="368" w:type="pct"/>
          </w:tcPr>
          <w:p w14:paraId="2E7FC513"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1.1.2.2.3</w:t>
            </w:r>
          </w:p>
        </w:tc>
        <w:tc>
          <w:tcPr>
            <w:tcW w:w="4632" w:type="pct"/>
            <w:gridSpan w:val="20"/>
          </w:tcPr>
          <w:p w14:paraId="76B843B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Política de contratação de seguros para a preservação dos imóveis dessa categoria:</w:t>
            </w:r>
          </w:p>
        </w:tc>
      </w:tr>
      <w:tr w:rsidR="008C5242" w:rsidRPr="00DF0428" w14:paraId="3351E299" w14:textId="77777777" w:rsidTr="003C7E27">
        <w:trPr>
          <w:trHeight w:hRule="exact" w:val="545"/>
        </w:trPr>
        <w:tc>
          <w:tcPr>
            <w:tcW w:w="368" w:type="pct"/>
          </w:tcPr>
          <w:p w14:paraId="57470334"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1.1.2.3</w:t>
            </w:r>
          </w:p>
        </w:tc>
        <w:tc>
          <w:tcPr>
            <w:tcW w:w="4632" w:type="pct"/>
            <w:gridSpan w:val="20"/>
          </w:tcPr>
          <w:p w14:paraId="5A52BE0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Imóveis para Venda Acabados</w:t>
            </w:r>
          </w:p>
        </w:tc>
      </w:tr>
      <w:tr w:rsidR="008C5242" w:rsidRPr="00DF0428" w14:paraId="164D2F3A" w14:textId="77777777" w:rsidTr="003C7E27">
        <w:trPr>
          <w:trHeight w:val="284"/>
        </w:trPr>
        <w:tc>
          <w:tcPr>
            <w:tcW w:w="368" w:type="pct"/>
            <w:vMerge w:val="restart"/>
          </w:tcPr>
          <w:p w14:paraId="676ED44E"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1.1.2.3.1</w:t>
            </w:r>
          </w:p>
        </w:tc>
        <w:tc>
          <w:tcPr>
            <w:tcW w:w="2135" w:type="pct"/>
            <w:gridSpan w:val="8"/>
            <w:vAlign w:val="bottom"/>
          </w:tcPr>
          <w:p w14:paraId="21D3B48A"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Relação de Imóveis para venda acabados (nome, endereço, área – m2, nº de unidades ou lojas, entre outras características relevantes¹)</w:t>
            </w:r>
          </w:p>
        </w:tc>
        <w:tc>
          <w:tcPr>
            <w:tcW w:w="2497" w:type="pct"/>
            <w:gridSpan w:val="12"/>
            <w:vAlign w:val="bottom"/>
          </w:tcPr>
          <w:p w14:paraId="51C1E3C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Imóvel em relação ao total investido (% em relação ao valor total de imóveis para venda acabados)</w:t>
            </w:r>
          </w:p>
        </w:tc>
      </w:tr>
      <w:tr w:rsidR="008C5242" w:rsidRPr="00DF0428" w14:paraId="3FE1C9B9" w14:textId="77777777" w:rsidTr="003C7E27">
        <w:trPr>
          <w:trHeight w:val="284"/>
        </w:trPr>
        <w:tc>
          <w:tcPr>
            <w:tcW w:w="368" w:type="pct"/>
            <w:vMerge/>
          </w:tcPr>
          <w:p w14:paraId="2A19924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320E395D"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2497" w:type="pct"/>
            <w:gridSpan w:val="12"/>
            <w:vAlign w:val="bottom"/>
          </w:tcPr>
          <w:p w14:paraId="66BB70C3"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r>
      <w:tr w:rsidR="008C5242" w:rsidRPr="00DF0428" w14:paraId="08C75571" w14:textId="77777777" w:rsidTr="003C7E27">
        <w:trPr>
          <w:trHeight w:val="284"/>
        </w:trPr>
        <w:tc>
          <w:tcPr>
            <w:tcW w:w="368" w:type="pct"/>
            <w:vMerge/>
          </w:tcPr>
          <w:p w14:paraId="540492B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4E7DBF36"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2497" w:type="pct"/>
            <w:gridSpan w:val="12"/>
            <w:vAlign w:val="bottom"/>
          </w:tcPr>
          <w:p w14:paraId="491D6C0F"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r>
      <w:tr w:rsidR="008C5242" w:rsidRPr="00DF0428" w14:paraId="49E364D9" w14:textId="77777777" w:rsidTr="003C7E27">
        <w:trPr>
          <w:trHeight w:val="284"/>
        </w:trPr>
        <w:tc>
          <w:tcPr>
            <w:tcW w:w="368" w:type="pct"/>
            <w:vMerge/>
          </w:tcPr>
          <w:p w14:paraId="6225894B"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5510F9C1"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2497" w:type="pct"/>
            <w:gridSpan w:val="12"/>
            <w:vAlign w:val="bottom"/>
          </w:tcPr>
          <w:p w14:paraId="074A5674"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r>
      <w:tr w:rsidR="008C5242" w:rsidRPr="00DF0428" w14:paraId="2ABB5C53" w14:textId="77777777" w:rsidTr="003C7E27">
        <w:trPr>
          <w:trHeight w:hRule="exact" w:val="677"/>
        </w:trPr>
        <w:tc>
          <w:tcPr>
            <w:tcW w:w="368" w:type="pct"/>
          </w:tcPr>
          <w:p w14:paraId="33A0C854"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lang w:eastAsia="pt-BR"/>
              </w:rPr>
              <w:t>1.1.2.3.2</w:t>
            </w:r>
          </w:p>
        </w:tc>
        <w:tc>
          <w:tcPr>
            <w:tcW w:w="4632" w:type="pct"/>
            <w:gridSpan w:val="20"/>
          </w:tcPr>
          <w:p w14:paraId="3A31FCC8" w14:textId="77777777" w:rsidR="008C5242" w:rsidRPr="00DF0428" w:rsidRDefault="008C5242" w:rsidP="003C7E27">
            <w:pPr>
              <w:spacing w:after="0" w:line="240" w:lineRule="auto"/>
              <w:rPr>
                <w:rFonts w:ascii="Calibri" w:eastAsia="Yu Mincho" w:hAnsi="Calibri" w:cs="Arial"/>
                <w:b/>
                <w:bCs/>
                <w:lang w:eastAsia="pt-BR"/>
              </w:rPr>
            </w:pPr>
            <w:r w:rsidRPr="00DF0428">
              <w:rPr>
                <w:rFonts w:ascii="Calibri" w:eastAsia="Yu Mincho" w:hAnsi="Calibri" w:cs="Arial"/>
                <w:b/>
                <w:bCs/>
                <w:lang w:eastAsia="pt-BR"/>
              </w:rPr>
              <w:t>Política de contratação de seguros para a preservação dos imóveis dessa categoria:</w:t>
            </w:r>
          </w:p>
        </w:tc>
      </w:tr>
      <w:tr w:rsidR="008C5242" w:rsidRPr="00DF0428" w14:paraId="04B13634" w14:textId="77777777" w:rsidTr="003C7E27">
        <w:trPr>
          <w:trHeight w:hRule="exact" w:val="715"/>
        </w:trPr>
        <w:tc>
          <w:tcPr>
            <w:tcW w:w="368" w:type="pct"/>
          </w:tcPr>
          <w:p w14:paraId="70D1A38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1.1.2.4</w:t>
            </w:r>
          </w:p>
        </w:tc>
        <w:tc>
          <w:tcPr>
            <w:tcW w:w="4632" w:type="pct"/>
            <w:gridSpan w:val="20"/>
          </w:tcPr>
          <w:p w14:paraId="357C82C3" w14:textId="77777777" w:rsidR="008C5242" w:rsidRPr="00DF0428" w:rsidRDefault="008C5242" w:rsidP="003C7E27">
            <w:pPr>
              <w:spacing w:after="0" w:line="240" w:lineRule="auto"/>
              <w:rPr>
                <w:rFonts w:ascii="Calibri" w:eastAsia="Yu Mincho" w:hAnsi="Calibri" w:cs="Calibri"/>
                <w:b/>
                <w:lang w:eastAsia="pt-BR"/>
              </w:rPr>
            </w:pPr>
            <w:r w:rsidRPr="00DF0428">
              <w:rPr>
                <w:rFonts w:ascii="Calibri" w:eastAsia="Yu Mincho" w:hAnsi="Calibri" w:cs="Calibri"/>
                <w:b/>
                <w:lang w:eastAsia="pt-BR"/>
              </w:rPr>
              <w:t>Imóveis para Venda em Construção</w:t>
            </w:r>
          </w:p>
        </w:tc>
      </w:tr>
      <w:tr w:rsidR="008C5242" w:rsidRPr="00DF0428" w14:paraId="718896C5" w14:textId="77777777" w:rsidTr="003C7E27">
        <w:trPr>
          <w:trHeight w:val="457"/>
        </w:trPr>
        <w:tc>
          <w:tcPr>
            <w:tcW w:w="368" w:type="pct"/>
            <w:vMerge w:val="restart"/>
          </w:tcPr>
          <w:p w14:paraId="1D7927AF"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1.1.2.4.1</w:t>
            </w:r>
          </w:p>
        </w:tc>
        <w:tc>
          <w:tcPr>
            <w:tcW w:w="1116" w:type="pct"/>
            <w:gridSpan w:val="3"/>
            <w:vMerge w:val="restart"/>
            <w:vAlign w:val="bottom"/>
          </w:tcPr>
          <w:p w14:paraId="4BF4204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Relação de Imóveis para venda em construção (nome, endereço, área – m2, nº de unidades ou lojas, entre outras características relevantes¹)</w:t>
            </w:r>
          </w:p>
        </w:tc>
        <w:tc>
          <w:tcPr>
            <w:tcW w:w="356" w:type="pct"/>
            <w:gridSpan w:val="3"/>
            <w:vMerge w:val="restart"/>
            <w:vAlign w:val="center"/>
          </w:tcPr>
          <w:p w14:paraId="6F87AE2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vendido</w:t>
            </w:r>
          </w:p>
        </w:tc>
        <w:tc>
          <w:tcPr>
            <w:tcW w:w="1549" w:type="pct"/>
            <w:gridSpan w:val="6"/>
            <w:vAlign w:val="bottom"/>
          </w:tcPr>
          <w:p w14:paraId="4331880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de conclusão das obras (acumulado)</w:t>
            </w:r>
          </w:p>
        </w:tc>
        <w:tc>
          <w:tcPr>
            <w:tcW w:w="1611" w:type="pct"/>
            <w:gridSpan w:val="8"/>
            <w:vAlign w:val="bottom"/>
          </w:tcPr>
          <w:p w14:paraId="5E3D523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Custos de construção (acumulado)</w:t>
            </w:r>
          </w:p>
        </w:tc>
      </w:tr>
      <w:tr w:rsidR="008C5242" w:rsidRPr="00DF0428" w14:paraId="3A7B8B68" w14:textId="77777777" w:rsidTr="003C7E27">
        <w:trPr>
          <w:trHeight w:val="195"/>
        </w:trPr>
        <w:tc>
          <w:tcPr>
            <w:tcW w:w="368" w:type="pct"/>
            <w:vMerge/>
          </w:tcPr>
          <w:p w14:paraId="200CEEA4" w14:textId="77777777" w:rsidR="008C5242" w:rsidRPr="00DF0428" w:rsidRDefault="008C5242" w:rsidP="003C7E27">
            <w:pPr>
              <w:spacing w:after="0" w:line="240" w:lineRule="auto"/>
              <w:ind w:right="-1"/>
              <w:rPr>
                <w:rFonts w:ascii="Calibri" w:eastAsia="Times New Roman" w:hAnsi="Calibri" w:cs="Calibri"/>
                <w:lang w:eastAsia="pt-BR"/>
              </w:rPr>
            </w:pPr>
          </w:p>
        </w:tc>
        <w:tc>
          <w:tcPr>
            <w:tcW w:w="1116" w:type="pct"/>
            <w:gridSpan w:val="3"/>
            <w:vMerge/>
            <w:vAlign w:val="bottom"/>
          </w:tcPr>
          <w:p w14:paraId="2B2BD2C9"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356" w:type="pct"/>
            <w:gridSpan w:val="3"/>
            <w:vMerge/>
            <w:vAlign w:val="bottom"/>
          </w:tcPr>
          <w:p w14:paraId="4B422E41"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663" w:type="pct"/>
            <w:gridSpan w:val="2"/>
            <w:vAlign w:val="bottom"/>
          </w:tcPr>
          <w:p w14:paraId="44F5472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Realizado (%)</w:t>
            </w:r>
          </w:p>
        </w:tc>
        <w:tc>
          <w:tcPr>
            <w:tcW w:w="886" w:type="pct"/>
            <w:gridSpan w:val="4"/>
            <w:vAlign w:val="bottom"/>
          </w:tcPr>
          <w:p w14:paraId="10B7B7A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Previsto (%)</w:t>
            </w:r>
          </w:p>
        </w:tc>
        <w:tc>
          <w:tcPr>
            <w:tcW w:w="843" w:type="pct"/>
            <w:gridSpan w:val="6"/>
            <w:vAlign w:val="bottom"/>
          </w:tcPr>
          <w:p w14:paraId="730E4222"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Realizado (R$)</w:t>
            </w:r>
          </w:p>
        </w:tc>
        <w:tc>
          <w:tcPr>
            <w:tcW w:w="768" w:type="pct"/>
            <w:gridSpan w:val="2"/>
            <w:vAlign w:val="bottom"/>
          </w:tcPr>
          <w:p w14:paraId="050C0DD6"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Previsto (R$)</w:t>
            </w:r>
          </w:p>
        </w:tc>
      </w:tr>
      <w:tr w:rsidR="008C5242" w:rsidRPr="00DF0428" w14:paraId="4A2C10D3" w14:textId="77777777" w:rsidTr="003C7E27">
        <w:trPr>
          <w:trHeight w:val="284"/>
        </w:trPr>
        <w:tc>
          <w:tcPr>
            <w:tcW w:w="368" w:type="pct"/>
            <w:vMerge/>
          </w:tcPr>
          <w:p w14:paraId="309FE541"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012ACB9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356" w:type="pct"/>
            <w:gridSpan w:val="3"/>
            <w:vAlign w:val="bottom"/>
          </w:tcPr>
          <w:p w14:paraId="61D1966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4082F35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86" w:type="pct"/>
            <w:gridSpan w:val="4"/>
            <w:vAlign w:val="bottom"/>
          </w:tcPr>
          <w:p w14:paraId="7ABEF9D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43" w:type="pct"/>
            <w:gridSpan w:val="6"/>
            <w:vAlign w:val="bottom"/>
          </w:tcPr>
          <w:p w14:paraId="0B83C31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768" w:type="pct"/>
            <w:gridSpan w:val="2"/>
            <w:vAlign w:val="bottom"/>
          </w:tcPr>
          <w:p w14:paraId="58E0FBE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50BDC362" w14:textId="77777777" w:rsidTr="003C7E27">
        <w:trPr>
          <w:trHeight w:val="284"/>
        </w:trPr>
        <w:tc>
          <w:tcPr>
            <w:tcW w:w="368" w:type="pct"/>
            <w:vMerge/>
          </w:tcPr>
          <w:p w14:paraId="178E54EF"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4A5D05F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356" w:type="pct"/>
            <w:gridSpan w:val="3"/>
            <w:vAlign w:val="bottom"/>
          </w:tcPr>
          <w:p w14:paraId="6DBB27A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3FED17B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86" w:type="pct"/>
            <w:gridSpan w:val="4"/>
            <w:vAlign w:val="bottom"/>
          </w:tcPr>
          <w:p w14:paraId="05B3D6F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43" w:type="pct"/>
            <w:gridSpan w:val="6"/>
            <w:vAlign w:val="bottom"/>
          </w:tcPr>
          <w:p w14:paraId="5F4ABBD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768" w:type="pct"/>
            <w:gridSpan w:val="2"/>
            <w:vAlign w:val="bottom"/>
          </w:tcPr>
          <w:p w14:paraId="5115E9F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E51F341" w14:textId="77777777" w:rsidTr="003C7E27">
        <w:trPr>
          <w:trHeight w:val="284"/>
        </w:trPr>
        <w:tc>
          <w:tcPr>
            <w:tcW w:w="368" w:type="pct"/>
            <w:vMerge/>
          </w:tcPr>
          <w:p w14:paraId="1AFD5CD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116" w:type="pct"/>
            <w:gridSpan w:val="3"/>
            <w:vAlign w:val="bottom"/>
          </w:tcPr>
          <w:p w14:paraId="04DFA6E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356" w:type="pct"/>
            <w:gridSpan w:val="3"/>
            <w:vAlign w:val="bottom"/>
          </w:tcPr>
          <w:p w14:paraId="1313D7D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663" w:type="pct"/>
            <w:gridSpan w:val="2"/>
            <w:vAlign w:val="bottom"/>
          </w:tcPr>
          <w:p w14:paraId="7B4C5C12"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86" w:type="pct"/>
            <w:gridSpan w:val="4"/>
            <w:vAlign w:val="bottom"/>
          </w:tcPr>
          <w:p w14:paraId="3B75203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843" w:type="pct"/>
            <w:gridSpan w:val="6"/>
            <w:vAlign w:val="bottom"/>
          </w:tcPr>
          <w:p w14:paraId="1762AE3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768" w:type="pct"/>
            <w:gridSpan w:val="2"/>
            <w:vAlign w:val="bottom"/>
          </w:tcPr>
          <w:p w14:paraId="3FC11BB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69F8AECB" w14:textId="77777777" w:rsidTr="003C7E27">
        <w:trPr>
          <w:trHeight w:val="284"/>
        </w:trPr>
        <w:tc>
          <w:tcPr>
            <w:tcW w:w="368" w:type="pct"/>
            <w:vMerge w:val="restart"/>
          </w:tcPr>
          <w:p w14:paraId="58EDFD66"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1.1.2.4.2</w:t>
            </w:r>
          </w:p>
        </w:tc>
        <w:tc>
          <w:tcPr>
            <w:tcW w:w="4632" w:type="pct"/>
            <w:gridSpan w:val="20"/>
            <w:vAlign w:val="bottom"/>
          </w:tcPr>
          <w:p w14:paraId="3D1F0467" w14:textId="77777777" w:rsidR="008C5242" w:rsidRPr="00DF0428" w:rsidRDefault="008C5242" w:rsidP="003C7E27">
            <w:pPr>
              <w:spacing w:after="0" w:line="240" w:lineRule="auto"/>
              <w:ind w:right="-1" w:firstLineChars="100" w:firstLine="216"/>
              <w:rPr>
                <w:rFonts w:ascii="Calibri" w:eastAsia="Yu Mincho" w:hAnsi="Calibri" w:cs="Calibri"/>
                <w:lang w:eastAsia="pt-BR"/>
              </w:rPr>
            </w:pPr>
            <w:r w:rsidRPr="00DF0428">
              <w:rPr>
                <w:rFonts w:ascii="Calibri" w:eastAsia="Yu Mincho" w:hAnsi="Calibri" w:cs="Calibri"/>
                <w:b/>
                <w:lang w:eastAsia="pt-BR"/>
              </w:rPr>
              <w:t>Justificativas de desempenho por imóvel</w:t>
            </w:r>
          </w:p>
        </w:tc>
      </w:tr>
      <w:tr w:rsidR="008C5242" w:rsidRPr="00DF0428" w14:paraId="73633229" w14:textId="77777777" w:rsidTr="003C7E27">
        <w:trPr>
          <w:trHeight w:val="284"/>
        </w:trPr>
        <w:tc>
          <w:tcPr>
            <w:tcW w:w="368" w:type="pct"/>
            <w:vMerge/>
          </w:tcPr>
          <w:p w14:paraId="0456979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09030ACD"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b/>
                <w:lang w:eastAsia="pt-BR"/>
              </w:rPr>
              <w:t>Relação de Imóveis para venda em construção (nome, ou endereço, caso não possua um nome)</w:t>
            </w:r>
          </w:p>
        </w:tc>
        <w:tc>
          <w:tcPr>
            <w:tcW w:w="1549" w:type="pct"/>
            <w:gridSpan w:val="6"/>
            <w:vAlign w:val="bottom"/>
          </w:tcPr>
          <w:p w14:paraId="54C206C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Justificativas para evolução de construção inferior ao previsto (acumulado)</w:t>
            </w:r>
          </w:p>
        </w:tc>
        <w:tc>
          <w:tcPr>
            <w:tcW w:w="1611" w:type="pct"/>
            <w:gridSpan w:val="8"/>
            <w:vAlign w:val="bottom"/>
          </w:tcPr>
          <w:p w14:paraId="328A015E" w14:textId="77777777" w:rsidR="008C5242" w:rsidRPr="00DF0428" w:rsidRDefault="008C5242" w:rsidP="003C7E27">
            <w:pPr>
              <w:spacing w:after="0" w:line="240" w:lineRule="auto"/>
              <w:ind w:right="-1"/>
              <w:rPr>
                <w:rFonts w:ascii="Calibri" w:eastAsia="Yu Mincho" w:hAnsi="Calibri" w:cs="Arial"/>
                <w:b/>
                <w:bCs/>
                <w:lang w:eastAsia="pt-BR"/>
              </w:rPr>
            </w:pPr>
            <w:r w:rsidRPr="00DF0428">
              <w:rPr>
                <w:rFonts w:ascii="Calibri" w:eastAsia="Yu Mincho" w:hAnsi="Calibri" w:cs="Arial"/>
                <w:b/>
                <w:bCs/>
                <w:lang w:eastAsia="pt-BR"/>
              </w:rPr>
              <w:t>Justificativas para a ocorrência de custos superiores ao previsto (acumulado)</w:t>
            </w:r>
          </w:p>
        </w:tc>
      </w:tr>
      <w:tr w:rsidR="008C5242" w:rsidRPr="00DF0428" w14:paraId="6EC876B8" w14:textId="77777777" w:rsidTr="003C7E27">
        <w:trPr>
          <w:trHeight w:val="284"/>
        </w:trPr>
        <w:tc>
          <w:tcPr>
            <w:tcW w:w="368" w:type="pct"/>
            <w:vMerge/>
          </w:tcPr>
          <w:p w14:paraId="3F8845E2"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69EDB3A9"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1549" w:type="pct"/>
            <w:gridSpan w:val="6"/>
            <w:vAlign w:val="bottom"/>
          </w:tcPr>
          <w:p w14:paraId="5F123BF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5992C62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527E91D" w14:textId="77777777" w:rsidTr="003C7E27">
        <w:trPr>
          <w:trHeight w:val="284"/>
        </w:trPr>
        <w:tc>
          <w:tcPr>
            <w:tcW w:w="368" w:type="pct"/>
            <w:vMerge/>
          </w:tcPr>
          <w:p w14:paraId="1B7F65A9"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016BBEC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1549" w:type="pct"/>
            <w:gridSpan w:val="6"/>
            <w:vAlign w:val="bottom"/>
          </w:tcPr>
          <w:p w14:paraId="1D822BC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25D69BE8"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7050E44" w14:textId="77777777" w:rsidTr="003C7E27">
        <w:trPr>
          <w:trHeight w:val="284"/>
        </w:trPr>
        <w:tc>
          <w:tcPr>
            <w:tcW w:w="368" w:type="pct"/>
            <w:vMerge/>
          </w:tcPr>
          <w:p w14:paraId="5726C6D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72" w:type="pct"/>
            <w:gridSpan w:val="6"/>
            <w:vAlign w:val="bottom"/>
          </w:tcPr>
          <w:p w14:paraId="05A77C1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1549" w:type="pct"/>
            <w:gridSpan w:val="6"/>
            <w:vAlign w:val="bottom"/>
          </w:tcPr>
          <w:p w14:paraId="054F525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611" w:type="pct"/>
            <w:gridSpan w:val="8"/>
            <w:vAlign w:val="bottom"/>
          </w:tcPr>
          <w:p w14:paraId="4F15EBD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0162E54A" w14:textId="77777777" w:rsidTr="003C7E27">
        <w:trPr>
          <w:trHeight w:hRule="exact" w:val="538"/>
        </w:trPr>
        <w:tc>
          <w:tcPr>
            <w:tcW w:w="368" w:type="pct"/>
          </w:tcPr>
          <w:p w14:paraId="38010FE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lang w:eastAsia="pt-BR"/>
              </w:rPr>
              <w:t>1.1.2.4.3</w:t>
            </w:r>
          </w:p>
        </w:tc>
        <w:tc>
          <w:tcPr>
            <w:tcW w:w="4632" w:type="pct"/>
            <w:gridSpan w:val="20"/>
          </w:tcPr>
          <w:p w14:paraId="1BCC22E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Política de contratação de seguros para a preservação dos imóveis dessa categoria:</w:t>
            </w:r>
          </w:p>
        </w:tc>
      </w:tr>
      <w:tr w:rsidR="008C5242" w:rsidRPr="00DF0428" w14:paraId="2B192FED" w14:textId="77777777" w:rsidTr="003C7E27">
        <w:trPr>
          <w:trHeight w:hRule="exact" w:val="447"/>
        </w:trPr>
        <w:tc>
          <w:tcPr>
            <w:tcW w:w="368" w:type="pct"/>
            <w:vAlign w:val="bottom"/>
          </w:tcPr>
          <w:p w14:paraId="4A02E94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w:t>
            </w:r>
          </w:p>
        </w:tc>
        <w:tc>
          <w:tcPr>
            <w:tcW w:w="4632" w:type="pct"/>
            <w:gridSpan w:val="20"/>
            <w:vAlign w:val="bottom"/>
          </w:tcPr>
          <w:p w14:paraId="6CBD094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Ativos financeiros</w:t>
            </w:r>
          </w:p>
        </w:tc>
      </w:tr>
      <w:tr w:rsidR="008C5242" w:rsidRPr="00DF0428" w14:paraId="05DB95A5" w14:textId="77777777" w:rsidTr="003C7E27">
        <w:trPr>
          <w:trHeight w:val="284"/>
        </w:trPr>
        <w:tc>
          <w:tcPr>
            <w:tcW w:w="368" w:type="pct"/>
            <w:vMerge w:val="restart"/>
          </w:tcPr>
          <w:p w14:paraId="00504FD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1.2.1</w:t>
            </w:r>
          </w:p>
        </w:tc>
        <w:tc>
          <w:tcPr>
            <w:tcW w:w="4632" w:type="pct"/>
            <w:gridSpan w:val="20"/>
            <w:vAlign w:val="bottom"/>
          </w:tcPr>
          <w:p w14:paraId="2412F206"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Fundos de Investimento Imobiliário – FII</w:t>
            </w:r>
          </w:p>
        </w:tc>
      </w:tr>
      <w:tr w:rsidR="008C5242" w:rsidRPr="00DF0428" w14:paraId="0FA9B6E9" w14:textId="77777777" w:rsidTr="003C7E27">
        <w:trPr>
          <w:trHeight w:val="284"/>
        </w:trPr>
        <w:tc>
          <w:tcPr>
            <w:tcW w:w="368" w:type="pct"/>
            <w:vMerge/>
          </w:tcPr>
          <w:p w14:paraId="5408850D"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65E520B5"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Classe</w:t>
            </w:r>
          </w:p>
        </w:tc>
        <w:tc>
          <w:tcPr>
            <w:tcW w:w="1196" w:type="pct"/>
            <w:gridSpan w:val="6"/>
            <w:vAlign w:val="bottom"/>
          </w:tcPr>
          <w:p w14:paraId="2224A98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73897257"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AF477ED"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420782AB" w14:textId="77777777" w:rsidTr="003C7E27">
        <w:trPr>
          <w:trHeight w:hRule="exact" w:val="284"/>
        </w:trPr>
        <w:tc>
          <w:tcPr>
            <w:tcW w:w="368" w:type="pct"/>
            <w:vMerge/>
          </w:tcPr>
          <w:p w14:paraId="7CDACD3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0FF2572"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074C7370" w14:textId="77777777" w:rsidR="008C5242" w:rsidRPr="00DF0428" w:rsidRDefault="008C5242" w:rsidP="003C7E27">
            <w:pPr>
              <w:spacing w:after="0" w:line="240" w:lineRule="auto"/>
              <w:ind w:right="-1"/>
              <w:rPr>
                <w:rFonts w:ascii="Calibri" w:eastAsia="Yu Mincho" w:hAnsi="Calibri" w:cs="Calibri"/>
                <w:color w:val="000000"/>
                <w:lang w:eastAsia="pt-BR"/>
              </w:rPr>
            </w:pPr>
          </w:p>
        </w:tc>
        <w:tc>
          <w:tcPr>
            <w:tcW w:w="1197" w:type="pct"/>
            <w:gridSpan w:val="6"/>
            <w:vAlign w:val="bottom"/>
          </w:tcPr>
          <w:p w14:paraId="1AF54E41" w14:textId="77777777" w:rsidR="008C5242" w:rsidRPr="00DF0428" w:rsidRDefault="008C5242" w:rsidP="003C7E27">
            <w:pPr>
              <w:spacing w:after="0" w:line="240" w:lineRule="auto"/>
              <w:ind w:right="-1"/>
              <w:rPr>
                <w:rFonts w:ascii="Calibri" w:eastAsia="Yu Mincho" w:hAnsi="Calibri" w:cs="Calibri"/>
                <w:color w:val="000000"/>
                <w:lang w:eastAsia="pt-BR"/>
              </w:rPr>
            </w:pPr>
          </w:p>
        </w:tc>
        <w:tc>
          <w:tcPr>
            <w:tcW w:w="897" w:type="pct"/>
            <w:gridSpan w:val="4"/>
            <w:vAlign w:val="bottom"/>
          </w:tcPr>
          <w:p w14:paraId="4FC7E0CA" w14:textId="77777777" w:rsidR="008C5242" w:rsidRPr="00DF0428" w:rsidRDefault="008C5242" w:rsidP="003C7E27">
            <w:pPr>
              <w:spacing w:after="0" w:line="240" w:lineRule="auto"/>
              <w:ind w:right="-1"/>
              <w:rPr>
                <w:rFonts w:ascii="Calibri" w:eastAsia="Yu Mincho" w:hAnsi="Calibri" w:cs="Calibri"/>
                <w:color w:val="000000"/>
                <w:lang w:eastAsia="pt-BR"/>
              </w:rPr>
            </w:pPr>
          </w:p>
        </w:tc>
      </w:tr>
      <w:tr w:rsidR="008C5242" w:rsidRPr="00DF0428" w14:paraId="58444BEA" w14:textId="77777777" w:rsidTr="003C7E27">
        <w:trPr>
          <w:trHeight w:hRule="exact" w:val="284"/>
        </w:trPr>
        <w:tc>
          <w:tcPr>
            <w:tcW w:w="368" w:type="pct"/>
            <w:vMerge/>
          </w:tcPr>
          <w:p w14:paraId="352CB96E"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0FD28C9A"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1B68A90B" w14:textId="77777777" w:rsidR="008C5242" w:rsidRPr="00DF0428" w:rsidRDefault="008C5242" w:rsidP="003C7E27">
            <w:pPr>
              <w:spacing w:after="0" w:line="240" w:lineRule="auto"/>
              <w:ind w:right="-1"/>
              <w:rPr>
                <w:rFonts w:ascii="Calibri" w:eastAsia="Yu Mincho" w:hAnsi="Calibri" w:cs="Calibri"/>
                <w:color w:val="000000"/>
                <w:lang w:eastAsia="pt-BR"/>
              </w:rPr>
            </w:pPr>
          </w:p>
        </w:tc>
        <w:tc>
          <w:tcPr>
            <w:tcW w:w="1197" w:type="pct"/>
            <w:gridSpan w:val="6"/>
            <w:vAlign w:val="bottom"/>
          </w:tcPr>
          <w:p w14:paraId="1929CE36"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3D89E7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1DAD6AFA" w14:textId="77777777" w:rsidTr="003C7E27">
        <w:trPr>
          <w:trHeight w:hRule="exact" w:val="284"/>
        </w:trPr>
        <w:tc>
          <w:tcPr>
            <w:tcW w:w="368" w:type="pct"/>
            <w:vMerge/>
          </w:tcPr>
          <w:p w14:paraId="4F21469E"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A9F09D8"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52497344" w14:textId="77777777" w:rsidR="008C5242" w:rsidRPr="00DF0428" w:rsidRDefault="008C5242" w:rsidP="003C7E27">
            <w:pPr>
              <w:spacing w:after="0" w:line="240" w:lineRule="auto"/>
              <w:ind w:right="-1"/>
              <w:rPr>
                <w:rFonts w:ascii="Calibri" w:eastAsia="Yu Mincho" w:hAnsi="Calibri" w:cs="Calibri"/>
                <w:color w:val="000000"/>
                <w:lang w:eastAsia="pt-BR"/>
              </w:rPr>
            </w:pPr>
          </w:p>
        </w:tc>
        <w:tc>
          <w:tcPr>
            <w:tcW w:w="1197" w:type="pct"/>
            <w:gridSpan w:val="6"/>
            <w:vAlign w:val="bottom"/>
          </w:tcPr>
          <w:p w14:paraId="66D7E2B3"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320D58E"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F715890" w14:textId="77777777" w:rsidTr="003C7E27">
        <w:trPr>
          <w:trHeight w:hRule="exact" w:val="284"/>
        </w:trPr>
        <w:tc>
          <w:tcPr>
            <w:tcW w:w="368" w:type="pct"/>
            <w:vMerge w:val="restart"/>
          </w:tcPr>
          <w:p w14:paraId="20EDA9C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1.2.2</w:t>
            </w:r>
          </w:p>
        </w:tc>
        <w:tc>
          <w:tcPr>
            <w:tcW w:w="4632" w:type="pct"/>
            <w:gridSpan w:val="20"/>
            <w:vAlign w:val="bottom"/>
          </w:tcPr>
          <w:p w14:paraId="58960CA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Certificado de Recebíveis Imobiliários (CRI)</w:t>
            </w:r>
          </w:p>
        </w:tc>
      </w:tr>
      <w:tr w:rsidR="008C5242" w:rsidRPr="00DF0428" w14:paraId="658F7DC0" w14:textId="77777777" w:rsidTr="003C7E27">
        <w:trPr>
          <w:trHeight w:hRule="exact" w:val="567"/>
        </w:trPr>
        <w:tc>
          <w:tcPr>
            <w:tcW w:w="368" w:type="pct"/>
            <w:vMerge/>
          </w:tcPr>
          <w:p w14:paraId="0A5F4EA1"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05582074"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Companhia Emissora</w:t>
            </w:r>
          </w:p>
        </w:tc>
        <w:tc>
          <w:tcPr>
            <w:tcW w:w="897" w:type="pct"/>
            <w:gridSpan w:val="6"/>
            <w:vAlign w:val="bottom"/>
          </w:tcPr>
          <w:p w14:paraId="20E1AAD4"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727" w:type="pct"/>
            <w:gridSpan w:val="3"/>
            <w:vAlign w:val="bottom"/>
          </w:tcPr>
          <w:p w14:paraId="0C6352B2"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Emissão</w:t>
            </w:r>
          </w:p>
        </w:tc>
        <w:tc>
          <w:tcPr>
            <w:tcW w:w="567" w:type="pct"/>
            <w:gridSpan w:val="3"/>
            <w:tcMar>
              <w:left w:w="0" w:type="dxa"/>
              <w:right w:w="0" w:type="dxa"/>
            </w:tcMar>
            <w:vAlign w:val="bottom"/>
          </w:tcPr>
          <w:p w14:paraId="59683BA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bCs/>
                <w:lang w:eastAsia="pt-BR"/>
              </w:rPr>
              <w:t>Subclasse</w:t>
            </w:r>
          </w:p>
        </w:tc>
        <w:tc>
          <w:tcPr>
            <w:tcW w:w="629" w:type="pct"/>
            <w:gridSpan w:val="3"/>
            <w:tcMar>
              <w:left w:w="0" w:type="dxa"/>
              <w:right w:w="0" w:type="dxa"/>
            </w:tcMar>
            <w:vAlign w:val="bottom"/>
          </w:tcPr>
          <w:p w14:paraId="0EC61A7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60F3018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2B962ACC" w14:textId="77777777" w:rsidTr="003C7E27">
        <w:trPr>
          <w:trHeight w:hRule="exact" w:val="284"/>
        </w:trPr>
        <w:tc>
          <w:tcPr>
            <w:tcW w:w="368" w:type="pct"/>
            <w:vMerge/>
          </w:tcPr>
          <w:p w14:paraId="4CD80E6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17AE9071"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897" w:type="pct"/>
            <w:gridSpan w:val="6"/>
            <w:vAlign w:val="bottom"/>
          </w:tcPr>
          <w:p w14:paraId="1EE809E8"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46D0CE5D" w14:textId="77777777" w:rsidR="008C5242" w:rsidRPr="00DF0428" w:rsidRDefault="008C5242" w:rsidP="003C7E27">
            <w:pPr>
              <w:spacing w:after="0" w:line="240" w:lineRule="auto"/>
              <w:ind w:right="-1"/>
              <w:rPr>
                <w:rFonts w:ascii="Calibri" w:eastAsia="Yu Mincho" w:hAnsi="Calibri" w:cs="Calibri"/>
                <w:b/>
                <w:lang w:eastAsia="pt-BR"/>
              </w:rPr>
            </w:pPr>
          </w:p>
        </w:tc>
        <w:tc>
          <w:tcPr>
            <w:tcW w:w="567" w:type="pct"/>
            <w:gridSpan w:val="3"/>
            <w:vAlign w:val="bottom"/>
          </w:tcPr>
          <w:p w14:paraId="5389B1C2" w14:textId="77777777" w:rsidR="008C5242" w:rsidRPr="00DF0428" w:rsidRDefault="008C5242" w:rsidP="003C7E27">
            <w:pPr>
              <w:spacing w:after="0" w:line="240" w:lineRule="auto"/>
              <w:ind w:right="-1"/>
              <w:rPr>
                <w:rFonts w:ascii="Calibri" w:eastAsia="Yu Mincho" w:hAnsi="Calibri" w:cs="Calibri"/>
                <w:b/>
                <w:lang w:eastAsia="pt-BR"/>
              </w:rPr>
            </w:pPr>
          </w:p>
        </w:tc>
        <w:tc>
          <w:tcPr>
            <w:tcW w:w="629" w:type="pct"/>
            <w:gridSpan w:val="3"/>
            <w:vAlign w:val="bottom"/>
          </w:tcPr>
          <w:p w14:paraId="64752F80"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EAC1B09"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C107E1A" w14:textId="77777777" w:rsidTr="003C7E27">
        <w:trPr>
          <w:trHeight w:hRule="exact" w:val="284"/>
        </w:trPr>
        <w:tc>
          <w:tcPr>
            <w:tcW w:w="368" w:type="pct"/>
            <w:vMerge/>
          </w:tcPr>
          <w:p w14:paraId="3AF497C5"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546F3B3B"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897" w:type="pct"/>
            <w:gridSpan w:val="6"/>
            <w:vAlign w:val="bottom"/>
          </w:tcPr>
          <w:p w14:paraId="4A401808"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17E6BD55" w14:textId="77777777" w:rsidR="008C5242" w:rsidRPr="00DF0428" w:rsidRDefault="008C5242" w:rsidP="003C7E27">
            <w:pPr>
              <w:spacing w:after="0" w:line="240" w:lineRule="auto"/>
              <w:ind w:right="-1"/>
              <w:rPr>
                <w:rFonts w:ascii="Calibri" w:eastAsia="Yu Mincho" w:hAnsi="Calibri" w:cs="Calibri"/>
                <w:b/>
                <w:lang w:eastAsia="pt-BR"/>
              </w:rPr>
            </w:pPr>
          </w:p>
        </w:tc>
        <w:tc>
          <w:tcPr>
            <w:tcW w:w="567" w:type="pct"/>
            <w:gridSpan w:val="3"/>
            <w:vAlign w:val="bottom"/>
          </w:tcPr>
          <w:p w14:paraId="09FA11DE" w14:textId="77777777" w:rsidR="008C5242" w:rsidRPr="00DF0428" w:rsidRDefault="008C5242" w:rsidP="003C7E27">
            <w:pPr>
              <w:spacing w:after="0" w:line="240" w:lineRule="auto"/>
              <w:ind w:right="-1"/>
              <w:rPr>
                <w:rFonts w:ascii="Calibri" w:eastAsia="Yu Mincho" w:hAnsi="Calibri" w:cs="Calibri"/>
                <w:b/>
                <w:lang w:eastAsia="pt-BR"/>
              </w:rPr>
            </w:pPr>
          </w:p>
        </w:tc>
        <w:tc>
          <w:tcPr>
            <w:tcW w:w="629" w:type="pct"/>
            <w:gridSpan w:val="3"/>
            <w:vAlign w:val="bottom"/>
          </w:tcPr>
          <w:p w14:paraId="598C16A9"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6E4E4741"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7BA5CAC6" w14:textId="77777777" w:rsidTr="003C7E27">
        <w:trPr>
          <w:trHeight w:hRule="exact" w:val="467"/>
        </w:trPr>
        <w:tc>
          <w:tcPr>
            <w:tcW w:w="368" w:type="pct"/>
            <w:vMerge/>
          </w:tcPr>
          <w:p w14:paraId="2FC27E18"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536C1F9B"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897" w:type="pct"/>
            <w:gridSpan w:val="6"/>
            <w:vAlign w:val="bottom"/>
          </w:tcPr>
          <w:p w14:paraId="760562AF"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47A7CA8F" w14:textId="77777777" w:rsidR="008C5242" w:rsidRPr="00DF0428" w:rsidRDefault="008C5242" w:rsidP="003C7E27">
            <w:pPr>
              <w:spacing w:after="0" w:line="240" w:lineRule="auto"/>
              <w:ind w:right="-1"/>
              <w:rPr>
                <w:rFonts w:ascii="Calibri" w:eastAsia="Yu Mincho" w:hAnsi="Calibri" w:cs="Calibri"/>
                <w:b/>
                <w:lang w:eastAsia="pt-BR"/>
              </w:rPr>
            </w:pPr>
          </w:p>
        </w:tc>
        <w:tc>
          <w:tcPr>
            <w:tcW w:w="567" w:type="pct"/>
            <w:gridSpan w:val="3"/>
            <w:vAlign w:val="bottom"/>
          </w:tcPr>
          <w:p w14:paraId="0B12BAE0" w14:textId="77777777" w:rsidR="008C5242" w:rsidRPr="00DF0428" w:rsidRDefault="008C5242" w:rsidP="003C7E27">
            <w:pPr>
              <w:spacing w:after="0" w:line="240" w:lineRule="auto"/>
              <w:ind w:right="-1"/>
              <w:rPr>
                <w:rFonts w:ascii="Calibri" w:eastAsia="Yu Mincho" w:hAnsi="Calibri" w:cs="Calibri"/>
                <w:b/>
                <w:lang w:eastAsia="pt-BR"/>
              </w:rPr>
            </w:pPr>
          </w:p>
        </w:tc>
        <w:tc>
          <w:tcPr>
            <w:tcW w:w="629" w:type="pct"/>
            <w:gridSpan w:val="3"/>
            <w:vAlign w:val="bottom"/>
          </w:tcPr>
          <w:p w14:paraId="6897DE91"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25424D8C"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709C00F" w14:textId="77777777" w:rsidTr="003C7E27">
        <w:trPr>
          <w:trHeight w:hRule="exact" w:val="284"/>
        </w:trPr>
        <w:tc>
          <w:tcPr>
            <w:tcW w:w="368" w:type="pct"/>
            <w:vMerge w:val="restart"/>
          </w:tcPr>
          <w:p w14:paraId="226102BF"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1.2.3</w:t>
            </w:r>
          </w:p>
        </w:tc>
        <w:tc>
          <w:tcPr>
            <w:tcW w:w="4632" w:type="pct"/>
            <w:gridSpan w:val="20"/>
            <w:vAlign w:val="bottom"/>
          </w:tcPr>
          <w:p w14:paraId="7EB313C1"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Letras de Crédito Imobiliário (LCI)</w:t>
            </w:r>
          </w:p>
        </w:tc>
      </w:tr>
      <w:tr w:rsidR="008C5242" w:rsidRPr="00DF0428" w14:paraId="3C8AAA2C" w14:textId="77777777" w:rsidTr="003C7E27">
        <w:trPr>
          <w:trHeight w:hRule="exact" w:val="284"/>
        </w:trPr>
        <w:tc>
          <w:tcPr>
            <w:tcW w:w="368" w:type="pct"/>
            <w:vMerge/>
          </w:tcPr>
          <w:p w14:paraId="0C19DD7D"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5752B650"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 xml:space="preserve">Emissor </w:t>
            </w:r>
          </w:p>
        </w:tc>
        <w:tc>
          <w:tcPr>
            <w:tcW w:w="897" w:type="pct"/>
            <w:gridSpan w:val="6"/>
            <w:vAlign w:val="bottom"/>
          </w:tcPr>
          <w:p w14:paraId="1B28F3DB"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727" w:type="pct"/>
            <w:gridSpan w:val="3"/>
            <w:vAlign w:val="bottom"/>
          </w:tcPr>
          <w:p w14:paraId="0D1FD567"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Vencimento</w:t>
            </w:r>
          </w:p>
        </w:tc>
        <w:tc>
          <w:tcPr>
            <w:tcW w:w="1197" w:type="pct"/>
            <w:gridSpan w:val="6"/>
            <w:vAlign w:val="bottom"/>
          </w:tcPr>
          <w:p w14:paraId="194A96C7"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5D871946"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p w14:paraId="22E16920"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10EC402F" w14:textId="77777777" w:rsidTr="003C7E27">
        <w:trPr>
          <w:trHeight w:hRule="exact" w:val="284"/>
        </w:trPr>
        <w:tc>
          <w:tcPr>
            <w:tcW w:w="368" w:type="pct"/>
            <w:vMerge/>
          </w:tcPr>
          <w:p w14:paraId="2EAF20A5"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0F84186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897" w:type="pct"/>
            <w:gridSpan w:val="6"/>
            <w:vAlign w:val="bottom"/>
          </w:tcPr>
          <w:p w14:paraId="59AA2088"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6EAEE2CF"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4640247F"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25C4FB5F" w14:textId="77777777" w:rsidR="008C5242" w:rsidRPr="00DF0428" w:rsidRDefault="008C5242" w:rsidP="003C7E27">
            <w:pPr>
              <w:spacing w:after="0" w:line="240" w:lineRule="auto"/>
              <w:ind w:right="-1"/>
              <w:rPr>
                <w:rFonts w:ascii="Calibri" w:eastAsia="Yu Mincho" w:hAnsi="Calibri" w:cs="Calibri"/>
                <w:lang w:eastAsia="pt-BR"/>
              </w:rPr>
            </w:pPr>
          </w:p>
        </w:tc>
      </w:tr>
      <w:tr w:rsidR="008C5242" w:rsidRPr="00DF0428" w14:paraId="027F15C1" w14:textId="77777777" w:rsidTr="003C7E27">
        <w:trPr>
          <w:trHeight w:hRule="exact" w:val="284"/>
        </w:trPr>
        <w:tc>
          <w:tcPr>
            <w:tcW w:w="368" w:type="pct"/>
            <w:vMerge/>
          </w:tcPr>
          <w:p w14:paraId="5267084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55B5E815"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897" w:type="pct"/>
            <w:gridSpan w:val="6"/>
            <w:vAlign w:val="bottom"/>
          </w:tcPr>
          <w:p w14:paraId="3E95485E"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000616B8"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04A238C9"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5E692360" w14:textId="77777777" w:rsidR="008C5242" w:rsidRPr="00DF0428" w:rsidRDefault="008C5242" w:rsidP="003C7E27">
            <w:pPr>
              <w:spacing w:after="0" w:line="240" w:lineRule="auto"/>
              <w:ind w:right="-1"/>
              <w:rPr>
                <w:rFonts w:ascii="Calibri" w:eastAsia="Yu Mincho" w:hAnsi="Calibri" w:cs="Calibri"/>
                <w:lang w:eastAsia="pt-BR"/>
              </w:rPr>
            </w:pPr>
          </w:p>
        </w:tc>
      </w:tr>
      <w:tr w:rsidR="008C5242" w:rsidRPr="00DF0428" w14:paraId="4ABD50FB" w14:textId="77777777" w:rsidTr="003C7E27">
        <w:trPr>
          <w:trHeight w:hRule="exact" w:val="284"/>
        </w:trPr>
        <w:tc>
          <w:tcPr>
            <w:tcW w:w="368" w:type="pct"/>
            <w:vMerge/>
          </w:tcPr>
          <w:p w14:paraId="6072426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1A69AF6E"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897" w:type="pct"/>
            <w:gridSpan w:val="6"/>
            <w:vAlign w:val="bottom"/>
          </w:tcPr>
          <w:p w14:paraId="637BC2CF"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1DED73B7"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397CF844"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0A4D18CE"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53661135" w14:textId="77777777" w:rsidTr="003C7E27">
        <w:trPr>
          <w:trHeight w:hRule="exact" w:val="485"/>
        </w:trPr>
        <w:tc>
          <w:tcPr>
            <w:tcW w:w="368" w:type="pct"/>
          </w:tcPr>
          <w:p w14:paraId="5BD8853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1.2.4</w:t>
            </w:r>
          </w:p>
        </w:tc>
        <w:tc>
          <w:tcPr>
            <w:tcW w:w="4632" w:type="pct"/>
            <w:gridSpan w:val="20"/>
            <w:vAlign w:val="bottom"/>
          </w:tcPr>
          <w:p w14:paraId="1C7BC5F5"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Letra Imobiliária Garantida (LIG)</w:t>
            </w:r>
          </w:p>
        </w:tc>
      </w:tr>
      <w:tr w:rsidR="008C5242" w:rsidRPr="00DF0428" w14:paraId="595D0626" w14:textId="77777777" w:rsidTr="003C7E27">
        <w:trPr>
          <w:trHeight w:hRule="exact" w:val="284"/>
        </w:trPr>
        <w:tc>
          <w:tcPr>
            <w:tcW w:w="368" w:type="pct"/>
            <w:vMerge w:val="restart"/>
          </w:tcPr>
          <w:p w14:paraId="0DAF09DB" w14:textId="77777777" w:rsidR="008C5242" w:rsidRPr="00DF0428" w:rsidRDefault="008C5242" w:rsidP="003C7E27">
            <w:pPr>
              <w:spacing w:after="0" w:line="240" w:lineRule="auto"/>
              <w:ind w:right="-1"/>
              <w:rPr>
                <w:rFonts w:ascii="Calibri" w:eastAsia="Yu Mincho" w:hAnsi="Calibri" w:cs="Calibri"/>
                <w:b/>
                <w:lang w:eastAsia="pt-BR"/>
              </w:rPr>
            </w:pPr>
          </w:p>
        </w:tc>
        <w:tc>
          <w:tcPr>
            <w:tcW w:w="914" w:type="pct"/>
            <w:vAlign w:val="bottom"/>
          </w:tcPr>
          <w:p w14:paraId="0F19C3BE"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 xml:space="preserve">Emissor </w:t>
            </w:r>
          </w:p>
        </w:tc>
        <w:tc>
          <w:tcPr>
            <w:tcW w:w="897" w:type="pct"/>
            <w:gridSpan w:val="6"/>
            <w:vAlign w:val="bottom"/>
          </w:tcPr>
          <w:p w14:paraId="6A7717CD"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CNPJ</w:t>
            </w:r>
          </w:p>
        </w:tc>
        <w:tc>
          <w:tcPr>
            <w:tcW w:w="727" w:type="pct"/>
            <w:gridSpan w:val="3"/>
            <w:vAlign w:val="bottom"/>
          </w:tcPr>
          <w:p w14:paraId="75D9141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Vencimento</w:t>
            </w:r>
          </w:p>
        </w:tc>
        <w:tc>
          <w:tcPr>
            <w:tcW w:w="1197" w:type="pct"/>
            <w:gridSpan w:val="6"/>
            <w:vAlign w:val="bottom"/>
          </w:tcPr>
          <w:p w14:paraId="23E5E4B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Quantidade</w:t>
            </w:r>
          </w:p>
        </w:tc>
        <w:tc>
          <w:tcPr>
            <w:tcW w:w="897" w:type="pct"/>
            <w:gridSpan w:val="4"/>
            <w:vAlign w:val="bottom"/>
          </w:tcPr>
          <w:p w14:paraId="4585340D"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p w14:paraId="222AA73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5C911A42" w14:textId="77777777" w:rsidTr="003C7E27">
        <w:trPr>
          <w:trHeight w:hRule="exact" w:val="284"/>
        </w:trPr>
        <w:tc>
          <w:tcPr>
            <w:tcW w:w="368" w:type="pct"/>
            <w:vMerge/>
          </w:tcPr>
          <w:p w14:paraId="60C1C99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05600512"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897" w:type="pct"/>
            <w:gridSpan w:val="6"/>
            <w:vAlign w:val="bottom"/>
          </w:tcPr>
          <w:p w14:paraId="4FAF3B23"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107C7F04"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13217301"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0545A9D6"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5DD50B61" w14:textId="77777777" w:rsidTr="003C7E27">
        <w:trPr>
          <w:trHeight w:hRule="exact" w:val="284"/>
        </w:trPr>
        <w:tc>
          <w:tcPr>
            <w:tcW w:w="368" w:type="pct"/>
            <w:vMerge/>
          </w:tcPr>
          <w:p w14:paraId="45A93390"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072BF023"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897" w:type="pct"/>
            <w:gridSpan w:val="6"/>
            <w:vAlign w:val="bottom"/>
          </w:tcPr>
          <w:p w14:paraId="3BA81381"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3A011CD2"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57BB7FC6"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4F21C6D0"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9A2D4FD" w14:textId="77777777" w:rsidTr="003C7E27">
        <w:trPr>
          <w:trHeight w:hRule="exact" w:val="284"/>
        </w:trPr>
        <w:tc>
          <w:tcPr>
            <w:tcW w:w="368" w:type="pct"/>
            <w:vMerge/>
          </w:tcPr>
          <w:p w14:paraId="51225EB4"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2E9810C2"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897" w:type="pct"/>
            <w:gridSpan w:val="6"/>
            <w:vAlign w:val="bottom"/>
          </w:tcPr>
          <w:p w14:paraId="1AC7B580" w14:textId="77777777" w:rsidR="008C5242" w:rsidRPr="00DF0428" w:rsidRDefault="008C5242" w:rsidP="003C7E27">
            <w:pPr>
              <w:spacing w:after="0" w:line="240" w:lineRule="auto"/>
              <w:ind w:right="-1"/>
              <w:rPr>
                <w:rFonts w:ascii="Calibri" w:eastAsia="Yu Mincho" w:hAnsi="Calibri" w:cs="Calibri"/>
                <w:lang w:eastAsia="pt-BR"/>
              </w:rPr>
            </w:pPr>
          </w:p>
        </w:tc>
        <w:tc>
          <w:tcPr>
            <w:tcW w:w="727" w:type="pct"/>
            <w:gridSpan w:val="3"/>
            <w:vAlign w:val="bottom"/>
          </w:tcPr>
          <w:p w14:paraId="7A8AACDD" w14:textId="77777777" w:rsidR="008C5242" w:rsidRPr="00DF0428" w:rsidRDefault="008C5242" w:rsidP="003C7E27">
            <w:pPr>
              <w:spacing w:after="0" w:line="240" w:lineRule="auto"/>
              <w:ind w:right="-1"/>
              <w:rPr>
                <w:rFonts w:ascii="Calibri" w:eastAsia="Yu Mincho" w:hAnsi="Calibri" w:cs="Calibri"/>
                <w:lang w:eastAsia="pt-BR"/>
              </w:rPr>
            </w:pPr>
          </w:p>
        </w:tc>
        <w:tc>
          <w:tcPr>
            <w:tcW w:w="1197" w:type="pct"/>
            <w:gridSpan w:val="6"/>
            <w:vAlign w:val="bottom"/>
          </w:tcPr>
          <w:p w14:paraId="3516916C" w14:textId="77777777" w:rsidR="008C5242" w:rsidRPr="00DF0428" w:rsidRDefault="008C5242" w:rsidP="003C7E27">
            <w:pPr>
              <w:spacing w:after="0" w:line="240" w:lineRule="auto"/>
              <w:ind w:right="-1"/>
              <w:rPr>
                <w:rFonts w:ascii="Calibri" w:eastAsia="Yu Mincho" w:hAnsi="Calibri" w:cs="Calibri"/>
                <w:lang w:eastAsia="pt-BR"/>
              </w:rPr>
            </w:pPr>
          </w:p>
        </w:tc>
        <w:tc>
          <w:tcPr>
            <w:tcW w:w="897" w:type="pct"/>
            <w:gridSpan w:val="4"/>
            <w:vAlign w:val="bottom"/>
          </w:tcPr>
          <w:p w14:paraId="3DD5AEE1"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F9ED5CA" w14:textId="77777777" w:rsidTr="003C7E27">
        <w:trPr>
          <w:trHeight w:hRule="exact" w:val="284"/>
        </w:trPr>
        <w:tc>
          <w:tcPr>
            <w:tcW w:w="368" w:type="pct"/>
            <w:vMerge w:val="restart"/>
          </w:tcPr>
          <w:p w14:paraId="06D1D34B"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1.2.5</w:t>
            </w:r>
          </w:p>
        </w:tc>
        <w:tc>
          <w:tcPr>
            <w:tcW w:w="4632" w:type="pct"/>
            <w:gridSpan w:val="20"/>
            <w:vAlign w:val="bottom"/>
          </w:tcPr>
          <w:p w14:paraId="3AA38E82"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Certificado de Potencial Adicional de Construção (CEPAC)</w:t>
            </w:r>
          </w:p>
        </w:tc>
      </w:tr>
      <w:tr w:rsidR="008C5242" w:rsidRPr="00DF0428" w14:paraId="528D0636" w14:textId="77777777" w:rsidTr="003C7E27">
        <w:trPr>
          <w:trHeight w:hRule="exact" w:val="284"/>
        </w:trPr>
        <w:tc>
          <w:tcPr>
            <w:tcW w:w="368" w:type="pct"/>
            <w:vMerge/>
          </w:tcPr>
          <w:p w14:paraId="7B7C619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6DB83145"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Emissor</w:t>
            </w:r>
          </w:p>
        </w:tc>
        <w:tc>
          <w:tcPr>
            <w:tcW w:w="1196" w:type="pct"/>
            <w:gridSpan w:val="6"/>
            <w:vAlign w:val="bottom"/>
          </w:tcPr>
          <w:p w14:paraId="4E47216C"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19DA01BB"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5B81201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p w14:paraId="03B85B2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1BB9AA46" w14:textId="77777777" w:rsidTr="003C7E27">
        <w:trPr>
          <w:trHeight w:hRule="exact" w:val="284"/>
        </w:trPr>
        <w:tc>
          <w:tcPr>
            <w:tcW w:w="368" w:type="pct"/>
            <w:vMerge/>
          </w:tcPr>
          <w:p w14:paraId="07341DD0"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5686005"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40388725"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53A55C80"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9DA6DF9"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10E2714" w14:textId="77777777" w:rsidTr="003C7E27">
        <w:trPr>
          <w:trHeight w:hRule="exact" w:val="284"/>
        </w:trPr>
        <w:tc>
          <w:tcPr>
            <w:tcW w:w="368" w:type="pct"/>
            <w:vMerge/>
          </w:tcPr>
          <w:p w14:paraId="3CC5F77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11B3D811"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3B74C85C"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0A375681"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7FE479E"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100B473D" w14:textId="77777777" w:rsidTr="003C7E27">
        <w:trPr>
          <w:trHeight w:hRule="exact" w:val="284"/>
        </w:trPr>
        <w:tc>
          <w:tcPr>
            <w:tcW w:w="368" w:type="pct"/>
            <w:vMerge/>
          </w:tcPr>
          <w:p w14:paraId="56FE0A5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6ADEE6BE"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04470A01"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345768F5"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1862595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FC3A2A1" w14:textId="77777777" w:rsidTr="003C7E27">
        <w:trPr>
          <w:trHeight w:hRule="exact" w:val="284"/>
        </w:trPr>
        <w:tc>
          <w:tcPr>
            <w:tcW w:w="368" w:type="pct"/>
            <w:vMerge w:val="restart"/>
          </w:tcPr>
          <w:p w14:paraId="1BB8ABB4"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1.2.6</w:t>
            </w:r>
          </w:p>
        </w:tc>
        <w:tc>
          <w:tcPr>
            <w:tcW w:w="4632" w:type="pct"/>
            <w:gridSpan w:val="20"/>
            <w:vAlign w:val="bottom"/>
          </w:tcPr>
          <w:p w14:paraId="169FE93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Ações</w:t>
            </w:r>
          </w:p>
        </w:tc>
      </w:tr>
      <w:tr w:rsidR="008C5242" w:rsidRPr="00DF0428" w14:paraId="0CFE0BAA" w14:textId="77777777" w:rsidTr="003C7E27">
        <w:trPr>
          <w:trHeight w:hRule="exact" w:val="567"/>
        </w:trPr>
        <w:tc>
          <w:tcPr>
            <w:tcW w:w="368" w:type="pct"/>
            <w:vMerge/>
          </w:tcPr>
          <w:p w14:paraId="5F42A951"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1B66766C"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 xml:space="preserve">Companhia </w:t>
            </w:r>
          </w:p>
        </w:tc>
        <w:tc>
          <w:tcPr>
            <w:tcW w:w="897" w:type="pct"/>
            <w:gridSpan w:val="6"/>
            <w:vAlign w:val="bottom"/>
          </w:tcPr>
          <w:p w14:paraId="44D9D996"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727" w:type="pct"/>
            <w:gridSpan w:val="3"/>
            <w:vAlign w:val="bottom"/>
          </w:tcPr>
          <w:p w14:paraId="747D2CDA"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Código da Ação</w:t>
            </w:r>
          </w:p>
        </w:tc>
        <w:tc>
          <w:tcPr>
            <w:tcW w:w="1197" w:type="pct"/>
            <w:gridSpan w:val="6"/>
            <w:vAlign w:val="bottom"/>
          </w:tcPr>
          <w:p w14:paraId="012E8D7A"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1F6328C"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14F2C293" w14:textId="77777777" w:rsidTr="003C7E27">
        <w:trPr>
          <w:trHeight w:hRule="exact" w:val="284"/>
        </w:trPr>
        <w:tc>
          <w:tcPr>
            <w:tcW w:w="368" w:type="pct"/>
            <w:vMerge/>
          </w:tcPr>
          <w:p w14:paraId="09123FDE"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1C28E996"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897" w:type="pct"/>
            <w:gridSpan w:val="6"/>
            <w:vAlign w:val="bottom"/>
          </w:tcPr>
          <w:p w14:paraId="6895F356"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5BA50DE5"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6612FA5B"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11B720B"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191FC15" w14:textId="77777777" w:rsidTr="003C7E27">
        <w:trPr>
          <w:trHeight w:hRule="exact" w:val="284"/>
        </w:trPr>
        <w:tc>
          <w:tcPr>
            <w:tcW w:w="368" w:type="pct"/>
            <w:vMerge/>
          </w:tcPr>
          <w:p w14:paraId="401F4C2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0BBA70B2"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897" w:type="pct"/>
            <w:gridSpan w:val="6"/>
            <w:vAlign w:val="bottom"/>
          </w:tcPr>
          <w:p w14:paraId="0A820EB8"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3A7B6935"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2B7FF138"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6655B873"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D2E82FC" w14:textId="77777777" w:rsidTr="003C7E27">
        <w:trPr>
          <w:trHeight w:hRule="exact" w:val="284"/>
        </w:trPr>
        <w:tc>
          <w:tcPr>
            <w:tcW w:w="368" w:type="pct"/>
            <w:vMerge/>
          </w:tcPr>
          <w:p w14:paraId="58805F1C"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914" w:type="pct"/>
            <w:vAlign w:val="bottom"/>
          </w:tcPr>
          <w:p w14:paraId="4FCD98D4"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897" w:type="pct"/>
            <w:gridSpan w:val="6"/>
            <w:vAlign w:val="bottom"/>
          </w:tcPr>
          <w:p w14:paraId="1D6CD249" w14:textId="77777777" w:rsidR="008C5242" w:rsidRPr="00DF0428" w:rsidRDefault="008C5242" w:rsidP="003C7E27">
            <w:pPr>
              <w:spacing w:after="0" w:line="240" w:lineRule="auto"/>
              <w:ind w:right="-1"/>
              <w:rPr>
                <w:rFonts w:ascii="Calibri" w:eastAsia="Yu Mincho" w:hAnsi="Calibri" w:cs="Calibri"/>
                <w:b/>
                <w:lang w:eastAsia="pt-BR"/>
              </w:rPr>
            </w:pPr>
          </w:p>
        </w:tc>
        <w:tc>
          <w:tcPr>
            <w:tcW w:w="727" w:type="pct"/>
            <w:gridSpan w:val="3"/>
            <w:vAlign w:val="bottom"/>
          </w:tcPr>
          <w:p w14:paraId="72CC091E"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1886B27F"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27A6983"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7B61A66E" w14:textId="77777777" w:rsidTr="003C7E27">
        <w:trPr>
          <w:trHeight w:hRule="exact" w:val="284"/>
        </w:trPr>
        <w:tc>
          <w:tcPr>
            <w:tcW w:w="368" w:type="pct"/>
            <w:vMerge w:val="restart"/>
          </w:tcPr>
          <w:p w14:paraId="6C63C075"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1.2.7</w:t>
            </w:r>
          </w:p>
        </w:tc>
        <w:tc>
          <w:tcPr>
            <w:tcW w:w="4632" w:type="pct"/>
            <w:gridSpan w:val="20"/>
            <w:vAlign w:val="bottom"/>
          </w:tcPr>
          <w:p w14:paraId="49DB4137"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Ações de Sociedades cujo único propósito se enquadra entre as atividades permitidas aos FII</w:t>
            </w:r>
          </w:p>
        </w:tc>
      </w:tr>
      <w:tr w:rsidR="008C5242" w:rsidRPr="00DF0428" w14:paraId="2565F1C8" w14:textId="77777777" w:rsidTr="003C7E27">
        <w:trPr>
          <w:trHeight w:hRule="exact" w:val="284"/>
        </w:trPr>
        <w:tc>
          <w:tcPr>
            <w:tcW w:w="368" w:type="pct"/>
            <w:vMerge/>
          </w:tcPr>
          <w:p w14:paraId="6C3AC6C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25E924E7"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 xml:space="preserve">Sociedade </w:t>
            </w:r>
          </w:p>
        </w:tc>
        <w:tc>
          <w:tcPr>
            <w:tcW w:w="1196" w:type="pct"/>
            <w:gridSpan w:val="6"/>
            <w:vAlign w:val="bottom"/>
          </w:tcPr>
          <w:p w14:paraId="7C396C95"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420798F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38836FD4"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56FBD67A" w14:textId="77777777" w:rsidTr="003C7E27">
        <w:trPr>
          <w:trHeight w:hRule="exact" w:val="284"/>
        </w:trPr>
        <w:tc>
          <w:tcPr>
            <w:tcW w:w="368" w:type="pct"/>
            <w:vMerge/>
          </w:tcPr>
          <w:p w14:paraId="52F9505C"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18CB6E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4E52BCAD"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571D081F"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FCD6DD9"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1163DD83" w14:textId="77777777" w:rsidTr="003C7E27">
        <w:trPr>
          <w:trHeight w:hRule="exact" w:val="284"/>
        </w:trPr>
        <w:tc>
          <w:tcPr>
            <w:tcW w:w="368" w:type="pct"/>
            <w:vMerge/>
          </w:tcPr>
          <w:p w14:paraId="165FEC7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8FEC15B"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604CA822"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77DB05BA"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2877A78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3C6B21C" w14:textId="77777777" w:rsidTr="003C7E27">
        <w:trPr>
          <w:trHeight w:hRule="exact" w:val="284"/>
        </w:trPr>
        <w:tc>
          <w:tcPr>
            <w:tcW w:w="368" w:type="pct"/>
            <w:vMerge/>
          </w:tcPr>
          <w:p w14:paraId="3F35A5C9"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0825D688"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2EA3CFF6"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5D6DDED1"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5B09D895"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C6AFA4B" w14:textId="77777777" w:rsidTr="003C7E27">
        <w:trPr>
          <w:trHeight w:hRule="exact" w:val="284"/>
        </w:trPr>
        <w:tc>
          <w:tcPr>
            <w:tcW w:w="368" w:type="pct"/>
            <w:vMerge w:val="restart"/>
          </w:tcPr>
          <w:p w14:paraId="18AB97D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1.2.8</w:t>
            </w:r>
          </w:p>
        </w:tc>
        <w:tc>
          <w:tcPr>
            <w:tcW w:w="4632" w:type="pct"/>
            <w:gridSpan w:val="20"/>
            <w:vAlign w:val="bottom"/>
          </w:tcPr>
          <w:p w14:paraId="09EBF6E2"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Cotas de Sociedades que se enquadre entre as atividades permitidas aos FII</w:t>
            </w:r>
          </w:p>
        </w:tc>
      </w:tr>
      <w:tr w:rsidR="008C5242" w:rsidRPr="00DF0428" w14:paraId="0BAE6DAE" w14:textId="77777777" w:rsidTr="003C7E27">
        <w:trPr>
          <w:trHeight w:hRule="exact" w:val="284"/>
        </w:trPr>
        <w:tc>
          <w:tcPr>
            <w:tcW w:w="368" w:type="pct"/>
            <w:vMerge/>
          </w:tcPr>
          <w:p w14:paraId="6F10DFF1"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56C1270"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b/>
                <w:lang w:eastAsia="pt-BR"/>
              </w:rPr>
              <w:t xml:space="preserve">Sociedade </w:t>
            </w:r>
          </w:p>
        </w:tc>
        <w:tc>
          <w:tcPr>
            <w:tcW w:w="1196" w:type="pct"/>
            <w:gridSpan w:val="6"/>
            <w:vAlign w:val="bottom"/>
          </w:tcPr>
          <w:p w14:paraId="4E0C567C"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4A5EC05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3006B08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6DE431A9" w14:textId="77777777" w:rsidTr="003C7E27">
        <w:trPr>
          <w:trHeight w:hRule="exact" w:val="284"/>
        </w:trPr>
        <w:tc>
          <w:tcPr>
            <w:tcW w:w="368" w:type="pct"/>
            <w:vMerge/>
          </w:tcPr>
          <w:p w14:paraId="3DB268C1"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006984F7"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6B1EAAD4"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128C8294"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337A177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87A707E" w14:textId="77777777" w:rsidTr="003C7E27">
        <w:trPr>
          <w:trHeight w:hRule="exact" w:val="284"/>
        </w:trPr>
        <w:tc>
          <w:tcPr>
            <w:tcW w:w="368" w:type="pct"/>
            <w:vMerge/>
          </w:tcPr>
          <w:p w14:paraId="66520805"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40A89B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53534DBC"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3DDA0E1F"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15C9985"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48EA2EA" w14:textId="77777777" w:rsidTr="003C7E27">
        <w:trPr>
          <w:trHeight w:hRule="exact" w:val="284"/>
        </w:trPr>
        <w:tc>
          <w:tcPr>
            <w:tcW w:w="368" w:type="pct"/>
            <w:vMerge/>
          </w:tcPr>
          <w:p w14:paraId="5C3A37E9"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07FD0F1"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027F8B97"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721AD1C1"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9EDD846"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704AB7FB" w14:textId="77777777" w:rsidTr="003C7E27">
        <w:trPr>
          <w:trHeight w:hRule="exact" w:val="284"/>
        </w:trPr>
        <w:tc>
          <w:tcPr>
            <w:tcW w:w="368" w:type="pct"/>
            <w:vMerge w:val="restart"/>
          </w:tcPr>
          <w:p w14:paraId="6F0CA84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1.2.9</w:t>
            </w:r>
          </w:p>
        </w:tc>
        <w:tc>
          <w:tcPr>
            <w:tcW w:w="4632" w:type="pct"/>
            <w:gridSpan w:val="20"/>
            <w:vAlign w:val="bottom"/>
          </w:tcPr>
          <w:p w14:paraId="53A15BC7"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Fundo de Investimento em Ações (FIA)</w:t>
            </w:r>
          </w:p>
        </w:tc>
      </w:tr>
      <w:tr w:rsidR="008C5242" w:rsidRPr="00DF0428" w14:paraId="7DB9B85A" w14:textId="77777777" w:rsidTr="003C7E27">
        <w:trPr>
          <w:trHeight w:hRule="exact" w:val="284"/>
        </w:trPr>
        <w:tc>
          <w:tcPr>
            <w:tcW w:w="368" w:type="pct"/>
            <w:vMerge/>
          </w:tcPr>
          <w:p w14:paraId="7D811E74"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5D7A3529"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Classe</w:t>
            </w:r>
          </w:p>
        </w:tc>
        <w:tc>
          <w:tcPr>
            <w:tcW w:w="1196" w:type="pct"/>
            <w:gridSpan w:val="6"/>
            <w:vAlign w:val="bottom"/>
          </w:tcPr>
          <w:p w14:paraId="34564AD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6D814DD3"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14939B4E"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6ADDBDA3" w14:textId="77777777" w:rsidTr="003C7E27">
        <w:trPr>
          <w:trHeight w:hRule="exact" w:val="284"/>
        </w:trPr>
        <w:tc>
          <w:tcPr>
            <w:tcW w:w="368" w:type="pct"/>
            <w:vMerge/>
          </w:tcPr>
          <w:p w14:paraId="58E25DA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F301E18"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73FF68AA"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285F3BF8"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688C5675"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1EC9849A" w14:textId="77777777" w:rsidTr="003C7E27">
        <w:trPr>
          <w:trHeight w:hRule="exact" w:val="284"/>
        </w:trPr>
        <w:tc>
          <w:tcPr>
            <w:tcW w:w="368" w:type="pct"/>
            <w:vMerge/>
          </w:tcPr>
          <w:p w14:paraId="57C10F1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246C254B"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63DF7C78"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0FB6F9B6"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9968717"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CD44CA4" w14:textId="77777777" w:rsidTr="003C7E27">
        <w:trPr>
          <w:trHeight w:hRule="exact" w:val="284"/>
        </w:trPr>
        <w:tc>
          <w:tcPr>
            <w:tcW w:w="368" w:type="pct"/>
            <w:vMerge/>
          </w:tcPr>
          <w:p w14:paraId="33F0DC8A"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3A4976BF"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2F5D4458"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2813BE56"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18799EF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38485FE" w14:textId="77777777" w:rsidTr="003C7E27">
        <w:trPr>
          <w:trHeight w:hRule="exact" w:val="284"/>
        </w:trPr>
        <w:tc>
          <w:tcPr>
            <w:tcW w:w="368" w:type="pct"/>
            <w:vMerge w:val="restart"/>
          </w:tcPr>
          <w:p w14:paraId="478CDA10" w14:textId="77777777" w:rsidR="008C5242" w:rsidRPr="00DF0428" w:rsidRDefault="008C5242" w:rsidP="003C7E27">
            <w:pPr>
              <w:spacing w:after="0" w:line="240" w:lineRule="auto"/>
              <w:ind w:left="-110" w:right="-1"/>
              <w:rPr>
                <w:rFonts w:ascii="Calibri" w:eastAsia="Yu Mincho" w:hAnsi="Calibri" w:cs="Calibri"/>
                <w:b/>
                <w:lang w:eastAsia="pt-BR"/>
              </w:rPr>
            </w:pPr>
            <w:r w:rsidRPr="00DF0428">
              <w:rPr>
                <w:rFonts w:ascii="Calibri" w:eastAsia="Yu Mincho" w:hAnsi="Calibri" w:cs="Calibri"/>
                <w:b/>
                <w:lang w:eastAsia="pt-BR"/>
              </w:rPr>
              <w:t>1.2.10</w:t>
            </w:r>
          </w:p>
        </w:tc>
        <w:tc>
          <w:tcPr>
            <w:tcW w:w="4632" w:type="pct"/>
            <w:gridSpan w:val="20"/>
            <w:vAlign w:val="bottom"/>
          </w:tcPr>
          <w:p w14:paraId="01967148"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Fundo de Investimento em Participações (FIP)</w:t>
            </w:r>
          </w:p>
        </w:tc>
      </w:tr>
      <w:tr w:rsidR="008C5242" w:rsidRPr="00DF0428" w14:paraId="50591DA8" w14:textId="77777777" w:rsidTr="003C7E27">
        <w:trPr>
          <w:trHeight w:hRule="exact" w:val="284"/>
        </w:trPr>
        <w:tc>
          <w:tcPr>
            <w:tcW w:w="368" w:type="pct"/>
            <w:vMerge/>
          </w:tcPr>
          <w:p w14:paraId="0E15028C"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570F6658"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Classe</w:t>
            </w:r>
          </w:p>
        </w:tc>
        <w:tc>
          <w:tcPr>
            <w:tcW w:w="1196" w:type="pct"/>
            <w:gridSpan w:val="6"/>
            <w:vAlign w:val="bottom"/>
          </w:tcPr>
          <w:p w14:paraId="04D6225C"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25F0C7B0"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2129817B"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3E1FC21D" w14:textId="77777777" w:rsidTr="003C7E27">
        <w:trPr>
          <w:trHeight w:hRule="exact" w:val="284"/>
        </w:trPr>
        <w:tc>
          <w:tcPr>
            <w:tcW w:w="368" w:type="pct"/>
            <w:vMerge/>
          </w:tcPr>
          <w:p w14:paraId="05D384E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1E9F8291"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6860C1ED"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62FC855A"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C94A8E3"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CB5C527" w14:textId="77777777" w:rsidTr="003C7E27">
        <w:trPr>
          <w:trHeight w:hRule="exact" w:val="284"/>
        </w:trPr>
        <w:tc>
          <w:tcPr>
            <w:tcW w:w="368" w:type="pct"/>
            <w:vMerge/>
          </w:tcPr>
          <w:p w14:paraId="6366AE78"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5402CEC"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3A085930"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6D525F3A"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0C1C1747"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6CAFA7E8" w14:textId="77777777" w:rsidTr="003C7E27">
        <w:trPr>
          <w:trHeight w:hRule="exact" w:val="284"/>
        </w:trPr>
        <w:tc>
          <w:tcPr>
            <w:tcW w:w="368" w:type="pct"/>
            <w:vMerge/>
          </w:tcPr>
          <w:p w14:paraId="54593226"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CE5B27E"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12FD920C"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24D89D05"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250C874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6AC3A02B" w14:textId="77777777" w:rsidTr="003C7E27">
        <w:trPr>
          <w:trHeight w:hRule="exact" w:val="284"/>
        </w:trPr>
        <w:tc>
          <w:tcPr>
            <w:tcW w:w="368" w:type="pct"/>
            <w:vMerge w:val="restart"/>
          </w:tcPr>
          <w:p w14:paraId="29C950B1" w14:textId="77777777" w:rsidR="008C5242" w:rsidRPr="00DF0428" w:rsidRDefault="008C5242" w:rsidP="003C7E27">
            <w:pPr>
              <w:spacing w:after="0" w:line="240" w:lineRule="auto"/>
              <w:ind w:left="-110" w:right="-1"/>
              <w:rPr>
                <w:rFonts w:ascii="Calibri" w:eastAsia="Yu Mincho" w:hAnsi="Calibri" w:cs="Calibri"/>
                <w:b/>
                <w:lang w:eastAsia="pt-BR"/>
              </w:rPr>
            </w:pPr>
            <w:r w:rsidRPr="00DF0428">
              <w:rPr>
                <w:rFonts w:ascii="Calibri" w:eastAsia="Yu Mincho" w:hAnsi="Calibri" w:cs="Calibri"/>
                <w:b/>
                <w:lang w:eastAsia="pt-BR"/>
              </w:rPr>
              <w:t>1.2.11</w:t>
            </w:r>
          </w:p>
        </w:tc>
        <w:tc>
          <w:tcPr>
            <w:tcW w:w="4632" w:type="pct"/>
            <w:gridSpan w:val="20"/>
            <w:vAlign w:val="bottom"/>
          </w:tcPr>
          <w:p w14:paraId="2B294EE0"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Fundo de Investimento em Direitos Creditórios (FIDC)</w:t>
            </w:r>
          </w:p>
        </w:tc>
      </w:tr>
      <w:tr w:rsidR="008C5242" w:rsidRPr="00DF0428" w14:paraId="430807E5" w14:textId="77777777" w:rsidTr="003C7E27">
        <w:trPr>
          <w:trHeight w:hRule="exact" w:val="284"/>
        </w:trPr>
        <w:tc>
          <w:tcPr>
            <w:tcW w:w="368" w:type="pct"/>
            <w:vMerge/>
          </w:tcPr>
          <w:p w14:paraId="6DE485A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72E97246"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Classe</w:t>
            </w:r>
          </w:p>
        </w:tc>
        <w:tc>
          <w:tcPr>
            <w:tcW w:w="1196" w:type="pct"/>
            <w:gridSpan w:val="6"/>
            <w:vAlign w:val="bottom"/>
          </w:tcPr>
          <w:p w14:paraId="00D1D042"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0C2F2BF4"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08B5D70F"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23B71C46" w14:textId="77777777" w:rsidTr="003C7E27">
        <w:trPr>
          <w:trHeight w:hRule="exact" w:val="284"/>
        </w:trPr>
        <w:tc>
          <w:tcPr>
            <w:tcW w:w="368" w:type="pct"/>
            <w:vMerge/>
          </w:tcPr>
          <w:p w14:paraId="2623A92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11E28B8"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3D0D00F9"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36EB1A0A"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452B35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54DB418" w14:textId="77777777" w:rsidTr="003C7E27">
        <w:trPr>
          <w:trHeight w:hRule="exact" w:val="284"/>
        </w:trPr>
        <w:tc>
          <w:tcPr>
            <w:tcW w:w="368" w:type="pct"/>
            <w:vMerge/>
          </w:tcPr>
          <w:p w14:paraId="42C47316"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057FDBAD"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151B36AB"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500D0826"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1EFE8554"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5C72FECB" w14:textId="77777777" w:rsidTr="003C7E27">
        <w:trPr>
          <w:trHeight w:hRule="exact" w:val="284"/>
        </w:trPr>
        <w:tc>
          <w:tcPr>
            <w:tcW w:w="368" w:type="pct"/>
            <w:vMerge/>
          </w:tcPr>
          <w:p w14:paraId="3102C89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52D755AD"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29FEA67D"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2945DEAE"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787C87C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5B1465F6" w14:textId="77777777" w:rsidTr="003C7E27">
        <w:trPr>
          <w:trHeight w:hRule="exact" w:val="284"/>
        </w:trPr>
        <w:tc>
          <w:tcPr>
            <w:tcW w:w="368" w:type="pct"/>
            <w:vMerge w:val="restart"/>
          </w:tcPr>
          <w:p w14:paraId="42A58F7B" w14:textId="77777777" w:rsidR="008C5242" w:rsidRPr="00DF0428" w:rsidRDefault="008C5242" w:rsidP="003C7E27">
            <w:pPr>
              <w:spacing w:after="0" w:line="240" w:lineRule="auto"/>
              <w:ind w:left="-110" w:right="-1"/>
              <w:rPr>
                <w:rFonts w:ascii="Calibri" w:eastAsia="Yu Mincho" w:hAnsi="Calibri" w:cs="Calibri"/>
                <w:b/>
                <w:lang w:eastAsia="pt-BR"/>
              </w:rPr>
            </w:pPr>
            <w:r w:rsidRPr="00DF0428">
              <w:rPr>
                <w:rFonts w:ascii="Calibri" w:eastAsia="Yu Mincho" w:hAnsi="Calibri" w:cs="Calibri"/>
                <w:b/>
                <w:lang w:eastAsia="pt-BR"/>
              </w:rPr>
              <w:t>1.2.12</w:t>
            </w:r>
          </w:p>
        </w:tc>
        <w:tc>
          <w:tcPr>
            <w:tcW w:w="4632" w:type="pct"/>
            <w:gridSpan w:val="20"/>
            <w:vAlign w:val="bottom"/>
          </w:tcPr>
          <w:p w14:paraId="647E4470"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Outras cotas de Fundos de Investimento</w:t>
            </w:r>
          </w:p>
        </w:tc>
      </w:tr>
      <w:tr w:rsidR="008C5242" w:rsidRPr="00DF0428" w14:paraId="29F2CB40" w14:textId="77777777" w:rsidTr="003C7E27">
        <w:trPr>
          <w:trHeight w:hRule="exact" w:val="284"/>
        </w:trPr>
        <w:tc>
          <w:tcPr>
            <w:tcW w:w="368" w:type="pct"/>
            <w:vMerge/>
          </w:tcPr>
          <w:p w14:paraId="38987013"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B105D59"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Classe</w:t>
            </w:r>
          </w:p>
        </w:tc>
        <w:tc>
          <w:tcPr>
            <w:tcW w:w="1196" w:type="pct"/>
            <w:gridSpan w:val="6"/>
            <w:vAlign w:val="bottom"/>
          </w:tcPr>
          <w:p w14:paraId="4DD9EE02"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CNPJ</w:t>
            </w:r>
          </w:p>
        </w:tc>
        <w:tc>
          <w:tcPr>
            <w:tcW w:w="1197" w:type="pct"/>
            <w:gridSpan w:val="6"/>
            <w:vAlign w:val="bottom"/>
          </w:tcPr>
          <w:p w14:paraId="3C8C91ED"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Quantidade</w:t>
            </w:r>
          </w:p>
        </w:tc>
        <w:tc>
          <w:tcPr>
            <w:tcW w:w="897" w:type="pct"/>
            <w:gridSpan w:val="4"/>
            <w:vAlign w:val="bottom"/>
          </w:tcPr>
          <w:p w14:paraId="77C70AB5" w14:textId="77777777" w:rsidR="008C5242" w:rsidRPr="00DF0428" w:rsidRDefault="008C5242" w:rsidP="003C7E27">
            <w:pPr>
              <w:spacing w:after="0" w:line="240" w:lineRule="auto"/>
              <w:ind w:right="-1"/>
              <w:rPr>
                <w:rFonts w:ascii="Calibri" w:hAnsi="Calibri" w:cs="Calibri"/>
                <w:b/>
              </w:rPr>
            </w:pPr>
            <w:r w:rsidRPr="00DF0428">
              <w:rPr>
                <w:rFonts w:ascii="Calibri" w:eastAsia="Yu Mincho" w:hAnsi="Calibri" w:cs="Calibri"/>
                <w:b/>
                <w:lang w:eastAsia="pt-BR"/>
              </w:rPr>
              <w:t>Valor</w:t>
            </w:r>
          </w:p>
        </w:tc>
      </w:tr>
      <w:tr w:rsidR="008C5242" w:rsidRPr="00DF0428" w14:paraId="68DB5F4E" w14:textId="77777777" w:rsidTr="003C7E27">
        <w:trPr>
          <w:trHeight w:hRule="exact" w:val="284"/>
        </w:trPr>
        <w:tc>
          <w:tcPr>
            <w:tcW w:w="368" w:type="pct"/>
            <w:vMerge/>
          </w:tcPr>
          <w:p w14:paraId="626C15B6"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6789E18C"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1</w:t>
            </w:r>
          </w:p>
        </w:tc>
        <w:tc>
          <w:tcPr>
            <w:tcW w:w="1196" w:type="pct"/>
            <w:gridSpan w:val="6"/>
            <w:vAlign w:val="bottom"/>
          </w:tcPr>
          <w:p w14:paraId="2F9EB06C"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75E2DCAC"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1B38B097"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6218FC4D" w14:textId="77777777" w:rsidTr="003C7E27">
        <w:trPr>
          <w:trHeight w:hRule="exact" w:val="284"/>
        </w:trPr>
        <w:tc>
          <w:tcPr>
            <w:tcW w:w="368" w:type="pct"/>
            <w:vMerge/>
          </w:tcPr>
          <w:p w14:paraId="42E413FE"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42DFDD40"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2</w:t>
            </w:r>
          </w:p>
        </w:tc>
        <w:tc>
          <w:tcPr>
            <w:tcW w:w="1196" w:type="pct"/>
            <w:gridSpan w:val="6"/>
            <w:vAlign w:val="bottom"/>
          </w:tcPr>
          <w:p w14:paraId="2137C242"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732427EE"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4D1CBA04"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6A1ABA3C" w14:textId="77777777" w:rsidTr="003C7E27">
        <w:trPr>
          <w:trHeight w:hRule="exact" w:val="284"/>
        </w:trPr>
        <w:tc>
          <w:tcPr>
            <w:tcW w:w="368" w:type="pct"/>
            <w:vMerge/>
          </w:tcPr>
          <w:p w14:paraId="7393EF6F" w14:textId="77777777" w:rsidR="008C5242" w:rsidRPr="00DF0428" w:rsidRDefault="008C5242" w:rsidP="003C7E27">
            <w:pPr>
              <w:spacing w:after="0" w:line="240" w:lineRule="auto"/>
              <w:ind w:right="-1"/>
              <w:rPr>
                <w:rFonts w:ascii="Calibri" w:eastAsia="Times New Roman" w:hAnsi="Calibri" w:cs="Calibri"/>
                <w:b/>
                <w:lang w:eastAsia="pt-BR"/>
              </w:rPr>
            </w:pPr>
          </w:p>
        </w:tc>
        <w:tc>
          <w:tcPr>
            <w:tcW w:w="1342" w:type="pct"/>
            <w:gridSpan w:val="4"/>
            <w:vAlign w:val="bottom"/>
          </w:tcPr>
          <w:p w14:paraId="0D5570E2" w14:textId="77777777" w:rsidR="008C5242" w:rsidRPr="00DF0428" w:rsidRDefault="008C5242" w:rsidP="003C7E27">
            <w:pPr>
              <w:spacing w:after="0" w:line="240" w:lineRule="auto"/>
              <w:ind w:right="-1"/>
              <w:rPr>
                <w:rFonts w:ascii="Calibri" w:hAnsi="Calibri" w:cs="Calibri"/>
              </w:rPr>
            </w:pPr>
            <w:r w:rsidRPr="00DF0428">
              <w:rPr>
                <w:rFonts w:ascii="Calibri" w:eastAsia="Yu Mincho" w:hAnsi="Calibri" w:cs="Calibri"/>
                <w:lang w:eastAsia="pt-BR"/>
              </w:rPr>
              <w:t>Emissor N</w:t>
            </w:r>
          </w:p>
        </w:tc>
        <w:tc>
          <w:tcPr>
            <w:tcW w:w="1196" w:type="pct"/>
            <w:gridSpan w:val="6"/>
            <w:vAlign w:val="bottom"/>
          </w:tcPr>
          <w:p w14:paraId="21D855CF" w14:textId="77777777" w:rsidR="008C5242" w:rsidRPr="00DF0428" w:rsidRDefault="008C5242" w:rsidP="003C7E27">
            <w:pPr>
              <w:spacing w:after="0" w:line="240" w:lineRule="auto"/>
              <w:ind w:right="-1"/>
              <w:rPr>
                <w:rFonts w:ascii="Calibri" w:eastAsia="Yu Mincho" w:hAnsi="Calibri" w:cs="Calibri"/>
                <w:b/>
                <w:lang w:eastAsia="pt-BR"/>
              </w:rPr>
            </w:pPr>
          </w:p>
        </w:tc>
        <w:tc>
          <w:tcPr>
            <w:tcW w:w="1197" w:type="pct"/>
            <w:gridSpan w:val="6"/>
            <w:vAlign w:val="bottom"/>
          </w:tcPr>
          <w:p w14:paraId="0360B986" w14:textId="77777777" w:rsidR="008C5242" w:rsidRPr="00DF0428" w:rsidRDefault="008C5242" w:rsidP="003C7E27">
            <w:pPr>
              <w:spacing w:after="0" w:line="240" w:lineRule="auto"/>
              <w:ind w:right="-1"/>
              <w:rPr>
                <w:rFonts w:ascii="Calibri" w:eastAsia="Yu Mincho" w:hAnsi="Calibri" w:cs="Calibri"/>
                <w:b/>
                <w:lang w:eastAsia="pt-BR"/>
              </w:rPr>
            </w:pPr>
          </w:p>
        </w:tc>
        <w:tc>
          <w:tcPr>
            <w:tcW w:w="897" w:type="pct"/>
            <w:gridSpan w:val="4"/>
            <w:vAlign w:val="bottom"/>
          </w:tcPr>
          <w:p w14:paraId="30B9FC8F"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01005968" w14:textId="77777777" w:rsidTr="003C7E27">
        <w:trPr>
          <w:trHeight w:hRule="exact" w:val="510"/>
        </w:trPr>
        <w:tc>
          <w:tcPr>
            <w:tcW w:w="368" w:type="pct"/>
          </w:tcPr>
          <w:p w14:paraId="1E678A28"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2.</w:t>
            </w:r>
          </w:p>
        </w:tc>
        <w:tc>
          <w:tcPr>
            <w:tcW w:w="4632" w:type="pct"/>
            <w:gridSpan w:val="20"/>
          </w:tcPr>
          <w:p w14:paraId="052BEBC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Aquisições e Alienações</w:t>
            </w:r>
          </w:p>
        </w:tc>
      </w:tr>
      <w:tr w:rsidR="008C5242" w:rsidRPr="00DF0428" w14:paraId="61D3EDCC" w14:textId="77777777" w:rsidTr="003C7E27">
        <w:trPr>
          <w:trHeight w:hRule="exact" w:val="545"/>
        </w:trPr>
        <w:tc>
          <w:tcPr>
            <w:tcW w:w="368" w:type="pct"/>
            <w:vAlign w:val="bottom"/>
          </w:tcPr>
          <w:p w14:paraId="05729BCA"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2.1</w:t>
            </w:r>
          </w:p>
        </w:tc>
        <w:tc>
          <w:tcPr>
            <w:tcW w:w="4632" w:type="pct"/>
            <w:gridSpan w:val="20"/>
            <w:vAlign w:val="bottom"/>
          </w:tcPr>
          <w:p w14:paraId="18CF3FE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Terrenos</w:t>
            </w:r>
          </w:p>
        </w:tc>
      </w:tr>
      <w:tr w:rsidR="008C5242" w:rsidRPr="00DF0428" w14:paraId="173017E7" w14:textId="77777777" w:rsidTr="003C7E27">
        <w:trPr>
          <w:trHeight w:hRule="exact" w:val="851"/>
        </w:trPr>
        <w:tc>
          <w:tcPr>
            <w:tcW w:w="368" w:type="pct"/>
            <w:vMerge w:val="restart"/>
          </w:tcPr>
          <w:p w14:paraId="1A569A5D"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2.1.1</w:t>
            </w:r>
          </w:p>
        </w:tc>
        <w:tc>
          <w:tcPr>
            <w:tcW w:w="2135" w:type="pct"/>
            <w:gridSpan w:val="8"/>
            <w:vAlign w:val="bottom"/>
          </w:tcPr>
          <w:p w14:paraId="076C9304" w14:textId="77777777" w:rsidR="008C5242" w:rsidRPr="00DF0428" w:rsidRDefault="008C5242" w:rsidP="003C7E27">
            <w:pPr>
              <w:spacing w:after="0" w:line="240" w:lineRule="auto"/>
              <w:ind w:right="-1"/>
              <w:rPr>
                <w:rFonts w:ascii="Calibri" w:eastAsia="Yu Mincho" w:hAnsi="Calibri" w:cs="Arial"/>
                <w:b/>
                <w:bCs/>
                <w:lang w:eastAsia="pt-BR"/>
              </w:rPr>
            </w:pPr>
            <w:r w:rsidRPr="00DF0428">
              <w:rPr>
                <w:rFonts w:ascii="Calibri" w:eastAsia="Yu Mincho" w:hAnsi="Calibri" w:cs="Arial"/>
                <w:b/>
                <w:bCs/>
                <w:lang w:eastAsia="pt-BR"/>
              </w:rPr>
              <w:t xml:space="preserve">Aquisições realizadas no trimestre (endereço, área – m2, entre </w:t>
            </w:r>
            <w:bookmarkStart w:id="1509" w:name="_Int_W8yPFLSu"/>
            <w:r w:rsidRPr="00DF0428">
              <w:rPr>
                <w:rFonts w:ascii="Calibri" w:eastAsia="Yu Mincho" w:hAnsi="Calibri" w:cs="Arial"/>
                <w:b/>
                <w:bCs/>
                <w:lang w:eastAsia="pt-BR"/>
              </w:rPr>
              <w:t>outras características</w:t>
            </w:r>
            <w:bookmarkEnd w:id="1509"/>
            <w:r w:rsidRPr="00DF0428">
              <w:rPr>
                <w:rFonts w:ascii="Calibri" w:eastAsia="Yu Mincho" w:hAnsi="Calibri" w:cs="Arial"/>
                <w:b/>
                <w:bCs/>
                <w:lang w:eastAsia="pt-BR"/>
              </w:rPr>
              <w:t xml:space="preserve"> relevantes)</w:t>
            </w:r>
          </w:p>
        </w:tc>
        <w:tc>
          <w:tcPr>
            <w:tcW w:w="1305" w:type="pct"/>
            <w:gridSpan w:val="6"/>
            <w:vAlign w:val="bottom"/>
          </w:tcPr>
          <w:p w14:paraId="6B50C0E4"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Terreno em relação ao total investido (R$)</w:t>
            </w:r>
          </w:p>
        </w:tc>
        <w:tc>
          <w:tcPr>
            <w:tcW w:w="1192" w:type="pct"/>
            <w:gridSpan w:val="6"/>
            <w:vAlign w:val="bottom"/>
          </w:tcPr>
          <w:p w14:paraId="1404CCC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Terreno em relação ao PL (R$)</w:t>
            </w:r>
          </w:p>
        </w:tc>
      </w:tr>
      <w:tr w:rsidR="008C5242" w:rsidRPr="00DF0428" w14:paraId="26138089" w14:textId="77777777" w:rsidTr="003C7E27">
        <w:trPr>
          <w:trHeight w:val="284"/>
        </w:trPr>
        <w:tc>
          <w:tcPr>
            <w:tcW w:w="368" w:type="pct"/>
            <w:vMerge/>
          </w:tcPr>
          <w:p w14:paraId="2B11C233"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6353EABA"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1</w:t>
            </w:r>
          </w:p>
        </w:tc>
        <w:tc>
          <w:tcPr>
            <w:tcW w:w="1305" w:type="pct"/>
            <w:gridSpan w:val="6"/>
            <w:vAlign w:val="bottom"/>
          </w:tcPr>
          <w:p w14:paraId="2560D75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0F32AC95"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280BE857" w14:textId="77777777" w:rsidTr="003C7E27">
        <w:trPr>
          <w:trHeight w:val="284"/>
        </w:trPr>
        <w:tc>
          <w:tcPr>
            <w:tcW w:w="368" w:type="pct"/>
            <w:vMerge/>
          </w:tcPr>
          <w:p w14:paraId="5536C84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31AE5B0F"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2</w:t>
            </w:r>
          </w:p>
        </w:tc>
        <w:tc>
          <w:tcPr>
            <w:tcW w:w="1305" w:type="pct"/>
            <w:gridSpan w:val="6"/>
            <w:vAlign w:val="bottom"/>
          </w:tcPr>
          <w:p w14:paraId="08E80D51"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49539F1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8A58F34" w14:textId="77777777" w:rsidTr="003C7E27">
        <w:trPr>
          <w:trHeight w:val="284"/>
        </w:trPr>
        <w:tc>
          <w:tcPr>
            <w:tcW w:w="368" w:type="pct"/>
            <w:vMerge/>
          </w:tcPr>
          <w:p w14:paraId="6BDD0C0C"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1A241C47"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N</w:t>
            </w:r>
          </w:p>
        </w:tc>
        <w:tc>
          <w:tcPr>
            <w:tcW w:w="1305" w:type="pct"/>
            <w:gridSpan w:val="6"/>
            <w:vAlign w:val="bottom"/>
          </w:tcPr>
          <w:p w14:paraId="765D834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7C81BFB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320B9A40" w14:textId="77777777" w:rsidTr="003C7E27">
        <w:trPr>
          <w:trHeight w:val="284"/>
        </w:trPr>
        <w:tc>
          <w:tcPr>
            <w:tcW w:w="368" w:type="pct"/>
            <w:vMerge w:val="restart"/>
          </w:tcPr>
          <w:p w14:paraId="227373C4"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2.1.2</w:t>
            </w:r>
          </w:p>
        </w:tc>
        <w:tc>
          <w:tcPr>
            <w:tcW w:w="2135" w:type="pct"/>
            <w:gridSpan w:val="8"/>
            <w:vAlign w:val="bottom"/>
          </w:tcPr>
          <w:p w14:paraId="422CF0AF"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Alienações realizadas no trimestre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data da alienação, entre outras características relevantes)</w:t>
            </w:r>
          </w:p>
        </w:tc>
        <w:tc>
          <w:tcPr>
            <w:tcW w:w="1305" w:type="pct"/>
            <w:gridSpan w:val="6"/>
            <w:vAlign w:val="bottom"/>
          </w:tcPr>
          <w:p w14:paraId="511A322E"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Terreno em relação ao total investido à época da alienação (R$)</w:t>
            </w:r>
          </w:p>
        </w:tc>
        <w:tc>
          <w:tcPr>
            <w:tcW w:w="1192" w:type="pct"/>
            <w:gridSpan w:val="6"/>
            <w:vAlign w:val="bottom"/>
          </w:tcPr>
          <w:p w14:paraId="7503E8E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Terreno em relação ao PL (R$)</w:t>
            </w:r>
          </w:p>
        </w:tc>
      </w:tr>
      <w:tr w:rsidR="008C5242" w:rsidRPr="00DF0428" w14:paraId="64E30271" w14:textId="77777777" w:rsidTr="003C7E27">
        <w:trPr>
          <w:trHeight w:val="284"/>
        </w:trPr>
        <w:tc>
          <w:tcPr>
            <w:tcW w:w="368" w:type="pct"/>
            <w:vMerge/>
          </w:tcPr>
          <w:p w14:paraId="02294E1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05A65F3E"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1</w:t>
            </w:r>
          </w:p>
        </w:tc>
        <w:tc>
          <w:tcPr>
            <w:tcW w:w="1305" w:type="pct"/>
            <w:gridSpan w:val="6"/>
            <w:vAlign w:val="bottom"/>
          </w:tcPr>
          <w:p w14:paraId="5AA0838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5AE38144"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1858381A" w14:textId="77777777" w:rsidTr="003C7E27">
        <w:trPr>
          <w:trHeight w:val="284"/>
        </w:trPr>
        <w:tc>
          <w:tcPr>
            <w:tcW w:w="368" w:type="pct"/>
            <w:vMerge/>
          </w:tcPr>
          <w:p w14:paraId="73E182BD"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2D6176C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2</w:t>
            </w:r>
          </w:p>
        </w:tc>
        <w:tc>
          <w:tcPr>
            <w:tcW w:w="1305" w:type="pct"/>
            <w:gridSpan w:val="6"/>
            <w:vAlign w:val="bottom"/>
          </w:tcPr>
          <w:p w14:paraId="0F15D21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532A49A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700CC4CB" w14:textId="77777777" w:rsidTr="003C7E27">
        <w:trPr>
          <w:trHeight w:val="284"/>
        </w:trPr>
        <w:tc>
          <w:tcPr>
            <w:tcW w:w="368" w:type="pct"/>
            <w:vMerge/>
          </w:tcPr>
          <w:p w14:paraId="0B6D0C4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717C903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Terreno N</w:t>
            </w:r>
          </w:p>
        </w:tc>
        <w:tc>
          <w:tcPr>
            <w:tcW w:w="1305" w:type="pct"/>
            <w:gridSpan w:val="6"/>
            <w:vAlign w:val="bottom"/>
          </w:tcPr>
          <w:p w14:paraId="52B4EC43"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c>
          <w:tcPr>
            <w:tcW w:w="1192" w:type="pct"/>
            <w:gridSpan w:val="6"/>
            <w:vAlign w:val="bottom"/>
          </w:tcPr>
          <w:p w14:paraId="01D8AA6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p>
        </w:tc>
      </w:tr>
      <w:tr w:rsidR="008C5242" w:rsidRPr="00DF0428" w14:paraId="404678BC" w14:textId="77777777" w:rsidTr="003C7E27">
        <w:trPr>
          <w:trHeight w:hRule="exact" w:val="553"/>
        </w:trPr>
        <w:tc>
          <w:tcPr>
            <w:tcW w:w="368" w:type="pct"/>
            <w:vAlign w:val="bottom"/>
          </w:tcPr>
          <w:p w14:paraId="34E68820"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2.2</w:t>
            </w:r>
          </w:p>
        </w:tc>
        <w:tc>
          <w:tcPr>
            <w:tcW w:w="4632" w:type="pct"/>
            <w:gridSpan w:val="20"/>
            <w:vAlign w:val="bottom"/>
          </w:tcPr>
          <w:p w14:paraId="0B00FF15"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Imóveis</w:t>
            </w:r>
          </w:p>
        </w:tc>
      </w:tr>
      <w:tr w:rsidR="008C5242" w:rsidRPr="00DF0428" w14:paraId="1D20EB37" w14:textId="77777777" w:rsidTr="003C7E27">
        <w:trPr>
          <w:trHeight w:val="284"/>
        </w:trPr>
        <w:tc>
          <w:tcPr>
            <w:tcW w:w="368" w:type="pct"/>
            <w:vMerge w:val="restart"/>
          </w:tcPr>
          <w:p w14:paraId="6A928F4C"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2.2.1</w:t>
            </w:r>
          </w:p>
        </w:tc>
        <w:tc>
          <w:tcPr>
            <w:tcW w:w="2135" w:type="pct"/>
            <w:gridSpan w:val="8"/>
            <w:vAlign w:val="bottom"/>
          </w:tcPr>
          <w:p w14:paraId="13904FFF"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Aquisições realizadas no trimestre (nome,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nº de unidades ou lojas, entre outras características relevantes)</w:t>
            </w:r>
          </w:p>
        </w:tc>
        <w:tc>
          <w:tcPr>
            <w:tcW w:w="1305" w:type="pct"/>
            <w:gridSpan w:val="6"/>
            <w:vAlign w:val="bottom"/>
          </w:tcPr>
          <w:p w14:paraId="2259A70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Imóvel em relação ao total investido</w:t>
            </w:r>
          </w:p>
        </w:tc>
        <w:tc>
          <w:tcPr>
            <w:tcW w:w="1192" w:type="pct"/>
            <w:gridSpan w:val="6"/>
            <w:vAlign w:val="bottom"/>
          </w:tcPr>
          <w:p w14:paraId="6468A222"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Categoria (Renda ou Venda)</w:t>
            </w:r>
          </w:p>
        </w:tc>
      </w:tr>
      <w:tr w:rsidR="008C5242" w:rsidRPr="00DF0428" w14:paraId="3A5B2DB6" w14:textId="77777777" w:rsidTr="003C7E27">
        <w:trPr>
          <w:trHeight w:val="284"/>
        </w:trPr>
        <w:tc>
          <w:tcPr>
            <w:tcW w:w="368" w:type="pct"/>
            <w:vMerge/>
          </w:tcPr>
          <w:p w14:paraId="12EC4FEF"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0EC34B1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1305" w:type="pct"/>
            <w:gridSpan w:val="6"/>
            <w:vAlign w:val="bottom"/>
          </w:tcPr>
          <w:p w14:paraId="75243480"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08FF047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6271C162" w14:textId="77777777" w:rsidTr="003C7E27">
        <w:trPr>
          <w:trHeight w:val="284"/>
        </w:trPr>
        <w:tc>
          <w:tcPr>
            <w:tcW w:w="368" w:type="pct"/>
            <w:vMerge/>
          </w:tcPr>
          <w:p w14:paraId="56F568D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1FC41C7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1305" w:type="pct"/>
            <w:gridSpan w:val="6"/>
            <w:vAlign w:val="bottom"/>
          </w:tcPr>
          <w:p w14:paraId="418577BF"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384FA4CB"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D7A2218" w14:textId="77777777" w:rsidTr="003C7E27">
        <w:trPr>
          <w:trHeight w:val="284"/>
        </w:trPr>
        <w:tc>
          <w:tcPr>
            <w:tcW w:w="368" w:type="pct"/>
            <w:vMerge/>
          </w:tcPr>
          <w:p w14:paraId="4114AAF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5" w:type="pct"/>
            <w:gridSpan w:val="8"/>
            <w:vAlign w:val="bottom"/>
          </w:tcPr>
          <w:p w14:paraId="50EE86F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1305" w:type="pct"/>
            <w:gridSpan w:val="6"/>
            <w:vAlign w:val="bottom"/>
          </w:tcPr>
          <w:p w14:paraId="69BC7A09"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7EA28FF8"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4AC675BF" w14:textId="77777777" w:rsidTr="003C7E27">
        <w:trPr>
          <w:trHeight w:val="284"/>
        </w:trPr>
        <w:tc>
          <w:tcPr>
            <w:tcW w:w="368" w:type="pct"/>
            <w:vMerge w:val="restart"/>
          </w:tcPr>
          <w:p w14:paraId="117AB615"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2.2.2</w:t>
            </w:r>
          </w:p>
        </w:tc>
        <w:tc>
          <w:tcPr>
            <w:tcW w:w="2132" w:type="pct"/>
            <w:gridSpan w:val="8"/>
            <w:vAlign w:val="bottom"/>
          </w:tcPr>
          <w:p w14:paraId="2BA8026C"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Alienações realizadas no trimestre (nome, endereço, área – m</w:t>
            </w:r>
            <w:r w:rsidRPr="00DF0428">
              <w:rPr>
                <w:rFonts w:ascii="Calibri" w:eastAsia="Yu Mincho" w:hAnsi="Calibri" w:cs="Calibri"/>
                <w:b/>
                <w:vertAlign w:val="superscript"/>
                <w:lang w:eastAsia="pt-BR"/>
              </w:rPr>
              <w:t>2</w:t>
            </w:r>
            <w:r w:rsidRPr="00DF0428">
              <w:rPr>
                <w:rFonts w:ascii="Calibri" w:eastAsia="Yu Mincho" w:hAnsi="Calibri" w:cs="Calibri"/>
                <w:b/>
                <w:lang w:eastAsia="pt-BR"/>
              </w:rPr>
              <w:t>, nº de unidades ou lojas, data da alienação, entre outras características relevantes)</w:t>
            </w:r>
          </w:p>
        </w:tc>
        <w:tc>
          <w:tcPr>
            <w:tcW w:w="1308" w:type="pct"/>
            <w:gridSpan w:val="6"/>
            <w:vAlign w:val="bottom"/>
          </w:tcPr>
          <w:p w14:paraId="6771A4F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Imóvel em relação ao total investido à época da alienação (R$)</w:t>
            </w:r>
          </w:p>
        </w:tc>
        <w:tc>
          <w:tcPr>
            <w:tcW w:w="1192" w:type="pct"/>
            <w:gridSpan w:val="6"/>
            <w:vAlign w:val="bottom"/>
          </w:tcPr>
          <w:p w14:paraId="0DD1F59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do Imóvel em relação ao PL (R$)</w:t>
            </w:r>
          </w:p>
        </w:tc>
      </w:tr>
      <w:tr w:rsidR="008C5242" w:rsidRPr="00DF0428" w14:paraId="275A7FE1" w14:textId="77777777" w:rsidTr="003C7E27">
        <w:trPr>
          <w:trHeight w:val="284"/>
        </w:trPr>
        <w:tc>
          <w:tcPr>
            <w:tcW w:w="368" w:type="pct"/>
            <w:vMerge/>
          </w:tcPr>
          <w:p w14:paraId="3A9FF17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2" w:type="pct"/>
            <w:gridSpan w:val="8"/>
            <w:vAlign w:val="bottom"/>
          </w:tcPr>
          <w:p w14:paraId="24FF03E0"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1</w:t>
            </w:r>
          </w:p>
        </w:tc>
        <w:tc>
          <w:tcPr>
            <w:tcW w:w="1308" w:type="pct"/>
            <w:gridSpan w:val="6"/>
            <w:vAlign w:val="bottom"/>
          </w:tcPr>
          <w:p w14:paraId="66447134"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6AB7C702"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D577F60" w14:textId="77777777" w:rsidTr="003C7E27">
        <w:trPr>
          <w:trHeight w:val="284"/>
        </w:trPr>
        <w:tc>
          <w:tcPr>
            <w:tcW w:w="368" w:type="pct"/>
            <w:vMerge/>
          </w:tcPr>
          <w:p w14:paraId="55E8A0A5"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2" w:type="pct"/>
            <w:gridSpan w:val="8"/>
            <w:vAlign w:val="bottom"/>
          </w:tcPr>
          <w:p w14:paraId="5867C5D6"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2</w:t>
            </w:r>
          </w:p>
        </w:tc>
        <w:tc>
          <w:tcPr>
            <w:tcW w:w="1308" w:type="pct"/>
            <w:gridSpan w:val="6"/>
            <w:vAlign w:val="bottom"/>
          </w:tcPr>
          <w:p w14:paraId="201D922A"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297D0C8E"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EF5AA3A" w14:textId="77777777" w:rsidTr="003C7E27">
        <w:trPr>
          <w:trHeight w:val="284"/>
        </w:trPr>
        <w:tc>
          <w:tcPr>
            <w:tcW w:w="368" w:type="pct"/>
            <w:vMerge/>
          </w:tcPr>
          <w:p w14:paraId="60BE4CE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2132" w:type="pct"/>
            <w:gridSpan w:val="8"/>
            <w:vAlign w:val="bottom"/>
          </w:tcPr>
          <w:p w14:paraId="7F99419C"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Imóvel N</w:t>
            </w:r>
          </w:p>
        </w:tc>
        <w:tc>
          <w:tcPr>
            <w:tcW w:w="1308" w:type="pct"/>
            <w:gridSpan w:val="6"/>
            <w:vAlign w:val="bottom"/>
          </w:tcPr>
          <w:p w14:paraId="3576FC01" w14:textId="77777777" w:rsidR="008C5242" w:rsidRPr="00DF0428" w:rsidRDefault="008C5242" w:rsidP="003C7E27">
            <w:pPr>
              <w:spacing w:after="0" w:line="240" w:lineRule="auto"/>
              <w:ind w:right="-1"/>
              <w:rPr>
                <w:rFonts w:ascii="Calibri" w:eastAsia="Yu Mincho" w:hAnsi="Calibri" w:cs="Calibri"/>
                <w:b/>
                <w:lang w:eastAsia="pt-BR"/>
              </w:rPr>
            </w:pPr>
          </w:p>
        </w:tc>
        <w:tc>
          <w:tcPr>
            <w:tcW w:w="1192" w:type="pct"/>
            <w:gridSpan w:val="6"/>
            <w:vAlign w:val="bottom"/>
          </w:tcPr>
          <w:p w14:paraId="30AE6F6E"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287AA375" w14:textId="77777777" w:rsidTr="003C7E27">
        <w:trPr>
          <w:trHeight w:hRule="exact" w:val="397"/>
        </w:trPr>
        <w:tc>
          <w:tcPr>
            <w:tcW w:w="368" w:type="pct"/>
          </w:tcPr>
          <w:p w14:paraId="21902FB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3.</w:t>
            </w:r>
          </w:p>
        </w:tc>
        <w:tc>
          <w:tcPr>
            <w:tcW w:w="4632" w:type="pct"/>
            <w:gridSpan w:val="20"/>
          </w:tcPr>
          <w:p w14:paraId="33824AC1"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Outras Informações</w:t>
            </w:r>
          </w:p>
        </w:tc>
      </w:tr>
      <w:tr w:rsidR="008C5242" w:rsidRPr="00DF0428" w14:paraId="0C025734" w14:textId="77777777" w:rsidTr="003C7E27">
        <w:trPr>
          <w:trHeight w:hRule="exact" w:val="469"/>
        </w:trPr>
        <w:tc>
          <w:tcPr>
            <w:tcW w:w="368" w:type="pct"/>
            <w:vAlign w:val="bottom"/>
          </w:tcPr>
          <w:p w14:paraId="03DD951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3.1</w:t>
            </w:r>
          </w:p>
        </w:tc>
        <w:tc>
          <w:tcPr>
            <w:tcW w:w="4632" w:type="pct"/>
            <w:gridSpan w:val="20"/>
            <w:vAlign w:val="bottom"/>
          </w:tcPr>
          <w:p w14:paraId="66ACBE0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Rentabilidade Garantida</w:t>
            </w:r>
          </w:p>
        </w:tc>
      </w:tr>
      <w:tr w:rsidR="008C5242" w:rsidRPr="00DF0428" w14:paraId="60B34A5D" w14:textId="77777777" w:rsidTr="003C7E27">
        <w:trPr>
          <w:trHeight w:val="284"/>
        </w:trPr>
        <w:tc>
          <w:tcPr>
            <w:tcW w:w="368" w:type="pct"/>
            <w:vMerge w:val="restart"/>
          </w:tcPr>
          <w:p w14:paraId="50D81EC3"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3.1.1</w:t>
            </w:r>
          </w:p>
        </w:tc>
        <w:tc>
          <w:tcPr>
            <w:tcW w:w="1469" w:type="pct"/>
            <w:gridSpan w:val="6"/>
          </w:tcPr>
          <w:p w14:paraId="0E20F38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Relação de Ativos sujeitos à garantia de rentabilidade ³</w:t>
            </w:r>
            <w:r w:rsidRPr="00DF0428">
              <w:rPr>
                <w:rFonts w:ascii="Calibri" w:eastAsia="Yu Mincho" w:hAnsi="Calibri" w:cs="Calibri"/>
                <w:vertAlign w:val="superscript"/>
                <w:lang w:eastAsia="pt-BR"/>
              </w:rPr>
              <w:t xml:space="preserve"> </w:t>
            </w:r>
          </w:p>
        </w:tc>
        <w:tc>
          <w:tcPr>
            <w:tcW w:w="663" w:type="pct"/>
            <w:gridSpan w:val="2"/>
          </w:tcPr>
          <w:p w14:paraId="212AA5CF"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 garantido relativo</w:t>
            </w:r>
          </w:p>
        </w:tc>
        <w:tc>
          <w:tcPr>
            <w:tcW w:w="886" w:type="pct"/>
            <w:gridSpan w:val="4"/>
          </w:tcPr>
          <w:p w14:paraId="7C27B908"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Garantidor</w:t>
            </w:r>
          </w:p>
        </w:tc>
        <w:tc>
          <w:tcPr>
            <w:tcW w:w="1614" w:type="pct"/>
            <w:gridSpan w:val="8"/>
          </w:tcPr>
          <w:p w14:paraId="1AF26903"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Principais características da garantia (tempo, valor, forma, riscos incorridos, entre outros aspectos relevantes)</w:t>
            </w:r>
          </w:p>
        </w:tc>
      </w:tr>
      <w:tr w:rsidR="008C5242" w:rsidRPr="00DF0428" w14:paraId="67C436EF" w14:textId="77777777" w:rsidTr="003C7E27">
        <w:trPr>
          <w:trHeight w:val="284"/>
        </w:trPr>
        <w:tc>
          <w:tcPr>
            <w:tcW w:w="368" w:type="pct"/>
            <w:vMerge/>
          </w:tcPr>
          <w:p w14:paraId="5938CD6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732D5078"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Ativo 1</w:t>
            </w:r>
          </w:p>
        </w:tc>
        <w:tc>
          <w:tcPr>
            <w:tcW w:w="663" w:type="pct"/>
            <w:gridSpan w:val="2"/>
          </w:tcPr>
          <w:p w14:paraId="2C74FA30"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886" w:type="pct"/>
            <w:gridSpan w:val="4"/>
          </w:tcPr>
          <w:p w14:paraId="1EAEE12D"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1614" w:type="pct"/>
            <w:gridSpan w:val="8"/>
          </w:tcPr>
          <w:p w14:paraId="360137BE" w14:textId="77777777" w:rsidR="008C5242" w:rsidRPr="00DF0428" w:rsidRDefault="008C5242" w:rsidP="003C7E27">
            <w:pPr>
              <w:spacing w:after="0" w:line="240" w:lineRule="auto"/>
              <w:rPr>
                <w:rFonts w:ascii="Calibri" w:eastAsia="Yu Mincho" w:hAnsi="Calibri" w:cs="Calibri"/>
                <w:lang w:eastAsia="pt-BR"/>
              </w:rPr>
            </w:pPr>
          </w:p>
        </w:tc>
      </w:tr>
      <w:tr w:rsidR="008C5242" w:rsidRPr="00DF0428" w14:paraId="4191D3C4" w14:textId="77777777" w:rsidTr="003C7E27">
        <w:trPr>
          <w:trHeight w:val="284"/>
        </w:trPr>
        <w:tc>
          <w:tcPr>
            <w:tcW w:w="368" w:type="pct"/>
            <w:vMerge/>
          </w:tcPr>
          <w:p w14:paraId="6D7C5087"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552A45D9"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Ativo 2</w:t>
            </w:r>
          </w:p>
        </w:tc>
        <w:tc>
          <w:tcPr>
            <w:tcW w:w="663" w:type="pct"/>
            <w:gridSpan w:val="2"/>
          </w:tcPr>
          <w:p w14:paraId="51C68AF2"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886" w:type="pct"/>
            <w:gridSpan w:val="4"/>
          </w:tcPr>
          <w:p w14:paraId="48CD3C15"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1614" w:type="pct"/>
            <w:gridSpan w:val="8"/>
          </w:tcPr>
          <w:p w14:paraId="0486C720" w14:textId="77777777" w:rsidR="008C5242" w:rsidRPr="00DF0428" w:rsidRDefault="008C5242" w:rsidP="003C7E27">
            <w:pPr>
              <w:spacing w:after="0" w:line="240" w:lineRule="auto"/>
              <w:rPr>
                <w:rFonts w:ascii="Calibri" w:eastAsia="Yu Mincho" w:hAnsi="Calibri" w:cs="Calibri"/>
                <w:lang w:eastAsia="pt-BR"/>
              </w:rPr>
            </w:pPr>
          </w:p>
        </w:tc>
      </w:tr>
      <w:tr w:rsidR="008C5242" w:rsidRPr="00DF0428" w14:paraId="443BB8B6" w14:textId="77777777" w:rsidTr="003C7E27">
        <w:trPr>
          <w:trHeight w:val="284"/>
        </w:trPr>
        <w:tc>
          <w:tcPr>
            <w:tcW w:w="368" w:type="pct"/>
            <w:vMerge/>
          </w:tcPr>
          <w:p w14:paraId="1275E870"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5062C92F" w14:textId="77777777" w:rsidR="008C5242" w:rsidRPr="00DF0428" w:rsidRDefault="008C5242" w:rsidP="003C7E27">
            <w:pPr>
              <w:spacing w:after="0" w:line="240" w:lineRule="auto"/>
              <w:ind w:firstLineChars="100" w:firstLine="220"/>
              <w:rPr>
                <w:rFonts w:ascii="Calibri" w:eastAsia="Yu Mincho" w:hAnsi="Calibri" w:cs="Calibri"/>
                <w:lang w:eastAsia="pt-BR"/>
              </w:rPr>
            </w:pPr>
            <w:r w:rsidRPr="00DF0428">
              <w:rPr>
                <w:rFonts w:ascii="Calibri" w:eastAsia="Yu Mincho" w:hAnsi="Calibri" w:cs="Calibri"/>
                <w:lang w:eastAsia="pt-BR"/>
              </w:rPr>
              <w:t>Ativo N</w:t>
            </w:r>
          </w:p>
        </w:tc>
        <w:tc>
          <w:tcPr>
            <w:tcW w:w="663" w:type="pct"/>
            <w:gridSpan w:val="2"/>
          </w:tcPr>
          <w:p w14:paraId="78CCE843"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886" w:type="pct"/>
            <w:gridSpan w:val="4"/>
          </w:tcPr>
          <w:p w14:paraId="67F74A86" w14:textId="77777777" w:rsidR="008C5242" w:rsidRPr="00DF0428" w:rsidRDefault="008C5242" w:rsidP="003C7E27">
            <w:pPr>
              <w:spacing w:after="0" w:line="240" w:lineRule="auto"/>
              <w:ind w:firstLineChars="100" w:firstLine="220"/>
              <w:rPr>
                <w:rFonts w:ascii="Calibri" w:eastAsia="Yu Mincho" w:hAnsi="Calibri" w:cs="Calibri"/>
                <w:lang w:eastAsia="pt-BR"/>
              </w:rPr>
            </w:pPr>
          </w:p>
        </w:tc>
        <w:tc>
          <w:tcPr>
            <w:tcW w:w="1614" w:type="pct"/>
            <w:gridSpan w:val="8"/>
          </w:tcPr>
          <w:p w14:paraId="14F2DE02" w14:textId="77777777" w:rsidR="008C5242" w:rsidRPr="00DF0428" w:rsidRDefault="008C5242" w:rsidP="003C7E27">
            <w:pPr>
              <w:spacing w:after="0" w:line="240" w:lineRule="auto"/>
              <w:rPr>
                <w:rFonts w:ascii="Calibri" w:eastAsia="Yu Mincho" w:hAnsi="Calibri" w:cs="Calibri"/>
                <w:lang w:eastAsia="pt-BR"/>
              </w:rPr>
            </w:pPr>
          </w:p>
        </w:tc>
      </w:tr>
      <w:tr w:rsidR="008C5242" w:rsidRPr="00DF0428" w14:paraId="60AD7CB3" w14:textId="77777777" w:rsidTr="003C7E27">
        <w:trPr>
          <w:trHeight w:hRule="exact" w:val="453"/>
        </w:trPr>
        <w:tc>
          <w:tcPr>
            <w:tcW w:w="368" w:type="pct"/>
            <w:vMerge w:val="restart"/>
          </w:tcPr>
          <w:p w14:paraId="4229EA9F" w14:textId="77777777" w:rsidR="008C5242" w:rsidRPr="00DF0428" w:rsidRDefault="008C5242" w:rsidP="003C7E27">
            <w:pPr>
              <w:spacing w:after="0" w:line="240" w:lineRule="auto"/>
              <w:ind w:right="-1"/>
              <w:rPr>
                <w:rFonts w:ascii="Calibri" w:eastAsia="Yu Mincho" w:hAnsi="Calibri" w:cs="Calibri"/>
                <w:lang w:eastAsia="pt-BR"/>
              </w:rPr>
            </w:pPr>
            <w:r w:rsidRPr="00DF0428">
              <w:rPr>
                <w:rFonts w:ascii="Calibri" w:eastAsia="Yu Mincho" w:hAnsi="Calibri" w:cs="Calibri"/>
                <w:lang w:eastAsia="pt-BR"/>
              </w:rPr>
              <w:t>3.1.2</w:t>
            </w:r>
          </w:p>
        </w:tc>
        <w:tc>
          <w:tcPr>
            <w:tcW w:w="4632" w:type="pct"/>
            <w:gridSpan w:val="20"/>
          </w:tcPr>
          <w:p w14:paraId="5D1A9AB2"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Rentabilidade efetiva no período sob a vigência de garantia</w:t>
            </w:r>
          </w:p>
        </w:tc>
      </w:tr>
      <w:tr w:rsidR="008C5242" w:rsidRPr="00DF0428" w14:paraId="2FC64D15" w14:textId="77777777" w:rsidTr="003C7E27">
        <w:trPr>
          <w:trHeight w:val="284"/>
        </w:trPr>
        <w:tc>
          <w:tcPr>
            <w:tcW w:w="368" w:type="pct"/>
            <w:vMerge/>
          </w:tcPr>
          <w:p w14:paraId="7A95B74A"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tcPr>
          <w:p w14:paraId="5CA59109"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Mês de referência</w:t>
            </w:r>
          </w:p>
        </w:tc>
        <w:tc>
          <w:tcPr>
            <w:tcW w:w="1549" w:type="pct"/>
            <w:gridSpan w:val="6"/>
          </w:tcPr>
          <w:p w14:paraId="56B9E98C" w14:textId="77777777" w:rsidR="008C5242" w:rsidRPr="00DF0428" w:rsidRDefault="008C5242" w:rsidP="003C7E27">
            <w:pPr>
              <w:tabs>
                <w:tab w:val="left" w:pos="3265"/>
              </w:tabs>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Rentabilidade efetiva do FII no mês (%)</w:t>
            </w:r>
          </w:p>
        </w:tc>
        <w:tc>
          <w:tcPr>
            <w:tcW w:w="1614" w:type="pct"/>
            <w:gridSpan w:val="8"/>
          </w:tcPr>
          <w:p w14:paraId="3541938D" w14:textId="77777777" w:rsidR="008C5242" w:rsidRPr="00DF0428" w:rsidRDefault="008C5242" w:rsidP="003C7E27">
            <w:pPr>
              <w:spacing w:after="0" w:line="240" w:lineRule="auto"/>
              <w:ind w:right="-1"/>
              <w:rPr>
                <w:rFonts w:ascii="Calibri" w:eastAsia="Yu Mincho" w:hAnsi="Calibri" w:cs="Calibri"/>
                <w:b/>
                <w:lang w:eastAsia="pt-BR"/>
              </w:rPr>
            </w:pPr>
            <w:r w:rsidRPr="00DF0428">
              <w:rPr>
                <w:rFonts w:ascii="Calibri" w:eastAsia="Yu Mincho" w:hAnsi="Calibri" w:cs="Calibri"/>
                <w:b/>
                <w:lang w:eastAsia="pt-BR"/>
              </w:rPr>
              <w:t>Rentabilidade auferida na hipótese de ausência de garantia (%)</w:t>
            </w:r>
          </w:p>
        </w:tc>
      </w:tr>
      <w:tr w:rsidR="008C5242" w:rsidRPr="00DF0428" w14:paraId="4F0F5003" w14:textId="77777777" w:rsidTr="003C7E27">
        <w:trPr>
          <w:trHeight w:val="284"/>
        </w:trPr>
        <w:tc>
          <w:tcPr>
            <w:tcW w:w="368" w:type="pct"/>
            <w:vMerge/>
          </w:tcPr>
          <w:p w14:paraId="6587F5B2"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2BE98A0D" w14:textId="77777777" w:rsidR="008C5242" w:rsidRPr="00DF0428" w:rsidRDefault="008C5242" w:rsidP="003C7E27">
            <w:pPr>
              <w:spacing w:after="0" w:line="240" w:lineRule="auto"/>
              <w:ind w:right="-1" w:firstLineChars="100" w:firstLine="220"/>
              <w:rPr>
                <w:rFonts w:ascii="Calibri" w:eastAsia="Yu Mincho" w:hAnsi="Calibri" w:cs="Calibri"/>
                <w:lang w:eastAsia="pt-BR"/>
              </w:rPr>
            </w:pPr>
            <w:r w:rsidRPr="00DF0428">
              <w:rPr>
                <w:rFonts w:ascii="Calibri" w:eastAsia="Yu Mincho" w:hAnsi="Calibri" w:cs="Calibri"/>
                <w:lang w:eastAsia="pt-BR"/>
              </w:rPr>
              <w:t>mm/aaaa (último mês do trimestre)</w:t>
            </w:r>
          </w:p>
        </w:tc>
        <w:tc>
          <w:tcPr>
            <w:tcW w:w="1549" w:type="pct"/>
            <w:gridSpan w:val="6"/>
            <w:vAlign w:val="bottom"/>
          </w:tcPr>
          <w:p w14:paraId="3961ED24" w14:textId="77777777" w:rsidR="008C5242" w:rsidRPr="00DF0428" w:rsidRDefault="008C5242" w:rsidP="003C7E27">
            <w:pPr>
              <w:spacing w:after="0" w:line="240" w:lineRule="auto"/>
              <w:ind w:right="-1"/>
              <w:rPr>
                <w:rFonts w:ascii="Calibri" w:eastAsia="Yu Mincho" w:hAnsi="Calibri" w:cs="Calibri"/>
                <w:b/>
                <w:lang w:eastAsia="pt-BR"/>
              </w:rPr>
            </w:pPr>
          </w:p>
        </w:tc>
        <w:tc>
          <w:tcPr>
            <w:tcW w:w="1614" w:type="pct"/>
            <w:gridSpan w:val="8"/>
            <w:vAlign w:val="bottom"/>
          </w:tcPr>
          <w:p w14:paraId="7CD33E70"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1AB1E84A" w14:textId="77777777" w:rsidTr="003C7E27">
        <w:trPr>
          <w:trHeight w:val="284"/>
        </w:trPr>
        <w:tc>
          <w:tcPr>
            <w:tcW w:w="368" w:type="pct"/>
            <w:vMerge/>
          </w:tcPr>
          <w:p w14:paraId="197D70B6"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7C59C5FD" w14:textId="77777777" w:rsidR="008C5242" w:rsidRPr="00DF0428" w:rsidRDefault="008C5242" w:rsidP="003C7E27">
            <w:pPr>
              <w:spacing w:after="0" w:line="240" w:lineRule="auto"/>
              <w:ind w:right="-1" w:firstLineChars="100" w:firstLine="220"/>
              <w:rPr>
                <w:rFonts w:ascii="Calibri" w:eastAsia="Yu Mincho" w:hAnsi="Calibri" w:cs="Arial"/>
                <w:lang w:eastAsia="pt-BR"/>
              </w:rPr>
            </w:pPr>
            <w:r w:rsidRPr="00DF0428">
              <w:rPr>
                <w:rFonts w:ascii="Calibri" w:eastAsia="Yu Mincho" w:hAnsi="Calibri" w:cs="Arial"/>
                <w:lang w:eastAsia="pt-BR"/>
              </w:rPr>
              <w:t>(mm-</w:t>
            </w:r>
            <w:bookmarkStart w:id="1510" w:name="_Int_IBTka5Ir"/>
            <w:r w:rsidRPr="00DF0428">
              <w:rPr>
                <w:rFonts w:ascii="Calibri" w:eastAsia="Yu Mincho" w:hAnsi="Calibri" w:cs="Arial"/>
                <w:lang w:eastAsia="pt-BR"/>
              </w:rPr>
              <w:t>1)/</w:t>
            </w:r>
            <w:bookmarkEnd w:id="1510"/>
            <w:r w:rsidRPr="00DF0428">
              <w:rPr>
                <w:rFonts w:ascii="Calibri" w:eastAsia="Yu Mincho" w:hAnsi="Calibri" w:cs="Arial"/>
                <w:lang w:eastAsia="pt-BR"/>
              </w:rPr>
              <w:t>aaaa</w:t>
            </w:r>
          </w:p>
        </w:tc>
        <w:tc>
          <w:tcPr>
            <w:tcW w:w="1549" w:type="pct"/>
            <w:gridSpan w:val="6"/>
            <w:vAlign w:val="bottom"/>
          </w:tcPr>
          <w:p w14:paraId="1B0D6CE1" w14:textId="77777777" w:rsidR="008C5242" w:rsidRPr="00DF0428" w:rsidRDefault="008C5242" w:rsidP="003C7E27">
            <w:pPr>
              <w:spacing w:after="0" w:line="240" w:lineRule="auto"/>
              <w:ind w:right="-1"/>
              <w:rPr>
                <w:rFonts w:ascii="Calibri" w:eastAsia="Yu Mincho" w:hAnsi="Calibri" w:cs="Calibri"/>
                <w:b/>
                <w:lang w:eastAsia="pt-BR"/>
              </w:rPr>
            </w:pPr>
          </w:p>
        </w:tc>
        <w:tc>
          <w:tcPr>
            <w:tcW w:w="1614" w:type="pct"/>
            <w:gridSpan w:val="8"/>
            <w:vAlign w:val="bottom"/>
          </w:tcPr>
          <w:p w14:paraId="6D16B1DA" w14:textId="77777777" w:rsidR="008C5242" w:rsidRPr="00DF0428" w:rsidRDefault="008C5242" w:rsidP="003C7E27">
            <w:pPr>
              <w:spacing w:after="0" w:line="240" w:lineRule="auto"/>
              <w:ind w:right="-1"/>
              <w:rPr>
                <w:rFonts w:ascii="Calibri" w:eastAsia="Yu Mincho" w:hAnsi="Calibri" w:cs="Calibri"/>
                <w:b/>
                <w:lang w:eastAsia="pt-BR"/>
              </w:rPr>
            </w:pPr>
          </w:p>
        </w:tc>
      </w:tr>
      <w:tr w:rsidR="008C5242" w:rsidRPr="00DF0428" w14:paraId="33FBA28D" w14:textId="77777777" w:rsidTr="003C7E27">
        <w:trPr>
          <w:trHeight w:val="284"/>
        </w:trPr>
        <w:tc>
          <w:tcPr>
            <w:tcW w:w="368" w:type="pct"/>
            <w:vMerge/>
          </w:tcPr>
          <w:p w14:paraId="36292E88" w14:textId="77777777" w:rsidR="008C5242" w:rsidRPr="00DF0428" w:rsidRDefault="008C5242" w:rsidP="003C7E27">
            <w:pPr>
              <w:spacing w:after="0" w:line="240" w:lineRule="auto"/>
              <w:ind w:right="-1" w:firstLineChars="100" w:firstLine="220"/>
              <w:rPr>
                <w:rFonts w:ascii="Calibri" w:eastAsia="Times New Roman" w:hAnsi="Calibri" w:cs="Calibri"/>
                <w:lang w:eastAsia="pt-BR"/>
              </w:rPr>
            </w:pPr>
          </w:p>
        </w:tc>
        <w:tc>
          <w:tcPr>
            <w:tcW w:w="1469" w:type="pct"/>
            <w:gridSpan w:val="6"/>
            <w:vAlign w:val="bottom"/>
          </w:tcPr>
          <w:p w14:paraId="64EAF477" w14:textId="77777777" w:rsidR="008C5242" w:rsidRPr="00DF0428" w:rsidRDefault="008C5242" w:rsidP="003C7E27">
            <w:pPr>
              <w:spacing w:after="0" w:line="240" w:lineRule="auto"/>
              <w:ind w:right="-1" w:firstLineChars="100" w:firstLine="220"/>
              <w:rPr>
                <w:rFonts w:ascii="Calibri" w:eastAsia="Yu Mincho" w:hAnsi="Calibri" w:cs="Arial"/>
                <w:lang w:eastAsia="pt-BR"/>
              </w:rPr>
            </w:pPr>
            <w:r w:rsidRPr="00DF0428">
              <w:rPr>
                <w:rFonts w:ascii="Calibri" w:eastAsia="Yu Mincho" w:hAnsi="Calibri" w:cs="Arial"/>
                <w:lang w:eastAsia="pt-BR"/>
              </w:rPr>
              <w:t>(mm-</w:t>
            </w:r>
            <w:bookmarkStart w:id="1511" w:name="_Int_9EerYHLR"/>
            <w:r w:rsidRPr="00DF0428">
              <w:rPr>
                <w:rFonts w:ascii="Calibri" w:eastAsia="Yu Mincho" w:hAnsi="Calibri" w:cs="Arial"/>
                <w:lang w:eastAsia="pt-BR"/>
              </w:rPr>
              <w:t>2)/</w:t>
            </w:r>
            <w:bookmarkEnd w:id="1511"/>
            <w:r w:rsidRPr="00DF0428">
              <w:rPr>
                <w:rFonts w:ascii="Calibri" w:eastAsia="Yu Mincho" w:hAnsi="Calibri" w:cs="Arial"/>
                <w:lang w:eastAsia="pt-BR"/>
              </w:rPr>
              <w:t>aaaa</w:t>
            </w:r>
          </w:p>
        </w:tc>
        <w:tc>
          <w:tcPr>
            <w:tcW w:w="1549" w:type="pct"/>
            <w:gridSpan w:val="6"/>
            <w:vAlign w:val="bottom"/>
          </w:tcPr>
          <w:p w14:paraId="24B16A00" w14:textId="77777777" w:rsidR="008C5242" w:rsidRPr="00DF0428" w:rsidRDefault="008C5242" w:rsidP="003C7E27">
            <w:pPr>
              <w:spacing w:after="0" w:line="240" w:lineRule="auto"/>
              <w:ind w:right="-1"/>
              <w:rPr>
                <w:rFonts w:ascii="Calibri" w:eastAsia="Yu Mincho" w:hAnsi="Calibri" w:cs="Calibri"/>
                <w:b/>
                <w:lang w:eastAsia="pt-BR"/>
              </w:rPr>
            </w:pPr>
          </w:p>
        </w:tc>
        <w:tc>
          <w:tcPr>
            <w:tcW w:w="1614" w:type="pct"/>
            <w:gridSpan w:val="8"/>
            <w:vAlign w:val="bottom"/>
          </w:tcPr>
          <w:p w14:paraId="453C43A3" w14:textId="77777777" w:rsidR="008C5242" w:rsidRPr="00DF0428" w:rsidRDefault="008C5242" w:rsidP="003C7E27">
            <w:pPr>
              <w:spacing w:after="0" w:line="240" w:lineRule="auto"/>
              <w:ind w:right="-1"/>
              <w:rPr>
                <w:rFonts w:ascii="Calibri" w:eastAsia="Yu Mincho" w:hAnsi="Calibri" w:cs="Calibri"/>
                <w:b/>
                <w:lang w:eastAsia="pt-BR"/>
              </w:rPr>
            </w:pPr>
          </w:p>
        </w:tc>
      </w:tr>
    </w:tbl>
    <w:p w14:paraId="5797C8FF" w14:textId="77777777" w:rsidR="008C5242" w:rsidRPr="000A2D75" w:rsidRDefault="008C5242" w:rsidP="008C5242">
      <w:pPr>
        <w:spacing w:after="0" w:line="120" w:lineRule="auto"/>
        <w:rPr>
          <w:rFonts w:ascii="Calibri" w:eastAsia="Yu Mincho" w:hAnsi="Calibri" w:cs="Calibri"/>
          <w:lang w:eastAsia="pt-BR"/>
        </w:rPr>
      </w:pPr>
    </w:p>
    <w:tbl>
      <w:tblPr>
        <w:tblW w:w="5000" w:type="pct"/>
        <w:tblLayout w:type="fixed"/>
        <w:tblCellMar>
          <w:left w:w="70" w:type="dxa"/>
          <w:right w:w="70" w:type="dxa"/>
        </w:tblCellMar>
        <w:tblLook w:val="04A0" w:firstRow="1" w:lastRow="0" w:firstColumn="1" w:lastColumn="0" w:noHBand="0" w:noVBand="1"/>
      </w:tblPr>
      <w:tblGrid>
        <w:gridCol w:w="563"/>
        <w:gridCol w:w="6496"/>
        <w:gridCol w:w="1562"/>
        <w:gridCol w:w="1574"/>
      </w:tblGrid>
      <w:tr w:rsidR="008C5242" w:rsidRPr="000A2D75" w14:paraId="73CA7444" w14:textId="77777777" w:rsidTr="003C7E27">
        <w:trPr>
          <w:trHeight w:hRule="exact" w:val="591"/>
        </w:trPr>
        <w:tc>
          <w:tcPr>
            <w:tcW w:w="3461" w:type="pct"/>
            <w:gridSpan w:val="2"/>
            <w:vMerge w:val="restart"/>
            <w:tcBorders>
              <w:top w:val="single" w:sz="4" w:space="0" w:color="auto"/>
              <w:left w:val="single" w:sz="4" w:space="0" w:color="auto"/>
              <w:right w:val="single" w:sz="4" w:space="0" w:color="auto"/>
            </w:tcBorders>
            <w:shd w:val="clear" w:color="auto" w:fill="auto"/>
            <w:noWrap/>
            <w:vAlign w:val="center"/>
          </w:tcPr>
          <w:p w14:paraId="7506CD4E"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Demonstrações Trimestrais dos Resultados Contábil e Financeiro</w:t>
            </w:r>
          </w:p>
        </w:tc>
        <w:tc>
          <w:tcPr>
            <w:tcW w:w="1539" w:type="pct"/>
            <w:gridSpan w:val="2"/>
            <w:tcBorders>
              <w:top w:val="single" w:sz="4" w:space="0" w:color="auto"/>
              <w:left w:val="nil"/>
              <w:bottom w:val="single" w:sz="4" w:space="0" w:color="auto"/>
              <w:right w:val="single" w:sz="4" w:space="0" w:color="auto"/>
            </w:tcBorders>
            <w:shd w:val="clear" w:color="auto" w:fill="auto"/>
            <w:noWrap/>
            <w:vAlign w:val="bottom"/>
          </w:tcPr>
          <w:p w14:paraId="20FF0E0B"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Valor (R$)</w:t>
            </w:r>
          </w:p>
        </w:tc>
      </w:tr>
      <w:tr w:rsidR="008C5242" w:rsidRPr="000A2D75" w14:paraId="23D5AAE2" w14:textId="77777777" w:rsidTr="003C7E27">
        <w:trPr>
          <w:trHeight w:val="397"/>
        </w:trPr>
        <w:tc>
          <w:tcPr>
            <w:tcW w:w="3461" w:type="pct"/>
            <w:gridSpan w:val="2"/>
            <w:vMerge/>
            <w:tcBorders>
              <w:left w:val="single" w:sz="4" w:space="0" w:color="auto"/>
              <w:right w:val="single" w:sz="4" w:space="0" w:color="auto"/>
            </w:tcBorders>
            <w:noWrap/>
            <w:vAlign w:val="center"/>
          </w:tcPr>
          <w:p w14:paraId="38DB3E5A" w14:textId="77777777" w:rsidR="008C5242" w:rsidRPr="000A2D75" w:rsidRDefault="008C5242" w:rsidP="003C7E27">
            <w:pPr>
              <w:spacing w:after="0" w:line="240" w:lineRule="auto"/>
              <w:ind w:right="-1"/>
              <w:rPr>
                <w:rFonts w:ascii="Calibri" w:eastAsia="Times New Roman" w:hAnsi="Calibri" w:cs="Calibri"/>
                <w:b/>
                <w:lang w:eastAsia="pt-BR"/>
              </w:rPr>
            </w:pP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F3E108"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Contábil</w:t>
            </w:r>
          </w:p>
        </w:tc>
        <w:tc>
          <w:tcPr>
            <w:tcW w:w="773" w:type="pct"/>
            <w:tcBorders>
              <w:top w:val="single" w:sz="4" w:space="0" w:color="auto"/>
              <w:left w:val="nil"/>
              <w:bottom w:val="single" w:sz="4" w:space="0" w:color="auto"/>
              <w:right w:val="single" w:sz="4" w:space="0" w:color="auto"/>
            </w:tcBorders>
            <w:vAlign w:val="bottom"/>
          </w:tcPr>
          <w:p w14:paraId="200CBDAF"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Financeiro</w:t>
            </w:r>
            <w:r w:rsidRPr="000A2D75">
              <w:rPr>
                <w:rFonts w:ascii="Calibri" w:eastAsia="Yu Mincho" w:hAnsi="Calibri" w:cs="Calibri"/>
                <w:b/>
                <w:vertAlign w:val="superscript"/>
                <w:lang w:eastAsia="pt-BR"/>
              </w:rPr>
              <w:t>4</w:t>
            </w:r>
          </w:p>
        </w:tc>
      </w:tr>
      <w:tr w:rsidR="008C5242" w:rsidRPr="000A2D75" w14:paraId="44296A39" w14:textId="77777777" w:rsidTr="003C7E27">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57095E71"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A</w:t>
            </w:r>
          </w:p>
        </w:tc>
        <w:tc>
          <w:tcPr>
            <w:tcW w:w="4724" w:type="pct"/>
            <w:gridSpan w:val="3"/>
            <w:tcBorders>
              <w:top w:val="single" w:sz="4" w:space="0" w:color="auto"/>
              <w:left w:val="nil"/>
              <w:bottom w:val="single" w:sz="4" w:space="0" w:color="auto"/>
              <w:right w:val="single" w:sz="4" w:space="0" w:color="auto"/>
            </w:tcBorders>
            <w:shd w:val="clear" w:color="auto" w:fill="auto"/>
            <w:noWrap/>
            <w:vAlign w:val="bottom"/>
          </w:tcPr>
          <w:p w14:paraId="1D78F3B0"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Ativos Imobiliários</w:t>
            </w:r>
          </w:p>
        </w:tc>
      </w:tr>
      <w:tr w:rsidR="008C5242" w:rsidRPr="000A2D75" w14:paraId="2EE2EA75"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3DCEAE5"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47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2C1308" w14:textId="77777777" w:rsidR="008C5242" w:rsidRPr="000A2D75" w:rsidRDefault="008C5242" w:rsidP="003C7E27">
            <w:pPr>
              <w:spacing w:after="0" w:line="240" w:lineRule="auto"/>
              <w:ind w:right="-1" w:firstLineChars="133" w:firstLine="287"/>
              <w:rPr>
                <w:rFonts w:ascii="Calibri" w:eastAsia="Yu Mincho" w:hAnsi="Calibri" w:cs="Calibri"/>
                <w:b/>
                <w:color w:val="000000"/>
                <w:lang w:eastAsia="pt-BR"/>
              </w:rPr>
            </w:pPr>
            <w:r w:rsidRPr="000A2D75">
              <w:rPr>
                <w:rFonts w:ascii="Calibri" w:eastAsia="Yu Mincho" w:hAnsi="Calibri" w:cs="Calibri"/>
                <w:b/>
                <w:color w:val="000000"/>
                <w:lang w:eastAsia="pt-BR"/>
              </w:rPr>
              <w:t>Estoques:</w:t>
            </w:r>
          </w:p>
        </w:tc>
      </w:tr>
      <w:tr w:rsidR="008C5242" w:rsidRPr="000A2D75" w14:paraId="09C1786F"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2494818"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5FA665"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Receita de venda de imóveis em estoque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07F5D30"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126D4E0"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4AA07490"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E35F2BE"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E5A9C"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Custo dos imóveis em estoque vendidos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9D6E89D"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4A6B5FD"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39AB66F7"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8A4A75C"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B52F3E" w14:textId="77777777" w:rsidR="008C5242" w:rsidRPr="000A2D75" w:rsidRDefault="008C5242" w:rsidP="003C7E27">
            <w:pPr>
              <w:spacing w:after="0" w:line="240" w:lineRule="auto"/>
              <w:ind w:right="-1" w:firstLineChars="300" w:firstLine="660"/>
              <w:rPr>
                <w:rFonts w:ascii="Calibri" w:eastAsia="Yu Mincho" w:hAnsi="Calibri" w:cs="Calibri"/>
                <w:lang w:eastAsia="pt-BR"/>
              </w:rPr>
            </w:pPr>
            <w:r w:rsidRPr="000A2D75">
              <w:rPr>
                <w:rFonts w:ascii="Calibri" w:eastAsia="Yu Mincho" w:hAnsi="Calibri" w:cs="Calibri"/>
                <w:color w:val="000000"/>
                <w:lang w:eastAsia="pt-BR"/>
              </w:rPr>
              <w:t>(+/-) Ajuste ao valor de realização dos estoques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4E2278D"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31437C0"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37F37C67"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F99DDA2"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D880C5"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de imóveis em estoque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8D0D538"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E907C0A"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2A5092C4" w14:textId="77777777" w:rsidTr="003C7E27">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12F83D22"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E004A"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Resultado líquido de imóveis em estoque</w:t>
            </w:r>
          </w:p>
        </w:tc>
        <w:tc>
          <w:tcPr>
            <w:tcW w:w="766" w:type="pct"/>
            <w:tcBorders>
              <w:top w:val="single" w:sz="4" w:space="0" w:color="auto"/>
              <w:left w:val="nil"/>
              <w:right w:val="single" w:sz="4" w:space="0" w:color="auto"/>
            </w:tcBorders>
            <w:shd w:val="clear" w:color="auto" w:fill="auto"/>
            <w:noWrap/>
            <w:vAlign w:val="bottom"/>
          </w:tcPr>
          <w:p w14:paraId="436E06E7"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6F0B9499"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1D7ECC31"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01B334E"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C29D3" w14:textId="77777777" w:rsidR="008C5242" w:rsidRPr="000A2D75" w:rsidRDefault="008C5242" w:rsidP="003C7E27">
            <w:pPr>
              <w:spacing w:after="0" w:line="240" w:lineRule="auto"/>
              <w:ind w:right="-1" w:firstLineChars="133" w:firstLine="287"/>
              <w:rPr>
                <w:rFonts w:ascii="Calibri" w:eastAsia="Yu Mincho" w:hAnsi="Calibri" w:cs="Calibri"/>
                <w:color w:val="000000"/>
                <w:lang w:eastAsia="pt-BR"/>
              </w:rPr>
            </w:pPr>
            <w:r w:rsidRPr="000A2D75">
              <w:rPr>
                <w:rFonts w:ascii="Calibri" w:eastAsia="Yu Mincho" w:hAnsi="Calibri" w:cs="Calibri"/>
                <w:b/>
                <w:color w:val="000000"/>
                <w:lang w:eastAsia="pt-BR"/>
              </w:rPr>
              <w:t>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22D7279"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48D583B"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4DA7DD36"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46C37D6"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6E3E2"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Receitas de aluguéis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B813875"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75FB4CD"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174C2F6A"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BDE380F"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197050"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Despesas com manutenção e conservação das propriedades para investimento</w:t>
            </w:r>
          </w:p>
        </w:tc>
        <w:tc>
          <w:tcPr>
            <w:tcW w:w="766" w:type="pct"/>
            <w:tcBorders>
              <w:top w:val="single" w:sz="4" w:space="0" w:color="auto"/>
              <w:left w:val="nil"/>
              <w:bottom w:val="single" w:sz="4" w:space="0" w:color="auto"/>
              <w:right w:val="single" w:sz="4" w:space="0" w:color="auto"/>
            </w:tcBorders>
            <w:shd w:val="clear" w:color="auto" w:fill="auto"/>
            <w:vAlign w:val="bottom"/>
          </w:tcPr>
          <w:p w14:paraId="05F6973D"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014C165"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r>
      <w:tr w:rsidR="008C5242" w:rsidRPr="000A2D75" w14:paraId="48A3C8A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60C3A250"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36C8BA"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Receitas de venda de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CBF7676"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830867B"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06CDA465"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E561380"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6E4FF"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Custo das propriedades para investimento vendidas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FFC001F"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19D9E46"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061A14F3"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A287CAD"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3C55A"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Ajuste ao valor justo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8F6D2A2"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FFB4887"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4F0EFD19"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1A260B5"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4BC99"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das propriedades para investimento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CA3FFF0"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A9E8989"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5B787942" w14:textId="77777777" w:rsidTr="003C7E27">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0D1087FE"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DE1EE"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Resultado líquido de imóveis para renda</w:t>
            </w:r>
          </w:p>
        </w:tc>
        <w:tc>
          <w:tcPr>
            <w:tcW w:w="766" w:type="pct"/>
            <w:tcBorders>
              <w:top w:val="single" w:sz="4" w:space="0" w:color="auto"/>
              <w:left w:val="nil"/>
              <w:right w:val="single" w:sz="4" w:space="0" w:color="auto"/>
            </w:tcBorders>
            <w:shd w:val="clear" w:color="auto" w:fill="auto"/>
            <w:noWrap/>
            <w:vAlign w:val="bottom"/>
          </w:tcPr>
          <w:p w14:paraId="37114C51"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2DA985A3"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4701976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7D0B7E9"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C44CD" w14:textId="77777777" w:rsidR="008C5242" w:rsidRPr="000A2D75" w:rsidRDefault="008C5242" w:rsidP="003C7E27">
            <w:pPr>
              <w:spacing w:after="0" w:line="240" w:lineRule="auto"/>
              <w:ind w:right="-1" w:firstLineChars="133" w:firstLine="287"/>
              <w:rPr>
                <w:rFonts w:ascii="Calibri" w:eastAsia="Yu Mincho" w:hAnsi="Calibri" w:cs="Calibri"/>
                <w:color w:val="000000"/>
                <w:lang w:eastAsia="pt-BR"/>
              </w:rPr>
            </w:pPr>
            <w:r w:rsidRPr="000A2D75">
              <w:rPr>
                <w:rFonts w:ascii="Calibri" w:eastAsia="Yu Mincho" w:hAnsi="Calibri" w:cs="Calibri"/>
                <w:b/>
                <w:color w:val="000000"/>
                <w:lang w:eastAsia="pt-BR"/>
              </w:rPr>
              <w:t>Ativos imobiliários representados por Títulos e Valores Mobiliários (“TVM”):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658608A"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77C4F79"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344F0D0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31AC222"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965928"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Receitas de juros dos ativos imobiliários representados por TVM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6E74653"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1819C1F"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6BCB2697"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7B4A9FA"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9B822"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Ajuste ao valor justo dos ativos imobiliários representados por TVM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949C1CC"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2D9C99F5"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2B4DA4E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6B945FD8"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2DDE60"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Resultado na venda de ativos imobiliários representados por TVM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18B8DAED"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6B3659B"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1B32FF6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CBD0C16"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588B9"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de ativos imobiliários representados por TVM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CDB0E27"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ABACC0D"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r>
      <w:tr w:rsidR="008C5242" w:rsidRPr="000A2D75" w14:paraId="51FF98A7" w14:textId="77777777" w:rsidTr="003C7E27">
        <w:trPr>
          <w:trHeight w:val="397"/>
        </w:trPr>
        <w:tc>
          <w:tcPr>
            <w:tcW w:w="276" w:type="pct"/>
            <w:vMerge/>
            <w:tcBorders>
              <w:top w:val="single" w:sz="4" w:space="0" w:color="auto"/>
              <w:left w:val="single" w:sz="4" w:space="0" w:color="auto"/>
              <w:bottom w:val="single" w:sz="4" w:space="0" w:color="auto"/>
              <w:right w:val="single" w:sz="4" w:space="0" w:color="auto"/>
            </w:tcBorders>
            <w:noWrap/>
            <w:vAlign w:val="bottom"/>
          </w:tcPr>
          <w:p w14:paraId="0E7D668B"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39E96" w14:textId="77777777" w:rsidR="008C5242" w:rsidRPr="000A2D75" w:rsidRDefault="008C5242" w:rsidP="003C7E27">
            <w:pPr>
              <w:spacing w:after="0" w:line="240" w:lineRule="auto"/>
              <w:ind w:right="-1" w:firstLine="214"/>
              <w:rPr>
                <w:rFonts w:ascii="Calibri" w:eastAsia="Yu Mincho" w:hAnsi="Calibri" w:cs="Calibri"/>
                <w:color w:val="000000"/>
                <w:lang w:eastAsia="pt-BR"/>
              </w:rPr>
            </w:pPr>
            <w:r w:rsidRPr="000A2D75">
              <w:rPr>
                <w:rFonts w:ascii="Calibri" w:eastAsia="Yu Mincho" w:hAnsi="Calibri" w:cs="Calibri"/>
                <w:b/>
                <w:color w:val="000000"/>
                <w:lang w:eastAsia="pt-BR"/>
              </w:rPr>
              <w:t>Resultado líquido de ativos imobiliários representados por TVM</w:t>
            </w:r>
          </w:p>
        </w:tc>
        <w:tc>
          <w:tcPr>
            <w:tcW w:w="766" w:type="pct"/>
            <w:tcBorders>
              <w:top w:val="single" w:sz="4" w:space="0" w:color="auto"/>
              <w:left w:val="nil"/>
              <w:right w:val="single" w:sz="4" w:space="0" w:color="auto"/>
            </w:tcBorders>
            <w:shd w:val="clear" w:color="auto" w:fill="auto"/>
            <w:vAlign w:val="bottom"/>
          </w:tcPr>
          <w:p w14:paraId="0077D443"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c>
          <w:tcPr>
            <w:tcW w:w="773" w:type="pct"/>
            <w:tcBorders>
              <w:top w:val="single" w:sz="4" w:space="0" w:color="auto"/>
              <w:left w:val="nil"/>
              <w:right w:val="single" w:sz="4" w:space="0" w:color="auto"/>
            </w:tcBorders>
          </w:tcPr>
          <w:p w14:paraId="1016B3E2" w14:textId="77777777" w:rsidR="008C5242" w:rsidRPr="000A2D75" w:rsidRDefault="008C5242" w:rsidP="003C7E27">
            <w:pPr>
              <w:spacing w:after="0" w:line="240" w:lineRule="auto"/>
              <w:ind w:right="-1" w:firstLineChars="300" w:firstLine="660"/>
              <w:rPr>
                <w:rFonts w:ascii="Calibri" w:eastAsia="Yu Mincho" w:hAnsi="Calibri" w:cs="Calibri"/>
                <w:color w:val="000000"/>
                <w:lang w:eastAsia="pt-BR"/>
              </w:rPr>
            </w:pPr>
          </w:p>
        </w:tc>
      </w:tr>
      <w:tr w:rsidR="008C5242" w:rsidRPr="000A2D75" w14:paraId="471E742B" w14:textId="77777777" w:rsidTr="003C7E27">
        <w:trPr>
          <w:trHeight w:val="567"/>
        </w:trPr>
        <w:tc>
          <w:tcPr>
            <w:tcW w:w="276" w:type="pct"/>
            <w:vMerge/>
            <w:tcBorders>
              <w:top w:val="single" w:sz="4" w:space="0" w:color="auto"/>
              <w:left w:val="single" w:sz="4" w:space="0" w:color="auto"/>
              <w:bottom w:val="single" w:sz="4" w:space="0" w:color="auto"/>
              <w:right w:val="single" w:sz="4" w:space="0" w:color="auto"/>
            </w:tcBorders>
            <w:noWrap/>
            <w:vAlign w:val="bottom"/>
          </w:tcPr>
          <w:p w14:paraId="559022CF" w14:textId="77777777" w:rsidR="008C5242" w:rsidRPr="000A2D75" w:rsidRDefault="008C5242" w:rsidP="003C7E27">
            <w:pPr>
              <w:spacing w:after="0" w:line="240" w:lineRule="auto"/>
              <w:ind w:right="-1"/>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944328"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Resultado líquido dos ativos imobiliários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3E114D8"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CE98EF8"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6220AC4F" w14:textId="77777777" w:rsidTr="003C7E27">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765B78AC"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B</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2E3163A2"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Recursos mantidos para as necessidades de liquidez</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7C80F26"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10FA01B8"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712EBCB0" w14:textId="77777777" w:rsidTr="003C7E27">
        <w:trPr>
          <w:trHeight w:val="284"/>
        </w:trPr>
        <w:tc>
          <w:tcPr>
            <w:tcW w:w="276" w:type="pct"/>
            <w:vMerge/>
            <w:tcBorders>
              <w:left w:val="single" w:sz="4" w:space="0" w:color="auto"/>
              <w:bottom w:val="single" w:sz="4" w:space="0" w:color="auto"/>
              <w:right w:val="single" w:sz="4" w:space="0" w:color="auto"/>
            </w:tcBorders>
            <w:noWrap/>
            <w:vAlign w:val="bottom"/>
          </w:tcPr>
          <w:p w14:paraId="1A7F42F2"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7F523"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r w:rsidRPr="000A2D75">
              <w:rPr>
                <w:rFonts w:ascii="Calibri" w:eastAsia="Yu Mincho" w:hAnsi="Calibri" w:cs="Calibri"/>
                <w:color w:val="000000"/>
                <w:lang w:eastAsia="pt-BR"/>
              </w:rPr>
              <w:t>(+) Receitas de juros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0C41489"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D5496EC"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111B266A" w14:textId="77777777" w:rsidTr="003C7E27">
        <w:trPr>
          <w:trHeight w:val="284"/>
        </w:trPr>
        <w:tc>
          <w:tcPr>
            <w:tcW w:w="276" w:type="pct"/>
            <w:vMerge/>
            <w:tcBorders>
              <w:left w:val="single" w:sz="4" w:space="0" w:color="auto"/>
              <w:bottom w:val="single" w:sz="4" w:space="0" w:color="auto"/>
              <w:right w:val="single" w:sz="4" w:space="0" w:color="auto"/>
            </w:tcBorders>
            <w:noWrap/>
            <w:vAlign w:val="bottom"/>
          </w:tcPr>
          <w:p w14:paraId="2909ADCA"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CEFFA"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r w:rsidRPr="000A2D75">
              <w:rPr>
                <w:rFonts w:ascii="Calibri" w:eastAsia="Yu Mincho" w:hAnsi="Calibri" w:cs="Calibri"/>
                <w:color w:val="000000"/>
                <w:lang w:eastAsia="pt-BR"/>
              </w:rPr>
              <w:t>(+/-) Ajuste ao valor justo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F6F429B"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A5B06A7"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351AE940" w14:textId="77777777" w:rsidTr="003C7E27">
        <w:trPr>
          <w:trHeight w:val="284"/>
        </w:trPr>
        <w:tc>
          <w:tcPr>
            <w:tcW w:w="276" w:type="pct"/>
            <w:vMerge/>
            <w:tcBorders>
              <w:left w:val="single" w:sz="4" w:space="0" w:color="auto"/>
              <w:bottom w:val="single" w:sz="4" w:space="0" w:color="auto"/>
            </w:tcBorders>
            <w:noWrap/>
          </w:tcPr>
          <w:p w14:paraId="599D59CB" w14:textId="77777777" w:rsidR="008C5242" w:rsidRPr="000A2D75" w:rsidRDefault="008C5242" w:rsidP="003C7E27">
            <w:pPr>
              <w:spacing w:after="0" w:line="240" w:lineRule="auto"/>
              <w:ind w:right="-1"/>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A9DD0"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r w:rsidRPr="000A2D75">
              <w:rPr>
                <w:rFonts w:ascii="Calibri" w:eastAsia="Yu Mincho" w:hAnsi="Calibri" w:cs="Calibri"/>
                <w:color w:val="000000"/>
                <w:lang w:eastAsia="pt-BR"/>
              </w:rPr>
              <w:t>(+/-) Resultado na venda de aplicações financeiras</w:t>
            </w:r>
          </w:p>
        </w:tc>
        <w:tc>
          <w:tcPr>
            <w:tcW w:w="766" w:type="pct"/>
            <w:tcBorders>
              <w:top w:val="single" w:sz="4" w:space="0" w:color="auto"/>
              <w:left w:val="nil"/>
              <w:bottom w:val="single" w:sz="4" w:space="0" w:color="auto"/>
              <w:right w:val="single" w:sz="4" w:space="0" w:color="auto"/>
            </w:tcBorders>
            <w:shd w:val="clear" w:color="auto" w:fill="auto"/>
            <w:vAlign w:val="bottom"/>
          </w:tcPr>
          <w:p w14:paraId="54D4D89A"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048673F3"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p>
        </w:tc>
      </w:tr>
      <w:tr w:rsidR="008C5242" w:rsidRPr="000A2D75" w14:paraId="3B652611" w14:textId="77777777" w:rsidTr="003C7E27">
        <w:trPr>
          <w:trHeight w:val="284"/>
        </w:trPr>
        <w:tc>
          <w:tcPr>
            <w:tcW w:w="276" w:type="pct"/>
            <w:vMerge/>
            <w:tcBorders>
              <w:left w:val="single" w:sz="4" w:space="0" w:color="auto"/>
              <w:bottom w:val="single" w:sz="4" w:space="0" w:color="auto"/>
              <w:right w:val="single" w:sz="4" w:space="0" w:color="auto"/>
            </w:tcBorders>
            <w:noWrap/>
            <w:vAlign w:val="bottom"/>
          </w:tcPr>
          <w:p w14:paraId="64730A06"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476DA" w14:textId="77777777" w:rsidR="008C5242" w:rsidRPr="000A2D75" w:rsidRDefault="008C5242" w:rsidP="003C7E27">
            <w:pPr>
              <w:spacing w:after="0" w:line="240" w:lineRule="auto"/>
              <w:ind w:right="-1" w:firstLineChars="133" w:firstLine="293"/>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 de aplicações financeiras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F604789"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BA53167"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32B0DC1B" w14:textId="77777777" w:rsidTr="003C7E27">
        <w:trPr>
          <w:trHeight w:hRule="exact" w:val="567"/>
        </w:trPr>
        <w:tc>
          <w:tcPr>
            <w:tcW w:w="276" w:type="pct"/>
            <w:vMerge/>
            <w:tcBorders>
              <w:left w:val="single" w:sz="4" w:space="0" w:color="auto"/>
              <w:bottom w:val="single" w:sz="4" w:space="0" w:color="auto"/>
              <w:right w:val="single" w:sz="4" w:space="0" w:color="auto"/>
            </w:tcBorders>
            <w:noWrap/>
          </w:tcPr>
          <w:p w14:paraId="32723883" w14:textId="77777777" w:rsidR="008C5242" w:rsidRPr="000A2D75" w:rsidRDefault="008C5242" w:rsidP="003C7E27">
            <w:pPr>
              <w:spacing w:after="0" w:line="240" w:lineRule="auto"/>
              <w:ind w:right="-1"/>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EC75D"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Resultado líquido dos recursos mantidos para as necessidades de liquidez</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D632973"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603A2BD8"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2974073B" w14:textId="77777777" w:rsidTr="003C7E27">
        <w:trPr>
          <w:trHeight w:val="567"/>
        </w:trPr>
        <w:tc>
          <w:tcPr>
            <w:tcW w:w="276" w:type="pct"/>
            <w:tcBorders>
              <w:top w:val="single" w:sz="4" w:space="0" w:color="auto"/>
              <w:left w:val="single" w:sz="4" w:space="0" w:color="auto"/>
              <w:bottom w:val="single" w:sz="4" w:space="0" w:color="auto"/>
              <w:right w:val="single" w:sz="4" w:space="0" w:color="auto"/>
            </w:tcBorders>
            <w:shd w:val="clear" w:color="auto" w:fill="auto"/>
            <w:noWrap/>
          </w:tcPr>
          <w:p w14:paraId="45F8BB18"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C</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722E65E7"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Resultado líquido com instrumentos financeiros derivativos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908351E"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4AEAB6CF"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68B01A89" w14:textId="77777777" w:rsidTr="003C7E27">
        <w:trPr>
          <w:trHeight w:val="284"/>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634628B7"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D</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1594DCDC"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AE99860"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E87540C"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2D9DDAED"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6F6F33A"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DDE2C6"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Taxa de administração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7D516C37"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37B17337"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181BDE49"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BE476B0" w14:textId="77777777" w:rsidR="008C5242" w:rsidRPr="000A2D75" w:rsidRDefault="008C5242" w:rsidP="003C7E27">
            <w:pPr>
              <w:spacing w:after="0" w:line="240" w:lineRule="auto"/>
              <w:ind w:right="-1"/>
              <w:rPr>
                <w:rFonts w:ascii="Calibri" w:eastAsia="Times New Roman" w:hAnsi="Calibri" w:cs="Calibri"/>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0772" w14:textId="77777777" w:rsidR="008C5242" w:rsidRPr="000A2D75" w:rsidRDefault="008C5242" w:rsidP="003C7E27">
            <w:pPr>
              <w:spacing w:after="0" w:line="240" w:lineRule="auto"/>
              <w:ind w:right="-1" w:firstLineChars="250" w:firstLine="550"/>
              <w:rPr>
                <w:rFonts w:ascii="Calibri" w:eastAsia="Yu Mincho" w:hAnsi="Calibri" w:cs="Calibri"/>
                <w:color w:val="000000"/>
                <w:lang w:eastAsia="pt-BR"/>
              </w:rPr>
            </w:pPr>
            <w:r w:rsidRPr="000A2D75">
              <w:rPr>
                <w:rFonts w:ascii="Calibri" w:eastAsia="Yu Mincho" w:hAnsi="Calibri" w:cs="Calibri"/>
                <w:color w:val="000000"/>
                <w:lang w:eastAsia="pt-BR"/>
              </w:rPr>
              <w:t>(-) Taxa de desempenho (</w:t>
            </w:r>
            <w:r w:rsidRPr="000A2D75">
              <w:rPr>
                <w:rFonts w:ascii="Calibri" w:eastAsia="Yu Mincho" w:hAnsi="Calibri" w:cs="Calibri"/>
                <w:i/>
                <w:color w:val="000000"/>
                <w:lang w:eastAsia="pt-BR"/>
              </w:rPr>
              <w:t>performance</w:t>
            </w:r>
            <w:r w:rsidRPr="000A2D75">
              <w:rPr>
                <w:rFonts w:ascii="Calibri" w:eastAsia="Yu Mincho" w:hAnsi="Calibri" w:cs="Calibri"/>
                <w:color w:val="000000"/>
                <w:lang w:eastAsia="pt-BR"/>
              </w:rPr>
              <w:t>)</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3EC5B28" w14:textId="77777777" w:rsidR="008C5242" w:rsidRPr="000A2D75" w:rsidRDefault="008C5242" w:rsidP="003C7E27">
            <w:pPr>
              <w:spacing w:after="0" w:line="240" w:lineRule="auto"/>
              <w:ind w:right="-1"/>
              <w:rPr>
                <w:rFonts w:ascii="Calibri" w:eastAsia="Yu Mincho" w:hAnsi="Calibri" w:cs="Calibri"/>
                <w:color w:val="000000"/>
                <w:lang w:eastAsia="pt-BR"/>
              </w:rPr>
            </w:pPr>
          </w:p>
        </w:tc>
        <w:tc>
          <w:tcPr>
            <w:tcW w:w="773" w:type="pct"/>
            <w:tcBorders>
              <w:top w:val="single" w:sz="4" w:space="0" w:color="auto"/>
              <w:left w:val="nil"/>
              <w:bottom w:val="single" w:sz="4" w:space="0" w:color="auto"/>
              <w:right w:val="single" w:sz="4" w:space="0" w:color="auto"/>
            </w:tcBorders>
          </w:tcPr>
          <w:p w14:paraId="7D71F6F4" w14:textId="77777777" w:rsidR="008C5242" w:rsidRPr="000A2D75" w:rsidRDefault="008C5242" w:rsidP="003C7E27">
            <w:pPr>
              <w:spacing w:after="0" w:line="240" w:lineRule="auto"/>
              <w:ind w:right="-1"/>
              <w:rPr>
                <w:rFonts w:ascii="Calibri" w:eastAsia="Yu Mincho" w:hAnsi="Calibri" w:cs="Calibri"/>
                <w:color w:val="000000"/>
                <w:lang w:eastAsia="pt-BR"/>
              </w:rPr>
            </w:pPr>
          </w:p>
        </w:tc>
      </w:tr>
      <w:tr w:rsidR="008C5242" w:rsidRPr="000A2D75" w14:paraId="7090868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02B62E0"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7CE260"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Consultoria especializada de que trata o art. 27, II, Anexo Normativo III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1053CCB"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0F9F749"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30E233FA"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386EA06"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CCCC83" w14:textId="77777777" w:rsidR="008C5242" w:rsidRPr="000A2D75" w:rsidRDefault="008C5242" w:rsidP="003C7E27">
            <w:pPr>
              <w:spacing w:after="0" w:line="240" w:lineRule="auto"/>
              <w:ind w:right="-1" w:firstLineChars="100" w:firstLine="220"/>
              <w:rPr>
                <w:rFonts w:ascii="Calibri" w:eastAsia="Yu Mincho" w:hAnsi="Calibri" w:cs="Arial"/>
                <w:color w:val="000000"/>
                <w:lang w:eastAsia="pt-BR"/>
              </w:rPr>
            </w:pPr>
            <w:r w:rsidRPr="000A2D75">
              <w:rPr>
                <w:rFonts w:ascii="Calibri" w:eastAsia="Yu Mincho" w:hAnsi="Calibri" w:cs="Arial"/>
                <w:color w:val="000000"/>
                <w:lang w:eastAsia="pt-BR"/>
              </w:rPr>
              <w:t>(-) Empresa especializada de que trata o art. 27, III, Anexo Normativo III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0CE7975"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C165C5C"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1EC0318F"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70F0CFB7"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5D8DC6" w14:textId="77777777" w:rsidR="008C5242" w:rsidRPr="000A2D75" w:rsidRDefault="008C5242" w:rsidP="003C7E27">
            <w:pPr>
              <w:spacing w:after="0" w:line="240" w:lineRule="auto"/>
              <w:ind w:right="-1" w:firstLineChars="100" w:firstLine="220"/>
              <w:rPr>
                <w:rFonts w:ascii="Calibri" w:eastAsia="Yu Mincho" w:hAnsi="Calibri" w:cs="Arial"/>
                <w:color w:val="000000"/>
                <w:lang w:eastAsia="pt-BR"/>
              </w:rPr>
            </w:pPr>
            <w:r w:rsidRPr="000A2D75">
              <w:rPr>
                <w:rFonts w:ascii="Calibri" w:eastAsia="Yu Mincho" w:hAnsi="Calibri" w:cs="Arial"/>
                <w:color w:val="000000"/>
                <w:lang w:eastAsia="pt-BR"/>
              </w:rPr>
              <w:t>(-) Formador de mercado de que trata o art. 27, IV, Anexo Normativo III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D14CD27"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020F4469"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13487E0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E3A0461"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C6EE62"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Custódia dos títulos e valores mobiliários do FII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44B3E3B8"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4433D393"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5D601320"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F1895C8"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370A6C"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Auditoria independente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397B93C"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7EAA1121"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0F834C0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49CAA172"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A05EB0"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Representante(s) de cotistas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0C5D82B2"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7A6BAAC5"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0E44F80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3B08FADE"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8CEB51"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Taxas, impostos ou contribuições federais, estaduais e municipais (incluindo a CVM)</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32C6601"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9521D8F"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01028AF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06ECE34B"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D85C2F"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Comissões e emolumentos pagos sobre as operações do FII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F5549CC"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75FCDEF6"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196DD2E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99ADD0E"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1F576D"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Honorários de advogados, custas e despesas correlatas incorridas em defesa dos interesses do FII (Judicial ou Extrajudicialmente)</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3E69C0C5"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7A152D0A"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73303583"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54145A2"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91D89"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Gastos derivados da celebração de contratos de seguro sobre os ativos do FII</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28EE7C2"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1F5DF943"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36548588"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1B81C8F2"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6A42F"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Despesas com avaliações obrigatórias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2D588B9"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34EAFF65"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22AED561"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639382F4"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13AE99"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Taxa de ingresso ou saída dos fundos de que o FII seja cotista</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71DE2E5"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009657B1"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012DD3AE"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283CA6EF"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DCE2BF"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Despesas com o registro de documentos em cartório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9F39941"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414B4F4B"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2152F0AB"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vAlign w:val="bottom"/>
          </w:tcPr>
          <w:p w14:paraId="561E6F1C" w14:textId="77777777" w:rsidR="008C5242" w:rsidRPr="000A2D75" w:rsidRDefault="008C5242" w:rsidP="003C7E27">
            <w:pPr>
              <w:spacing w:after="0" w:line="240" w:lineRule="auto"/>
              <w:ind w:right="-1"/>
              <w:rPr>
                <w:rFonts w:ascii="Calibri" w:eastAsia="Times New Roman" w:hAnsi="Calibri" w:cs="Calibri"/>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996827" w14:textId="77777777" w:rsidR="008C5242" w:rsidRPr="000A2D75" w:rsidRDefault="008C5242" w:rsidP="003C7E27">
            <w:pPr>
              <w:spacing w:after="0" w:line="240" w:lineRule="auto"/>
              <w:ind w:right="-1" w:firstLineChars="100" w:firstLine="220"/>
              <w:rPr>
                <w:rFonts w:ascii="Calibri" w:eastAsia="Yu Mincho" w:hAnsi="Calibri" w:cs="Calibri"/>
                <w:color w:val="000000"/>
                <w:lang w:eastAsia="pt-BR"/>
              </w:rPr>
            </w:pPr>
            <w:r w:rsidRPr="000A2D75">
              <w:rPr>
                <w:rFonts w:ascii="Calibri" w:eastAsia="Yu Mincho" w:hAnsi="Calibri" w:cs="Calibri"/>
                <w:color w:val="000000"/>
                <w:lang w:eastAsia="pt-BR"/>
              </w:rPr>
              <w:t>(+/-) 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603D8372"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32E8A01B"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7C58E9E1" w14:textId="77777777" w:rsidTr="003C7E27">
        <w:trPr>
          <w:trHeight w:val="284"/>
        </w:trPr>
        <w:tc>
          <w:tcPr>
            <w:tcW w:w="276" w:type="pct"/>
            <w:vMerge/>
            <w:tcBorders>
              <w:top w:val="single" w:sz="4" w:space="0" w:color="auto"/>
              <w:left w:val="single" w:sz="4" w:space="0" w:color="auto"/>
              <w:bottom w:val="single" w:sz="4" w:space="0" w:color="auto"/>
              <w:right w:val="single" w:sz="4" w:space="0" w:color="auto"/>
            </w:tcBorders>
            <w:noWrap/>
          </w:tcPr>
          <w:p w14:paraId="05E7A731" w14:textId="77777777" w:rsidR="008C5242" w:rsidRPr="000A2D75" w:rsidRDefault="008C5242" w:rsidP="003C7E27">
            <w:pPr>
              <w:spacing w:after="0" w:line="240" w:lineRule="auto"/>
              <w:ind w:right="-1"/>
              <w:rPr>
                <w:rFonts w:ascii="Calibri" w:eastAsia="Times New Roman" w:hAnsi="Calibri" w:cs="Calibri"/>
                <w:b/>
                <w:color w:val="000000"/>
                <w:lang w:eastAsia="pt-BR"/>
              </w:rPr>
            </w:pP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05B8D4"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Total de outras receitas/despesas</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2D904F12"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143625E8"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6C068E4B" w14:textId="77777777" w:rsidTr="003C7E27">
        <w:trPr>
          <w:trHeight w:hRule="exact" w:val="118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14A35"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E = A+B+C+D</w:t>
            </w:r>
          </w:p>
        </w:tc>
        <w:tc>
          <w:tcPr>
            <w:tcW w:w="3186" w:type="pct"/>
            <w:tcBorders>
              <w:top w:val="single" w:sz="4" w:space="0" w:color="auto"/>
              <w:left w:val="nil"/>
              <w:bottom w:val="single" w:sz="4" w:space="0" w:color="auto"/>
              <w:right w:val="single" w:sz="4" w:space="0" w:color="auto"/>
            </w:tcBorders>
            <w:shd w:val="clear" w:color="auto" w:fill="auto"/>
            <w:noWrap/>
            <w:vAlign w:val="bottom"/>
          </w:tcPr>
          <w:p w14:paraId="0458BBA2"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Resultado contábil/financeiro trimestral líquido</w:t>
            </w:r>
          </w:p>
        </w:tc>
        <w:tc>
          <w:tcPr>
            <w:tcW w:w="766" w:type="pct"/>
            <w:tcBorders>
              <w:top w:val="single" w:sz="4" w:space="0" w:color="auto"/>
              <w:left w:val="nil"/>
              <w:bottom w:val="single" w:sz="4" w:space="0" w:color="auto"/>
              <w:right w:val="single" w:sz="4" w:space="0" w:color="auto"/>
            </w:tcBorders>
            <w:shd w:val="clear" w:color="auto" w:fill="auto"/>
            <w:noWrap/>
            <w:vAlign w:val="bottom"/>
          </w:tcPr>
          <w:p w14:paraId="5B22EA60" w14:textId="77777777" w:rsidR="008C5242" w:rsidRPr="000A2D75" w:rsidRDefault="008C5242" w:rsidP="003C7E27">
            <w:pPr>
              <w:spacing w:after="0" w:line="240" w:lineRule="auto"/>
              <w:ind w:right="-1"/>
              <w:rPr>
                <w:rFonts w:ascii="Calibri" w:eastAsia="Yu Mincho" w:hAnsi="Calibri" w:cs="Calibri"/>
                <w:b/>
                <w:lang w:eastAsia="pt-BR"/>
              </w:rPr>
            </w:pPr>
          </w:p>
        </w:tc>
        <w:tc>
          <w:tcPr>
            <w:tcW w:w="773" w:type="pct"/>
            <w:tcBorders>
              <w:top w:val="single" w:sz="4" w:space="0" w:color="auto"/>
              <w:left w:val="nil"/>
              <w:bottom w:val="single" w:sz="4" w:space="0" w:color="auto"/>
              <w:right w:val="single" w:sz="4" w:space="0" w:color="auto"/>
            </w:tcBorders>
          </w:tcPr>
          <w:p w14:paraId="65864B60" w14:textId="77777777" w:rsidR="008C5242" w:rsidRPr="000A2D75" w:rsidRDefault="008C5242" w:rsidP="003C7E27">
            <w:pPr>
              <w:spacing w:after="0" w:line="240" w:lineRule="auto"/>
              <w:ind w:right="-1"/>
              <w:rPr>
                <w:rFonts w:ascii="Calibri" w:eastAsia="Yu Mincho" w:hAnsi="Calibri" w:cs="Calibri"/>
                <w:b/>
                <w:lang w:eastAsia="pt-BR"/>
              </w:rPr>
            </w:pPr>
          </w:p>
        </w:tc>
      </w:tr>
    </w:tbl>
    <w:p w14:paraId="528DCD14" w14:textId="77777777" w:rsidR="008C5242" w:rsidRPr="000A2D75" w:rsidRDefault="008C5242" w:rsidP="008C5242">
      <w:pPr>
        <w:tabs>
          <w:tab w:val="left" w:pos="495"/>
          <w:tab w:val="left" w:pos="7741"/>
        </w:tabs>
        <w:spacing w:after="0" w:line="120" w:lineRule="auto"/>
        <w:rPr>
          <w:rFonts w:ascii="Calibri" w:eastAsia="Yu Mincho" w:hAnsi="Calibri" w:cs="Calibri"/>
          <w:b/>
          <w:lang w:eastAsia="pt-BR"/>
        </w:rPr>
      </w:pPr>
      <w:r w:rsidRPr="000A2D75">
        <w:rPr>
          <w:rFonts w:ascii="Calibri" w:eastAsia="Times New Roman" w:hAnsi="Calibri" w:cs="Calibri"/>
          <w:b/>
          <w:lang w:eastAsia="pt-BR"/>
        </w:rPr>
        <w:tab/>
      </w:r>
      <w:r w:rsidRPr="000A2D75">
        <w:rPr>
          <w:rFonts w:ascii="Calibri" w:eastAsia="Times New Roman" w:hAnsi="Calibri" w:cs="Calibri"/>
          <w:color w:val="000000"/>
          <w:lang w:eastAsia="pt-BR"/>
        </w:rPr>
        <w:tab/>
      </w:r>
    </w:p>
    <w:tbl>
      <w:tblPr>
        <w:tblW w:w="5000" w:type="pct"/>
        <w:tblLayout w:type="fixed"/>
        <w:tblCellMar>
          <w:left w:w="70" w:type="dxa"/>
          <w:right w:w="70" w:type="dxa"/>
        </w:tblCellMar>
        <w:tblLook w:val="04A0" w:firstRow="1" w:lastRow="0" w:firstColumn="1" w:lastColumn="0" w:noHBand="0" w:noVBand="1"/>
      </w:tblPr>
      <w:tblGrid>
        <w:gridCol w:w="1271"/>
        <w:gridCol w:w="7330"/>
        <w:gridCol w:w="1594"/>
      </w:tblGrid>
      <w:tr w:rsidR="008C5242" w:rsidRPr="000A2D75" w14:paraId="30236765" w14:textId="77777777" w:rsidTr="003C7E27">
        <w:trPr>
          <w:trHeight w:hRule="exact" w:val="397"/>
        </w:trPr>
        <w:tc>
          <w:tcPr>
            <w:tcW w:w="421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015F98"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Distribuição do resultado acumulado no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40BD1034"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Valor (R$)</w:t>
            </w:r>
          </w:p>
        </w:tc>
      </w:tr>
      <w:tr w:rsidR="008C5242" w:rsidRPr="000A2D75" w14:paraId="124818B0"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94252A0"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F = ∑E</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6068A229"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Resultado financeiro líquido acumulado no trimestre/semestre corrente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2921D729"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68430DE3"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E7D4C7"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G = 0,95 x F</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42DAC304"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 xml:space="preserve">95% do resultado financeiro líquido acumulado (art. 10, </w:t>
            </w:r>
            <w:r>
              <w:rPr>
                <w:rFonts w:ascii="Calibri" w:eastAsia="Yu Mincho" w:hAnsi="Calibri" w:cs="Calibri"/>
                <w:b/>
                <w:bCs/>
                <w:color w:val="000000"/>
                <w:lang w:eastAsia="pt-BR"/>
              </w:rPr>
              <w:t>parágrafo</w:t>
            </w:r>
            <w:r w:rsidRPr="000A2D75">
              <w:rPr>
                <w:rFonts w:ascii="Calibri" w:eastAsia="Yu Mincho" w:hAnsi="Calibri" w:cs="Calibri"/>
                <w:b/>
                <w:bCs/>
                <w:color w:val="000000"/>
                <w:lang w:eastAsia="pt-BR"/>
              </w:rPr>
              <w:t xml:space="preserve"> único</w:t>
            </w:r>
            <w:r w:rsidRPr="000A2D75">
              <w:rPr>
                <w:rFonts w:ascii="Calibri" w:eastAsia="Yu Mincho" w:hAnsi="Calibri" w:cs="Calibri"/>
                <w:b/>
                <w:color w:val="000000"/>
                <w:lang w:eastAsia="pt-BR"/>
              </w:rPr>
              <w:t xml:space="preserve"> da Lei 8.668/93)</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5D783982"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6CC74565"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6F789940"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H.1</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009C19A6"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(N1)</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7F90B045"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644BE1EB"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33BE2283"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H.2</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203EC7F2"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(N2)</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238945EA"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5EEE242F"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4E26F240"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H.n</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47286115"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Parcela dos rendimentos retidos na classe, conforme aprovado em Assembleia de Cotistas de __/__/____ (Nx)</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732148AE"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0981FA0E"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70EF0B58"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I</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1D931ADE"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Lucro contábil passível de distribuição que excede ao total do resultado financeiro</w:t>
            </w:r>
            <w:r w:rsidRPr="000A2D75">
              <w:rPr>
                <w:rFonts w:ascii="Calibri" w:eastAsia="Yu Mincho" w:hAnsi="Calibri" w:cs="Calibri"/>
                <w:color w:val="000000"/>
                <w:vertAlign w:val="superscript"/>
                <w:lang w:eastAsia="pt-BR"/>
              </w:rPr>
              <w:t>5</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2F7A7FB4"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6C6AF9AF"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A62A082"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J = G-∑H+I</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14B488A0" w14:textId="77777777" w:rsidR="008C5242" w:rsidRPr="000A2D75" w:rsidRDefault="008C5242" w:rsidP="003C7E27">
            <w:pPr>
              <w:spacing w:after="0" w:line="240" w:lineRule="auto"/>
              <w:ind w:right="-1"/>
              <w:rPr>
                <w:rFonts w:ascii="Calibri" w:eastAsia="Yu Mincho" w:hAnsi="Calibri" w:cs="Calibri"/>
                <w:b/>
                <w:color w:val="000000"/>
                <w:lang w:eastAsia="pt-BR"/>
              </w:rPr>
            </w:pPr>
            <w:r w:rsidRPr="000A2D75">
              <w:rPr>
                <w:rFonts w:ascii="Calibri" w:eastAsia="Yu Mincho" w:hAnsi="Calibri" w:cs="Calibri"/>
                <w:b/>
                <w:color w:val="000000"/>
                <w:lang w:eastAsia="pt-BR"/>
              </w:rPr>
              <w:t>Rendimentos declarados</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6CEA1D17"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1F6C3984"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5EF99201" w14:textId="77777777" w:rsidR="008C5242" w:rsidRPr="000A2D75" w:rsidRDefault="008C5242" w:rsidP="003C7E27">
            <w:pPr>
              <w:spacing w:after="0" w:line="240" w:lineRule="auto"/>
              <w:ind w:right="-1"/>
              <w:rPr>
                <w:rFonts w:ascii="Calibri" w:eastAsia="Yu Mincho" w:hAnsi="Calibri" w:cs="Calibri"/>
                <w:lang w:eastAsia="pt-BR"/>
              </w:rPr>
            </w:pPr>
            <w:r w:rsidRPr="000A2D75">
              <w:rPr>
                <w:rFonts w:ascii="Calibri" w:eastAsia="Yu Mincho" w:hAnsi="Calibri" w:cs="Calibri"/>
                <w:lang w:eastAsia="pt-BR"/>
              </w:rPr>
              <w:t>K</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27630BB4"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Rendimentos pagos antecipadamente durante 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1DC4BBFA"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576C4A69"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15E752AD"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lastRenderedPageBreak/>
              <w:t>L = J –K</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665B6287"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b/>
                <w:color w:val="000000"/>
                <w:lang w:eastAsia="pt-BR"/>
              </w:rPr>
              <w:t>Rendimento líquido a pagar remanescente no encerramento do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5ADFD146" w14:textId="77777777" w:rsidR="008C5242" w:rsidRPr="000A2D75" w:rsidRDefault="008C5242" w:rsidP="003C7E27">
            <w:pPr>
              <w:spacing w:after="0" w:line="240" w:lineRule="auto"/>
              <w:ind w:right="-1"/>
              <w:rPr>
                <w:rFonts w:ascii="Calibri" w:eastAsia="Yu Mincho" w:hAnsi="Calibri" w:cs="Calibri"/>
                <w:b/>
                <w:lang w:eastAsia="pt-BR"/>
              </w:rPr>
            </w:pPr>
          </w:p>
        </w:tc>
      </w:tr>
      <w:tr w:rsidR="008C5242" w:rsidRPr="000A2D75" w14:paraId="51D7AA29" w14:textId="77777777" w:rsidTr="003C7E27">
        <w:trPr>
          <w:trHeight w:val="284"/>
        </w:trPr>
        <w:tc>
          <w:tcPr>
            <w:tcW w:w="623" w:type="pct"/>
            <w:tcBorders>
              <w:top w:val="single" w:sz="4" w:space="0" w:color="auto"/>
              <w:left w:val="single" w:sz="4" w:space="0" w:color="auto"/>
              <w:bottom w:val="single" w:sz="4" w:space="0" w:color="auto"/>
              <w:right w:val="single" w:sz="4" w:space="0" w:color="auto"/>
            </w:tcBorders>
            <w:shd w:val="clear" w:color="auto" w:fill="auto"/>
            <w:noWrap/>
          </w:tcPr>
          <w:p w14:paraId="706F9222" w14:textId="77777777" w:rsidR="008C5242" w:rsidRPr="000A2D75" w:rsidRDefault="008C5242" w:rsidP="003C7E27">
            <w:pPr>
              <w:spacing w:after="0" w:line="240" w:lineRule="auto"/>
              <w:ind w:right="-1"/>
              <w:rPr>
                <w:rFonts w:ascii="Calibri" w:eastAsia="Yu Mincho" w:hAnsi="Calibri" w:cs="Calibri"/>
                <w:b/>
                <w:lang w:eastAsia="pt-BR"/>
              </w:rPr>
            </w:pPr>
            <w:r w:rsidRPr="000A2D75">
              <w:rPr>
                <w:rFonts w:ascii="Calibri" w:eastAsia="Yu Mincho" w:hAnsi="Calibri" w:cs="Calibri"/>
                <w:b/>
                <w:lang w:eastAsia="pt-BR"/>
              </w:rPr>
              <w:t>M = J/F</w:t>
            </w:r>
          </w:p>
        </w:tc>
        <w:tc>
          <w:tcPr>
            <w:tcW w:w="3595" w:type="pct"/>
            <w:tcBorders>
              <w:top w:val="single" w:sz="4" w:space="0" w:color="auto"/>
              <w:left w:val="nil"/>
              <w:bottom w:val="single" w:sz="4" w:space="0" w:color="auto"/>
              <w:right w:val="single" w:sz="4" w:space="0" w:color="auto"/>
            </w:tcBorders>
            <w:shd w:val="clear" w:color="auto" w:fill="auto"/>
            <w:noWrap/>
            <w:vAlign w:val="bottom"/>
          </w:tcPr>
          <w:p w14:paraId="03460317" w14:textId="77777777" w:rsidR="008C5242" w:rsidRPr="000A2D75" w:rsidRDefault="008C5242" w:rsidP="003C7E27">
            <w:pPr>
              <w:spacing w:after="0" w:line="240" w:lineRule="auto"/>
              <w:ind w:right="-1"/>
              <w:rPr>
                <w:rFonts w:ascii="Calibri" w:eastAsia="Yu Mincho" w:hAnsi="Calibri" w:cs="Calibri"/>
                <w:color w:val="000000"/>
                <w:lang w:eastAsia="pt-BR"/>
              </w:rPr>
            </w:pPr>
            <w:r w:rsidRPr="000A2D75">
              <w:rPr>
                <w:rFonts w:ascii="Calibri" w:eastAsia="Yu Mincho" w:hAnsi="Calibri" w:cs="Calibri"/>
                <w:color w:val="000000"/>
                <w:lang w:eastAsia="pt-BR"/>
              </w:rPr>
              <w:t>% do resultado financeiro líquido declarado no trimestre/semestre</w:t>
            </w:r>
          </w:p>
        </w:tc>
        <w:tc>
          <w:tcPr>
            <w:tcW w:w="782" w:type="pct"/>
            <w:tcBorders>
              <w:top w:val="single" w:sz="4" w:space="0" w:color="auto"/>
              <w:left w:val="nil"/>
              <w:bottom w:val="single" w:sz="4" w:space="0" w:color="auto"/>
              <w:right w:val="single" w:sz="4" w:space="0" w:color="auto"/>
            </w:tcBorders>
            <w:shd w:val="clear" w:color="auto" w:fill="auto"/>
            <w:noWrap/>
            <w:vAlign w:val="bottom"/>
          </w:tcPr>
          <w:p w14:paraId="2FF129A7" w14:textId="77777777" w:rsidR="008C5242" w:rsidRPr="000A2D75" w:rsidRDefault="008C5242" w:rsidP="003C7E27">
            <w:pPr>
              <w:spacing w:after="0" w:line="240" w:lineRule="auto"/>
              <w:ind w:right="-1"/>
              <w:rPr>
                <w:rFonts w:ascii="Calibri" w:eastAsia="Yu Mincho" w:hAnsi="Calibri" w:cs="Calibri"/>
                <w:b/>
                <w:lang w:eastAsia="pt-BR"/>
              </w:rPr>
            </w:pPr>
          </w:p>
        </w:tc>
      </w:tr>
    </w:tbl>
    <w:p w14:paraId="59A7C41B" w14:textId="77777777" w:rsidR="008C5242" w:rsidRPr="008C5242" w:rsidRDefault="008C5242" w:rsidP="008C5242">
      <w:pPr>
        <w:spacing w:line="240" w:lineRule="auto"/>
        <w:rPr>
          <w:rFonts w:asciiTheme="minorHAnsi" w:eastAsiaTheme="minorEastAsia" w:hAnsiTheme="minorHAnsi" w:cstheme="minorHAnsi"/>
        </w:rPr>
      </w:pPr>
      <w:r w:rsidRPr="008C5242">
        <w:rPr>
          <w:rFonts w:asciiTheme="minorHAnsi" w:eastAsiaTheme="minorEastAsia" w:hAnsiTheme="minorHAnsi" w:cstheme="minorHAnsi"/>
        </w:rPr>
        <w:t>* Quando se referir ao Informe Trimestral do 2º e 4º trimestres de cada ano, onde as informações deverão acumular também os valores correspondentes ao trimestre imediatamente anterior, ou seja, 1º e 3º trimestres, respectivamente.</w:t>
      </w:r>
    </w:p>
    <w:p w14:paraId="141B1827" w14:textId="77777777" w:rsidR="008C5242" w:rsidRPr="008C5242" w:rsidRDefault="008C5242" w:rsidP="008C5242">
      <w:pPr>
        <w:spacing w:line="240" w:lineRule="auto"/>
        <w:rPr>
          <w:rFonts w:asciiTheme="minorHAnsi" w:eastAsiaTheme="minorEastAsia" w:hAnsiTheme="minorHAnsi" w:cstheme="minorHAnsi"/>
        </w:rPr>
      </w:pPr>
      <w:r w:rsidRPr="008C5242">
        <w:rPr>
          <w:rFonts w:asciiTheme="minorHAnsi" w:eastAsiaTheme="minorEastAsia" w:hAnsiTheme="minorHAnsi" w:cstheme="minorHAnsi"/>
        </w:rPr>
        <w:t>Notas:</w:t>
      </w:r>
    </w:p>
    <w:p w14:paraId="6E7A498F"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Dentre as características relevantes dos imóveis, (i) descrever os direitos que o fundo detém sobre os imóveis, com menção aos principais termos de quaisquer contratos de financiamento, promessas de compra e venda, bem como quaisquer outros instrumentos que lhe assegurem tais direitos; (ii) descrever os ônus e garantias que recaem sobre os imóveis; (iii) indicar se o imóvel foi adquirido em regime de condomínio, e se existe acordo dispondo sobre a constituição da propriedade em comum e repartição dos rendimentos por ela gerados; (iv) prazo para conclusão do empreendimento.</w:t>
      </w:r>
    </w:p>
    <w:p w14:paraId="6464F865"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Nos os casos em que a divulgação de tais informações prejudique as relações contratuais estabelecidas, o administrador deve informar a quantidade de imóveis que se encontram em tal situação e o percentual de receitas oriunda desse rol de ativos.</w:t>
      </w:r>
    </w:p>
    <w:p w14:paraId="109A27DD"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No item que trata da relação de ativos sujeitos à garantia, o Ativo deverá ser identificado. No caso de (i) imóveis, pelo nome, ou endereço, caso o imóvel não possua um nome, (ii) terrenos, pelo endereço e (iii) demais ativos, pelas características principais que possibilitem a perfeita identificação pelo cotista.</w:t>
      </w:r>
    </w:p>
    <w:p w14:paraId="04F815B7"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 xml:space="preserve">O resultado financeiro representa o quanto do resultado contábil foi efetivamente pago/recebido no mês ou o montante recebido/pago no mês que tenha sido objeto de apropriação em meses anteriores. Em resumo, corresponde ao efeito caixa das receitas e despesas. </w:t>
      </w:r>
    </w:p>
    <w:p w14:paraId="3C65CB72"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Corresponde a parcela do lucro contábil apropriado no período ainda não recebida, a qual o administrador declara distribuir como excedente ao total do resultado financeiro.</w:t>
      </w:r>
    </w:p>
    <w:p w14:paraId="283AB692" w14:textId="77777777" w:rsidR="008C5242" w:rsidRPr="008C5242" w:rsidRDefault="008C5242" w:rsidP="008C5242">
      <w:pPr>
        <w:numPr>
          <w:ilvl w:val="0"/>
          <w:numId w:val="17"/>
        </w:numPr>
        <w:spacing w:after="60"/>
        <w:ind w:left="714" w:hanging="357"/>
        <w:jc w:val="both"/>
        <w:rPr>
          <w:rFonts w:asciiTheme="minorHAnsi" w:eastAsiaTheme="minorEastAsia" w:hAnsiTheme="minorHAnsi" w:cstheme="minorHAnsi"/>
        </w:rPr>
      </w:pPr>
      <w:r w:rsidRPr="008C5242">
        <w:rPr>
          <w:rFonts w:asciiTheme="minorHAnsi" w:eastAsiaTheme="minorEastAsia" w:hAnsiTheme="minorHAnsi" w:cstheme="minorHAnsi"/>
        </w:rPr>
        <w:t>Para os fundos não listados em bolsa de valores, mercado de balcão organizado e que sejam, cumulativamente, exclusivos, dedicados exclusivamente a investidores profissionais, ou onde a totalidade dos cotistas mantém vínculo familiar ou societário familiar, nos termos das regras gerias sobre fundos de investimento, a divulgação das seguintes informações é facultativa, devendo, contudo, ser disponibilizada aos cotistas do fundo quando requeridas:</w:t>
      </w:r>
    </w:p>
    <w:p w14:paraId="6F7AD6ED"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Item 1.1.1 – outras características relevantes.</w:t>
      </w:r>
    </w:p>
    <w:p w14:paraId="569444C6"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Item 1.1.2.1.1 – outras características relevantes.</w:t>
      </w:r>
    </w:p>
    <w:p w14:paraId="111F3161"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Itens 1.1.2.1.4, 1.1.2.1.5 e 1.1.2.1.6 – todo o conteúdo.</w:t>
      </w:r>
    </w:p>
    <w:p w14:paraId="74B61AB8"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Item 1.1.2.2.1 – outras características relevantes, % locado, e colunas % de conclusão das obras e custos de construção.</w:t>
      </w:r>
    </w:p>
    <w:p w14:paraId="092C05CD"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Itens 1.1.2.2.2 e 1.1.2.2.3 – todo o conteúdo.</w:t>
      </w:r>
    </w:p>
    <w:p w14:paraId="78E72DCF"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Item 1.1.2.3.1 – outras características relevantes.</w:t>
      </w:r>
    </w:p>
    <w:p w14:paraId="57D56212"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lastRenderedPageBreak/>
        <w:t>Item 1.1.2.3.2 – todo o conteúdo.</w:t>
      </w:r>
    </w:p>
    <w:p w14:paraId="302040C1"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 xml:space="preserve">Item 1.1.2.4.1 – outras características relevantes, % vendido, e colunas % de conclusão das obras e custos de construção. </w:t>
      </w:r>
    </w:p>
    <w:p w14:paraId="6060FB63" w14:textId="77777777" w:rsidR="008C5242" w:rsidRPr="008C5242" w:rsidRDefault="008C5242" w:rsidP="008C5242">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Itens 1.1.2.4.2 e 1.1.2.4.3 – todo o conteúdo.</w:t>
      </w:r>
    </w:p>
    <w:p w14:paraId="215FF5FF" w14:textId="0398E58D" w:rsidR="00457375" w:rsidRDefault="008C5242" w:rsidP="00F461F9">
      <w:pPr>
        <w:numPr>
          <w:ilvl w:val="0"/>
          <w:numId w:val="18"/>
        </w:numPr>
        <w:spacing w:after="0"/>
        <w:ind w:left="709" w:hanging="283"/>
        <w:jc w:val="both"/>
        <w:rPr>
          <w:rFonts w:asciiTheme="minorHAnsi" w:eastAsiaTheme="minorEastAsia" w:hAnsiTheme="minorHAnsi" w:cstheme="minorHAnsi"/>
        </w:rPr>
      </w:pPr>
      <w:r w:rsidRPr="008C5242">
        <w:rPr>
          <w:rFonts w:asciiTheme="minorHAnsi" w:eastAsiaTheme="minorEastAsia" w:hAnsiTheme="minorHAnsi" w:cstheme="minorHAnsi"/>
        </w:rPr>
        <w:t>Itens 2.1.1, 2.1.2, 2.2.1, 2.2.2 – outras características relevantes.</w:t>
      </w:r>
    </w:p>
    <w:p w14:paraId="1F973798" w14:textId="5E529AB4" w:rsidR="00F461F9" w:rsidRPr="00E00556" w:rsidRDefault="00F461F9" w:rsidP="00F461F9">
      <w:pPr>
        <w:pStyle w:val="PargrafodaLista"/>
        <w:numPr>
          <w:ilvl w:val="0"/>
          <w:numId w:val="13"/>
        </w:numPr>
        <w:spacing w:before="120" w:after="120" w:line="312" w:lineRule="auto"/>
        <w:ind w:left="284" w:hanging="142"/>
        <w:jc w:val="both"/>
        <w:rPr>
          <w:rFonts w:cstheme="minorHAnsi"/>
          <w:sz w:val="24"/>
          <w:szCs w:val="24"/>
        </w:rPr>
      </w:pPr>
      <w:r>
        <w:rPr>
          <w:rFonts w:cstheme="minorHAnsi"/>
          <w:b/>
          <w:i/>
          <w:sz w:val="24"/>
          <w:szCs w:val="24"/>
        </w:rPr>
        <w:t xml:space="preserve">Suplemento J </w:t>
      </w:r>
      <w:r w:rsidRPr="0045288F">
        <w:rPr>
          <w:rFonts w:cstheme="minorHAnsi"/>
          <w:b/>
          <w:i/>
          <w:sz w:val="24"/>
          <w:szCs w:val="24"/>
        </w:rPr>
        <w:t>incluído pela Resolução CVM nº 184, de 31 de maio de 2023.</w:t>
      </w:r>
    </w:p>
    <w:p w14:paraId="2ACAA31A" w14:textId="77777777" w:rsidR="00F461F9" w:rsidRPr="008C5242" w:rsidRDefault="00F461F9" w:rsidP="008C5242">
      <w:pPr>
        <w:tabs>
          <w:tab w:val="left" w:pos="3795"/>
        </w:tabs>
        <w:spacing w:after="0"/>
        <w:rPr>
          <w:rFonts w:asciiTheme="minorHAnsi" w:eastAsiaTheme="minorHAnsi" w:hAnsiTheme="minorHAnsi" w:cstheme="minorHAnsi"/>
        </w:rPr>
      </w:pPr>
    </w:p>
    <w:p w14:paraId="5D078E24" w14:textId="77777777" w:rsidR="00F461F9" w:rsidRDefault="00F461F9" w:rsidP="00457375">
      <w:pPr>
        <w:tabs>
          <w:tab w:val="left" w:pos="3795"/>
        </w:tabs>
        <w:spacing w:after="0"/>
        <w:rPr>
          <w:rFonts w:asciiTheme="minorHAnsi" w:eastAsiaTheme="minorHAnsi" w:hAnsiTheme="minorHAnsi" w:cstheme="minorBidi"/>
        </w:rPr>
        <w:sectPr w:rsidR="00F461F9" w:rsidSect="002A08BD">
          <w:headerReference w:type="default" r:id="rId47"/>
          <w:pgSz w:w="11906" w:h="16838"/>
          <w:pgMar w:top="2268" w:right="567" w:bottom="851" w:left="1134" w:header="709" w:footer="709" w:gutter="0"/>
          <w:cols w:space="708"/>
          <w:docGrid w:linePitch="360"/>
        </w:sectPr>
      </w:pPr>
    </w:p>
    <w:p w14:paraId="0250B065" w14:textId="77777777" w:rsidR="00F461F9" w:rsidRPr="00F461F9" w:rsidRDefault="00F461F9" w:rsidP="00F461F9">
      <w:pPr>
        <w:pStyle w:val="Ttulo1"/>
        <w:spacing w:before="0" w:after="0" w:line="240" w:lineRule="auto"/>
        <w:jc w:val="center"/>
        <w:rPr>
          <w:rFonts w:asciiTheme="minorHAnsi" w:hAnsiTheme="minorHAnsi" w:cstheme="minorHAnsi"/>
          <w:sz w:val="24"/>
          <w:szCs w:val="24"/>
        </w:rPr>
      </w:pPr>
      <w:bookmarkStart w:id="1512" w:name="_Toc161141456"/>
      <w:r w:rsidRPr="00F461F9">
        <w:rPr>
          <w:rFonts w:asciiTheme="minorHAnsi" w:hAnsiTheme="minorHAnsi" w:cstheme="minorHAnsi"/>
          <w:sz w:val="24"/>
          <w:szCs w:val="24"/>
        </w:rPr>
        <w:lastRenderedPageBreak/>
        <w:t>SUPLEMENTO K – INFORME ANUAL – FII</w:t>
      </w:r>
      <w:bookmarkEnd w:id="1512"/>
    </w:p>
    <w:p w14:paraId="6C8BB588" w14:textId="77777777" w:rsidR="00F461F9" w:rsidRPr="00F461F9" w:rsidRDefault="00F461F9" w:rsidP="00F461F9">
      <w:pPr>
        <w:spacing w:after="0" w:line="240" w:lineRule="auto"/>
        <w:ind w:firstLine="709"/>
        <w:jc w:val="center"/>
        <w:rPr>
          <w:rFonts w:asciiTheme="minorHAnsi" w:hAnsiTheme="minorHAnsi" w:cstheme="minorHAnsi"/>
          <w:i/>
          <w:sz w:val="24"/>
          <w:szCs w:val="24"/>
        </w:rPr>
      </w:pPr>
      <w:r w:rsidRPr="00F461F9">
        <w:rPr>
          <w:rFonts w:asciiTheme="minorHAnsi" w:hAnsiTheme="minorHAnsi" w:cstheme="minorHAnsi"/>
          <w:i/>
          <w:sz w:val="24"/>
          <w:szCs w:val="24"/>
        </w:rPr>
        <w:t>Conteúdo do Informe Anual, conforme previsto no art. 36, III, do Anexo Normativo III</w:t>
      </w:r>
    </w:p>
    <w:p w14:paraId="46C00E01" w14:textId="77777777" w:rsidR="00F461F9" w:rsidRPr="00F461F9" w:rsidRDefault="00F461F9" w:rsidP="00F461F9">
      <w:pPr>
        <w:spacing w:after="0" w:line="240" w:lineRule="auto"/>
        <w:ind w:firstLine="709"/>
        <w:rPr>
          <w:rFonts w:asciiTheme="majorHAnsi" w:hAnsiTheme="majorHAnsi" w:cstheme="majorHAns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92"/>
        <w:gridCol w:w="2694"/>
      </w:tblGrid>
      <w:tr w:rsidR="00F461F9" w:rsidRPr="00B9471E" w14:paraId="4BA67809" w14:textId="77777777" w:rsidTr="003C7E27">
        <w:tc>
          <w:tcPr>
            <w:tcW w:w="4815" w:type="dxa"/>
            <w:tcBorders>
              <w:top w:val="single" w:sz="4" w:space="0" w:color="auto"/>
              <w:left w:val="single" w:sz="4" w:space="0" w:color="auto"/>
              <w:bottom w:val="single" w:sz="4" w:space="0" w:color="auto"/>
              <w:right w:val="single" w:sz="4" w:space="0" w:color="auto"/>
            </w:tcBorders>
            <w:vAlign w:val="bottom"/>
            <w:hideMark/>
          </w:tcPr>
          <w:p w14:paraId="50E626FC"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Nome da Classe</w:t>
            </w:r>
          </w:p>
        </w:tc>
        <w:tc>
          <w:tcPr>
            <w:tcW w:w="2692" w:type="dxa"/>
            <w:tcBorders>
              <w:top w:val="single" w:sz="4" w:space="0" w:color="auto"/>
              <w:left w:val="single" w:sz="4" w:space="0" w:color="auto"/>
              <w:bottom w:val="single" w:sz="4" w:space="0" w:color="auto"/>
              <w:right w:val="single" w:sz="4" w:space="0" w:color="auto"/>
            </w:tcBorders>
            <w:vAlign w:val="bottom"/>
            <w:hideMark/>
          </w:tcPr>
          <w:p w14:paraId="28727D98"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CNPJ da Classe</w:t>
            </w:r>
          </w:p>
        </w:tc>
        <w:tc>
          <w:tcPr>
            <w:tcW w:w="2694" w:type="dxa"/>
            <w:tcBorders>
              <w:top w:val="single" w:sz="4" w:space="0" w:color="auto"/>
              <w:left w:val="single" w:sz="4" w:space="0" w:color="auto"/>
              <w:bottom w:val="single" w:sz="4" w:space="0" w:color="auto"/>
              <w:right w:val="single" w:sz="4" w:space="0" w:color="auto"/>
            </w:tcBorders>
            <w:vAlign w:val="bottom"/>
          </w:tcPr>
          <w:p w14:paraId="4B490736"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Data de Funcionamento</w:t>
            </w:r>
          </w:p>
        </w:tc>
      </w:tr>
      <w:tr w:rsidR="00F461F9" w:rsidRPr="00B9471E" w14:paraId="19615A73" w14:textId="77777777" w:rsidTr="003C7E27">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4C57CDCE"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Público</w:t>
            </w:r>
            <w:r w:rsidRPr="00B9471E">
              <w:rPr>
                <w:rFonts w:ascii="Calibri" w:eastAsia="Yu Mincho" w:hAnsi="Calibri" w:cs="Calibri"/>
                <w:b/>
                <w:bCs/>
                <w:color w:val="000000"/>
                <w:lang w:eastAsia="pt-BR"/>
              </w:rPr>
              <w:t>-</w:t>
            </w:r>
            <w:r w:rsidRPr="00B9471E">
              <w:rPr>
                <w:rFonts w:ascii="Calibri" w:eastAsia="Yu Mincho" w:hAnsi="Calibri" w:cs="Calibri"/>
                <w:b/>
                <w:color w:val="000000"/>
                <w:lang w:eastAsia="pt-BR"/>
              </w:rPr>
              <w:t>Alvo (Investidores em geral, Investidor Qualificado ou Profissional)</w:t>
            </w:r>
          </w:p>
        </w:tc>
        <w:tc>
          <w:tcPr>
            <w:tcW w:w="2692" w:type="dxa"/>
            <w:tcBorders>
              <w:top w:val="single" w:sz="4" w:space="0" w:color="auto"/>
              <w:left w:val="single" w:sz="4" w:space="0" w:color="auto"/>
              <w:bottom w:val="single" w:sz="4" w:space="0" w:color="auto"/>
              <w:right w:val="single" w:sz="4" w:space="0" w:color="auto"/>
            </w:tcBorders>
            <w:vAlign w:val="bottom"/>
            <w:hideMark/>
          </w:tcPr>
          <w:p w14:paraId="5F7F3E30"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Código ISIN</w:t>
            </w:r>
          </w:p>
        </w:tc>
        <w:tc>
          <w:tcPr>
            <w:tcW w:w="2694" w:type="dxa"/>
            <w:tcBorders>
              <w:top w:val="single" w:sz="4" w:space="0" w:color="auto"/>
              <w:left w:val="single" w:sz="4" w:space="0" w:color="auto"/>
              <w:bottom w:val="single" w:sz="4" w:space="0" w:color="auto"/>
              <w:right w:val="single" w:sz="4" w:space="0" w:color="auto"/>
            </w:tcBorders>
            <w:vAlign w:val="bottom"/>
          </w:tcPr>
          <w:p w14:paraId="2F8195EC"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Quantidade de cotas emitidas</w:t>
            </w:r>
          </w:p>
        </w:tc>
      </w:tr>
      <w:tr w:rsidR="00F461F9" w:rsidRPr="00B9471E" w14:paraId="19E3A38B" w14:textId="77777777" w:rsidTr="003C7E27">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46D7ADD7"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Classe Exclusiva (Sim ou Não)</w:t>
            </w:r>
          </w:p>
        </w:tc>
        <w:tc>
          <w:tcPr>
            <w:tcW w:w="5386" w:type="dxa"/>
            <w:gridSpan w:val="2"/>
            <w:tcBorders>
              <w:top w:val="single" w:sz="4" w:space="0" w:color="auto"/>
              <w:left w:val="single" w:sz="4" w:space="0" w:color="auto"/>
              <w:bottom w:val="single" w:sz="4" w:space="0" w:color="auto"/>
              <w:right w:val="single" w:sz="4" w:space="0" w:color="auto"/>
            </w:tcBorders>
            <w:vAlign w:val="bottom"/>
          </w:tcPr>
          <w:p w14:paraId="5B34F68F"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Cotistas possuem vínculo familiar ou societário familiar (Sim ou Não)</w:t>
            </w:r>
          </w:p>
        </w:tc>
      </w:tr>
      <w:tr w:rsidR="00F461F9" w:rsidRPr="00B9471E" w14:paraId="726D71C1" w14:textId="77777777" w:rsidTr="003C7E27">
        <w:trPr>
          <w:trHeight w:val="111"/>
        </w:trPr>
        <w:tc>
          <w:tcPr>
            <w:tcW w:w="10201" w:type="dxa"/>
            <w:gridSpan w:val="3"/>
            <w:tcBorders>
              <w:top w:val="single" w:sz="4" w:space="0" w:color="auto"/>
              <w:left w:val="single" w:sz="4" w:space="0" w:color="auto"/>
              <w:bottom w:val="single" w:sz="4" w:space="0" w:color="auto"/>
              <w:right w:val="single" w:sz="4" w:space="0" w:color="auto"/>
            </w:tcBorders>
            <w:vAlign w:val="bottom"/>
            <w:hideMark/>
          </w:tcPr>
          <w:p w14:paraId="4D05CBEF"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Classificação autorregulação (se houver)</w:t>
            </w:r>
          </w:p>
        </w:tc>
      </w:tr>
      <w:tr w:rsidR="00F461F9" w:rsidRPr="00B9471E" w14:paraId="0032B1A4" w14:textId="77777777" w:rsidTr="003C7E27">
        <w:trPr>
          <w:trHeight w:val="111"/>
        </w:trPr>
        <w:tc>
          <w:tcPr>
            <w:tcW w:w="4815" w:type="dxa"/>
            <w:tcBorders>
              <w:top w:val="single" w:sz="4" w:space="0" w:color="auto"/>
              <w:left w:val="single" w:sz="4" w:space="0" w:color="auto"/>
              <w:bottom w:val="single" w:sz="4" w:space="0" w:color="auto"/>
              <w:right w:val="single" w:sz="4" w:space="0" w:color="auto"/>
            </w:tcBorders>
            <w:vAlign w:val="bottom"/>
            <w:hideMark/>
          </w:tcPr>
          <w:p w14:paraId="6BB1E276"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Prazo de Duração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2249B1B2"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Encerramento do exercício social</w:t>
            </w:r>
          </w:p>
        </w:tc>
      </w:tr>
      <w:tr w:rsidR="00F461F9" w:rsidRPr="00B9471E" w14:paraId="18FD97DC" w14:textId="77777777" w:rsidTr="003C7E27">
        <w:trPr>
          <w:trHeight w:val="174"/>
        </w:trPr>
        <w:tc>
          <w:tcPr>
            <w:tcW w:w="4815" w:type="dxa"/>
            <w:tcBorders>
              <w:top w:val="single" w:sz="4" w:space="0" w:color="auto"/>
              <w:left w:val="single" w:sz="4" w:space="0" w:color="auto"/>
              <w:bottom w:val="single" w:sz="4" w:space="0" w:color="auto"/>
              <w:right w:val="single" w:sz="4" w:space="0" w:color="auto"/>
            </w:tcBorders>
            <w:vAlign w:val="bottom"/>
            <w:hideMark/>
          </w:tcPr>
          <w:p w14:paraId="33D587FE"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Mercado de negociação das cotas (Bolsa/MBO/MB não organizado)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21CEE395"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Entidade administradora de mercado organizado</w:t>
            </w:r>
          </w:p>
        </w:tc>
      </w:tr>
      <w:tr w:rsidR="00F461F9" w:rsidRPr="00B9471E" w14:paraId="534060F5" w14:textId="77777777" w:rsidTr="003C7E27">
        <w:tc>
          <w:tcPr>
            <w:tcW w:w="4815" w:type="dxa"/>
            <w:tcBorders>
              <w:top w:val="single" w:sz="4" w:space="0" w:color="auto"/>
              <w:left w:val="single" w:sz="4" w:space="0" w:color="auto"/>
              <w:bottom w:val="single" w:sz="4" w:space="0" w:color="auto"/>
              <w:right w:val="single" w:sz="4" w:space="0" w:color="auto"/>
            </w:tcBorders>
            <w:vAlign w:val="bottom"/>
            <w:hideMark/>
          </w:tcPr>
          <w:p w14:paraId="53B78666"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Nome do Administrador</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42ABC8BA"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CNPJ do Administrador</w:t>
            </w:r>
          </w:p>
        </w:tc>
      </w:tr>
      <w:tr w:rsidR="00F461F9" w:rsidRPr="00B9471E" w14:paraId="644A496F" w14:textId="77777777" w:rsidTr="003C7E27">
        <w:tc>
          <w:tcPr>
            <w:tcW w:w="4815" w:type="dxa"/>
            <w:tcBorders>
              <w:top w:val="single" w:sz="4" w:space="0" w:color="auto"/>
              <w:left w:val="single" w:sz="4" w:space="0" w:color="auto"/>
              <w:bottom w:val="single" w:sz="4" w:space="0" w:color="auto"/>
              <w:right w:val="single" w:sz="4" w:space="0" w:color="auto"/>
            </w:tcBorders>
            <w:vAlign w:val="bottom"/>
            <w:hideMark/>
          </w:tcPr>
          <w:p w14:paraId="67D48B97"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Endereço</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5FFC11F8"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Telefones</w:t>
            </w:r>
          </w:p>
        </w:tc>
      </w:tr>
      <w:tr w:rsidR="00F461F9" w:rsidRPr="00B9471E" w14:paraId="01525A94" w14:textId="77777777" w:rsidTr="003C7E27">
        <w:tc>
          <w:tcPr>
            <w:tcW w:w="4815" w:type="dxa"/>
            <w:tcBorders>
              <w:top w:val="single" w:sz="4" w:space="0" w:color="auto"/>
              <w:left w:val="single" w:sz="4" w:space="0" w:color="auto"/>
              <w:bottom w:val="single" w:sz="4" w:space="0" w:color="auto"/>
              <w:right w:val="single" w:sz="4" w:space="0" w:color="auto"/>
            </w:tcBorders>
            <w:vAlign w:val="bottom"/>
            <w:hideMark/>
          </w:tcPr>
          <w:p w14:paraId="10F00836"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Site</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6377ADC5"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E-mail</w:t>
            </w:r>
          </w:p>
        </w:tc>
      </w:tr>
      <w:tr w:rsidR="00F461F9" w:rsidRPr="00B9471E" w14:paraId="56807D8E" w14:textId="77777777" w:rsidTr="003C7E27">
        <w:tc>
          <w:tcPr>
            <w:tcW w:w="4815" w:type="dxa"/>
            <w:tcBorders>
              <w:top w:val="single" w:sz="4" w:space="0" w:color="auto"/>
              <w:left w:val="single" w:sz="4" w:space="0" w:color="auto"/>
              <w:bottom w:val="single" w:sz="4" w:space="0" w:color="auto"/>
              <w:right w:val="single" w:sz="4" w:space="0" w:color="auto"/>
            </w:tcBorders>
            <w:vAlign w:val="bottom"/>
            <w:hideMark/>
          </w:tcPr>
          <w:p w14:paraId="4F69847B"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Competência</w:t>
            </w:r>
          </w:p>
        </w:tc>
        <w:tc>
          <w:tcPr>
            <w:tcW w:w="5386" w:type="dxa"/>
            <w:gridSpan w:val="2"/>
            <w:tcBorders>
              <w:top w:val="single" w:sz="4" w:space="0" w:color="auto"/>
              <w:left w:val="single" w:sz="4" w:space="0" w:color="auto"/>
              <w:bottom w:val="single" w:sz="4" w:space="0" w:color="auto"/>
              <w:right w:val="single" w:sz="4" w:space="0" w:color="auto"/>
            </w:tcBorders>
            <w:vAlign w:val="bottom"/>
            <w:hideMark/>
          </w:tcPr>
          <w:p w14:paraId="1E0C3CAD" w14:textId="77777777" w:rsidR="00F461F9" w:rsidRPr="00B9471E" w:rsidRDefault="00F461F9" w:rsidP="003C7E27">
            <w:pPr>
              <w:spacing w:after="0" w:line="240" w:lineRule="auto"/>
              <w:ind w:right="-1"/>
              <w:rPr>
                <w:rFonts w:ascii="Calibri" w:eastAsia="Yu Mincho" w:hAnsi="Calibri" w:cs="Calibri"/>
                <w:b/>
                <w:color w:val="000000"/>
                <w:lang w:eastAsia="pt-BR"/>
              </w:rPr>
            </w:pPr>
            <w:r w:rsidRPr="00B9471E">
              <w:rPr>
                <w:rFonts w:ascii="Calibri" w:eastAsia="Yu Mincho" w:hAnsi="Calibri" w:cs="Calibri"/>
                <w:b/>
                <w:color w:val="000000"/>
                <w:lang w:eastAsia="pt-BR"/>
              </w:rPr>
              <w:t>mm/aaaa</w:t>
            </w:r>
          </w:p>
        </w:tc>
      </w:tr>
    </w:tbl>
    <w:p w14:paraId="1A5DA015" w14:textId="77777777" w:rsidR="00F461F9" w:rsidRDefault="00F461F9" w:rsidP="00F461F9">
      <w:pPr>
        <w:spacing w:after="0" w:line="120" w:lineRule="auto"/>
        <w:ind w:left="709"/>
        <w:rPr>
          <w:rFonts w:eastAsiaTheme="minorEastAsia"/>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051"/>
        <w:gridCol w:w="893"/>
        <w:gridCol w:w="218"/>
        <w:gridCol w:w="351"/>
        <w:gridCol w:w="236"/>
        <w:gridCol w:w="412"/>
        <w:gridCol w:w="202"/>
        <w:gridCol w:w="175"/>
        <w:gridCol w:w="294"/>
        <w:gridCol w:w="38"/>
        <w:gridCol w:w="314"/>
        <w:gridCol w:w="432"/>
        <w:gridCol w:w="173"/>
        <w:gridCol w:w="184"/>
        <w:gridCol w:w="194"/>
        <w:gridCol w:w="143"/>
        <w:gridCol w:w="790"/>
        <w:gridCol w:w="538"/>
        <w:gridCol w:w="489"/>
        <w:gridCol w:w="1429"/>
      </w:tblGrid>
      <w:tr w:rsidR="00F461F9" w:rsidRPr="00B9471E" w14:paraId="01174E68" w14:textId="77777777" w:rsidTr="003C7E27">
        <w:trPr>
          <w:trHeight w:hRule="exact" w:val="594"/>
        </w:trPr>
        <w:tc>
          <w:tcPr>
            <w:tcW w:w="642" w:type="dxa"/>
          </w:tcPr>
          <w:p w14:paraId="14D303E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w:t>
            </w:r>
          </w:p>
        </w:tc>
        <w:tc>
          <w:tcPr>
            <w:tcW w:w="4549" w:type="dxa"/>
            <w:gridSpan w:val="8"/>
          </w:tcPr>
          <w:p w14:paraId="7E493FDB"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Prestadores de serviços</w:t>
            </w:r>
          </w:p>
        </w:tc>
        <w:tc>
          <w:tcPr>
            <w:tcW w:w="5005" w:type="dxa"/>
            <w:gridSpan w:val="12"/>
          </w:tcPr>
          <w:p w14:paraId="5B23A254"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CNPJ / Endereço / Telefone</w:t>
            </w:r>
          </w:p>
        </w:tc>
      </w:tr>
      <w:tr w:rsidR="00F461F9" w:rsidRPr="00B9471E" w14:paraId="4BCD99DF" w14:textId="77777777" w:rsidTr="003C7E27">
        <w:trPr>
          <w:trHeight w:val="300"/>
        </w:trPr>
        <w:tc>
          <w:tcPr>
            <w:tcW w:w="642" w:type="dxa"/>
          </w:tcPr>
          <w:p w14:paraId="76278FB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1.1</w:t>
            </w:r>
          </w:p>
        </w:tc>
        <w:tc>
          <w:tcPr>
            <w:tcW w:w="4549" w:type="dxa"/>
            <w:gridSpan w:val="8"/>
          </w:tcPr>
          <w:p w14:paraId="66C2736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Gestor:</w:t>
            </w:r>
          </w:p>
        </w:tc>
        <w:tc>
          <w:tcPr>
            <w:tcW w:w="5005" w:type="dxa"/>
            <w:gridSpan w:val="12"/>
          </w:tcPr>
          <w:p w14:paraId="4CD2BDF1"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1C934B3D" w14:textId="77777777" w:rsidTr="003C7E27">
        <w:trPr>
          <w:trHeight w:val="300"/>
        </w:trPr>
        <w:tc>
          <w:tcPr>
            <w:tcW w:w="642" w:type="dxa"/>
          </w:tcPr>
          <w:p w14:paraId="2994D941"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1.2</w:t>
            </w:r>
          </w:p>
        </w:tc>
        <w:tc>
          <w:tcPr>
            <w:tcW w:w="4549" w:type="dxa"/>
            <w:gridSpan w:val="8"/>
          </w:tcPr>
          <w:p w14:paraId="4E5F52E7"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Custodiante:</w:t>
            </w:r>
          </w:p>
        </w:tc>
        <w:tc>
          <w:tcPr>
            <w:tcW w:w="5005" w:type="dxa"/>
            <w:gridSpan w:val="12"/>
          </w:tcPr>
          <w:p w14:paraId="39FC3BEA"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0E2EAE8" w14:textId="77777777" w:rsidTr="003C7E27">
        <w:trPr>
          <w:trHeight w:val="300"/>
        </w:trPr>
        <w:tc>
          <w:tcPr>
            <w:tcW w:w="642" w:type="dxa"/>
          </w:tcPr>
          <w:p w14:paraId="59BA24B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1.3</w:t>
            </w:r>
          </w:p>
        </w:tc>
        <w:tc>
          <w:tcPr>
            <w:tcW w:w="4549" w:type="dxa"/>
            <w:gridSpan w:val="8"/>
          </w:tcPr>
          <w:p w14:paraId="551FA493"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Auditor Independente:</w:t>
            </w:r>
          </w:p>
        </w:tc>
        <w:tc>
          <w:tcPr>
            <w:tcW w:w="5005" w:type="dxa"/>
            <w:gridSpan w:val="12"/>
          </w:tcPr>
          <w:p w14:paraId="39F96D4D"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F335352" w14:textId="77777777" w:rsidTr="003C7E27">
        <w:trPr>
          <w:trHeight w:val="300"/>
        </w:trPr>
        <w:tc>
          <w:tcPr>
            <w:tcW w:w="642" w:type="dxa"/>
          </w:tcPr>
          <w:p w14:paraId="0C5A882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1.4</w:t>
            </w:r>
          </w:p>
        </w:tc>
        <w:tc>
          <w:tcPr>
            <w:tcW w:w="4549" w:type="dxa"/>
            <w:gridSpan w:val="8"/>
          </w:tcPr>
          <w:p w14:paraId="0825C05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Formador de Mercado:</w:t>
            </w:r>
          </w:p>
        </w:tc>
        <w:tc>
          <w:tcPr>
            <w:tcW w:w="5005" w:type="dxa"/>
            <w:gridSpan w:val="12"/>
          </w:tcPr>
          <w:p w14:paraId="2B4FCB34"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7B0B98F" w14:textId="77777777" w:rsidTr="003C7E27">
        <w:trPr>
          <w:trHeight w:val="300"/>
        </w:trPr>
        <w:tc>
          <w:tcPr>
            <w:tcW w:w="642" w:type="dxa"/>
          </w:tcPr>
          <w:p w14:paraId="5F104AE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1.5</w:t>
            </w:r>
          </w:p>
        </w:tc>
        <w:tc>
          <w:tcPr>
            <w:tcW w:w="4549" w:type="dxa"/>
            <w:gridSpan w:val="8"/>
          </w:tcPr>
          <w:p w14:paraId="0F1753A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Distribuidor de cotas:</w:t>
            </w:r>
          </w:p>
        </w:tc>
        <w:tc>
          <w:tcPr>
            <w:tcW w:w="5005" w:type="dxa"/>
            <w:gridSpan w:val="12"/>
          </w:tcPr>
          <w:p w14:paraId="0CF0A9DA"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30CAF4D" w14:textId="77777777" w:rsidTr="003C7E27">
        <w:trPr>
          <w:trHeight w:val="300"/>
        </w:trPr>
        <w:tc>
          <w:tcPr>
            <w:tcW w:w="642" w:type="dxa"/>
          </w:tcPr>
          <w:p w14:paraId="21CB609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1.6</w:t>
            </w:r>
          </w:p>
        </w:tc>
        <w:tc>
          <w:tcPr>
            <w:tcW w:w="4549" w:type="dxa"/>
            <w:gridSpan w:val="8"/>
          </w:tcPr>
          <w:p w14:paraId="124653A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Consultor Especializado:</w:t>
            </w:r>
          </w:p>
        </w:tc>
        <w:tc>
          <w:tcPr>
            <w:tcW w:w="5005" w:type="dxa"/>
            <w:gridSpan w:val="12"/>
          </w:tcPr>
          <w:p w14:paraId="2F052296"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59642EC7" w14:textId="77777777" w:rsidTr="003C7E27">
        <w:trPr>
          <w:trHeight w:val="300"/>
        </w:trPr>
        <w:tc>
          <w:tcPr>
            <w:tcW w:w="642" w:type="dxa"/>
          </w:tcPr>
          <w:p w14:paraId="48AE22D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1.7</w:t>
            </w:r>
          </w:p>
        </w:tc>
        <w:tc>
          <w:tcPr>
            <w:tcW w:w="4549" w:type="dxa"/>
            <w:gridSpan w:val="8"/>
          </w:tcPr>
          <w:p w14:paraId="5B7C8F4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Especializada para administrar as locações:</w:t>
            </w:r>
          </w:p>
        </w:tc>
        <w:tc>
          <w:tcPr>
            <w:tcW w:w="5005" w:type="dxa"/>
            <w:gridSpan w:val="12"/>
          </w:tcPr>
          <w:p w14:paraId="5490FDC4"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1A786B48" w14:textId="77777777" w:rsidTr="003C7E27">
        <w:trPr>
          <w:trHeight w:val="300"/>
        </w:trPr>
        <w:tc>
          <w:tcPr>
            <w:tcW w:w="642" w:type="dxa"/>
            <w:vMerge w:val="restart"/>
          </w:tcPr>
          <w:p w14:paraId="73637BAE"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1.8</w:t>
            </w:r>
          </w:p>
        </w:tc>
        <w:tc>
          <w:tcPr>
            <w:tcW w:w="4549" w:type="dxa"/>
            <w:gridSpan w:val="8"/>
          </w:tcPr>
          <w:p w14:paraId="4A8CB7E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Outros prestadores de serviços</w:t>
            </w:r>
            <w:r w:rsidRPr="00B9471E">
              <w:rPr>
                <w:rFonts w:ascii="Calibri" w:eastAsia="Yu Mincho" w:hAnsi="Calibri" w:cs="Calibri"/>
                <w:b/>
                <w:vertAlign w:val="superscript"/>
                <w:lang w:eastAsia="pt-BR"/>
              </w:rPr>
              <w:t>1</w:t>
            </w:r>
            <w:r w:rsidRPr="00B9471E">
              <w:rPr>
                <w:rFonts w:ascii="Calibri" w:eastAsia="Yu Mincho" w:hAnsi="Calibri" w:cs="Calibri"/>
                <w:b/>
                <w:lang w:eastAsia="pt-BR"/>
              </w:rPr>
              <w:t>:</w:t>
            </w:r>
          </w:p>
        </w:tc>
        <w:tc>
          <w:tcPr>
            <w:tcW w:w="5005" w:type="dxa"/>
            <w:gridSpan w:val="12"/>
          </w:tcPr>
          <w:p w14:paraId="1378C05D"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43A751F4" w14:textId="77777777" w:rsidTr="003C7E27">
        <w:tc>
          <w:tcPr>
            <w:tcW w:w="642" w:type="dxa"/>
            <w:vMerge/>
          </w:tcPr>
          <w:p w14:paraId="18B8652D"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Pr>
          <w:p w14:paraId="750E35C7" w14:textId="77777777" w:rsidR="00F461F9" w:rsidRPr="00B9471E" w:rsidRDefault="00F461F9" w:rsidP="003C7E27">
            <w:pPr>
              <w:spacing w:after="0" w:line="240" w:lineRule="auto"/>
              <w:ind w:right="-1" w:firstLineChars="100" w:firstLine="220"/>
              <w:rPr>
                <w:rFonts w:ascii="Calibri" w:eastAsia="Yu Mincho" w:hAnsi="Calibri" w:cs="Calibri"/>
                <w:i/>
                <w:lang w:eastAsia="pt-BR"/>
              </w:rPr>
            </w:pPr>
            <w:r w:rsidRPr="00B9471E">
              <w:rPr>
                <w:rFonts w:ascii="Calibri" w:eastAsia="Yu Mincho" w:hAnsi="Calibri" w:cs="Calibri"/>
                <w:i/>
                <w:lang w:eastAsia="pt-BR"/>
              </w:rPr>
              <w:t>Prestador de serviços 1:</w:t>
            </w:r>
          </w:p>
        </w:tc>
        <w:tc>
          <w:tcPr>
            <w:tcW w:w="5005" w:type="dxa"/>
            <w:gridSpan w:val="12"/>
          </w:tcPr>
          <w:p w14:paraId="3D32099B"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C419D4B" w14:textId="77777777" w:rsidTr="003C7E27">
        <w:tc>
          <w:tcPr>
            <w:tcW w:w="642" w:type="dxa"/>
            <w:vMerge/>
          </w:tcPr>
          <w:p w14:paraId="04FFE4E5"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Pr>
          <w:p w14:paraId="67FCE434" w14:textId="77777777" w:rsidR="00F461F9" w:rsidRPr="00B9471E" w:rsidRDefault="00F461F9" w:rsidP="003C7E27">
            <w:pPr>
              <w:spacing w:after="0" w:line="240" w:lineRule="auto"/>
              <w:ind w:right="-1" w:firstLineChars="100" w:firstLine="220"/>
              <w:rPr>
                <w:rFonts w:ascii="Calibri" w:eastAsia="Yu Mincho" w:hAnsi="Calibri" w:cs="Calibri"/>
                <w:i/>
                <w:lang w:eastAsia="pt-BR"/>
              </w:rPr>
            </w:pPr>
            <w:r w:rsidRPr="00B9471E">
              <w:rPr>
                <w:rFonts w:ascii="Calibri" w:eastAsia="Yu Mincho" w:hAnsi="Calibri" w:cs="Calibri"/>
                <w:i/>
                <w:lang w:eastAsia="pt-BR"/>
              </w:rPr>
              <w:t>Prestador de serviços 2:</w:t>
            </w:r>
          </w:p>
        </w:tc>
        <w:tc>
          <w:tcPr>
            <w:tcW w:w="5005" w:type="dxa"/>
            <w:gridSpan w:val="12"/>
          </w:tcPr>
          <w:p w14:paraId="6BCB95E0"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147752B3" w14:textId="77777777" w:rsidTr="003C7E27">
        <w:tc>
          <w:tcPr>
            <w:tcW w:w="642" w:type="dxa"/>
            <w:vMerge/>
          </w:tcPr>
          <w:p w14:paraId="7C3C4E3D"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Pr>
          <w:p w14:paraId="30926E13" w14:textId="77777777" w:rsidR="00F461F9" w:rsidRPr="00B9471E" w:rsidRDefault="00F461F9" w:rsidP="003C7E27">
            <w:pPr>
              <w:spacing w:after="0" w:line="240" w:lineRule="auto"/>
              <w:ind w:right="-1" w:firstLineChars="100" w:firstLine="220"/>
              <w:rPr>
                <w:rFonts w:ascii="Calibri" w:eastAsia="Yu Mincho" w:hAnsi="Calibri" w:cs="Calibri"/>
                <w:i/>
                <w:lang w:eastAsia="pt-BR"/>
              </w:rPr>
            </w:pPr>
            <w:r w:rsidRPr="00B9471E">
              <w:rPr>
                <w:rFonts w:ascii="Calibri" w:eastAsia="Yu Mincho" w:hAnsi="Calibri" w:cs="Calibri"/>
                <w:i/>
                <w:lang w:eastAsia="pt-BR"/>
              </w:rPr>
              <w:t>Prestador de serviços N:</w:t>
            </w:r>
          </w:p>
        </w:tc>
        <w:tc>
          <w:tcPr>
            <w:tcW w:w="5005" w:type="dxa"/>
            <w:gridSpan w:val="12"/>
          </w:tcPr>
          <w:p w14:paraId="7C95A8BD"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0B45799" w14:textId="77777777" w:rsidTr="003C7E27">
        <w:trPr>
          <w:trHeight w:hRule="exact" w:val="571"/>
        </w:trPr>
        <w:tc>
          <w:tcPr>
            <w:tcW w:w="642" w:type="dxa"/>
          </w:tcPr>
          <w:p w14:paraId="40AC5034"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2.</w:t>
            </w:r>
          </w:p>
        </w:tc>
        <w:tc>
          <w:tcPr>
            <w:tcW w:w="9554" w:type="dxa"/>
            <w:gridSpan w:val="20"/>
          </w:tcPr>
          <w:p w14:paraId="2D8DB70E"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Investimentos do FII</w:t>
            </w:r>
          </w:p>
        </w:tc>
      </w:tr>
      <w:tr w:rsidR="00F461F9" w:rsidRPr="00B9471E" w14:paraId="1F162CCF" w14:textId="77777777" w:rsidTr="003C7E27">
        <w:trPr>
          <w:trHeight w:val="300"/>
        </w:trPr>
        <w:tc>
          <w:tcPr>
            <w:tcW w:w="642" w:type="dxa"/>
            <w:vMerge w:val="restart"/>
          </w:tcPr>
          <w:p w14:paraId="1191555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2.1</w:t>
            </w:r>
          </w:p>
        </w:tc>
        <w:tc>
          <w:tcPr>
            <w:tcW w:w="9554" w:type="dxa"/>
            <w:gridSpan w:val="20"/>
          </w:tcPr>
          <w:p w14:paraId="0F82918B" w14:textId="77777777" w:rsidR="00F461F9" w:rsidRPr="00B9471E" w:rsidRDefault="00F461F9" w:rsidP="003C7E27">
            <w:pPr>
              <w:spacing w:after="0" w:line="240" w:lineRule="auto"/>
              <w:ind w:right="-1"/>
              <w:rPr>
                <w:rFonts w:ascii="Calibri" w:eastAsia="Yu Mincho" w:hAnsi="Calibri" w:cs="Calibri"/>
                <w:b/>
                <w:i/>
                <w:lang w:eastAsia="pt-BR"/>
              </w:rPr>
            </w:pPr>
            <w:r w:rsidRPr="00B9471E">
              <w:rPr>
                <w:rFonts w:ascii="Calibri" w:eastAsia="Yu Mincho" w:hAnsi="Calibri" w:cs="Calibri"/>
                <w:b/>
                <w:i/>
                <w:lang w:eastAsia="pt-BR"/>
              </w:rPr>
              <w:t>Descrição dos negócios realizados no período</w:t>
            </w:r>
          </w:p>
        </w:tc>
      </w:tr>
      <w:tr w:rsidR="00F461F9" w:rsidRPr="00B9471E" w14:paraId="28EEBC37" w14:textId="77777777" w:rsidTr="003C7E27">
        <w:tc>
          <w:tcPr>
            <w:tcW w:w="642" w:type="dxa"/>
            <w:vMerge/>
          </w:tcPr>
          <w:p w14:paraId="30C1B43A" w14:textId="77777777" w:rsidR="00F461F9" w:rsidRPr="00B9471E" w:rsidRDefault="00F461F9" w:rsidP="003C7E27">
            <w:pPr>
              <w:spacing w:after="0" w:line="240" w:lineRule="auto"/>
              <w:ind w:right="-1"/>
              <w:rPr>
                <w:rFonts w:ascii="Calibri" w:eastAsia="Times New Roman" w:hAnsi="Calibri" w:cs="Calibri"/>
                <w:lang w:eastAsia="pt-BR"/>
              </w:rPr>
            </w:pPr>
          </w:p>
        </w:tc>
        <w:tc>
          <w:tcPr>
            <w:tcW w:w="2056" w:type="dxa"/>
          </w:tcPr>
          <w:p w14:paraId="122BE34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Relação dos Ativos adquiridos no período</w:t>
            </w:r>
          </w:p>
        </w:tc>
        <w:tc>
          <w:tcPr>
            <w:tcW w:w="4268" w:type="dxa"/>
            <w:gridSpan w:val="15"/>
          </w:tcPr>
          <w:p w14:paraId="38BBA65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Objetivos</w:t>
            </w:r>
          </w:p>
        </w:tc>
        <w:tc>
          <w:tcPr>
            <w:tcW w:w="1821" w:type="dxa"/>
            <w:gridSpan w:val="3"/>
          </w:tcPr>
          <w:p w14:paraId="11EA09C4"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Montantes Investidos</w:t>
            </w:r>
          </w:p>
        </w:tc>
        <w:tc>
          <w:tcPr>
            <w:tcW w:w="1409" w:type="dxa"/>
          </w:tcPr>
          <w:p w14:paraId="5A855EB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Origem dos recursos</w:t>
            </w:r>
          </w:p>
          <w:p w14:paraId="498FB3BA" w14:textId="77777777" w:rsidR="00F461F9" w:rsidRPr="00B9471E" w:rsidRDefault="00F461F9" w:rsidP="003C7E27">
            <w:pPr>
              <w:spacing w:after="0" w:line="240" w:lineRule="auto"/>
              <w:ind w:right="-1"/>
              <w:rPr>
                <w:rFonts w:ascii="Calibri" w:eastAsia="Yu Mincho" w:hAnsi="Calibri" w:cs="Calibri"/>
                <w:b/>
                <w:lang w:eastAsia="pt-BR"/>
              </w:rPr>
            </w:pPr>
          </w:p>
        </w:tc>
      </w:tr>
      <w:tr w:rsidR="00F461F9" w:rsidRPr="00B9471E" w14:paraId="5D7EF9B8" w14:textId="77777777" w:rsidTr="003C7E27">
        <w:tc>
          <w:tcPr>
            <w:tcW w:w="642" w:type="dxa"/>
            <w:vMerge/>
          </w:tcPr>
          <w:p w14:paraId="69B7550E" w14:textId="77777777" w:rsidR="00F461F9" w:rsidRPr="00B9471E" w:rsidRDefault="00F461F9" w:rsidP="003C7E27">
            <w:pPr>
              <w:spacing w:after="0" w:line="240" w:lineRule="auto"/>
              <w:ind w:right="-1"/>
              <w:rPr>
                <w:rFonts w:ascii="Calibri" w:eastAsia="Times New Roman" w:hAnsi="Calibri" w:cs="Calibri"/>
                <w:lang w:eastAsia="pt-BR"/>
              </w:rPr>
            </w:pPr>
          </w:p>
        </w:tc>
        <w:tc>
          <w:tcPr>
            <w:tcW w:w="2056" w:type="dxa"/>
          </w:tcPr>
          <w:p w14:paraId="3946FA7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1</w:t>
            </w:r>
          </w:p>
        </w:tc>
        <w:tc>
          <w:tcPr>
            <w:tcW w:w="4268" w:type="dxa"/>
            <w:gridSpan w:val="15"/>
          </w:tcPr>
          <w:p w14:paraId="73027A4B" w14:textId="77777777" w:rsidR="00F461F9" w:rsidRPr="00B9471E" w:rsidRDefault="00F461F9" w:rsidP="003C7E27">
            <w:pPr>
              <w:spacing w:after="0" w:line="240" w:lineRule="auto"/>
              <w:ind w:right="-1"/>
              <w:rPr>
                <w:rFonts w:ascii="Calibri" w:eastAsia="Yu Mincho" w:hAnsi="Calibri" w:cs="Calibri"/>
                <w:lang w:eastAsia="pt-BR"/>
              </w:rPr>
            </w:pPr>
          </w:p>
        </w:tc>
        <w:tc>
          <w:tcPr>
            <w:tcW w:w="1821" w:type="dxa"/>
            <w:gridSpan w:val="3"/>
          </w:tcPr>
          <w:p w14:paraId="411A86C2" w14:textId="77777777" w:rsidR="00F461F9" w:rsidRPr="00B9471E" w:rsidRDefault="00F461F9" w:rsidP="003C7E27">
            <w:pPr>
              <w:spacing w:after="0" w:line="240" w:lineRule="auto"/>
              <w:ind w:right="-1"/>
              <w:rPr>
                <w:rFonts w:ascii="Calibri" w:eastAsia="Yu Mincho" w:hAnsi="Calibri" w:cs="Calibri"/>
                <w:lang w:eastAsia="pt-BR"/>
              </w:rPr>
            </w:pPr>
          </w:p>
        </w:tc>
        <w:tc>
          <w:tcPr>
            <w:tcW w:w="1409" w:type="dxa"/>
          </w:tcPr>
          <w:p w14:paraId="31B08F87"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55BA901F" w14:textId="77777777" w:rsidTr="003C7E27">
        <w:trPr>
          <w:trHeight w:val="55"/>
        </w:trPr>
        <w:tc>
          <w:tcPr>
            <w:tcW w:w="642" w:type="dxa"/>
            <w:vMerge/>
          </w:tcPr>
          <w:p w14:paraId="6B3EF337" w14:textId="77777777" w:rsidR="00F461F9" w:rsidRPr="00B9471E" w:rsidRDefault="00F461F9" w:rsidP="003C7E27">
            <w:pPr>
              <w:spacing w:after="0" w:line="240" w:lineRule="auto"/>
              <w:ind w:right="-1"/>
              <w:rPr>
                <w:rFonts w:ascii="Calibri" w:eastAsia="Times New Roman" w:hAnsi="Calibri" w:cs="Calibri"/>
                <w:lang w:eastAsia="pt-BR"/>
              </w:rPr>
            </w:pPr>
          </w:p>
        </w:tc>
        <w:tc>
          <w:tcPr>
            <w:tcW w:w="2056" w:type="dxa"/>
          </w:tcPr>
          <w:p w14:paraId="690569F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2</w:t>
            </w:r>
          </w:p>
        </w:tc>
        <w:tc>
          <w:tcPr>
            <w:tcW w:w="4268" w:type="dxa"/>
            <w:gridSpan w:val="15"/>
          </w:tcPr>
          <w:p w14:paraId="0FBFBCB2" w14:textId="77777777" w:rsidR="00F461F9" w:rsidRPr="00B9471E" w:rsidRDefault="00F461F9" w:rsidP="003C7E27">
            <w:pPr>
              <w:spacing w:after="0" w:line="240" w:lineRule="auto"/>
              <w:ind w:right="-1"/>
              <w:rPr>
                <w:rFonts w:ascii="Calibri" w:eastAsia="Yu Mincho" w:hAnsi="Calibri" w:cs="Calibri"/>
                <w:lang w:eastAsia="pt-BR"/>
              </w:rPr>
            </w:pPr>
          </w:p>
        </w:tc>
        <w:tc>
          <w:tcPr>
            <w:tcW w:w="1821" w:type="dxa"/>
            <w:gridSpan w:val="3"/>
          </w:tcPr>
          <w:p w14:paraId="49B6AB77" w14:textId="77777777" w:rsidR="00F461F9" w:rsidRPr="00B9471E" w:rsidRDefault="00F461F9" w:rsidP="003C7E27">
            <w:pPr>
              <w:spacing w:after="0" w:line="240" w:lineRule="auto"/>
              <w:ind w:right="-1"/>
              <w:rPr>
                <w:rFonts w:ascii="Calibri" w:eastAsia="Yu Mincho" w:hAnsi="Calibri" w:cs="Calibri"/>
                <w:lang w:eastAsia="pt-BR"/>
              </w:rPr>
            </w:pPr>
          </w:p>
        </w:tc>
        <w:tc>
          <w:tcPr>
            <w:tcW w:w="1409" w:type="dxa"/>
          </w:tcPr>
          <w:p w14:paraId="7FDCD3E9"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4B03F34A" w14:textId="77777777" w:rsidTr="003C7E27">
        <w:trPr>
          <w:trHeight w:val="54"/>
        </w:trPr>
        <w:tc>
          <w:tcPr>
            <w:tcW w:w="642" w:type="dxa"/>
            <w:vMerge/>
          </w:tcPr>
          <w:p w14:paraId="7137E67A"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56" w:type="dxa"/>
          </w:tcPr>
          <w:p w14:paraId="0891C1C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N</w:t>
            </w:r>
          </w:p>
        </w:tc>
        <w:tc>
          <w:tcPr>
            <w:tcW w:w="4268" w:type="dxa"/>
            <w:gridSpan w:val="15"/>
          </w:tcPr>
          <w:p w14:paraId="5AC36853" w14:textId="77777777" w:rsidR="00F461F9" w:rsidRPr="00B9471E" w:rsidRDefault="00F461F9" w:rsidP="003C7E27">
            <w:pPr>
              <w:spacing w:after="0" w:line="240" w:lineRule="auto"/>
              <w:ind w:right="-1"/>
              <w:rPr>
                <w:rFonts w:ascii="Calibri" w:eastAsia="Yu Mincho" w:hAnsi="Calibri" w:cs="Calibri"/>
                <w:lang w:eastAsia="pt-BR"/>
              </w:rPr>
            </w:pPr>
          </w:p>
        </w:tc>
        <w:tc>
          <w:tcPr>
            <w:tcW w:w="1821" w:type="dxa"/>
            <w:gridSpan w:val="3"/>
          </w:tcPr>
          <w:p w14:paraId="1586161E" w14:textId="77777777" w:rsidR="00F461F9" w:rsidRPr="00B9471E" w:rsidRDefault="00F461F9" w:rsidP="003C7E27">
            <w:pPr>
              <w:spacing w:after="0" w:line="240" w:lineRule="auto"/>
              <w:ind w:right="-1"/>
              <w:rPr>
                <w:rFonts w:ascii="Calibri" w:eastAsia="Yu Mincho" w:hAnsi="Calibri" w:cs="Calibri"/>
                <w:lang w:eastAsia="pt-BR"/>
              </w:rPr>
            </w:pPr>
          </w:p>
        </w:tc>
        <w:tc>
          <w:tcPr>
            <w:tcW w:w="1409" w:type="dxa"/>
          </w:tcPr>
          <w:p w14:paraId="540B27D5"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64D8529" w14:textId="77777777" w:rsidTr="003C7E27">
        <w:trPr>
          <w:trHeight w:val="737"/>
        </w:trPr>
        <w:tc>
          <w:tcPr>
            <w:tcW w:w="642" w:type="dxa"/>
          </w:tcPr>
          <w:p w14:paraId="719940B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lastRenderedPageBreak/>
              <w:t>3.</w:t>
            </w:r>
          </w:p>
        </w:tc>
        <w:tc>
          <w:tcPr>
            <w:tcW w:w="9554" w:type="dxa"/>
            <w:gridSpan w:val="20"/>
          </w:tcPr>
          <w:p w14:paraId="1F54765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Programa de investimentos para os exercícios seguintes, incluindo, se necessário, as informações descritas no item 1.1 com relação aos investimentos ainda não realizados:</w:t>
            </w:r>
          </w:p>
        </w:tc>
      </w:tr>
      <w:tr w:rsidR="00F461F9" w:rsidRPr="00B9471E" w14:paraId="5C666474" w14:textId="77777777" w:rsidTr="003C7E27">
        <w:trPr>
          <w:trHeight w:hRule="exact" w:val="481"/>
        </w:trPr>
        <w:tc>
          <w:tcPr>
            <w:tcW w:w="642" w:type="dxa"/>
          </w:tcPr>
          <w:p w14:paraId="66FA324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4</w:t>
            </w:r>
          </w:p>
        </w:tc>
        <w:tc>
          <w:tcPr>
            <w:tcW w:w="9554" w:type="dxa"/>
            <w:gridSpan w:val="20"/>
          </w:tcPr>
          <w:p w14:paraId="276803C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Análise do administrador sobre:</w:t>
            </w:r>
          </w:p>
        </w:tc>
      </w:tr>
      <w:tr w:rsidR="00F461F9" w:rsidRPr="00B9471E" w14:paraId="4E711FD2" w14:textId="77777777" w:rsidTr="003C7E27">
        <w:trPr>
          <w:trHeight w:hRule="exact" w:val="417"/>
        </w:trPr>
        <w:tc>
          <w:tcPr>
            <w:tcW w:w="642" w:type="dxa"/>
          </w:tcPr>
          <w:p w14:paraId="5F288A9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4.1</w:t>
            </w:r>
          </w:p>
        </w:tc>
        <w:tc>
          <w:tcPr>
            <w:tcW w:w="9554" w:type="dxa"/>
            <w:gridSpan w:val="20"/>
          </w:tcPr>
          <w:p w14:paraId="31596B2B" w14:textId="77777777" w:rsidR="00F461F9" w:rsidRPr="00B9471E" w:rsidRDefault="00F461F9" w:rsidP="003C7E27">
            <w:pPr>
              <w:spacing w:after="0" w:line="240" w:lineRule="auto"/>
              <w:ind w:right="-1"/>
              <w:rPr>
                <w:rFonts w:ascii="Calibri" w:eastAsia="Yu Mincho" w:hAnsi="Calibri" w:cs="Calibri"/>
                <w:i/>
                <w:lang w:eastAsia="pt-BR"/>
              </w:rPr>
            </w:pPr>
            <w:r w:rsidRPr="00B9471E">
              <w:rPr>
                <w:rFonts w:ascii="Calibri" w:eastAsia="Yu Mincho" w:hAnsi="Calibri" w:cs="Calibri"/>
                <w:i/>
                <w:lang w:eastAsia="pt-BR"/>
              </w:rPr>
              <w:t>Resultado da classe no exercício findo</w:t>
            </w:r>
          </w:p>
        </w:tc>
      </w:tr>
      <w:tr w:rsidR="00F461F9" w:rsidRPr="00B9471E" w14:paraId="7A7CC31C" w14:textId="77777777" w:rsidTr="003C7E27">
        <w:trPr>
          <w:trHeight w:val="606"/>
        </w:trPr>
        <w:tc>
          <w:tcPr>
            <w:tcW w:w="642" w:type="dxa"/>
          </w:tcPr>
          <w:p w14:paraId="64DE94E7"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4.2</w:t>
            </w:r>
          </w:p>
        </w:tc>
        <w:tc>
          <w:tcPr>
            <w:tcW w:w="9554" w:type="dxa"/>
            <w:gridSpan w:val="20"/>
          </w:tcPr>
          <w:p w14:paraId="4A03450C" w14:textId="77777777" w:rsidR="00F461F9" w:rsidRPr="00B9471E" w:rsidRDefault="00F461F9" w:rsidP="003C7E27">
            <w:pPr>
              <w:spacing w:after="0" w:line="240" w:lineRule="auto"/>
              <w:ind w:right="-1" w:firstLineChars="100" w:firstLine="220"/>
              <w:rPr>
                <w:rFonts w:ascii="Calibri" w:eastAsia="Yu Mincho" w:hAnsi="Calibri" w:cs="Calibri"/>
                <w:i/>
                <w:lang w:eastAsia="pt-BR"/>
              </w:rPr>
            </w:pPr>
            <w:r w:rsidRPr="00B9471E">
              <w:rPr>
                <w:rFonts w:ascii="Calibri" w:eastAsia="Yu Mincho" w:hAnsi="Calibri" w:cs="Calibri"/>
                <w:i/>
                <w:lang w:eastAsia="pt-BR"/>
              </w:rPr>
              <w:t>Conjuntura econômica do segmento do mercado imobiliário de atuação relativo ao período findo</w:t>
            </w:r>
          </w:p>
        </w:tc>
      </w:tr>
      <w:tr w:rsidR="00F461F9" w:rsidRPr="00B9471E" w14:paraId="192E57B6" w14:textId="77777777" w:rsidTr="003C7E27">
        <w:trPr>
          <w:trHeight w:val="589"/>
        </w:trPr>
        <w:tc>
          <w:tcPr>
            <w:tcW w:w="642" w:type="dxa"/>
          </w:tcPr>
          <w:p w14:paraId="1F55FCA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4.3</w:t>
            </w:r>
          </w:p>
        </w:tc>
        <w:tc>
          <w:tcPr>
            <w:tcW w:w="9554" w:type="dxa"/>
            <w:gridSpan w:val="20"/>
          </w:tcPr>
          <w:p w14:paraId="40C9CF9C" w14:textId="77777777" w:rsidR="00F461F9" w:rsidRPr="00B9471E" w:rsidRDefault="00F461F9" w:rsidP="003C7E27">
            <w:pPr>
              <w:spacing w:after="0" w:line="240" w:lineRule="auto"/>
              <w:ind w:right="-1" w:firstLineChars="100" w:firstLine="220"/>
              <w:rPr>
                <w:rFonts w:ascii="Calibri" w:eastAsia="Yu Mincho" w:hAnsi="Calibri" w:cs="Calibri"/>
                <w:i/>
                <w:lang w:eastAsia="pt-BR"/>
              </w:rPr>
            </w:pPr>
            <w:r w:rsidRPr="00B9471E">
              <w:rPr>
                <w:rFonts w:ascii="Calibri" w:eastAsia="Yu Mincho" w:hAnsi="Calibri" w:cs="Calibri"/>
                <w:i/>
                <w:lang w:eastAsia="pt-BR"/>
              </w:rPr>
              <w:t>Perspectiva para o período seguinte com base na composição da carteira</w:t>
            </w:r>
          </w:p>
        </w:tc>
      </w:tr>
      <w:tr w:rsidR="00F461F9" w:rsidRPr="00B9471E" w14:paraId="40DD8C27" w14:textId="77777777" w:rsidTr="003C7E27">
        <w:trPr>
          <w:trHeight w:val="589"/>
        </w:trPr>
        <w:tc>
          <w:tcPr>
            <w:tcW w:w="642" w:type="dxa"/>
          </w:tcPr>
          <w:p w14:paraId="21E791E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5.</w:t>
            </w:r>
          </w:p>
        </w:tc>
        <w:tc>
          <w:tcPr>
            <w:tcW w:w="9554" w:type="dxa"/>
            <w:gridSpan w:val="20"/>
          </w:tcPr>
          <w:p w14:paraId="4BD4E18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Riscos incorridos pelos cotistas inerentes aos investimentos do FII:</w:t>
            </w:r>
          </w:p>
        </w:tc>
      </w:tr>
      <w:tr w:rsidR="00F461F9" w:rsidRPr="00B9471E" w14:paraId="2E95F4A5" w14:textId="77777777" w:rsidTr="003C7E27">
        <w:trPr>
          <w:trHeight w:val="300"/>
        </w:trPr>
        <w:tc>
          <w:tcPr>
            <w:tcW w:w="642" w:type="dxa"/>
            <w:vMerge w:val="restart"/>
          </w:tcPr>
          <w:p w14:paraId="0E569B4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6.</w:t>
            </w:r>
          </w:p>
        </w:tc>
        <w:tc>
          <w:tcPr>
            <w:tcW w:w="2033" w:type="dxa"/>
          </w:tcPr>
          <w:p w14:paraId="2B8F7D8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Valor Contábil dos ativos imobiliários do FII</w:t>
            </w:r>
          </w:p>
        </w:tc>
        <w:tc>
          <w:tcPr>
            <w:tcW w:w="3574" w:type="dxa"/>
            <w:gridSpan w:val="11"/>
          </w:tcPr>
          <w:p w14:paraId="3ACEBD18"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Valor Justo, nos termos da ICVM 516 (SIM ou NÃO)</w:t>
            </w:r>
          </w:p>
        </w:tc>
        <w:tc>
          <w:tcPr>
            <w:tcW w:w="3947" w:type="dxa"/>
            <w:gridSpan w:val="8"/>
          </w:tcPr>
          <w:p w14:paraId="28390588"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 xml:space="preserve">Percentual de </w:t>
            </w:r>
            <w:r w:rsidRPr="00B9471E">
              <w:rPr>
                <w:rFonts w:ascii="Calibri" w:eastAsia="Times New Roman" w:hAnsi="Calibri" w:cs="Calibri"/>
                <w:b/>
                <w:lang w:eastAsia="pt-BR"/>
              </w:rPr>
              <w:t>Valorização/Desvalorização apurado no período</w:t>
            </w:r>
          </w:p>
        </w:tc>
      </w:tr>
      <w:tr w:rsidR="00F461F9" w:rsidRPr="00B9471E" w14:paraId="6B413BCC" w14:textId="77777777" w:rsidTr="003C7E27">
        <w:trPr>
          <w:trHeight w:val="55"/>
        </w:trPr>
        <w:tc>
          <w:tcPr>
            <w:tcW w:w="642" w:type="dxa"/>
            <w:vMerge/>
          </w:tcPr>
          <w:p w14:paraId="49D7274C" w14:textId="77777777" w:rsidR="00F461F9" w:rsidRPr="00B9471E" w:rsidRDefault="00F461F9" w:rsidP="003C7E27">
            <w:pPr>
              <w:spacing w:after="0" w:line="240" w:lineRule="auto"/>
              <w:ind w:right="-1"/>
              <w:rPr>
                <w:rFonts w:ascii="Calibri" w:eastAsia="Times New Roman" w:hAnsi="Calibri" w:cs="Calibri"/>
                <w:lang w:eastAsia="pt-BR"/>
              </w:rPr>
            </w:pPr>
          </w:p>
        </w:tc>
        <w:tc>
          <w:tcPr>
            <w:tcW w:w="2033" w:type="dxa"/>
          </w:tcPr>
          <w:p w14:paraId="5E0B61C7"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1</w:t>
            </w:r>
          </w:p>
        </w:tc>
        <w:tc>
          <w:tcPr>
            <w:tcW w:w="3574" w:type="dxa"/>
            <w:gridSpan w:val="11"/>
          </w:tcPr>
          <w:p w14:paraId="75B300F5" w14:textId="77777777" w:rsidR="00F461F9" w:rsidRPr="00B9471E" w:rsidRDefault="00F461F9" w:rsidP="003C7E27">
            <w:pPr>
              <w:spacing w:after="0" w:line="240" w:lineRule="auto"/>
              <w:ind w:right="-1"/>
              <w:rPr>
                <w:rFonts w:ascii="Calibri" w:eastAsia="Yu Mincho" w:hAnsi="Calibri" w:cs="Calibri"/>
                <w:lang w:eastAsia="pt-BR"/>
              </w:rPr>
            </w:pPr>
          </w:p>
        </w:tc>
        <w:tc>
          <w:tcPr>
            <w:tcW w:w="3947" w:type="dxa"/>
            <w:gridSpan w:val="8"/>
          </w:tcPr>
          <w:p w14:paraId="6F38A5E5"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1F4C051" w14:textId="77777777" w:rsidTr="003C7E27">
        <w:trPr>
          <w:trHeight w:val="54"/>
        </w:trPr>
        <w:tc>
          <w:tcPr>
            <w:tcW w:w="642" w:type="dxa"/>
            <w:vMerge/>
          </w:tcPr>
          <w:p w14:paraId="409FF9D2" w14:textId="77777777" w:rsidR="00F461F9" w:rsidRPr="00B9471E" w:rsidRDefault="00F461F9" w:rsidP="003C7E27">
            <w:pPr>
              <w:spacing w:after="0" w:line="240" w:lineRule="auto"/>
              <w:ind w:right="-1"/>
              <w:rPr>
                <w:rFonts w:ascii="Calibri" w:eastAsia="Times New Roman" w:hAnsi="Calibri" w:cs="Calibri"/>
                <w:lang w:eastAsia="pt-BR"/>
              </w:rPr>
            </w:pPr>
          </w:p>
        </w:tc>
        <w:tc>
          <w:tcPr>
            <w:tcW w:w="2033" w:type="dxa"/>
          </w:tcPr>
          <w:p w14:paraId="543FB8B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2</w:t>
            </w:r>
          </w:p>
        </w:tc>
        <w:tc>
          <w:tcPr>
            <w:tcW w:w="3574" w:type="dxa"/>
            <w:gridSpan w:val="11"/>
          </w:tcPr>
          <w:p w14:paraId="2B9F277E" w14:textId="77777777" w:rsidR="00F461F9" w:rsidRPr="00B9471E" w:rsidRDefault="00F461F9" w:rsidP="003C7E27">
            <w:pPr>
              <w:spacing w:after="0" w:line="240" w:lineRule="auto"/>
              <w:ind w:right="-1"/>
              <w:rPr>
                <w:rFonts w:ascii="Calibri" w:eastAsia="Yu Mincho" w:hAnsi="Calibri" w:cs="Calibri"/>
                <w:lang w:eastAsia="pt-BR"/>
              </w:rPr>
            </w:pPr>
          </w:p>
        </w:tc>
        <w:tc>
          <w:tcPr>
            <w:tcW w:w="3947" w:type="dxa"/>
            <w:gridSpan w:val="8"/>
          </w:tcPr>
          <w:p w14:paraId="13BAD7C8"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6C687B6D" w14:textId="77777777" w:rsidTr="003C7E27">
        <w:trPr>
          <w:trHeight w:val="54"/>
        </w:trPr>
        <w:tc>
          <w:tcPr>
            <w:tcW w:w="642" w:type="dxa"/>
            <w:vMerge/>
          </w:tcPr>
          <w:p w14:paraId="2582A0CB" w14:textId="77777777" w:rsidR="00F461F9" w:rsidRPr="00B9471E" w:rsidRDefault="00F461F9" w:rsidP="003C7E27">
            <w:pPr>
              <w:spacing w:after="0" w:line="240" w:lineRule="auto"/>
              <w:ind w:right="-1"/>
              <w:rPr>
                <w:rFonts w:ascii="Calibri" w:eastAsia="Times New Roman" w:hAnsi="Calibri" w:cs="Calibri"/>
                <w:lang w:eastAsia="pt-BR"/>
              </w:rPr>
            </w:pPr>
          </w:p>
        </w:tc>
        <w:tc>
          <w:tcPr>
            <w:tcW w:w="2033" w:type="dxa"/>
          </w:tcPr>
          <w:p w14:paraId="1F5F5C8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N</w:t>
            </w:r>
          </w:p>
        </w:tc>
        <w:tc>
          <w:tcPr>
            <w:tcW w:w="3574" w:type="dxa"/>
            <w:gridSpan w:val="11"/>
          </w:tcPr>
          <w:p w14:paraId="286D43D1" w14:textId="77777777" w:rsidR="00F461F9" w:rsidRPr="00B9471E" w:rsidRDefault="00F461F9" w:rsidP="003C7E27">
            <w:pPr>
              <w:spacing w:after="0" w:line="240" w:lineRule="auto"/>
              <w:ind w:right="-1"/>
              <w:rPr>
                <w:rFonts w:ascii="Calibri" w:eastAsia="Yu Mincho" w:hAnsi="Calibri" w:cs="Calibri"/>
                <w:lang w:eastAsia="pt-BR"/>
              </w:rPr>
            </w:pPr>
          </w:p>
        </w:tc>
        <w:tc>
          <w:tcPr>
            <w:tcW w:w="3947" w:type="dxa"/>
            <w:gridSpan w:val="8"/>
          </w:tcPr>
          <w:p w14:paraId="02CF792E"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6E1B5DB" w14:textId="77777777" w:rsidTr="003C7E27">
        <w:trPr>
          <w:trHeight w:val="606"/>
        </w:trPr>
        <w:tc>
          <w:tcPr>
            <w:tcW w:w="642" w:type="dxa"/>
          </w:tcPr>
          <w:p w14:paraId="7F53FAC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6.1</w:t>
            </w:r>
          </w:p>
        </w:tc>
        <w:tc>
          <w:tcPr>
            <w:tcW w:w="9554" w:type="dxa"/>
            <w:gridSpan w:val="20"/>
          </w:tcPr>
          <w:p w14:paraId="53C7E67A"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Critérios utilizados na referida avaliação</w:t>
            </w:r>
          </w:p>
        </w:tc>
      </w:tr>
      <w:tr w:rsidR="00F461F9" w:rsidRPr="00B9471E" w14:paraId="52A883CF" w14:textId="77777777" w:rsidTr="003C7E27">
        <w:trPr>
          <w:trHeight w:hRule="exact" w:val="447"/>
        </w:trPr>
        <w:tc>
          <w:tcPr>
            <w:tcW w:w="642" w:type="dxa"/>
            <w:vMerge w:val="restart"/>
          </w:tcPr>
          <w:p w14:paraId="0C0A5CBE"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7.</w:t>
            </w:r>
          </w:p>
        </w:tc>
        <w:tc>
          <w:tcPr>
            <w:tcW w:w="9554" w:type="dxa"/>
            <w:gridSpan w:val="20"/>
          </w:tcPr>
          <w:p w14:paraId="049491C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Relação de processos judiciais, não sigilosos e relevantes</w:t>
            </w:r>
          </w:p>
        </w:tc>
      </w:tr>
      <w:tr w:rsidR="00F461F9" w:rsidRPr="00B9471E" w14:paraId="227497FE" w14:textId="77777777" w:rsidTr="003C7E27">
        <w:tc>
          <w:tcPr>
            <w:tcW w:w="642" w:type="dxa"/>
            <w:vMerge/>
          </w:tcPr>
          <w:p w14:paraId="25D58F37"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0CE403DB" w14:textId="77777777" w:rsidR="00F461F9" w:rsidRPr="00B9471E" w:rsidRDefault="00F461F9" w:rsidP="003C7E27">
            <w:pPr>
              <w:spacing w:after="0" w:line="240" w:lineRule="auto"/>
              <w:ind w:right="-1"/>
              <w:rPr>
                <w:rFonts w:ascii="Calibri" w:eastAsia="Yu Mincho" w:hAnsi="Calibri" w:cs="Arial"/>
                <w:lang w:eastAsia="pt-BR"/>
              </w:rPr>
            </w:pPr>
            <w:r w:rsidRPr="00B9471E">
              <w:rPr>
                <w:rFonts w:ascii="Calibri" w:eastAsia="Yu Mincho" w:hAnsi="Calibri" w:cs="Arial"/>
                <w:lang w:eastAsia="pt-BR"/>
              </w:rPr>
              <w:t xml:space="preserve">Processo 1, 2, </w:t>
            </w:r>
            <w:bookmarkStart w:id="1513" w:name="_Int_yjgEtLSj"/>
            <w:r w:rsidRPr="00B9471E">
              <w:rPr>
                <w:rFonts w:ascii="Calibri" w:eastAsia="Yu Mincho" w:hAnsi="Calibri" w:cs="Arial"/>
                <w:lang w:eastAsia="pt-BR"/>
              </w:rPr>
              <w:t>3,...</w:t>
            </w:r>
            <w:bookmarkEnd w:id="1513"/>
            <w:r w:rsidRPr="00B9471E">
              <w:rPr>
                <w:rFonts w:ascii="Calibri" w:eastAsia="Yu Mincho" w:hAnsi="Calibri" w:cs="Arial"/>
                <w:lang w:eastAsia="pt-BR"/>
              </w:rPr>
              <w:t>, N.</w:t>
            </w:r>
          </w:p>
        </w:tc>
      </w:tr>
      <w:tr w:rsidR="00F461F9" w:rsidRPr="00B9471E" w14:paraId="2D06F273" w14:textId="77777777" w:rsidTr="003C7E27">
        <w:tc>
          <w:tcPr>
            <w:tcW w:w="642" w:type="dxa"/>
            <w:vMerge/>
          </w:tcPr>
          <w:p w14:paraId="6DF79DEC" w14:textId="77777777" w:rsidR="00F461F9" w:rsidRPr="00B9471E" w:rsidRDefault="00F461F9" w:rsidP="003C7E27">
            <w:pPr>
              <w:spacing w:after="0" w:line="240" w:lineRule="auto"/>
              <w:ind w:right="-1"/>
              <w:rPr>
                <w:rFonts w:ascii="Calibri" w:eastAsia="Times New Roman" w:hAnsi="Calibri" w:cs="Calibri"/>
                <w:lang w:eastAsia="pt-BR"/>
              </w:rPr>
            </w:pPr>
          </w:p>
        </w:tc>
        <w:tc>
          <w:tcPr>
            <w:tcW w:w="2033" w:type="dxa"/>
          </w:tcPr>
          <w:p w14:paraId="4F725ED8"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Nº do Processo</w:t>
            </w:r>
          </w:p>
        </w:tc>
        <w:tc>
          <w:tcPr>
            <w:tcW w:w="895" w:type="dxa"/>
          </w:tcPr>
          <w:p w14:paraId="71AD64E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xml:space="preserve">Juízo </w:t>
            </w:r>
          </w:p>
        </w:tc>
        <w:tc>
          <w:tcPr>
            <w:tcW w:w="2246" w:type="dxa"/>
            <w:gridSpan w:val="9"/>
          </w:tcPr>
          <w:p w14:paraId="2404C2F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Instância</w:t>
            </w:r>
          </w:p>
        </w:tc>
        <w:tc>
          <w:tcPr>
            <w:tcW w:w="1919" w:type="dxa"/>
            <w:gridSpan w:val="6"/>
          </w:tcPr>
          <w:p w14:paraId="65B9526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Data da Instauração</w:t>
            </w:r>
          </w:p>
        </w:tc>
        <w:tc>
          <w:tcPr>
            <w:tcW w:w="2461" w:type="dxa"/>
            <w:gridSpan w:val="3"/>
          </w:tcPr>
          <w:p w14:paraId="119C1CB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Valor da causa (R$)</w:t>
            </w:r>
          </w:p>
        </w:tc>
      </w:tr>
      <w:tr w:rsidR="00F461F9" w:rsidRPr="00B9471E" w14:paraId="40611636" w14:textId="77777777" w:rsidTr="003C7E27">
        <w:tc>
          <w:tcPr>
            <w:tcW w:w="642" w:type="dxa"/>
            <w:vMerge/>
          </w:tcPr>
          <w:p w14:paraId="7E8FE84F" w14:textId="77777777" w:rsidR="00F461F9" w:rsidRPr="00B9471E" w:rsidRDefault="00F461F9" w:rsidP="003C7E27">
            <w:pPr>
              <w:spacing w:after="0" w:line="240" w:lineRule="auto"/>
              <w:ind w:right="-1"/>
              <w:rPr>
                <w:rFonts w:ascii="Calibri" w:eastAsia="Times New Roman" w:hAnsi="Calibri" w:cs="Calibri"/>
                <w:lang w:eastAsia="pt-BR"/>
              </w:rPr>
            </w:pPr>
          </w:p>
        </w:tc>
        <w:tc>
          <w:tcPr>
            <w:tcW w:w="2033" w:type="dxa"/>
          </w:tcPr>
          <w:p w14:paraId="71D02A4A" w14:textId="77777777" w:rsidR="00F461F9" w:rsidRPr="00B9471E" w:rsidRDefault="00F461F9" w:rsidP="003C7E27">
            <w:pPr>
              <w:spacing w:after="0" w:line="240" w:lineRule="auto"/>
              <w:ind w:right="-1"/>
              <w:rPr>
                <w:rFonts w:ascii="Calibri" w:eastAsia="Yu Mincho" w:hAnsi="Calibri" w:cs="Calibri"/>
                <w:lang w:eastAsia="pt-BR"/>
              </w:rPr>
            </w:pPr>
          </w:p>
        </w:tc>
        <w:tc>
          <w:tcPr>
            <w:tcW w:w="895" w:type="dxa"/>
          </w:tcPr>
          <w:p w14:paraId="59F34202" w14:textId="77777777" w:rsidR="00F461F9" w:rsidRPr="00B9471E" w:rsidRDefault="00F461F9" w:rsidP="003C7E27">
            <w:pPr>
              <w:spacing w:after="0" w:line="240" w:lineRule="auto"/>
              <w:ind w:right="-1"/>
              <w:rPr>
                <w:rFonts w:ascii="Calibri" w:eastAsia="Yu Mincho" w:hAnsi="Calibri" w:cs="Calibri"/>
                <w:lang w:eastAsia="pt-BR"/>
              </w:rPr>
            </w:pPr>
          </w:p>
        </w:tc>
        <w:tc>
          <w:tcPr>
            <w:tcW w:w="2246" w:type="dxa"/>
            <w:gridSpan w:val="9"/>
          </w:tcPr>
          <w:p w14:paraId="64381A92" w14:textId="77777777" w:rsidR="00F461F9" w:rsidRPr="00B9471E" w:rsidRDefault="00F461F9" w:rsidP="003C7E27">
            <w:pPr>
              <w:spacing w:after="0" w:line="240" w:lineRule="auto"/>
              <w:ind w:right="-1"/>
              <w:rPr>
                <w:rFonts w:ascii="Calibri" w:eastAsia="Yu Mincho" w:hAnsi="Calibri" w:cs="Calibri"/>
                <w:lang w:eastAsia="pt-BR"/>
              </w:rPr>
            </w:pPr>
          </w:p>
        </w:tc>
        <w:tc>
          <w:tcPr>
            <w:tcW w:w="1919" w:type="dxa"/>
            <w:gridSpan w:val="6"/>
          </w:tcPr>
          <w:p w14:paraId="576036B1" w14:textId="77777777" w:rsidR="00F461F9" w:rsidRPr="00B9471E" w:rsidRDefault="00F461F9" w:rsidP="003C7E27">
            <w:pPr>
              <w:spacing w:after="0" w:line="240" w:lineRule="auto"/>
              <w:ind w:right="-1"/>
              <w:rPr>
                <w:rFonts w:ascii="Calibri" w:eastAsia="Yu Mincho" w:hAnsi="Calibri" w:cs="Calibri"/>
                <w:lang w:eastAsia="pt-BR"/>
              </w:rPr>
            </w:pPr>
          </w:p>
        </w:tc>
        <w:tc>
          <w:tcPr>
            <w:tcW w:w="2461" w:type="dxa"/>
            <w:gridSpan w:val="3"/>
          </w:tcPr>
          <w:p w14:paraId="211F1478"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109CFA0D" w14:textId="77777777" w:rsidTr="003C7E27">
        <w:tc>
          <w:tcPr>
            <w:tcW w:w="642" w:type="dxa"/>
            <w:vMerge/>
          </w:tcPr>
          <w:p w14:paraId="679DEE8E"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0D5AEB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Partes no processo:</w:t>
            </w:r>
          </w:p>
        </w:tc>
      </w:tr>
      <w:tr w:rsidR="00F461F9" w:rsidRPr="00B9471E" w14:paraId="7BA158AF" w14:textId="77777777" w:rsidTr="003C7E27">
        <w:tc>
          <w:tcPr>
            <w:tcW w:w="642" w:type="dxa"/>
            <w:vMerge/>
          </w:tcPr>
          <w:p w14:paraId="71318E73" w14:textId="77777777" w:rsidR="00F461F9" w:rsidRPr="00B9471E" w:rsidRDefault="00F461F9" w:rsidP="003C7E27">
            <w:pPr>
              <w:spacing w:after="0" w:line="240" w:lineRule="auto"/>
              <w:ind w:right="-1"/>
              <w:rPr>
                <w:rFonts w:ascii="Calibri" w:eastAsia="Times New Roman" w:hAnsi="Calibri" w:cs="Calibri"/>
                <w:lang w:eastAsia="pt-BR"/>
              </w:rPr>
            </w:pPr>
          </w:p>
        </w:tc>
        <w:tc>
          <w:tcPr>
            <w:tcW w:w="4172" w:type="dxa"/>
            <w:gridSpan w:val="6"/>
          </w:tcPr>
          <w:p w14:paraId="1532C7C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Principais fatos</w:t>
            </w:r>
          </w:p>
        </w:tc>
        <w:tc>
          <w:tcPr>
            <w:tcW w:w="5382" w:type="dxa"/>
            <w:gridSpan w:val="14"/>
          </w:tcPr>
          <w:p w14:paraId="58276D8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Chance de perda (provável, possível ou remota)</w:t>
            </w:r>
          </w:p>
        </w:tc>
      </w:tr>
      <w:tr w:rsidR="00F461F9" w:rsidRPr="00B9471E" w14:paraId="7775F16A" w14:textId="77777777" w:rsidTr="003C7E27">
        <w:tc>
          <w:tcPr>
            <w:tcW w:w="642" w:type="dxa"/>
            <w:vMerge/>
          </w:tcPr>
          <w:p w14:paraId="77D43BD0" w14:textId="77777777" w:rsidR="00F461F9" w:rsidRPr="00B9471E" w:rsidRDefault="00F461F9" w:rsidP="003C7E27">
            <w:pPr>
              <w:spacing w:after="0" w:line="240" w:lineRule="auto"/>
              <w:ind w:right="-1"/>
              <w:rPr>
                <w:rFonts w:ascii="Calibri" w:eastAsia="Times New Roman" w:hAnsi="Calibri" w:cs="Calibri"/>
                <w:lang w:eastAsia="pt-BR"/>
              </w:rPr>
            </w:pPr>
          </w:p>
        </w:tc>
        <w:tc>
          <w:tcPr>
            <w:tcW w:w="4172" w:type="dxa"/>
            <w:gridSpan w:val="6"/>
          </w:tcPr>
          <w:p w14:paraId="24079FB6" w14:textId="77777777" w:rsidR="00F461F9" w:rsidRPr="00B9471E" w:rsidRDefault="00F461F9" w:rsidP="003C7E27">
            <w:pPr>
              <w:spacing w:after="0" w:line="240" w:lineRule="auto"/>
              <w:ind w:right="-1"/>
              <w:rPr>
                <w:rFonts w:ascii="Calibri" w:eastAsia="Yu Mincho" w:hAnsi="Calibri" w:cs="Calibri"/>
                <w:lang w:eastAsia="pt-BR"/>
              </w:rPr>
            </w:pPr>
          </w:p>
        </w:tc>
        <w:tc>
          <w:tcPr>
            <w:tcW w:w="5382" w:type="dxa"/>
            <w:gridSpan w:val="14"/>
          </w:tcPr>
          <w:p w14:paraId="5386DA6A"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4472386" w14:textId="77777777" w:rsidTr="003C7E27">
        <w:trPr>
          <w:trHeight w:val="585"/>
        </w:trPr>
        <w:tc>
          <w:tcPr>
            <w:tcW w:w="642" w:type="dxa"/>
            <w:vMerge/>
          </w:tcPr>
          <w:p w14:paraId="02BB78B5"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6D125B58"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Análise do impacto em caso de perda do processo:</w:t>
            </w:r>
          </w:p>
        </w:tc>
      </w:tr>
      <w:tr w:rsidR="00F461F9" w:rsidRPr="00B9471E" w14:paraId="51EA82D5" w14:textId="77777777" w:rsidTr="003C7E27">
        <w:trPr>
          <w:trHeight w:val="397"/>
        </w:trPr>
        <w:tc>
          <w:tcPr>
            <w:tcW w:w="642" w:type="dxa"/>
            <w:vMerge w:val="restart"/>
          </w:tcPr>
          <w:p w14:paraId="682AB374"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8.</w:t>
            </w:r>
          </w:p>
        </w:tc>
        <w:tc>
          <w:tcPr>
            <w:tcW w:w="9554" w:type="dxa"/>
            <w:gridSpan w:val="20"/>
          </w:tcPr>
          <w:p w14:paraId="4933590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Relação de processos judiciais, repetitivos ou conexos, baseados em causas jurídicas semelhantes, não sigilosos e relevantes</w:t>
            </w:r>
          </w:p>
        </w:tc>
      </w:tr>
      <w:tr w:rsidR="00F461F9" w:rsidRPr="00B9471E" w14:paraId="04B8511B" w14:textId="77777777" w:rsidTr="003C7E27">
        <w:tc>
          <w:tcPr>
            <w:tcW w:w="642" w:type="dxa"/>
            <w:vMerge/>
          </w:tcPr>
          <w:p w14:paraId="2CAA0ECE"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1306BE1E" w14:textId="77777777" w:rsidR="00F461F9" w:rsidRPr="00B9471E" w:rsidRDefault="00F461F9" w:rsidP="003C7E27">
            <w:pPr>
              <w:spacing w:after="0" w:line="240" w:lineRule="auto"/>
              <w:ind w:right="-1"/>
              <w:rPr>
                <w:rFonts w:ascii="Calibri" w:eastAsia="Yu Mincho" w:hAnsi="Calibri" w:cs="Arial"/>
                <w:lang w:eastAsia="pt-BR"/>
              </w:rPr>
            </w:pPr>
            <w:r w:rsidRPr="00B9471E">
              <w:rPr>
                <w:rFonts w:ascii="Calibri" w:eastAsia="Yu Mincho" w:hAnsi="Calibri" w:cs="Arial"/>
                <w:lang w:eastAsia="pt-BR"/>
              </w:rPr>
              <w:t xml:space="preserve">Processo 1, 2, </w:t>
            </w:r>
            <w:bookmarkStart w:id="1514" w:name="_Int_sDjbl216"/>
            <w:r w:rsidRPr="00B9471E">
              <w:rPr>
                <w:rFonts w:ascii="Calibri" w:eastAsia="Yu Mincho" w:hAnsi="Calibri" w:cs="Arial"/>
                <w:lang w:eastAsia="pt-BR"/>
              </w:rPr>
              <w:t>3,...</w:t>
            </w:r>
            <w:bookmarkEnd w:id="1514"/>
            <w:r w:rsidRPr="00B9471E">
              <w:rPr>
                <w:rFonts w:ascii="Calibri" w:eastAsia="Yu Mincho" w:hAnsi="Calibri" w:cs="Arial"/>
                <w:lang w:eastAsia="pt-BR"/>
              </w:rPr>
              <w:t>, N.</w:t>
            </w:r>
          </w:p>
        </w:tc>
      </w:tr>
      <w:tr w:rsidR="00F461F9" w:rsidRPr="00B9471E" w14:paraId="60BE94D7" w14:textId="77777777" w:rsidTr="003C7E27">
        <w:tc>
          <w:tcPr>
            <w:tcW w:w="642" w:type="dxa"/>
            <w:vMerge/>
          </w:tcPr>
          <w:p w14:paraId="2E0C21DF" w14:textId="77777777" w:rsidR="00F461F9" w:rsidRPr="00B9471E" w:rsidRDefault="00F461F9" w:rsidP="003C7E27">
            <w:pPr>
              <w:spacing w:after="0" w:line="240" w:lineRule="auto"/>
              <w:ind w:right="-1"/>
              <w:rPr>
                <w:rFonts w:ascii="Calibri" w:eastAsia="Times New Roman" w:hAnsi="Calibri" w:cs="Calibri"/>
                <w:lang w:eastAsia="pt-BR"/>
              </w:rPr>
            </w:pPr>
          </w:p>
        </w:tc>
        <w:tc>
          <w:tcPr>
            <w:tcW w:w="3736" w:type="dxa"/>
            <w:gridSpan w:val="5"/>
          </w:tcPr>
          <w:p w14:paraId="227C302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Nº do Processo</w:t>
            </w:r>
          </w:p>
        </w:tc>
        <w:tc>
          <w:tcPr>
            <w:tcW w:w="5818" w:type="dxa"/>
            <w:gridSpan w:val="15"/>
          </w:tcPr>
          <w:p w14:paraId="1150B86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Valores envolvidos</w:t>
            </w:r>
          </w:p>
        </w:tc>
      </w:tr>
      <w:tr w:rsidR="00F461F9" w:rsidRPr="00B9471E" w14:paraId="76977214" w14:textId="77777777" w:rsidTr="003C7E27">
        <w:tc>
          <w:tcPr>
            <w:tcW w:w="642" w:type="dxa"/>
            <w:vMerge/>
          </w:tcPr>
          <w:p w14:paraId="0A60E502" w14:textId="77777777" w:rsidR="00F461F9" w:rsidRPr="00B9471E" w:rsidRDefault="00F461F9" w:rsidP="003C7E27">
            <w:pPr>
              <w:spacing w:after="0" w:line="240" w:lineRule="auto"/>
              <w:ind w:right="-1"/>
              <w:rPr>
                <w:rFonts w:ascii="Calibri" w:eastAsia="Times New Roman" w:hAnsi="Calibri" w:cs="Calibri"/>
                <w:lang w:eastAsia="pt-BR"/>
              </w:rPr>
            </w:pPr>
          </w:p>
        </w:tc>
        <w:tc>
          <w:tcPr>
            <w:tcW w:w="3736" w:type="dxa"/>
            <w:gridSpan w:val="5"/>
          </w:tcPr>
          <w:p w14:paraId="423E3C97" w14:textId="77777777" w:rsidR="00F461F9" w:rsidRPr="00B9471E" w:rsidRDefault="00F461F9" w:rsidP="003C7E27">
            <w:pPr>
              <w:spacing w:after="0" w:line="240" w:lineRule="auto"/>
              <w:ind w:right="-1"/>
              <w:rPr>
                <w:rFonts w:ascii="Calibri" w:eastAsia="Yu Mincho" w:hAnsi="Calibri" w:cs="Calibri"/>
                <w:lang w:eastAsia="pt-BR"/>
              </w:rPr>
            </w:pPr>
          </w:p>
        </w:tc>
        <w:tc>
          <w:tcPr>
            <w:tcW w:w="5818" w:type="dxa"/>
            <w:gridSpan w:val="15"/>
          </w:tcPr>
          <w:p w14:paraId="68A755E7"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F216BEC" w14:textId="77777777" w:rsidTr="003C7E27">
        <w:trPr>
          <w:trHeight w:val="625"/>
        </w:trPr>
        <w:tc>
          <w:tcPr>
            <w:tcW w:w="642" w:type="dxa"/>
            <w:vMerge/>
          </w:tcPr>
          <w:p w14:paraId="2B007070"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4AE6463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Causa da contingência:</w:t>
            </w:r>
          </w:p>
        </w:tc>
      </w:tr>
      <w:tr w:rsidR="00F461F9" w:rsidRPr="00B9471E" w14:paraId="6EEAE744" w14:textId="77777777" w:rsidTr="003C7E27">
        <w:trPr>
          <w:trHeight w:val="737"/>
        </w:trPr>
        <w:tc>
          <w:tcPr>
            <w:tcW w:w="642" w:type="dxa"/>
          </w:tcPr>
          <w:p w14:paraId="40362DC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9.</w:t>
            </w:r>
          </w:p>
        </w:tc>
        <w:tc>
          <w:tcPr>
            <w:tcW w:w="9554" w:type="dxa"/>
            <w:gridSpan w:val="20"/>
          </w:tcPr>
          <w:p w14:paraId="7987EF0E"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Análise dos impactos em caso de perda e valores envolvidos relacionados aos processos judiciais sigilosos relevantes:</w:t>
            </w:r>
          </w:p>
        </w:tc>
      </w:tr>
      <w:tr w:rsidR="00F461F9" w:rsidRPr="00B9471E" w14:paraId="65658B54" w14:textId="77777777" w:rsidTr="003C7E27">
        <w:trPr>
          <w:trHeight w:hRule="exact" w:val="614"/>
        </w:trPr>
        <w:tc>
          <w:tcPr>
            <w:tcW w:w="642" w:type="dxa"/>
          </w:tcPr>
          <w:p w14:paraId="44B70D38"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lastRenderedPageBreak/>
              <w:t>10.</w:t>
            </w:r>
          </w:p>
        </w:tc>
        <w:tc>
          <w:tcPr>
            <w:tcW w:w="9554" w:type="dxa"/>
            <w:gridSpan w:val="20"/>
          </w:tcPr>
          <w:p w14:paraId="3D82FE60"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Assembleia de Cotistas</w:t>
            </w:r>
          </w:p>
        </w:tc>
      </w:tr>
      <w:tr w:rsidR="00F461F9" w:rsidRPr="00B9471E" w14:paraId="6B64C87D" w14:textId="77777777" w:rsidTr="003C7E27">
        <w:trPr>
          <w:trHeight w:hRule="exact" w:val="851"/>
        </w:trPr>
        <w:tc>
          <w:tcPr>
            <w:tcW w:w="642" w:type="dxa"/>
          </w:tcPr>
          <w:p w14:paraId="039F094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10.1</w:t>
            </w:r>
          </w:p>
        </w:tc>
        <w:tc>
          <w:tcPr>
            <w:tcW w:w="9554" w:type="dxa"/>
            <w:gridSpan w:val="20"/>
          </w:tcPr>
          <w:p w14:paraId="0733DAF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Endereços (físico ou eletrônico) nos quais os documentos relativos à assembleia de cotistas estarão à disposição dos cotistas para análise:</w:t>
            </w:r>
          </w:p>
        </w:tc>
      </w:tr>
      <w:tr w:rsidR="00F461F9" w:rsidRPr="00B9471E" w14:paraId="145C8DA0" w14:textId="77777777" w:rsidTr="003C7E27">
        <w:trPr>
          <w:trHeight w:hRule="exact" w:val="1304"/>
        </w:trPr>
        <w:tc>
          <w:tcPr>
            <w:tcW w:w="642" w:type="dxa"/>
          </w:tcPr>
          <w:p w14:paraId="146C668A"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10.2</w:t>
            </w:r>
          </w:p>
        </w:tc>
        <w:tc>
          <w:tcPr>
            <w:tcW w:w="9554" w:type="dxa"/>
            <w:gridSpan w:val="20"/>
          </w:tcPr>
          <w:p w14:paraId="1DA66AD1"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Indicação dos meios de comunicação disponibilizados aos cotistas para (i) a inclusão de matérias na ordem do dia de assembleias gerais e o envio de documentos pertinentes às deliberações propostas; (ii) solicitação de lista de endereços físicos e eletrônicos dos demais cotistas para envio de pedido público de procuração.</w:t>
            </w:r>
          </w:p>
        </w:tc>
      </w:tr>
      <w:tr w:rsidR="00F461F9" w:rsidRPr="00B9471E" w14:paraId="52A18477" w14:textId="77777777" w:rsidTr="003C7E27">
        <w:trPr>
          <w:trHeight w:hRule="exact" w:val="1474"/>
        </w:trPr>
        <w:tc>
          <w:tcPr>
            <w:tcW w:w="642" w:type="dxa"/>
          </w:tcPr>
          <w:p w14:paraId="3DB1E15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10.3</w:t>
            </w:r>
          </w:p>
        </w:tc>
        <w:tc>
          <w:tcPr>
            <w:tcW w:w="9554" w:type="dxa"/>
            <w:gridSpan w:val="20"/>
          </w:tcPr>
          <w:p w14:paraId="6C1F3CA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Descrição das regras e procedimentos aplicáveis à participação dos cotistas em assembleias gerais, incluindo (i) formalidades exigidas para a comprovação da qualidade de cotista e representação de cotistas em assembleia; (ii) procedimentos para a realização de consultas formais, se admitidas em regulamento; (iii) regras e procedimentos para a participação à distância e envio de comunicação escrita ou eletrônica de voto.</w:t>
            </w:r>
          </w:p>
          <w:p w14:paraId="05675972" w14:textId="77777777" w:rsidR="00F461F9" w:rsidRPr="00B9471E" w:rsidRDefault="00F461F9" w:rsidP="003C7E27">
            <w:pPr>
              <w:spacing w:after="0" w:line="240" w:lineRule="auto"/>
              <w:ind w:right="-1"/>
              <w:rPr>
                <w:rFonts w:ascii="Calibri" w:eastAsia="Yu Mincho" w:hAnsi="Calibri" w:cs="Calibri"/>
                <w:lang w:eastAsia="pt-BR"/>
              </w:rPr>
            </w:pPr>
          </w:p>
          <w:p w14:paraId="68DF1E7D"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47092CCA" w14:textId="77777777" w:rsidTr="003C7E27">
        <w:trPr>
          <w:trHeight w:hRule="exact" w:val="575"/>
        </w:trPr>
        <w:tc>
          <w:tcPr>
            <w:tcW w:w="642" w:type="dxa"/>
          </w:tcPr>
          <w:p w14:paraId="1963A80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10.4</w:t>
            </w:r>
          </w:p>
        </w:tc>
        <w:tc>
          <w:tcPr>
            <w:tcW w:w="9554" w:type="dxa"/>
            <w:gridSpan w:val="20"/>
          </w:tcPr>
          <w:p w14:paraId="1F3172A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Práticas para a realização de assembleia por meio eletrônico.</w:t>
            </w:r>
          </w:p>
        </w:tc>
      </w:tr>
      <w:tr w:rsidR="00F461F9" w:rsidRPr="00B9471E" w14:paraId="1CF4647F" w14:textId="77777777" w:rsidTr="003C7E27">
        <w:trPr>
          <w:trHeight w:hRule="exact" w:val="573"/>
        </w:trPr>
        <w:tc>
          <w:tcPr>
            <w:tcW w:w="642" w:type="dxa"/>
          </w:tcPr>
          <w:p w14:paraId="4608285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11.</w:t>
            </w:r>
          </w:p>
        </w:tc>
        <w:tc>
          <w:tcPr>
            <w:tcW w:w="9554" w:type="dxa"/>
            <w:gridSpan w:val="20"/>
          </w:tcPr>
          <w:p w14:paraId="420034BF"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Remuneração do Administrador</w:t>
            </w:r>
          </w:p>
        </w:tc>
      </w:tr>
      <w:tr w:rsidR="00F461F9" w:rsidRPr="00B9471E" w14:paraId="79ECCB42" w14:textId="77777777" w:rsidTr="003C7E27">
        <w:trPr>
          <w:trHeight w:hRule="exact" w:val="397"/>
        </w:trPr>
        <w:tc>
          <w:tcPr>
            <w:tcW w:w="642" w:type="dxa"/>
            <w:vMerge w:val="restart"/>
          </w:tcPr>
          <w:p w14:paraId="66C01F3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11.1</w:t>
            </w:r>
          </w:p>
        </w:tc>
        <w:tc>
          <w:tcPr>
            <w:tcW w:w="9554" w:type="dxa"/>
            <w:gridSpan w:val="20"/>
          </w:tcPr>
          <w:p w14:paraId="7379B0C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Política de remuneração definida em regulamento:</w:t>
            </w:r>
          </w:p>
          <w:p w14:paraId="1E80C167" w14:textId="77777777" w:rsidR="00F461F9" w:rsidRPr="00B9471E" w:rsidRDefault="00F461F9" w:rsidP="003C7E27">
            <w:pPr>
              <w:spacing w:after="0" w:line="240" w:lineRule="auto"/>
              <w:ind w:right="-1"/>
              <w:rPr>
                <w:rFonts w:ascii="Calibri" w:eastAsia="Yu Mincho" w:hAnsi="Calibri" w:cs="Calibri"/>
                <w:lang w:eastAsia="pt-BR"/>
              </w:rPr>
            </w:pPr>
          </w:p>
          <w:p w14:paraId="4C885BEB" w14:textId="77777777" w:rsidR="00F461F9" w:rsidRPr="00B9471E" w:rsidRDefault="00F461F9" w:rsidP="003C7E27">
            <w:pPr>
              <w:spacing w:after="0" w:line="240" w:lineRule="auto"/>
              <w:ind w:right="-1"/>
              <w:rPr>
                <w:rFonts w:ascii="Calibri" w:eastAsia="Yu Mincho" w:hAnsi="Calibri" w:cs="Calibri"/>
                <w:lang w:eastAsia="pt-BR"/>
              </w:rPr>
            </w:pPr>
          </w:p>
          <w:p w14:paraId="263B157F" w14:textId="77777777" w:rsidR="00F461F9" w:rsidRPr="00B9471E" w:rsidRDefault="00F461F9" w:rsidP="003C7E27">
            <w:pPr>
              <w:spacing w:after="0" w:line="240" w:lineRule="auto"/>
              <w:ind w:right="-1"/>
              <w:rPr>
                <w:rFonts w:ascii="Calibri" w:eastAsia="Yu Mincho" w:hAnsi="Calibri" w:cs="Calibri"/>
                <w:lang w:eastAsia="pt-BR"/>
              </w:rPr>
            </w:pPr>
          </w:p>
          <w:p w14:paraId="43B47BC8" w14:textId="77777777" w:rsidR="00F461F9" w:rsidRPr="00B9471E" w:rsidRDefault="00F461F9" w:rsidP="003C7E27">
            <w:pPr>
              <w:spacing w:after="0" w:line="240" w:lineRule="auto"/>
              <w:ind w:right="-1"/>
              <w:rPr>
                <w:rFonts w:ascii="Calibri" w:eastAsia="Yu Mincho" w:hAnsi="Calibri" w:cs="Calibri"/>
                <w:lang w:eastAsia="pt-BR"/>
              </w:rPr>
            </w:pPr>
          </w:p>
          <w:p w14:paraId="7DFD8EE7" w14:textId="77777777" w:rsidR="00F461F9" w:rsidRPr="00B9471E" w:rsidRDefault="00F461F9" w:rsidP="003C7E27">
            <w:pPr>
              <w:spacing w:after="0" w:line="240" w:lineRule="auto"/>
              <w:ind w:right="-1"/>
              <w:rPr>
                <w:rFonts w:ascii="Calibri" w:eastAsia="Yu Mincho" w:hAnsi="Calibri" w:cs="Calibri"/>
                <w:lang w:eastAsia="pt-BR"/>
              </w:rPr>
            </w:pPr>
          </w:p>
          <w:p w14:paraId="03603FAA" w14:textId="77777777" w:rsidR="00F461F9" w:rsidRPr="00B9471E" w:rsidRDefault="00F461F9" w:rsidP="003C7E27">
            <w:pPr>
              <w:spacing w:after="0" w:line="240" w:lineRule="auto"/>
              <w:ind w:right="-1"/>
              <w:rPr>
                <w:rFonts w:ascii="Calibri" w:eastAsia="Yu Mincho" w:hAnsi="Calibri" w:cs="Calibri"/>
                <w:lang w:eastAsia="pt-BR"/>
              </w:rPr>
            </w:pPr>
          </w:p>
          <w:p w14:paraId="1E770718" w14:textId="77777777" w:rsidR="00F461F9" w:rsidRPr="00B9471E" w:rsidRDefault="00F461F9" w:rsidP="003C7E27">
            <w:pPr>
              <w:spacing w:after="0" w:line="240" w:lineRule="auto"/>
              <w:ind w:right="-1"/>
              <w:rPr>
                <w:rFonts w:ascii="Calibri" w:eastAsia="Yu Mincho" w:hAnsi="Calibri" w:cs="Calibri"/>
                <w:lang w:eastAsia="pt-BR"/>
              </w:rPr>
            </w:pPr>
          </w:p>
          <w:p w14:paraId="5757EF3F" w14:textId="77777777" w:rsidR="00F461F9" w:rsidRPr="00B9471E" w:rsidRDefault="00F461F9" w:rsidP="003C7E27">
            <w:pPr>
              <w:spacing w:after="0" w:line="240" w:lineRule="auto"/>
              <w:ind w:right="-1"/>
              <w:rPr>
                <w:rFonts w:ascii="Calibri" w:eastAsia="Yu Mincho" w:hAnsi="Calibri" w:cs="Calibri"/>
                <w:lang w:eastAsia="pt-BR"/>
              </w:rPr>
            </w:pPr>
          </w:p>
          <w:p w14:paraId="63822152" w14:textId="77777777" w:rsidR="00F461F9" w:rsidRPr="00B9471E" w:rsidRDefault="00F461F9" w:rsidP="003C7E27">
            <w:pPr>
              <w:spacing w:after="0" w:line="240" w:lineRule="auto"/>
              <w:ind w:right="-1"/>
              <w:rPr>
                <w:rFonts w:ascii="Calibri" w:eastAsia="Yu Mincho" w:hAnsi="Calibri" w:cs="Calibri"/>
                <w:lang w:eastAsia="pt-BR"/>
              </w:rPr>
            </w:pPr>
          </w:p>
          <w:p w14:paraId="1245340A" w14:textId="77777777" w:rsidR="00F461F9" w:rsidRPr="00B9471E" w:rsidRDefault="00F461F9" w:rsidP="003C7E27">
            <w:pPr>
              <w:spacing w:after="0" w:line="240" w:lineRule="auto"/>
              <w:ind w:right="-1"/>
              <w:rPr>
                <w:rFonts w:ascii="Calibri" w:eastAsia="Yu Mincho" w:hAnsi="Calibri" w:cs="Calibri"/>
                <w:lang w:eastAsia="pt-BR"/>
              </w:rPr>
            </w:pPr>
          </w:p>
          <w:p w14:paraId="03EA10AB" w14:textId="77777777" w:rsidR="00F461F9" w:rsidRPr="00B9471E" w:rsidRDefault="00F461F9" w:rsidP="003C7E27">
            <w:pPr>
              <w:spacing w:after="0" w:line="240" w:lineRule="auto"/>
              <w:ind w:right="-1"/>
              <w:rPr>
                <w:rFonts w:ascii="Calibri" w:eastAsia="Yu Mincho" w:hAnsi="Calibri" w:cs="Calibri"/>
                <w:lang w:eastAsia="pt-BR"/>
              </w:rPr>
            </w:pPr>
          </w:p>
          <w:p w14:paraId="458E29F7"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429A3FB9" w14:textId="77777777" w:rsidTr="003C7E27">
        <w:trPr>
          <w:trHeight w:hRule="exact" w:val="695"/>
        </w:trPr>
        <w:tc>
          <w:tcPr>
            <w:tcW w:w="642" w:type="dxa"/>
            <w:vMerge/>
          </w:tcPr>
          <w:p w14:paraId="0C3E9DB6" w14:textId="77777777" w:rsidR="00F461F9" w:rsidRPr="00B9471E" w:rsidRDefault="00F461F9" w:rsidP="003C7E27">
            <w:pPr>
              <w:spacing w:after="0" w:line="240" w:lineRule="auto"/>
              <w:ind w:right="-1"/>
              <w:rPr>
                <w:rFonts w:ascii="Calibri" w:eastAsia="Times New Roman" w:hAnsi="Calibri" w:cs="Calibri"/>
                <w:lang w:eastAsia="pt-BR"/>
              </w:rPr>
            </w:pPr>
          </w:p>
        </w:tc>
        <w:tc>
          <w:tcPr>
            <w:tcW w:w="2045" w:type="dxa"/>
          </w:tcPr>
          <w:p w14:paraId="593516F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Valor pago no ano de referência (R$):</w:t>
            </w:r>
          </w:p>
        </w:tc>
        <w:tc>
          <w:tcPr>
            <w:tcW w:w="3931" w:type="dxa"/>
            <w:gridSpan w:val="13"/>
          </w:tcPr>
          <w:p w14:paraId="64BF2FB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sobre o patrimônio contábil:</w:t>
            </w:r>
          </w:p>
        </w:tc>
        <w:tc>
          <w:tcPr>
            <w:tcW w:w="3578" w:type="dxa"/>
            <w:gridSpan w:val="6"/>
          </w:tcPr>
          <w:p w14:paraId="1596507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sobre o patrimônio a valor de mercado:</w:t>
            </w:r>
          </w:p>
        </w:tc>
      </w:tr>
      <w:tr w:rsidR="00F461F9" w:rsidRPr="00B9471E" w14:paraId="331FF31A" w14:textId="77777777" w:rsidTr="003C7E27">
        <w:trPr>
          <w:trHeight w:hRule="exact" w:val="621"/>
        </w:trPr>
        <w:tc>
          <w:tcPr>
            <w:tcW w:w="642" w:type="dxa"/>
          </w:tcPr>
          <w:p w14:paraId="328B692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12.</w:t>
            </w:r>
          </w:p>
        </w:tc>
        <w:tc>
          <w:tcPr>
            <w:tcW w:w="9554" w:type="dxa"/>
            <w:gridSpan w:val="20"/>
          </w:tcPr>
          <w:p w14:paraId="294E1247"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Governança</w:t>
            </w:r>
          </w:p>
        </w:tc>
      </w:tr>
      <w:tr w:rsidR="00F461F9" w:rsidRPr="00B9471E" w14:paraId="369C1A48" w14:textId="77777777" w:rsidTr="003C7E27">
        <w:trPr>
          <w:trHeight w:hRule="exact" w:val="382"/>
        </w:trPr>
        <w:tc>
          <w:tcPr>
            <w:tcW w:w="642" w:type="dxa"/>
            <w:vMerge w:val="restart"/>
          </w:tcPr>
          <w:p w14:paraId="6BBE06F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12.1</w:t>
            </w:r>
          </w:p>
        </w:tc>
        <w:tc>
          <w:tcPr>
            <w:tcW w:w="9554" w:type="dxa"/>
            <w:gridSpan w:val="20"/>
          </w:tcPr>
          <w:p w14:paraId="741DCF0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Representante(s) de cotistas</w:t>
            </w:r>
          </w:p>
        </w:tc>
      </w:tr>
      <w:tr w:rsidR="00F461F9" w:rsidRPr="00B9471E" w14:paraId="74AE76D6" w14:textId="77777777" w:rsidTr="003C7E27">
        <w:tc>
          <w:tcPr>
            <w:tcW w:w="642" w:type="dxa"/>
            <w:vMerge/>
          </w:tcPr>
          <w:p w14:paraId="1DA914CD"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7A8FAB6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Nome:</w:t>
            </w:r>
          </w:p>
        </w:tc>
      </w:tr>
      <w:tr w:rsidR="00F461F9" w:rsidRPr="00B9471E" w14:paraId="1943B157" w14:textId="77777777" w:rsidTr="003C7E27">
        <w:tc>
          <w:tcPr>
            <w:tcW w:w="642" w:type="dxa"/>
            <w:vMerge/>
          </w:tcPr>
          <w:p w14:paraId="6411DE69"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1C8E46E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Profissão:</w:t>
            </w:r>
          </w:p>
        </w:tc>
      </w:tr>
      <w:tr w:rsidR="00F461F9" w:rsidRPr="00B9471E" w14:paraId="0FD07F4F" w14:textId="77777777" w:rsidTr="003C7E27">
        <w:tc>
          <w:tcPr>
            <w:tcW w:w="642" w:type="dxa"/>
            <w:vMerge/>
          </w:tcPr>
          <w:p w14:paraId="54F715C5"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260B0521"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CPF/CNPJ:</w:t>
            </w:r>
          </w:p>
        </w:tc>
      </w:tr>
      <w:tr w:rsidR="00F461F9" w:rsidRPr="00B9471E" w14:paraId="3F0E7BDA" w14:textId="77777777" w:rsidTr="003C7E27">
        <w:tc>
          <w:tcPr>
            <w:tcW w:w="642" w:type="dxa"/>
            <w:vMerge/>
          </w:tcPr>
          <w:p w14:paraId="4CB0B5A4"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2353A68"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E-mail:</w:t>
            </w:r>
          </w:p>
        </w:tc>
      </w:tr>
      <w:tr w:rsidR="00F461F9" w:rsidRPr="00B9471E" w14:paraId="32D2DC18" w14:textId="77777777" w:rsidTr="003C7E27">
        <w:tc>
          <w:tcPr>
            <w:tcW w:w="642" w:type="dxa"/>
            <w:vMerge/>
          </w:tcPr>
          <w:p w14:paraId="29B22C65"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35DDC2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Formação acadêmica:</w:t>
            </w:r>
          </w:p>
        </w:tc>
      </w:tr>
      <w:tr w:rsidR="00F461F9" w:rsidRPr="00B9471E" w14:paraId="23EC14E2" w14:textId="77777777" w:rsidTr="003C7E27">
        <w:trPr>
          <w:trHeight w:hRule="exact" w:val="397"/>
        </w:trPr>
        <w:tc>
          <w:tcPr>
            <w:tcW w:w="642" w:type="dxa"/>
            <w:vMerge/>
          </w:tcPr>
          <w:p w14:paraId="5E525318"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174A996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Forma de remuneração (conforme definido em Assembleia):</w:t>
            </w:r>
          </w:p>
        </w:tc>
      </w:tr>
      <w:tr w:rsidR="00F461F9" w:rsidRPr="00B9471E" w14:paraId="5401B6E7" w14:textId="77777777" w:rsidTr="003C7E27">
        <w:trPr>
          <w:trHeight w:hRule="exact" w:val="551"/>
        </w:trPr>
        <w:tc>
          <w:tcPr>
            <w:tcW w:w="642" w:type="dxa"/>
            <w:vMerge/>
          </w:tcPr>
          <w:p w14:paraId="32E9DD5F" w14:textId="77777777" w:rsidR="00F461F9" w:rsidRPr="00B9471E" w:rsidRDefault="00F461F9" w:rsidP="003C7E27">
            <w:pPr>
              <w:spacing w:after="0" w:line="240" w:lineRule="auto"/>
              <w:ind w:right="-1"/>
              <w:rPr>
                <w:rFonts w:ascii="Calibri" w:eastAsia="Times New Roman" w:hAnsi="Calibri" w:cs="Calibri"/>
                <w:lang w:eastAsia="pt-BR"/>
              </w:rPr>
            </w:pPr>
          </w:p>
        </w:tc>
        <w:tc>
          <w:tcPr>
            <w:tcW w:w="2045" w:type="dxa"/>
          </w:tcPr>
          <w:p w14:paraId="50DE52F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Valor pago no ano de referência (R$):</w:t>
            </w:r>
          </w:p>
        </w:tc>
        <w:tc>
          <w:tcPr>
            <w:tcW w:w="3747" w:type="dxa"/>
            <w:gridSpan w:val="12"/>
          </w:tcPr>
          <w:p w14:paraId="7C2286B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sobre o patrimônio contábil:</w:t>
            </w:r>
          </w:p>
        </w:tc>
        <w:tc>
          <w:tcPr>
            <w:tcW w:w="3762" w:type="dxa"/>
            <w:gridSpan w:val="7"/>
          </w:tcPr>
          <w:p w14:paraId="53969C9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sobre o patrimônio a valor de mercado:</w:t>
            </w:r>
          </w:p>
        </w:tc>
      </w:tr>
      <w:tr w:rsidR="00F461F9" w:rsidRPr="00B9471E" w14:paraId="2C659E8D" w14:textId="77777777" w:rsidTr="003C7E27">
        <w:tc>
          <w:tcPr>
            <w:tcW w:w="642" w:type="dxa"/>
            <w:vMerge/>
          </w:tcPr>
          <w:p w14:paraId="60D28D4A"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088333C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detidas do FII:</w:t>
            </w:r>
          </w:p>
        </w:tc>
      </w:tr>
      <w:tr w:rsidR="00F461F9" w:rsidRPr="00B9471E" w14:paraId="4BB276BD" w14:textId="77777777" w:rsidTr="003C7E27">
        <w:tc>
          <w:tcPr>
            <w:tcW w:w="642" w:type="dxa"/>
            <w:vMerge/>
          </w:tcPr>
          <w:p w14:paraId="5180517A" w14:textId="77777777" w:rsidR="00F461F9" w:rsidRPr="00B9471E" w:rsidRDefault="00F461F9" w:rsidP="003C7E27">
            <w:pPr>
              <w:spacing w:after="0" w:line="240" w:lineRule="auto"/>
              <w:ind w:right="-1"/>
              <w:rPr>
                <w:rFonts w:ascii="Calibri" w:eastAsia="Times New Roman" w:hAnsi="Calibri" w:cs="Calibri"/>
                <w:lang w:eastAsia="pt-BR"/>
              </w:rPr>
            </w:pPr>
          </w:p>
        </w:tc>
        <w:tc>
          <w:tcPr>
            <w:tcW w:w="4882" w:type="dxa"/>
            <w:gridSpan w:val="10"/>
            <w:shd w:val="clear" w:color="auto" w:fill="auto"/>
          </w:tcPr>
          <w:p w14:paraId="42C28F6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do FII compradas no período:</w:t>
            </w:r>
          </w:p>
        </w:tc>
        <w:tc>
          <w:tcPr>
            <w:tcW w:w="4672" w:type="dxa"/>
            <w:gridSpan w:val="10"/>
            <w:shd w:val="clear" w:color="auto" w:fill="auto"/>
          </w:tcPr>
          <w:p w14:paraId="3D03892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do FII vendidas no período:</w:t>
            </w:r>
          </w:p>
        </w:tc>
      </w:tr>
      <w:tr w:rsidR="00F461F9" w:rsidRPr="00B9471E" w14:paraId="1CAD62AF" w14:textId="77777777" w:rsidTr="003C7E27">
        <w:tc>
          <w:tcPr>
            <w:tcW w:w="642" w:type="dxa"/>
            <w:vMerge/>
          </w:tcPr>
          <w:p w14:paraId="18820003"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4E473447"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Data da eleição em Assembleia de Cotistas:</w:t>
            </w:r>
          </w:p>
        </w:tc>
      </w:tr>
      <w:tr w:rsidR="00F461F9" w:rsidRPr="00B9471E" w14:paraId="1889169B" w14:textId="77777777" w:rsidTr="003C7E27">
        <w:tc>
          <w:tcPr>
            <w:tcW w:w="642" w:type="dxa"/>
            <w:vMerge/>
          </w:tcPr>
          <w:p w14:paraId="42AF93B7"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64C2998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Término do Mandato:</w:t>
            </w:r>
          </w:p>
        </w:tc>
      </w:tr>
      <w:tr w:rsidR="00F461F9" w:rsidRPr="00B9471E" w14:paraId="6461B33A" w14:textId="77777777" w:rsidTr="003C7E27">
        <w:tc>
          <w:tcPr>
            <w:tcW w:w="642" w:type="dxa"/>
            <w:vMerge/>
          </w:tcPr>
          <w:p w14:paraId="5E34F91F" w14:textId="77777777" w:rsidR="00F461F9" w:rsidRPr="00B9471E" w:rsidRDefault="00F461F9" w:rsidP="003C7E27">
            <w:pPr>
              <w:spacing w:after="0" w:line="240" w:lineRule="auto"/>
              <w:ind w:right="-1" w:firstLineChars="100" w:firstLine="220"/>
              <w:rPr>
                <w:rFonts w:ascii="Calibri" w:eastAsia="Times New Roman" w:hAnsi="Calibri" w:cs="Calibri"/>
                <w:lang w:eastAsia="pt-BR"/>
              </w:rPr>
            </w:pPr>
          </w:p>
        </w:tc>
        <w:tc>
          <w:tcPr>
            <w:tcW w:w="9554" w:type="dxa"/>
            <w:gridSpan w:val="20"/>
          </w:tcPr>
          <w:p w14:paraId="3145F8A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Principais experiências profissionais durante os últimos 5 anos</w:t>
            </w:r>
          </w:p>
        </w:tc>
      </w:tr>
      <w:tr w:rsidR="00F461F9" w:rsidRPr="00B9471E" w14:paraId="14BD6DDA" w14:textId="77777777" w:rsidTr="003C7E27">
        <w:tc>
          <w:tcPr>
            <w:tcW w:w="642" w:type="dxa"/>
            <w:vMerge/>
          </w:tcPr>
          <w:p w14:paraId="1325A29F"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Pr>
          <w:p w14:paraId="25DC6C7B"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Nome da empresa</w:t>
            </w:r>
          </w:p>
        </w:tc>
        <w:tc>
          <w:tcPr>
            <w:tcW w:w="1379" w:type="dxa"/>
            <w:gridSpan w:val="5"/>
          </w:tcPr>
          <w:p w14:paraId="143A5F70"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Período</w:t>
            </w:r>
          </w:p>
        </w:tc>
        <w:tc>
          <w:tcPr>
            <w:tcW w:w="1775" w:type="dxa"/>
            <w:gridSpan w:val="8"/>
          </w:tcPr>
          <w:p w14:paraId="1E6BFA5F"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Cargo e funções inerentes ao cargo</w:t>
            </w:r>
          </w:p>
        </w:tc>
        <w:tc>
          <w:tcPr>
            <w:tcW w:w="3230" w:type="dxa"/>
            <w:gridSpan w:val="4"/>
          </w:tcPr>
          <w:p w14:paraId="2F70C835"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Atividade principal da empresa na qual tais experiências ocorreram</w:t>
            </w:r>
          </w:p>
        </w:tc>
      </w:tr>
      <w:tr w:rsidR="00F461F9" w:rsidRPr="00B9471E" w14:paraId="63A23AC7" w14:textId="77777777" w:rsidTr="003C7E27">
        <w:tc>
          <w:tcPr>
            <w:tcW w:w="642" w:type="dxa"/>
            <w:vMerge/>
          </w:tcPr>
          <w:p w14:paraId="422BFA72"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Pr>
          <w:p w14:paraId="2C33AE5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1</w:t>
            </w:r>
          </w:p>
        </w:tc>
        <w:tc>
          <w:tcPr>
            <w:tcW w:w="1379" w:type="dxa"/>
            <w:gridSpan w:val="5"/>
          </w:tcPr>
          <w:p w14:paraId="55B54CE0" w14:textId="77777777" w:rsidR="00F461F9" w:rsidRPr="00B9471E" w:rsidRDefault="00F461F9" w:rsidP="003C7E27">
            <w:pPr>
              <w:spacing w:after="0" w:line="240" w:lineRule="auto"/>
              <w:ind w:right="-1"/>
              <w:rPr>
                <w:rFonts w:ascii="Calibri" w:eastAsia="Yu Mincho" w:hAnsi="Calibri" w:cs="Calibri"/>
                <w:lang w:eastAsia="pt-BR"/>
              </w:rPr>
            </w:pPr>
          </w:p>
        </w:tc>
        <w:tc>
          <w:tcPr>
            <w:tcW w:w="1775" w:type="dxa"/>
            <w:gridSpan w:val="8"/>
          </w:tcPr>
          <w:p w14:paraId="27530977"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Pr>
          <w:p w14:paraId="379ED6C6"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D5AA419" w14:textId="77777777" w:rsidTr="003C7E27">
        <w:tc>
          <w:tcPr>
            <w:tcW w:w="642" w:type="dxa"/>
            <w:vMerge/>
          </w:tcPr>
          <w:p w14:paraId="61B5BDC1"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Borders>
              <w:top w:val="single" w:sz="4" w:space="0" w:color="auto"/>
              <w:bottom w:val="single" w:sz="4" w:space="0" w:color="auto"/>
              <w:right w:val="single" w:sz="4" w:space="0" w:color="auto"/>
            </w:tcBorders>
          </w:tcPr>
          <w:p w14:paraId="143D90AC"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2</w:t>
            </w:r>
          </w:p>
        </w:tc>
        <w:tc>
          <w:tcPr>
            <w:tcW w:w="1379" w:type="dxa"/>
            <w:gridSpan w:val="5"/>
            <w:tcBorders>
              <w:top w:val="single" w:sz="4" w:space="0" w:color="auto"/>
              <w:left w:val="single" w:sz="4" w:space="0" w:color="auto"/>
              <w:bottom w:val="single" w:sz="4" w:space="0" w:color="auto"/>
              <w:right w:val="single" w:sz="4" w:space="0" w:color="auto"/>
            </w:tcBorders>
          </w:tcPr>
          <w:p w14:paraId="18E3DE1E" w14:textId="77777777" w:rsidR="00F461F9" w:rsidRPr="00B9471E" w:rsidRDefault="00F461F9" w:rsidP="003C7E27">
            <w:pPr>
              <w:spacing w:after="0" w:line="240" w:lineRule="auto"/>
              <w:ind w:right="-1" w:firstLine="106"/>
              <w:rPr>
                <w:rFonts w:ascii="Calibri" w:eastAsia="Yu Mincho" w:hAnsi="Calibri" w:cs="Calibri"/>
                <w:lang w:eastAsia="pt-BR"/>
              </w:rPr>
            </w:pPr>
          </w:p>
        </w:tc>
        <w:tc>
          <w:tcPr>
            <w:tcW w:w="1775" w:type="dxa"/>
            <w:gridSpan w:val="8"/>
            <w:tcBorders>
              <w:top w:val="single" w:sz="4" w:space="0" w:color="auto"/>
              <w:left w:val="single" w:sz="4" w:space="0" w:color="auto"/>
              <w:bottom w:val="single" w:sz="4" w:space="0" w:color="auto"/>
              <w:right w:val="single" w:sz="4" w:space="0" w:color="auto"/>
            </w:tcBorders>
          </w:tcPr>
          <w:p w14:paraId="78CCF13F"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6950019C"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5763DEF" w14:textId="77777777" w:rsidTr="003C7E27">
        <w:tc>
          <w:tcPr>
            <w:tcW w:w="642" w:type="dxa"/>
            <w:vMerge/>
          </w:tcPr>
          <w:p w14:paraId="59563889"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Borders>
              <w:top w:val="single" w:sz="4" w:space="0" w:color="auto"/>
              <w:bottom w:val="single" w:sz="4" w:space="0" w:color="auto"/>
              <w:right w:val="single" w:sz="4" w:space="0" w:color="auto"/>
            </w:tcBorders>
          </w:tcPr>
          <w:p w14:paraId="5BC3B75C"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N</w:t>
            </w:r>
          </w:p>
        </w:tc>
        <w:tc>
          <w:tcPr>
            <w:tcW w:w="1379" w:type="dxa"/>
            <w:gridSpan w:val="5"/>
            <w:tcBorders>
              <w:top w:val="single" w:sz="4" w:space="0" w:color="auto"/>
              <w:left w:val="single" w:sz="4" w:space="0" w:color="auto"/>
              <w:bottom w:val="single" w:sz="4" w:space="0" w:color="auto"/>
              <w:right w:val="single" w:sz="4" w:space="0" w:color="auto"/>
            </w:tcBorders>
          </w:tcPr>
          <w:p w14:paraId="7E5E2B38" w14:textId="77777777" w:rsidR="00F461F9" w:rsidRPr="00B9471E" w:rsidRDefault="00F461F9" w:rsidP="003C7E27">
            <w:pPr>
              <w:spacing w:after="0" w:line="240" w:lineRule="auto"/>
              <w:ind w:right="-1"/>
              <w:rPr>
                <w:rFonts w:ascii="Calibri" w:eastAsia="Yu Mincho" w:hAnsi="Calibri" w:cs="Calibri"/>
                <w:lang w:eastAsia="pt-BR"/>
              </w:rPr>
            </w:pPr>
          </w:p>
        </w:tc>
        <w:tc>
          <w:tcPr>
            <w:tcW w:w="1775" w:type="dxa"/>
            <w:gridSpan w:val="8"/>
            <w:tcBorders>
              <w:top w:val="single" w:sz="4" w:space="0" w:color="auto"/>
              <w:left w:val="single" w:sz="4" w:space="0" w:color="auto"/>
              <w:bottom w:val="single" w:sz="4" w:space="0" w:color="auto"/>
              <w:right w:val="single" w:sz="4" w:space="0" w:color="auto"/>
            </w:tcBorders>
          </w:tcPr>
          <w:p w14:paraId="7DAD0BA3"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72A455A3"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3F559E3" w14:textId="77777777" w:rsidTr="003C7E27">
        <w:tc>
          <w:tcPr>
            <w:tcW w:w="642" w:type="dxa"/>
            <w:vMerge/>
          </w:tcPr>
          <w:p w14:paraId="4432CD12"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6BF1FDCF"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Relação de classes em que exerça a função de Representante de Cotistas</w:t>
            </w:r>
          </w:p>
        </w:tc>
        <w:tc>
          <w:tcPr>
            <w:tcW w:w="1775" w:type="dxa"/>
            <w:gridSpan w:val="8"/>
            <w:tcBorders>
              <w:top w:val="single" w:sz="4" w:space="0" w:color="auto"/>
              <w:left w:val="single" w:sz="4" w:space="0" w:color="auto"/>
              <w:bottom w:val="single" w:sz="4" w:space="0" w:color="auto"/>
              <w:right w:val="single" w:sz="4" w:space="0" w:color="auto"/>
            </w:tcBorders>
          </w:tcPr>
          <w:p w14:paraId="3DA2D8F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Data da eleição em Assembleia</w:t>
            </w:r>
          </w:p>
        </w:tc>
        <w:tc>
          <w:tcPr>
            <w:tcW w:w="3230" w:type="dxa"/>
            <w:gridSpan w:val="4"/>
            <w:tcBorders>
              <w:top w:val="single" w:sz="4" w:space="0" w:color="auto"/>
              <w:left w:val="single" w:sz="4" w:space="0" w:color="auto"/>
              <w:bottom w:val="single" w:sz="4" w:space="0" w:color="auto"/>
              <w:right w:val="single" w:sz="4" w:space="0" w:color="auto"/>
            </w:tcBorders>
          </w:tcPr>
          <w:p w14:paraId="2B6A9C27"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Término do mandato</w:t>
            </w:r>
          </w:p>
        </w:tc>
      </w:tr>
      <w:tr w:rsidR="00F461F9" w:rsidRPr="00B9471E" w14:paraId="01F11502" w14:textId="77777777" w:rsidTr="003C7E27">
        <w:tc>
          <w:tcPr>
            <w:tcW w:w="642" w:type="dxa"/>
            <w:vMerge/>
          </w:tcPr>
          <w:p w14:paraId="66862B82"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4440167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Classe 1</w:t>
            </w:r>
          </w:p>
        </w:tc>
        <w:tc>
          <w:tcPr>
            <w:tcW w:w="1775" w:type="dxa"/>
            <w:gridSpan w:val="8"/>
            <w:tcBorders>
              <w:top w:val="single" w:sz="4" w:space="0" w:color="auto"/>
              <w:left w:val="single" w:sz="4" w:space="0" w:color="auto"/>
              <w:bottom w:val="single" w:sz="4" w:space="0" w:color="auto"/>
              <w:right w:val="single" w:sz="4" w:space="0" w:color="auto"/>
            </w:tcBorders>
          </w:tcPr>
          <w:p w14:paraId="69AA667C"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492A9709"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61B9CC1" w14:textId="77777777" w:rsidTr="003C7E27">
        <w:tc>
          <w:tcPr>
            <w:tcW w:w="642" w:type="dxa"/>
            <w:vMerge/>
          </w:tcPr>
          <w:p w14:paraId="18BF8DF3"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07B55AC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Classe 2</w:t>
            </w:r>
          </w:p>
        </w:tc>
        <w:tc>
          <w:tcPr>
            <w:tcW w:w="1775" w:type="dxa"/>
            <w:gridSpan w:val="8"/>
            <w:tcBorders>
              <w:top w:val="single" w:sz="4" w:space="0" w:color="auto"/>
              <w:left w:val="single" w:sz="4" w:space="0" w:color="auto"/>
              <w:bottom w:val="single" w:sz="4" w:space="0" w:color="auto"/>
              <w:right w:val="single" w:sz="4" w:space="0" w:color="auto"/>
            </w:tcBorders>
          </w:tcPr>
          <w:p w14:paraId="53694BCE"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098DF5CE"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7C70447" w14:textId="77777777" w:rsidTr="003C7E27">
        <w:tc>
          <w:tcPr>
            <w:tcW w:w="642" w:type="dxa"/>
            <w:vMerge/>
          </w:tcPr>
          <w:p w14:paraId="0C596571"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5C9564E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Classe N</w:t>
            </w:r>
          </w:p>
        </w:tc>
        <w:tc>
          <w:tcPr>
            <w:tcW w:w="1775" w:type="dxa"/>
            <w:gridSpan w:val="8"/>
            <w:tcBorders>
              <w:top w:val="single" w:sz="4" w:space="0" w:color="auto"/>
              <w:left w:val="single" w:sz="4" w:space="0" w:color="auto"/>
              <w:bottom w:val="single" w:sz="4" w:space="0" w:color="auto"/>
              <w:right w:val="single" w:sz="4" w:space="0" w:color="auto"/>
            </w:tcBorders>
          </w:tcPr>
          <w:p w14:paraId="6A4D15B5"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2A46C381"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E39E423" w14:textId="77777777" w:rsidTr="003C7E27">
        <w:tc>
          <w:tcPr>
            <w:tcW w:w="642" w:type="dxa"/>
            <w:vMerge/>
          </w:tcPr>
          <w:p w14:paraId="28FBFE85"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Borders>
              <w:top w:val="single" w:sz="4" w:space="0" w:color="auto"/>
              <w:bottom w:val="single" w:sz="4" w:space="0" w:color="auto"/>
              <w:right w:val="single" w:sz="4" w:space="0" w:color="auto"/>
            </w:tcBorders>
          </w:tcPr>
          <w:p w14:paraId="66600F5A"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Descrição de qualquer dos seguintes eventos que tenham ocorrido durante os últimos 5 anos</w:t>
            </w:r>
          </w:p>
        </w:tc>
      </w:tr>
      <w:tr w:rsidR="00F461F9" w:rsidRPr="00B9471E" w14:paraId="7C429E89" w14:textId="77777777" w:rsidTr="003C7E27">
        <w:tc>
          <w:tcPr>
            <w:tcW w:w="642" w:type="dxa"/>
            <w:vMerge/>
          </w:tcPr>
          <w:p w14:paraId="5DF1D087"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20D9C5A1"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Evento</w:t>
            </w:r>
          </w:p>
        </w:tc>
        <w:tc>
          <w:tcPr>
            <w:tcW w:w="5005" w:type="dxa"/>
            <w:gridSpan w:val="12"/>
            <w:tcBorders>
              <w:top w:val="single" w:sz="4" w:space="0" w:color="auto"/>
              <w:left w:val="single" w:sz="4" w:space="0" w:color="auto"/>
              <w:bottom w:val="single" w:sz="4" w:space="0" w:color="auto"/>
              <w:right w:val="single" w:sz="4" w:space="0" w:color="auto"/>
            </w:tcBorders>
          </w:tcPr>
          <w:p w14:paraId="5D7F6B4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Descrição</w:t>
            </w:r>
          </w:p>
        </w:tc>
      </w:tr>
      <w:tr w:rsidR="00F461F9" w:rsidRPr="00B9471E" w14:paraId="01282FB5" w14:textId="77777777" w:rsidTr="003C7E27">
        <w:tc>
          <w:tcPr>
            <w:tcW w:w="642" w:type="dxa"/>
            <w:vMerge/>
          </w:tcPr>
          <w:p w14:paraId="22C8ECA0"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112A7D8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Qualquer condenação criminal</w:t>
            </w:r>
          </w:p>
        </w:tc>
        <w:tc>
          <w:tcPr>
            <w:tcW w:w="5005" w:type="dxa"/>
            <w:gridSpan w:val="12"/>
            <w:tcBorders>
              <w:top w:val="single" w:sz="4" w:space="0" w:color="auto"/>
              <w:left w:val="single" w:sz="4" w:space="0" w:color="auto"/>
              <w:bottom w:val="single" w:sz="4" w:space="0" w:color="auto"/>
              <w:right w:val="single" w:sz="4" w:space="0" w:color="auto"/>
            </w:tcBorders>
          </w:tcPr>
          <w:p w14:paraId="261EA838"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4913AD53" w14:textId="77777777" w:rsidTr="003C7E27">
        <w:tc>
          <w:tcPr>
            <w:tcW w:w="642" w:type="dxa"/>
            <w:vMerge/>
          </w:tcPr>
          <w:p w14:paraId="7DBAF18A"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07D1439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Qualquer condenação em processo administrativo da CVM e as penas aplicadas</w:t>
            </w:r>
          </w:p>
        </w:tc>
        <w:tc>
          <w:tcPr>
            <w:tcW w:w="5005" w:type="dxa"/>
            <w:gridSpan w:val="12"/>
            <w:tcBorders>
              <w:top w:val="single" w:sz="4" w:space="0" w:color="auto"/>
              <w:left w:val="single" w:sz="4" w:space="0" w:color="auto"/>
              <w:bottom w:val="single" w:sz="4" w:space="0" w:color="auto"/>
              <w:right w:val="single" w:sz="4" w:space="0" w:color="auto"/>
            </w:tcBorders>
          </w:tcPr>
          <w:p w14:paraId="021A614E"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EDCA9D3" w14:textId="77777777" w:rsidTr="003C7E27">
        <w:trPr>
          <w:trHeight w:hRule="exact" w:val="406"/>
        </w:trPr>
        <w:tc>
          <w:tcPr>
            <w:tcW w:w="642" w:type="dxa"/>
            <w:vMerge w:val="restart"/>
          </w:tcPr>
          <w:p w14:paraId="12ED27A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12.2</w:t>
            </w:r>
          </w:p>
        </w:tc>
        <w:tc>
          <w:tcPr>
            <w:tcW w:w="9554" w:type="dxa"/>
            <w:gridSpan w:val="20"/>
          </w:tcPr>
          <w:p w14:paraId="2F168AEE"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Diretor Responsável pelo FII</w:t>
            </w:r>
          </w:p>
        </w:tc>
      </w:tr>
      <w:tr w:rsidR="00F461F9" w:rsidRPr="00B9471E" w14:paraId="4AE25CA2" w14:textId="77777777" w:rsidTr="003C7E27">
        <w:tc>
          <w:tcPr>
            <w:tcW w:w="642" w:type="dxa"/>
            <w:vMerge/>
          </w:tcPr>
          <w:p w14:paraId="426BC391"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B3A6931"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Nome:</w:t>
            </w:r>
          </w:p>
        </w:tc>
      </w:tr>
      <w:tr w:rsidR="00F461F9" w:rsidRPr="00B9471E" w14:paraId="414E1D06" w14:textId="77777777" w:rsidTr="003C7E27">
        <w:tc>
          <w:tcPr>
            <w:tcW w:w="642" w:type="dxa"/>
            <w:vMerge/>
          </w:tcPr>
          <w:p w14:paraId="690898E7"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09DEBEE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Idade:</w:t>
            </w:r>
          </w:p>
        </w:tc>
      </w:tr>
      <w:tr w:rsidR="00F461F9" w:rsidRPr="00B9471E" w14:paraId="0C02CAC5" w14:textId="77777777" w:rsidTr="003C7E27">
        <w:tc>
          <w:tcPr>
            <w:tcW w:w="642" w:type="dxa"/>
            <w:vMerge/>
          </w:tcPr>
          <w:p w14:paraId="6CBC541B"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0FF3835A"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Profissão:</w:t>
            </w:r>
          </w:p>
        </w:tc>
      </w:tr>
      <w:tr w:rsidR="00F461F9" w:rsidRPr="00B9471E" w14:paraId="15688932" w14:textId="77777777" w:rsidTr="003C7E27">
        <w:tc>
          <w:tcPr>
            <w:tcW w:w="642" w:type="dxa"/>
            <w:vMerge/>
          </w:tcPr>
          <w:p w14:paraId="6229AE72"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7416452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CPF:</w:t>
            </w:r>
          </w:p>
        </w:tc>
      </w:tr>
      <w:tr w:rsidR="00F461F9" w:rsidRPr="00B9471E" w14:paraId="37AC42F5" w14:textId="77777777" w:rsidTr="003C7E27">
        <w:tc>
          <w:tcPr>
            <w:tcW w:w="642" w:type="dxa"/>
            <w:vMerge/>
          </w:tcPr>
          <w:p w14:paraId="6663FF54"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2547344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E-mail:</w:t>
            </w:r>
          </w:p>
        </w:tc>
      </w:tr>
      <w:tr w:rsidR="00F461F9" w:rsidRPr="00B9471E" w14:paraId="26D60BFB" w14:textId="77777777" w:rsidTr="003C7E27">
        <w:tc>
          <w:tcPr>
            <w:tcW w:w="642" w:type="dxa"/>
            <w:vMerge/>
          </w:tcPr>
          <w:p w14:paraId="66918452"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778E3D6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Formação acadêmica:</w:t>
            </w:r>
          </w:p>
        </w:tc>
      </w:tr>
      <w:tr w:rsidR="00F461F9" w:rsidRPr="00B9471E" w14:paraId="2CAC360C" w14:textId="77777777" w:rsidTr="003C7E27">
        <w:tc>
          <w:tcPr>
            <w:tcW w:w="642" w:type="dxa"/>
            <w:vMerge/>
          </w:tcPr>
          <w:p w14:paraId="7C967053"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2601FA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detidas do FII:</w:t>
            </w:r>
          </w:p>
        </w:tc>
      </w:tr>
      <w:tr w:rsidR="00F461F9" w:rsidRPr="00B9471E" w14:paraId="32A011D5" w14:textId="77777777" w:rsidTr="003C7E27">
        <w:tc>
          <w:tcPr>
            <w:tcW w:w="642" w:type="dxa"/>
            <w:vMerge/>
          </w:tcPr>
          <w:p w14:paraId="65A22A0C" w14:textId="77777777" w:rsidR="00F461F9" w:rsidRPr="00B9471E" w:rsidRDefault="00F461F9" w:rsidP="003C7E27">
            <w:pPr>
              <w:spacing w:after="0" w:line="240" w:lineRule="auto"/>
              <w:ind w:right="-1"/>
              <w:rPr>
                <w:rFonts w:ascii="Calibri" w:eastAsia="Times New Roman" w:hAnsi="Calibri" w:cs="Calibri"/>
                <w:lang w:eastAsia="pt-BR"/>
              </w:rPr>
            </w:pPr>
          </w:p>
        </w:tc>
        <w:tc>
          <w:tcPr>
            <w:tcW w:w="4882" w:type="dxa"/>
            <w:gridSpan w:val="10"/>
          </w:tcPr>
          <w:p w14:paraId="1933F75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do FII compradas no período:</w:t>
            </w:r>
          </w:p>
        </w:tc>
        <w:tc>
          <w:tcPr>
            <w:tcW w:w="4672" w:type="dxa"/>
            <w:gridSpan w:val="10"/>
          </w:tcPr>
          <w:p w14:paraId="79A4641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Quantidade de cotas do FII vendidas no período:</w:t>
            </w:r>
          </w:p>
        </w:tc>
      </w:tr>
      <w:tr w:rsidR="00F461F9" w:rsidRPr="00B9471E" w14:paraId="25909537" w14:textId="77777777" w:rsidTr="003C7E27">
        <w:tc>
          <w:tcPr>
            <w:tcW w:w="642" w:type="dxa"/>
            <w:vMerge/>
          </w:tcPr>
          <w:p w14:paraId="41D8E5A1"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Pr>
          <w:p w14:paraId="38EE35BE"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Data de início na função:</w:t>
            </w:r>
          </w:p>
        </w:tc>
      </w:tr>
      <w:tr w:rsidR="00F461F9" w:rsidRPr="00B9471E" w14:paraId="7C096A90" w14:textId="77777777" w:rsidTr="003C7E27">
        <w:tc>
          <w:tcPr>
            <w:tcW w:w="642" w:type="dxa"/>
            <w:vMerge/>
          </w:tcPr>
          <w:p w14:paraId="36B914A1" w14:textId="77777777" w:rsidR="00F461F9" w:rsidRPr="00B9471E" w:rsidRDefault="00F461F9" w:rsidP="003C7E27">
            <w:pPr>
              <w:spacing w:after="0" w:line="240" w:lineRule="auto"/>
              <w:ind w:right="-1" w:firstLineChars="100" w:firstLine="220"/>
              <w:rPr>
                <w:rFonts w:ascii="Calibri" w:eastAsia="Times New Roman" w:hAnsi="Calibri" w:cs="Calibri"/>
                <w:lang w:eastAsia="pt-BR"/>
              </w:rPr>
            </w:pPr>
          </w:p>
        </w:tc>
        <w:tc>
          <w:tcPr>
            <w:tcW w:w="9554" w:type="dxa"/>
            <w:gridSpan w:val="20"/>
          </w:tcPr>
          <w:p w14:paraId="7559406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Principais experiência profissionais durante os últimos 5 anos</w:t>
            </w:r>
          </w:p>
        </w:tc>
      </w:tr>
      <w:tr w:rsidR="00F461F9" w:rsidRPr="00B9471E" w14:paraId="6FA27D53" w14:textId="77777777" w:rsidTr="003C7E27">
        <w:tc>
          <w:tcPr>
            <w:tcW w:w="642" w:type="dxa"/>
            <w:vMerge/>
          </w:tcPr>
          <w:p w14:paraId="104A15EB"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Pr>
          <w:p w14:paraId="053798B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Nome da empresa</w:t>
            </w:r>
          </w:p>
        </w:tc>
        <w:tc>
          <w:tcPr>
            <w:tcW w:w="1204" w:type="dxa"/>
            <w:gridSpan w:val="4"/>
          </w:tcPr>
          <w:p w14:paraId="40EB3F43"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Período</w:t>
            </w:r>
          </w:p>
        </w:tc>
        <w:tc>
          <w:tcPr>
            <w:tcW w:w="1950" w:type="dxa"/>
            <w:gridSpan w:val="9"/>
          </w:tcPr>
          <w:p w14:paraId="1BE6B473"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Cargo e funções inerentes ao cargo</w:t>
            </w:r>
          </w:p>
        </w:tc>
        <w:tc>
          <w:tcPr>
            <w:tcW w:w="3230" w:type="dxa"/>
            <w:gridSpan w:val="4"/>
          </w:tcPr>
          <w:p w14:paraId="7CA561B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Atividade principal da empresa na qual tais experiências ocorreram</w:t>
            </w:r>
          </w:p>
        </w:tc>
      </w:tr>
      <w:tr w:rsidR="00F461F9" w:rsidRPr="00B9471E" w14:paraId="078C690C" w14:textId="77777777" w:rsidTr="003C7E27">
        <w:tc>
          <w:tcPr>
            <w:tcW w:w="642" w:type="dxa"/>
            <w:vMerge/>
          </w:tcPr>
          <w:p w14:paraId="47AEBCE2"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Pr>
          <w:p w14:paraId="1590FAF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1</w:t>
            </w:r>
          </w:p>
        </w:tc>
        <w:tc>
          <w:tcPr>
            <w:tcW w:w="1204" w:type="dxa"/>
            <w:gridSpan w:val="4"/>
          </w:tcPr>
          <w:p w14:paraId="75F815BD" w14:textId="77777777" w:rsidR="00F461F9" w:rsidRPr="00B9471E" w:rsidRDefault="00F461F9" w:rsidP="003C7E27">
            <w:pPr>
              <w:spacing w:after="0" w:line="240" w:lineRule="auto"/>
              <w:ind w:right="-1"/>
              <w:rPr>
                <w:rFonts w:ascii="Calibri" w:eastAsia="Yu Mincho" w:hAnsi="Calibri" w:cs="Calibri"/>
                <w:lang w:eastAsia="pt-BR"/>
              </w:rPr>
            </w:pPr>
          </w:p>
        </w:tc>
        <w:tc>
          <w:tcPr>
            <w:tcW w:w="1950" w:type="dxa"/>
            <w:gridSpan w:val="9"/>
          </w:tcPr>
          <w:p w14:paraId="4966EF37"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Pr>
          <w:p w14:paraId="0CF3FF0E"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64F19FDE" w14:textId="77777777" w:rsidTr="003C7E27">
        <w:tc>
          <w:tcPr>
            <w:tcW w:w="642" w:type="dxa"/>
            <w:vMerge/>
          </w:tcPr>
          <w:p w14:paraId="30A6A43D"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Borders>
              <w:top w:val="single" w:sz="4" w:space="0" w:color="auto"/>
              <w:bottom w:val="single" w:sz="4" w:space="0" w:color="auto"/>
              <w:right w:val="single" w:sz="4" w:space="0" w:color="auto"/>
            </w:tcBorders>
          </w:tcPr>
          <w:p w14:paraId="03F7787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2</w:t>
            </w:r>
          </w:p>
        </w:tc>
        <w:tc>
          <w:tcPr>
            <w:tcW w:w="1204" w:type="dxa"/>
            <w:gridSpan w:val="4"/>
            <w:tcBorders>
              <w:top w:val="single" w:sz="4" w:space="0" w:color="auto"/>
              <w:left w:val="single" w:sz="4" w:space="0" w:color="auto"/>
              <w:bottom w:val="single" w:sz="4" w:space="0" w:color="auto"/>
              <w:right w:val="single" w:sz="4" w:space="0" w:color="auto"/>
            </w:tcBorders>
          </w:tcPr>
          <w:p w14:paraId="47D4A7C6" w14:textId="77777777" w:rsidR="00F461F9" w:rsidRPr="00B9471E" w:rsidRDefault="00F461F9" w:rsidP="003C7E27">
            <w:pPr>
              <w:spacing w:after="0" w:line="240" w:lineRule="auto"/>
              <w:ind w:right="-1"/>
              <w:rPr>
                <w:rFonts w:ascii="Calibri" w:eastAsia="Yu Mincho" w:hAnsi="Calibri" w:cs="Calibri"/>
                <w:lang w:eastAsia="pt-BR"/>
              </w:rPr>
            </w:pPr>
          </w:p>
        </w:tc>
        <w:tc>
          <w:tcPr>
            <w:tcW w:w="1950" w:type="dxa"/>
            <w:gridSpan w:val="9"/>
            <w:tcBorders>
              <w:top w:val="single" w:sz="4" w:space="0" w:color="auto"/>
              <w:left w:val="single" w:sz="4" w:space="0" w:color="auto"/>
              <w:bottom w:val="single" w:sz="4" w:space="0" w:color="auto"/>
              <w:right w:val="single" w:sz="4" w:space="0" w:color="auto"/>
            </w:tcBorders>
          </w:tcPr>
          <w:p w14:paraId="44352228"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456C4075"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55E9DBD" w14:textId="77777777" w:rsidTr="003C7E27">
        <w:tc>
          <w:tcPr>
            <w:tcW w:w="642" w:type="dxa"/>
            <w:vMerge/>
          </w:tcPr>
          <w:p w14:paraId="248EFFE9" w14:textId="77777777" w:rsidR="00F461F9" w:rsidRPr="00B9471E" w:rsidRDefault="00F461F9" w:rsidP="003C7E27">
            <w:pPr>
              <w:spacing w:after="0" w:line="240" w:lineRule="auto"/>
              <w:ind w:right="-1"/>
              <w:rPr>
                <w:rFonts w:ascii="Calibri" w:eastAsia="Times New Roman" w:hAnsi="Calibri" w:cs="Calibri"/>
                <w:lang w:eastAsia="pt-BR"/>
              </w:rPr>
            </w:pPr>
          </w:p>
        </w:tc>
        <w:tc>
          <w:tcPr>
            <w:tcW w:w="3170" w:type="dxa"/>
            <w:gridSpan w:val="3"/>
            <w:tcBorders>
              <w:top w:val="single" w:sz="4" w:space="0" w:color="auto"/>
              <w:bottom w:val="single" w:sz="4" w:space="0" w:color="auto"/>
              <w:right w:val="single" w:sz="4" w:space="0" w:color="auto"/>
            </w:tcBorders>
          </w:tcPr>
          <w:p w14:paraId="1CFC559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Empresa N</w:t>
            </w:r>
          </w:p>
        </w:tc>
        <w:tc>
          <w:tcPr>
            <w:tcW w:w="1204" w:type="dxa"/>
            <w:gridSpan w:val="4"/>
            <w:tcBorders>
              <w:top w:val="single" w:sz="4" w:space="0" w:color="auto"/>
              <w:left w:val="single" w:sz="4" w:space="0" w:color="auto"/>
              <w:bottom w:val="single" w:sz="4" w:space="0" w:color="auto"/>
              <w:right w:val="single" w:sz="4" w:space="0" w:color="auto"/>
            </w:tcBorders>
          </w:tcPr>
          <w:p w14:paraId="176BD0A1" w14:textId="77777777" w:rsidR="00F461F9" w:rsidRPr="00B9471E" w:rsidRDefault="00F461F9" w:rsidP="003C7E27">
            <w:pPr>
              <w:spacing w:after="0" w:line="240" w:lineRule="auto"/>
              <w:ind w:right="-1"/>
              <w:rPr>
                <w:rFonts w:ascii="Calibri" w:eastAsia="Yu Mincho" w:hAnsi="Calibri" w:cs="Calibri"/>
                <w:lang w:eastAsia="pt-BR"/>
              </w:rPr>
            </w:pPr>
          </w:p>
        </w:tc>
        <w:tc>
          <w:tcPr>
            <w:tcW w:w="1950" w:type="dxa"/>
            <w:gridSpan w:val="9"/>
            <w:tcBorders>
              <w:top w:val="single" w:sz="4" w:space="0" w:color="auto"/>
              <w:left w:val="single" w:sz="4" w:space="0" w:color="auto"/>
              <w:bottom w:val="single" w:sz="4" w:space="0" w:color="auto"/>
              <w:right w:val="single" w:sz="4" w:space="0" w:color="auto"/>
            </w:tcBorders>
          </w:tcPr>
          <w:p w14:paraId="1E2F7D5E" w14:textId="77777777" w:rsidR="00F461F9" w:rsidRPr="00B9471E" w:rsidRDefault="00F461F9" w:rsidP="003C7E27">
            <w:pPr>
              <w:spacing w:after="0" w:line="240" w:lineRule="auto"/>
              <w:ind w:right="-1"/>
              <w:rPr>
                <w:rFonts w:ascii="Calibri" w:eastAsia="Yu Mincho" w:hAnsi="Calibri" w:cs="Calibri"/>
                <w:lang w:eastAsia="pt-BR"/>
              </w:rPr>
            </w:pPr>
          </w:p>
        </w:tc>
        <w:tc>
          <w:tcPr>
            <w:tcW w:w="3230" w:type="dxa"/>
            <w:gridSpan w:val="4"/>
            <w:tcBorders>
              <w:top w:val="single" w:sz="4" w:space="0" w:color="auto"/>
              <w:left w:val="single" w:sz="4" w:space="0" w:color="auto"/>
              <w:bottom w:val="single" w:sz="4" w:space="0" w:color="auto"/>
              <w:right w:val="single" w:sz="4" w:space="0" w:color="auto"/>
            </w:tcBorders>
          </w:tcPr>
          <w:p w14:paraId="1EE94090"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4F45DD4" w14:textId="77777777" w:rsidTr="003C7E27">
        <w:tc>
          <w:tcPr>
            <w:tcW w:w="642" w:type="dxa"/>
            <w:vMerge/>
          </w:tcPr>
          <w:p w14:paraId="49D65C29" w14:textId="77777777" w:rsidR="00F461F9" w:rsidRPr="00B9471E" w:rsidRDefault="00F461F9" w:rsidP="003C7E27">
            <w:pPr>
              <w:spacing w:after="0" w:line="240" w:lineRule="auto"/>
              <w:ind w:right="-1"/>
              <w:rPr>
                <w:rFonts w:ascii="Calibri" w:eastAsia="Times New Roman" w:hAnsi="Calibri" w:cs="Calibri"/>
                <w:lang w:eastAsia="pt-BR"/>
              </w:rPr>
            </w:pPr>
          </w:p>
        </w:tc>
        <w:tc>
          <w:tcPr>
            <w:tcW w:w="9554" w:type="dxa"/>
            <w:gridSpan w:val="20"/>
            <w:tcBorders>
              <w:top w:val="single" w:sz="4" w:space="0" w:color="auto"/>
              <w:bottom w:val="single" w:sz="4" w:space="0" w:color="auto"/>
              <w:right w:val="single" w:sz="4" w:space="0" w:color="auto"/>
            </w:tcBorders>
          </w:tcPr>
          <w:p w14:paraId="3F9A7E84"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Descrição de qualquer dos seguintes eventos que tenham ocorrido durante os últimos 5 anos</w:t>
            </w:r>
          </w:p>
        </w:tc>
      </w:tr>
      <w:tr w:rsidR="00F461F9" w:rsidRPr="00B9471E" w14:paraId="16EFD45B" w14:textId="77777777" w:rsidTr="003C7E27">
        <w:tc>
          <w:tcPr>
            <w:tcW w:w="642" w:type="dxa"/>
            <w:vMerge/>
          </w:tcPr>
          <w:p w14:paraId="4DC0599E"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673AE6C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Evento</w:t>
            </w:r>
          </w:p>
        </w:tc>
        <w:tc>
          <w:tcPr>
            <w:tcW w:w="5005" w:type="dxa"/>
            <w:gridSpan w:val="12"/>
            <w:tcBorders>
              <w:top w:val="single" w:sz="4" w:space="0" w:color="auto"/>
              <w:left w:val="single" w:sz="4" w:space="0" w:color="auto"/>
              <w:bottom w:val="single" w:sz="4" w:space="0" w:color="auto"/>
              <w:right w:val="single" w:sz="4" w:space="0" w:color="auto"/>
            </w:tcBorders>
          </w:tcPr>
          <w:p w14:paraId="59B52F9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Descrição</w:t>
            </w:r>
          </w:p>
        </w:tc>
      </w:tr>
      <w:tr w:rsidR="00F461F9" w:rsidRPr="00B9471E" w14:paraId="65A2EFFB" w14:textId="77777777" w:rsidTr="003C7E27">
        <w:tc>
          <w:tcPr>
            <w:tcW w:w="642" w:type="dxa"/>
            <w:vMerge/>
          </w:tcPr>
          <w:p w14:paraId="09B25D63"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1AB54688"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Qualquer condenação criminal</w:t>
            </w:r>
          </w:p>
        </w:tc>
        <w:tc>
          <w:tcPr>
            <w:tcW w:w="5005" w:type="dxa"/>
            <w:gridSpan w:val="12"/>
            <w:tcBorders>
              <w:top w:val="single" w:sz="4" w:space="0" w:color="auto"/>
              <w:left w:val="single" w:sz="4" w:space="0" w:color="auto"/>
              <w:bottom w:val="single" w:sz="4" w:space="0" w:color="auto"/>
              <w:right w:val="single" w:sz="4" w:space="0" w:color="auto"/>
            </w:tcBorders>
          </w:tcPr>
          <w:p w14:paraId="375F7F49"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9558CBA" w14:textId="77777777" w:rsidTr="003C7E27">
        <w:tc>
          <w:tcPr>
            <w:tcW w:w="642" w:type="dxa"/>
            <w:vMerge/>
          </w:tcPr>
          <w:p w14:paraId="36DD4F91" w14:textId="77777777" w:rsidR="00F461F9" w:rsidRPr="00B9471E" w:rsidRDefault="00F461F9" w:rsidP="003C7E27">
            <w:pPr>
              <w:spacing w:after="0" w:line="240" w:lineRule="auto"/>
              <w:ind w:right="-1"/>
              <w:rPr>
                <w:rFonts w:ascii="Calibri" w:eastAsia="Times New Roman" w:hAnsi="Calibri" w:cs="Calibri"/>
                <w:lang w:eastAsia="pt-BR"/>
              </w:rPr>
            </w:pPr>
          </w:p>
        </w:tc>
        <w:tc>
          <w:tcPr>
            <w:tcW w:w="4549" w:type="dxa"/>
            <w:gridSpan w:val="8"/>
            <w:tcBorders>
              <w:top w:val="single" w:sz="4" w:space="0" w:color="auto"/>
              <w:bottom w:val="single" w:sz="4" w:space="0" w:color="auto"/>
              <w:right w:val="single" w:sz="4" w:space="0" w:color="auto"/>
            </w:tcBorders>
          </w:tcPr>
          <w:p w14:paraId="63425048"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Qualquer condenação em processo administrativo da CVM e as penas aplicadas</w:t>
            </w:r>
          </w:p>
        </w:tc>
        <w:tc>
          <w:tcPr>
            <w:tcW w:w="5005" w:type="dxa"/>
            <w:gridSpan w:val="12"/>
            <w:tcBorders>
              <w:top w:val="single" w:sz="4" w:space="0" w:color="auto"/>
              <w:left w:val="single" w:sz="4" w:space="0" w:color="auto"/>
              <w:bottom w:val="single" w:sz="4" w:space="0" w:color="auto"/>
              <w:right w:val="single" w:sz="4" w:space="0" w:color="auto"/>
            </w:tcBorders>
          </w:tcPr>
          <w:p w14:paraId="020EB57F"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823CA96" w14:textId="77777777" w:rsidTr="003C7E27">
        <w:trPr>
          <w:trHeight w:val="300"/>
        </w:trPr>
        <w:tc>
          <w:tcPr>
            <w:tcW w:w="642" w:type="dxa"/>
            <w:vMerge w:val="restart"/>
            <w:tcBorders>
              <w:top w:val="single" w:sz="4" w:space="0" w:color="auto"/>
              <w:left w:val="single" w:sz="4" w:space="0" w:color="auto"/>
              <w:right w:val="single" w:sz="4" w:space="0" w:color="auto"/>
            </w:tcBorders>
          </w:tcPr>
          <w:p w14:paraId="320468E8"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13</w:t>
            </w:r>
          </w:p>
        </w:tc>
        <w:tc>
          <w:tcPr>
            <w:tcW w:w="9554" w:type="dxa"/>
            <w:gridSpan w:val="20"/>
            <w:tcBorders>
              <w:top w:val="single" w:sz="4" w:space="0" w:color="auto"/>
              <w:left w:val="single" w:sz="4" w:space="0" w:color="auto"/>
              <w:bottom w:val="single" w:sz="4" w:space="0" w:color="auto"/>
              <w:right w:val="single" w:sz="4" w:space="0" w:color="auto"/>
            </w:tcBorders>
          </w:tcPr>
          <w:p w14:paraId="6E3952A1"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Distribuição de cotistas, segundo o percentual de cotas adquirido</w:t>
            </w:r>
          </w:p>
        </w:tc>
      </w:tr>
      <w:tr w:rsidR="00F461F9" w:rsidRPr="00B9471E" w14:paraId="62EA1B9A" w14:textId="77777777" w:rsidTr="003C7E27">
        <w:tc>
          <w:tcPr>
            <w:tcW w:w="642" w:type="dxa"/>
            <w:vMerge/>
          </w:tcPr>
          <w:p w14:paraId="001FA181"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8839081"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 xml:space="preserve">Faixas de Pulverização </w:t>
            </w:r>
          </w:p>
        </w:tc>
        <w:tc>
          <w:tcPr>
            <w:tcW w:w="1703" w:type="dxa"/>
            <w:gridSpan w:val="4"/>
            <w:tcBorders>
              <w:top w:val="single" w:sz="4" w:space="0" w:color="auto"/>
              <w:left w:val="single" w:sz="4" w:space="0" w:color="auto"/>
              <w:bottom w:val="single" w:sz="4" w:space="0" w:color="auto"/>
              <w:right w:val="single" w:sz="4" w:space="0" w:color="auto"/>
            </w:tcBorders>
          </w:tcPr>
          <w:p w14:paraId="4A4B790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Nº de cotistas</w:t>
            </w:r>
          </w:p>
        </w:tc>
        <w:tc>
          <w:tcPr>
            <w:tcW w:w="1085" w:type="dxa"/>
            <w:gridSpan w:val="4"/>
            <w:tcBorders>
              <w:top w:val="single" w:sz="4" w:space="0" w:color="auto"/>
              <w:left w:val="single" w:sz="4" w:space="0" w:color="auto"/>
              <w:bottom w:val="single" w:sz="4" w:space="0" w:color="auto"/>
              <w:right w:val="single" w:sz="4" w:space="0" w:color="auto"/>
            </w:tcBorders>
          </w:tcPr>
          <w:p w14:paraId="4C6E2947"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Nº de cotas detidas</w:t>
            </w:r>
          </w:p>
        </w:tc>
        <w:tc>
          <w:tcPr>
            <w:tcW w:w="1337" w:type="dxa"/>
            <w:gridSpan w:val="6"/>
            <w:tcBorders>
              <w:top w:val="single" w:sz="4" w:space="0" w:color="auto"/>
              <w:left w:val="single" w:sz="4" w:space="0" w:color="auto"/>
              <w:bottom w:val="single" w:sz="4" w:space="0" w:color="auto"/>
              <w:right w:val="single" w:sz="4" w:space="0" w:color="auto"/>
            </w:tcBorders>
          </w:tcPr>
          <w:p w14:paraId="393263AF"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 xml:space="preserve">% de cotas detido em relação ao </w:t>
            </w:r>
            <w:r w:rsidRPr="00B9471E">
              <w:rPr>
                <w:rFonts w:ascii="Calibri" w:eastAsia="Yu Mincho" w:hAnsi="Calibri" w:cs="Calibri"/>
                <w:b/>
                <w:lang w:eastAsia="pt-BR"/>
              </w:rPr>
              <w:lastRenderedPageBreak/>
              <w:t>total emitido</w:t>
            </w:r>
          </w:p>
        </w:tc>
        <w:tc>
          <w:tcPr>
            <w:tcW w:w="1474" w:type="dxa"/>
            <w:gridSpan w:val="3"/>
            <w:tcBorders>
              <w:top w:val="single" w:sz="4" w:space="0" w:color="auto"/>
              <w:left w:val="single" w:sz="4" w:space="0" w:color="auto"/>
              <w:bottom w:val="single" w:sz="4" w:space="0" w:color="auto"/>
              <w:right w:val="single" w:sz="4" w:space="0" w:color="auto"/>
            </w:tcBorders>
          </w:tcPr>
          <w:p w14:paraId="5D26F0B6"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lastRenderedPageBreak/>
              <w:t>% detido por PF</w:t>
            </w:r>
          </w:p>
        </w:tc>
        <w:tc>
          <w:tcPr>
            <w:tcW w:w="1922" w:type="dxa"/>
            <w:gridSpan w:val="2"/>
            <w:tcBorders>
              <w:top w:val="single" w:sz="4" w:space="0" w:color="auto"/>
              <w:left w:val="single" w:sz="4" w:space="0" w:color="auto"/>
              <w:bottom w:val="single" w:sz="4" w:space="0" w:color="auto"/>
              <w:right w:val="single" w:sz="4" w:space="0" w:color="auto"/>
            </w:tcBorders>
          </w:tcPr>
          <w:p w14:paraId="39ED628A"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 detido por PJ</w:t>
            </w:r>
          </w:p>
        </w:tc>
      </w:tr>
      <w:tr w:rsidR="00F461F9" w:rsidRPr="00B9471E" w14:paraId="72DA985B" w14:textId="77777777" w:rsidTr="003C7E27">
        <w:tc>
          <w:tcPr>
            <w:tcW w:w="642" w:type="dxa"/>
            <w:vMerge/>
          </w:tcPr>
          <w:p w14:paraId="4A31CA1F"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7323E5A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Até 5% das cotas</w:t>
            </w:r>
          </w:p>
        </w:tc>
        <w:tc>
          <w:tcPr>
            <w:tcW w:w="1703" w:type="dxa"/>
            <w:gridSpan w:val="4"/>
            <w:tcBorders>
              <w:top w:val="single" w:sz="4" w:space="0" w:color="auto"/>
              <w:left w:val="single" w:sz="4" w:space="0" w:color="auto"/>
              <w:bottom w:val="single" w:sz="4" w:space="0" w:color="auto"/>
              <w:right w:val="single" w:sz="4" w:space="0" w:color="auto"/>
            </w:tcBorders>
          </w:tcPr>
          <w:p w14:paraId="432ECC3A"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755DB7B1"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275CED59"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330A467A"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2C3E7350"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2378DA9" w14:textId="77777777" w:rsidTr="003C7E27">
        <w:tc>
          <w:tcPr>
            <w:tcW w:w="642" w:type="dxa"/>
            <w:vMerge/>
          </w:tcPr>
          <w:p w14:paraId="4713C229"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C0C765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5% até 10%</w:t>
            </w:r>
          </w:p>
        </w:tc>
        <w:tc>
          <w:tcPr>
            <w:tcW w:w="1703" w:type="dxa"/>
            <w:gridSpan w:val="4"/>
            <w:tcBorders>
              <w:top w:val="single" w:sz="4" w:space="0" w:color="auto"/>
              <w:left w:val="single" w:sz="4" w:space="0" w:color="auto"/>
              <w:bottom w:val="single" w:sz="4" w:space="0" w:color="auto"/>
              <w:right w:val="single" w:sz="4" w:space="0" w:color="auto"/>
            </w:tcBorders>
          </w:tcPr>
          <w:p w14:paraId="65249A1B"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4838E7FB"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4A2870C8"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0C7B9861"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7C916E0B"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94850CB" w14:textId="77777777" w:rsidTr="003C7E27">
        <w:tc>
          <w:tcPr>
            <w:tcW w:w="642" w:type="dxa"/>
            <w:vMerge/>
          </w:tcPr>
          <w:p w14:paraId="58427B5D"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09837914"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10% até 15%</w:t>
            </w:r>
          </w:p>
        </w:tc>
        <w:tc>
          <w:tcPr>
            <w:tcW w:w="1703" w:type="dxa"/>
            <w:gridSpan w:val="4"/>
            <w:tcBorders>
              <w:top w:val="single" w:sz="4" w:space="0" w:color="auto"/>
              <w:left w:val="single" w:sz="4" w:space="0" w:color="auto"/>
              <w:bottom w:val="single" w:sz="4" w:space="0" w:color="auto"/>
              <w:right w:val="single" w:sz="4" w:space="0" w:color="auto"/>
            </w:tcBorders>
          </w:tcPr>
          <w:p w14:paraId="13C8A306"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1322DDD9"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3BA577F1"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55F73589"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07CDB292"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7E745B0" w14:textId="77777777" w:rsidTr="003C7E27">
        <w:tc>
          <w:tcPr>
            <w:tcW w:w="642" w:type="dxa"/>
            <w:vMerge/>
          </w:tcPr>
          <w:p w14:paraId="66508011"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394E03F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15% até 20%</w:t>
            </w:r>
          </w:p>
        </w:tc>
        <w:tc>
          <w:tcPr>
            <w:tcW w:w="1703" w:type="dxa"/>
            <w:gridSpan w:val="4"/>
            <w:tcBorders>
              <w:top w:val="single" w:sz="4" w:space="0" w:color="auto"/>
              <w:left w:val="single" w:sz="4" w:space="0" w:color="auto"/>
              <w:bottom w:val="single" w:sz="4" w:space="0" w:color="auto"/>
              <w:right w:val="single" w:sz="4" w:space="0" w:color="auto"/>
            </w:tcBorders>
          </w:tcPr>
          <w:p w14:paraId="00FBC566"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55D08E47"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3CEF2AC9"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3E494307"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1B9D2D80"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4C995B2" w14:textId="77777777" w:rsidTr="003C7E27">
        <w:tc>
          <w:tcPr>
            <w:tcW w:w="642" w:type="dxa"/>
            <w:vMerge/>
          </w:tcPr>
          <w:p w14:paraId="7E6967FF"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2CC7939B"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20% até 30%</w:t>
            </w:r>
          </w:p>
        </w:tc>
        <w:tc>
          <w:tcPr>
            <w:tcW w:w="1703" w:type="dxa"/>
            <w:gridSpan w:val="4"/>
            <w:tcBorders>
              <w:top w:val="single" w:sz="4" w:space="0" w:color="auto"/>
              <w:left w:val="single" w:sz="4" w:space="0" w:color="auto"/>
              <w:bottom w:val="single" w:sz="4" w:space="0" w:color="auto"/>
              <w:right w:val="single" w:sz="4" w:space="0" w:color="auto"/>
            </w:tcBorders>
          </w:tcPr>
          <w:p w14:paraId="7F765F6C"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7B37A253"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205B402B"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67B96864"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EE6BC10"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054FC984" w14:textId="77777777" w:rsidTr="003C7E27">
        <w:tc>
          <w:tcPr>
            <w:tcW w:w="642" w:type="dxa"/>
            <w:vMerge/>
          </w:tcPr>
          <w:p w14:paraId="44808603"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11A1EB5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30% até 40%</w:t>
            </w:r>
          </w:p>
        </w:tc>
        <w:tc>
          <w:tcPr>
            <w:tcW w:w="1703" w:type="dxa"/>
            <w:gridSpan w:val="4"/>
            <w:tcBorders>
              <w:top w:val="single" w:sz="4" w:space="0" w:color="auto"/>
              <w:left w:val="single" w:sz="4" w:space="0" w:color="auto"/>
              <w:bottom w:val="single" w:sz="4" w:space="0" w:color="auto"/>
              <w:right w:val="single" w:sz="4" w:space="0" w:color="auto"/>
            </w:tcBorders>
          </w:tcPr>
          <w:p w14:paraId="0BCE6909"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08A03E7D"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0689E814"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7398F040"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D45AECD"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6FD99B80" w14:textId="77777777" w:rsidTr="003C7E27">
        <w:tc>
          <w:tcPr>
            <w:tcW w:w="642" w:type="dxa"/>
            <w:vMerge/>
          </w:tcPr>
          <w:p w14:paraId="60F274AA"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07281F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40% até 50%</w:t>
            </w:r>
          </w:p>
        </w:tc>
        <w:tc>
          <w:tcPr>
            <w:tcW w:w="1703" w:type="dxa"/>
            <w:gridSpan w:val="4"/>
            <w:tcBorders>
              <w:top w:val="single" w:sz="4" w:space="0" w:color="auto"/>
              <w:left w:val="single" w:sz="4" w:space="0" w:color="auto"/>
              <w:bottom w:val="single" w:sz="4" w:space="0" w:color="auto"/>
              <w:right w:val="single" w:sz="4" w:space="0" w:color="auto"/>
            </w:tcBorders>
          </w:tcPr>
          <w:p w14:paraId="53EFA868"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2C1C7DEA"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5C175592"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063A9A89"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11471ABE"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25C90B52" w14:textId="77777777" w:rsidTr="003C7E27">
        <w:tc>
          <w:tcPr>
            <w:tcW w:w="642" w:type="dxa"/>
            <w:vMerge/>
          </w:tcPr>
          <w:p w14:paraId="0A2F6B59"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5835F3E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Acima de 50%</w:t>
            </w:r>
          </w:p>
        </w:tc>
        <w:tc>
          <w:tcPr>
            <w:tcW w:w="1703" w:type="dxa"/>
            <w:gridSpan w:val="4"/>
            <w:tcBorders>
              <w:top w:val="single" w:sz="4" w:space="0" w:color="auto"/>
              <w:left w:val="single" w:sz="4" w:space="0" w:color="auto"/>
              <w:bottom w:val="single" w:sz="4" w:space="0" w:color="auto"/>
              <w:right w:val="single" w:sz="4" w:space="0" w:color="auto"/>
            </w:tcBorders>
          </w:tcPr>
          <w:p w14:paraId="28DA8BBC" w14:textId="77777777" w:rsidR="00F461F9" w:rsidRPr="00B9471E" w:rsidRDefault="00F461F9" w:rsidP="003C7E27">
            <w:pPr>
              <w:spacing w:after="0" w:line="240" w:lineRule="auto"/>
              <w:ind w:right="-1"/>
              <w:rPr>
                <w:rFonts w:ascii="Calibri" w:eastAsia="Yu Mincho" w:hAnsi="Calibri" w:cs="Calibri"/>
                <w:lang w:eastAsia="pt-BR"/>
              </w:rPr>
            </w:pPr>
          </w:p>
        </w:tc>
        <w:tc>
          <w:tcPr>
            <w:tcW w:w="1085" w:type="dxa"/>
            <w:gridSpan w:val="4"/>
            <w:tcBorders>
              <w:top w:val="single" w:sz="4" w:space="0" w:color="auto"/>
              <w:left w:val="single" w:sz="4" w:space="0" w:color="auto"/>
              <w:bottom w:val="single" w:sz="4" w:space="0" w:color="auto"/>
              <w:right w:val="single" w:sz="4" w:space="0" w:color="auto"/>
            </w:tcBorders>
          </w:tcPr>
          <w:p w14:paraId="632F6238"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2BD7DDA7"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135F2B4F"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50D2ECB"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0E3201D" w14:textId="77777777" w:rsidTr="003C7E27">
        <w:trPr>
          <w:trHeight w:hRule="exact" w:val="541"/>
        </w:trPr>
        <w:tc>
          <w:tcPr>
            <w:tcW w:w="642" w:type="dxa"/>
            <w:tcBorders>
              <w:top w:val="single" w:sz="4" w:space="0" w:color="auto"/>
              <w:left w:val="single" w:sz="4" w:space="0" w:color="auto"/>
              <w:bottom w:val="single" w:sz="4" w:space="0" w:color="auto"/>
              <w:right w:val="single" w:sz="4" w:space="0" w:color="auto"/>
            </w:tcBorders>
          </w:tcPr>
          <w:p w14:paraId="2CC42002"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14.</w:t>
            </w:r>
          </w:p>
        </w:tc>
        <w:tc>
          <w:tcPr>
            <w:tcW w:w="9554" w:type="dxa"/>
            <w:gridSpan w:val="20"/>
            <w:tcBorders>
              <w:top w:val="single" w:sz="4" w:space="0" w:color="auto"/>
              <w:left w:val="single" w:sz="4" w:space="0" w:color="auto"/>
              <w:bottom w:val="single" w:sz="4" w:space="0" w:color="auto"/>
              <w:right w:val="single" w:sz="4" w:space="0" w:color="auto"/>
            </w:tcBorders>
          </w:tcPr>
          <w:p w14:paraId="7B0CB0A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b/>
                <w:lang w:eastAsia="pt-BR"/>
              </w:rPr>
              <w:t xml:space="preserve">Transações a que se refere o art. </w:t>
            </w:r>
            <w:r w:rsidRPr="00B9471E">
              <w:rPr>
                <w:rFonts w:ascii="Calibri" w:eastAsia="Yu Mincho" w:hAnsi="Calibri" w:cs="Calibri"/>
                <w:b/>
                <w:bCs/>
                <w:lang w:eastAsia="pt-BR"/>
              </w:rPr>
              <w:t>31</w:t>
            </w:r>
            <w:r w:rsidRPr="00B9471E">
              <w:rPr>
                <w:rFonts w:ascii="Calibri" w:eastAsia="Yu Mincho" w:hAnsi="Calibri" w:cs="Calibri"/>
                <w:b/>
                <w:lang w:eastAsia="pt-BR"/>
              </w:rPr>
              <w:t xml:space="preserve"> e inciso </w:t>
            </w:r>
            <w:r w:rsidRPr="00B9471E">
              <w:rPr>
                <w:rFonts w:ascii="Calibri" w:eastAsia="Yu Mincho" w:hAnsi="Calibri" w:cs="Calibri"/>
                <w:b/>
                <w:bCs/>
                <w:lang w:eastAsia="pt-BR"/>
              </w:rPr>
              <w:t>IV</w:t>
            </w:r>
            <w:r w:rsidRPr="00B9471E">
              <w:rPr>
                <w:rFonts w:ascii="Calibri" w:eastAsia="Yu Mincho" w:hAnsi="Calibri" w:cs="Calibri"/>
                <w:b/>
                <w:lang w:eastAsia="pt-BR"/>
              </w:rPr>
              <w:t xml:space="preserve"> do art.</w:t>
            </w:r>
            <w:r w:rsidRPr="00B9471E">
              <w:rPr>
                <w:rFonts w:ascii="Calibri" w:eastAsia="Yu Mincho" w:hAnsi="Calibri" w:cs="Calibri"/>
                <w:b/>
                <w:bCs/>
                <w:lang w:eastAsia="pt-BR"/>
              </w:rPr>
              <w:t>32, do Anexo Normativo III</w:t>
            </w:r>
          </w:p>
        </w:tc>
      </w:tr>
      <w:tr w:rsidR="00F461F9" w:rsidRPr="00B9471E" w14:paraId="4D4A37BE" w14:textId="77777777" w:rsidTr="003C7E27">
        <w:trPr>
          <w:trHeight w:val="300"/>
        </w:trPr>
        <w:tc>
          <w:tcPr>
            <w:tcW w:w="642" w:type="dxa"/>
            <w:vMerge w:val="restart"/>
            <w:tcBorders>
              <w:top w:val="single" w:sz="4" w:space="0" w:color="auto"/>
              <w:left w:val="single" w:sz="4" w:space="0" w:color="auto"/>
              <w:right w:val="single" w:sz="4" w:space="0" w:color="auto"/>
            </w:tcBorders>
          </w:tcPr>
          <w:p w14:paraId="1453B9CD"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14.1</w:t>
            </w:r>
          </w:p>
        </w:tc>
        <w:tc>
          <w:tcPr>
            <w:tcW w:w="2033" w:type="dxa"/>
            <w:tcBorders>
              <w:top w:val="single" w:sz="4" w:space="0" w:color="auto"/>
              <w:left w:val="single" w:sz="4" w:space="0" w:color="auto"/>
              <w:bottom w:val="single" w:sz="4" w:space="0" w:color="auto"/>
              <w:right w:val="single" w:sz="4" w:space="0" w:color="auto"/>
            </w:tcBorders>
          </w:tcPr>
          <w:p w14:paraId="6B0BA8F7"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Ativo negociado</w:t>
            </w:r>
          </w:p>
        </w:tc>
        <w:tc>
          <w:tcPr>
            <w:tcW w:w="1466" w:type="dxa"/>
            <w:gridSpan w:val="3"/>
            <w:tcBorders>
              <w:top w:val="single" w:sz="4" w:space="0" w:color="auto"/>
              <w:left w:val="single" w:sz="4" w:space="0" w:color="auto"/>
              <w:bottom w:val="single" w:sz="4" w:space="0" w:color="auto"/>
              <w:right w:val="single" w:sz="4" w:space="0" w:color="auto"/>
            </w:tcBorders>
          </w:tcPr>
          <w:p w14:paraId="395DEE1D"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Natureza da transação (aquisição, alienação ou locação)</w:t>
            </w:r>
          </w:p>
        </w:tc>
        <w:tc>
          <w:tcPr>
            <w:tcW w:w="1322" w:type="dxa"/>
            <w:gridSpan w:val="5"/>
            <w:tcBorders>
              <w:top w:val="single" w:sz="4" w:space="0" w:color="auto"/>
              <w:left w:val="single" w:sz="4" w:space="0" w:color="auto"/>
              <w:bottom w:val="single" w:sz="4" w:space="0" w:color="auto"/>
              <w:right w:val="single" w:sz="4" w:space="0" w:color="auto"/>
            </w:tcBorders>
          </w:tcPr>
          <w:p w14:paraId="6384950A"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Data da transação</w:t>
            </w:r>
          </w:p>
        </w:tc>
        <w:tc>
          <w:tcPr>
            <w:tcW w:w="1337" w:type="dxa"/>
            <w:gridSpan w:val="6"/>
            <w:tcBorders>
              <w:top w:val="single" w:sz="4" w:space="0" w:color="auto"/>
              <w:left w:val="single" w:sz="4" w:space="0" w:color="auto"/>
              <w:bottom w:val="single" w:sz="4" w:space="0" w:color="auto"/>
              <w:right w:val="single" w:sz="4" w:space="0" w:color="auto"/>
            </w:tcBorders>
          </w:tcPr>
          <w:p w14:paraId="70569DE9"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Valor envolvido</w:t>
            </w:r>
          </w:p>
        </w:tc>
        <w:tc>
          <w:tcPr>
            <w:tcW w:w="1474" w:type="dxa"/>
            <w:gridSpan w:val="3"/>
            <w:tcBorders>
              <w:top w:val="single" w:sz="4" w:space="0" w:color="auto"/>
              <w:left w:val="single" w:sz="4" w:space="0" w:color="auto"/>
              <w:bottom w:val="single" w:sz="4" w:space="0" w:color="auto"/>
              <w:right w:val="single" w:sz="4" w:space="0" w:color="auto"/>
            </w:tcBorders>
          </w:tcPr>
          <w:p w14:paraId="45F4E875"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Data da assembleia de autorização</w:t>
            </w:r>
          </w:p>
        </w:tc>
        <w:tc>
          <w:tcPr>
            <w:tcW w:w="1922" w:type="dxa"/>
            <w:gridSpan w:val="2"/>
            <w:tcBorders>
              <w:top w:val="single" w:sz="4" w:space="0" w:color="auto"/>
              <w:left w:val="single" w:sz="4" w:space="0" w:color="auto"/>
              <w:bottom w:val="single" w:sz="4" w:space="0" w:color="auto"/>
              <w:right w:val="single" w:sz="4" w:space="0" w:color="auto"/>
            </w:tcBorders>
          </w:tcPr>
          <w:p w14:paraId="5F86B13C"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Contraparte</w:t>
            </w:r>
          </w:p>
        </w:tc>
      </w:tr>
      <w:tr w:rsidR="00F461F9" w:rsidRPr="00B9471E" w14:paraId="56C93D75" w14:textId="77777777" w:rsidTr="003C7E27">
        <w:tc>
          <w:tcPr>
            <w:tcW w:w="642" w:type="dxa"/>
            <w:vMerge/>
          </w:tcPr>
          <w:p w14:paraId="334951E9"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1ED821FA"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1</w:t>
            </w:r>
          </w:p>
        </w:tc>
        <w:tc>
          <w:tcPr>
            <w:tcW w:w="1466" w:type="dxa"/>
            <w:gridSpan w:val="3"/>
            <w:tcBorders>
              <w:top w:val="single" w:sz="4" w:space="0" w:color="auto"/>
              <w:left w:val="single" w:sz="4" w:space="0" w:color="auto"/>
              <w:bottom w:val="single" w:sz="4" w:space="0" w:color="auto"/>
              <w:right w:val="single" w:sz="4" w:space="0" w:color="auto"/>
            </w:tcBorders>
          </w:tcPr>
          <w:p w14:paraId="649C2E7D" w14:textId="77777777" w:rsidR="00F461F9" w:rsidRPr="00B9471E" w:rsidRDefault="00F461F9" w:rsidP="003C7E27">
            <w:pPr>
              <w:spacing w:after="0" w:line="240" w:lineRule="auto"/>
              <w:ind w:right="-1"/>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56B053DD"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458E390D"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7C2F738C"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370BB2B"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75D9A774" w14:textId="77777777" w:rsidTr="003C7E27">
        <w:tc>
          <w:tcPr>
            <w:tcW w:w="642" w:type="dxa"/>
            <w:vMerge/>
          </w:tcPr>
          <w:p w14:paraId="01478D5F"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31071D26"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2</w:t>
            </w:r>
          </w:p>
        </w:tc>
        <w:tc>
          <w:tcPr>
            <w:tcW w:w="1466" w:type="dxa"/>
            <w:gridSpan w:val="3"/>
            <w:tcBorders>
              <w:top w:val="single" w:sz="4" w:space="0" w:color="auto"/>
              <w:left w:val="single" w:sz="4" w:space="0" w:color="auto"/>
              <w:bottom w:val="single" w:sz="4" w:space="0" w:color="auto"/>
              <w:right w:val="single" w:sz="4" w:space="0" w:color="auto"/>
            </w:tcBorders>
          </w:tcPr>
          <w:p w14:paraId="78F61803" w14:textId="77777777" w:rsidR="00F461F9" w:rsidRPr="00B9471E" w:rsidRDefault="00F461F9" w:rsidP="003C7E27">
            <w:pPr>
              <w:spacing w:after="0" w:line="240" w:lineRule="auto"/>
              <w:ind w:right="-1"/>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1404354C"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007D6CC5"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66C271F8"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4C9B1DF9"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B52D32A" w14:textId="77777777" w:rsidTr="003C7E27">
        <w:tc>
          <w:tcPr>
            <w:tcW w:w="642" w:type="dxa"/>
            <w:vMerge/>
          </w:tcPr>
          <w:p w14:paraId="39FA10B7" w14:textId="77777777" w:rsidR="00F461F9" w:rsidRPr="00B9471E" w:rsidRDefault="00F461F9" w:rsidP="003C7E27">
            <w:pPr>
              <w:spacing w:after="0" w:line="240" w:lineRule="auto"/>
              <w:ind w:right="-1"/>
              <w:rPr>
                <w:rFonts w:ascii="Calibri" w:eastAsia="Times New Roman" w:hAnsi="Calibri" w:cs="Calibri"/>
                <w:b/>
                <w:lang w:eastAsia="pt-BR"/>
              </w:rPr>
            </w:pPr>
          </w:p>
        </w:tc>
        <w:tc>
          <w:tcPr>
            <w:tcW w:w="2033" w:type="dxa"/>
            <w:tcBorders>
              <w:top w:val="single" w:sz="4" w:space="0" w:color="auto"/>
              <w:left w:val="single" w:sz="4" w:space="0" w:color="auto"/>
              <w:bottom w:val="single" w:sz="4" w:space="0" w:color="auto"/>
              <w:right w:val="single" w:sz="4" w:space="0" w:color="auto"/>
            </w:tcBorders>
          </w:tcPr>
          <w:p w14:paraId="496014D2"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Ativo N</w:t>
            </w:r>
          </w:p>
        </w:tc>
        <w:tc>
          <w:tcPr>
            <w:tcW w:w="1466" w:type="dxa"/>
            <w:gridSpan w:val="3"/>
            <w:tcBorders>
              <w:top w:val="single" w:sz="4" w:space="0" w:color="auto"/>
              <w:left w:val="single" w:sz="4" w:space="0" w:color="auto"/>
              <w:bottom w:val="single" w:sz="4" w:space="0" w:color="auto"/>
              <w:right w:val="single" w:sz="4" w:space="0" w:color="auto"/>
            </w:tcBorders>
          </w:tcPr>
          <w:p w14:paraId="060B9C0D" w14:textId="77777777" w:rsidR="00F461F9" w:rsidRPr="00B9471E" w:rsidRDefault="00F461F9" w:rsidP="003C7E27">
            <w:pPr>
              <w:spacing w:after="0" w:line="240" w:lineRule="auto"/>
              <w:ind w:right="-1"/>
              <w:rPr>
                <w:rFonts w:ascii="Calibri" w:eastAsia="Yu Mincho" w:hAnsi="Calibri" w:cs="Calibri"/>
                <w:lang w:eastAsia="pt-BR"/>
              </w:rPr>
            </w:pPr>
          </w:p>
        </w:tc>
        <w:tc>
          <w:tcPr>
            <w:tcW w:w="1322" w:type="dxa"/>
            <w:gridSpan w:val="5"/>
            <w:tcBorders>
              <w:top w:val="single" w:sz="4" w:space="0" w:color="auto"/>
              <w:left w:val="single" w:sz="4" w:space="0" w:color="auto"/>
              <w:bottom w:val="single" w:sz="4" w:space="0" w:color="auto"/>
              <w:right w:val="single" w:sz="4" w:space="0" w:color="auto"/>
            </w:tcBorders>
          </w:tcPr>
          <w:p w14:paraId="066E5772" w14:textId="77777777" w:rsidR="00F461F9" w:rsidRPr="00B9471E" w:rsidRDefault="00F461F9" w:rsidP="003C7E27">
            <w:pPr>
              <w:spacing w:after="0" w:line="240" w:lineRule="auto"/>
              <w:ind w:right="-1"/>
              <w:rPr>
                <w:rFonts w:ascii="Calibri" w:eastAsia="Yu Mincho" w:hAnsi="Calibri" w:cs="Calibri"/>
                <w:lang w:eastAsia="pt-BR"/>
              </w:rPr>
            </w:pPr>
          </w:p>
        </w:tc>
        <w:tc>
          <w:tcPr>
            <w:tcW w:w="1337" w:type="dxa"/>
            <w:gridSpan w:val="6"/>
            <w:tcBorders>
              <w:top w:val="single" w:sz="4" w:space="0" w:color="auto"/>
              <w:left w:val="single" w:sz="4" w:space="0" w:color="auto"/>
              <w:bottom w:val="single" w:sz="4" w:space="0" w:color="auto"/>
              <w:right w:val="single" w:sz="4" w:space="0" w:color="auto"/>
            </w:tcBorders>
          </w:tcPr>
          <w:p w14:paraId="521D7725" w14:textId="77777777" w:rsidR="00F461F9" w:rsidRPr="00B9471E" w:rsidRDefault="00F461F9" w:rsidP="003C7E27">
            <w:pPr>
              <w:spacing w:after="0" w:line="240" w:lineRule="auto"/>
              <w:ind w:right="-1"/>
              <w:rPr>
                <w:rFonts w:ascii="Calibri" w:eastAsia="Yu Mincho" w:hAnsi="Calibri" w:cs="Calibri"/>
                <w:lang w:eastAsia="pt-BR"/>
              </w:rPr>
            </w:pPr>
          </w:p>
        </w:tc>
        <w:tc>
          <w:tcPr>
            <w:tcW w:w="1474" w:type="dxa"/>
            <w:gridSpan w:val="3"/>
            <w:tcBorders>
              <w:top w:val="single" w:sz="4" w:space="0" w:color="auto"/>
              <w:left w:val="single" w:sz="4" w:space="0" w:color="auto"/>
              <w:bottom w:val="single" w:sz="4" w:space="0" w:color="auto"/>
              <w:right w:val="single" w:sz="4" w:space="0" w:color="auto"/>
            </w:tcBorders>
          </w:tcPr>
          <w:p w14:paraId="4F70B243" w14:textId="77777777" w:rsidR="00F461F9" w:rsidRPr="00B9471E" w:rsidRDefault="00F461F9" w:rsidP="003C7E27">
            <w:pPr>
              <w:spacing w:after="0" w:line="240" w:lineRule="auto"/>
              <w:ind w:right="-1"/>
              <w:rPr>
                <w:rFonts w:ascii="Calibri" w:eastAsia="Yu Mincho" w:hAnsi="Calibri" w:cs="Calibri"/>
                <w:lang w:eastAsia="pt-BR"/>
              </w:rPr>
            </w:pPr>
          </w:p>
        </w:tc>
        <w:tc>
          <w:tcPr>
            <w:tcW w:w="1922" w:type="dxa"/>
            <w:gridSpan w:val="2"/>
            <w:tcBorders>
              <w:top w:val="single" w:sz="4" w:space="0" w:color="auto"/>
              <w:left w:val="single" w:sz="4" w:space="0" w:color="auto"/>
              <w:bottom w:val="single" w:sz="4" w:space="0" w:color="auto"/>
              <w:right w:val="single" w:sz="4" w:space="0" w:color="auto"/>
            </w:tcBorders>
          </w:tcPr>
          <w:p w14:paraId="31739CCB" w14:textId="77777777" w:rsidR="00F461F9" w:rsidRPr="00B9471E" w:rsidRDefault="00F461F9" w:rsidP="003C7E27">
            <w:pPr>
              <w:spacing w:after="0" w:line="240" w:lineRule="auto"/>
              <w:ind w:right="-1"/>
              <w:rPr>
                <w:rFonts w:ascii="Calibri" w:eastAsia="Yu Mincho" w:hAnsi="Calibri" w:cs="Calibri"/>
                <w:lang w:eastAsia="pt-BR"/>
              </w:rPr>
            </w:pPr>
          </w:p>
        </w:tc>
      </w:tr>
      <w:tr w:rsidR="00F461F9" w:rsidRPr="00B9471E" w14:paraId="3723F148" w14:textId="77777777" w:rsidTr="003C7E27">
        <w:trPr>
          <w:trHeight w:hRule="exact" w:val="492"/>
        </w:trPr>
        <w:tc>
          <w:tcPr>
            <w:tcW w:w="642" w:type="dxa"/>
            <w:tcBorders>
              <w:top w:val="single" w:sz="4" w:space="0" w:color="auto"/>
              <w:left w:val="single" w:sz="4" w:space="0" w:color="auto"/>
              <w:bottom w:val="single" w:sz="4" w:space="0" w:color="auto"/>
              <w:right w:val="single" w:sz="4" w:space="0" w:color="auto"/>
            </w:tcBorders>
          </w:tcPr>
          <w:p w14:paraId="737BCDAB" w14:textId="77777777" w:rsidR="00F461F9" w:rsidRPr="00B9471E" w:rsidRDefault="00F461F9" w:rsidP="003C7E27">
            <w:pPr>
              <w:spacing w:after="0" w:line="240" w:lineRule="auto"/>
              <w:ind w:right="-1"/>
              <w:rPr>
                <w:rFonts w:ascii="Calibri" w:eastAsia="Yu Mincho" w:hAnsi="Calibri" w:cs="Calibri"/>
                <w:b/>
                <w:lang w:eastAsia="pt-BR"/>
              </w:rPr>
            </w:pPr>
            <w:r w:rsidRPr="00B9471E">
              <w:rPr>
                <w:rFonts w:ascii="Calibri" w:eastAsia="Yu Mincho" w:hAnsi="Calibri" w:cs="Calibri"/>
                <w:b/>
                <w:lang w:eastAsia="pt-BR"/>
              </w:rPr>
              <w:t>15.</w:t>
            </w:r>
          </w:p>
        </w:tc>
        <w:tc>
          <w:tcPr>
            <w:tcW w:w="9554" w:type="dxa"/>
            <w:gridSpan w:val="20"/>
            <w:tcBorders>
              <w:top w:val="single" w:sz="4" w:space="0" w:color="auto"/>
              <w:left w:val="single" w:sz="4" w:space="0" w:color="auto"/>
              <w:bottom w:val="single" w:sz="4" w:space="0" w:color="auto"/>
              <w:right w:val="single" w:sz="4" w:space="0" w:color="auto"/>
            </w:tcBorders>
          </w:tcPr>
          <w:p w14:paraId="6F8E0A0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b/>
                <w:lang w:eastAsia="pt-BR"/>
              </w:rPr>
              <w:t>Política de divulgação de informações</w:t>
            </w:r>
          </w:p>
        </w:tc>
      </w:tr>
      <w:tr w:rsidR="00F461F9" w:rsidRPr="00B9471E" w14:paraId="24CE7B6E" w14:textId="77777777" w:rsidTr="003C7E27">
        <w:trPr>
          <w:trHeight w:val="845"/>
        </w:trPr>
        <w:tc>
          <w:tcPr>
            <w:tcW w:w="642" w:type="dxa"/>
            <w:tcBorders>
              <w:top w:val="single" w:sz="4" w:space="0" w:color="auto"/>
              <w:left w:val="single" w:sz="4" w:space="0" w:color="auto"/>
              <w:right w:val="single" w:sz="4" w:space="0" w:color="auto"/>
            </w:tcBorders>
          </w:tcPr>
          <w:p w14:paraId="78EC344A"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15.1</w:t>
            </w:r>
          </w:p>
        </w:tc>
        <w:tc>
          <w:tcPr>
            <w:tcW w:w="9554" w:type="dxa"/>
            <w:gridSpan w:val="20"/>
            <w:tcBorders>
              <w:top w:val="single" w:sz="4" w:space="0" w:color="auto"/>
              <w:left w:val="single" w:sz="4" w:space="0" w:color="auto"/>
              <w:right w:val="single" w:sz="4" w:space="0" w:color="auto"/>
            </w:tcBorders>
          </w:tcPr>
          <w:p w14:paraId="189EF29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xml:space="preserve">Descrever a política de divulgação de ato ou fato relevante adotada pelo administrador,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correspondente da página do administrador na rede mundial de computadores, indicando os procedimentos relativos à manutenção de sigilo acerca de informações relevantes não divulgadas, locais onde estarão disponíveis tais informações, entre outros aspectos.</w:t>
            </w:r>
          </w:p>
        </w:tc>
      </w:tr>
      <w:tr w:rsidR="00F461F9" w:rsidRPr="00B9471E" w14:paraId="487EB55E" w14:textId="77777777" w:rsidTr="003C7E27">
        <w:trPr>
          <w:trHeight w:val="845"/>
        </w:trPr>
        <w:tc>
          <w:tcPr>
            <w:tcW w:w="642" w:type="dxa"/>
            <w:tcBorders>
              <w:top w:val="single" w:sz="4" w:space="0" w:color="auto"/>
              <w:left w:val="single" w:sz="4" w:space="0" w:color="auto"/>
              <w:right w:val="single" w:sz="4" w:space="0" w:color="auto"/>
            </w:tcBorders>
          </w:tcPr>
          <w:p w14:paraId="2061F13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15.2</w:t>
            </w:r>
          </w:p>
        </w:tc>
        <w:tc>
          <w:tcPr>
            <w:tcW w:w="9554" w:type="dxa"/>
            <w:gridSpan w:val="20"/>
            <w:tcBorders>
              <w:top w:val="single" w:sz="4" w:space="0" w:color="auto"/>
              <w:left w:val="single" w:sz="4" w:space="0" w:color="auto"/>
              <w:right w:val="single" w:sz="4" w:space="0" w:color="auto"/>
            </w:tcBorders>
          </w:tcPr>
          <w:p w14:paraId="6870BFE5"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xml:space="preserve">Descrever a política de negociação de cotas da classe, se houver,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correspondente da página do administrador na rede mundial de computadores.</w:t>
            </w:r>
          </w:p>
        </w:tc>
      </w:tr>
      <w:tr w:rsidR="00F461F9" w:rsidRPr="00B9471E" w14:paraId="53B4BC35" w14:textId="77777777" w:rsidTr="003C7E27">
        <w:trPr>
          <w:trHeight w:val="845"/>
        </w:trPr>
        <w:tc>
          <w:tcPr>
            <w:tcW w:w="642" w:type="dxa"/>
            <w:tcBorders>
              <w:top w:val="single" w:sz="4" w:space="0" w:color="auto"/>
              <w:left w:val="single" w:sz="4" w:space="0" w:color="auto"/>
              <w:right w:val="single" w:sz="4" w:space="0" w:color="auto"/>
            </w:tcBorders>
          </w:tcPr>
          <w:p w14:paraId="4000B6A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15.3</w:t>
            </w:r>
          </w:p>
        </w:tc>
        <w:tc>
          <w:tcPr>
            <w:tcW w:w="9554" w:type="dxa"/>
            <w:gridSpan w:val="20"/>
            <w:tcBorders>
              <w:top w:val="single" w:sz="4" w:space="0" w:color="auto"/>
              <w:left w:val="single" w:sz="4" w:space="0" w:color="auto"/>
              <w:right w:val="single" w:sz="4" w:space="0" w:color="auto"/>
            </w:tcBorders>
          </w:tcPr>
          <w:p w14:paraId="766D21C0"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 xml:space="preserve">Descrever a política de exercício do direito de voto em participações societárias da classe, ou disponibilizar o </w:t>
            </w:r>
            <w:r w:rsidRPr="00966D39">
              <w:rPr>
                <w:rFonts w:ascii="Calibri" w:eastAsia="Yu Mincho" w:hAnsi="Calibri" w:cs="Calibri"/>
                <w:b/>
                <w:lang w:eastAsia="pt-BR"/>
              </w:rPr>
              <w:t>link</w:t>
            </w:r>
            <w:r w:rsidRPr="00B9471E">
              <w:rPr>
                <w:rFonts w:ascii="Calibri" w:eastAsia="Yu Mincho" w:hAnsi="Calibri" w:cs="Calibri"/>
                <w:lang w:eastAsia="pt-BR"/>
              </w:rPr>
              <w:t xml:space="preserve"> na rede mundial de computadores.</w:t>
            </w:r>
          </w:p>
        </w:tc>
      </w:tr>
      <w:tr w:rsidR="00F461F9" w:rsidRPr="00B9471E" w14:paraId="1591E203" w14:textId="77777777" w:rsidTr="003C7E27">
        <w:trPr>
          <w:trHeight w:val="701"/>
        </w:trPr>
        <w:tc>
          <w:tcPr>
            <w:tcW w:w="642" w:type="dxa"/>
            <w:tcBorders>
              <w:top w:val="single" w:sz="4" w:space="0" w:color="auto"/>
              <w:left w:val="single" w:sz="4" w:space="0" w:color="auto"/>
              <w:bottom w:val="single" w:sz="4" w:space="0" w:color="auto"/>
              <w:right w:val="single" w:sz="4" w:space="0" w:color="auto"/>
            </w:tcBorders>
          </w:tcPr>
          <w:p w14:paraId="57A52807"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15.4</w:t>
            </w:r>
          </w:p>
        </w:tc>
        <w:tc>
          <w:tcPr>
            <w:tcW w:w="9554" w:type="dxa"/>
            <w:gridSpan w:val="20"/>
            <w:tcBorders>
              <w:top w:val="single" w:sz="4" w:space="0" w:color="auto"/>
              <w:left w:val="single" w:sz="4" w:space="0" w:color="auto"/>
              <w:bottom w:val="single" w:sz="4" w:space="0" w:color="auto"/>
              <w:right w:val="single" w:sz="4" w:space="0" w:color="auto"/>
            </w:tcBorders>
          </w:tcPr>
          <w:p w14:paraId="75FD682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lang w:eastAsia="pt-BR"/>
              </w:rPr>
              <w:t>Relacionar os funcionários responsáveis pela implantação, manutenção, avaliação e fiscalização da política de divulgação de informações, se for o caso.</w:t>
            </w:r>
          </w:p>
        </w:tc>
      </w:tr>
      <w:tr w:rsidR="00F461F9" w:rsidRPr="00B9471E" w14:paraId="610570F8" w14:textId="77777777" w:rsidTr="003C7E27">
        <w:trPr>
          <w:trHeight w:val="493"/>
        </w:trPr>
        <w:tc>
          <w:tcPr>
            <w:tcW w:w="642" w:type="dxa"/>
            <w:tcBorders>
              <w:top w:val="single" w:sz="4" w:space="0" w:color="auto"/>
              <w:left w:val="single" w:sz="4" w:space="0" w:color="auto"/>
              <w:right w:val="single" w:sz="4" w:space="0" w:color="auto"/>
            </w:tcBorders>
          </w:tcPr>
          <w:p w14:paraId="18983CF9"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b/>
                <w:lang w:eastAsia="pt-BR"/>
              </w:rPr>
              <w:t>16.</w:t>
            </w:r>
          </w:p>
        </w:tc>
        <w:tc>
          <w:tcPr>
            <w:tcW w:w="9554" w:type="dxa"/>
            <w:gridSpan w:val="20"/>
            <w:tcBorders>
              <w:top w:val="single" w:sz="4" w:space="0" w:color="auto"/>
              <w:left w:val="single" w:sz="4" w:space="0" w:color="auto"/>
              <w:right w:val="single" w:sz="4" w:space="0" w:color="auto"/>
            </w:tcBorders>
          </w:tcPr>
          <w:p w14:paraId="2367D28F" w14:textId="77777777" w:rsidR="00F461F9" w:rsidRPr="00B9471E" w:rsidRDefault="00F461F9" w:rsidP="003C7E27">
            <w:pPr>
              <w:spacing w:after="0" w:line="240" w:lineRule="auto"/>
              <w:ind w:right="-1"/>
              <w:rPr>
                <w:rFonts w:ascii="Calibri" w:eastAsia="Yu Mincho" w:hAnsi="Calibri" w:cs="Calibri"/>
                <w:lang w:eastAsia="pt-BR"/>
              </w:rPr>
            </w:pPr>
            <w:r w:rsidRPr="00B9471E">
              <w:rPr>
                <w:rFonts w:ascii="Calibri" w:eastAsia="Yu Mincho" w:hAnsi="Calibri" w:cs="Calibri"/>
                <w:b/>
                <w:lang w:eastAsia="pt-BR"/>
              </w:rPr>
              <w:t>Regras e prazos para chamada de capital:</w:t>
            </w:r>
          </w:p>
        </w:tc>
      </w:tr>
    </w:tbl>
    <w:p w14:paraId="404F63F4" w14:textId="28CBBCB3" w:rsidR="008C5242" w:rsidRPr="00F461F9" w:rsidRDefault="00F461F9" w:rsidP="00457375">
      <w:pPr>
        <w:tabs>
          <w:tab w:val="left" w:pos="3795"/>
        </w:tabs>
        <w:spacing w:after="0"/>
        <w:rPr>
          <w:rFonts w:asciiTheme="minorHAnsi" w:eastAsiaTheme="minorHAnsi" w:hAnsiTheme="minorHAnsi" w:cstheme="minorHAnsi"/>
        </w:rPr>
      </w:pPr>
      <w:r w:rsidRPr="00F461F9">
        <w:rPr>
          <w:rFonts w:asciiTheme="minorHAnsi" w:eastAsiaTheme="minorEastAsia" w:hAnsiTheme="minorHAnsi" w:cstheme="minorHAnsi"/>
        </w:rPr>
        <w:lastRenderedPageBreak/>
        <w:t>Nota: A relação de prestadores de serviços de que trata o item 1.8 deve ser indicada quando o referido prestador de serviços representar mais de 5% das despesas do FII.</w:t>
      </w:r>
    </w:p>
    <w:p w14:paraId="0BC718DC" w14:textId="220B27E1" w:rsidR="008C5242" w:rsidRPr="004B30F6" w:rsidRDefault="00F461F9" w:rsidP="00F461F9">
      <w:pPr>
        <w:pStyle w:val="PargrafodaLista"/>
        <w:numPr>
          <w:ilvl w:val="0"/>
          <w:numId w:val="13"/>
        </w:numPr>
        <w:spacing w:before="120" w:after="120" w:line="312" w:lineRule="auto"/>
        <w:ind w:left="284" w:hanging="142"/>
        <w:jc w:val="both"/>
      </w:pPr>
      <w:r>
        <w:rPr>
          <w:rFonts w:cstheme="minorHAnsi"/>
          <w:b/>
          <w:i/>
          <w:sz w:val="24"/>
          <w:szCs w:val="24"/>
        </w:rPr>
        <w:t xml:space="preserve">Suplemento K </w:t>
      </w:r>
      <w:r w:rsidRPr="0045288F">
        <w:rPr>
          <w:rFonts w:cstheme="minorHAnsi"/>
          <w:b/>
          <w:i/>
          <w:sz w:val="24"/>
          <w:szCs w:val="24"/>
        </w:rPr>
        <w:t>incluído pela Resolução CVM nº 184, de 31 de maio de 2023.</w:t>
      </w:r>
    </w:p>
    <w:p w14:paraId="43F01AEF" w14:textId="77777777" w:rsidR="004B30F6" w:rsidRDefault="004B30F6" w:rsidP="00F461F9">
      <w:pPr>
        <w:pStyle w:val="PargrafodaLista"/>
        <w:numPr>
          <w:ilvl w:val="0"/>
          <w:numId w:val="13"/>
        </w:numPr>
        <w:spacing w:before="120" w:after="120" w:line="312" w:lineRule="auto"/>
        <w:ind w:left="284" w:hanging="142"/>
        <w:jc w:val="both"/>
      </w:pPr>
    </w:p>
    <w:p w14:paraId="1B2C7F43" w14:textId="77777777" w:rsidR="004B30F6" w:rsidRDefault="004B30F6" w:rsidP="00457375">
      <w:pPr>
        <w:tabs>
          <w:tab w:val="left" w:pos="3795"/>
        </w:tabs>
        <w:spacing w:after="0"/>
        <w:rPr>
          <w:rFonts w:asciiTheme="minorHAnsi" w:eastAsiaTheme="minorHAnsi" w:hAnsiTheme="minorHAnsi" w:cstheme="minorBidi"/>
        </w:rPr>
        <w:sectPr w:rsidR="004B30F6" w:rsidSect="002A08BD">
          <w:headerReference w:type="default" r:id="rId48"/>
          <w:pgSz w:w="11906" w:h="16838"/>
          <w:pgMar w:top="2268" w:right="567" w:bottom="851" w:left="1134" w:header="709" w:footer="709" w:gutter="0"/>
          <w:cols w:space="708"/>
          <w:docGrid w:linePitch="360"/>
        </w:sectPr>
      </w:pPr>
    </w:p>
    <w:p w14:paraId="4D1A32D4" w14:textId="77777777" w:rsidR="004B30F6" w:rsidRPr="004B30F6" w:rsidRDefault="004B30F6" w:rsidP="004B30F6">
      <w:pPr>
        <w:pStyle w:val="Ttulo1"/>
        <w:spacing w:before="0" w:after="0" w:line="240" w:lineRule="auto"/>
        <w:jc w:val="center"/>
        <w:rPr>
          <w:rFonts w:asciiTheme="minorHAnsi" w:hAnsiTheme="minorHAnsi" w:cstheme="minorHAnsi"/>
          <w:sz w:val="24"/>
          <w:szCs w:val="24"/>
        </w:rPr>
      </w:pPr>
      <w:bookmarkStart w:id="1515" w:name="_Toc161141457"/>
      <w:r w:rsidRPr="004B30F6">
        <w:rPr>
          <w:rFonts w:asciiTheme="minorHAnsi" w:hAnsiTheme="minorHAnsi" w:cstheme="minorHAnsi"/>
          <w:sz w:val="24"/>
          <w:szCs w:val="24"/>
        </w:rPr>
        <w:lastRenderedPageBreak/>
        <w:t>SUPLEMENTO L – INFORME QUADRIMESTRAL – FIP</w:t>
      </w:r>
      <w:bookmarkEnd w:id="1515"/>
    </w:p>
    <w:p w14:paraId="011CDE70" w14:textId="77777777" w:rsidR="004B30F6" w:rsidRPr="004B30F6" w:rsidRDefault="004B30F6" w:rsidP="004B30F6">
      <w:pPr>
        <w:spacing w:after="0"/>
        <w:ind w:left="709"/>
        <w:jc w:val="center"/>
        <w:rPr>
          <w:rFonts w:asciiTheme="minorHAnsi" w:hAnsiTheme="minorHAnsi" w:cstheme="minorHAnsi"/>
          <w:i/>
          <w:sz w:val="24"/>
          <w:szCs w:val="24"/>
        </w:rPr>
      </w:pPr>
      <w:r w:rsidRPr="004B30F6">
        <w:rPr>
          <w:rFonts w:asciiTheme="minorHAnsi" w:hAnsiTheme="minorHAnsi" w:cstheme="minorHAnsi"/>
          <w:i/>
          <w:sz w:val="24"/>
          <w:szCs w:val="24"/>
        </w:rPr>
        <w:t>Conteúdo do Informe Quadrimestral, conforme previsto no art. 29, inciso I do Anexo Normativo IV</w:t>
      </w:r>
    </w:p>
    <w:p w14:paraId="4B8E25FC" w14:textId="77777777" w:rsidR="004B30F6" w:rsidRDefault="004B30F6" w:rsidP="004B30F6">
      <w:pPr>
        <w:spacing w:after="0" w:line="240" w:lineRule="auto"/>
        <w:ind w:right="-1"/>
        <w:rPr>
          <w:rFonts w:eastAsiaTheme="minorEastAsi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6274"/>
      </w:tblGrid>
      <w:tr w:rsidR="004B30F6" w:rsidRPr="0095185D" w14:paraId="252E7CFA" w14:textId="77777777" w:rsidTr="003C7E27">
        <w:tc>
          <w:tcPr>
            <w:tcW w:w="4069" w:type="dxa"/>
            <w:vAlign w:val="center"/>
          </w:tcPr>
          <w:p w14:paraId="27541056"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Nome do fundo:</w:t>
            </w:r>
          </w:p>
        </w:tc>
        <w:tc>
          <w:tcPr>
            <w:tcW w:w="6274" w:type="dxa"/>
            <w:vAlign w:val="center"/>
          </w:tcPr>
          <w:p w14:paraId="5F0385BD"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CNPJ do Fundo</w:t>
            </w:r>
            <w:r w:rsidRPr="0095185D">
              <w:rPr>
                <w:rFonts w:ascii="Calibri" w:hAnsi="Calibri" w:cs="Calibri"/>
                <w:lang w:eastAsia="pt-BR"/>
              </w:rPr>
              <w:t>:</w:t>
            </w:r>
          </w:p>
        </w:tc>
      </w:tr>
      <w:tr w:rsidR="004B30F6" w:rsidRPr="0095185D" w14:paraId="3B8B7DAE" w14:textId="77777777" w:rsidTr="003C7E27">
        <w:tc>
          <w:tcPr>
            <w:tcW w:w="4069" w:type="dxa"/>
            <w:vAlign w:val="center"/>
          </w:tcPr>
          <w:p w14:paraId="037D4A15" w14:textId="77777777" w:rsidR="004B30F6" w:rsidRPr="0095185D" w:rsidRDefault="004B30F6" w:rsidP="003C7E27">
            <w:pPr>
              <w:spacing w:after="0" w:line="240" w:lineRule="auto"/>
              <w:rPr>
                <w:rFonts w:ascii="Calibri" w:hAnsi="Calibri"/>
                <w:lang w:eastAsia="pt-BR"/>
              </w:rPr>
            </w:pPr>
            <w:r>
              <w:rPr>
                <w:rFonts w:ascii="Calibri" w:hAnsi="Calibri" w:cs="Calibri"/>
                <w:lang w:eastAsia="pt-BR"/>
              </w:rPr>
              <w:t>Nome da classe (se houver)</w:t>
            </w:r>
          </w:p>
        </w:tc>
        <w:tc>
          <w:tcPr>
            <w:tcW w:w="6274" w:type="dxa"/>
            <w:vAlign w:val="center"/>
          </w:tcPr>
          <w:p w14:paraId="788FB123" w14:textId="77777777" w:rsidR="004B30F6" w:rsidRPr="0095185D" w:rsidRDefault="004B30F6" w:rsidP="003C7E27">
            <w:pPr>
              <w:spacing w:after="0" w:line="240" w:lineRule="auto"/>
              <w:rPr>
                <w:rFonts w:ascii="Calibri" w:hAnsi="Calibri" w:cs="Calibri"/>
                <w:lang w:eastAsia="pt-BR"/>
              </w:rPr>
            </w:pPr>
            <w:r w:rsidRPr="0095185D">
              <w:rPr>
                <w:rFonts w:ascii="Calibri" w:hAnsi="Calibri" w:cs="Calibri"/>
                <w:lang w:eastAsia="pt-BR"/>
              </w:rPr>
              <w:t>CNPJ da classe (se houver)</w:t>
            </w:r>
          </w:p>
        </w:tc>
      </w:tr>
      <w:tr w:rsidR="004B30F6" w:rsidRPr="0095185D" w14:paraId="3FC73008" w14:textId="77777777" w:rsidTr="003C7E27">
        <w:tc>
          <w:tcPr>
            <w:tcW w:w="10343" w:type="dxa"/>
            <w:gridSpan w:val="2"/>
            <w:vAlign w:val="center"/>
          </w:tcPr>
          <w:p w14:paraId="716160B0" w14:textId="77777777" w:rsidR="004B30F6" w:rsidRPr="0095185D" w:rsidRDefault="004B30F6" w:rsidP="003C7E27">
            <w:pPr>
              <w:spacing w:after="0" w:line="240" w:lineRule="auto"/>
              <w:rPr>
                <w:rFonts w:ascii="Calibri" w:hAnsi="Calibri" w:cs="Arial"/>
                <w:lang w:eastAsia="pt-BR"/>
              </w:rPr>
            </w:pPr>
            <w:r w:rsidRPr="0095185D">
              <w:rPr>
                <w:rFonts w:ascii="Calibri" w:hAnsi="Calibri" w:cs="Arial"/>
                <w:lang w:eastAsia="pt-BR"/>
              </w:rPr>
              <w:t>Tipificação (art. 13</w:t>
            </w:r>
            <w:r>
              <w:rPr>
                <w:rFonts w:ascii="Calibri" w:hAnsi="Calibri" w:cs="Arial"/>
                <w:lang w:eastAsia="pt-BR"/>
              </w:rPr>
              <w:t xml:space="preserve"> do Anexo Normativo IV</w:t>
            </w:r>
            <w:r w:rsidRPr="0095185D">
              <w:rPr>
                <w:rFonts w:ascii="Calibri" w:hAnsi="Calibri" w:cs="Arial"/>
                <w:lang w:eastAsia="pt-BR"/>
              </w:rPr>
              <w:t xml:space="preserve">): </w:t>
            </w:r>
          </w:p>
        </w:tc>
      </w:tr>
      <w:tr w:rsidR="004B30F6" w:rsidRPr="0095185D" w14:paraId="75598EA5" w14:textId="77777777" w:rsidTr="003C7E27">
        <w:tc>
          <w:tcPr>
            <w:tcW w:w="10343" w:type="dxa"/>
            <w:gridSpan w:val="2"/>
            <w:vAlign w:val="center"/>
          </w:tcPr>
          <w:p w14:paraId="578A728E"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Entidade de Investimento: Sim/Não</w:t>
            </w:r>
          </w:p>
        </w:tc>
      </w:tr>
      <w:tr w:rsidR="004B30F6" w:rsidRPr="0095185D" w14:paraId="423947D4" w14:textId="77777777" w:rsidTr="003C7E27">
        <w:tc>
          <w:tcPr>
            <w:tcW w:w="10343" w:type="dxa"/>
            <w:gridSpan w:val="2"/>
            <w:vAlign w:val="center"/>
          </w:tcPr>
          <w:p w14:paraId="07C240B6"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Público</w:t>
            </w:r>
            <w:r w:rsidRPr="0095185D">
              <w:rPr>
                <w:rFonts w:ascii="Calibri" w:hAnsi="Calibri" w:cs="Calibri"/>
                <w:lang w:eastAsia="pt-BR"/>
              </w:rPr>
              <w:t>-</w:t>
            </w:r>
            <w:r w:rsidRPr="0095185D">
              <w:rPr>
                <w:rFonts w:ascii="Calibri" w:hAnsi="Calibri"/>
                <w:lang w:eastAsia="pt-BR"/>
              </w:rPr>
              <w:t>alvo: Investidores qualificados/Somente investidores profissionais</w:t>
            </w:r>
          </w:p>
        </w:tc>
      </w:tr>
      <w:tr w:rsidR="004B30F6" w:rsidRPr="0095185D" w14:paraId="6135A218" w14:textId="77777777" w:rsidTr="003C7E27">
        <w:tc>
          <w:tcPr>
            <w:tcW w:w="4069" w:type="dxa"/>
            <w:vAlign w:val="center"/>
          </w:tcPr>
          <w:p w14:paraId="2A857552"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Nome do Administrador</w:t>
            </w:r>
            <w:r w:rsidRPr="0095185D">
              <w:rPr>
                <w:rFonts w:ascii="Calibri" w:hAnsi="Calibri" w:cs="Calibri"/>
                <w:lang w:eastAsia="pt-BR"/>
              </w:rPr>
              <w:t>:</w:t>
            </w:r>
            <w:r w:rsidRPr="0095185D">
              <w:rPr>
                <w:rFonts w:ascii="Calibri" w:hAnsi="Calibri"/>
                <w:lang w:eastAsia="pt-BR"/>
              </w:rPr>
              <w:t xml:space="preserve"> </w:t>
            </w:r>
          </w:p>
        </w:tc>
        <w:tc>
          <w:tcPr>
            <w:tcW w:w="6274" w:type="dxa"/>
            <w:vAlign w:val="center"/>
          </w:tcPr>
          <w:p w14:paraId="5CF29471"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CNPJ do Administrador</w:t>
            </w:r>
            <w:r w:rsidRPr="0095185D">
              <w:rPr>
                <w:rFonts w:ascii="Calibri" w:hAnsi="Calibri" w:cs="Calibri"/>
                <w:lang w:eastAsia="pt-BR"/>
              </w:rPr>
              <w:t>:</w:t>
            </w:r>
          </w:p>
        </w:tc>
      </w:tr>
      <w:tr w:rsidR="004B30F6" w:rsidRPr="0095185D" w14:paraId="2BD78EF3" w14:textId="77777777" w:rsidTr="003C7E27">
        <w:tc>
          <w:tcPr>
            <w:tcW w:w="10343" w:type="dxa"/>
            <w:gridSpan w:val="2"/>
            <w:vAlign w:val="center"/>
          </w:tcPr>
          <w:p w14:paraId="619853E6"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Diretor responsável:</w:t>
            </w:r>
          </w:p>
        </w:tc>
      </w:tr>
      <w:tr w:rsidR="004B30F6" w:rsidRPr="0095185D" w14:paraId="4B0A2644" w14:textId="77777777" w:rsidTr="003C7E27">
        <w:tc>
          <w:tcPr>
            <w:tcW w:w="10343" w:type="dxa"/>
            <w:gridSpan w:val="2"/>
            <w:vAlign w:val="center"/>
          </w:tcPr>
          <w:p w14:paraId="0793C571" w14:textId="77777777" w:rsidR="004B30F6" w:rsidRPr="0095185D" w:rsidRDefault="004B30F6" w:rsidP="003C7E27">
            <w:pPr>
              <w:spacing w:after="0" w:line="240" w:lineRule="auto"/>
              <w:rPr>
                <w:rFonts w:ascii="Calibri" w:hAnsi="Calibri"/>
                <w:lang w:eastAsia="pt-BR"/>
              </w:rPr>
            </w:pPr>
            <w:r w:rsidRPr="0095185D">
              <w:rPr>
                <w:rFonts w:ascii="Calibri" w:hAnsi="Calibri"/>
                <w:lang w:eastAsia="pt-BR"/>
              </w:rPr>
              <w:t xml:space="preserve">Período de Competência: </w:t>
            </w:r>
            <w:r>
              <w:rPr>
                <w:rFonts w:ascii="Calibri" w:hAnsi="Calibri"/>
                <w:lang w:eastAsia="pt-BR"/>
              </w:rPr>
              <w:t>q</w:t>
            </w:r>
            <w:r w:rsidRPr="0095185D">
              <w:rPr>
                <w:rFonts w:ascii="Calibri" w:hAnsi="Calibri"/>
                <w:lang w:eastAsia="pt-BR"/>
              </w:rPr>
              <w:t>/aaaa</w:t>
            </w:r>
          </w:p>
        </w:tc>
      </w:tr>
    </w:tbl>
    <w:p w14:paraId="5F6ACA9B" w14:textId="77777777" w:rsidR="004B30F6" w:rsidRDefault="004B30F6" w:rsidP="004B30F6">
      <w:pPr>
        <w:spacing w:after="0" w:line="120" w:lineRule="auto"/>
        <w:rPr>
          <w:rFonts w:ascii="Calibri" w:hAnsi="Calibri"/>
          <w:lang w:eastAsia="pt-BR"/>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52"/>
        <w:gridCol w:w="1539"/>
        <w:gridCol w:w="1725"/>
        <w:gridCol w:w="989"/>
        <w:gridCol w:w="1196"/>
        <w:gridCol w:w="218"/>
        <w:gridCol w:w="1978"/>
      </w:tblGrid>
      <w:tr w:rsidR="004B30F6" w:rsidRPr="008264AD" w14:paraId="458EC89A" w14:textId="77777777" w:rsidTr="003C7E27">
        <w:tc>
          <w:tcPr>
            <w:tcW w:w="5949" w:type="dxa"/>
            <w:gridSpan w:val="4"/>
            <w:vAlign w:val="center"/>
          </w:tcPr>
          <w:p w14:paraId="1EEB763A" w14:textId="77777777" w:rsidR="004B30F6" w:rsidRPr="008264AD" w:rsidRDefault="004B30F6" w:rsidP="003C7E27">
            <w:pPr>
              <w:spacing w:after="0" w:line="240" w:lineRule="auto"/>
              <w:ind w:firstLine="457"/>
              <w:rPr>
                <w:rFonts w:ascii="Calibri" w:hAnsi="Calibri"/>
                <w:lang w:eastAsia="pt-BR"/>
              </w:rPr>
            </w:pPr>
            <w:r w:rsidRPr="008264AD">
              <w:rPr>
                <w:rFonts w:ascii="Calibri" w:hAnsi="Calibri"/>
                <w:lang w:eastAsia="pt-BR"/>
              </w:rPr>
              <w:t>ESPECIFICAÇÕES</w:t>
            </w:r>
          </w:p>
        </w:tc>
        <w:tc>
          <w:tcPr>
            <w:tcW w:w="4365" w:type="dxa"/>
            <w:gridSpan w:val="4"/>
            <w:vAlign w:val="center"/>
          </w:tcPr>
          <w:p w14:paraId="4A234159" w14:textId="77777777" w:rsidR="004B30F6" w:rsidRPr="008264AD" w:rsidRDefault="004B30F6" w:rsidP="003C7E27">
            <w:pPr>
              <w:spacing w:after="0" w:line="240" w:lineRule="auto"/>
              <w:ind w:firstLine="319"/>
              <w:rPr>
                <w:rFonts w:ascii="Calibri" w:hAnsi="Calibri"/>
                <w:lang w:eastAsia="pt-BR"/>
              </w:rPr>
            </w:pPr>
            <w:r w:rsidRPr="008264AD">
              <w:rPr>
                <w:rFonts w:ascii="Calibri" w:hAnsi="Calibri"/>
                <w:lang w:eastAsia="pt-BR"/>
              </w:rPr>
              <w:t>VALORES/INFORMAÇÕES</w:t>
            </w:r>
          </w:p>
        </w:tc>
      </w:tr>
      <w:tr w:rsidR="004B30F6" w:rsidRPr="008264AD" w14:paraId="24568118" w14:textId="77777777" w:rsidTr="003C7E27">
        <w:tc>
          <w:tcPr>
            <w:tcW w:w="5949" w:type="dxa"/>
            <w:gridSpan w:val="4"/>
            <w:vAlign w:val="center"/>
          </w:tcPr>
          <w:p w14:paraId="11B28A8C"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Patrimônio líquido</w:t>
            </w:r>
            <w:r w:rsidRPr="008264AD">
              <w:rPr>
                <w:rFonts w:ascii="Calibri" w:hAnsi="Calibri" w:cs="Calibri"/>
                <w:lang w:eastAsia="pt-BR"/>
              </w:rPr>
              <w:t xml:space="preserve"> </w:t>
            </w:r>
            <w:r w:rsidRPr="008264AD">
              <w:rPr>
                <w:rFonts w:ascii="Calibri" w:hAnsi="Calibri"/>
                <w:lang w:eastAsia="pt-BR"/>
              </w:rPr>
              <w:t>(em R</w:t>
            </w:r>
            <w:r w:rsidRPr="008264AD">
              <w:rPr>
                <w:rFonts w:ascii="Calibri" w:hAnsi="Calibri" w:cs="Calibri"/>
                <w:lang w:eastAsia="pt-BR"/>
              </w:rPr>
              <w:t>$):</w:t>
            </w:r>
            <w:r w:rsidRPr="008264AD">
              <w:rPr>
                <w:rFonts w:ascii="Calibri" w:hAnsi="Calibri"/>
                <w:lang w:eastAsia="pt-BR"/>
              </w:rPr>
              <w:t xml:space="preserve">                      </w:t>
            </w:r>
          </w:p>
        </w:tc>
        <w:tc>
          <w:tcPr>
            <w:tcW w:w="4365" w:type="dxa"/>
            <w:gridSpan w:val="4"/>
            <w:vAlign w:val="center"/>
          </w:tcPr>
          <w:p w14:paraId="0979E518" w14:textId="77777777" w:rsidR="004B30F6" w:rsidRPr="008264AD" w:rsidRDefault="004B30F6" w:rsidP="003C7E27">
            <w:pPr>
              <w:spacing w:after="0" w:line="240" w:lineRule="auto"/>
              <w:rPr>
                <w:rFonts w:ascii="Calibri" w:hAnsi="Calibri"/>
                <w:lang w:eastAsia="pt-BR"/>
              </w:rPr>
            </w:pPr>
          </w:p>
        </w:tc>
      </w:tr>
      <w:tr w:rsidR="004B30F6" w:rsidRPr="008264AD" w14:paraId="5163081F" w14:textId="77777777" w:rsidTr="003C7E27">
        <w:tc>
          <w:tcPr>
            <w:tcW w:w="5949" w:type="dxa"/>
            <w:gridSpan w:val="4"/>
            <w:vAlign w:val="center"/>
          </w:tcPr>
          <w:p w14:paraId="25A3321D"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Valor total do capital comprometido (em R$):</w:t>
            </w:r>
          </w:p>
        </w:tc>
        <w:tc>
          <w:tcPr>
            <w:tcW w:w="4365" w:type="dxa"/>
            <w:gridSpan w:val="4"/>
            <w:vAlign w:val="center"/>
          </w:tcPr>
          <w:p w14:paraId="00C64573" w14:textId="77777777" w:rsidR="004B30F6" w:rsidRPr="008264AD" w:rsidRDefault="004B30F6" w:rsidP="003C7E27">
            <w:pPr>
              <w:spacing w:after="0" w:line="240" w:lineRule="auto"/>
              <w:rPr>
                <w:rFonts w:ascii="Calibri" w:hAnsi="Calibri"/>
                <w:lang w:eastAsia="pt-BR"/>
              </w:rPr>
            </w:pPr>
          </w:p>
        </w:tc>
      </w:tr>
      <w:tr w:rsidR="004B30F6" w:rsidRPr="008264AD" w14:paraId="62E6B65F" w14:textId="77777777" w:rsidTr="003C7E27">
        <w:tc>
          <w:tcPr>
            <w:tcW w:w="5949" w:type="dxa"/>
            <w:gridSpan w:val="4"/>
            <w:vAlign w:val="center"/>
          </w:tcPr>
          <w:p w14:paraId="5F3B61B5"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 xml:space="preserve">Quantidade de cotas subscritas:              </w:t>
            </w:r>
          </w:p>
        </w:tc>
        <w:tc>
          <w:tcPr>
            <w:tcW w:w="4365" w:type="dxa"/>
            <w:gridSpan w:val="4"/>
            <w:vAlign w:val="center"/>
          </w:tcPr>
          <w:p w14:paraId="042036E6" w14:textId="77777777" w:rsidR="004B30F6" w:rsidRPr="008264AD" w:rsidRDefault="004B30F6" w:rsidP="003C7E27">
            <w:pPr>
              <w:spacing w:after="0" w:line="240" w:lineRule="auto"/>
              <w:rPr>
                <w:rFonts w:ascii="Calibri" w:hAnsi="Calibri"/>
                <w:lang w:eastAsia="pt-BR"/>
              </w:rPr>
            </w:pPr>
          </w:p>
        </w:tc>
      </w:tr>
      <w:tr w:rsidR="004B30F6" w:rsidRPr="008264AD" w14:paraId="6E1B6644" w14:textId="77777777" w:rsidTr="003C7E27">
        <w:tc>
          <w:tcPr>
            <w:tcW w:w="5949" w:type="dxa"/>
            <w:gridSpan w:val="4"/>
            <w:vAlign w:val="center"/>
          </w:tcPr>
          <w:p w14:paraId="47EF49C8"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 xml:space="preserve">Valor total do capital subscrito (em R$): </w:t>
            </w:r>
          </w:p>
        </w:tc>
        <w:tc>
          <w:tcPr>
            <w:tcW w:w="4365" w:type="dxa"/>
            <w:gridSpan w:val="4"/>
            <w:vAlign w:val="center"/>
          </w:tcPr>
          <w:p w14:paraId="41EE4D61" w14:textId="77777777" w:rsidR="004B30F6" w:rsidRPr="008264AD" w:rsidRDefault="004B30F6" w:rsidP="003C7E27">
            <w:pPr>
              <w:spacing w:after="0" w:line="240" w:lineRule="auto"/>
              <w:rPr>
                <w:rFonts w:ascii="Calibri" w:hAnsi="Calibri"/>
                <w:lang w:eastAsia="pt-BR"/>
              </w:rPr>
            </w:pPr>
          </w:p>
        </w:tc>
      </w:tr>
      <w:tr w:rsidR="004B30F6" w:rsidRPr="008264AD" w14:paraId="71B2034E" w14:textId="77777777" w:rsidTr="003C7E27">
        <w:trPr>
          <w:trHeight w:val="334"/>
        </w:trPr>
        <w:tc>
          <w:tcPr>
            <w:tcW w:w="5949" w:type="dxa"/>
            <w:gridSpan w:val="4"/>
            <w:vAlign w:val="center"/>
          </w:tcPr>
          <w:p w14:paraId="2C2F2B5A"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 xml:space="preserve">Quantidade de cotas integralizadas:     </w:t>
            </w:r>
          </w:p>
        </w:tc>
        <w:tc>
          <w:tcPr>
            <w:tcW w:w="4365" w:type="dxa"/>
            <w:gridSpan w:val="4"/>
            <w:vAlign w:val="center"/>
          </w:tcPr>
          <w:p w14:paraId="289EDDDC" w14:textId="77777777" w:rsidR="004B30F6" w:rsidRPr="008264AD" w:rsidRDefault="004B30F6" w:rsidP="003C7E27">
            <w:pPr>
              <w:spacing w:after="0" w:line="240" w:lineRule="auto"/>
              <w:rPr>
                <w:rFonts w:ascii="Calibri" w:hAnsi="Calibri"/>
                <w:lang w:eastAsia="pt-BR"/>
              </w:rPr>
            </w:pPr>
          </w:p>
        </w:tc>
      </w:tr>
      <w:tr w:rsidR="004B30F6" w:rsidRPr="008264AD" w14:paraId="5DFDE9D0" w14:textId="77777777" w:rsidTr="003C7E27">
        <w:tc>
          <w:tcPr>
            <w:tcW w:w="5949" w:type="dxa"/>
            <w:gridSpan w:val="4"/>
            <w:vAlign w:val="center"/>
          </w:tcPr>
          <w:p w14:paraId="5535C4FD"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 xml:space="preserve">Valor total do capital integralizado (em R$): </w:t>
            </w:r>
          </w:p>
        </w:tc>
        <w:tc>
          <w:tcPr>
            <w:tcW w:w="4365" w:type="dxa"/>
            <w:gridSpan w:val="4"/>
            <w:vAlign w:val="center"/>
          </w:tcPr>
          <w:p w14:paraId="0AD30F48" w14:textId="77777777" w:rsidR="004B30F6" w:rsidRPr="008264AD" w:rsidRDefault="004B30F6" w:rsidP="003C7E27">
            <w:pPr>
              <w:spacing w:after="0" w:line="240" w:lineRule="auto"/>
              <w:rPr>
                <w:rFonts w:ascii="Calibri" w:hAnsi="Calibri"/>
                <w:lang w:eastAsia="pt-BR"/>
              </w:rPr>
            </w:pPr>
          </w:p>
        </w:tc>
      </w:tr>
      <w:tr w:rsidR="004B30F6" w:rsidRPr="008264AD" w14:paraId="5186FC76" w14:textId="77777777" w:rsidTr="003C7E27">
        <w:tc>
          <w:tcPr>
            <w:tcW w:w="5949" w:type="dxa"/>
            <w:gridSpan w:val="4"/>
            <w:vAlign w:val="center"/>
          </w:tcPr>
          <w:p w14:paraId="70FFB44A"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Valor total investido em cotas de outros FIP (em R$):</w:t>
            </w:r>
          </w:p>
        </w:tc>
        <w:tc>
          <w:tcPr>
            <w:tcW w:w="4365" w:type="dxa"/>
            <w:gridSpan w:val="4"/>
            <w:vAlign w:val="center"/>
          </w:tcPr>
          <w:p w14:paraId="1CB47205" w14:textId="77777777" w:rsidR="004B30F6" w:rsidRPr="008264AD" w:rsidRDefault="004B30F6" w:rsidP="003C7E27">
            <w:pPr>
              <w:spacing w:after="0" w:line="240" w:lineRule="auto"/>
              <w:rPr>
                <w:rFonts w:ascii="Calibri" w:hAnsi="Calibri"/>
                <w:lang w:eastAsia="pt-BR"/>
              </w:rPr>
            </w:pPr>
          </w:p>
        </w:tc>
      </w:tr>
      <w:tr w:rsidR="004B30F6" w:rsidRPr="008264AD" w14:paraId="0EB61F6F" w14:textId="77777777" w:rsidTr="003C7E27">
        <w:tc>
          <w:tcPr>
            <w:tcW w:w="5949" w:type="dxa"/>
            <w:gridSpan w:val="4"/>
            <w:vAlign w:val="center"/>
          </w:tcPr>
          <w:p w14:paraId="4290221E"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Nº de cotistas por categoria</w:t>
            </w:r>
          </w:p>
        </w:tc>
        <w:tc>
          <w:tcPr>
            <w:tcW w:w="2191" w:type="dxa"/>
            <w:gridSpan w:val="2"/>
            <w:vAlign w:val="center"/>
          </w:tcPr>
          <w:p w14:paraId="2E79BE47"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Número de cotistas subscritores</w:t>
            </w:r>
          </w:p>
        </w:tc>
        <w:tc>
          <w:tcPr>
            <w:tcW w:w="2174" w:type="dxa"/>
            <w:gridSpan w:val="2"/>
            <w:vAlign w:val="center"/>
          </w:tcPr>
          <w:p w14:paraId="0F857A6B"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 das cotas subscritas</w:t>
            </w:r>
          </w:p>
        </w:tc>
      </w:tr>
      <w:tr w:rsidR="004B30F6" w:rsidRPr="008264AD" w14:paraId="199E8470" w14:textId="77777777" w:rsidTr="003C7E27">
        <w:tc>
          <w:tcPr>
            <w:tcW w:w="5949" w:type="dxa"/>
            <w:gridSpan w:val="4"/>
            <w:vAlign w:val="bottom"/>
          </w:tcPr>
          <w:p w14:paraId="7BE0A084"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Pessoa física</w:t>
            </w:r>
          </w:p>
        </w:tc>
        <w:tc>
          <w:tcPr>
            <w:tcW w:w="2191" w:type="dxa"/>
            <w:gridSpan w:val="2"/>
          </w:tcPr>
          <w:p w14:paraId="737AD4D2" w14:textId="77777777" w:rsidR="004B30F6" w:rsidRPr="008264AD" w:rsidRDefault="004B30F6" w:rsidP="003C7E27">
            <w:pPr>
              <w:spacing w:after="0" w:line="240" w:lineRule="auto"/>
              <w:rPr>
                <w:rFonts w:ascii="Calibri" w:hAnsi="Calibri"/>
                <w:lang w:eastAsia="pt-BR"/>
              </w:rPr>
            </w:pPr>
          </w:p>
        </w:tc>
        <w:tc>
          <w:tcPr>
            <w:tcW w:w="2174" w:type="dxa"/>
            <w:gridSpan w:val="2"/>
          </w:tcPr>
          <w:p w14:paraId="4A4379A5" w14:textId="77777777" w:rsidR="004B30F6" w:rsidRPr="008264AD" w:rsidRDefault="004B30F6" w:rsidP="003C7E27">
            <w:pPr>
              <w:spacing w:after="0" w:line="240" w:lineRule="auto"/>
              <w:rPr>
                <w:rFonts w:ascii="Calibri" w:hAnsi="Calibri"/>
                <w:lang w:eastAsia="pt-BR"/>
              </w:rPr>
            </w:pPr>
          </w:p>
        </w:tc>
      </w:tr>
      <w:tr w:rsidR="004B30F6" w:rsidRPr="008264AD" w14:paraId="105C8687" w14:textId="77777777" w:rsidTr="003C7E27">
        <w:tc>
          <w:tcPr>
            <w:tcW w:w="5949" w:type="dxa"/>
            <w:gridSpan w:val="4"/>
            <w:vAlign w:val="bottom"/>
          </w:tcPr>
          <w:p w14:paraId="714B79D4"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Pessoa jurídica não financeira</w:t>
            </w:r>
          </w:p>
        </w:tc>
        <w:tc>
          <w:tcPr>
            <w:tcW w:w="2191" w:type="dxa"/>
            <w:gridSpan w:val="2"/>
          </w:tcPr>
          <w:p w14:paraId="778D9C3E" w14:textId="77777777" w:rsidR="004B30F6" w:rsidRPr="008264AD" w:rsidRDefault="004B30F6" w:rsidP="003C7E27">
            <w:pPr>
              <w:spacing w:after="0" w:line="240" w:lineRule="auto"/>
              <w:rPr>
                <w:rFonts w:ascii="Calibri" w:hAnsi="Calibri"/>
                <w:lang w:eastAsia="pt-BR"/>
              </w:rPr>
            </w:pPr>
          </w:p>
        </w:tc>
        <w:tc>
          <w:tcPr>
            <w:tcW w:w="2174" w:type="dxa"/>
            <w:gridSpan w:val="2"/>
          </w:tcPr>
          <w:p w14:paraId="0EAFFBD3" w14:textId="77777777" w:rsidR="004B30F6" w:rsidRPr="008264AD" w:rsidRDefault="004B30F6" w:rsidP="003C7E27">
            <w:pPr>
              <w:spacing w:after="0" w:line="240" w:lineRule="auto"/>
              <w:rPr>
                <w:rFonts w:ascii="Calibri" w:hAnsi="Calibri"/>
                <w:lang w:eastAsia="pt-BR"/>
              </w:rPr>
            </w:pPr>
          </w:p>
        </w:tc>
      </w:tr>
      <w:tr w:rsidR="004B30F6" w:rsidRPr="008264AD" w14:paraId="5DAA9435" w14:textId="77777777" w:rsidTr="003C7E27">
        <w:tc>
          <w:tcPr>
            <w:tcW w:w="5949" w:type="dxa"/>
            <w:gridSpan w:val="4"/>
            <w:vAlign w:val="bottom"/>
          </w:tcPr>
          <w:p w14:paraId="48A19759"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Banco comercial</w:t>
            </w:r>
          </w:p>
        </w:tc>
        <w:tc>
          <w:tcPr>
            <w:tcW w:w="2191" w:type="dxa"/>
            <w:gridSpan w:val="2"/>
          </w:tcPr>
          <w:p w14:paraId="7A3814E9" w14:textId="77777777" w:rsidR="004B30F6" w:rsidRPr="008264AD" w:rsidRDefault="004B30F6" w:rsidP="003C7E27">
            <w:pPr>
              <w:spacing w:after="0" w:line="240" w:lineRule="auto"/>
              <w:rPr>
                <w:rFonts w:ascii="Calibri" w:hAnsi="Calibri"/>
                <w:lang w:eastAsia="pt-BR"/>
              </w:rPr>
            </w:pPr>
          </w:p>
        </w:tc>
        <w:tc>
          <w:tcPr>
            <w:tcW w:w="2174" w:type="dxa"/>
            <w:gridSpan w:val="2"/>
          </w:tcPr>
          <w:p w14:paraId="548717D8" w14:textId="77777777" w:rsidR="004B30F6" w:rsidRPr="008264AD" w:rsidRDefault="004B30F6" w:rsidP="003C7E27">
            <w:pPr>
              <w:spacing w:after="0" w:line="240" w:lineRule="auto"/>
              <w:rPr>
                <w:rFonts w:ascii="Calibri" w:hAnsi="Calibri"/>
                <w:lang w:eastAsia="pt-BR"/>
              </w:rPr>
            </w:pPr>
          </w:p>
        </w:tc>
      </w:tr>
      <w:tr w:rsidR="004B30F6" w:rsidRPr="008264AD" w14:paraId="02C85392" w14:textId="77777777" w:rsidTr="003C7E27">
        <w:tc>
          <w:tcPr>
            <w:tcW w:w="5949" w:type="dxa"/>
            <w:gridSpan w:val="4"/>
            <w:vAlign w:val="bottom"/>
          </w:tcPr>
          <w:p w14:paraId="74048DD1"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Corretora ou distribuidora</w:t>
            </w:r>
          </w:p>
        </w:tc>
        <w:tc>
          <w:tcPr>
            <w:tcW w:w="2191" w:type="dxa"/>
            <w:gridSpan w:val="2"/>
          </w:tcPr>
          <w:p w14:paraId="6DC17F96" w14:textId="77777777" w:rsidR="004B30F6" w:rsidRPr="008264AD" w:rsidRDefault="004B30F6" w:rsidP="003C7E27">
            <w:pPr>
              <w:spacing w:after="0" w:line="240" w:lineRule="auto"/>
              <w:rPr>
                <w:rFonts w:ascii="Calibri" w:hAnsi="Calibri"/>
                <w:lang w:eastAsia="pt-BR"/>
              </w:rPr>
            </w:pPr>
          </w:p>
        </w:tc>
        <w:tc>
          <w:tcPr>
            <w:tcW w:w="2174" w:type="dxa"/>
            <w:gridSpan w:val="2"/>
          </w:tcPr>
          <w:p w14:paraId="334896A7" w14:textId="77777777" w:rsidR="004B30F6" w:rsidRPr="008264AD" w:rsidRDefault="004B30F6" w:rsidP="003C7E27">
            <w:pPr>
              <w:spacing w:after="0" w:line="240" w:lineRule="auto"/>
              <w:rPr>
                <w:rFonts w:ascii="Calibri" w:hAnsi="Calibri"/>
                <w:lang w:eastAsia="pt-BR"/>
              </w:rPr>
            </w:pPr>
          </w:p>
        </w:tc>
      </w:tr>
      <w:tr w:rsidR="004B30F6" w:rsidRPr="008264AD" w14:paraId="00E76942" w14:textId="77777777" w:rsidTr="003C7E27">
        <w:tc>
          <w:tcPr>
            <w:tcW w:w="5949" w:type="dxa"/>
            <w:gridSpan w:val="4"/>
            <w:vAlign w:val="bottom"/>
          </w:tcPr>
          <w:p w14:paraId="5A3AC5C7"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Outras pessoas jurídicas financeiras</w:t>
            </w:r>
          </w:p>
        </w:tc>
        <w:tc>
          <w:tcPr>
            <w:tcW w:w="2191" w:type="dxa"/>
            <w:gridSpan w:val="2"/>
          </w:tcPr>
          <w:p w14:paraId="1BC256EA" w14:textId="77777777" w:rsidR="004B30F6" w:rsidRPr="008264AD" w:rsidRDefault="004B30F6" w:rsidP="003C7E27">
            <w:pPr>
              <w:spacing w:after="0" w:line="240" w:lineRule="auto"/>
              <w:rPr>
                <w:rFonts w:ascii="Calibri" w:hAnsi="Calibri"/>
                <w:lang w:eastAsia="pt-BR"/>
              </w:rPr>
            </w:pPr>
          </w:p>
        </w:tc>
        <w:tc>
          <w:tcPr>
            <w:tcW w:w="2174" w:type="dxa"/>
            <w:gridSpan w:val="2"/>
          </w:tcPr>
          <w:p w14:paraId="098CFD8B" w14:textId="77777777" w:rsidR="004B30F6" w:rsidRPr="008264AD" w:rsidRDefault="004B30F6" w:rsidP="003C7E27">
            <w:pPr>
              <w:spacing w:after="0" w:line="240" w:lineRule="auto"/>
              <w:rPr>
                <w:rFonts w:ascii="Calibri" w:hAnsi="Calibri"/>
                <w:lang w:eastAsia="pt-BR"/>
              </w:rPr>
            </w:pPr>
          </w:p>
        </w:tc>
      </w:tr>
      <w:tr w:rsidR="004B30F6" w:rsidRPr="008264AD" w14:paraId="465CDE31" w14:textId="77777777" w:rsidTr="003C7E27">
        <w:tc>
          <w:tcPr>
            <w:tcW w:w="5949" w:type="dxa"/>
            <w:gridSpan w:val="4"/>
            <w:vAlign w:val="bottom"/>
          </w:tcPr>
          <w:p w14:paraId="48BDBF73"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Investidores não residentes</w:t>
            </w:r>
          </w:p>
        </w:tc>
        <w:tc>
          <w:tcPr>
            <w:tcW w:w="2191" w:type="dxa"/>
            <w:gridSpan w:val="2"/>
          </w:tcPr>
          <w:p w14:paraId="32667AA4" w14:textId="77777777" w:rsidR="004B30F6" w:rsidRPr="008264AD" w:rsidRDefault="004B30F6" w:rsidP="003C7E27">
            <w:pPr>
              <w:spacing w:after="0" w:line="240" w:lineRule="auto"/>
              <w:rPr>
                <w:rFonts w:ascii="Calibri" w:hAnsi="Calibri"/>
                <w:lang w:eastAsia="pt-BR"/>
              </w:rPr>
            </w:pPr>
          </w:p>
        </w:tc>
        <w:tc>
          <w:tcPr>
            <w:tcW w:w="2174" w:type="dxa"/>
            <w:gridSpan w:val="2"/>
          </w:tcPr>
          <w:p w14:paraId="207BBF0B" w14:textId="77777777" w:rsidR="004B30F6" w:rsidRPr="008264AD" w:rsidRDefault="004B30F6" w:rsidP="003C7E27">
            <w:pPr>
              <w:spacing w:after="0" w:line="240" w:lineRule="auto"/>
              <w:rPr>
                <w:rFonts w:ascii="Calibri" w:hAnsi="Calibri"/>
                <w:lang w:eastAsia="pt-BR"/>
              </w:rPr>
            </w:pPr>
          </w:p>
        </w:tc>
      </w:tr>
      <w:tr w:rsidR="004B30F6" w:rsidRPr="008264AD" w14:paraId="2C3C5067" w14:textId="77777777" w:rsidTr="003C7E27">
        <w:tc>
          <w:tcPr>
            <w:tcW w:w="5949" w:type="dxa"/>
            <w:gridSpan w:val="4"/>
            <w:vAlign w:val="bottom"/>
          </w:tcPr>
          <w:p w14:paraId="73C4C56E"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Entidade aberta de previdência complementar</w:t>
            </w:r>
          </w:p>
        </w:tc>
        <w:tc>
          <w:tcPr>
            <w:tcW w:w="2191" w:type="dxa"/>
            <w:gridSpan w:val="2"/>
          </w:tcPr>
          <w:p w14:paraId="5ED6FFAD" w14:textId="77777777" w:rsidR="004B30F6" w:rsidRPr="008264AD" w:rsidRDefault="004B30F6" w:rsidP="003C7E27">
            <w:pPr>
              <w:spacing w:after="0" w:line="240" w:lineRule="auto"/>
              <w:rPr>
                <w:rFonts w:ascii="Calibri" w:hAnsi="Calibri"/>
                <w:lang w:eastAsia="pt-BR"/>
              </w:rPr>
            </w:pPr>
          </w:p>
        </w:tc>
        <w:tc>
          <w:tcPr>
            <w:tcW w:w="2174" w:type="dxa"/>
            <w:gridSpan w:val="2"/>
          </w:tcPr>
          <w:p w14:paraId="791B6D48" w14:textId="77777777" w:rsidR="004B30F6" w:rsidRPr="008264AD" w:rsidRDefault="004B30F6" w:rsidP="003C7E27">
            <w:pPr>
              <w:spacing w:after="0" w:line="240" w:lineRule="auto"/>
              <w:rPr>
                <w:rFonts w:ascii="Calibri" w:hAnsi="Calibri"/>
                <w:lang w:eastAsia="pt-BR"/>
              </w:rPr>
            </w:pPr>
          </w:p>
        </w:tc>
      </w:tr>
      <w:tr w:rsidR="004B30F6" w:rsidRPr="008264AD" w14:paraId="3CBF38DB" w14:textId="77777777" w:rsidTr="003C7E27">
        <w:tc>
          <w:tcPr>
            <w:tcW w:w="5949" w:type="dxa"/>
            <w:gridSpan w:val="4"/>
            <w:vAlign w:val="bottom"/>
          </w:tcPr>
          <w:p w14:paraId="20E552F7"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Entidade fechada de previdência complementar</w:t>
            </w:r>
          </w:p>
        </w:tc>
        <w:tc>
          <w:tcPr>
            <w:tcW w:w="2191" w:type="dxa"/>
            <w:gridSpan w:val="2"/>
          </w:tcPr>
          <w:p w14:paraId="18AC9584" w14:textId="77777777" w:rsidR="004B30F6" w:rsidRPr="008264AD" w:rsidRDefault="004B30F6" w:rsidP="003C7E27">
            <w:pPr>
              <w:spacing w:after="0" w:line="240" w:lineRule="auto"/>
              <w:rPr>
                <w:rFonts w:ascii="Calibri" w:hAnsi="Calibri"/>
                <w:lang w:eastAsia="pt-BR"/>
              </w:rPr>
            </w:pPr>
          </w:p>
        </w:tc>
        <w:tc>
          <w:tcPr>
            <w:tcW w:w="2174" w:type="dxa"/>
            <w:gridSpan w:val="2"/>
          </w:tcPr>
          <w:p w14:paraId="2FF09CE1" w14:textId="77777777" w:rsidR="004B30F6" w:rsidRPr="008264AD" w:rsidRDefault="004B30F6" w:rsidP="003C7E27">
            <w:pPr>
              <w:spacing w:after="0" w:line="240" w:lineRule="auto"/>
              <w:rPr>
                <w:rFonts w:ascii="Calibri" w:hAnsi="Calibri"/>
                <w:lang w:eastAsia="pt-BR"/>
              </w:rPr>
            </w:pPr>
          </w:p>
        </w:tc>
      </w:tr>
      <w:tr w:rsidR="004B30F6" w:rsidRPr="008264AD" w14:paraId="65272047" w14:textId="77777777" w:rsidTr="003C7E27">
        <w:tc>
          <w:tcPr>
            <w:tcW w:w="5949" w:type="dxa"/>
            <w:gridSpan w:val="4"/>
            <w:vAlign w:val="bottom"/>
          </w:tcPr>
          <w:p w14:paraId="0EF51097"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Regime próprio de previdência dos servidores públicos</w:t>
            </w:r>
          </w:p>
        </w:tc>
        <w:tc>
          <w:tcPr>
            <w:tcW w:w="2191" w:type="dxa"/>
            <w:gridSpan w:val="2"/>
          </w:tcPr>
          <w:p w14:paraId="6A8A1AF7" w14:textId="77777777" w:rsidR="004B30F6" w:rsidRPr="008264AD" w:rsidRDefault="004B30F6" w:rsidP="003C7E27">
            <w:pPr>
              <w:spacing w:after="0" w:line="240" w:lineRule="auto"/>
              <w:rPr>
                <w:rFonts w:ascii="Calibri" w:hAnsi="Calibri"/>
                <w:lang w:eastAsia="pt-BR"/>
              </w:rPr>
            </w:pPr>
          </w:p>
        </w:tc>
        <w:tc>
          <w:tcPr>
            <w:tcW w:w="2174" w:type="dxa"/>
            <w:gridSpan w:val="2"/>
          </w:tcPr>
          <w:p w14:paraId="4F3952B7" w14:textId="77777777" w:rsidR="004B30F6" w:rsidRPr="008264AD" w:rsidRDefault="004B30F6" w:rsidP="003C7E27">
            <w:pPr>
              <w:spacing w:after="0" w:line="240" w:lineRule="auto"/>
              <w:rPr>
                <w:rFonts w:ascii="Calibri" w:hAnsi="Calibri"/>
                <w:lang w:eastAsia="pt-BR"/>
              </w:rPr>
            </w:pPr>
          </w:p>
        </w:tc>
      </w:tr>
      <w:tr w:rsidR="004B30F6" w:rsidRPr="008264AD" w14:paraId="53DCD13D" w14:textId="77777777" w:rsidTr="003C7E27">
        <w:tc>
          <w:tcPr>
            <w:tcW w:w="5949" w:type="dxa"/>
            <w:gridSpan w:val="4"/>
            <w:vAlign w:val="bottom"/>
          </w:tcPr>
          <w:p w14:paraId="290E2FEB"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Sociedade seguradora ou resseguradora</w:t>
            </w:r>
          </w:p>
        </w:tc>
        <w:tc>
          <w:tcPr>
            <w:tcW w:w="2191" w:type="dxa"/>
            <w:gridSpan w:val="2"/>
          </w:tcPr>
          <w:p w14:paraId="205101F8" w14:textId="77777777" w:rsidR="004B30F6" w:rsidRPr="008264AD" w:rsidRDefault="004B30F6" w:rsidP="003C7E27">
            <w:pPr>
              <w:spacing w:after="0" w:line="240" w:lineRule="auto"/>
              <w:rPr>
                <w:rFonts w:ascii="Calibri" w:hAnsi="Calibri"/>
                <w:lang w:eastAsia="pt-BR"/>
              </w:rPr>
            </w:pPr>
          </w:p>
        </w:tc>
        <w:tc>
          <w:tcPr>
            <w:tcW w:w="2174" w:type="dxa"/>
            <w:gridSpan w:val="2"/>
          </w:tcPr>
          <w:p w14:paraId="5EC55864" w14:textId="77777777" w:rsidR="004B30F6" w:rsidRPr="008264AD" w:rsidRDefault="004B30F6" w:rsidP="003C7E27">
            <w:pPr>
              <w:spacing w:after="0" w:line="240" w:lineRule="auto"/>
              <w:rPr>
                <w:rFonts w:ascii="Calibri" w:hAnsi="Calibri"/>
                <w:lang w:eastAsia="pt-BR"/>
              </w:rPr>
            </w:pPr>
          </w:p>
        </w:tc>
      </w:tr>
      <w:tr w:rsidR="004B30F6" w:rsidRPr="008264AD" w14:paraId="612E6AEE" w14:textId="77777777" w:rsidTr="003C7E27">
        <w:tc>
          <w:tcPr>
            <w:tcW w:w="5949" w:type="dxa"/>
            <w:gridSpan w:val="4"/>
            <w:vAlign w:val="bottom"/>
          </w:tcPr>
          <w:p w14:paraId="5953F3FD"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Sociedade de capitalização e de arrendamento mercantil</w:t>
            </w:r>
          </w:p>
        </w:tc>
        <w:tc>
          <w:tcPr>
            <w:tcW w:w="2191" w:type="dxa"/>
            <w:gridSpan w:val="2"/>
          </w:tcPr>
          <w:p w14:paraId="04C42128" w14:textId="77777777" w:rsidR="004B30F6" w:rsidRPr="008264AD" w:rsidRDefault="004B30F6" w:rsidP="003C7E27">
            <w:pPr>
              <w:spacing w:after="0" w:line="240" w:lineRule="auto"/>
              <w:rPr>
                <w:rFonts w:ascii="Calibri" w:hAnsi="Calibri"/>
                <w:lang w:eastAsia="pt-BR"/>
              </w:rPr>
            </w:pPr>
          </w:p>
        </w:tc>
        <w:tc>
          <w:tcPr>
            <w:tcW w:w="2174" w:type="dxa"/>
            <w:gridSpan w:val="2"/>
          </w:tcPr>
          <w:p w14:paraId="7338B2C0" w14:textId="77777777" w:rsidR="004B30F6" w:rsidRPr="008264AD" w:rsidRDefault="004B30F6" w:rsidP="003C7E27">
            <w:pPr>
              <w:spacing w:after="0" w:line="240" w:lineRule="auto"/>
              <w:rPr>
                <w:rFonts w:ascii="Calibri" w:hAnsi="Calibri"/>
                <w:lang w:eastAsia="pt-BR"/>
              </w:rPr>
            </w:pPr>
          </w:p>
        </w:tc>
      </w:tr>
      <w:tr w:rsidR="004B30F6" w:rsidRPr="008264AD" w14:paraId="42B0832E" w14:textId="77777777" w:rsidTr="003C7E27">
        <w:tc>
          <w:tcPr>
            <w:tcW w:w="5949" w:type="dxa"/>
            <w:gridSpan w:val="4"/>
            <w:vAlign w:val="bottom"/>
          </w:tcPr>
          <w:p w14:paraId="4CC91DFA"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Fundos de investimento imobiliário</w:t>
            </w:r>
          </w:p>
        </w:tc>
        <w:tc>
          <w:tcPr>
            <w:tcW w:w="2191" w:type="dxa"/>
            <w:gridSpan w:val="2"/>
          </w:tcPr>
          <w:p w14:paraId="5A8FE0C7" w14:textId="77777777" w:rsidR="004B30F6" w:rsidRPr="008264AD" w:rsidRDefault="004B30F6" w:rsidP="003C7E27">
            <w:pPr>
              <w:spacing w:after="0" w:line="240" w:lineRule="auto"/>
              <w:rPr>
                <w:rFonts w:ascii="Calibri" w:hAnsi="Calibri"/>
                <w:lang w:eastAsia="pt-BR"/>
              </w:rPr>
            </w:pPr>
          </w:p>
        </w:tc>
        <w:tc>
          <w:tcPr>
            <w:tcW w:w="2174" w:type="dxa"/>
            <w:gridSpan w:val="2"/>
          </w:tcPr>
          <w:p w14:paraId="5CAF0DC7" w14:textId="77777777" w:rsidR="004B30F6" w:rsidRPr="008264AD" w:rsidRDefault="004B30F6" w:rsidP="003C7E27">
            <w:pPr>
              <w:spacing w:after="0" w:line="240" w:lineRule="auto"/>
              <w:rPr>
                <w:rFonts w:ascii="Calibri" w:hAnsi="Calibri"/>
                <w:lang w:eastAsia="pt-BR"/>
              </w:rPr>
            </w:pPr>
          </w:p>
        </w:tc>
      </w:tr>
      <w:tr w:rsidR="004B30F6" w:rsidRPr="008264AD" w14:paraId="5238E86C" w14:textId="77777777" w:rsidTr="003C7E27">
        <w:tc>
          <w:tcPr>
            <w:tcW w:w="5949" w:type="dxa"/>
            <w:gridSpan w:val="4"/>
            <w:vAlign w:val="bottom"/>
          </w:tcPr>
          <w:p w14:paraId="08A5472B"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Outros fundos de investimento</w:t>
            </w:r>
          </w:p>
        </w:tc>
        <w:tc>
          <w:tcPr>
            <w:tcW w:w="2191" w:type="dxa"/>
            <w:gridSpan w:val="2"/>
          </w:tcPr>
          <w:p w14:paraId="47A7ECBA" w14:textId="77777777" w:rsidR="004B30F6" w:rsidRPr="008264AD" w:rsidRDefault="004B30F6" w:rsidP="003C7E27">
            <w:pPr>
              <w:spacing w:after="0" w:line="240" w:lineRule="auto"/>
              <w:rPr>
                <w:rFonts w:ascii="Calibri" w:hAnsi="Calibri"/>
                <w:lang w:eastAsia="pt-BR"/>
              </w:rPr>
            </w:pPr>
          </w:p>
        </w:tc>
        <w:tc>
          <w:tcPr>
            <w:tcW w:w="2174" w:type="dxa"/>
            <w:gridSpan w:val="2"/>
          </w:tcPr>
          <w:p w14:paraId="10316694" w14:textId="77777777" w:rsidR="004B30F6" w:rsidRPr="008264AD" w:rsidRDefault="004B30F6" w:rsidP="003C7E27">
            <w:pPr>
              <w:spacing w:after="0" w:line="240" w:lineRule="auto"/>
              <w:rPr>
                <w:rFonts w:ascii="Calibri" w:hAnsi="Calibri"/>
                <w:lang w:eastAsia="pt-BR"/>
              </w:rPr>
            </w:pPr>
          </w:p>
        </w:tc>
      </w:tr>
      <w:tr w:rsidR="004B30F6" w:rsidRPr="008264AD" w14:paraId="24AAC38E" w14:textId="77777777" w:rsidTr="003C7E27">
        <w:tc>
          <w:tcPr>
            <w:tcW w:w="5949" w:type="dxa"/>
            <w:gridSpan w:val="4"/>
            <w:vAlign w:val="bottom"/>
          </w:tcPr>
          <w:p w14:paraId="6C395AF6"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Cotistas de distribuidores por conta e ordem</w:t>
            </w:r>
          </w:p>
        </w:tc>
        <w:tc>
          <w:tcPr>
            <w:tcW w:w="2191" w:type="dxa"/>
            <w:gridSpan w:val="2"/>
          </w:tcPr>
          <w:p w14:paraId="6F638680" w14:textId="77777777" w:rsidR="004B30F6" w:rsidRPr="008264AD" w:rsidRDefault="004B30F6" w:rsidP="003C7E27">
            <w:pPr>
              <w:spacing w:after="0" w:line="240" w:lineRule="auto"/>
              <w:rPr>
                <w:rFonts w:ascii="Calibri" w:hAnsi="Calibri"/>
                <w:lang w:eastAsia="pt-BR"/>
              </w:rPr>
            </w:pPr>
          </w:p>
        </w:tc>
        <w:tc>
          <w:tcPr>
            <w:tcW w:w="2174" w:type="dxa"/>
            <w:gridSpan w:val="2"/>
          </w:tcPr>
          <w:p w14:paraId="582BD582" w14:textId="77777777" w:rsidR="004B30F6" w:rsidRPr="008264AD" w:rsidRDefault="004B30F6" w:rsidP="003C7E27">
            <w:pPr>
              <w:spacing w:after="0" w:line="240" w:lineRule="auto"/>
              <w:rPr>
                <w:rFonts w:ascii="Calibri" w:hAnsi="Calibri"/>
                <w:lang w:eastAsia="pt-BR"/>
              </w:rPr>
            </w:pPr>
          </w:p>
        </w:tc>
      </w:tr>
      <w:tr w:rsidR="004B30F6" w:rsidRPr="008264AD" w14:paraId="4AAB37FF" w14:textId="77777777" w:rsidTr="003C7E27">
        <w:tc>
          <w:tcPr>
            <w:tcW w:w="5949" w:type="dxa"/>
            <w:gridSpan w:val="4"/>
            <w:vAlign w:val="bottom"/>
          </w:tcPr>
          <w:p w14:paraId="461CE492"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Outros tipos de cotistas não relacionados</w:t>
            </w:r>
          </w:p>
        </w:tc>
        <w:tc>
          <w:tcPr>
            <w:tcW w:w="2191" w:type="dxa"/>
            <w:gridSpan w:val="2"/>
          </w:tcPr>
          <w:p w14:paraId="5D79818A" w14:textId="77777777" w:rsidR="004B30F6" w:rsidRPr="008264AD" w:rsidRDefault="004B30F6" w:rsidP="003C7E27">
            <w:pPr>
              <w:spacing w:after="0" w:line="240" w:lineRule="auto"/>
              <w:rPr>
                <w:rFonts w:ascii="Calibri" w:hAnsi="Calibri"/>
                <w:lang w:eastAsia="pt-BR"/>
              </w:rPr>
            </w:pPr>
          </w:p>
        </w:tc>
        <w:tc>
          <w:tcPr>
            <w:tcW w:w="2174" w:type="dxa"/>
            <w:gridSpan w:val="2"/>
          </w:tcPr>
          <w:p w14:paraId="196B766F" w14:textId="77777777" w:rsidR="004B30F6" w:rsidRPr="008264AD" w:rsidRDefault="004B30F6" w:rsidP="003C7E27">
            <w:pPr>
              <w:spacing w:after="0" w:line="240" w:lineRule="auto"/>
              <w:rPr>
                <w:rFonts w:ascii="Calibri" w:hAnsi="Calibri"/>
                <w:lang w:eastAsia="pt-BR"/>
              </w:rPr>
            </w:pPr>
          </w:p>
        </w:tc>
      </w:tr>
      <w:tr w:rsidR="004B30F6" w:rsidRPr="008264AD" w14:paraId="034030BB" w14:textId="77777777" w:rsidTr="003C7E27">
        <w:tc>
          <w:tcPr>
            <w:tcW w:w="5949" w:type="dxa"/>
            <w:gridSpan w:val="4"/>
            <w:vAlign w:val="bottom"/>
          </w:tcPr>
          <w:p w14:paraId="259009E7"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Número total de cotistas subscritores</w:t>
            </w:r>
          </w:p>
        </w:tc>
        <w:tc>
          <w:tcPr>
            <w:tcW w:w="2191" w:type="dxa"/>
            <w:gridSpan w:val="2"/>
          </w:tcPr>
          <w:p w14:paraId="21D8BBB6" w14:textId="77777777" w:rsidR="004B30F6" w:rsidRPr="008264AD" w:rsidRDefault="004B30F6" w:rsidP="003C7E27">
            <w:pPr>
              <w:spacing w:after="0" w:line="240" w:lineRule="auto"/>
              <w:rPr>
                <w:rFonts w:ascii="Calibri" w:hAnsi="Calibri"/>
                <w:lang w:eastAsia="pt-BR"/>
              </w:rPr>
            </w:pPr>
          </w:p>
        </w:tc>
        <w:tc>
          <w:tcPr>
            <w:tcW w:w="2174" w:type="dxa"/>
            <w:gridSpan w:val="2"/>
          </w:tcPr>
          <w:p w14:paraId="12A5F1F6" w14:textId="77777777" w:rsidR="004B30F6" w:rsidRPr="008264AD" w:rsidRDefault="004B30F6" w:rsidP="003C7E27">
            <w:pPr>
              <w:spacing w:after="0" w:line="240" w:lineRule="auto"/>
              <w:rPr>
                <w:rFonts w:ascii="Calibri" w:hAnsi="Calibri"/>
                <w:lang w:eastAsia="pt-BR"/>
              </w:rPr>
            </w:pPr>
          </w:p>
        </w:tc>
      </w:tr>
      <w:tr w:rsidR="004B30F6" w:rsidRPr="008264AD" w14:paraId="6F50DB00" w14:textId="77777777" w:rsidTr="003C7E27">
        <w:tc>
          <w:tcPr>
            <w:tcW w:w="1220" w:type="dxa"/>
            <w:vAlign w:val="center"/>
          </w:tcPr>
          <w:p w14:paraId="509A188D" w14:textId="77777777" w:rsidR="004B30F6" w:rsidRPr="008264AD" w:rsidRDefault="004B30F6" w:rsidP="003C7E27">
            <w:pPr>
              <w:spacing w:after="0" w:line="240" w:lineRule="auto"/>
              <w:rPr>
                <w:rFonts w:ascii="Calibri" w:hAnsi="Calibri"/>
                <w:lang w:eastAsia="pt-BR"/>
              </w:rPr>
            </w:pPr>
            <w:r w:rsidRPr="008264AD">
              <w:rPr>
                <w:rFonts w:ascii="Calibri" w:hAnsi="Calibri" w:cs="Calibri"/>
                <w:lang w:eastAsia="pt-BR"/>
              </w:rPr>
              <w:t>Subclasse</w:t>
            </w:r>
            <w:r w:rsidRPr="008264AD">
              <w:rPr>
                <w:rFonts w:ascii="Calibri" w:hAnsi="Calibri"/>
                <w:lang w:eastAsia="pt-BR"/>
              </w:rPr>
              <w:t xml:space="preserve"> de cotas</w:t>
            </w:r>
          </w:p>
        </w:tc>
        <w:tc>
          <w:tcPr>
            <w:tcW w:w="1456" w:type="dxa"/>
            <w:vAlign w:val="center"/>
          </w:tcPr>
          <w:p w14:paraId="42ACAFEB"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Nº de cotistas subscritores</w:t>
            </w:r>
          </w:p>
        </w:tc>
        <w:tc>
          <w:tcPr>
            <w:tcW w:w="1543" w:type="dxa"/>
            <w:vAlign w:val="center"/>
          </w:tcPr>
          <w:p w14:paraId="75E59AEB"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Quantidade atual de cotas subscritas</w:t>
            </w:r>
          </w:p>
        </w:tc>
        <w:tc>
          <w:tcPr>
            <w:tcW w:w="1701" w:type="dxa"/>
            <w:vAlign w:val="center"/>
          </w:tcPr>
          <w:p w14:paraId="04750D54"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Quantidade atual de cotas integralizadas</w:t>
            </w:r>
          </w:p>
        </w:tc>
        <w:tc>
          <w:tcPr>
            <w:tcW w:w="992" w:type="dxa"/>
            <w:vAlign w:val="center"/>
          </w:tcPr>
          <w:p w14:paraId="198D0EFC"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Valor atual da cota (R$)</w:t>
            </w:r>
          </w:p>
        </w:tc>
        <w:tc>
          <w:tcPr>
            <w:tcW w:w="1418" w:type="dxa"/>
            <w:gridSpan w:val="2"/>
            <w:vAlign w:val="center"/>
          </w:tcPr>
          <w:p w14:paraId="53848741"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Possui direitos políticos especiais?</w:t>
            </w:r>
          </w:p>
        </w:tc>
        <w:tc>
          <w:tcPr>
            <w:tcW w:w="1984" w:type="dxa"/>
            <w:vAlign w:val="center"/>
          </w:tcPr>
          <w:p w14:paraId="1E459AD0"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Possui distintos direitos econômico-financeiros?</w:t>
            </w:r>
          </w:p>
        </w:tc>
      </w:tr>
      <w:tr w:rsidR="004B30F6" w:rsidRPr="008264AD" w14:paraId="2610CEFB" w14:textId="77777777" w:rsidTr="003C7E27">
        <w:tc>
          <w:tcPr>
            <w:tcW w:w="1220" w:type="dxa"/>
          </w:tcPr>
          <w:p w14:paraId="0BEE8D1C" w14:textId="77777777" w:rsidR="004B30F6" w:rsidRPr="008264AD" w:rsidRDefault="004B30F6" w:rsidP="003C7E27">
            <w:pPr>
              <w:spacing w:after="0" w:line="240" w:lineRule="auto"/>
              <w:rPr>
                <w:rFonts w:ascii="Calibri" w:hAnsi="Calibri"/>
                <w:lang w:eastAsia="pt-BR"/>
              </w:rPr>
            </w:pPr>
            <w:r w:rsidRPr="008264AD">
              <w:rPr>
                <w:rFonts w:ascii="Calibri" w:hAnsi="Calibri" w:cs="Arial"/>
                <w:lang w:eastAsia="pt-BR"/>
              </w:rPr>
              <w:lastRenderedPageBreak/>
              <w:t>Subclasse</w:t>
            </w:r>
            <w:r w:rsidRPr="008264AD">
              <w:rPr>
                <w:rFonts w:ascii="Calibri" w:hAnsi="Calibri"/>
                <w:lang w:eastAsia="pt-BR"/>
              </w:rPr>
              <w:t xml:space="preserve"> 1</w:t>
            </w:r>
          </w:p>
        </w:tc>
        <w:tc>
          <w:tcPr>
            <w:tcW w:w="1456" w:type="dxa"/>
          </w:tcPr>
          <w:p w14:paraId="59A81342" w14:textId="77777777" w:rsidR="004B30F6" w:rsidRPr="008264AD" w:rsidRDefault="004B30F6" w:rsidP="003C7E27">
            <w:pPr>
              <w:spacing w:after="0" w:line="240" w:lineRule="auto"/>
              <w:rPr>
                <w:rFonts w:ascii="Calibri" w:hAnsi="Calibri"/>
                <w:lang w:eastAsia="pt-BR"/>
              </w:rPr>
            </w:pPr>
          </w:p>
        </w:tc>
        <w:tc>
          <w:tcPr>
            <w:tcW w:w="1543" w:type="dxa"/>
          </w:tcPr>
          <w:p w14:paraId="1FF7ABA3" w14:textId="77777777" w:rsidR="004B30F6" w:rsidRPr="008264AD" w:rsidRDefault="004B30F6" w:rsidP="003C7E27">
            <w:pPr>
              <w:spacing w:after="0" w:line="240" w:lineRule="auto"/>
              <w:rPr>
                <w:rFonts w:ascii="Calibri" w:hAnsi="Calibri"/>
                <w:lang w:eastAsia="pt-BR"/>
              </w:rPr>
            </w:pPr>
          </w:p>
        </w:tc>
        <w:tc>
          <w:tcPr>
            <w:tcW w:w="1701" w:type="dxa"/>
          </w:tcPr>
          <w:p w14:paraId="7B804BD3" w14:textId="77777777" w:rsidR="004B30F6" w:rsidRPr="008264AD" w:rsidRDefault="004B30F6" w:rsidP="003C7E27">
            <w:pPr>
              <w:spacing w:after="0" w:line="240" w:lineRule="auto"/>
              <w:rPr>
                <w:rFonts w:ascii="Calibri" w:hAnsi="Calibri"/>
                <w:lang w:eastAsia="pt-BR"/>
              </w:rPr>
            </w:pPr>
          </w:p>
        </w:tc>
        <w:tc>
          <w:tcPr>
            <w:tcW w:w="992" w:type="dxa"/>
          </w:tcPr>
          <w:p w14:paraId="03E9E607" w14:textId="77777777" w:rsidR="004B30F6" w:rsidRPr="008264AD" w:rsidRDefault="004B30F6" w:rsidP="003C7E27">
            <w:pPr>
              <w:spacing w:after="0" w:line="240" w:lineRule="auto"/>
              <w:rPr>
                <w:rFonts w:ascii="Calibri" w:hAnsi="Calibri"/>
                <w:lang w:eastAsia="pt-BR"/>
              </w:rPr>
            </w:pPr>
          </w:p>
        </w:tc>
        <w:tc>
          <w:tcPr>
            <w:tcW w:w="1418" w:type="dxa"/>
            <w:gridSpan w:val="2"/>
          </w:tcPr>
          <w:p w14:paraId="3F2A3E22"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c>
          <w:tcPr>
            <w:tcW w:w="1984" w:type="dxa"/>
          </w:tcPr>
          <w:p w14:paraId="529E82E8"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r>
      <w:tr w:rsidR="004B30F6" w:rsidRPr="008264AD" w14:paraId="2B856EDD" w14:textId="77777777" w:rsidTr="003C7E27">
        <w:tc>
          <w:tcPr>
            <w:tcW w:w="1220" w:type="dxa"/>
          </w:tcPr>
          <w:p w14:paraId="6DE13EB5" w14:textId="77777777" w:rsidR="004B30F6" w:rsidRPr="008264AD" w:rsidRDefault="004B30F6" w:rsidP="003C7E27">
            <w:pPr>
              <w:spacing w:after="0" w:line="240" w:lineRule="auto"/>
              <w:rPr>
                <w:rFonts w:ascii="Calibri" w:hAnsi="Calibri"/>
                <w:lang w:eastAsia="pt-BR"/>
              </w:rPr>
            </w:pPr>
            <w:r w:rsidRPr="008264AD">
              <w:rPr>
                <w:rFonts w:ascii="Calibri" w:hAnsi="Calibri" w:cs="Arial"/>
                <w:lang w:eastAsia="pt-BR"/>
              </w:rPr>
              <w:t>Subclasse</w:t>
            </w:r>
            <w:r w:rsidRPr="008264AD">
              <w:rPr>
                <w:rFonts w:ascii="Calibri" w:hAnsi="Calibri"/>
                <w:lang w:eastAsia="pt-BR"/>
              </w:rPr>
              <w:t xml:space="preserve"> 2</w:t>
            </w:r>
          </w:p>
        </w:tc>
        <w:tc>
          <w:tcPr>
            <w:tcW w:w="1456" w:type="dxa"/>
          </w:tcPr>
          <w:p w14:paraId="752FA98D" w14:textId="77777777" w:rsidR="004B30F6" w:rsidRPr="008264AD" w:rsidRDefault="004B30F6" w:rsidP="003C7E27">
            <w:pPr>
              <w:spacing w:after="0" w:line="240" w:lineRule="auto"/>
              <w:rPr>
                <w:rFonts w:ascii="Calibri" w:hAnsi="Calibri"/>
                <w:lang w:eastAsia="pt-BR"/>
              </w:rPr>
            </w:pPr>
          </w:p>
        </w:tc>
        <w:tc>
          <w:tcPr>
            <w:tcW w:w="1543" w:type="dxa"/>
          </w:tcPr>
          <w:p w14:paraId="4088738B" w14:textId="77777777" w:rsidR="004B30F6" w:rsidRPr="008264AD" w:rsidRDefault="004B30F6" w:rsidP="003C7E27">
            <w:pPr>
              <w:spacing w:after="0" w:line="240" w:lineRule="auto"/>
              <w:rPr>
                <w:rFonts w:ascii="Calibri" w:hAnsi="Calibri"/>
                <w:lang w:eastAsia="pt-BR"/>
              </w:rPr>
            </w:pPr>
          </w:p>
        </w:tc>
        <w:tc>
          <w:tcPr>
            <w:tcW w:w="1701" w:type="dxa"/>
          </w:tcPr>
          <w:p w14:paraId="4DC575EF" w14:textId="77777777" w:rsidR="004B30F6" w:rsidRPr="008264AD" w:rsidRDefault="004B30F6" w:rsidP="003C7E27">
            <w:pPr>
              <w:spacing w:after="0" w:line="240" w:lineRule="auto"/>
              <w:rPr>
                <w:rFonts w:ascii="Calibri" w:hAnsi="Calibri"/>
                <w:lang w:eastAsia="pt-BR"/>
              </w:rPr>
            </w:pPr>
          </w:p>
        </w:tc>
        <w:tc>
          <w:tcPr>
            <w:tcW w:w="992" w:type="dxa"/>
          </w:tcPr>
          <w:p w14:paraId="2B4A34E2" w14:textId="77777777" w:rsidR="004B30F6" w:rsidRPr="008264AD" w:rsidRDefault="004B30F6" w:rsidP="003C7E27">
            <w:pPr>
              <w:spacing w:after="0" w:line="240" w:lineRule="auto"/>
              <w:rPr>
                <w:rFonts w:ascii="Calibri" w:hAnsi="Calibri"/>
                <w:lang w:eastAsia="pt-BR"/>
              </w:rPr>
            </w:pPr>
          </w:p>
        </w:tc>
        <w:tc>
          <w:tcPr>
            <w:tcW w:w="1418" w:type="dxa"/>
            <w:gridSpan w:val="2"/>
          </w:tcPr>
          <w:p w14:paraId="58DB7A85"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c>
          <w:tcPr>
            <w:tcW w:w="1984" w:type="dxa"/>
          </w:tcPr>
          <w:p w14:paraId="76F837E6"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r>
      <w:tr w:rsidR="004B30F6" w:rsidRPr="008264AD" w14:paraId="0FB509C3" w14:textId="77777777" w:rsidTr="003C7E27">
        <w:tc>
          <w:tcPr>
            <w:tcW w:w="1220" w:type="dxa"/>
          </w:tcPr>
          <w:p w14:paraId="38FAD4F3" w14:textId="77777777" w:rsidR="004B30F6" w:rsidRPr="008264AD" w:rsidRDefault="004B30F6" w:rsidP="003C7E27">
            <w:pPr>
              <w:spacing w:after="0" w:line="240" w:lineRule="auto"/>
              <w:rPr>
                <w:rFonts w:ascii="Calibri" w:hAnsi="Calibri"/>
                <w:lang w:eastAsia="pt-BR"/>
              </w:rPr>
            </w:pPr>
            <w:r w:rsidRPr="008264AD">
              <w:rPr>
                <w:rFonts w:ascii="Calibri" w:hAnsi="Calibri" w:cs="Arial"/>
                <w:lang w:eastAsia="pt-BR"/>
              </w:rPr>
              <w:t>Subclasse</w:t>
            </w:r>
            <w:r w:rsidRPr="008264AD">
              <w:rPr>
                <w:rFonts w:ascii="Calibri" w:hAnsi="Calibri"/>
                <w:lang w:eastAsia="pt-BR"/>
              </w:rPr>
              <w:t xml:space="preserve"> N</w:t>
            </w:r>
          </w:p>
        </w:tc>
        <w:tc>
          <w:tcPr>
            <w:tcW w:w="1456" w:type="dxa"/>
          </w:tcPr>
          <w:p w14:paraId="09C83EC1" w14:textId="77777777" w:rsidR="004B30F6" w:rsidRPr="008264AD" w:rsidRDefault="004B30F6" w:rsidP="003C7E27">
            <w:pPr>
              <w:spacing w:after="0" w:line="240" w:lineRule="auto"/>
              <w:rPr>
                <w:rFonts w:ascii="Calibri" w:hAnsi="Calibri"/>
                <w:lang w:eastAsia="pt-BR"/>
              </w:rPr>
            </w:pPr>
          </w:p>
        </w:tc>
        <w:tc>
          <w:tcPr>
            <w:tcW w:w="1543" w:type="dxa"/>
          </w:tcPr>
          <w:p w14:paraId="621C28BC" w14:textId="77777777" w:rsidR="004B30F6" w:rsidRPr="008264AD" w:rsidRDefault="004B30F6" w:rsidP="003C7E27">
            <w:pPr>
              <w:spacing w:after="0" w:line="240" w:lineRule="auto"/>
              <w:rPr>
                <w:rFonts w:ascii="Calibri" w:hAnsi="Calibri"/>
                <w:lang w:eastAsia="pt-BR"/>
              </w:rPr>
            </w:pPr>
          </w:p>
        </w:tc>
        <w:tc>
          <w:tcPr>
            <w:tcW w:w="1701" w:type="dxa"/>
          </w:tcPr>
          <w:p w14:paraId="6D539E18" w14:textId="77777777" w:rsidR="004B30F6" w:rsidRPr="008264AD" w:rsidRDefault="004B30F6" w:rsidP="003C7E27">
            <w:pPr>
              <w:spacing w:after="0" w:line="240" w:lineRule="auto"/>
              <w:rPr>
                <w:rFonts w:ascii="Calibri" w:hAnsi="Calibri"/>
                <w:lang w:eastAsia="pt-BR"/>
              </w:rPr>
            </w:pPr>
          </w:p>
        </w:tc>
        <w:tc>
          <w:tcPr>
            <w:tcW w:w="992" w:type="dxa"/>
          </w:tcPr>
          <w:p w14:paraId="3BE4EAD7" w14:textId="77777777" w:rsidR="004B30F6" w:rsidRPr="008264AD" w:rsidRDefault="004B30F6" w:rsidP="003C7E27">
            <w:pPr>
              <w:spacing w:after="0" w:line="240" w:lineRule="auto"/>
              <w:rPr>
                <w:rFonts w:ascii="Calibri" w:hAnsi="Calibri"/>
                <w:lang w:eastAsia="pt-BR"/>
              </w:rPr>
            </w:pPr>
          </w:p>
        </w:tc>
        <w:tc>
          <w:tcPr>
            <w:tcW w:w="1418" w:type="dxa"/>
            <w:gridSpan w:val="2"/>
          </w:tcPr>
          <w:p w14:paraId="58121824"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c>
          <w:tcPr>
            <w:tcW w:w="1984" w:type="dxa"/>
          </w:tcPr>
          <w:p w14:paraId="4934F558" w14:textId="77777777" w:rsidR="004B30F6" w:rsidRPr="008264AD" w:rsidRDefault="004B30F6" w:rsidP="003C7E27">
            <w:pPr>
              <w:spacing w:after="0" w:line="240" w:lineRule="auto"/>
              <w:rPr>
                <w:rFonts w:ascii="Calibri" w:hAnsi="Calibri"/>
                <w:lang w:eastAsia="pt-BR"/>
              </w:rPr>
            </w:pPr>
            <w:r w:rsidRPr="008264AD">
              <w:rPr>
                <w:rFonts w:ascii="Calibri" w:hAnsi="Calibri"/>
                <w:lang w:eastAsia="pt-BR"/>
              </w:rPr>
              <w:t>Sim/Não</w:t>
            </w:r>
          </w:p>
        </w:tc>
      </w:tr>
    </w:tbl>
    <w:p w14:paraId="2F443AAF" w14:textId="77777777" w:rsidR="004B30F6" w:rsidRPr="00FB227D" w:rsidRDefault="004B30F6" w:rsidP="004B30F6">
      <w:pPr>
        <w:rPr>
          <w:rFonts w:ascii="Calibri" w:hAnsi="Calibri"/>
          <w:lang w:eastAsia="pt-BR"/>
        </w:rPr>
      </w:pP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52"/>
        <w:gridCol w:w="1539"/>
        <w:gridCol w:w="1725"/>
        <w:gridCol w:w="989"/>
        <w:gridCol w:w="1196"/>
        <w:gridCol w:w="218"/>
        <w:gridCol w:w="1978"/>
      </w:tblGrid>
      <w:tr w:rsidR="004B30F6" w:rsidRPr="003A3F18" w14:paraId="170FA388" w14:textId="77777777" w:rsidTr="003C7E27">
        <w:tc>
          <w:tcPr>
            <w:tcW w:w="5949" w:type="dxa"/>
            <w:gridSpan w:val="4"/>
            <w:vAlign w:val="center"/>
          </w:tcPr>
          <w:p w14:paraId="678C11EE" w14:textId="77777777" w:rsidR="004B30F6" w:rsidRPr="003A3F18" w:rsidRDefault="004B30F6" w:rsidP="003C7E27">
            <w:pPr>
              <w:spacing w:after="0" w:line="240" w:lineRule="auto"/>
              <w:ind w:firstLine="457"/>
              <w:rPr>
                <w:rFonts w:ascii="Calibri" w:hAnsi="Calibri"/>
                <w:lang w:eastAsia="pt-BR"/>
              </w:rPr>
            </w:pPr>
            <w:r w:rsidRPr="003A3F18">
              <w:rPr>
                <w:rFonts w:ascii="Calibri" w:hAnsi="Calibri"/>
                <w:lang w:eastAsia="pt-BR"/>
              </w:rPr>
              <w:t>ESPECIFICAÇÕES</w:t>
            </w:r>
          </w:p>
        </w:tc>
        <w:tc>
          <w:tcPr>
            <w:tcW w:w="4365" w:type="dxa"/>
            <w:gridSpan w:val="4"/>
            <w:vAlign w:val="center"/>
          </w:tcPr>
          <w:p w14:paraId="0398C6CF" w14:textId="77777777" w:rsidR="004B30F6" w:rsidRPr="003A3F18" w:rsidRDefault="004B30F6" w:rsidP="003C7E27">
            <w:pPr>
              <w:spacing w:after="0" w:line="240" w:lineRule="auto"/>
              <w:ind w:firstLine="319"/>
              <w:rPr>
                <w:rFonts w:ascii="Calibri" w:hAnsi="Calibri"/>
                <w:lang w:eastAsia="pt-BR"/>
              </w:rPr>
            </w:pPr>
            <w:r w:rsidRPr="003A3F18">
              <w:rPr>
                <w:rFonts w:ascii="Calibri" w:hAnsi="Calibri"/>
                <w:lang w:eastAsia="pt-BR"/>
              </w:rPr>
              <w:t>VALORES/INFORMAÇÕES</w:t>
            </w:r>
          </w:p>
        </w:tc>
      </w:tr>
      <w:tr w:rsidR="004B30F6" w:rsidRPr="003A3F18" w14:paraId="75C47C76" w14:textId="77777777" w:rsidTr="003C7E27">
        <w:tc>
          <w:tcPr>
            <w:tcW w:w="5949" w:type="dxa"/>
            <w:gridSpan w:val="4"/>
            <w:vAlign w:val="center"/>
          </w:tcPr>
          <w:p w14:paraId="4E0151F3"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Patrimônio líquido</w:t>
            </w:r>
            <w:r w:rsidRPr="003A3F18">
              <w:rPr>
                <w:rFonts w:ascii="Calibri" w:hAnsi="Calibri" w:cs="Calibri"/>
                <w:lang w:eastAsia="pt-BR"/>
              </w:rPr>
              <w:t xml:space="preserve"> </w:t>
            </w:r>
            <w:r w:rsidRPr="003A3F18">
              <w:rPr>
                <w:rFonts w:ascii="Calibri" w:hAnsi="Calibri"/>
                <w:lang w:eastAsia="pt-BR"/>
              </w:rPr>
              <w:t>(em R</w:t>
            </w:r>
            <w:r w:rsidRPr="003A3F18">
              <w:rPr>
                <w:rFonts w:ascii="Calibri" w:hAnsi="Calibri" w:cs="Calibri"/>
                <w:lang w:eastAsia="pt-BR"/>
              </w:rPr>
              <w:t>$):</w:t>
            </w:r>
            <w:r w:rsidRPr="003A3F18">
              <w:rPr>
                <w:rFonts w:ascii="Calibri" w:hAnsi="Calibri"/>
                <w:lang w:eastAsia="pt-BR"/>
              </w:rPr>
              <w:t xml:space="preserve">                      </w:t>
            </w:r>
          </w:p>
        </w:tc>
        <w:tc>
          <w:tcPr>
            <w:tcW w:w="4365" w:type="dxa"/>
            <w:gridSpan w:val="4"/>
            <w:vAlign w:val="center"/>
          </w:tcPr>
          <w:p w14:paraId="23B1C44D" w14:textId="77777777" w:rsidR="004B30F6" w:rsidRPr="003A3F18" w:rsidRDefault="004B30F6" w:rsidP="003C7E27">
            <w:pPr>
              <w:spacing w:after="0" w:line="240" w:lineRule="auto"/>
              <w:rPr>
                <w:rFonts w:ascii="Calibri" w:hAnsi="Calibri"/>
                <w:lang w:eastAsia="pt-BR"/>
              </w:rPr>
            </w:pPr>
          </w:p>
        </w:tc>
      </w:tr>
      <w:tr w:rsidR="004B30F6" w:rsidRPr="003A3F18" w14:paraId="66433886" w14:textId="77777777" w:rsidTr="003C7E27">
        <w:tc>
          <w:tcPr>
            <w:tcW w:w="5949" w:type="dxa"/>
            <w:gridSpan w:val="4"/>
            <w:vAlign w:val="center"/>
          </w:tcPr>
          <w:p w14:paraId="0DE7A771"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Valor total do capital comprometido (em R$):</w:t>
            </w:r>
          </w:p>
        </w:tc>
        <w:tc>
          <w:tcPr>
            <w:tcW w:w="4365" w:type="dxa"/>
            <w:gridSpan w:val="4"/>
            <w:vAlign w:val="center"/>
          </w:tcPr>
          <w:p w14:paraId="0B0F552C" w14:textId="77777777" w:rsidR="004B30F6" w:rsidRPr="003A3F18" w:rsidRDefault="004B30F6" w:rsidP="003C7E27">
            <w:pPr>
              <w:spacing w:after="0" w:line="240" w:lineRule="auto"/>
              <w:rPr>
                <w:rFonts w:ascii="Calibri" w:hAnsi="Calibri"/>
                <w:lang w:eastAsia="pt-BR"/>
              </w:rPr>
            </w:pPr>
          </w:p>
        </w:tc>
      </w:tr>
      <w:tr w:rsidR="004B30F6" w:rsidRPr="003A3F18" w14:paraId="1079BA8E" w14:textId="77777777" w:rsidTr="003C7E27">
        <w:tc>
          <w:tcPr>
            <w:tcW w:w="5949" w:type="dxa"/>
            <w:gridSpan w:val="4"/>
            <w:vAlign w:val="center"/>
          </w:tcPr>
          <w:p w14:paraId="3BDC47B8"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 xml:space="preserve">Quantidade de cotas subscritas:              </w:t>
            </w:r>
          </w:p>
        </w:tc>
        <w:tc>
          <w:tcPr>
            <w:tcW w:w="4365" w:type="dxa"/>
            <w:gridSpan w:val="4"/>
            <w:vAlign w:val="center"/>
          </w:tcPr>
          <w:p w14:paraId="0CB82BEC" w14:textId="77777777" w:rsidR="004B30F6" w:rsidRPr="003A3F18" w:rsidRDefault="004B30F6" w:rsidP="003C7E27">
            <w:pPr>
              <w:spacing w:after="0" w:line="240" w:lineRule="auto"/>
              <w:rPr>
                <w:rFonts w:ascii="Calibri" w:hAnsi="Calibri"/>
                <w:lang w:eastAsia="pt-BR"/>
              </w:rPr>
            </w:pPr>
          </w:p>
        </w:tc>
      </w:tr>
      <w:tr w:rsidR="004B30F6" w:rsidRPr="003A3F18" w14:paraId="45DD18A3" w14:textId="77777777" w:rsidTr="003C7E27">
        <w:tc>
          <w:tcPr>
            <w:tcW w:w="5949" w:type="dxa"/>
            <w:gridSpan w:val="4"/>
            <w:vAlign w:val="center"/>
          </w:tcPr>
          <w:p w14:paraId="28F68772"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 xml:space="preserve">Valor total do capital subscrito (em R$): </w:t>
            </w:r>
          </w:p>
        </w:tc>
        <w:tc>
          <w:tcPr>
            <w:tcW w:w="4365" w:type="dxa"/>
            <w:gridSpan w:val="4"/>
            <w:vAlign w:val="center"/>
          </w:tcPr>
          <w:p w14:paraId="14B6DA30" w14:textId="77777777" w:rsidR="004B30F6" w:rsidRPr="003A3F18" w:rsidRDefault="004B30F6" w:rsidP="003C7E27">
            <w:pPr>
              <w:spacing w:after="0" w:line="240" w:lineRule="auto"/>
              <w:rPr>
                <w:rFonts w:ascii="Calibri" w:hAnsi="Calibri"/>
                <w:lang w:eastAsia="pt-BR"/>
              </w:rPr>
            </w:pPr>
          </w:p>
        </w:tc>
      </w:tr>
      <w:tr w:rsidR="004B30F6" w:rsidRPr="003A3F18" w14:paraId="141EB2D6" w14:textId="77777777" w:rsidTr="003C7E27">
        <w:trPr>
          <w:trHeight w:val="334"/>
        </w:trPr>
        <w:tc>
          <w:tcPr>
            <w:tcW w:w="5949" w:type="dxa"/>
            <w:gridSpan w:val="4"/>
            <w:vAlign w:val="center"/>
          </w:tcPr>
          <w:p w14:paraId="4E06FDB4"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 xml:space="preserve">Quantidade de cotas integralizadas:     </w:t>
            </w:r>
          </w:p>
        </w:tc>
        <w:tc>
          <w:tcPr>
            <w:tcW w:w="4365" w:type="dxa"/>
            <w:gridSpan w:val="4"/>
            <w:vAlign w:val="center"/>
          </w:tcPr>
          <w:p w14:paraId="7D3FD015" w14:textId="77777777" w:rsidR="004B30F6" w:rsidRPr="003A3F18" w:rsidRDefault="004B30F6" w:rsidP="003C7E27">
            <w:pPr>
              <w:spacing w:after="0" w:line="240" w:lineRule="auto"/>
              <w:rPr>
                <w:rFonts w:ascii="Calibri" w:hAnsi="Calibri"/>
                <w:lang w:eastAsia="pt-BR"/>
              </w:rPr>
            </w:pPr>
          </w:p>
        </w:tc>
      </w:tr>
      <w:tr w:rsidR="004B30F6" w:rsidRPr="003A3F18" w14:paraId="7DBE12B0" w14:textId="77777777" w:rsidTr="003C7E27">
        <w:tc>
          <w:tcPr>
            <w:tcW w:w="5949" w:type="dxa"/>
            <w:gridSpan w:val="4"/>
            <w:vAlign w:val="center"/>
          </w:tcPr>
          <w:p w14:paraId="78BF834C"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 xml:space="preserve">Valor total do capital integralizado (em R$): </w:t>
            </w:r>
          </w:p>
        </w:tc>
        <w:tc>
          <w:tcPr>
            <w:tcW w:w="4365" w:type="dxa"/>
            <w:gridSpan w:val="4"/>
            <w:vAlign w:val="center"/>
          </w:tcPr>
          <w:p w14:paraId="661CE65B" w14:textId="77777777" w:rsidR="004B30F6" w:rsidRPr="003A3F18" w:rsidRDefault="004B30F6" w:rsidP="003C7E27">
            <w:pPr>
              <w:spacing w:after="0" w:line="240" w:lineRule="auto"/>
              <w:rPr>
                <w:rFonts w:ascii="Calibri" w:hAnsi="Calibri"/>
                <w:lang w:eastAsia="pt-BR"/>
              </w:rPr>
            </w:pPr>
          </w:p>
        </w:tc>
      </w:tr>
      <w:tr w:rsidR="004B30F6" w:rsidRPr="003A3F18" w14:paraId="5DFF76FF" w14:textId="77777777" w:rsidTr="003C7E27">
        <w:tc>
          <w:tcPr>
            <w:tcW w:w="5949" w:type="dxa"/>
            <w:gridSpan w:val="4"/>
            <w:vAlign w:val="center"/>
          </w:tcPr>
          <w:p w14:paraId="7FDFDDC6"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Valor total investido em cotas de outros FIP (em R$):</w:t>
            </w:r>
          </w:p>
        </w:tc>
        <w:tc>
          <w:tcPr>
            <w:tcW w:w="4365" w:type="dxa"/>
            <w:gridSpan w:val="4"/>
            <w:vAlign w:val="center"/>
          </w:tcPr>
          <w:p w14:paraId="4A4BEE3D" w14:textId="77777777" w:rsidR="004B30F6" w:rsidRPr="003A3F18" w:rsidRDefault="004B30F6" w:rsidP="003C7E27">
            <w:pPr>
              <w:spacing w:after="0" w:line="240" w:lineRule="auto"/>
              <w:rPr>
                <w:rFonts w:ascii="Calibri" w:hAnsi="Calibri"/>
                <w:lang w:eastAsia="pt-BR"/>
              </w:rPr>
            </w:pPr>
          </w:p>
        </w:tc>
      </w:tr>
      <w:tr w:rsidR="004B30F6" w:rsidRPr="003A3F18" w14:paraId="2EAFA976" w14:textId="77777777" w:rsidTr="003C7E27">
        <w:tc>
          <w:tcPr>
            <w:tcW w:w="5949" w:type="dxa"/>
            <w:gridSpan w:val="4"/>
            <w:vAlign w:val="center"/>
          </w:tcPr>
          <w:p w14:paraId="2C84F080"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Nº de cotistas por categoria</w:t>
            </w:r>
          </w:p>
        </w:tc>
        <w:tc>
          <w:tcPr>
            <w:tcW w:w="2191" w:type="dxa"/>
            <w:gridSpan w:val="2"/>
            <w:vAlign w:val="center"/>
          </w:tcPr>
          <w:p w14:paraId="030B2C81"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Número de cotistas subscritores</w:t>
            </w:r>
          </w:p>
        </w:tc>
        <w:tc>
          <w:tcPr>
            <w:tcW w:w="2174" w:type="dxa"/>
            <w:gridSpan w:val="2"/>
            <w:vAlign w:val="center"/>
          </w:tcPr>
          <w:p w14:paraId="5EB707B6"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 das cotas subscritas</w:t>
            </w:r>
          </w:p>
        </w:tc>
      </w:tr>
      <w:tr w:rsidR="004B30F6" w:rsidRPr="003A3F18" w14:paraId="2C9ACE97" w14:textId="77777777" w:rsidTr="003C7E27">
        <w:tc>
          <w:tcPr>
            <w:tcW w:w="5949" w:type="dxa"/>
            <w:gridSpan w:val="4"/>
            <w:vAlign w:val="bottom"/>
          </w:tcPr>
          <w:p w14:paraId="2404E444"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Pessoa física</w:t>
            </w:r>
          </w:p>
        </w:tc>
        <w:tc>
          <w:tcPr>
            <w:tcW w:w="2191" w:type="dxa"/>
            <w:gridSpan w:val="2"/>
          </w:tcPr>
          <w:p w14:paraId="6AB5DAB8" w14:textId="77777777" w:rsidR="004B30F6" w:rsidRPr="003A3F18" w:rsidRDefault="004B30F6" w:rsidP="003C7E27">
            <w:pPr>
              <w:spacing w:after="0" w:line="240" w:lineRule="auto"/>
              <w:rPr>
                <w:rFonts w:ascii="Calibri" w:hAnsi="Calibri"/>
                <w:lang w:eastAsia="pt-BR"/>
              </w:rPr>
            </w:pPr>
          </w:p>
        </w:tc>
        <w:tc>
          <w:tcPr>
            <w:tcW w:w="2174" w:type="dxa"/>
            <w:gridSpan w:val="2"/>
          </w:tcPr>
          <w:p w14:paraId="5D94B2C3" w14:textId="77777777" w:rsidR="004B30F6" w:rsidRPr="003A3F18" w:rsidRDefault="004B30F6" w:rsidP="003C7E27">
            <w:pPr>
              <w:spacing w:after="0" w:line="240" w:lineRule="auto"/>
              <w:rPr>
                <w:rFonts w:ascii="Calibri" w:hAnsi="Calibri"/>
                <w:lang w:eastAsia="pt-BR"/>
              </w:rPr>
            </w:pPr>
          </w:p>
        </w:tc>
      </w:tr>
      <w:tr w:rsidR="004B30F6" w:rsidRPr="003A3F18" w14:paraId="397B6BF1" w14:textId="77777777" w:rsidTr="003C7E27">
        <w:tc>
          <w:tcPr>
            <w:tcW w:w="5949" w:type="dxa"/>
            <w:gridSpan w:val="4"/>
            <w:vAlign w:val="bottom"/>
          </w:tcPr>
          <w:p w14:paraId="49F431F9"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Pessoa jurídica não financeira</w:t>
            </w:r>
          </w:p>
        </w:tc>
        <w:tc>
          <w:tcPr>
            <w:tcW w:w="2191" w:type="dxa"/>
            <w:gridSpan w:val="2"/>
          </w:tcPr>
          <w:p w14:paraId="382E035C" w14:textId="77777777" w:rsidR="004B30F6" w:rsidRPr="003A3F18" w:rsidRDefault="004B30F6" w:rsidP="003C7E27">
            <w:pPr>
              <w:spacing w:after="0" w:line="240" w:lineRule="auto"/>
              <w:rPr>
                <w:rFonts w:ascii="Calibri" w:hAnsi="Calibri"/>
                <w:lang w:eastAsia="pt-BR"/>
              </w:rPr>
            </w:pPr>
          </w:p>
        </w:tc>
        <w:tc>
          <w:tcPr>
            <w:tcW w:w="2174" w:type="dxa"/>
            <w:gridSpan w:val="2"/>
          </w:tcPr>
          <w:p w14:paraId="5843BB75" w14:textId="77777777" w:rsidR="004B30F6" w:rsidRPr="003A3F18" w:rsidRDefault="004B30F6" w:rsidP="003C7E27">
            <w:pPr>
              <w:spacing w:after="0" w:line="240" w:lineRule="auto"/>
              <w:rPr>
                <w:rFonts w:ascii="Calibri" w:hAnsi="Calibri"/>
                <w:lang w:eastAsia="pt-BR"/>
              </w:rPr>
            </w:pPr>
          </w:p>
        </w:tc>
      </w:tr>
      <w:tr w:rsidR="004B30F6" w:rsidRPr="003A3F18" w14:paraId="73C6C788" w14:textId="77777777" w:rsidTr="003C7E27">
        <w:tc>
          <w:tcPr>
            <w:tcW w:w="5949" w:type="dxa"/>
            <w:gridSpan w:val="4"/>
            <w:vAlign w:val="bottom"/>
          </w:tcPr>
          <w:p w14:paraId="4EE8E0BB"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Banco comercial</w:t>
            </w:r>
          </w:p>
        </w:tc>
        <w:tc>
          <w:tcPr>
            <w:tcW w:w="2191" w:type="dxa"/>
            <w:gridSpan w:val="2"/>
          </w:tcPr>
          <w:p w14:paraId="57023A27" w14:textId="77777777" w:rsidR="004B30F6" w:rsidRPr="003A3F18" w:rsidRDefault="004B30F6" w:rsidP="003C7E27">
            <w:pPr>
              <w:spacing w:after="0" w:line="240" w:lineRule="auto"/>
              <w:rPr>
                <w:rFonts w:ascii="Calibri" w:hAnsi="Calibri"/>
                <w:lang w:eastAsia="pt-BR"/>
              </w:rPr>
            </w:pPr>
          </w:p>
        </w:tc>
        <w:tc>
          <w:tcPr>
            <w:tcW w:w="2174" w:type="dxa"/>
            <w:gridSpan w:val="2"/>
          </w:tcPr>
          <w:p w14:paraId="0B7DCA4E" w14:textId="77777777" w:rsidR="004B30F6" w:rsidRPr="003A3F18" w:rsidRDefault="004B30F6" w:rsidP="003C7E27">
            <w:pPr>
              <w:spacing w:after="0" w:line="240" w:lineRule="auto"/>
              <w:rPr>
                <w:rFonts w:ascii="Calibri" w:hAnsi="Calibri"/>
                <w:lang w:eastAsia="pt-BR"/>
              </w:rPr>
            </w:pPr>
          </w:p>
        </w:tc>
      </w:tr>
      <w:tr w:rsidR="004B30F6" w:rsidRPr="003A3F18" w14:paraId="47EC40E3" w14:textId="77777777" w:rsidTr="003C7E27">
        <w:tc>
          <w:tcPr>
            <w:tcW w:w="5949" w:type="dxa"/>
            <w:gridSpan w:val="4"/>
            <w:vAlign w:val="bottom"/>
          </w:tcPr>
          <w:p w14:paraId="2BE1AB43"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Corretora ou distribuidora</w:t>
            </w:r>
          </w:p>
        </w:tc>
        <w:tc>
          <w:tcPr>
            <w:tcW w:w="2191" w:type="dxa"/>
            <w:gridSpan w:val="2"/>
          </w:tcPr>
          <w:p w14:paraId="0B73F0C0" w14:textId="77777777" w:rsidR="004B30F6" w:rsidRPr="003A3F18" w:rsidRDefault="004B30F6" w:rsidP="003C7E27">
            <w:pPr>
              <w:spacing w:after="0" w:line="240" w:lineRule="auto"/>
              <w:rPr>
                <w:rFonts w:ascii="Calibri" w:hAnsi="Calibri"/>
                <w:lang w:eastAsia="pt-BR"/>
              </w:rPr>
            </w:pPr>
          </w:p>
        </w:tc>
        <w:tc>
          <w:tcPr>
            <w:tcW w:w="2174" w:type="dxa"/>
            <w:gridSpan w:val="2"/>
          </w:tcPr>
          <w:p w14:paraId="79E7AD32" w14:textId="77777777" w:rsidR="004B30F6" w:rsidRPr="003A3F18" w:rsidRDefault="004B30F6" w:rsidP="003C7E27">
            <w:pPr>
              <w:spacing w:after="0" w:line="240" w:lineRule="auto"/>
              <w:rPr>
                <w:rFonts w:ascii="Calibri" w:hAnsi="Calibri"/>
                <w:lang w:eastAsia="pt-BR"/>
              </w:rPr>
            </w:pPr>
          </w:p>
        </w:tc>
      </w:tr>
      <w:tr w:rsidR="004B30F6" w:rsidRPr="003A3F18" w14:paraId="18FE61F2" w14:textId="77777777" w:rsidTr="003C7E27">
        <w:tc>
          <w:tcPr>
            <w:tcW w:w="5949" w:type="dxa"/>
            <w:gridSpan w:val="4"/>
            <w:vAlign w:val="bottom"/>
          </w:tcPr>
          <w:p w14:paraId="4D8229B1"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Outras pessoas jurídicas financeiras</w:t>
            </w:r>
          </w:p>
        </w:tc>
        <w:tc>
          <w:tcPr>
            <w:tcW w:w="2191" w:type="dxa"/>
            <w:gridSpan w:val="2"/>
          </w:tcPr>
          <w:p w14:paraId="1586545A" w14:textId="77777777" w:rsidR="004B30F6" w:rsidRPr="003A3F18" w:rsidRDefault="004B30F6" w:rsidP="003C7E27">
            <w:pPr>
              <w:spacing w:after="0" w:line="240" w:lineRule="auto"/>
              <w:rPr>
                <w:rFonts w:ascii="Calibri" w:hAnsi="Calibri"/>
                <w:lang w:eastAsia="pt-BR"/>
              </w:rPr>
            </w:pPr>
          </w:p>
        </w:tc>
        <w:tc>
          <w:tcPr>
            <w:tcW w:w="2174" w:type="dxa"/>
            <w:gridSpan w:val="2"/>
          </w:tcPr>
          <w:p w14:paraId="5D5ECD7F" w14:textId="77777777" w:rsidR="004B30F6" w:rsidRPr="003A3F18" w:rsidRDefault="004B30F6" w:rsidP="003C7E27">
            <w:pPr>
              <w:spacing w:after="0" w:line="240" w:lineRule="auto"/>
              <w:rPr>
                <w:rFonts w:ascii="Calibri" w:hAnsi="Calibri"/>
                <w:lang w:eastAsia="pt-BR"/>
              </w:rPr>
            </w:pPr>
          </w:p>
        </w:tc>
      </w:tr>
      <w:tr w:rsidR="004B30F6" w:rsidRPr="003A3F18" w14:paraId="134B27DC" w14:textId="77777777" w:rsidTr="003C7E27">
        <w:tc>
          <w:tcPr>
            <w:tcW w:w="5949" w:type="dxa"/>
            <w:gridSpan w:val="4"/>
            <w:vAlign w:val="bottom"/>
          </w:tcPr>
          <w:p w14:paraId="72004E76"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Investidores não residentes</w:t>
            </w:r>
          </w:p>
        </w:tc>
        <w:tc>
          <w:tcPr>
            <w:tcW w:w="2191" w:type="dxa"/>
            <w:gridSpan w:val="2"/>
          </w:tcPr>
          <w:p w14:paraId="10CF04FF" w14:textId="77777777" w:rsidR="004B30F6" w:rsidRPr="003A3F18" w:rsidRDefault="004B30F6" w:rsidP="003C7E27">
            <w:pPr>
              <w:spacing w:after="0" w:line="240" w:lineRule="auto"/>
              <w:rPr>
                <w:rFonts w:ascii="Calibri" w:hAnsi="Calibri"/>
                <w:lang w:eastAsia="pt-BR"/>
              </w:rPr>
            </w:pPr>
          </w:p>
        </w:tc>
        <w:tc>
          <w:tcPr>
            <w:tcW w:w="2174" w:type="dxa"/>
            <w:gridSpan w:val="2"/>
          </w:tcPr>
          <w:p w14:paraId="70FF757D" w14:textId="77777777" w:rsidR="004B30F6" w:rsidRPr="003A3F18" w:rsidRDefault="004B30F6" w:rsidP="003C7E27">
            <w:pPr>
              <w:spacing w:after="0" w:line="240" w:lineRule="auto"/>
              <w:rPr>
                <w:rFonts w:ascii="Calibri" w:hAnsi="Calibri"/>
                <w:lang w:eastAsia="pt-BR"/>
              </w:rPr>
            </w:pPr>
          </w:p>
        </w:tc>
      </w:tr>
      <w:tr w:rsidR="004B30F6" w:rsidRPr="003A3F18" w14:paraId="1AD38D25" w14:textId="77777777" w:rsidTr="003C7E27">
        <w:tc>
          <w:tcPr>
            <w:tcW w:w="5949" w:type="dxa"/>
            <w:gridSpan w:val="4"/>
            <w:vAlign w:val="bottom"/>
          </w:tcPr>
          <w:p w14:paraId="4544E8AE"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Entidade aberta de previdência complementar</w:t>
            </w:r>
          </w:p>
        </w:tc>
        <w:tc>
          <w:tcPr>
            <w:tcW w:w="2191" w:type="dxa"/>
            <w:gridSpan w:val="2"/>
          </w:tcPr>
          <w:p w14:paraId="7F9F392B" w14:textId="77777777" w:rsidR="004B30F6" w:rsidRPr="003A3F18" w:rsidRDefault="004B30F6" w:rsidP="003C7E27">
            <w:pPr>
              <w:spacing w:after="0" w:line="240" w:lineRule="auto"/>
              <w:rPr>
                <w:rFonts w:ascii="Calibri" w:hAnsi="Calibri"/>
                <w:lang w:eastAsia="pt-BR"/>
              </w:rPr>
            </w:pPr>
          </w:p>
        </w:tc>
        <w:tc>
          <w:tcPr>
            <w:tcW w:w="2174" w:type="dxa"/>
            <w:gridSpan w:val="2"/>
          </w:tcPr>
          <w:p w14:paraId="1A611E49" w14:textId="77777777" w:rsidR="004B30F6" w:rsidRPr="003A3F18" w:rsidRDefault="004B30F6" w:rsidP="003C7E27">
            <w:pPr>
              <w:spacing w:after="0" w:line="240" w:lineRule="auto"/>
              <w:rPr>
                <w:rFonts w:ascii="Calibri" w:hAnsi="Calibri"/>
                <w:lang w:eastAsia="pt-BR"/>
              </w:rPr>
            </w:pPr>
          </w:p>
        </w:tc>
      </w:tr>
      <w:tr w:rsidR="004B30F6" w:rsidRPr="003A3F18" w14:paraId="6150E661" w14:textId="77777777" w:rsidTr="003C7E27">
        <w:tc>
          <w:tcPr>
            <w:tcW w:w="5949" w:type="dxa"/>
            <w:gridSpan w:val="4"/>
            <w:vAlign w:val="bottom"/>
          </w:tcPr>
          <w:p w14:paraId="40DA87E1"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Entidade fechada de previdência complementar</w:t>
            </w:r>
          </w:p>
        </w:tc>
        <w:tc>
          <w:tcPr>
            <w:tcW w:w="2191" w:type="dxa"/>
            <w:gridSpan w:val="2"/>
          </w:tcPr>
          <w:p w14:paraId="1A9B8880" w14:textId="77777777" w:rsidR="004B30F6" w:rsidRPr="003A3F18" w:rsidRDefault="004B30F6" w:rsidP="003C7E27">
            <w:pPr>
              <w:spacing w:after="0" w:line="240" w:lineRule="auto"/>
              <w:rPr>
                <w:rFonts w:ascii="Calibri" w:hAnsi="Calibri"/>
                <w:lang w:eastAsia="pt-BR"/>
              </w:rPr>
            </w:pPr>
          </w:p>
        </w:tc>
        <w:tc>
          <w:tcPr>
            <w:tcW w:w="2174" w:type="dxa"/>
            <w:gridSpan w:val="2"/>
          </w:tcPr>
          <w:p w14:paraId="5BD04E18" w14:textId="77777777" w:rsidR="004B30F6" w:rsidRPr="003A3F18" w:rsidRDefault="004B30F6" w:rsidP="003C7E27">
            <w:pPr>
              <w:spacing w:after="0" w:line="240" w:lineRule="auto"/>
              <w:rPr>
                <w:rFonts w:ascii="Calibri" w:hAnsi="Calibri"/>
                <w:lang w:eastAsia="pt-BR"/>
              </w:rPr>
            </w:pPr>
          </w:p>
        </w:tc>
      </w:tr>
      <w:tr w:rsidR="004B30F6" w:rsidRPr="003A3F18" w14:paraId="236B492D" w14:textId="77777777" w:rsidTr="003C7E27">
        <w:tc>
          <w:tcPr>
            <w:tcW w:w="5949" w:type="dxa"/>
            <w:gridSpan w:val="4"/>
            <w:vAlign w:val="bottom"/>
          </w:tcPr>
          <w:p w14:paraId="77A2F425"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Regime próprio de previdência dos servidores públicos</w:t>
            </w:r>
          </w:p>
        </w:tc>
        <w:tc>
          <w:tcPr>
            <w:tcW w:w="2191" w:type="dxa"/>
            <w:gridSpan w:val="2"/>
          </w:tcPr>
          <w:p w14:paraId="417D38A3" w14:textId="77777777" w:rsidR="004B30F6" w:rsidRPr="003A3F18" w:rsidRDefault="004B30F6" w:rsidP="003C7E27">
            <w:pPr>
              <w:spacing w:after="0" w:line="240" w:lineRule="auto"/>
              <w:rPr>
                <w:rFonts w:ascii="Calibri" w:hAnsi="Calibri"/>
                <w:lang w:eastAsia="pt-BR"/>
              </w:rPr>
            </w:pPr>
          </w:p>
        </w:tc>
        <w:tc>
          <w:tcPr>
            <w:tcW w:w="2174" w:type="dxa"/>
            <w:gridSpan w:val="2"/>
          </w:tcPr>
          <w:p w14:paraId="7BF28F2A" w14:textId="77777777" w:rsidR="004B30F6" w:rsidRPr="003A3F18" w:rsidRDefault="004B30F6" w:rsidP="003C7E27">
            <w:pPr>
              <w:spacing w:after="0" w:line="240" w:lineRule="auto"/>
              <w:rPr>
                <w:rFonts w:ascii="Calibri" w:hAnsi="Calibri"/>
                <w:lang w:eastAsia="pt-BR"/>
              </w:rPr>
            </w:pPr>
          </w:p>
        </w:tc>
      </w:tr>
      <w:tr w:rsidR="004B30F6" w:rsidRPr="003A3F18" w14:paraId="0534B536" w14:textId="77777777" w:rsidTr="003C7E27">
        <w:tc>
          <w:tcPr>
            <w:tcW w:w="5949" w:type="dxa"/>
            <w:gridSpan w:val="4"/>
            <w:vAlign w:val="bottom"/>
          </w:tcPr>
          <w:p w14:paraId="65E31431"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Sociedade seguradora ou resseguradora</w:t>
            </w:r>
          </w:p>
        </w:tc>
        <w:tc>
          <w:tcPr>
            <w:tcW w:w="2191" w:type="dxa"/>
            <w:gridSpan w:val="2"/>
          </w:tcPr>
          <w:p w14:paraId="538A9BA1" w14:textId="77777777" w:rsidR="004B30F6" w:rsidRPr="003A3F18" w:rsidRDefault="004B30F6" w:rsidP="003C7E27">
            <w:pPr>
              <w:spacing w:after="0" w:line="240" w:lineRule="auto"/>
              <w:rPr>
                <w:rFonts w:ascii="Calibri" w:hAnsi="Calibri"/>
                <w:lang w:eastAsia="pt-BR"/>
              </w:rPr>
            </w:pPr>
          </w:p>
        </w:tc>
        <w:tc>
          <w:tcPr>
            <w:tcW w:w="2174" w:type="dxa"/>
            <w:gridSpan w:val="2"/>
          </w:tcPr>
          <w:p w14:paraId="078144AF" w14:textId="77777777" w:rsidR="004B30F6" w:rsidRPr="003A3F18" w:rsidRDefault="004B30F6" w:rsidP="003C7E27">
            <w:pPr>
              <w:spacing w:after="0" w:line="240" w:lineRule="auto"/>
              <w:rPr>
                <w:rFonts w:ascii="Calibri" w:hAnsi="Calibri"/>
                <w:lang w:eastAsia="pt-BR"/>
              </w:rPr>
            </w:pPr>
          </w:p>
        </w:tc>
      </w:tr>
      <w:tr w:rsidR="004B30F6" w:rsidRPr="003A3F18" w14:paraId="643A5392" w14:textId="77777777" w:rsidTr="003C7E27">
        <w:tc>
          <w:tcPr>
            <w:tcW w:w="5949" w:type="dxa"/>
            <w:gridSpan w:val="4"/>
            <w:vAlign w:val="bottom"/>
          </w:tcPr>
          <w:p w14:paraId="52187E9B"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Sociedade de capitalização e de arrendamento mercantil</w:t>
            </w:r>
          </w:p>
        </w:tc>
        <w:tc>
          <w:tcPr>
            <w:tcW w:w="2191" w:type="dxa"/>
            <w:gridSpan w:val="2"/>
          </w:tcPr>
          <w:p w14:paraId="10BDDDAC" w14:textId="77777777" w:rsidR="004B30F6" w:rsidRPr="003A3F18" w:rsidRDefault="004B30F6" w:rsidP="003C7E27">
            <w:pPr>
              <w:spacing w:after="0" w:line="240" w:lineRule="auto"/>
              <w:rPr>
                <w:rFonts w:ascii="Calibri" w:hAnsi="Calibri"/>
                <w:lang w:eastAsia="pt-BR"/>
              </w:rPr>
            </w:pPr>
          </w:p>
        </w:tc>
        <w:tc>
          <w:tcPr>
            <w:tcW w:w="2174" w:type="dxa"/>
            <w:gridSpan w:val="2"/>
          </w:tcPr>
          <w:p w14:paraId="5EEDCF66" w14:textId="77777777" w:rsidR="004B30F6" w:rsidRPr="003A3F18" w:rsidRDefault="004B30F6" w:rsidP="003C7E27">
            <w:pPr>
              <w:spacing w:after="0" w:line="240" w:lineRule="auto"/>
              <w:rPr>
                <w:rFonts w:ascii="Calibri" w:hAnsi="Calibri"/>
                <w:lang w:eastAsia="pt-BR"/>
              </w:rPr>
            </w:pPr>
          </w:p>
        </w:tc>
      </w:tr>
      <w:tr w:rsidR="004B30F6" w:rsidRPr="003A3F18" w14:paraId="46297D37" w14:textId="77777777" w:rsidTr="003C7E27">
        <w:tc>
          <w:tcPr>
            <w:tcW w:w="5949" w:type="dxa"/>
            <w:gridSpan w:val="4"/>
            <w:vAlign w:val="bottom"/>
          </w:tcPr>
          <w:p w14:paraId="2CA4E7E0"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Fundos de investimento imobiliário</w:t>
            </w:r>
          </w:p>
        </w:tc>
        <w:tc>
          <w:tcPr>
            <w:tcW w:w="2191" w:type="dxa"/>
            <w:gridSpan w:val="2"/>
          </w:tcPr>
          <w:p w14:paraId="4D603C10" w14:textId="77777777" w:rsidR="004B30F6" w:rsidRPr="003A3F18" w:rsidRDefault="004B30F6" w:rsidP="003C7E27">
            <w:pPr>
              <w:spacing w:after="0" w:line="240" w:lineRule="auto"/>
              <w:rPr>
                <w:rFonts w:ascii="Calibri" w:hAnsi="Calibri"/>
                <w:lang w:eastAsia="pt-BR"/>
              </w:rPr>
            </w:pPr>
          </w:p>
        </w:tc>
        <w:tc>
          <w:tcPr>
            <w:tcW w:w="2174" w:type="dxa"/>
            <w:gridSpan w:val="2"/>
          </w:tcPr>
          <w:p w14:paraId="7FED1AC9" w14:textId="77777777" w:rsidR="004B30F6" w:rsidRPr="003A3F18" w:rsidRDefault="004B30F6" w:rsidP="003C7E27">
            <w:pPr>
              <w:spacing w:after="0" w:line="240" w:lineRule="auto"/>
              <w:rPr>
                <w:rFonts w:ascii="Calibri" w:hAnsi="Calibri"/>
                <w:lang w:eastAsia="pt-BR"/>
              </w:rPr>
            </w:pPr>
          </w:p>
        </w:tc>
      </w:tr>
      <w:tr w:rsidR="004B30F6" w:rsidRPr="003A3F18" w14:paraId="53912DB6" w14:textId="77777777" w:rsidTr="003C7E27">
        <w:tc>
          <w:tcPr>
            <w:tcW w:w="5949" w:type="dxa"/>
            <w:gridSpan w:val="4"/>
            <w:vAlign w:val="bottom"/>
          </w:tcPr>
          <w:p w14:paraId="40B58BE9"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Outros fundos de investimento</w:t>
            </w:r>
          </w:p>
        </w:tc>
        <w:tc>
          <w:tcPr>
            <w:tcW w:w="2191" w:type="dxa"/>
            <w:gridSpan w:val="2"/>
          </w:tcPr>
          <w:p w14:paraId="0FC536D3" w14:textId="77777777" w:rsidR="004B30F6" w:rsidRPr="003A3F18" w:rsidRDefault="004B30F6" w:rsidP="003C7E27">
            <w:pPr>
              <w:spacing w:after="0" w:line="240" w:lineRule="auto"/>
              <w:rPr>
                <w:rFonts w:ascii="Calibri" w:hAnsi="Calibri"/>
                <w:lang w:eastAsia="pt-BR"/>
              </w:rPr>
            </w:pPr>
          </w:p>
        </w:tc>
        <w:tc>
          <w:tcPr>
            <w:tcW w:w="2174" w:type="dxa"/>
            <w:gridSpan w:val="2"/>
          </w:tcPr>
          <w:p w14:paraId="1BD4F394" w14:textId="77777777" w:rsidR="004B30F6" w:rsidRPr="003A3F18" w:rsidRDefault="004B30F6" w:rsidP="003C7E27">
            <w:pPr>
              <w:spacing w:after="0" w:line="240" w:lineRule="auto"/>
              <w:rPr>
                <w:rFonts w:ascii="Calibri" w:hAnsi="Calibri"/>
                <w:lang w:eastAsia="pt-BR"/>
              </w:rPr>
            </w:pPr>
          </w:p>
        </w:tc>
      </w:tr>
      <w:tr w:rsidR="004B30F6" w:rsidRPr="003A3F18" w14:paraId="1BA48541" w14:textId="77777777" w:rsidTr="003C7E27">
        <w:tc>
          <w:tcPr>
            <w:tcW w:w="5949" w:type="dxa"/>
            <w:gridSpan w:val="4"/>
            <w:vAlign w:val="bottom"/>
          </w:tcPr>
          <w:p w14:paraId="03937AC2"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Cotistas de distribuidores por conta e ordem</w:t>
            </w:r>
          </w:p>
        </w:tc>
        <w:tc>
          <w:tcPr>
            <w:tcW w:w="2191" w:type="dxa"/>
            <w:gridSpan w:val="2"/>
          </w:tcPr>
          <w:p w14:paraId="4BD91D92" w14:textId="77777777" w:rsidR="004B30F6" w:rsidRPr="003A3F18" w:rsidRDefault="004B30F6" w:rsidP="003C7E27">
            <w:pPr>
              <w:spacing w:after="0" w:line="240" w:lineRule="auto"/>
              <w:rPr>
                <w:rFonts w:ascii="Calibri" w:hAnsi="Calibri"/>
                <w:lang w:eastAsia="pt-BR"/>
              </w:rPr>
            </w:pPr>
          </w:p>
        </w:tc>
        <w:tc>
          <w:tcPr>
            <w:tcW w:w="2174" w:type="dxa"/>
            <w:gridSpan w:val="2"/>
          </w:tcPr>
          <w:p w14:paraId="6350539C" w14:textId="77777777" w:rsidR="004B30F6" w:rsidRPr="003A3F18" w:rsidRDefault="004B30F6" w:rsidP="003C7E27">
            <w:pPr>
              <w:spacing w:after="0" w:line="240" w:lineRule="auto"/>
              <w:rPr>
                <w:rFonts w:ascii="Calibri" w:hAnsi="Calibri"/>
                <w:lang w:eastAsia="pt-BR"/>
              </w:rPr>
            </w:pPr>
          </w:p>
        </w:tc>
      </w:tr>
      <w:tr w:rsidR="004B30F6" w:rsidRPr="003A3F18" w14:paraId="6854EAA8" w14:textId="77777777" w:rsidTr="003C7E27">
        <w:tc>
          <w:tcPr>
            <w:tcW w:w="5949" w:type="dxa"/>
            <w:gridSpan w:val="4"/>
            <w:vAlign w:val="bottom"/>
          </w:tcPr>
          <w:p w14:paraId="1198D294"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Outros tipos de cotistas não relacionados</w:t>
            </w:r>
          </w:p>
        </w:tc>
        <w:tc>
          <w:tcPr>
            <w:tcW w:w="2191" w:type="dxa"/>
            <w:gridSpan w:val="2"/>
          </w:tcPr>
          <w:p w14:paraId="2ED32194" w14:textId="77777777" w:rsidR="004B30F6" w:rsidRPr="003A3F18" w:rsidRDefault="004B30F6" w:rsidP="003C7E27">
            <w:pPr>
              <w:spacing w:after="0" w:line="240" w:lineRule="auto"/>
              <w:rPr>
                <w:rFonts w:ascii="Calibri" w:hAnsi="Calibri"/>
                <w:lang w:eastAsia="pt-BR"/>
              </w:rPr>
            </w:pPr>
          </w:p>
        </w:tc>
        <w:tc>
          <w:tcPr>
            <w:tcW w:w="2174" w:type="dxa"/>
            <w:gridSpan w:val="2"/>
          </w:tcPr>
          <w:p w14:paraId="74BBEBE0" w14:textId="77777777" w:rsidR="004B30F6" w:rsidRPr="003A3F18" w:rsidRDefault="004B30F6" w:rsidP="003C7E27">
            <w:pPr>
              <w:spacing w:after="0" w:line="240" w:lineRule="auto"/>
              <w:rPr>
                <w:rFonts w:ascii="Calibri" w:hAnsi="Calibri"/>
                <w:lang w:eastAsia="pt-BR"/>
              </w:rPr>
            </w:pPr>
          </w:p>
        </w:tc>
      </w:tr>
      <w:tr w:rsidR="004B30F6" w:rsidRPr="003A3F18" w14:paraId="2B55CD60" w14:textId="77777777" w:rsidTr="003C7E27">
        <w:tc>
          <w:tcPr>
            <w:tcW w:w="5949" w:type="dxa"/>
            <w:gridSpan w:val="4"/>
            <w:vAlign w:val="bottom"/>
          </w:tcPr>
          <w:p w14:paraId="1CBB19A8"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Número total de cotistas subscritores</w:t>
            </w:r>
          </w:p>
        </w:tc>
        <w:tc>
          <w:tcPr>
            <w:tcW w:w="2191" w:type="dxa"/>
            <w:gridSpan w:val="2"/>
          </w:tcPr>
          <w:p w14:paraId="50D407B7" w14:textId="77777777" w:rsidR="004B30F6" w:rsidRPr="003A3F18" w:rsidRDefault="004B30F6" w:rsidP="003C7E27">
            <w:pPr>
              <w:spacing w:after="0" w:line="240" w:lineRule="auto"/>
              <w:rPr>
                <w:rFonts w:ascii="Calibri" w:hAnsi="Calibri"/>
                <w:lang w:eastAsia="pt-BR"/>
              </w:rPr>
            </w:pPr>
          </w:p>
        </w:tc>
        <w:tc>
          <w:tcPr>
            <w:tcW w:w="2174" w:type="dxa"/>
            <w:gridSpan w:val="2"/>
          </w:tcPr>
          <w:p w14:paraId="7138CE78" w14:textId="77777777" w:rsidR="004B30F6" w:rsidRPr="003A3F18" w:rsidRDefault="004B30F6" w:rsidP="003C7E27">
            <w:pPr>
              <w:spacing w:after="0" w:line="240" w:lineRule="auto"/>
              <w:rPr>
                <w:rFonts w:ascii="Calibri" w:hAnsi="Calibri"/>
                <w:lang w:eastAsia="pt-BR"/>
              </w:rPr>
            </w:pPr>
          </w:p>
        </w:tc>
      </w:tr>
      <w:tr w:rsidR="004B30F6" w:rsidRPr="003A3F18" w14:paraId="1E8ADFA7" w14:textId="77777777" w:rsidTr="003C7E27">
        <w:tc>
          <w:tcPr>
            <w:tcW w:w="1220" w:type="dxa"/>
            <w:vAlign w:val="center"/>
          </w:tcPr>
          <w:p w14:paraId="15B4B86A" w14:textId="77777777" w:rsidR="004B30F6" w:rsidRPr="003A3F18" w:rsidRDefault="004B30F6" w:rsidP="003C7E27">
            <w:pPr>
              <w:spacing w:after="0" w:line="240" w:lineRule="auto"/>
              <w:rPr>
                <w:rFonts w:ascii="Calibri" w:hAnsi="Calibri"/>
                <w:lang w:eastAsia="pt-BR"/>
              </w:rPr>
            </w:pPr>
            <w:r w:rsidRPr="003A3F18">
              <w:rPr>
                <w:rFonts w:ascii="Calibri" w:hAnsi="Calibri" w:cs="Calibri"/>
                <w:lang w:eastAsia="pt-BR"/>
              </w:rPr>
              <w:t>Subclasse</w:t>
            </w:r>
            <w:r w:rsidRPr="003A3F18">
              <w:rPr>
                <w:rFonts w:ascii="Calibri" w:hAnsi="Calibri"/>
                <w:lang w:eastAsia="pt-BR"/>
              </w:rPr>
              <w:t xml:space="preserve"> de cotas</w:t>
            </w:r>
          </w:p>
        </w:tc>
        <w:tc>
          <w:tcPr>
            <w:tcW w:w="1456" w:type="dxa"/>
            <w:vAlign w:val="center"/>
          </w:tcPr>
          <w:p w14:paraId="51137A7F"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Nº de cotistas subscritores</w:t>
            </w:r>
          </w:p>
        </w:tc>
        <w:tc>
          <w:tcPr>
            <w:tcW w:w="1543" w:type="dxa"/>
            <w:vAlign w:val="center"/>
          </w:tcPr>
          <w:p w14:paraId="734F389E"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Quantidade atual de cotas subscritas</w:t>
            </w:r>
          </w:p>
        </w:tc>
        <w:tc>
          <w:tcPr>
            <w:tcW w:w="1701" w:type="dxa"/>
            <w:vAlign w:val="center"/>
          </w:tcPr>
          <w:p w14:paraId="413C0779"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Quantidade atual de cotas integralizadas</w:t>
            </w:r>
          </w:p>
        </w:tc>
        <w:tc>
          <w:tcPr>
            <w:tcW w:w="992" w:type="dxa"/>
            <w:vAlign w:val="center"/>
          </w:tcPr>
          <w:p w14:paraId="36F79363"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Valor atual da cota (R$)</w:t>
            </w:r>
          </w:p>
        </w:tc>
        <w:tc>
          <w:tcPr>
            <w:tcW w:w="1418" w:type="dxa"/>
            <w:gridSpan w:val="2"/>
            <w:vAlign w:val="center"/>
          </w:tcPr>
          <w:p w14:paraId="52DDFC0E"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Possui direitos políticos especiais?</w:t>
            </w:r>
          </w:p>
        </w:tc>
        <w:tc>
          <w:tcPr>
            <w:tcW w:w="1984" w:type="dxa"/>
            <w:vAlign w:val="center"/>
          </w:tcPr>
          <w:p w14:paraId="291B7CAE"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Possui distintos direitos econômico-financeiros?</w:t>
            </w:r>
          </w:p>
        </w:tc>
      </w:tr>
      <w:tr w:rsidR="004B30F6" w:rsidRPr="003A3F18" w14:paraId="51B5E781" w14:textId="77777777" w:rsidTr="003C7E27">
        <w:tc>
          <w:tcPr>
            <w:tcW w:w="1220" w:type="dxa"/>
          </w:tcPr>
          <w:p w14:paraId="50B2C53C" w14:textId="77777777" w:rsidR="004B30F6" w:rsidRPr="003A3F18" w:rsidRDefault="004B30F6" w:rsidP="003C7E27">
            <w:pPr>
              <w:spacing w:after="0" w:line="240" w:lineRule="auto"/>
              <w:rPr>
                <w:rFonts w:ascii="Calibri" w:hAnsi="Calibri"/>
                <w:lang w:eastAsia="pt-BR"/>
              </w:rPr>
            </w:pPr>
            <w:r w:rsidRPr="003A3F18">
              <w:rPr>
                <w:rFonts w:ascii="Calibri" w:hAnsi="Calibri" w:cs="Arial"/>
                <w:lang w:eastAsia="pt-BR"/>
              </w:rPr>
              <w:t>Subclasse</w:t>
            </w:r>
            <w:r w:rsidRPr="003A3F18">
              <w:rPr>
                <w:rFonts w:ascii="Calibri" w:hAnsi="Calibri"/>
                <w:lang w:eastAsia="pt-BR"/>
              </w:rPr>
              <w:t xml:space="preserve"> 1</w:t>
            </w:r>
          </w:p>
        </w:tc>
        <w:tc>
          <w:tcPr>
            <w:tcW w:w="1456" w:type="dxa"/>
          </w:tcPr>
          <w:p w14:paraId="75457825" w14:textId="77777777" w:rsidR="004B30F6" w:rsidRPr="003A3F18" w:rsidRDefault="004B30F6" w:rsidP="003C7E27">
            <w:pPr>
              <w:spacing w:after="0" w:line="240" w:lineRule="auto"/>
              <w:rPr>
                <w:rFonts w:ascii="Calibri" w:hAnsi="Calibri"/>
                <w:lang w:eastAsia="pt-BR"/>
              </w:rPr>
            </w:pPr>
          </w:p>
        </w:tc>
        <w:tc>
          <w:tcPr>
            <w:tcW w:w="1543" w:type="dxa"/>
          </w:tcPr>
          <w:p w14:paraId="051F0C1F" w14:textId="77777777" w:rsidR="004B30F6" w:rsidRPr="003A3F18" w:rsidRDefault="004B30F6" w:rsidP="003C7E27">
            <w:pPr>
              <w:spacing w:after="0" w:line="240" w:lineRule="auto"/>
              <w:rPr>
                <w:rFonts w:ascii="Calibri" w:hAnsi="Calibri"/>
                <w:lang w:eastAsia="pt-BR"/>
              </w:rPr>
            </w:pPr>
          </w:p>
        </w:tc>
        <w:tc>
          <w:tcPr>
            <w:tcW w:w="1701" w:type="dxa"/>
          </w:tcPr>
          <w:p w14:paraId="1320AB4D" w14:textId="77777777" w:rsidR="004B30F6" w:rsidRPr="003A3F18" w:rsidRDefault="004B30F6" w:rsidP="003C7E27">
            <w:pPr>
              <w:spacing w:after="0" w:line="240" w:lineRule="auto"/>
              <w:rPr>
                <w:rFonts w:ascii="Calibri" w:hAnsi="Calibri"/>
                <w:lang w:eastAsia="pt-BR"/>
              </w:rPr>
            </w:pPr>
          </w:p>
        </w:tc>
        <w:tc>
          <w:tcPr>
            <w:tcW w:w="992" w:type="dxa"/>
          </w:tcPr>
          <w:p w14:paraId="675858A0" w14:textId="77777777" w:rsidR="004B30F6" w:rsidRPr="003A3F18" w:rsidRDefault="004B30F6" w:rsidP="003C7E27">
            <w:pPr>
              <w:spacing w:after="0" w:line="240" w:lineRule="auto"/>
              <w:rPr>
                <w:rFonts w:ascii="Calibri" w:hAnsi="Calibri"/>
                <w:lang w:eastAsia="pt-BR"/>
              </w:rPr>
            </w:pPr>
          </w:p>
        </w:tc>
        <w:tc>
          <w:tcPr>
            <w:tcW w:w="1418" w:type="dxa"/>
            <w:gridSpan w:val="2"/>
          </w:tcPr>
          <w:p w14:paraId="434CE00C"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c>
          <w:tcPr>
            <w:tcW w:w="1984" w:type="dxa"/>
          </w:tcPr>
          <w:p w14:paraId="773BF1BD"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r>
      <w:tr w:rsidR="004B30F6" w:rsidRPr="003A3F18" w14:paraId="5D3742B6" w14:textId="77777777" w:rsidTr="003C7E27">
        <w:tc>
          <w:tcPr>
            <w:tcW w:w="1220" w:type="dxa"/>
          </w:tcPr>
          <w:p w14:paraId="4A7F25D7" w14:textId="77777777" w:rsidR="004B30F6" w:rsidRPr="003A3F18" w:rsidRDefault="004B30F6" w:rsidP="003C7E27">
            <w:pPr>
              <w:spacing w:after="0" w:line="240" w:lineRule="auto"/>
              <w:rPr>
                <w:rFonts w:ascii="Calibri" w:hAnsi="Calibri"/>
                <w:lang w:eastAsia="pt-BR"/>
              </w:rPr>
            </w:pPr>
            <w:r w:rsidRPr="003A3F18">
              <w:rPr>
                <w:rFonts w:ascii="Calibri" w:hAnsi="Calibri" w:cs="Arial"/>
                <w:lang w:eastAsia="pt-BR"/>
              </w:rPr>
              <w:t>Subclasse</w:t>
            </w:r>
            <w:r w:rsidRPr="003A3F18">
              <w:rPr>
                <w:rFonts w:ascii="Calibri" w:hAnsi="Calibri"/>
                <w:lang w:eastAsia="pt-BR"/>
              </w:rPr>
              <w:t xml:space="preserve"> 2</w:t>
            </w:r>
          </w:p>
        </w:tc>
        <w:tc>
          <w:tcPr>
            <w:tcW w:w="1456" w:type="dxa"/>
          </w:tcPr>
          <w:p w14:paraId="0ADB8B1E" w14:textId="77777777" w:rsidR="004B30F6" w:rsidRPr="003A3F18" w:rsidRDefault="004B30F6" w:rsidP="003C7E27">
            <w:pPr>
              <w:spacing w:after="0" w:line="240" w:lineRule="auto"/>
              <w:rPr>
                <w:rFonts w:ascii="Calibri" w:hAnsi="Calibri"/>
                <w:lang w:eastAsia="pt-BR"/>
              </w:rPr>
            </w:pPr>
          </w:p>
        </w:tc>
        <w:tc>
          <w:tcPr>
            <w:tcW w:w="1543" w:type="dxa"/>
          </w:tcPr>
          <w:p w14:paraId="2374A17E" w14:textId="77777777" w:rsidR="004B30F6" w:rsidRPr="003A3F18" w:rsidRDefault="004B30F6" w:rsidP="003C7E27">
            <w:pPr>
              <w:spacing w:after="0" w:line="240" w:lineRule="auto"/>
              <w:rPr>
                <w:rFonts w:ascii="Calibri" w:hAnsi="Calibri"/>
                <w:lang w:eastAsia="pt-BR"/>
              </w:rPr>
            </w:pPr>
          </w:p>
        </w:tc>
        <w:tc>
          <w:tcPr>
            <w:tcW w:w="1701" w:type="dxa"/>
          </w:tcPr>
          <w:p w14:paraId="4C641CF7" w14:textId="77777777" w:rsidR="004B30F6" w:rsidRPr="003A3F18" w:rsidRDefault="004B30F6" w:rsidP="003C7E27">
            <w:pPr>
              <w:spacing w:after="0" w:line="240" w:lineRule="auto"/>
              <w:rPr>
                <w:rFonts w:ascii="Calibri" w:hAnsi="Calibri"/>
                <w:lang w:eastAsia="pt-BR"/>
              </w:rPr>
            </w:pPr>
          </w:p>
        </w:tc>
        <w:tc>
          <w:tcPr>
            <w:tcW w:w="992" w:type="dxa"/>
          </w:tcPr>
          <w:p w14:paraId="37B8006E" w14:textId="77777777" w:rsidR="004B30F6" w:rsidRPr="003A3F18" w:rsidRDefault="004B30F6" w:rsidP="003C7E27">
            <w:pPr>
              <w:spacing w:after="0" w:line="240" w:lineRule="auto"/>
              <w:rPr>
                <w:rFonts w:ascii="Calibri" w:hAnsi="Calibri"/>
                <w:lang w:eastAsia="pt-BR"/>
              </w:rPr>
            </w:pPr>
          </w:p>
        </w:tc>
        <w:tc>
          <w:tcPr>
            <w:tcW w:w="1418" w:type="dxa"/>
            <w:gridSpan w:val="2"/>
          </w:tcPr>
          <w:p w14:paraId="28F5477E"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c>
          <w:tcPr>
            <w:tcW w:w="1984" w:type="dxa"/>
          </w:tcPr>
          <w:p w14:paraId="64C463D8"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r>
      <w:tr w:rsidR="004B30F6" w:rsidRPr="003A3F18" w14:paraId="471DAABF" w14:textId="77777777" w:rsidTr="003C7E27">
        <w:tc>
          <w:tcPr>
            <w:tcW w:w="1220" w:type="dxa"/>
          </w:tcPr>
          <w:p w14:paraId="2C0739E1" w14:textId="77777777" w:rsidR="004B30F6" w:rsidRPr="003A3F18" w:rsidRDefault="004B30F6" w:rsidP="003C7E27">
            <w:pPr>
              <w:spacing w:after="0" w:line="240" w:lineRule="auto"/>
              <w:rPr>
                <w:rFonts w:ascii="Calibri" w:hAnsi="Calibri"/>
                <w:lang w:eastAsia="pt-BR"/>
              </w:rPr>
            </w:pPr>
            <w:r w:rsidRPr="003A3F18">
              <w:rPr>
                <w:rFonts w:ascii="Calibri" w:hAnsi="Calibri" w:cs="Arial"/>
                <w:lang w:eastAsia="pt-BR"/>
              </w:rPr>
              <w:lastRenderedPageBreak/>
              <w:t>Subclasse</w:t>
            </w:r>
            <w:r w:rsidRPr="003A3F18">
              <w:rPr>
                <w:rFonts w:ascii="Calibri" w:hAnsi="Calibri"/>
                <w:lang w:eastAsia="pt-BR"/>
              </w:rPr>
              <w:t xml:space="preserve"> N</w:t>
            </w:r>
          </w:p>
        </w:tc>
        <w:tc>
          <w:tcPr>
            <w:tcW w:w="1456" w:type="dxa"/>
          </w:tcPr>
          <w:p w14:paraId="2C442696" w14:textId="77777777" w:rsidR="004B30F6" w:rsidRPr="003A3F18" w:rsidRDefault="004B30F6" w:rsidP="003C7E27">
            <w:pPr>
              <w:spacing w:after="0" w:line="240" w:lineRule="auto"/>
              <w:rPr>
                <w:rFonts w:ascii="Calibri" w:hAnsi="Calibri"/>
                <w:lang w:eastAsia="pt-BR"/>
              </w:rPr>
            </w:pPr>
          </w:p>
        </w:tc>
        <w:tc>
          <w:tcPr>
            <w:tcW w:w="1543" w:type="dxa"/>
          </w:tcPr>
          <w:p w14:paraId="4D8904A9" w14:textId="77777777" w:rsidR="004B30F6" w:rsidRPr="003A3F18" w:rsidRDefault="004B30F6" w:rsidP="003C7E27">
            <w:pPr>
              <w:spacing w:after="0" w:line="240" w:lineRule="auto"/>
              <w:rPr>
                <w:rFonts w:ascii="Calibri" w:hAnsi="Calibri"/>
                <w:lang w:eastAsia="pt-BR"/>
              </w:rPr>
            </w:pPr>
          </w:p>
        </w:tc>
        <w:tc>
          <w:tcPr>
            <w:tcW w:w="1701" w:type="dxa"/>
          </w:tcPr>
          <w:p w14:paraId="1C849BC4" w14:textId="77777777" w:rsidR="004B30F6" w:rsidRPr="003A3F18" w:rsidRDefault="004B30F6" w:rsidP="003C7E27">
            <w:pPr>
              <w:spacing w:after="0" w:line="240" w:lineRule="auto"/>
              <w:rPr>
                <w:rFonts w:ascii="Calibri" w:hAnsi="Calibri"/>
                <w:lang w:eastAsia="pt-BR"/>
              </w:rPr>
            </w:pPr>
          </w:p>
        </w:tc>
        <w:tc>
          <w:tcPr>
            <w:tcW w:w="992" w:type="dxa"/>
          </w:tcPr>
          <w:p w14:paraId="265875E9" w14:textId="77777777" w:rsidR="004B30F6" w:rsidRPr="003A3F18" w:rsidRDefault="004B30F6" w:rsidP="003C7E27">
            <w:pPr>
              <w:spacing w:after="0" w:line="240" w:lineRule="auto"/>
              <w:rPr>
                <w:rFonts w:ascii="Calibri" w:hAnsi="Calibri"/>
                <w:lang w:eastAsia="pt-BR"/>
              </w:rPr>
            </w:pPr>
          </w:p>
        </w:tc>
        <w:tc>
          <w:tcPr>
            <w:tcW w:w="1418" w:type="dxa"/>
            <w:gridSpan w:val="2"/>
          </w:tcPr>
          <w:p w14:paraId="2AB03EF7"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c>
          <w:tcPr>
            <w:tcW w:w="1984" w:type="dxa"/>
          </w:tcPr>
          <w:p w14:paraId="466C62F8" w14:textId="77777777" w:rsidR="004B30F6" w:rsidRPr="003A3F18" w:rsidRDefault="004B30F6" w:rsidP="003C7E27">
            <w:pPr>
              <w:spacing w:after="0" w:line="240" w:lineRule="auto"/>
              <w:rPr>
                <w:rFonts w:ascii="Calibri" w:hAnsi="Calibri"/>
                <w:lang w:eastAsia="pt-BR"/>
              </w:rPr>
            </w:pPr>
            <w:r w:rsidRPr="003A3F18">
              <w:rPr>
                <w:rFonts w:ascii="Calibri" w:hAnsi="Calibri"/>
                <w:lang w:eastAsia="pt-BR"/>
              </w:rPr>
              <w:t>Sim/Não</w:t>
            </w:r>
          </w:p>
        </w:tc>
      </w:tr>
    </w:tbl>
    <w:p w14:paraId="5A8C60D5" w14:textId="7A01AEC6" w:rsidR="004B30F6" w:rsidRPr="004B30F6" w:rsidRDefault="004B30F6" w:rsidP="004B30F6">
      <w:pPr>
        <w:pStyle w:val="PargrafodaLista"/>
        <w:numPr>
          <w:ilvl w:val="0"/>
          <w:numId w:val="13"/>
        </w:numPr>
        <w:spacing w:before="120" w:after="120" w:line="312" w:lineRule="auto"/>
        <w:ind w:left="284" w:hanging="142"/>
        <w:jc w:val="both"/>
      </w:pPr>
      <w:r>
        <w:rPr>
          <w:rFonts w:cstheme="minorHAnsi"/>
          <w:b/>
          <w:i/>
          <w:sz w:val="24"/>
          <w:szCs w:val="24"/>
        </w:rPr>
        <w:t xml:space="preserve">Suplemento L </w:t>
      </w:r>
      <w:r w:rsidRPr="0045288F">
        <w:rPr>
          <w:rFonts w:cstheme="minorHAnsi"/>
          <w:b/>
          <w:i/>
          <w:sz w:val="24"/>
          <w:szCs w:val="24"/>
        </w:rPr>
        <w:t>incluído pela Resolução CVM nº 184, de 31 de maio de 2023.</w:t>
      </w:r>
    </w:p>
    <w:p w14:paraId="2D9ACC67" w14:textId="77777777" w:rsidR="004B30F6" w:rsidRDefault="004B30F6" w:rsidP="00457375">
      <w:pPr>
        <w:tabs>
          <w:tab w:val="left" w:pos="3795"/>
        </w:tabs>
        <w:spacing w:after="0"/>
        <w:rPr>
          <w:rFonts w:asciiTheme="minorHAnsi" w:eastAsiaTheme="minorHAnsi" w:hAnsiTheme="minorHAnsi" w:cstheme="minorBidi"/>
        </w:rPr>
        <w:sectPr w:rsidR="004B30F6" w:rsidSect="002A08BD">
          <w:headerReference w:type="default" r:id="rId49"/>
          <w:pgSz w:w="11906" w:h="16838"/>
          <w:pgMar w:top="2268" w:right="567" w:bottom="851" w:left="1134" w:header="709" w:footer="709" w:gutter="0"/>
          <w:cols w:space="708"/>
          <w:docGrid w:linePitch="360"/>
        </w:sectPr>
      </w:pPr>
    </w:p>
    <w:p w14:paraId="2E0B64E2" w14:textId="77777777" w:rsidR="004B30F6" w:rsidRPr="004B30F6" w:rsidRDefault="004B30F6" w:rsidP="004B30F6">
      <w:pPr>
        <w:pStyle w:val="Ttulo1"/>
        <w:spacing w:before="0" w:after="0" w:line="240" w:lineRule="auto"/>
        <w:jc w:val="center"/>
        <w:rPr>
          <w:rFonts w:asciiTheme="minorHAnsi" w:hAnsiTheme="minorHAnsi" w:cstheme="minorHAnsi"/>
          <w:sz w:val="24"/>
          <w:szCs w:val="24"/>
        </w:rPr>
      </w:pPr>
      <w:bookmarkStart w:id="1516" w:name="_Toc161141458"/>
      <w:r w:rsidRPr="004B30F6">
        <w:rPr>
          <w:rFonts w:asciiTheme="minorHAnsi" w:hAnsiTheme="minorHAnsi" w:cstheme="minorHAnsi"/>
          <w:sz w:val="24"/>
          <w:szCs w:val="24"/>
        </w:rPr>
        <w:lastRenderedPageBreak/>
        <w:t>SUPLEMENTO M – INFORME DIÁRIO DO FMP–FGTS</w:t>
      </w:r>
      <w:bookmarkEnd w:id="1516"/>
    </w:p>
    <w:p w14:paraId="062A0760" w14:textId="77777777" w:rsidR="004B30F6" w:rsidRPr="004B30F6" w:rsidRDefault="004B30F6" w:rsidP="004B30F6">
      <w:pPr>
        <w:spacing w:after="0"/>
        <w:ind w:left="709"/>
        <w:jc w:val="center"/>
        <w:rPr>
          <w:rFonts w:asciiTheme="minorHAnsi" w:hAnsiTheme="minorHAnsi" w:cstheme="minorHAnsi"/>
          <w:i/>
          <w:sz w:val="24"/>
          <w:szCs w:val="24"/>
        </w:rPr>
      </w:pPr>
      <w:r w:rsidRPr="004B30F6">
        <w:rPr>
          <w:rFonts w:asciiTheme="minorHAnsi" w:hAnsiTheme="minorHAnsi" w:cstheme="minorHAnsi"/>
          <w:i/>
          <w:sz w:val="24"/>
          <w:szCs w:val="24"/>
        </w:rPr>
        <w:t>Conteúdo do Informe Diário, conforme previsto no art. 23, inciso I, do Anexo Normativo VII</w:t>
      </w:r>
    </w:p>
    <w:p w14:paraId="1569961D" w14:textId="77777777" w:rsidR="004B30F6" w:rsidRPr="004B30F6" w:rsidRDefault="004B30F6" w:rsidP="004B30F6">
      <w:pPr>
        <w:ind w:left="567"/>
        <w:rPr>
          <w:rFonts w:asciiTheme="minorHAnsi" w:hAnsiTheme="minorHAnsi" w:cstheme="minorHAnsi"/>
          <w:i/>
          <w:sz w:val="24"/>
          <w:szCs w:val="24"/>
        </w:rPr>
      </w:pPr>
    </w:p>
    <w:tbl>
      <w:tblPr>
        <w:tblStyle w:val="Tabelacomgrade"/>
        <w:tblW w:w="10200" w:type="dxa"/>
        <w:tblLayout w:type="fixed"/>
        <w:tblLook w:val="06A0" w:firstRow="1" w:lastRow="0" w:firstColumn="1" w:lastColumn="0" w:noHBand="1" w:noVBand="1"/>
      </w:tblPr>
      <w:tblGrid>
        <w:gridCol w:w="7508"/>
        <w:gridCol w:w="2692"/>
      </w:tblGrid>
      <w:tr w:rsidR="004B30F6" w:rsidRPr="00207CD3" w14:paraId="0DC2B3F2" w14:textId="77777777" w:rsidTr="003C7E27">
        <w:tc>
          <w:tcPr>
            <w:tcW w:w="7508" w:type="dxa"/>
          </w:tcPr>
          <w:p w14:paraId="0EB09EC5" w14:textId="77777777" w:rsidR="004B30F6" w:rsidRPr="00FF2B42" w:rsidRDefault="004B30F6" w:rsidP="003C7E27">
            <w:pPr>
              <w:pStyle w:val="Recuodecorpodetexto2"/>
              <w:ind w:left="567"/>
              <w:jc w:val="center"/>
              <w:rPr>
                <w:rFonts w:asciiTheme="minorHAnsi" w:eastAsiaTheme="minorEastAsia" w:hAnsiTheme="minorHAnsi" w:cstheme="minorHAnsi"/>
              </w:rPr>
            </w:pPr>
            <w:r w:rsidRPr="00FF2B42">
              <w:rPr>
                <w:rFonts w:asciiTheme="minorHAnsi" w:eastAsiaTheme="minorEastAsia" w:hAnsiTheme="minorHAnsi" w:cstheme="minorHAnsi"/>
              </w:rPr>
              <w:t>Informe Diário</w:t>
            </w:r>
          </w:p>
        </w:tc>
        <w:tc>
          <w:tcPr>
            <w:tcW w:w="2692" w:type="dxa"/>
          </w:tcPr>
          <w:p w14:paraId="28C7A2F1"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03D652DF" w14:textId="77777777" w:rsidTr="003C7E27">
        <w:tc>
          <w:tcPr>
            <w:tcW w:w="7508" w:type="dxa"/>
          </w:tcPr>
          <w:p w14:paraId="017E0DD4"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Nome do Fundo:</w:t>
            </w:r>
          </w:p>
        </w:tc>
        <w:tc>
          <w:tcPr>
            <w:tcW w:w="2692" w:type="dxa"/>
          </w:tcPr>
          <w:p w14:paraId="5BE5395C"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3C290795" w14:textId="77777777" w:rsidTr="003C7E27">
        <w:tc>
          <w:tcPr>
            <w:tcW w:w="7508" w:type="dxa"/>
          </w:tcPr>
          <w:p w14:paraId="5035E8C9"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CNPJ</w:t>
            </w:r>
          </w:p>
        </w:tc>
        <w:tc>
          <w:tcPr>
            <w:tcW w:w="2692" w:type="dxa"/>
          </w:tcPr>
          <w:p w14:paraId="3F305491"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198F085B" w14:textId="77777777" w:rsidTr="003C7E27">
        <w:tc>
          <w:tcPr>
            <w:tcW w:w="7508" w:type="dxa"/>
          </w:tcPr>
          <w:p w14:paraId="0D14AEDB"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Data de referência: DD/MM/AAAA</w:t>
            </w:r>
          </w:p>
        </w:tc>
        <w:tc>
          <w:tcPr>
            <w:tcW w:w="2692" w:type="dxa"/>
          </w:tcPr>
          <w:p w14:paraId="6D84C539"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1090DE03" w14:textId="77777777" w:rsidTr="003C7E27">
        <w:tc>
          <w:tcPr>
            <w:tcW w:w="7508" w:type="dxa"/>
          </w:tcPr>
          <w:p w14:paraId="1F404D39"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total da carteira - em unidades de Real, com centavos (R$ 1,00)</w:t>
            </w:r>
          </w:p>
        </w:tc>
        <w:tc>
          <w:tcPr>
            <w:tcW w:w="2692" w:type="dxa"/>
          </w:tcPr>
          <w:p w14:paraId="00DF4619"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33E4EBA6" w14:textId="77777777" w:rsidTr="003C7E27">
        <w:tc>
          <w:tcPr>
            <w:tcW w:w="7508" w:type="dxa"/>
          </w:tcPr>
          <w:p w14:paraId="20A1E406"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valor do PL - em unidades de Real, com centavos (R$ 1,00)</w:t>
            </w:r>
          </w:p>
        </w:tc>
        <w:tc>
          <w:tcPr>
            <w:tcW w:w="2692" w:type="dxa"/>
          </w:tcPr>
          <w:p w14:paraId="7DB56B5E"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768AF931" w14:textId="77777777" w:rsidTr="003C7E27">
        <w:tc>
          <w:tcPr>
            <w:tcW w:w="7508" w:type="dxa"/>
          </w:tcPr>
          <w:p w14:paraId="70311026"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valor da cota</w:t>
            </w:r>
          </w:p>
        </w:tc>
        <w:tc>
          <w:tcPr>
            <w:tcW w:w="2692" w:type="dxa"/>
          </w:tcPr>
          <w:p w14:paraId="254581A2"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5C1C6BA2" w14:textId="77777777" w:rsidTr="003C7E27">
        <w:tc>
          <w:tcPr>
            <w:tcW w:w="7508" w:type="dxa"/>
          </w:tcPr>
          <w:p w14:paraId="4C86C8BB"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captações - em unidades de Real, com centavos (R$ 1,00)</w:t>
            </w:r>
          </w:p>
        </w:tc>
        <w:tc>
          <w:tcPr>
            <w:tcW w:w="2692" w:type="dxa"/>
          </w:tcPr>
          <w:p w14:paraId="69CF988E"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3ADF4400" w14:textId="77777777" w:rsidTr="003C7E27">
        <w:tc>
          <w:tcPr>
            <w:tcW w:w="7508" w:type="dxa"/>
          </w:tcPr>
          <w:p w14:paraId="4959FCD8"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r w:rsidRPr="00FF2B42">
              <w:rPr>
                <w:rFonts w:asciiTheme="minorHAnsi" w:eastAsiaTheme="minorEastAsia" w:hAnsiTheme="minorHAnsi" w:cstheme="minorHAnsi"/>
                <w:color w:val="000000" w:themeColor="text1"/>
              </w:rPr>
              <w:t>resgates - em unidades de Real, com centavos (R$ 1,00)</w:t>
            </w:r>
          </w:p>
        </w:tc>
        <w:tc>
          <w:tcPr>
            <w:tcW w:w="2692" w:type="dxa"/>
          </w:tcPr>
          <w:p w14:paraId="1C45BFE4"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r w:rsidR="004B30F6" w:rsidRPr="00207CD3" w14:paraId="5993B96C" w14:textId="77777777" w:rsidTr="003C7E27">
        <w:tc>
          <w:tcPr>
            <w:tcW w:w="7508" w:type="dxa"/>
          </w:tcPr>
          <w:p w14:paraId="22409A5B" w14:textId="77777777" w:rsidR="004B30F6" w:rsidRPr="00FF2B42" w:rsidRDefault="004B30F6" w:rsidP="003C7E27">
            <w:pPr>
              <w:pStyle w:val="Recuodecorpodetexto2"/>
              <w:ind w:left="567"/>
              <w:rPr>
                <w:rFonts w:asciiTheme="minorHAnsi" w:eastAsiaTheme="minorEastAsia" w:hAnsiTheme="minorHAnsi" w:cstheme="minorHAnsi"/>
              </w:rPr>
            </w:pPr>
            <w:r w:rsidRPr="00FF2B42">
              <w:rPr>
                <w:rFonts w:asciiTheme="minorHAnsi" w:eastAsiaTheme="minorEastAsia" w:hAnsiTheme="minorHAnsi" w:cstheme="minorHAnsi"/>
              </w:rPr>
              <w:t>número de cotistas</w:t>
            </w:r>
          </w:p>
        </w:tc>
        <w:tc>
          <w:tcPr>
            <w:tcW w:w="2692" w:type="dxa"/>
          </w:tcPr>
          <w:p w14:paraId="236E4D2F" w14:textId="77777777" w:rsidR="004B30F6" w:rsidRPr="00FF2B42" w:rsidRDefault="004B30F6" w:rsidP="003C7E27">
            <w:pPr>
              <w:pStyle w:val="Recuodecorpodetexto2"/>
              <w:ind w:left="567"/>
              <w:rPr>
                <w:rFonts w:asciiTheme="minorHAnsi" w:eastAsiaTheme="minorEastAsia" w:hAnsiTheme="minorHAnsi" w:cstheme="minorHAnsi"/>
                <w:color w:val="000000" w:themeColor="text1"/>
              </w:rPr>
            </w:pPr>
          </w:p>
        </w:tc>
      </w:tr>
    </w:tbl>
    <w:p w14:paraId="66C0217A" w14:textId="5BBCF945" w:rsidR="008C5242" w:rsidRDefault="004B30F6" w:rsidP="004B30F6">
      <w:pPr>
        <w:pStyle w:val="PargrafodaLista"/>
        <w:numPr>
          <w:ilvl w:val="0"/>
          <w:numId w:val="13"/>
        </w:numPr>
        <w:spacing w:before="120" w:after="120" w:line="312" w:lineRule="auto"/>
        <w:ind w:left="284" w:hanging="142"/>
        <w:jc w:val="both"/>
      </w:pPr>
      <w:r>
        <w:rPr>
          <w:rFonts w:cstheme="minorHAnsi"/>
          <w:b/>
          <w:i/>
          <w:sz w:val="24"/>
          <w:szCs w:val="24"/>
        </w:rPr>
        <w:t xml:space="preserve">Suplemento M </w:t>
      </w:r>
      <w:r w:rsidRPr="0045288F">
        <w:rPr>
          <w:rFonts w:cstheme="minorHAnsi"/>
          <w:b/>
          <w:i/>
          <w:sz w:val="24"/>
          <w:szCs w:val="24"/>
        </w:rPr>
        <w:t>incluído pela Resolução CVM nº 184, de 31 de maio de 2023.</w:t>
      </w:r>
    </w:p>
    <w:p w14:paraId="2D7B0F83" w14:textId="77777777" w:rsidR="008F36E8" w:rsidRDefault="008F36E8" w:rsidP="00457375">
      <w:pPr>
        <w:tabs>
          <w:tab w:val="left" w:pos="3795"/>
        </w:tabs>
        <w:spacing w:after="0"/>
        <w:rPr>
          <w:rFonts w:asciiTheme="minorHAnsi" w:eastAsiaTheme="minorHAnsi" w:hAnsiTheme="minorHAnsi" w:cstheme="minorBidi"/>
        </w:rPr>
      </w:pPr>
    </w:p>
    <w:p w14:paraId="071A77F1" w14:textId="77777777" w:rsidR="008F36E8" w:rsidRPr="00457375" w:rsidRDefault="008F36E8" w:rsidP="00457375">
      <w:pPr>
        <w:tabs>
          <w:tab w:val="left" w:pos="3795"/>
        </w:tabs>
        <w:spacing w:after="0"/>
        <w:rPr>
          <w:rFonts w:asciiTheme="minorHAnsi" w:eastAsiaTheme="minorHAnsi" w:hAnsiTheme="minorHAnsi" w:cstheme="minorBidi"/>
        </w:rPr>
      </w:pPr>
    </w:p>
    <w:sectPr w:rsidR="008F36E8" w:rsidRPr="00457375" w:rsidSect="002A08BD">
      <w:headerReference w:type="default" r:id="rId50"/>
      <w:pgSz w:w="11906" w:h="16838"/>
      <w:pgMar w:top="2268"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D713" w14:textId="77777777" w:rsidR="002A08BD" w:rsidRDefault="002A08BD" w:rsidP="00492061">
      <w:pPr>
        <w:spacing w:after="0" w:line="240" w:lineRule="auto"/>
      </w:pPr>
      <w:r>
        <w:separator/>
      </w:r>
    </w:p>
  </w:endnote>
  <w:endnote w:type="continuationSeparator" w:id="0">
    <w:p w14:paraId="2E0FBD6F" w14:textId="77777777" w:rsidR="002A08BD" w:rsidRDefault="002A08BD" w:rsidP="00492061">
      <w:pPr>
        <w:spacing w:after="0" w:line="240" w:lineRule="auto"/>
      </w:pPr>
      <w:r>
        <w:continuationSeparator/>
      </w:r>
    </w:p>
  </w:endnote>
  <w:endnote w:type="continuationNotice" w:id="1">
    <w:p w14:paraId="1D6F57F7" w14:textId="77777777" w:rsidR="002A08BD" w:rsidRDefault="002A08BD">
      <w:pPr>
        <w:spacing w:after="0" w:line="240" w:lineRule="auto"/>
      </w:pPr>
    </w:p>
  </w:endnote>
  <w:endnote w:id="2">
    <w:p w14:paraId="040A1290" w14:textId="77777777" w:rsidR="00356072" w:rsidRPr="007D1CF2" w:rsidRDefault="00356072" w:rsidP="007D1CF2">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3350"/>
      <w:docPartObj>
        <w:docPartGallery w:val="Page Numbers (Bottom of Page)"/>
        <w:docPartUnique/>
      </w:docPartObj>
    </w:sdtPr>
    <w:sdtContent>
      <w:p w14:paraId="3B3AB821" w14:textId="4CC17E6B" w:rsidR="00F62946" w:rsidRPr="00B9605F" w:rsidRDefault="00F62946" w:rsidP="00FB36F3">
        <w:pPr>
          <w:pStyle w:val="Rodap"/>
          <w:jc w:val="right"/>
        </w:pPr>
        <w:r w:rsidRPr="00B9605F">
          <w:fldChar w:fldCharType="begin"/>
        </w:r>
        <w:r>
          <w:instrText>PAGE   \* MERGEFORMAT</w:instrText>
        </w:r>
        <w:r w:rsidRPr="00B9605F">
          <w:fldChar w:fldCharType="separate"/>
        </w:r>
        <w:r w:rsidR="004D2701">
          <w:rPr>
            <w:noProof/>
          </w:rPr>
          <w:t>192</w:t>
        </w:r>
        <w:r w:rsidRPr="00B9605F">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14998"/>
      <w:docPartObj>
        <w:docPartGallery w:val="Page Numbers (Bottom of Page)"/>
        <w:docPartUnique/>
      </w:docPartObj>
    </w:sdtPr>
    <w:sdtContent>
      <w:p w14:paraId="142004B4" w14:textId="363FD014" w:rsidR="00F62946" w:rsidRDefault="00F62946" w:rsidP="0058706A">
        <w:pPr>
          <w:pStyle w:val="Rodap"/>
          <w:jc w:val="right"/>
        </w:pPr>
        <w:r w:rsidRPr="00B9605F">
          <w:fldChar w:fldCharType="begin"/>
        </w:r>
        <w:r>
          <w:instrText>PAGE   \* MERGEFORMAT</w:instrText>
        </w:r>
        <w:r w:rsidRPr="00B9605F">
          <w:fldChar w:fldCharType="separate"/>
        </w:r>
        <w:r w:rsidR="004D2701">
          <w:rPr>
            <w:noProof/>
          </w:rPr>
          <w:t>179</w:t>
        </w:r>
        <w:r w:rsidRPr="00B9605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4FD1" w14:textId="77777777" w:rsidR="002A08BD" w:rsidRDefault="002A08BD" w:rsidP="00492061">
      <w:pPr>
        <w:spacing w:after="0" w:line="240" w:lineRule="auto"/>
      </w:pPr>
      <w:r>
        <w:separator/>
      </w:r>
    </w:p>
  </w:footnote>
  <w:footnote w:type="continuationSeparator" w:id="0">
    <w:p w14:paraId="436AB4CF" w14:textId="77777777" w:rsidR="002A08BD" w:rsidRDefault="002A08BD" w:rsidP="00492061">
      <w:pPr>
        <w:spacing w:after="0" w:line="240" w:lineRule="auto"/>
      </w:pPr>
      <w:r>
        <w:continuationSeparator/>
      </w:r>
    </w:p>
  </w:footnote>
  <w:footnote w:type="continuationNotice" w:id="1">
    <w:p w14:paraId="7DACD4D9" w14:textId="77777777" w:rsidR="002A08BD" w:rsidRDefault="002A08BD">
      <w:pPr>
        <w:spacing w:after="0" w:line="240" w:lineRule="auto"/>
      </w:pPr>
    </w:p>
  </w:footnote>
  <w:footnote w:id="2">
    <w:p w14:paraId="386AF171" w14:textId="77777777" w:rsidR="00F62946" w:rsidRDefault="00F62946" w:rsidP="00C20BBD">
      <w:pPr>
        <w:pStyle w:val="Textodenotaderodap"/>
        <w:jc w:val="both"/>
        <w:rPr>
          <w:rFonts w:asciiTheme="minorHAnsi" w:hAnsiTheme="minorHAnsi"/>
        </w:rPr>
      </w:pPr>
      <w:r>
        <w:rPr>
          <w:rFonts w:asciiTheme="minorHAnsi" w:hAnsiTheme="minorHAnsi"/>
        </w:rPr>
        <w:t>INSTRUÇÕES DE PREENCHIMENTO DA LÂMINA</w:t>
      </w:r>
    </w:p>
    <w:p w14:paraId="1F8D423C" w14:textId="1267EFE5"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O nome completo do fundo/da classe e seu CNPJ devem constar do rodapé de todas as páginas da lâmina.</w:t>
      </w:r>
    </w:p>
  </w:footnote>
  <w:footnote w:id="3">
    <w:p w14:paraId="0932BA69" w14:textId="77777777"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w:t>
      </w:r>
      <w:r w:rsidRPr="00EA1269">
        <w:rPr>
          <w:rFonts w:asciiTheme="minorHAnsi" w:hAnsiTheme="minorHAnsi"/>
          <w:color w:val="0D0D0D"/>
        </w:rPr>
        <w:t>Por exemplo: (i) investir por longo/curto prazo; (ii) preservar seu capital contra inflação; (iii) ampliar seu capital e aceitem perdas; ou (iv) investir no setor [●].</w:t>
      </w:r>
    </w:p>
  </w:footnote>
  <w:footnote w:id="4">
    <w:p w14:paraId="7A2613F9" w14:textId="77777777"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Por exemplo: somente aceita aplicações de investidores pessoas jurídicas.</w:t>
      </w:r>
    </w:p>
  </w:footnote>
  <w:footnote w:id="5">
    <w:p w14:paraId="21D942C0" w14:textId="77777777"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w:t>
      </w:r>
      <w:r w:rsidRPr="00EA1269">
        <w:rPr>
          <w:rFonts w:asciiTheme="minorHAnsi" w:hAnsiTheme="minorHAnsi"/>
          <w:color w:val="0D0D0D"/>
        </w:rPr>
        <w:t>Por exemplo: (i) acompanhar o CDI; (ii) acompanhar o IBOVESPA; (iii) oferecer rentabilidade superior à do IBOVESPA no longo prazo; ou (iv) acompanhar o desempenho das ações das companhias do setor [●].</w:t>
      </w:r>
    </w:p>
  </w:footnote>
  <w:footnote w:id="6">
    <w:p w14:paraId="26E28D01" w14:textId="77777777"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Deve-se incluir tanto o período de conversão quanto o prazo para o pagamento.</w:t>
      </w:r>
    </w:p>
  </w:footnote>
  <w:footnote w:id="7">
    <w:p w14:paraId="5C481D41" w14:textId="5073F96F"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Item dispensado nas lâminas apresentadas para registro do fundo/da classe. </w:t>
      </w:r>
    </w:p>
  </w:footnote>
  <w:footnote w:id="8">
    <w:p w14:paraId="559721CD" w14:textId="13636406" w:rsidR="00F62946"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Quando se tratar de classes de investimento em cotas, a informação deve ser dada em relação à carteira dos fundos investidos e classes investidas.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5859"/>
      </w:tblGrid>
      <w:tr w:rsidR="00F62946" w:rsidRPr="006C2CE6" w14:paraId="3BE872F9" w14:textId="77777777" w:rsidTr="00477E06">
        <w:tc>
          <w:tcPr>
            <w:tcW w:w="0" w:type="auto"/>
            <w:shd w:val="clear" w:color="auto" w:fill="C6D9F1"/>
          </w:tcPr>
          <w:p w14:paraId="3BACC52D"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Para efeito de preenchimento, as espécies de ativos são: Espécie de ativo</w:t>
            </w:r>
          </w:p>
        </w:tc>
        <w:tc>
          <w:tcPr>
            <w:tcW w:w="0" w:type="auto"/>
            <w:shd w:val="clear" w:color="auto" w:fill="C6D9F1"/>
          </w:tcPr>
          <w:p w14:paraId="6E1522E4"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Descrição</w:t>
            </w:r>
          </w:p>
        </w:tc>
      </w:tr>
      <w:tr w:rsidR="00F62946" w:rsidRPr="006C2CE6" w14:paraId="70F367AB" w14:textId="77777777" w:rsidTr="00477E06">
        <w:tc>
          <w:tcPr>
            <w:tcW w:w="0" w:type="auto"/>
          </w:tcPr>
          <w:p w14:paraId="5F8F94E5"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Títulos públicos federais</w:t>
            </w:r>
          </w:p>
        </w:tc>
        <w:tc>
          <w:tcPr>
            <w:tcW w:w="0" w:type="auto"/>
          </w:tcPr>
          <w:p w14:paraId="224FF840"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LTN; LFT; todas as séries de NTN</w:t>
            </w:r>
          </w:p>
        </w:tc>
      </w:tr>
      <w:tr w:rsidR="00F62946" w:rsidRPr="006C2CE6" w14:paraId="210A269E" w14:textId="77777777" w:rsidTr="00477E06">
        <w:tc>
          <w:tcPr>
            <w:tcW w:w="0" w:type="auto"/>
          </w:tcPr>
          <w:p w14:paraId="44DD02B5"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Operações compromissadas lastreadas em títulos públicos federais</w:t>
            </w:r>
          </w:p>
        </w:tc>
        <w:tc>
          <w:tcPr>
            <w:tcW w:w="0" w:type="auto"/>
          </w:tcPr>
          <w:p w14:paraId="6DBDAFB2"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Operações de compra ou venda de ativos pelo fundo com garantia de recompra ou revenda pelo vendedor</w:t>
            </w:r>
          </w:p>
        </w:tc>
      </w:tr>
      <w:tr w:rsidR="00F62946" w:rsidRPr="006C2CE6" w14:paraId="0E572A63" w14:textId="77777777" w:rsidTr="00477E06">
        <w:tc>
          <w:tcPr>
            <w:tcW w:w="0" w:type="auto"/>
          </w:tcPr>
          <w:p w14:paraId="1D78450E"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Operações compromissadas lastreadas em títulos privados</w:t>
            </w:r>
          </w:p>
        </w:tc>
        <w:tc>
          <w:tcPr>
            <w:tcW w:w="0" w:type="auto"/>
          </w:tcPr>
          <w:p w14:paraId="29FDF2C5" w14:textId="77777777" w:rsidR="00F62946" w:rsidRPr="00EA1269" w:rsidRDefault="00F62946" w:rsidP="00DE19FE">
            <w:pPr>
              <w:pStyle w:val="Textodenotaderodap"/>
              <w:jc w:val="both"/>
              <w:rPr>
                <w:rFonts w:asciiTheme="minorHAnsi" w:hAnsiTheme="minorHAnsi"/>
                <w:color w:val="000000"/>
              </w:rPr>
            </w:pPr>
            <w:r w:rsidRPr="00EA1269">
              <w:rPr>
                <w:rFonts w:asciiTheme="minorHAnsi" w:hAnsiTheme="minorHAnsi"/>
                <w:color w:val="000000"/>
              </w:rPr>
              <w:t>Operações de compra ou venda de ativos pelo fundo com garantia de recompra ou revenda pelo vendedor</w:t>
            </w:r>
          </w:p>
        </w:tc>
      </w:tr>
      <w:tr w:rsidR="00F62946" w:rsidRPr="006C2CE6" w14:paraId="5A8936AF" w14:textId="77777777" w:rsidTr="00477E06">
        <w:tc>
          <w:tcPr>
            <w:tcW w:w="0" w:type="auto"/>
          </w:tcPr>
          <w:p w14:paraId="4101E1FF"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Ações</w:t>
            </w:r>
          </w:p>
        </w:tc>
        <w:tc>
          <w:tcPr>
            <w:tcW w:w="0" w:type="auto"/>
          </w:tcPr>
          <w:p w14:paraId="0047B8CD"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Ações e certificados de depósito de ações de companhias abertas</w:t>
            </w:r>
          </w:p>
        </w:tc>
      </w:tr>
      <w:tr w:rsidR="00F62946" w:rsidRPr="006C2CE6" w14:paraId="779EDA9F" w14:textId="77777777" w:rsidTr="00477E06">
        <w:tc>
          <w:tcPr>
            <w:tcW w:w="0" w:type="auto"/>
          </w:tcPr>
          <w:p w14:paraId="5D03C9D7"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Depósitos a prazo e outros títulos de instituições financeiras</w:t>
            </w:r>
          </w:p>
        </w:tc>
        <w:tc>
          <w:tcPr>
            <w:tcW w:w="0" w:type="auto"/>
          </w:tcPr>
          <w:p w14:paraId="75632567"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CDB, RDB, LF, DPGE, CCCB, LCA, LCI</w:t>
            </w:r>
          </w:p>
        </w:tc>
      </w:tr>
      <w:tr w:rsidR="00F62946" w:rsidRPr="006C2CE6" w14:paraId="4941103F" w14:textId="77777777" w:rsidTr="00477E06">
        <w:tc>
          <w:tcPr>
            <w:tcW w:w="0" w:type="auto"/>
          </w:tcPr>
          <w:p w14:paraId="24360FDB"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 xml:space="preserve">Cotas de fundos de investimento e classes Res. </w:t>
            </w:r>
            <w:r>
              <w:rPr>
                <w:rFonts w:asciiTheme="minorHAnsi" w:hAnsiTheme="minorHAnsi"/>
              </w:rPr>
              <w:t>175, de 2022</w:t>
            </w:r>
          </w:p>
        </w:tc>
        <w:tc>
          <w:tcPr>
            <w:tcW w:w="0" w:type="auto"/>
          </w:tcPr>
          <w:p w14:paraId="490B1568"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 xml:space="preserve">Cotas de fundos de investimento regulados pela Res. CVM nº </w:t>
            </w:r>
            <w:r>
              <w:rPr>
                <w:rFonts w:asciiTheme="minorHAnsi" w:hAnsiTheme="minorHAnsi"/>
                <w:color w:val="000000"/>
              </w:rPr>
              <w:t>175, de 2022</w:t>
            </w:r>
          </w:p>
        </w:tc>
      </w:tr>
      <w:tr w:rsidR="00F62946" w:rsidRPr="006C2CE6" w14:paraId="2FFE35B1" w14:textId="77777777" w:rsidTr="00477E06">
        <w:tc>
          <w:tcPr>
            <w:tcW w:w="0" w:type="auto"/>
          </w:tcPr>
          <w:p w14:paraId="60191614"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Outras cotas de fundos de investimento</w:t>
            </w:r>
          </w:p>
        </w:tc>
        <w:tc>
          <w:tcPr>
            <w:tcW w:w="0" w:type="auto"/>
          </w:tcPr>
          <w:p w14:paraId="3D70EB43" w14:textId="77777777" w:rsidR="00F62946" w:rsidRPr="00EA1269" w:rsidRDefault="00F62946" w:rsidP="00DE19FE">
            <w:pPr>
              <w:pStyle w:val="Textodenotaderodap"/>
              <w:jc w:val="both"/>
              <w:rPr>
                <w:rFonts w:asciiTheme="minorHAnsi" w:hAnsiTheme="minorHAnsi"/>
                <w:color w:val="000000"/>
              </w:rPr>
            </w:pPr>
            <w:r w:rsidRPr="00EA1269">
              <w:rPr>
                <w:rFonts w:asciiTheme="minorHAnsi" w:hAnsiTheme="minorHAnsi"/>
                <w:color w:val="000000"/>
              </w:rPr>
              <w:t>Cotas de fundos de investimento regulados por outras instruções da CVM.</w:t>
            </w:r>
          </w:p>
        </w:tc>
      </w:tr>
      <w:tr w:rsidR="00F62946" w:rsidRPr="006C2CE6" w14:paraId="1FE21701" w14:textId="77777777" w:rsidTr="00477E06">
        <w:tc>
          <w:tcPr>
            <w:tcW w:w="0" w:type="auto"/>
          </w:tcPr>
          <w:p w14:paraId="465EA4A9"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Títulos de crédito privado</w:t>
            </w:r>
          </w:p>
        </w:tc>
        <w:tc>
          <w:tcPr>
            <w:tcW w:w="0" w:type="auto"/>
          </w:tcPr>
          <w:p w14:paraId="37DFCDAC"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 xml:space="preserve">Debêntures, notas promissórias, </w:t>
            </w:r>
            <w:r w:rsidRPr="00EA1269">
              <w:rPr>
                <w:rFonts w:asciiTheme="minorHAnsi" w:hAnsiTheme="minorHAnsi"/>
                <w:b/>
                <w:color w:val="000000"/>
              </w:rPr>
              <w:t>commercial paper</w:t>
            </w:r>
            <w:r w:rsidRPr="00EA1269">
              <w:rPr>
                <w:rFonts w:asciiTheme="minorHAnsi" w:hAnsiTheme="minorHAnsi"/>
                <w:color w:val="000000"/>
              </w:rPr>
              <w:t xml:space="preserve">, </w:t>
            </w:r>
            <w:r w:rsidRPr="00EA1269">
              <w:rPr>
                <w:rFonts w:asciiTheme="minorHAnsi" w:hAnsiTheme="minorHAnsi"/>
                <w:b/>
                <w:color w:val="000000"/>
              </w:rPr>
              <w:t>export note</w:t>
            </w:r>
            <w:r w:rsidRPr="00EA1269">
              <w:rPr>
                <w:rFonts w:asciiTheme="minorHAnsi" w:hAnsiTheme="minorHAnsi"/>
                <w:color w:val="000000"/>
              </w:rPr>
              <w:t>, CCB, CPR, WA, NCA, CDA e CDCA</w:t>
            </w:r>
          </w:p>
        </w:tc>
      </w:tr>
      <w:tr w:rsidR="00F62946" w:rsidRPr="006C2CE6" w14:paraId="768BDBEF" w14:textId="77777777" w:rsidTr="00477E06">
        <w:tc>
          <w:tcPr>
            <w:tcW w:w="0" w:type="auto"/>
          </w:tcPr>
          <w:p w14:paraId="3F993AD5"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Derivativos</w:t>
            </w:r>
          </w:p>
        </w:tc>
        <w:tc>
          <w:tcPr>
            <w:tcW w:w="0" w:type="auto"/>
          </w:tcPr>
          <w:p w14:paraId="7472E36E"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b/>
                <w:color w:val="000000"/>
              </w:rPr>
              <w:t>Swaps</w:t>
            </w:r>
            <w:r w:rsidRPr="00EA1269">
              <w:rPr>
                <w:rFonts w:asciiTheme="minorHAnsi" w:hAnsiTheme="minorHAnsi"/>
                <w:color w:val="000000"/>
              </w:rPr>
              <w:t>, opções, operações a termo e operações no mercado futuro</w:t>
            </w:r>
          </w:p>
        </w:tc>
      </w:tr>
      <w:tr w:rsidR="00F62946" w:rsidRPr="006C2CE6" w14:paraId="505FF666" w14:textId="77777777" w:rsidTr="00477E06">
        <w:tc>
          <w:tcPr>
            <w:tcW w:w="0" w:type="auto"/>
          </w:tcPr>
          <w:p w14:paraId="6E814C18"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Investimento no exterior</w:t>
            </w:r>
          </w:p>
        </w:tc>
        <w:tc>
          <w:tcPr>
            <w:tcW w:w="0" w:type="auto"/>
          </w:tcPr>
          <w:p w14:paraId="715120B0"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Ativos financeiros adquiridos no exterior</w:t>
            </w:r>
          </w:p>
        </w:tc>
      </w:tr>
      <w:tr w:rsidR="00F62946" w:rsidRPr="006C2CE6" w14:paraId="775B0BD5" w14:textId="77777777" w:rsidTr="00477E06">
        <w:tc>
          <w:tcPr>
            <w:tcW w:w="0" w:type="auto"/>
          </w:tcPr>
          <w:p w14:paraId="0C7C87A4"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rPr>
              <w:t>Outras aplicações</w:t>
            </w:r>
          </w:p>
        </w:tc>
        <w:tc>
          <w:tcPr>
            <w:tcW w:w="0" w:type="auto"/>
          </w:tcPr>
          <w:p w14:paraId="206C573A" w14:textId="77777777" w:rsidR="00F62946" w:rsidRPr="00EA1269" w:rsidRDefault="00F62946" w:rsidP="00DE19FE">
            <w:pPr>
              <w:pStyle w:val="Textodenotaderodap"/>
              <w:jc w:val="both"/>
              <w:rPr>
                <w:rFonts w:asciiTheme="minorHAnsi" w:hAnsiTheme="minorHAnsi"/>
              </w:rPr>
            </w:pPr>
            <w:r w:rsidRPr="00EA1269">
              <w:rPr>
                <w:rFonts w:asciiTheme="minorHAnsi" w:hAnsiTheme="minorHAnsi"/>
                <w:color w:val="000000"/>
              </w:rPr>
              <w:t>Qualquer aplicação que não possa ser classificada nas opções anteriores</w:t>
            </w:r>
          </w:p>
        </w:tc>
      </w:tr>
    </w:tbl>
    <w:p w14:paraId="6701015C" w14:textId="77777777" w:rsidR="00F62946" w:rsidRPr="00EA1269" w:rsidRDefault="00F62946" w:rsidP="00C20BBD">
      <w:pPr>
        <w:pStyle w:val="Textodenotaderodap"/>
        <w:jc w:val="both"/>
        <w:rPr>
          <w:rFonts w:asciiTheme="minorHAnsi" w:hAnsiTheme="minorHAnsi"/>
        </w:rPr>
      </w:pPr>
    </w:p>
  </w:footnote>
  <w:footnote w:id="9">
    <w:p w14:paraId="2D089560" w14:textId="49DA402C" w:rsidR="00F62946" w:rsidRPr="00EA1269" w:rsidRDefault="00F62946" w:rsidP="00C20BBD">
      <w:pPr>
        <w:pStyle w:val="Textodenotaderodap"/>
        <w:jc w:val="both"/>
        <w:rPr>
          <w:rFonts w:asciiTheme="minorHAnsi" w:hAnsiTheme="minorHAnsi"/>
        </w:rPr>
      </w:pPr>
      <w:r w:rsidRPr="00EA1269">
        <w:rPr>
          <w:rStyle w:val="Refdenotaderodap"/>
          <w:rFonts w:asciiTheme="minorHAnsi" w:hAnsiTheme="minorHAnsi"/>
        </w:rPr>
        <w:footnoteRef/>
      </w:r>
      <w:r w:rsidRPr="00EA1269">
        <w:rPr>
          <w:rFonts w:asciiTheme="minorHAnsi" w:hAnsiTheme="minorHAnsi"/>
        </w:rPr>
        <w:t xml:space="preserve"> Item dispensado nas lâminas apresentadas para registro do fundo e da classe.</w:t>
      </w:r>
    </w:p>
  </w:footnote>
  <w:footnote w:id="10">
    <w:p w14:paraId="3D575579" w14:textId="77777777"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Os fundos estruturados são definidos </w:t>
      </w:r>
      <w:r w:rsidRPr="0031281E">
        <w:rPr>
          <w:rFonts w:asciiTheme="minorHAnsi" w:hAnsiTheme="minorHAnsi"/>
        </w:rPr>
        <w:t xml:space="preserve">no </w:t>
      </w:r>
      <w:r w:rsidRPr="00A77997">
        <w:rPr>
          <w:rFonts w:asciiTheme="minorHAnsi" w:hAnsiTheme="minorHAnsi"/>
        </w:rPr>
        <w:t>OFÍCIO-CIRCULAR/CVM/SIN/Nº 1/2010, de 8 de janeiro de 2010.</w:t>
      </w:r>
    </w:p>
  </w:footnote>
  <w:footnote w:id="11">
    <w:p w14:paraId="5A76D560" w14:textId="648E81DA"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a classe complete 1 (um) ano de operação.</w:t>
      </w:r>
    </w:p>
  </w:footnote>
  <w:footnote w:id="12">
    <w:p w14:paraId="1BE4BC96" w14:textId="77777777"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Meses devem ser ajustados de acordo com a data de atualização da lâmina.</w:t>
      </w:r>
    </w:p>
  </w:footnote>
  <w:footnote w:id="13">
    <w:p w14:paraId="312391DF" w14:textId="6FB7EC5D"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o a classe complete 1 (um) ano de operação.</w:t>
      </w:r>
    </w:p>
  </w:footnote>
  <w:footnote w:id="14">
    <w:p w14:paraId="3C9FE783" w14:textId="57DD8A5C"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Item dispensado nas lâminas apresentadas na instrução do pedido de registro e até que o a classe complete 1 (um) ano de operação.</w:t>
      </w:r>
    </w:p>
  </w:footnote>
  <w:footnote w:id="15">
    <w:p w14:paraId="5D815BB6" w14:textId="77777777" w:rsidR="00F62946" w:rsidRPr="00A77997"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Período de 12 meses a que se refere a Demonstração. </w:t>
      </w:r>
    </w:p>
  </w:footnote>
  <w:footnote w:id="16">
    <w:p w14:paraId="46A84E20" w14:textId="77777777" w:rsidR="00F62946" w:rsidRPr="006D14CD" w:rsidRDefault="00F62946" w:rsidP="00C20BBD">
      <w:pPr>
        <w:pStyle w:val="Textodenotaderodap"/>
        <w:jc w:val="both"/>
        <w:rPr>
          <w:rFonts w:asciiTheme="minorHAnsi" w:hAnsiTheme="minorHAnsi"/>
        </w:rPr>
      </w:pPr>
      <w:r w:rsidRPr="00A77997">
        <w:rPr>
          <w:rStyle w:val="Refdenotaderodap"/>
          <w:rFonts w:asciiTheme="minorHAnsi" w:hAnsiTheme="minorHAnsi"/>
        </w:rPr>
        <w:footnoteRef/>
      </w:r>
      <w:r w:rsidRPr="00A77997">
        <w:rPr>
          <w:rFonts w:asciiTheme="minorHAnsi" w:hAnsiTheme="minorHAnsi"/>
        </w:rPr>
        <w:t xml:space="preserve"> Preencher somente quando o gestor não pertencer ao mesmo grupo econômico</w:t>
      </w:r>
      <w:r w:rsidRPr="006D14CD">
        <w:rPr>
          <w:rFonts w:asciiTheme="minorHAnsi" w:hAnsiTheme="minorHAnsi"/>
        </w:rPr>
        <w:t xml:space="preserve"> do administrador.</w:t>
      </w:r>
    </w:p>
  </w:footnote>
  <w:footnote w:id="17">
    <w:p w14:paraId="41CA08E0" w14:textId="1E8C1B27" w:rsidR="00F62946" w:rsidRPr="006D14CD" w:rsidRDefault="00F62946" w:rsidP="00C20BBD">
      <w:pPr>
        <w:pStyle w:val="Textodenotaderodap"/>
        <w:jc w:val="both"/>
        <w:rPr>
          <w:rFonts w:asciiTheme="minorHAnsi" w:hAnsiTheme="minorHAnsi"/>
        </w:rPr>
      </w:pPr>
      <w:r w:rsidRPr="006D14CD">
        <w:rPr>
          <w:rStyle w:val="Refdenotaderodap"/>
          <w:rFonts w:asciiTheme="minorHAnsi" w:hAnsiTheme="minorHAnsi"/>
        </w:rPr>
        <w:footnoteRef/>
      </w:r>
      <w:r w:rsidRPr="006D14CD">
        <w:rPr>
          <w:rFonts w:asciiTheme="minorHAnsi" w:hAnsiTheme="minorHAnsi"/>
        </w:rPr>
        <w:t xml:space="preserve"> Item dispensado nas lâminas apresentadas na instrução do pedido de registro e até que o a classe complete 1 (um) ano de operação.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1E3" w14:textId="77777777" w:rsidR="00F62946" w:rsidRPr="00F5071A" w:rsidRDefault="00F6294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351986F" wp14:editId="5C519FB5">
          <wp:extent cx="657225" cy="628650"/>
          <wp:effectExtent l="0" t="0" r="0" b="0"/>
          <wp:docPr id="735988586" name="Imagem 73598858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5ADC19A" w14:textId="77777777" w:rsidR="00F62946" w:rsidRPr="00E97FA5" w:rsidRDefault="00F6294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15E8E626" w14:textId="77777777" w:rsidR="00F62946" w:rsidRPr="00E97FA5" w:rsidRDefault="00F6294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2D1F1EF"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B3B2527"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026CD856" w14:textId="38167270" w:rsidR="00F6294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62946" w:rsidRPr="00F5071A">
        <w:rPr>
          <w:rFonts w:ascii="Calibri" w:hAnsi="Calibri" w:cs="Calibri"/>
          <w:noProof/>
          <w:color w:val="0000FF"/>
          <w:sz w:val="18"/>
          <w:szCs w:val="18"/>
          <w:u w:val="single"/>
        </w:rPr>
        <w:t>www.cvm.gov.br</w:t>
      </w:r>
    </w:hyperlink>
  </w:p>
  <w:p w14:paraId="5030FDC4" w14:textId="0A37CF2E" w:rsidR="00F62946" w:rsidRDefault="00F62946" w:rsidP="0049054F">
    <w:pPr>
      <w:tabs>
        <w:tab w:val="center" w:pos="4252"/>
        <w:tab w:val="right" w:pos="8504"/>
      </w:tabs>
      <w:spacing w:after="0" w:line="240" w:lineRule="auto"/>
      <w:ind w:firstLine="142"/>
      <w:jc w:val="center"/>
      <w:rPr>
        <w:rFonts w:ascii="Calibri" w:hAnsi="Calibri"/>
        <w:sz w:val="18"/>
      </w:rPr>
    </w:pPr>
  </w:p>
  <w:p w14:paraId="1A13C27F" w14:textId="5E0AD2A1" w:rsidR="00F62946" w:rsidRPr="00672589" w:rsidRDefault="00F62946" w:rsidP="003E06AC">
    <w:pPr>
      <w:tabs>
        <w:tab w:val="center" w:pos="4252"/>
        <w:tab w:val="right" w:pos="8504"/>
      </w:tabs>
      <w:spacing w:after="0" w:line="240" w:lineRule="auto"/>
      <w:ind w:firstLine="142"/>
      <w:jc w:val="both"/>
      <w:rPr>
        <w:rFonts w:ascii="Calibri" w:hAnsi="Calibri"/>
        <w:sz w:val="18"/>
        <w:szCs w:val="18"/>
      </w:rPr>
    </w:pPr>
    <w:r w:rsidRPr="00672589">
      <w:rPr>
        <w:rFonts w:ascii="Calibri" w:hAnsi="Calibri"/>
        <w:sz w:val="18"/>
        <w:szCs w:val="18"/>
      </w:rPr>
      <w:t xml:space="preserve">RESOLUÇÃO CVM Nº 175, DE </w:t>
    </w:r>
    <w:r>
      <w:rPr>
        <w:rFonts w:ascii="Calibri" w:hAnsi="Calibri"/>
        <w:sz w:val="18"/>
        <w:szCs w:val="18"/>
      </w:rPr>
      <w:t>23</w:t>
    </w:r>
    <w:r w:rsidRPr="00672589">
      <w:rPr>
        <w:rFonts w:ascii="Calibri" w:hAnsi="Calibri"/>
        <w:sz w:val="18"/>
        <w:szCs w:val="18"/>
      </w:rPr>
      <w:t xml:space="preserve"> DE DEZEMBRO DE 2022.</w:t>
    </w:r>
  </w:p>
  <w:p w14:paraId="01242515" w14:textId="77777777" w:rsidR="00F62946" w:rsidRPr="0049054F" w:rsidRDefault="00F62946" w:rsidP="003E06AC">
    <w:pPr>
      <w:tabs>
        <w:tab w:val="center" w:pos="4252"/>
        <w:tab w:val="right" w:pos="8504"/>
      </w:tabs>
      <w:spacing w:after="0" w:line="240" w:lineRule="auto"/>
      <w:ind w:firstLine="142"/>
      <w:jc w:val="both"/>
      <w:rPr>
        <w:rFonts w:ascii="Calibri" w:hAnsi="Calibri"/>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A4FD" w14:textId="77777777" w:rsidR="00036557" w:rsidRPr="00F5071A" w:rsidRDefault="00036557"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9055433" wp14:editId="2C7BF0FC">
          <wp:extent cx="657225" cy="628650"/>
          <wp:effectExtent l="0" t="0" r="0" b="0"/>
          <wp:docPr id="1965660323" name="Imagem 196566032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FBF423E" w14:textId="77777777" w:rsidR="00036557" w:rsidRPr="00E97FA5" w:rsidRDefault="00036557"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75D378A" w14:textId="77777777" w:rsidR="00036557" w:rsidRPr="00E97FA5" w:rsidRDefault="00036557"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E287C01"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522A0828"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187BF8C" w14:textId="77777777" w:rsidR="00036557"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36557" w:rsidRPr="00F5071A">
        <w:rPr>
          <w:rFonts w:ascii="Calibri" w:hAnsi="Calibri" w:cs="Calibri"/>
          <w:noProof/>
          <w:color w:val="0000FF"/>
          <w:sz w:val="18"/>
          <w:szCs w:val="18"/>
          <w:u w:val="single"/>
        </w:rPr>
        <w:t>www.cvm.gov.br</w:t>
      </w:r>
    </w:hyperlink>
  </w:p>
  <w:p w14:paraId="3FCC2F9B" w14:textId="77777777" w:rsidR="00036557" w:rsidRDefault="00036557" w:rsidP="0049054F">
    <w:pPr>
      <w:tabs>
        <w:tab w:val="center" w:pos="4252"/>
        <w:tab w:val="right" w:pos="8504"/>
      </w:tabs>
      <w:spacing w:after="0" w:line="240" w:lineRule="auto"/>
      <w:ind w:firstLine="142"/>
      <w:jc w:val="center"/>
      <w:rPr>
        <w:rFonts w:ascii="Calibri" w:hAnsi="Calibri"/>
        <w:sz w:val="18"/>
      </w:rPr>
    </w:pPr>
  </w:p>
  <w:p w14:paraId="174B2DAB" w14:textId="29D8BFD3" w:rsidR="00036557" w:rsidRPr="00672589" w:rsidRDefault="00036557"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VIII DA RESOLUÇÃO CVM Nº 175, DE 23 DE DEZEMBRO DE 2022</w:t>
    </w:r>
    <w:r w:rsidRPr="00672589">
      <w:rPr>
        <w:rFonts w:ascii="Calibri" w:hAnsi="Calibri"/>
        <w:sz w:val="18"/>
        <w:szCs w:val="18"/>
      </w:rPr>
      <w:t>.</w:t>
    </w:r>
  </w:p>
  <w:p w14:paraId="3A23C33A" w14:textId="77777777" w:rsidR="00036557" w:rsidRPr="0049054F" w:rsidRDefault="00036557" w:rsidP="003E06AC">
    <w:pPr>
      <w:tabs>
        <w:tab w:val="center" w:pos="4252"/>
        <w:tab w:val="right" w:pos="8504"/>
      </w:tabs>
      <w:spacing w:after="0" w:line="240" w:lineRule="auto"/>
      <w:ind w:firstLine="142"/>
      <w:jc w:val="both"/>
      <w:rPr>
        <w:rFonts w:ascii="Calibri" w:hAnsi="Calibri"/>
        <w:sz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3ACF" w14:textId="77777777" w:rsidR="00036557" w:rsidRPr="00F5071A" w:rsidRDefault="00036557"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5D68192" wp14:editId="01358CDE">
          <wp:extent cx="657225" cy="628650"/>
          <wp:effectExtent l="0" t="0" r="0" b="0"/>
          <wp:docPr id="811241134" name="Imagem 81124113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8E5D742" w14:textId="77777777" w:rsidR="00036557" w:rsidRPr="00E97FA5" w:rsidRDefault="00036557"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24800ACB" w14:textId="77777777" w:rsidR="00036557" w:rsidRPr="00E97FA5" w:rsidRDefault="00036557"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F2AE57C"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0BB2BACA"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62B48AB5" w14:textId="77777777" w:rsidR="00036557"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36557" w:rsidRPr="00F5071A">
        <w:rPr>
          <w:rFonts w:ascii="Calibri" w:hAnsi="Calibri" w:cs="Calibri"/>
          <w:noProof/>
          <w:color w:val="0000FF"/>
          <w:sz w:val="18"/>
          <w:szCs w:val="18"/>
          <w:u w:val="single"/>
        </w:rPr>
        <w:t>www.cvm.gov.br</w:t>
      </w:r>
    </w:hyperlink>
  </w:p>
  <w:p w14:paraId="433A2BDA" w14:textId="77777777" w:rsidR="00036557" w:rsidRDefault="00036557" w:rsidP="0049054F">
    <w:pPr>
      <w:tabs>
        <w:tab w:val="center" w:pos="4252"/>
        <w:tab w:val="right" w:pos="8504"/>
      </w:tabs>
      <w:spacing w:after="0" w:line="240" w:lineRule="auto"/>
      <w:ind w:firstLine="142"/>
      <w:jc w:val="center"/>
      <w:rPr>
        <w:rFonts w:ascii="Calibri" w:hAnsi="Calibri"/>
        <w:sz w:val="18"/>
      </w:rPr>
    </w:pPr>
  </w:p>
  <w:p w14:paraId="29B12BD4" w14:textId="585895BD" w:rsidR="00036557" w:rsidRPr="00672589" w:rsidRDefault="00036557"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IX DA RESOLUÇÃO CVM Nº 175, DE 23 DE DEZEMBRO DE 2022</w:t>
    </w:r>
    <w:r w:rsidRPr="00672589">
      <w:rPr>
        <w:rFonts w:ascii="Calibri" w:hAnsi="Calibri"/>
        <w:sz w:val="18"/>
        <w:szCs w:val="18"/>
      </w:rPr>
      <w:t>.</w:t>
    </w:r>
  </w:p>
  <w:p w14:paraId="0CEB317F" w14:textId="77777777" w:rsidR="00036557" w:rsidRPr="0049054F" w:rsidRDefault="00036557" w:rsidP="003E06AC">
    <w:pPr>
      <w:tabs>
        <w:tab w:val="center" w:pos="4252"/>
        <w:tab w:val="right" w:pos="8504"/>
      </w:tabs>
      <w:spacing w:after="0" w:line="240" w:lineRule="auto"/>
      <w:ind w:firstLine="142"/>
      <w:jc w:val="both"/>
      <w:rPr>
        <w:rFonts w:ascii="Calibri" w:hAnsi="Calibri"/>
        <w:sz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FA86" w14:textId="77777777" w:rsidR="00036557" w:rsidRPr="00F5071A" w:rsidRDefault="00036557"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78491D28" wp14:editId="27F074C7">
          <wp:extent cx="657225" cy="628650"/>
          <wp:effectExtent l="0" t="0" r="0" b="0"/>
          <wp:docPr id="476072066" name="Imagem 47607206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B34DBA5" w14:textId="77777777" w:rsidR="00036557" w:rsidRPr="00E97FA5" w:rsidRDefault="00036557"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5DB112B" w14:textId="77777777" w:rsidR="00036557" w:rsidRPr="00E97FA5" w:rsidRDefault="00036557"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702EA2B8"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8254FAD"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5A6E69CD" w14:textId="77777777" w:rsidR="00036557"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36557" w:rsidRPr="00F5071A">
        <w:rPr>
          <w:rFonts w:ascii="Calibri" w:hAnsi="Calibri" w:cs="Calibri"/>
          <w:noProof/>
          <w:color w:val="0000FF"/>
          <w:sz w:val="18"/>
          <w:szCs w:val="18"/>
          <w:u w:val="single"/>
        </w:rPr>
        <w:t>www.cvm.gov.br</w:t>
      </w:r>
    </w:hyperlink>
  </w:p>
  <w:p w14:paraId="58DDC206" w14:textId="77777777" w:rsidR="00036557" w:rsidRDefault="00036557" w:rsidP="0049054F">
    <w:pPr>
      <w:tabs>
        <w:tab w:val="center" w:pos="4252"/>
        <w:tab w:val="right" w:pos="8504"/>
      </w:tabs>
      <w:spacing w:after="0" w:line="240" w:lineRule="auto"/>
      <w:ind w:firstLine="142"/>
      <w:jc w:val="center"/>
      <w:rPr>
        <w:rFonts w:ascii="Calibri" w:hAnsi="Calibri"/>
        <w:sz w:val="18"/>
      </w:rPr>
    </w:pPr>
  </w:p>
  <w:p w14:paraId="4E69573D" w14:textId="4EBCC9D6" w:rsidR="00036557" w:rsidRPr="00672589" w:rsidRDefault="00036557"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X DA RESOLUÇÃO CVM Nº 175, DE 23 DE DEZEMBRO DE 2022</w:t>
    </w:r>
    <w:r w:rsidRPr="00672589">
      <w:rPr>
        <w:rFonts w:ascii="Calibri" w:hAnsi="Calibri"/>
        <w:sz w:val="18"/>
        <w:szCs w:val="18"/>
      </w:rPr>
      <w:t>.</w:t>
    </w:r>
  </w:p>
  <w:p w14:paraId="3A44B10D" w14:textId="77777777" w:rsidR="00036557" w:rsidRPr="0049054F" w:rsidRDefault="00036557" w:rsidP="003E06AC">
    <w:pPr>
      <w:tabs>
        <w:tab w:val="center" w:pos="4252"/>
        <w:tab w:val="right" w:pos="8504"/>
      </w:tabs>
      <w:spacing w:after="0" w:line="240" w:lineRule="auto"/>
      <w:ind w:firstLine="142"/>
      <w:jc w:val="both"/>
      <w:rPr>
        <w:rFonts w:ascii="Calibri" w:hAnsi="Calibri"/>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380B" w14:textId="77777777" w:rsidR="00036557" w:rsidRPr="00F5071A" w:rsidRDefault="00036557"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5F2492F" wp14:editId="3AEE3684">
          <wp:extent cx="657225" cy="628650"/>
          <wp:effectExtent l="0" t="0" r="0" b="0"/>
          <wp:docPr id="1798378795" name="Imagem 179837879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1C4EDA4" w14:textId="77777777" w:rsidR="00036557" w:rsidRPr="00E97FA5" w:rsidRDefault="00036557"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3ADD78C8" w14:textId="77777777" w:rsidR="00036557" w:rsidRPr="00E97FA5" w:rsidRDefault="00036557"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D6F6014"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4C5CDCA"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03746ECA" w14:textId="77777777" w:rsidR="00036557"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36557" w:rsidRPr="00F5071A">
        <w:rPr>
          <w:rFonts w:ascii="Calibri" w:hAnsi="Calibri" w:cs="Calibri"/>
          <w:noProof/>
          <w:color w:val="0000FF"/>
          <w:sz w:val="18"/>
          <w:szCs w:val="18"/>
          <w:u w:val="single"/>
        </w:rPr>
        <w:t>www.cvm.gov.br</w:t>
      </w:r>
    </w:hyperlink>
  </w:p>
  <w:p w14:paraId="24CAFBE6" w14:textId="77777777" w:rsidR="00036557" w:rsidRDefault="00036557" w:rsidP="0049054F">
    <w:pPr>
      <w:tabs>
        <w:tab w:val="center" w:pos="4252"/>
        <w:tab w:val="right" w:pos="8504"/>
      </w:tabs>
      <w:spacing w:after="0" w:line="240" w:lineRule="auto"/>
      <w:ind w:firstLine="142"/>
      <w:jc w:val="center"/>
      <w:rPr>
        <w:rFonts w:ascii="Calibri" w:hAnsi="Calibri"/>
        <w:sz w:val="18"/>
      </w:rPr>
    </w:pPr>
  </w:p>
  <w:p w14:paraId="1A2E6918" w14:textId="5FAE2BE4" w:rsidR="00036557" w:rsidRPr="00672589" w:rsidRDefault="00036557"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XI DA RESOLUÇÃO CVM Nº 175, DE 23 DE DEZEMBRO DE 2022</w:t>
    </w:r>
    <w:r w:rsidRPr="00672589">
      <w:rPr>
        <w:rFonts w:ascii="Calibri" w:hAnsi="Calibri"/>
        <w:sz w:val="18"/>
        <w:szCs w:val="18"/>
      </w:rPr>
      <w:t>.</w:t>
    </w:r>
  </w:p>
  <w:p w14:paraId="01827C96" w14:textId="77777777" w:rsidR="00036557" w:rsidRPr="0049054F" w:rsidRDefault="00036557" w:rsidP="003E06AC">
    <w:pPr>
      <w:tabs>
        <w:tab w:val="center" w:pos="4252"/>
        <w:tab w:val="right" w:pos="8504"/>
      </w:tabs>
      <w:spacing w:after="0" w:line="240" w:lineRule="auto"/>
      <w:ind w:firstLine="142"/>
      <w:jc w:val="both"/>
      <w:rPr>
        <w:rFonts w:ascii="Calibri" w:hAnsi="Calibri"/>
        <w:sz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1F27" w14:textId="77777777" w:rsidR="00036557" w:rsidRPr="00F5071A" w:rsidRDefault="00036557"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07010C9" wp14:editId="66409FF2">
          <wp:extent cx="657225" cy="628650"/>
          <wp:effectExtent l="0" t="0" r="0" b="0"/>
          <wp:docPr id="1477650249" name="Imagem 147765024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068141A" w14:textId="77777777" w:rsidR="00036557" w:rsidRPr="00E97FA5" w:rsidRDefault="00036557"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23D809BB" w14:textId="77777777" w:rsidR="00036557" w:rsidRPr="00E97FA5" w:rsidRDefault="00036557"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31FA0E12"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0FA98C9" w14:textId="77777777" w:rsidR="00036557" w:rsidRPr="00F5071A" w:rsidRDefault="00036557"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08C44578" w14:textId="77777777" w:rsidR="00036557"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36557" w:rsidRPr="00F5071A">
        <w:rPr>
          <w:rFonts w:ascii="Calibri" w:hAnsi="Calibri" w:cs="Calibri"/>
          <w:noProof/>
          <w:color w:val="0000FF"/>
          <w:sz w:val="18"/>
          <w:szCs w:val="18"/>
          <w:u w:val="single"/>
        </w:rPr>
        <w:t>www.cvm.gov.br</w:t>
      </w:r>
    </w:hyperlink>
  </w:p>
  <w:p w14:paraId="6CA9B607" w14:textId="77777777" w:rsidR="00036557" w:rsidRDefault="00036557" w:rsidP="0049054F">
    <w:pPr>
      <w:tabs>
        <w:tab w:val="center" w:pos="4252"/>
        <w:tab w:val="right" w:pos="8504"/>
      </w:tabs>
      <w:spacing w:after="0" w:line="240" w:lineRule="auto"/>
      <w:ind w:firstLine="142"/>
      <w:jc w:val="center"/>
      <w:rPr>
        <w:rFonts w:ascii="Calibri" w:hAnsi="Calibri"/>
        <w:sz w:val="18"/>
      </w:rPr>
    </w:pPr>
  </w:p>
  <w:p w14:paraId="45B9158A" w14:textId="5844F835" w:rsidR="00036557" w:rsidRPr="00672589" w:rsidRDefault="00036557"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XII DA RESOLUÇÃO CVM Nº 175, DE 23 DE DEZEMBRO DE 2022</w:t>
    </w:r>
    <w:r w:rsidRPr="00672589">
      <w:rPr>
        <w:rFonts w:ascii="Calibri" w:hAnsi="Calibri"/>
        <w:sz w:val="18"/>
        <w:szCs w:val="18"/>
      </w:rPr>
      <w:t>.</w:t>
    </w:r>
  </w:p>
  <w:p w14:paraId="687C37A8" w14:textId="77777777" w:rsidR="00036557" w:rsidRPr="0049054F" w:rsidRDefault="00036557" w:rsidP="003E06AC">
    <w:pPr>
      <w:tabs>
        <w:tab w:val="center" w:pos="4252"/>
        <w:tab w:val="right" w:pos="8504"/>
      </w:tabs>
      <w:spacing w:after="0" w:line="240" w:lineRule="auto"/>
      <w:ind w:firstLine="142"/>
      <w:jc w:val="both"/>
      <w:rPr>
        <w:rFonts w:ascii="Calibri" w:hAnsi="Calibri"/>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D178" w14:textId="77777777" w:rsidR="00E00556" w:rsidRPr="00F5071A" w:rsidRDefault="00E00556"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F25AD54" wp14:editId="33772D2F">
          <wp:extent cx="657225" cy="628650"/>
          <wp:effectExtent l="0" t="0" r="0" b="0"/>
          <wp:docPr id="2099292321" name="Imagem 209929232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541AC40" w14:textId="77777777" w:rsidR="00E00556" w:rsidRPr="00E97FA5" w:rsidRDefault="00E00556"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37A1446" w14:textId="77777777" w:rsidR="00E00556" w:rsidRPr="00E97FA5" w:rsidRDefault="00E00556"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D68B98B" w14:textId="77777777" w:rsidR="00E00556" w:rsidRPr="00F5071A" w:rsidRDefault="00E0055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25A2C391" w14:textId="77777777" w:rsidR="00E00556" w:rsidRPr="00F5071A" w:rsidRDefault="00E0055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703562BF" w14:textId="77777777" w:rsidR="00E00556"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E00556" w:rsidRPr="00F5071A">
        <w:rPr>
          <w:rFonts w:ascii="Calibri" w:hAnsi="Calibri" w:cs="Calibri"/>
          <w:noProof/>
          <w:color w:val="0000FF"/>
          <w:sz w:val="18"/>
          <w:szCs w:val="18"/>
          <w:u w:val="single"/>
        </w:rPr>
        <w:t>www.cvm.gov.br</w:t>
      </w:r>
    </w:hyperlink>
  </w:p>
  <w:p w14:paraId="4B1A27C1" w14:textId="77777777" w:rsidR="00E00556" w:rsidRDefault="00E00556" w:rsidP="005821E2">
    <w:pPr>
      <w:tabs>
        <w:tab w:val="center" w:pos="4252"/>
        <w:tab w:val="right" w:pos="8504"/>
      </w:tabs>
      <w:spacing w:after="0" w:line="240" w:lineRule="auto"/>
      <w:ind w:firstLine="142"/>
      <w:jc w:val="center"/>
      <w:rPr>
        <w:rFonts w:ascii="Calibri" w:hAnsi="Calibri"/>
        <w:sz w:val="18"/>
      </w:rPr>
    </w:pPr>
  </w:p>
  <w:p w14:paraId="45740662" w14:textId="02BFBFD5" w:rsidR="00E00556" w:rsidRPr="00672589" w:rsidRDefault="00E00556" w:rsidP="002C072D">
    <w:pPr>
      <w:tabs>
        <w:tab w:val="center" w:pos="4252"/>
        <w:tab w:val="right" w:pos="8504"/>
      </w:tabs>
      <w:spacing w:after="0" w:line="240" w:lineRule="auto"/>
      <w:jc w:val="both"/>
      <w:rPr>
        <w:rFonts w:ascii="Calibri" w:hAnsi="Calibri"/>
        <w:sz w:val="18"/>
        <w:szCs w:val="18"/>
      </w:rPr>
    </w:pPr>
    <w:bookmarkStart w:id="1472" w:name="_Hlk146028207"/>
    <w:r>
      <w:rPr>
        <w:rFonts w:ascii="Calibri" w:hAnsi="Calibri"/>
        <w:sz w:val="18"/>
        <w:szCs w:val="18"/>
      </w:rPr>
      <w:t>SUPLEMENTO A DA RESOLUÇÃO CVM Nº 175, DE 23 DE DEZEMBRO DE 2022.</w:t>
    </w:r>
    <w:bookmarkEnd w:id="14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F01B" w14:textId="77777777" w:rsidR="00F62946" w:rsidRPr="00F5071A" w:rsidRDefault="00F6294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20951A87" wp14:editId="13276D2F">
          <wp:extent cx="657225" cy="628650"/>
          <wp:effectExtent l="0" t="0" r="0" b="0"/>
          <wp:docPr id="1832243177" name="Imagem 183224317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158F5E1" w14:textId="77777777" w:rsidR="00F62946" w:rsidRPr="00E97FA5" w:rsidRDefault="00F6294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CDD89CF" w14:textId="77777777" w:rsidR="00F62946" w:rsidRPr="00E97FA5" w:rsidRDefault="00F6294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9FCB892"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3F4181F2"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F22F0A3" w14:textId="77777777" w:rsidR="00F6294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62946" w:rsidRPr="00F5071A">
        <w:rPr>
          <w:rFonts w:ascii="Calibri" w:hAnsi="Calibri" w:cs="Calibri"/>
          <w:noProof/>
          <w:color w:val="0000FF"/>
          <w:sz w:val="18"/>
          <w:szCs w:val="18"/>
          <w:u w:val="single"/>
        </w:rPr>
        <w:t>www.cvm.gov.br</w:t>
      </w:r>
    </w:hyperlink>
  </w:p>
  <w:p w14:paraId="7F49142A" w14:textId="4FDD4112" w:rsidR="00F62946" w:rsidRPr="00672589" w:rsidRDefault="00F62946"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B </w:t>
    </w:r>
    <w:r w:rsidR="00F525F8">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31979DFF" w14:textId="77777777" w:rsidR="00F62946" w:rsidRPr="0049054F" w:rsidRDefault="00F62946" w:rsidP="003E06AC">
    <w:pPr>
      <w:tabs>
        <w:tab w:val="center" w:pos="4252"/>
        <w:tab w:val="right" w:pos="8504"/>
      </w:tabs>
      <w:spacing w:after="0" w:line="240" w:lineRule="auto"/>
      <w:ind w:firstLine="142"/>
      <w:jc w:val="both"/>
      <w:rPr>
        <w:rFonts w:ascii="Calibri" w:hAnsi="Calibri"/>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B098" w14:textId="77777777" w:rsidR="00E00556" w:rsidRPr="00F5071A" w:rsidRDefault="00E00556"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54340F20" wp14:editId="6C3511A5">
          <wp:extent cx="657225" cy="628650"/>
          <wp:effectExtent l="0" t="0" r="0" b="0"/>
          <wp:docPr id="965226334" name="Imagem 96522633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AB57C87" w14:textId="77777777" w:rsidR="00E00556" w:rsidRPr="00E97FA5" w:rsidRDefault="00E00556"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F77388F" w14:textId="77777777" w:rsidR="00E00556" w:rsidRPr="00E97FA5" w:rsidRDefault="00E00556"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BC1A6E8" w14:textId="77777777" w:rsidR="00E00556" w:rsidRPr="00F5071A" w:rsidRDefault="00E0055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3F2CEDC5" w14:textId="77777777" w:rsidR="00E00556" w:rsidRPr="00F5071A" w:rsidRDefault="00E0055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9AA7017" w14:textId="77777777" w:rsidR="00E00556"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E00556" w:rsidRPr="00F5071A">
        <w:rPr>
          <w:rFonts w:ascii="Calibri" w:hAnsi="Calibri" w:cs="Calibri"/>
          <w:noProof/>
          <w:color w:val="0000FF"/>
          <w:sz w:val="18"/>
          <w:szCs w:val="18"/>
          <w:u w:val="single"/>
        </w:rPr>
        <w:t>www.cvm.gov.br</w:t>
      </w:r>
    </w:hyperlink>
  </w:p>
  <w:p w14:paraId="5A9AEDCF" w14:textId="77777777" w:rsidR="00E00556" w:rsidRDefault="00E00556" w:rsidP="005821E2">
    <w:pPr>
      <w:tabs>
        <w:tab w:val="center" w:pos="4252"/>
        <w:tab w:val="right" w:pos="8504"/>
      </w:tabs>
      <w:spacing w:after="0" w:line="240" w:lineRule="auto"/>
      <w:ind w:firstLine="142"/>
      <w:jc w:val="center"/>
      <w:rPr>
        <w:rFonts w:ascii="Calibri" w:hAnsi="Calibri"/>
        <w:sz w:val="18"/>
      </w:rPr>
    </w:pPr>
  </w:p>
  <w:p w14:paraId="04A1F4AC" w14:textId="389E1DAE" w:rsidR="00E00556" w:rsidRPr="00672589" w:rsidRDefault="00E00556"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w:t>
    </w:r>
    <w:r w:rsidR="00F525F8">
      <w:rPr>
        <w:rFonts w:ascii="Calibri" w:hAnsi="Calibri"/>
        <w:sz w:val="18"/>
        <w:szCs w:val="18"/>
      </w:rPr>
      <w:t>B</w:t>
    </w:r>
    <w:r>
      <w:rPr>
        <w:rFonts w:ascii="Calibri" w:hAnsi="Calibri"/>
        <w:sz w:val="18"/>
        <w:szCs w:val="18"/>
      </w:rPr>
      <w:t xml:space="preserve"> DA RESOLUÇÃO CVM Nº 175, DE 23 DE DEZEMBRO DE 2022.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7ED6" w14:textId="77777777" w:rsidR="00BB7BEE" w:rsidRPr="00F5071A" w:rsidRDefault="00BB7BEE"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6C145CF8" wp14:editId="643F8D4E">
          <wp:extent cx="657225" cy="628650"/>
          <wp:effectExtent l="0" t="0" r="0" b="0"/>
          <wp:docPr id="1267600219" name="Imagem 126760021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9C98705" w14:textId="77777777" w:rsidR="00BB7BEE" w:rsidRPr="00E97FA5" w:rsidRDefault="00BB7BEE"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34DBC41" w14:textId="77777777" w:rsidR="00BB7BEE" w:rsidRPr="00E97FA5" w:rsidRDefault="00BB7BEE"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83C09F8"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0257286B"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64B6429F" w14:textId="77777777" w:rsidR="00BB7BEE"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BB7BEE" w:rsidRPr="00F5071A">
        <w:rPr>
          <w:rFonts w:ascii="Calibri" w:hAnsi="Calibri" w:cs="Calibri"/>
          <w:noProof/>
          <w:color w:val="0000FF"/>
          <w:sz w:val="18"/>
          <w:szCs w:val="18"/>
          <w:u w:val="single"/>
        </w:rPr>
        <w:t>www.cvm.gov.br</w:t>
      </w:r>
    </w:hyperlink>
  </w:p>
  <w:p w14:paraId="3F26BEFB" w14:textId="6BDB2701" w:rsidR="00BB7BEE" w:rsidRPr="00672589" w:rsidRDefault="00BB7BEE"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C </w:t>
    </w:r>
    <w:r w:rsidR="00CB51C5">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4C797F45" w14:textId="77777777" w:rsidR="00BB7BEE" w:rsidRPr="0049054F" w:rsidRDefault="00BB7BEE" w:rsidP="003E06AC">
    <w:pPr>
      <w:tabs>
        <w:tab w:val="center" w:pos="4252"/>
        <w:tab w:val="right" w:pos="8504"/>
      </w:tabs>
      <w:spacing w:after="0" w:line="240" w:lineRule="auto"/>
      <w:ind w:firstLine="142"/>
      <w:jc w:val="both"/>
      <w:rPr>
        <w:rFonts w:ascii="Calibri" w:hAnsi="Calibri"/>
        <w:sz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B32" w14:textId="77777777" w:rsidR="00CB51C5" w:rsidRPr="00F5071A" w:rsidRDefault="00CB51C5"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5FEDF088" wp14:editId="46318B8A">
          <wp:extent cx="657225" cy="628650"/>
          <wp:effectExtent l="0" t="0" r="0" b="0"/>
          <wp:docPr id="217906232" name="Imagem 21790623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00BCEF3" w14:textId="77777777" w:rsidR="00CB51C5" w:rsidRPr="00E97FA5" w:rsidRDefault="00CB51C5"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00EF553" w14:textId="77777777" w:rsidR="00CB51C5" w:rsidRPr="00E97FA5" w:rsidRDefault="00CB51C5"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38E66212"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794D29BF"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0478318" w14:textId="77777777" w:rsidR="00CB51C5"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CB51C5" w:rsidRPr="00F5071A">
        <w:rPr>
          <w:rFonts w:ascii="Calibri" w:hAnsi="Calibri" w:cs="Calibri"/>
          <w:noProof/>
          <w:color w:val="0000FF"/>
          <w:sz w:val="18"/>
          <w:szCs w:val="18"/>
          <w:u w:val="single"/>
        </w:rPr>
        <w:t>www.cvm.gov.br</w:t>
      </w:r>
    </w:hyperlink>
  </w:p>
  <w:p w14:paraId="727CE930" w14:textId="77777777" w:rsidR="00CB51C5" w:rsidRDefault="00CB51C5" w:rsidP="005821E2">
    <w:pPr>
      <w:tabs>
        <w:tab w:val="center" w:pos="4252"/>
        <w:tab w:val="right" w:pos="8504"/>
      </w:tabs>
      <w:spacing w:after="0" w:line="240" w:lineRule="auto"/>
      <w:ind w:firstLine="142"/>
      <w:jc w:val="center"/>
      <w:rPr>
        <w:rFonts w:ascii="Calibri" w:hAnsi="Calibri"/>
        <w:sz w:val="18"/>
      </w:rPr>
    </w:pPr>
  </w:p>
  <w:p w14:paraId="3D0ABC7E" w14:textId="565C8B37" w:rsidR="00CB51C5" w:rsidRPr="00672589" w:rsidRDefault="00CB51C5"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C DA RESOLUÇÃO CVM Nº 175, DE 23 DE DEZEMBRO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D5B6" w14:textId="77777777" w:rsidR="00F62946" w:rsidRPr="00F5071A" w:rsidRDefault="00F62946"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4A74E5A" wp14:editId="6175BF31">
          <wp:extent cx="657225" cy="628650"/>
          <wp:effectExtent l="0" t="0" r="0" b="0"/>
          <wp:docPr id="248351194" name="Imagem 24835119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9808BD2" w14:textId="77777777" w:rsidR="00F62946" w:rsidRPr="00E97FA5" w:rsidRDefault="00F62946"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380D5EC" w14:textId="77777777" w:rsidR="00F62946" w:rsidRPr="00E97FA5" w:rsidRDefault="00F62946"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609BA862" w14:textId="77777777" w:rsidR="00F62946" w:rsidRPr="00F5071A" w:rsidRDefault="00F6294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E9795C9" w14:textId="77777777" w:rsidR="00F62946" w:rsidRPr="00F5071A" w:rsidRDefault="00F62946"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85A2639" w14:textId="77777777" w:rsidR="00F62946"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F62946" w:rsidRPr="00F5071A">
        <w:rPr>
          <w:rFonts w:ascii="Calibri" w:hAnsi="Calibri" w:cs="Calibri"/>
          <w:noProof/>
          <w:color w:val="0000FF"/>
          <w:sz w:val="18"/>
          <w:szCs w:val="18"/>
          <w:u w:val="single"/>
        </w:rPr>
        <w:t>www.cvm.gov.br</w:t>
      </w:r>
    </w:hyperlink>
  </w:p>
  <w:p w14:paraId="25792942" w14:textId="77777777" w:rsidR="00F62946" w:rsidRDefault="00F62946" w:rsidP="005821E2">
    <w:pPr>
      <w:tabs>
        <w:tab w:val="center" w:pos="4252"/>
        <w:tab w:val="right" w:pos="8504"/>
      </w:tabs>
      <w:spacing w:after="0" w:line="240" w:lineRule="auto"/>
      <w:ind w:firstLine="142"/>
      <w:jc w:val="center"/>
      <w:rPr>
        <w:rFonts w:ascii="Calibri" w:hAnsi="Calibri"/>
        <w:sz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71CC" w14:textId="77777777" w:rsidR="00BB7BEE" w:rsidRPr="00F5071A" w:rsidRDefault="00BB7BEE"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AA5A265" wp14:editId="5F53CFEF">
          <wp:extent cx="657225" cy="628650"/>
          <wp:effectExtent l="0" t="0" r="0" b="0"/>
          <wp:docPr id="1434063443" name="Imagem 143406344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A41883D" w14:textId="77777777" w:rsidR="00BB7BEE" w:rsidRPr="00E97FA5" w:rsidRDefault="00BB7BEE"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0F143992" w14:textId="77777777" w:rsidR="00BB7BEE" w:rsidRPr="00E97FA5" w:rsidRDefault="00BB7BEE"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15F14C5D"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50B59B5"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7F7D715B" w14:textId="77777777" w:rsidR="00BB7BEE"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BB7BEE" w:rsidRPr="00F5071A">
        <w:rPr>
          <w:rFonts w:ascii="Calibri" w:hAnsi="Calibri" w:cs="Calibri"/>
          <w:noProof/>
          <w:color w:val="0000FF"/>
          <w:sz w:val="18"/>
          <w:szCs w:val="18"/>
          <w:u w:val="single"/>
        </w:rPr>
        <w:t>www.cvm.gov.br</w:t>
      </w:r>
    </w:hyperlink>
  </w:p>
  <w:p w14:paraId="0A72B2E3" w14:textId="5DC266BA" w:rsidR="00BB7BEE" w:rsidRPr="00672589" w:rsidRDefault="00BB7BEE"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D </w:t>
    </w:r>
    <w:r w:rsidR="00CB51C5">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6D4567A2" w14:textId="77777777" w:rsidR="00BB7BEE" w:rsidRPr="0049054F" w:rsidRDefault="00BB7BEE" w:rsidP="003E06AC">
    <w:pPr>
      <w:tabs>
        <w:tab w:val="center" w:pos="4252"/>
        <w:tab w:val="right" w:pos="8504"/>
      </w:tabs>
      <w:spacing w:after="0" w:line="240" w:lineRule="auto"/>
      <w:ind w:firstLine="142"/>
      <w:jc w:val="both"/>
      <w:rPr>
        <w:rFonts w:ascii="Calibri" w:hAnsi="Calibri"/>
        <w:sz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3304" w14:textId="77777777" w:rsidR="00F525F8" w:rsidRPr="00F5071A" w:rsidRDefault="00F525F8"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6B74855C" wp14:editId="702CFF59">
          <wp:extent cx="657225" cy="628650"/>
          <wp:effectExtent l="0" t="0" r="0" b="0"/>
          <wp:docPr id="216257081" name="Imagem 21625708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709E203" w14:textId="77777777" w:rsidR="00F525F8" w:rsidRPr="00E97FA5" w:rsidRDefault="00F525F8"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51308AD2" w14:textId="77777777" w:rsidR="00F525F8" w:rsidRPr="00E97FA5" w:rsidRDefault="00F525F8"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4E4A6C56" w14:textId="77777777" w:rsidR="00F525F8" w:rsidRPr="00F5071A" w:rsidRDefault="00F525F8"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82AF51D" w14:textId="77777777" w:rsidR="00F525F8" w:rsidRPr="00F5071A" w:rsidRDefault="00F525F8"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30A1328" w14:textId="77777777" w:rsidR="00F525F8"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F525F8" w:rsidRPr="00F5071A">
        <w:rPr>
          <w:rFonts w:ascii="Calibri" w:hAnsi="Calibri" w:cs="Calibri"/>
          <w:noProof/>
          <w:color w:val="0000FF"/>
          <w:sz w:val="18"/>
          <w:szCs w:val="18"/>
          <w:u w:val="single"/>
        </w:rPr>
        <w:t>www.cvm.gov.br</w:t>
      </w:r>
    </w:hyperlink>
  </w:p>
  <w:p w14:paraId="748DB327" w14:textId="77777777" w:rsidR="00F525F8" w:rsidRDefault="00F525F8" w:rsidP="005821E2">
    <w:pPr>
      <w:tabs>
        <w:tab w:val="center" w:pos="4252"/>
        <w:tab w:val="right" w:pos="8504"/>
      </w:tabs>
      <w:spacing w:after="0" w:line="240" w:lineRule="auto"/>
      <w:ind w:firstLine="142"/>
      <w:jc w:val="center"/>
      <w:rPr>
        <w:rFonts w:ascii="Calibri" w:hAnsi="Calibri"/>
        <w:sz w:val="18"/>
      </w:rPr>
    </w:pPr>
  </w:p>
  <w:p w14:paraId="7B1EE643" w14:textId="2B387B6A" w:rsidR="00F525F8" w:rsidRPr="00672589" w:rsidRDefault="00F525F8"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w:t>
    </w:r>
    <w:r w:rsidR="00CB51C5">
      <w:rPr>
        <w:rFonts w:ascii="Calibri" w:hAnsi="Calibri"/>
        <w:sz w:val="18"/>
        <w:szCs w:val="18"/>
      </w:rPr>
      <w:t>D</w:t>
    </w:r>
    <w:r>
      <w:rPr>
        <w:rFonts w:ascii="Calibri" w:hAnsi="Calibri"/>
        <w:sz w:val="18"/>
        <w:szCs w:val="18"/>
      </w:rPr>
      <w:t xml:space="preserve"> DA RESOLUÇÃO CVM Nº 175, DE 23 DE DEZEMBRO DE 2022.</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389B" w14:textId="77777777" w:rsidR="00BB7BEE" w:rsidRPr="00F5071A" w:rsidRDefault="00BB7BEE"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558583B" wp14:editId="793D90C5">
          <wp:extent cx="657225" cy="628650"/>
          <wp:effectExtent l="0" t="0" r="0" b="0"/>
          <wp:docPr id="1132770038" name="Imagem 113277003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26E5479" w14:textId="77777777" w:rsidR="00BB7BEE" w:rsidRPr="00E97FA5" w:rsidRDefault="00BB7BEE"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DAB6857" w14:textId="77777777" w:rsidR="00BB7BEE" w:rsidRPr="00E97FA5" w:rsidRDefault="00BB7BEE"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33CEDDA6"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2219EF84"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580655FF" w14:textId="77777777" w:rsidR="00BB7BEE"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BB7BEE" w:rsidRPr="00F5071A">
        <w:rPr>
          <w:rFonts w:ascii="Calibri" w:hAnsi="Calibri" w:cs="Calibri"/>
          <w:noProof/>
          <w:color w:val="0000FF"/>
          <w:sz w:val="18"/>
          <w:szCs w:val="18"/>
          <w:u w:val="single"/>
        </w:rPr>
        <w:t>www.cvm.gov.br</w:t>
      </w:r>
    </w:hyperlink>
  </w:p>
  <w:p w14:paraId="061DF693" w14:textId="08E9AD2B" w:rsidR="00BB7BEE" w:rsidRPr="00672589" w:rsidRDefault="00BB7BEE"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E </w:t>
    </w:r>
    <w:r w:rsidR="00CB51C5">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46891E33" w14:textId="77777777" w:rsidR="00BB7BEE" w:rsidRPr="0049054F" w:rsidRDefault="00BB7BEE" w:rsidP="003E06AC">
    <w:pPr>
      <w:tabs>
        <w:tab w:val="center" w:pos="4252"/>
        <w:tab w:val="right" w:pos="8504"/>
      </w:tabs>
      <w:spacing w:after="0" w:line="240" w:lineRule="auto"/>
      <w:ind w:firstLine="142"/>
      <w:jc w:val="both"/>
      <w:rPr>
        <w:rFonts w:ascii="Calibri" w:hAnsi="Calibri"/>
        <w:sz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978" w14:textId="77777777" w:rsidR="00F525F8" w:rsidRPr="00F5071A" w:rsidRDefault="00F525F8"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01ECC0E" wp14:editId="0886DFA6">
          <wp:extent cx="657225" cy="628650"/>
          <wp:effectExtent l="0" t="0" r="0" b="0"/>
          <wp:docPr id="1218248670" name="Imagem 1218248670"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9AA34C6" w14:textId="77777777" w:rsidR="00F525F8" w:rsidRPr="00E97FA5" w:rsidRDefault="00F525F8"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1B76425" w14:textId="77777777" w:rsidR="00F525F8" w:rsidRPr="00E97FA5" w:rsidRDefault="00F525F8"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389E5F1" w14:textId="77777777" w:rsidR="00F525F8" w:rsidRPr="00F5071A" w:rsidRDefault="00F525F8"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7C4703D2" w14:textId="77777777" w:rsidR="00F525F8" w:rsidRPr="00F5071A" w:rsidRDefault="00F525F8"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B6A951C" w14:textId="77777777" w:rsidR="00F525F8"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F525F8" w:rsidRPr="00F5071A">
        <w:rPr>
          <w:rFonts w:ascii="Calibri" w:hAnsi="Calibri" w:cs="Calibri"/>
          <w:noProof/>
          <w:color w:val="0000FF"/>
          <w:sz w:val="18"/>
          <w:szCs w:val="18"/>
          <w:u w:val="single"/>
        </w:rPr>
        <w:t>www.cvm.gov.br</w:t>
      </w:r>
    </w:hyperlink>
  </w:p>
  <w:p w14:paraId="52E73CE5" w14:textId="77777777" w:rsidR="00F525F8" w:rsidRDefault="00F525F8" w:rsidP="005821E2">
    <w:pPr>
      <w:tabs>
        <w:tab w:val="center" w:pos="4252"/>
        <w:tab w:val="right" w:pos="8504"/>
      </w:tabs>
      <w:spacing w:after="0" w:line="240" w:lineRule="auto"/>
      <w:ind w:firstLine="142"/>
      <w:jc w:val="center"/>
      <w:rPr>
        <w:rFonts w:ascii="Calibri" w:hAnsi="Calibri"/>
        <w:sz w:val="18"/>
      </w:rPr>
    </w:pPr>
  </w:p>
  <w:p w14:paraId="0C180259" w14:textId="4DEF9687" w:rsidR="00F525F8" w:rsidRPr="00672589" w:rsidRDefault="00F525F8"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w:t>
    </w:r>
    <w:r w:rsidR="00CB51C5">
      <w:rPr>
        <w:rFonts w:ascii="Calibri" w:hAnsi="Calibri"/>
        <w:sz w:val="18"/>
        <w:szCs w:val="18"/>
      </w:rPr>
      <w:t xml:space="preserve">E </w:t>
    </w:r>
    <w:r>
      <w:rPr>
        <w:rFonts w:ascii="Calibri" w:hAnsi="Calibri"/>
        <w:sz w:val="18"/>
        <w:szCs w:val="18"/>
      </w:rPr>
      <w:t>DA RESOLUÇÃO CVM Nº 175, DE 23 DE DEZEMBRO DE 2022.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74D0" w14:textId="77777777" w:rsidR="00BB7BEE" w:rsidRPr="00F5071A" w:rsidRDefault="00BB7BEE"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97EDD12" wp14:editId="22F3E950">
          <wp:extent cx="657225" cy="628650"/>
          <wp:effectExtent l="0" t="0" r="0" b="0"/>
          <wp:docPr id="260050827" name="Imagem 26005082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B430331" w14:textId="77777777" w:rsidR="00BB7BEE" w:rsidRPr="00E97FA5" w:rsidRDefault="00BB7BEE"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4DE280C" w14:textId="77777777" w:rsidR="00BB7BEE" w:rsidRPr="00E97FA5" w:rsidRDefault="00BB7BEE"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19B32582"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08B2BB34" w14:textId="77777777" w:rsidR="00BB7BEE" w:rsidRPr="00F5071A" w:rsidRDefault="00BB7BEE"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BC47E99" w14:textId="77777777" w:rsidR="00BB7BEE"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BB7BEE" w:rsidRPr="00F5071A">
        <w:rPr>
          <w:rFonts w:ascii="Calibri" w:hAnsi="Calibri" w:cs="Calibri"/>
          <w:noProof/>
          <w:color w:val="0000FF"/>
          <w:sz w:val="18"/>
          <w:szCs w:val="18"/>
          <w:u w:val="single"/>
        </w:rPr>
        <w:t>www.cvm.gov.br</w:t>
      </w:r>
    </w:hyperlink>
  </w:p>
  <w:p w14:paraId="4C39A313" w14:textId="27638E4C" w:rsidR="00BB7BEE" w:rsidRPr="00672589" w:rsidRDefault="00BB7BEE"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F </w:t>
    </w:r>
    <w:r w:rsidR="00CB51C5">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5A31F488" w14:textId="77777777" w:rsidR="00BB7BEE" w:rsidRPr="0049054F" w:rsidRDefault="00BB7BEE" w:rsidP="003E06AC">
    <w:pPr>
      <w:tabs>
        <w:tab w:val="center" w:pos="4252"/>
        <w:tab w:val="right" w:pos="8504"/>
      </w:tabs>
      <w:spacing w:after="0" w:line="240" w:lineRule="auto"/>
      <w:ind w:firstLine="142"/>
      <w:jc w:val="both"/>
      <w:rPr>
        <w:rFonts w:ascii="Calibri" w:hAnsi="Calibri"/>
        <w:sz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51B4" w14:textId="77777777" w:rsidR="00CB51C5" w:rsidRPr="00F5071A" w:rsidRDefault="00CB51C5"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79A40BB6" wp14:editId="256247B8">
          <wp:extent cx="657225" cy="628650"/>
          <wp:effectExtent l="0" t="0" r="0" b="0"/>
          <wp:docPr id="802300858" name="Imagem 80230085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9EE246F" w14:textId="77777777" w:rsidR="00CB51C5" w:rsidRPr="00E97FA5" w:rsidRDefault="00CB51C5"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FF87915" w14:textId="77777777" w:rsidR="00CB51C5" w:rsidRPr="00E97FA5" w:rsidRDefault="00CB51C5"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7A4A14C2"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070B59AE"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597C1DC9" w14:textId="77777777" w:rsidR="00CB51C5"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CB51C5" w:rsidRPr="00F5071A">
        <w:rPr>
          <w:rFonts w:ascii="Calibri" w:hAnsi="Calibri" w:cs="Calibri"/>
          <w:noProof/>
          <w:color w:val="0000FF"/>
          <w:sz w:val="18"/>
          <w:szCs w:val="18"/>
          <w:u w:val="single"/>
        </w:rPr>
        <w:t>www.cvm.gov.br</w:t>
      </w:r>
    </w:hyperlink>
  </w:p>
  <w:p w14:paraId="098F7CFE" w14:textId="77777777" w:rsidR="00CB51C5" w:rsidRDefault="00CB51C5" w:rsidP="005821E2">
    <w:pPr>
      <w:tabs>
        <w:tab w:val="center" w:pos="4252"/>
        <w:tab w:val="right" w:pos="8504"/>
      </w:tabs>
      <w:spacing w:after="0" w:line="240" w:lineRule="auto"/>
      <w:ind w:firstLine="142"/>
      <w:jc w:val="center"/>
      <w:rPr>
        <w:rFonts w:ascii="Calibri" w:hAnsi="Calibri"/>
        <w:sz w:val="18"/>
      </w:rPr>
    </w:pPr>
  </w:p>
  <w:p w14:paraId="60BACF00" w14:textId="5828A0A1" w:rsidR="00CB51C5" w:rsidRPr="00672589" w:rsidRDefault="00CB51C5"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F DA RESOLUÇÃO CVM Nº 175, DE 23 DE DEZEMBRO DE 2022.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CBEA" w14:textId="77777777" w:rsidR="006A4600" w:rsidRPr="00F5071A" w:rsidRDefault="006A4600"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012374C" wp14:editId="15E039A6">
          <wp:extent cx="657225" cy="628650"/>
          <wp:effectExtent l="0" t="0" r="0" b="0"/>
          <wp:docPr id="1160573074" name="Imagem 116057307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EFE94B7" w14:textId="77777777" w:rsidR="006A4600" w:rsidRPr="00E97FA5" w:rsidRDefault="006A4600"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79C1FF9" w14:textId="77777777" w:rsidR="006A4600" w:rsidRPr="00E97FA5" w:rsidRDefault="006A4600"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6B837815" w14:textId="77777777" w:rsidR="006A4600" w:rsidRPr="00F5071A" w:rsidRDefault="006A4600"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2DA2BBA9" w14:textId="77777777" w:rsidR="006A4600" w:rsidRPr="00F5071A" w:rsidRDefault="006A4600"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570609F3" w14:textId="77777777" w:rsidR="006A4600"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6A4600" w:rsidRPr="00F5071A">
        <w:rPr>
          <w:rFonts w:ascii="Calibri" w:hAnsi="Calibri" w:cs="Calibri"/>
          <w:noProof/>
          <w:color w:val="0000FF"/>
          <w:sz w:val="18"/>
          <w:szCs w:val="18"/>
          <w:u w:val="single"/>
        </w:rPr>
        <w:t>www.cvm.gov.br</w:t>
      </w:r>
    </w:hyperlink>
  </w:p>
  <w:p w14:paraId="41F8D3C8" w14:textId="77777777" w:rsidR="006602DB" w:rsidRDefault="006602DB" w:rsidP="00CE2182">
    <w:pPr>
      <w:tabs>
        <w:tab w:val="center" w:pos="4252"/>
        <w:tab w:val="right" w:pos="8504"/>
      </w:tabs>
      <w:spacing w:after="0" w:line="240" w:lineRule="auto"/>
      <w:jc w:val="both"/>
      <w:rPr>
        <w:rFonts w:ascii="Calibri" w:hAnsi="Calibri"/>
        <w:sz w:val="18"/>
        <w:szCs w:val="18"/>
      </w:rPr>
    </w:pPr>
  </w:p>
  <w:p w14:paraId="1DB89B07" w14:textId="00889514" w:rsidR="006A4600" w:rsidRPr="00672589" w:rsidRDefault="006A4600"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G </w:t>
    </w:r>
    <w:r w:rsidR="00CB51C5">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4E2016A9" w14:textId="77777777" w:rsidR="006A4600" w:rsidRPr="0049054F" w:rsidRDefault="006A4600" w:rsidP="003E06AC">
    <w:pPr>
      <w:tabs>
        <w:tab w:val="center" w:pos="4252"/>
        <w:tab w:val="right" w:pos="8504"/>
      </w:tabs>
      <w:spacing w:after="0" w:line="240" w:lineRule="auto"/>
      <w:ind w:firstLine="142"/>
      <w:jc w:val="both"/>
      <w:rPr>
        <w:rFonts w:ascii="Calibri" w:hAnsi="Calibri"/>
        <w:sz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67B" w14:textId="77777777" w:rsidR="00CB51C5" w:rsidRPr="00F5071A" w:rsidRDefault="00CB51C5"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E4E5732" wp14:editId="6E73E224">
          <wp:extent cx="657225" cy="628650"/>
          <wp:effectExtent l="0" t="0" r="0" b="0"/>
          <wp:docPr id="110904067" name="Imagem 11090406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C60EF12" w14:textId="77777777" w:rsidR="00CB51C5" w:rsidRPr="00E97FA5" w:rsidRDefault="00CB51C5"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DC05CD4" w14:textId="77777777" w:rsidR="00CB51C5" w:rsidRPr="00E97FA5" w:rsidRDefault="00CB51C5"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7B62250"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714EFCC0" w14:textId="77777777" w:rsidR="00CB51C5" w:rsidRPr="00F5071A" w:rsidRDefault="00CB51C5"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7E433999" w14:textId="77777777" w:rsidR="00CB51C5"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CB51C5" w:rsidRPr="00F5071A">
        <w:rPr>
          <w:rFonts w:ascii="Calibri" w:hAnsi="Calibri" w:cs="Calibri"/>
          <w:noProof/>
          <w:color w:val="0000FF"/>
          <w:sz w:val="18"/>
          <w:szCs w:val="18"/>
          <w:u w:val="single"/>
        </w:rPr>
        <w:t>www.cvm.gov.br</w:t>
      </w:r>
    </w:hyperlink>
  </w:p>
  <w:p w14:paraId="7405997E" w14:textId="77777777" w:rsidR="00CB51C5" w:rsidRDefault="00CB51C5" w:rsidP="005821E2">
    <w:pPr>
      <w:tabs>
        <w:tab w:val="center" w:pos="4252"/>
        <w:tab w:val="right" w:pos="8504"/>
      </w:tabs>
      <w:spacing w:after="0" w:line="240" w:lineRule="auto"/>
      <w:ind w:firstLine="142"/>
      <w:jc w:val="center"/>
      <w:rPr>
        <w:rFonts w:ascii="Calibri" w:hAnsi="Calibri"/>
        <w:sz w:val="18"/>
      </w:rPr>
    </w:pPr>
  </w:p>
  <w:p w14:paraId="15DE5ACE" w14:textId="10220457" w:rsidR="00CB51C5" w:rsidRPr="00672589" w:rsidRDefault="00CB51C5"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G DA RESOLUÇÃO CVM Nº 175, DE 23 DE DEZEMBRO DE 2022.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EEBA" w14:textId="77777777" w:rsidR="00F2579A" w:rsidRPr="00F5071A" w:rsidRDefault="00F2579A"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342A793" wp14:editId="6F238678">
          <wp:extent cx="657225" cy="628650"/>
          <wp:effectExtent l="0" t="0" r="0" b="0"/>
          <wp:docPr id="1994708687" name="Imagem 1994708687"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9353960" w14:textId="77777777" w:rsidR="00F2579A" w:rsidRPr="00E97FA5" w:rsidRDefault="00F2579A"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9E6EF9D" w14:textId="77777777" w:rsidR="00F2579A" w:rsidRPr="00E97FA5" w:rsidRDefault="00F2579A"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B834EC6" w14:textId="77777777" w:rsidR="00F2579A" w:rsidRPr="00F5071A" w:rsidRDefault="00F2579A"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5771DB9E" w14:textId="77777777" w:rsidR="00F2579A" w:rsidRPr="00F5071A" w:rsidRDefault="00F2579A"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603267F" w14:textId="77777777" w:rsidR="00F2579A"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2579A" w:rsidRPr="00F5071A">
        <w:rPr>
          <w:rFonts w:ascii="Calibri" w:hAnsi="Calibri" w:cs="Calibri"/>
          <w:noProof/>
          <w:color w:val="0000FF"/>
          <w:sz w:val="18"/>
          <w:szCs w:val="18"/>
          <w:u w:val="single"/>
        </w:rPr>
        <w:t>www.cvm.gov.br</w:t>
      </w:r>
    </w:hyperlink>
  </w:p>
  <w:p w14:paraId="01E8B7C6" w14:textId="77777777" w:rsidR="00F2579A" w:rsidRDefault="00F2579A" w:rsidP="00CE2182">
    <w:pPr>
      <w:tabs>
        <w:tab w:val="center" w:pos="4252"/>
        <w:tab w:val="right" w:pos="8504"/>
      </w:tabs>
      <w:spacing w:after="0" w:line="240" w:lineRule="auto"/>
      <w:jc w:val="both"/>
      <w:rPr>
        <w:rFonts w:ascii="Calibri" w:hAnsi="Calibri"/>
        <w:sz w:val="18"/>
        <w:szCs w:val="18"/>
      </w:rPr>
    </w:pPr>
  </w:p>
  <w:p w14:paraId="57DECE0B" w14:textId="0041C6F2" w:rsidR="00F2579A" w:rsidRPr="00672589" w:rsidRDefault="00F2579A"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 xml:space="preserve">SUPLEMENTO H </w:t>
    </w:r>
    <w:r w:rsidR="004E6682">
      <w:rPr>
        <w:rFonts w:ascii="Calibri" w:hAnsi="Calibri"/>
        <w:sz w:val="18"/>
        <w:szCs w:val="18"/>
      </w:rPr>
      <w:t>DA</w:t>
    </w:r>
    <w:r>
      <w:rPr>
        <w:rFonts w:ascii="Calibri" w:hAnsi="Calibri"/>
        <w:sz w:val="18"/>
        <w:szCs w:val="18"/>
      </w:rPr>
      <w:t xml:space="preserve"> RESOLUÇÃO CVM Nº 175 DE DEZEMBRO DE 2022</w:t>
    </w:r>
    <w:r w:rsidRPr="00672589">
      <w:rPr>
        <w:rFonts w:ascii="Calibri" w:hAnsi="Calibri"/>
        <w:sz w:val="18"/>
        <w:szCs w:val="18"/>
      </w:rPr>
      <w:t>.</w:t>
    </w:r>
  </w:p>
  <w:p w14:paraId="19934ECC" w14:textId="77777777" w:rsidR="00F2579A" w:rsidRPr="0049054F" w:rsidRDefault="00F2579A" w:rsidP="003E06AC">
    <w:pPr>
      <w:tabs>
        <w:tab w:val="center" w:pos="4252"/>
        <w:tab w:val="right" w:pos="8504"/>
      </w:tabs>
      <w:spacing w:after="0" w:line="240" w:lineRule="auto"/>
      <w:ind w:firstLine="142"/>
      <w:jc w:val="both"/>
      <w:rPr>
        <w:rFonts w:ascii="Calibri" w:hAnsi="Calibri"/>
        <w:sz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2008" w14:textId="77777777" w:rsidR="006602DB" w:rsidRPr="00F5071A" w:rsidRDefault="006602DB"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A6AC87D" wp14:editId="3D9A1324">
          <wp:extent cx="657225" cy="628650"/>
          <wp:effectExtent l="0" t="0" r="0" b="0"/>
          <wp:docPr id="1088517331" name="Imagem 108851733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FA7797E" w14:textId="77777777" w:rsidR="006602DB" w:rsidRPr="00E97FA5" w:rsidRDefault="006602DB"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56ECC584" w14:textId="77777777" w:rsidR="006602DB" w:rsidRPr="00E97FA5" w:rsidRDefault="006602DB"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46244C6" w14:textId="77777777" w:rsidR="006602DB" w:rsidRPr="00F5071A" w:rsidRDefault="006602DB"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58F54861" w14:textId="77777777" w:rsidR="006602DB" w:rsidRPr="00F5071A" w:rsidRDefault="006602DB"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54E69305" w14:textId="77777777" w:rsidR="006602DB"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6602DB" w:rsidRPr="00F5071A">
        <w:rPr>
          <w:rFonts w:ascii="Calibri" w:hAnsi="Calibri" w:cs="Calibri"/>
          <w:noProof/>
          <w:color w:val="0000FF"/>
          <w:sz w:val="18"/>
          <w:szCs w:val="18"/>
          <w:u w:val="single"/>
        </w:rPr>
        <w:t>www.cvm.gov.br</w:t>
      </w:r>
    </w:hyperlink>
  </w:p>
  <w:p w14:paraId="42F8882B" w14:textId="77777777" w:rsidR="006602DB" w:rsidRDefault="006602DB" w:rsidP="006602DB">
    <w:pPr>
      <w:tabs>
        <w:tab w:val="center" w:pos="4252"/>
        <w:tab w:val="right" w:pos="8504"/>
      </w:tabs>
      <w:spacing w:after="0" w:line="240" w:lineRule="auto"/>
      <w:jc w:val="both"/>
      <w:rPr>
        <w:rFonts w:ascii="Calibri" w:hAnsi="Calibri"/>
        <w:sz w:val="18"/>
      </w:rPr>
    </w:pPr>
    <w:r>
      <w:rPr>
        <w:rFonts w:ascii="Calibri" w:hAnsi="Calibri"/>
        <w:sz w:val="18"/>
      </w:rPr>
      <w:tab/>
    </w:r>
  </w:p>
  <w:p w14:paraId="6EB3342E" w14:textId="574C2D5C" w:rsidR="006602DB" w:rsidRPr="00672589" w:rsidRDefault="006602DB" w:rsidP="006602DB">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H À RESOLUÇÃO CVM Nº 175 DE DEZEMBRO DE 2022</w:t>
    </w:r>
    <w:r w:rsidRPr="00672589">
      <w:rPr>
        <w:rFonts w:ascii="Calibri" w:hAnsi="Calibri"/>
        <w:sz w:val="18"/>
        <w:szCs w:val="18"/>
      </w:rPr>
      <w:t>.</w:t>
    </w:r>
  </w:p>
  <w:p w14:paraId="2CA3023B" w14:textId="6BE5C251" w:rsidR="006602DB" w:rsidRDefault="006602DB" w:rsidP="006602DB">
    <w:pPr>
      <w:tabs>
        <w:tab w:val="left" w:pos="855"/>
        <w:tab w:val="center" w:pos="4252"/>
        <w:tab w:val="right" w:pos="8504"/>
      </w:tabs>
      <w:spacing w:after="0" w:line="240" w:lineRule="auto"/>
      <w:ind w:firstLine="142"/>
      <w:rPr>
        <w:rFonts w:ascii="Calibri" w:hAnsi="Calibri"/>
        <w:sz w:val="18"/>
      </w:rPr>
    </w:pPr>
    <w:r>
      <w:rPr>
        <w:rFonts w:ascii="Calibri" w:hAnsi="Calibri"/>
        <w:sz w:val="18"/>
      </w:rPr>
      <w:tab/>
    </w:r>
  </w:p>
  <w:p w14:paraId="04995BFE" w14:textId="00D1DF90" w:rsidR="006602DB" w:rsidRPr="00672589" w:rsidRDefault="006602DB" w:rsidP="002C072D">
    <w:pPr>
      <w:tabs>
        <w:tab w:val="center" w:pos="4252"/>
        <w:tab w:val="right" w:pos="8504"/>
      </w:tabs>
      <w:spacing w:after="0" w:line="240" w:lineRule="auto"/>
      <w:jc w:val="both"/>
      <w:rPr>
        <w:rFonts w:ascii="Calibri" w:hAnsi="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3466" w14:textId="77777777" w:rsidR="00F62946" w:rsidRPr="00F5071A" w:rsidRDefault="00F6294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0B90389" wp14:editId="24C95B3D">
          <wp:extent cx="657225" cy="628650"/>
          <wp:effectExtent l="0" t="0" r="0" b="0"/>
          <wp:docPr id="1812113321" name="Imagem 181211332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F55F2D1" w14:textId="77777777" w:rsidR="00F62946" w:rsidRPr="00E97FA5" w:rsidRDefault="00F6294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6F50F385" w14:textId="77777777" w:rsidR="00F62946" w:rsidRPr="00E97FA5" w:rsidRDefault="00F6294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F9B2CFB"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F194FCE"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19177BA3" w14:textId="77777777" w:rsidR="00F6294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62946" w:rsidRPr="00F5071A">
        <w:rPr>
          <w:rFonts w:ascii="Calibri" w:hAnsi="Calibri" w:cs="Calibri"/>
          <w:noProof/>
          <w:color w:val="0000FF"/>
          <w:sz w:val="18"/>
          <w:szCs w:val="18"/>
          <w:u w:val="single"/>
        </w:rPr>
        <w:t>www.cvm.gov.br</w:t>
      </w:r>
    </w:hyperlink>
  </w:p>
  <w:p w14:paraId="34EEE1F9" w14:textId="77777777" w:rsidR="00F62946" w:rsidRDefault="00F62946" w:rsidP="0049054F">
    <w:pPr>
      <w:tabs>
        <w:tab w:val="center" w:pos="4252"/>
        <w:tab w:val="right" w:pos="8504"/>
      </w:tabs>
      <w:spacing w:after="0" w:line="240" w:lineRule="auto"/>
      <w:ind w:firstLine="142"/>
      <w:jc w:val="center"/>
      <w:rPr>
        <w:rFonts w:ascii="Calibri" w:hAnsi="Calibri"/>
        <w:sz w:val="18"/>
      </w:rPr>
    </w:pPr>
  </w:p>
  <w:p w14:paraId="4B5FEB6B" w14:textId="4966C047" w:rsidR="00F62946" w:rsidRPr="00672589" w:rsidRDefault="00F62946"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 DA RESOLUÇÃO CVM Nº 175, DE 23 DE DEZEMBRO DE 2022</w:t>
    </w:r>
    <w:r w:rsidRPr="00672589">
      <w:rPr>
        <w:rFonts w:ascii="Calibri" w:hAnsi="Calibri"/>
        <w:sz w:val="18"/>
        <w:szCs w:val="18"/>
      </w:rPr>
      <w:t>.</w:t>
    </w:r>
  </w:p>
  <w:p w14:paraId="39D7392B" w14:textId="77777777" w:rsidR="00F62946" w:rsidRPr="0049054F" w:rsidRDefault="00F62946" w:rsidP="003E06AC">
    <w:pPr>
      <w:tabs>
        <w:tab w:val="center" w:pos="4252"/>
        <w:tab w:val="right" w:pos="8504"/>
      </w:tabs>
      <w:spacing w:after="0" w:line="240" w:lineRule="auto"/>
      <w:ind w:firstLine="142"/>
      <w:jc w:val="both"/>
      <w:rPr>
        <w:rFonts w:ascii="Calibri" w:hAnsi="Calibri"/>
        <w:sz w:val="1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6B0B" w14:textId="77777777" w:rsidR="00457375" w:rsidRPr="00F5071A" w:rsidRDefault="00457375"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844FAD4" wp14:editId="595753DB">
          <wp:extent cx="657225" cy="628650"/>
          <wp:effectExtent l="0" t="0" r="0" b="0"/>
          <wp:docPr id="1818224891" name="Imagem 181822489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20B1814E" w14:textId="77777777" w:rsidR="00457375" w:rsidRPr="00E97FA5" w:rsidRDefault="00457375"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54BA4E00" w14:textId="77777777" w:rsidR="00457375" w:rsidRPr="00E97FA5" w:rsidRDefault="00457375"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A4F267A" w14:textId="77777777" w:rsidR="00457375" w:rsidRPr="00F5071A" w:rsidRDefault="0045737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983CCF2" w14:textId="77777777" w:rsidR="00457375" w:rsidRPr="00F5071A" w:rsidRDefault="00457375"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705A2359" w14:textId="77777777" w:rsidR="00457375"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457375" w:rsidRPr="00F5071A">
        <w:rPr>
          <w:rFonts w:ascii="Calibri" w:hAnsi="Calibri" w:cs="Calibri"/>
          <w:noProof/>
          <w:color w:val="0000FF"/>
          <w:sz w:val="18"/>
          <w:szCs w:val="18"/>
          <w:u w:val="single"/>
        </w:rPr>
        <w:t>www.cvm.gov.br</w:t>
      </w:r>
    </w:hyperlink>
  </w:p>
  <w:p w14:paraId="4D0AF974" w14:textId="77777777" w:rsidR="00457375" w:rsidRDefault="00457375" w:rsidP="00CE2182">
    <w:pPr>
      <w:tabs>
        <w:tab w:val="center" w:pos="4252"/>
        <w:tab w:val="right" w:pos="8504"/>
      </w:tabs>
      <w:spacing w:after="0" w:line="240" w:lineRule="auto"/>
      <w:jc w:val="both"/>
      <w:rPr>
        <w:rFonts w:ascii="Calibri" w:hAnsi="Calibri"/>
        <w:sz w:val="18"/>
        <w:szCs w:val="18"/>
      </w:rPr>
    </w:pPr>
  </w:p>
  <w:p w14:paraId="3910B52D" w14:textId="4FC0C423" w:rsidR="00457375" w:rsidRPr="00672589" w:rsidRDefault="00457375"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I DA RESOLUÇÃO CVM Nº 175 DE DEZEMBRO DE 2022</w:t>
    </w:r>
    <w:r w:rsidRPr="00672589">
      <w:rPr>
        <w:rFonts w:ascii="Calibri" w:hAnsi="Calibri"/>
        <w:sz w:val="18"/>
        <w:szCs w:val="18"/>
      </w:rPr>
      <w:t>.</w:t>
    </w:r>
  </w:p>
  <w:p w14:paraId="5103579D" w14:textId="77777777" w:rsidR="00457375" w:rsidRPr="0049054F" w:rsidRDefault="00457375" w:rsidP="003E06AC">
    <w:pPr>
      <w:tabs>
        <w:tab w:val="center" w:pos="4252"/>
        <w:tab w:val="right" w:pos="8504"/>
      </w:tabs>
      <w:spacing w:after="0" w:line="240" w:lineRule="auto"/>
      <w:ind w:firstLine="142"/>
      <w:jc w:val="both"/>
      <w:rPr>
        <w:rFonts w:ascii="Calibri" w:hAnsi="Calibri"/>
        <w:sz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8719" w14:textId="77777777" w:rsidR="008C5242" w:rsidRPr="00F5071A" w:rsidRDefault="008C5242"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161B204F" wp14:editId="29B34467">
          <wp:extent cx="657225" cy="628650"/>
          <wp:effectExtent l="0" t="0" r="0" b="0"/>
          <wp:docPr id="1517673025" name="Imagem 151767302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ACCBD9F" w14:textId="77777777" w:rsidR="008C5242" w:rsidRPr="00E97FA5" w:rsidRDefault="008C5242"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B935A32" w14:textId="77777777" w:rsidR="008C5242" w:rsidRPr="00E97FA5" w:rsidRDefault="008C5242"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EF81D68" w14:textId="77777777" w:rsidR="008C5242" w:rsidRPr="00F5071A" w:rsidRDefault="008C524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F8D18B0" w14:textId="77777777" w:rsidR="008C5242" w:rsidRPr="00F5071A" w:rsidRDefault="008C524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12F90616" w14:textId="77777777" w:rsidR="008C5242"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8C5242" w:rsidRPr="00F5071A">
        <w:rPr>
          <w:rFonts w:ascii="Calibri" w:hAnsi="Calibri" w:cs="Calibri"/>
          <w:noProof/>
          <w:color w:val="0000FF"/>
          <w:sz w:val="18"/>
          <w:szCs w:val="18"/>
          <w:u w:val="single"/>
        </w:rPr>
        <w:t>www.cvm.gov.br</w:t>
      </w:r>
    </w:hyperlink>
  </w:p>
  <w:p w14:paraId="766B2E10" w14:textId="77777777" w:rsidR="008C5242" w:rsidRDefault="008C5242" w:rsidP="00CE2182">
    <w:pPr>
      <w:tabs>
        <w:tab w:val="center" w:pos="4252"/>
        <w:tab w:val="right" w:pos="8504"/>
      </w:tabs>
      <w:spacing w:after="0" w:line="240" w:lineRule="auto"/>
      <w:jc w:val="both"/>
      <w:rPr>
        <w:rFonts w:ascii="Calibri" w:hAnsi="Calibri"/>
        <w:sz w:val="18"/>
        <w:szCs w:val="18"/>
      </w:rPr>
    </w:pPr>
  </w:p>
  <w:p w14:paraId="08D3253C" w14:textId="767BA8EF" w:rsidR="008C5242" w:rsidRPr="00672589" w:rsidRDefault="008C5242"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J DA RESOLUÇÃO CVM Nº 175 DE DEZEMBRO DE 2022</w:t>
    </w:r>
    <w:r w:rsidRPr="00672589">
      <w:rPr>
        <w:rFonts w:ascii="Calibri" w:hAnsi="Calibri"/>
        <w:sz w:val="18"/>
        <w:szCs w:val="18"/>
      </w:rPr>
      <w:t>.</w:t>
    </w:r>
  </w:p>
  <w:p w14:paraId="2748275F" w14:textId="77777777" w:rsidR="008C5242" w:rsidRPr="0049054F" w:rsidRDefault="008C5242" w:rsidP="003E06AC">
    <w:pPr>
      <w:tabs>
        <w:tab w:val="center" w:pos="4252"/>
        <w:tab w:val="right" w:pos="8504"/>
      </w:tabs>
      <w:spacing w:after="0" w:line="240" w:lineRule="auto"/>
      <w:ind w:firstLine="142"/>
      <w:jc w:val="both"/>
      <w:rPr>
        <w:rFonts w:ascii="Calibri" w:hAnsi="Calibri"/>
        <w:sz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CF29" w14:textId="77777777" w:rsidR="00F461F9" w:rsidRPr="00F5071A" w:rsidRDefault="00F461F9"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5EA171BA" wp14:editId="7294C7D5">
          <wp:extent cx="657225" cy="628650"/>
          <wp:effectExtent l="0" t="0" r="0" b="0"/>
          <wp:docPr id="730919183" name="Imagem 73091918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D7105FB" w14:textId="77777777" w:rsidR="00F461F9" w:rsidRPr="00E97FA5" w:rsidRDefault="00F461F9"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3FF167F" w14:textId="77777777" w:rsidR="00F461F9" w:rsidRPr="00E97FA5" w:rsidRDefault="00F461F9"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C0ED556" w14:textId="77777777" w:rsidR="00F461F9" w:rsidRPr="00F5071A" w:rsidRDefault="00F461F9"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501B1DDB" w14:textId="77777777" w:rsidR="00F461F9" w:rsidRPr="00F5071A" w:rsidRDefault="00F461F9"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B553DB0" w14:textId="77777777" w:rsidR="00F461F9"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461F9" w:rsidRPr="00F5071A">
        <w:rPr>
          <w:rFonts w:ascii="Calibri" w:hAnsi="Calibri" w:cs="Calibri"/>
          <w:noProof/>
          <w:color w:val="0000FF"/>
          <w:sz w:val="18"/>
          <w:szCs w:val="18"/>
          <w:u w:val="single"/>
        </w:rPr>
        <w:t>www.cvm.gov.br</w:t>
      </w:r>
    </w:hyperlink>
  </w:p>
  <w:p w14:paraId="502C6EB1" w14:textId="77777777" w:rsidR="00F461F9" w:rsidRDefault="00F461F9" w:rsidP="00CE2182">
    <w:pPr>
      <w:tabs>
        <w:tab w:val="center" w:pos="4252"/>
        <w:tab w:val="right" w:pos="8504"/>
      </w:tabs>
      <w:spacing w:after="0" w:line="240" w:lineRule="auto"/>
      <w:jc w:val="both"/>
      <w:rPr>
        <w:rFonts w:ascii="Calibri" w:hAnsi="Calibri"/>
        <w:sz w:val="18"/>
        <w:szCs w:val="18"/>
      </w:rPr>
    </w:pPr>
  </w:p>
  <w:p w14:paraId="539F4967" w14:textId="67B0B650" w:rsidR="00F461F9" w:rsidRPr="00672589" w:rsidRDefault="00F461F9"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K DA RESOLUÇÃO CVM Nº 175 DE DEZEMBRO DE 2022</w:t>
    </w:r>
    <w:r w:rsidRPr="00672589">
      <w:rPr>
        <w:rFonts w:ascii="Calibri" w:hAnsi="Calibri"/>
        <w:sz w:val="18"/>
        <w:szCs w:val="18"/>
      </w:rPr>
      <w:t>.</w:t>
    </w:r>
  </w:p>
  <w:p w14:paraId="20CFCABD" w14:textId="77777777" w:rsidR="00F461F9" w:rsidRPr="0049054F" w:rsidRDefault="00F461F9" w:rsidP="003E06AC">
    <w:pPr>
      <w:tabs>
        <w:tab w:val="center" w:pos="4252"/>
        <w:tab w:val="right" w:pos="8504"/>
      </w:tabs>
      <w:spacing w:after="0" w:line="240" w:lineRule="auto"/>
      <w:ind w:firstLine="142"/>
      <w:jc w:val="both"/>
      <w:rPr>
        <w:rFonts w:ascii="Calibri" w:hAnsi="Calibri"/>
        <w:sz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3CA0" w14:textId="77777777" w:rsidR="004B30F6" w:rsidRPr="00F5071A" w:rsidRDefault="004B30F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4FD1444" wp14:editId="6BFF4985">
          <wp:extent cx="657225" cy="628650"/>
          <wp:effectExtent l="0" t="0" r="0" b="0"/>
          <wp:docPr id="1527084" name="Imagem 152708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0C23A7E9" w14:textId="77777777" w:rsidR="004B30F6" w:rsidRPr="00E97FA5" w:rsidRDefault="004B30F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EED4AB1" w14:textId="77777777" w:rsidR="004B30F6" w:rsidRPr="00E97FA5" w:rsidRDefault="004B30F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0575939" w14:textId="77777777" w:rsidR="004B30F6" w:rsidRPr="00F5071A" w:rsidRDefault="004B30F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320688EB" w14:textId="77777777" w:rsidR="004B30F6" w:rsidRPr="00F5071A" w:rsidRDefault="004B30F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FBF7577" w14:textId="77777777" w:rsidR="004B30F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4B30F6" w:rsidRPr="00F5071A">
        <w:rPr>
          <w:rFonts w:ascii="Calibri" w:hAnsi="Calibri" w:cs="Calibri"/>
          <w:noProof/>
          <w:color w:val="0000FF"/>
          <w:sz w:val="18"/>
          <w:szCs w:val="18"/>
          <w:u w:val="single"/>
        </w:rPr>
        <w:t>www.cvm.gov.br</w:t>
      </w:r>
    </w:hyperlink>
  </w:p>
  <w:p w14:paraId="2F0A3325" w14:textId="77777777" w:rsidR="004B30F6" w:rsidRDefault="004B30F6" w:rsidP="00CE2182">
    <w:pPr>
      <w:tabs>
        <w:tab w:val="center" w:pos="4252"/>
        <w:tab w:val="right" w:pos="8504"/>
      </w:tabs>
      <w:spacing w:after="0" w:line="240" w:lineRule="auto"/>
      <w:jc w:val="both"/>
      <w:rPr>
        <w:rFonts w:ascii="Calibri" w:hAnsi="Calibri"/>
        <w:sz w:val="18"/>
        <w:szCs w:val="18"/>
      </w:rPr>
    </w:pPr>
  </w:p>
  <w:p w14:paraId="3558CEE9" w14:textId="128D206A" w:rsidR="004B30F6" w:rsidRPr="00672589" w:rsidRDefault="004B30F6"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L DA RESOLUÇÃO CVM Nº 175 DE DEZEMBRO DE 2022</w:t>
    </w:r>
    <w:r w:rsidRPr="00672589">
      <w:rPr>
        <w:rFonts w:ascii="Calibri" w:hAnsi="Calibri"/>
        <w:sz w:val="18"/>
        <w:szCs w:val="18"/>
      </w:rPr>
      <w:t>.</w:t>
    </w:r>
  </w:p>
  <w:p w14:paraId="2B068A87" w14:textId="77777777" w:rsidR="004B30F6" w:rsidRPr="0049054F" w:rsidRDefault="004B30F6" w:rsidP="003E06AC">
    <w:pPr>
      <w:tabs>
        <w:tab w:val="center" w:pos="4252"/>
        <w:tab w:val="right" w:pos="8504"/>
      </w:tabs>
      <w:spacing w:after="0" w:line="240" w:lineRule="auto"/>
      <w:ind w:firstLine="142"/>
      <w:jc w:val="both"/>
      <w:rPr>
        <w:rFonts w:ascii="Calibri" w:hAnsi="Calibri"/>
        <w:sz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3111" w14:textId="77777777" w:rsidR="004B30F6" w:rsidRPr="00F5071A" w:rsidRDefault="004B30F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506FF22" wp14:editId="387686A8">
          <wp:extent cx="657225" cy="628650"/>
          <wp:effectExtent l="0" t="0" r="0" b="0"/>
          <wp:docPr id="1433011459" name="Imagem 143301145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9734453" w14:textId="77777777" w:rsidR="004B30F6" w:rsidRPr="00E97FA5" w:rsidRDefault="004B30F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7610F43F" w14:textId="77777777" w:rsidR="004B30F6" w:rsidRPr="00E97FA5" w:rsidRDefault="004B30F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03771BC3" w14:textId="77777777" w:rsidR="004B30F6" w:rsidRPr="00F5071A" w:rsidRDefault="004B30F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0B70B985" w14:textId="77777777" w:rsidR="004B30F6" w:rsidRPr="00F5071A" w:rsidRDefault="004B30F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7E89E733" w14:textId="77777777" w:rsidR="004B30F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4B30F6" w:rsidRPr="00F5071A">
        <w:rPr>
          <w:rFonts w:ascii="Calibri" w:hAnsi="Calibri" w:cs="Calibri"/>
          <w:noProof/>
          <w:color w:val="0000FF"/>
          <w:sz w:val="18"/>
          <w:szCs w:val="18"/>
          <w:u w:val="single"/>
        </w:rPr>
        <w:t>www.cvm.gov.br</w:t>
      </w:r>
    </w:hyperlink>
  </w:p>
  <w:p w14:paraId="0B777F19" w14:textId="77777777" w:rsidR="004B30F6" w:rsidRDefault="004B30F6" w:rsidP="00CE2182">
    <w:pPr>
      <w:tabs>
        <w:tab w:val="center" w:pos="4252"/>
        <w:tab w:val="right" w:pos="8504"/>
      </w:tabs>
      <w:spacing w:after="0" w:line="240" w:lineRule="auto"/>
      <w:jc w:val="both"/>
      <w:rPr>
        <w:rFonts w:ascii="Calibri" w:hAnsi="Calibri"/>
        <w:sz w:val="18"/>
        <w:szCs w:val="18"/>
      </w:rPr>
    </w:pPr>
  </w:p>
  <w:p w14:paraId="0253A765" w14:textId="6A479E8E" w:rsidR="004B30F6" w:rsidRPr="00672589" w:rsidRDefault="004B30F6" w:rsidP="00CE2182">
    <w:pPr>
      <w:tabs>
        <w:tab w:val="center" w:pos="4252"/>
        <w:tab w:val="right" w:pos="8504"/>
      </w:tabs>
      <w:spacing w:after="0" w:line="240" w:lineRule="auto"/>
      <w:jc w:val="both"/>
      <w:rPr>
        <w:rFonts w:ascii="Calibri" w:hAnsi="Calibri"/>
        <w:sz w:val="18"/>
        <w:szCs w:val="18"/>
      </w:rPr>
    </w:pPr>
    <w:r>
      <w:rPr>
        <w:rFonts w:ascii="Calibri" w:hAnsi="Calibri"/>
        <w:sz w:val="18"/>
        <w:szCs w:val="18"/>
      </w:rPr>
      <w:t>SUPLEMENTO M DA RESOLUÇÃO CVM Nº 175 DE DEZEMBRO DE 2022</w:t>
    </w:r>
    <w:r w:rsidRPr="00672589">
      <w:rPr>
        <w:rFonts w:ascii="Calibri" w:hAnsi="Calibri"/>
        <w:sz w:val="18"/>
        <w:szCs w:val="18"/>
      </w:rPr>
      <w:t>.</w:t>
    </w:r>
  </w:p>
  <w:p w14:paraId="5E4981D7" w14:textId="77777777" w:rsidR="004B30F6" w:rsidRPr="0049054F" w:rsidRDefault="004B30F6" w:rsidP="003E06AC">
    <w:pPr>
      <w:tabs>
        <w:tab w:val="center" w:pos="4252"/>
        <w:tab w:val="right" w:pos="8504"/>
      </w:tabs>
      <w:spacing w:after="0" w:line="240" w:lineRule="auto"/>
      <w:ind w:firstLine="142"/>
      <w:jc w:val="both"/>
      <w:rPr>
        <w:rFonts w:ascii="Calibri" w:hAnsi="Calibr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E5B7" w14:textId="77777777" w:rsidR="00F62946" w:rsidRPr="00F5071A" w:rsidRDefault="00F62946"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4BC1986" wp14:editId="2F2BEB9E">
          <wp:extent cx="657225" cy="628650"/>
          <wp:effectExtent l="0" t="0" r="0" b="0"/>
          <wp:docPr id="546471129" name="Imagem 54647112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3BE80C2" w14:textId="77777777" w:rsidR="00F62946" w:rsidRPr="00E97FA5" w:rsidRDefault="00F62946"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E5E862A" w14:textId="77777777" w:rsidR="00F62946" w:rsidRPr="00E97FA5" w:rsidRDefault="00F62946"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1B4DE47C"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64319C1" w14:textId="77777777" w:rsidR="00F62946" w:rsidRPr="00F5071A" w:rsidRDefault="00F62946"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73FB723" w14:textId="77777777" w:rsidR="00F62946"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F62946" w:rsidRPr="00F5071A">
        <w:rPr>
          <w:rFonts w:ascii="Calibri" w:hAnsi="Calibri" w:cs="Calibri"/>
          <w:noProof/>
          <w:color w:val="0000FF"/>
          <w:sz w:val="18"/>
          <w:szCs w:val="18"/>
          <w:u w:val="single"/>
        </w:rPr>
        <w:t>www.cvm.gov.br</w:t>
      </w:r>
    </w:hyperlink>
  </w:p>
  <w:p w14:paraId="52619221" w14:textId="77777777" w:rsidR="00F62946" w:rsidRDefault="00F62946" w:rsidP="0049054F">
    <w:pPr>
      <w:tabs>
        <w:tab w:val="center" w:pos="4252"/>
        <w:tab w:val="right" w:pos="8504"/>
      </w:tabs>
      <w:spacing w:after="0" w:line="240" w:lineRule="auto"/>
      <w:ind w:firstLine="142"/>
      <w:jc w:val="center"/>
      <w:rPr>
        <w:rFonts w:ascii="Calibri" w:hAnsi="Calibri"/>
        <w:sz w:val="18"/>
      </w:rPr>
    </w:pPr>
  </w:p>
  <w:p w14:paraId="042FE2B8" w14:textId="38C75DA7" w:rsidR="00F62946" w:rsidRPr="00672589" w:rsidRDefault="00F62946"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II DA RESOLUÇÃO CVM Nº 175, DE 23 DE DEZEMBRO DE 2022</w:t>
    </w:r>
    <w:r w:rsidRPr="00672589">
      <w:rPr>
        <w:rFonts w:ascii="Calibri" w:hAnsi="Calibri"/>
        <w:sz w:val="18"/>
        <w:szCs w:val="18"/>
      </w:rPr>
      <w:t>.</w:t>
    </w:r>
  </w:p>
  <w:p w14:paraId="3C196172" w14:textId="77777777" w:rsidR="00F62946" w:rsidRPr="0049054F" w:rsidRDefault="00F62946" w:rsidP="003E06AC">
    <w:pPr>
      <w:tabs>
        <w:tab w:val="center" w:pos="4252"/>
        <w:tab w:val="right" w:pos="8504"/>
      </w:tabs>
      <w:spacing w:after="0" w:line="240" w:lineRule="auto"/>
      <w:ind w:firstLine="142"/>
      <w:jc w:val="both"/>
      <w:rPr>
        <w:rFonts w:ascii="Calibri" w:hAnsi="Calibri"/>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2FF7" w14:textId="77777777" w:rsidR="002C072D" w:rsidRPr="00F5071A" w:rsidRDefault="002C072D"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4AE16D3" wp14:editId="65AE83D4">
          <wp:extent cx="657225" cy="628650"/>
          <wp:effectExtent l="0" t="0" r="0" b="0"/>
          <wp:docPr id="1080667764" name="Imagem 108066776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90017FC" w14:textId="77777777" w:rsidR="002C072D" w:rsidRPr="00E97FA5" w:rsidRDefault="002C072D"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33A4DEC3" w14:textId="77777777" w:rsidR="002C072D" w:rsidRPr="00E97FA5" w:rsidRDefault="002C072D"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702ABDD" w14:textId="77777777" w:rsidR="002C072D" w:rsidRPr="00F5071A" w:rsidRDefault="002C072D"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C883300" w14:textId="77777777" w:rsidR="002C072D" w:rsidRPr="00F5071A" w:rsidRDefault="002C072D"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0194830" w14:textId="77777777" w:rsidR="002C072D"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2C072D" w:rsidRPr="00F5071A">
        <w:rPr>
          <w:rFonts w:ascii="Calibri" w:hAnsi="Calibri" w:cs="Calibri"/>
          <w:noProof/>
          <w:color w:val="0000FF"/>
          <w:sz w:val="18"/>
          <w:szCs w:val="18"/>
          <w:u w:val="single"/>
        </w:rPr>
        <w:t>www.cvm.gov.br</w:t>
      </w:r>
    </w:hyperlink>
  </w:p>
  <w:p w14:paraId="54F33453" w14:textId="77777777" w:rsidR="002C072D" w:rsidRDefault="002C072D" w:rsidP="0049054F">
    <w:pPr>
      <w:tabs>
        <w:tab w:val="center" w:pos="4252"/>
        <w:tab w:val="right" w:pos="8504"/>
      </w:tabs>
      <w:spacing w:after="0" w:line="240" w:lineRule="auto"/>
      <w:ind w:firstLine="142"/>
      <w:jc w:val="center"/>
      <w:rPr>
        <w:rFonts w:ascii="Calibri" w:hAnsi="Calibri"/>
        <w:sz w:val="18"/>
      </w:rPr>
    </w:pPr>
  </w:p>
  <w:p w14:paraId="112B3AA8" w14:textId="73043A6C" w:rsidR="002C072D" w:rsidRPr="00672589" w:rsidRDefault="002C072D"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III DA RESOLUÇÃO CVM Nº 175, DE 23 DE DEZEMBRO DE 2022</w:t>
    </w:r>
    <w:r w:rsidRPr="00672589">
      <w:rPr>
        <w:rFonts w:ascii="Calibri" w:hAnsi="Calibri"/>
        <w:sz w:val="18"/>
        <w:szCs w:val="18"/>
      </w:rPr>
      <w:t>.</w:t>
    </w:r>
  </w:p>
  <w:p w14:paraId="42760517" w14:textId="77777777" w:rsidR="002C072D" w:rsidRPr="0049054F" w:rsidRDefault="002C072D" w:rsidP="003E06AC">
    <w:pPr>
      <w:tabs>
        <w:tab w:val="center" w:pos="4252"/>
        <w:tab w:val="right" w:pos="8504"/>
      </w:tabs>
      <w:spacing w:after="0" w:line="240" w:lineRule="auto"/>
      <w:ind w:firstLine="142"/>
      <w:jc w:val="both"/>
      <w:rPr>
        <w:rFonts w:ascii="Calibri" w:hAnsi="Calibri"/>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FC86" w14:textId="77777777" w:rsidR="002C072D" w:rsidRPr="00F5071A" w:rsidRDefault="002C072D" w:rsidP="005821E2">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4EBB5CA8" wp14:editId="04DE7832">
          <wp:extent cx="657225" cy="628650"/>
          <wp:effectExtent l="0" t="0" r="0" b="0"/>
          <wp:docPr id="1095492449" name="Imagem 109549244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2FF5475" w14:textId="77777777" w:rsidR="002C072D" w:rsidRPr="00E97FA5" w:rsidRDefault="002C072D" w:rsidP="005821E2">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0857D3B1" w14:textId="77777777" w:rsidR="002C072D" w:rsidRPr="00E97FA5" w:rsidRDefault="002C072D" w:rsidP="005821E2">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2C60E6D9" w14:textId="77777777" w:rsidR="002C072D" w:rsidRPr="00F5071A" w:rsidRDefault="002C072D"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1C84D97E" w14:textId="77777777" w:rsidR="002C072D" w:rsidRPr="00F5071A" w:rsidRDefault="002C072D" w:rsidP="005821E2">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2F987544" w14:textId="77777777" w:rsidR="002C072D" w:rsidRDefault="00000000" w:rsidP="005821E2">
    <w:pPr>
      <w:tabs>
        <w:tab w:val="center" w:pos="4252"/>
        <w:tab w:val="right" w:pos="8504"/>
      </w:tabs>
      <w:spacing w:after="0" w:line="240" w:lineRule="auto"/>
      <w:ind w:firstLine="142"/>
      <w:jc w:val="center"/>
      <w:rPr>
        <w:rFonts w:ascii="Calibri" w:hAnsi="Calibri"/>
        <w:sz w:val="18"/>
      </w:rPr>
    </w:pPr>
    <w:hyperlink r:id="rId2" w:history="1">
      <w:r w:rsidR="002C072D" w:rsidRPr="00F5071A">
        <w:rPr>
          <w:rFonts w:ascii="Calibri" w:hAnsi="Calibri" w:cs="Calibri"/>
          <w:noProof/>
          <w:color w:val="0000FF"/>
          <w:sz w:val="18"/>
          <w:szCs w:val="18"/>
          <w:u w:val="single"/>
        </w:rPr>
        <w:t>www.cvm.gov.br</w:t>
      </w:r>
    </w:hyperlink>
  </w:p>
  <w:p w14:paraId="06D777EA" w14:textId="77777777" w:rsidR="002C072D" w:rsidRDefault="002C072D" w:rsidP="005821E2">
    <w:pPr>
      <w:tabs>
        <w:tab w:val="center" w:pos="4252"/>
        <w:tab w:val="right" w:pos="8504"/>
      </w:tabs>
      <w:spacing w:after="0" w:line="240" w:lineRule="auto"/>
      <w:ind w:firstLine="142"/>
      <w:jc w:val="center"/>
      <w:rPr>
        <w:rFonts w:ascii="Calibri" w:hAnsi="Calibri"/>
        <w:sz w:val="18"/>
      </w:rPr>
    </w:pPr>
  </w:p>
  <w:p w14:paraId="1320070E" w14:textId="77777777" w:rsidR="002C072D" w:rsidRPr="00672589" w:rsidRDefault="002C072D" w:rsidP="002C072D">
    <w:pPr>
      <w:tabs>
        <w:tab w:val="center" w:pos="4252"/>
        <w:tab w:val="right" w:pos="8504"/>
      </w:tabs>
      <w:spacing w:after="0" w:line="240" w:lineRule="auto"/>
      <w:jc w:val="both"/>
      <w:rPr>
        <w:rFonts w:ascii="Calibri" w:hAnsi="Calibri"/>
        <w:sz w:val="18"/>
        <w:szCs w:val="18"/>
      </w:rPr>
    </w:pPr>
    <w:r>
      <w:rPr>
        <w:rFonts w:ascii="Calibri" w:hAnsi="Calibri"/>
        <w:sz w:val="18"/>
        <w:szCs w:val="18"/>
      </w:rPr>
      <w:t>Anexo III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C458" w14:textId="77777777" w:rsidR="00446684" w:rsidRPr="00F5071A" w:rsidRDefault="00446684"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0CB299A5" wp14:editId="3ABD0471">
          <wp:extent cx="657225" cy="628650"/>
          <wp:effectExtent l="0" t="0" r="0" b="0"/>
          <wp:docPr id="1702357179" name="Imagem 1702357179"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1E62A8E" w14:textId="77777777" w:rsidR="00446684" w:rsidRPr="00E97FA5" w:rsidRDefault="00446684"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5FB411C" w14:textId="77777777" w:rsidR="00446684" w:rsidRPr="00E97FA5" w:rsidRDefault="00446684"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52FD9980" w14:textId="77777777" w:rsidR="00446684" w:rsidRPr="00F5071A" w:rsidRDefault="00446684"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65F6A488" w14:textId="77777777" w:rsidR="00446684" w:rsidRPr="00F5071A" w:rsidRDefault="00446684"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4212D7DD" w14:textId="77777777" w:rsidR="00446684"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446684" w:rsidRPr="00F5071A">
        <w:rPr>
          <w:rFonts w:ascii="Calibri" w:hAnsi="Calibri" w:cs="Calibri"/>
          <w:noProof/>
          <w:color w:val="0000FF"/>
          <w:sz w:val="18"/>
          <w:szCs w:val="18"/>
          <w:u w:val="single"/>
        </w:rPr>
        <w:t>www.cvm.gov.br</w:t>
      </w:r>
    </w:hyperlink>
  </w:p>
  <w:p w14:paraId="67F006AF" w14:textId="77777777" w:rsidR="00446684" w:rsidRDefault="00446684" w:rsidP="0049054F">
    <w:pPr>
      <w:tabs>
        <w:tab w:val="center" w:pos="4252"/>
        <w:tab w:val="right" w:pos="8504"/>
      </w:tabs>
      <w:spacing w:after="0" w:line="240" w:lineRule="auto"/>
      <w:ind w:firstLine="142"/>
      <w:jc w:val="center"/>
      <w:rPr>
        <w:rFonts w:ascii="Calibri" w:hAnsi="Calibri"/>
        <w:sz w:val="18"/>
      </w:rPr>
    </w:pPr>
  </w:p>
  <w:p w14:paraId="7E3D59C3" w14:textId="00C831BC" w:rsidR="00446684" w:rsidRPr="00672589" w:rsidRDefault="00446684"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IV DA RESOLUÇÃO CVM Nº 175, DE 23 DE DEZEMBRO DE 2022</w:t>
    </w:r>
    <w:r w:rsidRPr="00672589">
      <w:rPr>
        <w:rFonts w:ascii="Calibri" w:hAnsi="Calibri"/>
        <w:sz w:val="18"/>
        <w:szCs w:val="18"/>
      </w:rPr>
      <w:t>.</w:t>
    </w:r>
  </w:p>
  <w:p w14:paraId="12A98727" w14:textId="77777777" w:rsidR="00446684" w:rsidRPr="0049054F" w:rsidRDefault="00446684" w:rsidP="003E06AC">
    <w:pPr>
      <w:tabs>
        <w:tab w:val="center" w:pos="4252"/>
        <w:tab w:val="right" w:pos="8504"/>
      </w:tabs>
      <w:spacing w:after="0" w:line="240" w:lineRule="auto"/>
      <w:ind w:firstLine="142"/>
      <w:jc w:val="both"/>
      <w:rPr>
        <w:rFonts w:ascii="Calibri" w:hAnsi="Calibri"/>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E16" w14:textId="77777777" w:rsidR="00063BE2" w:rsidRPr="00F5071A" w:rsidRDefault="00063BE2"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3EB893D3" wp14:editId="4A0BDB38">
          <wp:extent cx="657225" cy="628650"/>
          <wp:effectExtent l="0" t="0" r="0" b="0"/>
          <wp:docPr id="1436236588" name="Imagem 143623658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073DEC2" w14:textId="77777777" w:rsidR="00063BE2" w:rsidRPr="00E97FA5" w:rsidRDefault="00063BE2"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38359E3B" w14:textId="77777777" w:rsidR="00063BE2" w:rsidRPr="00E97FA5" w:rsidRDefault="00063BE2"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7C040A88" w14:textId="77777777" w:rsidR="00063BE2" w:rsidRPr="00F5071A" w:rsidRDefault="00063BE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2150016" w14:textId="77777777" w:rsidR="00063BE2" w:rsidRPr="00F5071A" w:rsidRDefault="00063BE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AB12F6C" w14:textId="77777777" w:rsidR="00063BE2"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63BE2" w:rsidRPr="00F5071A">
        <w:rPr>
          <w:rFonts w:ascii="Calibri" w:hAnsi="Calibri" w:cs="Calibri"/>
          <w:noProof/>
          <w:color w:val="0000FF"/>
          <w:sz w:val="18"/>
          <w:szCs w:val="18"/>
          <w:u w:val="single"/>
        </w:rPr>
        <w:t>www.cvm.gov.br</w:t>
      </w:r>
    </w:hyperlink>
  </w:p>
  <w:p w14:paraId="3A751D7F" w14:textId="77777777" w:rsidR="00063BE2" w:rsidRDefault="00063BE2" w:rsidP="0049054F">
    <w:pPr>
      <w:tabs>
        <w:tab w:val="center" w:pos="4252"/>
        <w:tab w:val="right" w:pos="8504"/>
      </w:tabs>
      <w:spacing w:after="0" w:line="240" w:lineRule="auto"/>
      <w:ind w:firstLine="142"/>
      <w:jc w:val="center"/>
      <w:rPr>
        <w:rFonts w:ascii="Calibri" w:hAnsi="Calibri"/>
        <w:sz w:val="18"/>
      </w:rPr>
    </w:pPr>
  </w:p>
  <w:p w14:paraId="39F9741E" w14:textId="43E5DDD1" w:rsidR="00063BE2" w:rsidRPr="00672589" w:rsidRDefault="00063BE2"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V DA RESOLUÇÃO CVM Nº 175, DE 23 DE DEZEMBRO DE 2022</w:t>
    </w:r>
    <w:r w:rsidRPr="00672589">
      <w:rPr>
        <w:rFonts w:ascii="Calibri" w:hAnsi="Calibri"/>
        <w:sz w:val="18"/>
        <w:szCs w:val="18"/>
      </w:rPr>
      <w:t>.</w:t>
    </w:r>
  </w:p>
  <w:p w14:paraId="31E87AB7" w14:textId="77777777" w:rsidR="00063BE2" w:rsidRPr="0049054F" w:rsidRDefault="00063BE2" w:rsidP="003E06AC">
    <w:pPr>
      <w:tabs>
        <w:tab w:val="center" w:pos="4252"/>
        <w:tab w:val="right" w:pos="8504"/>
      </w:tabs>
      <w:spacing w:after="0" w:line="240" w:lineRule="auto"/>
      <w:ind w:firstLine="142"/>
      <w:jc w:val="both"/>
      <w:rPr>
        <w:rFonts w:ascii="Calibri" w:hAnsi="Calibri"/>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2E72" w14:textId="77777777" w:rsidR="00063BE2" w:rsidRPr="00F5071A" w:rsidRDefault="00063BE2" w:rsidP="0049054F">
    <w:pPr>
      <w:tabs>
        <w:tab w:val="center" w:pos="4252"/>
        <w:tab w:val="right" w:pos="8504"/>
      </w:tabs>
      <w:ind w:firstLine="142"/>
      <w:jc w:val="center"/>
      <w:rPr>
        <w:rFonts w:ascii="Calibri" w:hAnsi="Calibri" w:cs="Calibri"/>
        <w:noProof/>
        <w:sz w:val="18"/>
        <w:szCs w:val="18"/>
      </w:rPr>
    </w:pPr>
    <w:r>
      <w:rPr>
        <w:noProof/>
        <w:lang w:eastAsia="pt-BR"/>
      </w:rPr>
      <w:drawing>
        <wp:inline distT="0" distB="0" distL="0" distR="0" wp14:anchorId="6C532CE3" wp14:editId="4DEDF50E">
          <wp:extent cx="657225" cy="628650"/>
          <wp:effectExtent l="0" t="0" r="0" b="0"/>
          <wp:docPr id="608773388" name="Imagem 608773388"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11F39107" w14:textId="77777777" w:rsidR="00063BE2" w:rsidRPr="00E97FA5" w:rsidRDefault="00063BE2" w:rsidP="0049054F">
    <w:pPr>
      <w:tabs>
        <w:tab w:val="center" w:pos="4252"/>
        <w:tab w:val="right" w:pos="8504"/>
      </w:tabs>
      <w:spacing w:after="0" w:line="240" w:lineRule="auto"/>
      <w:ind w:firstLine="142"/>
      <w:jc w:val="center"/>
      <w:rPr>
        <w:rFonts w:ascii="Calibri" w:hAnsi="Calibri"/>
        <w:b/>
      </w:rPr>
    </w:pPr>
    <w:r w:rsidRPr="00E97FA5">
      <w:rPr>
        <w:rFonts w:ascii="Calibri" w:hAnsi="Calibri"/>
        <w:b/>
      </w:rPr>
      <w:t>COMISSÃO DE VALORES MOBILIÁRIOS</w:t>
    </w:r>
  </w:p>
  <w:p w14:paraId="480F6334" w14:textId="77777777" w:rsidR="00063BE2" w:rsidRPr="00E97FA5" w:rsidRDefault="00063BE2" w:rsidP="0049054F">
    <w:pPr>
      <w:tabs>
        <w:tab w:val="center" w:pos="4252"/>
        <w:tab w:val="right" w:pos="8504"/>
      </w:tabs>
      <w:spacing w:after="0" w:line="240" w:lineRule="auto"/>
      <w:ind w:firstLine="142"/>
      <w:jc w:val="center"/>
      <w:rPr>
        <w:rFonts w:ascii="Calibri" w:hAnsi="Calibri"/>
        <w:sz w:val="18"/>
      </w:rPr>
    </w:pPr>
    <w:r w:rsidRPr="00E97FA5">
      <w:rPr>
        <w:rFonts w:ascii="Calibri" w:hAnsi="Calibri"/>
        <w:sz w:val="18"/>
      </w:rPr>
      <w:t>Rua Sete de Setembro, 111/2-5º e 23-34º Andares</w:t>
    </w:r>
    <w:r w:rsidRPr="00F5071A">
      <w:rPr>
        <w:rFonts w:ascii="Calibri" w:hAnsi="Calibri" w:cs="Calibri"/>
        <w:noProof/>
        <w:sz w:val="18"/>
        <w:szCs w:val="18"/>
      </w:rPr>
      <w:t>,</w:t>
    </w:r>
    <w:r w:rsidRPr="00E97FA5">
      <w:rPr>
        <w:rFonts w:ascii="Calibri" w:hAnsi="Calibri"/>
        <w:sz w:val="18"/>
      </w:rPr>
      <w:t xml:space="preserve"> Centro</w:t>
    </w:r>
    <w:r w:rsidRPr="00F5071A">
      <w:rPr>
        <w:rFonts w:ascii="Calibri" w:hAnsi="Calibri" w:cs="Calibri"/>
        <w:noProof/>
        <w:sz w:val="18"/>
        <w:szCs w:val="18"/>
      </w:rPr>
      <w:t>,</w:t>
    </w:r>
    <w:r w:rsidRPr="00E97FA5">
      <w:rPr>
        <w:rFonts w:ascii="Calibri" w:hAnsi="Calibri"/>
        <w:sz w:val="18"/>
      </w:rPr>
      <w:t xml:space="preserve"> Rio de Janeiro</w:t>
    </w:r>
    <w:r w:rsidRPr="00F5071A">
      <w:rPr>
        <w:rFonts w:ascii="Calibri" w:hAnsi="Calibri" w:cs="Calibri"/>
        <w:noProof/>
        <w:sz w:val="18"/>
        <w:szCs w:val="18"/>
      </w:rPr>
      <w:t>/</w:t>
    </w:r>
    <w:r w:rsidRPr="00E97FA5">
      <w:rPr>
        <w:rFonts w:ascii="Calibri" w:hAnsi="Calibri"/>
        <w:sz w:val="18"/>
      </w:rPr>
      <w:t>RJ – CEP: 20050-901 – Brasil</w:t>
    </w:r>
    <w:r w:rsidRPr="00F5071A">
      <w:rPr>
        <w:rFonts w:ascii="Calibri" w:hAnsi="Calibri" w:cs="Calibri"/>
        <w:noProof/>
        <w:sz w:val="18"/>
        <w:szCs w:val="18"/>
      </w:rPr>
      <w:t xml:space="preserve"> - </w:t>
    </w:r>
    <w:r w:rsidRPr="00E97FA5">
      <w:rPr>
        <w:rFonts w:ascii="Calibri" w:hAnsi="Calibri"/>
        <w:sz w:val="18"/>
      </w:rPr>
      <w:t>Tel.: (21) 3554-8686</w:t>
    </w:r>
  </w:p>
  <w:p w14:paraId="115D9B6F" w14:textId="77777777" w:rsidR="00063BE2" w:rsidRPr="00F5071A" w:rsidRDefault="00063BE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Rua Cincinato Braga, 340/2º, 3º e 4º Andares, Bela Vista, São Paulo/ SP – CEP: 01333-010 – Brasil - Tel.: (11) 2146-2000</w:t>
    </w:r>
  </w:p>
  <w:p w14:paraId="4F20A71F" w14:textId="77777777" w:rsidR="00063BE2" w:rsidRPr="00F5071A" w:rsidRDefault="00063BE2" w:rsidP="0049054F">
    <w:pPr>
      <w:tabs>
        <w:tab w:val="center" w:pos="4252"/>
        <w:tab w:val="right" w:pos="8504"/>
      </w:tabs>
      <w:spacing w:after="0" w:line="240" w:lineRule="auto"/>
      <w:ind w:firstLine="142"/>
      <w:jc w:val="center"/>
      <w:rPr>
        <w:rFonts w:ascii="Calibri" w:hAnsi="Calibri" w:cs="Calibri"/>
        <w:noProof/>
        <w:sz w:val="18"/>
        <w:szCs w:val="18"/>
      </w:rPr>
    </w:pPr>
    <w:r w:rsidRPr="00F5071A">
      <w:rPr>
        <w:rFonts w:ascii="Calibri" w:hAnsi="Calibri" w:cs="Calibri"/>
        <w:noProof/>
        <w:sz w:val="18"/>
        <w:szCs w:val="18"/>
      </w:rPr>
      <w:t>SCN Q.02 – Bl. A – Ed. Corporate Financial Center, S.404/4º Andar, Brasília/DF – CEP: 70712-900 – Brasil -Tel.: (61) 3327-2030/2031</w:t>
    </w:r>
  </w:p>
  <w:p w14:paraId="32B83A23" w14:textId="77777777" w:rsidR="00063BE2" w:rsidRDefault="00000000" w:rsidP="0049054F">
    <w:pPr>
      <w:tabs>
        <w:tab w:val="center" w:pos="4252"/>
        <w:tab w:val="right" w:pos="8504"/>
      </w:tabs>
      <w:spacing w:after="0" w:line="240" w:lineRule="auto"/>
      <w:ind w:firstLine="142"/>
      <w:jc w:val="center"/>
      <w:rPr>
        <w:rFonts w:ascii="Calibri" w:hAnsi="Calibri"/>
        <w:sz w:val="18"/>
      </w:rPr>
    </w:pPr>
    <w:hyperlink r:id="rId2" w:history="1">
      <w:r w:rsidR="00063BE2" w:rsidRPr="00F5071A">
        <w:rPr>
          <w:rFonts w:ascii="Calibri" w:hAnsi="Calibri" w:cs="Calibri"/>
          <w:noProof/>
          <w:color w:val="0000FF"/>
          <w:sz w:val="18"/>
          <w:szCs w:val="18"/>
          <w:u w:val="single"/>
        </w:rPr>
        <w:t>www.cvm.gov.br</w:t>
      </w:r>
    </w:hyperlink>
  </w:p>
  <w:p w14:paraId="609B1D71" w14:textId="77777777" w:rsidR="00063BE2" w:rsidRDefault="00063BE2" w:rsidP="0049054F">
    <w:pPr>
      <w:tabs>
        <w:tab w:val="center" w:pos="4252"/>
        <w:tab w:val="right" w:pos="8504"/>
      </w:tabs>
      <w:spacing w:after="0" w:line="240" w:lineRule="auto"/>
      <w:ind w:firstLine="142"/>
      <w:jc w:val="center"/>
      <w:rPr>
        <w:rFonts w:ascii="Calibri" w:hAnsi="Calibri"/>
        <w:sz w:val="18"/>
      </w:rPr>
    </w:pPr>
  </w:p>
  <w:p w14:paraId="39C551E4" w14:textId="3CEA8A5A" w:rsidR="00063BE2" w:rsidRPr="00672589" w:rsidRDefault="00063BE2" w:rsidP="003E06AC">
    <w:pPr>
      <w:tabs>
        <w:tab w:val="center" w:pos="4252"/>
        <w:tab w:val="right" w:pos="8504"/>
      </w:tabs>
      <w:spacing w:after="0" w:line="240" w:lineRule="auto"/>
      <w:ind w:firstLine="142"/>
      <w:jc w:val="both"/>
      <w:rPr>
        <w:rFonts w:ascii="Calibri" w:hAnsi="Calibri"/>
        <w:sz w:val="18"/>
        <w:szCs w:val="18"/>
      </w:rPr>
    </w:pPr>
    <w:r>
      <w:rPr>
        <w:rFonts w:ascii="Calibri" w:hAnsi="Calibri"/>
        <w:sz w:val="18"/>
        <w:szCs w:val="18"/>
      </w:rPr>
      <w:t>ANEXO NORMATIVO V</w:t>
    </w:r>
    <w:r w:rsidR="00036557">
      <w:rPr>
        <w:rFonts w:ascii="Calibri" w:hAnsi="Calibri"/>
        <w:sz w:val="18"/>
        <w:szCs w:val="18"/>
      </w:rPr>
      <w:t>II</w:t>
    </w:r>
    <w:r>
      <w:rPr>
        <w:rFonts w:ascii="Calibri" w:hAnsi="Calibri"/>
        <w:sz w:val="18"/>
        <w:szCs w:val="18"/>
      </w:rPr>
      <w:t xml:space="preserve"> DA RESOLUÇÃO CVM Nº 175, DE 23 DE DEZEMBRO DE 2022</w:t>
    </w:r>
    <w:r w:rsidRPr="00672589">
      <w:rPr>
        <w:rFonts w:ascii="Calibri" w:hAnsi="Calibri"/>
        <w:sz w:val="18"/>
        <w:szCs w:val="18"/>
      </w:rPr>
      <w:t>.</w:t>
    </w:r>
  </w:p>
  <w:p w14:paraId="61E36980" w14:textId="77777777" w:rsidR="00063BE2" w:rsidRPr="0049054F" w:rsidRDefault="00063BE2" w:rsidP="003E06AC">
    <w:pPr>
      <w:tabs>
        <w:tab w:val="center" w:pos="4252"/>
        <w:tab w:val="right" w:pos="8504"/>
      </w:tabs>
      <w:spacing w:after="0" w:line="240" w:lineRule="auto"/>
      <w:ind w:firstLine="142"/>
      <w:jc w:val="both"/>
      <w:rPr>
        <w:rFonts w:ascii="Calibri" w:hAnsi="Calibr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734DD"/>
    <w:multiLevelType w:val="hybridMultilevel"/>
    <w:tmpl w:val="703AD5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2812DEE"/>
    <w:multiLevelType w:val="hybridMultilevel"/>
    <w:tmpl w:val="16DA10FE"/>
    <w:lvl w:ilvl="0" w:tplc="E20EB00C">
      <w:start w:val="1"/>
      <w:numFmt w:val="upperRoman"/>
      <w:lvlText w:val="%1."/>
      <w:lvlJc w:val="right"/>
      <w:pPr>
        <w:tabs>
          <w:tab w:val="num" w:pos="720"/>
        </w:tabs>
        <w:ind w:left="720" w:hanging="360"/>
      </w:pPr>
    </w:lvl>
    <w:lvl w:ilvl="1" w:tplc="5E486C14">
      <w:start w:val="1"/>
      <w:numFmt w:val="bullet"/>
      <w:lvlText w:val="o"/>
      <w:lvlJc w:val="right"/>
      <w:pPr>
        <w:tabs>
          <w:tab w:val="num" w:pos="1440"/>
        </w:tabs>
        <w:ind w:left="1440" w:hanging="360"/>
      </w:pPr>
      <w:rPr>
        <w:rFonts w:ascii="Courier New" w:hAnsi="Courier New" w:hint="default"/>
        <w:sz w:val="20"/>
      </w:rPr>
    </w:lvl>
    <w:lvl w:ilvl="2" w:tplc="9DECEABA" w:tentative="1">
      <w:start w:val="1"/>
      <w:numFmt w:val="upperRoman"/>
      <w:lvlText w:val="%3."/>
      <w:lvlJc w:val="right"/>
      <w:pPr>
        <w:tabs>
          <w:tab w:val="num" w:pos="2160"/>
        </w:tabs>
        <w:ind w:left="2160" w:hanging="360"/>
      </w:pPr>
    </w:lvl>
    <w:lvl w:ilvl="3" w:tplc="7848C972" w:tentative="1">
      <w:start w:val="1"/>
      <w:numFmt w:val="upperRoman"/>
      <w:lvlText w:val="%4."/>
      <w:lvlJc w:val="right"/>
      <w:pPr>
        <w:tabs>
          <w:tab w:val="num" w:pos="2880"/>
        </w:tabs>
        <w:ind w:left="2880" w:hanging="360"/>
      </w:pPr>
    </w:lvl>
    <w:lvl w:ilvl="4" w:tplc="B7F6FB56" w:tentative="1">
      <w:start w:val="1"/>
      <w:numFmt w:val="upperRoman"/>
      <w:lvlText w:val="%5."/>
      <w:lvlJc w:val="right"/>
      <w:pPr>
        <w:tabs>
          <w:tab w:val="num" w:pos="3600"/>
        </w:tabs>
        <w:ind w:left="3600" w:hanging="360"/>
      </w:pPr>
    </w:lvl>
    <w:lvl w:ilvl="5" w:tplc="D8EEC150" w:tentative="1">
      <w:start w:val="1"/>
      <w:numFmt w:val="upperRoman"/>
      <w:lvlText w:val="%6."/>
      <w:lvlJc w:val="right"/>
      <w:pPr>
        <w:tabs>
          <w:tab w:val="num" w:pos="4320"/>
        </w:tabs>
        <w:ind w:left="4320" w:hanging="360"/>
      </w:pPr>
    </w:lvl>
    <w:lvl w:ilvl="6" w:tplc="CDACCD62" w:tentative="1">
      <w:start w:val="1"/>
      <w:numFmt w:val="upperRoman"/>
      <w:lvlText w:val="%7."/>
      <w:lvlJc w:val="right"/>
      <w:pPr>
        <w:tabs>
          <w:tab w:val="num" w:pos="5040"/>
        </w:tabs>
        <w:ind w:left="5040" w:hanging="360"/>
      </w:pPr>
    </w:lvl>
    <w:lvl w:ilvl="7" w:tplc="D38ACE4A" w:tentative="1">
      <w:start w:val="1"/>
      <w:numFmt w:val="upperRoman"/>
      <w:lvlText w:val="%8."/>
      <w:lvlJc w:val="right"/>
      <w:pPr>
        <w:tabs>
          <w:tab w:val="num" w:pos="5760"/>
        </w:tabs>
        <w:ind w:left="5760" w:hanging="360"/>
      </w:pPr>
    </w:lvl>
    <w:lvl w:ilvl="8" w:tplc="9D4CF0D8" w:tentative="1">
      <w:start w:val="1"/>
      <w:numFmt w:val="upperRoman"/>
      <w:lvlText w:val="%9."/>
      <w:lvlJc w:val="right"/>
      <w:pPr>
        <w:tabs>
          <w:tab w:val="num" w:pos="6480"/>
        </w:tabs>
        <w:ind w:left="6480" w:hanging="360"/>
      </w:pPr>
    </w:lvl>
  </w:abstractNum>
  <w:abstractNum w:abstractNumId="5" w15:restartNumberingAfterBreak="0">
    <w:nsid w:val="0457349A"/>
    <w:multiLevelType w:val="hybridMultilevel"/>
    <w:tmpl w:val="5CAA54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471508"/>
    <w:multiLevelType w:val="hybridMultilevel"/>
    <w:tmpl w:val="C4AA49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60D4883"/>
    <w:multiLevelType w:val="hybridMultilevel"/>
    <w:tmpl w:val="F4BC94F2"/>
    <w:lvl w:ilvl="0" w:tplc="82022132">
      <w:start w:val="1"/>
      <w:numFmt w:val="decimal"/>
      <w:lvlText w:val="%1."/>
      <w:lvlJc w:val="left"/>
      <w:pPr>
        <w:tabs>
          <w:tab w:val="num" w:pos="1065"/>
        </w:tabs>
        <w:ind w:left="1065" w:hanging="705"/>
      </w:pPr>
      <w:rPr>
        <w:rFonts w:hint="default"/>
        <w:b w:val="0"/>
        <w:i w:val="0"/>
      </w:rPr>
    </w:lvl>
    <w:lvl w:ilvl="1" w:tplc="FD06584E">
      <w:start w:val="1"/>
      <w:numFmt w:val="lowerLetter"/>
      <w:lvlText w:val="%2."/>
      <w:lvlJc w:val="left"/>
      <w:pPr>
        <w:tabs>
          <w:tab w:val="num" w:pos="1440"/>
        </w:tabs>
        <w:ind w:left="1440" w:hanging="36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5F2DBC"/>
    <w:multiLevelType w:val="hybridMultilevel"/>
    <w:tmpl w:val="C5FA7A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0902991"/>
    <w:multiLevelType w:val="hybridMultilevel"/>
    <w:tmpl w:val="6B1EEE12"/>
    <w:lvl w:ilvl="0" w:tplc="F2EA8E6A">
      <w:start w:val="1"/>
      <w:numFmt w:val="decimal"/>
      <w:lvlText w:val="%1."/>
      <w:lvlJc w:val="left"/>
      <w:pPr>
        <w:tabs>
          <w:tab w:val="num" w:pos="847"/>
        </w:tabs>
        <w:ind w:left="847" w:hanging="705"/>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103134"/>
    <w:multiLevelType w:val="hybridMultilevel"/>
    <w:tmpl w:val="2EC483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725A69"/>
    <w:multiLevelType w:val="hybridMultilevel"/>
    <w:tmpl w:val="864236A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173E6C7F"/>
    <w:multiLevelType w:val="hybridMultilevel"/>
    <w:tmpl w:val="DE88C296"/>
    <w:lvl w:ilvl="0" w:tplc="C18CC66E">
      <w:start w:val="1"/>
      <w:numFmt w:val="lowerRoman"/>
      <w:lvlText w:val="%1)"/>
      <w:lvlJc w:val="left"/>
      <w:pPr>
        <w:ind w:left="2496" w:hanging="72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3" w15:restartNumberingAfterBreak="0">
    <w:nsid w:val="1C2977FC"/>
    <w:multiLevelType w:val="hybridMultilevel"/>
    <w:tmpl w:val="5C98A29A"/>
    <w:lvl w:ilvl="0" w:tplc="097C4724">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4" w15:restartNumberingAfterBreak="0">
    <w:nsid w:val="1E8D3D5C"/>
    <w:multiLevelType w:val="hybridMultilevel"/>
    <w:tmpl w:val="77F438E8"/>
    <w:lvl w:ilvl="0" w:tplc="12BAB556">
      <w:start w:val="2"/>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FD01AE"/>
    <w:multiLevelType w:val="hybridMultilevel"/>
    <w:tmpl w:val="37FE9E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5607BA5"/>
    <w:multiLevelType w:val="multilevel"/>
    <w:tmpl w:val="19C4F4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18" w15:restartNumberingAfterBreak="0">
    <w:nsid w:val="2ADA2F92"/>
    <w:multiLevelType w:val="hybridMultilevel"/>
    <w:tmpl w:val="49884F24"/>
    <w:lvl w:ilvl="0" w:tplc="FCA014B2">
      <w:start w:val="1"/>
      <w:numFmt w:val="low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2B580C14"/>
    <w:multiLevelType w:val="hybridMultilevel"/>
    <w:tmpl w:val="2A9E3B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2EF65329"/>
    <w:multiLevelType w:val="hybridMultilevel"/>
    <w:tmpl w:val="1466EFF4"/>
    <w:lvl w:ilvl="0" w:tplc="AE4C1F7A">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1" w15:restartNumberingAfterBreak="0">
    <w:nsid w:val="31CB760D"/>
    <w:multiLevelType w:val="hybridMultilevel"/>
    <w:tmpl w:val="892CCD44"/>
    <w:lvl w:ilvl="0" w:tplc="60C84C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766020E"/>
    <w:multiLevelType w:val="hybridMultilevel"/>
    <w:tmpl w:val="FACABC6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195C77"/>
    <w:multiLevelType w:val="hybridMultilevel"/>
    <w:tmpl w:val="4E441F16"/>
    <w:lvl w:ilvl="0" w:tplc="FD06584E">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47517F"/>
    <w:multiLevelType w:val="hybridMultilevel"/>
    <w:tmpl w:val="AEE4CF82"/>
    <w:lvl w:ilvl="0" w:tplc="81DC3E2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3B49328F"/>
    <w:multiLevelType w:val="hybridMultilevel"/>
    <w:tmpl w:val="08EEDC40"/>
    <w:lvl w:ilvl="0" w:tplc="E05E01AA">
      <w:start w:val="1"/>
      <w:numFmt w:val="decimal"/>
      <w:lvlText w:val="%1."/>
      <w:lvlJc w:val="left"/>
      <w:pPr>
        <w:tabs>
          <w:tab w:val="num" w:pos="1065"/>
        </w:tabs>
        <w:ind w:left="1065" w:hanging="705"/>
      </w:pPr>
      <w:rPr>
        <w:rFonts w:hint="default"/>
        <w:b w:val="0"/>
        <w:i w:val="0"/>
      </w:rPr>
    </w:lvl>
    <w:lvl w:ilvl="1" w:tplc="FD06584E">
      <w:start w:val="1"/>
      <w:numFmt w:val="lowerLetter"/>
      <w:lvlText w:val="%2."/>
      <w:lvlJc w:val="left"/>
      <w:pPr>
        <w:tabs>
          <w:tab w:val="num" w:pos="1440"/>
        </w:tabs>
        <w:ind w:left="1440" w:hanging="36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2D410A0"/>
    <w:multiLevelType w:val="hybridMultilevel"/>
    <w:tmpl w:val="07605E8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7" w15:restartNumberingAfterBreak="0">
    <w:nsid w:val="457A1BC6"/>
    <w:multiLevelType w:val="hybridMultilevel"/>
    <w:tmpl w:val="18502E98"/>
    <w:lvl w:ilvl="0" w:tplc="CF48B48C">
      <w:start w:val="1"/>
      <w:numFmt w:val="bullet"/>
      <w:lvlText w:val=""/>
      <w:lvlJc w:val="left"/>
      <w:pPr>
        <w:ind w:left="1287" w:hanging="360"/>
      </w:pPr>
      <w:rPr>
        <w:rFonts w:ascii="Symbol" w:hAnsi="Symbol" w:hint="default"/>
        <w:strike w:val="0"/>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28"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5281674A"/>
    <w:multiLevelType w:val="hybridMultilevel"/>
    <w:tmpl w:val="B024C608"/>
    <w:lvl w:ilvl="0" w:tplc="01BCEE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1" w15:restartNumberingAfterBreak="0">
    <w:nsid w:val="5A581D03"/>
    <w:multiLevelType w:val="hybridMultilevel"/>
    <w:tmpl w:val="69C896B4"/>
    <w:lvl w:ilvl="0" w:tplc="3B86FE56">
      <w:start w:val="1"/>
      <w:numFmt w:val="lowerLetter"/>
      <w:lvlText w:val="%1."/>
      <w:lvlJc w:val="left"/>
      <w:pPr>
        <w:tabs>
          <w:tab w:val="num" w:pos="1440"/>
        </w:tabs>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864C3C"/>
    <w:multiLevelType w:val="hybridMultilevel"/>
    <w:tmpl w:val="D64E1F6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E5F49"/>
    <w:multiLevelType w:val="hybridMultilevel"/>
    <w:tmpl w:val="6BD8D1B6"/>
    <w:lvl w:ilvl="0" w:tplc="2C3C7336">
      <w:start w:val="1"/>
      <w:numFmt w:val="upperRoman"/>
      <w:lvlText w:val="%1-"/>
      <w:lvlJc w:val="left"/>
      <w:pPr>
        <w:ind w:left="1429" w:hanging="72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34" w15:restartNumberingAfterBreak="0">
    <w:nsid w:val="63A91E59"/>
    <w:multiLevelType w:val="hybridMultilevel"/>
    <w:tmpl w:val="D1CC1E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AE4FD0"/>
    <w:multiLevelType w:val="hybridMultilevel"/>
    <w:tmpl w:val="608A2508"/>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36" w15:restartNumberingAfterBreak="0">
    <w:nsid w:val="6866555D"/>
    <w:multiLevelType w:val="hybridMultilevel"/>
    <w:tmpl w:val="EAA08B7E"/>
    <w:lvl w:ilvl="0" w:tplc="40102208">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6A9C3099"/>
    <w:multiLevelType w:val="hybridMultilevel"/>
    <w:tmpl w:val="466E3BBC"/>
    <w:lvl w:ilvl="0" w:tplc="EFC264CC">
      <w:start w:val="1"/>
      <w:numFmt w:val="lowerLetter"/>
      <w:lvlText w:val="%1)"/>
      <w:lvlJc w:val="left"/>
      <w:pPr>
        <w:ind w:left="1287" w:hanging="720"/>
      </w:pPr>
      <w:rPr>
        <w:rFonts w:ascii="Times New Roman" w:eastAsia="Times New Roman" w:hAnsi="Times New Roman" w:cs="Times New Roman"/>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8" w15:restartNumberingAfterBreak="0">
    <w:nsid w:val="6CFC408D"/>
    <w:multiLevelType w:val="hybridMultilevel"/>
    <w:tmpl w:val="4E441F16"/>
    <w:lvl w:ilvl="0" w:tplc="FD06584E">
      <w:start w:val="1"/>
      <w:numFmt w:val="lowerLetter"/>
      <w:lvlText w:val="%1."/>
      <w:lvlJc w:val="left"/>
      <w:pPr>
        <w:tabs>
          <w:tab w:val="num" w:pos="1440"/>
        </w:tabs>
        <w:ind w:left="144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D55AE2"/>
    <w:multiLevelType w:val="hybridMultilevel"/>
    <w:tmpl w:val="D48217F8"/>
    <w:lvl w:ilvl="0" w:tplc="EE3E76F0">
      <w:start w:val="1"/>
      <w:numFmt w:val="bullet"/>
      <w:lvlText w:val=""/>
      <w:lvlJc w:val="left"/>
      <w:pPr>
        <w:ind w:left="720" w:hanging="360"/>
      </w:pPr>
      <w:rPr>
        <w:rFonts w:ascii="Symbol" w:hAnsi="Symbol"/>
      </w:rPr>
    </w:lvl>
    <w:lvl w:ilvl="1" w:tplc="4A6C8648">
      <w:start w:val="1"/>
      <w:numFmt w:val="bullet"/>
      <w:lvlText w:val=""/>
      <w:lvlJc w:val="left"/>
      <w:pPr>
        <w:ind w:left="720" w:hanging="360"/>
      </w:pPr>
      <w:rPr>
        <w:rFonts w:ascii="Symbol" w:hAnsi="Symbol"/>
      </w:rPr>
    </w:lvl>
    <w:lvl w:ilvl="2" w:tplc="F57EA246">
      <w:start w:val="1"/>
      <w:numFmt w:val="bullet"/>
      <w:lvlText w:val=""/>
      <w:lvlJc w:val="left"/>
      <w:pPr>
        <w:ind w:left="720" w:hanging="360"/>
      </w:pPr>
      <w:rPr>
        <w:rFonts w:ascii="Symbol" w:hAnsi="Symbol"/>
      </w:rPr>
    </w:lvl>
    <w:lvl w:ilvl="3" w:tplc="E57EB688">
      <w:start w:val="1"/>
      <w:numFmt w:val="bullet"/>
      <w:lvlText w:val=""/>
      <w:lvlJc w:val="left"/>
      <w:pPr>
        <w:ind w:left="720" w:hanging="360"/>
      </w:pPr>
      <w:rPr>
        <w:rFonts w:ascii="Symbol" w:hAnsi="Symbol"/>
      </w:rPr>
    </w:lvl>
    <w:lvl w:ilvl="4" w:tplc="0EDE9CDE">
      <w:start w:val="1"/>
      <w:numFmt w:val="bullet"/>
      <w:lvlText w:val=""/>
      <w:lvlJc w:val="left"/>
      <w:pPr>
        <w:ind w:left="720" w:hanging="360"/>
      </w:pPr>
      <w:rPr>
        <w:rFonts w:ascii="Symbol" w:hAnsi="Symbol"/>
      </w:rPr>
    </w:lvl>
    <w:lvl w:ilvl="5" w:tplc="6C3CC894">
      <w:start w:val="1"/>
      <w:numFmt w:val="bullet"/>
      <w:lvlText w:val=""/>
      <w:lvlJc w:val="left"/>
      <w:pPr>
        <w:ind w:left="720" w:hanging="360"/>
      </w:pPr>
      <w:rPr>
        <w:rFonts w:ascii="Symbol" w:hAnsi="Symbol"/>
      </w:rPr>
    </w:lvl>
    <w:lvl w:ilvl="6" w:tplc="4E441A80">
      <w:start w:val="1"/>
      <w:numFmt w:val="bullet"/>
      <w:lvlText w:val=""/>
      <w:lvlJc w:val="left"/>
      <w:pPr>
        <w:ind w:left="720" w:hanging="360"/>
      </w:pPr>
      <w:rPr>
        <w:rFonts w:ascii="Symbol" w:hAnsi="Symbol"/>
      </w:rPr>
    </w:lvl>
    <w:lvl w:ilvl="7" w:tplc="EB608A66">
      <w:start w:val="1"/>
      <w:numFmt w:val="bullet"/>
      <w:lvlText w:val=""/>
      <w:lvlJc w:val="left"/>
      <w:pPr>
        <w:ind w:left="720" w:hanging="360"/>
      </w:pPr>
      <w:rPr>
        <w:rFonts w:ascii="Symbol" w:hAnsi="Symbol"/>
      </w:rPr>
    </w:lvl>
    <w:lvl w:ilvl="8" w:tplc="D2D2598A">
      <w:start w:val="1"/>
      <w:numFmt w:val="bullet"/>
      <w:lvlText w:val=""/>
      <w:lvlJc w:val="left"/>
      <w:pPr>
        <w:ind w:left="720" w:hanging="360"/>
      </w:pPr>
      <w:rPr>
        <w:rFonts w:ascii="Symbol" w:hAnsi="Symbol"/>
      </w:rPr>
    </w:lvl>
  </w:abstractNum>
  <w:abstractNum w:abstractNumId="40" w15:restartNumberingAfterBreak="0">
    <w:nsid w:val="74077FEF"/>
    <w:multiLevelType w:val="hybridMultilevel"/>
    <w:tmpl w:val="7DFCAC78"/>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num w:numId="1" w16cid:durableId="565457151">
    <w:abstractNumId w:val="31"/>
  </w:num>
  <w:num w:numId="2" w16cid:durableId="260526979">
    <w:abstractNumId w:val="25"/>
  </w:num>
  <w:num w:numId="3" w16cid:durableId="1637488159">
    <w:abstractNumId w:val="23"/>
  </w:num>
  <w:num w:numId="4" w16cid:durableId="604310870">
    <w:abstractNumId w:val="38"/>
  </w:num>
  <w:num w:numId="5" w16cid:durableId="1705326737">
    <w:abstractNumId w:val="9"/>
  </w:num>
  <w:num w:numId="6" w16cid:durableId="1030953640">
    <w:abstractNumId w:val="7"/>
  </w:num>
  <w:num w:numId="7" w16cid:durableId="1632981961">
    <w:abstractNumId w:val="14"/>
  </w:num>
  <w:num w:numId="8" w16cid:durableId="449200650">
    <w:abstractNumId w:val="20"/>
  </w:num>
  <w:num w:numId="9" w16cid:durableId="1234270993">
    <w:abstractNumId w:val="36"/>
  </w:num>
  <w:num w:numId="10" w16cid:durableId="5602158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181246">
    <w:abstractNumId w:val="22"/>
  </w:num>
  <w:num w:numId="12" w16cid:durableId="386953342">
    <w:abstractNumId w:val="13"/>
  </w:num>
  <w:num w:numId="13" w16cid:durableId="265619382">
    <w:abstractNumId w:val="3"/>
  </w:num>
  <w:num w:numId="14" w16cid:durableId="68238207">
    <w:abstractNumId w:val="10"/>
  </w:num>
  <w:num w:numId="15" w16cid:durableId="378406786">
    <w:abstractNumId w:val="30"/>
  </w:num>
  <w:num w:numId="16" w16cid:durableId="910239778">
    <w:abstractNumId w:val="4"/>
  </w:num>
  <w:num w:numId="17" w16cid:durableId="1265184426">
    <w:abstractNumId w:val="6"/>
  </w:num>
  <w:num w:numId="18" w16cid:durableId="1742944099">
    <w:abstractNumId w:val="26"/>
  </w:num>
  <w:num w:numId="19" w16cid:durableId="572010782">
    <w:abstractNumId w:val="16"/>
  </w:num>
  <w:num w:numId="20" w16cid:durableId="363754701">
    <w:abstractNumId w:val="5"/>
  </w:num>
  <w:num w:numId="21" w16cid:durableId="801774187">
    <w:abstractNumId w:val="24"/>
  </w:num>
  <w:num w:numId="22" w16cid:durableId="1009601065">
    <w:abstractNumId w:val="12"/>
  </w:num>
  <w:num w:numId="23" w16cid:durableId="1477989728">
    <w:abstractNumId w:val="37"/>
  </w:num>
  <w:num w:numId="24" w16cid:durableId="4287813">
    <w:abstractNumId w:val="29"/>
  </w:num>
  <w:num w:numId="25" w16cid:durableId="906454155">
    <w:abstractNumId w:val="21"/>
  </w:num>
  <w:num w:numId="26" w16cid:durableId="10956117">
    <w:abstractNumId w:val="11"/>
  </w:num>
  <w:num w:numId="27" w16cid:durableId="1123765197">
    <w:abstractNumId w:val="17"/>
  </w:num>
  <w:num w:numId="28" w16cid:durableId="1313414871">
    <w:abstractNumId w:val="15"/>
  </w:num>
  <w:num w:numId="29" w16cid:durableId="1588878945">
    <w:abstractNumId w:val="18"/>
  </w:num>
  <w:num w:numId="30" w16cid:durableId="9622727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4409887">
    <w:abstractNumId w:val="2"/>
  </w:num>
  <w:num w:numId="32" w16cid:durableId="861043669">
    <w:abstractNumId w:val="1"/>
  </w:num>
  <w:num w:numId="33" w16cid:durableId="1637442404">
    <w:abstractNumId w:val="0"/>
  </w:num>
  <w:num w:numId="34" w16cid:durableId="849493929">
    <w:abstractNumId w:val="32"/>
  </w:num>
  <w:num w:numId="35" w16cid:durableId="1975597490">
    <w:abstractNumId w:val="34"/>
  </w:num>
  <w:num w:numId="36" w16cid:durableId="352222892">
    <w:abstractNumId w:val="39"/>
  </w:num>
  <w:num w:numId="37" w16cid:durableId="2045672530">
    <w:abstractNumId w:val="19"/>
  </w:num>
  <w:num w:numId="38" w16cid:durableId="106776616">
    <w:abstractNumId w:val="40"/>
  </w:num>
  <w:num w:numId="39" w16cid:durableId="1881235604">
    <w:abstractNumId w:val="35"/>
  </w:num>
  <w:num w:numId="40" w16cid:durableId="1574923339">
    <w:abstractNumId w:val="27"/>
  </w:num>
  <w:num w:numId="41" w16cid:durableId="7840433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6A"/>
    <w:rsid w:val="00000AA3"/>
    <w:rsid w:val="00000D94"/>
    <w:rsid w:val="000020A2"/>
    <w:rsid w:val="00002341"/>
    <w:rsid w:val="000030EF"/>
    <w:rsid w:val="000039E5"/>
    <w:rsid w:val="00003CC9"/>
    <w:rsid w:val="000044DF"/>
    <w:rsid w:val="00004E63"/>
    <w:rsid w:val="00004FFE"/>
    <w:rsid w:val="00005127"/>
    <w:rsid w:val="000063E7"/>
    <w:rsid w:val="00006699"/>
    <w:rsid w:val="00007278"/>
    <w:rsid w:val="000078C1"/>
    <w:rsid w:val="00007E56"/>
    <w:rsid w:val="00010393"/>
    <w:rsid w:val="000106D4"/>
    <w:rsid w:val="000109F5"/>
    <w:rsid w:val="00010CCA"/>
    <w:rsid w:val="000114D5"/>
    <w:rsid w:val="000118A3"/>
    <w:rsid w:val="00011C33"/>
    <w:rsid w:val="00012BAC"/>
    <w:rsid w:val="00013381"/>
    <w:rsid w:val="00014C2B"/>
    <w:rsid w:val="00014CA9"/>
    <w:rsid w:val="000150D0"/>
    <w:rsid w:val="000151CF"/>
    <w:rsid w:val="000154B4"/>
    <w:rsid w:val="00015B42"/>
    <w:rsid w:val="0001652A"/>
    <w:rsid w:val="00016950"/>
    <w:rsid w:val="00016AA2"/>
    <w:rsid w:val="000170E4"/>
    <w:rsid w:val="00017389"/>
    <w:rsid w:val="000173F6"/>
    <w:rsid w:val="00017B20"/>
    <w:rsid w:val="00017DCC"/>
    <w:rsid w:val="00017DD4"/>
    <w:rsid w:val="00017FAD"/>
    <w:rsid w:val="00020753"/>
    <w:rsid w:val="00021DFB"/>
    <w:rsid w:val="0002260F"/>
    <w:rsid w:val="0002408E"/>
    <w:rsid w:val="000246C1"/>
    <w:rsid w:val="00024BFB"/>
    <w:rsid w:val="00024EF5"/>
    <w:rsid w:val="00025536"/>
    <w:rsid w:val="000257C0"/>
    <w:rsid w:val="00025AFC"/>
    <w:rsid w:val="00026435"/>
    <w:rsid w:val="000269CB"/>
    <w:rsid w:val="00026DEE"/>
    <w:rsid w:val="0002761C"/>
    <w:rsid w:val="00027634"/>
    <w:rsid w:val="000276C2"/>
    <w:rsid w:val="00027DB4"/>
    <w:rsid w:val="0003105D"/>
    <w:rsid w:val="00033F15"/>
    <w:rsid w:val="00034128"/>
    <w:rsid w:val="00034147"/>
    <w:rsid w:val="000347F2"/>
    <w:rsid w:val="00034A96"/>
    <w:rsid w:val="00034BEF"/>
    <w:rsid w:val="00035DAD"/>
    <w:rsid w:val="0003610D"/>
    <w:rsid w:val="00036557"/>
    <w:rsid w:val="00036E57"/>
    <w:rsid w:val="00037133"/>
    <w:rsid w:val="00037730"/>
    <w:rsid w:val="00037B45"/>
    <w:rsid w:val="00037CD1"/>
    <w:rsid w:val="00037FAE"/>
    <w:rsid w:val="00040194"/>
    <w:rsid w:val="00040ECF"/>
    <w:rsid w:val="000423BD"/>
    <w:rsid w:val="0004284C"/>
    <w:rsid w:val="000429A1"/>
    <w:rsid w:val="00042A4A"/>
    <w:rsid w:val="00042C1C"/>
    <w:rsid w:val="000433F0"/>
    <w:rsid w:val="00044152"/>
    <w:rsid w:val="00045DE2"/>
    <w:rsid w:val="0004696A"/>
    <w:rsid w:val="00047AC5"/>
    <w:rsid w:val="00047AC8"/>
    <w:rsid w:val="00047FA8"/>
    <w:rsid w:val="00050E37"/>
    <w:rsid w:val="000513D2"/>
    <w:rsid w:val="00051544"/>
    <w:rsid w:val="000518A4"/>
    <w:rsid w:val="00052A61"/>
    <w:rsid w:val="00052CAB"/>
    <w:rsid w:val="00053370"/>
    <w:rsid w:val="00053808"/>
    <w:rsid w:val="00054A8C"/>
    <w:rsid w:val="00054E05"/>
    <w:rsid w:val="000557BF"/>
    <w:rsid w:val="0005594D"/>
    <w:rsid w:val="00055C5A"/>
    <w:rsid w:val="00055D71"/>
    <w:rsid w:val="000560E9"/>
    <w:rsid w:val="0005666B"/>
    <w:rsid w:val="000575BA"/>
    <w:rsid w:val="00057D98"/>
    <w:rsid w:val="00060C01"/>
    <w:rsid w:val="0006288D"/>
    <w:rsid w:val="00063A4E"/>
    <w:rsid w:val="00063BE2"/>
    <w:rsid w:val="00064011"/>
    <w:rsid w:val="0006477B"/>
    <w:rsid w:val="0006521E"/>
    <w:rsid w:val="000660FF"/>
    <w:rsid w:val="00066CDE"/>
    <w:rsid w:val="00067149"/>
    <w:rsid w:val="000675D9"/>
    <w:rsid w:val="00070724"/>
    <w:rsid w:val="00070B7E"/>
    <w:rsid w:val="00072977"/>
    <w:rsid w:val="00072EA2"/>
    <w:rsid w:val="00072F22"/>
    <w:rsid w:val="00072FEE"/>
    <w:rsid w:val="000733B3"/>
    <w:rsid w:val="00073758"/>
    <w:rsid w:val="0007383E"/>
    <w:rsid w:val="000738F8"/>
    <w:rsid w:val="000739E8"/>
    <w:rsid w:val="00073AC7"/>
    <w:rsid w:val="00073C6B"/>
    <w:rsid w:val="000740FD"/>
    <w:rsid w:val="00074158"/>
    <w:rsid w:val="000744C5"/>
    <w:rsid w:val="000744FD"/>
    <w:rsid w:val="0007558A"/>
    <w:rsid w:val="00075D77"/>
    <w:rsid w:val="00076904"/>
    <w:rsid w:val="00077E9E"/>
    <w:rsid w:val="00077F3C"/>
    <w:rsid w:val="00080220"/>
    <w:rsid w:val="0008085E"/>
    <w:rsid w:val="000812C4"/>
    <w:rsid w:val="000812F5"/>
    <w:rsid w:val="0008150D"/>
    <w:rsid w:val="00081919"/>
    <w:rsid w:val="0008193C"/>
    <w:rsid w:val="00081DE2"/>
    <w:rsid w:val="0008224E"/>
    <w:rsid w:val="000824E9"/>
    <w:rsid w:val="00082DC5"/>
    <w:rsid w:val="00083176"/>
    <w:rsid w:val="00083680"/>
    <w:rsid w:val="00083A47"/>
    <w:rsid w:val="00083AC3"/>
    <w:rsid w:val="00084BEE"/>
    <w:rsid w:val="0008611E"/>
    <w:rsid w:val="00086B20"/>
    <w:rsid w:val="00087932"/>
    <w:rsid w:val="000879ED"/>
    <w:rsid w:val="00087DAB"/>
    <w:rsid w:val="00090055"/>
    <w:rsid w:val="00090069"/>
    <w:rsid w:val="00090199"/>
    <w:rsid w:val="00090658"/>
    <w:rsid w:val="0009093F"/>
    <w:rsid w:val="00091150"/>
    <w:rsid w:val="00091CBC"/>
    <w:rsid w:val="00091EED"/>
    <w:rsid w:val="00092048"/>
    <w:rsid w:val="00092279"/>
    <w:rsid w:val="000936DC"/>
    <w:rsid w:val="00093EF9"/>
    <w:rsid w:val="000957AC"/>
    <w:rsid w:val="00095E1C"/>
    <w:rsid w:val="00096270"/>
    <w:rsid w:val="000967B1"/>
    <w:rsid w:val="0009694D"/>
    <w:rsid w:val="000A0A7A"/>
    <w:rsid w:val="000A0ADE"/>
    <w:rsid w:val="000A1479"/>
    <w:rsid w:val="000A1A2D"/>
    <w:rsid w:val="000A1C8A"/>
    <w:rsid w:val="000A2278"/>
    <w:rsid w:val="000A2A2E"/>
    <w:rsid w:val="000A5A0C"/>
    <w:rsid w:val="000A5F6E"/>
    <w:rsid w:val="000A6D83"/>
    <w:rsid w:val="000B0804"/>
    <w:rsid w:val="000B0906"/>
    <w:rsid w:val="000B12DF"/>
    <w:rsid w:val="000B14E6"/>
    <w:rsid w:val="000B161A"/>
    <w:rsid w:val="000B1F80"/>
    <w:rsid w:val="000B243F"/>
    <w:rsid w:val="000B244F"/>
    <w:rsid w:val="000B269E"/>
    <w:rsid w:val="000B26B6"/>
    <w:rsid w:val="000B29B2"/>
    <w:rsid w:val="000B3231"/>
    <w:rsid w:val="000B3E7B"/>
    <w:rsid w:val="000B435A"/>
    <w:rsid w:val="000B4728"/>
    <w:rsid w:val="000B4770"/>
    <w:rsid w:val="000B5C29"/>
    <w:rsid w:val="000B5C69"/>
    <w:rsid w:val="000B5C96"/>
    <w:rsid w:val="000B5EB4"/>
    <w:rsid w:val="000B624B"/>
    <w:rsid w:val="000B65E2"/>
    <w:rsid w:val="000B6866"/>
    <w:rsid w:val="000B6F31"/>
    <w:rsid w:val="000B6F50"/>
    <w:rsid w:val="000B7BC1"/>
    <w:rsid w:val="000B7DDA"/>
    <w:rsid w:val="000B7FD8"/>
    <w:rsid w:val="000C072C"/>
    <w:rsid w:val="000C093B"/>
    <w:rsid w:val="000C0DE5"/>
    <w:rsid w:val="000C15AE"/>
    <w:rsid w:val="000C1AAA"/>
    <w:rsid w:val="000C226C"/>
    <w:rsid w:val="000C33F1"/>
    <w:rsid w:val="000C3776"/>
    <w:rsid w:val="000C3978"/>
    <w:rsid w:val="000C3AB5"/>
    <w:rsid w:val="000C3D54"/>
    <w:rsid w:val="000C4267"/>
    <w:rsid w:val="000C4C93"/>
    <w:rsid w:val="000C54DC"/>
    <w:rsid w:val="000C5A25"/>
    <w:rsid w:val="000C5D29"/>
    <w:rsid w:val="000C62AD"/>
    <w:rsid w:val="000C66B2"/>
    <w:rsid w:val="000C6919"/>
    <w:rsid w:val="000C6D6F"/>
    <w:rsid w:val="000C79C1"/>
    <w:rsid w:val="000C7CFA"/>
    <w:rsid w:val="000D0099"/>
    <w:rsid w:val="000D00C5"/>
    <w:rsid w:val="000D02E9"/>
    <w:rsid w:val="000D0BFF"/>
    <w:rsid w:val="000D0D45"/>
    <w:rsid w:val="000D159F"/>
    <w:rsid w:val="000D3501"/>
    <w:rsid w:val="000D35B2"/>
    <w:rsid w:val="000D35ED"/>
    <w:rsid w:val="000D37F5"/>
    <w:rsid w:val="000D4603"/>
    <w:rsid w:val="000D4897"/>
    <w:rsid w:val="000D58D8"/>
    <w:rsid w:val="000D7688"/>
    <w:rsid w:val="000D9830"/>
    <w:rsid w:val="000E0035"/>
    <w:rsid w:val="000E0555"/>
    <w:rsid w:val="000E088E"/>
    <w:rsid w:val="000E0905"/>
    <w:rsid w:val="000E0C66"/>
    <w:rsid w:val="000E0D99"/>
    <w:rsid w:val="000E0E80"/>
    <w:rsid w:val="000E10A3"/>
    <w:rsid w:val="000E13B5"/>
    <w:rsid w:val="000E15D9"/>
    <w:rsid w:val="000E236F"/>
    <w:rsid w:val="000E2738"/>
    <w:rsid w:val="000E3BE0"/>
    <w:rsid w:val="000E4282"/>
    <w:rsid w:val="000E44FD"/>
    <w:rsid w:val="000E49CA"/>
    <w:rsid w:val="000E4BBB"/>
    <w:rsid w:val="000E53E2"/>
    <w:rsid w:val="000E67D6"/>
    <w:rsid w:val="000E7595"/>
    <w:rsid w:val="000E7DF0"/>
    <w:rsid w:val="000F018C"/>
    <w:rsid w:val="000F077D"/>
    <w:rsid w:val="000F14C0"/>
    <w:rsid w:val="000F158B"/>
    <w:rsid w:val="000F2111"/>
    <w:rsid w:val="000F2417"/>
    <w:rsid w:val="000F2476"/>
    <w:rsid w:val="000F316D"/>
    <w:rsid w:val="000F4743"/>
    <w:rsid w:val="000F4838"/>
    <w:rsid w:val="000F51A0"/>
    <w:rsid w:val="000F532F"/>
    <w:rsid w:val="000F543C"/>
    <w:rsid w:val="000F5671"/>
    <w:rsid w:val="000F5927"/>
    <w:rsid w:val="000F596A"/>
    <w:rsid w:val="000F5A32"/>
    <w:rsid w:val="000F62BD"/>
    <w:rsid w:val="000F645F"/>
    <w:rsid w:val="000F719A"/>
    <w:rsid w:val="000F73D4"/>
    <w:rsid w:val="000F7BEF"/>
    <w:rsid w:val="00100A01"/>
    <w:rsid w:val="001015C9"/>
    <w:rsid w:val="00101685"/>
    <w:rsid w:val="00101D0E"/>
    <w:rsid w:val="001023B4"/>
    <w:rsid w:val="00103441"/>
    <w:rsid w:val="001053A3"/>
    <w:rsid w:val="00105A90"/>
    <w:rsid w:val="00105C6B"/>
    <w:rsid w:val="00105CBD"/>
    <w:rsid w:val="00106418"/>
    <w:rsid w:val="0010661A"/>
    <w:rsid w:val="00106A6F"/>
    <w:rsid w:val="00106C54"/>
    <w:rsid w:val="00106F12"/>
    <w:rsid w:val="00107203"/>
    <w:rsid w:val="00111869"/>
    <w:rsid w:val="00111922"/>
    <w:rsid w:val="00111E22"/>
    <w:rsid w:val="00112CCB"/>
    <w:rsid w:val="00112D34"/>
    <w:rsid w:val="00112D90"/>
    <w:rsid w:val="00112E8D"/>
    <w:rsid w:val="00113C01"/>
    <w:rsid w:val="001152C8"/>
    <w:rsid w:val="00115A50"/>
    <w:rsid w:val="00115EF1"/>
    <w:rsid w:val="0011654A"/>
    <w:rsid w:val="001166EA"/>
    <w:rsid w:val="00116B36"/>
    <w:rsid w:val="001171B5"/>
    <w:rsid w:val="001171CD"/>
    <w:rsid w:val="00117727"/>
    <w:rsid w:val="00117B76"/>
    <w:rsid w:val="001202BB"/>
    <w:rsid w:val="0012084C"/>
    <w:rsid w:val="001214D6"/>
    <w:rsid w:val="00121E4F"/>
    <w:rsid w:val="0012230A"/>
    <w:rsid w:val="001225EB"/>
    <w:rsid w:val="00122F9E"/>
    <w:rsid w:val="00123984"/>
    <w:rsid w:val="001244EF"/>
    <w:rsid w:val="00124CCF"/>
    <w:rsid w:val="00125292"/>
    <w:rsid w:val="00125721"/>
    <w:rsid w:val="00125B86"/>
    <w:rsid w:val="00125C57"/>
    <w:rsid w:val="00126CED"/>
    <w:rsid w:val="00126DB9"/>
    <w:rsid w:val="00126F23"/>
    <w:rsid w:val="001277A7"/>
    <w:rsid w:val="00131FBC"/>
    <w:rsid w:val="00132486"/>
    <w:rsid w:val="00132ABB"/>
    <w:rsid w:val="00132C56"/>
    <w:rsid w:val="00133362"/>
    <w:rsid w:val="00133406"/>
    <w:rsid w:val="00134910"/>
    <w:rsid w:val="00134C4D"/>
    <w:rsid w:val="0013509D"/>
    <w:rsid w:val="001351D1"/>
    <w:rsid w:val="00135D68"/>
    <w:rsid w:val="00136A82"/>
    <w:rsid w:val="00136A8F"/>
    <w:rsid w:val="00136BC1"/>
    <w:rsid w:val="00136D2B"/>
    <w:rsid w:val="001379D1"/>
    <w:rsid w:val="00141978"/>
    <w:rsid w:val="00141B34"/>
    <w:rsid w:val="0014208F"/>
    <w:rsid w:val="001422D5"/>
    <w:rsid w:val="00142746"/>
    <w:rsid w:val="00142945"/>
    <w:rsid w:val="00142C9D"/>
    <w:rsid w:val="00142FA4"/>
    <w:rsid w:val="00143348"/>
    <w:rsid w:val="00143643"/>
    <w:rsid w:val="0014368B"/>
    <w:rsid w:val="00143BB1"/>
    <w:rsid w:val="00143D5E"/>
    <w:rsid w:val="001449CA"/>
    <w:rsid w:val="00144CAC"/>
    <w:rsid w:val="0014637A"/>
    <w:rsid w:val="00146431"/>
    <w:rsid w:val="00146A64"/>
    <w:rsid w:val="00146F39"/>
    <w:rsid w:val="001470B0"/>
    <w:rsid w:val="0014744F"/>
    <w:rsid w:val="0015007B"/>
    <w:rsid w:val="00150117"/>
    <w:rsid w:val="00150124"/>
    <w:rsid w:val="001508F7"/>
    <w:rsid w:val="00150C76"/>
    <w:rsid w:val="00152955"/>
    <w:rsid w:val="0015300C"/>
    <w:rsid w:val="00153495"/>
    <w:rsid w:val="00155B27"/>
    <w:rsid w:val="00155DDE"/>
    <w:rsid w:val="00155E1C"/>
    <w:rsid w:val="00155FDE"/>
    <w:rsid w:val="001562FF"/>
    <w:rsid w:val="0015643C"/>
    <w:rsid w:val="00156557"/>
    <w:rsid w:val="00156965"/>
    <w:rsid w:val="00156C7A"/>
    <w:rsid w:val="00156DE2"/>
    <w:rsid w:val="00156E0C"/>
    <w:rsid w:val="00156F94"/>
    <w:rsid w:val="0015781F"/>
    <w:rsid w:val="001578E3"/>
    <w:rsid w:val="0016029D"/>
    <w:rsid w:val="00161CC1"/>
    <w:rsid w:val="00161D0F"/>
    <w:rsid w:val="001629B9"/>
    <w:rsid w:val="001634D7"/>
    <w:rsid w:val="00163C3E"/>
    <w:rsid w:val="0016422D"/>
    <w:rsid w:val="001642F0"/>
    <w:rsid w:val="00165401"/>
    <w:rsid w:val="001655F4"/>
    <w:rsid w:val="001659BA"/>
    <w:rsid w:val="00165F16"/>
    <w:rsid w:val="00166025"/>
    <w:rsid w:val="00166193"/>
    <w:rsid w:val="00167A01"/>
    <w:rsid w:val="00167E09"/>
    <w:rsid w:val="00170EF5"/>
    <w:rsid w:val="00170F87"/>
    <w:rsid w:val="00171000"/>
    <w:rsid w:val="0017114F"/>
    <w:rsid w:val="00171646"/>
    <w:rsid w:val="00171917"/>
    <w:rsid w:val="00171CB0"/>
    <w:rsid w:val="001727D1"/>
    <w:rsid w:val="00172906"/>
    <w:rsid w:val="00173CAB"/>
    <w:rsid w:val="00175852"/>
    <w:rsid w:val="00175AE0"/>
    <w:rsid w:val="00176D58"/>
    <w:rsid w:val="00176EA0"/>
    <w:rsid w:val="00180794"/>
    <w:rsid w:val="00180895"/>
    <w:rsid w:val="001817BD"/>
    <w:rsid w:val="001826B6"/>
    <w:rsid w:val="00182B5E"/>
    <w:rsid w:val="00182DB0"/>
    <w:rsid w:val="00182E70"/>
    <w:rsid w:val="00183365"/>
    <w:rsid w:val="00183BFF"/>
    <w:rsid w:val="0018403A"/>
    <w:rsid w:val="00184297"/>
    <w:rsid w:val="001846CE"/>
    <w:rsid w:val="00184C48"/>
    <w:rsid w:val="0018658A"/>
    <w:rsid w:val="00186DCC"/>
    <w:rsid w:val="0018710C"/>
    <w:rsid w:val="0019144F"/>
    <w:rsid w:val="00191A57"/>
    <w:rsid w:val="00192544"/>
    <w:rsid w:val="0019255C"/>
    <w:rsid w:val="00192671"/>
    <w:rsid w:val="0019337D"/>
    <w:rsid w:val="0019363E"/>
    <w:rsid w:val="001939D5"/>
    <w:rsid w:val="0019401E"/>
    <w:rsid w:val="001949C9"/>
    <w:rsid w:val="00196372"/>
    <w:rsid w:val="00196664"/>
    <w:rsid w:val="00196EBC"/>
    <w:rsid w:val="00197530"/>
    <w:rsid w:val="001977F9"/>
    <w:rsid w:val="001A049A"/>
    <w:rsid w:val="001A0DE4"/>
    <w:rsid w:val="001A16F1"/>
    <w:rsid w:val="001A1FD8"/>
    <w:rsid w:val="001A1FF9"/>
    <w:rsid w:val="001A27F6"/>
    <w:rsid w:val="001A2B09"/>
    <w:rsid w:val="001A2B41"/>
    <w:rsid w:val="001A3CFE"/>
    <w:rsid w:val="001A3D91"/>
    <w:rsid w:val="001A409C"/>
    <w:rsid w:val="001A4C0E"/>
    <w:rsid w:val="001A5C2F"/>
    <w:rsid w:val="001A7893"/>
    <w:rsid w:val="001A7A65"/>
    <w:rsid w:val="001B0047"/>
    <w:rsid w:val="001B100F"/>
    <w:rsid w:val="001B13C9"/>
    <w:rsid w:val="001B2064"/>
    <w:rsid w:val="001B2552"/>
    <w:rsid w:val="001B2865"/>
    <w:rsid w:val="001B2D3F"/>
    <w:rsid w:val="001B331A"/>
    <w:rsid w:val="001B3583"/>
    <w:rsid w:val="001B376F"/>
    <w:rsid w:val="001B3AD7"/>
    <w:rsid w:val="001B3AEF"/>
    <w:rsid w:val="001B3CF1"/>
    <w:rsid w:val="001B44BC"/>
    <w:rsid w:val="001B44E5"/>
    <w:rsid w:val="001B47A5"/>
    <w:rsid w:val="001B50C2"/>
    <w:rsid w:val="001B5430"/>
    <w:rsid w:val="001B5B0B"/>
    <w:rsid w:val="001B5F47"/>
    <w:rsid w:val="001B6B82"/>
    <w:rsid w:val="001B713F"/>
    <w:rsid w:val="001B792A"/>
    <w:rsid w:val="001B7CA2"/>
    <w:rsid w:val="001C008B"/>
    <w:rsid w:val="001C07A7"/>
    <w:rsid w:val="001C0EE9"/>
    <w:rsid w:val="001C2123"/>
    <w:rsid w:val="001C21F9"/>
    <w:rsid w:val="001C2264"/>
    <w:rsid w:val="001C26EF"/>
    <w:rsid w:val="001C2A7A"/>
    <w:rsid w:val="001C2DA5"/>
    <w:rsid w:val="001C3AE5"/>
    <w:rsid w:val="001C3F0F"/>
    <w:rsid w:val="001C4364"/>
    <w:rsid w:val="001C46EA"/>
    <w:rsid w:val="001C5025"/>
    <w:rsid w:val="001C5829"/>
    <w:rsid w:val="001C5AEC"/>
    <w:rsid w:val="001C623C"/>
    <w:rsid w:val="001C66A5"/>
    <w:rsid w:val="001C726B"/>
    <w:rsid w:val="001C7536"/>
    <w:rsid w:val="001C77C6"/>
    <w:rsid w:val="001C7ADB"/>
    <w:rsid w:val="001D0293"/>
    <w:rsid w:val="001D0341"/>
    <w:rsid w:val="001D1222"/>
    <w:rsid w:val="001D1ADD"/>
    <w:rsid w:val="001D2D07"/>
    <w:rsid w:val="001D374F"/>
    <w:rsid w:val="001D4476"/>
    <w:rsid w:val="001D465C"/>
    <w:rsid w:val="001D4C43"/>
    <w:rsid w:val="001D58E1"/>
    <w:rsid w:val="001D5CAA"/>
    <w:rsid w:val="001D633B"/>
    <w:rsid w:val="001D6F73"/>
    <w:rsid w:val="001D74D5"/>
    <w:rsid w:val="001E0BAB"/>
    <w:rsid w:val="001E110F"/>
    <w:rsid w:val="001E178B"/>
    <w:rsid w:val="001E1C46"/>
    <w:rsid w:val="001E1DFE"/>
    <w:rsid w:val="001E1E56"/>
    <w:rsid w:val="001E316D"/>
    <w:rsid w:val="001E366C"/>
    <w:rsid w:val="001E3B2A"/>
    <w:rsid w:val="001E3E81"/>
    <w:rsid w:val="001E3F88"/>
    <w:rsid w:val="001E3FBE"/>
    <w:rsid w:val="001E44BA"/>
    <w:rsid w:val="001E469C"/>
    <w:rsid w:val="001E5E88"/>
    <w:rsid w:val="001E69A9"/>
    <w:rsid w:val="001E6DC8"/>
    <w:rsid w:val="001E7CA6"/>
    <w:rsid w:val="001E7D80"/>
    <w:rsid w:val="001E7EF1"/>
    <w:rsid w:val="001E7FE8"/>
    <w:rsid w:val="001F10D9"/>
    <w:rsid w:val="001F15A8"/>
    <w:rsid w:val="001F1629"/>
    <w:rsid w:val="001F1A19"/>
    <w:rsid w:val="001F214F"/>
    <w:rsid w:val="001F2670"/>
    <w:rsid w:val="001F2A12"/>
    <w:rsid w:val="001F2F5A"/>
    <w:rsid w:val="001F2FB6"/>
    <w:rsid w:val="001F308F"/>
    <w:rsid w:val="001F31C6"/>
    <w:rsid w:val="001F3EEF"/>
    <w:rsid w:val="001F40F5"/>
    <w:rsid w:val="001F44A8"/>
    <w:rsid w:val="001F49CF"/>
    <w:rsid w:val="001F4B0B"/>
    <w:rsid w:val="001F5C86"/>
    <w:rsid w:val="001F69E4"/>
    <w:rsid w:val="001F69FD"/>
    <w:rsid w:val="001F6A50"/>
    <w:rsid w:val="001F7145"/>
    <w:rsid w:val="001F7204"/>
    <w:rsid w:val="001F7294"/>
    <w:rsid w:val="001F7468"/>
    <w:rsid w:val="001F74EF"/>
    <w:rsid w:val="001F7633"/>
    <w:rsid w:val="001F7740"/>
    <w:rsid w:val="00200729"/>
    <w:rsid w:val="00200BDE"/>
    <w:rsid w:val="00201061"/>
    <w:rsid w:val="002014B0"/>
    <w:rsid w:val="002024A8"/>
    <w:rsid w:val="002032A6"/>
    <w:rsid w:val="00203DE5"/>
    <w:rsid w:val="00204786"/>
    <w:rsid w:val="00205A7D"/>
    <w:rsid w:val="00206193"/>
    <w:rsid w:val="002070D9"/>
    <w:rsid w:val="00207707"/>
    <w:rsid w:val="00207A6E"/>
    <w:rsid w:val="00207B5A"/>
    <w:rsid w:val="00207F28"/>
    <w:rsid w:val="00210741"/>
    <w:rsid w:val="00211082"/>
    <w:rsid w:val="00211D4E"/>
    <w:rsid w:val="00212174"/>
    <w:rsid w:val="00212485"/>
    <w:rsid w:val="00213805"/>
    <w:rsid w:val="002139A7"/>
    <w:rsid w:val="00214B2C"/>
    <w:rsid w:val="00214F89"/>
    <w:rsid w:val="00214FE3"/>
    <w:rsid w:val="002155AE"/>
    <w:rsid w:val="00216974"/>
    <w:rsid w:val="00216D84"/>
    <w:rsid w:val="00217221"/>
    <w:rsid w:val="002172B1"/>
    <w:rsid w:val="00217CD8"/>
    <w:rsid w:val="00217DE2"/>
    <w:rsid w:val="00220040"/>
    <w:rsid w:val="002201DA"/>
    <w:rsid w:val="00220293"/>
    <w:rsid w:val="002202E7"/>
    <w:rsid w:val="00220476"/>
    <w:rsid w:val="0022052C"/>
    <w:rsid w:val="002206E2"/>
    <w:rsid w:val="00220C3E"/>
    <w:rsid w:val="00222400"/>
    <w:rsid w:val="00222955"/>
    <w:rsid w:val="00223A2E"/>
    <w:rsid w:val="00224753"/>
    <w:rsid w:val="00224A44"/>
    <w:rsid w:val="00224D82"/>
    <w:rsid w:val="00225562"/>
    <w:rsid w:val="00225767"/>
    <w:rsid w:val="00225A19"/>
    <w:rsid w:val="002262DD"/>
    <w:rsid w:val="002267F0"/>
    <w:rsid w:val="00227956"/>
    <w:rsid w:val="00227CA3"/>
    <w:rsid w:val="00230C55"/>
    <w:rsid w:val="00231BFB"/>
    <w:rsid w:val="00231C23"/>
    <w:rsid w:val="00231FA0"/>
    <w:rsid w:val="00232D5E"/>
    <w:rsid w:val="00232FC6"/>
    <w:rsid w:val="002330F1"/>
    <w:rsid w:val="00233308"/>
    <w:rsid w:val="00233529"/>
    <w:rsid w:val="00233788"/>
    <w:rsid w:val="00233AE7"/>
    <w:rsid w:val="0023447A"/>
    <w:rsid w:val="002348A0"/>
    <w:rsid w:val="00234AFE"/>
    <w:rsid w:val="00234CCF"/>
    <w:rsid w:val="00234F7A"/>
    <w:rsid w:val="002369C2"/>
    <w:rsid w:val="00236A8A"/>
    <w:rsid w:val="00237335"/>
    <w:rsid w:val="00240015"/>
    <w:rsid w:val="00240373"/>
    <w:rsid w:val="002406EC"/>
    <w:rsid w:val="0024171D"/>
    <w:rsid w:val="0024181D"/>
    <w:rsid w:val="002446D6"/>
    <w:rsid w:val="0024509B"/>
    <w:rsid w:val="0024516A"/>
    <w:rsid w:val="00245886"/>
    <w:rsid w:val="00245CA3"/>
    <w:rsid w:val="00245EA3"/>
    <w:rsid w:val="002460C2"/>
    <w:rsid w:val="002464B3"/>
    <w:rsid w:val="002464DF"/>
    <w:rsid w:val="00246782"/>
    <w:rsid w:val="00246BD4"/>
    <w:rsid w:val="00246C6D"/>
    <w:rsid w:val="00246D50"/>
    <w:rsid w:val="00247220"/>
    <w:rsid w:val="002472F3"/>
    <w:rsid w:val="00247DF5"/>
    <w:rsid w:val="002500EA"/>
    <w:rsid w:val="00250348"/>
    <w:rsid w:val="0025036A"/>
    <w:rsid w:val="00250534"/>
    <w:rsid w:val="00250FC7"/>
    <w:rsid w:val="00251AAD"/>
    <w:rsid w:val="0025312B"/>
    <w:rsid w:val="002533B0"/>
    <w:rsid w:val="00253CE7"/>
    <w:rsid w:val="00254895"/>
    <w:rsid w:val="00254EB3"/>
    <w:rsid w:val="002551E6"/>
    <w:rsid w:val="00255213"/>
    <w:rsid w:val="00255A04"/>
    <w:rsid w:val="002564F1"/>
    <w:rsid w:val="0025653C"/>
    <w:rsid w:val="0025653E"/>
    <w:rsid w:val="00256A36"/>
    <w:rsid w:val="00257147"/>
    <w:rsid w:val="002573C8"/>
    <w:rsid w:val="002574EE"/>
    <w:rsid w:val="00257585"/>
    <w:rsid w:val="00260594"/>
    <w:rsid w:val="002609C2"/>
    <w:rsid w:val="00262353"/>
    <w:rsid w:val="002626F9"/>
    <w:rsid w:val="0026287C"/>
    <w:rsid w:val="00262E67"/>
    <w:rsid w:val="00262FB3"/>
    <w:rsid w:val="002639E8"/>
    <w:rsid w:val="00264423"/>
    <w:rsid w:val="002648BC"/>
    <w:rsid w:val="0026517C"/>
    <w:rsid w:val="002659EA"/>
    <w:rsid w:val="002660F8"/>
    <w:rsid w:val="00266435"/>
    <w:rsid w:val="002666FD"/>
    <w:rsid w:val="002670FB"/>
    <w:rsid w:val="002672BD"/>
    <w:rsid w:val="0027062E"/>
    <w:rsid w:val="002718B5"/>
    <w:rsid w:val="00271C2F"/>
    <w:rsid w:val="002722BF"/>
    <w:rsid w:val="00272A93"/>
    <w:rsid w:val="00272E83"/>
    <w:rsid w:val="0027363D"/>
    <w:rsid w:val="00273974"/>
    <w:rsid w:val="00273C0F"/>
    <w:rsid w:val="00273D37"/>
    <w:rsid w:val="002747E9"/>
    <w:rsid w:val="00274A5D"/>
    <w:rsid w:val="00274B74"/>
    <w:rsid w:val="00275085"/>
    <w:rsid w:val="00275252"/>
    <w:rsid w:val="0027588D"/>
    <w:rsid w:val="00275C4F"/>
    <w:rsid w:val="002771DD"/>
    <w:rsid w:val="002773FC"/>
    <w:rsid w:val="002774A9"/>
    <w:rsid w:val="00281A8C"/>
    <w:rsid w:val="00281E81"/>
    <w:rsid w:val="0028260B"/>
    <w:rsid w:val="002826AB"/>
    <w:rsid w:val="002835CE"/>
    <w:rsid w:val="0028382C"/>
    <w:rsid w:val="00283C0C"/>
    <w:rsid w:val="002842A1"/>
    <w:rsid w:val="002842BE"/>
    <w:rsid w:val="0028444B"/>
    <w:rsid w:val="002847BB"/>
    <w:rsid w:val="00285326"/>
    <w:rsid w:val="002858E0"/>
    <w:rsid w:val="00285916"/>
    <w:rsid w:val="00285F8D"/>
    <w:rsid w:val="00286156"/>
    <w:rsid w:val="00286A59"/>
    <w:rsid w:val="00286B9E"/>
    <w:rsid w:val="00286D6D"/>
    <w:rsid w:val="00290088"/>
    <w:rsid w:val="00290426"/>
    <w:rsid w:val="00290FE2"/>
    <w:rsid w:val="002918EE"/>
    <w:rsid w:val="0029198B"/>
    <w:rsid w:val="00292948"/>
    <w:rsid w:val="00292CCD"/>
    <w:rsid w:val="00292F2C"/>
    <w:rsid w:val="00292F93"/>
    <w:rsid w:val="002931B6"/>
    <w:rsid w:val="00293622"/>
    <w:rsid w:val="00293C9C"/>
    <w:rsid w:val="00294231"/>
    <w:rsid w:val="0029434B"/>
    <w:rsid w:val="0029436F"/>
    <w:rsid w:val="00294420"/>
    <w:rsid w:val="0029472C"/>
    <w:rsid w:val="00294A38"/>
    <w:rsid w:val="00294B10"/>
    <w:rsid w:val="002951A3"/>
    <w:rsid w:val="002958B3"/>
    <w:rsid w:val="002967E3"/>
    <w:rsid w:val="00296B8E"/>
    <w:rsid w:val="002976AF"/>
    <w:rsid w:val="002976BA"/>
    <w:rsid w:val="002A00B0"/>
    <w:rsid w:val="002A023F"/>
    <w:rsid w:val="002A0822"/>
    <w:rsid w:val="002A0892"/>
    <w:rsid w:val="002A08BD"/>
    <w:rsid w:val="002A0D87"/>
    <w:rsid w:val="002A0ECC"/>
    <w:rsid w:val="002A1094"/>
    <w:rsid w:val="002A250B"/>
    <w:rsid w:val="002A2E61"/>
    <w:rsid w:val="002A3C27"/>
    <w:rsid w:val="002A5097"/>
    <w:rsid w:val="002A5766"/>
    <w:rsid w:val="002A594E"/>
    <w:rsid w:val="002A5A56"/>
    <w:rsid w:val="002A5D24"/>
    <w:rsid w:val="002A622C"/>
    <w:rsid w:val="002A62BF"/>
    <w:rsid w:val="002A690B"/>
    <w:rsid w:val="002A700E"/>
    <w:rsid w:val="002A786D"/>
    <w:rsid w:val="002A7A05"/>
    <w:rsid w:val="002B01E6"/>
    <w:rsid w:val="002B0EE7"/>
    <w:rsid w:val="002B16B2"/>
    <w:rsid w:val="002B1835"/>
    <w:rsid w:val="002B189F"/>
    <w:rsid w:val="002B1CAF"/>
    <w:rsid w:val="002B20FC"/>
    <w:rsid w:val="002B220C"/>
    <w:rsid w:val="002B268B"/>
    <w:rsid w:val="002B32C9"/>
    <w:rsid w:val="002B4F41"/>
    <w:rsid w:val="002B5396"/>
    <w:rsid w:val="002B56EF"/>
    <w:rsid w:val="002B6430"/>
    <w:rsid w:val="002B74E2"/>
    <w:rsid w:val="002B7F04"/>
    <w:rsid w:val="002C0634"/>
    <w:rsid w:val="002C072D"/>
    <w:rsid w:val="002C19AE"/>
    <w:rsid w:val="002C2171"/>
    <w:rsid w:val="002C2447"/>
    <w:rsid w:val="002C2ABB"/>
    <w:rsid w:val="002C311B"/>
    <w:rsid w:val="002C3305"/>
    <w:rsid w:val="002C3907"/>
    <w:rsid w:val="002C3C66"/>
    <w:rsid w:val="002C3D4D"/>
    <w:rsid w:val="002C3F43"/>
    <w:rsid w:val="002C4004"/>
    <w:rsid w:val="002C4B48"/>
    <w:rsid w:val="002C4F74"/>
    <w:rsid w:val="002C5259"/>
    <w:rsid w:val="002C6146"/>
    <w:rsid w:val="002C67DF"/>
    <w:rsid w:val="002C6825"/>
    <w:rsid w:val="002C6A7A"/>
    <w:rsid w:val="002C6D77"/>
    <w:rsid w:val="002C6E3D"/>
    <w:rsid w:val="002C7789"/>
    <w:rsid w:val="002C7B29"/>
    <w:rsid w:val="002D003B"/>
    <w:rsid w:val="002D01BD"/>
    <w:rsid w:val="002D02A9"/>
    <w:rsid w:val="002D1663"/>
    <w:rsid w:val="002D1BF3"/>
    <w:rsid w:val="002D1E78"/>
    <w:rsid w:val="002D205B"/>
    <w:rsid w:val="002D2995"/>
    <w:rsid w:val="002D32D5"/>
    <w:rsid w:val="002D32F5"/>
    <w:rsid w:val="002D32FF"/>
    <w:rsid w:val="002D34A3"/>
    <w:rsid w:val="002D5116"/>
    <w:rsid w:val="002D554B"/>
    <w:rsid w:val="002D5AC4"/>
    <w:rsid w:val="002D71C6"/>
    <w:rsid w:val="002D7FEA"/>
    <w:rsid w:val="002E2424"/>
    <w:rsid w:val="002E2BA2"/>
    <w:rsid w:val="002E3033"/>
    <w:rsid w:val="002E330D"/>
    <w:rsid w:val="002E4495"/>
    <w:rsid w:val="002E4AC3"/>
    <w:rsid w:val="002E670A"/>
    <w:rsid w:val="002E6982"/>
    <w:rsid w:val="002E6A1A"/>
    <w:rsid w:val="002E73ED"/>
    <w:rsid w:val="002E75A3"/>
    <w:rsid w:val="002E7BCC"/>
    <w:rsid w:val="002F0393"/>
    <w:rsid w:val="002F08B6"/>
    <w:rsid w:val="002F0D86"/>
    <w:rsid w:val="002F13FA"/>
    <w:rsid w:val="002F1603"/>
    <w:rsid w:val="002F269D"/>
    <w:rsid w:val="002F2807"/>
    <w:rsid w:val="002F2D2A"/>
    <w:rsid w:val="002F2D3D"/>
    <w:rsid w:val="002F3174"/>
    <w:rsid w:val="002F363E"/>
    <w:rsid w:val="002F3C16"/>
    <w:rsid w:val="002F3D58"/>
    <w:rsid w:val="002F49C4"/>
    <w:rsid w:val="002F5890"/>
    <w:rsid w:val="002F5944"/>
    <w:rsid w:val="002F653A"/>
    <w:rsid w:val="002F65FD"/>
    <w:rsid w:val="002F69BE"/>
    <w:rsid w:val="002F6BC2"/>
    <w:rsid w:val="002F774B"/>
    <w:rsid w:val="002F7D72"/>
    <w:rsid w:val="003009B1"/>
    <w:rsid w:val="00300CAF"/>
    <w:rsid w:val="00302A50"/>
    <w:rsid w:val="00302E3D"/>
    <w:rsid w:val="0030369D"/>
    <w:rsid w:val="003038CE"/>
    <w:rsid w:val="00304362"/>
    <w:rsid w:val="003053E7"/>
    <w:rsid w:val="00305C24"/>
    <w:rsid w:val="00305C44"/>
    <w:rsid w:val="00305DE1"/>
    <w:rsid w:val="00305E8C"/>
    <w:rsid w:val="003062C2"/>
    <w:rsid w:val="00306401"/>
    <w:rsid w:val="00306E5B"/>
    <w:rsid w:val="0030706F"/>
    <w:rsid w:val="0030766F"/>
    <w:rsid w:val="00307F61"/>
    <w:rsid w:val="0031129D"/>
    <w:rsid w:val="003112A5"/>
    <w:rsid w:val="003112F5"/>
    <w:rsid w:val="00311B8F"/>
    <w:rsid w:val="00311C7C"/>
    <w:rsid w:val="00312248"/>
    <w:rsid w:val="00312800"/>
    <w:rsid w:val="00312C1C"/>
    <w:rsid w:val="00313116"/>
    <w:rsid w:val="0031466E"/>
    <w:rsid w:val="00314849"/>
    <w:rsid w:val="00314B2C"/>
    <w:rsid w:val="00314C5C"/>
    <w:rsid w:val="00314CEB"/>
    <w:rsid w:val="0031538B"/>
    <w:rsid w:val="003158AB"/>
    <w:rsid w:val="003165BA"/>
    <w:rsid w:val="0031772E"/>
    <w:rsid w:val="00317810"/>
    <w:rsid w:val="003200C6"/>
    <w:rsid w:val="003205C2"/>
    <w:rsid w:val="0032139A"/>
    <w:rsid w:val="003218DE"/>
    <w:rsid w:val="00321F29"/>
    <w:rsid w:val="0032209C"/>
    <w:rsid w:val="00322463"/>
    <w:rsid w:val="00322AA3"/>
    <w:rsid w:val="00323D95"/>
    <w:rsid w:val="003255C5"/>
    <w:rsid w:val="00325ADB"/>
    <w:rsid w:val="00325B3D"/>
    <w:rsid w:val="00326F04"/>
    <w:rsid w:val="0032718D"/>
    <w:rsid w:val="0032762D"/>
    <w:rsid w:val="00330293"/>
    <w:rsid w:val="0033040B"/>
    <w:rsid w:val="00330EC2"/>
    <w:rsid w:val="00330F16"/>
    <w:rsid w:val="003329E5"/>
    <w:rsid w:val="00333762"/>
    <w:rsid w:val="00333A59"/>
    <w:rsid w:val="0033409F"/>
    <w:rsid w:val="00334FE5"/>
    <w:rsid w:val="003350AF"/>
    <w:rsid w:val="00335394"/>
    <w:rsid w:val="003359FF"/>
    <w:rsid w:val="0033618F"/>
    <w:rsid w:val="003364D4"/>
    <w:rsid w:val="00336606"/>
    <w:rsid w:val="00336A4C"/>
    <w:rsid w:val="003400F8"/>
    <w:rsid w:val="003401D5"/>
    <w:rsid w:val="0034082E"/>
    <w:rsid w:val="00340AC2"/>
    <w:rsid w:val="00344255"/>
    <w:rsid w:val="003448FD"/>
    <w:rsid w:val="00345511"/>
    <w:rsid w:val="0034582E"/>
    <w:rsid w:val="00345914"/>
    <w:rsid w:val="003459B0"/>
    <w:rsid w:val="00345BC3"/>
    <w:rsid w:val="00345E25"/>
    <w:rsid w:val="00346020"/>
    <w:rsid w:val="00346469"/>
    <w:rsid w:val="00347929"/>
    <w:rsid w:val="00347B3B"/>
    <w:rsid w:val="00347EA2"/>
    <w:rsid w:val="00350415"/>
    <w:rsid w:val="00350E73"/>
    <w:rsid w:val="00350FD6"/>
    <w:rsid w:val="00351168"/>
    <w:rsid w:val="00351581"/>
    <w:rsid w:val="003517C5"/>
    <w:rsid w:val="00351E96"/>
    <w:rsid w:val="00351EC7"/>
    <w:rsid w:val="00351F1D"/>
    <w:rsid w:val="003522D4"/>
    <w:rsid w:val="003524E0"/>
    <w:rsid w:val="0035271E"/>
    <w:rsid w:val="00352E60"/>
    <w:rsid w:val="0035326A"/>
    <w:rsid w:val="003535F0"/>
    <w:rsid w:val="0035436B"/>
    <w:rsid w:val="0035443A"/>
    <w:rsid w:val="00354506"/>
    <w:rsid w:val="00354690"/>
    <w:rsid w:val="0035483E"/>
    <w:rsid w:val="00355386"/>
    <w:rsid w:val="00355C7A"/>
    <w:rsid w:val="00355E12"/>
    <w:rsid w:val="00356072"/>
    <w:rsid w:val="00356146"/>
    <w:rsid w:val="003569DD"/>
    <w:rsid w:val="00356D54"/>
    <w:rsid w:val="003572D6"/>
    <w:rsid w:val="0035770C"/>
    <w:rsid w:val="0035793A"/>
    <w:rsid w:val="00360A06"/>
    <w:rsid w:val="00360D03"/>
    <w:rsid w:val="00361822"/>
    <w:rsid w:val="00361DA3"/>
    <w:rsid w:val="003625FE"/>
    <w:rsid w:val="003639CE"/>
    <w:rsid w:val="00363A03"/>
    <w:rsid w:val="00364028"/>
    <w:rsid w:val="0036446B"/>
    <w:rsid w:val="00364CA4"/>
    <w:rsid w:val="00365034"/>
    <w:rsid w:val="0036578A"/>
    <w:rsid w:val="00365A09"/>
    <w:rsid w:val="00366468"/>
    <w:rsid w:val="003664F6"/>
    <w:rsid w:val="0036745A"/>
    <w:rsid w:val="003714A8"/>
    <w:rsid w:val="003718D5"/>
    <w:rsid w:val="0037223E"/>
    <w:rsid w:val="00372364"/>
    <w:rsid w:val="0037292A"/>
    <w:rsid w:val="00372B96"/>
    <w:rsid w:val="00372EE9"/>
    <w:rsid w:val="0037373A"/>
    <w:rsid w:val="003740F7"/>
    <w:rsid w:val="003745A5"/>
    <w:rsid w:val="003748F3"/>
    <w:rsid w:val="003755D9"/>
    <w:rsid w:val="003775FA"/>
    <w:rsid w:val="00377743"/>
    <w:rsid w:val="00380478"/>
    <w:rsid w:val="00380864"/>
    <w:rsid w:val="00380B10"/>
    <w:rsid w:val="00380B59"/>
    <w:rsid w:val="0038180D"/>
    <w:rsid w:val="00382600"/>
    <w:rsid w:val="00382F11"/>
    <w:rsid w:val="003833F3"/>
    <w:rsid w:val="0038373E"/>
    <w:rsid w:val="00383EB0"/>
    <w:rsid w:val="00383FBC"/>
    <w:rsid w:val="00384825"/>
    <w:rsid w:val="00384AF1"/>
    <w:rsid w:val="00384DDC"/>
    <w:rsid w:val="00385FB0"/>
    <w:rsid w:val="003860AF"/>
    <w:rsid w:val="00386817"/>
    <w:rsid w:val="00386D85"/>
    <w:rsid w:val="003874B2"/>
    <w:rsid w:val="0038789C"/>
    <w:rsid w:val="00387D4A"/>
    <w:rsid w:val="0039010F"/>
    <w:rsid w:val="003918FC"/>
    <w:rsid w:val="00392633"/>
    <w:rsid w:val="003933F0"/>
    <w:rsid w:val="00393C54"/>
    <w:rsid w:val="00394486"/>
    <w:rsid w:val="00394785"/>
    <w:rsid w:val="00395108"/>
    <w:rsid w:val="00395D3F"/>
    <w:rsid w:val="00396882"/>
    <w:rsid w:val="00396893"/>
    <w:rsid w:val="00396E47"/>
    <w:rsid w:val="003972CB"/>
    <w:rsid w:val="00397549"/>
    <w:rsid w:val="00397B93"/>
    <w:rsid w:val="00397CA2"/>
    <w:rsid w:val="00397FE8"/>
    <w:rsid w:val="003A02C2"/>
    <w:rsid w:val="003A0F4A"/>
    <w:rsid w:val="003A17D4"/>
    <w:rsid w:val="003A1DAB"/>
    <w:rsid w:val="003A1FA5"/>
    <w:rsid w:val="003A2907"/>
    <w:rsid w:val="003A29EF"/>
    <w:rsid w:val="003A3483"/>
    <w:rsid w:val="003A439C"/>
    <w:rsid w:val="003A47E8"/>
    <w:rsid w:val="003A4C0D"/>
    <w:rsid w:val="003A4FBA"/>
    <w:rsid w:val="003A5D9D"/>
    <w:rsid w:val="003A6AC4"/>
    <w:rsid w:val="003A6DB5"/>
    <w:rsid w:val="003B0399"/>
    <w:rsid w:val="003B03EB"/>
    <w:rsid w:val="003B0F8D"/>
    <w:rsid w:val="003B12F1"/>
    <w:rsid w:val="003B176B"/>
    <w:rsid w:val="003B241D"/>
    <w:rsid w:val="003B371D"/>
    <w:rsid w:val="003B38CD"/>
    <w:rsid w:val="003B3CBC"/>
    <w:rsid w:val="003B3E70"/>
    <w:rsid w:val="003B43E7"/>
    <w:rsid w:val="003B484E"/>
    <w:rsid w:val="003B4D4F"/>
    <w:rsid w:val="003B58E1"/>
    <w:rsid w:val="003B58EE"/>
    <w:rsid w:val="003B5CCA"/>
    <w:rsid w:val="003B6585"/>
    <w:rsid w:val="003B7283"/>
    <w:rsid w:val="003B7547"/>
    <w:rsid w:val="003B76F7"/>
    <w:rsid w:val="003C03BE"/>
    <w:rsid w:val="003C042B"/>
    <w:rsid w:val="003C0FA0"/>
    <w:rsid w:val="003C0FF0"/>
    <w:rsid w:val="003C1637"/>
    <w:rsid w:val="003C19CD"/>
    <w:rsid w:val="003C1A6C"/>
    <w:rsid w:val="003C1B22"/>
    <w:rsid w:val="003C22DC"/>
    <w:rsid w:val="003C279D"/>
    <w:rsid w:val="003C2DAE"/>
    <w:rsid w:val="003C37C9"/>
    <w:rsid w:val="003C38ED"/>
    <w:rsid w:val="003C45C6"/>
    <w:rsid w:val="003C4E4D"/>
    <w:rsid w:val="003C6096"/>
    <w:rsid w:val="003C68FD"/>
    <w:rsid w:val="003C6D65"/>
    <w:rsid w:val="003C778F"/>
    <w:rsid w:val="003D01BD"/>
    <w:rsid w:val="003D0205"/>
    <w:rsid w:val="003D032E"/>
    <w:rsid w:val="003D06BA"/>
    <w:rsid w:val="003D0B5D"/>
    <w:rsid w:val="003D1840"/>
    <w:rsid w:val="003D1898"/>
    <w:rsid w:val="003D1F11"/>
    <w:rsid w:val="003D33CD"/>
    <w:rsid w:val="003D4B04"/>
    <w:rsid w:val="003D5F43"/>
    <w:rsid w:val="003D6761"/>
    <w:rsid w:val="003D6AA1"/>
    <w:rsid w:val="003D6DD9"/>
    <w:rsid w:val="003D73C1"/>
    <w:rsid w:val="003D7E78"/>
    <w:rsid w:val="003E0484"/>
    <w:rsid w:val="003E06AC"/>
    <w:rsid w:val="003E127A"/>
    <w:rsid w:val="003E1511"/>
    <w:rsid w:val="003E1EAC"/>
    <w:rsid w:val="003E33D8"/>
    <w:rsid w:val="003E35A0"/>
    <w:rsid w:val="003E3B9F"/>
    <w:rsid w:val="003E42A6"/>
    <w:rsid w:val="003E4D2C"/>
    <w:rsid w:val="003E5949"/>
    <w:rsid w:val="003E5B97"/>
    <w:rsid w:val="003E6466"/>
    <w:rsid w:val="003E64A1"/>
    <w:rsid w:val="003E6995"/>
    <w:rsid w:val="003E6C80"/>
    <w:rsid w:val="003E7477"/>
    <w:rsid w:val="003E7649"/>
    <w:rsid w:val="003E7772"/>
    <w:rsid w:val="003F030B"/>
    <w:rsid w:val="003F03B8"/>
    <w:rsid w:val="003F069B"/>
    <w:rsid w:val="003F0970"/>
    <w:rsid w:val="003F1A4F"/>
    <w:rsid w:val="003F1F01"/>
    <w:rsid w:val="003F21D9"/>
    <w:rsid w:val="003F2274"/>
    <w:rsid w:val="003F27D8"/>
    <w:rsid w:val="003F2FE6"/>
    <w:rsid w:val="003F34F6"/>
    <w:rsid w:val="003F3934"/>
    <w:rsid w:val="003F3E74"/>
    <w:rsid w:val="003F469D"/>
    <w:rsid w:val="003F4F43"/>
    <w:rsid w:val="003F5306"/>
    <w:rsid w:val="003F5BD9"/>
    <w:rsid w:val="004001EB"/>
    <w:rsid w:val="0040031F"/>
    <w:rsid w:val="0040058F"/>
    <w:rsid w:val="00400D59"/>
    <w:rsid w:val="00400E24"/>
    <w:rsid w:val="00400FBB"/>
    <w:rsid w:val="004015AF"/>
    <w:rsid w:val="0040173B"/>
    <w:rsid w:val="00401CDE"/>
    <w:rsid w:val="0040207F"/>
    <w:rsid w:val="004020C2"/>
    <w:rsid w:val="0040266B"/>
    <w:rsid w:val="004037EB"/>
    <w:rsid w:val="00403D3B"/>
    <w:rsid w:val="0040414E"/>
    <w:rsid w:val="00405D19"/>
    <w:rsid w:val="0040641C"/>
    <w:rsid w:val="0040652E"/>
    <w:rsid w:val="00406924"/>
    <w:rsid w:val="00406B40"/>
    <w:rsid w:val="00407B1F"/>
    <w:rsid w:val="00407D7A"/>
    <w:rsid w:val="00410329"/>
    <w:rsid w:val="0041068C"/>
    <w:rsid w:val="00410DC7"/>
    <w:rsid w:val="00411EE2"/>
    <w:rsid w:val="00412EAD"/>
    <w:rsid w:val="00412FD6"/>
    <w:rsid w:val="00413362"/>
    <w:rsid w:val="0041391A"/>
    <w:rsid w:val="00413C65"/>
    <w:rsid w:val="004151E2"/>
    <w:rsid w:val="00415264"/>
    <w:rsid w:val="0041527B"/>
    <w:rsid w:val="004158AE"/>
    <w:rsid w:val="00415DE0"/>
    <w:rsid w:val="00416763"/>
    <w:rsid w:val="00416DD4"/>
    <w:rsid w:val="00417663"/>
    <w:rsid w:val="00417935"/>
    <w:rsid w:val="00417E7E"/>
    <w:rsid w:val="004204E5"/>
    <w:rsid w:val="00420F6B"/>
    <w:rsid w:val="00421B46"/>
    <w:rsid w:val="00422BAF"/>
    <w:rsid w:val="00422C6A"/>
    <w:rsid w:val="00423379"/>
    <w:rsid w:val="00423DE7"/>
    <w:rsid w:val="0042438F"/>
    <w:rsid w:val="00424614"/>
    <w:rsid w:val="00424B61"/>
    <w:rsid w:val="00424F66"/>
    <w:rsid w:val="0042501F"/>
    <w:rsid w:val="00425663"/>
    <w:rsid w:val="00426F0D"/>
    <w:rsid w:val="004271A6"/>
    <w:rsid w:val="004278A0"/>
    <w:rsid w:val="00430ED8"/>
    <w:rsid w:val="00431B95"/>
    <w:rsid w:val="0043207A"/>
    <w:rsid w:val="00432AF8"/>
    <w:rsid w:val="00433213"/>
    <w:rsid w:val="004332AB"/>
    <w:rsid w:val="004332AE"/>
    <w:rsid w:val="00434F11"/>
    <w:rsid w:val="0043555B"/>
    <w:rsid w:val="0043580C"/>
    <w:rsid w:val="00435A2E"/>
    <w:rsid w:val="00436B0F"/>
    <w:rsid w:val="0043708F"/>
    <w:rsid w:val="00437129"/>
    <w:rsid w:val="0043720D"/>
    <w:rsid w:val="00437379"/>
    <w:rsid w:val="0043748C"/>
    <w:rsid w:val="00437ADC"/>
    <w:rsid w:val="00437D20"/>
    <w:rsid w:val="00437E75"/>
    <w:rsid w:val="004401F9"/>
    <w:rsid w:val="00441AE5"/>
    <w:rsid w:val="00441B66"/>
    <w:rsid w:val="00442090"/>
    <w:rsid w:val="00442E3C"/>
    <w:rsid w:val="00443C92"/>
    <w:rsid w:val="00443DFD"/>
    <w:rsid w:val="00444BCF"/>
    <w:rsid w:val="00445301"/>
    <w:rsid w:val="0044553F"/>
    <w:rsid w:val="0044571A"/>
    <w:rsid w:val="00446115"/>
    <w:rsid w:val="00446684"/>
    <w:rsid w:val="00446E1C"/>
    <w:rsid w:val="00447220"/>
    <w:rsid w:val="004472B3"/>
    <w:rsid w:val="004477B3"/>
    <w:rsid w:val="00450AF4"/>
    <w:rsid w:val="0045288F"/>
    <w:rsid w:val="00452F7B"/>
    <w:rsid w:val="004538CF"/>
    <w:rsid w:val="00453A54"/>
    <w:rsid w:val="00454467"/>
    <w:rsid w:val="0045556A"/>
    <w:rsid w:val="00455B9D"/>
    <w:rsid w:val="00456301"/>
    <w:rsid w:val="0045654C"/>
    <w:rsid w:val="004569CB"/>
    <w:rsid w:val="00456B81"/>
    <w:rsid w:val="00457375"/>
    <w:rsid w:val="00461DC6"/>
    <w:rsid w:val="004628C4"/>
    <w:rsid w:val="004629EB"/>
    <w:rsid w:val="004630C3"/>
    <w:rsid w:val="00463953"/>
    <w:rsid w:val="00464629"/>
    <w:rsid w:val="00464A16"/>
    <w:rsid w:val="00465293"/>
    <w:rsid w:val="00465358"/>
    <w:rsid w:val="004655DA"/>
    <w:rsid w:val="00465E0C"/>
    <w:rsid w:val="00465FE7"/>
    <w:rsid w:val="0046641E"/>
    <w:rsid w:val="00466599"/>
    <w:rsid w:val="00467E78"/>
    <w:rsid w:val="00467F95"/>
    <w:rsid w:val="00470CAC"/>
    <w:rsid w:val="00470E20"/>
    <w:rsid w:val="00470F50"/>
    <w:rsid w:val="00471082"/>
    <w:rsid w:val="00471100"/>
    <w:rsid w:val="0047119C"/>
    <w:rsid w:val="00471856"/>
    <w:rsid w:val="004722A7"/>
    <w:rsid w:val="00472A62"/>
    <w:rsid w:val="0047349F"/>
    <w:rsid w:val="0047354E"/>
    <w:rsid w:val="00473E56"/>
    <w:rsid w:val="00473EB4"/>
    <w:rsid w:val="00474AD5"/>
    <w:rsid w:val="00475D68"/>
    <w:rsid w:val="00475E7C"/>
    <w:rsid w:val="004768FB"/>
    <w:rsid w:val="00476AB2"/>
    <w:rsid w:val="00477D95"/>
    <w:rsid w:val="00477E06"/>
    <w:rsid w:val="00477EE9"/>
    <w:rsid w:val="00477F30"/>
    <w:rsid w:val="00480770"/>
    <w:rsid w:val="004809E1"/>
    <w:rsid w:val="00481638"/>
    <w:rsid w:val="00481BA5"/>
    <w:rsid w:val="0048385F"/>
    <w:rsid w:val="00484F82"/>
    <w:rsid w:val="0048507F"/>
    <w:rsid w:val="00485F9B"/>
    <w:rsid w:val="00486FFE"/>
    <w:rsid w:val="004903BD"/>
    <w:rsid w:val="0049054F"/>
    <w:rsid w:val="00490FEA"/>
    <w:rsid w:val="00491339"/>
    <w:rsid w:val="004913CB"/>
    <w:rsid w:val="004918B3"/>
    <w:rsid w:val="00492061"/>
    <w:rsid w:val="00492295"/>
    <w:rsid w:val="004927E2"/>
    <w:rsid w:val="00492EAA"/>
    <w:rsid w:val="00493B0A"/>
    <w:rsid w:val="004941E4"/>
    <w:rsid w:val="004945DC"/>
    <w:rsid w:val="00494C60"/>
    <w:rsid w:val="00494D99"/>
    <w:rsid w:val="00494EEE"/>
    <w:rsid w:val="00495D18"/>
    <w:rsid w:val="00495E03"/>
    <w:rsid w:val="00495EC1"/>
    <w:rsid w:val="004967AA"/>
    <w:rsid w:val="00496D97"/>
    <w:rsid w:val="00497750"/>
    <w:rsid w:val="004A01CD"/>
    <w:rsid w:val="004A0BBB"/>
    <w:rsid w:val="004A10CC"/>
    <w:rsid w:val="004A1543"/>
    <w:rsid w:val="004A1CA1"/>
    <w:rsid w:val="004A21AF"/>
    <w:rsid w:val="004A248D"/>
    <w:rsid w:val="004A24CD"/>
    <w:rsid w:val="004A24E3"/>
    <w:rsid w:val="004A341F"/>
    <w:rsid w:val="004A36FE"/>
    <w:rsid w:val="004A3D85"/>
    <w:rsid w:val="004A4213"/>
    <w:rsid w:val="004A4232"/>
    <w:rsid w:val="004A46FF"/>
    <w:rsid w:val="004A49B0"/>
    <w:rsid w:val="004A49C7"/>
    <w:rsid w:val="004A5104"/>
    <w:rsid w:val="004A5CF6"/>
    <w:rsid w:val="004A654C"/>
    <w:rsid w:val="004A7348"/>
    <w:rsid w:val="004A7EC5"/>
    <w:rsid w:val="004B060C"/>
    <w:rsid w:val="004B0AD1"/>
    <w:rsid w:val="004B11B7"/>
    <w:rsid w:val="004B1442"/>
    <w:rsid w:val="004B2128"/>
    <w:rsid w:val="004B2AE6"/>
    <w:rsid w:val="004B305B"/>
    <w:rsid w:val="004B30F6"/>
    <w:rsid w:val="004B3BB7"/>
    <w:rsid w:val="004B49D8"/>
    <w:rsid w:val="004B526A"/>
    <w:rsid w:val="004B5B01"/>
    <w:rsid w:val="004B612B"/>
    <w:rsid w:val="004B6C08"/>
    <w:rsid w:val="004B6D7D"/>
    <w:rsid w:val="004B716E"/>
    <w:rsid w:val="004C027C"/>
    <w:rsid w:val="004C1174"/>
    <w:rsid w:val="004C16FA"/>
    <w:rsid w:val="004C1854"/>
    <w:rsid w:val="004C1956"/>
    <w:rsid w:val="004C1EAD"/>
    <w:rsid w:val="004C23E2"/>
    <w:rsid w:val="004C2C1F"/>
    <w:rsid w:val="004C413A"/>
    <w:rsid w:val="004C528B"/>
    <w:rsid w:val="004C5EEC"/>
    <w:rsid w:val="004C6170"/>
    <w:rsid w:val="004C62A9"/>
    <w:rsid w:val="004C75E4"/>
    <w:rsid w:val="004C76F9"/>
    <w:rsid w:val="004C7AD0"/>
    <w:rsid w:val="004D0035"/>
    <w:rsid w:val="004D0851"/>
    <w:rsid w:val="004D0900"/>
    <w:rsid w:val="004D0D30"/>
    <w:rsid w:val="004D15C0"/>
    <w:rsid w:val="004D1B49"/>
    <w:rsid w:val="004D1EE7"/>
    <w:rsid w:val="004D26DC"/>
    <w:rsid w:val="004D2701"/>
    <w:rsid w:val="004D2FD0"/>
    <w:rsid w:val="004D34E1"/>
    <w:rsid w:val="004D3F99"/>
    <w:rsid w:val="004D41FB"/>
    <w:rsid w:val="004D5862"/>
    <w:rsid w:val="004D58BF"/>
    <w:rsid w:val="004D5CCD"/>
    <w:rsid w:val="004D60F5"/>
    <w:rsid w:val="004D6337"/>
    <w:rsid w:val="004D69FA"/>
    <w:rsid w:val="004D7157"/>
    <w:rsid w:val="004D767E"/>
    <w:rsid w:val="004D7A6B"/>
    <w:rsid w:val="004E0538"/>
    <w:rsid w:val="004E0545"/>
    <w:rsid w:val="004E07E9"/>
    <w:rsid w:val="004E0BE9"/>
    <w:rsid w:val="004E114E"/>
    <w:rsid w:val="004E130E"/>
    <w:rsid w:val="004E2275"/>
    <w:rsid w:val="004E2708"/>
    <w:rsid w:val="004E596C"/>
    <w:rsid w:val="004E5E87"/>
    <w:rsid w:val="004E6019"/>
    <w:rsid w:val="004E610C"/>
    <w:rsid w:val="004E61BB"/>
    <w:rsid w:val="004E6682"/>
    <w:rsid w:val="004E66B5"/>
    <w:rsid w:val="004E6BFF"/>
    <w:rsid w:val="004E6D8D"/>
    <w:rsid w:val="004E6ECA"/>
    <w:rsid w:val="004E6F68"/>
    <w:rsid w:val="004E7682"/>
    <w:rsid w:val="004F0CEE"/>
    <w:rsid w:val="004F112B"/>
    <w:rsid w:val="004F12CD"/>
    <w:rsid w:val="004F21BB"/>
    <w:rsid w:val="004F2FC6"/>
    <w:rsid w:val="004F4512"/>
    <w:rsid w:val="004F49FA"/>
    <w:rsid w:val="004F4E62"/>
    <w:rsid w:val="004F5813"/>
    <w:rsid w:val="004F5AEA"/>
    <w:rsid w:val="004F5EA8"/>
    <w:rsid w:val="004F5EE5"/>
    <w:rsid w:val="004F62B3"/>
    <w:rsid w:val="004F78AD"/>
    <w:rsid w:val="004F7DFB"/>
    <w:rsid w:val="00500A79"/>
    <w:rsid w:val="0050182E"/>
    <w:rsid w:val="00501F5F"/>
    <w:rsid w:val="005025EE"/>
    <w:rsid w:val="005029D7"/>
    <w:rsid w:val="00502EBB"/>
    <w:rsid w:val="00503340"/>
    <w:rsid w:val="0050346F"/>
    <w:rsid w:val="00503D86"/>
    <w:rsid w:val="005045C2"/>
    <w:rsid w:val="00504900"/>
    <w:rsid w:val="00504A6D"/>
    <w:rsid w:val="0050693A"/>
    <w:rsid w:val="00506EE6"/>
    <w:rsid w:val="00506F16"/>
    <w:rsid w:val="00507831"/>
    <w:rsid w:val="00507B9D"/>
    <w:rsid w:val="0051052F"/>
    <w:rsid w:val="0051107D"/>
    <w:rsid w:val="00511839"/>
    <w:rsid w:val="00511A1B"/>
    <w:rsid w:val="00512C89"/>
    <w:rsid w:val="00512F24"/>
    <w:rsid w:val="005130C0"/>
    <w:rsid w:val="005131AF"/>
    <w:rsid w:val="00513D09"/>
    <w:rsid w:val="00513E99"/>
    <w:rsid w:val="00513F8F"/>
    <w:rsid w:val="005148B4"/>
    <w:rsid w:val="00514A7E"/>
    <w:rsid w:val="00514BDC"/>
    <w:rsid w:val="005154FD"/>
    <w:rsid w:val="00515C72"/>
    <w:rsid w:val="00515D1C"/>
    <w:rsid w:val="005167C1"/>
    <w:rsid w:val="00516AED"/>
    <w:rsid w:val="00516D3A"/>
    <w:rsid w:val="005174F5"/>
    <w:rsid w:val="00517AE6"/>
    <w:rsid w:val="00517CDA"/>
    <w:rsid w:val="00517EF9"/>
    <w:rsid w:val="005202B5"/>
    <w:rsid w:val="00520450"/>
    <w:rsid w:val="00520BC9"/>
    <w:rsid w:val="00520FAD"/>
    <w:rsid w:val="00522871"/>
    <w:rsid w:val="00522B0D"/>
    <w:rsid w:val="00523940"/>
    <w:rsid w:val="005240FD"/>
    <w:rsid w:val="005241DD"/>
    <w:rsid w:val="00524F07"/>
    <w:rsid w:val="00525BD0"/>
    <w:rsid w:val="00525E22"/>
    <w:rsid w:val="005264A6"/>
    <w:rsid w:val="00526539"/>
    <w:rsid w:val="005271CA"/>
    <w:rsid w:val="00527970"/>
    <w:rsid w:val="00527AD1"/>
    <w:rsid w:val="00530E00"/>
    <w:rsid w:val="005310AD"/>
    <w:rsid w:val="005317AB"/>
    <w:rsid w:val="005325CB"/>
    <w:rsid w:val="005335B9"/>
    <w:rsid w:val="00534151"/>
    <w:rsid w:val="00534F00"/>
    <w:rsid w:val="00534FE5"/>
    <w:rsid w:val="0053607A"/>
    <w:rsid w:val="00536DA2"/>
    <w:rsid w:val="00537A52"/>
    <w:rsid w:val="00537EA5"/>
    <w:rsid w:val="00537F99"/>
    <w:rsid w:val="00540235"/>
    <w:rsid w:val="00540B53"/>
    <w:rsid w:val="00541B67"/>
    <w:rsid w:val="00542497"/>
    <w:rsid w:val="00542A13"/>
    <w:rsid w:val="00543199"/>
    <w:rsid w:val="00543615"/>
    <w:rsid w:val="0054370C"/>
    <w:rsid w:val="005449A0"/>
    <w:rsid w:val="00544AA8"/>
    <w:rsid w:val="00544E47"/>
    <w:rsid w:val="005460CC"/>
    <w:rsid w:val="00546591"/>
    <w:rsid w:val="00546674"/>
    <w:rsid w:val="00546A61"/>
    <w:rsid w:val="00546CA4"/>
    <w:rsid w:val="005471A7"/>
    <w:rsid w:val="005477EF"/>
    <w:rsid w:val="00547A4B"/>
    <w:rsid w:val="00547D57"/>
    <w:rsid w:val="005503BB"/>
    <w:rsid w:val="005503C0"/>
    <w:rsid w:val="00550573"/>
    <w:rsid w:val="00550774"/>
    <w:rsid w:val="00550A55"/>
    <w:rsid w:val="00550CBA"/>
    <w:rsid w:val="00551557"/>
    <w:rsid w:val="00551AE6"/>
    <w:rsid w:val="005521AF"/>
    <w:rsid w:val="00552554"/>
    <w:rsid w:val="005532F2"/>
    <w:rsid w:val="005537A3"/>
    <w:rsid w:val="00553BA2"/>
    <w:rsid w:val="00553D60"/>
    <w:rsid w:val="00553DC2"/>
    <w:rsid w:val="005564EC"/>
    <w:rsid w:val="00556B2D"/>
    <w:rsid w:val="005575CB"/>
    <w:rsid w:val="005578B0"/>
    <w:rsid w:val="0056077B"/>
    <w:rsid w:val="00561240"/>
    <w:rsid w:val="00561305"/>
    <w:rsid w:val="00561C8C"/>
    <w:rsid w:val="005627F4"/>
    <w:rsid w:val="0056346B"/>
    <w:rsid w:val="005636C8"/>
    <w:rsid w:val="005636DF"/>
    <w:rsid w:val="00563FB6"/>
    <w:rsid w:val="00564D9F"/>
    <w:rsid w:val="00564FF8"/>
    <w:rsid w:val="00565173"/>
    <w:rsid w:val="00565942"/>
    <w:rsid w:val="00565F65"/>
    <w:rsid w:val="0056639C"/>
    <w:rsid w:val="0056748D"/>
    <w:rsid w:val="005674EE"/>
    <w:rsid w:val="00570B89"/>
    <w:rsid w:val="00571783"/>
    <w:rsid w:val="00571BEB"/>
    <w:rsid w:val="00571F1E"/>
    <w:rsid w:val="00571FD7"/>
    <w:rsid w:val="00572401"/>
    <w:rsid w:val="005726E6"/>
    <w:rsid w:val="00572922"/>
    <w:rsid w:val="005733FD"/>
    <w:rsid w:val="00573823"/>
    <w:rsid w:val="005738F9"/>
    <w:rsid w:val="005740ED"/>
    <w:rsid w:val="005742FB"/>
    <w:rsid w:val="00574DC6"/>
    <w:rsid w:val="00575065"/>
    <w:rsid w:val="0057514E"/>
    <w:rsid w:val="005754DD"/>
    <w:rsid w:val="00575A24"/>
    <w:rsid w:val="00575CB3"/>
    <w:rsid w:val="005765CA"/>
    <w:rsid w:val="00576890"/>
    <w:rsid w:val="00576CB7"/>
    <w:rsid w:val="00576D4F"/>
    <w:rsid w:val="00577378"/>
    <w:rsid w:val="00577439"/>
    <w:rsid w:val="00577ADD"/>
    <w:rsid w:val="005800DD"/>
    <w:rsid w:val="005803CD"/>
    <w:rsid w:val="0058083A"/>
    <w:rsid w:val="005809A7"/>
    <w:rsid w:val="00580BE9"/>
    <w:rsid w:val="00581420"/>
    <w:rsid w:val="00581FA2"/>
    <w:rsid w:val="0058208D"/>
    <w:rsid w:val="005821E2"/>
    <w:rsid w:val="005823F6"/>
    <w:rsid w:val="0058263F"/>
    <w:rsid w:val="00583911"/>
    <w:rsid w:val="005839F3"/>
    <w:rsid w:val="00583B8F"/>
    <w:rsid w:val="00585072"/>
    <w:rsid w:val="005854D2"/>
    <w:rsid w:val="00585E6F"/>
    <w:rsid w:val="0058706A"/>
    <w:rsid w:val="005870DE"/>
    <w:rsid w:val="005872A9"/>
    <w:rsid w:val="005903D9"/>
    <w:rsid w:val="005904F1"/>
    <w:rsid w:val="00591B29"/>
    <w:rsid w:val="00591DD6"/>
    <w:rsid w:val="00592F24"/>
    <w:rsid w:val="00592FF3"/>
    <w:rsid w:val="00593694"/>
    <w:rsid w:val="0059377A"/>
    <w:rsid w:val="0059395A"/>
    <w:rsid w:val="00593D89"/>
    <w:rsid w:val="00594083"/>
    <w:rsid w:val="00594468"/>
    <w:rsid w:val="00595BEB"/>
    <w:rsid w:val="00595EE4"/>
    <w:rsid w:val="0059631F"/>
    <w:rsid w:val="00596FB5"/>
    <w:rsid w:val="00597E2B"/>
    <w:rsid w:val="005A05A9"/>
    <w:rsid w:val="005A0FE7"/>
    <w:rsid w:val="005A11B9"/>
    <w:rsid w:val="005A1C15"/>
    <w:rsid w:val="005A1DA0"/>
    <w:rsid w:val="005A1E07"/>
    <w:rsid w:val="005A2B11"/>
    <w:rsid w:val="005A3CA9"/>
    <w:rsid w:val="005A4228"/>
    <w:rsid w:val="005A5873"/>
    <w:rsid w:val="005A6A63"/>
    <w:rsid w:val="005B02EE"/>
    <w:rsid w:val="005B11A2"/>
    <w:rsid w:val="005B20F3"/>
    <w:rsid w:val="005B2C99"/>
    <w:rsid w:val="005B31DC"/>
    <w:rsid w:val="005B38DC"/>
    <w:rsid w:val="005B41C2"/>
    <w:rsid w:val="005B466E"/>
    <w:rsid w:val="005B49E0"/>
    <w:rsid w:val="005B4B26"/>
    <w:rsid w:val="005B4F6D"/>
    <w:rsid w:val="005B5143"/>
    <w:rsid w:val="005B5B00"/>
    <w:rsid w:val="005B5D11"/>
    <w:rsid w:val="005B6532"/>
    <w:rsid w:val="005B6971"/>
    <w:rsid w:val="005B71A9"/>
    <w:rsid w:val="005B7257"/>
    <w:rsid w:val="005B7A65"/>
    <w:rsid w:val="005B7AA2"/>
    <w:rsid w:val="005B7D30"/>
    <w:rsid w:val="005B7DF8"/>
    <w:rsid w:val="005B7EAB"/>
    <w:rsid w:val="005C2506"/>
    <w:rsid w:val="005C288E"/>
    <w:rsid w:val="005C2895"/>
    <w:rsid w:val="005C2ADF"/>
    <w:rsid w:val="005C39AB"/>
    <w:rsid w:val="005C3CC8"/>
    <w:rsid w:val="005C44D2"/>
    <w:rsid w:val="005C550F"/>
    <w:rsid w:val="005C5FF2"/>
    <w:rsid w:val="005C636B"/>
    <w:rsid w:val="005C6519"/>
    <w:rsid w:val="005C6748"/>
    <w:rsid w:val="005C687D"/>
    <w:rsid w:val="005C69F0"/>
    <w:rsid w:val="005C6CD3"/>
    <w:rsid w:val="005D0D3E"/>
    <w:rsid w:val="005D1032"/>
    <w:rsid w:val="005D161A"/>
    <w:rsid w:val="005D16B4"/>
    <w:rsid w:val="005D16E5"/>
    <w:rsid w:val="005D41B4"/>
    <w:rsid w:val="005D52F8"/>
    <w:rsid w:val="005D57BE"/>
    <w:rsid w:val="005D5F46"/>
    <w:rsid w:val="005D627E"/>
    <w:rsid w:val="005D7740"/>
    <w:rsid w:val="005D7BF2"/>
    <w:rsid w:val="005D7EE7"/>
    <w:rsid w:val="005E02DA"/>
    <w:rsid w:val="005E02E0"/>
    <w:rsid w:val="005E06D7"/>
    <w:rsid w:val="005E0C38"/>
    <w:rsid w:val="005E14B9"/>
    <w:rsid w:val="005E1639"/>
    <w:rsid w:val="005E1642"/>
    <w:rsid w:val="005E16D8"/>
    <w:rsid w:val="005E309C"/>
    <w:rsid w:val="005E314A"/>
    <w:rsid w:val="005E3CBD"/>
    <w:rsid w:val="005E4931"/>
    <w:rsid w:val="005E4D7A"/>
    <w:rsid w:val="005E67F3"/>
    <w:rsid w:val="005E6CF7"/>
    <w:rsid w:val="005E741D"/>
    <w:rsid w:val="005E763A"/>
    <w:rsid w:val="005E7E86"/>
    <w:rsid w:val="005F08FF"/>
    <w:rsid w:val="005F0FCA"/>
    <w:rsid w:val="005F1E9A"/>
    <w:rsid w:val="005F3311"/>
    <w:rsid w:val="005F355F"/>
    <w:rsid w:val="005F3780"/>
    <w:rsid w:val="005F43BF"/>
    <w:rsid w:val="005F4939"/>
    <w:rsid w:val="005F4953"/>
    <w:rsid w:val="005F4B92"/>
    <w:rsid w:val="005F5432"/>
    <w:rsid w:val="005F5B88"/>
    <w:rsid w:val="005F7283"/>
    <w:rsid w:val="005F77E1"/>
    <w:rsid w:val="006006A0"/>
    <w:rsid w:val="0060073D"/>
    <w:rsid w:val="00600B15"/>
    <w:rsid w:val="00601136"/>
    <w:rsid w:val="00601332"/>
    <w:rsid w:val="00601362"/>
    <w:rsid w:val="0060191B"/>
    <w:rsid w:val="00601A24"/>
    <w:rsid w:val="00601B52"/>
    <w:rsid w:val="00604234"/>
    <w:rsid w:val="006042C4"/>
    <w:rsid w:val="0060495D"/>
    <w:rsid w:val="00604E52"/>
    <w:rsid w:val="006052BD"/>
    <w:rsid w:val="00606143"/>
    <w:rsid w:val="006063C9"/>
    <w:rsid w:val="006066CF"/>
    <w:rsid w:val="00606E7B"/>
    <w:rsid w:val="006109D6"/>
    <w:rsid w:val="00610BA3"/>
    <w:rsid w:val="00610DE6"/>
    <w:rsid w:val="00611346"/>
    <w:rsid w:val="00611ED4"/>
    <w:rsid w:val="006120AD"/>
    <w:rsid w:val="006130CB"/>
    <w:rsid w:val="00613438"/>
    <w:rsid w:val="006136F4"/>
    <w:rsid w:val="00613ABD"/>
    <w:rsid w:val="00614110"/>
    <w:rsid w:val="00614851"/>
    <w:rsid w:val="00614D18"/>
    <w:rsid w:val="00614F12"/>
    <w:rsid w:val="006155D1"/>
    <w:rsid w:val="00615AE5"/>
    <w:rsid w:val="0061662E"/>
    <w:rsid w:val="00616A3A"/>
    <w:rsid w:val="00616AD3"/>
    <w:rsid w:val="0061798A"/>
    <w:rsid w:val="00617D40"/>
    <w:rsid w:val="00620953"/>
    <w:rsid w:val="00620D1C"/>
    <w:rsid w:val="0062161A"/>
    <w:rsid w:val="00622AA8"/>
    <w:rsid w:val="00622B17"/>
    <w:rsid w:val="0062376E"/>
    <w:rsid w:val="0062534D"/>
    <w:rsid w:val="0062539D"/>
    <w:rsid w:val="00625F94"/>
    <w:rsid w:val="00626162"/>
    <w:rsid w:val="00626441"/>
    <w:rsid w:val="006264D4"/>
    <w:rsid w:val="006268BF"/>
    <w:rsid w:val="00627046"/>
    <w:rsid w:val="00630497"/>
    <w:rsid w:val="00631F7D"/>
    <w:rsid w:val="00632474"/>
    <w:rsid w:val="006329C8"/>
    <w:rsid w:val="00632AEA"/>
    <w:rsid w:val="00632E02"/>
    <w:rsid w:val="00632E9D"/>
    <w:rsid w:val="0063306B"/>
    <w:rsid w:val="006330E2"/>
    <w:rsid w:val="00633E12"/>
    <w:rsid w:val="0063444A"/>
    <w:rsid w:val="00634753"/>
    <w:rsid w:val="00634E2B"/>
    <w:rsid w:val="00635A51"/>
    <w:rsid w:val="00636C77"/>
    <w:rsid w:val="00636EEC"/>
    <w:rsid w:val="0063718C"/>
    <w:rsid w:val="00637295"/>
    <w:rsid w:val="0063746A"/>
    <w:rsid w:val="00637D35"/>
    <w:rsid w:val="00640033"/>
    <w:rsid w:val="006405FC"/>
    <w:rsid w:val="00640775"/>
    <w:rsid w:val="0064142C"/>
    <w:rsid w:val="0064146F"/>
    <w:rsid w:val="006416DC"/>
    <w:rsid w:val="006416EA"/>
    <w:rsid w:val="006417D7"/>
    <w:rsid w:val="00641D58"/>
    <w:rsid w:val="0064224C"/>
    <w:rsid w:val="006423AF"/>
    <w:rsid w:val="00643410"/>
    <w:rsid w:val="00645625"/>
    <w:rsid w:val="00645C0D"/>
    <w:rsid w:val="006469A3"/>
    <w:rsid w:val="0064754E"/>
    <w:rsid w:val="00647551"/>
    <w:rsid w:val="00647A90"/>
    <w:rsid w:val="00647AA4"/>
    <w:rsid w:val="00647FC0"/>
    <w:rsid w:val="0065072D"/>
    <w:rsid w:val="00651189"/>
    <w:rsid w:val="00651E89"/>
    <w:rsid w:val="006530C8"/>
    <w:rsid w:val="00653272"/>
    <w:rsid w:val="006532EF"/>
    <w:rsid w:val="00653704"/>
    <w:rsid w:val="00654881"/>
    <w:rsid w:val="00654CFE"/>
    <w:rsid w:val="00655882"/>
    <w:rsid w:val="006560D9"/>
    <w:rsid w:val="00656453"/>
    <w:rsid w:val="00656686"/>
    <w:rsid w:val="0066024D"/>
    <w:rsid w:val="006602DB"/>
    <w:rsid w:val="0066038D"/>
    <w:rsid w:val="00660886"/>
    <w:rsid w:val="00660F44"/>
    <w:rsid w:val="006612C3"/>
    <w:rsid w:val="006613F9"/>
    <w:rsid w:val="006614C5"/>
    <w:rsid w:val="006629CC"/>
    <w:rsid w:val="00663058"/>
    <w:rsid w:val="00663081"/>
    <w:rsid w:val="00663490"/>
    <w:rsid w:val="00663B7B"/>
    <w:rsid w:val="0066469C"/>
    <w:rsid w:val="00664F71"/>
    <w:rsid w:val="0066596B"/>
    <w:rsid w:val="006663FE"/>
    <w:rsid w:val="006665E1"/>
    <w:rsid w:val="006668EA"/>
    <w:rsid w:val="00666A76"/>
    <w:rsid w:val="00666D4A"/>
    <w:rsid w:val="0066700D"/>
    <w:rsid w:val="00670395"/>
    <w:rsid w:val="006703E1"/>
    <w:rsid w:val="00670513"/>
    <w:rsid w:val="006715C0"/>
    <w:rsid w:val="006716EF"/>
    <w:rsid w:val="00672589"/>
    <w:rsid w:val="00672820"/>
    <w:rsid w:val="00672CC2"/>
    <w:rsid w:val="00673AF2"/>
    <w:rsid w:val="00675087"/>
    <w:rsid w:val="0067664D"/>
    <w:rsid w:val="006767E3"/>
    <w:rsid w:val="00676A99"/>
    <w:rsid w:val="00677150"/>
    <w:rsid w:val="00677629"/>
    <w:rsid w:val="00677892"/>
    <w:rsid w:val="00677897"/>
    <w:rsid w:val="00677D7B"/>
    <w:rsid w:val="00680533"/>
    <w:rsid w:val="00680BAB"/>
    <w:rsid w:val="00680F81"/>
    <w:rsid w:val="00681223"/>
    <w:rsid w:val="0068175C"/>
    <w:rsid w:val="00681DD7"/>
    <w:rsid w:val="006823E4"/>
    <w:rsid w:val="00683422"/>
    <w:rsid w:val="00683ADA"/>
    <w:rsid w:val="00684DDE"/>
    <w:rsid w:val="00685837"/>
    <w:rsid w:val="00685F11"/>
    <w:rsid w:val="00686EE9"/>
    <w:rsid w:val="00687008"/>
    <w:rsid w:val="00687035"/>
    <w:rsid w:val="006873AD"/>
    <w:rsid w:val="00687BBE"/>
    <w:rsid w:val="006902CE"/>
    <w:rsid w:val="00690344"/>
    <w:rsid w:val="006920CA"/>
    <w:rsid w:val="006924EE"/>
    <w:rsid w:val="0069306A"/>
    <w:rsid w:val="006932E4"/>
    <w:rsid w:val="00694041"/>
    <w:rsid w:val="006945A0"/>
    <w:rsid w:val="00694639"/>
    <w:rsid w:val="00694A4E"/>
    <w:rsid w:val="0069546C"/>
    <w:rsid w:val="00695502"/>
    <w:rsid w:val="006955FA"/>
    <w:rsid w:val="00695CEF"/>
    <w:rsid w:val="00697275"/>
    <w:rsid w:val="0069DE21"/>
    <w:rsid w:val="006A02C2"/>
    <w:rsid w:val="006A10D7"/>
    <w:rsid w:val="006A11B7"/>
    <w:rsid w:val="006A141D"/>
    <w:rsid w:val="006A191B"/>
    <w:rsid w:val="006A211A"/>
    <w:rsid w:val="006A2318"/>
    <w:rsid w:val="006A23E5"/>
    <w:rsid w:val="006A2B7F"/>
    <w:rsid w:val="006A339E"/>
    <w:rsid w:val="006A4600"/>
    <w:rsid w:val="006A4AD6"/>
    <w:rsid w:val="006A4B99"/>
    <w:rsid w:val="006A4E2A"/>
    <w:rsid w:val="006A5325"/>
    <w:rsid w:val="006A5350"/>
    <w:rsid w:val="006A5791"/>
    <w:rsid w:val="006A62D5"/>
    <w:rsid w:val="006A7A6D"/>
    <w:rsid w:val="006A7BA0"/>
    <w:rsid w:val="006B02AD"/>
    <w:rsid w:val="006B19F8"/>
    <w:rsid w:val="006B1B24"/>
    <w:rsid w:val="006B31BB"/>
    <w:rsid w:val="006B368F"/>
    <w:rsid w:val="006B3841"/>
    <w:rsid w:val="006B404F"/>
    <w:rsid w:val="006B5795"/>
    <w:rsid w:val="006B64E6"/>
    <w:rsid w:val="006B6AAC"/>
    <w:rsid w:val="006B7338"/>
    <w:rsid w:val="006B7A16"/>
    <w:rsid w:val="006B7E27"/>
    <w:rsid w:val="006C017E"/>
    <w:rsid w:val="006C0864"/>
    <w:rsid w:val="006C0B21"/>
    <w:rsid w:val="006C0C0A"/>
    <w:rsid w:val="006C10E8"/>
    <w:rsid w:val="006C11BE"/>
    <w:rsid w:val="006C1FEA"/>
    <w:rsid w:val="006C255E"/>
    <w:rsid w:val="006C25BA"/>
    <w:rsid w:val="006C2AD7"/>
    <w:rsid w:val="006C2E4B"/>
    <w:rsid w:val="006C2FD5"/>
    <w:rsid w:val="006C34FD"/>
    <w:rsid w:val="006C37E8"/>
    <w:rsid w:val="006C388E"/>
    <w:rsid w:val="006C458A"/>
    <w:rsid w:val="006C4749"/>
    <w:rsid w:val="006C4989"/>
    <w:rsid w:val="006C49B1"/>
    <w:rsid w:val="006C4FE9"/>
    <w:rsid w:val="006C54AA"/>
    <w:rsid w:val="006C550A"/>
    <w:rsid w:val="006C55C4"/>
    <w:rsid w:val="006C6083"/>
    <w:rsid w:val="006C63ED"/>
    <w:rsid w:val="006C694C"/>
    <w:rsid w:val="006C7068"/>
    <w:rsid w:val="006C70A6"/>
    <w:rsid w:val="006C7D95"/>
    <w:rsid w:val="006C7DF3"/>
    <w:rsid w:val="006D0201"/>
    <w:rsid w:val="006D0A4F"/>
    <w:rsid w:val="006D0BC2"/>
    <w:rsid w:val="006D0CF6"/>
    <w:rsid w:val="006D0E80"/>
    <w:rsid w:val="006D1686"/>
    <w:rsid w:val="006D18CC"/>
    <w:rsid w:val="006D1B94"/>
    <w:rsid w:val="006D1BC8"/>
    <w:rsid w:val="006D1C8F"/>
    <w:rsid w:val="006D2059"/>
    <w:rsid w:val="006D26F6"/>
    <w:rsid w:val="006D2DA9"/>
    <w:rsid w:val="006D4A0A"/>
    <w:rsid w:val="006D4DCE"/>
    <w:rsid w:val="006D4F3E"/>
    <w:rsid w:val="006D50D5"/>
    <w:rsid w:val="006D5323"/>
    <w:rsid w:val="006D5819"/>
    <w:rsid w:val="006D619B"/>
    <w:rsid w:val="006D7085"/>
    <w:rsid w:val="006E0020"/>
    <w:rsid w:val="006E0625"/>
    <w:rsid w:val="006E0B99"/>
    <w:rsid w:val="006E0E56"/>
    <w:rsid w:val="006E2363"/>
    <w:rsid w:val="006E2977"/>
    <w:rsid w:val="006E30A2"/>
    <w:rsid w:val="006E3143"/>
    <w:rsid w:val="006E3FB0"/>
    <w:rsid w:val="006E4092"/>
    <w:rsid w:val="006E4357"/>
    <w:rsid w:val="006E45C0"/>
    <w:rsid w:val="006E45DD"/>
    <w:rsid w:val="006E48C8"/>
    <w:rsid w:val="006E6058"/>
    <w:rsid w:val="006E6D5E"/>
    <w:rsid w:val="006E724B"/>
    <w:rsid w:val="006E7556"/>
    <w:rsid w:val="006E77FD"/>
    <w:rsid w:val="006E7A47"/>
    <w:rsid w:val="006E7A4B"/>
    <w:rsid w:val="006F0E22"/>
    <w:rsid w:val="006F10F9"/>
    <w:rsid w:val="006F14A3"/>
    <w:rsid w:val="006F22F9"/>
    <w:rsid w:val="006F2781"/>
    <w:rsid w:val="006F327B"/>
    <w:rsid w:val="006F348F"/>
    <w:rsid w:val="006F3FA3"/>
    <w:rsid w:val="006F412F"/>
    <w:rsid w:val="006F47D0"/>
    <w:rsid w:val="006F4DB3"/>
    <w:rsid w:val="006F4F6D"/>
    <w:rsid w:val="006F5042"/>
    <w:rsid w:val="006F5E1F"/>
    <w:rsid w:val="006F6602"/>
    <w:rsid w:val="006F717D"/>
    <w:rsid w:val="006F7752"/>
    <w:rsid w:val="006F7C82"/>
    <w:rsid w:val="007003BB"/>
    <w:rsid w:val="00700C62"/>
    <w:rsid w:val="007018BB"/>
    <w:rsid w:val="007018F9"/>
    <w:rsid w:val="00702222"/>
    <w:rsid w:val="00702DF1"/>
    <w:rsid w:val="00703636"/>
    <w:rsid w:val="00703FFF"/>
    <w:rsid w:val="007040FE"/>
    <w:rsid w:val="0070514A"/>
    <w:rsid w:val="00705553"/>
    <w:rsid w:val="00706137"/>
    <w:rsid w:val="007064F1"/>
    <w:rsid w:val="00706A6C"/>
    <w:rsid w:val="00706B91"/>
    <w:rsid w:val="00706C20"/>
    <w:rsid w:val="00706DEB"/>
    <w:rsid w:val="007078B3"/>
    <w:rsid w:val="00707A49"/>
    <w:rsid w:val="00710678"/>
    <w:rsid w:val="00710F75"/>
    <w:rsid w:val="00711220"/>
    <w:rsid w:val="00711279"/>
    <w:rsid w:val="00711281"/>
    <w:rsid w:val="0071192B"/>
    <w:rsid w:val="00711E17"/>
    <w:rsid w:val="00711FD7"/>
    <w:rsid w:val="007124D6"/>
    <w:rsid w:val="007125DE"/>
    <w:rsid w:val="00712C71"/>
    <w:rsid w:val="00712E4A"/>
    <w:rsid w:val="00714507"/>
    <w:rsid w:val="007149EA"/>
    <w:rsid w:val="00715F87"/>
    <w:rsid w:val="0071653B"/>
    <w:rsid w:val="00716B94"/>
    <w:rsid w:val="00716C06"/>
    <w:rsid w:val="00717947"/>
    <w:rsid w:val="00717B17"/>
    <w:rsid w:val="00720226"/>
    <w:rsid w:val="00720ABD"/>
    <w:rsid w:val="00720D3F"/>
    <w:rsid w:val="00721597"/>
    <w:rsid w:val="007215FB"/>
    <w:rsid w:val="007216BA"/>
    <w:rsid w:val="00721B2C"/>
    <w:rsid w:val="00721CC1"/>
    <w:rsid w:val="00721D23"/>
    <w:rsid w:val="00722186"/>
    <w:rsid w:val="00722316"/>
    <w:rsid w:val="00723612"/>
    <w:rsid w:val="007237E7"/>
    <w:rsid w:val="00724128"/>
    <w:rsid w:val="00724477"/>
    <w:rsid w:val="007245BF"/>
    <w:rsid w:val="00724649"/>
    <w:rsid w:val="0072465C"/>
    <w:rsid w:val="007248E1"/>
    <w:rsid w:val="00724C59"/>
    <w:rsid w:val="0072649D"/>
    <w:rsid w:val="00726600"/>
    <w:rsid w:val="007267ED"/>
    <w:rsid w:val="0072681E"/>
    <w:rsid w:val="00726A57"/>
    <w:rsid w:val="00726D4A"/>
    <w:rsid w:val="00726ECC"/>
    <w:rsid w:val="00727C88"/>
    <w:rsid w:val="00730377"/>
    <w:rsid w:val="00731AE4"/>
    <w:rsid w:val="007323FE"/>
    <w:rsid w:val="0073291B"/>
    <w:rsid w:val="007329AD"/>
    <w:rsid w:val="007335FD"/>
    <w:rsid w:val="0073471C"/>
    <w:rsid w:val="00734EEE"/>
    <w:rsid w:val="00735295"/>
    <w:rsid w:val="007354B0"/>
    <w:rsid w:val="007356EA"/>
    <w:rsid w:val="00735C7F"/>
    <w:rsid w:val="007364FA"/>
    <w:rsid w:val="00736D1F"/>
    <w:rsid w:val="00737864"/>
    <w:rsid w:val="0074032E"/>
    <w:rsid w:val="00741001"/>
    <w:rsid w:val="007417A3"/>
    <w:rsid w:val="00741B7E"/>
    <w:rsid w:val="007423BF"/>
    <w:rsid w:val="00745511"/>
    <w:rsid w:val="00745557"/>
    <w:rsid w:val="00745623"/>
    <w:rsid w:val="00746387"/>
    <w:rsid w:val="0074652D"/>
    <w:rsid w:val="00746606"/>
    <w:rsid w:val="00746920"/>
    <w:rsid w:val="00746D8C"/>
    <w:rsid w:val="0074769E"/>
    <w:rsid w:val="00747AEC"/>
    <w:rsid w:val="00747BEC"/>
    <w:rsid w:val="00747CF6"/>
    <w:rsid w:val="00750158"/>
    <w:rsid w:val="00750212"/>
    <w:rsid w:val="007511DC"/>
    <w:rsid w:val="00751FA1"/>
    <w:rsid w:val="00752042"/>
    <w:rsid w:val="00753FBA"/>
    <w:rsid w:val="0075404C"/>
    <w:rsid w:val="00754AAA"/>
    <w:rsid w:val="00754DAB"/>
    <w:rsid w:val="00755107"/>
    <w:rsid w:val="00755294"/>
    <w:rsid w:val="00755E72"/>
    <w:rsid w:val="007560FE"/>
    <w:rsid w:val="00756C00"/>
    <w:rsid w:val="007572A3"/>
    <w:rsid w:val="00757450"/>
    <w:rsid w:val="007578C1"/>
    <w:rsid w:val="0075796C"/>
    <w:rsid w:val="00760089"/>
    <w:rsid w:val="00760E62"/>
    <w:rsid w:val="00761850"/>
    <w:rsid w:val="007623A5"/>
    <w:rsid w:val="00762536"/>
    <w:rsid w:val="00762791"/>
    <w:rsid w:val="00762DE1"/>
    <w:rsid w:val="007631D0"/>
    <w:rsid w:val="00763343"/>
    <w:rsid w:val="00763594"/>
    <w:rsid w:val="00763CB9"/>
    <w:rsid w:val="00763D43"/>
    <w:rsid w:val="0076526F"/>
    <w:rsid w:val="00765C66"/>
    <w:rsid w:val="0076604D"/>
    <w:rsid w:val="0076657A"/>
    <w:rsid w:val="0076696D"/>
    <w:rsid w:val="00766CE4"/>
    <w:rsid w:val="00766D70"/>
    <w:rsid w:val="00766DCE"/>
    <w:rsid w:val="00767107"/>
    <w:rsid w:val="00767109"/>
    <w:rsid w:val="00767197"/>
    <w:rsid w:val="00767FFE"/>
    <w:rsid w:val="00770779"/>
    <w:rsid w:val="00770B8C"/>
    <w:rsid w:val="00770E4A"/>
    <w:rsid w:val="007712A6"/>
    <w:rsid w:val="00771E18"/>
    <w:rsid w:val="00772F27"/>
    <w:rsid w:val="007732A9"/>
    <w:rsid w:val="00773556"/>
    <w:rsid w:val="00773987"/>
    <w:rsid w:val="00774EAC"/>
    <w:rsid w:val="00775258"/>
    <w:rsid w:val="007754B4"/>
    <w:rsid w:val="00775B84"/>
    <w:rsid w:val="00776766"/>
    <w:rsid w:val="007769DF"/>
    <w:rsid w:val="00776F48"/>
    <w:rsid w:val="007778A6"/>
    <w:rsid w:val="00780575"/>
    <w:rsid w:val="0078078E"/>
    <w:rsid w:val="00781933"/>
    <w:rsid w:val="00781AF6"/>
    <w:rsid w:val="00781BD9"/>
    <w:rsid w:val="007829CA"/>
    <w:rsid w:val="007830FB"/>
    <w:rsid w:val="00783B21"/>
    <w:rsid w:val="00783E74"/>
    <w:rsid w:val="0078479D"/>
    <w:rsid w:val="00784CF9"/>
    <w:rsid w:val="007850E2"/>
    <w:rsid w:val="0078582B"/>
    <w:rsid w:val="007863BE"/>
    <w:rsid w:val="007866C4"/>
    <w:rsid w:val="00786CF4"/>
    <w:rsid w:val="0078710E"/>
    <w:rsid w:val="00787553"/>
    <w:rsid w:val="007904B6"/>
    <w:rsid w:val="00790985"/>
    <w:rsid w:val="00790D5F"/>
    <w:rsid w:val="00791332"/>
    <w:rsid w:val="00791BEF"/>
    <w:rsid w:val="00792AC2"/>
    <w:rsid w:val="0079327E"/>
    <w:rsid w:val="0079373A"/>
    <w:rsid w:val="007947BB"/>
    <w:rsid w:val="0079529F"/>
    <w:rsid w:val="007954FA"/>
    <w:rsid w:val="0079552D"/>
    <w:rsid w:val="007964B9"/>
    <w:rsid w:val="00796E81"/>
    <w:rsid w:val="00797726"/>
    <w:rsid w:val="00797B77"/>
    <w:rsid w:val="007A0113"/>
    <w:rsid w:val="007A0631"/>
    <w:rsid w:val="007A0A79"/>
    <w:rsid w:val="007A1385"/>
    <w:rsid w:val="007A179B"/>
    <w:rsid w:val="007A18F7"/>
    <w:rsid w:val="007A22A1"/>
    <w:rsid w:val="007A2476"/>
    <w:rsid w:val="007A2BA5"/>
    <w:rsid w:val="007A2DE3"/>
    <w:rsid w:val="007A35EB"/>
    <w:rsid w:val="007A3874"/>
    <w:rsid w:val="007A3C47"/>
    <w:rsid w:val="007A3C91"/>
    <w:rsid w:val="007A3E62"/>
    <w:rsid w:val="007A44D7"/>
    <w:rsid w:val="007A4FF2"/>
    <w:rsid w:val="007A5308"/>
    <w:rsid w:val="007A53DF"/>
    <w:rsid w:val="007A55A2"/>
    <w:rsid w:val="007A5EA5"/>
    <w:rsid w:val="007A69D9"/>
    <w:rsid w:val="007A7077"/>
    <w:rsid w:val="007A7214"/>
    <w:rsid w:val="007A74CE"/>
    <w:rsid w:val="007A74D4"/>
    <w:rsid w:val="007A7BF1"/>
    <w:rsid w:val="007B00B9"/>
    <w:rsid w:val="007B0CC9"/>
    <w:rsid w:val="007B11EB"/>
    <w:rsid w:val="007B1FF0"/>
    <w:rsid w:val="007B254C"/>
    <w:rsid w:val="007B267D"/>
    <w:rsid w:val="007B326A"/>
    <w:rsid w:val="007B40FB"/>
    <w:rsid w:val="007B42B5"/>
    <w:rsid w:val="007B4721"/>
    <w:rsid w:val="007B4C01"/>
    <w:rsid w:val="007B58D7"/>
    <w:rsid w:val="007B5BEB"/>
    <w:rsid w:val="007B5D5A"/>
    <w:rsid w:val="007B5E13"/>
    <w:rsid w:val="007B61DF"/>
    <w:rsid w:val="007B6234"/>
    <w:rsid w:val="007B6442"/>
    <w:rsid w:val="007B6A11"/>
    <w:rsid w:val="007B6F6A"/>
    <w:rsid w:val="007B721F"/>
    <w:rsid w:val="007B7590"/>
    <w:rsid w:val="007B7F8B"/>
    <w:rsid w:val="007C0B8D"/>
    <w:rsid w:val="007C0FDC"/>
    <w:rsid w:val="007C11A0"/>
    <w:rsid w:val="007C1C5F"/>
    <w:rsid w:val="007C214B"/>
    <w:rsid w:val="007C30F1"/>
    <w:rsid w:val="007C33EA"/>
    <w:rsid w:val="007C3A67"/>
    <w:rsid w:val="007C3D4D"/>
    <w:rsid w:val="007C3F61"/>
    <w:rsid w:val="007C551C"/>
    <w:rsid w:val="007C6DC7"/>
    <w:rsid w:val="007C6DF7"/>
    <w:rsid w:val="007C6F59"/>
    <w:rsid w:val="007C7042"/>
    <w:rsid w:val="007C75BA"/>
    <w:rsid w:val="007C7899"/>
    <w:rsid w:val="007C78F4"/>
    <w:rsid w:val="007D06AF"/>
    <w:rsid w:val="007D0803"/>
    <w:rsid w:val="007D0B3D"/>
    <w:rsid w:val="007D0CC9"/>
    <w:rsid w:val="007D0EB2"/>
    <w:rsid w:val="007D146D"/>
    <w:rsid w:val="007D1CF2"/>
    <w:rsid w:val="007D27E2"/>
    <w:rsid w:val="007D2A8D"/>
    <w:rsid w:val="007D3102"/>
    <w:rsid w:val="007D443B"/>
    <w:rsid w:val="007D45DD"/>
    <w:rsid w:val="007D4927"/>
    <w:rsid w:val="007D50D6"/>
    <w:rsid w:val="007D54C4"/>
    <w:rsid w:val="007D5936"/>
    <w:rsid w:val="007D59B3"/>
    <w:rsid w:val="007D624F"/>
    <w:rsid w:val="007E0D52"/>
    <w:rsid w:val="007E0F6D"/>
    <w:rsid w:val="007E17B1"/>
    <w:rsid w:val="007E185B"/>
    <w:rsid w:val="007E1988"/>
    <w:rsid w:val="007E288E"/>
    <w:rsid w:val="007E2A8C"/>
    <w:rsid w:val="007E2CC7"/>
    <w:rsid w:val="007E38D5"/>
    <w:rsid w:val="007E39DA"/>
    <w:rsid w:val="007E3E17"/>
    <w:rsid w:val="007E409E"/>
    <w:rsid w:val="007E53E6"/>
    <w:rsid w:val="007E54F1"/>
    <w:rsid w:val="007E5E67"/>
    <w:rsid w:val="007E5F2A"/>
    <w:rsid w:val="007E638C"/>
    <w:rsid w:val="007E67F4"/>
    <w:rsid w:val="007E68C4"/>
    <w:rsid w:val="007E6A64"/>
    <w:rsid w:val="007E6A88"/>
    <w:rsid w:val="007E730C"/>
    <w:rsid w:val="007E764A"/>
    <w:rsid w:val="007E7BE3"/>
    <w:rsid w:val="007F0178"/>
    <w:rsid w:val="007F0D68"/>
    <w:rsid w:val="007F1DC3"/>
    <w:rsid w:val="007F26B6"/>
    <w:rsid w:val="007F35E6"/>
    <w:rsid w:val="007F36DE"/>
    <w:rsid w:val="007F38CF"/>
    <w:rsid w:val="007F4380"/>
    <w:rsid w:val="007F46EF"/>
    <w:rsid w:val="007F4C89"/>
    <w:rsid w:val="007F6B0E"/>
    <w:rsid w:val="007F6E43"/>
    <w:rsid w:val="007F7BF8"/>
    <w:rsid w:val="00801327"/>
    <w:rsid w:val="008023EC"/>
    <w:rsid w:val="00802C47"/>
    <w:rsid w:val="00803751"/>
    <w:rsid w:val="00803FB0"/>
    <w:rsid w:val="0080613B"/>
    <w:rsid w:val="0080641D"/>
    <w:rsid w:val="0080727F"/>
    <w:rsid w:val="008074B9"/>
    <w:rsid w:val="00807D08"/>
    <w:rsid w:val="008106A9"/>
    <w:rsid w:val="00810EA7"/>
    <w:rsid w:val="00810F77"/>
    <w:rsid w:val="008134FF"/>
    <w:rsid w:val="00813A35"/>
    <w:rsid w:val="00815A70"/>
    <w:rsid w:val="00815E95"/>
    <w:rsid w:val="008166BA"/>
    <w:rsid w:val="008169C5"/>
    <w:rsid w:val="00816C8D"/>
    <w:rsid w:val="00817E92"/>
    <w:rsid w:val="00820176"/>
    <w:rsid w:val="008205C5"/>
    <w:rsid w:val="0082112B"/>
    <w:rsid w:val="00821BAA"/>
    <w:rsid w:val="00822968"/>
    <w:rsid w:val="00822B7C"/>
    <w:rsid w:val="00822F60"/>
    <w:rsid w:val="00823032"/>
    <w:rsid w:val="00823398"/>
    <w:rsid w:val="0082363B"/>
    <w:rsid w:val="00823ACB"/>
    <w:rsid w:val="00823D49"/>
    <w:rsid w:val="0082498C"/>
    <w:rsid w:val="00824A48"/>
    <w:rsid w:val="00824C28"/>
    <w:rsid w:val="0082562E"/>
    <w:rsid w:val="00825887"/>
    <w:rsid w:val="008265C2"/>
    <w:rsid w:val="00826955"/>
    <w:rsid w:val="00827499"/>
    <w:rsid w:val="00827546"/>
    <w:rsid w:val="00827835"/>
    <w:rsid w:val="00827E49"/>
    <w:rsid w:val="00830633"/>
    <w:rsid w:val="00830C8E"/>
    <w:rsid w:val="00832263"/>
    <w:rsid w:val="00832F6F"/>
    <w:rsid w:val="008332D2"/>
    <w:rsid w:val="00833471"/>
    <w:rsid w:val="00833799"/>
    <w:rsid w:val="00833B4F"/>
    <w:rsid w:val="00833D51"/>
    <w:rsid w:val="0083419C"/>
    <w:rsid w:val="00834DD9"/>
    <w:rsid w:val="008356D0"/>
    <w:rsid w:val="00835AED"/>
    <w:rsid w:val="00836DBA"/>
    <w:rsid w:val="00836E25"/>
    <w:rsid w:val="008374D3"/>
    <w:rsid w:val="008404F1"/>
    <w:rsid w:val="00840783"/>
    <w:rsid w:val="0084086C"/>
    <w:rsid w:val="00841210"/>
    <w:rsid w:val="00841F06"/>
    <w:rsid w:val="008421BD"/>
    <w:rsid w:val="008429E1"/>
    <w:rsid w:val="00842E5A"/>
    <w:rsid w:val="00842E95"/>
    <w:rsid w:val="00843F13"/>
    <w:rsid w:val="008445A8"/>
    <w:rsid w:val="008445B8"/>
    <w:rsid w:val="0084526F"/>
    <w:rsid w:val="00845D84"/>
    <w:rsid w:val="00845E63"/>
    <w:rsid w:val="00846603"/>
    <w:rsid w:val="008471D7"/>
    <w:rsid w:val="0084761F"/>
    <w:rsid w:val="00847CF3"/>
    <w:rsid w:val="00847EC3"/>
    <w:rsid w:val="008500B6"/>
    <w:rsid w:val="008501A0"/>
    <w:rsid w:val="00850614"/>
    <w:rsid w:val="00851649"/>
    <w:rsid w:val="0085166F"/>
    <w:rsid w:val="00852759"/>
    <w:rsid w:val="00852DBB"/>
    <w:rsid w:val="008532F2"/>
    <w:rsid w:val="00853405"/>
    <w:rsid w:val="0085391F"/>
    <w:rsid w:val="008548F2"/>
    <w:rsid w:val="0085495B"/>
    <w:rsid w:val="00854C68"/>
    <w:rsid w:val="00855F7A"/>
    <w:rsid w:val="0085689B"/>
    <w:rsid w:val="00856AA9"/>
    <w:rsid w:val="00857435"/>
    <w:rsid w:val="008576D7"/>
    <w:rsid w:val="00857A3F"/>
    <w:rsid w:val="00857B4C"/>
    <w:rsid w:val="00857B8E"/>
    <w:rsid w:val="00857FDF"/>
    <w:rsid w:val="008607A5"/>
    <w:rsid w:val="00860F96"/>
    <w:rsid w:val="00861091"/>
    <w:rsid w:val="008615FB"/>
    <w:rsid w:val="00861C3E"/>
    <w:rsid w:val="00862C12"/>
    <w:rsid w:val="008632EB"/>
    <w:rsid w:val="00863457"/>
    <w:rsid w:val="00863E29"/>
    <w:rsid w:val="008647B4"/>
    <w:rsid w:val="00864DAB"/>
    <w:rsid w:val="00865461"/>
    <w:rsid w:val="00865965"/>
    <w:rsid w:val="00865ABA"/>
    <w:rsid w:val="00865E78"/>
    <w:rsid w:val="00866EA8"/>
    <w:rsid w:val="00867938"/>
    <w:rsid w:val="008701FC"/>
    <w:rsid w:val="00870A1E"/>
    <w:rsid w:val="008716ED"/>
    <w:rsid w:val="00871771"/>
    <w:rsid w:val="00871D3C"/>
    <w:rsid w:val="00872325"/>
    <w:rsid w:val="0087252F"/>
    <w:rsid w:val="00873926"/>
    <w:rsid w:val="00873A75"/>
    <w:rsid w:val="00873E84"/>
    <w:rsid w:val="00874399"/>
    <w:rsid w:val="00874F83"/>
    <w:rsid w:val="0087553B"/>
    <w:rsid w:val="00875749"/>
    <w:rsid w:val="00875C07"/>
    <w:rsid w:val="00876698"/>
    <w:rsid w:val="00876D4C"/>
    <w:rsid w:val="00877ADF"/>
    <w:rsid w:val="0088009E"/>
    <w:rsid w:val="00880C58"/>
    <w:rsid w:val="00880D4D"/>
    <w:rsid w:val="00881758"/>
    <w:rsid w:val="0088177C"/>
    <w:rsid w:val="008827AF"/>
    <w:rsid w:val="00882A6B"/>
    <w:rsid w:val="008832FC"/>
    <w:rsid w:val="008837E0"/>
    <w:rsid w:val="00883C7E"/>
    <w:rsid w:val="00883D1C"/>
    <w:rsid w:val="00883E92"/>
    <w:rsid w:val="0088420F"/>
    <w:rsid w:val="008843AF"/>
    <w:rsid w:val="00884ED0"/>
    <w:rsid w:val="008850A4"/>
    <w:rsid w:val="008858A0"/>
    <w:rsid w:val="008859E4"/>
    <w:rsid w:val="00885F2A"/>
    <w:rsid w:val="00886AB1"/>
    <w:rsid w:val="00886F0A"/>
    <w:rsid w:val="0088724B"/>
    <w:rsid w:val="00890367"/>
    <w:rsid w:val="0089049B"/>
    <w:rsid w:val="00890823"/>
    <w:rsid w:val="00891063"/>
    <w:rsid w:val="00891BE6"/>
    <w:rsid w:val="0089279F"/>
    <w:rsid w:val="00892BCB"/>
    <w:rsid w:val="00893979"/>
    <w:rsid w:val="00893D49"/>
    <w:rsid w:val="008950CA"/>
    <w:rsid w:val="00895CE5"/>
    <w:rsid w:val="008967A0"/>
    <w:rsid w:val="00896B86"/>
    <w:rsid w:val="00896CDB"/>
    <w:rsid w:val="008974F1"/>
    <w:rsid w:val="00897F3C"/>
    <w:rsid w:val="008A02ED"/>
    <w:rsid w:val="008A0CE8"/>
    <w:rsid w:val="008A1708"/>
    <w:rsid w:val="008A20B0"/>
    <w:rsid w:val="008A22CE"/>
    <w:rsid w:val="008A2D4B"/>
    <w:rsid w:val="008A2E69"/>
    <w:rsid w:val="008A3676"/>
    <w:rsid w:val="008A3922"/>
    <w:rsid w:val="008A3F49"/>
    <w:rsid w:val="008A401F"/>
    <w:rsid w:val="008A56F2"/>
    <w:rsid w:val="008A584D"/>
    <w:rsid w:val="008A78A1"/>
    <w:rsid w:val="008A7DB7"/>
    <w:rsid w:val="008B009D"/>
    <w:rsid w:val="008B0C3B"/>
    <w:rsid w:val="008B10AE"/>
    <w:rsid w:val="008B1E95"/>
    <w:rsid w:val="008B247A"/>
    <w:rsid w:val="008B30D6"/>
    <w:rsid w:val="008B3154"/>
    <w:rsid w:val="008B352D"/>
    <w:rsid w:val="008B3626"/>
    <w:rsid w:val="008B3FF7"/>
    <w:rsid w:val="008B5335"/>
    <w:rsid w:val="008B54FE"/>
    <w:rsid w:val="008B57E9"/>
    <w:rsid w:val="008B58A2"/>
    <w:rsid w:val="008B5CED"/>
    <w:rsid w:val="008B5D65"/>
    <w:rsid w:val="008B66D2"/>
    <w:rsid w:val="008B6B1E"/>
    <w:rsid w:val="008B6C99"/>
    <w:rsid w:val="008B7145"/>
    <w:rsid w:val="008B7208"/>
    <w:rsid w:val="008C076B"/>
    <w:rsid w:val="008C1C7E"/>
    <w:rsid w:val="008C1D81"/>
    <w:rsid w:val="008C1FE7"/>
    <w:rsid w:val="008C2019"/>
    <w:rsid w:val="008C239D"/>
    <w:rsid w:val="008C24E8"/>
    <w:rsid w:val="008C2586"/>
    <w:rsid w:val="008C2FCE"/>
    <w:rsid w:val="008C308B"/>
    <w:rsid w:val="008C31F2"/>
    <w:rsid w:val="008C323D"/>
    <w:rsid w:val="008C5242"/>
    <w:rsid w:val="008C5B8D"/>
    <w:rsid w:val="008C6940"/>
    <w:rsid w:val="008C7119"/>
    <w:rsid w:val="008C7129"/>
    <w:rsid w:val="008D08E9"/>
    <w:rsid w:val="008D1303"/>
    <w:rsid w:val="008D1649"/>
    <w:rsid w:val="008D1809"/>
    <w:rsid w:val="008D19CC"/>
    <w:rsid w:val="008D2C04"/>
    <w:rsid w:val="008D33CB"/>
    <w:rsid w:val="008D3EF2"/>
    <w:rsid w:val="008D4B9E"/>
    <w:rsid w:val="008D4F14"/>
    <w:rsid w:val="008D6389"/>
    <w:rsid w:val="008D7A33"/>
    <w:rsid w:val="008D7C34"/>
    <w:rsid w:val="008D7C77"/>
    <w:rsid w:val="008E0306"/>
    <w:rsid w:val="008E0983"/>
    <w:rsid w:val="008E1D2C"/>
    <w:rsid w:val="008E3A41"/>
    <w:rsid w:val="008E4554"/>
    <w:rsid w:val="008E46C4"/>
    <w:rsid w:val="008E487E"/>
    <w:rsid w:val="008E4AE1"/>
    <w:rsid w:val="008E512C"/>
    <w:rsid w:val="008E5614"/>
    <w:rsid w:val="008E579D"/>
    <w:rsid w:val="008E5E4A"/>
    <w:rsid w:val="008E607C"/>
    <w:rsid w:val="008E667D"/>
    <w:rsid w:val="008E7465"/>
    <w:rsid w:val="008F074D"/>
    <w:rsid w:val="008F0750"/>
    <w:rsid w:val="008F0AFE"/>
    <w:rsid w:val="008F0B94"/>
    <w:rsid w:val="008F0D83"/>
    <w:rsid w:val="008F0EA1"/>
    <w:rsid w:val="008F150C"/>
    <w:rsid w:val="008F1555"/>
    <w:rsid w:val="008F1C90"/>
    <w:rsid w:val="008F1C9C"/>
    <w:rsid w:val="008F25DC"/>
    <w:rsid w:val="008F313D"/>
    <w:rsid w:val="008F3414"/>
    <w:rsid w:val="008F36E8"/>
    <w:rsid w:val="008F4BA1"/>
    <w:rsid w:val="008F4E6A"/>
    <w:rsid w:val="008F54FE"/>
    <w:rsid w:val="008F6B1B"/>
    <w:rsid w:val="008F74D1"/>
    <w:rsid w:val="008F775D"/>
    <w:rsid w:val="008F7B96"/>
    <w:rsid w:val="00900077"/>
    <w:rsid w:val="0090056B"/>
    <w:rsid w:val="00900653"/>
    <w:rsid w:val="00900697"/>
    <w:rsid w:val="00901457"/>
    <w:rsid w:val="00901BCE"/>
    <w:rsid w:val="0090204B"/>
    <w:rsid w:val="009032E3"/>
    <w:rsid w:val="00903B29"/>
    <w:rsid w:val="00904E7E"/>
    <w:rsid w:val="009051E3"/>
    <w:rsid w:val="00905BEC"/>
    <w:rsid w:val="00905FEB"/>
    <w:rsid w:val="00906807"/>
    <w:rsid w:val="00906C05"/>
    <w:rsid w:val="00906D3E"/>
    <w:rsid w:val="00906D78"/>
    <w:rsid w:val="00906E35"/>
    <w:rsid w:val="009075B3"/>
    <w:rsid w:val="0090790D"/>
    <w:rsid w:val="00911FFB"/>
    <w:rsid w:val="009121BD"/>
    <w:rsid w:val="00912664"/>
    <w:rsid w:val="00912A92"/>
    <w:rsid w:val="00912C5B"/>
    <w:rsid w:val="0091358A"/>
    <w:rsid w:val="00913CC0"/>
    <w:rsid w:val="009147B9"/>
    <w:rsid w:val="00914CFF"/>
    <w:rsid w:val="00915026"/>
    <w:rsid w:val="00915B10"/>
    <w:rsid w:val="00915C59"/>
    <w:rsid w:val="00916FC5"/>
    <w:rsid w:val="00917402"/>
    <w:rsid w:val="00920463"/>
    <w:rsid w:val="009204FD"/>
    <w:rsid w:val="00920874"/>
    <w:rsid w:val="00921914"/>
    <w:rsid w:val="00921B56"/>
    <w:rsid w:val="00921C6F"/>
    <w:rsid w:val="00921C85"/>
    <w:rsid w:val="00921F17"/>
    <w:rsid w:val="00922327"/>
    <w:rsid w:val="00922FFC"/>
    <w:rsid w:val="009239ED"/>
    <w:rsid w:val="00923D0E"/>
    <w:rsid w:val="00925965"/>
    <w:rsid w:val="00925E18"/>
    <w:rsid w:val="00925E65"/>
    <w:rsid w:val="0092689A"/>
    <w:rsid w:val="00926B69"/>
    <w:rsid w:val="00926D22"/>
    <w:rsid w:val="009272AC"/>
    <w:rsid w:val="009274D8"/>
    <w:rsid w:val="009279E0"/>
    <w:rsid w:val="00927FE6"/>
    <w:rsid w:val="00930586"/>
    <w:rsid w:val="009306EC"/>
    <w:rsid w:val="0093087B"/>
    <w:rsid w:val="00930EDF"/>
    <w:rsid w:val="0093120B"/>
    <w:rsid w:val="00931F83"/>
    <w:rsid w:val="009326AC"/>
    <w:rsid w:val="00933010"/>
    <w:rsid w:val="009343EE"/>
    <w:rsid w:val="00934E63"/>
    <w:rsid w:val="00936056"/>
    <w:rsid w:val="0093720E"/>
    <w:rsid w:val="0093751E"/>
    <w:rsid w:val="009376B5"/>
    <w:rsid w:val="00937BB9"/>
    <w:rsid w:val="00940C3C"/>
    <w:rsid w:val="00940DA0"/>
    <w:rsid w:val="009413A6"/>
    <w:rsid w:val="00942175"/>
    <w:rsid w:val="009422AB"/>
    <w:rsid w:val="009422E6"/>
    <w:rsid w:val="00942774"/>
    <w:rsid w:val="00942C8F"/>
    <w:rsid w:val="009431F7"/>
    <w:rsid w:val="00943B54"/>
    <w:rsid w:val="009443A4"/>
    <w:rsid w:val="0094489E"/>
    <w:rsid w:val="00944BD9"/>
    <w:rsid w:val="00944C5A"/>
    <w:rsid w:val="00945447"/>
    <w:rsid w:val="00945DBB"/>
    <w:rsid w:val="00945E2B"/>
    <w:rsid w:val="00946840"/>
    <w:rsid w:val="0094690B"/>
    <w:rsid w:val="009474B1"/>
    <w:rsid w:val="0094791E"/>
    <w:rsid w:val="00950186"/>
    <w:rsid w:val="00950590"/>
    <w:rsid w:val="00950764"/>
    <w:rsid w:val="00951EED"/>
    <w:rsid w:val="00952D24"/>
    <w:rsid w:val="00952D49"/>
    <w:rsid w:val="00953006"/>
    <w:rsid w:val="00953699"/>
    <w:rsid w:val="00953A10"/>
    <w:rsid w:val="00954929"/>
    <w:rsid w:val="00954B29"/>
    <w:rsid w:val="00955CD6"/>
    <w:rsid w:val="00956740"/>
    <w:rsid w:val="00956BEF"/>
    <w:rsid w:val="0095727D"/>
    <w:rsid w:val="00957460"/>
    <w:rsid w:val="00957B2D"/>
    <w:rsid w:val="00957F0F"/>
    <w:rsid w:val="00960325"/>
    <w:rsid w:val="00961198"/>
    <w:rsid w:val="0096143B"/>
    <w:rsid w:val="00961816"/>
    <w:rsid w:val="009620E6"/>
    <w:rsid w:val="00962829"/>
    <w:rsid w:val="00963A0F"/>
    <w:rsid w:val="00963A94"/>
    <w:rsid w:val="009645E9"/>
    <w:rsid w:val="00964E27"/>
    <w:rsid w:val="00964E43"/>
    <w:rsid w:val="00965784"/>
    <w:rsid w:val="00965C2B"/>
    <w:rsid w:val="0096658F"/>
    <w:rsid w:val="00966BD3"/>
    <w:rsid w:val="00967B1C"/>
    <w:rsid w:val="00967E8B"/>
    <w:rsid w:val="00970683"/>
    <w:rsid w:val="00970D1B"/>
    <w:rsid w:val="00971748"/>
    <w:rsid w:val="00971C50"/>
    <w:rsid w:val="00971EC7"/>
    <w:rsid w:val="00972C47"/>
    <w:rsid w:val="009730A5"/>
    <w:rsid w:val="00973768"/>
    <w:rsid w:val="009742FD"/>
    <w:rsid w:val="0097459F"/>
    <w:rsid w:val="00974B0B"/>
    <w:rsid w:val="0097511E"/>
    <w:rsid w:val="00975663"/>
    <w:rsid w:val="00975D43"/>
    <w:rsid w:val="00976B98"/>
    <w:rsid w:val="00976EDA"/>
    <w:rsid w:val="0097746B"/>
    <w:rsid w:val="00977B3D"/>
    <w:rsid w:val="0097A55B"/>
    <w:rsid w:val="0098016B"/>
    <w:rsid w:val="00980420"/>
    <w:rsid w:val="00980A01"/>
    <w:rsid w:val="00980BF8"/>
    <w:rsid w:val="00981596"/>
    <w:rsid w:val="009818B1"/>
    <w:rsid w:val="00982145"/>
    <w:rsid w:val="009827B9"/>
    <w:rsid w:val="00982E60"/>
    <w:rsid w:val="00982ED9"/>
    <w:rsid w:val="00983E9E"/>
    <w:rsid w:val="009840B3"/>
    <w:rsid w:val="009853BE"/>
    <w:rsid w:val="00985779"/>
    <w:rsid w:val="00986222"/>
    <w:rsid w:val="00986612"/>
    <w:rsid w:val="0098693E"/>
    <w:rsid w:val="009872A7"/>
    <w:rsid w:val="00987FA1"/>
    <w:rsid w:val="00990CD9"/>
    <w:rsid w:val="0099123A"/>
    <w:rsid w:val="00991563"/>
    <w:rsid w:val="00992416"/>
    <w:rsid w:val="00992F6B"/>
    <w:rsid w:val="0099320D"/>
    <w:rsid w:val="009936E1"/>
    <w:rsid w:val="00993763"/>
    <w:rsid w:val="00993E0B"/>
    <w:rsid w:val="0099408B"/>
    <w:rsid w:val="00994C7A"/>
    <w:rsid w:val="00995370"/>
    <w:rsid w:val="00995BE1"/>
    <w:rsid w:val="00995FFC"/>
    <w:rsid w:val="0099618B"/>
    <w:rsid w:val="0099644D"/>
    <w:rsid w:val="0099673B"/>
    <w:rsid w:val="00996767"/>
    <w:rsid w:val="00996A4B"/>
    <w:rsid w:val="00996B41"/>
    <w:rsid w:val="00996FE7"/>
    <w:rsid w:val="00997A0A"/>
    <w:rsid w:val="00997F8C"/>
    <w:rsid w:val="009A0C9A"/>
    <w:rsid w:val="009A0CEC"/>
    <w:rsid w:val="009A120F"/>
    <w:rsid w:val="009A17BC"/>
    <w:rsid w:val="009A18D7"/>
    <w:rsid w:val="009A18E8"/>
    <w:rsid w:val="009A1B15"/>
    <w:rsid w:val="009A2028"/>
    <w:rsid w:val="009A2D97"/>
    <w:rsid w:val="009A34EE"/>
    <w:rsid w:val="009A4CEF"/>
    <w:rsid w:val="009A526C"/>
    <w:rsid w:val="009A53D7"/>
    <w:rsid w:val="009A5832"/>
    <w:rsid w:val="009A5A2A"/>
    <w:rsid w:val="009A5EF0"/>
    <w:rsid w:val="009A6114"/>
    <w:rsid w:val="009A77D2"/>
    <w:rsid w:val="009A7C0F"/>
    <w:rsid w:val="009B021F"/>
    <w:rsid w:val="009B0AA9"/>
    <w:rsid w:val="009B0C63"/>
    <w:rsid w:val="009B1A2A"/>
    <w:rsid w:val="009B1CFF"/>
    <w:rsid w:val="009B1DD7"/>
    <w:rsid w:val="009B2BDE"/>
    <w:rsid w:val="009B2CDD"/>
    <w:rsid w:val="009B2D26"/>
    <w:rsid w:val="009B388B"/>
    <w:rsid w:val="009B3F29"/>
    <w:rsid w:val="009B50D7"/>
    <w:rsid w:val="009B6805"/>
    <w:rsid w:val="009B6841"/>
    <w:rsid w:val="009B6EEF"/>
    <w:rsid w:val="009B7EAD"/>
    <w:rsid w:val="009B7EAF"/>
    <w:rsid w:val="009C02ED"/>
    <w:rsid w:val="009C03A1"/>
    <w:rsid w:val="009C1771"/>
    <w:rsid w:val="009C2838"/>
    <w:rsid w:val="009C2AF9"/>
    <w:rsid w:val="009C3D5A"/>
    <w:rsid w:val="009C43CE"/>
    <w:rsid w:val="009C47D9"/>
    <w:rsid w:val="009C4880"/>
    <w:rsid w:val="009C68C5"/>
    <w:rsid w:val="009C74D8"/>
    <w:rsid w:val="009C7662"/>
    <w:rsid w:val="009C7F0F"/>
    <w:rsid w:val="009D095A"/>
    <w:rsid w:val="009D0CFF"/>
    <w:rsid w:val="009D0E9D"/>
    <w:rsid w:val="009D1238"/>
    <w:rsid w:val="009D1B54"/>
    <w:rsid w:val="009D1E84"/>
    <w:rsid w:val="009D1EAB"/>
    <w:rsid w:val="009D2E6E"/>
    <w:rsid w:val="009D3296"/>
    <w:rsid w:val="009D33AF"/>
    <w:rsid w:val="009D3DF9"/>
    <w:rsid w:val="009D3F3E"/>
    <w:rsid w:val="009D44BE"/>
    <w:rsid w:val="009D4B20"/>
    <w:rsid w:val="009D510B"/>
    <w:rsid w:val="009D626D"/>
    <w:rsid w:val="009D7560"/>
    <w:rsid w:val="009E012A"/>
    <w:rsid w:val="009E06C5"/>
    <w:rsid w:val="009E0981"/>
    <w:rsid w:val="009E0FF4"/>
    <w:rsid w:val="009E1952"/>
    <w:rsid w:val="009E2ECD"/>
    <w:rsid w:val="009E34FD"/>
    <w:rsid w:val="009E3FAD"/>
    <w:rsid w:val="009E470C"/>
    <w:rsid w:val="009E491C"/>
    <w:rsid w:val="009E5BE8"/>
    <w:rsid w:val="009E5EA8"/>
    <w:rsid w:val="009E61A9"/>
    <w:rsid w:val="009E6372"/>
    <w:rsid w:val="009E67C2"/>
    <w:rsid w:val="009E6A5A"/>
    <w:rsid w:val="009E72A4"/>
    <w:rsid w:val="009E7895"/>
    <w:rsid w:val="009E7BAF"/>
    <w:rsid w:val="009F01DE"/>
    <w:rsid w:val="009F055A"/>
    <w:rsid w:val="009F0813"/>
    <w:rsid w:val="009F1718"/>
    <w:rsid w:val="009F1AC5"/>
    <w:rsid w:val="009F1C03"/>
    <w:rsid w:val="009F1F0E"/>
    <w:rsid w:val="009F25E6"/>
    <w:rsid w:val="009F26C1"/>
    <w:rsid w:val="009F574B"/>
    <w:rsid w:val="009F6CDF"/>
    <w:rsid w:val="009F6FFE"/>
    <w:rsid w:val="009F706A"/>
    <w:rsid w:val="009F728C"/>
    <w:rsid w:val="009F753F"/>
    <w:rsid w:val="009F77B8"/>
    <w:rsid w:val="00A009A9"/>
    <w:rsid w:val="00A00AE4"/>
    <w:rsid w:val="00A00B73"/>
    <w:rsid w:val="00A00D13"/>
    <w:rsid w:val="00A00E8F"/>
    <w:rsid w:val="00A01063"/>
    <w:rsid w:val="00A02862"/>
    <w:rsid w:val="00A02E6B"/>
    <w:rsid w:val="00A03CF7"/>
    <w:rsid w:val="00A03EE6"/>
    <w:rsid w:val="00A04BA7"/>
    <w:rsid w:val="00A04BBA"/>
    <w:rsid w:val="00A05307"/>
    <w:rsid w:val="00A053D4"/>
    <w:rsid w:val="00A065DE"/>
    <w:rsid w:val="00A068F2"/>
    <w:rsid w:val="00A0739F"/>
    <w:rsid w:val="00A076E4"/>
    <w:rsid w:val="00A07AE7"/>
    <w:rsid w:val="00A07EB0"/>
    <w:rsid w:val="00A100FC"/>
    <w:rsid w:val="00A104D6"/>
    <w:rsid w:val="00A10796"/>
    <w:rsid w:val="00A10811"/>
    <w:rsid w:val="00A1128C"/>
    <w:rsid w:val="00A115D3"/>
    <w:rsid w:val="00A1190E"/>
    <w:rsid w:val="00A12CCC"/>
    <w:rsid w:val="00A135EA"/>
    <w:rsid w:val="00A13C1E"/>
    <w:rsid w:val="00A13CF7"/>
    <w:rsid w:val="00A152A1"/>
    <w:rsid w:val="00A15348"/>
    <w:rsid w:val="00A153B8"/>
    <w:rsid w:val="00A15FC1"/>
    <w:rsid w:val="00A16197"/>
    <w:rsid w:val="00A16916"/>
    <w:rsid w:val="00A17210"/>
    <w:rsid w:val="00A176B9"/>
    <w:rsid w:val="00A17C63"/>
    <w:rsid w:val="00A20957"/>
    <w:rsid w:val="00A20F70"/>
    <w:rsid w:val="00A21432"/>
    <w:rsid w:val="00A22A6A"/>
    <w:rsid w:val="00A2308C"/>
    <w:rsid w:val="00A233EA"/>
    <w:rsid w:val="00A239C5"/>
    <w:rsid w:val="00A23EA2"/>
    <w:rsid w:val="00A240F5"/>
    <w:rsid w:val="00A246F6"/>
    <w:rsid w:val="00A24AAF"/>
    <w:rsid w:val="00A24C22"/>
    <w:rsid w:val="00A25979"/>
    <w:rsid w:val="00A25A04"/>
    <w:rsid w:val="00A2650B"/>
    <w:rsid w:val="00A269EE"/>
    <w:rsid w:val="00A26B39"/>
    <w:rsid w:val="00A27281"/>
    <w:rsid w:val="00A27E66"/>
    <w:rsid w:val="00A3023D"/>
    <w:rsid w:val="00A303C2"/>
    <w:rsid w:val="00A305F5"/>
    <w:rsid w:val="00A31113"/>
    <w:rsid w:val="00A32AAF"/>
    <w:rsid w:val="00A3357C"/>
    <w:rsid w:val="00A33BF6"/>
    <w:rsid w:val="00A340D2"/>
    <w:rsid w:val="00A358DF"/>
    <w:rsid w:val="00A36A9B"/>
    <w:rsid w:val="00A36E05"/>
    <w:rsid w:val="00A37588"/>
    <w:rsid w:val="00A37DA5"/>
    <w:rsid w:val="00A40A43"/>
    <w:rsid w:val="00A40B45"/>
    <w:rsid w:val="00A41EE2"/>
    <w:rsid w:val="00A41F82"/>
    <w:rsid w:val="00A4291A"/>
    <w:rsid w:val="00A42927"/>
    <w:rsid w:val="00A429A3"/>
    <w:rsid w:val="00A438DB"/>
    <w:rsid w:val="00A439B9"/>
    <w:rsid w:val="00A43C29"/>
    <w:rsid w:val="00A454C9"/>
    <w:rsid w:val="00A456F5"/>
    <w:rsid w:val="00A46003"/>
    <w:rsid w:val="00A46375"/>
    <w:rsid w:val="00A47555"/>
    <w:rsid w:val="00A47614"/>
    <w:rsid w:val="00A47D8E"/>
    <w:rsid w:val="00A500F0"/>
    <w:rsid w:val="00A5022C"/>
    <w:rsid w:val="00A51682"/>
    <w:rsid w:val="00A52FE9"/>
    <w:rsid w:val="00A536E5"/>
    <w:rsid w:val="00A537E4"/>
    <w:rsid w:val="00A5384B"/>
    <w:rsid w:val="00A543DC"/>
    <w:rsid w:val="00A54A25"/>
    <w:rsid w:val="00A55E2D"/>
    <w:rsid w:val="00A55F90"/>
    <w:rsid w:val="00A56788"/>
    <w:rsid w:val="00A56D94"/>
    <w:rsid w:val="00A60049"/>
    <w:rsid w:val="00A60CFE"/>
    <w:rsid w:val="00A60D2F"/>
    <w:rsid w:val="00A6184C"/>
    <w:rsid w:val="00A61C12"/>
    <w:rsid w:val="00A62230"/>
    <w:rsid w:val="00A63202"/>
    <w:rsid w:val="00A63340"/>
    <w:rsid w:val="00A64C52"/>
    <w:rsid w:val="00A64CDC"/>
    <w:rsid w:val="00A64E5A"/>
    <w:rsid w:val="00A65561"/>
    <w:rsid w:val="00A65F4F"/>
    <w:rsid w:val="00A661FD"/>
    <w:rsid w:val="00A66580"/>
    <w:rsid w:val="00A669DD"/>
    <w:rsid w:val="00A66F34"/>
    <w:rsid w:val="00A675DC"/>
    <w:rsid w:val="00A700A0"/>
    <w:rsid w:val="00A7092B"/>
    <w:rsid w:val="00A711DF"/>
    <w:rsid w:val="00A712FD"/>
    <w:rsid w:val="00A71471"/>
    <w:rsid w:val="00A71A5E"/>
    <w:rsid w:val="00A71CF5"/>
    <w:rsid w:val="00A71D1D"/>
    <w:rsid w:val="00A71E1E"/>
    <w:rsid w:val="00A722CE"/>
    <w:rsid w:val="00A72B80"/>
    <w:rsid w:val="00A72BFB"/>
    <w:rsid w:val="00A733D8"/>
    <w:rsid w:val="00A73B70"/>
    <w:rsid w:val="00A74047"/>
    <w:rsid w:val="00A74198"/>
    <w:rsid w:val="00A74D1F"/>
    <w:rsid w:val="00A74E6E"/>
    <w:rsid w:val="00A74E73"/>
    <w:rsid w:val="00A75A44"/>
    <w:rsid w:val="00A76C73"/>
    <w:rsid w:val="00A76E25"/>
    <w:rsid w:val="00A77493"/>
    <w:rsid w:val="00A77D79"/>
    <w:rsid w:val="00A77F31"/>
    <w:rsid w:val="00A800C8"/>
    <w:rsid w:val="00A8038C"/>
    <w:rsid w:val="00A8177C"/>
    <w:rsid w:val="00A81FD5"/>
    <w:rsid w:val="00A82218"/>
    <w:rsid w:val="00A825AD"/>
    <w:rsid w:val="00A829E5"/>
    <w:rsid w:val="00A83AD9"/>
    <w:rsid w:val="00A8428E"/>
    <w:rsid w:val="00A84307"/>
    <w:rsid w:val="00A84B7C"/>
    <w:rsid w:val="00A85B19"/>
    <w:rsid w:val="00A85D32"/>
    <w:rsid w:val="00A86723"/>
    <w:rsid w:val="00A868D3"/>
    <w:rsid w:val="00A86A43"/>
    <w:rsid w:val="00A86F30"/>
    <w:rsid w:val="00A874FF"/>
    <w:rsid w:val="00A878A9"/>
    <w:rsid w:val="00A87C9B"/>
    <w:rsid w:val="00A87F5B"/>
    <w:rsid w:val="00A90097"/>
    <w:rsid w:val="00A90301"/>
    <w:rsid w:val="00A90A0B"/>
    <w:rsid w:val="00A90C7C"/>
    <w:rsid w:val="00A92214"/>
    <w:rsid w:val="00A9256F"/>
    <w:rsid w:val="00A92784"/>
    <w:rsid w:val="00A936CE"/>
    <w:rsid w:val="00A937ED"/>
    <w:rsid w:val="00A93820"/>
    <w:rsid w:val="00A94EBE"/>
    <w:rsid w:val="00A95105"/>
    <w:rsid w:val="00A953F7"/>
    <w:rsid w:val="00A95823"/>
    <w:rsid w:val="00A96062"/>
    <w:rsid w:val="00A96D10"/>
    <w:rsid w:val="00A97002"/>
    <w:rsid w:val="00A971CD"/>
    <w:rsid w:val="00AA08C3"/>
    <w:rsid w:val="00AA08CE"/>
    <w:rsid w:val="00AA11AB"/>
    <w:rsid w:val="00AA17C4"/>
    <w:rsid w:val="00AA1862"/>
    <w:rsid w:val="00AA1C3F"/>
    <w:rsid w:val="00AA25B8"/>
    <w:rsid w:val="00AA268C"/>
    <w:rsid w:val="00AA28E6"/>
    <w:rsid w:val="00AA2B7C"/>
    <w:rsid w:val="00AA3179"/>
    <w:rsid w:val="00AA4104"/>
    <w:rsid w:val="00AA436B"/>
    <w:rsid w:val="00AA43B6"/>
    <w:rsid w:val="00AA4B67"/>
    <w:rsid w:val="00AA4BD9"/>
    <w:rsid w:val="00AA4E41"/>
    <w:rsid w:val="00AA5979"/>
    <w:rsid w:val="00AA6290"/>
    <w:rsid w:val="00AA71F3"/>
    <w:rsid w:val="00AA7962"/>
    <w:rsid w:val="00AB00BB"/>
    <w:rsid w:val="00AB0F8D"/>
    <w:rsid w:val="00AB1418"/>
    <w:rsid w:val="00AB176F"/>
    <w:rsid w:val="00AB1A86"/>
    <w:rsid w:val="00AB2A1B"/>
    <w:rsid w:val="00AB2B45"/>
    <w:rsid w:val="00AB38B5"/>
    <w:rsid w:val="00AB3D9F"/>
    <w:rsid w:val="00AB3F4D"/>
    <w:rsid w:val="00AB4530"/>
    <w:rsid w:val="00AB4906"/>
    <w:rsid w:val="00AB510E"/>
    <w:rsid w:val="00AB54A7"/>
    <w:rsid w:val="00AB54F2"/>
    <w:rsid w:val="00AB66B0"/>
    <w:rsid w:val="00AB79B7"/>
    <w:rsid w:val="00AC0131"/>
    <w:rsid w:val="00AC072A"/>
    <w:rsid w:val="00AC216E"/>
    <w:rsid w:val="00AC2AE6"/>
    <w:rsid w:val="00AC2B0A"/>
    <w:rsid w:val="00AC3667"/>
    <w:rsid w:val="00AC4161"/>
    <w:rsid w:val="00AC4794"/>
    <w:rsid w:val="00AC4EE2"/>
    <w:rsid w:val="00AC4F5B"/>
    <w:rsid w:val="00AC6555"/>
    <w:rsid w:val="00AC6AC0"/>
    <w:rsid w:val="00AC6F0B"/>
    <w:rsid w:val="00AC76AB"/>
    <w:rsid w:val="00AC7A4F"/>
    <w:rsid w:val="00AC7FC5"/>
    <w:rsid w:val="00AD05E0"/>
    <w:rsid w:val="00AD0DD3"/>
    <w:rsid w:val="00AD0E64"/>
    <w:rsid w:val="00AD2C4D"/>
    <w:rsid w:val="00AD331D"/>
    <w:rsid w:val="00AD373A"/>
    <w:rsid w:val="00AD3E23"/>
    <w:rsid w:val="00AD4176"/>
    <w:rsid w:val="00AD4A3B"/>
    <w:rsid w:val="00AD4AF3"/>
    <w:rsid w:val="00AD5192"/>
    <w:rsid w:val="00AD5347"/>
    <w:rsid w:val="00AD5A29"/>
    <w:rsid w:val="00AD5AC3"/>
    <w:rsid w:val="00AD5FA6"/>
    <w:rsid w:val="00AD6112"/>
    <w:rsid w:val="00AD6335"/>
    <w:rsid w:val="00AD6D5B"/>
    <w:rsid w:val="00AD72D3"/>
    <w:rsid w:val="00AD744A"/>
    <w:rsid w:val="00AD74DC"/>
    <w:rsid w:val="00AE081E"/>
    <w:rsid w:val="00AE0C6D"/>
    <w:rsid w:val="00AE0E47"/>
    <w:rsid w:val="00AE1BB1"/>
    <w:rsid w:val="00AE2908"/>
    <w:rsid w:val="00AE2E63"/>
    <w:rsid w:val="00AE3736"/>
    <w:rsid w:val="00AE44B0"/>
    <w:rsid w:val="00AE561F"/>
    <w:rsid w:val="00AE5A75"/>
    <w:rsid w:val="00AE5D03"/>
    <w:rsid w:val="00AE626D"/>
    <w:rsid w:val="00AE670F"/>
    <w:rsid w:val="00AE6789"/>
    <w:rsid w:val="00AE69FC"/>
    <w:rsid w:val="00AE7536"/>
    <w:rsid w:val="00AE7F85"/>
    <w:rsid w:val="00AF0955"/>
    <w:rsid w:val="00AF184C"/>
    <w:rsid w:val="00AF1F0F"/>
    <w:rsid w:val="00AF26B4"/>
    <w:rsid w:val="00AF2D39"/>
    <w:rsid w:val="00AF3567"/>
    <w:rsid w:val="00AF379F"/>
    <w:rsid w:val="00AF37C9"/>
    <w:rsid w:val="00AF3A31"/>
    <w:rsid w:val="00AF3EB2"/>
    <w:rsid w:val="00AF4957"/>
    <w:rsid w:val="00AF5071"/>
    <w:rsid w:val="00AF532F"/>
    <w:rsid w:val="00AF59E1"/>
    <w:rsid w:val="00AF5FED"/>
    <w:rsid w:val="00AF6767"/>
    <w:rsid w:val="00AF6923"/>
    <w:rsid w:val="00AF6CED"/>
    <w:rsid w:val="00AF7582"/>
    <w:rsid w:val="00AF795C"/>
    <w:rsid w:val="00AF7D2F"/>
    <w:rsid w:val="00AF7F7D"/>
    <w:rsid w:val="00B002CD"/>
    <w:rsid w:val="00B004E4"/>
    <w:rsid w:val="00B00684"/>
    <w:rsid w:val="00B013A8"/>
    <w:rsid w:val="00B01B77"/>
    <w:rsid w:val="00B01C25"/>
    <w:rsid w:val="00B02693"/>
    <w:rsid w:val="00B02856"/>
    <w:rsid w:val="00B03A5F"/>
    <w:rsid w:val="00B03ED7"/>
    <w:rsid w:val="00B03F4E"/>
    <w:rsid w:val="00B045A3"/>
    <w:rsid w:val="00B05030"/>
    <w:rsid w:val="00B054C4"/>
    <w:rsid w:val="00B065A3"/>
    <w:rsid w:val="00B066FC"/>
    <w:rsid w:val="00B06D43"/>
    <w:rsid w:val="00B06E4C"/>
    <w:rsid w:val="00B073AF"/>
    <w:rsid w:val="00B074AC"/>
    <w:rsid w:val="00B07B37"/>
    <w:rsid w:val="00B07DB7"/>
    <w:rsid w:val="00B100CA"/>
    <w:rsid w:val="00B10265"/>
    <w:rsid w:val="00B10B4F"/>
    <w:rsid w:val="00B11BBD"/>
    <w:rsid w:val="00B11BE7"/>
    <w:rsid w:val="00B12547"/>
    <w:rsid w:val="00B1389F"/>
    <w:rsid w:val="00B13AC8"/>
    <w:rsid w:val="00B15816"/>
    <w:rsid w:val="00B15BAE"/>
    <w:rsid w:val="00B160C2"/>
    <w:rsid w:val="00B17F47"/>
    <w:rsid w:val="00B17F7B"/>
    <w:rsid w:val="00B20087"/>
    <w:rsid w:val="00B20888"/>
    <w:rsid w:val="00B20DCD"/>
    <w:rsid w:val="00B20E37"/>
    <w:rsid w:val="00B21C36"/>
    <w:rsid w:val="00B227EF"/>
    <w:rsid w:val="00B22879"/>
    <w:rsid w:val="00B235AB"/>
    <w:rsid w:val="00B238A7"/>
    <w:rsid w:val="00B23C7B"/>
    <w:rsid w:val="00B24545"/>
    <w:rsid w:val="00B248D0"/>
    <w:rsid w:val="00B251B1"/>
    <w:rsid w:val="00B269C8"/>
    <w:rsid w:val="00B2736C"/>
    <w:rsid w:val="00B27800"/>
    <w:rsid w:val="00B303F1"/>
    <w:rsid w:val="00B311A2"/>
    <w:rsid w:val="00B31F95"/>
    <w:rsid w:val="00B3260C"/>
    <w:rsid w:val="00B335A0"/>
    <w:rsid w:val="00B3365C"/>
    <w:rsid w:val="00B3375A"/>
    <w:rsid w:val="00B3396A"/>
    <w:rsid w:val="00B34768"/>
    <w:rsid w:val="00B347EA"/>
    <w:rsid w:val="00B35BA2"/>
    <w:rsid w:val="00B364DE"/>
    <w:rsid w:val="00B36AC7"/>
    <w:rsid w:val="00B36BD7"/>
    <w:rsid w:val="00B36E90"/>
    <w:rsid w:val="00B37223"/>
    <w:rsid w:val="00B37F1C"/>
    <w:rsid w:val="00B40729"/>
    <w:rsid w:val="00B412A5"/>
    <w:rsid w:val="00B4142A"/>
    <w:rsid w:val="00B41BC3"/>
    <w:rsid w:val="00B42EA8"/>
    <w:rsid w:val="00B430D8"/>
    <w:rsid w:val="00B431EE"/>
    <w:rsid w:val="00B43253"/>
    <w:rsid w:val="00B43BE2"/>
    <w:rsid w:val="00B44663"/>
    <w:rsid w:val="00B447CE"/>
    <w:rsid w:val="00B44BCB"/>
    <w:rsid w:val="00B452E2"/>
    <w:rsid w:val="00B45383"/>
    <w:rsid w:val="00B46618"/>
    <w:rsid w:val="00B47476"/>
    <w:rsid w:val="00B47528"/>
    <w:rsid w:val="00B47889"/>
    <w:rsid w:val="00B478BA"/>
    <w:rsid w:val="00B47B6E"/>
    <w:rsid w:val="00B50105"/>
    <w:rsid w:val="00B50366"/>
    <w:rsid w:val="00B504F5"/>
    <w:rsid w:val="00B507FF"/>
    <w:rsid w:val="00B50835"/>
    <w:rsid w:val="00B50BB9"/>
    <w:rsid w:val="00B5164C"/>
    <w:rsid w:val="00B516DC"/>
    <w:rsid w:val="00B51894"/>
    <w:rsid w:val="00B51C37"/>
    <w:rsid w:val="00B51EDE"/>
    <w:rsid w:val="00B52747"/>
    <w:rsid w:val="00B52836"/>
    <w:rsid w:val="00B52C84"/>
    <w:rsid w:val="00B52E7F"/>
    <w:rsid w:val="00B5327F"/>
    <w:rsid w:val="00B535AA"/>
    <w:rsid w:val="00B536A4"/>
    <w:rsid w:val="00B53B68"/>
    <w:rsid w:val="00B54233"/>
    <w:rsid w:val="00B548FB"/>
    <w:rsid w:val="00B55F31"/>
    <w:rsid w:val="00B56C26"/>
    <w:rsid w:val="00B56D7A"/>
    <w:rsid w:val="00B57342"/>
    <w:rsid w:val="00B57617"/>
    <w:rsid w:val="00B57B20"/>
    <w:rsid w:val="00B57B47"/>
    <w:rsid w:val="00B57D28"/>
    <w:rsid w:val="00B60BAE"/>
    <w:rsid w:val="00B62342"/>
    <w:rsid w:val="00B6278F"/>
    <w:rsid w:val="00B6299B"/>
    <w:rsid w:val="00B62A85"/>
    <w:rsid w:val="00B63754"/>
    <w:rsid w:val="00B63AC9"/>
    <w:rsid w:val="00B63DBF"/>
    <w:rsid w:val="00B645B1"/>
    <w:rsid w:val="00B64678"/>
    <w:rsid w:val="00B64CC8"/>
    <w:rsid w:val="00B64F65"/>
    <w:rsid w:val="00B65B38"/>
    <w:rsid w:val="00B65CAE"/>
    <w:rsid w:val="00B661B4"/>
    <w:rsid w:val="00B66B51"/>
    <w:rsid w:val="00B67211"/>
    <w:rsid w:val="00B67221"/>
    <w:rsid w:val="00B678D8"/>
    <w:rsid w:val="00B67904"/>
    <w:rsid w:val="00B679AA"/>
    <w:rsid w:val="00B70072"/>
    <w:rsid w:val="00B70B48"/>
    <w:rsid w:val="00B71EF2"/>
    <w:rsid w:val="00B7235B"/>
    <w:rsid w:val="00B723C5"/>
    <w:rsid w:val="00B72F01"/>
    <w:rsid w:val="00B730A0"/>
    <w:rsid w:val="00B73CD2"/>
    <w:rsid w:val="00B73DF1"/>
    <w:rsid w:val="00B74070"/>
    <w:rsid w:val="00B74727"/>
    <w:rsid w:val="00B7497B"/>
    <w:rsid w:val="00B76FDD"/>
    <w:rsid w:val="00B7720E"/>
    <w:rsid w:val="00B774A4"/>
    <w:rsid w:val="00B77527"/>
    <w:rsid w:val="00B77E17"/>
    <w:rsid w:val="00B8056C"/>
    <w:rsid w:val="00B80695"/>
    <w:rsid w:val="00B8225E"/>
    <w:rsid w:val="00B829F7"/>
    <w:rsid w:val="00B833A8"/>
    <w:rsid w:val="00B834D1"/>
    <w:rsid w:val="00B837F0"/>
    <w:rsid w:val="00B83D68"/>
    <w:rsid w:val="00B8417B"/>
    <w:rsid w:val="00B84AB9"/>
    <w:rsid w:val="00B84D53"/>
    <w:rsid w:val="00B850C2"/>
    <w:rsid w:val="00B854D9"/>
    <w:rsid w:val="00B85B03"/>
    <w:rsid w:val="00B863FF"/>
    <w:rsid w:val="00B86E14"/>
    <w:rsid w:val="00B87795"/>
    <w:rsid w:val="00B87CD2"/>
    <w:rsid w:val="00B9014E"/>
    <w:rsid w:val="00B901A4"/>
    <w:rsid w:val="00B91160"/>
    <w:rsid w:val="00B91271"/>
    <w:rsid w:val="00B924B4"/>
    <w:rsid w:val="00B92682"/>
    <w:rsid w:val="00B92A6D"/>
    <w:rsid w:val="00B93873"/>
    <w:rsid w:val="00B93D01"/>
    <w:rsid w:val="00B945C4"/>
    <w:rsid w:val="00B95092"/>
    <w:rsid w:val="00B95E60"/>
    <w:rsid w:val="00B9605F"/>
    <w:rsid w:val="00B96F92"/>
    <w:rsid w:val="00B974D9"/>
    <w:rsid w:val="00BA0F67"/>
    <w:rsid w:val="00BA193A"/>
    <w:rsid w:val="00BA1C06"/>
    <w:rsid w:val="00BA26DA"/>
    <w:rsid w:val="00BA2BA2"/>
    <w:rsid w:val="00BA2C00"/>
    <w:rsid w:val="00BA35C1"/>
    <w:rsid w:val="00BA3D62"/>
    <w:rsid w:val="00BA4029"/>
    <w:rsid w:val="00BA5938"/>
    <w:rsid w:val="00BA7378"/>
    <w:rsid w:val="00BB0ADD"/>
    <w:rsid w:val="00BB0B2F"/>
    <w:rsid w:val="00BB17C4"/>
    <w:rsid w:val="00BB1AC3"/>
    <w:rsid w:val="00BB1FFA"/>
    <w:rsid w:val="00BB2439"/>
    <w:rsid w:val="00BB2C19"/>
    <w:rsid w:val="00BB301F"/>
    <w:rsid w:val="00BB421E"/>
    <w:rsid w:val="00BB427A"/>
    <w:rsid w:val="00BB44E0"/>
    <w:rsid w:val="00BB45BB"/>
    <w:rsid w:val="00BB56EF"/>
    <w:rsid w:val="00BB5A55"/>
    <w:rsid w:val="00BB62B7"/>
    <w:rsid w:val="00BB6499"/>
    <w:rsid w:val="00BB7855"/>
    <w:rsid w:val="00BB7BEE"/>
    <w:rsid w:val="00BC0406"/>
    <w:rsid w:val="00BC068E"/>
    <w:rsid w:val="00BC09AA"/>
    <w:rsid w:val="00BC12BA"/>
    <w:rsid w:val="00BC30B4"/>
    <w:rsid w:val="00BC34FB"/>
    <w:rsid w:val="00BC5717"/>
    <w:rsid w:val="00BC5EE7"/>
    <w:rsid w:val="00BC6D4B"/>
    <w:rsid w:val="00BC746F"/>
    <w:rsid w:val="00BC77D2"/>
    <w:rsid w:val="00BC7855"/>
    <w:rsid w:val="00BD0218"/>
    <w:rsid w:val="00BD0F43"/>
    <w:rsid w:val="00BD0FEA"/>
    <w:rsid w:val="00BD10D1"/>
    <w:rsid w:val="00BD15B9"/>
    <w:rsid w:val="00BD1962"/>
    <w:rsid w:val="00BD2129"/>
    <w:rsid w:val="00BD2749"/>
    <w:rsid w:val="00BD2E70"/>
    <w:rsid w:val="00BD3592"/>
    <w:rsid w:val="00BD3980"/>
    <w:rsid w:val="00BD3C80"/>
    <w:rsid w:val="00BD3D26"/>
    <w:rsid w:val="00BD4331"/>
    <w:rsid w:val="00BD4430"/>
    <w:rsid w:val="00BD46D6"/>
    <w:rsid w:val="00BD49B6"/>
    <w:rsid w:val="00BD4AB5"/>
    <w:rsid w:val="00BD4D7B"/>
    <w:rsid w:val="00BD59A5"/>
    <w:rsid w:val="00BD64D6"/>
    <w:rsid w:val="00BD6F8B"/>
    <w:rsid w:val="00BD7E71"/>
    <w:rsid w:val="00BE0714"/>
    <w:rsid w:val="00BE0F38"/>
    <w:rsid w:val="00BE1B0C"/>
    <w:rsid w:val="00BE1D7F"/>
    <w:rsid w:val="00BE2765"/>
    <w:rsid w:val="00BE3034"/>
    <w:rsid w:val="00BE3113"/>
    <w:rsid w:val="00BE3746"/>
    <w:rsid w:val="00BE3A18"/>
    <w:rsid w:val="00BE3CE9"/>
    <w:rsid w:val="00BE3E14"/>
    <w:rsid w:val="00BE5295"/>
    <w:rsid w:val="00BE53C0"/>
    <w:rsid w:val="00BE5783"/>
    <w:rsid w:val="00BE63B4"/>
    <w:rsid w:val="00BE67A1"/>
    <w:rsid w:val="00BE7520"/>
    <w:rsid w:val="00BE7767"/>
    <w:rsid w:val="00BE77D0"/>
    <w:rsid w:val="00BE7C8D"/>
    <w:rsid w:val="00BE7DE2"/>
    <w:rsid w:val="00BF14FD"/>
    <w:rsid w:val="00BF17AF"/>
    <w:rsid w:val="00BF1EF9"/>
    <w:rsid w:val="00BF20E3"/>
    <w:rsid w:val="00BF2500"/>
    <w:rsid w:val="00BF2C48"/>
    <w:rsid w:val="00BF3B54"/>
    <w:rsid w:val="00BF4126"/>
    <w:rsid w:val="00BF5240"/>
    <w:rsid w:val="00BF5CB4"/>
    <w:rsid w:val="00BF5FDB"/>
    <w:rsid w:val="00BF60C7"/>
    <w:rsid w:val="00BF61E1"/>
    <w:rsid w:val="00BF77B3"/>
    <w:rsid w:val="00C00354"/>
    <w:rsid w:val="00C0071F"/>
    <w:rsid w:val="00C007FB"/>
    <w:rsid w:val="00C00D03"/>
    <w:rsid w:val="00C0107B"/>
    <w:rsid w:val="00C02A98"/>
    <w:rsid w:val="00C02B87"/>
    <w:rsid w:val="00C032E0"/>
    <w:rsid w:val="00C0415A"/>
    <w:rsid w:val="00C04940"/>
    <w:rsid w:val="00C061AD"/>
    <w:rsid w:val="00C062E4"/>
    <w:rsid w:val="00C06FD7"/>
    <w:rsid w:val="00C07377"/>
    <w:rsid w:val="00C073E3"/>
    <w:rsid w:val="00C07458"/>
    <w:rsid w:val="00C075E8"/>
    <w:rsid w:val="00C078C7"/>
    <w:rsid w:val="00C07B52"/>
    <w:rsid w:val="00C0ECD8"/>
    <w:rsid w:val="00C10E20"/>
    <w:rsid w:val="00C11C12"/>
    <w:rsid w:val="00C128C4"/>
    <w:rsid w:val="00C12A28"/>
    <w:rsid w:val="00C1359E"/>
    <w:rsid w:val="00C139CA"/>
    <w:rsid w:val="00C13CB8"/>
    <w:rsid w:val="00C144D7"/>
    <w:rsid w:val="00C1498D"/>
    <w:rsid w:val="00C14C47"/>
    <w:rsid w:val="00C1577C"/>
    <w:rsid w:val="00C158BE"/>
    <w:rsid w:val="00C15F7F"/>
    <w:rsid w:val="00C160C0"/>
    <w:rsid w:val="00C161C9"/>
    <w:rsid w:val="00C1654C"/>
    <w:rsid w:val="00C16770"/>
    <w:rsid w:val="00C16EBF"/>
    <w:rsid w:val="00C17881"/>
    <w:rsid w:val="00C17A5B"/>
    <w:rsid w:val="00C17D1D"/>
    <w:rsid w:val="00C20738"/>
    <w:rsid w:val="00C20BBD"/>
    <w:rsid w:val="00C20E0A"/>
    <w:rsid w:val="00C20E2A"/>
    <w:rsid w:val="00C20E87"/>
    <w:rsid w:val="00C20FFA"/>
    <w:rsid w:val="00C21A67"/>
    <w:rsid w:val="00C2216F"/>
    <w:rsid w:val="00C2221A"/>
    <w:rsid w:val="00C242A3"/>
    <w:rsid w:val="00C24A60"/>
    <w:rsid w:val="00C25634"/>
    <w:rsid w:val="00C25940"/>
    <w:rsid w:val="00C25FA9"/>
    <w:rsid w:val="00C26068"/>
    <w:rsid w:val="00C2608B"/>
    <w:rsid w:val="00C2652F"/>
    <w:rsid w:val="00C2672A"/>
    <w:rsid w:val="00C2699C"/>
    <w:rsid w:val="00C26AB7"/>
    <w:rsid w:val="00C26D43"/>
    <w:rsid w:val="00C27187"/>
    <w:rsid w:val="00C27AF6"/>
    <w:rsid w:val="00C3047F"/>
    <w:rsid w:val="00C30617"/>
    <w:rsid w:val="00C30736"/>
    <w:rsid w:val="00C307C5"/>
    <w:rsid w:val="00C3083D"/>
    <w:rsid w:val="00C30E29"/>
    <w:rsid w:val="00C3113A"/>
    <w:rsid w:val="00C31192"/>
    <w:rsid w:val="00C31372"/>
    <w:rsid w:val="00C32643"/>
    <w:rsid w:val="00C32C37"/>
    <w:rsid w:val="00C33274"/>
    <w:rsid w:val="00C3364D"/>
    <w:rsid w:val="00C355CD"/>
    <w:rsid w:val="00C355F5"/>
    <w:rsid w:val="00C35A76"/>
    <w:rsid w:val="00C373F3"/>
    <w:rsid w:val="00C378CC"/>
    <w:rsid w:val="00C37A18"/>
    <w:rsid w:val="00C37E8F"/>
    <w:rsid w:val="00C402F4"/>
    <w:rsid w:val="00C41638"/>
    <w:rsid w:val="00C41AB5"/>
    <w:rsid w:val="00C41D45"/>
    <w:rsid w:val="00C422FD"/>
    <w:rsid w:val="00C42C54"/>
    <w:rsid w:val="00C4358C"/>
    <w:rsid w:val="00C437E7"/>
    <w:rsid w:val="00C4454A"/>
    <w:rsid w:val="00C44DD7"/>
    <w:rsid w:val="00C44DEF"/>
    <w:rsid w:val="00C450EE"/>
    <w:rsid w:val="00C46EE6"/>
    <w:rsid w:val="00C4721B"/>
    <w:rsid w:val="00C4736F"/>
    <w:rsid w:val="00C47CED"/>
    <w:rsid w:val="00C51440"/>
    <w:rsid w:val="00C518D2"/>
    <w:rsid w:val="00C51AE9"/>
    <w:rsid w:val="00C5213A"/>
    <w:rsid w:val="00C52727"/>
    <w:rsid w:val="00C53B52"/>
    <w:rsid w:val="00C55A0E"/>
    <w:rsid w:val="00C56044"/>
    <w:rsid w:val="00C56857"/>
    <w:rsid w:val="00C56E06"/>
    <w:rsid w:val="00C57DDD"/>
    <w:rsid w:val="00C6014D"/>
    <w:rsid w:val="00C60ABF"/>
    <w:rsid w:val="00C60B73"/>
    <w:rsid w:val="00C60BF3"/>
    <w:rsid w:val="00C60E3C"/>
    <w:rsid w:val="00C6100B"/>
    <w:rsid w:val="00C61B3C"/>
    <w:rsid w:val="00C61FA8"/>
    <w:rsid w:val="00C622C2"/>
    <w:rsid w:val="00C62543"/>
    <w:rsid w:val="00C62964"/>
    <w:rsid w:val="00C62D28"/>
    <w:rsid w:val="00C6316C"/>
    <w:rsid w:val="00C6340A"/>
    <w:rsid w:val="00C63609"/>
    <w:rsid w:val="00C63E6D"/>
    <w:rsid w:val="00C6413A"/>
    <w:rsid w:val="00C65207"/>
    <w:rsid w:val="00C654AA"/>
    <w:rsid w:val="00C65A64"/>
    <w:rsid w:val="00C65AA5"/>
    <w:rsid w:val="00C660AE"/>
    <w:rsid w:val="00C672C5"/>
    <w:rsid w:val="00C676E5"/>
    <w:rsid w:val="00C676FC"/>
    <w:rsid w:val="00C70A94"/>
    <w:rsid w:val="00C71071"/>
    <w:rsid w:val="00C71AB5"/>
    <w:rsid w:val="00C71DCC"/>
    <w:rsid w:val="00C72C81"/>
    <w:rsid w:val="00C72E65"/>
    <w:rsid w:val="00C732B7"/>
    <w:rsid w:val="00C73321"/>
    <w:rsid w:val="00C73D23"/>
    <w:rsid w:val="00C7413B"/>
    <w:rsid w:val="00C742C1"/>
    <w:rsid w:val="00C74611"/>
    <w:rsid w:val="00C74898"/>
    <w:rsid w:val="00C75A74"/>
    <w:rsid w:val="00C76133"/>
    <w:rsid w:val="00C76C11"/>
    <w:rsid w:val="00C76FC7"/>
    <w:rsid w:val="00C80378"/>
    <w:rsid w:val="00C804A2"/>
    <w:rsid w:val="00C80B84"/>
    <w:rsid w:val="00C810CE"/>
    <w:rsid w:val="00C819A0"/>
    <w:rsid w:val="00C81D81"/>
    <w:rsid w:val="00C8389D"/>
    <w:rsid w:val="00C847DB"/>
    <w:rsid w:val="00C84C28"/>
    <w:rsid w:val="00C85B6E"/>
    <w:rsid w:val="00C86757"/>
    <w:rsid w:val="00C86B8F"/>
    <w:rsid w:val="00C871AC"/>
    <w:rsid w:val="00C873C1"/>
    <w:rsid w:val="00C87BC1"/>
    <w:rsid w:val="00C87FE6"/>
    <w:rsid w:val="00C9042F"/>
    <w:rsid w:val="00C907CB"/>
    <w:rsid w:val="00C907E6"/>
    <w:rsid w:val="00C90F5D"/>
    <w:rsid w:val="00C911CF"/>
    <w:rsid w:val="00C91480"/>
    <w:rsid w:val="00C91FB6"/>
    <w:rsid w:val="00C92339"/>
    <w:rsid w:val="00C92433"/>
    <w:rsid w:val="00C92501"/>
    <w:rsid w:val="00C9254C"/>
    <w:rsid w:val="00C9270B"/>
    <w:rsid w:val="00C93255"/>
    <w:rsid w:val="00C93ECC"/>
    <w:rsid w:val="00C94674"/>
    <w:rsid w:val="00C94FB7"/>
    <w:rsid w:val="00C959D1"/>
    <w:rsid w:val="00C95DA1"/>
    <w:rsid w:val="00C9605B"/>
    <w:rsid w:val="00C964F7"/>
    <w:rsid w:val="00C96A21"/>
    <w:rsid w:val="00C97004"/>
    <w:rsid w:val="00C97C3E"/>
    <w:rsid w:val="00CA03EE"/>
    <w:rsid w:val="00CA03FB"/>
    <w:rsid w:val="00CA14B4"/>
    <w:rsid w:val="00CA1818"/>
    <w:rsid w:val="00CA1C6D"/>
    <w:rsid w:val="00CA3EC9"/>
    <w:rsid w:val="00CA497F"/>
    <w:rsid w:val="00CA4CDE"/>
    <w:rsid w:val="00CA4F70"/>
    <w:rsid w:val="00CA5568"/>
    <w:rsid w:val="00CA59F1"/>
    <w:rsid w:val="00CA5BFB"/>
    <w:rsid w:val="00CA62F7"/>
    <w:rsid w:val="00CB0C55"/>
    <w:rsid w:val="00CB0D42"/>
    <w:rsid w:val="00CB1EA4"/>
    <w:rsid w:val="00CB2112"/>
    <w:rsid w:val="00CB2F2F"/>
    <w:rsid w:val="00CB33B2"/>
    <w:rsid w:val="00CB3946"/>
    <w:rsid w:val="00CB39BB"/>
    <w:rsid w:val="00CB51C5"/>
    <w:rsid w:val="00CB528F"/>
    <w:rsid w:val="00CB54DE"/>
    <w:rsid w:val="00CB5CA6"/>
    <w:rsid w:val="00CB5D9D"/>
    <w:rsid w:val="00CB7114"/>
    <w:rsid w:val="00CB733D"/>
    <w:rsid w:val="00CB7346"/>
    <w:rsid w:val="00CB7598"/>
    <w:rsid w:val="00CC05FF"/>
    <w:rsid w:val="00CC0C8D"/>
    <w:rsid w:val="00CC166E"/>
    <w:rsid w:val="00CC1DB8"/>
    <w:rsid w:val="00CC2A51"/>
    <w:rsid w:val="00CC33B6"/>
    <w:rsid w:val="00CC3BBC"/>
    <w:rsid w:val="00CC5D96"/>
    <w:rsid w:val="00CC613F"/>
    <w:rsid w:val="00CC6574"/>
    <w:rsid w:val="00CC6613"/>
    <w:rsid w:val="00CC6BD0"/>
    <w:rsid w:val="00CC6CC1"/>
    <w:rsid w:val="00CC72F4"/>
    <w:rsid w:val="00CC75F2"/>
    <w:rsid w:val="00CC79BB"/>
    <w:rsid w:val="00CC7EC2"/>
    <w:rsid w:val="00CD0324"/>
    <w:rsid w:val="00CD08A0"/>
    <w:rsid w:val="00CD0E19"/>
    <w:rsid w:val="00CD142A"/>
    <w:rsid w:val="00CD1EC5"/>
    <w:rsid w:val="00CD2C8F"/>
    <w:rsid w:val="00CD3100"/>
    <w:rsid w:val="00CD3295"/>
    <w:rsid w:val="00CD3EF3"/>
    <w:rsid w:val="00CD4186"/>
    <w:rsid w:val="00CD41CA"/>
    <w:rsid w:val="00CD4D17"/>
    <w:rsid w:val="00CD4FC5"/>
    <w:rsid w:val="00CD52BC"/>
    <w:rsid w:val="00CD52E4"/>
    <w:rsid w:val="00CD52FF"/>
    <w:rsid w:val="00CD5810"/>
    <w:rsid w:val="00CD5BE2"/>
    <w:rsid w:val="00CD6AF3"/>
    <w:rsid w:val="00CD6F67"/>
    <w:rsid w:val="00CD7784"/>
    <w:rsid w:val="00CD7864"/>
    <w:rsid w:val="00CD7FFE"/>
    <w:rsid w:val="00CE0095"/>
    <w:rsid w:val="00CE0305"/>
    <w:rsid w:val="00CE0482"/>
    <w:rsid w:val="00CE2182"/>
    <w:rsid w:val="00CE2CB1"/>
    <w:rsid w:val="00CE2E0B"/>
    <w:rsid w:val="00CE43C1"/>
    <w:rsid w:val="00CE48E2"/>
    <w:rsid w:val="00CE5341"/>
    <w:rsid w:val="00CE5967"/>
    <w:rsid w:val="00CE648B"/>
    <w:rsid w:val="00CE6F36"/>
    <w:rsid w:val="00CE79AC"/>
    <w:rsid w:val="00CE7CDF"/>
    <w:rsid w:val="00CF0175"/>
    <w:rsid w:val="00CF0398"/>
    <w:rsid w:val="00CF15FE"/>
    <w:rsid w:val="00CF246A"/>
    <w:rsid w:val="00CF265B"/>
    <w:rsid w:val="00CF29F2"/>
    <w:rsid w:val="00CF352F"/>
    <w:rsid w:val="00CF35AF"/>
    <w:rsid w:val="00CF3F73"/>
    <w:rsid w:val="00CF48C4"/>
    <w:rsid w:val="00CF5080"/>
    <w:rsid w:val="00CF5916"/>
    <w:rsid w:val="00CF5F52"/>
    <w:rsid w:val="00CF66DF"/>
    <w:rsid w:val="00CF6CEA"/>
    <w:rsid w:val="00D00126"/>
    <w:rsid w:val="00D009F0"/>
    <w:rsid w:val="00D00C13"/>
    <w:rsid w:val="00D00E3A"/>
    <w:rsid w:val="00D01050"/>
    <w:rsid w:val="00D014C5"/>
    <w:rsid w:val="00D01773"/>
    <w:rsid w:val="00D021FC"/>
    <w:rsid w:val="00D02493"/>
    <w:rsid w:val="00D026E0"/>
    <w:rsid w:val="00D03025"/>
    <w:rsid w:val="00D03451"/>
    <w:rsid w:val="00D03612"/>
    <w:rsid w:val="00D03AD8"/>
    <w:rsid w:val="00D03CD1"/>
    <w:rsid w:val="00D03E69"/>
    <w:rsid w:val="00D04111"/>
    <w:rsid w:val="00D04201"/>
    <w:rsid w:val="00D0547A"/>
    <w:rsid w:val="00D059F0"/>
    <w:rsid w:val="00D06842"/>
    <w:rsid w:val="00D06C09"/>
    <w:rsid w:val="00D07191"/>
    <w:rsid w:val="00D072A3"/>
    <w:rsid w:val="00D10592"/>
    <w:rsid w:val="00D1086A"/>
    <w:rsid w:val="00D10ACB"/>
    <w:rsid w:val="00D10B62"/>
    <w:rsid w:val="00D10E9C"/>
    <w:rsid w:val="00D11B5D"/>
    <w:rsid w:val="00D11CC7"/>
    <w:rsid w:val="00D11DA3"/>
    <w:rsid w:val="00D1219E"/>
    <w:rsid w:val="00D124B3"/>
    <w:rsid w:val="00D13108"/>
    <w:rsid w:val="00D13810"/>
    <w:rsid w:val="00D14225"/>
    <w:rsid w:val="00D1435A"/>
    <w:rsid w:val="00D14EE3"/>
    <w:rsid w:val="00D15953"/>
    <w:rsid w:val="00D1622A"/>
    <w:rsid w:val="00D16830"/>
    <w:rsid w:val="00D16C1E"/>
    <w:rsid w:val="00D1758A"/>
    <w:rsid w:val="00D17853"/>
    <w:rsid w:val="00D17888"/>
    <w:rsid w:val="00D17AB1"/>
    <w:rsid w:val="00D17EAE"/>
    <w:rsid w:val="00D2057E"/>
    <w:rsid w:val="00D20669"/>
    <w:rsid w:val="00D20787"/>
    <w:rsid w:val="00D211CC"/>
    <w:rsid w:val="00D21A1F"/>
    <w:rsid w:val="00D224C6"/>
    <w:rsid w:val="00D225DB"/>
    <w:rsid w:val="00D22E00"/>
    <w:rsid w:val="00D232E0"/>
    <w:rsid w:val="00D2415E"/>
    <w:rsid w:val="00D24686"/>
    <w:rsid w:val="00D2518D"/>
    <w:rsid w:val="00D26585"/>
    <w:rsid w:val="00D26664"/>
    <w:rsid w:val="00D2759F"/>
    <w:rsid w:val="00D30325"/>
    <w:rsid w:val="00D304A8"/>
    <w:rsid w:val="00D30681"/>
    <w:rsid w:val="00D30753"/>
    <w:rsid w:val="00D3123F"/>
    <w:rsid w:val="00D32892"/>
    <w:rsid w:val="00D32B4C"/>
    <w:rsid w:val="00D32D97"/>
    <w:rsid w:val="00D334E9"/>
    <w:rsid w:val="00D34040"/>
    <w:rsid w:val="00D3416F"/>
    <w:rsid w:val="00D342A7"/>
    <w:rsid w:val="00D3478E"/>
    <w:rsid w:val="00D34B37"/>
    <w:rsid w:val="00D3506C"/>
    <w:rsid w:val="00D35C04"/>
    <w:rsid w:val="00D35F1D"/>
    <w:rsid w:val="00D3606B"/>
    <w:rsid w:val="00D3610F"/>
    <w:rsid w:val="00D3626F"/>
    <w:rsid w:val="00D3786B"/>
    <w:rsid w:val="00D37AC1"/>
    <w:rsid w:val="00D37CBE"/>
    <w:rsid w:val="00D40B2C"/>
    <w:rsid w:val="00D40E4A"/>
    <w:rsid w:val="00D41373"/>
    <w:rsid w:val="00D41589"/>
    <w:rsid w:val="00D41CC6"/>
    <w:rsid w:val="00D4206D"/>
    <w:rsid w:val="00D436F9"/>
    <w:rsid w:val="00D439B4"/>
    <w:rsid w:val="00D43E14"/>
    <w:rsid w:val="00D43F83"/>
    <w:rsid w:val="00D4449F"/>
    <w:rsid w:val="00D44558"/>
    <w:rsid w:val="00D44AD3"/>
    <w:rsid w:val="00D44C3F"/>
    <w:rsid w:val="00D4511B"/>
    <w:rsid w:val="00D452A9"/>
    <w:rsid w:val="00D45629"/>
    <w:rsid w:val="00D45B1B"/>
    <w:rsid w:val="00D46616"/>
    <w:rsid w:val="00D47200"/>
    <w:rsid w:val="00D4752B"/>
    <w:rsid w:val="00D478CB"/>
    <w:rsid w:val="00D51421"/>
    <w:rsid w:val="00D51B4C"/>
    <w:rsid w:val="00D526CC"/>
    <w:rsid w:val="00D52B42"/>
    <w:rsid w:val="00D52D09"/>
    <w:rsid w:val="00D540A4"/>
    <w:rsid w:val="00D545EF"/>
    <w:rsid w:val="00D54689"/>
    <w:rsid w:val="00D54B75"/>
    <w:rsid w:val="00D551A9"/>
    <w:rsid w:val="00D5554A"/>
    <w:rsid w:val="00D55783"/>
    <w:rsid w:val="00D567FE"/>
    <w:rsid w:val="00D57DAE"/>
    <w:rsid w:val="00D600C0"/>
    <w:rsid w:val="00D60AE5"/>
    <w:rsid w:val="00D60BDD"/>
    <w:rsid w:val="00D618F6"/>
    <w:rsid w:val="00D6283B"/>
    <w:rsid w:val="00D62C1D"/>
    <w:rsid w:val="00D62FFC"/>
    <w:rsid w:val="00D6322D"/>
    <w:rsid w:val="00D632E8"/>
    <w:rsid w:val="00D63ABC"/>
    <w:rsid w:val="00D63C3A"/>
    <w:rsid w:val="00D6511C"/>
    <w:rsid w:val="00D6518D"/>
    <w:rsid w:val="00D6686F"/>
    <w:rsid w:val="00D66B1E"/>
    <w:rsid w:val="00D66F8B"/>
    <w:rsid w:val="00D678B8"/>
    <w:rsid w:val="00D70889"/>
    <w:rsid w:val="00D710D4"/>
    <w:rsid w:val="00D7125F"/>
    <w:rsid w:val="00D71D53"/>
    <w:rsid w:val="00D72A68"/>
    <w:rsid w:val="00D72A93"/>
    <w:rsid w:val="00D73570"/>
    <w:rsid w:val="00D7384E"/>
    <w:rsid w:val="00D740E8"/>
    <w:rsid w:val="00D7413E"/>
    <w:rsid w:val="00D7518C"/>
    <w:rsid w:val="00D75478"/>
    <w:rsid w:val="00D76102"/>
    <w:rsid w:val="00D76C68"/>
    <w:rsid w:val="00D7744F"/>
    <w:rsid w:val="00D77FF9"/>
    <w:rsid w:val="00D8046B"/>
    <w:rsid w:val="00D8133B"/>
    <w:rsid w:val="00D8135C"/>
    <w:rsid w:val="00D813C7"/>
    <w:rsid w:val="00D81D8F"/>
    <w:rsid w:val="00D81FDA"/>
    <w:rsid w:val="00D82757"/>
    <w:rsid w:val="00D82B8A"/>
    <w:rsid w:val="00D82EBE"/>
    <w:rsid w:val="00D839B7"/>
    <w:rsid w:val="00D83A4E"/>
    <w:rsid w:val="00D84112"/>
    <w:rsid w:val="00D8442A"/>
    <w:rsid w:val="00D84453"/>
    <w:rsid w:val="00D84716"/>
    <w:rsid w:val="00D84912"/>
    <w:rsid w:val="00D85AC2"/>
    <w:rsid w:val="00D86421"/>
    <w:rsid w:val="00D86617"/>
    <w:rsid w:val="00D8687E"/>
    <w:rsid w:val="00D86A3C"/>
    <w:rsid w:val="00D86E12"/>
    <w:rsid w:val="00D875D4"/>
    <w:rsid w:val="00D8777D"/>
    <w:rsid w:val="00D87A97"/>
    <w:rsid w:val="00D87E93"/>
    <w:rsid w:val="00D901C2"/>
    <w:rsid w:val="00D90493"/>
    <w:rsid w:val="00D90F05"/>
    <w:rsid w:val="00D90FC5"/>
    <w:rsid w:val="00D91DF4"/>
    <w:rsid w:val="00D922D6"/>
    <w:rsid w:val="00D92D74"/>
    <w:rsid w:val="00D93A9D"/>
    <w:rsid w:val="00D944ED"/>
    <w:rsid w:val="00D945DB"/>
    <w:rsid w:val="00D94623"/>
    <w:rsid w:val="00D95000"/>
    <w:rsid w:val="00D95128"/>
    <w:rsid w:val="00D95745"/>
    <w:rsid w:val="00D95BD2"/>
    <w:rsid w:val="00D960C9"/>
    <w:rsid w:val="00D96661"/>
    <w:rsid w:val="00D97C0B"/>
    <w:rsid w:val="00DA031B"/>
    <w:rsid w:val="00DA0A37"/>
    <w:rsid w:val="00DA18D7"/>
    <w:rsid w:val="00DA1A08"/>
    <w:rsid w:val="00DA1B9E"/>
    <w:rsid w:val="00DA2B59"/>
    <w:rsid w:val="00DA34EE"/>
    <w:rsid w:val="00DA372B"/>
    <w:rsid w:val="00DA398B"/>
    <w:rsid w:val="00DA4E9B"/>
    <w:rsid w:val="00DA5F0E"/>
    <w:rsid w:val="00DA612F"/>
    <w:rsid w:val="00DA7075"/>
    <w:rsid w:val="00DA7A6F"/>
    <w:rsid w:val="00DA7E29"/>
    <w:rsid w:val="00DB04D5"/>
    <w:rsid w:val="00DB08D5"/>
    <w:rsid w:val="00DB1299"/>
    <w:rsid w:val="00DB15E8"/>
    <w:rsid w:val="00DB1A01"/>
    <w:rsid w:val="00DB1C13"/>
    <w:rsid w:val="00DB2502"/>
    <w:rsid w:val="00DB2521"/>
    <w:rsid w:val="00DB3374"/>
    <w:rsid w:val="00DB37A0"/>
    <w:rsid w:val="00DB4317"/>
    <w:rsid w:val="00DB44A0"/>
    <w:rsid w:val="00DB479C"/>
    <w:rsid w:val="00DB506F"/>
    <w:rsid w:val="00DB54EF"/>
    <w:rsid w:val="00DB64D9"/>
    <w:rsid w:val="00DB6A4B"/>
    <w:rsid w:val="00DB6FA1"/>
    <w:rsid w:val="00DB7884"/>
    <w:rsid w:val="00DC041D"/>
    <w:rsid w:val="00DC12C1"/>
    <w:rsid w:val="00DC278F"/>
    <w:rsid w:val="00DC313B"/>
    <w:rsid w:val="00DC3345"/>
    <w:rsid w:val="00DC3349"/>
    <w:rsid w:val="00DC3469"/>
    <w:rsid w:val="00DC399F"/>
    <w:rsid w:val="00DC4390"/>
    <w:rsid w:val="00DC43FD"/>
    <w:rsid w:val="00DC4722"/>
    <w:rsid w:val="00DC5549"/>
    <w:rsid w:val="00DC56F3"/>
    <w:rsid w:val="00DC56F6"/>
    <w:rsid w:val="00DC622D"/>
    <w:rsid w:val="00DC62C5"/>
    <w:rsid w:val="00DC6C86"/>
    <w:rsid w:val="00DC6C89"/>
    <w:rsid w:val="00DC6F95"/>
    <w:rsid w:val="00DC7037"/>
    <w:rsid w:val="00DC7DBC"/>
    <w:rsid w:val="00DD0558"/>
    <w:rsid w:val="00DD0F93"/>
    <w:rsid w:val="00DD10A8"/>
    <w:rsid w:val="00DD2089"/>
    <w:rsid w:val="00DD22AD"/>
    <w:rsid w:val="00DD29CC"/>
    <w:rsid w:val="00DD2B1F"/>
    <w:rsid w:val="00DD2B84"/>
    <w:rsid w:val="00DD2EE7"/>
    <w:rsid w:val="00DD32DB"/>
    <w:rsid w:val="00DD3801"/>
    <w:rsid w:val="00DD3F00"/>
    <w:rsid w:val="00DD4A5D"/>
    <w:rsid w:val="00DD4CDB"/>
    <w:rsid w:val="00DD5B48"/>
    <w:rsid w:val="00DD69C1"/>
    <w:rsid w:val="00DD6D58"/>
    <w:rsid w:val="00DD714C"/>
    <w:rsid w:val="00DD777B"/>
    <w:rsid w:val="00DD7B7B"/>
    <w:rsid w:val="00DE0FE3"/>
    <w:rsid w:val="00DE19FE"/>
    <w:rsid w:val="00DE3311"/>
    <w:rsid w:val="00DE33CF"/>
    <w:rsid w:val="00DE3CF5"/>
    <w:rsid w:val="00DE4889"/>
    <w:rsid w:val="00DE4B23"/>
    <w:rsid w:val="00DE6005"/>
    <w:rsid w:val="00DF008E"/>
    <w:rsid w:val="00DF0387"/>
    <w:rsid w:val="00DF12C4"/>
    <w:rsid w:val="00DF1AE6"/>
    <w:rsid w:val="00DF1F95"/>
    <w:rsid w:val="00DF2D25"/>
    <w:rsid w:val="00DF3C88"/>
    <w:rsid w:val="00DF3FB1"/>
    <w:rsid w:val="00DF4146"/>
    <w:rsid w:val="00DF41EC"/>
    <w:rsid w:val="00DF4631"/>
    <w:rsid w:val="00DF49DA"/>
    <w:rsid w:val="00DF4A22"/>
    <w:rsid w:val="00DF6439"/>
    <w:rsid w:val="00DF7083"/>
    <w:rsid w:val="00E00556"/>
    <w:rsid w:val="00E012FA"/>
    <w:rsid w:val="00E018F1"/>
    <w:rsid w:val="00E0250F"/>
    <w:rsid w:val="00E03AA9"/>
    <w:rsid w:val="00E046D2"/>
    <w:rsid w:val="00E0562D"/>
    <w:rsid w:val="00E0594C"/>
    <w:rsid w:val="00E065FF"/>
    <w:rsid w:val="00E066E3"/>
    <w:rsid w:val="00E06C5C"/>
    <w:rsid w:val="00E07F3A"/>
    <w:rsid w:val="00E11D6A"/>
    <w:rsid w:val="00E12589"/>
    <w:rsid w:val="00E125BF"/>
    <w:rsid w:val="00E127A5"/>
    <w:rsid w:val="00E128FD"/>
    <w:rsid w:val="00E130B1"/>
    <w:rsid w:val="00E136C5"/>
    <w:rsid w:val="00E14A73"/>
    <w:rsid w:val="00E1698A"/>
    <w:rsid w:val="00E171B7"/>
    <w:rsid w:val="00E174F7"/>
    <w:rsid w:val="00E17545"/>
    <w:rsid w:val="00E201DC"/>
    <w:rsid w:val="00E202C0"/>
    <w:rsid w:val="00E203D8"/>
    <w:rsid w:val="00E20432"/>
    <w:rsid w:val="00E211A2"/>
    <w:rsid w:val="00E21523"/>
    <w:rsid w:val="00E21984"/>
    <w:rsid w:val="00E22CBB"/>
    <w:rsid w:val="00E23114"/>
    <w:rsid w:val="00E23908"/>
    <w:rsid w:val="00E24209"/>
    <w:rsid w:val="00E242D2"/>
    <w:rsid w:val="00E24A8E"/>
    <w:rsid w:val="00E2664B"/>
    <w:rsid w:val="00E268E8"/>
    <w:rsid w:val="00E269DF"/>
    <w:rsid w:val="00E26F41"/>
    <w:rsid w:val="00E27028"/>
    <w:rsid w:val="00E27112"/>
    <w:rsid w:val="00E2715C"/>
    <w:rsid w:val="00E27476"/>
    <w:rsid w:val="00E27855"/>
    <w:rsid w:val="00E27CA9"/>
    <w:rsid w:val="00E301A8"/>
    <w:rsid w:val="00E301D1"/>
    <w:rsid w:val="00E30740"/>
    <w:rsid w:val="00E31AF5"/>
    <w:rsid w:val="00E322C9"/>
    <w:rsid w:val="00E325B0"/>
    <w:rsid w:val="00E332B4"/>
    <w:rsid w:val="00E33BC6"/>
    <w:rsid w:val="00E3466E"/>
    <w:rsid w:val="00E34C3B"/>
    <w:rsid w:val="00E34F05"/>
    <w:rsid w:val="00E3550B"/>
    <w:rsid w:val="00E357F4"/>
    <w:rsid w:val="00E35A17"/>
    <w:rsid w:val="00E362FD"/>
    <w:rsid w:val="00E3665B"/>
    <w:rsid w:val="00E368DD"/>
    <w:rsid w:val="00E3763E"/>
    <w:rsid w:val="00E402ED"/>
    <w:rsid w:val="00E4068E"/>
    <w:rsid w:val="00E412C5"/>
    <w:rsid w:val="00E4166B"/>
    <w:rsid w:val="00E41C00"/>
    <w:rsid w:val="00E41D4D"/>
    <w:rsid w:val="00E41D8A"/>
    <w:rsid w:val="00E43189"/>
    <w:rsid w:val="00E4366F"/>
    <w:rsid w:val="00E44EB5"/>
    <w:rsid w:val="00E4587A"/>
    <w:rsid w:val="00E46DFF"/>
    <w:rsid w:val="00E46FAF"/>
    <w:rsid w:val="00E471B0"/>
    <w:rsid w:val="00E4734F"/>
    <w:rsid w:val="00E47A53"/>
    <w:rsid w:val="00E47C36"/>
    <w:rsid w:val="00E501C4"/>
    <w:rsid w:val="00E50388"/>
    <w:rsid w:val="00E505AD"/>
    <w:rsid w:val="00E5105D"/>
    <w:rsid w:val="00E5133E"/>
    <w:rsid w:val="00E52AC1"/>
    <w:rsid w:val="00E53BF2"/>
    <w:rsid w:val="00E5401A"/>
    <w:rsid w:val="00E54FC1"/>
    <w:rsid w:val="00E558B8"/>
    <w:rsid w:val="00E5609C"/>
    <w:rsid w:val="00E560AD"/>
    <w:rsid w:val="00E563E5"/>
    <w:rsid w:val="00E567AB"/>
    <w:rsid w:val="00E5764A"/>
    <w:rsid w:val="00E5785D"/>
    <w:rsid w:val="00E57D1E"/>
    <w:rsid w:val="00E57F0C"/>
    <w:rsid w:val="00E60CE5"/>
    <w:rsid w:val="00E60FA7"/>
    <w:rsid w:val="00E61210"/>
    <w:rsid w:val="00E612CE"/>
    <w:rsid w:val="00E61378"/>
    <w:rsid w:val="00E6155B"/>
    <w:rsid w:val="00E61932"/>
    <w:rsid w:val="00E6193F"/>
    <w:rsid w:val="00E61F5D"/>
    <w:rsid w:val="00E61FFB"/>
    <w:rsid w:val="00E62289"/>
    <w:rsid w:val="00E62563"/>
    <w:rsid w:val="00E6266C"/>
    <w:rsid w:val="00E63715"/>
    <w:rsid w:val="00E63B3F"/>
    <w:rsid w:val="00E63D9D"/>
    <w:rsid w:val="00E64227"/>
    <w:rsid w:val="00E6472D"/>
    <w:rsid w:val="00E648FC"/>
    <w:rsid w:val="00E6496C"/>
    <w:rsid w:val="00E64A3D"/>
    <w:rsid w:val="00E65AB2"/>
    <w:rsid w:val="00E65EFC"/>
    <w:rsid w:val="00E65F86"/>
    <w:rsid w:val="00E66043"/>
    <w:rsid w:val="00E665B1"/>
    <w:rsid w:val="00E66FAE"/>
    <w:rsid w:val="00E67578"/>
    <w:rsid w:val="00E676EA"/>
    <w:rsid w:val="00E67A03"/>
    <w:rsid w:val="00E67CC4"/>
    <w:rsid w:val="00E67CDA"/>
    <w:rsid w:val="00E67F35"/>
    <w:rsid w:val="00E705C7"/>
    <w:rsid w:val="00E708BE"/>
    <w:rsid w:val="00E710B6"/>
    <w:rsid w:val="00E71661"/>
    <w:rsid w:val="00E717D5"/>
    <w:rsid w:val="00E7194C"/>
    <w:rsid w:val="00E721FA"/>
    <w:rsid w:val="00E72931"/>
    <w:rsid w:val="00E72C8B"/>
    <w:rsid w:val="00E736F6"/>
    <w:rsid w:val="00E7371A"/>
    <w:rsid w:val="00E737FC"/>
    <w:rsid w:val="00E74C20"/>
    <w:rsid w:val="00E74EA2"/>
    <w:rsid w:val="00E75841"/>
    <w:rsid w:val="00E76260"/>
    <w:rsid w:val="00E7636F"/>
    <w:rsid w:val="00E76B48"/>
    <w:rsid w:val="00E76EA9"/>
    <w:rsid w:val="00E77F70"/>
    <w:rsid w:val="00E805DF"/>
    <w:rsid w:val="00E80A3A"/>
    <w:rsid w:val="00E8125C"/>
    <w:rsid w:val="00E8151D"/>
    <w:rsid w:val="00E818E3"/>
    <w:rsid w:val="00E825CD"/>
    <w:rsid w:val="00E82F61"/>
    <w:rsid w:val="00E82FBD"/>
    <w:rsid w:val="00E83EE8"/>
    <w:rsid w:val="00E8408F"/>
    <w:rsid w:val="00E844A2"/>
    <w:rsid w:val="00E845C6"/>
    <w:rsid w:val="00E84B27"/>
    <w:rsid w:val="00E859D6"/>
    <w:rsid w:val="00E85AC3"/>
    <w:rsid w:val="00E85B15"/>
    <w:rsid w:val="00E85CCA"/>
    <w:rsid w:val="00E861E0"/>
    <w:rsid w:val="00E86591"/>
    <w:rsid w:val="00E8665A"/>
    <w:rsid w:val="00E86D8E"/>
    <w:rsid w:val="00E873AC"/>
    <w:rsid w:val="00E87DD8"/>
    <w:rsid w:val="00E902EE"/>
    <w:rsid w:val="00E90612"/>
    <w:rsid w:val="00E906DD"/>
    <w:rsid w:val="00E90A00"/>
    <w:rsid w:val="00E90AF5"/>
    <w:rsid w:val="00E90E94"/>
    <w:rsid w:val="00E9103D"/>
    <w:rsid w:val="00E91616"/>
    <w:rsid w:val="00E9173D"/>
    <w:rsid w:val="00E919B7"/>
    <w:rsid w:val="00E922C2"/>
    <w:rsid w:val="00E9261A"/>
    <w:rsid w:val="00E92AB9"/>
    <w:rsid w:val="00E93EBA"/>
    <w:rsid w:val="00E94471"/>
    <w:rsid w:val="00E95155"/>
    <w:rsid w:val="00E952CA"/>
    <w:rsid w:val="00E9597A"/>
    <w:rsid w:val="00E959E1"/>
    <w:rsid w:val="00E966C8"/>
    <w:rsid w:val="00E96A61"/>
    <w:rsid w:val="00E96CBF"/>
    <w:rsid w:val="00E970DF"/>
    <w:rsid w:val="00E973A8"/>
    <w:rsid w:val="00E97ECE"/>
    <w:rsid w:val="00EA0136"/>
    <w:rsid w:val="00EA0CCB"/>
    <w:rsid w:val="00EA0E9B"/>
    <w:rsid w:val="00EA18CE"/>
    <w:rsid w:val="00EA18FC"/>
    <w:rsid w:val="00EA1CFA"/>
    <w:rsid w:val="00EA2480"/>
    <w:rsid w:val="00EA28F6"/>
    <w:rsid w:val="00EA31F7"/>
    <w:rsid w:val="00EA34F2"/>
    <w:rsid w:val="00EA3AFB"/>
    <w:rsid w:val="00EA40C6"/>
    <w:rsid w:val="00EA4399"/>
    <w:rsid w:val="00EA4C6A"/>
    <w:rsid w:val="00EA51B6"/>
    <w:rsid w:val="00EA51C9"/>
    <w:rsid w:val="00EA525E"/>
    <w:rsid w:val="00EA56DE"/>
    <w:rsid w:val="00EA5C12"/>
    <w:rsid w:val="00EA5E76"/>
    <w:rsid w:val="00EA6BCF"/>
    <w:rsid w:val="00EA7413"/>
    <w:rsid w:val="00EB0016"/>
    <w:rsid w:val="00EB0490"/>
    <w:rsid w:val="00EB0D54"/>
    <w:rsid w:val="00EB0F94"/>
    <w:rsid w:val="00EB160E"/>
    <w:rsid w:val="00EB181C"/>
    <w:rsid w:val="00EB206D"/>
    <w:rsid w:val="00EB221A"/>
    <w:rsid w:val="00EB2962"/>
    <w:rsid w:val="00EB3C74"/>
    <w:rsid w:val="00EB3D96"/>
    <w:rsid w:val="00EB3F26"/>
    <w:rsid w:val="00EB425C"/>
    <w:rsid w:val="00EB43D2"/>
    <w:rsid w:val="00EB4BB4"/>
    <w:rsid w:val="00EB4EF3"/>
    <w:rsid w:val="00EB4FEA"/>
    <w:rsid w:val="00EB698D"/>
    <w:rsid w:val="00EB6EB4"/>
    <w:rsid w:val="00EB7325"/>
    <w:rsid w:val="00EB737B"/>
    <w:rsid w:val="00EB773D"/>
    <w:rsid w:val="00EB7EED"/>
    <w:rsid w:val="00EC0189"/>
    <w:rsid w:val="00EC0EE4"/>
    <w:rsid w:val="00EC1052"/>
    <w:rsid w:val="00EC19E5"/>
    <w:rsid w:val="00EC2874"/>
    <w:rsid w:val="00EC31A3"/>
    <w:rsid w:val="00EC335F"/>
    <w:rsid w:val="00EC4787"/>
    <w:rsid w:val="00EC48AA"/>
    <w:rsid w:val="00EC4BF1"/>
    <w:rsid w:val="00EC51FC"/>
    <w:rsid w:val="00EC5C27"/>
    <w:rsid w:val="00EC5F49"/>
    <w:rsid w:val="00EC67F3"/>
    <w:rsid w:val="00EC6BE1"/>
    <w:rsid w:val="00EC6DD6"/>
    <w:rsid w:val="00EC7366"/>
    <w:rsid w:val="00EC747E"/>
    <w:rsid w:val="00EC74BC"/>
    <w:rsid w:val="00EC7DDE"/>
    <w:rsid w:val="00EC7FB8"/>
    <w:rsid w:val="00ED0065"/>
    <w:rsid w:val="00ED0216"/>
    <w:rsid w:val="00ED02A2"/>
    <w:rsid w:val="00ED0447"/>
    <w:rsid w:val="00ED068E"/>
    <w:rsid w:val="00ED0811"/>
    <w:rsid w:val="00ED0DDE"/>
    <w:rsid w:val="00ED191D"/>
    <w:rsid w:val="00ED2217"/>
    <w:rsid w:val="00ED2471"/>
    <w:rsid w:val="00ED24D6"/>
    <w:rsid w:val="00ED271B"/>
    <w:rsid w:val="00ED291D"/>
    <w:rsid w:val="00ED3216"/>
    <w:rsid w:val="00ED357E"/>
    <w:rsid w:val="00ED377E"/>
    <w:rsid w:val="00ED3DE1"/>
    <w:rsid w:val="00ED3F55"/>
    <w:rsid w:val="00ED4308"/>
    <w:rsid w:val="00ED5179"/>
    <w:rsid w:val="00ED5467"/>
    <w:rsid w:val="00ED5D32"/>
    <w:rsid w:val="00ED67B8"/>
    <w:rsid w:val="00ED6AAC"/>
    <w:rsid w:val="00ED6B1B"/>
    <w:rsid w:val="00ED6C12"/>
    <w:rsid w:val="00ED7753"/>
    <w:rsid w:val="00ED7ED7"/>
    <w:rsid w:val="00EE08C7"/>
    <w:rsid w:val="00EE0A43"/>
    <w:rsid w:val="00EE0AB1"/>
    <w:rsid w:val="00EE11C2"/>
    <w:rsid w:val="00EE1F49"/>
    <w:rsid w:val="00EE2054"/>
    <w:rsid w:val="00EE24DC"/>
    <w:rsid w:val="00EE2C11"/>
    <w:rsid w:val="00EE331C"/>
    <w:rsid w:val="00EE3715"/>
    <w:rsid w:val="00EE4B80"/>
    <w:rsid w:val="00EE4C63"/>
    <w:rsid w:val="00EE5202"/>
    <w:rsid w:val="00EE5D19"/>
    <w:rsid w:val="00EE797E"/>
    <w:rsid w:val="00EE7BE9"/>
    <w:rsid w:val="00EF1ABB"/>
    <w:rsid w:val="00EF208E"/>
    <w:rsid w:val="00EF2D94"/>
    <w:rsid w:val="00EF34F6"/>
    <w:rsid w:val="00EF3521"/>
    <w:rsid w:val="00EF3CD5"/>
    <w:rsid w:val="00EF4C15"/>
    <w:rsid w:val="00EF51EC"/>
    <w:rsid w:val="00EF614E"/>
    <w:rsid w:val="00EF616F"/>
    <w:rsid w:val="00EF63EC"/>
    <w:rsid w:val="00EF6787"/>
    <w:rsid w:val="00EF67EF"/>
    <w:rsid w:val="00EF6EB4"/>
    <w:rsid w:val="00EF77B8"/>
    <w:rsid w:val="00F00506"/>
    <w:rsid w:val="00F02A5A"/>
    <w:rsid w:val="00F02E9F"/>
    <w:rsid w:val="00F02EEE"/>
    <w:rsid w:val="00F03151"/>
    <w:rsid w:val="00F03F8C"/>
    <w:rsid w:val="00F04614"/>
    <w:rsid w:val="00F047DB"/>
    <w:rsid w:val="00F054C5"/>
    <w:rsid w:val="00F054E2"/>
    <w:rsid w:val="00F061EA"/>
    <w:rsid w:val="00F06F24"/>
    <w:rsid w:val="00F070BD"/>
    <w:rsid w:val="00F076C4"/>
    <w:rsid w:val="00F076FF"/>
    <w:rsid w:val="00F077CA"/>
    <w:rsid w:val="00F07DA5"/>
    <w:rsid w:val="00F0E177"/>
    <w:rsid w:val="00F100EB"/>
    <w:rsid w:val="00F10F87"/>
    <w:rsid w:val="00F117D4"/>
    <w:rsid w:val="00F124B9"/>
    <w:rsid w:val="00F12635"/>
    <w:rsid w:val="00F12812"/>
    <w:rsid w:val="00F12B93"/>
    <w:rsid w:val="00F12D9C"/>
    <w:rsid w:val="00F12F66"/>
    <w:rsid w:val="00F137A1"/>
    <w:rsid w:val="00F13A0E"/>
    <w:rsid w:val="00F14088"/>
    <w:rsid w:val="00F14D26"/>
    <w:rsid w:val="00F15E68"/>
    <w:rsid w:val="00F169F6"/>
    <w:rsid w:val="00F17611"/>
    <w:rsid w:val="00F17785"/>
    <w:rsid w:val="00F17D9A"/>
    <w:rsid w:val="00F208E7"/>
    <w:rsid w:val="00F20D3C"/>
    <w:rsid w:val="00F2104A"/>
    <w:rsid w:val="00F219C3"/>
    <w:rsid w:val="00F21A50"/>
    <w:rsid w:val="00F21E3C"/>
    <w:rsid w:val="00F224B7"/>
    <w:rsid w:val="00F22657"/>
    <w:rsid w:val="00F227E3"/>
    <w:rsid w:val="00F22AF5"/>
    <w:rsid w:val="00F234A8"/>
    <w:rsid w:val="00F239E5"/>
    <w:rsid w:val="00F24097"/>
    <w:rsid w:val="00F24108"/>
    <w:rsid w:val="00F24F35"/>
    <w:rsid w:val="00F2579A"/>
    <w:rsid w:val="00F25D22"/>
    <w:rsid w:val="00F26058"/>
    <w:rsid w:val="00F26783"/>
    <w:rsid w:val="00F26AEA"/>
    <w:rsid w:val="00F26E71"/>
    <w:rsid w:val="00F27AC1"/>
    <w:rsid w:val="00F27B52"/>
    <w:rsid w:val="00F30203"/>
    <w:rsid w:val="00F30AA2"/>
    <w:rsid w:val="00F30B8E"/>
    <w:rsid w:val="00F30B97"/>
    <w:rsid w:val="00F317D4"/>
    <w:rsid w:val="00F31B63"/>
    <w:rsid w:val="00F31EAA"/>
    <w:rsid w:val="00F32048"/>
    <w:rsid w:val="00F32A61"/>
    <w:rsid w:val="00F333B9"/>
    <w:rsid w:val="00F3345F"/>
    <w:rsid w:val="00F33F98"/>
    <w:rsid w:val="00F34E05"/>
    <w:rsid w:val="00F3622E"/>
    <w:rsid w:val="00F363A1"/>
    <w:rsid w:val="00F3650C"/>
    <w:rsid w:val="00F37213"/>
    <w:rsid w:val="00F379E3"/>
    <w:rsid w:val="00F40A13"/>
    <w:rsid w:val="00F40B3F"/>
    <w:rsid w:val="00F415CD"/>
    <w:rsid w:val="00F41BEA"/>
    <w:rsid w:val="00F4202D"/>
    <w:rsid w:val="00F42C23"/>
    <w:rsid w:val="00F42DA9"/>
    <w:rsid w:val="00F43AD9"/>
    <w:rsid w:val="00F43EF8"/>
    <w:rsid w:val="00F440A9"/>
    <w:rsid w:val="00F44222"/>
    <w:rsid w:val="00F44292"/>
    <w:rsid w:val="00F44990"/>
    <w:rsid w:val="00F44F97"/>
    <w:rsid w:val="00F45035"/>
    <w:rsid w:val="00F456A3"/>
    <w:rsid w:val="00F4578A"/>
    <w:rsid w:val="00F4597C"/>
    <w:rsid w:val="00F45E76"/>
    <w:rsid w:val="00F46125"/>
    <w:rsid w:val="00F461F9"/>
    <w:rsid w:val="00F4628D"/>
    <w:rsid w:val="00F468A8"/>
    <w:rsid w:val="00F46D23"/>
    <w:rsid w:val="00F46EEE"/>
    <w:rsid w:val="00F47741"/>
    <w:rsid w:val="00F50172"/>
    <w:rsid w:val="00F50405"/>
    <w:rsid w:val="00F50735"/>
    <w:rsid w:val="00F50830"/>
    <w:rsid w:val="00F50AD5"/>
    <w:rsid w:val="00F50DCD"/>
    <w:rsid w:val="00F51111"/>
    <w:rsid w:val="00F513A9"/>
    <w:rsid w:val="00F521CF"/>
    <w:rsid w:val="00F525F8"/>
    <w:rsid w:val="00F52A2E"/>
    <w:rsid w:val="00F53211"/>
    <w:rsid w:val="00F53DA9"/>
    <w:rsid w:val="00F54305"/>
    <w:rsid w:val="00F555D5"/>
    <w:rsid w:val="00F55909"/>
    <w:rsid w:val="00F5597E"/>
    <w:rsid w:val="00F55BF3"/>
    <w:rsid w:val="00F55F29"/>
    <w:rsid w:val="00F5626E"/>
    <w:rsid w:val="00F56705"/>
    <w:rsid w:val="00F56DC6"/>
    <w:rsid w:val="00F57286"/>
    <w:rsid w:val="00F57546"/>
    <w:rsid w:val="00F576CC"/>
    <w:rsid w:val="00F57D07"/>
    <w:rsid w:val="00F57FC7"/>
    <w:rsid w:val="00F6061C"/>
    <w:rsid w:val="00F60831"/>
    <w:rsid w:val="00F60B72"/>
    <w:rsid w:val="00F60DE7"/>
    <w:rsid w:val="00F6154E"/>
    <w:rsid w:val="00F6173F"/>
    <w:rsid w:val="00F6174B"/>
    <w:rsid w:val="00F6192F"/>
    <w:rsid w:val="00F619E1"/>
    <w:rsid w:val="00F6273B"/>
    <w:rsid w:val="00F62768"/>
    <w:rsid w:val="00F6278D"/>
    <w:rsid w:val="00F62946"/>
    <w:rsid w:val="00F62F65"/>
    <w:rsid w:val="00F64904"/>
    <w:rsid w:val="00F64AFA"/>
    <w:rsid w:val="00F64B28"/>
    <w:rsid w:val="00F64E2D"/>
    <w:rsid w:val="00F64EED"/>
    <w:rsid w:val="00F655FA"/>
    <w:rsid w:val="00F663E3"/>
    <w:rsid w:val="00F6762C"/>
    <w:rsid w:val="00F678D0"/>
    <w:rsid w:val="00F67CEE"/>
    <w:rsid w:val="00F700AE"/>
    <w:rsid w:val="00F701C9"/>
    <w:rsid w:val="00F70356"/>
    <w:rsid w:val="00F7036D"/>
    <w:rsid w:val="00F707FF"/>
    <w:rsid w:val="00F709BB"/>
    <w:rsid w:val="00F71762"/>
    <w:rsid w:val="00F719E0"/>
    <w:rsid w:val="00F72A26"/>
    <w:rsid w:val="00F7327C"/>
    <w:rsid w:val="00F734EE"/>
    <w:rsid w:val="00F738F1"/>
    <w:rsid w:val="00F73D3E"/>
    <w:rsid w:val="00F73DF4"/>
    <w:rsid w:val="00F74CB8"/>
    <w:rsid w:val="00F75282"/>
    <w:rsid w:val="00F75650"/>
    <w:rsid w:val="00F75A5B"/>
    <w:rsid w:val="00F75B10"/>
    <w:rsid w:val="00F76599"/>
    <w:rsid w:val="00F76780"/>
    <w:rsid w:val="00F76F50"/>
    <w:rsid w:val="00F77377"/>
    <w:rsid w:val="00F77583"/>
    <w:rsid w:val="00F80DF6"/>
    <w:rsid w:val="00F8179F"/>
    <w:rsid w:val="00F81ACF"/>
    <w:rsid w:val="00F81D4A"/>
    <w:rsid w:val="00F829DA"/>
    <w:rsid w:val="00F82EF4"/>
    <w:rsid w:val="00F82FB4"/>
    <w:rsid w:val="00F847AE"/>
    <w:rsid w:val="00F85B82"/>
    <w:rsid w:val="00F860AE"/>
    <w:rsid w:val="00F86E34"/>
    <w:rsid w:val="00F87420"/>
    <w:rsid w:val="00F876C8"/>
    <w:rsid w:val="00F87A75"/>
    <w:rsid w:val="00F87E04"/>
    <w:rsid w:val="00F90743"/>
    <w:rsid w:val="00F91721"/>
    <w:rsid w:val="00F91CA6"/>
    <w:rsid w:val="00F925CC"/>
    <w:rsid w:val="00F9365B"/>
    <w:rsid w:val="00F939A9"/>
    <w:rsid w:val="00F945C2"/>
    <w:rsid w:val="00F9492D"/>
    <w:rsid w:val="00F9509A"/>
    <w:rsid w:val="00F96032"/>
    <w:rsid w:val="00F96B73"/>
    <w:rsid w:val="00FA0954"/>
    <w:rsid w:val="00FA0D89"/>
    <w:rsid w:val="00FA0FB3"/>
    <w:rsid w:val="00FA2130"/>
    <w:rsid w:val="00FA230D"/>
    <w:rsid w:val="00FA2949"/>
    <w:rsid w:val="00FA3275"/>
    <w:rsid w:val="00FA33AF"/>
    <w:rsid w:val="00FA3837"/>
    <w:rsid w:val="00FA39A6"/>
    <w:rsid w:val="00FA3DA0"/>
    <w:rsid w:val="00FA4ACA"/>
    <w:rsid w:val="00FA53EB"/>
    <w:rsid w:val="00FA72F5"/>
    <w:rsid w:val="00FB02BB"/>
    <w:rsid w:val="00FB0FCD"/>
    <w:rsid w:val="00FB1127"/>
    <w:rsid w:val="00FB1377"/>
    <w:rsid w:val="00FB196B"/>
    <w:rsid w:val="00FB19DC"/>
    <w:rsid w:val="00FB1A78"/>
    <w:rsid w:val="00FB1D61"/>
    <w:rsid w:val="00FB24A6"/>
    <w:rsid w:val="00FB2E82"/>
    <w:rsid w:val="00FB36F3"/>
    <w:rsid w:val="00FB37CC"/>
    <w:rsid w:val="00FB3B50"/>
    <w:rsid w:val="00FB3C02"/>
    <w:rsid w:val="00FB3F77"/>
    <w:rsid w:val="00FB450E"/>
    <w:rsid w:val="00FB4704"/>
    <w:rsid w:val="00FB4758"/>
    <w:rsid w:val="00FB4C14"/>
    <w:rsid w:val="00FB500D"/>
    <w:rsid w:val="00FB5128"/>
    <w:rsid w:val="00FB5423"/>
    <w:rsid w:val="00FB588C"/>
    <w:rsid w:val="00FB5D50"/>
    <w:rsid w:val="00FB60B2"/>
    <w:rsid w:val="00FB7069"/>
    <w:rsid w:val="00FB7CBA"/>
    <w:rsid w:val="00FC01AE"/>
    <w:rsid w:val="00FC05D4"/>
    <w:rsid w:val="00FC064F"/>
    <w:rsid w:val="00FC1163"/>
    <w:rsid w:val="00FC2D0F"/>
    <w:rsid w:val="00FC3561"/>
    <w:rsid w:val="00FC3B1E"/>
    <w:rsid w:val="00FC4309"/>
    <w:rsid w:val="00FC473F"/>
    <w:rsid w:val="00FC50BE"/>
    <w:rsid w:val="00FC5ABF"/>
    <w:rsid w:val="00FC6AC9"/>
    <w:rsid w:val="00FC6D7B"/>
    <w:rsid w:val="00FC7F19"/>
    <w:rsid w:val="00FD01A8"/>
    <w:rsid w:val="00FD01F1"/>
    <w:rsid w:val="00FD0A8B"/>
    <w:rsid w:val="00FD0CDA"/>
    <w:rsid w:val="00FD0F60"/>
    <w:rsid w:val="00FD1B6C"/>
    <w:rsid w:val="00FD1BA3"/>
    <w:rsid w:val="00FD1FA3"/>
    <w:rsid w:val="00FD250E"/>
    <w:rsid w:val="00FD2AFC"/>
    <w:rsid w:val="00FD2E39"/>
    <w:rsid w:val="00FD35BC"/>
    <w:rsid w:val="00FD38B2"/>
    <w:rsid w:val="00FD3A3A"/>
    <w:rsid w:val="00FD3B35"/>
    <w:rsid w:val="00FD497A"/>
    <w:rsid w:val="00FD50CC"/>
    <w:rsid w:val="00FD597B"/>
    <w:rsid w:val="00FD6192"/>
    <w:rsid w:val="00FD6451"/>
    <w:rsid w:val="00FD69FE"/>
    <w:rsid w:val="00FD757E"/>
    <w:rsid w:val="00FD7C3D"/>
    <w:rsid w:val="00FE0BD7"/>
    <w:rsid w:val="00FE0D09"/>
    <w:rsid w:val="00FE16C7"/>
    <w:rsid w:val="00FE182F"/>
    <w:rsid w:val="00FE1E24"/>
    <w:rsid w:val="00FE25A1"/>
    <w:rsid w:val="00FE27D6"/>
    <w:rsid w:val="00FE290E"/>
    <w:rsid w:val="00FE2D21"/>
    <w:rsid w:val="00FE49FF"/>
    <w:rsid w:val="00FE4AD3"/>
    <w:rsid w:val="00FE591C"/>
    <w:rsid w:val="00FE5CCB"/>
    <w:rsid w:val="00FE5CD2"/>
    <w:rsid w:val="00FE6117"/>
    <w:rsid w:val="00FE7092"/>
    <w:rsid w:val="00FE7232"/>
    <w:rsid w:val="00FE7D28"/>
    <w:rsid w:val="00FF06FD"/>
    <w:rsid w:val="00FF094A"/>
    <w:rsid w:val="00FF0A30"/>
    <w:rsid w:val="00FF0FD4"/>
    <w:rsid w:val="00FF1430"/>
    <w:rsid w:val="00FF1705"/>
    <w:rsid w:val="00FF1D7B"/>
    <w:rsid w:val="00FF215C"/>
    <w:rsid w:val="00FF25DD"/>
    <w:rsid w:val="00FF3317"/>
    <w:rsid w:val="00FF3EB5"/>
    <w:rsid w:val="00FF3FFF"/>
    <w:rsid w:val="00FF4FF3"/>
    <w:rsid w:val="00FF588B"/>
    <w:rsid w:val="00FF5DF6"/>
    <w:rsid w:val="00FF63E2"/>
    <w:rsid w:val="00FF68A9"/>
    <w:rsid w:val="00FF6A69"/>
    <w:rsid w:val="00FF71AD"/>
    <w:rsid w:val="012B89C0"/>
    <w:rsid w:val="01813EE9"/>
    <w:rsid w:val="01C75153"/>
    <w:rsid w:val="0203A693"/>
    <w:rsid w:val="023016D4"/>
    <w:rsid w:val="023C8888"/>
    <w:rsid w:val="023E2729"/>
    <w:rsid w:val="0249A9CA"/>
    <w:rsid w:val="0257570A"/>
    <w:rsid w:val="02618125"/>
    <w:rsid w:val="02740B29"/>
    <w:rsid w:val="027CDA3E"/>
    <w:rsid w:val="027EC8B7"/>
    <w:rsid w:val="0284D976"/>
    <w:rsid w:val="0296B6A5"/>
    <w:rsid w:val="02A244FE"/>
    <w:rsid w:val="02BEC2AF"/>
    <w:rsid w:val="02D94BEE"/>
    <w:rsid w:val="02E2C40B"/>
    <w:rsid w:val="0318CE0E"/>
    <w:rsid w:val="034CA0FB"/>
    <w:rsid w:val="035EBAE1"/>
    <w:rsid w:val="0366D298"/>
    <w:rsid w:val="0379E9BB"/>
    <w:rsid w:val="037C11FD"/>
    <w:rsid w:val="0380DD7B"/>
    <w:rsid w:val="039F17BA"/>
    <w:rsid w:val="03A6BA7D"/>
    <w:rsid w:val="03AD9FB5"/>
    <w:rsid w:val="03B8DF7B"/>
    <w:rsid w:val="03BF8264"/>
    <w:rsid w:val="03C0A4DC"/>
    <w:rsid w:val="03CCC748"/>
    <w:rsid w:val="03CEE5D6"/>
    <w:rsid w:val="03DB6378"/>
    <w:rsid w:val="03E14381"/>
    <w:rsid w:val="03EDA4EB"/>
    <w:rsid w:val="03EEA824"/>
    <w:rsid w:val="041798F1"/>
    <w:rsid w:val="0428A185"/>
    <w:rsid w:val="043A9BC7"/>
    <w:rsid w:val="0444B3A9"/>
    <w:rsid w:val="044517FE"/>
    <w:rsid w:val="04748D19"/>
    <w:rsid w:val="04AFB46A"/>
    <w:rsid w:val="04C6B4B1"/>
    <w:rsid w:val="04CE8AE5"/>
    <w:rsid w:val="04D5E56A"/>
    <w:rsid w:val="04D60413"/>
    <w:rsid w:val="04E4BC49"/>
    <w:rsid w:val="04F71244"/>
    <w:rsid w:val="051F78DA"/>
    <w:rsid w:val="05222CF5"/>
    <w:rsid w:val="054ED8BB"/>
    <w:rsid w:val="056004AE"/>
    <w:rsid w:val="058EA075"/>
    <w:rsid w:val="05A003BA"/>
    <w:rsid w:val="05B76BF8"/>
    <w:rsid w:val="05C35970"/>
    <w:rsid w:val="06243B39"/>
    <w:rsid w:val="0648B55E"/>
    <w:rsid w:val="069CCDE3"/>
    <w:rsid w:val="06A7FDA6"/>
    <w:rsid w:val="06CF76E8"/>
    <w:rsid w:val="06D32406"/>
    <w:rsid w:val="06DC2DDC"/>
    <w:rsid w:val="070B9A73"/>
    <w:rsid w:val="0722CC92"/>
    <w:rsid w:val="072D3FD6"/>
    <w:rsid w:val="0780AA48"/>
    <w:rsid w:val="07BCAD1B"/>
    <w:rsid w:val="07E0BC07"/>
    <w:rsid w:val="07F186F7"/>
    <w:rsid w:val="083B1F16"/>
    <w:rsid w:val="08519A77"/>
    <w:rsid w:val="0859654D"/>
    <w:rsid w:val="08893203"/>
    <w:rsid w:val="089CDB1D"/>
    <w:rsid w:val="08B15257"/>
    <w:rsid w:val="08E0644B"/>
    <w:rsid w:val="09279F42"/>
    <w:rsid w:val="0935F0C3"/>
    <w:rsid w:val="093A84D7"/>
    <w:rsid w:val="093FCF14"/>
    <w:rsid w:val="095ABBA8"/>
    <w:rsid w:val="09792726"/>
    <w:rsid w:val="098D2916"/>
    <w:rsid w:val="09B1BAD9"/>
    <w:rsid w:val="09E5518C"/>
    <w:rsid w:val="0A0326D0"/>
    <w:rsid w:val="0A09A781"/>
    <w:rsid w:val="0A292A9D"/>
    <w:rsid w:val="0A33CDD4"/>
    <w:rsid w:val="0AAE9185"/>
    <w:rsid w:val="0AAFFB08"/>
    <w:rsid w:val="0AB72BD6"/>
    <w:rsid w:val="0AE1CA14"/>
    <w:rsid w:val="0AFFBAB2"/>
    <w:rsid w:val="0B00D270"/>
    <w:rsid w:val="0B10758B"/>
    <w:rsid w:val="0B141458"/>
    <w:rsid w:val="0B2E2867"/>
    <w:rsid w:val="0B49A44A"/>
    <w:rsid w:val="0B673066"/>
    <w:rsid w:val="0B9562E8"/>
    <w:rsid w:val="0B99A9DC"/>
    <w:rsid w:val="0BA116B3"/>
    <w:rsid w:val="0BA4BBD9"/>
    <w:rsid w:val="0BA6F88F"/>
    <w:rsid w:val="0BC59EDE"/>
    <w:rsid w:val="0BC93919"/>
    <w:rsid w:val="0BEC7D77"/>
    <w:rsid w:val="0C062A6B"/>
    <w:rsid w:val="0C5DCA80"/>
    <w:rsid w:val="0C6CE349"/>
    <w:rsid w:val="0C96507A"/>
    <w:rsid w:val="0C97996F"/>
    <w:rsid w:val="0CA2254C"/>
    <w:rsid w:val="0CA958A7"/>
    <w:rsid w:val="0CB5A7F9"/>
    <w:rsid w:val="0CCB53ED"/>
    <w:rsid w:val="0CF1C199"/>
    <w:rsid w:val="0CF83466"/>
    <w:rsid w:val="0D436692"/>
    <w:rsid w:val="0D44C652"/>
    <w:rsid w:val="0D5145A6"/>
    <w:rsid w:val="0D58E3FD"/>
    <w:rsid w:val="0D698C3A"/>
    <w:rsid w:val="0D75A07A"/>
    <w:rsid w:val="0D7FDF25"/>
    <w:rsid w:val="0D8CC118"/>
    <w:rsid w:val="0D9A7CBB"/>
    <w:rsid w:val="0DE2E6CC"/>
    <w:rsid w:val="0DF5023A"/>
    <w:rsid w:val="0DF90EF2"/>
    <w:rsid w:val="0E29A98E"/>
    <w:rsid w:val="0E4C413A"/>
    <w:rsid w:val="0E4E55AE"/>
    <w:rsid w:val="0E56628F"/>
    <w:rsid w:val="0E801F64"/>
    <w:rsid w:val="0E8B08EA"/>
    <w:rsid w:val="0E99F1AB"/>
    <w:rsid w:val="0EB8796C"/>
    <w:rsid w:val="0ED94E53"/>
    <w:rsid w:val="0F0F0475"/>
    <w:rsid w:val="0F5ABAF6"/>
    <w:rsid w:val="0FA9BA28"/>
    <w:rsid w:val="0FD7B9D7"/>
    <w:rsid w:val="0FE2E076"/>
    <w:rsid w:val="0FEA260F"/>
    <w:rsid w:val="10009690"/>
    <w:rsid w:val="104EA18D"/>
    <w:rsid w:val="108259DC"/>
    <w:rsid w:val="109FD209"/>
    <w:rsid w:val="10C24C30"/>
    <w:rsid w:val="10C3D743"/>
    <w:rsid w:val="10CFE71F"/>
    <w:rsid w:val="11129B30"/>
    <w:rsid w:val="1128D123"/>
    <w:rsid w:val="114CA530"/>
    <w:rsid w:val="116E3C6E"/>
    <w:rsid w:val="1189DD90"/>
    <w:rsid w:val="1200B864"/>
    <w:rsid w:val="121456BC"/>
    <w:rsid w:val="12324FE4"/>
    <w:rsid w:val="124E44B2"/>
    <w:rsid w:val="124F9A40"/>
    <w:rsid w:val="125E1C91"/>
    <w:rsid w:val="127619C2"/>
    <w:rsid w:val="1282AF15"/>
    <w:rsid w:val="12AAB4DA"/>
    <w:rsid w:val="12B29FA5"/>
    <w:rsid w:val="12B4B5B8"/>
    <w:rsid w:val="12B52CC4"/>
    <w:rsid w:val="12B8965A"/>
    <w:rsid w:val="12B98268"/>
    <w:rsid w:val="12D1B484"/>
    <w:rsid w:val="12F67F0C"/>
    <w:rsid w:val="12FC85B0"/>
    <w:rsid w:val="13570935"/>
    <w:rsid w:val="137118A9"/>
    <w:rsid w:val="137D9E66"/>
    <w:rsid w:val="138562D6"/>
    <w:rsid w:val="138FED8B"/>
    <w:rsid w:val="13D28B43"/>
    <w:rsid w:val="13E3785C"/>
    <w:rsid w:val="14360312"/>
    <w:rsid w:val="143A64AC"/>
    <w:rsid w:val="144641A0"/>
    <w:rsid w:val="1468F17E"/>
    <w:rsid w:val="14751291"/>
    <w:rsid w:val="1476E406"/>
    <w:rsid w:val="148225D7"/>
    <w:rsid w:val="14914C6B"/>
    <w:rsid w:val="14BB8764"/>
    <w:rsid w:val="14C6AC06"/>
    <w:rsid w:val="14D892A8"/>
    <w:rsid w:val="14F031F6"/>
    <w:rsid w:val="151A008A"/>
    <w:rsid w:val="15460C66"/>
    <w:rsid w:val="155D2718"/>
    <w:rsid w:val="1569EACB"/>
    <w:rsid w:val="156C2A5D"/>
    <w:rsid w:val="156E6F6E"/>
    <w:rsid w:val="15CFE97D"/>
    <w:rsid w:val="15DD9EB2"/>
    <w:rsid w:val="16097AA3"/>
    <w:rsid w:val="160A544E"/>
    <w:rsid w:val="160A5544"/>
    <w:rsid w:val="16116EE7"/>
    <w:rsid w:val="16174A9E"/>
    <w:rsid w:val="162E215F"/>
    <w:rsid w:val="16330E5A"/>
    <w:rsid w:val="163E9A76"/>
    <w:rsid w:val="164DB5D1"/>
    <w:rsid w:val="1658217E"/>
    <w:rsid w:val="166636AA"/>
    <w:rsid w:val="169C3AA5"/>
    <w:rsid w:val="16E154B4"/>
    <w:rsid w:val="16E34879"/>
    <w:rsid w:val="16E6E648"/>
    <w:rsid w:val="170A2C05"/>
    <w:rsid w:val="172F0BDF"/>
    <w:rsid w:val="173DA91F"/>
    <w:rsid w:val="173FF078"/>
    <w:rsid w:val="174756CC"/>
    <w:rsid w:val="17492079"/>
    <w:rsid w:val="17502892"/>
    <w:rsid w:val="17530A82"/>
    <w:rsid w:val="17556940"/>
    <w:rsid w:val="176FBF68"/>
    <w:rsid w:val="179B24D7"/>
    <w:rsid w:val="17D6A063"/>
    <w:rsid w:val="17DC0F97"/>
    <w:rsid w:val="181D5DC8"/>
    <w:rsid w:val="182330A0"/>
    <w:rsid w:val="1826E2D3"/>
    <w:rsid w:val="182D5BC0"/>
    <w:rsid w:val="18427418"/>
    <w:rsid w:val="184B0E03"/>
    <w:rsid w:val="1875BADF"/>
    <w:rsid w:val="189D7B71"/>
    <w:rsid w:val="189F28C7"/>
    <w:rsid w:val="18CCA4CB"/>
    <w:rsid w:val="18F03F9D"/>
    <w:rsid w:val="190B88EF"/>
    <w:rsid w:val="190E6A75"/>
    <w:rsid w:val="19156405"/>
    <w:rsid w:val="194360E3"/>
    <w:rsid w:val="194B1D3E"/>
    <w:rsid w:val="19626F96"/>
    <w:rsid w:val="19AB3B70"/>
    <w:rsid w:val="19B72327"/>
    <w:rsid w:val="19BAF6D6"/>
    <w:rsid w:val="19C1189C"/>
    <w:rsid w:val="19CF9B70"/>
    <w:rsid w:val="19DAEA7A"/>
    <w:rsid w:val="1A382171"/>
    <w:rsid w:val="1A43FBDA"/>
    <w:rsid w:val="1A514088"/>
    <w:rsid w:val="1A65020E"/>
    <w:rsid w:val="1A8751B6"/>
    <w:rsid w:val="1ABF22D3"/>
    <w:rsid w:val="1AEC4960"/>
    <w:rsid w:val="1AEF4E4E"/>
    <w:rsid w:val="1AEF6B79"/>
    <w:rsid w:val="1B3F64BF"/>
    <w:rsid w:val="1B5CDCFA"/>
    <w:rsid w:val="1B8D63C9"/>
    <w:rsid w:val="1B95F01E"/>
    <w:rsid w:val="1BAAE56D"/>
    <w:rsid w:val="1BBBDD2F"/>
    <w:rsid w:val="1BCF911C"/>
    <w:rsid w:val="1BE764F9"/>
    <w:rsid w:val="1BFE5355"/>
    <w:rsid w:val="1C062B50"/>
    <w:rsid w:val="1C1FB639"/>
    <w:rsid w:val="1C58BD31"/>
    <w:rsid w:val="1C781EDD"/>
    <w:rsid w:val="1C8122DA"/>
    <w:rsid w:val="1C8EACD5"/>
    <w:rsid w:val="1C9488C7"/>
    <w:rsid w:val="1CB6B4E3"/>
    <w:rsid w:val="1CCB6BBC"/>
    <w:rsid w:val="1CD5CF46"/>
    <w:rsid w:val="1CDD1D57"/>
    <w:rsid w:val="1CEB1CB0"/>
    <w:rsid w:val="1CFF2B5B"/>
    <w:rsid w:val="1CFF4C34"/>
    <w:rsid w:val="1D212447"/>
    <w:rsid w:val="1D2FCEEF"/>
    <w:rsid w:val="1D446005"/>
    <w:rsid w:val="1D4F8D7F"/>
    <w:rsid w:val="1D65D2FF"/>
    <w:rsid w:val="1D75C116"/>
    <w:rsid w:val="1D8117F5"/>
    <w:rsid w:val="1D99E964"/>
    <w:rsid w:val="1DC9C58A"/>
    <w:rsid w:val="1DD4761D"/>
    <w:rsid w:val="1DF2300E"/>
    <w:rsid w:val="1E17A784"/>
    <w:rsid w:val="1E482D01"/>
    <w:rsid w:val="1E7CEC6D"/>
    <w:rsid w:val="1E96A7D5"/>
    <w:rsid w:val="1F08A1BA"/>
    <w:rsid w:val="1F0CBCF5"/>
    <w:rsid w:val="1F12DEE0"/>
    <w:rsid w:val="1F1886DB"/>
    <w:rsid w:val="1F3756FE"/>
    <w:rsid w:val="1F5DF865"/>
    <w:rsid w:val="1F743F34"/>
    <w:rsid w:val="1F77D3B8"/>
    <w:rsid w:val="1F7A1AB8"/>
    <w:rsid w:val="1F88B109"/>
    <w:rsid w:val="1FA5FFCE"/>
    <w:rsid w:val="1FA83E94"/>
    <w:rsid w:val="1FAF201A"/>
    <w:rsid w:val="1FB4CEC5"/>
    <w:rsid w:val="1FEE6FA7"/>
    <w:rsid w:val="1FFAD386"/>
    <w:rsid w:val="2012416E"/>
    <w:rsid w:val="201D523C"/>
    <w:rsid w:val="202E2D3D"/>
    <w:rsid w:val="2030F89C"/>
    <w:rsid w:val="203DF33A"/>
    <w:rsid w:val="203EC927"/>
    <w:rsid w:val="2044FF0F"/>
    <w:rsid w:val="20498158"/>
    <w:rsid w:val="2066DC99"/>
    <w:rsid w:val="208BD815"/>
    <w:rsid w:val="20B47DD3"/>
    <w:rsid w:val="20E30A9A"/>
    <w:rsid w:val="20F2C3B9"/>
    <w:rsid w:val="20F525E8"/>
    <w:rsid w:val="2106015D"/>
    <w:rsid w:val="211BB229"/>
    <w:rsid w:val="2128B133"/>
    <w:rsid w:val="212CC451"/>
    <w:rsid w:val="2130656B"/>
    <w:rsid w:val="213092B2"/>
    <w:rsid w:val="214C6A33"/>
    <w:rsid w:val="2185DBCF"/>
    <w:rsid w:val="2193E605"/>
    <w:rsid w:val="21C45B09"/>
    <w:rsid w:val="21E35287"/>
    <w:rsid w:val="21F5B5AD"/>
    <w:rsid w:val="223BA5AA"/>
    <w:rsid w:val="224118A7"/>
    <w:rsid w:val="2251F96F"/>
    <w:rsid w:val="22BBDF03"/>
    <w:rsid w:val="22BD1CD2"/>
    <w:rsid w:val="22EA41EE"/>
    <w:rsid w:val="233C2383"/>
    <w:rsid w:val="2348A561"/>
    <w:rsid w:val="234C2EA1"/>
    <w:rsid w:val="235C4A00"/>
    <w:rsid w:val="23EDC9D0"/>
    <w:rsid w:val="2416A015"/>
    <w:rsid w:val="241E475A"/>
    <w:rsid w:val="2447A876"/>
    <w:rsid w:val="2449BE3A"/>
    <w:rsid w:val="246B5912"/>
    <w:rsid w:val="2494CD79"/>
    <w:rsid w:val="2494D95D"/>
    <w:rsid w:val="24BD4E7F"/>
    <w:rsid w:val="24DF98E8"/>
    <w:rsid w:val="2525614F"/>
    <w:rsid w:val="2528BAE7"/>
    <w:rsid w:val="2547C05D"/>
    <w:rsid w:val="2565A7CA"/>
    <w:rsid w:val="25665F78"/>
    <w:rsid w:val="256E8BD1"/>
    <w:rsid w:val="257A84B1"/>
    <w:rsid w:val="25AB49A5"/>
    <w:rsid w:val="25BF91A0"/>
    <w:rsid w:val="25CAC276"/>
    <w:rsid w:val="25CEFAA7"/>
    <w:rsid w:val="264A272E"/>
    <w:rsid w:val="264B9A9C"/>
    <w:rsid w:val="2660DD85"/>
    <w:rsid w:val="266A28BD"/>
    <w:rsid w:val="2678FACC"/>
    <w:rsid w:val="2692CDD5"/>
    <w:rsid w:val="26AD5475"/>
    <w:rsid w:val="26BC12DA"/>
    <w:rsid w:val="26DC2FF9"/>
    <w:rsid w:val="26E2A198"/>
    <w:rsid w:val="26F087A8"/>
    <w:rsid w:val="26F5336A"/>
    <w:rsid w:val="2721B954"/>
    <w:rsid w:val="273EC15B"/>
    <w:rsid w:val="274431B4"/>
    <w:rsid w:val="274812D8"/>
    <w:rsid w:val="278B7424"/>
    <w:rsid w:val="27B7FD9A"/>
    <w:rsid w:val="27C7BB2F"/>
    <w:rsid w:val="27CEE61B"/>
    <w:rsid w:val="27D328A9"/>
    <w:rsid w:val="27DA3028"/>
    <w:rsid w:val="281E19B6"/>
    <w:rsid w:val="282BDEF7"/>
    <w:rsid w:val="284D0A1D"/>
    <w:rsid w:val="287FD280"/>
    <w:rsid w:val="2889066B"/>
    <w:rsid w:val="288EA440"/>
    <w:rsid w:val="28C2811D"/>
    <w:rsid w:val="28E5C697"/>
    <w:rsid w:val="28F8305E"/>
    <w:rsid w:val="28F8A5EE"/>
    <w:rsid w:val="29334102"/>
    <w:rsid w:val="2948E135"/>
    <w:rsid w:val="297487FC"/>
    <w:rsid w:val="29751DD0"/>
    <w:rsid w:val="298F4EDE"/>
    <w:rsid w:val="29C11444"/>
    <w:rsid w:val="29C3012F"/>
    <w:rsid w:val="29C76A38"/>
    <w:rsid w:val="29DA99FD"/>
    <w:rsid w:val="29DB19EB"/>
    <w:rsid w:val="2A026664"/>
    <w:rsid w:val="2A093E5A"/>
    <w:rsid w:val="2A3EA00E"/>
    <w:rsid w:val="2A6D4B0F"/>
    <w:rsid w:val="2A7A3043"/>
    <w:rsid w:val="2A891646"/>
    <w:rsid w:val="2A8AD4DD"/>
    <w:rsid w:val="2A9AA65C"/>
    <w:rsid w:val="2A9C9D4B"/>
    <w:rsid w:val="2A9E9C1A"/>
    <w:rsid w:val="2A9EED3A"/>
    <w:rsid w:val="2AF25C5A"/>
    <w:rsid w:val="2B04DF68"/>
    <w:rsid w:val="2B0A68C3"/>
    <w:rsid w:val="2B1384DB"/>
    <w:rsid w:val="2B1A0ABB"/>
    <w:rsid w:val="2B275BD8"/>
    <w:rsid w:val="2B599233"/>
    <w:rsid w:val="2B922AB0"/>
    <w:rsid w:val="2B981E8A"/>
    <w:rsid w:val="2B993B23"/>
    <w:rsid w:val="2B9D2C89"/>
    <w:rsid w:val="2BA7535E"/>
    <w:rsid w:val="2BAF570D"/>
    <w:rsid w:val="2BCC5E2F"/>
    <w:rsid w:val="2BE93389"/>
    <w:rsid w:val="2C18E7A6"/>
    <w:rsid w:val="2C27D680"/>
    <w:rsid w:val="2C53391B"/>
    <w:rsid w:val="2CAF92B2"/>
    <w:rsid w:val="2CC63690"/>
    <w:rsid w:val="2CE83986"/>
    <w:rsid w:val="2D12365E"/>
    <w:rsid w:val="2D1E3D00"/>
    <w:rsid w:val="2D2E0908"/>
    <w:rsid w:val="2D337549"/>
    <w:rsid w:val="2D6DCE2E"/>
    <w:rsid w:val="2D6DD232"/>
    <w:rsid w:val="2DC47008"/>
    <w:rsid w:val="2DD320F4"/>
    <w:rsid w:val="2DDB0FA4"/>
    <w:rsid w:val="2DDD1ED6"/>
    <w:rsid w:val="2E3486A9"/>
    <w:rsid w:val="2E51A69D"/>
    <w:rsid w:val="2E56214F"/>
    <w:rsid w:val="2EAB3B9A"/>
    <w:rsid w:val="2EC99B3C"/>
    <w:rsid w:val="2EF1282E"/>
    <w:rsid w:val="2EF87A10"/>
    <w:rsid w:val="2F03C12A"/>
    <w:rsid w:val="2F132E61"/>
    <w:rsid w:val="2F28602F"/>
    <w:rsid w:val="2F4AD8E0"/>
    <w:rsid w:val="2F63DB16"/>
    <w:rsid w:val="2F78A3DF"/>
    <w:rsid w:val="2F8139AE"/>
    <w:rsid w:val="2F876AAD"/>
    <w:rsid w:val="2FD365C0"/>
    <w:rsid w:val="2FD5146C"/>
    <w:rsid w:val="2FD56125"/>
    <w:rsid w:val="2FE086AC"/>
    <w:rsid w:val="2FED80F3"/>
    <w:rsid w:val="2FF3841F"/>
    <w:rsid w:val="30087C3C"/>
    <w:rsid w:val="302B4970"/>
    <w:rsid w:val="309A9CB5"/>
    <w:rsid w:val="309D0557"/>
    <w:rsid w:val="309E2A67"/>
    <w:rsid w:val="30AF21E3"/>
    <w:rsid w:val="30CA55D6"/>
    <w:rsid w:val="3110693A"/>
    <w:rsid w:val="312340D7"/>
    <w:rsid w:val="31454C89"/>
    <w:rsid w:val="31565D65"/>
    <w:rsid w:val="316A5BE3"/>
    <w:rsid w:val="31D6F197"/>
    <w:rsid w:val="3215E1BD"/>
    <w:rsid w:val="32430B17"/>
    <w:rsid w:val="3253E593"/>
    <w:rsid w:val="32748969"/>
    <w:rsid w:val="3293113E"/>
    <w:rsid w:val="32CBF2E6"/>
    <w:rsid w:val="32DE2CEA"/>
    <w:rsid w:val="3317669A"/>
    <w:rsid w:val="3353B94C"/>
    <w:rsid w:val="335E2172"/>
    <w:rsid w:val="338D62D4"/>
    <w:rsid w:val="33BEDF63"/>
    <w:rsid w:val="33F8976B"/>
    <w:rsid w:val="340F7A53"/>
    <w:rsid w:val="34223D0B"/>
    <w:rsid w:val="344809FC"/>
    <w:rsid w:val="344BC3E3"/>
    <w:rsid w:val="345AF391"/>
    <w:rsid w:val="34994F98"/>
    <w:rsid w:val="349B471F"/>
    <w:rsid w:val="349C5F43"/>
    <w:rsid w:val="34A25AD6"/>
    <w:rsid w:val="34B34DAF"/>
    <w:rsid w:val="34B3AD2A"/>
    <w:rsid w:val="34BE416E"/>
    <w:rsid w:val="34C34E5C"/>
    <w:rsid w:val="34DB7442"/>
    <w:rsid w:val="3508E046"/>
    <w:rsid w:val="352D5707"/>
    <w:rsid w:val="352EB304"/>
    <w:rsid w:val="3530C0E7"/>
    <w:rsid w:val="3530D107"/>
    <w:rsid w:val="3537E12A"/>
    <w:rsid w:val="353A1F53"/>
    <w:rsid w:val="354D23C7"/>
    <w:rsid w:val="35557299"/>
    <w:rsid w:val="35559C26"/>
    <w:rsid w:val="356F4AD9"/>
    <w:rsid w:val="35804DDA"/>
    <w:rsid w:val="35A42C30"/>
    <w:rsid w:val="35CADAAF"/>
    <w:rsid w:val="3639625A"/>
    <w:rsid w:val="363ADE91"/>
    <w:rsid w:val="364AB318"/>
    <w:rsid w:val="3658C652"/>
    <w:rsid w:val="366CBCD9"/>
    <w:rsid w:val="368203A1"/>
    <w:rsid w:val="368F9022"/>
    <w:rsid w:val="36D595EC"/>
    <w:rsid w:val="36DF2CA8"/>
    <w:rsid w:val="36EACC03"/>
    <w:rsid w:val="3721BD31"/>
    <w:rsid w:val="373CA159"/>
    <w:rsid w:val="37668261"/>
    <w:rsid w:val="3802EF2D"/>
    <w:rsid w:val="380B603A"/>
    <w:rsid w:val="381588C8"/>
    <w:rsid w:val="3821B4B3"/>
    <w:rsid w:val="383EF10B"/>
    <w:rsid w:val="3849237D"/>
    <w:rsid w:val="385796F3"/>
    <w:rsid w:val="3870C749"/>
    <w:rsid w:val="38734525"/>
    <w:rsid w:val="38E38F4A"/>
    <w:rsid w:val="38EA4F9C"/>
    <w:rsid w:val="38F6FF00"/>
    <w:rsid w:val="391A0FFF"/>
    <w:rsid w:val="3923E2BC"/>
    <w:rsid w:val="393A9157"/>
    <w:rsid w:val="396113F2"/>
    <w:rsid w:val="396FD02D"/>
    <w:rsid w:val="39876CF8"/>
    <w:rsid w:val="39A14CAE"/>
    <w:rsid w:val="39B2F04C"/>
    <w:rsid w:val="3A0441ED"/>
    <w:rsid w:val="3A308556"/>
    <w:rsid w:val="3A595DF3"/>
    <w:rsid w:val="3A6C06D4"/>
    <w:rsid w:val="3A7700DC"/>
    <w:rsid w:val="3A7B1CA4"/>
    <w:rsid w:val="3ABABF2B"/>
    <w:rsid w:val="3AC26AF6"/>
    <w:rsid w:val="3AE377B5"/>
    <w:rsid w:val="3AF6C968"/>
    <w:rsid w:val="3B006337"/>
    <w:rsid w:val="3B086D0E"/>
    <w:rsid w:val="3B5866AA"/>
    <w:rsid w:val="3B5B186E"/>
    <w:rsid w:val="3B8E6816"/>
    <w:rsid w:val="3BA5AA9A"/>
    <w:rsid w:val="3BD47345"/>
    <w:rsid w:val="3BD971E4"/>
    <w:rsid w:val="3BDA9B06"/>
    <w:rsid w:val="3BE92448"/>
    <w:rsid w:val="3BF44A73"/>
    <w:rsid w:val="3C09E2B0"/>
    <w:rsid w:val="3C0B47D6"/>
    <w:rsid w:val="3C290166"/>
    <w:rsid w:val="3C2FC1F7"/>
    <w:rsid w:val="3C5BEE1C"/>
    <w:rsid w:val="3C6A9215"/>
    <w:rsid w:val="3C730AF2"/>
    <w:rsid w:val="3C94E461"/>
    <w:rsid w:val="3CA8D539"/>
    <w:rsid w:val="3CE68451"/>
    <w:rsid w:val="3D2FA61F"/>
    <w:rsid w:val="3D30B9B8"/>
    <w:rsid w:val="3D4112CC"/>
    <w:rsid w:val="3D4C5EAE"/>
    <w:rsid w:val="3D57753A"/>
    <w:rsid w:val="3D71F0F5"/>
    <w:rsid w:val="3D7A244D"/>
    <w:rsid w:val="3D7C3197"/>
    <w:rsid w:val="3D8C1219"/>
    <w:rsid w:val="3D8D7786"/>
    <w:rsid w:val="3DB19841"/>
    <w:rsid w:val="3DBADC16"/>
    <w:rsid w:val="3DFA5B34"/>
    <w:rsid w:val="3E7F6C47"/>
    <w:rsid w:val="3E8283BB"/>
    <w:rsid w:val="3E9DEA05"/>
    <w:rsid w:val="3EBEAC9D"/>
    <w:rsid w:val="3ED2B6A6"/>
    <w:rsid w:val="3EF951FF"/>
    <w:rsid w:val="3F16B0EF"/>
    <w:rsid w:val="3F200E1A"/>
    <w:rsid w:val="3F33269E"/>
    <w:rsid w:val="3F33C8A1"/>
    <w:rsid w:val="3F3B5627"/>
    <w:rsid w:val="3F541A04"/>
    <w:rsid w:val="3F6CA1CF"/>
    <w:rsid w:val="3F98E5EE"/>
    <w:rsid w:val="3FEF4932"/>
    <w:rsid w:val="40011A8A"/>
    <w:rsid w:val="400A349F"/>
    <w:rsid w:val="4021502E"/>
    <w:rsid w:val="40391B24"/>
    <w:rsid w:val="4052FC99"/>
    <w:rsid w:val="4055282E"/>
    <w:rsid w:val="4079FE1C"/>
    <w:rsid w:val="4080750D"/>
    <w:rsid w:val="40ADDADF"/>
    <w:rsid w:val="40B89816"/>
    <w:rsid w:val="410AFC18"/>
    <w:rsid w:val="41537FD5"/>
    <w:rsid w:val="41989598"/>
    <w:rsid w:val="41A0D938"/>
    <w:rsid w:val="41A59311"/>
    <w:rsid w:val="41AE07B9"/>
    <w:rsid w:val="41E3EE4D"/>
    <w:rsid w:val="41FCFAA4"/>
    <w:rsid w:val="4212B93B"/>
    <w:rsid w:val="422373C5"/>
    <w:rsid w:val="423529DB"/>
    <w:rsid w:val="426C1B33"/>
    <w:rsid w:val="428D4F64"/>
    <w:rsid w:val="42A285A1"/>
    <w:rsid w:val="42DE1FF4"/>
    <w:rsid w:val="42EA7860"/>
    <w:rsid w:val="43177326"/>
    <w:rsid w:val="43266D1B"/>
    <w:rsid w:val="434B376C"/>
    <w:rsid w:val="4365F191"/>
    <w:rsid w:val="437D90AF"/>
    <w:rsid w:val="438EA820"/>
    <w:rsid w:val="43A139DC"/>
    <w:rsid w:val="43A94B60"/>
    <w:rsid w:val="43D591D1"/>
    <w:rsid w:val="43D60B79"/>
    <w:rsid w:val="43DCB81A"/>
    <w:rsid w:val="43EF0C39"/>
    <w:rsid w:val="43F8A22E"/>
    <w:rsid w:val="44094E7E"/>
    <w:rsid w:val="443CC20C"/>
    <w:rsid w:val="445B0006"/>
    <w:rsid w:val="445E5749"/>
    <w:rsid w:val="44618087"/>
    <w:rsid w:val="44912A5C"/>
    <w:rsid w:val="44A52EE5"/>
    <w:rsid w:val="44AE2C3E"/>
    <w:rsid w:val="44B21F73"/>
    <w:rsid w:val="44C55A59"/>
    <w:rsid w:val="44CBEBC2"/>
    <w:rsid w:val="44CE4ABC"/>
    <w:rsid w:val="44E4D245"/>
    <w:rsid w:val="4514981C"/>
    <w:rsid w:val="4519D6B8"/>
    <w:rsid w:val="45542F20"/>
    <w:rsid w:val="4576E06C"/>
    <w:rsid w:val="45EDD488"/>
    <w:rsid w:val="45F2EDC7"/>
    <w:rsid w:val="462FBF30"/>
    <w:rsid w:val="4631444C"/>
    <w:rsid w:val="4632F75D"/>
    <w:rsid w:val="46405DD2"/>
    <w:rsid w:val="4640FD47"/>
    <w:rsid w:val="4646AEB9"/>
    <w:rsid w:val="464C0B8E"/>
    <w:rsid w:val="4654B9B4"/>
    <w:rsid w:val="4657693C"/>
    <w:rsid w:val="4662F1D7"/>
    <w:rsid w:val="467AE879"/>
    <w:rsid w:val="4682D15F"/>
    <w:rsid w:val="46D97C53"/>
    <w:rsid w:val="46F66391"/>
    <w:rsid w:val="47210A54"/>
    <w:rsid w:val="47840AB4"/>
    <w:rsid w:val="478839EA"/>
    <w:rsid w:val="478FCD85"/>
    <w:rsid w:val="47941295"/>
    <w:rsid w:val="47BA55DC"/>
    <w:rsid w:val="47CB8F91"/>
    <w:rsid w:val="47E7DBEF"/>
    <w:rsid w:val="47F3B323"/>
    <w:rsid w:val="47FD36EC"/>
    <w:rsid w:val="482EA382"/>
    <w:rsid w:val="483F6E7B"/>
    <w:rsid w:val="4840BF80"/>
    <w:rsid w:val="48561C14"/>
    <w:rsid w:val="4862A3B9"/>
    <w:rsid w:val="4870691E"/>
    <w:rsid w:val="487687D0"/>
    <w:rsid w:val="4876E23B"/>
    <w:rsid w:val="48BDAF80"/>
    <w:rsid w:val="48D291B2"/>
    <w:rsid w:val="48D3B15C"/>
    <w:rsid w:val="48D4605A"/>
    <w:rsid w:val="48DA09FC"/>
    <w:rsid w:val="48E65A7D"/>
    <w:rsid w:val="48E9EA88"/>
    <w:rsid w:val="48EC0F49"/>
    <w:rsid w:val="48F6136F"/>
    <w:rsid w:val="48F88BA8"/>
    <w:rsid w:val="493AADF1"/>
    <w:rsid w:val="49605296"/>
    <w:rsid w:val="4970017D"/>
    <w:rsid w:val="4983AC50"/>
    <w:rsid w:val="499DE0B9"/>
    <w:rsid w:val="49B18D9A"/>
    <w:rsid w:val="49DB3628"/>
    <w:rsid w:val="49DCC103"/>
    <w:rsid w:val="49F3BA55"/>
    <w:rsid w:val="4A0A4A96"/>
    <w:rsid w:val="4A0AB8BF"/>
    <w:rsid w:val="4A147713"/>
    <w:rsid w:val="4A5A022D"/>
    <w:rsid w:val="4A8C596A"/>
    <w:rsid w:val="4A8E374C"/>
    <w:rsid w:val="4AA9FBDD"/>
    <w:rsid w:val="4AB60B82"/>
    <w:rsid w:val="4ABC3473"/>
    <w:rsid w:val="4ACE2524"/>
    <w:rsid w:val="4AD127E6"/>
    <w:rsid w:val="4AD61ED5"/>
    <w:rsid w:val="4AF9F487"/>
    <w:rsid w:val="4AFFFA3E"/>
    <w:rsid w:val="4B0530F5"/>
    <w:rsid w:val="4B1F7CB1"/>
    <w:rsid w:val="4B210998"/>
    <w:rsid w:val="4B21761D"/>
    <w:rsid w:val="4B57A890"/>
    <w:rsid w:val="4B6529A6"/>
    <w:rsid w:val="4B79D2C4"/>
    <w:rsid w:val="4B9F79A3"/>
    <w:rsid w:val="4BAFEACB"/>
    <w:rsid w:val="4BC5ED42"/>
    <w:rsid w:val="4BD98B1A"/>
    <w:rsid w:val="4BDAB596"/>
    <w:rsid w:val="4BDF61AA"/>
    <w:rsid w:val="4BFC977D"/>
    <w:rsid w:val="4C035FF9"/>
    <w:rsid w:val="4C1DD415"/>
    <w:rsid w:val="4C85062D"/>
    <w:rsid w:val="4C8D6E56"/>
    <w:rsid w:val="4CAEC742"/>
    <w:rsid w:val="4CCDBD11"/>
    <w:rsid w:val="4CF0A693"/>
    <w:rsid w:val="4D00A385"/>
    <w:rsid w:val="4D099E37"/>
    <w:rsid w:val="4D7BCA8F"/>
    <w:rsid w:val="4D9331DD"/>
    <w:rsid w:val="4DA03E91"/>
    <w:rsid w:val="4DA62B8C"/>
    <w:rsid w:val="4DD32DA0"/>
    <w:rsid w:val="4DE6FFA3"/>
    <w:rsid w:val="4DF3D535"/>
    <w:rsid w:val="4E02AF56"/>
    <w:rsid w:val="4E303387"/>
    <w:rsid w:val="4E4E64FE"/>
    <w:rsid w:val="4E509DF7"/>
    <w:rsid w:val="4E59CCEE"/>
    <w:rsid w:val="4E6D3FBF"/>
    <w:rsid w:val="4E8538A6"/>
    <w:rsid w:val="4E8A3C21"/>
    <w:rsid w:val="4EB9C067"/>
    <w:rsid w:val="4EC9434F"/>
    <w:rsid w:val="4ECC8087"/>
    <w:rsid w:val="4EDB1FB1"/>
    <w:rsid w:val="4EDFCD3F"/>
    <w:rsid w:val="4EE9393B"/>
    <w:rsid w:val="4EF2AF9B"/>
    <w:rsid w:val="4EFFEB2F"/>
    <w:rsid w:val="4F37F866"/>
    <w:rsid w:val="4F38BA48"/>
    <w:rsid w:val="4F3A2C0B"/>
    <w:rsid w:val="4F587332"/>
    <w:rsid w:val="4F812F5D"/>
    <w:rsid w:val="4FC51E15"/>
    <w:rsid w:val="4FE76042"/>
    <w:rsid w:val="4FE9C3FE"/>
    <w:rsid w:val="4FF55AC5"/>
    <w:rsid w:val="5020F2C2"/>
    <w:rsid w:val="502AD435"/>
    <w:rsid w:val="508C6BB1"/>
    <w:rsid w:val="509CE098"/>
    <w:rsid w:val="50C61090"/>
    <w:rsid w:val="50D329C5"/>
    <w:rsid w:val="50FF0FD8"/>
    <w:rsid w:val="5103A140"/>
    <w:rsid w:val="51086A10"/>
    <w:rsid w:val="51591F37"/>
    <w:rsid w:val="519C6352"/>
    <w:rsid w:val="51DA1453"/>
    <w:rsid w:val="51FFA0CC"/>
    <w:rsid w:val="521BC2AD"/>
    <w:rsid w:val="52828128"/>
    <w:rsid w:val="52B66507"/>
    <w:rsid w:val="5305F4C5"/>
    <w:rsid w:val="530D9199"/>
    <w:rsid w:val="534B7309"/>
    <w:rsid w:val="535854B9"/>
    <w:rsid w:val="5383BEF8"/>
    <w:rsid w:val="53E10ED2"/>
    <w:rsid w:val="541C429A"/>
    <w:rsid w:val="544857D8"/>
    <w:rsid w:val="54492928"/>
    <w:rsid w:val="5464A11C"/>
    <w:rsid w:val="547B0010"/>
    <w:rsid w:val="54B3FD34"/>
    <w:rsid w:val="54C99F18"/>
    <w:rsid w:val="54CB39E4"/>
    <w:rsid w:val="54CCB6B7"/>
    <w:rsid w:val="54F4251A"/>
    <w:rsid w:val="55289795"/>
    <w:rsid w:val="55413B95"/>
    <w:rsid w:val="557A63E9"/>
    <w:rsid w:val="558A0E3A"/>
    <w:rsid w:val="55AA31A8"/>
    <w:rsid w:val="55B3092A"/>
    <w:rsid w:val="55C289BB"/>
    <w:rsid w:val="55C7BD65"/>
    <w:rsid w:val="55C7C1ED"/>
    <w:rsid w:val="55D17988"/>
    <w:rsid w:val="55FEE71A"/>
    <w:rsid w:val="560AB553"/>
    <w:rsid w:val="560D6504"/>
    <w:rsid w:val="5616E667"/>
    <w:rsid w:val="564BB548"/>
    <w:rsid w:val="56AE0D11"/>
    <w:rsid w:val="56EA1D79"/>
    <w:rsid w:val="56FB1F3F"/>
    <w:rsid w:val="56FF215A"/>
    <w:rsid w:val="572051A3"/>
    <w:rsid w:val="579FF70B"/>
    <w:rsid w:val="57C2F4C6"/>
    <w:rsid w:val="57DEE464"/>
    <w:rsid w:val="57E0C6A6"/>
    <w:rsid w:val="57FEF55B"/>
    <w:rsid w:val="580EA53B"/>
    <w:rsid w:val="58557033"/>
    <w:rsid w:val="586AFBFC"/>
    <w:rsid w:val="589AF105"/>
    <w:rsid w:val="589D2573"/>
    <w:rsid w:val="58C61348"/>
    <w:rsid w:val="58D7A802"/>
    <w:rsid w:val="58E16711"/>
    <w:rsid w:val="58F2ABCE"/>
    <w:rsid w:val="58F53790"/>
    <w:rsid w:val="5904D825"/>
    <w:rsid w:val="5920AC85"/>
    <w:rsid w:val="59340472"/>
    <w:rsid w:val="594F75F2"/>
    <w:rsid w:val="5963114A"/>
    <w:rsid w:val="59972777"/>
    <w:rsid w:val="599BD944"/>
    <w:rsid w:val="59A9DB45"/>
    <w:rsid w:val="59AD0F8E"/>
    <w:rsid w:val="59AF191E"/>
    <w:rsid w:val="59F6882E"/>
    <w:rsid w:val="59FFB938"/>
    <w:rsid w:val="5A30B6EE"/>
    <w:rsid w:val="5A391F30"/>
    <w:rsid w:val="5A3C5220"/>
    <w:rsid w:val="5A5224AC"/>
    <w:rsid w:val="5A6E90CF"/>
    <w:rsid w:val="5A7F1CF5"/>
    <w:rsid w:val="5A825655"/>
    <w:rsid w:val="5A8BB026"/>
    <w:rsid w:val="5AAB6BB3"/>
    <w:rsid w:val="5AEDD420"/>
    <w:rsid w:val="5B57559E"/>
    <w:rsid w:val="5B75A59F"/>
    <w:rsid w:val="5B8F2B69"/>
    <w:rsid w:val="5BC8F68D"/>
    <w:rsid w:val="5BDD6483"/>
    <w:rsid w:val="5BDD6522"/>
    <w:rsid w:val="5C0DE256"/>
    <w:rsid w:val="5C1B98BF"/>
    <w:rsid w:val="5C7FCCD5"/>
    <w:rsid w:val="5C806B51"/>
    <w:rsid w:val="5C8D7344"/>
    <w:rsid w:val="5CA71E67"/>
    <w:rsid w:val="5CAF6186"/>
    <w:rsid w:val="5CBF5DFD"/>
    <w:rsid w:val="5CC45188"/>
    <w:rsid w:val="5CCADDD3"/>
    <w:rsid w:val="5CCB93B3"/>
    <w:rsid w:val="5CCEF037"/>
    <w:rsid w:val="5CF10842"/>
    <w:rsid w:val="5CF5F6E4"/>
    <w:rsid w:val="5D58F192"/>
    <w:rsid w:val="5D58F20F"/>
    <w:rsid w:val="5D75E781"/>
    <w:rsid w:val="5D940204"/>
    <w:rsid w:val="5DA87E7B"/>
    <w:rsid w:val="5E153155"/>
    <w:rsid w:val="5E1588AF"/>
    <w:rsid w:val="5E75F1EB"/>
    <w:rsid w:val="5EA8778A"/>
    <w:rsid w:val="5EB3A57B"/>
    <w:rsid w:val="5EC0F55E"/>
    <w:rsid w:val="5EC916FF"/>
    <w:rsid w:val="5ECB76BE"/>
    <w:rsid w:val="5EDD4E84"/>
    <w:rsid w:val="5EDE0CF9"/>
    <w:rsid w:val="5EF00A2D"/>
    <w:rsid w:val="5F03C80E"/>
    <w:rsid w:val="5F0DFA64"/>
    <w:rsid w:val="5F12A07E"/>
    <w:rsid w:val="5F1D4F8C"/>
    <w:rsid w:val="5F539CA9"/>
    <w:rsid w:val="5F63D9D0"/>
    <w:rsid w:val="5F750C26"/>
    <w:rsid w:val="5F778061"/>
    <w:rsid w:val="5F905115"/>
    <w:rsid w:val="5F9F3491"/>
    <w:rsid w:val="5FA6A25B"/>
    <w:rsid w:val="5FCD9B81"/>
    <w:rsid w:val="5FD13874"/>
    <w:rsid w:val="5FE0D387"/>
    <w:rsid w:val="5FE35D75"/>
    <w:rsid w:val="60132A30"/>
    <w:rsid w:val="6051A852"/>
    <w:rsid w:val="605AFDEF"/>
    <w:rsid w:val="60B3EC2B"/>
    <w:rsid w:val="60C44048"/>
    <w:rsid w:val="60CE927D"/>
    <w:rsid w:val="60EF09E2"/>
    <w:rsid w:val="60FE47FF"/>
    <w:rsid w:val="6100736D"/>
    <w:rsid w:val="610C7680"/>
    <w:rsid w:val="614C50D1"/>
    <w:rsid w:val="615F0558"/>
    <w:rsid w:val="61617B80"/>
    <w:rsid w:val="617D91FD"/>
    <w:rsid w:val="61849AB4"/>
    <w:rsid w:val="6185E366"/>
    <w:rsid w:val="61A36A63"/>
    <w:rsid w:val="61A3AE6F"/>
    <w:rsid w:val="61B1CF24"/>
    <w:rsid w:val="61C40FC5"/>
    <w:rsid w:val="61C8EB47"/>
    <w:rsid w:val="61EFE2CA"/>
    <w:rsid w:val="61FDC04E"/>
    <w:rsid w:val="620DFF0E"/>
    <w:rsid w:val="623052B8"/>
    <w:rsid w:val="6244577B"/>
    <w:rsid w:val="624FBC8C"/>
    <w:rsid w:val="625FFBE3"/>
    <w:rsid w:val="62658898"/>
    <w:rsid w:val="6272650B"/>
    <w:rsid w:val="627C3DED"/>
    <w:rsid w:val="628AB765"/>
    <w:rsid w:val="62B964F7"/>
    <w:rsid w:val="62BB9A9E"/>
    <w:rsid w:val="62C1D936"/>
    <w:rsid w:val="63062550"/>
    <w:rsid w:val="630C813F"/>
    <w:rsid w:val="63132B2B"/>
    <w:rsid w:val="6335DD5F"/>
    <w:rsid w:val="63555026"/>
    <w:rsid w:val="6359499B"/>
    <w:rsid w:val="6378C0C9"/>
    <w:rsid w:val="637B141D"/>
    <w:rsid w:val="6397C49A"/>
    <w:rsid w:val="63981801"/>
    <w:rsid w:val="63A58EB5"/>
    <w:rsid w:val="63B01D3D"/>
    <w:rsid w:val="63EF91C7"/>
    <w:rsid w:val="63FF0098"/>
    <w:rsid w:val="640961CA"/>
    <w:rsid w:val="6411E2DA"/>
    <w:rsid w:val="642A0B46"/>
    <w:rsid w:val="64680032"/>
    <w:rsid w:val="64B26D35"/>
    <w:rsid w:val="64CB8CC4"/>
    <w:rsid w:val="64FB9FBD"/>
    <w:rsid w:val="651D32FF"/>
    <w:rsid w:val="65246725"/>
    <w:rsid w:val="65480ED1"/>
    <w:rsid w:val="656622FC"/>
    <w:rsid w:val="656C1FAA"/>
    <w:rsid w:val="65777164"/>
    <w:rsid w:val="65B2AE46"/>
    <w:rsid w:val="65B38C43"/>
    <w:rsid w:val="65B71D57"/>
    <w:rsid w:val="65C08B17"/>
    <w:rsid w:val="65C5A4CB"/>
    <w:rsid w:val="65FC9378"/>
    <w:rsid w:val="66119598"/>
    <w:rsid w:val="662B9E2D"/>
    <w:rsid w:val="66428026"/>
    <w:rsid w:val="6648C65A"/>
    <w:rsid w:val="66539972"/>
    <w:rsid w:val="665BB298"/>
    <w:rsid w:val="665ED585"/>
    <w:rsid w:val="66656AB2"/>
    <w:rsid w:val="666C0B0D"/>
    <w:rsid w:val="666FF472"/>
    <w:rsid w:val="667647CD"/>
    <w:rsid w:val="66CB74DB"/>
    <w:rsid w:val="66DFFB80"/>
    <w:rsid w:val="66E191B5"/>
    <w:rsid w:val="66FDD785"/>
    <w:rsid w:val="66FE7617"/>
    <w:rsid w:val="670B385F"/>
    <w:rsid w:val="675DE91D"/>
    <w:rsid w:val="676CB9E2"/>
    <w:rsid w:val="67907CD6"/>
    <w:rsid w:val="67BEE27E"/>
    <w:rsid w:val="67E55815"/>
    <w:rsid w:val="67F4596B"/>
    <w:rsid w:val="67FC49E6"/>
    <w:rsid w:val="680E50C8"/>
    <w:rsid w:val="6812AFF9"/>
    <w:rsid w:val="68399921"/>
    <w:rsid w:val="6842AAA1"/>
    <w:rsid w:val="68A82CA5"/>
    <w:rsid w:val="68B00E69"/>
    <w:rsid w:val="68FCE0AC"/>
    <w:rsid w:val="692107E6"/>
    <w:rsid w:val="692CBC01"/>
    <w:rsid w:val="69812876"/>
    <w:rsid w:val="69872F14"/>
    <w:rsid w:val="699C555D"/>
    <w:rsid w:val="699F919B"/>
    <w:rsid w:val="69D9FBE8"/>
    <w:rsid w:val="69EBC884"/>
    <w:rsid w:val="6A214A3C"/>
    <w:rsid w:val="6A4E4F55"/>
    <w:rsid w:val="6A66DC26"/>
    <w:rsid w:val="6A6C4EB3"/>
    <w:rsid w:val="6AA6468D"/>
    <w:rsid w:val="6AAE8EBF"/>
    <w:rsid w:val="6ABF96CE"/>
    <w:rsid w:val="6AC87D67"/>
    <w:rsid w:val="6ADAA2A1"/>
    <w:rsid w:val="6AFBA82E"/>
    <w:rsid w:val="6B01ED04"/>
    <w:rsid w:val="6B05E223"/>
    <w:rsid w:val="6B4857D9"/>
    <w:rsid w:val="6B4D8178"/>
    <w:rsid w:val="6B54B929"/>
    <w:rsid w:val="6B9A7304"/>
    <w:rsid w:val="6B9E4EEB"/>
    <w:rsid w:val="6BA17E63"/>
    <w:rsid w:val="6BC3169D"/>
    <w:rsid w:val="6BD37E0B"/>
    <w:rsid w:val="6BD7420D"/>
    <w:rsid w:val="6C1C07D0"/>
    <w:rsid w:val="6C33FC58"/>
    <w:rsid w:val="6C47263F"/>
    <w:rsid w:val="6C5C8C8A"/>
    <w:rsid w:val="6C7F4986"/>
    <w:rsid w:val="6CBBE502"/>
    <w:rsid w:val="6CF98A14"/>
    <w:rsid w:val="6D0C571F"/>
    <w:rsid w:val="6D3F5ECD"/>
    <w:rsid w:val="6D534B21"/>
    <w:rsid w:val="6D5BCB82"/>
    <w:rsid w:val="6D79D5A7"/>
    <w:rsid w:val="6D805245"/>
    <w:rsid w:val="6D8B367D"/>
    <w:rsid w:val="6DA962E9"/>
    <w:rsid w:val="6DC68236"/>
    <w:rsid w:val="6DE0E944"/>
    <w:rsid w:val="6E135386"/>
    <w:rsid w:val="6E1B44BC"/>
    <w:rsid w:val="6E55FFFD"/>
    <w:rsid w:val="6E722A30"/>
    <w:rsid w:val="6E8D0FAD"/>
    <w:rsid w:val="6EA49DEA"/>
    <w:rsid w:val="6ECDE0CC"/>
    <w:rsid w:val="6EE73C34"/>
    <w:rsid w:val="6F19C6CF"/>
    <w:rsid w:val="6F34ADED"/>
    <w:rsid w:val="6F3B62CA"/>
    <w:rsid w:val="6F58F50D"/>
    <w:rsid w:val="6F73168B"/>
    <w:rsid w:val="6F82E269"/>
    <w:rsid w:val="6F96DD84"/>
    <w:rsid w:val="6FD05D38"/>
    <w:rsid w:val="6FE92855"/>
    <w:rsid w:val="70357AD3"/>
    <w:rsid w:val="704FEC24"/>
    <w:rsid w:val="7051A492"/>
    <w:rsid w:val="70B203A3"/>
    <w:rsid w:val="70B25030"/>
    <w:rsid w:val="70B88C8C"/>
    <w:rsid w:val="70BFF488"/>
    <w:rsid w:val="70C5802E"/>
    <w:rsid w:val="70D0C3F3"/>
    <w:rsid w:val="70F23129"/>
    <w:rsid w:val="70F5F48F"/>
    <w:rsid w:val="70FB0B04"/>
    <w:rsid w:val="70FB5ED9"/>
    <w:rsid w:val="711D6659"/>
    <w:rsid w:val="71396ABA"/>
    <w:rsid w:val="713EFEA2"/>
    <w:rsid w:val="7144FBFA"/>
    <w:rsid w:val="715D8AE6"/>
    <w:rsid w:val="7164020D"/>
    <w:rsid w:val="7168C5B7"/>
    <w:rsid w:val="71BBE853"/>
    <w:rsid w:val="71CDFECF"/>
    <w:rsid w:val="71D46A94"/>
    <w:rsid w:val="71D4D0F5"/>
    <w:rsid w:val="71D5E793"/>
    <w:rsid w:val="71D79115"/>
    <w:rsid w:val="7202A44A"/>
    <w:rsid w:val="72273677"/>
    <w:rsid w:val="72280D2F"/>
    <w:rsid w:val="724724AE"/>
    <w:rsid w:val="7248A3EF"/>
    <w:rsid w:val="7256D9D1"/>
    <w:rsid w:val="72949E4E"/>
    <w:rsid w:val="72B09222"/>
    <w:rsid w:val="72CD4DBF"/>
    <w:rsid w:val="72E414BE"/>
    <w:rsid w:val="72EDDE4C"/>
    <w:rsid w:val="7313CB0F"/>
    <w:rsid w:val="7320BE23"/>
    <w:rsid w:val="732B448F"/>
    <w:rsid w:val="732F9977"/>
    <w:rsid w:val="736821D4"/>
    <w:rsid w:val="7375D8E6"/>
    <w:rsid w:val="738A9CCB"/>
    <w:rsid w:val="738ADF6F"/>
    <w:rsid w:val="7393F8A8"/>
    <w:rsid w:val="739BB6C7"/>
    <w:rsid w:val="73CE2882"/>
    <w:rsid w:val="741BCDAF"/>
    <w:rsid w:val="742A8712"/>
    <w:rsid w:val="742C46BC"/>
    <w:rsid w:val="7450330B"/>
    <w:rsid w:val="745E87C1"/>
    <w:rsid w:val="745FBAE1"/>
    <w:rsid w:val="746D9626"/>
    <w:rsid w:val="747E9E2F"/>
    <w:rsid w:val="7491C5C7"/>
    <w:rsid w:val="749FC860"/>
    <w:rsid w:val="74D62735"/>
    <w:rsid w:val="74DB9DDF"/>
    <w:rsid w:val="74FF139C"/>
    <w:rsid w:val="75029823"/>
    <w:rsid w:val="7503303D"/>
    <w:rsid w:val="7544D640"/>
    <w:rsid w:val="7545E530"/>
    <w:rsid w:val="7559EBEC"/>
    <w:rsid w:val="75750FE2"/>
    <w:rsid w:val="75814884"/>
    <w:rsid w:val="7599FE16"/>
    <w:rsid w:val="75AC29B9"/>
    <w:rsid w:val="75CFFEF1"/>
    <w:rsid w:val="75E4B3E9"/>
    <w:rsid w:val="760873DE"/>
    <w:rsid w:val="76122B62"/>
    <w:rsid w:val="762158ED"/>
    <w:rsid w:val="76324D39"/>
    <w:rsid w:val="76422C15"/>
    <w:rsid w:val="76548EFC"/>
    <w:rsid w:val="7658A6E9"/>
    <w:rsid w:val="766AB48B"/>
    <w:rsid w:val="7692FEF2"/>
    <w:rsid w:val="769C5A5D"/>
    <w:rsid w:val="76AA2D24"/>
    <w:rsid w:val="76CD705C"/>
    <w:rsid w:val="76EE2F28"/>
    <w:rsid w:val="772805A6"/>
    <w:rsid w:val="7732B012"/>
    <w:rsid w:val="773CC797"/>
    <w:rsid w:val="77633459"/>
    <w:rsid w:val="7770B900"/>
    <w:rsid w:val="779EFEE4"/>
    <w:rsid w:val="77B6DD83"/>
    <w:rsid w:val="77CF5294"/>
    <w:rsid w:val="77D0DDB1"/>
    <w:rsid w:val="77E7FE60"/>
    <w:rsid w:val="781141F1"/>
    <w:rsid w:val="785F2F3F"/>
    <w:rsid w:val="788AEFA8"/>
    <w:rsid w:val="78A25214"/>
    <w:rsid w:val="78E10939"/>
    <w:rsid w:val="78FF9FFB"/>
    <w:rsid w:val="794003CD"/>
    <w:rsid w:val="7960F322"/>
    <w:rsid w:val="797069C0"/>
    <w:rsid w:val="7970E96E"/>
    <w:rsid w:val="79838FDE"/>
    <w:rsid w:val="798EF6BB"/>
    <w:rsid w:val="7995A71F"/>
    <w:rsid w:val="79CBD1A6"/>
    <w:rsid w:val="79D264EF"/>
    <w:rsid w:val="79D4A118"/>
    <w:rsid w:val="79D72AC4"/>
    <w:rsid w:val="79DBDFAA"/>
    <w:rsid w:val="79DC8879"/>
    <w:rsid w:val="79DF427D"/>
    <w:rsid w:val="7A1E3F14"/>
    <w:rsid w:val="7A431D10"/>
    <w:rsid w:val="7A6A50D4"/>
    <w:rsid w:val="7A8CFABB"/>
    <w:rsid w:val="7AB374B2"/>
    <w:rsid w:val="7AE7380F"/>
    <w:rsid w:val="7AEBF10A"/>
    <w:rsid w:val="7B04DEA6"/>
    <w:rsid w:val="7B2C0E81"/>
    <w:rsid w:val="7BBCE150"/>
    <w:rsid w:val="7BBCFE20"/>
    <w:rsid w:val="7BDB05F8"/>
    <w:rsid w:val="7BF1B7BF"/>
    <w:rsid w:val="7C146D66"/>
    <w:rsid w:val="7C91F049"/>
    <w:rsid w:val="7C92A279"/>
    <w:rsid w:val="7C942C54"/>
    <w:rsid w:val="7D0A72C7"/>
    <w:rsid w:val="7D11B20B"/>
    <w:rsid w:val="7D1A43BC"/>
    <w:rsid w:val="7D3C75DF"/>
    <w:rsid w:val="7D548D58"/>
    <w:rsid w:val="7D7F5483"/>
    <w:rsid w:val="7DB14219"/>
    <w:rsid w:val="7DCEBEF0"/>
    <w:rsid w:val="7DD9C110"/>
    <w:rsid w:val="7DE76099"/>
    <w:rsid w:val="7E0C52C7"/>
    <w:rsid w:val="7E0DD751"/>
    <w:rsid w:val="7E9BDA92"/>
    <w:rsid w:val="7EB4ED10"/>
    <w:rsid w:val="7EC19A98"/>
    <w:rsid w:val="7ECD5027"/>
    <w:rsid w:val="7F1D0158"/>
    <w:rsid w:val="7F3D65F6"/>
    <w:rsid w:val="7FA58F11"/>
    <w:rsid w:val="7FDB7BB3"/>
    <w:rsid w:val="7FE631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9668"/>
  <w15:chartTrackingRefBased/>
  <w15:docId w15:val="{16044078-D88D-4BE8-9EF2-A1E8DDCE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D58"/>
    <w:pPr>
      <w:spacing w:after="200" w:line="276" w:lineRule="auto"/>
    </w:pPr>
    <w:rPr>
      <w:rFonts w:ascii="Times New Roman" w:eastAsia="Calibri" w:hAnsi="Times New Roman" w:cs="Times New Roman"/>
    </w:rPr>
  </w:style>
  <w:style w:type="paragraph" w:styleId="Ttulo1">
    <w:name w:val="heading 1"/>
    <w:basedOn w:val="Normal"/>
    <w:next w:val="Normal"/>
    <w:link w:val="Ttulo1Char"/>
    <w:qFormat/>
    <w:rsid w:val="00893D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nhideWhenUsed/>
    <w:qFormat/>
    <w:rsid w:val="00893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893D49"/>
    <w:pPr>
      <w:keepNext/>
      <w:spacing w:before="240" w:after="60" w:line="240" w:lineRule="auto"/>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893D49"/>
    <w:pPr>
      <w:keepNext/>
      <w:tabs>
        <w:tab w:val="num" w:pos="864"/>
      </w:tabs>
      <w:suppressAutoHyphens/>
      <w:spacing w:after="0" w:line="240" w:lineRule="auto"/>
      <w:ind w:left="284" w:hanging="284"/>
      <w:outlineLvl w:val="3"/>
    </w:pPr>
    <w:rPr>
      <w:rFonts w:eastAsia="Times New Roman"/>
      <w:smallCaps/>
      <w:sz w:val="24"/>
      <w:szCs w:val="20"/>
      <w:lang w:eastAsia="ar-SA"/>
    </w:rPr>
  </w:style>
  <w:style w:type="paragraph" w:styleId="Ttulo5">
    <w:name w:val="heading 5"/>
    <w:basedOn w:val="Normal"/>
    <w:next w:val="Normal"/>
    <w:link w:val="Ttulo5Char"/>
    <w:uiPriority w:val="9"/>
    <w:qFormat/>
    <w:rsid w:val="00893D4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har"/>
    <w:qFormat/>
    <w:rsid w:val="00356072"/>
    <w:pPr>
      <w:keepNext/>
      <w:spacing w:after="0" w:line="240" w:lineRule="auto"/>
      <w:ind w:firstLine="567"/>
      <w:jc w:val="both"/>
      <w:outlineLvl w:val="5"/>
    </w:pPr>
    <w:rPr>
      <w:rFonts w:eastAsia="Times New Roman"/>
      <w:b/>
      <w:bCs/>
      <w:sz w:val="24"/>
      <w:szCs w:val="24"/>
      <w:lang w:val="x-none" w:eastAsia="x-none"/>
    </w:rPr>
  </w:style>
  <w:style w:type="paragraph" w:styleId="Ttulo7">
    <w:name w:val="heading 7"/>
    <w:basedOn w:val="Normal"/>
    <w:next w:val="Normal"/>
    <w:link w:val="Ttulo7Char"/>
    <w:uiPriority w:val="9"/>
    <w:qFormat/>
    <w:rsid w:val="00356072"/>
    <w:pPr>
      <w:keepNext/>
      <w:spacing w:after="0" w:line="240" w:lineRule="auto"/>
      <w:jc w:val="both"/>
      <w:outlineLvl w:val="6"/>
    </w:pPr>
    <w:rPr>
      <w:rFonts w:eastAsia="Times New Roman"/>
      <w:b/>
      <w:bCs/>
      <w:sz w:val="24"/>
      <w:szCs w:val="24"/>
      <w:lang w:val="x-none" w:eastAsia="x-none"/>
    </w:rPr>
  </w:style>
  <w:style w:type="paragraph" w:styleId="Ttulo8">
    <w:name w:val="heading 8"/>
    <w:basedOn w:val="Normal"/>
    <w:next w:val="Normal"/>
    <w:link w:val="Ttulo8Char"/>
    <w:qFormat/>
    <w:rsid w:val="00356072"/>
    <w:pPr>
      <w:keepNext/>
      <w:spacing w:after="0" w:line="240" w:lineRule="auto"/>
      <w:ind w:left="360"/>
      <w:jc w:val="both"/>
      <w:outlineLvl w:val="7"/>
    </w:pPr>
    <w:rPr>
      <w:rFonts w:eastAsia="Times New Roman"/>
      <w:b/>
      <w:bCs/>
      <w:sz w:val="24"/>
      <w:szCs w:val="24"/>
      <w:lang w:val="x-none" w:eastAsia="x-none"/>
    </w:rPr>
  </w:style>
  <w:style w:type="paragraph" w:styleId="Ttulo9">
    <w:name w:val="heading 9"/>
    <w:basedOn w:val="Normal"/>
    <w:next w:val="Normal"/>
    <w:link w:val="Ttulo9Char"/>
    <w:qFormat/>
    <w:rsid w:val="00356072"/>
    <w:pPr>
      <w:keepNext/>
      <w:spacing w:after="0" w:line="240" w:lineRule="auto"/>
      <w:jc w:val="center"/>
      <w:outlineLvl w:val="8"/>
    </w:pPr>
    <w:rPr>
      <w:rFonts w:eastAsia="Times New Roman"/>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D49"/>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893D4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893D49"/>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893D49"/>
    <w:rPr>
      <w:rFonts w:ascii="Times New Roman" w:eastAsia="Times New Roman" w:hAnsi="Times New Roman" w:cs="Times New Roman"/>
      <w:smallCaps/>
      <w:sz w:val="24"/>
      <w:szCs w:val="20"/>
      <w:lang w:eastAsia="ar-SA"/>
    </w:rPr>
  </w:style>
  <w:style w:type="character" w:customStyle="1" w:styleId="Ttulo5Char">
    <w:name w:val="Título 5 Char"/>
    <w:basedOn w:val="Fontepargpadro"/>
    <w:link w:val="Ttulo5"/>
    <w:uiPriority w:val="9"/>
    <w:rsid w:val="00893D49"/>
    <w:rPr>
      <w:rFonts w:ascii="Times New Roman" w:eastAsia="Times New Roman" w:hAnsi="Times New Roman" w:cs="Times New Roman"/>
      <w:b/>
      <w:bCs/>
      <w:i/>
      <w:iCs/>
      <w:sz w:val="26"/>
      <w:szCs w:val="26"/>
    </w:rPr>
  </w:style>
  <w:style w:type="paragraph" w:styleId="NormalWeb">
    <w:name w:val="Normal (Web)"/>
    <w:basedOn w:val="Normal"/>
    <w:unhideWhenUsed/>
    <w:qFormat/>
    <w:rsid w:val="00893D49"/>
    <w:pPr>
      <w:spacing w:before="100" w:beforeAutospacing="1" w:after="100" w:afterAutospacing="1" w:line="240" w:lineRule="auto"/>
    </w:pPr>
    <w:rPr>
      <w:rFonts w:eastAsia="Times New Roman"/>
      <w:sz w:val="24"/>
      <w:szCs w:val="24"/>
      <w:lang w:eastAsia="pt-BR"/>
    </w:rPr>
  </w:style>
  <w:style w:type="paragraph" w:customStyle="1" w:styleId="Default">
    <w:name w:val="Default"/>
    <w:rsid w:val="002F3D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notaderodap">
    <w:name w:val="footnote text"/>
    <w:aliases w:val="Footnote Text Char, Char,Char"/>
    <w:basedOn w:val="Normal"/>
    <w:link w:val="TextodenotaderodapChar"/>
    <w:unhideWhenUsed/>
    <w:rsid w:val="00893D49"/>
    <w:rPr>
      <w:sz w:val="20"/>
      <w:szCs w:val="20"/>
    </w:rPr>
  </w:style>
  <w:style w:type="character" w:customStyle="1" w:styleId="TextodenotaderodapChar">
    <w:name w:val="Texto de nota de rodapé Char"/>
    <w:aliases w:val="Footnote Text Char Char, Char Char,Char Char"/>
    <w:basedOn w:val="Fontepargpadro"/>
    <w:link w:val="Textodenotaderodap"/>
    <w:rsid w:val="00893D49"/>
    <w:rPr>
      <w:rFonts w:ascii="Times New Roman" w:eastAsia="Calibri" w:hAnsi="Times New Roman" w:cs="Times New Roman"/>
      <w:sz w:val="20"/>
      <w:szCs w:val="20"/>
    </w:rPr>
  </w:style>
  <w:style w:type="character" w:styleId="Refdenotaderodap">
    <w:name w:val="footnote reference"/>
    <w:unhideWhenUsed/>
    <w:rsid w:val="00893D49"/>
    <w:rPr>
      <w:vertAlign w:val="superscript"/>
    </w:rPr>
  </w:style>
  <w:style w:type="paragraph" w:styleId="Ttulo">
    <w:name w:val="Title"/>
    <w:basedOn w:val="Normal"/>
    <w:link w:val="TtuloChar"/>
    <w:qFormat/>
    <w:rsid w:val="00893D49"/>
    <w:pPr>
      <w:spacing w:after="0" w:line="240" w:lineRule="auto"/>
      <w:jc w:val="center"/>
    </w:pPr>
    <w:rPr>
      <w:rFonts w:eastAsia="Times New Roman"/>
      <w:b/>
      <w:bCs/>
      <w:sz w:val="24"/>
      <w:szCs w:val="24"/>
    </w:rPr>
  </w:style>
  <w:style w:type="character" w:customStyle="1" w:styleId="TtuloChar">
    <w:name w:val="Título Char"/>
    <w:basedOn w:val="Fontepargpadro"/>
    <w:link w:val="Ttulo"/>
    <w:rsid w:val="00893D49"/>
    <w:rPr>
      <w:rFonts w:ascii="Times New Roman" w:eastAsia="Times New Roman" w:hAnsi="Times New Roman" w:cs="Times New Roman"/>
      <w:b/>
      <w:bCs/>
      <w:sz w:val="24"/>
      <w:szCs w:val="24"/>
    </w:rPr>
  </w:style>
  <w:style w:type="character" w:styleId="Hyperlink">
    <w:name w:val="Hyperlink"/>
    <w:uiPriority w:val="99"/>
    <w:rsid w:val="00893D49"/>
    <w:rPr>
      <w:color w:val="0000FF"/>
      <w:u w:val="single"/>
    </w:rPr>
  </w:style>
  <w:style w:type="paragraph" w:styleId="TextosemFormatao">
    <w:name w:val="Plain Text"/>
    <w:basedOn w:val="Normal"/>
    <w:link w:val="TextosemFormataoChar"/>
    <w:uiPriority w:val="99"/>
    <w:unhideWhenUsed/>
    <w:rsid w:val="00893D49"/>
    <w:pPr>
      <w:spacing w:after="0" w:line="240" w:lineRule="auto"/>
    </w:pPr>
  </w:style>
  <w:style w:type="character" w:customStyle="1" w:styleId="TextosemFormataoChar">
    <w:name w:val="Texto sem Formatação Char"/>
    <w:basedOn w:val="Fontepargpadro"/>
    <w:link w:val="TextosemFormatao"/>
    <w:uiPriority w:val="99"/>
    <w:rsid w:val="00893D49"/>
    <w:rPr>
      <w:rFonts w:ascii="Times New Roman" w:eastAsia="Calibri" w:hAnsi="Times New Roman" w:cs="Times New Roman"/>
    </w:rPr>
  </w:style>
  <w:style w:type="character" w:customStyle="1" w:styleId="TextodebaloChar">
    <w:name w:val="Texto de balão Char"/>
    <w:basedOn w:val="Fontepargpadro"/>
    <w:link w:val="Textodebalo"/>
    <w:uiPriority w:val="99"/>
    <w:semiHidden/>
    <w:rsid w:val="00893D49"/>
    <w:rPr>
      <w:rFonts w:ascii="Tahoma" w:eastAsia="Calibri" w:hAnsi="Tahoma" w:cs="Times New Roman"/>
      <w:sz w:val="16"/>
      <w:szCs w:val="16"/>
    </w:rPr>
  </w:style>
  <w:style w:type="paragraph" w:styleId="Textodebalo">
    <w:name w:val="Balloon Text"/>
    <w:basedOn w:val="Normal"/>
    <w:link w:val="TextodebaloChar"/>
    <w:uiPriority w:val="99"/>
    <w:semiHidden/>
    <w:unhideWhenUsed/>
    <w:rsid w:val="00893D49"/>
    <w:pPr>
      <w:spacing w:after="0" w:line="240" w:lineRule="auto"/>
    </w:pPr>
    <w:rPr>
      <w:rFonts w:ascii="Tahoma" w:hAnsi="Tahoma"/>
      <w:sz w:val="16"/>
      <w:szCs w:val="16"/>
    </w:rPr>
  </w:style>
  <w:style w:type="paragraph" w:styleId="Cabealho">
    <w:name w:val="header"/>
    <w:aliases w:val="Tulo1,Guideline,encabezado,Título1"/>
    <w:basedOn w:val="Normal"/>
    <w:link w:val="CabealhoChar"/>
    <w:uiPriority w:val="99"/>
    <w:unhideWhenUsed/>
    <w:rsid w:val="00893D49"/>
    <w:pPr>
      <w:tabs>
        <w:tab w:val="center" w:pos="4252"/>
        <w:tab w:val="right" w:pos="8504"/>
      </w:tabs>
    </w:pPr>
  </w:style>
  <w:style w:type="character" w:customStyle="1" w:styleId="CabealhoChar">
    <w:name w:val="Cabeçalho Char"/>
    <w:aliases w:val="Tulo1 Char,Guideline Char,encabezado Char,Título1 Char"/>
    <w:basedOn w:val="Fontepargpadro"/>
    <w:link w:val="Cabealho"/>
    <w:uiPriority w:val="99"/>
    <w:rsid w:val="00893D49"/>
    <w:rPr>
      <w:rFonts w:ascii="Times New Roman" w:eastAsia="Calibri" w:hAnsi="Times New Roman" w:cs="Times New Roman"/>
    </w:rPr>
  </w:style>
  <w:style w:type="paragraph" w:styleId="Rodap">
    <w:name w:val="footer"/>
    <w:basedOn w:val="Normal"/>
    <w:link w:val="RodapChar"/>
    <w:uiPriority w:val="99"/>
    <w:unhideWhenUsed/>
    <w:rsid w:val="00893D49"/>
    <w:pPr>
      <w:tabs>
        <w:tab w:val="center" w:pos="4252"/>
        <w:tab w:val="right" w:pos="8504"/>
      </w:tabs>
    </w:pPr>
  </w:style>
  <w:style w:type="character" w:customStyle="1" w:styleId="RodapChar">
    <w:name w:val="Rodapé Char"/>
    <w:basedOn w:val="Fontepargpadro"/>
    <w:link w:val="Rodap"/>
    <w:uiPriority w:val="99"/>
    <w:rsid w:val="00893D49"/>
    <w:rPr>
      <w:rFonts w:ascii="Times New Roman" w:eastAsia="Calibri" w:hAnsi="Times New Roman" w:cs="Times New Roman"/>
    </w:rPr>
  </w:style>
  <w:style w:type="paragraph" w:customStyle="1" w:styleId="Normal1">
    <w:name w:val="Normal1"/>
    <w:rsid w:val="002F3D58"/>
    <w:pPr>
      <w:pBdr>
        <w:top w:val="nil"/>
        <w:left w:val="nil"/>
        <w:bottom w:val="nil"/>
        <w:right w:val="nil"/>
        <w:between w:val="nil"/>
      </w:pBdr>
      <w:spacing w:after="200" w:line="276" w:lineRule="auto"/>
      <w:ind w:left="34" w:firstLine="709"/>
      <w:jc w:val="both"/>
    </w:pPr>
    <w:rPr>
      <w:rFonts w:ascii="Calibri" w:eastAsia="Calibri" w:hAnsi="Calibri" w:cs="Calibri"/>
      <w:color w:val="000000"/>
      <w:lang w:eastAsia="pt-BR"/>
    </w:rPr>
  </w:style>
  <w:style w:type="paragraph" w:styleId="Textodecomentrio">
    <w:name w:val="annotation text"/>
    <w:basedOn w:val="Normal"/>
    <w:link w:val="TextodecomentrioChar"/>
    <w:uiPriority w:val="99"/>
    <w:unhideWhenUsed/>
    <w:rsid w:val="00893D49"/>
    <w:pPr>
      <w:spacing w:after="0" w:line="312" w:lineRule="auto"/>
      <w:jc w:val="both"/>
    </w:pPr>
    <w:rPr>
      <w:sz w:val="20"/>
      <w:szCs w:val="20"/>
    </w:rPr>
  </w:style>
  <w:style w:type="character" w:customStyle="1" w:styleId="TextodecomentrioChar">
    <w:name w:val="Texto de comentário Char"/>
    <w:basedOn w:val="Fontepargpadro"/>
    <w:link w:val="Textodecomentrio"/>
    <w:uiPriority w:val="99"/>
    <w:rsid w:val="00893D49"/>
    <w:rPr>
      <w:rFonts w:ascii="Times New Roman" w:eastAsia="Calibri" w:hAnsi="Times New Roman" w:cs="Times New Roman"/>
      <w:sz w:val="20"/>
      <w:szCs w:val="20"/>
    </w:rPr>
  </w:style>
  <w:style w:type="paragraph" w:styleId="Corpodetexto">
    <w:name w:val="Body Text"/>
    <w:basedOn w:val="Normal"/>
    <w:link w:val="CorpodetextoChar"/>
    <w:rsid w:val="00893D49"/>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93D49"/>
    <w:rPr>
      <w:rFonts w:ascii="Times New Roman" w:eastAsia="Times New Roman" w:hAnsi="Times New Roman" w:cs="Times New Roman"/>
      <w:sz w:val="24"/>
      <w:szCs w:val="24"/>
      <w:lang w:eastAsia="pt-BR"/>
    </w:rPr>
  </w:style>
  <w:style w:type="paragraph" w:styleId="Recuodecorpodetexto">
    <w:name w:val="Body Text Indent"/>
    <w:aliases w:val="bti"/>
    <w:basedOn w:val="Normal"/>
    <w:link w:val="RecuodecorpodetextoChar"/>
    <w:rsid w:val="00893D49"/>
    <w:pPr>
      <w:spacing w:after="0" w:line="240" w:lineRule="auto"/>
      <w:ind w:left="1080"/>
      <w:jc w:val="both"/>
    </w:pPr>
    <w:rPr>
      <w:rFonts w:eastAsia="Times New Roman"/>
      <w:sz w:val="24"/>
      <w:szCs w:val="24"/>
      <w:lang w:eastAsia="pt-BR"/>
    </w:rPr>
  </w:style>
  <w:style w:type="character" w:customStyle="1" w:styleId="RecuodecorpodetextoChar">
    <w:name w:val="Recuo de corpo de texto Char"/>
    <w:aliases w:val="bti Char"/>
    <w:basedOn w:val="Fontepargpadro"/>
    <w:link w:val="Recuodecorpodetexto"/>
    <w:rsid w:val="00893D49"/>
    <w:rPr>
      <w:rFonts w:ascii="Times New Roman" w:eastAsia="Times New Roman" w:hAnsi="Times New Roman" w:cs="Times New Roman"/>
      <w:sz w:val="24"/>
      <w:szCs w:val="24"/>
      <w:lang w:eastAsia="pt-BR"/>
    </w:rPr>
  </w:style>
  <w:style w:type="paragraph" w:customStyle="1" w:styleId="SDM">
    <w:name w:val="SDM"/>
    <w:basedOn w:val="Normal"/>
    <w:link w:val="SDMChar"/>
    <w:qFormat/>
    <w:rsid w:val="00893D49"/>
    <w:pPr>
      <w:spacing w:after="0" w:line="240" w:lineRule="auto"/>
      <w:jc w:val="both"/>
    </w:pPr>
    <w:rPr>
      <w:rFonts w:eastAsia="Times New Roman"/>
      <w:bCs/>
      <w:sz w:val="24"/>
      <w:szCs w:val="24"/>
      <w:lang w:eastAsia="pt-BR"/>
    </w:rPr>
  </w:style>
  <w:style w:type="character" w:customStyle="1" w:styleId="AssuntodocomentrioChar">
    <w:name w:val="Assunto do comentário Char"/>
    <w:basedOn w:val="TextodecomentrioChar"/>
    <w:link w:val="Assuntodocomentrio"/>
    <w:uiPriority w:val="99"/>
    <w:semiHidden/>
    <w:rsid w:val="00893D49"/>
    <w:rPr>
      <w:rFonts w:ascii="Times New Roman" w:eastAsia="Calibri" w:hAnsi="Times New Roman" w:cs="Times New Roman"/>
      <w:b/>
      <w:bCs/>
      <w:sz w:val="20"/>
      <w:szCs w:val="20"/>
    </w:rPr>
  </w:style>
  <w:style w:type="paragraph" w:styleId="Assuntodocomentrio">
    <w:name w:val="annotation subject"/>
    <w:basedOn w:val="Textodecomentrio"/>
    <w:next w:val="Textodecomentrio"/>
    <w:link w:val="AssuntodocomentrioChar"/>
    <w:uiPriority w:val="99"/>
    <w:semiHidden/>
    <w:unhideWhenUsed/>
    <w:rsid w:val="00893D49"/>
    <w:pPr>
      <w:spacing w:after="200" w:line="276" w:lineRule="auto"/>
      <w:jc w:val="left"/>
    </w:pPr>
    <w:rPr>
      <w:b/>
      <w:bCs/>
    </w:rPr>
  </w:style>
  <w:style w:type="character" w:customStyle="1" w:styleId="A3">
    <w:name w:val="A3"/>
    <w:uiPriority w:val="99"/>
    <w:rsid w:val="00893D49"/>
    <w:rPr>
      <w:rFonts w:cs="PT Sans"/>
      <w:color w:val="000000"/>
      <w:sz w:val="20"/>
      <w:szCs w:val="20"/>
    </w:rPr>
  </w:style>
  <w:style w:type="paragraph" w:styleId="PargrafodaLista">
    <w:name w:val="List Paragraph"/>
    <w:basedOn w:val="Normal"/>
    <w:qFormat/>
    <w:rsid w:val="00893D49"/>
    <w:pPr>
      <w:spacing w:after="160" w:line="259" w:lineRule="auto"/>
      <w:ind w:left="720"/>
      <w:contextualSpacing/>
    </w:pPr>
    <w:rPr>
      <w:rFonts w:asciiTheme="minorHAnsi" w:eastAsiaTheme="minorHAnsi" w:hAnsiTheme="minorHAnsi" w:cstheme="minorBidi"/>
    </w:rPr>
  </w:style>
  <w:style w:type="paragraph" w:customStyle="1" w:styleId="texto1">
    <w:name w:val="texto1"/>
    <w:basedOn w:val="Normal"/>
    <w:rsid w:val="00893D49"/>
    <w:pPr>
      <w:spacing w:before="100" w:beforeAutospacing="1" w:after="100" w:afterAutospacing="1" w:line="240" w:lineRule="auto"/>
    </w:pPr>
    <w:rPr>
      <w:rFonts w:eastAsia="Times New Roman"/>
      <w:sz w:val="24"/>
      <w:szCs w:val="24"/>
      <w:lang w:eastAsia="pt-BR"/>
    </w:rPr>
  </w:style>
  <w:style w:type="character" w:customStyle="1" w:styleId="normaltextrun">
    <w:name w:val="normaltextrun"/>
    <w:basedOn w:val="Fontepargpadro"/>
    <w:rsid w:val="00893D49"/>
  </w:style>
  <w:style w:type="character" w:customStyle="1" w:styleId="eop">
    <w:name w:val="eop"/>
    <w:basedOn w:val="Fontepargpadro"/>
    <w:rsid w:val="00893D49"/>
  </w:style>
  <w:style w:type="paragraph" w:customStyle="1" w:styleId="xmsolistparagraph">
    <w:name w:val="x_msolistparagraph"/>
    <w:basedOn w:val="Normal"/>
    <w:rsid w:val="00893D49"/>
    <w:pPr>
      <w:spacing w:before="100" w:beforeAutospacing="1" w:after="100" w:afterAutospacing="1" w:line="240" w:lineRule="auto"/>
    </w:pPr>
    <w:rPr>
      <w:rFonts w:eastAsia="Times New Roman"/>
      <w:sz w:val="24"/>
      <w:szCs w:val="24"/>
      <w:lang w:val="en-GB" w:eastAsia="en-GB"/>
    </w:rPr>
  </w:style>
  <w:style w:type="character" w:customStyle="1" w:styleId="xnormaltextrun">
    <w:name w:val="x_normaltextrun"/>
    <w:basedOn w:val="Fontepargpadro"/>
    <w:rsid w:val="00893D49"/>
  </w:style>
  <w:style w:type="character" w:customStyle="1" w:styleId="xeop">
    <w:name w:val="x_eop"/>
    <w:basedOn w:val="Fontepargpadro"/>
    <w:rsid w:val="00893D49"/>
  </w:style>
  <w:style w:type="character" w:customStyle="1" w:styleId="xcontextualspellingandgrammarerror">
    <w:name w:val="x_contextualspellingandgrammarerror"/>
    <w:basedOn w:val="Fontepargpadro"/>
    <w:rsid w:val="00893D49"/>
  </w:style>
  <w:style w:type="paragraph" w:styleId="Recuodecorpodetexto2">
    <w:name w:val="Body Text Indent 2"/>
    <w:basedOn w:val="Normal"/>
    <w:link w:val="Recuodecorpodetexto2Char"/>
    <w:rsid w:val="00893D49"/>
    <w:pPr>
      <w:spacing w:after="0" w:line="240" w:lineRule="auto"/>
      <w:ind w:firstLine="567"/>
      <w:jc w:val="both"/>
    </w:pPr>
    <w:rPr>
      <w:rFonts w:eastAsia="Times New Roman"/>
      <w:sz w:val="24"/>
      <w:szCs w:val="24"/>
      <w:lang w:eastAsia="pt-BR"/>
    </w:rPr>
  </w:style>
  <w:style w:type="character" w:customStyle="1" w:styleId="Recuodecorpodetexto2Char">
    <w:name w:val="Recuo de corpo de texto 2 Char"/>
    <w:basedOn w:val="Fontepargpadro"/>
    <w:link w:val="Recuodecorpodetexto2"/>
    <w:rsid w:val="00893D49"/>
    <w:rPr>
      <w:rFonts w:ascii="Times New Roman" w:eastAsia="Times New Roman" w:hAnsi="Times New Roman" w:cs="Times New Roman"/>
      <w:sz w:val="24"/>
      <w:szCs w:val="24"/>
      <w:lang w:eastAsia="pt-BR"/>
    </w:rPr>
  </w:style>
  <w:style w:type="paragraph" w:customStyle="1" w:styleId="SDMTtulo3">
    <w:name w:val="SDM Título 3"/>
    <w:basedOn w:val="Normal"/>
    <w:next w:val="Normal"/>
    <w:rsid w:val="00893D49"/>
    <w:pPr>
      <w:spacing w:after="0" w:line="240" w:lineRule="auto"/>
      <w:jc w:val="both"/>
    </w:pPr>
    <w:rPr>
      <w:rFonts w:eastAsia="Times New Roman"/>
      <w:b/>
      <w:sz w:val="24"/>
      <w:szCs w:val="24"/>
      <w:lang w:eastAsia="pt-BR"/>
    </w:rPr>
  </w:style>
  <w:style w:type="paragraph" w:customStyle="1" w:styleId="SDMTtulo4">
    <w:name w:val="SDM Título 4"/>
    <w:basedOn w:val="Normal"/>
    <w:next w:val="Normal"/>
    <w:rsid w:val="00893D49"/>
    <w:pPr>
      <w:spacing w:after="0" w:line="240" w:lineRule="auto"/>
      <w:jc w:val="both"/>
    </w:pPr>
    <w:rPr>
      <w:rFonts w:eastAsia="Times New Roman"/>
      <w:b/>
      <w:sz w:val="24"/>
      <w:szCs w:val="24"/>
      <w:lang w:eastAsia="pt-BR"/>
    </w:rPr>
  </w:style>
  <w:style w:type="paragraph" w:customStyle="1" w:styleId="SDMTtulo5">
    <w:name w:val="SDM Título 5"/>
    <w:basedOn w:val="Normal"/>
    <w:rsid w:val="00893D49"/>
    <w:pPr>
      <w:spacing w:after="0" w:line="240" w:lineRule="auto"/>
      <w:jc w:val="both"/>
    </w:pPr>
    <w:rPr>
      <w:rFonts w:eastAsia="Times New Roman"/>
      <w:b/>
      <w:sz w:val="24"/>
      <w:szCs w:val="24"/>
      <w:lang w:eastAsia="pt-BR"/>
    </w:rPr>
  </w:style>
  <w:style w:type="paragraph" w:customStyle="1" w:styleId="SDMTtulo6">
    <w:name w:val="SDM Título 6"/>
    <w:basedOn w:val="Normal"/>
    <w:rsid w:val="00893D49"/>
    <w:pPr>
      <w:spacing w:after="0" w:line="240" w:lineRule="auto"/>
      <w:jc w:val="both"/>
    </w:pPr>
    <w:rPr>
      <w:rFonts w:eastAsia="Times New Roman"/>
      <w:b/>
      <w:sz w:val="24"/>
      <w:szCs w:val="24"/>
      <w:lang w:eastAsia="pt-BR"/>
    </w:rPr>
  </w:style>
  <w:style w:type="paragraph" w:customStyle="1" w:styleId="PargrafodaLista1">
    <w:name w:val="Parágrafo da Lista1"/>
    <w:basedOn w:val="Normal"/>
    <w:uiPriority w:val="34"/>
    <w:qFormat/>
    <w:rsid w:val="00893D49"/>
    <w:pPr>
      <w:spacing w:after="0" w:line="240" w:lineRule="auto"/>
      <w:ind w:left="708"/>
    </w:pPr>
    <w:rPr>
      <w:rFonts w:eastAsia="Times New Roman"/>
      <w:sz w:val="24"/>
      <w:szCs w:val="24"/>
      <w:lang w:eastAsia="pt-BR"/>
    </w:rPr>
  </w:style>
  <w:style w:type="paragraph" w:styleId="Corpodetexto2">
    <w:name w:val="Body Text 2"/>
    <w:basedOn w:val="Normal"/>
    <w:link w:val="Corpodetexto2Char"/>
    <w:unhideWhenUsed/>
    <w:rsid w:val="00893D49"/>
    <w:pPr>
      <w:spacing w:after="120" w:line="480" w:lineRule="auto"/>
    </w:pPr>
    <w:rPr>
      <w:rFonts w:eastAsia="Times New Roman"/>
      <w:sz w:val="24"/>
      <w:szCs w:val="24"/>
      <w:lang w:val="x-none" w:eastAsia="x-none"/>
    </w:rPr>
  </w:style>
  <w:style w:type="character" w:customStyle="1" w:styleId="Corpodetexto2Char">
    <w:name w:val="Corpo de texto 2 Char"/>
    <w:basedOn w:val="Fontepargpadro"/>
    <w:link w:val="Corpodetexto2"/>
    <w:rsid w:val="00893D49"/>
    <w:rPr>
      <w:rFonts w:ascii="Times New Roman" w:eastAsia="Times New Roman" w:hAnsi="Times New Roman" w:cs="Times New Roman"/>
      <w:sz w:val="24"/>
      <w:szCs w:val="24"/>
      <w:lang w:val="x-none" w:eastAsia="x-none"/>
    </w:rPr>
  </w:style>
  <w:style w:type="paragraph" w:styleId="Textodenotadefim">
    <w:name w:val="endnote text"/>
    <w:basedOn w:val="Normal"/>
    <w:link w:val="TextodenotadefimChar"/>
    <w:uiPriority w:val="99"/>
    <w:unhideWhenUsed/>
    <w:rsid w:val="00893D49"/>
    <w:pPr>
      <w:spacing w:after="0" w:line="240" w:lineRule="auto"/>
    </w:pPr>
    <w:rPr>
      <w:rFonts w:eastAsia="Times New Roman"/>
      <w:sz w:val="20"/>
      <w:szCs w:val="20"/>
      <w:lang w:eastAsia="pt-BR"/>
    </w:rPr>
  </w:style>
  <w:style w:type="character" w:customStyle="1" w:styleId="TextodenotadefimChar">
    <w:name w:val="Texto de nota de fim Char"/>
    <w:basedOn w:val="Fontepargpadro"/>
    <w:link w:val="Textodenotadefim"/>
    <w:uiPriority w:val="99"/>
    <w:rsid w:val="00893D49"/>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unhideWhenUsed/>
    <w:qFormat/>
    <w:rsid w:val="00893D49"/>
    <w:pPr>
      <w:keepLines/>
      <w:spacing w:before="480" w:after="0"/>
      <w:outlineLvl w:val="9"/>
    </w:pPr>
    <w:rPr>
      <w:color w:val="365F91"/>
      <w:kern w:val="0"/>
      <w:sz w:val="28"/>
      <w:szCs w:val="28"/>
      <w:lang w:val="x-none"/>
    </w:rPr>
  </w:style>
  <w:style w:type="paragraph" w:styleId="Sumrio1">
    <w:name w:val="toc 1"/>
    <w:basedOn w:val="Normal"/>
    <w:next w:val="Normal"/>
    <w:autoRedefine/>
    <w:uiPriority w:val="39"/>
    <w:unhideWhenUsed/>
    <w:rsid w:val="00134910"/>
    <w:pPr>
      <w:tabs>
        <w:tab w:val="left" w:pos="0"/>
        <w:tab w:val="right" w:leader="dot" w:pos="10196"/>
      </w:tabs>
      <w:spacing w:after="0" w:line="312" w:lineRule="auto"/>
      <w:ind w:firstLine="142"/>
    </w:pPr>
    <w:rPr>
      <w:rFonts w:asciiTheme="minorHAnsi" w:eastAsia="Times New Roman" w:hAnsiTheme="minorHAnsi" w:cstheme="minorHAnsi"/>
      <w:noProof/>
      <w:sz w:val="24"/>
      <w:szCs w:val="24"/>
      <w:lang w:eastAsia="pt-BR"/>
    </w:rPr>
  </w:style>
  <w:style w:type="paragraph" w:styleId="Sumrio3">
    <w:name w:val="toc 3"/>
    <w:basedOn w:val="Normal"/>
    <w:next w:val="Normal"/>
    <w:autoRedefine/>
    <w:uiPriority w:val="39"/>
    <w:unhideWhenUsed/>
    <w:rsid w:val="002F3D58"/>
    <w:pPr>
      <w:tabs>
        <w:tab w:val="right" w:leader="dot" w:pos="10196"/>
      </w:tabs>
      <w:spacing w:after="0" w:line="312" w:lineRule="auto"/>
      <w:ind w:left="284" w:firstLine="709"/>
    </w:pPr>
    <w:rPr>
      <w:rFonts w:eastAsia="Times New Roman"/>
      <w:sz w:val="24"/>
      <w:szCs w:val="24"/>
      <w:lang w:eastAsia="pt-BR"/>
    </w:rPr>
  </w:style>
  <w:style w:type="paragraph" w:styleId="Sumrio2">
    <w:name w:val="toc 2"/>
    <w:basedOn w:val="Normal"/>
    <w:next w:val="Normal"/>
    <w:autoRedefine/>
    <w:uiPriority w:val="39"/>
    <w:unhideWhenUsed/>
    <w:rsid w:val="002F3D58"/>
    <w:pPr>
      <w:tabs>
        <w:tab w:val="right" w:leader="dot" w:pos="10196"/>
      </w:tabs>
      <w:spacing w:after="0" w:line="312" w:lineRule="auto"/>
      <w:ind w:left="993"/>
    </w:pPr>
    <w:rPr>
      <w:rFonts w:asciiTheme="minorHAnsi" w:eastAsia="Arial Unicode MS" w:hAnsiTheme="minorHAnsi" w:cstheme="minorHAnsi"/>
      <w:b/>
      <w:bCs/>
      <w:noProof/>
      <w:sz w:val="24"/>
      <w:szCs w:val="24"/>
      <w:lang w:eastAsia="pt-BR"/>
    </w:rPr>
  </w:style>
  <w:style w:type="character" w:customStyle="1" w:styleId="Recuodecorpodetexto3Char">
    <w:name w:val="Recuo de corpo de texto 3 Char"/>
    <w:basedOn w:val="Fontepargpadro"/>
    <w:link w:val="Recuodecorpodetexto3"/>
    <w:semiHidden/>
    <w:rsid w:val="00893D49"/>
    <w:rPr>
      <w:rFonts w:ascii="Times New Roman" w:eastAsia="Times New Roman" w:hAnsi="Times New Roman" w:cs="Times New Roman"/>
      <w:sz w:val="16"/>
      <w:szCs w:val="16"/>
      <w:lang w:val="x-none" w:eastAsia="x-none"/>
    </w:rPr>
  </w:style>
  <w:style w:type="paragraph" w:styleId="Recuodecorpodetexto3">
    <w:name w:val="Body Text Indent 3"/>
    <w:basedOn w:val="Normal"/>
    <w:link w:val="Recuodecorpodetexto3Char"/>
    <w:semiHidden/>
    <w:unhideWhenUsed/>
    <w:rsid w:val="00893D49"/>
    <w:pPr>
      <w:spacing w:after="120" w:line="240" w:lineRule="auto"/>
      <w:ind w:left="283"/>
    </w:pPr>
    <w:rPr>
      <w:rFonts w:eastAsia="Times New Roman"/>
      <w:sz w:val="16"/>
      <w:szCs w:val="16"/>
      <w:lang w:val="x-none" w:eastAsia="x-none"/>
    </w:rPr>
  </w:style>
  <w:style w:type="character" w:customStyle="1" w:styleId="MapadoDocumentoChar">
    <w:name w:val="Mapa do Documento Char"/>
    <w:basedOn w:val="Fontepargpadro"/>
    <w:link w:val="MapadoDocumento"/>
    <w:uiPriority w:val="99"/>
    <w:semiHidden/>
    <w:rsid w:val="00893D49"/>
    <w:rPr>
      <w:rFonts w:ascii="Tahoma" w:eastAsia="Times New Roman" w:hAnsi="Tahoma" w:cs="Times New Roman"/>
      <w:sz w:val="16"/>
      <w:szCs w:val="16"/>
      <w:lang w:val="x-none" w:eastAsia="x-none"/>
    </w:rPr>
  </w:style>
  <w:style w:type="paragraph" w:styleId="MapadoDocumento">
    <w:name w:val="Document Map"/>
    <w:basedOn w:val="Normal"/>
    <w:link w:val="MapadoDocumentoChar"/>
    <w:uiPriority w:val="99"/>
    <w:semiHidden/>
    <w:unhideWhenUsed/>
    <w:rsid w:val="00893D49"/>
    <w:pPr>
      <w:spacing w:after="0" w:line="240" w:lineRule="auto"/>
    </w:pPr>
    <w:rPr>
      <w:rFonts w:ascii="Tahoma" w:eastAsia="Times New Roman" w:hAnsi="Tahoma"/>
      <w:sz w:val="16"/>
      <w:szCs w:val="16"/>
      <w:lang w:val="x-none" w:eastAsia="x-none"/>
    </w:rPr>
  </w:style>
  <w:style w:type="character" w:customStyle="1" w:styleId="DeltaViewInsertion">
    <w:name w:val="DeltaView Insertion"/>
    <w:uiPriority w:val="99"/>
    <w:rsid w:val="00893D49"/>
    <w:rPr>
      <w:color w:val="0000FF"/>
      <w:spacing w:val="0"/>
      <w:u w:val="double"/>
    </w:rPr>
  </w:style>
  <w:style w:type="character" w:customStyle="1" w:styleId="mord">
    <w:name w:val="mord"/>
    <w:basedOn w:val="Fontepargpadro"/>
    <w:rsid w:val="00893D49"/>
  </w:style>
  <w:style w:type="character" w:customStyle="1" w:styleId="mrel">
    <w:name w:val="mrel"/>
    <w:basedOn w:val="Fontepargpadro"/>
    <w:rsid w:val="00893D49"/>
  </w:style>
  <w:style w:type="character" w:customStyle="1" w:styleId="vlist-s">
    <w:name w:val="vlist-s"/>
    <w:basedOn w:val="Fontepargpadro"/>
    <w:rsid w:val="00893D49"/>
  </w:style>
  <w:style w:type="paragraph" w:customStyle="1" w:styleId="NormaAlterada">
    <w:name w:val="Norma Alterada"/>
    <w:basedOn w:val="Normalalteradora"/>
    <w:qFormat/>
    <w:rsid w:val="00893D49"/>
  </w:style>
  <w:style w:type="paragraph" w:customStyle="1" w:styleId="Normalalteradora">
    <w:name w:val="Normal alteradora"/>
    <w:basedOn w:val="Normal"/>
    <w:link w:val="NormalalteradoraChar"/>
    <w:qFormat/>
    <w:rsid w:val="00893D49"/>
    <w:pPr>
      <w:spacing w:before="120" w:after="120" w:line="312" w:lineRule="auto"/>
      <w:ind w:firstLine="567"/>
      <w:jc w:val="both"/>
    </w:pPr>
    <w:rPr>
      <w:rFonts w:asciiTheme="minorHAnsi" w:eastAsia="Times New Roman" w:hAnsiTheme="minorHAnsi" w:cstheme="minorBidi"/>
      <w:sz w:val="24"/>
      <w:szCs w:val="24"/>
      <w:lang w:eastAsia="pt-BR"/>
    </w:rPr>
  </w:style>
  <w:style w:type="character" w:customStyle="1" w:styleId="NormalalteradoraChar">
    <w:name w:val="Normal alteradora Char"/>
    <w:basedOn w:val="Fontepargpadro"/>
    <w:link w:val="Normalalteradora"/>
    <w:rsid w:val="00893D49"/>
    <w:rPr>
      <w:rFonts w:eastAsia="Times New Roman"/>
      <w:sz w:val="24"/>
      <w:szCs w:val="24"/>
      <w:lang w:eastAsia="pt-BR"/>
    </w:rPr>
  </w:style>
  <w:style w:type="paragraph" w:styleId="SemEspaamento">
    <w:name w:val="No Spacing"/>
    <w:uiPriority w:val="1"/>
    <w:qFormat/>
    <w:rsid w:val="002F3D58"/>
    <w:pPr>
      <w:spacing w:after="0" w:line="240" w:lineRule="auto"/>
    </w:pPr>
    <w:rPr>
      <w:rFonts w:ascii="Calibri" w:eastAsia="Calibri" w:hAnsi="Calibri" w:cs="Times New Roman"/>
    </w:rPr>
  </w:style>
  <w:style w:type="paragraph" w:customStyle="1" w:styleId="paragraph">
    <w:name w:val="paragraph"/>
    <w:basedOn w:val="Normal"/>
    <w:rsid w:val="00893D49"/>
    <w:pPr>
      <w:spacing w:before="100" w:beforeAutospacing="1" w:after="100" w:afterAutospacing="1" w:line="240" w:lineRule="auto"/>
    </w:pPr>
    <w:rPr>
      <w:rFonts w:eastAsia="Times New Roman"/>
      <w:sz w:val="24"/>
      <w:szCs w:val="24"/>
      <w:lang w:val="en-GB" w:eastAsia="en-GB"/>
    </w:rPr>
  </w:style>
  <w:style w:type="character" w:customStyle="1" w:styleId="spellingerror">
    <w:name w:val="spellingerror"/>
    <w:basedOn w:val="Fontepargpadro"/>
    <w:rsid w:val="00893D49"/>
  </w:style>
  <w:style w:type="paragraph" w:styleId="Sumrio4">
    <w:name w:val="toc 4"/>
    <w:basedOn w:val="Normal"/>
    <w:next w:val="Normal"/>
    <w:autoRedefine/>
    <w:uiPriority w:val="39"/>
    <w:unhideWhenUsed/>
    <w:rsid w:val="00893D49"/>
    <w:pPr>
      <w:spacing w:after="100" w:line="259" w:lineRule="auto"/>
      <w:ind w:left="660"/>
    </w:pPr>
    <w:rPr>
      <w:rFonts w:asciiTheme="minorHAnsi" w:eastAsiaTheme="minorEastAsia" w:hAnsiTheme="minorHAnsi" w:cstheme="minorBidi"/>
      <w:lang w:eastAsia="ja-JP"/>
    </w:rPr>
  </w:style>
  <w:style w:type="paragraph" w:styleId="Sumrio5">
    <w:name w:val="toc 5"/>
    <w:basedOn w:val="Normal"/>
    <w:next w:val="Normal"/>
    <w:autoRedefine/>
    <w:uiPriority w:val="39"/>
    <w:unhideWhenUsed/>
    <w:rsid w:val="00893D49"/>
    <w:pPr>
      <w:spacing w:after="100" w:line="259" w:lineRule="auto"/>
      <w:ind w:left="880"/>
    </w:pPr>
    <w:rPr>
      <w:rFonts w:asciiTheme="minorHAnsi" w:eastAsiaTheme="minorEastAsia" w:hAnsiTheme="minorHAnsi" w:cstheme="minorBidi"/>
      <w:lang w:eastAsia="ja-JP"/>
    </w:rPr>
  </w:style>
  <w:style w:type="paragraph" w:styleId="Sumrio6">
    <w:name w:val="toc 6"/>
    <w:basedOn w:val="Normal"/>
    <w:next w:val="Normal"/>
    <w:autoRedefine/>
    <w:uiPriority w:val="39"/>
    <w:unhideWhenUsed/>
    <w:rsid w:val="00893D49"/>
    <w:pPr>
      <w:spacing w:after="100" w:line="259" w:lineRule="auto"/>
      <w:ind w:left="1100"/>
    </w:pPr>
    <w:rPr>
      <w:rFonts w:asciiTheme="minorHAnsi" w:eastAsiaTheme="minorEastAsia" w:hAnsiTheme="minorHAnsi" w:cstheme="minorBidi"/>
      <w:lang w:eastAsia="ja-JP"/>
    </w:rPr>
  </w:style>
  <w:style w:type="paragraph" w:styleId="Sumrio7">
    <w:name w:val="toc 7"/>
    <w:basedOn w:val="Normal"/>
    <w:next w:val="Normal"/>
    <w:autoRedefine/>
    <w:uiPriority w:val="39"/>
    <w:unhideWhenUsed/>
    <w:rsid w:val="00893D49"/>
    <w:pPr>
      <w:spacing w:after="100" w:line="259" w:lineRule="auto"/>
      <w:ind w:left="1320"/>
    </w:pPr>
    <w:rPr>
      <w:rFonts w:asciiTheme="minorHAnsi" w:eastAsiaTheme="minorEastAsia" w:hAnsiTheme="minorHAnsi" w:cstheme="minorBidi"/>
      <w:lang w:eastAsia="ja-JP"/>
    </w:rPr>
  </w:style>
  <w:style w:type="paragraph" w:styleId="Sumrio8">
    <w:name w:val="toc 8"/>
    <w:basedOn w:val="Normal"/>
    <w:next w:val="Normal"/>
    <w:autoRedefine/>
    <w:uiPriority w:val="39"/>
    <w:unhideWhenUsed/>
    <w:rsid w:val="00893D49"/>
    <w:pPr>
      <w:spacing w:after="100" w:line="259" w:lineRule="auto"/>
      <w:ind w:left="1540"/>
    </w:pPr>
    <w:rPr>
      <w:rFonts w:asciiTheme="minorHAnsi" w:eastAsiaTheme="minorEastAsia" w:hAnsiTheme="minorHAnsi" w:cstheme="minorBidi"/>
      <w:lang w:eastAsia="ja-JP"/>
    </w:rPr>
  </w:style>
  <w:style w:type="paragraph" w:styleId="Sumrio9">
    <w:name w:val="toc 9"/>
    <w:basedOn w:val="Normal"/>
    <w:next w:val="Normal"/>
    <w:autoRedefine/>
    <w:uiPriority w:val="39"/>
    <w:unhideWhenUsed/>
    <w:rsid w:val="00893D49"/>
    <w:pPr>
      <w:spacing w:after="100" w:line="259" w:lineRule="auto"/>
      <w:ind w:left="1760"/>
    </w:pPr>
    <w:rPr>
      <w:rFonts w:asciiTheme="minorHAnsi" w:eastAsiaTheme="minorEastAsia" w:hAnsiTheme="minorHAnsi" w:cstheme="minorBidi"/>
      <w:lang w:eastAsia="ja-JP"/>
    </w:rPr>
  </w:style>
  <w:style w:type="paragraph" w:customStyle="1" w:styleId="msonormal0">
    <w:name w:val="msonormal"/>
    <w:basedOn w:val="Normal"/>
    <w:rsid w:val="00893D49"/>
    <w:pPr>
      <w:spacing w:before="100" w:beforeAutospacing="1" w:after="100" w:afterAutospacing="1" w:line="240" w:lineRule="auto"/>
    </w:pPr>
    <w:rPr>
      <w:rFonts w:eastAsia="Times New Roman"/>
      <w:sz w:val="24"/>
      <w:szCs w:val="24"/>
      <w:lang w:eastAsia="pt-BR"/>
    </w:rPr>
  </w:style>
  <w:style w:type="paragraph" w:styleId="Lista">
    <w:name w:val="List"/>
    <w:basedOn w:val="Corpodetexto"/>
    <w:semiHidden/>
    <w:unhideWhenUsed/>
    <w:rsid w:val="00893D49"/>
    <w:pPr>
      <w:suppressAutoHyphens/>
    </w:pPr>
    <w:rPr>
      <w:rFonts w:cs="Tahoma"/>
      <w:szCs w:val="20"/>
      <w:lang w:eastAsia="ar-SA"/>
    </w:rPr>
  </w:style>
  <w:style w:type="paragraph" w:customStyle="1" w:styleId="ListaColorida-nfase11">
    <w:name w:val="Lista Colorida - Ênfase 11"/>
    <w:basedOn w:val="Normal"/>
    <w:uiPriority w:val="34"/>
    <w:qFormat/>
    <w:rsid w:val="00893D49"/>
    <w:pPr>
      <w:ind w:left="720"/>
      <w:contextualSpacing/>
    </w:pPr>
    <w:rPr>
      <w:rFonts w:ascii="Calibri" w:hAnsi="Calibri"/>
    </w:rPr>
  </w:style>
  <w:style w:type="paragraph" w:customStyle="1" w:styleId="GradeMdia21">
    <w:name w:val="Grade Média 21"/>
    <w:uiPriority w:val="1"/>
    <w:qFormat/>
    <w:rsid w:val="002F3D58"/>
    <w:pPr>
      <w:spacing w:after="0" w:line="240" w:lineRule="auto"/>
    </w:pPr>
    <w:rPr>
      <w:rFonts w:ascii="Calibri" w:eastAsia="Calibri" w:hAnsi="Calibri" w:cs="Times New Roman"/>
    </w:rPr>
  </w:style>
  <w:style w:type="paragraph" w:customStyle="1" w:styleId="Corpodetexto21">
    <w:name w:val="Corpo de texto 21"/>
    <w:basedOn w:val="Normal"/>
    <w:rsid w:val="00893D49"/>
    <w:pPr>
      <w:widowControl w:val="0"/>
      <w:suppressAutoHyphens/>
      <w:spacing w:after="0" w:line="340" w:lineRule="exact"/>
      <w:jc w:val="both"/>
    </w:pPr>
    <w:rPr>
      <w:rFonts w:eastAsia="Times New Roman"/>
      <w:sz w:val="26"/>
      <w:szCs w:val="20"/>
      <w:lang w:eastAsia="ar-SA"/>
    </w:rPr>
  </w:style>
  <w:style w:type="paragraph" w:customStyle="1" w:styleId="BNDES">
    <w:name w:val="BNDES"/>
    <w:rsid w:val="002F3D58"/>
    <w:pPr>
      <w:spacing w:after="0" w:line="240" w:lineRule="auto"/>
      <w:jc w:val="both"/>
    </w:pPr>
    <w:rPr>
      <w:rFonts w:ascii="Arial" w:eastAsia="Times New Roman" w:hAnsi="Arial" w:cs="Times New Roman"/>
      <w:sz w:val="24"/>
      <w:szCs w:val="20"/>
      <w:lang w:eastAsia="pt-BR"/>
    </w:rPr>
  </w:style>
  <w:style w:type="paragraph" w:customStyle="1" w:styleId="Legenda1">
    <w:name w:val="Legenda1"/>
    <w:basedOn w:val="Normal"/>
    <w:rsid w:val="00893D49"/>
    <w:pPr>
      <w:suppressLineNumbers/>
      <w:suppressAutoHyphens/>
      <w:spacing w:before="120" w:after="120" w:line="240" w:lineRule="auto"/>
    </w:pPr>
    <w:rPr>
      <w:rFonts w:eastAsia="Times New Roman" w:cs="Tahoma"/>
      <w:i/>
      <w:iCs/>
      <w:sz w:val="24"/>
      <w:szCs w:val="24"/>
      <w:lang w:eastAsia="ar-SA"/>
    </w:rPr>
  </w:style>
  <w:style w:type="paragraph" w:customStyle="1" w:styleId="ndice">
    <w:name w:val="Índice"/>
    <w:basedOn w:val="Normal"/>
    <w:rsid w:val="00893D49"/>
    <w:pPr>
      <w:suppressLineNumbers/>
      <w:suppressAutoHyphens/>
      <w:spacing w:after="0" w:line="240" w:lineRule="auto"/>
    </w:pPr>
    <w:rPr>
      <w:rFonts w:eastAsia="Times New Roman" w:cs="Tahoma"/>
      <w:sz w:val="24"/>
      <w:szCs w:val="20"/>
      <w:lang w:eastAsia="ar-SA"/>
    </w:rPr>
  </w:style>
  <w:style w:type="paragraph" w:customStyle="1" w:styleId="Recuodecorpodetexto21">
    <w:name w:val="Recuo de corpo de texto 21"/>
    <w:basedOn w:val="Normal"/>
    <w:rsid w:val="00893D49"/>
    <w:pPr>
      <w:suppressAutoHyphens/>
      <w:spacing w:after="0" w:line="240" w:lineRule="auto"/>
      <w:ind w:firstLine="708"/>
      <w:jc w:val="both"/>
    </w:pPr>
    <w:rPr>
      <w:rFonts w:eastAsia="Times New Roman"/>
      <w:sz w:val="24"/>
      <w:szCs w:val="20"/>
      <w:lang w:eastAsia="ar-SA"/>
    </w:rPr>
  </w:style>
  <w:style w:type="paragraph" w:customStyle="1" w:styleId="Corpodetexto31">
    <w:name w:val="Corpo de texto 31"/>
    <w:basedOn w:val="Normal"/>
    <w:rsid w:val="00893D49"/>
    <w:pPr>
      <w:suppressAutoHyphens/>
      <w:spacing w:after="0" w:line="240" w:lineRule="auto"/>
    </w:pPr>
    <w:rPr>
      <w:rFonts w:eastAsia="Times New Roman"/>
      <w:sz w:val="12"/>
      <w:szCs w:val="20"/>
      <w:u w:val="single"/>
      <w:lang w:eastAsia="ar-SA"/>
    </w:rPr>
  </w:style>
  <w:style w:type="paragraph" w:customStyle="1" w:styleId="Recuodecorpodetexto31">
    <w:name w:val="Recuo de corpo de texto 31"/>
    <w:basedOn w:val="Normal"/>
    <w:rsid w:val="00893D49"/>
    <w:pPr>
      <w:suppressAutoHyphens/>
      <w:spacing w:after="0" w:line="240" w:lineRule="auto"/>
      <w:ind w:firstLine="708"/>
      <w:jc w:val="both"/>
    </w:pPr>
    <w:rPr>
      <w:rFonts w:eastAsia="Times New Roman"/>
      <w:sz w:val="24"/>
      <w:szCs w:val="20"/>
      <w:u w:val="single"/>
      <w:lang w:eastAsia="ar-SA"/>
    </w:rPr>
  </w:style>
  <w:style w:type="paragraph" w:customStyle="1" w:styleId="MapadoDocumento1">
    <w:name w:val="Mapa do Documento1"/>
    <w:basedOn w:val="Normal"/>
    <w:rsid w:val="00893D49"/>
    <w:pPr>
      <w:shd w:val="clear" w:color="auto" w:fill="000080"/>
      <w:suppressAutoHyphens/>
      <w:spacing w:after="0" w:line="240" w:lineRule="auto"/>
    </w:pPr>
    <w:rPr>
      <w:rFonts w:ascii="Tahoma" w:eastAsia="Times New Roman" w:hAnsi="Tahoma"/>
      <w:sz w:val="24"/>
      <w:szCs w:val="20"/>
      <w:lang w:eastAsia="ar-SA"/>
    </w:rPr>
  </w:style>
  <w:style w:type="paragraph" w:customStyle="1" w:styleId="Corpodetexto211">
    <w:name w:val="Corpo de texto 211"/>
    <w:basedOn w:val="Normal"/>
    <w:rsid w:val="00893D49"/>
    <w:pPr>
      <w:suppressAutoHyphens/>
      <w:spacing w:after="0" w:line="360" w:lineRule="exact"/>
      <w:jc w:val="both"/>
    </w:pPr>
    <w:rPr>
      <w:rFonts w:eastAsia="Times New Roman"/>
      <w:sz w:val="24"/>
      <w:szCs w:val="20"/>
      <w:lang w:eastAsia="ar-SA"/>
    </w:rPr>
  </w:style>
  <w:style w:type="paragraph" w:customStyle="1" w:styleId="Textoembloco1">
    <w:name w:val="Texto em bloco1"/>
    <w:basedOn w:val="Normal"/>
    <w:rsid w:val="00893D49"/>
    <w:pPr>
      <w:suppressAutoHyphens/>
      <w:spacing w:before="100" w:after="100" w:line="240" w:lineRule="auto"/>
      <w:ind w:left="851" w:right="-1"/>
      <w:jc w:val="both"/>
    </w:pPr>
    <w:rPr>
      <w:rFonts w:eastAsia="Times New Roman"/>
      <w:sz w:val="24"/>
      <w:szCs w:val="20"/>
      <w:lang w:eastAsia="ar-SA"/>
    </w:rPr>
  </w:style>
  <w:style w:type="paragraph" w:customStyle="1" w:styleId="Numerada1">
    <w:name w:val="Numerada1"/>
    <w:basedOn w:val="Normal"/>
    <w:rsid w:val="00893D49"/>
    <w:pPr>
      <w:suppressAutoHyphens/>
      <w:autoSpaceDE w:val="0"/>
      <w:spacing w:after="0" w:line="300" w:lineRule="exact"/>
      <w:ind w:firstLine="1418"/>
      <w:jc w:val="both"/>
    </w:pPr>
    <w:rPr>
      <w:rFonts w:eastAsia="Times New Roman"/>
      <w:sz w:val="24"/>
      <w:szCs w:val="20"/>
      <w:lang w:eastAsia="ar-SA"/>
    </w:rPr>
  </w:style>
  <w:style w:type="paragraph" w:customStyle="1" w:styleId="Contedodetabela">
    <w:name w:val="Conteúdo de tabela"/>
    <w:basedOn w:val="Normal"/>
    <w:rsid w:val="00893D49"/>
    <w:pPr>
      <w:suppressLineNumbers/>
      <w:suppressAutoHyphens/>
      <w:spacing w:after="0" w:line="240" w:lineRule="auto"/>
    </w:pPr>
    <w:rPr>
      <w:rFonts w:eastAsia="Times New Roman"/>
      <w:sz w:val="24"/>
      <w:szCs w:val="20"/>
      <w:lang w:eastAsia="ar-SA"/>
    </w:rPr>
  </w:style>
  <w:style w:type="paragraph" w:customStyle="1" w:styleId="Ttulodetabela">
    <w:name w:val="Título de tabela"/>
    <w:basedOn w:val="Contedodetabela"/>
    <w:rsid w:val="00893D49"/>
    <w:pPr>
      <w:jc w:val="center"/>
    </w:pPr>
    <w:rPr>
      <w:b/>
      <w:bCs/>
    </w:rPr>
  </w:style>
  <w:style w:type="paragraph" w:customStyle="1" w:styleId="Contedodequadro">
    <w:name w:val="Conteúdo de quadro"/>
    <w:basedOn w:val="Corpodetexto"/>
    <w:rsid w:val="00893D49"/>
    <w:pPr>
      <w:suppressAutoHyphens/>
    </w:pPr>
    <w:rPr>
      <w:szCs w:val="20"/>
      <w:lang w:eastAsia="ar-SA"/>
    </w:rPr>
  </w:style>
  <w:style w:type="character" w:customStyle="1" w:styleId="apple-converted-space">
    <w:name w:val="apple-converted-space"/>
    <w:rsid w:val="00893D49"/>
  </w:style>
  <w:style w:type="character" w:customStyle="1" w:styleId="Caracteresdenotaderodap">
    <w:name w:val="Caracteres de nota de rodapé"/>
    <w:basedOn w:val="Fontepargpadro"/>
    <w:rsid w:val="00893D49"/>
    <w:rPr>
      <w:vertAlign w:val="superscript"/>
    </w:rPr>
  </w:style>
  <w:style w:type="character" w:customStyle="1" w:styleId="WW8Num2z0">
    <w:name w:val="WW8Num2z0"/>
    <w:rsid w:val="00893D49"/>
    <w:rPr>
      <w:rFonts w:ascii="Symbol" w:hAnsi="Symbol" w:hint="default"/>
    </w:rPr>
  </w:style>
  <w:style w:type="character" w:customStyle="1" w:styleId="WW8Num2z1">
    <w:name w:val="WW8Num2z1"/>
    <w:rsid w:val="00893D49"/>
    <w:rPr>
      <w:rFonts w:ascii="Courier New" w:hAnsi="Courier New" w:cs="Courier New" w:hint="default"/>
    </w:rPr>
  </w:style>
  <w:style w:type="character" w:customStyle="1" w:styleId="WW8Num2z2">
    <w:name w:val="WW8Num2z2"/>
    <w:rsid w:val="00893D49"/>
    <w:rPr>
      <w:rFonts w:ascii="Wingdings" w:hAnsi="Wingdings" w:hint="default"/>
    </w:rPr>
  </w:style>
  <w:style w:type="character" w:customStyle="1" w:styleId="WW8Num3z0">
    <w:name w:val="WW8Num3z0"/>
    <w:rsid w:val="00893D49"/>
    <w:rPr>
      <w:rFonts w:ascii="Wingdings" w:hAnsi="Wingdings" w:hint="default"/>
    </w:rPr>
  </w:style>
  <w:style w:type="character" w:customStyle="1" w:styleId="Fontepargpadro1">
    <w:name w:val="Fonte parág. padrão1"/>
    <w:rsid w:val="00893D49"/>
  </w:style>
  <w:style w:type="character" w:customStyle="1" w:styleId="Marcas">
    <w:name w:val="Marcas"/>
    <w:rsid w:val="00893D49"/>
    <w:rPr>
      <w:rFonts w:ascii="OpenSymbol" w:eastAsia="OpenSymbol" w:hAnsi="OpenSymbol" w:cs="OpenSymbol" w:hint="default"/>
    </w:rPr>
  </w:style>
  <w:style w:type="paragraph" w:customStyle="1" w:styleId="xxmsocommenttext">
    <w:name w:val="x_x_msocommenttext"/>
    <w:basedOn w:val="Normal"/>
    <w:rsid w:val="00893D49"/>
    <w:pPr>
      <w:spacing w:before="100" w:beforeAutospacing="1" w:after="100" w:afterAutospacing="1" w:line="240" w:lineRule="auto"/>
    </w:pPr>
    <w:rPr>
      <w:rFonts w:eastAsia="Times New Roman"/>
      <w:sz w:val="24"/>
      <w:szCs w:val="24"/>
      <w:lang w:eastAsia="pt-BR"/>
    </w:rPr>
  </w:style>
  <w:style w:type="paragraph" w:customStyle="1" w:styleId="Captulo">
    <w:name w:val="Capítulo"/>
    <w:basedOn w:val="Normal"/>
    <w:next w:val="Normal"/>
    <w:qFormat/>
    <w:rsid w:val="00893D49"/>
    <w:pPr>
      <w:keepNext/>
      <w:spacing w:before="360" w:after="120" w:line="312" w:lineRule="auto"/>
      <w:ind w:firstLine="567"/>
      <w:jc w:val="center"/>
      <w:outlineLvl w:val="1"/>
    </w:pPr>
    <w:rPr>
      <w:rFonts w:ascii="Calibri" w:hAnsi="Calibri" w:cs="Calibri"/>
      <w:caps/>
      <w:sz w:val="24"/>
      <w:szCs w:val="24"/>
    </w:rPr>
  </w:style>
  <w:style w:type="paragraph" w:customStyle="1" w:styleId="Ementa">
    <w:name w:val="Ementa"/>
    <w:basedOn w:val="Normal"/>
    <w:next w:val="Normal"/>
    <w:qFormat/>
    <w:rsid w:val="00893D49"/>
    <w:pPr>
      <w:spacing w:before="120" w:after="120" w:line="312" w:lineRule="auto"/>
      <w:ind w:left="5103"/>
      <w:jc w:val="both"/>
    </w:pPr>
    <w:rPr>
      <w:rFonts w:ascii="Calibri" w:hAnsi="Calibri" w:cs="Calibri"/>
      <w:sz w:val="24"/>
      <w:szCs w:val="24"/>
    </w:rPr>
  </w:style>
  <w:style w:type="paragraph" w:customStyle="1" w:styleId="TtulodaResoluo">
    <w:name w:val="Título da Resolução"/>
    <w:basedOn w:val="Normal"/>
    <w:next w:val="Normal"/>
    <w:qFormat/>
    <w:rsid w:val="00893D49"/>
    <w:pPr>
      <w:keepNext/>
      <w:spacing w:before="120" w:after="120" w:line="312" w:lineRule="auto"/>
      <w:ind w:firstLine="567"/>
      <w:jc w:val="center"/>
      <w:outlineLvl w:val="0"/>
    </w:pPr>
    <w:rPr>
      <w:rFonts w:ascii="Calibri" w:hAnsi="Calibri" w:cs="Calibri"/>
      <w:caps/>
      <w:sz w:val="24"/>
      <w:szCs w:val="24"/>
    </w:rPr>
  </w:style>
  <w:style w:type="paragraph" w:customStyle="1" w:styleId="Seo">
    <w:name w:val="Seção"/>
    <w:basedOn w:val="Normal"/>
    <w:next w:val="Normal"/>
    <w:link w:val="SeoChar"/>
    <w:qFormat/>
    <w:rsid w:val="00893D49"/>
    <w:pPr>
      <w:keepNext/>
      <w:spacing w:before="120" w:after="120" w:line="312" w:lineRule="auto"/>
      <w:ind w:firstLine="567"/>
      <w:jc w:val="center"/>
      <w:outlineLvl w:val="2"/>
    </w:pPr>
    <w:rPr>
      <w:rFonts w:ascii="Calibri" w:hAnsi="Calibri" w:cs="Calibri"/>
      <w:b/>
      <w:sz w:val="24"/>
      <w:szCs w:val="24"/>
    </w:rPr>
  </w:style>
  <w:style w:type="character" w:customStyle="1" w:styleId="SeoChar">
    <w:name w:val="Seção Char"/>
    <w:basedOn w:val="Fontepargpadro"/>
    <w:link w:val="Seo"/>
    <w:rsid w:val="00893D49"/>
    <w:rPr>
      <w:rFonts w:ascii="Calibri" w:eastAsia="Calibri" w:hAnsi="Calibri" w:cs="Calibri"/>
      <w:b/>
      <w:sz w:val="24"/>
      <w:szCs w:val="24"/>
    </w:rPr>
  </w:style>
  <w:style w:type="paragraph" w:customStyle="1" w:styleId="seo0">
    <w:name w:val="seção"/>
    <w:basedOn w:val="Seo"/>
    <w:link w:val="seoChar0"/>
    <w:rsid w:val="002F3D58"/>
    <w:rPr>
      <w:rFonts w:cstheme="minorHAnsi"/>
    </w:rPr>
  </w:style>
  <w:style w:type="character" w:customStyle="1" w:styleId="seoChar0">
    <w:name w:val="seção Char"/>
    <w:basedOn w:val="SeoChar"/>
    <w:link w:val="seo0"/>
    <w:rsid w:val="00893D49"/>
    <w:rPr>
      <w:rFonts w:ascii="Calibri" w:eastAsia="Calibri" w:hAnsi="Calibri" w:cstheme="minorHAnsi"/>
      <w:b/>
      <w:sz w:val="24"/>
      <w:szCs w:val="24"/>
    </w:rPr>
  </w:style>
  <w:style w:type="character" w:customStyle="1" w:styleId="Meno1">
    <w:name w:val="Menção1"/>
    <w:basedOn w:val="Fontepargpadro"/>
    <w:uiPriority w:val="99"/>
    <w:unhideWhenUsed/>
    <w:rsid w:val="00893D49"/>
    <w:rPr>
      <w:color w:val="2B579A"/>
      <w:shd w:val="clear" w:color="auto" w:fill="E6E6E6"/>
    </w:rPr>
  </w:style>
  <w:style w:type="character" w:styleId="Refdecomentrio">
    <w:name w:val="annotation reference"/>
    <w:basedOn w:val="Fontepargpadro"/>
    <w:uiPriority w:val="99"/>
    <w:semiHidden/>
    <w:unhideWhenUsed/>
    <w:rsid w:val="00F137A1"/>
    <w:rPr>
      <w:sz w:val="16"/>
      <w:szCs w:val="16"/>
    </w:rPr>
  </w:style>
  <w:style w:type="character" w:customStyle="1" w:styleId="Meno10">
    <w:name w:val="Menção10"/>
    <w:basedOn w:val="Fontepargpadro"/>
    <w:uiPriority w:val="99"/>
    <w:unhideWhenUsed/>
    <w:rsid w:val="00905BEC"/>
    <w:rPr>
      <w:color w:val="2B579A"/>
      <w:shd w:val="clear" w:color="auto" w:fill="E6E6E6"/>
    </w:rPr>
  </w:style>
  <w:style w:type="paragraph" w:styleId="Reviso">
    <w:name w:val="Revision"/>
    <w:hidden/>
    <w:uiPriority w:val="99"/>
    <w:semiHidden/>
    <w:rsid w:val="002F3D58"/>
    <w:pPr>
      <w:spacing w:after="0" w:line="240" w:lineRule="auto"/>
    </w:pPr>
    <w:rPr>
      <w:rFonts w:ascii="Times New Roman" w:eastAsia="Calibri" w:hAnsi="Times New Roman" w:cs="Times New Roman"/>
    </w:rPr>
  </w:style>
  <w:style w:type="character" w:customStyle="1" w:styleId="Mencionar1">
    <w:name w:val="Mencionar1"/>
    <w:basedOn w:val="Fontepargpadro"/>
    <w:uiPriority w:val="99"/>
    <w:unhideWhenUsed/>
    <w:rsid w:val="00CC166E"/>
    <w:rPr>
      <w:color w:val="2B579A"/>
      <w:shd w:val="clear" w:color="auto" w:fill="E6E6E6"/>
    </w:rPr>
  </w:style>
  <w:style w:type="table" w:styleId="Tabelacomgrade">
    <w:name w:val="Table Grid"/>
    <w:basedOn w:val="Tabelanormal"/>
    <w:uiPriority w:val="59"/>
    <w:rsid w:val="002F3D58"/>
    <w:pPr>
      <w:spacing w:after="0" w:line="240" w:lineRule="auto"/>
    </w:pPr>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2F3D58"/>
    <w:rPr>
      <w:color w:val="605E5C"/>
      <w:shd w:val="clear" w:color="auto" w:fill="E1DFDD"/>
    </w:rPr>
  </w:style>
  <w:style w:type="character" w:styleId="HiperlinkVisitado">
    <w:name w:val="FollowedHyperlink"/>
    <w:basedOn w:val="Fontepargpadro"/>
    <w:semiHidden/>
    <w:unhideWhenUsed/>
    <w:rsid w:val="002F3D58"/>
    <w:rPr>
      <w:color w:val="954F72" w:themeColor="followedHyperlink"/>
      <w:u w:val="single"/>
    </w:rPr>
  </w:style>
  <w:style w:type="character" w:styleId="Nmerodepgina">
    <w:name w:val="page number"/>
    <w:basedOn w:val="Fontepargpadro"/>
    <w:semiHidden/>
    <w:rsid w:val="002F3D58"/>
  </w:style>
  <w:style w:type="character" w:styleId="Refdenotadefim">
    <w:name w:val="endnote reference"/>
    <w:uiPriority w:val="99"/>
    <w:semiHidden/>
    <w:unhideWhenUsed/>
    <w:rsid w:val="002F3D58"/>
    <w:rPr>
      <w:vertAlign w:val="superscript"/>
    </w:rPr>
  </w:style>
  <w:style w:type="character" w:customStyle="1" w:styleId="MenoNoResolvida1">
    <w:name w:val="Menção Não Resolvida1"/>
    <w:uiPriority w:val="99"/>
    <w:semiHidden/>
    <w:unhideWhenUsed/>
    <w:rsid w:val="002F3D58"/>
    <w:rPr>
      <w:color w:val="605E5C"/>
      <w:shd w:val="clear" w:color="auto" w:fill="E1DFDD"/>
    </w:rPr>
  </w:style>
  <w:style w:type="character" w:styleId="TextodoEspaoReservado">
    <w:name w:val="Placeholder Text"/>
    <w:basedOn w:val="Fontepargpadro"/>
    <w:uiPriority w:val="99"/>
    <w:semiHidden/>
    <w:rsid w:val="002F3D58"/>
    <w:rPr>
      <w:color w:val="808080"/>
    </w:rPr>
  </w:style>
  <w:style w:type="character" w:customStyle="1" w:styleId="findhit">
    <w:name w:val="findhit"/>
    <w:basedOn w:val="Fontepargpadro"/>
    <w:rsid w:val="00C20BBD"/>
  </w:style>
  <w:style w:type="character" w:styleId="Forte">
    <w:name w:val="Strong"/>
    <w:basedOn w:val="Fontepargpadro"/>
    <w:uiPriority w:val="22"/>
    <w:qFormat/>
    <w:rsid w:val="00C20BBD"/>
    <w:rPr>
      <w:b/>
      <w:bCs/>
    </w:rPr>
  </w:style>
  <w:style w:type="character" w:customStyle="1" w:styleId="ui-provider">
    <w:name w:val="ui-provider"/>
    <w:basedOn w:val="Fontepargpadro"/>
    <w:rsid w:val="00626162"/>
  </w:style>
  <w:style w:type="paragraph" w:customStyle="1" w:styleId="parag">
    <w:name w:val="parag"/>
    <w:rsid w:val="0045288F"/>
    <w:pPr>
      <w:tabs>
        <w:tab w:val="left" w:pos="1418"/>
      </w:tabs>
      <w:spacing w:after="0" w:line="240" w:lineRule="auto"/>
      <w:jc w:val="both"/>
    </w:pPr>
    <w:rPr>
      <w:rFonts w:ascii="Times New Roman" w:eastAsia="Times New Roman" w:hAnsi="Times New Roman" w:cs="Times New Roman"/>
      <w:sz w:val="26"/>
      <w:szCs w:val="20"/>
      <w:lang w:eastAsia="pt-BR"/>
    </w:rPr>
  </w:style>
  <w:style w:type="character" w:customStyle="1" w:styleId="Ttulo6Char">
    <w:name w:val="Título 6 Char"/>
    <w:basedOn w:val="Fontepargpadro"/>
    <w:link w:val="Ttulo6"/>
    <w:rsid w:val="00356072"/>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uiPriority w:val="9"/>
    <w:rsid w:val="00356072"/>
    <w:rPr>
      <w:rFonts w:ascii="Times New Roman" w:eastAsia="Times New Roman" w:hAnsi="Times New Roman" w:cs="Times New Roman"/>
      <w:b/>
      <w:bCs/>
      <w:sz w:val="24"/>
      <w:szCs w:val="24"/>
      <w:lang w:val="x-none" w:eastAsia="x-none"/>
    </w:rPr>
  </w:style>
  <w:style w:type="character" w:customStyle="1" w:styleId="Ttulo8Char">
    <w:name w:val="Título 8 Char"/>
    <w:basedOn w:val="Fontepargpadro"/>
    <w:link w:val="Ttulo8"/>
    <w:rsid w:val="00356072"/>
    <w:rPr>
      <w:rFonts w:ascii="Times New Roman" w:eastAsia="Times New Roman" w:hAnsi="Times New Roman" w:cs="Times New Roman"/>
      <w:b/>
      <w:bCs/>
      <w:sz w:val="24"/>
      <w:szCs w:val="24"/>
      <w:lang w:val="x-none" w:eastAsia="x-none"/>
    </w:rPr>
  </w:style>
  <w:style w:type="character" w:customStyle="1" w:styleId="Ttulo9Char">
    <w:name w:val="Título 9 Char"/>
    <w:basedOn w:val="Fontepargpadro"/>
    <w:link w:val="Ttulo9"/>
    <w:rsid w:val="00356072"/>
    <w:rPr>
      <w:rFonts w:ascii="Times New Roman" w:eastAsia="Times New Roman" w:hAnsi="Times New Roman" w:cs="Times New Roman"/>
      <w:sz w:val="24"/>
      <w:szCs w:val="20"/>
      <w:lang w:val="x-none" w:eastAsia="x-none"/>
    </w:rPr>
  </w:style>
  <w:style w:type="paragraph" w:customStyle="1" w:styleId="TtulosNumerados">
    <w:name w:val="Títulos Numerados"/>
    <w:basedOn w:val="Ttulo1"/>
    <w:link w:val="TtulosNumeradosChar"/>
    <w:rsid w:val="00356072"/>
    <w:pPr>
      <w:keepLines/>
      <w:numPr>
        <w:numId w:val="15"/>
      </w:numPr>
      <w:pBdr>
        <w:top w:val="nil"/>
        <w:left w:val="nil"/>
        <w:bottom w:val="nil"/>
        <w:right w:val="nil"/>
        <w:between w:val="nil"/>
        <w:bar w:val="nil"/>
      </w:pBdr>
      <w:spacing w:after="240" w:line="312" w:lineRule="auto"/>
    </w:pPr>
    <w:rPr>
      <w:rFonts w:ascii="Times New Roman" w:eastAsiaTheme="majorEastAsia" w:hAnsi="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356072"/>
    <w:rPr>
      <w:rFonts w:ascii="Times New Roman" w:eastAsiaTheme="majorEastAsia" w:hAnsi="Times New Roman" w:cs="Times New Roman"/>
      <w:b/>
      <w:bCs w:val="0"/>
      <w:color w:val="000000"/>
      <w:kern w:val="32"/>
      <w:sz w:val="24"/>
      <w:szCs w:val="24"/>
      <w:u w:color="000000"/>
      <w:bdr w:val="nil"/>
      <w:lang w:val="pt-PT" w:eastAsia="pt-BR"/>
    </w:rPr>
  </w:style>
  <w:style w:type="character" w:customStyle="1" w:styleId="xcontentpasted0">
    <w:name w:val="x_contentpasted0"/>
    <w:basedOn w:val="Fontepargpadro"/>
    <w:rsid w:val="00356072"/>
  </w:style>
  <w:style w:type="paragraph" w:customStyle="1" w:styleId="WW-BodyText2">
    <w:name w:val="WW-Body Text 2"/>
    <w:basedOn w:val="Normal"/>
    <w:rsid w:val="00356072"/>
    <w:pPr>
      <w:suppressAutoHyphens/>
      <w:spacing w:before="120" w:after="0" w:line="240" w:lineRule="auto"/>
      <w:jc w:val="center"/>
    </w:pPr>
    <w:rPr>
      <w:rFonts w:eastAsia="Times New Roman"/>
      <w:sz w:val="20"/>
      <w:szCs w:val="20"/>
      <w:lang w:eastAsia="pt-BR"/>
    </w:rPr>
  </w:style>
  <w:style w:type="paragraph" w:styleId="Corpodetexto3">
    <w:name w:val="Body Text 3"/>
    <w:basedOn w:val="Normal"/>
    <w:link w:val="Corpodetexto3Char"/>
    <w:semiHidden/>
    <w:rsid w:val="00356072"/>
    <w:pPr>
      <w:spacing w:after="0" w:line="240" w:lineRule="auto"/>
      <w:jc w:val="both"/>
    </w:pPr>
    <w:rPr>
      <w:rFonts w:eastAsia="Times New Roman"/>
      <w:sz w:val="20"/>
      <w:szCs w:val="20"/>
      <w:lang w:eastAsia="pt-BR"/>
    </w:rPr>
  </w:style>
  <w:style w:type="character" w:customStyle="1" w:styleId="Corpodetexto3Char">
    <w:name w:val="Corpo de texto 3 Char"/>
    <w:basedOn w:val="Fontepargpadro"/>
    <w:link w:val="Corpodetexto3"/>
    <w:semiHidden/>
    <w:rsid w:val="00356072"/>
    <w:rPr>
      <w:rFonts w:ascii="Times New Roman" w:eastAsia="Times New Roman" w:hAnsi="Times New Roman" w:cs="Times New Roman"/>
      <w:sz w:val="20"/>
      <w:szCs w:val="20"/>
      <w:lang w:eastAsia="pt-BR"/>
    </w:rPr>
  </w:style>
  <w:style w:type="character" w:customStyle="1" w:styleId="SDMChar">
    <w:name w:val="SDM Char"/>
    <w:link w:val="SDM"/>
    <w:rsid w:val="00356072"/>
    <w:rPr>
      <w:rFonts w:ascii="Times New Roman" w:eastAsia="Times New Roman" w:hAnsi="Times New Roman" w:cs="Times New Roman"/>
      <w:bCs/>
      <w:sz w:val="24"/>
      <w:szCs w:val="24"/>
      <w:lang w:eastAsia="pt-BR"/>
    </w:rPr>
  </w:style>
  <w:style w:type="paragraph" w:customStyle="1" w:styleId="SDMTtulo2">
    <w:name w:val="SDM Título 2"/>
    <w:basedOn w:val="Normal"/>
    <w:rsid w:val="00356072"/>
    <w:pPr>
      <w:keepNext/>
      <w:spacing w:after="0" w:line="240" w:lineRule="auto"/>
      <w:jc w:val="both"/>
    </w:pPr>
    <w:rPr>
      <w:rFonts w:eastAsia="Times New Roman"/>
      <w:b/>
      <w:bCs/>
      <w:sz w:val="24"/>
      <w:szCs w:val="24"/>
      <w:lang w:eastAsia="pt-BR"/>
    </w:rPr>
  </w:style>
  <w:style w:type="paragraph" w:customStyle="1" w:styleId="Ttulo11">
    <w:name w:val="Título 11"/>
    <w:aliases w:val="h1"/>
    <w:basedOn w:val="Normal"/>
    <w:next w:val="Normal"/>
    <w:rsid w:val="00356072"/>
    <w:pPr>
      <w:keepNext/>
      <w:widowControl w:val="0"/>
      <w:autoSpaceDE w:val="0"/>
      <w:autoSpaceDN w:val="0"/>
      <w:adjustRightInd w:val="0"/>
      <w:spacing w:after="0" w:line="240" w:lineRule="auto"/>
      <w:ind w:left="1080"/>
      <w:jc w:val="both"/>
      <w:outlineLvl w:val="0"/>
    </w:pPr>
    <w:rPr>
      <w:rFonts w:eastAsia="Times New Roman"/>
      <w:b/>
      <w:bCs/>
      <w:sz w:val="24"/>
      <w:szCs w:val="24"/>
      <w:lang w:eastAsia="pt-BR"/>
    </w:rPr>
  </w:style>
  <w:style w:type="paragraph" w:customStyle="1" w:styleId="Preformatted">
    <w:name w:val="Preformatted"/>
    <w:basedOn w:val="Normal"/>
    <w:rsid w:val="0035607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pt-BR"/>
    </w:rPr>
  </w:style>
  <w:style w:type="paragraph" w:styleId="ndicedeilustraes">
    <w:name w:val="table of figures"/>
    <w:basedOn w:val="Normal"/>
    <w:next w:val="Normal"/>
    <w:uiPriority w:val="99"/>
    <w:unhideWhenUsed/>
    <w:rsid w:val="00356072"/>
    <w:pPr>
      <w:spacing w:after="0" w:line="240" w:lineRule="auto"/>
      <w:ind w:left="480" w:hanging="480"/>
    </w:pPr>
    <w:rPr>
      <w:rFonts w:ascii="Calibri" w:eastAsia="Times New Roman" w:hAnsi="Calibri"/>
      <w:b/>
      <w:bCs/>
      <w:sz w:val="20"/>
      <w:szCs w:val="20"/>
      <w:lang w:eastAsia="pt-BR"/>
    </w:rPr>
  </w:style>
  <w:style w:type="character" w:customStyle="1" w:styleId="highlight">
    <w:name w:val="highlight"/>
    <w:basedOn w:val="Fontepargpadro"/>
    <w:rsid w:val="00356072"/>
  </w:style>
  <w:style w:type="character" w:customStyle="1" w:styleId="Mention1">
    <w:name w:val="Mention1"/>
    <w:basedOn w:val="Fontepargpadro"/>
    <w:uiPriority w:val="99"/>
    <w:unhideWhenUsed/>
    <w:rsid w:val="00356072"/>
    <w:rPr>
      <w:color w:val="2B579A"/>
      <w:shd w:val="clear" w:color="auto" w:fill="E1DFDD"/>
    </w:rPr>
  </w:style>
  <w:style w:type="character" w:customStyle="1" w:styleId="Meno2">
    <w:name w:val="Menção2"/>
    <w:basedOn w:val="Fontepargpadro"/>
    <w:uiPriority w:val="99"/>
    <w:unhideWhenUsed/>
    <w:rsid w:val="00356072"/>
    <w:rPr>
      <w:color w:val="2B579A"/>
      <w:shd w:val="clear" w:color="auto" w:fill="E1DFDD"/>
    </w:rPr>
  </w:style>
  <w:style w:type="character" w:customStyle="1" w:styleId="Mention2">
    <w:name w:val="Mention2"/>
    <w:basedOn w:val="Fontepargpadro"/>
    <w:uiPriority w:val="99"/>
    <w:unhideWhenUsed/>
    <w:rsid w:val="00356072"/>
    <w:rPr>
      <w:color w:val="2B579A"/>
      <w:shd w:val="clear" w:color="auto" w:fill="E1DFDD"/>
    </w:rPr>
  </w:style>
  <w:style w:type="numbering" w:customStyle="1" w:styleId="Semlista1">
    <w:name w:val="Sem lista1"/>
    <w:next w:val="Semlista"/>
    <w:uiPriority w:val="99"/>
    <w:semiHidden/>
    <w:unhideWhenUsed/>
    <w:rsid w:val="00356072"/>
  </w:style>
  <w:style w:type="paragraph" w:styleId="Lista2">
    <w:name w:val="List 2"/>
    <w:basedOn w:val="Normal"/>
    <w:semiHidden/>
    <w:rsid w:val="00356072"/>
    <w:pPr>
      <w:overflowPunct w:val="0"/>
      <w:autoSpaceDE w:val="0"/>
      <w:autoSpaceDN w:val="0"/>
      <w:adjustRightInd w:val="0"/>
      <w:spacing w:after="0" w:line="240" w:lineRule="auto"/>
      <w:ind w:left="566" w:hanging="283"/>
      <w:textAlignment w:val="baseline"/>
    </w:pPr>
    <w:rPr>
      <w:rFonts w:eastAsia="Times New Roman"/>
      <w:sz w:val="20"/>
      <w:szCs w:val="20"/>
      <w:lang w:eastAsia="pt-BR"/>
    </w:rPr>
  </w:style>
  <w:style w:type="paragraph" w:styleId="Listadecontinuao2">
    <w:name w:val="List Continue 2"/>
    <w:basedOn w:val="Normal"/>
    <w:semiHidden/>
    <w:rsid w:val="00356072"/>
    <w:pPr>
      <w:overflowPunct w:val="0"/>
      <w:autoSpaceDE w:val="0"/>
      <w:autoSpaceDN w:val="0"/>
      <w:adjustRightInd w:val="0"/>
      <w:spacing w:after="120" w:line="240" w:lineRule="auto"/>
      <w:ind w:left="566"/>
      <w:textAlignment w:val="baseline"/>
    </w:pPr>
    <w:rPr>
      <w:rFonts w:eastAsia="Times New Roman"/>
      <w:sz w:val="20"/>
      <w:szCs w:val="20"/>
      <w:lang w:eastAsia="pt-BR"/>
    </w:rPr>
  </w:style>
  <w:style w:type="character" w:customStyle="1" w:styleId="cf01">
    <w:name w:val="cf01"/>
    <w:basedOn w:val="Fontepargpadro"/>
    <w:rsid w:val="00356072"/>
    <w:rPr>
      <w:rFonts w:ascii="Segoe UI" w:hAnsi="Segoe UI" w:cs="Segoe UI" w:hint="default"/>
      <w:sz w:val="18"/>
      <w:szCs w:val="18"/>
    </w:rPr>
  </w:style>
  <w:style w:type="character" w:styleId="MenoPendente">
    <w:name w:val="Unresolved Mention"/>
    <w:basedOn w:val="Fontepargpadro"/>
    <w:uiPriority w:val="99"/>
    <w:semiHidden/>
    <w:unhideWhenUsed/>
    <w:rsid w:val="00EA4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746">
      <w:bodyDiv w:val="1"/>
      <w:marLeft w:val="0"/>
      <w:marRight w:val="0"/>
      <w:marTop w:val="0"/>
      <w:marBottom w:val="0"/>
      <w:divBdr>
        <w:top w:val="none" w:sz="0" w:space="0" w:color="auto"/>
        <w:left w:val="none" w:sz="0" w:space="0" w:color="auto"/>
        <w:bottom w:val="none" w:sz="0" w:space="0" w:color="auto"/>
        <w:right w:val="none" w:sz="0" w:space="0" w:color="auto"/>
      </w:divBdr>
    </w:div>
    <w:div w:id="107820338">
      <w:bodyDiv w:val="1"/>
      <w:marLeft w:val="0"/>
      <w:marRight w:val="0"/>
      <w:marTop w:val="0"/>
      <w:marBottom w:val="0"/>
      <w:divBdr>
        <w:top w:val="none" w:sz="0" w:space="0" w:color="auto"/>
        <w:left w:val="none" w:sz="0" w:space="0" w:color="auto"/>
        <w:bottom w:val="none" w:sz="0" w:space="0" w:color="auto"/>
        <w:right w:val="none" w:sz="0" w:space="0" w:color="auto"/>
      </w:divBdr>
    </w:div>
    <w:div w:id="120155393">
      <w:bodyDiv w:val="1"/>
      <w:marLeft w:val="0"/>
      <w:marRight w:val="0"/>
      <w:marTop w:val="0"/>
      <w:marBottom w:val="0"/>
      <w:divBdr>
        <w:top w:val="none" w:sz="0" w:space="0" w:color="auto"/>
        <w:left w:val="none" w:sz="0" w:space="0" w:color="auto"/>
        <w:bottom w:val="none" w:sz="0" w:space="0" w:color="auto"/>
        <w:right w:val="none" w:sz="0" w:space="0" w:color="auto"/>
      </w:divBdr>
    </w:div>
    <w:div w:id="156042784">
      <w:bodyDiv w:val="1"/>
      <w:marLeft w:val="0"/>
      <w:marRight w:val="0"/>
      <w:marTop w:val="0"/>
      <w:marBottom w:val="0"/>
      <w:divBdr>
        <w:top w:val="none" w:sz="0" w:space="0" w:color="auto"/>
        <w:left w:val="none" w:sz="0" w:space="0" w:color="auto"/>
        <w:bottom w:val="none" w:sz="0" w:space="0" w:color="auto"/>
        <w:right w:val="none" w:sz="0" w:space="0" w:color="auto"/>
      </w:divBdr>
    </w:div>
    <w:div w:id="170730568">
      <w:bodyDiv w:val="1"/>
      <w:marLeft w:val="0"/>
      <w:marRight w:val="0"/>
      <w:marTop w:val="0"/>
      <w:marBottom w:val="0"/>
      <w:divBdr>
        <w:top w:val="none" w:sz="0" w:space="0" w:color="auto"/>
        <w:left w:val="none" w:sz="0" w:space="0" w:color="auto"/>
        <w:bottom w:val="none" w:sz="0" w:space="0" w:color="auto"/>
        <w:right w:val="none" w:sz="0" w:space="0" w:color="auto"/>
      </w:divBdr>
    </w:div>
    <w:div w:id="284392346">
      <w:bodyDiv w:val="1"/>
      <w:marLeft w:val="0"/>
      <w:marRight w:val="0"/>
      <w:marTop w:val="0"/>
      <w:marBottom w:val="0"/>
      <w:divBdr>
        <w:top w:val="none" w:sz="0" w:space="0" w:color="auto"/>
        <w:left w:val="none" w:sz="0" w:space="0" w:color="auto"/>
        <w:bottom w:val="none" w:sz="0" w:space="0" w:color="auto"/>
        <w:right w:val="none" w:sz="0" w:space="0" w:color="auto"/>
      </w:divBdr>
    </w:div>
    <w:div w:id="295572584">
      <w:bodyDiv w:val="1"/>
      <w:marLeft w:val="0"/>
      <w:marRight w:val="0"/>
      <w:marTop w:val="0"/>
      <w:marBottom w:val="0"/>
      <w:divBdr>
        <w:top w:val="none" w:sz="0" w:space="0" w:color="auto"/>
        <w:left w:val="none" w:sz="0" w:space="0" w:color="auto"/>
        <w:bottom w:val="none" w:sz="0" w:space="0" w:color="auto"/>
        <w:right w:val="none" w:sz="0" w:space="0" w:color="auto"/>
      </w:divBdr>
    </w:div>
    <w:div w:id="303434868">
      <w:bodyDiv w:val="1"/>
      <w:marLeft w:val="0"/>
      <w:marRight w:val="0"/>
      <w:marTop w:val="0"/>
      <w:marBottom w:val="0"/>
      <w:divBdr>
        <w:top w:val="none" w:sz="0" w:space="0" w:color="auto"/>
        <w:left w:val="none" w:sz="0" w:space="0" w:color="auto"/>
        <w:bottom w:val="none" w:sz="0" w:space="0" w:color="auto"/>
        <w:right w:val="none" w:sz="0" w:space="0" w:color="auto"/>
      </w:divBdr>
    </w:div>
    <w:div w:id="306665204">
      <w:bodyDiv w:val="1"/>
      <w:marLeft w:val="0"/>
      <w:marRight w:val="0"/>
      <w:marTop w:val="0"/>
      <w:marBottom w:val="0"/>
      <w:divBdr>
        <w:top w:val="none" w:sz="0" w:space="0" w:color="auto"/>
        <w:left w:val="none" w:sz="0" w:space="0" w:color="auto"/>
        <w:bottom w:val="none" w:sz="0" w:space="0" w:color="auto"/>
        <w:right w:val="none" w:sz="0" w:space="0" w:color="auto"/>
      </w:divBdr>
      <w:divsChild>
        <w:div w:id="48310944">
          <w:marLeft w:val="0"/>
          <w:marRight w:val="0"/>
          <w:marTop w:val="0"/>
          <w:marBottom w:val="0"/>
          <w:divBdr>
            <w:top w:val="none" w:sz="0" w:space="0" w:color="auto"/>
            <w:left w:val="none" w:sz="0" w:space="0" w:color="auto"/>
            <w:bottom w:val="none" w:sz="0" w:space="0" w:color="auto"/>
            <w:right w:val="none" w:sz="0" w:space="0" w:color="auto"/>
          </w:divBdr>
        </w:div>
        <w:div w:id="291207543">
          <w:marLeft w:val="0"/>
          <w:marRight w:val="0"/>
          <w:marTop w:val="0"/>
          <w:marBottom w:val="0"/>
          <w:divBdr>
            <w:top w:val="none" w:sz="0" w:space="0" w:color="auto"/>
            <w:left w:val="none" w:sz="0" w:space="0" w:color="auto"/>
            <w:bottom w:val="none" w:sz="0" w:space="0" w:color="auto"/>
            <w:right w:val="none" w:sz="0" w:space="0" w:color="auto"/>
          </w:divBdr>
        </w:div>
        <w:div w:id="345181266">
          <w:marLeft w:val="0"/>
          <w:marRight w:val="0"/>
          <w:marTop w:val="0"/>
          <w:marBottom w:val="0"/>
          <w:divBdr>
            <w:top w:val="none" w:sz="0" w:space="0" w:color="auto"/>
            <w:left w:val="none" w:sz="0" w:space="0" w:color="auto"/>
            <w:bottom w:val="none" w:sz="0" w:space="0" w:color="auto"/>
            <w:right w:val="none" w:sz="0" w:space="0" w:color="auto"/>
          </w:divBdr>
        </w:div>
        <w:div w:id="864907225">
          <w:marLeft w:val="0"/>
          <w:marRight w:val="0"/>
          <w:marTop w:val="0"/>
          <w:marBottom w:val="0"/>
          <w:divBdr>
            <w:top w:val="none" w:sz="0" w:space="0" w:color="auto"/>
            <w:left w:val="none" w:sz="0" w:space="0" w:color="auto"/>
            <w:bottom w:val="none" w:sz="0" w:space="0" w:color="auto"/>
            <w:right w:val="none" w:sz="0" w:space="0" w:color="auto"/>
          </w:divBdr>
        </w:div>
        <w:div w:id="1158883194">
          <w:marLeft w:val="0"/>
          <w:marRight w:val="0"/>
          <w:marTop w:val="0"/>
          <w:marBottom w:val="0"/>
          <w:divBdr>
            <w:top w:val="none" w:sz="0" w:space="0" w:color="auto"/>
            <w:left w:val="none" w:sz="0" w:space="0" w:color="auto"/>
            <w:bottom w:val="none" w:sz="0" w:space="0" w:color="auto"/>
            <w:right w:val="none" w:sz="0" w:space="0" w:color="auto"/>
          </w:divBdr>
        </w:div>
        <w:div w:id="2110270414">
          <w:marLeft w:val="0"/>
          <w:marRight w:val="0"/>
          <w:marTop w:val="0"/>
          <w:marBottom w:val="0"/>
          <w:divBdr>
            <w:top w:val="none" w:sz="0" w:space="0" w:color="auto"/>
            <w:left w:val="none" w:sz="0" w:space="0" w:color="auto"/>
            <w:bottom w:val="none" w:sz="0" w:space="0" w:color="auto"/>
            <w:right w:val="none" w:sz="0" w:space="0" w:color="auto"/>
          </w:divBdr>
        </w:div>
      </w:divsChild>
    </w:div>
    <w:div w:id="372117755">
      <w:bodyDiv w:val="1"/>
      <w:marLeft w:val="0"/>
      <w:marRight w:val="0"/>
      <w:marTop w:val="0"/>
      <w:marBottom w:val="0"/>
      <w:divBdr>
        <w:top w:val="none" w:sz="0" w:space="0" w:color="auto"/>
        <w:left w:val="none" w:sz="0" w:space="0" w:color="auto"/>
        <w:bottom w:val="none" w:sz="0" w:space="0" w:color="auto"/>
        <w:right w:val="none" w:sz="0" w:space="0" w:color="auto"/>
      </w:divBdr>
      <w:divsChild>
        <w:div w:id="1685589482">
          <w:marLeft w:val="0"/>
          <w:marRight w:val="0"/>
          <w:marTop w:val="0"/>
          <w:marBottom w:val="0"/>
          <w:divBdr>
            <w:top w:val="none" w:sz="0" w:space="0" w:color="auto"/>
            <w:left w:val="none" w:sz="0" w:space="0" w:color="auto"/>
            <w:bottom w:val="none" w:sz="0" w:space="0" w:color="auto"/>
            <w:right w:val="none" w:sz="0" w:space="0" w:color="auto"/>
          </w:divBdr>
          <w:divsChild>
            <w:div w:id="791292777">
              <w:marLeft w:val="0"/>
              <w:marRight w:val="0"/>
              <w:marTop w:val="0"/>
              <w:marBottom w:val="0"/>
              <w:divBdr>
                <w:top w:val="none" w:sz="0" w:space="0" w:color="auto"/>
                <w:left w:val="none" w:sz="0" w:space="0" w:color="auto"/>
                <w:bottom w:val="none" w:sz="0" w:space="0" w:color="auto"/>
                <w:right w:val="none" w:sz="0" w:space="0" w:color="auto"/>
              </w:divBdr>
            </w:div>
          </w:divsChild>
        </w:div>
        <w:div w:id="548808428">
          <w:marLeft w:val="0"/>
          <w:marRight w:val="0"/>
          <w:marTop w:val="0"/>
          <w:marBottom w:val="0"/>
          <w:divBdr>
            <w:top w:val="none" w:sz="0" w:space="0" w:color="auto"/>
            <w:left w:val="none" w:sz="0" w:space="0" w:color="auto"/>
            <w:bottom w:val="none" w:sz="0" w:space="0" w:color="auto"/>
            <w:right w:val="none" w:sz="0" w:space="0" w:color="auto"/>
          </w:divBdr>
          <w:divsChild>
            <w:div w:id="1594312516">
              <w:marLeft w:val="0"/>
              <w:marRight w:val="0"/>
              <w:marTop w:val="0"/>
              <w:marBottom w:val="0"/>
              <w:divBdr>
                <w:top w:val="none" w:sz="0" w:space="0" w:color="auto"/>
                <w:left w:val="none" w:sz="0" w:space="0" w:color="auto"/>
                <w:bottom w:val="none" w:sz="0" w:space="0" w:color="auto"/>
                <w:right w:val="none" w:sz="0" w:space="0" w:color="auto"/>
              </w:divBdr>
            </w:div>
          </w:divsChild>
        </w:div>
        <w:div w:id="1369182377">
          <w:marLeft w:val="0"/>
          <w:marRight w:val="0"/>
          <w:marTop w:val="0"/>
          <w:marBottom w:val="0"/>
          <w:divBdr>
            <w:top w:val="none" w:sz="0" w:space="0" w:color="auto"/>
            <w:left w:val="none" w:sz="0" w:space="0" w:color="auto"/>
            <w:bottom w:val="none" w:sz="0" w:space="0" w:color="auto"/>
            <w:right w:val="none" w:sz="0" w:space="0" w:color="auto"/>
          </w:divBdr>
          <w:divsChild>
            <w:div w:id="1253318493">
              <w:marLeft w:val="0"/>
              <w:marRight w:val="0"/>
              <w:marTop w:val="0"/>
              <w:marBottom w:val="0"/>
              <w:divBdr>
                <w:top w:val="none" w:sz="0" w:space="0" w:color="auto"/>
                <w:left w:val="none" w:sz="0" w:space="0" w:color="auto"/>
                <w:bottom w:val="none" w:sz="0" w:space="0" w:color="auto"/>
                <w:right w:val="none" w:sz="0" w:space="0" w:color="auto"/>
              </w:divBdr>
            </w:div>
          </w:divsChild>
        </w:div>
        <w:div w:id="1445730961">
          <w:marLeft w:val="0"/>
          <w:marRight w:val="0"/>
          <w:marTop w:val="0"/>
          <w:marBottom w:val="0"/>
          <w:divBdr>
            <w:top w:val="none" w:sz="0" w:space="0" w:color="auto"/>
            <w:left w:val="none" w:sz="0" w:space="0" w:color="auto"/>
            <w:bottom w:val="none" w:sz="0" w:space="0" w:color="auto"/>
            <w:right w:val="none" w:sz="0" w:space="0" w:color="auto"/>
          </w:divBdr>
          <w:divsChild>
            <w:div w:id="889658322">
              <w:marLeft w:val="0"/>
              <w:marRight w:val="0"/>
              <w:marTop w:val="0"/>
              <w:marBottom w:val="0"/>
              <w:divBdr>
                <w:top w:val="none" w:sz="0" w:space="0" w:color="auto"/>
                <w:left w:val="none" w:sz="0" w:space="0" w:color="auto"/>
                <w:bottom w:val="none" w:sz="0" w:space="0" w:color="auto"/>
                <w:right w:val="none" w:sz="0" w:space="0" w:color="auto"/>
              </w:divBdr>
            </w:div>
          </w:divsChild>
        </w:div>
        <w:div w:id="1283686340">
          <w:marLeft w:val="0"/>
          <w:marRight w:val="0"/>
          <w:marTop w:val="0"/>
          <w:marBottom w:val="0"/>
          <w:divBdr>
            <w:top w:val="none" w:sz="0" w:space="0" w:color="auto"/>
            <w:left w:val="none" w:sz="0" w:space="0" w:color="auto"/>
            <w:bottom w:val="none" w:sz="0" w:space="0" w:color="auto"/>
            <w:right w:val="none" w:sz="0" w:space="0" w:color="auto"/>
          </w:divBdr>
          <w:divsChild>
            <w:div w:id="1183862174">
              <w:marLeft w:val="0"/>
              <w:marRight w:val="0"/>
              <w:marTop w:val="0"/>
              <w:marBottom w:val="0"/>
              <w:divBdr>
                <w:top w:val="none" w:sz="0" w:space="0" w:color="auto"/>
                <w:left w:val="none" w:sz="0" w:space="0" w:color="auto"/>
                <w:bottom w:val="none" w:sz="0" w:space="0" w:color="auto"/>
                <w:right w:val="none" w:sz="0" w:space="0" w:color="auto"/>
              </w:divBdr>
            </w:div>
          </w:divsChild>
        </w:div>
        <w:div w:id="542444031">
          <w:marLeft w:val="0"/>
          <w:marRight w:val="0"/>
          <w:marTop w:val="0"/>
          <w:marBottom w:val="0"/>
          <w:divBdr>
            <w:top w:val="none" w:sz="0" w:space="0" w:color="auto"/>
            <w:left w:val="none" w:sz="0" w:space="0" w:color="auto"/>
            <w:bottom w:val="none" w:sz="0" w:space="0" w:color="auto"/>
            <w:right w:val="none" w:sz="0" w:space="0" w:color="auto"/>
          </w:divBdr>
          <w:divsChild>
            <w:div w:id="544756823">
              <w:marLeft w:val="0"/>
              <w:marRight w:val="0"/>
              <w:marTop w:val="0"/>
              <w:marBottom w:val="0"/>
              <w:divBdr>
                <w:top w:val="none" w:sz="0" w:space="0" w:color="auto"/>
                <w:left w:val="none" w:sz="0" w:space="0" w:color="auto"/>
                <w:bottom w:val="none" w:sz="0" w:space="0" w:color="auto"/>
                <w:right w:val="none" w:sz="0" w:space="0" w:color="auto"/>
              </w:divBdr>
            </w:div>
          </w:divsChild>
        </w:div>
        <w:div w:id="169878298">
          <w:marLeft w:val="0"/>
          <w:marRight w:val="0"/>
          <w:marTop w:val="0"/>
          <w:marBottom w:val="0"/>
          <w:divBdr>
            <w:top w:val="none" w:sz="0" w:space="0" w:color="auto"/>
            <w:left w:val="none" w:sz="0" w:space="0" w:color="auto"/>
            <w:bottom w:val="none" w:sz="0" w:space="0" w:color="auto"/>
            <w:right w:val="none" w:sz="0" w:space="0" w:color="auto"/>
          </w:divBdr>
          <w:divsChild>
            <w:div w:id="394134005">
              <w:marLeft w:val="0"/>
              <w:marRight w:val="0"/>
              <w:marTop w:val="0"/>
              <w:marBottom w:val="0"/>
              <w:divBdr>
                <w:top w:val="none" w:sz="0" w:space="0" w:color="auto"/>
                <w:left w:val="none" w:sz="0" w:space="0" w:color="auto"/>
                <w:bottom w:val="none" w:sz="0" w:space="0" w:color="auto"/>
                <w:right w:val="none" w:sz="0" w:space="0" w:color="auto"/>
              </w:divBdr>
            </w:div>
          </w:divsChild>
        </w:div>
        <w:div w:id="1934393200">
          <w:marLeft w:val="0"/>
          <w:marRight w:val="0"/>
          <w:marTop w:val="0"/>
          <w:marBottom w:val="0"/>
          <w:divBdr>
            <w:top w:val="none" w:sz="0" w:space="0" w:color="auto"/>
            <w:left w:val="none" w:sz="0" w:space="0" w:color="auto"/>
            <w:bottom w:val="none" w:sz="0" w:space="0" w:color="auto"/>
            <w:right w:val="none" w:sz="0" w:space="0" w:color="auto"/>
          </w:divBdr>
          <w:divsChild>
            <w:div w:id="679237024">
              <w:marLeft w:val="0"/>
              <w:marRight w:val="0"/>
              <w:marTop w:val="0"/>
              <w:marBottom w:val="0"/>
              <w:divBdr>
                <w:top w:val="none" w:sz="0" w:space="0" w:color="auto"/>
                <w:left w:val="none" w:sz="0" w:space="0" w:color="auto"/>
                <w:bottom w:val="none" w:sz="0" w:space="0" w:color="auto"/>
                <w:right w:val="none" w:sz="0" w:space="0" w:color="auto"/>
              </w:divBdr>
            </w:div>
          </w:divsChild>
        </w:div>
        <w:div w:id="1355301844">
          <w:marLeft w:val="0"/>
          <w:marRight w:val="0"/>
          <w:marTop w:val="0"/>
          <w:marBottom w:val="0"/>
          <w:divBdr>
            <w:top w:val="none" w:sz="0" w:space="0" w:color="auto"/>
            <w:left w:val="none" w:sz="0" w:space="0" w:color="auto"/>
            <w:bottom w:val="none" w:sz="0" w:space="0" w:color="auto"/>
            <w:right w:val="none" w:sz="0" w:space="0" w:color="auto"/>
          </w:divBdr>
          <w:divsChild>
            <w:div w:id="119037056">
              <w:marLeft w:val="0"/>
              <w:marRight w:val="0"/>
              <w:marTop w:val="0"/>
              <w:marBottom w:val="0"/>
              <w:divBdr>
                <w:top w:val="none" w:sz="0" w:space="0" w:color="auto"/>
                <w:left w:val="none" w:sz="0" w:space="0" w:color="auto"/>
                <w:bottom w:val="none" w:sz="0" w:space="0" w:color="auto"/>
                <w:right w:val="none" w:sz="0" w:space="0" w:color="auto"/>
              </w:divBdr>
            </w:div>
          </w:divsChild>
        </w:div>
        <w:div w:id="1539850075">
          <w:marLeft w:val="0"/>
          <w:marRight w:val="0"/>
          <w:marTop w:val="0"/>
          <w:marBottom w:val="0"/>
          <w:divBdr>
            <w:top w:val="none" w:sz="0" w:space="0" w:color="auto"/>
            <w:left w:val="none" w:sz="0" w:space="0" w:color="auto"/>
            <w:bottom w:val="none" w:sz="0" w:space="0" w:color="auto"/>
            <w:right w:val="none" w:sz="0" w:space="0" w:color="auto"/>
          </w:divBdr>
          <w:divsChild>
            <w:div w:id="846211337">
              <w:marLeft w:val="0"/>
              <w:marRight w:val="0"/>
              <w:marTop w:val="0"/>
              <w:marBottom w:val="0"/>
              <w:divBdr>
                <w:top w:val="none" w:sz="0" w:space="0" w:color="auto"/>
                <w:left w:val="none" w:sz="0" w:space="0" w:color="auto"/>
                <w:bottom w:val="none" w:sz="0" w:space="0" w:color="auto"/>
                <w:right w:val="none" w:sz="0" w:space="0" w:color="auto"/>
              </w:divBdr>
            </w:div>
          </w:divsChild>
        </w:div>
        <w:div w:id="1848211824">
          <w:marLeft w:val="0"/>
          <w:marRight w:val="0"/>
          <w:marTop w:val="0"/>
          <w:marBottom w:val="0"/>
          <w:divBdr>
            <w:top w:val="none" w:sz="0" w:space="0" w:color="auto"/>
            <w:left w:val="none" w:sz="0" w:space="0" w:color="auto"/>
            <w:bottom w:val="none" w:sz="0" w:space="0" w:color="auto"/>
            <w:right w:val="none" w:sz="0" w:space="0" w:color="auto"/>
          </w:divBdr>
          <w:divsChild>
            <w:div w:id="601760203">
              <w:marLeft w:val="0"/>
              <w:marRight w:val="0"/>
              <w:marTop w:val="0"/>
              <w:marBottom w:val="0"/>
              <w:divBdr>
                <w:top w:val="none" w:sz="0" w:space="0" w:color="auto"/>
                <w:left w:val="none" w:sz="0" w:space="0" w:color="auto"/>
                <w:bottom w:val="none" w:sz="0" w:space="0" w:color="auto"/>
                <w:right w:val="none" w:sz="0" w:space="0" w:color="auto"/>
              </w:divBdr>
            </w:div>
          </w:divsChild>
        </w:div>
        <w:div w:id="992878583">
          <w:marLeft w:val="0"/>
          <w:marRight w:val="0"/>
          <w:marTop w:val="0"/>
          <w:marBottom w:val="0"/>
          <w:divBdr>
            <w:top w:val="none" w:sz="0" w:space="0" w:color="auto"/>
            <w:left w:val="none" w:sz="0" w:space="0" w:color="auto"/>
            <w:bottom w:val="none" w:sz="0" w:space="0" w:color="auto"/>
            <w:right w:val="none" w:sz="0" w:space="0" w:color="auto"/>
          </w:divBdr>
          <w:divsChild>
            <w:div w:id="1803621088">
              <w:marLeft w:val="0"/>
              <w:marRight w:val="0"/>
              <w:marTop w:val="0"/>
              <w:marBottom w:val="0"/>
              <w:divBdr>
                <w:top w:val="none" w:sz="0" w:space="0" w:color="auto"/>
                <w:left w:val="none" w:sz="0" w:space="0" w:color="auto"/>
                <w:bottom w:val="none" w:sz="0" w:space="0" w:color="auto"/>
                <w:right w:val="none" w:sz="0" w:space="0" w:color="auto"/>
              </w:divBdr>
            </w:div>
          </w:divsChild>
        </w:div>
        <w:div w:id="1046249027">
          <w:marLeft w:val="0"/>
          <w:marRight w:val="0"/>
          <w:marTop w:val="0"/>
          <w:marBottom w:val="0"/>
          <w:divBdr>
            <w:top w:val="none" w:sz="0" w:space="0" w:color="auto"/>
            <w:left w:val="none" w:sz="0" w:space="0" w:color="auto"/>
            <w:bottom w:val="none" w:sz="0" w:space="0" w:color="auto"/>
            <w:right w:val="none" w:sz="0" w:space="0" w:color="auto"/>
          </w:divBdr>
          <w:divsChild>
            <w:div w:id="17130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6317">
      <w:bodyDiv w:val="1"/>
      <w:marLeft w:val="0"/>
      <w:marRight w:val="0"/>
      <w:marTop w:val="0"/>
      <w:marBottom w:val="0"/>
      <w:divBdr>
        <w:top w:val="none" w:sz="0" w:space="0" w:color="auto"/>
        <w:left w:val="none" w:sz="0" w:space="0" w:color="auto"/>
        <w:bottom w:val="none" w:sz="0" w:space="0" w:color="auto"/>
        <w:right w:val="none" w:sz="0" w:space="0" w:color="auto"/>
      </w:divBdr>
    </w:div>
    <w:div w:id="522790772">
      <w:bodyDiv w:val="1"/>
      <w:marLeft w:val="0"/>
      <w:marRight w:val="0"/>
      <w:marTop w:val="0"/>
      <w:marBottom w:val="0"/>
      <w:divBdr>
        <w:top w:val="none" w:sz="0" w:space="0" w:color="auto"/>
        <w:left w:val="none" w:sz="0" w:space="0" w:color="auto"/>
        <w:bottom w:val="none" w:sz="0" w:space="0" w:color="auto"/>
        <w:right w:val="none" w:sz="0" w:space="0" w:color="auto"/>
      </w:divBdr>
      <w:divsChild>
        <w:div w:id="1135172865">
          <w:marLeft w:val="0"/>
          <w:marRight w:val="0"/>
          <w:marTop w:val="0"/>
          <w:marBottom w:val="0"/>
          <w:divBdr>
            <w:top w:val="none" w:sz="0" w:space="0" w:color="auto"/>
            <w:left w:val="none" w:sz="0" w:space="0" w:color="auto"/>
            <w:bottom w:val="none" w:sz="0" w:space="0" w:color="auto"/>
            <w:right w:val="none" w:sz="0" w:space="0" w:color="auto"/>
          </w:divBdr>
        </w:div>
      </w:divsChild>
    </w:div>
    <w:div w:id="582183773">
      <w:bodyDiv w:val="1"/>
      <w:marLeft w:val="0"/>
      <w:marRight w:val="0"/>
      <w:marTop w:val="0"/>
      <w:marBottom w:val="0"/>
      <w:divBdr>
        <w:top w:val="none" w:sz="0" w:space="0" w:color="auto"/>
        <w:left w:val="none" w:sz="0" w:space="0" w:color="auto"/>
        <w:bottom w:val="none" w:sz="0" w:space="0" w:color="auto"/>
        <w:right w:val="none" w:sz="0" w:space="0" w:color="auto"/>
      </w:divBdr>
      <w:divsChild>
        <w:div w:id="12075052">
          <w:marLeft w:val="0"/>
          <w:marRight w:val="0"/>
          <w:marTop w:val="0"/>
          <w:marBottom w:val="0"/>
          <w:divBdr>
            <w:top w:val="none" w:sz="0" w:space="0" w:color="auto"/>
            <w:left w:val="none" w:sz="0" w:space="0" w:color="auto"/>
            <w:bottom w:val="none" w:sz="0" w:space="0" w:color="auto"/>
            <w:right w:val="none" w:sz="0" w:space="0" w:color="auto"/>
          </w:divBdr>
        </w:div>
        <w:div w:id="69010166">
          <w:marLeft w:val="0"/>
          <w:marRight w:val="0"/>
          <w:marTop w:val="0"/>
          <w:marBottom w:val="0"/>
          <w:divBdr>
            <w:top w:val="none" w:sz="0" w:space="0" w:color="auto"/>
            <w:left w:val="none" w:sz="0" w:space="0" w:color="auto"/>
            <w:bottom w:val="none" w:sz="0" w:space="0" w:color="auto"/>
            <w:right w:val="none" w:sz="0" w:space="0" w:color="auto"/>
          </w:divBdr>
        </w:div>
        <w:div w:id="1706373145">
          <w:marLeft w:val="0"/>
          <w:marRight w:val="0"/>
          <w:marTop w:val="0"/>
          <w:marBottom w:val="0"/>
          <w:divBdr>
            <w:top w:val="none" w:sz="0" w:space="0" w:color="auto"/>
            <w:left w:val="none" w:sz="0" w:space="0" w:color="auto"/>
            <w:bottom w:val="none" w:sz="0" w:space="0" w:color="auto"/>
            <w:right w:val="none" w:sz="0" w:space="0" w:color="auto"/>
          </w:divBdr>
        </w:div>
      </w:divsChild>
    </w:div>
    <w:div w:id="596913553">
      <w:bodyDiv w:val="1"/>
      <w:marLeft w:val="0"/>
      <w:marRight w:val="0"/>
      <w:marTop w:val="0"/>
      <w:marBottom w:val="0"/>
      <w:divBdr>
        <w:top w:val="none" w:sz="0" w:space="0" w:color="auto"/>
        <w:left w:val="none" w:sz="0" w:space="0" w:color="auto"/>
        <w:bottom w:val="none" w:sz="0" w:space="0" w:color="auto"/>
        <w:right w:val="none" w:sz="0" w:space="0" w:color="auto"/>
      </w:divBdr>
      <w:divsChild>
        <w:div w:id="1638948821">
          <w:marLeft w:val="0"/>
          <w:marRight w:val="0"/>
          <w:marTop w:val="0"/>
          <w:marBottom w:val="0"/>
          <w:divBdr>
            <w:top w:val="none" w:sz="0" w:space="0" w:color="auto"/>
            <w:left w:val="none" w:sz="0" w:space="0" w:color="auto"/>
            <w:bottom w:val="none" w:sz="0" w:space="0" w:color="auto"/>
            <w:right w:val="none" w:sz="0" w:space="0" w:color="auto"/>
          </w:divBdr>
          <w:divsChild>
            <w:div w:id="1899314233">
              <w:marLeft w:val="0"/>
              <w:marRight w:val="0"/>
              <w:marTop w:val="0"/>
              <w:marBottom w:val="0"/>
              <w:divBdr>
                <w:top w:val="none" w:sz="0" w:space="0" w:color="auto"/>
                <w:left w:val="none" w:sz="0" w:space="0" w:color="auto"/>
                <w:bottom w:val="none" w:sz="0" w:space="0" w:color="auto"/>
                <w:right w:val="none" w:sz="0" w:space="0" w:color="auto"/>
              </w:divBdr>
            </w:div>
          </w:divsChild>
        </w:div>
        <w:div w:id="1157303513">
          <w:marLeft w:val="0"/>
          <w:marRight w:val="0"/>
          <w:marTop w:val="0"/>
          <w:marBottom w:val="0"/>
          <w:divBdr>
            <w:top w:val="none" w:sz="0" w:space="0" w:color="auto"/>
            <w:left w:val="none" w:sz="0" w:space="0" w:color="auto"/>
            <w:bottom w:val="none" w:sz="0" w:space="0" w:color="auto"/>
            <w:right w:val="none" w:sz="0" w:space="0" w:color="auto"/>
          </w:divBdr>
          <w:divsChild>
            <w:div w:id="200018419">
              <w:marLeft w:val="0"/>
              <w:marRight w:val="0"/>
              <w:marTop w:val="0"/>
              <w:marBottom w:val="0"/>
              <w:divBdr>
                <w:top w:val="none" w:sz="0" w:space="0" w:color="auto"/>
                <w:left w:val="none" w:sz="0" w:space="0" w:color="auto"/>
                <w:bottom w:val="none" w:sz="0" w:space="0" w:color="auto"/>
                <w:right w:val="none" w:sz="0" w:space="0" w:color="auto"/>
              </w:divBdr>
            </w:div>
          </w:divsChild>
        </w:div>
        <w:div w:id="521211555">
          <w:marLeft w:val="0"/>
          <w:marRight w:val="0"/>
          <w:marTop w:val="0"/>
          <w:marBottom w:val="0"/>
          <w:divBdr>
            <w:top w:val="none" w:sz="0" w:space="0" w:color="auto"/>
            <w:left w:val="none" w:sz="0" w:space="0" w:color="auto"/>
            <w:bottom w:val="none" w:sz="0" w:space="0" w:color="auto"/>
            <w:right w:val="none" w:sz="0" w:space="0" w:color="auto"/>
          </w:divBdr>
          <w:divsChild>
            <w:div w:id="2099674281">
              <w:marLeft w:val="0"/>
              <w:marRight w:val="0"/>
              <w:marTop w:val="0"/>
              <w:marBottom w:val="0"/>
              <w:divBdr>
                <w:top w:val="none" w:sz="0" w:space="0" w:color="auto"/>
                <w:left w:val="none" w:sz="0" w:space="0" w:color="auto"/>
                <w:bottom w:val="none" w:sz="0" w:space="0" w:color="auto"/>
                <w:right w:val="none" w:sz="0" w:space="0" w:color="auto"/>
              </w:divBdr>
            </w:div>
          </w:divsChild>
        </w:div>
        <w:div w:id="683169034">
          <w:marLeft w:val="0"/>
          <w:marRight w:val="0"/>
          <w:marTop w:val="0"/>
          <w:marBottom w:val="0"/>
          <w:divBdr>
            <w:top w:val="none" w:sz="0" w:space="0" w:color="auto"/>
            <w:left w:val="none" w:sz="0" w:space="0" w:color="auto"/>
            <w:bottom w:val="none" w:sz="0" w:space="0" w:color="auto"/>
            <w:right w:val="none" w:sz="0" w:space="0" w:color="auto"/>
          </w:divBdr>
          <w:divsChild>
            <w:div w:id="37290295">
              <w:marLeft w:val="0"/>
              <w:marRight w:val="0"/>
              <w:marTop w:val="0"/>
              <w:marBottom w:val="0"/>
              <w:divBdr>
                <w:top w:val="none" w:sz="0" w:space="0" w:color="auto"/>
                <w:left w:val="none" w:sz="0" w:space="0" w:color="auto"/>
                <w:bottom w:val="none" w:sz="0" w:space="0" w:color="auto"/>
                <w:right w:val="none" w:sz="0" w:space="0" w:color="auto"/>
              </w:divBdr>
            </w:div>
          </w:divsChild>
        </w:div>
        <w:div w:id="1904028205">
          <w:marLeft w:val="0"/>
          <w:marRight w:val="0"/>
          <w:marTop w:val="0"/>
          <w:marBottom w:val="0"/>
          <w:divBdr>
            <w:top w:val="none" w:sz="0" w:space="0" w:color="auto"/>
            <w:left w:val="none" w:sz="0" w:space="0" w:color="auto"/>
            <w:bottom w:val="none" w:sz="0" w:space="0" w:color="auto"/>
            <w:right w:val="none" w:sz="0" w:space="0" w:color="auto"/>
          </w:divBdr>
          <w:divsChild>
            <w:div w:id="1990400815">
              <w:marLeft w:val="0"/>
              <w:marRight w:val="0"/>
              <w:marTop w:val="0"/>
              <w:marBottom w:val="0"/>
              <w:divBdr>
                <w:top w:val="none" w:sz="0" w:space="0" w:color="auto"/>
                <w:left w:val="none" w:sz="0" w:space="0" w:color="auto"/>
                <w:bottom w:val="none" w:sz="0" w:space="0" w:color="auto"/>
                <w:right w:val="none" w:sz="0" w:space="0" w:color="auto"/>
              </w:divBdr>
            </w:div>
          </w:divsChild>
        </w:div>
        <w:div w:id="404693346">
          <w:marLeft w:val="0"/>
          <w:marRight w:val="0"/>
          <w:marTop w:val="0"/>
          <w:marBottom w:val="0"/>
          <w:divBdr>
            <w:top w:val="none" w:sz="0" w:space="0" w:color="auto"/>
            <w:left w:val="none" w:sz="0" w:space="0" w:color="auto"/>
            <w:bottom w:val="none" w:sz="0" w:space="0" w:color="auto"/>
            <w:right w:val="none" w:sz="0" w:space="0" w:color="auto"/>
          </w:divBdr>
          <w:divsChild>
            <w:div w:id="30424659">
              <w:marLeft w:val="0"/>
              <w:marRight w:val="0"/>
              <w:marTop w:val="0"/>
              <w:marBottom w:val="0"/>
              <w:divBdr>
                <w:top w:val="none" w:sz="0" w:space="0" w:color="auto"/>
                <w:left w:val="none" w:sz="0" w:space="0" w:color="auto"/>
                <w:bottom w:val="none" w:sz="0" w:space="0" w:color="auto"/>
                <w:right w:val="none" w:sz="0" w:space="0" w:color="auto"/>
              </w:divBdr>
            </w:div>
          </w:divsChild>
        </w:div>
        <w:div w:id="1798454132">
          <w:marLeft w:val="0"/>
          <w:marRight w:val="0"/>
          <w:marTop w:val="0"/>
          <w:marBottom w:val="0"/>
          <w:divBdr>
            <w:top w:val="none" w:sz="0" w:space="0" w:color="auto"/>
            <w:left w:val="none" w:sz="0" w:space="0" w:color="auto"/>
            <w:bottom w:val="none" w:sz="0" w:space="0" w:color="auto"/>
            <w:right w:val="none" w:sz="0" w:space="0" w:color="auto"/>
          </w:divBdr>
          <w:divsChild>
            <w:div w:id="794911003">
              <w:marLeft w:val="0"/>
              <w:marRight w:val="0"/>
              <w:marTop w:val="0"/>
              <w:marBottom w:val="0"/>
              <w:divBdr>
                <w:top w:val="none" w:sz="0" w:space="0" w:color="auto"/>
                <w:left w:val="none" w:sz="0" w:space="0" w:color="auto"/>
                <w:bottom w:val="none" w:sz="0" w:space="0" w:color="auto"/>
                <w:right w:val="none" w:sz="0" w:space="0" w:color="auto"/>
              </w:divBdr>
            </w:div>
          </w:divsChild>
        </w:div>
        <w:div w:id="956833016">
          <w:marLeft w:val="0"/>
          <w:marRight w:val="0"/>
          <w:marTop w:val="0"/>
          <w:marBottom w:val="0"/>
          <w:divBdr>
            <w:top w:val="none" w:sz="0" w:space="0" w:color="auto"/>
            <w:left w:val="none" w:sz="0" w:space="0" w:color="auto"/>
            <w:bottom w:val="none" w:sz="0" w:space="0" w:color="auto"/>
            <w:right w:val="none" w:sz="0" w:space="0" w:color="auto"/>
          </w:divBdr>
          <w:divsChild>
            <w:div w:id="1843155351">
              <w:marLeft w:val="0"/>
              <w:marRight w:val="0"/>
              <w:marTop w:val="0"/>
              <w:marBottom w:val="0"/>
              <w:divBdr>
                <w:top w:val="none" w:sz="0" w:space="0" w:color="auto"/>
                <w:left w:val="none" w:sz="0" w:space="0" w:color="auto"/>
                <w:bottom w:val="none" w:sz="0" w:space="0" w:color="auto"/>
                <w:right w:val="none" w:sz="0" w:space="0" w:color="auto"/>
              </w:divBdr>
            </w:div>
          </w:divsChild>
        </w:div>
        <w:div w:id="1435634679">
          <w:marLeft w:val="0"/>
          <w:marRight w:val="0"/>
          <w:marTop w:val="0"/>
          <w:marBottom w:val="0"/>
          <w:divBdr>
            <w:top w:val="none" w:sz="0" w:space="0" w:color="auto"/>
            <w:left w:val="none" w:sz="0" w:space="0" w:color="auto"/>
            <w:bottom w:val="none" w:sz="0" w:space="0" w:color="auto"/>
            <w:right w:val="none" w:sz="0" w:space="0" w:color="auto"/>
          </w:divBdr>
          <w:divsChild>
            <w:div w:id="1598252872">
              <w:marLeft w:val="0"/>
              <w:marRight w:val="0"/>
              <w:marTop w:val="0"/>
              <w:marBottom w:val="0"/>
              <w:divBdr>
                <w:top w:val="none" w:sz="0" w:space="0" w:color="auto"/>
                <w:left w:val="none" w:sz="0" w:space="0" w:color="auto"/>
                <w:bottom w:val="none" w:sz="0" w:space="0" w:color="auto"/>
                <w:right w:val="none" w:sz="0" w:space="0" w:color="auto"/>
              </w:divBdr>
            </w:div>
          </w:divsChild>
        </w:div>
        <w:div w:id="1782645932">
          <w:marLeft w:val="0"/>
          <w:marRight w:val="0"/>
          <w:marTop w:val="0"/>
          <w:marBottom w:val="0"/>
          <w:divBdr>
            <w:top w:val="none" w:sz="0" w:space="0" w:color="auto"/>
            <w:left w:val="none" w:sz="0" w:space="0" w:color="auto"/>
            <w:bottom w:val="none" w:sz="0" w:space="0" w:color="auto"/>
            <w:right w:val="none" w:sz="0" w:space="0" w:color="auto"/>
          </w:divBdr>
          <w:divsChild>
            <w:div w:id="2140218617">
              <w:marLeft w:val="0"/>
              <w:marRight w:val="0"/>
              <w:marTop w:val="0"/>
              <w:marBottom w:val="0"/>
              <w:divBdr>
                <w:top w:val="none" w:sz="0" w:space="0" w:color="auto"/>
                <w:left w:val="none" w:sz="0" w:space="0" w:color="auto"/>
                <w:bottom w:val="none" w:sz="0" w:space="0" w:color="auto"/>
                <w:right w:val="none" w:sz="0" w:space="0" w:color="auto"/>
              </w:divBdr>
            </w:div>
          </w:divsChild>
        </w:div>
        <w:div w:id="24866960">
          <w:marLeft w:val="0"/>
          <w:marRight w:val="0"/>
          <w:marTop w:val="0"/>
          <w:marBottom w:val="0"/>
          <w:divBdr>
            <w:top w:val="none" w:sz="0" w:space="0" w:color="auto"/>
            <w:left w:val="none" w:sz="0" w:space="0" w:color="auto"/>
            <w:bottom w:val="none" w:sz="0" w:space="0" w:color="auto"/>
            <w:right w:val="none" w:sz="0" w:space="0" w:color="auto"/>
          </w:divBdr>
          <w:divsChild>
            <w:div w:id="1347097411">
              <w:marLeft w:val="0"/>
              <w:marRight w:val="0"/>
              <w:marTop w:val="0"/>
              <w:marBottom w:val="0"/>
              <w:divBdr>
                <w:top w:val="none" w:sz="0" w:space="0" w:color="auto"/>
                <w:left w:val="none" w:sz="0" w:space="0" w:color="auto"/>
                <w:bottom w:val="none" w:sz="0" w:space="0" w:color="auto"/>
                <w:right w:val="none" w:sz="0" w:space="0" w:color="auto"/>
              </w:divBdr>
            </w:div>
          </w:divsChild>
        </w:div>
        <w:div w:id="1916161267">
          <w:marLeft w:val="0"/>
          <w:marRight w:val="0"/>
          <w:marTop w:val="0"/>
          <w:marBottom w:val="0"/>
          <w:divBdr>
            <w:top w:val="none" w:sz="0" w:space="0" w:color="auto"/>
            <w:left w:val="none" w:sz="0" w:space="0" w:color="auto"/>
            <w:bottom w:val="none" w:sz="0" w:space="0" w:color="auto"/>
            <w:right w:val="none" w:sz="0" w:space="0" w:color="auto"/>
          </w:divBdr>
          <w:divsChild>
            <w:div w:id="1841581118">
              <w:marLeft w:val="0"/>
              <w:marRight w:val="0"/>
              <w:marTop w:val="0"/>
              <w:marBottom w:val="0"/>
              <w:divBdr>
                <w:top w:val="none" w:sz="0" w:space="0" w:color="auto"/>
                <w:left w:val="none" w:sz="0" w:space="0" w:color="auto"/>
                <w:bottom w:val="none" w:sz="0" w:space="0" w:color="auto"/>
                <w:right w:val="none" w:sz="0" w:space="0" w:color="auto"/>
              </w:divBdr>
            </w:div>
          </w:divsChild>
        </w:div>
        <w:div w:id="694186753">
          <w:marLeft w:val="0"/>
          <w:marRight w:val="0"/>
          <w:marTop w:val="0"/>
          <w:marBottom w:val="0"/>
          <w:divBdr>
            <w:top w:val="none" w:sz="0" w:space="0" w:color="auto"/>
            <w:left w:val="none" w:sz="0" w:space="0" w:color="auto"/>
            <w:bottom w:val="none" w:sz="0" w:space="0" w:color="auto"/>
            <w:right w:val="none" w:sz="0" w:space="0" w:color="auto"/>
          </w:divBdr>
          <w:divsChild>
            <w:div w:id="417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6525">
      <w:bodyDiv w:val="1"/>
      <w:marLeft w:val="0"/>
      <w:marRight w:val="0"/>
      <w:marTop w:val="0"/>
      <w:marBottom w:val="0"/>
      <w:divBdr>
        <w:top w:val="none" w:sz="0" w:space="0" w:color="auto"/>
        <w:left w:val="none" w:sz="0" w:space="0" w:color="auto"/>
        <w:bottom w:val="none" w:sz="0" w:space="0" w:color="auto"/>
        <w:right w:val="none" w:sz="0" w:space="0" w:color="auto"/>
      </w:divBdr>
      <w:divsChild>
        <w:div w:id="12848885">
          <w:marLeft w:val="331"/>
          <w:marRight w:val="0"/>
          <w:marTop w:val="0"/>
          <w:marBottom w:val="0"/>
          <w:divBdr>
            <w:top w:val="none" w:sz="0" w:space="0" w:color="auto"/>
            <w:left w:val="none" w:sz="0" w:space="0" w:color="auto"/>
            <w:bottom w:val="none" w:sz="0" w:space="0" w:color="auto"/>
            <w:right w:val="none" w:sz="0" w:space="0" w:color="auto"/>
          </w:divBdr>
        </w:div>
        <w:div w:id="86193476">
          <w:marLeft w:val="331"/>
          <w:marRight w:val="0"/>
          <w:marTop w:val="0"/>
          <w:marBottom w:val="0"/>
          <w:divBdr>
            <w:top w:val="none" w:sz="0" w:space="0" w:color="auto"/>
            <w:left w:val="none" w:sz="0" w:space="0" w:color="auto"/>
            <w:bottom w:val="none" w:sz="0" w:space="0" w:color="auto"/>
            <w:right w:val="none" w:sz="0" w:space="0" w:color="auto"/>
          </w:divBdr>
        </w:div>
        <w:div w:id="439834072">
          <w:marLeft w:val="331"/>
          <w:marRight w:val="0"/>
          <w:marTop w:val="0"/>
          <w:marBottom w:val="0"/>
          <w:divBdr>
            <w:top w:val="none" w:sz="0" w:space="0" w:color="auto"/>
            <w:left w:val="none" w:sz="0" w:space="0" w:color="auto"/>
            <w:bottom w:val="none" w:sz="0" w:space="0" w:color="auto"/>
            <w:right w:val="none" w:sz="0" w:space="0" w:color="auto"/>
          </w:divBdr>
        </w:div>
        <w:div w:id="862523546">
          <w:marLeft w:val="331"/>
          <w:marRight w:val="0"/>
          <w:marTop w:val="0"/>
          <w:marBottom w:val="0"/>
          <w:divBdr>
            <w:top w:val="none" w:sz="0" w:space="0" w:color="auto"/>
            <w:left w:val="none" w:sz="0" w:space="0" w:color="auto"/>
            <w:bottom w:val="none" w:sz="0" w:space="0" w:color="auto"/>
            <w:right w:val="none" w:sz="0" w:space="0" w:color="auto"/>
          </w:divBdr>
        </w:div>
        <w:div w:id="889192591">
          <w:marLeft w:val="331"/>
          <w:marRight w:val="0"/>
          <w:marTop w:val="0"/>
          <w:marBottom w:val="0"/>
          <w:divBdr>
            <w:top w:val="none" w:sz="0" w:space="0" w:color="auto"/>
            <w:left w:val="none" w:sz="0" w:space="0" w:color="auto"/>
            <w:bottom w:val="none" w:sz="0" w:space="0" w:color="auto"/>
            <w:right w:val="none" w:sz="0" w:space="0" w:color="auto"/>
          </w:divBdr>
        </w:div>
        <w:div w:id="1068964692">
          <w:marLeft w:val="331"/>
          <w:marRight w:val="0"/>
          <w:marTop w:val="0"/>
          <w:marBottom w:val="0"/>
          <w:divBdr>
            <w:top w:val="none" w:sz="0" w:space="0" w:color="auto"/>
            <w:left w:val="none" w:sz="0" w:space="0" w:color="auto"/>
            <w:bottom w:val="none" w:sz="0" w:space="0" w:color="auto"/>
            <w:right w:val="none" w:sz="0" w:space="0" w:color="auto"/>
          </w:divBdr>
        </w:div>
        <w:div w:id="1339426721">
          <w:marLeft w:val="331"/>
          <w:marRight w:val="0"/>
          <w:marTop w:val="0"/>
          <w:marBottom w:val="0"/>
          <w:divBdr>
            <w:top w:val="none" w:sz="0" w:space="0" w:color="auto"/>
            <w:left w:val="none" w:sz="0" w:space="0" w:color="auto"/>
            <w:bottom w:val="none" w:sz="0" w:space="0" w:color="auto"/>
            <w:right w:val="none" w:sz="0" w:space="0" w:color="auto"/>
          </w:divBdr>
        </w:div>
        <w:div w:id="1540125042">
          <w:marLeft w:val="331"/>
          <w:marRight w:val="0"/>
          <w:marTop w:val="0"/>
          <w:marBottom w:val="0"/>
          <w:divBdr>
            <w:top w:val="none" w:sz="0" w:space="0" w:color="auto"/>
            <w:left w:val="none" w:sz="0" w:space="0" w:color="auto"/>
            <w:bottom w:val="none" w:sz="0" w:space="0" w:color="auto"/>
            <w:right w:val="none" w:sz="0" w:space="0" w:color="auto"/>
          </w:divBdr>
        </w:div>
        <w:div w:id="1787043627">
          <w:marLeft w:val="331"/>
          <w:marRight w:val="0"/>
          <w:marTop w:val="0"/>
          <w:marBottom w:val="0"/>
          <w:divBdr>
            <w:top w:val="none" w:sz="0" w:space="0" w:color="auto"/>
            <w:left w:val="none" w:sz="0" w:space="0" w:color="auto"/>
            <w:bottom w:val="none" w:sz="0" w:space="0" w:color="auto"/>
            <w:right w:val="none" w:sz="0" w:space="0" w:color="auto"/>
          </w:divBdr>
        </w:div>
        <w:div w:id="2018071062">
          <w:marLeft w:val="331"/>
          <w:marRight w:val="0"/>
          <w:marTop w:val="0"/>
          <w:marBottom w:val="0"/>
          <w:divBdr>
            <w:top w:val="none" w:sz="0" w:space="0" w:color="auto"/>
            <w:left w:val="none" w:sz="0" w:space="0" w:color="auto"/>
            <w:bottom w:val="none" w:sz="0" w:space="0" w:color="auto"/>
            <w:right w:val="none" w:sz="0" w:space="0" w:color="auto"/>
          </w:divBdr>
        </w:div>
      </w:divsChild>
    </w:div>
    <w:div w:id="618679213">
      <w:bodyDiv w:val="1"/>
      <w:marLeft w:val="0"/>
      <w:marRight w:val="0"/>
      <w:marTop w:val="0"/>
      <w:marBottom w:val="0"/>
      <w:divBdr>
        <w:top w:val="none" w:sz="0" w:space="0" w:color="auto"/>
        <w:left w:val="none" w:sz="0" w:space="0" w:color="auto"/>
        <w:bottom w:val="none" w:sz="0" w:space="0" w:color="auto"/>
        <w:right w:val="none" w:sz="0" w:space="0" w:color="auto"/>
      </w:divBdr>
    </w:div>
    <w:div w:id="626281859">
      <w:bodyDiv w:val="1"/>
      <w:marLeft w:val="0"/>
      <w:marRight w:val="0"/>
      <w:marTop w:val="0"/>
      <w:marBottom w:val="0"/>
      <w:divBdr>
        <w:top w:val="none" w:sz="0" w:space="0" w:color="auto"/>
        <w:left w:val="none" w:sz="0" w:space="0" w:color="auto"/>
        <w:bottom w:val="none" w:sz="0" w:space="0" w:color="auto"/>
        <w:right w:val="none" w:sz="0" w:space="0" w:color="auto"/>
      </w:divBdr>
    </w:div>
    <w:div w:id="657153894">
      <w:bodyDiv w:val="1"/>
      <w:marLeft w:val="0"/>
      <w:marRight w:val="0"/>
      <w:marTop w:val="0"/>
      <w:marBottom w:val="0"/>
      <w:divBdr>
        <w:top w:val="none" w:sz="0" w:space="0" w:color="auto"/>
        <w:left w:val="none" w:sz="0" w:space="0" w:color="auto"/>
        <w:bottom w:val="none" w:sz="0" w:space="0" w:color="auto"/>
        <w:right w:val="none" w:sz="0" w:space="0" w:color="auto"/>
      </w:divBdr>
      <w:divsChild>
        <w:div w:id="1481537462">
          <w:marLeft w:val="0"/>
          <w:marRight w:val="0"/>
          <w:marTop w:val="0"/>
          <w:marBottom w:val="0"/>
          <w:divBdr>
            <w:top w:val="none" w:sz="0" w:space="0" w:color="auto"/>
            <w:left w:val="none" w:sz="0" w:space="0" w:color="auto"/>
            <w:bottom w:val="none" w:sz="0" w:space="0" w:color="auto"/>
            <w:right w:val="none" w:sz="0" w:space="0" w:color="auto"/>
          </w:divBdr>
        </w:div>
        <w:div w:id="1506557022">
          <w:marLeft w:val="0"/>
          <w:marRight w:val="0"/>
          <w:marTop w:val="0"/>
          <w:marBottom w:val="0"/>
          <w:divBdr>
            <w:top w:val="none" w:sz="0" w:space="0" w:color="auto"/>
            <w:left w:val="none" w:sz="0" w:space="0" w:color="auto"/>
            <w:bottom w:val="none" w:sz="0" w:space="0" w:color="auto"/>
            <w:right w:val="none" w:sz="0" w:space="0" w:color="auto"/>
          </w:divBdr>
        </w:div>
        <w:div w:id="2011449995">
          <w:marLeft w:val="0"/>
          <w:marRight w:val="0"/>
          <w:marTop w:val="0"/>
          <w:marBottom w:val="0"/>
          <w:divBdr>
            <w:top w:val="none" w:sz="0" w:space="0" w:color="auto"/>
            <w:left w:val="none" w:sz="0" w:space="0" w:color="auto"/>
            <w:bottom w:val="none" w:sz="0" w:space="0" w:color="auto"/>
            <w:right w:val="none" w:sz="0" w:space="0" w:color="auto"/>
          </w:divBdr>
        </w:div>
      </w:divsChild>
    </w:div>
    <w:div w:id="6891845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1466675">
      <w:bodyDiv w:val="1"/>
      <w:marLeft w:val="0"/>
      <w:marRight w:val="0"/>
      <w:marTop w:val="0"/>
      <w:marBottom w:val="0"/>
      <w:divBdr>
        <w:top w:val="none" w:sz="0" w:space="0" w:color="auto"/>
        <w:left w:val="none" w:sz="0" w:space="0" w:color="auto"/>
        <w:bottom w:val="none" w:sz="0" w:space="0" w:color="auto"/>
        <w:right w:val="none" w:sz="0" w:space="0" w:color="auto"/>
      </w:divBdr>
    </w:div>
    <w:div w:id="715086247">
      <w:bodyDiv w:val="1"/>
      <w:marLeft w:val="0"/>
      <w:marRight w:val="0"/>
      <w:marTop w:val="0"/>
      <w:marBottom w:val="0"/>
      <w:divBdr>
        <w:top w:val="none" w:sz="0" w:space="0" w:color="auto"/>
        <w:left w:val="none" w:sz="0" w:space="0" w:color="auto"/>
        <w:bottom w:val="none" w:sz="0" w:space="0" w:color="auto"/>
        <w:right w:val="none" w:sz="0" w:space="0" w:color="auto"/>
      </w:divBdr>
    </w:div>
    <w:div w:id="761489527">
      <w:bodyDiv w:val="1"/>
      <w:marLeft w:val="0"/>
      <w:marRight w:val="0"/>
      <w:marTop w:val="0"/>
      <w:marBottom w:val="0"/>
      <w:divBdr>
        <w:top w:val="none" w:sz="0" w:space="0" w:color="auto"/>
        <w:left w:val="none" w:sz="0" w:space="0" w:color="auto"/>
        <w:bottom w:val="none" w:sz="0" w:space="0" w:color="auto"/>
        <w:right w:val="none" w:sz="0" w:space="0" w:color="auto"/>
      </w:divBdr>
    </w:div>
    <w:div w:id="785537374">
      <w:bodyDiv w:val="1"/>
      <w:marLeft w:val="0"/>
      <w:marRight w:val="0"/>
      <w:marTop w:val="0"/>
      <w:marBottom w:val="0"/>
      <w:divBdr>
        <w:top w:val="none" w:sz="0" w:space="0" w:color="auto"/>
        <w:left w:val="none" w:sz="0" w:space="0" w:color="auto"/>
        <w:bottom w:val="none" w:sz="0" w:space="0" w:color="auto"/>
        <w:right w:val="none" w:sz="0" w:space="0" w:color="auto"/>
      </w:divBdr>
      <w:divsChild>
        <w:div w:id="980959972">
          <w:marLeft w:val="0"/>
          <w:marRight w:val="0"/>
          <w:marTop w:val="0"/>
          <w:marBottom w:val="0"/>
          <w:divBdr>
            <w:top w:val="none" w:sz="0" w:space="0" w:color="auto"/>
            <w:left w:val="none" w:sz="0" w:space="0" w:color="auto"/>
            <w:bottom w:val="none" w:sz="0" w:space="0" w:color="auto"/>
            <w:right w:val="none" w:sz="0" w:space="0" w:color="auto"/>
          </w:divBdr>
        </w:div>
        <w:div w:id="1444152325">
          <w:marLeft w:val="0"/>
          <w:marRight w:val="0"/>
          <w:marTop w:val="0"/>
          <w:marBottom w:val="0"/>
          <w:divBdr>
            <w:top w:val="none" w:sz="0" w:space="0" w:color="auto"/>
            <w:left w:val="none" w:sz="0" w:space="0" w:color="auto"/>
            <w:bottom w:val="none" w:sz="0" w:space="0" w:color="auto"/>
            <w:right w:val="none" w:sz="0" w:space="0" w:color="auto"/>
          </w:divBdr>
        </w:div>
        <w:div w:id="1556964804">
          <w:marLeft w:val="0"/>
          <w:marRight w:val="0"/>
          <w:marTop w:val="0"/>
          <w:marBottom w:val="0"/>
          <w:divBdr>
            <w:top w:val="none" w:sz="0" w:space="0" w:color="auto"/>
            <w:left w:val="none" w:sz="0" w:space="0" w:color="auto"/>
            <w:bottom w:val="none" w:sz="0" w:space="0" w:color="auto"/>
            <w:right w:val="none" w:sz="0" w:space="0" w:color="auto"/>
          </w:divBdr>
        </w:div>
      </w:divsChild>
    </w:div>
    <w:div w:id="887568488">
      <w:bodyDiv w:val="1"/>
      <w:marLeft w:val="0"/>
      <w:marRight w:val="0"/>
      <w:marTop w:val="0"/>
      <w:marBottom w:val="0"/>
      <w:divBdr>
        <w:top w:val="none" w:sz="0" w:space="0" w:color="auto"/>
        <w:left w:val="none" w:sz="0" w:space="0" w:color="auto"/>
        <w:bottom w:val="none" w:sz="0" w:space="0" w:color="auto"/>
        <w:right w:val="none" w:sz="0" w:space="0" w:color="auto"/>
      </w:divBdr>
    </w:div>
    <w:div w:id="954093617">
      <w:bodyDiv w:val="1"/>
      <w:marLeft w:val="0"/>
      <w:marRight w:val="0"/>
      <w:marTop w:val="0"/>
      <w:marBottom w:val="0"/>
      <w:divBdr>
        <w:top w:val="none" w:sz="0" w:space="0" w:color="auto"/>
        <w:left w:val="none" w:sz="0" w:space="0" w:color="auto"/>
        <w:bottom w:val="none" w:sz="0" w:space="0" w:color="auto"/>
        <w:right w:val="none" w:sz="0" w:space="0" w:color="auto"/>
      </w:divBdr>
    </w:div>
    <w:div w:id="1019159383">
      <w:bodyDiv w:val="1"/>
      <w:marLeft w:val="0"/>
      <w:marRight w:val="0"/>
      <w:marTop w:val="0"/>
      <w:marBottom w:val="0"/>
      <w:divBdr>
        <w:top w:val="none" w:sz="0" w:space="0" w:color="auto"/>
        <w:left w:val="none" w:sz="0" w:space="0" w:color="auto"/>
        <w:bottom w:val="none" w:sz="0" w:space="0" w:color="auto"/>
        <w:right w:val="none" w:sz="0" w:space="0" w:color="auto"/>
      </w:divBdr>
    </w:div>
    <w:div w:id="1106458273">
      <w:bodyDiv w:val="1"/>
      <w:marLeft w:val="0"/>
      <w:marRight w:val="0"/>
      <w:marTop w:val="0"/>
      <w:marBottom w:val="0"/>
      <w:divBdr>
        <w:top w:val="none" w:sz="0" w:space="0" w:color="auto"/>
        <w:left w:val="none" w:sz="0" w:space="0" w:color="auto"/>
        <w:bottom w:val="none" w:sz="0" w:space="0" w:color="auto"/>
        <w:right w:val="none" w:sz="0" w:space="0" w:color="auto"/>
      </w:divBdr>
      <w:divsChild>
        <w:div w:id="6715449">
          <w:marLeft w:val="0"/>
          <w:marRight w:val="0"/>
          <w:marTop w:val="0"/>
          <w:marBottom w:val="0"/>
          <w:divBdr>
            <w:top w:val="none" w:sz="0" w:space="0" w:color="auto"/>
            <w:left w:val="none" w:sz="0" w:space="0" w:color="auto"/>
            <w:bottom w:val="none" w:sz="0" w:space="0" w:color="auto"/>
            <w:right w:val="none" w:sz="0" w:space="0" w:color="auto"/>
          </w:divBdr>
        </w:div>
        <w:div w:id="7949901">
          <w:marLeft w:val="0"/>
          <w:marRight w:val="0"/>
          <w:marTop w:val="0"/>
          <w:marBottom w:val="0"/>
          <w:divBdr>
            <w:top w:val="none" w:sz="0" w:space="0" w:color="auto"/>
            <w:left w:val="none" w:sz="0" w:space="0" w:color="auto"/>
            <w:bottom w:val="none" w:sz="0" w:space="0" w:color="auto"/>
            <w:right w:val="none" w:sz="0" w:space="0" w:color="auto"/>
          </w:divBdr>
        </w:div>
        <w:div w:id="11300057">
          <w:marLeft w:val="0"/>
          <w:marRight w:val="0"/>
          <w:marTop w:val="0"/>
          <w:marBottom w:val="0"/>
          <w:divBdr>
            <w:top w:val="none" w:sz="0" w:space="0" w:color="auto"/>
            <w:left w:val="none" w:sz="0" w:space="0" w:color="auto"/>
            <w:bottom w:val="none" w:sz="0" w:space="0" w:color="auto"/>
            <w:right w:val="none" w:sz="0" w:space="0" w:color="auto"/>
          </w:divBdr>
        </w:div>
        <w:div w:id="19859090">
          <w:marLeft w:val="0"/>
          <w:marRight w:val="0"/>
          <w:marTop w:val="0"/>
          <w:marBottom w:val="0"/>
          <w:divBdr>
            <w:top w:val="none" w:sz="0" w:space="0" w:color="auto"/>
            <w:left w:val="none" w:sz="0" w:space="0" w:color="auto"/>
            <w:bottom w:val="none" w:sz="0" w:space="0" w:color="auto"/>
            <w:right w:val="none" w:sz="0" w:space="0" w:color="auto"/>
          </w:divBdr>
        </w:div>
        <w:div w:id="28651873">
          <w:marLeft w:val="0"/>
          <w:marRight w:val="0"/>
          <w:marTop w:val="0"/>
          <w:marBottom w:val="0"/>
          <w:divBdr>
            <w:top w:val="none" w:sz="0" w:space="0" w:color="auto"/>
            <w:left w:val="none" w:sz="0" w:space="0" w:color="auto"/>
            <w:bottom w:val="none" w:sz="0" w:space="0" w:color="auto"/>
            <w:right w:val="none" w:sz="0" w:space="0" w:color="auto"/>
          </w:divBdr>
        </w:div>
        <w:div w:id="30306807">
          <w:marLeft w:val="0"/>
          <w:marRight w:val="0"/>
          <w:marTop w:val="0"/>
          <w:marBottom w:val="0"/>
          <w:divBdr>
            <w:top w:val="none" w:sz="0" w:space="0" w:color="auto"/>
            <w:left w:val="none" w:sz="0" w:space="0" w:color="auto"/>
            <w:bottom w:val="none" w:sz="0" w:space="0" w:color="auto"/>
            <w:right w:val="none" w:sz="0" w:space="0" w:color="auto"/>
          </w:divBdr>
        </w:div>
        <w:div w:id="36586737">
          <w:marLeft w:val="0"/>
          <w:marRight w:val="0"/>
          <w:marTop w:val="0"/>
          <w:marBottom w:val="0"/>
          <w:divBdr>
            <w:top w:val="none" w:sz="0" w:space="0" w:color="auto"/>
            <w:left w:val="none" w:sz="0" w:space="0" w:color="auto"/>
            <w:bottom w:val="none" w:sz="0" w:space="0" w:color="auto"/>
            <w:right w:val="none" w:sz="0" w:space="0" w:color="auto"/>
          </w:divBdr>
        </w:div>
        <w:div w:id="45952914">
          <w:marLeft w:val="0"/>
          <w:marRight w:val="0"/>
          <w:marTop w:val="0"/>
          <w:marBottom w:val="0"/>
          <w:divBdr>
            <w:top w:val="none" w:sz="0" w:space="0" w:color="auto"/>
            <w:left w:val="none" w:sz="0" w:space="0" w:color="auto"/>
            <w:bottom w:val="none" w:sz="0" w:space="0" w:color="auto"/>
            <w:right w:val="none" w:sz="0" w:space="0" w:color="auto"/>
          </w:divBdr>
        </w:div>
        <w:div w:id="48963565">
          <w:marLeft w:val="0"/>
          <w:marRight w:val="0"/>
          <w:marTop w:val="0"/>
          <w:marBottom w:val="0"/>
          <w:divBdr>
            <w:top w:val="none" w:sz="0" w:space="0" w:color="auto"/>
            <w:left w:val="none" w:sz="0" w:space="0" w:color="auto"/>
            <w:bottom w:val="none" w:sz="0" w:space="0" w:color="auto"/>
            <w:right w:val="none" w:sz="0" w:space="0" w:color="auto"/>
          </w:divBdr>
        </w:div>
        <w:div w:id="51927532">
          <w:marLeft w:val="0"/>
          <w:marRight w:val="0"/>
          <w:marTop w:val="0"/>
          <w:marBottom w:val="0"/>
          <w:divBdr>
            <w:top w:val="none" w:sz="0" w:space="0" w:color="auto"/>
            <w:left w:val="none" w:sz="0" w:space="0" w:color="auto"/>
            <w:bottom w:val="none" w:sz="0" w:space="0" w:color="auto"/>
            <w:right w:val="none" w:sz="0" w:space="0" w:color="auto"/>
          </w:divBdr>
        </w:div>
        <w:div w:id="55666740">
          <w:marLeft w:val="0"/>
          <w:marRight w:val="0"/>
          <w:marTop w:val="0"/>
          <w:marBottom w:val="0"/>
          <w:divBdr>
            <w:top w:val="none" w:sz="0" w:space="0" w:color="auto"/>
            <w:left w:val="none" w:sz="0" w:space="0" w:color="auto"/>
            <w:bottom w:val="none" w:sz="0" w:space="0" w:color="auto"/>
            <w:right w:val="none" w:sz="0" w:space="0" w:color="auto"/>
          </w:divBdr>
        </w:div>
        <w:div w:id="60099324">
          <w:marLeft w:val="0"/>
          <w:marRight w:val="0"/>
          <w:marTop w:val="0"/>
          <w:marBottom w:val="0"/>
          <w:divBdr>
            <w:top w:val="none" w:sz="0" w:space="0" w:color="auto"/>
            <w:left w:val="none" w:sz="0" w:space="0" w:color="auto"/>
            <w:bottom w:val="none" w:sz="0" w:space="0" w:color="auto"/>
            <w:right w:val="none" w:sz="0" w:space="0" w:color="auto"/>
          </w:divBdr>
        </w:div>
        <w:div w:id="61025535">
          <w:marLeft w:val="0"/>
          <w:marRight w:val="0"/>
          <w:marTop w:val="0"/>
          <w:marBottom w:val="0"/>
          <w:divBdr>
            <w:top w:val="none" w:sz="0" w:space="0" w:color="auto"/>
            <w:left w:val="none" w:sz="0" w:space="0" w:color="auto"/>
            <w:bottom w:val="none" w:sz="0" w:space="0" w:color="auto"/>
            <w:right w:val="none" w:sz="0" w:space="0" w:color="auto"/>
          </w:divBdr>
        </w:div>
        <w:div w:id="68890014">
          <w:marLeft w:val="0"/>
          <w:marRight w:val="0"/>
          <w:marTop w:val="0"/>
          <w:marBottom w:val="0"/>
          <w:divBdr>
            <w:top w:val="none" w:sz="0" w:space="0" w:color="auto"/>
            <w:left w:val="none" w:sz="0" w:space="0" w:color="auto"/>
            <w:bottom w:val="none" w:sz="0" w:space="0" w:color="auto"/>
            <w:right w:val="none" w:sz="0" w:space="0" w:color="auto"/>
          </w:divBdr>
        </w:div>
        <w:div w:id="77406285">
          <w:marLeft w:val="0"/>
          <w:marRight w:val="0"/>
          <w:marTop w:val="0"/>
          <w:marBottom w:val="0"/>
          <w:divBdr>
            <w:top w:val="none" w:sz="0" w:space="0" w:color="auto"/>
            <w:left w:val="none" w:sz="0" w:space="0" w:color="auto"/>
            <w:bottom w:val="none" w:sz="0" w:space="0" w:color="auto"/>
            <w:right w:val="none" w:sz="0" w:space="0" w:color="auto"/>
          </w:divBdr>
        </w:div>
        <w:div w:id="95289851">
          <w:marLeft w:val="0"/>
          <w:marRight w:val="0"/>
          <w:marTop w:val="0"/>
          <w:marBottom w:val="0"/>
          <w:divBdr>
            <w:top w:val="none" w:sz="0" w:space="0" w:color="auto"/>
            <w:left w:val="none" w:sz="0" w:space="0" w:color="auto"/>
            <w:bottom w:val="none" w:sz="0" w:space="0" w:color="auto"/>
            <w:right w:val="none" w:sz="0" w:space="0" w:color="auto"/>
          </w:divBdr>
        </w:div>
        <w:div w:id="98454230">
          <w:marLeft w:val="0"/>
          <w:marRight w:val="0"/>
          <w:marTop w:val="0"/>
          <w:marBottom w:val="0"/>
          <w:divBdr>
            <w:top w:val="none" w:sz="0" w:space="0" w:color="auto"/>
            <w:left w:val="none" w:sz="0" w:space="0" w:color="auto"/>
            <w:bottom w:val="none" w:sz="0" w:space="0" w:color="auto"/>
            <w:right w:val="none" w:sz="0" w:space="0" w:color="auto"/>
          </w:divBdr>
        </w:div>
        <w:div w:id="101727233">
          <w:marLeft w:val="0"/>
          <w:marRight w:val="0"/>
          <w:marTop w:val="0"/>
          <w:marBottom w:val="0"/>
          <w:divBdr>
            <w:top w:val="none" w:sz="0" w:space="0" w:color="auto"/>
            <w:left w:val="none" w:sz="0" w:space="0" w:color="auto"/>
            <w:bottom w:val="none" w:sz="0" w:space="0" w:color="auto"/>
            <w:right w:val="none" w:sz="0" w:space="0" w:color="auto"/>
          </w:divBdr>
        </w:div>
        <w:div w:id="103154631">
          <w:marLeft w:val="0"/>
          <w:marRight w:val="0"/>
          <w:marTop w:val="0"/>
          <w:marBottom w:val="0"/>
          <w:divBdr>
            <w:top w:val="none" w:sz="0" w:space="0" w:color="auto"/>
            <w:left w:val="none" w:sz="0" w:space="0" w:color="auto"/>
            <w:bottom w:val="none" w:sz="0" w:space="0" w:color="auto"/>
            <w:right w:val="none" w:sz="0" w:space="0" w:color="auto"/>
          </w:divBdr>
        </w:div>
        <w:div w:id="103350395">
          <w:marLeft w:val="0"/>
          <w:marRight w:val="0"/>
          <w:marTop w:val="0"/>
          <w:marBottom w:val="0"/>
          <w:divBdr>
            <w:top w:val="none" w:sz="0" w:space="0" w:color="auto"/>
            <w:left w:val="none" w:sz="0" w:space="0" w:color="auto"/>
            <w:bottom w:val="none" w:sz="0" w:space="0" w:color="auto"/>
            <w:right w:val="none" w:sz="0" w:space="0" w:color="auto"/>
          </w:divBdr>
        </w:div>
        <w:div w:id="110636230">
          <w:marLeft w:val="0"/>
          <w:marRight w:val="0"/>
          <w:marTop w:val="0"/>
          <w:marBottom w:val="0"/>
          <w:divBdr>
            <w:top w:val="none" w:sz="0" w:space="0" w:color="auto"/>
            <w:left w:val="none" w:sz="0" w:space="0" w:color="auto"/>
            <w:bottom w:val="none" w:sz="0" w:space="0" w:color="auto"/>
            <w:right w:val="none" w:sz="0" w:space="0" w:color="auto"/>
          </w:divBdr>
        </w:div>
        <w:div w:id="118650993">
          <w:marLeft w:val="0"/>
          <w:marRight w:val="0"/>
          <w:marTop w:val="0"/>
          <w:marBottom w:val="0"/>
          <w:divBdr>
            <w:top w:val="none" w:sz="0" w:space="0" w:color="auto"/>
            <w:left w:val="none" w:sz="0" w:space="0" w:color="auto"/>
            <w:bottom w:val="none" w:sz="0" w:space="0" w:color="auto"/>
            <w:right w:val="none" w:sz="0" w:space="0" w:color="auto"/>
          </w:divBdr>
        </w:div>
        <w:div w:id="121654785">
          <w:marLeft w:val="0"/>
          <w:marRight w:val="0"/>
          <w:marTop w:val="0"/>
          <w:marBottom w:val="0"/>
          <w:divBdr>
            <w:top w:val="none" w:sz="0" w:space="0" w:color="auto"/>
            <w:left w:val="none" w:sz="0" w:space="0" w:color="auto"/>
            <w:bottom w:val="none" w:sz="0" w:space="0" w:color="auto"/>
            <w:right w:val="none" w:sz="0" w:space="0" w:color="auto"/>
          </w:divBdr>
        </w:div>
        <w:div w:id="128404161">
          <w:marLeft w:val="0"/>
          <w:marRight w:val="0"/>
          <w:marTop w:val="0"/>
          <w:marBottom w:val="0"/>
          <w:divBdr>
            <w:top w:val="none" w:sz="0" w:space="0" w:color="auto"/>
            <w:left w:val="none" w:sz="0" w:space="0" w:color="auto"/>
            <w:bottom w:val="none" w:sz="0" w:space="0" w:color="auto"/>
            <w:right w:val="none" w:sz="0" w:space="0" w:color="auto"/>
          </w:divBdr>
        </w:div>
        <w:div w:id="130170051">
          <w:marLeft w:val="0"/>
          <w:marRight w:val="0"/>
          <w:marTop w:val="0"/>
          <w:marBottom w:val="0"/>
          <w:divBdr>
            <w:top w:val="none" w:sz="0" w:space="0" w:color="auto"/>
            <w:left w:val="none" w:sz="0" w:space="0" w:color="auto"/>
            <w:bottom w:val="none" w:sz="0" w:space="0" w:color="auto"/>
            <w:right w:val="none" w:sz="0" w:space="0" w:color="auto"/>
          </w:divBdr>
        </w:div>
        <w:div w:id="130292984">
          <w:marLeft w:val="0"/>
          <w:marRight w:val="0"/>
          <w:marTop w:val="0"/>
          <w:marBottom w:val="0"/>
          <w:divBdr>
            <w:top w:val="none" w:sz="0" w:space="0" w:color="auto"/>
            <w:left w:val="none" w:sz="0" w:space="0" w:color="auto"/>
            <w:bottom w:val="none" w:sz="0" w:space="0" w:color="auto"/>
            <w:right w:val="none" w:sz="0" w:space="0" w:color="auto"/>
          </w:divBdr>
        </w:div>
        <w:div w:id="133910380">
          <w:marLeft w:val="0"/>
          <w:marRight w:val="0"/>
          <w:marTop w:val="0"/>
          <w:marBottom w:val="0"/>
          <w:divBdr>
            <w:top w:val="none" w:sz="0" w:space="0" w:color="auto"/>
            <w:left w:val="none" w:sz="0" w:space="0" w:color="auto"/>
            <w:bottom w:val="none" w:sz="0" w:space="0" w:color="auto"/>
            <w:right w:val="none" w:sz="0" w:space="0" w:color="auto"/>
          </w:divBdr>
        </w:div>
        <w:div w:id="134683139">
          <w:marLeft w:val="0"/>
          <w:marRight w:val="0"/>
          <w:marTop w:val="0"/>
          <w:marBottom w:val="0"/>
          <w:divBdr>
            <w:top w:val="none" w:sz="0" w:space="0" w:color="auto"/>
            <w:left w:val="none" w:sz="0" w:space="0" w:color="auto"/>
            <w:bottom w:val="none" w:sz="0" w:space="0" w:color="auto"/>
            <w:right w:val="none" w:sz="0" w:space="0" w:color="auto"/>
          </w:divBdr>
        </w:div>
        <w:div w:id="139536888">
          <w:marLeft w:val="0"/>
          <w:marRight w:val="0"/>
          <w:marTop w:val="0"/>
          <w:marBottom w:val="0"/>
          <w:divBdr>
            <w:top w:val="none" w:sz="0" w:space="0" w:color="auto"/>
            <w:left w:val="none" w:sz="0" w:space="0" w:color="auto"/>
            <w:bottom w:val="none" w:sz="0" w:space="0" w:color="auto"/>
            <w:right w:val="none" w:sz="0" w:space="0" w:color="auto"/>
          </w:divBdr>
        </w:div>
        <w:div w:id="148255895">
          <w:marLeft w:val="0"/>
          <w:marRight w:val="0"/>
          <w:marTop w:val="0"/>
          <w:marBottom w:val="0"/>
          <w:divBdr>
            <w:top w:val="none" w:sz="0" w:space="0" w:color="auto"/>
            <w:left w:val="none" w:sz="0" w:space="0" w:color="auto"/>
            <w:bottom w:val="none" w:sz="0" w:space="0" w:color="auto"/>
            <w:right w:val="none" w:sz="0" w:space="0" w:color="auto"/>
          </w:divBdr>
        </w:div>
        <w:div w:id="164126853">
          <w:marLeft w:val="0"/>
          <w:marRight w:val="0"/>
          <w:marTop w:val="0"/>
          <w:marBottom w:val="0"/>
          <w:divBdr>
            <w:top w:val="none" w:sz="0" w:space="0" w:color="auto"/>
            <w:left w:val="none" w:sz="0" w:space="0" w:color="auto"/>
            <w:bottom w:val="none" w:sz="0" w:space="0" w:color="auto"/>
            <w:right w:val="none" w:sz="0" w:space="0" w:color="auto"/>
          </w:divBdr>
        </w:div>
        <w:div w:id="166293832">
          <w:marLeft w:val="0"/>
          <w:marRight w:val="0"/>
          <w:marTop w:val="0"/>
          <w:marBottom w:val="0"/>
          <w:divBdr>
            <w:top w:val="none" w:sz="0" w:space="0" w:color="auto"/>
            <w:left w:val="none" w:sz="0" w:space="0" w:color="auto"/>
            <w:bottom w:val="none" w:sz="0" w:space="0" w:color="auto"/>
            <w:right w:val="none" w:sz="0" w:space="0" w:color="auto"/>
          </w:divBdr>
        </w:div>
        <w:div w:id="167600993">
          <w:marLeft w:val="0"/>
          <w:marRight w:val="0"/>
          <w:marTop w:val="0"/>
          <w:marBottom w:val="0"/>
          <w:divBdr>
            <w:top w:val="none" w:sz="0" w:space="0" w:color="auto"/>
            <w:left w:val="none" w:sz="0" w:space="0" w:color="auto"/>
            <w:bottom w:val="none" w:sz="0" w:space="0" w:color="auto"/>
            <w:right w:val="none" w:sz="0" w:space="0" w:color="auto"/>
          </w:divBdr>
        </w:div>
        <w:div w:id="173539619">
          <w:marLeft w:val="0"/>
          <w:marRight w:val="0"/>
          <w:marTop w:val="0"/>
          <w:marBottom w:val="0"/>
          <w:divBdr>
            <w:top w:val="none" w:sz="0" w:space="0" w:color="auto"/>
            <w:left w:val="none" w:sz="0" w:space="0" w:color="auto"/>
            <w:bottom w:val="none" w:sz="0" w:space="0" w:color="auto"/>
            <w:right w:val="none" w:sz="0" w:space="0" w:color="auto"/>
          </w:divBdr>
        </w:div>
        <w:div w:id="177891524">
          <w:marLeft w:val="0"/>
          <w:marRight w:val="0"/>
          <w:marTop w:val="0"/>
          <w:marBottom w:val="0"/>
          <w:divBdr>
            <w:top w:val="none" w:sz="0" w:space="0" w:color="auto"/>
            <w:left w:val="none" w:sz="0" w:space="0" w:color="auto"/>
            <w:bottom w:val="none" w:sz="0" w:space="0" w:color="auto"/>
            <w:right w:val="none" w:sz="0" w:space="0" w:color="auto"/>
          </w:divBdr>
        </w:div>
        <w:div w:id="189342145">
          <w:marLeft w:val="0"/>
          <w:marRight w:val="0"/>
          <w:marTop w:val="0"/>
          <w:marBottom w:val="0"/>
          <w:divBdr>
            <w:top w:val="none" w:sz="0" w:space="0" w:color="auto"/>
            <w:left w:val="none" w:sz="0" w:space="0" w:color="auto"/>
            <w:bottom w:val="none" w:sz="0" w:space="0" w:color="auto"/>
            <w:right w:val="none" w:sz="0" w:space="0" w:color="auto"/>
          </w:divBdr>
        </w:div>
        <w:div w:id="191379400">
          <w:marLeft w:val="0"/>
          <w:marRight w:val="0"/>
          <w:marTop w:val="0"/>
          <w:marBottom w:val="0"/>
          <w:divBdr>
            <w:top w:val="none" w:sz="0" w:space="0" w:color="auto"/>
            <w:left w:val="none" w:sz="0" w:space="0" w:color="auto"/>
            <w:bottom w:val="none" w:sz="0" w:space="0" w:color="auto"/>
            <w:right w:val="none" w:sz="0" w:space="0" w:color="auto"/>
          </w:divBdr>
        </w:div>
        <w:div w:id="203182889">
          <w:marLeft w:val="0"/>
          <w:marRight w:val="0"/>
          <w:marTop w:val="0"/>
          <w:marBottom w:val="0"/>
          <w:divBdr>
            <w:top w:val="none" w:sz="0" w:space="0" w:color="auto"/>
            <w:left w:val="none" w:sz="0" w:space="0" w:color="auto"/>
            <w:bottom w:val="none" w:sz="0" w:space="0" w:color="auto"/>
            <w:right w:val="none" w:sz="0" w:space="0" w:color="auto"/>
          </w:divBdr>
        </w:div>
        <w:div w:id="204173555">
          <w:marLeft w:val="0"/>
          <w:marRight w:val="0"/>
          <w:marTop w:val="0"/>
          <w:marBottom w:val="0"/>
          <w:divBdr>
            <w:top w:val="none" w:sz="0" w:space="0" w:color="auto"/>
            <w:left w:val="none" w:sz="0" w:space="0" w:color="auto"/>
            <w:bottom w:val="none" w:sz="0" w:space="0" w:color="auto"/>
            <w:right w:val="none" w:sz="0" w:space="0" w:color="auto"/>
          </w:divBdr>
        </w:div>
        <w:div w:id="221869590">
          <w:marLeft w:val="0"/>
          <w:marRight w:val="0"/>
          <w:marTop w:val="0"/>
          <w:marBottom w:val="0"/>
          <w:divBdr>
            <w:top w:val="none" w:sz="0" w:space="0" w:color="auto"/>
            <w:left w:val="none" w:sz="0" w:space="0" w:color="auto"/>
            <w:bottom w:val="none" w:sz="0" w:space="0" w:color="auto"/>
            <w:right w:val="none" w:sz="0" w:space="0" w:color="auto"/>
          </w:divBdr>
        </w:div>
        <w:div w:id="230311236">
          <w:marLeft w:val="0"/>
          <w:marRight w:val="0"/>
          <w:marTop w:val="0"/>
          <w:marBottom w:val="0"/>
          <w:divBdr>
            <w:top w:val="none" w:sz="0" w:space="0" w:color="auto"/>
            <w:left w:val="none" w:sz="0" w:space="0" w:color="auto"/>
            <w:bottom w:val="none" w:sz="0" w:space="0" w:color="auto"/>
            <w:right w:val="none" w:sz="0" w:space="0" w:color="auto"/>
          </w:divBdr>
        </w:div>
        <w:div w:id="238709000">
          <w:marLeft w:val="0"/>
          <w:marRight w:val="0"/>
          <w:marTop w:val="0"/>
          <w:marBottom w:val="0"/>
          <w:divBdr>
            <w:top w:val="none" w:sz="0" w:space="0" w:color="auto"/>
            <w:left w:val="none" w:sz="0" w:space="0" w:color="auto"/>
            <w:bottom w:val="none" w:sz="0" w:space="0" w:color="auto"/>
            <w:right w:val="none" w:sz="0" w:space="0" w:color="auto"/>
          </w:divBdr>
        </w:div>
        <w:div w:id="242184310">
          <w:marLeft w:val="0"/>
          <w:marRight w:val="0"/>
          <w:marTop w:val="0"/>
          <w:marBottom w:val="0"/>
          <w:divBdr>
            <w:top w:val="none" w:sz="0" w:space="0" w:color="auto"/>
            <w:left w:val="none" w:sz="0" w:space="0" w:color="auto"/>
            <w:bottom w:val="none" w:sz="0" w:space="0" w:color="auto"/>
            <w:right w:val="none" w:sz="0" w:space="0" w:color="auto"/>
          </w:divBdr>
        </w:div>
        <w:div w:id="254941353">
          <w:marLeft w:val="0"/>
          <w:marRight w:val="0"/>
          <w:marTop w:val="0"/>
          <w:marBottom w:val="0"/>
          <w:divBdr>
            <w:top w:val="none" w:sz="0" w:space="0" w:color="auto"/>
            <w:left w:val="none" w:sz="0" w:space="0" w:color="auto"/>
            <w:bottom w:val="none" w:sz="0" w:space="0" w:color="auto"/>
            <w:right w:val="none" w:sz="0" w:space="0" w:color="auto"/>
          </w:divBdr>
        </w:div>
        <w:div w:id="255015212">
          <w:marLeft w:val="0"/>
          <w:marRight w:val="0"/>
          <w:marTop w:val="0"/>
          <w:marBottom w:val="0"/>
          <w:divBdr>
            <w:top w:val="none" w:sz="0" w:space="0" w:color="auto"/>
            <w:left w:val="none" w:sz="0" w:space="0" w:color="auto"/>
            <w:bottom w:val="none" w:sz="0" w:space="0" w:color="auto"/>
            <w:right w:val="none" w:sz="0" w:space="0" w:color="auto"/>
          </w:divBdr>
        </w:div>
        <w:div w:id="256062443">
          <w:marLeft w:val="0"/>
          <w:marRight w:val="0"/>
          <w:marTop w:val="0"/>
          <w:marBottom w:val="0"/>
          <w:divBdr>
            <w:top w:val="none" w:sz="0" w:space="0" w:color="auto"/>
            <w:left w:val="none" w:sz="0" w:space="0" w:color="auto"/>
            <w:bottom w:val="none" w:sz="0" w:space="0" w:color="auto"/>
            <w:right w:val="none" w:sz="0" w:space="0" w:color="auto"/>
          </w:divBdr>
        </w:div>
        <w:div w:id="265694859">
          <w:marLeft w:val="0"/>
          <w:marRight w:val="0"/>
          <w:marTop w:val="0"/>
          <w:marBottom w:val="0"/>
          <w:divBdr>
            <w:top w:val="none" w:sz="0" w:space="0" w:color="auto"/>
            <w:left w:val="none" w:sz="0" w:space="0" w:color="auto"/>
            <w:bottom w:val="none" w:sz="0" w:space="0" w:color="auto"/>
            <w:right w:val="none" w:sz="0" w:space="0" w:color="auto"/>
          </w:divBdr>
        </w:div>
        <w:div w:id="274100736">
          <w:marLeft w:val="0"/>
          <w:marRight w:val="0"/>
          <w:marTop w:val="0"/>
          <w:marBottom w:val="0"/>
          <w:divBdr>
            <w:top w:val="none" w:sz="0" w:space="0" w:color="auto"/>
            <w:left w:val="none" w:sz="0" w:space="0" w:color="auto"/>
            <w:bottom w:val="none" w:sz="0" w:space="0" w:color="auto"/>
            <w:right w:val="none" w:sz="0" w:space="0" w:color="auto"/>
          </w:divBdr>
        </w:div>
        <w:div w:id="277030391">
          <w:marLeft w:val="0"/>
          <w:marRight w:val="0"/>
          <w:marTop w:val="0"/>
          <w:marBottom w:val="0"/>
          <w:divBdr>
            <w:top w:val="none" w:sz="0" w:space="0" w:color="auto"/>
            <w:left w:val="none" w:sz="0" w:space="0" w:color="auto"/>
            <w:bottom w:val="none" w:sz="0" w:space="0" w:color="auto"/>
            <w:right w:val="none" w:sz="0" w:space="0" w:color="auto"/>
          </w:divBdr>
        </w:div>
        <w:div w:id="282008095">
          <w:marLeft w:val="0"/>
          <w:marRight w:val="0"/>
          <w:marTop w:val="0"/>
          <w:marBottom w:val="0"/>
          <w:divBdr>
            <w:top w:val="none" w:sz="0" w:space="0" w:color="auto"/>
            <w:left w:val="none" w:sz="0" w:space="0" w:color="auto"/>
            <w:bottom w:val="none" w:sz="0" w:space="0" w:color="auto"/>
            <w:right w:val="none" w:sz="0" w:space="0" w:color="auto"/>
          </w:divBdr>
        </w:div>
        <w:div w:id="306319647">
          <w:marLeft w:val="0"/>
          <w:marRight w:val="0"/>
          <w:marTop w:val="0"/>
          <w:marBottom w:val="0"/>
          <w:divBdr>
            <w:top w:val="none" w:sz="0" w:space="0" w:color="auto"/>
            <w:left w:val="none" w:sz="0" w:space="0" w:color="auto"/>
            <w:bottom w:val="none" w:sz="0" w:space="0" w:color="auto"/>
            <w:right w:val="none" w:sz="0" w:space="0" w:color="auto"/>
          </w:divBdr>
        </w:div>
        <w:div w:id="310136035">
          <w:marLeft w:val="0"/>
          <w:marRight w:val="0"/>
          <w:marTop w:val="0"/>
          <w:marBottom w:val="0"/>
          <w:divBdr>
            <w:top w:val="none" w:sz="0" w:space="0" w:color="auto"/>
            <w:left w:val="none" w:sz="0" w:space="0" w:color="auto"/>
            <w:bottom w:val="none" w:sz="0" w:space="0" w:color="auto"/>
            <w:right w:val="none" w:sz="0" w:space="0" w:color="auto"/>
          </w:divBdr>
        </w:div>
        <w:div w:id="310911988">
          <w:marLeft w:val="0"/>
          <w:marRight w:val="0"/>
          <w:marTop w:val="0"/>
          <w:marBottom w:val="0"/>
          <w:divBdr>
            <w:top w:val="none" w:sz="0" w:space="0" w:color="auto"/>
            <w:left w:val="none" w:sz="0" w:space="0" w:color="auto"/>
            <w:bottom w:val="none" w:sz="0" w:space="0" w:color="auto"/>
            <w:right w:val="none" w:sz="0" w:space="0" w:color="auto"/>
          </w:divBdr>
        </w:div>
        <w:div w:id="316155029">
          <w:marLeft w:val="0"/>
          <w:marRight w:val="0"/>
          <w:marTop w:val="0"/>
          <w:marBottom w:val="0"/>
          <w:divBdr>
            <w:top w:val="none" w:sz="0" w:space="0" w:color="auto"/>
            <w:left w:val="none" w:sz="0" w:space="0" w:color="auto"/>
            <w:bottom w:val="none" w:sz="0" w:space="0" w:color="auto"/>
            <w:right w:val="none" w:sz="0" w:space="0" w:color="auto"/>
          </w:divBdr>
        </w:div>
        <w:div w:id="317541184">
          <w:marLeft w:val="0"/>
          <w:marRight w:val="0"/>
          <w:marTop w:val="0"/>
          <w:marBottom w:val="0"/>
          <w:divBdr>
            <w:top w:val="none" w:sz="0" w:space="0" w:color="auto"/>
            <w:left w:val="none" w:sz="0" w:space="0" w:color="auto"/>
            <w:bottom w:val="none" w:sz="0" w:space="0" w:color="auto"/>
            <w:right w:val="none" w:sz="0" w:space="0" w:color="auto"/>
          </w:divBdr>
        </w:div>
        <w:div w:id="318001839">
          <w:marLeft w:val="0"/>
          <w:marRight w:val="0"/>
          <w:marTop w:val="0"/>
          <w:marBottom w:val="0"/>
          <w:divBdr>
            <w:top w:val="none" w:sz="0" w:space="0" w:color="auto"/>
            <w:left w:val="none" w:sz="0" w:space="0" w:color="auto"/>
            <w:bottom w:val="none" w:sz="0" w:space="0" w:color="auto"/>
            <w:right w:val="none" w:sz="0" w:space="0" w:color="auto"/>
          </w:divBdr>
        </w:div>
        <w:div w:id="326443510">
          <w:marLeft w:val="0"/>
          <w:marRight w:val="0"/>
          <w:marTop w:val="0"/>
          <w:marBottom w:val="0"/>
          <w:divBdr>
            <w:top w:val="none" w:sz="0" w:space="0" w:color="auto"/>
            <w:left w:val="none" w:sz="0" w:space="0" w:color="auto"/>
            <w:bottom w:val="none" w:sz="0" w:space="0" w:color="auto"/>
            <w:right w:val="none" w:sz="0" w:space="0" w:color="auto"/>
          </w:divBdr>
        </w:div>
        <w:div w:id="334963647">
          <w:marLeft w:val="0"/>
          <w:marRight w:val="0"/>
          <w:marTop w:val="0"/>
          <w:marBottom w:val="0"/>
          <w:divBdr>
            <w:top w:val="none" w:sz="0" w:space="0" w:color="auto"/>
            <w:left w:val="none" w:sz="0" w:space="0" w:color="auto"/>
            <w:bottom w:val="none" w:sz="0" w:space="0" w:color="auto"/>
            <w:right w:val="none" w:sz="0" w:space="0" w:color="auto"/>
          </w:divBdr>
        </w:div>
        <w:div w:id="335965500">
          <w:marLeft w:val="0"/>
          <w:marRight w:val="0"/>
          <w:marTop w:val="0"/>
          <w:marBottom w:val="0"/>
          <w:divBdr>
            <w:top w:val="none" w:sz="0" w:space="0" w:color="auto"/>
            <w:left w:val="none" w:sz="0" w:space="0" w:color="auto"/>
            <w:bottom w:val="none" w:sz="0" w:space="0" w:color="auto"/>
            <w:right w:val="none" w:sz="0" w:space="0" w:color="auto"/>
          </w:divBdr>
        </w:div>
        <w:div w:id="339936137">
          <w:marLeft w:val="0"/>
          <w:marRight w:val="0"/>
          <w:marTop w:val="0"/>
          <w:marBottom w:val="0"/>
          <w:divBdr>
            <w:top w:val="none" w:sz="0" w:space="0" w:color="auto"/>
            <w:left w:val="none" w:sz="0" w:space="0" w:color="auto"/>
            <w:bottom w:val="none" w:sz="0" w:space="0" w:color="auto"/>
            <w:right w:val="none" w:sz="0" w:space="0" w:color="auto"/>
          </w:divBdr>
        </w:div>
        <w:div w:id="346753988">
          <w:marLeft w:val="0"/>
          <w:marRight w:val="0"/>
          <w:marTop w:val="0"/>
          <w:marBottom w:val="0"/>
          <w:divBdr>
            <w:top w:val="none" w:sz="0" w:space="0" w:color="auto"/>
            <w:left w:val="none" w:sz="0" w:space="0" w:color="auto"/>
            <w:bottom w:val="none" w:sz="0" w:space="0" w:color="auto"/>
            <w:right w:val="none" w:sz="0" w:space="0" w:color="auto"/>
          </w:divBdr>
        </w:div>
        <w:div w:id="370889050">
          <w:marLeft w:val="0"/>
          <w:marRight w:val="0"/>
          <w:marTop w:val="0"/>
          <w:marBottom w:val="0"/>
          <w:divBdr>
            <w:top w:val="none" w:sz="0" w:space="0" w:color="auto"/>
            <w:left w:val="none" w:sz="0" w:space="0" w:color="auto"/>
            <w:bottom w:val="none" w:sz="0" w:space="0" w:color="auto"/>
            <w:right w:val="none" w:sz="0" w:space="0" w:color="auto"/>
          </w:divBdr>
        </w:div>
        <w:div w:id="373890911">
          <w:marLeft w:val="0"/>
          <w:marRight w:val="0"/>
          <w:marTop w:val="0"/>
          <w:marBottom w:val="0"/>
          <w:divBdr>
            <w:top w:val="none" w:sz="0" w:space="0" w:color="auto"/>
            <w:left w:val="none" w:sz="0" w:space="0" w:color="auto"/>
            <w:bottom w:val="none" w:sz="0" w:space="0" w:color="auto"/>
            <w:right w:val="none" w:sz="0" w:space="0" w:color="auto"/>
          </w:divBdr>
        </w:div>
        <w:div w:id="377778794">
          <w:marLeft w:val="0"/>
          <w:marRight w:val="0"/>
          <w:marTop w:val="0"/>
          <w:marBottom w:val="0"/>
          <w:divBdr>
            <w:top w:val="none" w:sz="0" w:space="0" w:color="auto"/>
            <w:left w:val="none" w:sz="0" w:space="0" w:color="auto"/>
            <w:bottom w:val="none" w:sz="0" w:space="0" w:color="auto"/>
            <w:right w:val="none" w:sz="0" w:space="0" w:color="auto"/>
          </w:divBdr>
        </w:div>
        <w:div w:id="380979395">
          <w:marLeft w:val="0"/>
          <w:marRight w:val="0"/>
          <w:marTop w:val="0"/>
          <w:marBottom w:val="0"/>
          <w:divBdr>
            <w:top w:val="none" w:sz="0" w:space="0" w:color="auto"/>
            <w:left w:val="none" w:sz="0" w:space="0" w:color="auto"/>
            <w:bottom w:val="none" w:sz="0" w:space="0" w:color="auto"/>
            <w:right w:val="none" w:sz="0" w:space="0" w:color="auto"/>
          </w:divBdr>
        </w:div>
        <w:div w:id="390278212">
          <w:marLeft w:val="0"/>
          <w:marRight w:val="0"/>
          <w:marTop w:val="0"/>
          <w:marBottom w:val="0"/>
          <w:divBdr>
            <w:top w:val="none" w:sz="0" w:space="0" w:color="auto"/>
            <w:left w:val="none" w:sz="0" w:space="0" w:color="auto"/>
            <w:bottom w:val="none" w:sz="0" w:space="0" w:color="auto"/>
            <w:right w:val="none" w:sz="0" w:space="0" w:color="auto"/>
          </w:divBdr>
        </w:div>
        <w:div w:id="400636659">
          <w:marLeft w:val="0"/>
          <w:marRight w:val="0"/>
          <w:marTop w:val="0"/>
          <w:marBottom w:val="0"/>
          <w:divBdr>
            <w:top w:val="none" w:sz="0" w:space="0" w:color="auto"/>
            <w:left w:val="none" w:sz="0" w:space="0" w:color="auto"/>
            <w:bottom w:val="none" w:sz="0" w:space="0" w:color="auto"/>
            <w:right w:val="none" w:sz="0" w:space="0" w:color="auto"/>
          </w:divBdr>
        </w:div>
        <w:div w:id="404453496">
          <w:marLeft w:val="0"/>
          <w:marRight w:val="0"/>
          <w:marTop w:val="0"/>
          <w:marBottom w:val="0"/>
          <w:divBdr>
            <w:top w:val="none" w:sz="0" w:space="0" w:color="auto"/>
            <w:left w:val="none" w:sz="0" w:space="0" w:color="auto"/>
            <w:bottom w:val="none" w:sz="0" w:space="0" w:color="auto"/>
            <w:right w:val="none" w:sz="0" w:space="0" w:color="auto"/>
          </w:divBdr>
        </w:div>
        <w:div w:id="418644977">
          <w:marLeft w:val="0"/>
          <w:marRight w:val="0"/>
          <w:marTop w:val="0"/>
          <w:marBottom w:val="0"/>
          <w:divBdr>
            <w:top w:val="none" w:sz="0" w:space="0" w:color="auto"/>
            <w:left w:val="none" w:sz="0" w:space="0" w:color="auto"/>
            <w:bottom w:val="none" w:sz="0" w:space="0" w:color="auto"/>
            <w:right w:val="none" w:sz="0" w:space="0" w:color="auto"/>
          </w:divBdr>
        </w:div>
        <w:div w:id="421031190">
          <w:marLeft w:val="0"/>
          <w:marRight w:val="0"/>
          <w:marTop w:val="0"/>
          <w:marBottom w:val="0"/>
          <w:divBdr>
            <w:top w:val="none" w:sz="0" w:space="0" w:color="auto"/>
            <w:left w:val="none" w:sz="0" w:space="0" w:color="auto"/>
            <w:bottom w:val="none" w:sz="0" w:space="0" w:color="auto"/>
            <w:right w:val="none" w:sz="0" w:space="0" w:color="auto"/>
          </w:divBdr>
        </w:div>
        <w:div w:id="422722744">
          <w:marLeft w:val="0"/>
          <w:marRight w:val="0"/>
          <w:marTop w:val="0"/>
          <w:marBottom w:val="0"/>
          <w:divBdr>
            <w:top w:val="none" w:sz="0" w:space="0" w:color="auto"/>
            <w:left w:val="none" w:sz="0" w:space="0" w:color="auto"/>
            <w:bottom w:val="none" w:sz="0" w:space="0" w:color="auto"/>
            <w:right w:val="none" w:sz="0" w:space="0" w:color="auto"/>
          </w:divBdr>
        </w:div>
        <w:div w:id="422990693">
          <w:marLeft w:val="0"/>
          <w:marRight w:val="0"/>
          <w:marTop w:val="0"/>
          <w:marBottom w:val="0"/>
          <w:divBdr>
            <w:top w:val="none" w:sz="0" w:space="0" w:color="auto"/>
            <w:left w:val="none" w:sz="0" w:space="0" w:color="auto"/>
            <w:bottom w:val="none" w:sz="0" w:space="0" w:color="auto"/>
            <w:right w:val="none" w:sz="0" w:space="0" w:color="auto"/>
          </w:divBdr>
        </w:div>
        <w:div w:id="424233307">
          <w:marLeft w:val="0"/>
          <w:marRight w:val="0"/>
          <w:marTop w:val="0"/>
          <w:marBottom w:val="0"/>
          <w:divBdr>
            <w:top w:val="none" w:sz="0" w:space="0" w:color="auto"/>
            <w:left w:val="none" w:sz="0" w:space="0" w:color="auto"/>
            <w:bottom w:val="none" w:sz="0" w:space="0" w:color="auto"/>
            <w:right w:val="none" w:sz="0" w:space="0" w:color="auto"/>
          </w:divBdr>
        </w:div>
        <w:div w:id="443771924">
          <w:marLeft w:val="0"/>
          <w:marRight w:val="0"/>
          <w:marTop w:val="0"/>
          <w:marBottom w:val="0"/>
          <w:divBdr>
            <w:top w:val="none" w:sz="0" w:space="0" w:color="auto"/>
            <w:left w:val="none" w:sz="0" w:space="0" w:color="auto"/>
            <w:bottom w:val="none" w:sz="0" w:space="0" w:color="auto"/>
            <w:right w:val="none" w:sz="0" w:space="0" w:color="auto"/>
          </w:divBdr>
        </w:div>
        <w:div w:id="455830563">
          <w:marLeft w:val="0"/>
          <w:marRight w:val="0"/>
          <w:marTop w:val="0"/>
          <w:marBottom w:val="0"/>
          <w:divBdr>
            <w:top w:val="none" w:sz="0" w:space="0" w:color="auto"/>
            <w:left w:val="none" w:sz="0" w:space="0" w:color="auto"/>
            <w:bottom w:val="none" w:sz="0" w:space="0" w:color="auto"/>
            <w:right w:val="none" w:sz="0" w:space="0" w:color="auto"/>
          </w:divBdr>
        </w:div>
        <w:div w:id="459886340">
          <w:marLeft w:val="0"/>
          <w:marRight w:val="0"/>
          <w:marTop w:val="0"/>
          <w:marBottom w:val="0"/>
          <w:divBdr>
            <w:top w:val="none" w:sz="0" w:space="0" w:color="auto"/>
            <w:left w:val="none" w:sz="0" w:space="0" w:color="auto"/>
            <w:bottom w:val="none" w:sz="0" w:space="0" w:color="auto"/>
            <w:right w:val="none" w:sz="0" w:space="0" w:color="auto"/>
          </w:divBdr>
        </w:div>
        <w:div w:id="460075677">
          <w:marLeft w:val="0"/>
          <w:marRight w:val="0"/>
          <w:marTop w:val="0"/>
          <w:marBottom w:val="0"/>
          <w:divBdr>
            <w:top w:val="none" w:sz="0" w:space="0" w:color="auto"/>
            <w:left w:val="none" w:sz="0" w:space="0" w:color="auto"/>
            <w:bottom w:val="none" w:sz="0" w:space="0" w:color="auto"/>
            <w:right w:val="none" w:sz="0" w:space="0" w:color="auto"/>
          </w:divBdr>
        </w:div>
        <w:div w:id="461004670">
          <w:marLeft w:val="0"/>
          <w:marRight w:val="0"/>
          <w:marTop w:val="0"/>
          <w:marBottom w:val="0"/>
          <w:divBdr>
            <w:top w:val="none" w:sz="0" w:space="0" w:color="auto"/>
            <w:left w:val="none" w:sz="0" w:space="0" w:color="auto"/>
            <w:bottom w:val="none" w:sz="0" w:space="0" w:color="auto"/>
            <w:right w:val="none" w:sz="0" w:space="0" w:color="auto"/>
          </w:divBdr>
        </w:div>
        <w:div w:id="463356834">
          <w:marLeft w:val="0"/>
          <w:marRight w:val="0"/>
          <w:marTop w:val="0"/>
          <w:marBottom w:val="0"/>
          <w:divBdr>
            <w:top w:val="none" w:sz="0" w:space="0" w:color="auto"/>
            <w:left w:val="none" w:sz="0" w:space="0" w:color="auto"/>
            <w:bottom w:val="none" w:sz="0" w:space="0" w:color="auto"/>
            <w:right w:val="none" w:sz="0" w:space="0" w:color="auto"/>
          </w:divBdr>
        </w:div>
        <w:div w:id="469597090">
          <w:marLeft w:val="0"/>
          <w:marRight w:val="0"/>
          <w:marTop w:val="0"/>
          <w:marBottom w:val="0"/>
          <w:divBdr>
            <w:top w:val="none" w:sz="0" w:space="0" w:color="auto"/>
            <w:left w:val="none" w:sz="0" w:space="0" w:color="auto"/>
            <w:bottom w:val="none" w:sz="0" w:space="0" w:color="auto"/>
            <w:right w:val="none" w:sz="0" w:space="0" w:color="auto"/>
          </w:divBdr>
        </w:div>
        <w:div w:id="471870981">
          <w:marLeft w:val="0"/>
          <w:marRight w:val="0"/>
          <w:marTop w:val="0"/>
          <w:marBottom w:val="0"/>
          <w:divBdr>
            <w:top w:val="none" w:sz="0" w:space="0" w:color="auto"/>
            <w:left w:val="none" w:sz="0" w:space="0" w:color="auto"/>
            <w:bottom w:val="none" w:sz="0" w:space="0" w:color="auto"/>
            <w:right w:val="none" w:sz="0" w:space="0" w:color="auto"/>
          </w:divBdr>
        </w:div>
        <w:div w:id="475953924">
          <w:marLeft w:val="0"/>
          <w:marRight w:val="0"/>
          <w:marTop w:val="0"/>
          <w:marBottom w:val="0"/>
          <w:divBdr>
            <w:top w:val="none" w:sz="0" w:space="0" w:color="auto"/>
            <w:left w:val="none" w:sz="0" w:space="0" w:color="auto"/>
            <w:bottom w:val="none" w:sz="0" w:space="0" w:color="auto"/>
            <w:right w:val="none" w:sz="0" w:space="0" w:color="auto"/>
          </w:divBdr>
        </w:div>
        <w:div w:id="485632014">
          <w:marLeft w:val="0"/>
          <w:marRight w:val="0"/>
          <w:marTop w:val="0"/>
          <w:marBottom w:val="0"/>
          <w:divBdr>
            <w:top w:val="none" w:sz="0" w:space="0" w:color="auto"/>
            <w:left w:val="none" w:sz="0" w:space="0" w:color="auto"/>
            <w:bottom w:val="none" w:sz="0" w:space="0" w:color="auto"/>
            <w:right w:val="none" w:sz="0" w:space="0" w:color="auto"/>
          </w:divBdr>
        </w:div>
        <w:div w:id="489641011">
          <w:marLeft w:val="0"/>
          <w:marRight w:val="0"/>
          <w:marTop w:val="0"/>
          <w:marBottom w:val="0"/>
          <w:divBdr>
            <w:top w:val="none" w:sz="0" w:space="0" w:color="auto"/>
            <w:left w:val="none" w:sz="0" w:space="0" w:color="auto"/>
            <w:bottom w:val="none" w:sz="0" w:space="0" w:color="auto"/>
            <w:right w:val="none" w:sz="0" w:space="0" w:color="auto"/>
          </w:divBdr>
        </w:div>
        <w:div w:id="491415098">
          <w:marLeft w:val="0"/>
          <w:marRight w:val="0"/>
          <w:marTop w:val="0"/>
          <w:marBottom w:val="0"/>
          <w:divBdr>
            <w:top w:val="none" w:sz="0" w:space="0" w:color="auto"/>
            <w:left w:val="none" w:sz="0" w:space="0" w:color="auto"/>
            <w:bottom w:val="none" w:sz="0" w:space="0" w:color="auto"/>
            <w:right w:val="none" w:sz="0" w:space="0" w:color="auto"/>
          </w:divBdr>
        </w:div>
        <w:div w:id="499388995">
          <w:marLeft w:val="0"/>
          <w:marRight w:val="0"/>
          <w:marTop w:val="0"/>
          <w:marBottom w:val="0"/>
          <w:divBdr>
            <w:top w:val="none" w:sz="0" w:space="0" w:color="auto"/>
            <w:left w:val="none" w:sz="0" w:space="0" w:color="auto"/>
            <w:bottom w:val="none" w:sz="0" w:space="0" w:color="auto"/>
            <w:right w:val="none" w:sz="0" w:space="0" w:color="auto"/>
          </w:divBdr>
        </w:div>
        <w:div w:id="505098521">
          <w:marLeft w:val="0"/>
          <w:marRight w:val="0"/>
          <w:marTop w:val="0"/>
          <w:marBottom w:val="0"/>
          <w:divBdr>
            <w:top w:val="none" w:sz="0" w:space="0" w:color="auto"/>
            <w:left w:val="none" w:sz="0" w:space="0" w:color="auto"/>
            <w:bottom w:val="none" w:sz="0" w:space="0" w:color="auto"/>
            <w:right w:val="none" w:sz="0" w:space="0" w:color="auto"/>
          </w:divBdr>
        </w:div>
        <w:div w:id="511529247">
          <w:marLeft w:val="0"/>
          <w:marRight w:val="0"/>
          <w:marTop w:val="0"/>
          <w:marBottom w:val="0"/>
          <w:divBdr>
            <w:top w:val="none" w:sz="0" w:space="0" w:color="auto"/>
            <w:left w:val="none" w:sz="0" w:space="0" w:color="auto"/>
            <w:bottom w:val="none" w:sz="0" w:space="0" w:color="auto"/>
            <w:right w:val="none" w:sz="0" w:space="0" w:color="auto"/>
          </w:divBdr>
        </w:div>
        <w:div w:id="526870604">
          <w:marLeft w:val="0"/>
          <w:marRight w:val="0"/>
          <w:marTop w:val="0"/>
          <w:marBottom w:val="0"/>
          <w:divBdr>
            <w:top w:val="none" w:sz="0" w:space="0" w:color="auto"/>
            <w:left w:val="none" w:sz="0" w:space="0" w:color="auto"/>
            <w:bottom w:val="none" w:sz="0" w:space="0" w:color="auto"/>
            <w:right w:val="none" w:sz="0" w:space="0" w:color="auto"/>
          </w:divBdr>
        </w:div>
        <w:div w:id="528958868">
          <w:marLeft w:val="0"/>
          <w:marRight w:val="0"/>
          <w:marTop w:val="0"/>
          <w:marBottom w:val="0"/>
          <w:divBdr>
            <w:top w:val="none" w:sz="0" w:space="0" w:color="auto"/>
            <w:left w:val="none" w:sz="0" w:space="0" w:color="auto"/>
            <w:bottom w:val="none" w:sz="0" w:space="0" w:color="auto"/>
            <w:right w:val="none" w:sz="0" w:space="0" w:color="auto"/>
          </w:divBdr>
        </w:div>
        <w:div w:id="543640446">
          <w:marLeft w:val="0"/>
          <w:marRight w:val="0"/>
          <w:marTop w:val="0"/>
          <w:marBottom w:val="0"/>
          <w:divBdr>
            <w:top w:val="none" w:sz="0" w:space="0" w:color="auto"/>
            <w:left w:val="none" w:sz="0" w:space="0" w:color="auto"/>
            <w:bottom w:val="none" w:sz="0" w:space="0" w:color="auto"/>
            <w:right w:val="none" w:sz="0" w:space="0" w:color="auto"/>
          </w:divBdr>
        </w:div>
        <w:div w:id="580261419">
          <w:marLeft w:val="0"/>
          <w:marRight w:val="0"/>
          <w:marTop w:val="0"/>
          <w:marBottom w:val="0"/>
          <w:divBdr>
            <w:top w:val="none" w:sz="0" w:space="0" w:color="auto"/>
            <w:left w:val="none" w:sz="0" w:space="0" w:color="auto"/>
            <w:bottom w:val="none" w:sz="0" w:space="0" w:color="auto"/>
            <w:right w:val="none" w:sz="0" w:space="0" w:color="auto"/>
          </w:divBdr>
        </w:div>
        <w:div w:id="583146932">
          <w:marLeft w:val="0"/>
          <w:marRight w:val="0"/>
          <w:marTop w:val="0"/>
          <w:marBottom w:val="0"/>
          <w:divBdr>
            <w:top w:val="none" w:sz="0" w:space="0" w:color="auto"/>
            <w:left w:val="none" w:sz="0" w:space="0" w:color="auto"/>
            <w:bottom w:val="none" w:sz="0" w:space="0" w:color="auto"/>
            <w:right w:val="none" w:sz="0" w:space="0" w:color="auto"/>
          </w:divBdr>
        </w:div>
        <w:div w:id="584265622">
          <w:marLeft w:val="0"/>
          <w:marRight w:val="0"/>
          <w:marTop w:val="0"/>
          <w:marBottom w:val="0"/>
          <w:divBdr>
            <w:top w:val="none" w:sz="0" w:space="0" w:color="auto"/>
            <w:left w:val="none" w:sz="0" w:space="0" w:color="auto"/>
            <w:bottom w:val="none" w:sz="0" w:space="0" w:color="auto"/>
            <w:right w:val="none" w:sz="0" w:space="0" w:color="auto"/>
          </w:divBdr>
        </w:div>
        <w:div w:id="584723724">
          <w:marLeft w:val="0"/>
          <w:marRight w:val="0"/>
          <w:marTop w:val="0"/>
          <w:marBottom w:val="0"/>
          <w:divBdr>
            <w:top w:val="none" w:sz="0" w:space="0" w:color="auto"/>
            <w:left w:val="none" w:sz="0" w:space="0" w:color="auto"/>
            <w:bottom w:val="none" w:sz="0" w:space="0" w:color="auto"/>
            <w:right w:val="none" w:sz="0" w:space="0" w:color="auto"/>
          </w:divBdr>
        </w:div>
        <w:div w:id="585531345">
          <w:marLeft w:val="0"/>
          <w:marRight w:val="0"/>
          <w:marTop w:val="0"/>
          <w:marBottom w:val="0"/>
          <w:divBdr>
            <w:top w:val="none" w:sz="0" w:space="0" w:color="auto"/>
            <w:left w:val="none" w:sz="0" w:space="0" w:color="auto"/>
            <w:bottom w:val="none" w:sz="0" w:space="0" w:color="auto"/>
            <w:right w:val="none" w:sz="0" w:space="0" w:color="auto"/>
          </w:divBdr>
        </w:div>
        <w:div w:id="598023177">
          <w:marLeft w:val="0"/>
          <w:marRight w:val="0"/>
          <w:marTop w:val="0"/>
          <w:marBottom w:val="0"/>
          <w:divBdr>
            <w:top w:val="none" w:sz="0" w:space="0" w:color="auto"/>
            <w:left w:val="none" w:sz="0" w:space="0" w:color="auto"/>
            <w:bottom w:val="none" w:sz="0" w:space="0" w:color="auto"/>
            <w:right w:val="none" w:sz="0" w:space="0" w:color="auto"/>
          </w:divBdr>
        </w:div>
        <w:div w:id="604002547">
          <w:marLeft w:val="0"/>
          <w:marRight w:val="0"/>
          <w:marTop w:val="0"/>
          <w:marBottom w:val="0"/>
          <w:divBdr>
            <w:top w:val="none" w:sz="0" w:space="0" w:color="auto"/>
            <w:left w:val="none" w:sz="0" w:space="0" w:color="auto"/>
            <w:bottom w:val="none" w:sz="0" w:space="0" w:color="auto"/>
            <w:right w:val="none" w:sz="0" w:space="0" w:color="auto"/>
          </w:divBdr>
        </w:div>
        <w:div w:id="606498700">
          <w:marLeft w:val="0"/>
          <w:marRight w:val="0"/>
          <w:marTop w:val="0"/>
          <w:marBottom w:val="0"/>
          <w:divBdr>
            <w:top w:val="none" w:sz="0" w:space="0" w:color="auto"/>
            <w:left w:val="none" w:sz="0" w:space="0" w:color="auto"/>
            <w:bottom w:val="none" w:sz="0" w:space="0" w:color="auto"/>
            <w:right w:val="none" w:sz="0" w:space="0" w:color="auto"/>
          </w:divBdr>
        </w:div>
        <w:div w:id="607660978">
          <w:marLeft w:val="0"/>
          <w:marRight w:val="0"/>
          <w:marTop w:val="0"/>
          <w:marBottom w:val="0"/>
          <w:divBdr>
            <w:top w:val="none" w:sz="0" w:space="0" w:color="auto"/>
            <w:left w:val="none" w:sz="0" w:space="0" w:color="auto"/>
            <w:bottom w:val="none" w:sz="0" w:space="0" w:color="auto"/>
            <w:right w:val="none" w:sz="0" w:space="0" w:color="auto"/>
          </w:divBdr>
        </w:div>
        <w:div w:id="612712111">
          <w:marLeft w:val="0"/>
          <w:marRight w:val="0"/>
          <w:marTop w:val="0"/>
          <w:marBottom w:val="0"/>
          <w:divBdr>
            <w:top w:val="none" w:sz="0" w:space="0" w:color="auto"/>
            <w:left w:val="none" w:sz="0" w:space="0" w:color="auto"/>
            <w:bottom w:val="none" w:sz="0" w:space="0" w:color="auto"/>
            <w:right w:val="none" w:sz="0" w:space="0" w:color="auto"/>
          </w:divBdr>
        </w:div>
        <w:div w:id="617835805">
          <w:marLeft w:val="0"/>
          <w:marRight w:val="0"/>
          <w:marTop w:val="0"/>
          <w:marBottom w:val="0"/>
          <w:divBdr>
            <w:top w:val="none" w:sz="0" w:space="0" w:color="auto"/>
            <w:left w:val="none" w:sz="0" w:space="0" w:color="auto"/>
            <w:bottom w:val="none" w:sz="0" w:space="0" w:color="auto"/>
            <w:right w:val="none" w:sz="0" w:space="0" w:color="auto"/>
          </w:divBdr>
        </w:div>
        <w:div w:id="622616887">
          <w:marLeft w:val="0"/>
          <w:marRight w:val="0"/>
          <w:marTop w:val="0"/>
          <w:marBottom w:val="0"/>
          <w:divBdr>
            <w:top w:val="none" w:sz="0" w:space="0" w:color="auto"/>
            <w:left w:val="none" w:sz="0" w:space="0" w:color="auto"/>
            <w:bottom w:val="none" w:sz="0" w:space="0" w:color="auto"/>
            <w:right w:val="none" w:sz="0" w:space="0" w:color="auto"/>
          </w:divBdr>
        </w:div>
        <w:div w:id="626938133">
          <w:marLeft w:val="0"/>
          <w:marRight w:val="0"/>
          <w:marTop w:val="0"/>
          <w:marBottom w:val="0"/>
          <w:divBdr>
            <w:top w:val="none" w:sz="0" w:space="0" w:color="auto"/>
            <w:left w:val="none" w:sz="0" w:space="0" w:color="auto"/>
            <w:bottom w:val="none" w:sz="0" w:space="0" w:color="auto"/>
            <w:right w:val="none" w:sz="0" w:space="0" w:color="auto"/>
          </w:divBdr>
        </w:div>
        <w:div w:id="646973783">
          <w:marLeft w:val="0"/>
          <w:marRight w:val="0"/>
          <w:marTop w:val="0"/>
          <w:marBottom w:val="0"/>
          <w:divBdr>
            <w:top w:val="none" w:sz="0" w:space="0" w:color="auto"/>
            <w:left w:val="none" w:sz="0" w:space="0" w:color="auto"/>
            <w:bottom w:val="none" w:sz="0" w:space="0" w:color="auto"/>
            <w:right w:val="none" w:sz="0" w:space="0" w:color="auto"/>
          </w:divBdr>
        </w:div>
        <w:div w:id="659116741">
          <w:marLeft w:val="0"/>
          <w:marRight w:val="0"/>
          <w:marTop w:val="0"/>
          <w:marBottom w:val="0"/>
          <w:divBdr>
            <w:top w:val="none" w:sz="0" w:space="0" w:color="auto"/>
            <w:left w:val="none" w:sz="0" w:space="0" w:color="auto"/>
            <w:bottom w:val="none" w:sz="0" w:space="0" w:color="auto"/>
            <w:right w:val="none" w:sz="0" w:space="0" w:color="auto"/>
          </w:divBdr>
        </w:div>
        <w:div w:id="671494095">
          <w:marLeft w:val="0"/>
          <w:marRight w:val="0"/>
          <w:marTop w:val="0"/>
          <w:marBottom w:val="0"/>
          <w:divBdr>
            <w:top w:val="none" w:sz="0" w:space="0" w:color="auto"/>
            <w:left w:val="none" w:sz="0" w:space="0" w:color="auto"/>
            <w:bottom w:val="none" w:sz="0" w:space="0" w:color="auto"/>
            <w:right w:val="none" w:sz="0" w:space="0" w:color="auto"/>
          </w:divBdr>
        </w:div>
        <w:div w:id="675689895">
          <w:marLeft w:val="0"/>
          <w:marRight w:val="0"/>
          <w:marTop w:val="0"/>
          <w:marBottom w:val="0"/>
          <w:divBdr>
            <w:top w:val="none" w:sz="0" w:space="0" w:color="auto"/>
            <w:left w:val="none" w:sz="0" w:space="0" w:color="auto"/>
            <w:bottom w:val="none" w:sz="0" w:space="0" w:color="auto"/>
            <w:right w:val="none" w:sz="0" w:space="0" w:color="auto"/>
          </w:divBdr>
        </w:div>
        <w:div w:id="675813449">
          <w:marLeft w:val="0"/>
          <w:marRight w:val="0"/>
          <w:marTop w:val="0"/>
          <w:marBottom w:val="0"/>
          <w:divBdr>
            <w:top w:val="none" w:sz="0" w:space="0" w:color="auto"/>
            <w:left w:val="none" w:sz="0" w:space="0" w:color="auto"/>
            <w:bottom w:val="none" w:sz="0" w:space="0" w:color="auto"/>
            <w:right w:val="none" w:sz="0" w:space="0" w:color="auto"/>
          </w:divBdr>
        </w:div>
        <w:div w:id="697000652">
          <w:marLeft w:val="0"/>
          <w:marRight w:val="0"/>
          <w:marTop w:val="0"/>
          <w:marBottom w:val="0"/>
          <w:divBdr>
            <w:top w:val="none" w:sz="0" w:space="0" w:color="auto"/>
            <w:left w:val="none" w:sz="0" w:space="0" w:color="auto"/>
            <w:bottom w:val="none" w:sz="0" w:space="0" w:color="auto"/>
            <w:right w:val="none" w:sz="0" w:space="0" w:color="auto"/>
          </w:divBdr>
        </w:div>
        <w:div w:id="708183311">
          <w:marLeft w:val="0"/>
          <w:marRight w:val="0"/>
          <w:marTop w:val="0"/>
          <w:marBottom w:val="0"/>
          <w:divBdr>
            <w:top w:val="none" w:sz="0" w:space="0" w:color="auto"/>
            <w:left w:val="none" w:sz="0" w:space="0" w:color="auto"/>
            <w:bottom w:val="none" w:sz="0" w:space="0" w:color="auto"/>
            <w:right w:val="none" w:sz="0" w:space="0" w:color="auto"/>
          </w:divBdr>
        </w:div>
        <w:div w:id="713891803">
          <w:marLeft w:val="0"/>
          <w:marRight w:val="0"/>
          <w:marTop w:val="0"/>
          <w:marBottom w:val="0"/>
          <w:divBdr>
            <w:top w:val="none" w:sz="0" w:space="0" w:color="auto"/>
            <w:left w:val="none" w:sz="0" w:space="0" w:color="auto"/>
            <w:bottom w:val="none" w:sz="0" w:space="0" w:color="auto"/>
            <w:right w:val="none" w:sz="0" w:space="0" w:color="auto"/>
          </w:divBdr>
        </w:div>
        <w:div w:id="733895659">
          <w:marLeft w:val="0"/>
          <w:marRight w:val="0"/>
          <w:marTop w:val="0"/>
          <w:marBottom w:val="0"/>
          <w:divBdr>
            <w:top w:val="none" w:sz="0" w:space="0" w:color="auto"/>
            <w:left w:val="none" w:sz="0" w:space="0" w:color="auto"/>
            <w:bottom w:val="none" w:sz="0" w:space="0" w:color="auto"/>
            <w:right w:val="none" w:sz="0" w:space="0" w:color="auto"/>
          </w:divBdr>
        </w:div>
        <w:div w:id="736241380">
          <w:marLeft w:val="0"/>
          <w:marRight w:val="0"/>
          <w:marTop w:val="0"/>
          <w:marBottom w:val="0"/>
          <w:divBdr>
            <w:top w:val="none" w:sz="0" w:space="0" w:color="auto"/>
            <w:left w:val="none" w:sz="0" w:space="0" w:color="auto"/>
            <w:bottom w:val="none" w:sz="0" w:space="0" w:color="auto"/>
            <w:right w:val="none" w:sz="0" w:space="0" w:color="auto"/>
          </w:divBdr>
        </w:div>
        <w:div w:id="751240585">
          <w:marLeft w:val="0"/>
          <w:marRight w:val="0"/>
          <w:marTop w:val="0"/>
          <w:marBottom w:val="0"/>
          <w:divBdr>
            <w:top w:val="none" w:sz="0" w:space="0" w:color="auto"/>
            <w:left w:val="none" w:sz="0" w:space="0" w:color="auto"/>
            <w:bottom w:val="none" w:sz="0" w:space="0" w:color="auto"/>
            <w:right w:val="none" w:sz="0" w:space="0" w:color="auto"/>
          </w:divBdr>
        </w:div>
        <w:div w:id="762530423">
          <w:marLeft w:val="0"/>
          <w:marRight w:val="0"/>
          <w:marTop w:val="0"/>
          <w:marBottom w:val="0"/>
          <w:divBdr>
            <w:top w:val="none" w:sz="0" w:space="0" w:color="auto"/>
            <w:left w:val="none" w:sz="0" w:space="0" w:color="auto"/>
            <w:bottom w:val="none" w:sz="0" w:space="0" w:color="auto"/>
            <w:right w:val="none" w:sz="0" w:space="0" w:color="auto"/>
          </w:divBdr>
        </w:div>
        <w:div w:id="777524649">
          <w:marLeft w:val="0"/>
          <w:marRight w:val="0"/>
          <w:marTop w:val="0"/>
          <w:marBottom w:val="0"/>
          <w:divBdr>
            <w:top w:val="none" w:sz="0" w:space="0" w:color="auto"/>
            <w:left w:val="none" w:sz="0" w:space="0" w:color="auto"/>
            <w:bottom w:val="none" w:sz="0" w:space="0" w:color="auto"/>
            <w:right w:val="none" w:sz="0" w:space="0" w:color="auto"/>
          </w:divBdr>
        </w:div>
        <w:div w:id="780075042">
          <w:marLeft w:val="0"/>
          <w:marRight w:val="0"/>
          <w:marTop w:val="0"/>
          <w:marBottom w:val="0"/>
          <w:divBdr>
            <w:top w:val="none" w:sz="0" w:space="0" w:color="auto"/>
            <w:left w:val="none" w:sz="0" w:space="0" w:color="auto"/>
            <w:bottom w:val="none" w:sz="0" w:space="0" w:color="auto"/>
            <w:right w:val="none" w:sz="0" w:space="0" w:color="auto"/>
          </w:divBdr>
        </w:div>
        <w:div w:id="786509101">
          <w:marLeft w:val="0"/>
          <w:marRight w:val="0"/>
          <w:marTop w:val="0"/>
          <w:marBottom w:val="0"/>
          <w:divBdr>
            <w:top w:val="none" w:sz="0" w:space="0" w:color="auto"/>
            <w:left w:val="none" w:sz="0" w:space="0" w:color="auto"/>
            <w:bottom w:val="none" w:sz="0" w:space="0" w:color="auto"/>
            <w:right w:val="none" w:sz="0" w:space="0" w:color="auto"/>
          </w:divBdr>
        </w:div>
        <w:div w:id="790130075">
          <w:marLeft w:val="0"/>
          <w:marRight w:val="0"/>
          <w:marTop w:val="0"/>
          <w:marBottom w:val="0"/>
          <w:divBdr>
            <w:top w:val="none" w:sz="0" w:space="0" w:color="auto"/>
            <w:left w:val="none" w:sz="0" w:space="0" w:color="auto"/>
            <w:bottom w:val="none" w:sz="0" w:space="0" w:color="auto"/>
            <w:right w:val="none" w:sz="0" w:space="0" w:color="auto"/>
          </w:divBdr>
        </w:div>
        <w:div w:id="792947145">
          <w:marLeft w:val="0"/>
          <w:marRight w:val="0"/>
          <w:marTop w:val="0"/>
          <w:marBottom w:val="0"/>
          <w:divBdr>
            <w:top w:val="none" w:sz="0" w:space="0" w:color="auto"/>
            <w:left w:val="none" w:sz="0" w:space="0" w:color="auto"/>
            <w:bottom w:val="none" w:sz="0" w:space="0" w:color="auto"/>
            <w:right w:val="none" w:sz="0" w:space="0" w:color="auto"/>
          </w:divBdr>
        </w:div>
        <w:div w:id="801927345">
          <w:marLeft w:val="0"/>
          <w:marRight w:val="0"/>
          <w:marTop w:val="0"/>
          <w:marBottom w:val="0"/>
          <w:divBdr>
            <w:top w:val="none" w:sz="0" w:space="0" w:color="auto"/>
            <w:left w:val="none" w:sz="0" w:space="0" w:color="auto"/>
            <w:bottom w:val="none" w:sz="0" w:space="0" w:color="auto"/>
            <w:right w:val="none" w:sz="0" w:space="0" w:color="auto"/>
          </w:divBdr>
        </w:div>
        <w:div w:id="815076114">
          <w:marLeft w:val="0"/>
          <w:marRight w:val="0"/>
          <w:marTop w:val="0"/>
          <w:marBottom w:val="0"/>
          <w:divBdr>
            <w:top w:val="none" w:sz="0" w:space="0" w:color="auto"/>
            <w:left w:val="none" w:sz="0" w:space="0" w:color="auto"/>
            <w:bottom w:val="none" w:sz="0" w:space="0" w:color="auto"/>
            <w:right w:val="none" w:sz="0" w:space="0" w:color="auto"/>
          </w:divBdr>
        </w:div>
        <w:div w:id="816842686">
          <w:marLeft w:val="0"/>
          <w:marRight w:val="0"/>
          <w:marTop w:val="0"/>
          <w:marBottom w:val="0"/>
          <w:divBdr>
            <w:top w:val="none" w:sz="0" w:space="0" w:color="auto"/>
            <w:left w:val="none" w:sz="0" w:space="0" w:color="auto"/>
            <w:bottom w:val="none" w:sz="0" w:space="0" w:color="auto"/>
            <w:right w:val="none" w:sz="0" w:space="0" w:color="auto"/>
          </w:divBdr>
        </w:div>
        <w:div w:id="821507758">
          <w:marLeft w:val="0"/>
          <w:marRight w:val="0"/>
          <w:marTop w:val="0"/>
          <w:marBottom w:val="0"/>
          <w:divBdr>
            <w:top w:val="none" w:sz="0" w:space="0" w:color="auto"/>
            <w:left w:val="none" w:sz="0" w:space="0" w:color="auto"/>
            <w:bottom w:val="none" w:sz="0" w:space="0" w:color="auto"/>
            <w:right w:val="none" w:sz="0" w:space="0" w:color="auto"/>
          </w:divBdr>
        </w:div>
        <w:div w:id="831067528">
          <w:marLeft w:val="0"/>
          <w:marRight w:val="0"/>
          <w:marTop w:val="0"/>
          <w:marBottom w:val="0"/>
          <w:divBdr>
            <w:top w:val="none" w:sz="0" w:space="0" w:color="auto"/>
            <w:left w:val="none" w:sz="0" w:space="0" w:color="auto"/>
            <w:bottom w:val="none" w:sz="0" w:space="0" w:color="auto"/>
            <w:right w:val="none" w:sz="0" w:space="0" w:color="auto"/>
          </w:divBdr>
        </w:div>
        <w:div w:id="836118512">
          <w:marLeft w:val="0"/>
          <w:marRight w:val="0"/>
          <w:marTop w:val="0"/>
          <w:marBottom w:val="0"/>
          <w:divBdr>
            <w:top w:val="none" w:sz="0" w:space="0" w:color="auto"/>
            <w:left w:val="none" w:sz="0" w:space="0" w:color="auto"/>
            <w:bottom w:val="none" w:sz="0" w:space="0" w:color="auto"/>
            <w:right w:val="none" w:sz="0" w:space="0" w:color="auto"/>
          </w:divBdr>
        </w:div>
        <w:div w:id="852646994">
          <w:marLeft w:val="0"/>
          <w:marRight w:val="0"/>
          <w:marTop w:val="0"/>
          <w:marBottom w:val="0"/>
          <w:divBdr>
            <w:top w:val="none" w:sz="0" w:space="0" w:color="auto"/>
            <w:left w:val="none" w:sz="0" w:space="0" w:color="auto"/>
            <w:bottom w:val="none" w:sz="0" w:space="0" w:color="auto"/>
            <w:right w:val="none" w:sz="0" w:space="0" w:color="auto"/>
          </w:divBdr>
        </w:div>
        <w:div w:id="855923256">
          <w:marLeft w:val="0"/>
          <w:marRight w:val="0"/>
          <w:marTop w:val="0"/>
          <w:marBottom w:val="0"/>
          <w:divBdr>
            <w:top w:val="none" w:sz="0" w:space="0" w:color="auto"/>
            <w:left w:val="none" w:sz="0" w:space="0" w:color="auto"/>
            <w:bottom w:val="none" w:sz="0" w:space="0" w:color="auto"/>
            <w:right w:val="none" w:sz="0" w:space="0" w:color="auto"/>
          </w:divBdr>
        </w:div>
        <w:div w:id="861430517">
          <w:marLeft w:val="0"/>
          <w:marRight w:val="0"/>
          <w:marTop w:val="0"/>
          <w:marBottom w:val="0"/>
          <w:divBdr>
            <w:top w:val="none" w:sz="0" w:space="0" w:color="auto"/>
            <w:left w:val="none" w:sz="0" w:space="0" w:color="auto"/>
            <w:bottom w:val="none" w:sz="0" w:space="0" w:color="auto"/>
            <w:right w:val="none" w:sz="0" w:space="0" w:color="auto"/>
          </w:divBdr>
        </w:div>
        <w:div w:id="865604561">
          <w:marLeft w:val="0"/>
          <w:marRight w:val="0"/>
          <w:marTop w:val="0"/>
          <w:marBottom w:val="0"/>
          <w:divBdr>
            <w:top w:val="none" w:sz="0" w:space="0" w:color="auto"/>
            <w:left w:val="none" w:sz="0" w:space="0" w:color="auto"/>
            <w:bottom w:val="none" w:sz="0" w:space="0" w:color="auto"/>
            <w:right w:val="none" w:sz="0" w:space="0" w:color="auto"/>
          </w:divBdr>
        </w:div>
        <w:div w:id="874854362">
          <w:marLeft w:val="0"/>
          <w:marRight w:val="0"/>
          <w:marTop w:val="0"/>
          <w:marBottom w:val="0"/>
          <w:divBdr>
            <w:top w:val="none" w:sz="0" w:space="0" w:color="auto"/>
            <w:left w:val="none" w:sz="0" w:space="0" w:color="auto"/>
            <w:bottom w:val="none" w:sz="0" w:space="0" w:color="auto"/>
            <w:right w:val="none" w:sz="0" w:space="0" w:color="auto"/>
          </w:divBdr>
        </w:div>
        <w:div w:id="881407826">
          <w:marLeft w:val="0"/>
          <w:marRight w:val="0"/>
          <w:marTop w:val="0"/>
          <w:marBottom w:val="0"/>
          <w:divBdr>
            <w:top w:val="none" w:sz="0" w:space="0" w:color="auto"/>
            <w:left w:val="none" w:sz="0" w:space="0" w:color="auto"/>
            <w:bottom w:val="none" w:sz="0" w:space="0" w:color="auto"/>
            <w:right w:val="none" w:sz="0" w:space="0" w:color="auto"/>
          </w:divBdr>
        </w:div>
        <w:div w:id="884948576">
          <w:marLeft w:val="0"/>
          <w:marRight w:val="0"/>
          <w:marTop w:val="0"/>
          <w:marBottom w:val="0"/>
          <w:divBdr>
            <w:top w:val="none" w:sz="0" w:space="0" w:color="auto"/>
            <w:left w:val="none" w:sz="0" w:space="0" w:color="auto"/>
            <w:bottom w:val="none" w:sz="0" w:space="0" w:color="auto"/>
            <w:right w:val="none" w:sz="0" w:space="0" w:color="auto"/>
          </w:divBdr>
        </w:div>
        <w:div w:id="893196936">
          <w:marLeft w:val="0"/>
          <w:marRight w:val="0"/>
          <w:marTop w:val="0"/>
          <w:marBottom w:val="0"/>
          <w:divBdr>
            <w:top w:val="none" w:sz="0" w:space="0" w:color="auto"/>
            <w:left w:val="none" w:sz="0" w:space="0" w:color="auto"/>
            <w:bottom w:val="none" w:sz="0" w:space="0" w:color="auto"/>
            <w:right w:val="none" w:sz="0" w:space="0" w:color="auto"/>
          </w:divBdr>
        </w:div>
        <w:div w:id="906039658">
          <w:marLeft w:val="0"/>
          <w:marRight w:val="0"/>
          <w:marTop w:val="0"/>
          <w:marBottom w:val="0"/>
          <w:divBdr>
            <w:top w:val="none" w:sz="0" w:space="0" w:color="auto"/>
            <w:left w:val="none" w:sz="0" w:space="0" w:color="auto"/>
            <w:bottom w:val="none" w:sz="0" w:space="0" w:color="auto"/>
            <w:right w:val="none" w:sz="0" w:space="0" w:color="auto"/>
          </w:divBdr>
        </w:div>
        <w:div w:id="916939966">
          <w:marLeft w:val="0"/>
          <w:marRight w:val="0"/>
          <w:marTop w:val="0"/>
          <w:marBottom w:val="0"/>
          <w:divBdr>
            <w:top w:val="none" w:sz="0" w:space="0" w:color="auto"/>
            <w:left w:val="none" w:sz="0" w:space="0" w:color="auto"/>
            <w:bottom w:val="none" w:sz="0" w:space="0" w:color="auto"/>
            <w:right w:val="none" w:sz="0" w:space="0" w:color="auto"/>
          </w:divBdr>
        </w:div>
        <w:div w:id="918714468">
          <w:marLeft w:val="0"/>
          <w:marRight w:val="0"/>
          <w:marTop w:val="0"/>
          <w:marBottom w:val="0"/>
          <w:divBdr>
            <w:top w:val="none" w:sz="0" w:space="0" w:color="auto"/>
            <w:left w:val="none" w:sz="0" w:space="0" w:color="auto"/>
            <w:bottom w:val="none" w:sz="0" w:space="0" w:color="auto"/>
            <w:right w:val="none" w:sz="0" w:space="0" w:color="auto"/>
          </w:divBdr>
        </w:div>
        <w:div w:id="923034440">
          <w:marLeft w:val="0"/>
          <w:marRight w:val="0"/>
          <w:marTop w:val="0"/>
          <w:marBottom w:val="0"/>
          <w:divBdr>
            <w:top w:val="none" w:sz="0" w:space="0" w:color="auto"/>
            <w:left w:val="none" w:sz="0" w:space="0" w:color="auto"/>
            <w:bottom w:val="none" w:sz="0" w:space="0" w:color="auto"/>
            <w:right w:val="none" w:sz="0" w:space="0" w:color="auto"/>
          </w:divBdr>
        </w:div>
        <w:div w:id="931858122">
          <w:marLeft w:val="0"/>
          <w:marRight w:val="0"/>
          <w:marTop w:val="0"/>
          <w:marBottom w:val="0"/>
          <w:divBdr>
            <w:top w:val="none" w:sz="0" w:space="0" w:color="auto"/>
            <w:left w:val="none" w:sz="0" w:space="0" w:color="auto"/>
            <w:bottom w:val="none" w:sz="0" w:space="0" w:color="auto"/>
            <w:right w:val="none" w:sz="0" w:space="0" w:color="auto"/>
          </w:divBdr>
        </w:div>
        <w:div w:id="937180424">
          <w:marLeft w:val="0"/>
          <w:marRight w:val="0"/>
          <w:marTop w:val="0"/>
          <w:marBottom w:val="0"/>
          <w:divBdr>
            <w:top w:val="none" w:sz="0" w:space="0" w:color="auto"/>
            <w:left w:val="none" w:sz="0" w:space="0" w:color="auto"/>
            <w:bottom w:val="none" w:sz="0" w:space="0" w:color="auto"/>
            <w:right w:val="none" w:sz="0" w:space="0" w:color="auto"/>
          </w:divBdr>
        </w:div>
        <w:div w:id="941843418">
          <w:marLeft w:val="0"/>
          <w:marRight w:val="0"/>
          <w:marTop w:val="0"/>
          <w:marBottom w:val="0"/>
          <w:divBdr>
            <w:top w:val="none" w:sz="0" w:space="0" w:color="auto"/>
            <w:left w:val="none" w:sz="0" w:space="0" w:color="auto"/>
            <w:bottom w:val="none" w:sz="0" w:space="0" w:color="auto"/>
            <w:right w:val="none" w:sz="0" w:space="0" w:color="auto"/>
          </w:divBdr>
        </w:div>
        <w:div w:id="964119076">
          <w:marLeft w:val="0"/>
          <w:marRight w:val="0"/>
          <w:marTop w:val="0"/>
          <w:marBottom w:val="0"/>
          <w:divBdr>
            <w:top w:val="none" w:sz="0" w:space="0" w:color="auto"/>
            <w:left w:val="none" w:sz="0" w:space="0" w:color="auto"/>
            <w:bottom w:val="none" w:sz="0" w:space="0" w:color="auto"/>
            <w:right w:val="none" w:sz="0" w:space="0" w:color="auto"/>
          </w:divBdr>
        </w:div>
        <w:div w:id="964237201">
          <w:marLeft w:val="0"/>
          <w:marRight w:val="0"/>
          <w:marTop w:val="0"/>
          <w:marBottom w:val="0"/>
          <w:divBdr>
            <w:top w:val="none" w:sz="0" w:space="0" w:color="auto"/>
            <w:left w:val="none" w:sz="0" w:space="0" w:color="auto"/>
            <w:bottom w:val="none" w:sz="0" w:space="0" w:color="auto"/>
            <w:right w:val="none" w:sz="0" w:space="0" w:color="auto"/>
          </w:divBdr>
        </w:div>
        <w:div w:id="966275429">
          <w:marLeft w:val="0"/>
          <w:marRight w:val="0"/>
          <w:marTop w:val="0"/>
          <w:marBottom w:val="0"/>
          <w:divBdr>
            <w:top w:val="none" w:sz="0" w:space="0" w:color="auto"/>
            <w:left w:val="none" w:sz="0" w:space="0" w:color="auto"/>
            <w:bottom w:val="none" w:sz="0" w:space="0" w:color="auto"/>
            <w:right w:val="none" w:sz="0" w:space="0" w:color="auto"/>
          </w:divBdr>
        </w:div>
        <w:div w:id="983700612">
          <w:marLeft w:val="0"/>
          <w:marRight w:val="0"/>
          <w:marTop w:val="0"/>
          <w:marBottom w:val="0"/>
          <w:divBdr>
            <w:top w:val="none" w:sz="0" w:space="0" w:color="auto"/>
            <w:left w:val="none" w:sz="0" w:space="0" w:color="auto"/>
            <w:bottom w:val="none" w:sz="0" w:space="0" w:color="auto"/>
            <w:right w:val="none" w:sz="0" w:space="0" w:color="auto"/>
          </w:divBdr>
        </w:div>
        <w:div w:id="994262115">
          <w:marLeft w:val="0"/>
          <w:marRight w:val="0"/>
          <w:marTop w:val="0"/>
          <w:marBottom w:val="0"/>
          <w:divBdr>
            <w:top w:val="none" w:sz="0" w:space="0" w:color="auto"/>
            <w:left w:val="none" w:sz="0" w:space="0" w:color="auto"/>
            <w:bottom w:val="none" w:sz="0" w:space="0" w:color="auto"/>
            <w:right w:val="none" w:sz="0" w:space="0" w:color="auto"/>
          </w:divBdr>
        </w:div>
        <w:div w:id="999117299">
          <w:marLeft w:val="0"/>
          <w:marRight w:val="0"/>
          <w:marTop w:val="0"/>
          <w:marBottom w:val="0"/>
          <w:divBdr>
            <w:top w:val="none" w:sz="0" w:space="0" w:color="auto"/>
            <w:left w:val="none" w:sz="0" w:space="0" w:color="auto"/>
            <w:bottom w:val="none" w:sz="0" w:space="0" w:color="auto"/>
            <w:right w:val="none" w:sz="0" w:space="0" w:color="auto"/>
          </w:divBdr>
        </w:div>
        <w:div w:id="999696147">
          <w:marLeft w:val="0"/>
          <w:marRight w:val="0"/>
          <w:marTop w:val="0"/>
          <w:marBottom w:val="0"/>
          <w:divBdr>
            <w:top w:val="none" w:sz="0" w:space="0" w:color="auto"/>
            <w:left w:val="none" w:sz="0" w:space="0" w:color="auto"/>
            <w:bottom w:val="none" w:sz="0" w:space="0" w:color="auto"/>
            <w:right w:val="none" w:sz="0" w:space="0" w:color="auto"/>
          </w:divBdr>
        </w:div>
        <w:div w:id="1001933602">
          <w:marLeft w:val="0"/>
          <w:marRight w:val="0"/>
          <w:marTop w:val="0"/>
          <w:marBottom w:val="0"/>
          <w:divBdr>
            <w:top w:val="none" w:sz="0" w:space="0" w:color="auto"/>
            <w:left w:val="none" w:sz="0" w:space="0" w:color="auto"/>
            <w:bottom w:val="none" w:sz="0" w:space="0" w:color="auto"/>
            <w:right w:val="none" w:sz="0" w:space="0" w:color="auto"/>
          </w:divBdr>
        </w:div>
        <w:div w:id="1006860553">
          <w:marLeft w:val="0"/>
          <w:marRight w:val="0"/>
          <w:marTop w:val="0"/>
          <w:marBottom w:val="0"/>
          <w:divBdr>
            <w:top w:val="none" w:sz="0" w:space="0" w:color="auto"/>
            <w:left w:val="none" w:sz="0" w:space="0" w:color="auto"/>
            <w:bottom w:val="none" w:sz="0" w:space="0" w:color="auto"/>
            <w:right w:val="none" w:sz="0" w:space="0" w:color="auto"/>
          </w:divBdr>
        </w:div>
        <w:div w:id="1023482208">
          <w:marLeft w:val="0"/>
          <w:marRight w:val="0"/>
          <w:marTop w:val="0"/>
          <w:marBottom w:val="0"/>
          <w:divBdr>
            <w:top w:val="none" w:sz="0" w:space="0" w:color="auto"/>
            <w:left w:val="none" w:sz="0" w:space="0" w:color="auto"/>
            <w:bottom w:val="none" w:sz="0" w:space="0" w:color="auto"/>
            <w:right w:val="none" w:sz="0" w:space="0" w:color="auto"/>
          </w:divBdr>
        </w:div>
        <w:div w:id="1032879971">
          <w:marLeft w:val="0"/>
          <w:marRight w:val="0"/>
          <w:marTop w:val="0"/>
          <w:marBottom w:val="0"/>
          <w:divBdr>
            <w:top w:val="none" w:sz="0" w:space="0" w:color="auto"/>
            <w:left w:val="none" w:sz="0" w:space="0" w:color="auto"/>
            <w:bottom w:val="none" w:sz="0" w:space="0" w:color="auto"/>
            <w:right w:val="none" w:sz="0" w:space="0" w:color="auto"/>
          </w:divBdr>
        </w:div>
        <w:div w:id="1041905895">
          <w:marLeft w:val="0"/>
          <w:marRight w:val="0"/>
          <w:marTop w:val="0"/>
          <w:marBottom w:val="0"/>
          <w:divBdr>
            <w:top w:val="none" w:sz="0" w:space="0" w:color="auto"/>
            <w:left w:val="none" w:sz="0" w:space="0" w:color="auto"/>
            <w:bottom w:val="none" w:sz="0" w:space="0" w:color="auto"/>
            <w:right w:val="none" w:sz="0" w:space="0" w:color="auto"/>
          </w:divBdr>
        </w:div>
        <w:div w:id="1052383269">
          <w:marLeft w:val="0"/>
          <w:marRight w:val="0"/>
          <w:marTop w:val="0"/>
          <w:marBottom w:val="0"/>
          <w:divBdr>
            <w:top w:val="none" w:sz="0" w:space="0" w:color="auto"/>
            <w:left w:val="none" w:sz="0" w:space="0" w:color="auto"/>
            <w:bottom w:val="none" w:sz="0" w:space="0" w:color="auto"/>
            <w:right w:val="none" w:sz="0" w:space="0" w:color="auto"/>
          </w:divBdr>
        </w:div>
        <w:div w:id="1054306426">
          <w:marLeft w:val="0"/>
          <w:marRight w:val="0"/>
          <w:marTop w:val="0"/>
          <w:marBottom w:val="0"/>
          <w:divBdr>
            <w:top w:val="none" w:sz="0" w:space="0" w:color="auto"/>
            <w:left w:val="none" w:sz="0" w:space="0" w:color="auto"/>
            <w:bottom w:val="none" w:sz="0" w:space="0" w:color="auto"/>
            <w:right w:val="none" w:sz="0" w:space="0" w:color="auto"/>
          </w:divBdr>
        </w:div>
        <w:div w:id="1057586808">
          <w:marLeft w:val="0"/>
          <w:marRight w:val="0"/>
          <w:marTop w:val="0"/>
          <w:marBottom w:val="0"/>
          <w:divBdr>
            <w:top w:val="none" w:sz="0" w:space="0" w:color="auto"/>
            <w:left w:val="none" w:sz="0" w:space="0" w:color="auto"/>
            <w:bottom w:val="none" w:sz="0" w:space="0" w:color="auto"/>
            <w:right w:val="none" w:sz="0" w:space="0" w:color="auto"/>
          </w:divBdr>
        </w:div>
        <w:div w:id="1064140778">
          <w:marLeft w:val="0"/>
          <w:marRight w:val="0"/>
          <w:marTop w:val="0"/>
          <w:marBottom w:val="0"/>
          <w:divBdr>
            <w:top w:val="none" w:sz="0" w:space="0" w:color="auto"/>
            <w:left w:val="none" w:sz="0" w:space="0" w:color="auto"/>
            <w:bottom w:val="none" w:sz="0" w:space="0" w:color="auto"/>
            <w:right w:val="none" w:sz="0" w:space="0" w:color="auto"/>
          </w:divBdr>
        </w:div>
        <w:div w:id="1071001595">
          <w:marLeft w:val="0"/>
          <w:marRight w:val="0"/>
          <w:marTop w:val="0"/>
          <w:marBottom w:val="0"/>
          <w:divBdr>
            <w:top w:val="none" w:sz="0" w:space="0" w:color="auto"/>
            <w:left w:val="none" w:sz="0" w:space="0" w:color="auto"/>
            <w:bottom w:val="none" w:sz="0" w:space="0" w:color="auto"/>
            <w:right w:val="none" w:sz="0" w:space="0" w:color="auto"/>
          </w:divBdr>
        </w:div>
        <w:div w:id="1078864524">
          <w:marLeft w:val="0"/>
          <w:marRight w:val="0"/>
          <w:marTop w:val="0"/>
          <w:marBottom w:val="0"/>
          <w:divBdr>
            <w:top w:val="none" w:sz="0" w:space="0" w:color="auto"/>
            <w:left w:val="none" w:sz="0" w:space="0" w:color="auto"/>
            <w:bottom w:val="none" w:sz="0" w:space="0" w:color="auto"/>
            <w:right w:val="none" w:sz="0" w:space="0" w:color="auto"/>
          </w:divBdr>
        </w:div>
        <w:div w:id="1099062203">
          <w:marLeft w:val="0"/>
          <w:marRight w:val="0"/>
          <w:marTop w:val="0"/>
          <w:marBottom w:val="0"/>
          <w:divBdr>
            <w:top w:val="none" w:sz="0" w:space="0" w:color="auto"/>
            <w:left w:val="none" w:sz="0" w:space="0" w:color="auto"/>
            <w:bottom w:val="none" w:sz="0" w:space="0" w:color="auto"/>
            <w:right w:val="none" w:sz="0" w:space="0" w:color="auto"/>
          </w:divBdr>
        </w:div>
        <w:div w:id="1124544254">
          <w:marLeft w:val="0"/>
          <w:marRight w:val="0"/>
          <w:marTop w:val="0"/>
          <w:marBottom w:val="0"/>
          <w:divBdr>
            <w:top w:val="none" w:sz="0" w:space="0" w:color="auto"/>
            <w:left w:val="none" w:sz="0" w:space="0" w:color="auto"/>
            <w:bottom w:val="none" w:sz="0" w:space="0" w:color="auto"/>
            <w:right w:val="none" w:sz="0" w:space="0" w:color="auto"/>
          </w:divBdr>
        </w:div>
        <w:div w:id="1127552038">
          <w:marLeft w:val="0"/>
          <w:marRight w:val="0"/>
          <w:marTop w:val="0"/>
          <w:marBottom w:val="0"/>
          <w:divBdr>
            <w:top w:val="none" w:sz="0" w:space="0" w:color="auto"/>
            <w:left w:val="none" w:sz="0" w:space="0" w:color="auto"/>
            <w:bottom w:val="none" w:sz="0" w:space="0" w:color="auto"/>
            <w:right w:val="none" w:sz="0" w:space="0" w:color="auto"/>
          </w:divBdr>
        </w:div>
        <w:div w:id="1171070257">
          <w:marLeft w:val="0"/>
          <w:marRight w:val="0"/>
          <w:marTop w:val="0"/>
          <w:marBottom w:val="0"/>
          <w:divBdr>
            <w:top w:val="none" w:sz="0" w:space="0" w:color="auto"/>
            <w:left w:val="none" w:sz="0" w:space="0" w:color="auto"/>
            <w:bottom w:val="none" w:sz="0" w:space="0" w:color="auto"/>
            <w:right w:val="none" w:sz="0" w:space="0" w:color="auto"/>
          </w:divBdr>
        </w:div>
        <w:div w:id="1176962741">
          <w:marLeft w:val="0"/>
          <w:marRight w:val="0"/>
          <w:marTop w:val="0"/>
          <w:marBottom w:val="0"/>
          <w:divBdr>
            <w:top w:val="none" w:sz="0" w:space="0" w:color="auto"/>
            <w:left w:val="none" w:sz="0" w:space="0" w:color="auto"/>
            <w:bottom w:val="none" w:sz="0" w:space="0" w:color="auto"/>
            <w:right w:val="none" w:sz="0" w:space="0" w:color="auto"/>
          </w:divBdr>
        </w:div>
        <w:div w:id="1183470132">
          <w:marLeft w:val="0"/>
          <w:marRight w:val="0"/>
          <w:marTop w:val="0"/>
          <w:marBottom w:val="0"/>
          <w:divBdr>
            <w:top w:val="none" w:sz="0" w:space="0" w:color="auto"/>
            <w:left w:val="none" w:sz="0" w:space="0" w:color="auto"/>
            <w:bottom w:val="none" w:sz="0" w:space="0" w:color="auto"/>
            <w:right w:val="none" w:sz="0" w:space="0" w:color="auto"/>
          </w:divBdr>
        </w:div>
        <w:div w:id="1189222162">
          <w:marLeft w:val="0"/>
          <w:marRight w:val="0"/>
          <w:marTop w:val="0"/>
          <w:marBottom w:val="0"/>
          <w:divBdr>
            <w:top w:val="none" w:sz="0" w:space="0" w:color="auto"/>
            <w:left w:val="none" w:sz="0" w:space="0" w:color="auto"/>
            <w:bottom w:val="none" w:sz="0" w:space="0" w:color="auto"/>
            <w:right w:val="none" w:sz="0" w:space="0" w:color="auto"/>
          </w:divBdr>
        </w:div>
        <w:div w:id="1192571942">
          <w:marLeft w:val="0"/>
          <w:marRight w:val="0"/>
          <w:marTop w:val="0"/>
          <w:marBottom w:val="0"/>
          <w:divBdr>
            <w:top w:val="none" w:sz="0" w:space="0" w:color="auto"/>
            <w:left w:val="none" w:sz="0" w:space="0" w:color="auto"/>
            <w:bottom w:val="none" w:sz="0" w:space="0" w:color="auto"/>
            <w:right w:val="none" w:sz="0" w:space="0" w:color="auto"/>
          </w:divBdr>
        </w:div>
        <w:div w:id="1203901540">
          <w:marLeft w:val="0"/>
          <w:marRight w:val="0"/>
          <w:marTop w:val="0"/>
          <w:marBottom w:val="0"/>
          <w:divBdr>
            <w:top w:val="none" w:sz="0" w:space="0" w:color="auto"/>
            <w:left w:val="none" w:sz="0" w:space="0" w:color="auto"/>
            <w:bottom w:val="none" w:sz="0" w:space="0" w:color="auto"/>
            <w:right w:val="none" w:sz="0" w:space="0" w:color="auto"/>
          </w:divBdr>
        </w:div>
        <w:div w:id="1228147533">
          <w:marLeft w:val="0"/>
          <w:marRight w:val="0"/>
          <w:marTop w:val="0"/>
          <w:marBottom w:val="0"/>
          <w:divBdr>
            <w:top w:val="none" w:sz="0" w:space="0" w:color="auto"/>
            <w:left w:val="none" w:sz="0" w:space="0" w:color="auto"/>
            <w:bottom w:val="none" w:sz="0" w:space="0" w:color="auto"/>
            <w:right w:val="none" w:sz="0" w:space="0" w:color="auto"/>
          </w:divBdr>
        </w:div>
        <w:div w:id="1241134202">
          <w:marLeft w:val="0"/>
          <w:marRight w:val="0"/>
          <w:marTop w:val="0"/>
          <w:marBottom w:val="0"/>
          <w:divBdr>
            <w:top w:val="none" w:sz="0" w:space="0" w:color="auto"/>
            <w:left w:val="none" w:sz="0" w:space="0" w:color="auto"/>
            <w:bottom w:val="none" w:sz="0" w:space="0" w:color="auto"/>
            <w:right w:val="none" w:sz="0" w:space="0" w:color="auto"/>
          </w:divBdr>
        </w:div>
        <w:div w:id="1252202478">
          <w:marLeft w:val="0"/>
          <w:marRight w:val="0"/>
          <w:marTop w:val="0"/>
          <w:marBottom w:val="0"/>
          <w:divBdr>
            <w:top w:val="none" w:sz="0" w:space="0" w:color="auto"/>
            <w:left w:val="none" w:sz="0" w:space="0" w:color="auto"/>
            <w:bottom w:val="none" w:sz="0" w:space="0" w:color="auto"/>
            <w:right w:val="none" w:sz="0" w:space="0" w:color="auto"/>
          </w:divBdr>
        </w:div>
        <w:div w:id="1263226835">
          <w:marLeft w:val="0"/>
          <w:marRight w:val="0"/>
          <w:marTop w:val="0"/>
          <w:marBottom w:val="0"/>
          <w:divBdr>
            <w:top w:val="none" w:sz="0" w:space="0" w:color="auto"/>
            <w:left w:val="none" w:sz="0" w:space="0" w:color="auto"/>
            <w:bottom w:val="none" w:sz="0" w:space="0" w:color="auto"/>
            <w:right w:val="none" w:sz="0" w:space="0" w:color="auto"/>
          </w:divBdr>
        </w:div>
        <w:div w:id="1265115282">
          <w:marLeft w:val="0"/>
          <w:marRight w:val="0"/>
          <w:marTop w:val="0"/>
          <w:marBottom w:val="0"/>
          <w:divBdr>
            <w:top w:val="none" w:sz="0" w:space="0" w:color="auto"/>
            <w:left w:val="none" w:sz="0" w:space="0" w:color="auto"/>
            <w:bottom w:val="none" w:sz="0" w:space="0" w:color="auto"/>
            <w:right w:val="none" w:sz="0" w:space="0" w:color="auto"/>
          </w:divBdr>
        </w:div>
        <w:div w:id="1266887744">
          <w:marLeft w:val="0"/>
          <w:marRight w:val="0"/>
          <w:marTop w:val="0"/>
          <w:marBottom w:val="0"/>
          <w:divBdr>
            <w:top w:val="none" w:sz="0" w:space="0" w:color="auto"/>
            <w:left w:val="none" w:sz="0" w:space="0" w:color="auto"/>
            <w:bottom w:val="none" w:sz="0" w:space="0" w:color="auto"/>
            <w:right w:val="none" w:sz="0" w:space="0" w:color="auto"/>
          </w:divBdr>
        </w:div>
        <w:div w:id="1266959602">
          <w:marLeft w:val="0"/>
          <w:marRight w:val="0"/>
          <w:marTop w:val="0"/>
          <w:marBottom w:val="0"/>
          <w:divBdr>
            <w:top w:val="none" w:sz="0" w:space="0" w:color="auto"/>
            <w:left w:val="none" w:sz="0" w:space="0" w:color="auto"/>
            <w:bottom w:val="none" w:sz="0" w:space="0" w:color="auto"/>
            <w:right w:val="none" w:sz="0" w:space="0" w:color="auto"/>
          </w:divBdr>
        </w:div>
        <w:div w:id="1278365771">
          <w:marLeft w:val="0"/>
          <w:marRight w:val="0"/>
          <w:marTop w:val="0"/>
          <w:marBottom w:val="0"/>
          <w:divBdr>
            <w:top w:val="none" w:sz="0" w:space="0" w:color="auto"/>
            <w:left w:val="none" w:sz="0" w:space="0" w:color="auto"/>
            <w:bottom w:val="none" w:sz="0" w:space="0" w:color="auto"/>
            <w:right w:val="none" w:sz="0" w:space="0" w:color="auto"/>
          </w:divBdr>
        </w:div>
        <w:div w:id="1280452824">
          <w:marLeft w:val="0"/>
          <w:marRight w:val="0"/>
          <w:marTop w:val="0"/>
          <w:marBottom w:val="0"/>
          <w:divBdr>
            <w:top w:val="none" w:sz="0" w:space="0" w:color="auto"/>
            <w:left w:val="none" w:sz="0" w:space="0" w:color="auto"/>
            <w:bottom w:val="none" w:sz="0" w:space="0" w:color="auto"/>
            <w:right w:val="none" w:sz="0" w:space="0" w:color="auto"/>
          </w:divBdr>
        </w:div>
        <w:div w:id="1297369554">
          <w:marLeft w:val="0"/>
          <w:marRight w:val="0"/>
          <w:marTop w:val="0"/>
          <w:marBottom w:val="0"/>
          <w:divBdr>
            <w:top w:val="none" w:sz="0" w:space="0" w:color="auto"/>
            <w:left w:val="none" w:sz="0" w:space="0" w:color="auto"/>
            <w:bottom w:val="none" w:sz="0" w:space="0" w:color="auto"/>
            <w:right w:val="none" w:sz="0" w:space="0" w:color="auto"/>
          </w:divBdr>
        </w:div>
        <w:div w:id="1311399009">
          <w:marLeft w:val="0"/>
          <w:marRight w:val="0"/>
          <w:marTop w:val="0"/>
          <w:marBottom w:val="0"/>
          <w:divBdr>
            <w:top w:val="none" w:sz="0" w:space="0" w:color="auto"/>
            <w:left w:val="none" w:sz="0" w:space="0" w:color="auto"/>
            <w:bottom w:val="none" w:sz="0" w:space="0" w:color="auto"/>
            <w:right w:val="none" w:sz="0" w:space="0" w:color="auto"/>
          </w:divBdr>
        </w:div>
        <w:div w:id="1312716028">
          <w:marLeft w:val="0"/>
          <w:marRight w:val="0"/>
          <w:marTop w:val="0"/>
          <w:marBottom w:val="0"/>
          <w:divBdr>
            <w:top w:val="none" w:sz="0" w:space="0" w:color="auto"/>
            <w:left w:val="none" w:sz="0" w:space="0" w:color="auto"/>
            <w:bottom w:val="none" w:sz="0" w:space="0" w:color="auto"/>
            <w:right w:val="none" w:sz="0" w:space="0" w:color="auto"/>
          </w:divBdr>
        </w:div>
        <w:div w:id="1320302728">
          <w:marLeft w:val="0"/>
          <w:marRight w:val="0"/>
          <w:marTop w:val="0"/>
          <w:marBottom w:val="0"/>
          <w:divBdr>
            <w:top w:val="none" w:sz="0" w:space="0" w:color="auto"/>
            <w:left w:val="none" w:sz="0" w:space="0" w:color="auto"/>
            <w:bottom w:val="none" w:sz="0" w:space="0" w:color="auto"/>
            <w:right w:val="none" w:sz="0" w:space="0" w:color="auto"/>
          </w:divBdr>
        </w:div>
        <w:div w:id="1336803950">
          <w:marLeft w:val="0"/>
          <w:marRight w:val="0"/>
          <w:marTop w:val="0"/>
          <w:marBottom w:val="0"/>
          <w:divBdr>
            <w:top w:val="none" w:sz="0" w:space="0" w:color="auto"/>
            <w:left w:val="none" w:sz="0" w:space="0" w:color="auto"/>
            <w:bottom w:val="none" w:sz="0" w:space="0" w:color="auto"/>
            <w:right w:val="none" w:sz="0" w:space="0" w:color="auto"/>
          </w:divBdr>
        </w:div>
        <w:div w:id="1346903621">
          <w:marLeft w:val="0"/>
          <w:marRight w:val="0"/>
          <w:marTop w:val="0"/>
          <w:marBottom w:val="0"/>
          <w:divBdr>
            <w:top w:val="none" w:sz="0" w:space="0" w:color="auto"/>
            <w:left w:val="none" w:sz="0" w:space="0" w:color="auto"/>
            <w:bottom w:val="none" w:sz="0" w:space="0" w:color="auto"/>
            <w:right w:val="none" w:sz="0" w:space="0" w:color="auto"/>
          </w:divBdr>
        </w:div>
        <w:div w:id="1367826507">
          <w:marLeft w:val="0"/>
          <w:marRight w:val="0"/>
          <w:marTop w:val="0"/>
          <w:marBottom w:val="0"/>
          <w:divBdr>
            <w:top w:val="none" w:sz="0" w:space="0" w:color="auto"/>
            <w:left w:val="none" w:sz="0" w:space="0" w:color="auto"/>
            <w:bottom w:val="none" w:sz="0" w:space="0" w:color="auto"/>
            <w:right w:val="none" w:sz="0" w:space="0" w:color="auto"/>
          </w:divBdr>
        </w:div>
        <w:div w:id="1381131799">
          <w:marLeft w:val="0"/>
          <w:marRight w:val="0"/>
          <w:marTop w:val="0"/>
          <w:marBottom w:val="0"/>
          <w:divBdr>
            <w:top w:val="none" w:sz="0" w:space="0" w:color="auto"/>
            <w:left w:val="none" w:sz="0" w:space="0" w:color="auto"/>
            <w:bottom w:val="none" w:sz="0" w:space="0" w:color="auto"/>
            <w:right w:val="none" w:sz="0" w:space="0" w:color="auto"/>
          </w:divBdr>
        </w:div>
        <w:div w:id="1394352842">
          <w:marLeft w:val="0"/>
          <w:marRight w:val="0"/>
          <w:marTop w:val="0"/>
          <w:marBottom w:val="0"/>
          <w:divBdr>
            <w:top w:val="none" w:sz="0" w:space="0" w:color="auto"/>
            <w:left w:val="none" w:sz="0" w:space="0" w:color="auto"/>
            <w:bottom w:val="none" w:sz="0" w:space="0" w:color="auto"/>
            <w:right w:val="none" w:sz="0" w:space="0" w:color="auto"/>
          </w:divBdr>
        </w:div>
        <w:div w:id="1398358751">
          <w:marLeft w:val="0"/>
          <w:marRight w:val="0"/>
          <w:marTop w:val="0"/>
          <w:marBottom w:val="0"/>
          <w:divBdr>
            <w:top w:val="none" w:sz="0" w:space="0" w:color="auto"/>
            <w:left w:val="none" w:sz="0" w:space="0" w:color="auto"/>
            <w:bottom w:val="none" w:sz="0" w:space="0" w:color="auto"/>
            <w:right w:val="none" w:sz="0" w:space="0" w:color="auto"/>
          </w:divBdr>
        </w:div>
        <w:div w:id="1398941414">
          <w:marLeft w:val="0"/>
          <w:marRight w:val="0"/>
          <w:marTop w:val="0"/>
          <w:marBottom w:val="0"/>
          <w:divBdr>
            <w:top w:val="none" w:sz="0" w:space="0" w:color="auto"/>
            <w:left w:val="none" w:sz="0" w:space="0" w:color="auto"/>
            <w:bottom w:val="none" w:sz="0" w:space="0" w:color="auto"/>
            <w:right w:val="none" w:sz="0" w:space="0" w:color="auto"/>
          </w:divBdr>
        </w:div>
        <w:div w:id="1401639491">
          <w:marLeft w:val="0"/>
          <w:marRight w:val="0"/>
          <w:marTop w:val="0"/>
          <w:marBottom w:val="0"/>
          <w:divBdr>
            <w:top w:val="none" w:sz="0" w:space="0" w:color="auto"/>
            <w:left w:val="none" w:sz="0" w:space="0" w:color="auto"/>
            <w:bottom w:val="none" w:sz="0" w:space="0" w:color="auto"/>
            <w:right w:val="none" w:sz="0" w:space="0" w:color="auto"/>
          </w:divBdr>
        </w:div>
        <w:div w:id="1406756613">
          <w:marLeft w:val="0"/>
          <w:marRight w:val="0"/>
          <w:marTop w:val="0"/>
          <w:marBottom w:val="0"/>
          <w:divBdr>
            <w:top w:val="none" w:sz="0" w:space="0" w:color="auto"/>
            <w:left w:val="none" w:sz="0" w:space="0" w:color="auto"/>
            <w:bottom w:val="none" w:sz="0" w:space="0" w:color="auto"/>
            <w:right w:val="none" w:sz="0" w:space="0" w:color="auto"/>
          </w:divBdr>
        </w:div>
        <w:div w:id="1422945644">
          <w:marLeft w:val="0"/>
          <w:marRight w:val="0"/>
          <w:marTop w:val="0"/>
          <w:marBottom w:val="0"/>
          <w:divBdr>
            <w:top w:val="none" w:sz="0" w:space="0" w:color="auto"/>
            <w:left w:val="none" w:sz="0" w:space="0" w:color="auto"/>
            <w:bottom w:val="none" w:sz="0" w:space="0" w:color="auto"/>
            <w:right w:val="none" w:sz="0" w:space="0" w:color="auto"/>
          </w:divBdr>
        </w:div>
        <w:div w:id="1429034401">
          <w:marLeft w:val="0"/>
          <w:marRight w:val="0"/>
          <w:marTop w:val="0"/>
          <w:marBottom w:val="0"/>
          <w:divBdr>
            <w:top w:val="none" w:sz="0" w:space="0" w:color="auto"/>
            <w:left w:val="none" w:sz="0" w:space="0" w:color="auto"/>
            <w:bottom w:val="none" w:sz="0" w:space="0" w:color="auto"/>
            <w:right w:val="none" w:sz="0" w:space="0" w:color="auto"/>
          </w:divBdr>
        </w:div>
        <w:div w:id="1430396019">
          <w:marLeft w:val="0"/>
          <w:marRight w:val="0"/>
          <w:marTop w:val="0"/>
          <w:marBottom w:val="0"/>
          <w:divBdr>
            <w:top w:val="none" w:sz="0" w:space="0" w:color="auto"/>
            <w:left w:val="none" w:sz="0" w:space="0" w:color="auto"/>
            <w:bottom w:val="none" w:sz="0" w:space="0" w:color="auto"/>
            <w:right w:val="none" w:sz="0" w:space="0" w:color="auto"/>
          </w:divBdr>
        </w:div>
        <w:div w:id="1435396886">
          <w:marLeft w:val="0"/>
          <w:marRight w:val="0"/>
          <w:marTop w:val="0"/>
          <w:marBottom w:val="0"/>
          <w:divBdr>
            <w:top w:val="none" w:sz="0" w:space="0" w:color="auto"/>
            <w:left w:val="none" w:sz="0" w:space="0" w:color="auto"/>
            <w:bottom w:val="none" w:sz="0" w:space="0" w:color="auto"/>
            <w:right w:val="none" w:sz="0" w:space="0" w:color="auto"/>
          </w:divBdr>
        </w:div>
        <w:div w:id="1440879007">
          <w:marLeft w:val="0"/>
          <w:marRight w:val="0"/>
          <w:marTop w:val="0"/>
          <w:marBottom w:val="0"/>
          <w:divBdr>
            <w:top w:val="none" w:sz="0" w:space="0" w:color="auto"/>
            <w:left w:val="none" w:sz="0" w:space="0" w:color="auto"/>
            <w:bottom w:val="none" w:sz="0" w:space="0" w:color="auto"/>
            <w:right w:val="none" w:sz="0" w:space="0" w:color="auto"/>
          </w:divBdr>
        </w:div>
        <w:div w:id="1441562128">
          <w:marLeft w:val="0"/>
          <w:marRight w:val="0"/>
          <w:marTop w:val="0"/>
          <w:marBottom w:val="0"/>
          <w:divBdr>
            <w:top w:val="none" w:sz="0" w:space="0" w:color="auto"/>
            <w:left w:val="none" w:sz="0" w:space="0" w:color="auto"/>
            <w:bottom w:val="none" w:sz="0" w:space="0" w:color="auto"/>
            <w:right w:val="none" w:sz="0" w:space="0" w:color="auto"/>
          </w:divBdr>
        </w:div>
        <w:div w:id="1442147885">
          <w:marLeft w:val="0"/>
          <w:marRight w:val="0"/>
          <w:marTop w:val="0"/>
          <w:marBottom w:val="0"/>
          <w:divBdr>
            <w:top w:val="none" w:sz="0" w:space="0" w:color="auto"/>
            <w:left w:val="none" w:sz="0" w:space="0" w:color="auto"/>
            <w:bottom w:val="none" w:sz="0" w:space="0" w:color="auto"/>
            <w:right w:val="none" w:sz="0" w:space="0" w:color="auto"/>
          </w:divBdr>
        </w:div>
        <w:div w:id="1444499407">
          <w:marLeft w:val="0"/>
          <w:marRight w:val="0"/>
          <w:marTop w:val="0"/>
          <w:marBottom w:val="0"/>
          <w:divBdr>
            <w:top w:val="none" w:sz="0" w:space="0" w:color="auto"/>
            <w:left w:val="none" w:sz="0" w:space="0" w:color="auto"/>
            <w:bottom w:val="none" w:sz="0" w:space="0" w:color="auto"/>
            <w:right w:val="none" w:sz="0" w:space="0" w:color="auto"/>
          </w:divBdr>
        </w:div>
        <w:div w:id="1461457246">
          <w:marLeft w:val="0"/>
          <w:marRight w:val="0"/>
          <w:marTop w:val="0"/>
          <w:marBottom w:val="0"/>
          <w:divBdr>
            <w:top w:val="none" w:sz="0" w:space="0" w:color="auto"/>
            <w:left w:val="none" w:sz="0" w:space="0" w:color="auto"/>
            <w:bottom w:val="none" w:sz="0" w:space="0" w:color="auto"/>
            <w:right w:val="none" w:sz="0" w:space="0" w:color="auto"/>
          </w:divBdr>
        </w:div>
        <w:div w:id="1465193250">
          <w:marLeft w:val="0"/>
          <w:marRight w:val="0"/>
          <w:marTop w:val="0"/>
          <w:marBottom w:val="0"/>
          <w:divBdr>
            <w:top w:val="none" w:sz="0" w:space="0" w:color="auto"/>
            <w:left w:val="none" w:sz="0" w:space="0" w:color="auto"/>
            <w:bottom w:val="none" w:sz="0" w:space="0" w:color="auto"/>
            <w:right w:val="none" w:sz="0" w:space="0" w:color="auto"/>
          </w:divBdr>
        </w:div>
        <w:div w:id="1472864427">
          <w:marLeft w:val="0"/>
          <w:marRight w:val="0"/>
          <w:marTop w:val="0"/>
          <w:marBottom w:val="0"/>
          <w:divBdr>
            <w:top w:val="none" w:sz="0" w:space="0" w:color="auto"/>
            <w:left w:val="none" w:sz="0" w:space="0" w:color="auto"/>
            <w:bottom w:val="none" w:sz="0" w:space="0" w:color="auto"/>
            <w:right w:val="none" w:sz="0" w:space="0" w:color="auto"/>
          </w:divBdr>
        </w:div>
        <w:div w:id="1473055038">
          <w:marLeft w:val="0"/>
          <w:marRight w:val="0"/>
          <w:marTop w:val="0"/>
          <w:marBottom w:val="0"/>
          <w:divBdr>
            <w:top w:val="none" w:sz="0" w:space="0" w:color="auto"/>
            <w:left w:val="none" w:sz="0" w:space="0" w:color="auto"/>
            <w:bottom w:val="none" w:sz="0" w:space="0" w:color="auto"/>
            <w:right w:val="none" w:sz="0" w:space="0" w:color="auto"/>
          </w:divBdr>
        </w:div>
        <w:div w:id="1474367295">
          <w:marLeft w:val="0"/>
          <w:marRight w:val="0"/>
          <w:marTop w:val="0"/>
          <w:marBottom w:val="0"/>
          <w:divBdr>
            <w:top w:val="none" w:sz="0" w:space="0" w:color="auto"/>
            <w:left w:val="none" w:sz="0" w:space="0" w:color="auto"/>
            <w:bottom w:val="none" w:sz="0" w:space="0" w:color="auto"/>
            <w:right w:val="none" w:sz="0" w:space="0" w:color="auto"/>
          </w:divBdr>
        </w:div>
        <w:div w:id="1483502202">
          <w:marLeft w:val="0"/>
          <w:marRight w:val="0"/>
          <w:marTop w:val="0"/>
          <w:marBottom w:val="0"/>
          <w:divBdr>
            <w:top w:val="none" w:sz="0" w:space="0" w:color="auto"/>
            <w:left w:val="none" w:sz="0" w:space="0" w:color="auto"/>
            <w:bottom w:val="none" w:sz="0" w:space="0" w:color="auto"/>
            <w:right w:val="none" w:sz="0" w:space="0" w:color="auto"/>
          </w:divBdr>
        </w:div>
        <w:div w:id="1485119073">
          <w:marLeft w:val="0"/>
          <w:marRight w:val="0"/>
          <w:marTop w:val="0"/>
          <w:marBottom w:val="0"/>
          <w:divBdr>
            <w:top w:val="none" w:sz="0" w:space="0" w:color="auto"/>
            <w:left w:val="none" w:sz="0" w:space="0" w:color="auto"/>
            <w:bottom w:val="none" w:sz="0" w:space="0" w:color="auto"/>
            <w:right w:val="none" w:sz="0" w:space="0" w:color="auto"/>
          </w:divBdr>
        </w:div>
        <w:div w:id="1487286251">
          <w:marLeft w:val="0"/>
          <w:marRight w:val="0"/>
          <w:marTop w:val="0"/>
          <w:marBottom w:val="0"/>
          <w:divBdr>
            <w:top w:val="none" w:sz="0" w:space="0" w:color="auto"/>
            <w:left w:val="none" w:sz="0" w:space="0" w:color="auto"/>
            <w:bottom w:val="none" w:sz="0" w:space="0" w:color="auto"/>
            <w:right w:val="none" w:sz="0" w:space="0" w:color="auto"/>
          </w:divBdr>
        </w:div>
        <w:div w:id="1496916999">
          <w:marLeft w:val="0"/>
          <w:marRight w:val="0"/>
          <w:marTop w:val="0"/>
          <w:marBottom w:val="0"/>
          <w:divBdr>
            <w:top w:val="none" w:sz="0" w:space="0" w:color="auto"/>
            <w:left w:val="none" w:sz="0" w:space="0" w:color="auto"/>
            <w:bottom w:val="none" w:sz="0" w:space="0" w:color="auto"/>
            <w:right w:val="none" w:sz="0" w:space="0" w:color="auto"/>
          </w:divBdr>
        </w:div>
        <w:div w:id="1506018671">
          <w:marLeft w:val="0"/>
          <w:marRight w:val="0"/>
          <w:marTop w:val="0"/>
          <w:marBottom w:val="0"/>
          <w:divBdr>
            <w:top w:val="none" w:sz="0" w:space="0" w:color="auto"/>
            <w:left w:val="none" w:sz="0" w:space="0" w:color="auto"/>
            <w:bottom w:val="none" w:sz="0" w:space="0" w:color="auto"/>
            <w:right w:val="none" w:sz="0" w:space="0" w:color="auto"/>
          </w:divBdr>
        </w:div>
        <w:div w:id="1511329960">
          <w:marLeft w:val="0"/>
          <w:marRight w:val="0"/>
          <w:marTop w:val="0"/>
          <w:marBottom w:val="0"/>
          <w:divBdr>
            <w:top w:val="none" w:sz="0" w:space="0" w:color="auto"/>
            <w:left w:val="none" w:sz="0" w:space="0" w:color="auto"/>
            <w:bottom w:val="none" w:sz="0" w:space="0" w:color="auto"/>
            <w:right w:val="none" w:sz="0" w:space="0" w:color="auto"/>
          </w:divBdr>
        </w:div>
        <w:div w:id="1515152398">
          <w:marLeft w:val="0"/>
          <w:marRight w:val="0"/>
          <w:marTop w:val="0"/>
          <w:marBottom w:val="0"/>
          <w:divBdr>
            <w:top w:val="none" w:sz="0" w:space="0" w:color="auto"/>
            <w:left w:val="none" w:sz="0" w:space="0" w:color="auto"/>
            <w:bottom w:val="none" w:sz="0" w:space="0" w:color="auto"/>
            <w:right w:val="none" w:sz="0" w:space="0" w:color="auto"/>
          </w:divBdr>
        </w:div>
        <w:div w:id="1519540404">
          <w:marLeft w:val="0"/>
          <w:marRight w:val="0"/>
          <w:marTop w:val="0"/>
          <w:marBottom w:val="0"/>
          <w:divBdr>
            <w:top w:val="none" w:sz="0" w:space="0" w:color="auto"/>
            <w:left w:val="none" w:sz="0" w:space="0" w:color="auto"/>
            <w:bottom w:val="none" w:sz="0" w:space="0" w:color="auto"/>
            <w:right w:val="none" w:sz="0" w:space="0" w:color="auto"/>
          </w:divBdr>
        </w:div>
        <w:div w:id="1530755345">
          <w:marLeft w:val="0"/>
          <w:marRight w:val="0"/>
          <w:marTop w:val="0"/>
          <w:marBottom w:val="0"/>
          <w:divBdr>
            <w:top w:val="none" w:sz="0" w:space="0" w:color="auto"/>
            <w:left w:val="none" w:sz="0" w:space="0" w:color="auto"/>
            <w:bottom w:val="none" w:sz="0" w:space="0" w:color="auto"/>
            <w:right w:val="none" w:sz="0" w:space="0" w:color="auto"/>
          </w:divBdr>
        </w:div>
        <w:div w:id="1539471137">
          <w:marLeft w:val="0"/>
          <w:marRight w:val="0"/>
          <w:marTop w:val="0"/>
          <w:marBottom w:val="0"/>
          <w:divBdr>
            <w:top w:val="none" w:sz="0" w:space="0" w:color="auto"/>
            <w:left w:val="none" w:sz="0" w:space="0" w:color="auto"/>
            <w:bottom w:val="none" w:sz="0" w:space="0" w:color="auto"/>
            <w:right w:val="none" w:sz="0" w:space="0" w:color="auto"/>
          </w:divBdr>
        </w:div>
        <w:div w:id="1539659722">
          <w:marLeft w:val="0"/>
          <w:marRight w:val="0"/>
          <w:marTop w:val="0"/>
          <w:marBottom w:val="0"/>
          <w:divBdr>
            <w:top w:val="none" w:sz="0" w:space="0" w:color="auto"/>
            <w:left w:val="none" w:sz="0" w:space="0" w:color="auto"/>
            <w:bottom w:val="none" w:sz="0" w:space="0" w:color="auto"/>
            <w:right w:val="none" w:sz="0" w:space="0" w:color="auto"/>
          </w:divBdr>
        </w:div>
        <w:div w:id="1544094548">
          <w:marLeft w:val="0"/>
          <w:marRight w:val="0"/>
          <w:marTop w:val="0"/>
          <w:marBottom w:val="0"/>
          <w:divBdr>
            <w:top w:val="none" w:sz="0" w:space="0" w:color="auto"/>
            <w:left w:val="none" w:sz="0" w:space="0" w:color="auto"/>
            <w:bottom w:val="none" w:sz="0" w:space="0" w:color="auto"/>
            <w:right w:val="none" w:sz="0" w:space="0" w:color="auto"/>
          </w:divBdr>
        </w:div>
        <w:div w:id="1550190279">
          <w:marLeft w:val="0"/>
          <w:marRight w:val="0"/>
          <w:marTop w:val="0"/>
          <w:marBottom w:val="0"/>
          <w:divBdr>
            <w:top w:val="none" w:sz="0" w:space="0" w:color="auto"/>
            <w:left w:val="none" w:sz="0" w:space="0" w:color="auto"/>
            <w:bottom w:val="none" w:sz="0" w:space="0" w:color="auto"/>
            <w:right w:val="none" w:sz="0" w:space="0" w:color="auto"/>
          </w:divBdr>
        </w:div>
        <w:div w:id="1570530392">
          <w:marLeft w:val="0"/>
          <w:marRight w:val="0"/>
          <w:marTop w:val="0"/>
          <w:marBottom w:val="0"/>
          <w:divBdr>
            <w:top w:val="none" w:sz="0" w:space="0" w:color="auto"/>
            <w:left w:val="none" w:sz="0" w:space="0" w:color="auto"/>
            <w:bottom w:val="none" w:sz="0" w:space="0" w:color="auto"/>
            <w:right w:val="none" w:sz="0" w:space="0" w:color="auto"/>
          </w:divBdr>
        </w:div>
        <w:div w:id="1581601248">
          <w:marLeft w:val="0"/>
          <w:marRight w:val="0"/>
          <w:marTop w:val="0"/>
          <w:marBottom w:val="0"/>
          <w:divBdr>
            <w:top w:val="none" w:sz="0" w:space="0" w:color="auto"/>
            <w:left w:val="none" w:sz="0" w:space="0" w:color="auto"/>
            <w:bottom w:val="none" w:sz="0" w:space="0" w:color="auto"/>
            <w:right w:val="none" w:sz="0" w:space="0" w:color="auto"/>
          </w:divBdr>
        </w:div>
        <w:div w:id="1590429028">
          <w:marLeft w:val="0"/>
          <w:marRight w:val="0"/>
          <w:marTop w:val="0"/>
          <w:marBottom w:val="0"/>
          <w:divBdr>
            <w:top w:val="none" w:sz="0" w:space="0" w:color="auto"/>
            <w:left w:val="none" w:sz="0" w:space="0" w:color="auto"/>
            <w:bottom w:val="none" w:sz="0" w:space="0" w:color="auto"/>
            <w:right w:val="none" w:sz="0" w:space="0" w:color="auto"/>
          </w:divBdr>
        </w:div>
        <w:div w:id="1594045019">
          <w:marLeft w:val="0"/>
          <w:marRight w:val="0"/>
          <w:marTop w:val="0"/>
          <w:marBottom w:val="0"/>
          <w:divBdr>
            <w:top w:val="none" w:sz="0" w:space="0" w:color="auto"/>
            <w:left w:val="none" w:sz="0" w:space="0" w:color="auto"/>
            <w:bottom w:val="none" w:sz="0" w:space="0" w:color="auto"/>
            <w:right w:val="none" w:sz="0" w:space="0" w:color="auto"/>
          </w:divBdr>
        </w:div>
        <w:div w:id="1597667248">
          <w:marLeft w:val="0"/>
          <w:marRight w:val="0"/>
          <w:marTop w:val="0"/>
          <w:marBottom w:val="0"/>
          <w:divBdr>
            <w:top w:val="none" w:sz="0" w:space="0" w:color="auto"/>
            <w:left w:val="none" w:sz="0" w:space="0" w:color="auto"/>
            <w:bottom w:val="none" w:sz="0" w:space="0" w:color="auto"/>
            <w:right w:val="none" w:sz="0" w:space="0" w:color="auto"/>
          </w:divBdr>
        </w:div>
        <w:div w:id="1615401055">
          <w:marLeft w:val="0"/>
          <w:marRight w:val="0"/>
          <w:marTop w:val="0"/>
          <w:marBottom w:val="0"/>
          <w:divBdr>
            <w:top w:val="none" w:sz="0" w:space="0" w:color="auto"/>
            <w:left w:val="none" w:sz="0" w:space="0" w:color="auto"/>
            <w:bottom w:val="none" w:sz="0" w:space="0" w:color="auto"/>
            <w:right w:val="none" w:sz="0" w:space="0" w:color="auto"/>
          </w:divBdr>
        </w:div>
        <w:div w:id="1618876146">
          <w:marLeft w:val="0"/>
          <w:marRight w:val="0"/>
          <w:marTop w:val="0"/>
          <w:marBottom w:val="0"/>
          <w:divBdr>
            <w:top w:val="none" w:sz="0" w:space="0" w:color="auto"/>
            <w:left w:val="none" w:sz="0" w:space="0" w:color="auto"/>
            <w:bottom w:val="none" w:sz="0" w:space="0" w:color="auto"/>
            <w:right w:val="none" w:sz="0" w:space="0" w:color="auto"/>
          </w:divBdr>
        </w:div>
        <w:div w:id="1619949107">
          <w:marLeft w:val="0"/>
          <w:marRight w:val="0"/>
          <w:marTop w:val="0"/>
          <w:marBottom w:val="0"/>
          <w:divBdr>
            <w:top w:val="none" w:sz="0" w:space="0" w:color="auto"/>
            <w:left w:val="none" w:sz="0" w:space="0" w:color="auto"/>
            <w:bottom w:val="none" w:sz="0" w:space="0" w:color="auto"/>
            <w:right w:val="none" w:sz="0" w:space="0" w:color="auto"/>
          </w:divBdr>
        </w:div>
        <w:div w:id="1628049196">
          <w:marLeft w:val="0"/>
          <w:marRight w:val="0"/>
          <w:marTop w:val="0"/>
          <w:marBottom w:val="0"/>
          <w:divBdr>
            <w:top w:val="none" w:sz="0" w:space="0" w:color="auto"/>
            <w:left w:val="none" w:sz="0" w:space="0" w:color="auto"/>
            <w:bottom w:val="none" w:sz="0" w:space="0" w:color="auto"/>
            <w:right w:val="none" w:sz="0" w:space="0" w:color="auto"/>
          </w:divBdr>
        </w:div>
        <w:div w:id="1634866753">
          <w:marLeft w:val="0"/>
          <w:marRight w:val="0"/>
          <w:marTop w:val="0"/>
          <w:marBottom w:val="0"/>
          <w:divBdr>
            <w:top w:val="none" w:sz="0" w:space="0" w:color="auto"/>
            <w:left w:val="none" w:sz="0" w:space="0" w:color="auto"/>
            <w:bottom w:val="none" w:sz="0" w:space="0" w:color="auto"/>
            <w:right w:val="none" w:sz="0" w:space="0" w:color="auto"/>
          </w:divBdr>
        </w:div>
        <w:div w:id="1640376128">
          <w:marLeft w:val="0"/>
          <w:marRight w:val="0"/>
          <w:marTop w:val="0"/>
          <w:marBottom w:val="0"/>
          <w:divBdr>
            <w:top w:val="none" w:sz="0" w:space="0" w:color="auto"/>
            <w:left w:val="none" w:sz="0" w:space="0" w:color="auto"/>
            <w:bottom w:val="none" w:sz="0" w:space="0" w:color="auto"/>
            <w:right w:val="none" w:sz="0" w:space="0" w:color="auto"/>
          </w:divBdr>
        </w:div>
        <w:div w:id="1646278278">
          <w:marLeft w:val="0"/>
          <w:marRight w:val="0"/>
          <w:marTop w:val="0"/>
          <w:marBottom w:val="0"/>
          <w:divBdr>
            <w:top w:val="none" w:sz="0" w:space="0" w:color="auto"/>
            <w:left w:val="none" w:sz="0" w:space="0" w:color="auto"/>
            <w:bottom w:val="none" w:sz="0" w:space="0" w:color="auto"/>
            <w:right w:val="none" w:sz="0" w:space="0" w:color="auto"/>
          </w:divBdr>
        </w:div>
        <w:div w:id="1671912531">
          <w:marLeft w:val="0"/>
          <w:marRight w:val="0"/>
          <w:marTop w:val="0"/>
          <w:marBottom w:val="0"/>
          <w:divBdr>
            <w:top w:val="none" w:sz="0" w:space="0" w:color="auto"/>
            <w:left w:val="none" w:sz="0" w:space="0" w:color="auto"/>
            <w:bottom w:val="none" w:sz="0" w:space="0" w:color="auto"/>
            <w:right w:val="none" w:sz="0" w:space="0" w:color="auto"/>
          </w:divBdr>
        </w:div>
        <w:div w:id="1676346681">
          <w:marLeft w:val="0"/>
          <w:marRight w:val="0"/>
          <w:marTop w:val="0"/>
          <w:marBottom w:val="0"/>
          <w:divBdr>
            <w:top w:val="none" w:sz="0" w:space="0" w:color="auto"/>
            <w:left w:val="none" w:sz="0" w:space="0" w:color="auto"/>
            <w:bottom w:val="none" w:sz="0" w:space="0" w:color="auto"/>
            <w:right w:val="none" w:sz="0" w:space="0" w:color="auto"/>
          </w:divBdr>
        </w:div>
        <w:div w:id="1687823860">
          <w:marLeft w:val="0"/>
          <w:marRight w:val="0"/>
          <w:marTop w:val="0"/>
          <w:marBottom w:val="0"/>
          <w:divBdr>
            <w:top w:val="none" w:sz="0" w:space="0" w:color="auto"/>
            <w:left w:val="none" w:sz="0" w:space="0" w:color="auto"/>
            <w:bottom w:val="none" w:sz="0" w:space="0" w:color="auto"/>
            <w:right w:val="none" w:sz="0" w:space="0" w:color="auto"/>
          </w:divBdr>
        </w:div>
        <w:div w:id="1693992253">
          <w:marLeft w:val="0"/>
          <w:marRight w:val="0"/>
          <w:marTop w:val="0"/>
          <w:marBottom w:val="0"/>
          <w:divBdr>
            <w:top w:val="none" w:sz="0" w:space="0" w:color="auto"/>
            <w:left w:val="none" w:sz="0" w:space="0" w:color="auto"/>
            <w:bottom w:val="none" w:sz="0" w:space="0" w:color="auto"/>
            <w:right w:val="none" w:sz="0" w:space="0" w:color="auto"/>
          </w:divBdr>
        </w:div>
        <w:div w:id="1696611662">
          <w:marLeft w:val="0"/>
          <w:marRight w:val="0"/>
          <w:marTop w:val="0"/>
          <w:marBottom w:val="0"/>
          <w:divBdr>
            <w:top w:val="none" w:sz="0" w:space="0" w:color="auto"/>
            <w:left w:val="none" w:sz="0" w:space="0" w:color="auto"/>
            <w:bottom w:val="none" w:sz="0" w:space="0" w:color="auto"/>
            <w:right w:val="none" w:sz="0" w:space="0" w:color="auto"/>
          </w:divBdr>
        </w:div>
        <w:div w:id="1699503523">
          <w:marLeft w:val="0"/>
          <w:marRight w:val="0"/>
          <w:marTop w:val="0"/>
          <w:marBottom w:val="0"/>
          <w:divBdr>
            <w:top w:val="none" w:sz="0" w:space="0" w:color="auto"/>
            <w:left w:val="none" w:sz="0" w:space="0" w:color="auto"/>
            <w:bottom w:val="none" w:sz="0" w:space="0" w:color="auto"/>
            <w:right w:val="none" w:sz="0" w:space="0" w:color="auto"/>
          </w:divBdr>
        </w:div>
        <w:div w:id="1715040297">
          <w:marLeft w:val="0"/>
          <w:marRight w:val="0"/>
          <w:marTop w:val="0"/>
          <w:marBottom w:val="0"/>
          <w:divBdr>
            <w:top w:val="none" w:sz="0" w:space="0" w:color="auto"/>
            <w:left w:val="none" w:sz="0" w:space="0" w:color="auto"/>
            <w:bottom w:val="none" w:sz="0" w:space="0" w:color="auto"/>
            <w:right w:val="none" w:sz="0" w:space="0" w:color="auto"/>
          </w:divBdr>
        </w:div>
        <w:div w:id="1718821763">
          <w:marLeft w:val="0"/>
          <w:marRight w:val="0"/>
          <w:marTop w:val="0"/>
          <w:marBottom w:val="0"/>
          <w:divBdr>
            <w:top w:val="none" w:sz="0" w:space="0" w:color="auto"/>
            <w:left w:val="none" w:sz="0" w:space="0" w:color="auto"/>
            <w:bottom w:val="none" w:sz="0" w:space="0" w:color="auto"/>
            <w:right w:val="none" w:sz="0" w:space="0" w:color="auto"/>
          </w:divBdr>
        </w:div>
        <w:div w:id="1721393366">
          <w:marLeft w:val="0"/>
          <w:marRight w:val="0"/>
          <w:marTop w:val="0"/>
          <w:marBottom w:val="0"/>
          <w:divBdr>
            <w:top w:val="none" w:sz="0" w:space="0" w:color="auto"/>
            <w:left w:val="none" w:sz="0" w:space="0" w:color="auto"/>
            <w:bottom w:val="none" w:sz="0" w:space="0" w:color="auto"/>
            <w:right w:val="none" w:sz="0" w:space="0" w:color="auto"/>
          </w:divBdr>
        </w:div>
        <w:div w:id="1729566667">
          <w:marLeft w:val="0"/>
          <w:marRight w:val="0"/>
          <w:marTop w:val="0"/>
          <w:marBottom w:val="0"/>
          <w:divBdr>
            <w:top w:val="none" w:sz="0" w:space="0" w:color="auto"/>
            <w:left w:val="none" w:sz="0" w:space="0" w:color="auto"/>
            <w:bottom w:val="none" w:sz="0" w:space="0" w:color="auto"/>
            <w:right w:val="none" w:sz="0" w:space="0" w:color="auto"/>
          </w:divBdr>
        </w:div>
        <w:div w:id="1736126460">
          <w:marLeft w:val="0"/>
          <w:marRight w:val="0"/>
          <w:marTop w:val="0"/>
          <w:marBottom w:val="0"/>
          <w:divBdr>
            <w:top w:val="none" w:sz="0" w:space="0" w:color="auto"/>
            <w:left w:val="none" w:sz="0" w:space="0" w:color="auto"/>
            <w:bottom w:val="none" w:sz="0" w:space="0" w:color="auto"/>
            <w:right w:val="none" w:sz="0" w:space="0" w:color="auto"/>
          </w:divBdr>
        </w:div>
        <w:div w:id="1741168172">
          <w:marLeft w:val="0"/>
          <w:marRight w:val="0"/>
          <w:marTop w:val="0"/>
          <w:marBottom w:val="0"/>
          <w:divBdr>
            <w:top w:val="none" w:sz="0" w:space="0" w:color="auto"/>
            <w:left w:val="none" w:sz="0" w:space="0" w:color="auto"/>
            <w:bottom w:val="none" w:sz="0" w:space="0" w:color="auto"/>
            <w:right w:val="none" w:sz="0" w:space="0" w:color="auto"/>
          </w:divBdr>
        </w:div>
        <w:div w:id="1741171372">
          <w:marLeft w:val="0"/>
          <w:marRight w:val="0"/>
          <w:marTop w:val="0"/>
          <w:marBottom w:val="0"/>
          <w:divBdr>
            <w:top w:val="none" w:sz="0" w:space="0" w:color="auto"/>
            <w:left w:val="none" w:sz="0" w:space="0" w:color="auto"/>
            <w:bottom w:val="none" w:sz="0" w:space="0" w:color="auto"/>
            <w:right w:val="none" w:sz="0" w:space="0" w:color="auto"/>
          </w:divBdr>
        </w:div>
        <w:div w:id="1753358280">
          <w:marLeft w:val="0"/>
          <w:marRight w:val="0"/>
          <w:marTop w:val="0"/>
          <w:marBottom w:val="0"/>
          <w:divBdr>
            <w:top w:val="none" w:sz="0" w:space="0" w:color="auto"/>
            <w:left w:val="none" w:sz="0" w:space="0" w:color="auto"/>
            <w:bottom w:val="none" w:sz="0" w:space="0" w:color="auto"/>
            <w:right w:val="none" w:sz="0" w:space="0" w:color="auto"/>
          </w:divBdr>
        </w:div>
        <w:div w:id="1787233549">
          <w:marLeft w:val="0"/>
          <w:marRight w:val="0"/>
          <w:marTop w:val="0"/>
          <w:marBottom w:val="0"/>
          <w:divBdr>
            <w:top w:val="none" w:sz="0" w:space="0" w:color="auto"/>
            <w:left w:val="none" w:sz="0" w:space="0" w:color="auto"/>
            <w:bottom w:val="none" w:sz="0" w:space="0" w:color="auto"/>
            <w:right w:val="none" w:sz="0" w:space="0" w:color="auto"/>
          </w:divBdr>
        </w:div>
        <w:div w:id="1789471090">
          <w:marLeft w:val="0"/>
          <w:marRight w:val="0"/>
          <w:marTop w:val="0"/>
          <w:marBottom w:val="0"/>
          <w:divBdr>
            <w:top w:val="none" w:sz="0" w:space="0" w:color="auto"/>
            <w:left w:val="none" w:sz="0" w:space="0" w:color="auto"/>
            <w:bottom w:val="none" w:sz="0" w:space="0" w:color="auto"/>
            <w:right w:val="none" w:sz="0" w:space="0" w:color="auto"/>
          </w:divBdr>
        </w:div>
        <w:div w:id="1794132397">
          <w:marLeft w:val="0"/>
          <w:marRight w:val="0"/>
          <w:marTop w:val="0"/>
          <w:marBottom w:val="0"/>
          <w:divBdr>
            <w:top w:val="none" w:sz="0" w:space="0" w:color="auto"/>
            <w:left w:val="none" w:sz="0" w:space="0" w:color="auto"/>
            <w:bottom w:val="none" w:sz="0" w:space="0" w:color="auto"/>
            <w:right w:val="none" w:sz="0" w:space="0" w:color="auto"/>
          </w:divBdr>
        </w:div>
        <w:div w:id="1802385018">
          <w:marLeft w:val="0"/>
          <w:marRight w:val="0"/>
          <w:marTop w:val="0"/>
          <w:marBottom w:val="0"/>
          <w:divBdr>
            <w:top w:val="none" w:sz="0" w:space="0" w:color="auto"/>
            <w:left w:val="none" w:sz="0" w:space="0" w:color="auto"/>
            <w:bottom w:val="none" w:sz="0" w:space="0" w:color="auto"/>
            <w:right w:val="none" w:sz="0" w:space="0" w:color="auto"/>
          </w:divBdr>
        </w:div>
        <w:div w:id="1813906877">
          <w:marLeft w:val="0"/>
          <w:marRight w:val="0"/>
          <w:marTop w:val="0"/>
          <w:marBottom w:val="0"/>
          <w:divBdr>
            <w:top w:val="none" w:sz="0" w:space="0" w:color="auto"/>
            <w:left w:val="none" w:sz="0" w:space="0" w:color="auto"/>
            <w:bottom w:val="none" w:sz="0" w:space="0" w:color="auto"/>
            <w:right w:val="none" w:sz="0" w:space="0" w:color="auto"/>
          </w:divBdr>
        </w:div>
        <w:div w:id="1815564053">
          <w:marLeft w:val="0"/>
          <w:marRight w:val="0"/>
          <w:marTop w:val="0"/>
          <w:marBottom w:val="0"/>
          <w:divBdr>
            <w:top w:val="none" w:sz="0" w:space="0" w:color="auto"/>
            <w:left w:val="none" w:sz="0" w:space="0" w:color="auto"/>
            <w:bottom w:val="none" w:sz="0" w:space="0" w:color="auto"/>
            <w:right w:val="none" w:sz="0" w:space="0" w:color="auto"/>
          </w:divBdr>
        </w:div>
        <w:div w:id="1815829559">
          <w:marLeft w:val="0"/>
          <w:marRight w:val="0"/>
          <w:marTop w:val="0"/>
          <w:marBottom w:val="0"/>
          <w:divBdr>
            <w:top w:val="none" w:sz="0" w:space="0" w:color="auto"/>
            <w:left w:val="none" w:sz="0" w:space="0" w:color="auto"/>
            <w:bottom w:val="none" w:sz="0" w:space="0" w:color="auto"/>
            <w:right w:val="none" w:sz="0" w:space="0" w:color="auto"/>
          </w:divBdr>
        </w:div>
        <w:div w:id="1824808435">
          <w:marLeft w:val="0"/>
          <w:marRight w:val="0"/>
          <w:marTop w:val="0"/>
          <w:marBottom w:val="0"/>
          <w:divBdr>
            <w:top w:val="none" w:sz="0" w:space="0" w:color="auto"/>
            <w:left w:val="none" w:sz="0" w:space="0" w:color="auto"/>
            <w:bottom w:val="none" w:sz="0" w:space="0" w:color="auto"/>
            <w:right w:val="none" w:sz="0" w:space="0" w:color="auto"/>
          </w:divBdr>
        </w:div>
        <w:div w:id="1837915851">
          <w:marLeft w:val="0"/>
          <w:marRight w:val="0"/>
          <w:marTop w:val="0"/>
          <w:marBottom w:val="0"/>
          <w:divBdr>
            <w:top w:val="none" w:sz="0" w:space="0" w:color="auto"/>
            <w:left w:val="none" w:sz="0" w:space="0" w:color="auto"/>
            <w:bottom w:val="none" w:sz="0" w:space="0" w:color="auto"/>
            <w:right w:val="none" w:sz="0" w:space="0" w:color="auto"/>
          </w:divBdr>
        </w:div>
        <w:div w:id="1844782206">
          <w:marLeft w:val="0"/>
          <w:marRight w:val="0"/>
          <w:marTop w:val="0"/>
          <w:marBottom w:val="0"/>
          <w:divBdr>
            <w:top w:val="none" w:sz="0" w:space="0" w:color="auto"/>
            <w:left w:val="none" w:sz="0" w:space="0" w:color="auto"/>
            <w:bottom w:val="none" w:sz="0" w:space="0" w:color="auto"/>
            <w:right w:val="none" w:sz="0" w:space="0" w:color="auto"/>
          </w:divBdr>
        </w:div>
        <w:div w:id="1848520203">
          <w:marLeft w:val="0"/>
          <w:marRight w:val="0"/>
          <w:marTop w:val="0"/>
          <w:marBottom w:val="0"/>
          <w:divBdr>
            <w:top w:val="none" w:sz="0" w:space="0" w:color="auto"/>
            <w:left w:val="none" w:sz="0" w:space="0" w:color="auto"/>
            <w:bottom w:val="none" w:sz="0" w:space="0" w:color="auto"/>
            <w:right w:val="none" w:sz="0" w:space="0" w:color="auto"/>
          </w:divBdr>
        </w:div>
        <w:div w:id="1851529309">
          <w:marLeft w:val="0"/>
          <w:marRight w:val="0"/>
          <w:marTop w:val="0"/>
          <w:marBottom w:val="0"/>
          <w:divBdr>
            <w:top w:val="none" w:sz="0" w:space="0" w:color="auto"/>
            <w:left w:val="none" w:sz="0" w:space="0" w:color="auto"/>
            <w:bottom w:val="none" w:sz="0" w:space="0" w:color="auto"/>
            <w:right w:val="none" w:sz="0" w:space="0" w:color="auto"/>
          </w:divBdr>
        </w:div>
        <w:div w:id="1859078990">
          <w:marLeft w:val="0"/>
          <w:marRight w:val="0"/>
          <w:marTop w:val="0"/>
          <w:marBottom w:val="0"/>
          <w:divBdr>
            <w:top w:val="none" w:sz="0" w:space="0" w:color="auto"/>
            <w:left w:val="none" w:sz="0" w:space="0" w:color="auto"/>
            <w:bottom w:val="none" w:sz="0" w:space="0" w:color="auto"/>
            <w:right w:val="none" w:sz="0" w:space="0" w:color="auto"/>
          </w:divBdr>
        </w:div>
        <w:div w:id="1864711324">
          <w:marLeft w:val="0"/>
          <w:marRight w:val="0"/>
          <w:marTop w:val="0"/>
          <w:marBottom w:val="0"/>
          <w:divBdr>
            <w:top w:val="none" w:sz="0" w:space="0" w:color="auto"/>
            <w:left w:val="none" w:sz="0" w:space="0" w:color="auto"/>
            <w:bottom w:val="none" w:sz="0" w:space="0" w:color="auto"/>
            <w:right w:val="none" w:sz="0" w:space="0" w:color="auto"/>
          </w:divBdr>
        </w:div>
        <w:div w:id="1868373687">
          <w:marLeft w:val="0"/>
          <w:marRight w:val="0"/>
          <w:marTop w:val="0"/>
          <w:marBottom w:val="0"/>
          <w:divBdr>
            <w:top w:val="none" w:sz="0" w:space="0" w:color="auto"/>
            <w:left w:val="none" w:sz="0" w:space="0" w:color="auto"/>
            <w:bottom w:val="none" w:sz="0" w:space="0" w:color="auto"/>
            <w:right w:val="none" w:sz="0" w:space="0" w:color="auto"/>
          </w:divBdr>
        </w:div>
        <w:div w:id="1880050396">
          <w:marLeft w:val="0"/>
          <w:marRight w:val="0"/>
          <w:marTop w:val="0"/>
          <w:marBottom w:val="0"/>
          <w:divBdr>
            <w:top w:val="none" w:sz="0" w:space="0" w:color="auto"/>
            <w:left w:val="none" w:sz="0" w:space="0" w:color="auto"/>
            <w:bottom w:val="none" w:sz="0" w:space="0" w:color="auto"/>
            <w:right w:val="none" w:sz="0" w:space="0" w:color="auto"/>
          </w:divBdr>
        </w:div>
        <w:div w:id="1880506075">
          <w:marLeft w:val="0"/>
          <w:marRight w:val="0"/>
          <w:marTop w:val="0"/>
          <w:marBottom w:val="0"/>
          <w:divBdr>
            <w:top w:val="none" w:sz="0" w:space="0" w:color="auto"/>
            <w:left w:val="none" w:sz="0" w:space="0" w:color="auto"/>
            <w:bottom w:val="none" w:sz="0" w:space="0" w:color="auto"/>
            <w:right w:val="none" w:sz="0" w:space="0" w:color="auto"/>
          </w:divBdr>
        </w:div>
        <w:div w:id="1889756681">
          <w:marLeft w:val="0"/>
          <w:marRight w:val="0"/>
          <w:marTop w:val="0"/>
          <w:marBottom w:val="0"/>
          <w:divBdr>
            <w:top w:val="none" w:sz="0" w:space="0" w:color="auto"/>
            <w:left w:val="none" w:sz="0" w:space="0" w:color="auto"/>
            <w:bottom w:val="none" w:sz="0" w:space="0" w:color="auto"/>
            <w:right w:val="none" w:sz="0" w:space="0" w:color="auto"/>
          </w:divBdr>
        </w:div>
        <w:div w:id="1897812677">
          <w:marLeft w:val="0"/>
          <w:marRight w:val="0"/>
          <w:marTop w:val="0"/>
          <w:marBottom w:val="0"/>
          <w:divBdr>
            <w:top w:val="none" w:sz="0" w:space="0" w:color="auto"/>
            <w:left w:val="none" w:sz="0" w:space="0" w:color="auto"/>
            <w:bottom w:val="none" w:sz="0" w:space="0" w:color="auto"/>
            <w:right w:val="none" w:sz="0" w:space="0" w:color="auto"/>
          </w:divBdr>
        </w:div>
        <w:div w:id="1899900804">
          <w:marLeft w:val="0"/>
          <w:marRight w:val="0"/>
          <w:marTop w:val="0"/>
          <w:marBottom w:val="0"/>
          <w:divBdr>
            <w:top w:val="none" w:sz="0" w:space="0" w:color="auto"/>
            <w:left w:val="none" w:sz="0" w:space="0" w:color="auto"/>
            <w:bottom w:val="none" w:sz="0" w:space="0" w:color="auto"/>
            <w:right w:val="none" w:sz="0" w:space="0" w:color="auto"/>
          </w:divBdr>
        </w:div>
        <w:div w:id="1928996992">
          <w:marLeft w:val="0"/>
          <w:marRight w:val="0"/>
          <w:marTop w:val="0"/>
          <w:marBottom w:val="0"/>
          <w:divBdr>
            <w:top w:val="none" w:sz="0" w:space="0" w:color="auto"/>
            <w:left w:val="none" w:sz="0" w:space="0" w:color="auto"/>
            <w:bottom w:val="none" w:sz="0" w:space="0" w:color="auto"/>
            <w:right w:val="none" w:sz="0" w:space="0" w:color="auto"/>
          </w:divBdr>
        </w:div>
        <w:div w:id="1942642597">
          <w:marLeft w:val="0"/>
          <w:marRight w:val="0"/>
          <w:marTop w:val="0"/>
          <w:marBottom w:val="0"/>
          <w:divBdr>
            <w:top w:val="none" w:sz="0" w:space="0" w:color="auto"/>
            <w:left w:val="none" w:sz="0" w:space="0" w:color="auto"/>
            <w:bottom w:val="none" w:sz="0" w:space="0" w:color="auto"/>
            <w:right w:val="none" w:sz="0" w:space="0" w:color="auto"/>
          </w:divBdr>
        </w:div>
        <w:div w:id="1945188968">
          <w:marLeft w:val="0"/>
          <w:marRight w:val="0"/>
          <w:marTop w:val="0"/>
          <w:marBottom w:val="0"/>
          <w:divBdr>
            <w:top w:val="none" w:sz="0" w:space="0" w:color="auto"/>
            <w:left w:val="none" w:sz="0" w:space="0" w:color="auto"/>
            <w:bottom w:val="none" w:sz="0" w:space="0" w:color="auto"/>
            <w:right w:val="none" w:sz="0" w:space="0" w:color="auto"/>
          </w:divBdr>
        </w:div>
        <w:div w:id="1976254459">
          <w:marLeft w:val="0"/>
          <w:marRight w:val="0"/>
          <w:marTop w:val="0"/>
          <w:marBottom w:val="0"/>
          <w:divBdr>
            <w:top w:val="none" w:sz="0" w:space="0" w:color="auto"/>
            <w:left w:val="none" w:sz="0" w:space="0" w:color="auto"/>
            <w:bottom w:val="none" w:sz="0" w:space="0" w:color="auto"/>
            <w:right w:val="none" w:sz="0" w:space="0" w:color="auto"/>
          </w:divBdr>
        </w:div>
        <w:div w:id="1979259887">
          <w:marLeft w:val="0"/>
          <w:marRight w:val="0"/>
          <w:marTop w:val="0"/>
          <w:marBottom w:val="0"/>
          <w:divBdr>
            <w:top w:val="none" w:sz="0" w:space="0" w:color="auto"/>
            <w:left w:val="none" w:sz="0" w:space="0" w:color="auto"/>
            <w:bottom w:val="none" w:sz="0" w:space="0" w:color="auto"/>
            <w:right w:val="none" w:sz="0" w:space="0" w:color="auto"/>
          </w:divBdr>
        </w:div>
        <w:div w:id="1985431363">
          <w:marLeft w:val="0"/>
          <w:marRight w:val="0"/>
          <w:marTop w:val="0"/>
          <w:marBottom w:val="0"/>
          <w:divBdr>
            <w:top w:val="none" w:sz="0" w:space="0" w:color="auto"/>
            <w:left w:val="none" w:sz="0" w:space="0" w:color="auto"/>
            <w:bottom w:val="none" w:sz="0" w:space="0" w:color="auto"/>
            <w:right w:val="none" w:sz="0" w:space="0" w:color="auto"/>
          </w:divBdr>
        </w:div>
        <w:div w:id="1991056027">
          <w:marLeft w:val="0"/>
          <w:marRight w:val="0"/>
          <w:marTop w:val="0"/>
          <w:marBottom w:val="0"/>
          <w:divBdr>
            <w:top w:val="none" w:sz="0" w:space="0" w:color="auto"/>
            <w:left w:val="none" w:sz="0" w:space="0" w:color="auto"/>
            <w:bottom w:val="none" w:sz="0" w:space="0" w:color="auto"/>
            <w:right w:val="none" w:sz="0" w:space="0" w:color="auto"/>
          </w:divBdr>
        </w:div>
        <w:div w:id="1993409814">
          <w:marLeft w:val="0"/>
          <w:marRight w:val="0"/>
          <w:marTop w:val="0"/>
          <w:marBottom w:val="0"/>
          <w:divBdr>
            <w:top w:val="none" w:sz="0" w:space="0" w:color="auto"/>
            <w:left w:val="none" w:sz="0" w:space="0" w:color="auto"/>
            <w:bottom w:val="none" w:sz="0" w:space="0" w:color="auto"/>
            <w:right w:val="none" w:sz="0" w:space="0" w:color="auto"/>
          </w:divBdr>
        </w:div>
        <w:div w:id="1994485385">
          <w:marLeft w:val="0"/>
          <w:marRight w:val="0"/>
          <w:marTop w:val="0"/>
          <w:marBottom w:val="0"/>
          <w:divBdr>
            <w:top w:val="none" w:sz="0" w:space="0" w:color="auto"/>
            <w:left w:val="none" w:sz="0" w:space="0" w:color="auto"/>
            <w:bottom w:val="none" w:sz="0" w:space="0" w:color="auto"/>
            <w:right w:val="none" w:sz="0" w:space="0" w:color="auto"/>
          </w:divBdr>
        </w:div>
        <w:div w:id="1999531043">
          <w:marLeft w:val="0"/>
          <w:marRight w:val="0"/>
          <w:marTop w:val="0"/>
          <w:marBottom w:val="0"/>
          <w:divBdr>
            <w:top w:val="none" w:sz="0" w:space="0" w:color="auto"/>
            <w:left w:val="none" w:sz="0" w:space="0" w:color="auto"/>
            <w:bottom w:val="none" w:sz="0" w:space="0" w:color="auto"/>
            <w:right w:val="none" w:sz="0" w:space="0" w:color="auto"/>
          </w:divBdr>
        </w:div>
        <w:div w:id="2020961538">
          <w:marLeft w:val="0"/>
          <w:marRight w:val="0"/>
          <w:marTop w:val="0"/>
          <w:marBottom w:val="0"/>
          <w:divBdr>
            <w:top w:val="none" w:sz="0" w:space="0" w:color="auto"/>
            <w:left w:val="none" w:sz="0" w:space="0" w:color="auto"/>
            <w:bottom w:val="none" w:sz="0" w:space="0" w:color="auto"/>
            <w:right w:val="none" w:sz="0" w:space="0" w:color="auto"/>
          </w:divBdr>
        </w:div>
        <w:div w:id="2041011324">
          <w:marLeft w:val="0"/>
          <w:marRight w:val="0"/>
          <w:marTop w:val="0"/>
          <w:marBottom w:val="0"/>
          <w:divBdr>
            <w:top w:val="none" w:sz="0" w:space="0" w:color="auto"/>
            <w:left w:val="none" w:sz="0" w:space="0" w:color="auto"/>
            <w:bottom w:val="none" w:sz="0" w:space="0" w:color="auto"/>
            <w:right w:val="none" w:sz="0" w:space="0" w:color="auto"/>
          </w:divBdr>
        </w:div>
        <w:div w:id="2055227684">
          <w:marLeft w:val="0"/>
          <w:marRight w:val="0"/>
          <w:marTop w:val="0"/>
          <w:marBottom w:val="0"/>
          <w:divBdr>
            <w:top w:val="none" w:sz="0" w:space="0" w:color="auto"/>
            <w:left w:val="none" w:sz="0" w:space="0" w:color="auto"/>
            <w:bottom w:val="none" w:sz="0" w:space="0" w:color="auto"/>
            <w:right w:val="none" w:sz="0" w:space="0" w:color="auto"/>
          </w:divBdr>
        </w:div>
        <w:div w:id="2061317822">
          <w:marLeft w:val="0"/>
          <w:marRight w:val="0"/>
          <w:marTop w:val="0"/>
          <w:marBottom w:val="0"/>
          <w:divBdr>
            <w:top w:val="none" w:sz="0" w:space="0" w:color="auto"/>
            <w:left w:val="none" w:sz="0" w:space="0" w:color="auto"/>
            <w:bottom w:val="none" w:sz="0" w:space="0" w:color="auto"/>
            <w:right w:val="none" w:sz="0" w:space="0" w:color="auto"/>
          </w:divBdr>
        </w:div>
        <w:div w:id="2070571292">
          <w:marLeft w:val="0"/>
          <w:marRight w:val="0"/>
          <w:marTop w:val="0"/>
          <w:marBottom w:val="0"/>
          <w:divBdr>
            <w:top w:val="none" w:sz="0" w:space="0" w:color="auto"/>
            <w:left w:val="none" w:sz="0" w:space="0" w:color="auto"/>
            <w:bottom w:val="none" w:sz="0" w:space="0" w:color="auto"/>
            <w:right w:val="none" w:sz="0" w:space="0" w:color="auto"/>
          </w:divBdr>
        </w:div>
        <w:div w:id="2082822345">
          <w:marLeft w:val="0"/>
          <w:marRight w:val="0"/>
          <w:marTop w:val="0"/>
          <w:marBottom w:val="0"/>
          <w:divBdr>
            <w:top w:val="none" w:sz="0" w:space="0" w:color="auto"/>
            <w:left w:val="none" w:sz="0" w:space="0" w:color="auto"/>
            <w:bottom w:val="none" w:sz="0" w:space="0" w:color="auto"/>
            <w:right w:val="none" w:sz="0" w:space="0" w:color="auto"/>
          </w:divBdr>
        </w:div>
        <w:div w:id="2089157654">
          <w:marLeft w:val="0"/>
          <w:marRight w:val="0"/>
          <w:marTop w:val="0"/>
          <w:marBottom w:val="0"/>
          <w:divBdr>
            <w:top w:val="none" w:sz="0" w:space="0" w:color="auto"/>
            <w:left w:val="none" w:sz="0" w:space="0" w:color="auto"/>
            <w:bottom w:val="none" w:sz="0" w:space="0" w:color="auto"/>
            <w:right w:val="none" w:sz="0" w:space="0" w:color="auto"/>
          </w:divBdr>
        </w:div>
        <w:div w:id="2097357133">
          <w:marLeft w:val="0"/>
          <w:marRight w:val="0"/>
          <w:marTop w:val="0"/>
          <w:marBottom w:val="0"/>
          <w:divBdr>
            <w:top w:val="none" w:sz="0" w:space="0" w:color="auto"/>
            <w:left w:val="none" w:sz="0" w:space="0" w:color="auto"/>
            <w:bottom w:val="none" w:sz="0" w:space="0" w:color="auto"/>
            <w:right w:val="none" w:sz="0" w:space="0" w:color="auto"/>
          </w:divBdr>
        </w:div>
        <w:div w:id="2101295301">
          <w:marLeft w:val="0"/>
          <w:marRight w:val="0"/>
          <w:marTop w:val="0"/>
          <w:marBottom w:val="0"/>
          <w:divBdr>
            <w:top w:val="none" w:sz="0" w:space="0" w:color="auto"/>
            <w:left w:val="none" w:sz="0" w:space="0" w:color="auto"/>
            <w:bottom w:val="none" w:sz="0" w:space="0" w:color="auto"/>
            <w:right w:val="none" w:sz="0" w:space="0" w:color="auto"/>
          </w:divBdr>
        </w:div>
        <w:div w:id="2113545499">
          <w:marLeft w:val="0"/>
          <w:marRight w:val="0"/>
          <w:marTop w:val="0"/>
          <w:marBottom w:val="0"/>
          <w:divBdr>
            <w:top w:val="none" w:sz="0" w:space="0" w:color="auto"/>
            <w:left w:val="none" w:sz="0" w:space="0" w:color="auto"/>
            <w:bottom w:val="none" w:sz="0" w:space="0" w:color="auto"/>
            <w:right w:val="none" w:sz="0" w:space="0" w:color="auto"/>
          </w:divBdr>
        </w:div>
        <w:div w:id="2120292808">
          <w:marLeft w:val="0"/>
          <w:marRight w:val="0"/>
          <w:marTop w:val="0"/>
          <w:marBottom w:val="0"/>
          <w:divBdr>
            <w:top w:val="none" w:sz="0" w:space="0" w:color="auto"/>
            <w:left w:val="none" w:sz="0" w:space="0" w:color="auto"/>
            <w:bottom w:val="none" w:sz="0" w:space="0" w:color="auto"/>
            <w:right w:val="none" w:sz="0" w:space="0" w:color="auto"/>
          </w:divBdr>
        </w:div>
        <w:div w:id="2125028890">
          <w:marLeft w:val="0"/>
          <w:marRight w:val="0"/>
          <w:marTop w:val="0"/>
          <w:marBottom w:val="0"/>
          <w:divBdr>
            <w:top w:val="none" w:sz="0" w:space="0" w:color="auto"/>
            <w:left w:val="none" w:sz="0" w:space="0" w:color="auto"/>
            <w:bottom w:val="none" w:sz="0" w:space="0" w:color="auto"/>
            <w:right w:val="none" w:sz="0" w:space="0" w:color="auto"/>
          </w:divBdr>
        </w:div>
        <w:div w:id="2128041898">
          <w:marLeft w:val="0"/>
          <w:marRight w:val="0"/>
          <w:marTop w:val="0"/>
          <w:marBottom w:val="0"/>
          <w:divBdr>
            <w:top w:val="none" w:sz="0" w:space="0" w:color="auto"/>
            <w:left w:val="none" w:sz="0" w:space="0" w:color="auto"/>
            <w:bottom w:val="none" w:sz="0" w:space="0" w:color="auto"/>
            <w:right w:val="none" w:sz="0" w:space="0" w:color="auto"/>
          </w:divBdr>
        </w:div>
        <w:div w:id="2132085421">
          <w:marLeft w:val="0"/>
          <w:marRight w:val="0"/>
          <w:marTop w:val="0"/>
          <w:marBottom w:val="0"/>
          <w:divBdr>
            <w:top w:val="none" w:sz="0" w:space="0" w:color="auto"/>
            <w:left w:val="none" w:sz="0" w:space="0" w:color="auto"/>
            <w:bottom w:val="none" w:sz="0" w:space="0" w:color="auto"/>
            <w:right w:val="none" w:sz="0" w:space="0" w:color="auto"/>
          </w:divBdr>
        </w:div>
        <w:div w:id="2134712786">
          <w:marLeft w:val="0"/>
          <w:marRight w:val="0"/>
          <w:marTop w:val="0"/>
          <w:marBottom w:val="0"/>
          <w:divBdr>
            <w:top w:val="none" w:sz="0" w:space="0" w:color="auto"/>
            <w:left w:val="none" w:sz="0" w:space="0" w:color="auto"/>
            <w:bottom w:val="none" w:sz="0" w:space="0" w:color="auto"/>
            <w:right w:val="none" w:sz="0" w:space="0" w:color="auto"/>
          </w:divBdr>
        </w:div>
        <w:div w:id="2144154354">
          <w:marLeft w:val="0"/>
          <w:marRight w:val="0"/>
          <w:marTop w:val="0"/>
          <w:marBottom w:val="0"/>
          <w:divBdr>
            <w:top w:val="none" w:sz="0" w:space="0" w:color="auto"/>
            <w:left w:val="none" w:sz="0" w:space="0" w:color="auto"/>
            <w:bottom w:val="none" w:sz="0" w:space="0" w:color="auto"/>
            <w:right w:val="none" w:sz="0" w:space="0" w:color="auto"/>
          </w:divBdr>
        </w:div>
      </w:divsChild>
    </w:div>
    <w:div w:id="1107962713">
      <w:bodyDiv w:val="1"/>
      <w:marLeft w:val="0"/>
      <w:marRight w:val="0"/>
      <w:marTop w:val="0"/>
      <w:marBottom w:val="0"/>
      <w:divBdr>
        <w:top w:val="none" w:sz="0" w:space="0" w:color="auto"/>
        <w:left w:val="none" w:sz="0" w:space="0" w:color="auto"/>
        <w:bottom w:val="none" w:sz="0" w:space="0" w:color="auto"/>
        <w:right w:val="none" w:sz="0" w:space="0" w:color="auto"/>
      </w:divBdr>
    </w:div>
    <w:div w:id="1125351137">
      <w:bodyDiv w:val="1"/>
      <w:marLeft w:val="0"/>
      <w:marRight w:val="0"/>
      <w:marTop w:val="0"/>
      <w:marBottom w:val="0"/>
      <w:divBdr>
        <w:top w:val="none" w:sz="0" w:space="0" w:color="auto"/>
        <w:left w:val="none" w:sz="0" w:space="0" w:color="auto"/>
        <w:bottom w:val="none" w:sz="0" w:space="0" w:color="auto"/>
        <w:right w:val="none" w:sz="0" w:space="0" w:color="auto"/>
      </w:divBdr>
    </w:div>
    <w:div w:id="1127704040">
      <w:bodyDiv w:val="1"/>
      <w:marLeft w:val="0"/>
      <w:marRight w:val="0"/>
      <w:marTop w:val="0"/>
      <w:marBottom w:val="0"/>
      <w:divBdr>
        <w:top w:val="none" w:sz="0" w:space="0" w:color="auto"/>
        <w:left w:val="none" w:sz="0" w:space="0" w:color="auto"/>
        <w:bottom w:val="none" w:sz="0" w:space="0" w:color="auto"/>
        <w:right w:val="none" w:sz="0" w:space="0" w:color="auto"/>
      </w:divBdr>
    </w:div>
    <w:div w:id="1290431729">
      <w:bodyDiv w:val="1"/>
      <w:marLeft w:val="0"/>
      <w:marRight w:val="0"/>
      <w:marTop w:val="0"/>
      <w:marBottom w:val="0"/>
      <w:divBdr>
        <w:top w:val="none" w:sz="0" w:space="0" w:color="auto"/>
        <w:left w:val="none" w:sz="0" w:space="0" w:color="auto"/>
        <w:bottom w:val="none" w:sz="0" w:space="0" w:color="auto"/>
        <w:right w:val="none" w:sz="0" w:space="0" w:color="auto"/>
      </w:divBdr>
    </w:div>
    <w:div w:id="1293707376">
      <w:bodyDiv w:val="1"/>
      <w:marLeft w:val="0"/>
      <w:marRight w:val="0"/>
      <w:marTop w:val="0"/>
      <w:marBottom w:val="0"/>
      <w:divBdr>
        <w:top w:val="none" w:sz="0" w:space="0" w:color="auto"/>
        <w:left w:val="none" w:sz="0" w:space="0" w:color="auto"/>
        <w:bottom w:val="none" w:sz="0" w:space="0" w:color="auto"/>
        <w:right w:val="none" w:sz="0" w:space="0" w:color="auto"/>
      </w:divBdr>
    </w:div>
    <w:div w:id="1421027209">
      <w:bodyDiv w:val="1"/>
      <w:marLeft w:val="0"/>
      <w:marRight w:val="0"/>
      <w:marTop w:val="0"/>
      <w:marBottom w:val="0"/>
      <w:divBdr>
        <w:top w:val="none" w:sz="0" w:space="0" w:color="auto"/>
        <w:left w:val="none" w:sz="0" w:space="0" w:color="auto"/>
        <w:bottom w:val="none" w:sz="0" w:space="0" w:color="auto"/>
        <w:right w:val="none" w:sz="0" w:space="0" w:color="auto"/>
      </w:divBdr>
    </w:div>
    <w:div w:id="1523670534">
      <w:bodyDiv w:val="1"/>
      <w:marLeft w:val="0"/>
      <w:marRight w:val="0"/>
      <w:marTop w:val="0"/>
      <w:marBottom w:val="0"/>
      <w:divBdr>
        <w:top w:val="none" w:sz="0" w:space="0" w:color="auto"/>
        <w:left w:val="none" w:sz="0" w:space="0" w:color="auto"/>
        <w:bottom w:val="none" w:sz="0" w:space="0" w:color="auto"/>
        <w:right w:val="none" w:sz="0" w:space="0" w:color="auto"/>
      </w:divBdr>
    </w:div>
    <w:div w:id="1588265723">
      <w:bodyDiv w:val="1"/>
      <w:marLeft w:val="0"/>
      <w:marRight w:val="0"/>
      <w:marTop w:val="0"/>
      <w:marBottom w:val="0"/>
      <w:divBdr>
        <w:top w:val="none" w:sz="0" w:space="0" w:color="auto"/>
        <w:left w:val="none" w:sz="0" w:space="0" w:color="auto"/>
        <w:bottom w:val="none" w:sz="0" w:space="0" w:color="auto"/>
        <w:right w:val="none" w:sz="0" w:space="0" w:color="auto"/>
      </w:divBdr>
    </w:div>
    <w:div w:id="1741252258">
      <w:bodyDiv w:val="1"/>
      <w:marLeft w:val="0"/>
      <w:marRight w:val="0"/>
      <w:marTop w:val="0"/>
      <w:marBottom w:val="0"/>
      <w:divBdr>
        <w:top w:val="none" w:sz="0" w:space="0" w:color="auto"/>
        <w:left w:val="none" w:sz="0" w:space="0" w:color="auto"/>
        <w:bottom w:val="none" w:sz="0" w:space="0" w:color="auto"/>
        <w:right w:val="none" w:sz="0" w:space="0" w:color="auto"/>
      </w:divBdr>
    </w:div>
    <w:div w:id="1749111372">
      <w:bodyDiv w:val="1"/>
      <w:marLeft w:val="0"/>
      <w:marRight w:val="0"/>
      <w:marTop w:val="0"/>
      <w:marBottom w:val="0"/>
      <w:divBdr>
        <w:top w:val="none" w:sz="0" w:space="0" w:color="auto"/>
        <w:left w:val="none" w:sz="0" w:space="0" w:color="auto"/>
        <w:bottom w:val="none" w:sz="0" w:space="0" w:color="auto"/>
        <w:right w:val="none" w:sz="0" w:space="0" w:color="auto"/>
      </w:divBdr>
    </w:div>
    <w:div w:id="1750228964">
      <w:bodyDiv w:val="1"/>
      <w:marLeft w:val="0"/>
      <w:marRight w:val="0"/>
      <w:marTop w:val="0"/>
      <w:marBottom w:val="0"/>
      <w:divBdr>
        <w:top w:val="none" w:sz="0" w:space="0" w:color="auto"/>
        <w:left w:val="none" w:sz="0" w:space="0" w:color="auto"/>
        <w:bottom w:val="none" w:sz="0" w:space="0" w:color="auto"/>
        <w:right w:val="none" w:sz="0" w:space="0" w:color="auto"/>
      </w:divBdr>
    </w:div>
    <w:div w:id="1823544927">
      <w:bodyDiv w:val="1"/>
      <w:marLeft w:val="0"/>
      <w:marRight w:val="0"/>
      <w:marTop w:val="0"/>
      <w:marBottom w:val="0"/>
      <w:divBdr>
        <w:top w:val="none" w:sz="0" w:space="0" w:color="auto"/>
        <w:left w:val="none" w:sz="0" w:space="0" w:color="auto"/>
        <w:bottom w:val="none" w:sz="0" w:space="0" w:color="auto"/>
        <w:right w:val="none" w:sz="0" w:space="0" w:color="auto"/>
      </w:divBdr>
    </w:div>
    <w:div w:id="1872649718">
      <w:bodyDiv w:val="1"/>
      <w:marLeft w:val="0"/>
      <w:marRight w:val="0"/>
      <w:marTop w:val="0"/>
      <w:marBottom w:val="0"/>
      <w:divBdr>
        <w:top w:val="none" w:sz="0" w:space="0" w:color="auto"/>
        <w:left w:val="none" w:sz="0" w:space="0" w:color="auto"/>
        <w:bottom w:val="none" w:sz="0" w:space="0" w:color="auto"/>
        <w:right w:val="none" w:sz="0" w:space="0" w:color="auto"/>
      </w:divBdr>
    </w:div>
    <w:div w:id="20769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yperlink" Target="http://www.cvm.gov.br" TargetMode="Externa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cvm.gov.br" TargetMode="Externa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yperlink" Target="http://www.cvm.gov.br" TargetMode="External"/><Relationship Id="rId49" Type="http://schemas.openxmlformats.org/officeDocument/2006/relationships/header" Target="header3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7" ma:contentTypeDescription="Create a new document." ma:contentTypeScope="" ma:versionID="13dd09f2efa244360efaffc7b8f69032">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ba99435b1d68dd29116d5792ee4043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3adeefc-49af-490c-b6df-0a140ad55ab3">
      <UserInfo>
        <DisplayName>Verônica Silva Da Costa</DisplayName>
        <AccountId>525</AccountId>
        <AccountType/>
      </UserInfo>
    </SharedWithUsers>
    <lcf76f155ced4ddcb4097134ff3c332f xmlns="15cb24ba-756a-4ce4-ac9a-5f0544b55546">
      <Terms xmlns="http://schemas.microsoft.com/office/infopath/2007/PartnerControls"/>
    </lcf76f155ced4ddcb4097134ff3c332f>
    <TaxCatchAll xmlns="53adeefc-49af-490c-b6df-0a140ad55ab3" xsi:nil="true"/>
    <Quantidade xmlns="15cb24ba-756a-4ce4-ac9a-5f0544b55546" xsi:nil="true"/>
  </documentManagement>
</p:properties>
</file>

<file path=customXml/itemProps1.xml><?xml version="1.0" encoding="utf-8"?>
<ds:datastoreItem xmlns:ds="http://schemas.openxmlformats.org/officeDocument/2006/customXml" ds:itemID="{DAEBD6FE-A9F5-46B4-AC9B-39E1865C52BA}">
  <ds:schemaRefs>
    <ds:schemaRef ds:uri="http://schemas.openxmlformats.org/officeDocument/2006/bibliography"/>
  </ds:schemaRefs>
</ds:datastoreItem>
</file>

<file path=customXml/itemProps2.xml><?xml version="1.0" encoding="utf-8"?>
<ds:datastoreItem xmlns:ds="http://schemas.openxmlformats.org/officeDocument/2006/customXml" ds:itemID="{FB7ED076-F8D2-4362-A19C-13841385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3076A-30E5-423C-9F80-1E9F8F1C253F}">
  <ds:schemaRefs>
    <ds:schemaRef ds:uri="http://schemas.microsoft.com/sharepoint/v3/contenttype/forms"/>
  </ds:schemaRefs>
</ds:datastoreItem>
</file>

<file path=customXml/itemProps4.xml><?xml version="1.0" encoding="utf-8"?>
<ds:datastoreItem xmlns:ds="http://schemas.openxmlformats.org/officeDocument/2006/customXml" ds:itemID="{7D156F2D-AB90-46BC-9184-E2F65AC74A2B}">
  <ds:schemaRefs>
    <ds:schemaRef ds:uri="http://schemas.microsoft.com/sharepoint/v3/contenttype/forms"/>
  </ds:schemaRefs>
</ds:datastoreItem>
</file>

<file path=customXml/itemProps5.xml><?xml version="1.0" encoding="utf-8"?>
<ds:datastoreItem xmlns:ds="http://schemas.openxmlformats.org/officeDocument/2006/customXml" ds:itemID="{E95A848E-086D-4D10-96AC-B0A11197C963}">
  <ds:schemaRefs>
    <ds:schemaRef ds:uri="http://schemas.microsoft.com/office/2006/metadata/properties"/>
    <ds:schemaRef ds:uri="http://schemas.microsoft.com/office/infopath/2007/PartnerControls"/>
    <ds:schemaRef ds:uri="53adeefc-49af-490c-b6df-0a140ad55ab3"/>
    <ds:schemaRef ds:uri="15cb24ba-756a-4ce4-ac9a-5f0544b55546"/>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355</Pages>
  <Words>98726</Words>
  <Characters>533122</Characters>
  <Application>Microsoft Office Word</Application>
  <DocSecurity>0</DocSecurity>
  <Lines>4442</Lines>
  <Paragraphs>1261</Paragraphs>
  <ScaleCrop>false</ScaleCrop>
  <HeadingPairs>
    <vt:vector size="2" baseType="variant">
      <vt:variant>
        <vt:lpstr>Título</vt:lpstr>
      </vt:variant>
      <vt:variant>
        <vt:i4>1</vt:i4>
      </vt:variant>
    </vt:vector>
  </HeadingPairs>
  <TitlesOfParts>
    <vt:vector size="1" baseType="lpstr">
      <vt:lpstr>Resolução CVM 175 (texto consolidado)</vt:lpstr>
    </vt:vector>
  </TitlesOfParts>
  <Company/>
  <LinksUpToDate>false</LinksUpToDate>
  <CharactersWithSpaces>630587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175 (texto consolidado)</dc:title>
  <dc:subject/>
  <dc:creator>CVM</dc:creator>
  <cp:keywords/>
  <dc:description/>
  <cp:lastModifiedBy>Renato Sterental Goldberg</cp:lastModifiedBy>
  <cp:revision>5</cp:revision>
  <cp:lastPrinted>2023-03-29T21:46:00Z</cp:lastPrinted>
  <dcterms:created xsi:type="dcterms:W3CDTF">2024-03-12T15:45:00Z</dcterms:created>
  <dcterms:modified xsi:type="dcterms:W3CDTF">2024-03-12T16:05:00Z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