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0A81DEF8" w:rsidR="00841BBF" w:rsidRPr="00C1691E" w:rsidRDefault="00841BBF" w:rsidP="0AFCFE7C">
      <w:pPr>
        <w:pStyle w:val="TtulodaResoluo"/>
      </w:pPr>
      <w:r w:rsidRPr="008A25D5">
        <w:t>Resolução CVM nº</w:t>
      </w:r>
      <w:r w:rsidR="008A25D5" w:rsidRPr="008A25D5">
        <w:t xml:space="preserve"> 117, DE 3 DE JUNHO DE 2022</w:t>
      </w:r>
    </w:p>
    <w:p w14:paraId="7F287B8F" w14:textId="2AC20A1B" w:rsidR="00841BBF" w:rsidRPr="00C82C89" w:rsidRDefault="006354B4" w:rsidP="0AFCFE7C">
      <w:pPr>
        <w:pStyle w:val="Ementa"/>
      </w:pPr>
      <w:r w:rsidRPr="006354B4">
        <w:t xml:space="preserve">Aprova </w:t>
      </w:r>
      <w:r w:rsidR="0075324A">
        <w:t>a consolidação d</w:t>
      </w:r>
      <w:r w:rsidRPr="006354B4">
        <w:t xml:space="preserve">o Pronunciamento Técnico CPC </w:t>
      </w:r>
      <w:r w:rsidR="00E4538B">
        <w:t>0</w:t>
      </w:r>
      <w:r w:rsidR="0062279A">
        <w:t>9</w:t>
      </w:r>
      <w:r w:rsidR="00E4538B">
        <w:t xml:space="preserve"> </w:t>
      </w:r>
      <w:r w:rsidRPr="006354B4">
        <w:t>do Comitê de Pronunciamentos Contábeis</w:t>
      </w:r>
      <w:r w:rsidR="00E4538B">
        <w:t xml:space="preserve"> – CPC</w:t>
      </w:r>
      <w:r w:rsidR="0062279A">
        <w:t xml:space="preserve">, que trata </w:t>
      </w:r>
      <w:r w:rsidR="00A767AD">
        <w:t>sobre</w:t>
      </w:r>
      <w:r w:rsidR="0062279A">
        <w:t xml:space="preserve"> </w:t>
      </w:r>
      <w:r w:rsidR="00A767AD">
        <w:t>d</w:t>
      </w:r>
      <w:r w:rsidR="0062279A">
        <w:t xml:space="preserve">emonstração do </w:t>
      </w:r>
      <w:r w:rsidR="00A767AD">
        <w:t>v</w:t>
      </w:r>
      <w:r w:rsidR="0062279A">
        <w:t xml:space="preserve">alor </w:t>
      </w:r>
      <w:r w:rsidR="00A767AD">
        <w:t>a</w:t>
      </w:r>
      <w:r w:rsidR="0062279A">
        <w:t>dicionado.</w:t>
      </w:r>
    </w:p>
    <w:p w14:paraId="4F1921DF" w14:textId="3E110598" w:rsidR="006E1797" w:rsidRDefault="52D26694" w:rsidP="52D26694">
      <w:r>
        <w:t xml:space="preserve">O </w:t>
      </w:r>
      <w:r w:rsidRPr="0088046F">
        <w:rPr>
          <w:b/>
          <w:bCs/>
        </w:rPr>
        <w:t>PRESIDENTE DA COMISSÃO DE VALORES MOBILIÁRIOS – CVM</w:t>
      </w:r>
      <w:r>
        <w:t xml:space="preserve"> torna público que o Colegiado, em reunião realizada em </w:t>
      </w:r>
      <w:r w:rsidR="008156F7">
        <w:t xml:space="preserve">4 </w:t>
      </w:r>
      <w:r w:rsidR="5BCF2215">
        <w:t xml:space="preserve">de </w:t>
      </w:r>
      <w:r w:rsidR="008156F7">
        <w:t xml:space="preserve">maio </w:t>
      </w:r>
      <w:r w:rsidR="5BCF2215">
        <w:t xml:space="preserve">de </w:t>
      </w:r>
      <w:r w:rsidR="1D34AD4F">
        <w:t>202</w:t>
      </w:r>
      <w:r w:rsidR="0075324A">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11EC4739"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E4538B">
        <w:t>0</w:t>
      </w:r>
      <w:r w:rsidR="000044F9">
        <w:t>9</w:t>
      </w:r>
      <w:r w:rsidR="003262B1">
        <w:t>, que trata sobre demonstração do valor adicionado,</w:t>
      </w:r>
      <w:r w:rsidR="00F0408F" w:rsidRPr="00F0408F">
        <w:t xml:space="preserve"> emitido pelo Comitê de Pronunciamentos Contábeis - CPC,</w:t>
      </w:r>
      <w:r w:rsidR="005649C3">
        <w:t xml:space="preserve"> </w:t>
      </w:r>
      <w:r w:rsidR="003262B1">
        <w:t>conforme consolidado no A</w:t>
      </w:r>
      <w:r w:rsidR="00F0408F" w:rsidRPr="00F0408F">
        <w:t>nexo</w:t>
      </w:r>
      <w:r w:rsidR="003262B1">
        <w:t xml:space="preserve"> “A”</w:t>
      </w:r>
      <w:r w:rsidR="00F0408F" w:rsidRPr="00F0408F">
        <w:t xml:space="preserve"> à presente </w:t>
      </w:r>
      <w:r w:rsidR="00F0408F">
        <w:t>Resolu</w:t>
      </w:r>
      <w:r w:rsidR="00F0408F" w:rsidRPr="00F0408F">
        <w:t>ção</w:t>
      </w:r>
      <w:r w:rsidR="0062279A">
        <w:t>.</w:t>
      </w:r>
    </w:p>
    <w:p w14:paraId="4FBE9FE5" w14:textId="763E4E7A"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62279A">
        <w:rPr>
          <w:rFonts w:ascii="Calibri" w:hAnsi="Calibri" w:cs="Calibri"/>
          <w:color w:val="000000" w:themeColor="text1"/>
        </w:rPr>
        <w:t>557</w:t>
      </w:r>
      <w:r w:rsidRPr="423D2983">
        <w:rPr>
          <w:rFonts w:ascii="Calibri" w:hAnsi="Calibri" w:cs="Calibri"/>
          <w:color w:val="000000" w:themeColor="text1"/>
        </w:rPr>
        <w:t xml:space="preserve">, de </w:t>
      </w:r>
      <w:r w:rsidR="0062279A">
        <w:rPr>
          <w:rFonts w:ascii="Calibri" w:hAnsi="Calibri" w:cs="Calibri"/>
          <w:color w:val="000000" w:themeColor="text1"/>
        </w:rPr>
        <w:t>12</w:t>
      </w:r>
      <w:r w:rsidRPr="423D2983">
        <w:rPr>
          <w:rFonts w:ascii="Calibri" w:hAnsi="Calibri" w:cs="Calibri"/>
          <w:color w:val="000000" w:themeColor="text1"/>
        </w:rPr>
        <w:t xml:space="preserve"> de </w:t>
      </w:r>
      <w:r w:rsidR="0062279A">
        <w:rPr>
          <w:rFonts w:ascii="Calibri" w:hAnsi="Calibri" w:cs="Calibri"/>
          <w:color w:val="000000" w:themeColor="text1"/>
        </w:rPr>
        <w:t>novem</w:t>
      </w:r>
      <w:r w:rsidR="00E4538B">
        <w:rPr>
          <w:rFonts w:ascii="Calibri" w:hAnsi="Calibri" w:cs="Calibri"/>
          <w:color w:val="000000" w:themeColor="text1"/>
        </w:rPr>
        <w:t>bro</w:t>
      </w:r>
      <w:r w:rsidRPr="423D2983">
        <w:rPr>
          <w:rFonts w:ascii="Calibri" w:hAnsi="Calibri" w:cs="Calibri"/>
          <w:color w:val="000000" w:themeColor="text1"/>
        </w:rPr>
        <w:t xml:space="preserve"> de </w:t>
      </w:r>
      <w:r w:rsidR="00E4538B">
        <w:rPr>
          <w:rFonts w:ascii="Calibri" w:hAnsi="Calibri" w:cs="Calibri"/>
          <w:color w:val="000000" w:themeColor="text1"/>
        </w:rPr>
        <w:t>20</w:t>
      </w:r>
      <w:r w:rsidR="0062279A">
        <w:rPr>
          <w:rFonts w:ascii="Calibri" w:hAnsi="Calibri" w:cs="Calibri"/>
          <w:color w:val="000000" w:themeColor="text1"/>
        </w:rPr>
        <w:t>08</w:t>
      </w:r>
      <w:r w:rsidR="003262B1">
        <w:rPr>
          <w:rFonts w:ascii="Calibri" w:hAnsi="Calibri" w:cs="Calibri"/>
          <w:color w:val="000000" w:themeColor="text1"/>
        </w:rPr>
        <w:t>, a partir da vigência desta Resolução</w:t>
      </w:r>
      <w:r w:rsidR="002E64EB">
        <w:rPr>
          <w:rFonts w:ascii="Calibri" w:hAnsi="Calibri" w:cs="Calibri"/>
          <w:color w:val="000000" w:themeColor="text1"/>
        </w:rPr>
        <w:t>.</w:t>
      </w:r>
    </w:p>
    <w:p w14:paraId="63B88F43" w14:textId="29DE977D"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3262B1">
        <w:rPr>
          <w:rFonts w:ascii="Calibri" w:hAnsi="Calibri" w:cs="Calibri"/>
          <w:color w:val="000000" w:themeColor="text1"/>
        </w:rPr>
        <w:t>1º</w:t>
      </w:r>
      <w:r w:rsidRPr="003262B1">
        <w:rPr>
          <w:rFonts w:ascii="Calibri" w:hAnsi="Calibri" w:cs="Calibri"/>
          <w:color w:val="000000" w:themeColor="text1"/>
        </w:rPr>
        <w:t xml:space="preserve"> de </w:t>
      </w:r>
      <w:r w:rsidR="002E64EB" w:rsidRPr="003262B1">
        <w:rPr>
          <w:rFonts w:ascii="Calibri" w:hAnsi="Calibri" w:cs="Calibri"/>
          <w:color w:val="000000" w:themeColor="text1"/>
        </w:rPr>
        <w:t>j</w:t>
      </w:r>
      <w:r w:rsidR="003262B1" w:rsidRPr="003262B1">
        <w:rPr>
          <w:rFonts w:ascii="Calibri" w:hAnsi="Calibri" w:cs="Calibri"/>
          <w:color w:val="000000" w:themeColor="text1"/>
        </w:rPr>
        <w:t>ulho de</w:t>
      </w:r>
      <w:r w:rsidRPr="003262B1">
        <w:rPr>
          <w:rFonts w:ascii="Calibri" w:hAnsi="Calibri" w:cs="Calibri"/>
          <w:color w:val="000000" w:themeColor="text1"/>
        </w:rPr>
        <w:t xml:space="preserve"> 202</w:t>
      </w:r>
      <w:r w:rsidR="002E64EB" w:rsidRPr="003262B1">
        <w:rPr>
          <w:rFonts w:ascii="Calibri" w:hAnsi="Calibri" w:cs="Calibri"/>
          <w:color w:val="000000" w:themeColor="text1"/>
        </w:rPr>
        <w:t>2</w:t>
      </w:r>
      <w:r w:rsidRPr="423D2983">
        <w:rPr>
          <w:rFonts w:ascii="Calibri" w:hAnsi="Calibri" w:cs="Calibri"/>
          <w:color w:val="000000" w:themeColor="text1"/>
        </w:rPr>
        <w:t>.</w:t>
      </w:r>
    </w:p>
    <w:p w14:paraId="1EC3FC8C" w14:textId="2DD80059" w:rsidR="4B5E3D5E" w:rsidRDefault="4B5E3D5E" w:rsidP="00410B6F">
      <w:pPr>
        <w:spacing w:before="0" w:after="0" w:line="240" w:lineRule="auto"/>
        <w:rPr>
          <w:rFonts w:ascii="Calibri" w:hAnsi="Calibri" w:cs="Calibri"/>
        </w:rPr>
      </w:pP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03A4215D" w14:textId="22F813F4" w:rsidR="003262B1" w:rsidRDefault="003262B1" w:rsidP="00FC0214">
      <w:pPr>
        <w:spacing w:before="0" w:line="240" w:lineRule="auto"/>
        <w:ind w:firstLine="0"/>
        <w:jc w:val="center"/>
        <w:outlineLvl w:val="0"/>
        <w:rPr>
          <w:rFonts w:ascii="Arial" w:eastAsia="Times New Roman" w:hAnsi="Arial" w:cs="Arial"/>
          <w:b/>
          <w:sz w:val="22"/>
          <w:szCs w:val="22"/>
          <w:lang w:eastAsia="pt-BR"/>
        </w:rPr>
      </w:pPr>
      <w:bookmarkStart w:id="0" w:name="_Ref202082075"/>
      <w:bookmarkEnd w:id="0"/>
      <w:r>
        <w:rPr>
          <w:rFonts w:ascii="Arial" w:eastAsia="Times New Roman" w:hAnsi="Arial" w:cs="Arial"/>
          <w:b/>
          <w:sz w:val="22"/>
          <w:szCs w:val="22"/>
          <w:lang w:eastAsia="pt-BR"/>
        </w:rPr>
        <w:lastRenderedPageBreak/>
        <w:t>ANEXO “A”</w:t>
      </w:r>
    </w:p>
    <w:p w14:paraId="5E2A058D" w14:textId="3E66AA68" w:rsidR="00736708" w:rsidRPr="00736708" w:rsidRDefault="00736708" w:rsidP="00FC0214">
      <w:pPr>
        <w:spacing w:before="0" w:line="240" w:lineRule="auto"/>
        <w:ind w:firstLine="0"/>
        <w:jc w:val="center"/>
        <w:outlineLvl w:val="0"/>
        <w:rPr>
          <w:rFonts w:ascii="Arial" w:eastAsia="Times New Roman" w:hAnsi="Arial" w:cs="Arial"/>
          <w:b/>
          <w:sz w:val="22"/>
          <w:szCs w:val="22"/>
          <w:lang w:eastAsia="pt-BR"/>
        </w:rPr>
      </w:pPr>
      <w:bookmarkStart w:id="1" w:name="_GoBack"/>
      <w:bookmarkEnd w:id="1"/>
      <w:r w:rsidRPr="00736708">
        <w:rPr>
          <w:rFonts w:ascii="Arial" w:eastAsia="Times New Roman" w:hAnsi="Arial" w:cs="Arial"/>
          <w:b/>
          <w:sz w:val="22"/>
          <w:szCs w:val="22"/>
          <w:lang w:eastAsia="pt-BR"/>
        </w:rPr>
        <w:t>COMITÊ DE PRONUNCIAMENTOS CONTÁBEIS</w:t>
      </w:r>
    </w:p>
    <w:p w14:paraId="310D96D9" w14:textId="77777777" w:rsidR="00736708" w:rsidRPr="00736708" w:rsidRDefault="00736708" w:rsidP="00FC0214">
      <w:pPr>
        <w:spacing w:before="0" w:line="240" w:lineRule="auto"/>
        <w:ind w:firstLine="0"/>
        <w:jc w:val="center"/>
        <w:outlineLvl w:val="0"/>
        <w:rPr>
          <w:rFonts w:ascii="Arial" w:eastAsia="Times New Roman" w:hAnsi="Arial" w:cs="Arial"/>
          <w:b/>
          <w:sz w:val="22"/>
          <w:szCs w:val="22"/>
          <w:lang w:eastAsia="pt-BR"/>
        </w:rPr>
      </w:pPr>
      <w:r w:rsidRPr="00736708">
        <w:rPr>
          <w:rFonts w:ascii="Arial" w:eastAsia="Times New Roman" w:hAnsi="Arial" w:cs="Arial"/>
          <w:b/>
          <w:sz w:val="22"/>
          <w:szCs w:val="22"/>
          <w:lang w:eastAsia="pt-BR"/>
        </w:rPr>
        <w:t>PRONUNCIAMENTO TÉCNICO CPC 09</w:t>
      </w:r>
    </w:p>
    <w:p w14:paraId="2ABC92A4" w14:textId="77777777" w:rsidR="00736708" w:rsidRPr="00736708" w:rsidRDefault="00736708" w:rsidP="00FC0214">
      <w:pPr>
        <w:spacing w:before="0" w:line="240" w:lineRule="auto"/>
        <w:ind w:firstLine="0"/>
        <w:jc w:val="center"/>
        <w:outlineLvl w:val="0"/>
        <w:rPr>
          <w:rFonts w:ascii="Arial" w:eastAsia="Times New Roman" w:hAnsi="Arial" w:cs="Arial"/>
          <w:b/>
          <w:sz w:val="22"/>
          <w:szCs w:val="22"/>
          <w:lang w:eastAsia="pt-BR"/>
        </w:rPr>
      </w:pPr>
      <w:r w:rsidRPr="00736708">
        <w:rPr>
          <w:rFonts w:ascii="Arial" w:eastAsia="Times New Roman" w:hAnsi="Arial" w:cs="Arial"/>
          <w:b/>
          <w:sz w:val="22"/>
          <w:szCs w:val="22"/>
          <w:lang w:eastAsia="pt-BR"/>
        </w:rPr>
        <w:t>DEMONSTRAÇÃO DO VALOR ADICIONADO</w:t>
      </w:r>
    </w:p>
    <w:p w14:paraId="78D9EB1F" w14:textId="77777777" w:rsidR="00736708" w:rsidRPr="00736708" w:rsidRDefault="00736708" w:rsidP="00736708">
      <w:pPr>
        <w:widowControl w:val="0"/>
        <w:tabs>
          <w:tab w:val="left" w:pos="560"/>
          <w:tab w:val="left" w:pos="6804"/>
        </w:tabs>
        <w:spacing w:before="0" w:after="0" w:line="240" w:lineRule="auto"/>
        <w:ind w:left="57" w:right="57" w:firstLine="0"/>
        <w:outlineLvl w:val="5"/>
        <w:rPr>
          <w:rFonts w:ascii="Arial" w:eastAsia="Times New Roman" w:hAnsi="Arial" w:cs="Arial"/>
          <w:b/>
          <w:caps/>
          <w:sz w:val="22"/>
          <w:szCs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1260"/>
      </w:tblGrid>
      <w:tr w:rsidR="00736708" w:rsidRPr="00736708" w14:paraId="4F7A836B" w14:textId="77777777" w:rsidTr="00A860B9">
        <w:tc>
          <w:tcPr>
            <w:tcW w:w="7778" w:type="dxa"/>
          </w:tcPr>
          <w:p w14:paraId="5B1DF27B"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val="pt-PT" w:eastAsia="pt-BR"/>
              </w:rPr>
            </w:pPr>
            <w:r w:rsidRPr="00736708">
              <w:rPr>
                <w:rFonts w:ascii="Arial" w:eastAsia="Times New Roman" w:hAnsi="Arial" w:cs="Arial"/>
                <w:b/>
                <w:bCs/>
                <w:kern w:val="36"/>
                <w:sz w:val="22"/>
                <w:szCs w:val="22"/>
                <w:lang w:eastAsia="pt-BR"/>
              </w:rPr>
              <w:t>Sumário</w:t>
            </w:r>
          </w:p>
        </w:tc>
        <w:tc>
          <w:tcPr>
            <w:tcW w:w="1260" w:type="dxa"/>
          </w:tcPr>
          <w:p w14:paraId="26EC3A04"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val="pt-PT" w:eastAsia="pt-BR"/>
              </w:rPr>
            </w:pPr>
            <w:r w:rsidRPr="00736708">
              <w:rPr>
                <w:rFonts w:ascii="Arial" w:eastAsia="Times New Roman" w:hAnsi="Arial" w:cs="Arial"/>
                <w:b/>
                <w:bCs/>
                <w:kern w:val="36"/>
                <w:sz w:val="22"/>
                <w:szCs w:val="22"/>
                <w:lang w:eastAsia="pt-BR"/>
              </w:rPr>
              <w:t>Item</w:t>
            </w:r>
          </w:p>
        </w:tc>
      </w:tr>
      <w:tr w:rsidR="00736708" w:rsidRPr="00736708" w14:paraId="2A1198FF" w14:textId="77777777" w:rsidTr="00A860B9">
        <w:tc>
          <w:tcPr>
            <w:tcW w:w="7778" w:type="dxa"/>
          </w:tcPr>
          <w:p w14:paraId="2A108327"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 xml:space="preserve">OBJETIVO </w:t>
            </w:r>
          </w:p>
        </w:tc>
        <w:tc>
          <w:tcPr>
            <w:tcW w:w="1260" w:type="dxa"/>
          </w:tcPr>
          <w:p w14:paraId="56843C7E"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1 - 2</w:t>
            </w:r>
          </w:p>
        </w:tc>
      </w:tr>
      <w:tr w:rsidR="00736708" w:rsidRPr="00736708" w14:paraId="7A0738B5" w14:textId="77777777" w:rsidTr="00A860B9">
        <w:tc>
          <w:tcPr>
            <w:tcW w:w="7778" w:type="dxa"/>
          </w:tcPr>
          <w:p w14:paraId="002745B5"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ALCANCE E APRESENTAÇÃO</w:t>
            </w:r>
          </w:p>
        </w:tc>
        <w:tc>
          <w:tcPr>
            <w:tcW w:w="1260" w:type="dxa"/>
          </w:tcPr>
          <w:p w14:paraId="7DA9E6C6"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3 – 8</w:t>
            </w:r>
          </w:p>
        </w:tc>
      </w:tr>
      <w:tr w:rsidR="00736708" w:rsidRPr="00736708" w14:paraId="55EA454A" w14:textId="77777777" w:rsidTr="00A860B9">
        <w:tc>
          <w:tcPr>
            <w:tcW w:w="7778" w:type="dxa"/>
          </w:tcPr>
          <w:p w14:paraId="02176CDF"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DEFINIÇÕES</w:t>
            </w:r>
          </w:p>
        </w:tc>
        <w:tc>
          <w:tcPr>
            <w:tcW w:w="1260" w:type="dxa"/>
          </w:tcPr>
          <w:p w14:paraId="57B856E4"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9</w:t>
            </w:r>
          </w:p>
        </w:tc>
      </w:tr>
      <w:tr w:rsidR="00736708" w:rsidRPr="00736708" w14:paraId="14C92978" w14:textId="77777777" w:rsidTr="00A860B9">
        <w:tc>
          <w:tcPr>
            <w:tcW w:w="7778" w:type="dxa"/>
          </w:tcPr>
          <w:p w14:paraId="17711E46"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CARACTERÍSTICAS DAS INFORMAÇÕES DA DVA</w:t>
            </w:r>
          </w:p>
          <w:p w14:paraId="69A3169A"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FORMAÇÃO DA RIQUEZA</w:t>
            </w:r>
          </w:p>
        </w:tc>
        <w:tc>
          <w:tcPr>
            <w:tcW w:w="1260" w:type="dxa"/>
            <w:vAlign w:val="center"/>
          </w:tcPr>
          <w:p w14:paraId="30A71479"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10 – 14</w:t>
            </w:r>
          </w:p>
        </w:tc>
      </w:tr>
      <w:tr w:rsidR="00736708" w:rsidRPr="00736708" w14:paraId="46417E29" w14:textId="77777777" w:rsidTr="00A860B9">
        <w:tc>
          <w:tcPr>
            <w:tcW w:w="7778" w:type="dxa"/>
          </w:tcPr>
          <w:p w14:paraId="0448AD53" w14:textId="77777777" w:rsidR="00736708" w:rsidRPr="00736708" w:rsidRDefault="00736708" w:rsidP="00736708">
            <w:pPr>
              <w:spacing w:before="60" w:after="60" w:line="240" w:lineRule="auto"/>
              <w:ind w:firstLine="0"/>
              <w:jc w:val="left"/>
              <w:rPr>
                <w:rFonts w:ascii="Arial" w:eastAsia="Times New Roman" w:hAnsi="Arial" w:cs="Arial"/>
                <w:bCs/>
                <w:kern w:val="36"/>
                <w:sz w:val="22"/>
                <w:szCs w:val="22"/>
                <w:lang w:eastAsia="pt-BR"/>
              </w:rPr>
            </w:pPr>
            <w:r w:rsidRPr="00736708">
              <w:rPr>
                <w:rFonts w:ascii="Arial" w:eastAsia="Times New Roman" w:hAnsi="Arial" w:cs="Arial"/>
                <w:b/>
                <w:bCs/>
                <w:kern w:val="36"/>
                <w:sz w:val="22"/>
                <w:szCs w:val="22"/>
                <w:lang w:eastAsia="pt-BR"/>
              </w:rPr>
              <w:t>DISTRIBUIÇÃO DA RIQUEZA</w:t>
            </w:r>
          </w:p>
        </w:tc>
        <w:tc>
          <w:tcPr>
            <w:tcW w:w="1260" w:type="dxa"/>
          </w:tcPr>
          <w:p w14:paraId="732DFCA0"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15</w:t>
            </w:r>
          </w:p>
        </w:tc>
      </w:tr>
      <w:tr w:rsidR="00736708" w:rsidRPr="00736708" w14:paraId="02B128ED" w14:textId="77777777" w:rsidTr="00A860B9">
        <w:tc>
          <w:tcPr>
            <w:tcW w:w="7778" w:type="dxa"/>
          </w:tcPr>
          <w:p w14:paraId="5991C46F" w14:textId="77777777" w:rsidR="00736708" w:rsidRPr="00736708" w:rsidRDefault="00736708" w:rsidP="00736708">
            <w:pPr>
              <w:spacing w:before="60" w:after="60" w:line="240" w:lineRule="auto"/>
              <w:ind w:firstLine="0"/>
              <w:jc w:val="left"/>
              <w:rPr>
                <w:rFonts w:ascii="Arial" w:eastAsia="Times New Roman" w:hAnsi="Arial" w:cs="Arial"/>
                <w:bCs/>
                <w:kern w:val="36"/>
                <w:sz w:val="22"/>
                <w:szCs w:val="22"/>
                <w:lang w:eastAsia="pt-BR"/>
              </w:rPr>
            </w:pPr>
            <w:r w:rsidRPr="00736708">
              <w:rPr>
                <w:rFonts w:ascii="Arial" w:eastAsia="Times New Roman" w:hAnsi="Arial" w:cs="Arial"/>
                <w:b/>
                <w:bCs/>
                <w:kern w:val="36"/>
                <w:sz w:val="22"/>
                <w:szCs w:val="22"/>
                <w:lang w:eastAsia="pt-BR"/>
              </w:rPr>
              <w:t>CASOS ESPECIAIS – ALGUNS EXEMPLOS</w:t>
            </w:r>
          </w:p>
        </w:tc>
        <w:tc>
          <w:tcPr>
            <w:tcW w:w="1260" w:type="dxa"/>
          </w:tcPr>
          <w:p w14:paraId="4829B27C"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16 - 27</w:t>
            </w:r>
          </w:p>
        </w:tc>
      </w:tr>
      <w:tr w:rsidR="00736708" w:rsidRPr="00736708" w14:paraId="77B37648" w14:textId="77777777" w:rsidTr="00A860B9">
        <w:tc>
          <w:tcPr>
            <w:tcW w:w="7778" w:type="dxa"/>
          </w:tcPr>
          <w:p w14:paraId="617BB276"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ATIVIDADE DE INTERMEDIAÇÃO FINANCEIRA (BANCÁRIA)</w:t>
            </w:r>
          </w:p>
          <w:p w14:paraId="617A32B5"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FORMAÇÃO DA RIQUEZA</w:t>
            </w:r>
          </w:p>
        </w:tc>
        <w:tc>
          <w:tcPr>
            <w:tcW w:w="1260" w:type="dxa"/>
            <w:vAlign w:val="center"/>
          </w:tcPr>
          <w:p w14:paraId="27F8326E"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28 – 29</w:t>
            </w:r>
          </w:p>
        </w:tc>
      </w:tr>
      <w:tr w:rsidR="00736708" w:rsidRPr="00736708" w14:paraId="37A4F8B9" w14:textId="77777777" w:rsidTr="00A860B9">
        <w:tc>
          <w:tcPr>
            <w:tcW w:w="7778" w:type="dxa"/>
          </w:tcPr>
          <w:p w14:paraId="3ACD9D92"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DISTRIBUIÇÃO DA RIQUEZA</w:t>
            </w:r>
          </w:p>
        </w:tc>
        <w:tc>
          <w:tcPr>
            <w:tcW w:w="1260" w:type="dxa"/>
          </w:tcPr>
          <w:p w14:paraId="7D22B5CA"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30</w:t>
            </w:r>
          </w:p>
        </w:tc>
      </w:tr>
      <w:tr w:rsidR="00736708" w:rsidRPr="00736708" w14:paraId="5DD2064D" w14:textId="77777777" w:rsidTr="00A860B9">
        <w:tc>
          <w:tcPr>
            <w:tcW w:w="7778" w:type="dxa"/>
          </w:tcPr>
          <w:p w14:paraId="4EE6B23D"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ATIVIDADE DE SEGURO E PREVIDÊNCIA</w:t>
            </w:r>
          </w:p>
          <w:p w14:paraId="0350B09F"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FORMAÇÃO DA RIQUEZA</w:t>
            </w:r>
          </w:p>
        </w:tc>
        <w:tc>
          <w:tcPr>
            <w:tcW w:w="1260" w:type="dxa"/>
            <w:vAlign w:val="center"/>
          </w:tcPr>
          <w:p w14:paraId="49946ACD"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31 – 32</w:t>
            </w:r>
          </w:p>
        </w:tc>
      </w:tr>
      <w:tr w:rsidR="00736708" w:rsidRPr="00736708" w14:paraId="1EC887AE" w14:textId="77777777" w:rsidTr="00A860B9">
        <w:tc>
          <w:tcPr>
            <w:tcW w:w="7778" w:type="dxa"/>
          </w:tcPr>
          <w:p w14:paraId="5D48A1EB"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DISTRIBUIÇÃO DA RIQUEZA</w:t>
            </w:r>
          </w:p>
        </w:tc>
        <w:tc>
          <w:tcPr>
            <w:tcW w:w="1260" w:type="dxa"/>
          </w:tcPr>
          <w:p w14:paraId="4678AE6E"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33</w:t>
            </w:r>
          </w:p>
        </w:tc>
      </w:tr>
      <w:tr w:rsidR="00736708" w:rsidRPr="00736708" w14:paraId="3DE1E374" w14:textId="77777777" w:rsidTr="00A860B9">
        <w:tc>
          <w:tcPr>
            <w:tcW w:w="7778" w:type="dxa"/>
          </w:tcPr>
          <w:p w14:paraId="0E09F043" w14:textId="77777777" w:rsidR="00736708" w:rsidRPr="00736708" w:rsidRDefault="00736708" w:rsidP="00736708">
            <w:pPr>
              <w:spacing w:before="60" w:after="60" w:line="240" w:lineRule="auto"/>
              <w:ind w:firstLine="0"/>
              <w:jc w:val="left"/>
              <w:rPr>
                <w:rFonts w:ascii="Arial" w:eastAsia="Times New Roman" w:hAnsi="Arial" w:cs="Arial"/>
                <w:b/>
                <w:bCs/>
                <w:kern w:val="36"/>
                <w:sz w:val="22"/>
                <w:szCs w:val="22"/>
                <w:lang w:eastAsia="pt-BR"/>
              </w:rPr>
            </w:pPr>
            <w:r w:rsidRPr="00736708">
              <w:rPr>
                <w:rFonts w:ascii="Arial" w:eastAsia="Times New Roman" w:hAnsi="Arial" w:cs="Arial"/>
                <w:b/>
                <w:bCs/>
                <w:kern w:val="36"/>
                <w:sz w:val="22"/>
                <w:szCs w:val="22"/>
                <w:lang w:eastAsia="pt-BR"/>
              </w:rPr>
              <w:t>MODELOS</w:t>
            </w:r>
          </w:p>
        </w:tc>
        <w:tc>
          <w:tcPr>
            <w:tcW w:w="1260" w:type="dxa"/>
          </w:tcPr>
          <w:p w14:paraId="2E52E9D9" w14:textId="77777777" w:rsidR="00736708" w:rsidRPr="00736708" w:rsidRDefault="00736708" w:rsidP="00736708">
            <w:pPr>
              <w:spacing w:before="60" w:after="60" w:line="240" w:lineRule="auto"/>
              <w:ind w:firstLine="0"/>
              <w:jc w:val="center"/>
              <w:rPr>
                <w:rFonts w:ascii="Arial" w:eastAsia="Times New Roman" w:hAnsi="Arial" w:cs="Arial"/>
                <w:b/>
                <w:bCs/>
                <w:kern w:val="36"/>
                <w:sz w:val="22"/>
                <w:szCs w:val="22"/>
                <w:lang w:eastAsia="pt-BR"/>
              </w:rPr>
            </w:pPr>
          </w:p>
        </w:tc>
      </w:tr>
    </w:tbl>
    <w:p w14:paraId="2B0AF6C6"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p>
    <w:p w14:paraId="5EA9C173"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Objetivo</w:t>
      </w:r>
    </w:p>
    <w:p w14:paraId="316F4979"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156261A1"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O objetivo deste Pronunciamento Técnico é estabelecer critérios para elaboração e apresentação da Demonstração do Valor Adicionado (DVA), a qual representa um dos elementos componentes do Balanço Social e tem por finalidade evidenciar a riqueza criada pela entidade e sua distribuição, durante determinado período.</w:t>
      </w:r>
    </w:p>
    <w:p w14:paraId="7A481994"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B0A3688"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Sua elaboração deve levar em conta o Pronunciamento Conceitual Básico do CPC intitulado Estrutura Conceitual Básica para a Elaboração e Apresentação das Demonstrações Contábeis, e seus dados, em sua grande maioria, são obtidos principalmente a partir da Demonstração do Resultado.</w:t>
      </w:r>
    </w:p>
    <w:p w14:paraId="11DACB50"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11B66F9E"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Alcance e Apresentação</w:t>
      </w:r>
    </w:p>
    <w:p w14:paraId="1EE4B2AD"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6A76C1E"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entidade deve elaborar a DVA e apresentá-la como parte integrante das suas demonstrações contábeis divulgadas ao final de cada exercício social.</w:t>
      </w:r>
    </w:p>
    <w:p w14:paraId="1FEB8980"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A06BBBC"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A elaboração da DVA consolidada deve basear-se nas demonstrações consolidadas e evidenciar a </w:t>
      </w:r>
      <w:r w:rsidRPr="00736708">
        <w:rPr>
          <w:rFonts w:ascii="Arial" w:eastAsia="Times New Roman" w:hAnsi="Arial" w:cs="Arial"/>
          <w:color w:val="000000"/>
          <w:sz w:val="22"/>
          <w:szCs w:val="22"/>
          <w:lang w:val="pt-PT" w:eastAsia="pt-BR"/>
        </w:rPr>
        <w:lastRenderedPageBreak/>
        <w:t>participação dos sócios não controladores conforme o modelo anexo.</w:t>
      </w:r>
    </w:p>
    <w:p w14:paraId="070ACCE1"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DVA deve proporcionar aos usuários das demonstrações contábeis informações relativas à riqueza criada pela entidade em determinado período e a forma como tais riquezas foram distribuídas.</w:t>
      </w:r>
    </w:p>
    <w:p w14:paraId="446296A6"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53A4004"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distribuição da riqueza criada deve ser detalhada, minimamente, da seguinte forma:</w:t>
      </w:r>
    </w:p>
    <w:p w14:paraId="76B68788" w14:textId="77777777" w:rsidR="00736708" w:rsidRPr="00736708" w:rsidRDefault="00736708" w:rsidP="00736708">
      <w:pPr>
        <w:widowControl w:val="0"/>
        <w:numPr>
          <w:ilvl w:val="0"/>
          <w:numId w:val="23"/>
        </w:numPr>
        <w:spacing w:before="0" w:after="0" w:line="240" w:lineRule="auto"/>
        <w:ind w:left="993" w:hanging="426"/>
        <w:rPr>
          <w:rFonts w:ascii="Arial" w:eastAsia="Times New Roman" w:hAnsi="Arial" w:cs="Arial"/>
          <w:bCs/>
          <w:iCs/>
          <w:color w:val="000000"/>
          <w:sz w:val="22"/>
          <w:szCs w:val="22"/>
          <w:lang w:val="pt-PT" w:eastAsia="pt-BR"/>
        </w:rPr>
      </w:pPr>
      <w:r w:rsidRPr="00736708">
        <w:rPr>
          <w:rFonts w:ascii="Arial" w:eastAsia="Times New Roman" w:hAnsi="Arial" w:cs="Arial"/>
          <w:bCs/>
          <w:iCs/>
          <w:color w:val="000000"/>
          <w:sz w:val="22"/>
          <w:szCs w:val="22"/>
          <w:lang w:val="pt-PT" w:eastAsia="pt-BR"/>
        </w:rPr>
        <w:t xml:space="preserve">pessoal e encargos; </w:t>
      </w:r>
    </w:p>
    <w:p w14:paraId="537A6172" w14:textId="77777777" w:rsidR="00736708" w:rsidRPr="00736708" w:rsidRDefault="00736708" w:rsidP="00736708">
      <w:pPr>
        <w:widowControl w:val="0"/>
        <w:numPr>
          <w:ilvl w:val="0"/>
          <w:numId w:val="23"/>
        </w:numPr>
        <w:spacing w:before="0" w:after="0" w:line="240" w:lineRule="auto"/>
        <w:ind w:left="993" w:hanging="426"/>
        <w:rPr>
          <w:rFonts w:ascii="Arial" w:eastAsia="Times New Roman" w:hAnsi="Arial" w:cs="Arial"/>
          <w:bCs/>
          <w:iCs/>
          <w:color w:val="000000"/>
          <w:sz w:val="22"/>
          <w:szCs w:val="22"/>
          <w:lang w:val="pt-PT" w:eastAsia="pt-BR"/>
        </w:rPr>
      </w:pPr>
      <w:r w:rsidRPr="00736708">
        <w:rPr>
          <w:rFonts w:ascii="Arial" w:eastAsia="Times New Roman" w:hAnsi="Arial" w:cs="Arial"/>
          <w:bCs/>
          <w:iCs/>
          <w:color w:val="000000"/>
          <w:sz w:val="22"/>
          <w:szCs w:val="22"/>
          <w:lang w:val="pt-PT" w:eastAsia="pt-BR"/>
        </w:rPr>
        <w:t xml:space="preserve">impostos, taxas e contribuições; </w:t>
      </w:r>
    </w:p>
    <w:p w14:paraId="18F921C4" w14:textId="77777777" w:rsidR="00736708" w:rsidRPr="00736708" w:rsidRDefault="00736708" w:rsidP="00736708">
      <w:pPr>
        <w:widowControl w:val="0"/>
        <w:numPr>
          <w:ilvl w:val="0"/>
          <w:numId w:val="23"/>
        </w:numPr>
        <w:spacing w:before="0" w:after="0" w:line="240" w:lineRule="auto"/>
        <w:ind w:left="993" w:hanging="426"/>
        <w:rPr>
          <w:rFonts w:ascii="Arial" w:eastAsia="Times New Roman" w:hAnsi="Arial" w:cs="Arial"/>
          <w:bCs/>
          <w:iCs/>
          <w:color w:val="000000"/>
          <w:sz w:val="22"/>
          <w:szCs w:val="22"/>
          <w:lang w:val="pt-PT" w:eastAsia="pt-BR"/>
        </w:rPr>
      </w:pPr>
      <w:r w:rsidRPr="00736708">
        <w:rPr>
          <w:rFonts w:ascii="Arial" w:eastAsia="Times New Roman" w:hAnsi="Arial" w:cs="Arial"/>
          <w:bCs/>
          <w:iCs/>
          <w:color w:val="000000"/>
          <w:sz w:val="22"/>
          <w:szCs w:val="22"/>
          <w:lang w:val="pt-PT" w:eastAsia="pt-BR"/>
        </w:rPr>
        <w:t xml:space="preserve">juros e aluguéis; </w:t>
      </w:r>
    </w:p>
    <w:p w14:paraId="28911D64" w14:textId="77777777" w:rsidR="00736708" w:rsidRPr="00736708" w:rsidRDefault="00736708" w:rsidP="00736708">
      <w:pPr>
        <w:widowControl w:val="0"/>
        <w:numPr>
          <w:ilvl w:val="0"/>
          <w:numId w:val="23"/>
        </w:numPr>
        <w:spacing w:before="0" w:after="0" w:line="240" w:lineRule="auto"/>
        <w:ind w:left="993" w:hanging="426"/>
        <w:rPr>
          <w:rFonts w:ascii="Arial" w:eastAsia="Times New Roman" w:hAnsi="Arial" w:cs="Arial"/>
          <w:bCs/>
          <w:iCs/>
          <w:color w:val="000000"/>
          <w:sz w:val="22"/>
          <w:szCs w:val="22"/>
          <w:lang w:val="pt-PT" w:eastAsia="pt-BR"/>
        </w:rPr>
      </w:pPr>
      <w:r w:rsidRPr="00736708">
        <w:rPr>
          <w:rFonts w:ascii="Arial" w:eastAsia="Times New Roman" w:hAnsi="Arial" w:cs="Arial"/>
          <w:bCs/>
          <w:iCs/>
          <w:color w:val="000000"/>
          <w:sz w:val="22"/>
          <w:szCs w:val="22"/>
          <w:lang w:val="pt-PT" w:eastAsia="pt-BR"/>
        </w:rPr>
        <w:t xml:space="preserve">juros sobre o capital próprio (JCP) e dividendos; </w:t>
      </w:r>
    </w:p>
    <w:p w14:paraId="62216037" w14:textId="77777777" w:rsidR="00736708" w:rsidRPr="00736708" w:rsidRDefault="00736708" w:rsidP="00736708">
      <w:pPr>
        <w:widowControl w:val="0"/>
        <w:numPr>
          <w:ilvl w:val="0"/>
          <w:numId w:val="23"/>
        </w:numPr>
        <w:spacing w:before="0" w:after="0" w:line="240" w:lineRule="auto"/>
        <w:ind w:left="993" w:hanging="426"/>
        <w:rPr>
          <w:rFonts w:ascii="Arial" w:eastAsia="Times New Roman" w:hAnsi="Arial" w:cs="Arial"/>
          <w:bCs/>
          <w:iCs/>
          <w:color w:val="000000"/>
          <w:sz w:val="22"/>
          <w:szCs w:val="22"/>
          <w:lang w:val="pt-PT" w:eastAsia="pt-BR"/>
        </w:rPr>
      </w:pPr>
      <w:r w:rsidRPr="00736708">
        <w:rPr>
          <w:rFonts w:ascii="Arial" w:eastAsia="Times New Roman" w:hAnsi="Arial" w:cs="Arial"/>
          <w:bCs/>
          <w:iCs/>
          <w:color w:val="000000"/>
          <w:sz w:val="22"/>
          <w:szCs w:val="22"/>
          <w:lang w:val="pt-PT" w:eastAsia="pt-BR"/>
        </w:rPr>
        <w:t>lucros retidos/prejuízos do exercício.</w:t>
      </w:r>
    </w:p>
    <w:p w14:paraId="3575047C" w14:textId="77777777" w:rsidR="00736708" w:rsidRPr="00736708" w:rsidRDefault="00736708" w:rsidP="00736708">
      <w:pPr>
        <w:widowControl w:val="0"/>
        <w:spacing w:before="0" w:after="0" w:line="240" w:lineRule="auto"/>
        <w:ind w:firstLine="0"/>
        <w:rPr>
          <w:rFonts w:ascii="Arial" w:eastAsia="Times New Roman" w:hAnsi="Arial" w:cs="Arial"/>
          <w:bCs/>
          <w:iCs/>
          <w:color w:val="000000"/>
          <w:sz w:val="22"/>
          <w:szCs w:val="22"/>
          <w:lang w:val="pt-PT" w:eastAsia="pt-BR"/>
        </w:rPr>
      </w:pPr>
    </w:p>
    <w:p w14:paraId="6539CF1A"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As entidades mercantis (comerciais e industriais) e prestadoras de serviços devem utilizar o Modelo I, aplicável às empresas em geral, enquanto que para atividades específicas, tais como atividades de intermediação financeira (instituições financeiras bancárias) e de seguros, devem ser utilizados os modelos específicos (II e III) incluídos neste Pronunciamento.</w:t>
      </w:r>
    </w:p>
    <w:p w14:paraId="75CB1247"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A8914F9"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Os itens mínimos do modelo para as entidades mercantis (empresas em geral) estão apresentados na seqüência, e o modelo propriamente dito está ao final deste Pronunciamento.</w:t>
      </w:r>
    </w:p>
    <w:p w14:paraId="47F64C94"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4EE4A57A"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Definições</w:t>
      </w:r>
    </w:p>
    <w:p w14:paraId="34AD1FC0"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0A7C7D6"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Os termos abaixo são utilizados neste Pronunciamento com os seguintes significados:</w:t>
      </w:r>
    </w:p>
    <w:p w14:paraId="6FAA5AB2"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566458A"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r w:rsidRPr="00736708">
        <w:rPr>
          <w:rFonts w:ascii="Arial" w:eastAsia="Times New Roman" w:hAnsi="Arial" w:cs="Arial"/>
          <w:bCs/>
          <w:i/>
          <w:iCs/>
          <w:color w:val="000000"/>
          <w:sz w:val="22"/>
          <w:szCs w:val="22"/>
          <w:u w:val="single"/>
          <w:lang w:val="pt-PT" w:eastAsia="pt-BR"/>
        </w:rPr>
        <w:t>Valor adicionado</w:t>
      </w:r>
      <w:r w:rsidRPr="00736708">
        <w:rPr>
          <w:rFonts w:ascii="Arial" w:eastAsia="Times New Roman" w:hAnsi="Arial" w:cs="Arial"/>
          <w:bCs/>
          <w:iCs/>
          <w:color w:val="000000"/>
          <w:sz w:val="22"/>
          <w:szCs w:val="22"/>
          <w:lang w:val="pt-PT" w:eastAsia="pt-BR"/>
        </w:rPr>
        <w:t xml:space="preserve"> representa a riqueza criada pela empresa, de forma geral medida pela diferença entre o valor das vendas e os insumos adquiridos de terceiros. Inclui também o valor adicionado recebido em transferência, ou seja, produzido por terceiros e transferido à entidade.</w:t>
      </w:r>
    </w:p>
    <w:p w14:paraId="6F86A81B"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1BEC0015"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736708">
        <w:rPr>
          <w:rFonts w:ascii="Arial" w:eastAsia="Times New Roman" w:hAnsi="Arial" w:cs="Arial"/>
          <w:bCs/>
          <w:i/>
          <w:iCs/>
          <w:color w:val="000000"/>
          <w:sz w:val="22"/>
          <w:szCs w:val="22"/>
          <w:u w:val="single"/>
          <w:lang w:val="pt-PT" w:eastAsia="pt-BR"/>
        </w:rPr>
        <w:t>Receita de venda de mercadorias, produtos e serviços</w:t>
      </w:r>
      <w:r w:rsidRPr="00736708">
        <w:rPr>
          <w:rFonts w:ascii="Arial" w:eastAsia="Times New Roman" w:hAnsi="Arial" w:cs="Arial"/>
          <w:bCs/>
          <w:iCs/>
          <w:color w:val="000000"/>
          <w:sz w:val="22"/>
          <w:szCs w:val="22"/>
          <w:lang w:val="pt-PT" w:eastAsia="pt-BR"/>
        </w:rPr>
        <w:t xml:space="preserve"> representa os valores reconhecidos na contabilidade a esse título pelo regime de competência e incluídos na demonstração do resultado do período.</w:t>
      </w:r>
    </w:p>
    <w:p w14:paraId="47CBEB3D"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750C532E"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736708">
        <w:rPr>
          <w:rFonts w:ascii="Arial" w:eastAsia="Times New Roman" w:hAnsi="Arial" w:cs="Arial"/>
          <w:bCs/>
          <w:i/>
          <w:iCs/>
          <w:color w:val="000000"/>
          <w:sz w:val="22"/>
          <w:szCs w:val="22"/>
          <w:u w:val="single"/>
          <w:lang w:val="pt-PT" w:eastAsia="pt-BR"/>
        </w:rPr>
        <w:t>Outras receitas</w:t>
      </w:r>
      <w:r w:rsidRPr="00736708">
        <w:rPr>
          <w:rFonts w:ascii="Arial" w:eastAsia="Times New Roman" w:hAnsi="Arial" w:cs="Arial"/>
          <w:bCs/>
          <w:iCs/>
          <w:color w:val="000000"/>
          <w:sz w:val="22"/>
          <w:szCs w:val="22"/>
          <w:lang w:val="pt-PT" w:eastAsia="pt-BR"/>
        </w:rPr>
        <w:t xml:space="preserve"> representam os valores que sejam oriundos, principalmente, de baixas por alienação de ativos não-circulantes, tais como resultados na venda de imobilizado, de investimentos, e outras transações incluídas na demonstração do resultado do exercício que não configuram reconhecimento de transferência à entidade de riqueza criada por outras entidades.</w:t>
      </w:r>
    </w:p>
    <w:p w14:paraId="74E00B9C"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736708">
        <w:rPr>
          <w:rFonts w:ascii="Arial" w:eastAsia="Times New Roman" w:hAnsi="Arial" w:cs="Arial"/>
          <w:bCs/>
          <w:iCs/>
          <w:color w:val="000000"/>
          <w:sz w:val="22"/>
          <w:szCs w:val="22"/>
          <w:lang w:val="pt-PT" w:eastAsia="pt-BR"/>
        </w:rPr>
        <w:t>Diferentemente dos critérios contábeis, também incluem valores que não transitam pela demonstração do resultado, como, por exemplo, aqueles relativos à construção de ativos para uso próprio da entidade (conforme item 19) e aos juros pagos ou creditados que tenham sido incorporados aos valores dos ativos de longo prazo (normalmente, imobilizados).</w:t>
      </w:r>
    </w:p>
    <w:p w14:paraId="522A6245"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736708">
        <w:rPr>
          <w:rFonts w:ascii="Arial" w:eastAsia="Times New Roman" w:hAnsi="Arial" w:cs="Arial"/>
          <w:bCs/>
          <w:iCs/>
          <w:color w:val="000000"/>
          <w:sz w:val="22"/>
          <w:szCs w:val="22"/>
          <w:lang w:val="pt-PT" w:eastAsia="pt-BR"/>
        </w:rPr>
        <w:t>No caso de estoques de longa maturação, os juros a eles incorporados deverão ser destacados como distribuição da riqueza no momento em que os respectivos estoques forem baixados; dessa forma, não há que se considerar esse valor como outras receitas.</w:t>
      </w:r>
    </w:p>
    <w:p w14:paraId="3F08E1FC"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52D2501F"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r w:rsidRPr="00736708">
        <w:rPr>
          <w:rFonts w:ascii="Arial" w:eastAsia="Times New Roman" w:hAnsi="Arial" w:cs="Arial"/>
          <w:bCs/>
          <w:i/>
          <w:iCs/>
          <w:color w:val="000000"/>
          <w:sz w:val="22"/>
          <w:szCs w:val="22"/>
          <w:u w:val="single"/>
          <w:lang w:val="pt-PT" w:eastAsia="pt-BR"/>
        </w:rPr>
        <w:t>Insumo adquirido de terceiros</w:t>
      </w:r>
      <w:r w:rsidRPr="00736708">
        <w:rPr>
          <w:rFonts w:ascii="Arial" w:eastAsia="Times New Roman" w:hAnsi="Arial" w:cs="Arial"/>
          <w:bCs/>
          <w:iCs/>
          <w:color w:val="000000"/>
          <w:sz w:val="22"/>
          <w:szCs w:val="22"/>
          <w:lang w:val="pt-PT" w:eastAsia="pt-BR"/>
        </w:rPr>
        <w:t xml:space="preserve"> representa os valores relativos às aquisições de matérias-primas, mercadorias, materiais, energia, serviços, etc. que tenham sido transformados em despesas do período. Enquanto permanecerem nos estoques, não compõem a formação da riqueza criada e distribuída.</w:t>
      </w:r>
    </w:p>
    <w:p w14:paraId="04E6F096"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r w:rsidRPr="00736708">
        <w:rPr>
          <w:rFonts w:ascii="Arial" w:eastAsia="Times New Roman" w:hAnsi="Arial" w:cs="Arial"/>
          <w:bCs/>
          <w:i/>
          <w:iCs/>
          <w:color w:val="000000"/>
          <w:sz w:val="22"/>
          <w:szCs w:val="22"/>
          <w:u w:val="single"/>
          <w:lang w:val="pt-PT" w:eastAsia="pt-BR"/>
        </w:rPr>
        <w:lastRenderedPageBreak/>
        <w:t>Depreciação, amortização e exaustão</w:t>
      </w:r>
      <w:r w:rsidRPr="00736708">
        <w:rPr>
          <w:rFonts w:ascii="Arial" w:eastAsia="Times New Roman" w:hAnsi="Arial" w:cs="Arial"/>
          <w:bCs/>
          <w:iCs/>
          <w:color w:val="000000"/>
          <w:sz w:val="22"/>
          <w:szCs w:val="22"/>
          <w:lang w:val="pt-PT" w:eastAsia="pt-BR"/>
        </w:rPr>
        <w:t xml:space="preserve"> representam os valores reconhecidos no período e normalmente utilizados para conciliação entre o fluxo de caixa das atividades operacionais e o resultado líquido do exercício. </w:t>
      </w:r>
    </w:p>
    <w:p w14:paraId="2AA86BC2"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1A3AACF9" w14:textId="77777777" w:rsidR="00736708" w:rsidRPr="00736708" w:rsidRDefault="00736708" w:rsidP="00736708">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736708">
        <w:rPr>
          <w:rFonts w:ascii="Arial" w:eastAsia="Times New Roman" w:hAnsi="Arial" w:cs="Arial"/>
          <w:bCs/>
          <w:i/>
          <w:iCs/>
          <w:color w:val="000000"/>
          <w:sz w:val="22"/>
          <w:szCs w:val="22"/>
          <w:u w:val="single"/>
          <w:lang w:val="pt-PT" w:eastAsia="pt-BR"/>
        </w:rPr>
        <w:t>Valor adicionado recebido em transferência</w:t>
      </w:r>
      <w:r w:rsidRPr="00736708">
        <w:rPr>
          <w:rFonts w:ascii="Arial" w:eastAsia="Times New Roman" w:hAnsi="Arial" w:cs="Arial"/>
          <w:bCs/>
          <w:iCs/>
          <w:color w:val="000000"/>
          <w:sz w:val="22"/>
          <w:szCs w:val="22"/>
          <w:lang w:val="pt-PT" w:eastAsia="pt-BR"/>
        </w:rPr>
        <w:t xml:space="preserve"> representa a riqueza que não tenha sido criada pela própria entidade, e sim por terceiros, e que a ela é transferida, como por exemplo receitas financeiras, de equivalência patrimonial, dividendos, aluguel, </w:t>
      </w:r>
      <w:r w:rsidRPr="00736708">
        <w:rPr>
          <w:rFonts w:ascii="Arial" w:eastAsia="Times New Roman" w:hAnsi="Arial" w:cs="Arial"/>
          <w:bCs/>
          <w:i/>
          <w:iCs/>
          <w:color w:val="000000"/>
          <w:sz w:val="22"/>
          <w:szCs w:val="22"/>
          <w:lang w:val="pt-PT" w:eastAsia="pt-BR"/>
        </w:rPr>
        <w:t>royalties,</w:t>
      </w:r>
      <w:r w:rsidRPr="00736708">
        <w:rPr>
          <w:rFonts w:ascii="Arial" w:eastAsia="Times New Roman" w:hAnsi="Arial" w:cs="Arial"/>
          <w:bCs/>
          <w:iCs/>
          <w:color w:val="000000"/>
          <w:sz w:val="22"/>
          <w:szCs w:val="22"/>
          <w:lang w:val="pt-PT" w:eastAsia="pt-BR"/>
        </w:rPr>
        <w:t xml:space="preserve"> etc. Precisa ficar destacado, inclusive para evitar dupla-contagem em certas agregações.</w:t>
      </w:r>
    </w:p>
    <w:p w14:paraId="580A8879"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272276C1"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Características das informações da DVA</w:t>
      </w:r>
    </w:p>
    <w:p w14:paraId="70329A0F"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04D2A62"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A DVA está fundamentada em conceitos macroeconômicos, buscando apresentar, eliminados os valores que representam dupla-contagem, a parcela de contribuição que a entidade tem na formação do Produto Interno Bruto (PIB). Essa demonstração apresenta o quanto a entidade agrega de valor aos insumos adquiridos de terceiros e que são vendidos ou consumidos durante determinado período.  </w:t>
      </w:r>
    </w:p>
    <w:p w14:paraId="0B5FD20A"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6097457"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Existem, todavia, diferenças temporais entre os modelos contábil e econômico no cálculo do valor adicionado. A ciência econômica, para cálculo do PIB, baseia-se na produção, enquanto a contabilidade utiliza o conceito contábil da realização da receita, isto é, baseia-se no regime contábil de competência. Como os momentos de realização da produção e das vendas são normalmente diferentes, os valores calculados para o PIB por meio dos conceitos oriundos da Economia e os da Contabilidade são naturalmente diferentes em cada período. Essas diferenças serão tanto menores quanto menores forem as diferenças entre os estoques inicial e final para o período considerado. Em outras palavras, admitindo-se a inexistência de estoques inicial e final, os valores encontrados com a utilização de conceitos econômicos e contábeis convergirão.</w:t>
      </w:r>
    </w:p>
    <w:p w14:paraId="63C11BF9"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25B0EBB"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Para os investidores e outros usuários, essa demonstração proporciona o conhecimento de informações de natureza econômica e social e oferece a possibilidade de melhor avaliação das atividades da entidade dentro da sociedade na qual está inserida. A decisão de recebimento por uma comunidade (Município, Estado e a própria Federação) de investimento pode ter nessa demonstração um instrumento de extrema utilidade e com informações que, por exemplo, a demonstração de resultados por si só não é capaz de oferecer. </w:t>
      </w:r>
    </w:p>
    <w:p w14:paraId="7A50C54A"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7ADB248"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DVA elaborada por segmento (tipo de clientes, atividades, produtos, área geográfica e outros) pode representar informações ainda mais valiosas no auxílio da formulação de predições e, enquanto não houver um pronunciamento específico do CPC sobre segmentos, sua divulgação é incentivada.</w:t>
      </w:r>
    </w:p>
    <w:p w14:paraId="2D9D2B15"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18A7D94"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Formação da riqueza</w:t>
      </w:r>
    </w:p>
    <w:p w14:paraId="39004C0A"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B71FB17"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Riqueza criada pela própria entidade</w:t>
      </w:r>
    </w:p>
    <w:p w14:paraId="3EBA9665"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17286FE5"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DVA, em sua primeira parte, deve apresentar de forma detalhada a riqueza criada pela entidade. Os principais componentes da riqueza criada estão apresentados a seguir nos seguintes itens:</w:t>
      </w:r>
    </w:p>
    <w:p w14:paraId="05595772" w14:textId="77777777" w:rsidR="00736708" w:rsidRPr="00736708" w:rsidRDefault="00736708" w:rsidP="00736708">
      <w:pPr>
        <w:widowControl w:val="0"/>
        <w:spacing w:before="0" w:after="0" w:line="240" w:lineRule="auto"/>
        <w:ind w:left="567" w:firstLine="0"/>
        <w:rPr>
          <w:rFonts w:ascii="Arial" w:eastAsia="Times New Roman" w:hAnsi="Arial" w:cs="Arial"/>
          <w:color w:val="000000"/>
          <w:sz w:val="22"/>
          <w:szCs w:val="22"/>
          <w:lang w:val="pt-PT" w:eastAsia="pt-BR"/>
        </w:rPr>
      </w:pPr>
    </w:p>
    <w:p w14:paraId="4F7C6D2E"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Receitas</w:t>
      </w:r>
    </w:p>
    <w:p w14:paraId="73756376"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7975995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lastRenderedPageBreak/>
        <w:t>Venda de mercadorias, produtos e serviços</w:t>
      </w:r>
      <w:r w:rsidRPr="00736708">
        <w:rPr>
          <w:rFonts w:ascii="Arial" w:eastAsia="Times New Roman" w:hAnsi="Arial" w:cs="Arial"/>
          <w:color w:val="000000"/>
          <w:sz w:val="22"/>
          <w:szCs w:val="22"/>
          <w:lang w:val="pt-PT" w:eastAsia="pt-BR"/>
        </w:rPr>
        <w:t xml:space="preserve"> - inclui os valores dos tributos incidentes sobre essas receitas (por exemplo, ICMS, IPI, PIS e COFINS), ou seja, corresponde ao ingresso bruto ou faturamento bruto, mesmo quando na demonstração do resultado tais tributos estejam fora do cômputo dessas receitas.</w:t>
      </w:r>
    </w:p>
    <w:p w14:paraId="2F882846"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157DC98B"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Outras receitas</w:t>
      </w:r>
      <w:r w:rsidRPr="00736708">
        <w:rPr>
          <w:rFonts w:ascii="Arial" w:eastAsia="Times New Roman" w:hAnsi="Arial" w:cs="Arial"/>
          <w:color w:val="000000"/>
          <w:sz w:val="22"/>
          <w:szCs w:val="22"/>
          <w:lang w:val="pt-PT" w:eastAsia="pt-BR"/>
        </w:rPr>
        <w:t xml:space="preserve"> - da mesma forma que o item anterior, inclui os tributos incidentes sobre essas receitas.</w:t>
      </w:r>
    </w:p>
    <w:p w14:paraId="15A9913F"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 </w:t>
      </w:r>
    </w:p>
    <w:p w14:paraId="2535D6C2"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Provisão para créditos de liquidação duvidosa</w:t>
      </w:r>
      <w:r w:rsidRPr="00736708">
        <w:rPr>
          <w:rFonts w:ascii="Arial" w:eastAsia="Times New Roman" w:hAnsi="Arial" w:cs="Arial"/>
          <w:color w:val="000000"/>
          <w:sz w:val="22"/>
          <w:szCs w:val="22"/>
          <w:lang w:val="pt-PT" w:eastAsia="pt-BR"/>
        </w:rPr>
        <w:t xml:space="preserve"> – Constituição/Reversão - inclui os valores relativos à constituição e reversão dessa provisão.</w:t>
      </w:r>
    </w:p>
    <w:p w14:paraId="1D7CA526"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51D86005"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Insumos adquiridos de terceiros</w:t>
      </w:r>
    </w:p>
    <w:p w14:paraId="74E88903"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sz w:val="22"/>
          <w:szCs w:val="22"/>
          <w:lang w:val="pt-PT" w:eastAsia="pt-BR"/>
        </w:rPr>
      </w:pPr>
    </w:p>
    <w:p w14:paraId="17DD3932"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Custo dos produtos, das mercadorias e dos serviços vendidos</w:t>
      </w:r>
      <w:r w:rsidRPr="00736708">
        <w:rPr>
          <w:rFonts w:ascii="Arial" w:eastAsia="Times New Roman" w:hAnsi="Arial" w:cs="Arial"/>
          <w:color w:val="000000"/>
          <w:sz w:val="22"/>
          <w:szCs w:val="22"/>
          <w:lang w:val="pt-PT" w:eastAsia="pt-BR"/>
        </w:rPr>
        <w:t xml:space="preserve"> - inclui os valores das matérias-primas adquiridas junto a terceiros e contidas no custo do produto vendido, das mercadorias e dos serviços vendidos adquiridos de terceiros; não inclui gastos com pessoal próprio. </w:t>
      </w:r>
    </w:p>
    <w:p w14:paraId="1CE7E572"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0759F553"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Materiais, energia, serviços de terceiros e outros</w:t>
      </w:r>
      <w:r w:rsidRPr="00736708">
        <w:rPr>
          <w:rFonts w:ascii="Arial" w:eastAsia="Times New Roman" w:hAnsi="Arial" w:cs="Arial"/>
          <w:color w:val="000000"/>
          <w:sz w:val="22"/>
          <w:szCs w:val="22"/>
          <w:lang w:val="pt-PT" w:eastAsia="pt-BR"/>
        </w:rPr>
        <w:t xml:space="preserve"> - inclui valores relativos às despesas originadas da utilização desses bens, utilidades e serviços adquiridos junto a terceiros.</w:t>
      </w:r>
    </w:p>
    <w:p w14:paraId="21251964"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i/>
          <w:color w:val="000000"/>
          <w:sz w:val="22"/>
          <w:szCs w:val="22"/>
          <w:lang w:val="pt-PT" w:eastAsia="pt-BR"/>
        </w:rPr>
      </w:pPr>
    </w:p>
    <w:p w14:paraId="274BD990"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i/>
          <w:color w:val="000000"/>
          <w:sz w:val="22"/>
          <w:szCs w:val="22"/>
          <w:lang w:val="pt-PT" w:eastAsia="pt-BR"/>
        </w:rPr>
      </w:pPr>
      <w:r w:rsidRPr="00736708">
        <w:rPr>
          <w:rFonts w:ascii="Arial" w:eastAsia="Times New Roman" w:hAnsi="Arial" w:cs="Arial"/>
          <w:b/>
          <w:i/>
          <w:color w:val="000000"/>
          <w:sz w:val="22"/>
          <w:szCs w:val="22"/>
          <w:lang w:val="pt-PT" w:eastAsia="pt-BR"/>
        </w:rPr>
        <w:t>Nos valores dos custos dos produtos e mercadorias vendidos, materiais, serviços, energi,a etc. consumidos, devem ser considerados os tributos incluídos no momento das compras (por exemplo, ICMS, IPI, PIS e COFINS), recuperáveis ou não. Esse procedimento é diferente das práticas utilizadas na demonstração do resultado.</w:t>
      </w:r>
    </w:p>
    <w:p w14:paraId="23E620B0"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4E80BC5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Perda e recuperação de valores ativos</w:t>
      </w:r>
      <w:r w:rsidRPr="00736708">
        <w:rPr>
          <w:rFonts w:ascii="Arial" w:eastAsia="Times New Roman" w:hAnsi="Arial" w:cs="Arial"/>
          <w:color w:val="000000"/>
          <w:sz w:val="22"/>
          <w:szCs w:val="22"/>
          <w:lang w:val="pt-PT" w:eastAsia="pt-BR"/>
        </w:rPr>
        <w:t xml:space="preserve"> - inclui valores relativos a ajustes por avaliação a valor de mercado de estoques, imobilizados, investimentos, etc. Também devem ser incluídos os valores reconhecidos no resultado do período, tanto na constituição quanto na reversão de provisão para perdas por desvalorização de ativos, conforme aplicação do CPC 01 – Redução ao Valor Recuperável de Ativos (se no período o valor líquido for positivo, deve ser somado).</w:t>
      </w:r>
    </w:p>
    <w:p w14:paraId="3BC5CBCA"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2E27E617"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Depreciação, amortização e exaustão</w:t>
      </w:r>
      <w:r w:rsidRPr="00736708">
        <w:rPr>
          <w:rFonts w:ascii="Arial" w:eastAsia="Times New Roman" w:hAnsi="Arial" w:cs="Arial"/>
          <w:b/>
          <w:color w:val="000000"/>
          <w:sz w:val="22"/>
          <w:szCs w:val="22"/>
          <w:lang w:val="pt-PT" w:eastAsia="pt-BR"/>
        </w:rPr>
        <w:t xml:space="preserve"> - </w:t>
      </w:r>
      <w:r w:rsidRPr="00736708">
        <w:rPr>
          <w:rFonts w:ascii="Arial" w:eastAsia="Times New Roman" w:hAnsi="Arial" w:cs="Arial"/>
          <w:color w:val="000000"/>
          <w:sz w:val="22"/>
          <w:szCs w:val="22"/>
          <w:lang w:val="pt-PT" w:eastAsia="pt-BR"/>
        </w:rPr>
        <w:t>inclui a despesa ou o custo contabilizados no período.</w:t>
      </w:r>
    </w:p>
    <w:p w14:paraId="4BB2D4CD"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269A8B26"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Valor adicionado recebido em transferência</w:t>
      </w:r>
    </w:p>
    <w:p w14:paraId="11D90002"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4CE1FFFA"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Resultado de equivalência patrimonial</w:t>
      </w:r>
      <w:r w:rsidRPr="00736708">
        <w:rPr>
          <w:rFonts w:ascii="Arial" w:eastAsia="Times New Roman" w:hAnsi="Arial" w:cs="Arial"/>
          <w:color w:val="000000"/>
          <w:sz w:val="22"/>
          <w:szCs w:val="22"/>
          <w:lang w:val="pt-PT" w:eastAsia="pt-BR"/>
        </w:rPr>
        <w:t xml:space="preserve"> - o resultado da equivalência pode representar receita ou despesa; se despesa, deve ser considerado como redução ou valor negativo.</w:t>
      </w:r>
    </w:p>
    <w:p w14:paraId="1525FCF4"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D65DC07"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Receitas financeiras</w:t>
      </w:r>
      <w:r w:rsidRPr="00736708">
        <w:rPr>
          <w:rFonts w:ascii="Arial" w:eastAsia="Times New Roman" w:hAnsi="Arial" w:cs="Arial"/>
          <w:color w:val="000000"/>
          <w:sz w:val="22"/>
          <w:szCs w:val="22"/>
          <w:lang w:val="pt-PT" w:eastAsia="pt-BR"/>
        </w:rPr>
        <w:t xml:space="preserve"> - inclui todas as receitas financeiras, inclusive as variações cambiais ativas, independentemente de sua origem.</w:t>
      </w:r>
    </w:p>
    <w:p w14:paraId="77B6EC01"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3F88DF1F"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Outras receitas</w:t>
      </w:r>
      <w:r w:rsidRPr="00736708">
        <w:rPr>
          <w:rFonts w:ascii="Arial" w:eastAsia="Times New Roman" w:hAnsi="Arial" w:cs="Arial"/>
          <w:color w:val="000000"/>
          <w:sz w:val="22"/>
          <w:szCs w:val="22"/>
          <w:lang w:val="pt-PT" w:eastAsia="pt-BR"/>
        </w:rPr>
        <w:t xml:space="preserve"> - inclui os dividendos relativos a investimentos avaliados ao custo, aluguéis, direitos de franquia, etc.</w:t>
      </w:r>
    </w:p>
    <w:p w14:paraId="00E46C60"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561E569F"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Distribuição da riqueza</w:t>
      </w:r>
    </w:p>
    <w:p w14:paraId="64EDF0FF"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74346C6"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A segunda parte da DVA deve apresentar de forma detalhada como a riqueza obtida pela entidade foi </w:t>
      </w:r>
      <w:r w:rsidRPr="00736708">
        <w:rPr>
          <w:rFonts w:ascii="Arial" w:eastAsia="Times New Roman" w:hAnsi="Arial" w:cs="Arial"/>
          <w:color w:val="000000"/>
          <w:sz w:val="22"/>
          <w:szCs w:val="22"/>
          <w:lang w:val="pt-PT" w:eastAsia="pt-BR"/>
        </w:rPr>
        <w:lastRenderedPageBreak/>
        <w:t>distribuída. Os principais componentes dessa distribuição estão apresentados a seguir:</w:t>
      </w:r>
    </w:p>
    <w:p w14:paraId="0AFECF22"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C5CFD7A"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Pessoal</w:t>
      </w:r>
      <w:r w:rsidRPr="00736708">
        <w:rPr>
          <w:rFonts w:ascii="Arial" w:eastAsia="Times New Roman" w:hAnsi="Arial" w:cs="Arial"/>
          <w:color w:val="000000"/>
          <w:sz w:val="22"/>
          <w:szCs w:val="22"/>
          <w:lang w:val="pt-PT" w:eastAsia="pt-BR"/>
        </w:rPr>
        <w:t xml:space="preserve"> – valores apropriados ao custo e ao resultado do exercício na forma de:</w:t>
      </w:r>
    </w:p>
    <w:p w14:paraId="46751F04"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Remuneração</w:t>
      </w:r>
      <w:r w:rsidRPr="00736708">
        <w:rPr>
          <w:rFonts w:ascii="Arial" w:eastAsia="Times New Roman" w:hAnsi="Arial" w:cs="Arial"/>
          <w:color w:val="000000"/>
          <w:sz w:val="22"/>
          <w:szCs w:val="22"/>
          <w:lang w:val="pt-PT" w:eastAsia="pt-BR"/>
        </w:rPr>
        <w:t xml:space="preserve"> </w:t>
      </w:r>
      <w:r w:rsidRPr="00736708">
        <w:rPr>
          <w:rFonts w:ascii="Arial" w:eastAsia="Times New Roman" w:hAnsi="Arial" w:cs="Arial"/>
          <w:i/>
          <w:color w:val="000000"/>
          <w:sz w:val="22"/>
          <w:szCs w:val="22"/>
          <w:lang w:val="pt-PT" w:eastAsia="pt-BR"/>
        </w:rPr>
        <w:t>direta</w:t>
      </w:r>
      <w:r w:rsidRPr="00736708">
        <w:rPr>
          <w:rFonts w:ascii="Arial" w:eastAsia="Times New Roman" w:hAnsi="Arial" w:cs="Arial"/>
          <w:color w:val="000000"/>
          <w:sz w:val="22"/>
          <w:szCs w:val="22"/>
          <w:lang w:val="pt-PT" w:eastAsia="pt-BR"/>
        </w:rPr>
        <w:t xml:space="preserve"> - representada pelos valores relativos a salários, 13º salário, honorários da administração (inclusive os pagamentos baseados em ações), férias, comissões, horas extras, participação de empregados nos resultados, etc.</w:t>
      </w:r>
    </w:p>
    <w:p w14:paraId="1633B34C" w14:textId="77777777" w:rsidR="00736708" w:rsidRPr="00736708" w:rsidRDefault="00736708" w:rsidP="00736708">
      <w:pPr>
        <w:widowControl w:val="0"/>
        <w:numPr>
          <w:ilvl w:val="0"/>
          <w:numId w:val="24"/>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Benefícios</w:t>
      </w:r>
      <w:r w:rsidRPr="00736708">
        <w:rPr>
          <w:rFonts w:ascii="Arial" w:eastAsia="Times New Roman" w:hAnsi="Arial" w:cs="Arial"/>
          <w:color w:val="000000"/>
          <w:sz w:val="22"/>
          <w:szCs w:val="22"/>
          <w:lang w:val="pt-PT" w:eastAsia="pt-BR"/>
        </w:rPr>
        <w:t xml:space="preserve"> - representados pelos valores relativos a assistência médica, alimentação, transporte, planos de aposentadoria etc.</w:t>
      </w:r>
    </w:p>
    <w:p w14:paraId="58723217" w14:textId="77777777" w:rsidR="00736708" w:rsidRPr="00736708" w:rsidRDefault="00736708" w:rsidP="00736708">
      <w:pPr>
        <w:widowControl w:val="0"/>
        <w:numPr>
          <w:ilvl w:val="0"/>
          <w:numId w:val="24"/>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FGTS</w:t>
      </w:r>
      <w:r w:rsidRPr="00736708">
        <w:rPr>
          <w:rFonts w:ascii="Arial" w:eastAsia="Times New Roman" w:hAnsi="Arial" w:cs="Arial"/>
          <w:color w:val="000000"/>
          <w:sz w:val="22"/>
          <w:szCs w:val="22"/>
          <w:lang w:val="pt-PT" w:eastAsia="pt-BR"/>
        </w:rPr>
        <w:t xml:space="preserve"> – representado pelos valores depositados em conta vinculada dos empregados.</w:t>
      </w:r>
    </w:p>
    <w:p w14:paraId="2FF88123"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B7EDAF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Impostos, taxas e contribuições</w:t>
      </w:r>
      <w:r w:rsidRPr="00736708">
        <w:rPr>
          <w:rFonts w:ascii="Arial" w:eastAsia="Times New Roman" w:hAnsi="Arial" w:cs="Arial"/>
          <w:color w:val="000000"/>
          <w:sz w:val="22"/>
          <w:szCs w:val="22"/>
          <w:lang w:val="pt-PT" w:eastAsia="pt-BR"/>
        </w:rPr>
        <w:t xml:space="preserve"> - valores relativos ao imposto de renda, contribuição social sobre o lucro, contribuições aos INSS (incluídos aqui os valores do Seguro de Acidentes do Trabalho) que sejam ônus do empregador, bem como os demais impostos e contribuições a que a empresa esteja sujeita. Para os impostos compensáveis, tais como ICMS, IPI, PIS e COFINS, devem ser considerados apenas os valores devidos ou já recolhidos, e representam a diferença entre os impostos e contribuições incidentes sobre as receitas e os respectivos valores incidentes sobre os itens considerados como “insumos adquiridos de terceiros”. </w:t>
      </w:r>
    </w:p>
    <w:p w14:paraId="7CA2A82A"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Federais</w:t>
      </w:r>
      <w:r w:rsidRPr="00736708">
        <w:rPr>
          <w:rFonts w:ascii="Arial" w:eastAsia="Times New Roman" w:hAnsi="Arial" w:cs="Arial"/>
          <w:color w:val="000000"/>
          <w:sz w:val="22"/>
          <w:szCs w:val="22"/>
          <w:lang w:val="pt-PT" w:eastAsia="pt-BR"/>
        </w:rPr>
        <w:t xml:space="preserve"> – inclui os tributos devidos à União, inclusive aqueles que são repassados no todo ou em parte aos Estados, Municípios, Autarquias etc., tais como: IRPJ, CSSL, IPI, CIDE, PIS, COFINS. Inclui também a contribuição sindical patronal.</w:t>
      </w:r>
    </w:p>
    <w:p w14:paraId="071A5842"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i/>
          <w:color w:val="000000"/>
          <w:sz w:val="22"/>
          <w:szCs w:val="22"/>
          <w:lang w:val="pt-PT" w:eastAsia="pt-BR"/>
        </w:rPr>
      </w:pPr>
      <w:r w:rsidRPr="00736708">
        <w:rPr>
          <w:rFonts w:ascii="Arial" w:eastAsia="Times New Roman" w:hAnsi="Arial" w:cs="Arial"/>
          <w:i/>
          <w:color w:val="000000"/>
          <w:sz w:val="22"/>
          <w:szCs w:val="22"/>
          <w:lang w:val="pt-PT" w:eastAsia="pt-BR"/>
        </w:rPr>
        <w:t xml:space="preserve">Estaduais </w:t>
      </w:r>
      <w:r w:rsidRPr="00736708">
        <w:rPr>
          <w:rFonts w:ascii="Arial" w:eastAsia="Times New Roman" w:hAnsi="Arial" w:cs="Arial"/>
          <w:color w:val="000000"/>
          <w:sz w:val="22"/>
          <w:szCs w:val="22"/>
          <w:lang w:val="pt-PT" w:eastAsia="pt-BR"/>
        </w:rPr>
        <w:t>– inclui os tributos devidos aos Estados, inclusive aqueles que são repassados no todo ou em parte aos Municípios, Autarquias etc., tais como o ICMS e o IPVA.</w:t>
      </w:r>
    </w:p>
    <w:p w14:paraId="18B89F57"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i/>
          <w:color w:val="000000"/>
          <w:sz w:val="22"/>
          <w:szCs w:val="22"/>
          <w:lang w:val="pt-PT" w:eastAsia="pt-BR"/>
        </w:rPr>
      </w:pPr>
      <w:r w:rsidRPr="00736708">
        <w:rPr>
          <w:rFonts w:ascii="Arial" w:eastAsia="Times New Roman" w:hAnsi="Arial" w:cs="Arial"/>
          <w:i/>
          <w:color w:val="000000"/>
          <w:sz w:val="22"/>
          <w:szCs w:val="22"/>
          <w:lang w:val="pt-PT" w:eastAsia="pt-BR"/>
        </w:rPr>
        <w:t xml:space="preserve">Municipais – </w:t>
      </w:r>
      <w:r w:rsidRPr="00736708">
        <w:rPr>
          <w:rFonts w:ascii="Arial" w:eastAsia="Times New Roman" w:hAnsi="Arial" w:cs="Arial"/>
          <w:color w:val="000000"/>
          <w:sz w:val="22"/>
          <w:szCs w:val="22"/>
          <w:lang w:val="pt-PT" w:eastAsia="pt-BR"/>
        </w:rPr>
        <w:t>inclui os tributos devidos aos Municípios, inclusive aqueles que são repassados no todo ou em parte às Autarquias, ou quaisquer outras entidades, tais como o ISS e o IPTU.</w:t>
      </w:r>
    </w:p>
    <w:p w14:paraId="7DC58B64"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1E8183C6"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Remuneração de capitais de terceiros</w:t>
      </w:r>
      <w:r w:rsidRPr="00736708">
        <w:rPr>
          <w:rFonts w:ascii="Arial" w:eastAsia="Times New Roman" w:hAnsi="Arial" w:cs="Arial"/>
          <w:color w:val="000000"/>
          <w:sz w:val="22"/>
          <w:szCs w:val="22"/>
          <w:lang w:val="pt-PT" w:eastAsia="pt-BR"/>
        </w:rPr>
        <w:t xml:space="preserve"> - valores pagos ou creditados aos financiadores externos de capital.</w:t>
      </w:r>
    </w:p>
    <w:p w14:paraId="69A913ED"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Juros</w:t>
      </w:r>
      <w:r w:rsidRPr="00736708">
        <w:rPr>
          <w:rFonts w:ascii="Arial" w:eastAsia="Times New Roman" w:hAnsi="Arial" w:cs="Arial"/>
          <w:color w:val="000000"/>
          <w:sz w:val="22"/>
          <w:szCs w:val="22"/>
          <w:lang w:val="pt-PT" w:eastAsia="pt-BR"/>
        </w:rPr>
        <w:t xml:space="preserve"> - inclui as despesas financeiras, inclusive as variações cambiais passivas, relativas a quaisquer tipos de empréstimos e financiamentos junto a instituições financeiras, empresas do grupo ou outras formas de obtenção de recursos. Inclui os valores que tenham sido capitalizados no período.</w:t>
      </w:r>
    </w:p>
    <w:p w14:paraId="166E5280"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Aluguéis</w:t>
      </w:r>
      <w:r w:rsidRPr="00736708">
        <w:rPr>
          <w:rFonts w:ascii="Arial" w:eastAsia="Times New Roman" w:hAnsi="Arial" w:cs="Arial"/>
          <w:color w:val="000000"/>
          <w:sz w:val="22"/>
          <w:szCs w:val="22"/>
          <w:lang w:val="pt-PT" w:eastAsia="pt-BR"/>
        </w:rPr>
        <w:t xml:space="preserve"> - inclui os aluguéis (inclusive as despesas com arrendamento operacional) pagos ou creditados a terceiros, inclusive os acrescidos aos ativos. </w:t>
      </w:r>
    </w:p>
    <w:p w14:paraId="215FC574"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Outras</w:t>
      </w:r>
      <w:r w:rsidRPr="00736708">
        <w:rPr>
          <w:rFonts w:ascii="Arial" w:eastAsia="Times New Roman" w:hAnsi="Arial" w:cs="Arial"/>
          <w:color w:val="000000"/>
          <w:sz w:val="22"/>
          <w:szCs w:val="22"/>
          <w:lang w:val="pt-PT" w:eastAsia="pt-BR"/>
        </w:rPr>
        <w:t xml:space="preserve"> - inclui outras remunerações que configurem transferência de riqueza a terceiros, mesmo que originadas em capital intelectual, tais como </w:t>
      </w:r>
      <w:r w:rsidRPr="00736708">
        <w:rPr>
          <w:rFonts w:ascii="Arial" w:eastAsia="Times New Roman" w:hAnsi="Arial" w:cs="Arial"/>
          <w:i/>
          <w:color w:val="000000"/>
          <w:sz w:val="22"/>
          <w:szCs w:val="22"/>
          <w:lang w:val="pt-PT" w:eastAsia="pt-BR"/>
        </w:rPr>
        <w:t>royalties</w:t>
      </w:r>
      <w:r w:rsidRPr="00736708">
        <w:rPr>
          <w:rFonts w:ascii="Arial" w:eastAsia="Times New Roman" w:hAnsi="Arial" w:cs="Arial"/>
          <w:color w:val="000000"/>
          <w:sz w:val="22"/>
          <w:szCs w:val="22"/>
          <w:lang w:val="pt-PT" w:eastAsia="pt-BR"/>
        </w:rPr>
        <w:t>, franquia, direitos autorais, etc.</w:t>
      </w:r>
    </w:p>
    <w:p w14:paraId="7226BB85"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2F4C8FD"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Remuneração de capitais próprios</w:t>
      </w:r>
      <w:r w:rsidRPr="00736708">
        <w:rPr>
          <w:rFonts w:ascii="Arial" w:eastAsia="Times New Roman" w:hAnsi="Arial" w:cs="Arial"/>
          <w:color w:val="000000"/>
          <w:sz w:val="22"/>
          <w:szCs w:val="22"/>
          <w:lang w:val="pt-PT" w:eastAsia="pt-BR"/>
        </w:rPr>
        <w:t xml:space="preserve"> - valores relativos à remuneração atribuída aos sócios e acionistas.</w:t>
      </w:r>
    </w:p>
    <w:p w14:paraId="13CF6C80"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Juros sobre o capital próprio (JCP) e</w:t>
      </w:r>
      <w:r w:rsidRPr="00736708">
        <w:rPr>
          <w:rFonts w:ascii="Arial" w:eastAsia="Times New Roman" w:hAnsi="Arial" w:cs="Arial"/>
          <w:color w:val="000000"/>
          <w:sz w:val="22"/>
          <w:szCs w:val="22"/>
          <w:lang w:val="pt-PT" w:eastAsia="pt-BR"/>
        </w:rPr>
        <w:t xml:space="preserve"> </w:t>
      </w:r>
      <w:r w:rsidRPr="00736708">
        <w:rPr>
          <w:rFonts w:ascii="Arial" w:eastAsia="Times New Roman" w:hAnsi="Arial" w:cs="Arial"/>
          <w:i/>
          <w:color w:val="000000"/>
          <w:sz w:val="22"/>
          <w:szCs w:val="22"/>
          <w:lang w:val="pt-PT" w:eastAsia="pt-BR"/>
        </w:rPr>
        <w:t>dividendos</w:t>
      </w:r>
      <w:r w:rsidRPr="00736708">
        <w:rPr>
          <w:rFonts w:ascii="Arial" w:eastAsia="Times New Roman" w:hAnsi="Arial" w:cs="Arial"/>
          <w:color w:val="000000"/>
          <w:sz w:val="22"/>
          <w:szCs w:val="22"/>
          <w:lang w:val="pt-PT" w:eastAsia="pt-BR"/>
        </w:rPr>
        <w:t xml:space="preserve"> - inclui os valores pagos ou creditados aos sócios e acionistas por conta do resultado do período, ressalvando-se os valores dos JCP transferidos para conta de reserva de lucros. Devem ser incluídos apenas os valores distribuídos com base no resultado do próprio exercício, desconsiderando-se os dividendos distribuídos com base em lucros acumulados de exercícios anteriores, uma vez que já foram tratados como “lucros retidos” no exercício em que foram gerados.</w:t>
      </w:r>
    </w:p>
    <w:p w14:paraId="17823522"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Lucros retidos e prejuízos do exercício</w:t>
      </w:r>
      <w:r w:rsidRPr="00736708">
        <w:rPr>
          <w:rFonts w:ascii="Arial" w:eastAsia="Times New Roman" w:hAnsi="Arial" w:cs="Arial"/>
          <w:color w:val="000000"/>
          <w:sz w:val="22"/>
          <w:szCs w:val="22"/>
          <w:lang w:val="pt-PT" w:eastAsia="pt-BR"/>
        </w:rPr>
        <w:t xml:space="preserve"> - inclui os valores relativos ao lucro do exercício destinados às reservas, inclusive os JCP quando tiverem esse tratamento; nos casos de </w:t>
      </w:r>
      <w:r w:rsidRPr="00736708">
        <w:rPr>
          <w:rFonts w:ascii="Arial" w:eastAsia="Times New Roman" w:hAnsi="Arial" w:cs="Arial"/>
          <w:color w:val="000000"/>
          <w:sz w:val="22"/>
          <w:szCs w:val="22"/>
          <w:lang w:val="pt-PT" w:eastAsia="pt-BR"/>
        </w:rPr>
        <w:lastRenderedPageBreak/>
        <w:t>prejuízo, esse valor deve ser incluído com sinal negativo.</w:t>
      </w:r>
    </w:p>
    <w:p w14:paraId="793D0987"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As quantias destinadas aos sócios e acionistas na forma de Juros sobre o Capital Próprio – JCP, independentemente de serem registradas como passivo (JCP a pagar) ou como reserva de lucros, devem ter o mesmo tratamento dado aos dividendos no que diz respeito ao exercício a que devem ser imputados.</w:t>
      </w:r>
    </w:p>
    <w:p w14:paraId="35A37861"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5B4DF049"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Casos especiais - alguns exemplos</w:t>
      </w:r>
    </w:p>
    <w:p w14:paraId="5808128F"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8BCE352"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Depreciação de itens reavaliados ou avaliados ao valor justo (</w:t>
      </w:r>
      <w:r w:rsidRPr="00736708">
        <w:rPr>
          <w:rFonts w:ascii="Arial" w:eastAsia="Times New Roman" w:hAnsi="Arial" w:cs="Arial"/>
          <w:b/>
          <w:i/>
          <w:color w:val="000000"/>
          <w:sz w:val="22"/>
          <w:szCs w:val="22"/>
          <w:lang w:val="pt-PT" w:eastAsia="pt-BR"/>
        </w:rPr>
        <w:t>fair</w:t>
      </w:r>
      <w:r w:rsidRPr="00736708">
        <w:rPr>
          <w:rFonts w:ascii="Arial" w:eastAsia="Times New Roman" w:hAnsi="Arial" w:cs="Arial"/>
          <w:b/>
          <w:color w:val="000000"/>
          <w:sz w:val="22"/>
          <w:szCs w:val="22"/>
          <w:lang w:val="pt-PT" w:eastAsia="pt-BR"/>
        </w:rPr>
        <w:t xml:space="preserve"> </w:t>
      </w:r>
      <w:r w:rsidRPr="00736708">
        <w:rPr>
          <w:rFonts w:ascii="Arial" w:eastAsia="Times New Roman" w:hAnsi="Arial" w:cs="Arial"/>
          <w:b/>
          <w:i/>
          <w:color w:val="000000"/>
          <w:sz w:val="22"/>
          <w:szCs w:val="22"/>
          <w:lang w:val="pt-PT" w:eastAsia="pt-BR"/>
        </w:rPr>
        <w:t>value</w:t>
      </w:r>
      <w:r w:rsidRPr="00736708">
        <w:rPr>
          <w:rFonts w:ascii="Arial" w:eastAsia="Times New Roman" w:hAnsi="Arial" w:cs="Arial"/>
          <w:b/>
          <w:color w:val="000000"/>
          <w:sz w:val="22"/>
          <w:szCs w:val="22"/>
          <w:lang w:val="pt-PT" w:eastAsia="pt-BR"/>
        </w:rPr>
        <w:t xml:space="preserve">). </w:t>
      </w:r>
    </w:p>
    <w:p w14:paraId="1169A5CC"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D0A30E5"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A reavaliação de ativos e a avaliação de ativos ao seu valor justo provocam alterações na estrutura patrimonial da empresa e, por isso, normalmente requerem o registro contábil dos seus efeitos tributários. </w:t>
      </w:r>
    </w:p>
    <w:p w14:paraId="2B0273FF"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828B6F6"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Os resultados da empresa são afetados sempre que houver a realização dos respectivos ativos reavaliados ou avaliados ao valor justo. Quando a realização de determinado ativo ocorrer pelo processo normal de depreciação, por conseqüência, a </w:t>
      </w:r>
      <w:smartTag w:uri="urn:schemas-microsoft-com:office:smarttags" w:element="stockticker">
        <w:r w:rsidRPr="00736708">
          <w:rPr>
            <w:rFonts w:ascii="Arial" w:eastAsia="Times New Roman" w:hAnsi="Arial" w:cs="Arial"/>
            <w:color w:val="000000"/>
            <w:sz w:val="22"/>
            <w:szCs w:val="22"/>
            <w:lang w:val="pt-PT" w:eastAsia="pt-BR"/>
          </w:rPr>
          <w:t>DVA</w:t>
        </w:r>
      </w:smartTag>
      <w:r w:rsidRPr="00736708">
        <w:rPr>
          <w:rFonts w:ascii="Arial" w:eastAsia="Times New Roman" w:hAnsi="Arial" w:cs="Arial"/>
          <w:color w:val="000000"/>
          <w:sz w:val="22"/>
          <w:szCs w:val="22"/>
          <w:lang w:val="pt-PT" w:eastAsia="pt-BR"/>
        </w:rPr>
        <w:t xml:space="preserve"> também é afetada. Assim, no momento da realização da reavaliação ou da avaliação ao valor justo, deve-se incluir esse valor como “outras receitas” na </w:t>
      </w:r>
      <w:smartTag w:uri="urn:schemas-microsoft-com:office:smarttags" w:element="stockticker">
        <w:r w:rsidRPr="00736708">
          <w:rPr>
            <w:rFonts w:ascii="Arial" w:eastAsia="Times New Roman" w:hAnsi="Arial" w:cs="Arial"/>
            <w:color w:val="000000"/>
            <w:sz w:val="22"/>
            <w:szCs w:val="22"/>
            <w:lang w:val="pt-PT" w:eastAsia="pt-BR"/>
          </w:rPr>
          <w:t>DVA</w:t>
        </w:r>
      </w:smartTag>
      <w:r w:rsidRPr="00736708">
        <w:rPr>
          <w:rFonts w:ascii="Arial" w:eastAsia="Times New Roman" w:hAnsi="Arial" w:cs="Arial"/>
          <w:color w:val="000000"/>
          <w:sz w:val="22"/>
          <w:szCs w:val="22"/>
          <w:lang w:val="pt-PT" w:eastAsia="pt-BR"/>
        </w:rPr>
        <w:t>, bem como se reconhecem os respectivos tributos na linha própria de impostos, taxas e contribuições.</w:t>
      </w:r>
    </w:p>
    <w:p w14:paraId="6CFFAD1E"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7A1491E"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Ajustes de exercícios anteriores</w:t>
      </w:r>
    </w:p>
    <w:p w14:paraId="717EC90E"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7F41107"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Os ajustes de exercícios anteriores, decorrentes de efeitos provocados por erro imputável a exercício anterior ou da mudança de critérios contábeis que vinham sendo utilizados pela entidade, devem ser adaptados na demonstração  de valor adicionado relativa ao período mais antigo apresentado para fins de comparação, bem como os demais valores comparativos apresentados, como se a nova prática contábil estivesse sempre em uso ou o erro fosse corrigido. </w:t>
      </w:r>
    </w:p>
    <w:p w14:paraId="593E0598"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B698012"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Ativos construídos pela empresa para uso próprio</w:t>
      </w:r>
    </w:p>
    <w:p w14:paraId="596302F0"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6748735"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A construção de ativos dentro da própria empresa para seu próprio uso é procedimento comum. Nessa construção diversos fatores de produção são utilizados, inclusive a contratação de recursos externos (por exemplo, materiais e mão-de-obra terceirizada) e a utilização de fatores internos como mão-de-obra, com os conseqüentes custos que essa contratação e utilização provocam. Para elaboração da DVA, essa construção equivale a produção vendida para a própria empresa, e por isso seu valor contábil integral precisa ser considerado como receita. A mão-de-obra própria alocada é considerada como distribuição dessa riqueza criada, e eventuais juros ativados e tributos também recebem esse mesmo tratamento. Os gastos com serviços de terceiros e materiais são apropriados como insumos. </w:t>
      </w:r>
    </w:p>
    <w:p w14:paraId="7F73C3CF"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72BC7F3"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À medida que tais ativos entrem em operação, a geração de resultados desses ativos recebe tratamento idêntico aos resultados gerados por qualquer outro ativo adquirido de terceiros; portanto, sua depreciação também deve receber igual tratamento. </w:t>
      </w:r>
    </w:p>
    <w:p w14:paraId="05A2708D"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3C47856"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Para evitar o desmembramento das despesas de depreciação, na elaboração da DVA, entre os componentes que serviram de base para o respectivo registro do ativo construído internamente </w:t>
      </w:r>
      <w:r w:rsidRPr="00736708">
        <w:rPr>
          <w:rFonts w:ascii="Arial" w:eastAsia="Times New Roman" w:hAnsi="Arial" w:cs="Arial"/>
          <w:color w:val="000000"/>
          <w:sz w:val="22"/>
          <w:szCs w:val="22"/>
          <w:lang w:val="pt-PT" w:eastAsia="pt-BR"/>
        </w:rPr>
        <w:lastRenderedPageBreak/>
        <w:t xml:space="preserve">(materiais diversos, mão-de-obra, impostos, aluguéis e juros), os valores gastos nessa construção devem, no período da construção, ser tratados como </w:t>
      </w:r>
      <w:r w:rsidRPr="00736708">
        <w:rPr>
          <w:rFonts w:ascii="Arial" w:eastAsia="Times New Roman" w:hAnsi="Arial" w:cs="Arial"/>
          <w:i/>
          <w:color w:val="000000"/>
          <w:sz w:val="22"/>
          <w:szCs w:val="22"/>
          <w:u w:val="single"/>
          <w:lang w:val="pt-PT" w:eastAsia="pt-BR"/>
        </w:rPr>
        <w:t>Receitas relativas à construção de ativos próprios</w:t>
      </w:r>
      <w:r w:rsidRPr="00736708">
        <w:rPr>
          <w:rFonts w:ascii="Arial" w:eastAsia="Times New Roman" w:hAnsi="Arial" w:cs="Arial"/>
          <w:color w:val="000000"/>
          <w:sz w:val="22"/>
          <w:szCs w:val="22"/>
          <w:lang w:val="pt-PT" w:eastAsia="pt-BR"/>
        </w:rPr>
        <w:t>.  Da mesma forma, os componentes de seu custo devem ser alocados na DVA seguindo-se suas respectivas naturezas.</w:t>
      </w:r>
    </w:p>
    <w:p w14:paraId="63494E09"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E43A476"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Referido procedimento de reconhecimento dos valores gastos no período como outras receitas, além de aproximar do conceito econômico de valor adicionado, evita controles complexos adicionais, que podem ser custosos, durante toda a vida útil econômica do ativo. </w:t>
      </w:r>
    </w:p>
    <w:p w14:paraId="5408F9A4"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75DD9F2"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Distribuição de lucros relativos a exercícios anteriores</w:t>
      </w:r>
    </w:p>
    <w:p w14:paraId="667F2328"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736708">
        <w:rPr>
          <w:rFonts w:ascii="Arial" w:eastAsia="Times New Roman" w:hAnsi="Arial" w:cs="Arial"/>
          <w:sz w:val="22"/>
          <w:szCs w:val="22"/>
          <w:lang w:val="pt-PT" w:eastAsia="pt-BR"/>
        </w:rPr>
        <w:t xml:space="preserve"> </w:t>
      </w:r>
    </w:p>
    <w:p w14:paraId="36749451"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Demonstração do Valor Adicionado está estruturada para ser elaborada a partir da Demonstração do Resultado do período. Assim, há uma estreita vinculação entre essas duas demonstrações e essa vinculação deve servir para sustentação da consistência entre elas. Mas ela tem também uma interface com a Demonstração dos Lucros ou Prejuízos Acumulados na parte em que movimentações nesta conta dizem respeito à distribuição do resultado do exercício apurado na demonstração própria.</w:t>
      </w:r>
    </w:p>
    <w:p w14:paraId="316AB8A6"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63A8E3F"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entidade é livre, dentro dos limites legais, para distribuir seus lucros acumulados, sejam eles oriundos do próprio exercício ou de exercícios anteriores. Porém, pela vinculação referida no item anterior, os dividendos que compõem a riqueza distribuída pela entidade devem restringir-se exclusivamente à parcela relativa aos resultados do próprio período. Dividendos distribuídos relativos a lucros de períodos anteriores não são considerados, pois já figuraram como lucros retidos naqueles respectivos períodos.</w:t>
      </w:r>
    </w:p>
    <w:p w14:paraId="6F6FEDD6"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4041A9C"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Substituição tributária</w:t>
      </w:r>
    </w:p>
    <w:p w14:paraId="1C7DB3DB"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D69A297"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A legislação brasileira, por meio de dispositivos legais próprios, permite a transferência de responsabilidade tributária a um terceiro, desde que vinculado ao fato gerador do tributo. Essa transferência de responsabilidade, que pode ser total ou parcial e tem como finalidade precípua a garantia de recolhimento do tributo, é efetivada de duas formas: progressiva e regressiva. </w:t>
      </w:r>
    </w:p>
    <w:p w14:paraId="788F4003"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A97A608"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A substituição tributária progressiva ocorre com a antecipação do pagamento do tributo que só será devido na operação seguinte. Do ponto de vista do substituto tributário (normalmente fabricante ou importador), deve-se incluir o valor do “imposto antecipado” no faturamento bruto e depois apresentá-lo como dedução desse faturamento para se chegar à receita bruta. </w:t>
      </w:r>
    </w:p>
    <w:p w14:paraId="16C94CF6"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39A3ADB"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No caso da substituição tributária regressiva, por exemplo, quando o comerciante realiza operação com produtor rural e é responsável pelo recolhimento do tributo, podem ocorrer duas situações: no caso de o comerciante ter direito ao crédito na operação seguinte, quando o valor do tributo recolhido deve ser tratado como impostos a recuperar, na DVA o valor dos impostos incidentes sobre as vendas deve ser considerado pelo valor total, uma vez que foi recolhido pelo próprio comerciante; se o comerciante não fizer jus ao crédito do tributo, o valor recolhido deve ser tratado como custo dos estoques.</w:t>
      </w:r>
    </w:p>
    <w:p w14:paraId="0ED0B3F6"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77949405"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Atividade de intermediação financeira (bancária)</w:t>
      </w:r>
    </w:p>
    <w:p w14:paraId="19FF71BD"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77BB251E"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lastRenderedPageBreak/>
        <w:t>Formação da riqueza</w:t>
      </w:r>
    </w:p>
    <w:p w14:paraId="618BD859"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CF7B043"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Os principais componentes na formação da riqueza nessa atividade estão apresentados a seguir:</w:t>
      </w:r>
    </w:p>
    <w:p w14:paraId="5531E3B0"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2DBBA5B" w14:textId="302E9822"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Receitas de intermediação financeira</w:t>
      </w:r>
      <w:r w:rsidRPr="00736708">
        <w:rPr>
          <w:rFonts w:ascii="Arial" w:eastAsia="Times New Roman" w:hAnsi="Arial" w:cs="Arial"/>
          <w:color w:val="000000"/>
          <w:sz w:val="22"/>
          <w:szCs w:val="22"/>
          <w:lang w:val="pt-PT" w:eastAsia="pt-BR"/>
        </w:rPr>
        <w:t xml:space="preserve"> - inclui as receitas com operações de crédito, arrendamento, resultados de câmbio, títulos e valores mobiliários e outras. </w:t>
      </w:r>
    </w:p>
    <w:p w14:paraId="032F2FA3"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Receita de prestação de serviços</w:t>
      </w:r>
      <w:r w:rsidRPr="00736708">
        <w:rPr>
          <w:rFonts w:ascii="Arial" w:eastAsia="Times New Roman" w:hAnsi="Arial" w:cs="Arial"/>
          <w:color w:val="000000"/>
          <w:sz w:val="22"/>
          <w:szCs w:val="22"/>
          <w:lang w:val="pt-PT" w:eastAsia="pt-BR"/>
        </w:rPr>
        <w:t xml:space="preserve"> - inclui as receitas relativas à cobrança de taxas por prestação de serviços.</w:t>
      </w:r>
    </w:p>
    <w:p w14:paraId="44434539"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3C380B6"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Provisão para créditos de liquidação duvidosa – Constituição/Reversão</w:t>
      </w:r>
      <w:r w:rsidRPr="00736708">
        <w:rPr>
          <w:rFonts w:ascii="Arial" w:eastAsia="Times New Roman" w:hAnsi="Arial" w:cs="Arial"/>
          <w:color w:val="000000"/>
          <w:sz w:val="22"/>
          <w:szCs w:val="22"/>
          <w:lang w:val="pt-PT" w:eastAsia="pt-BR"/>
        </w:rPr>
        <w:t xml:space="preserve"> - inclui os valores relativos à constituição e baixa da provisão.</w:t>
      </w:r>
    </w:p>
    <w:p w14:paraId="5E2DB143"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19F64DCE"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Outras receitas</w:t>
      </w:r>
      <w:r w:rsidRPr="00736708">
        <w:rPr>
          <w:rFonts w:ascii="Arial" w:eastAsia="Times New Roman" w:hAnsi="Arial" w:cs="Arial"/>
          <w:color w:val="000000"/>
          <w:sz w:val="22"/>
          <w:szCs w:val="22"/>
          <w:lang w:val="pt-PT" w:eastAsia="pt-BR"/>
        </w:rPr>
        <w:t xml:space="preserve"> - inclui parte dos valores realizados de ajustes de avaliação patrimonial, valores relativos à construção de ativos na própria entidade, etc. Inclui também valores considerados fora das atividades principais da entidade, tais como: ganhos e perdas na baixa de imobilizados, ganhos e perdas na baixa de investimentos, etc. </w:t>
      </w:r>
    </w:p>
    <w:p w14:paraId="191391FC"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ED4223A"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Na atividade bancária, por convenção, assume-se que as despesas com intermediação financeira devem fazer parte da formação líquida da riqueza e não de sua distribuição.</w:t>
      </w:r>
    </w:p>
    <w:p w14:paraId="4B31CEF4"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6411ADA" w14:textId="3A8D772E"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Despesas de intermediação financeira</w:t>
      </w:r>
      <w:r w:rsidRPr="00736708">
        <w:rPr>
          <w:rFonts w:ascii="Arial" w:eastAsia="Times New Roman" w:hAnsi="Arial" w:cs="Arial"/>
          <w:color w:val="000000"/>
          <w:sz w:val="22"/>
          <w:szCs w:val="22"/>
          <w:lang w:val="pt-PT" w:eastAsia="pt-BR"/>
        </w:rPr>
        <w:t xml:space="preserve"> - inclui os gastos com operações de captação, empréstimos, repasses, arrendamento e outros. </w:t>
      </w:r>
    </w:p>
    <w:p w14:paraId="1AAFF0BE"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p>
    <w:p w14:paraId="6AB370CD"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Insumos adquiridos de terceiros</w:t>
      </w:r>
    </w:p>
    <w:p w14:paraId="00FB6921"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47FCC5BE"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Materiais, energia e outros</w:t>
      </w:r>
      <w:r w:rsidRPr="00736708">
        <w:rPr>
          <w:rFonts w:ascii="Arial" w:eastAsia="Times New Roman" w:hAnsi="Arial" w:cs="Arial"/>
          <w:color w:val="000000"/>
          <w:sz w:val="22"/>
          <w:szCs w:val="22"/>
          <w:lang w:val="pt-PT" w:eastAsia="pt-BR"/>
        </w:rPr>
        <w:t xml:space="preserve"> - inclui valores relativos às despesas originadas de aquisições e pagamentos a terceiros.</w:t>
      </w:r>
    </w:p>
    <w:p w14:paraId="473AF10D"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3B3E5BA9"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Serviços de terceiros</w:t>
      </w:r>
      <w:r w:rsidRPr="00736708">
        <w:rPr>
          <w:rFonts w:ascii="Arial" w:eastAsia="Times New Roman" w:hAnsi="Arial" w:cs="Arial"/>
          <w:color w:val="000000"/>
          <w:sz w:val="22"/>
          <w:szCs w:val="22"/>
          <w:lang w:val="pt-PT" w:eastAsia="pt-BR"/>
        </w:rPr>
        <w:t xml:space="preserve"> - inclui gastos de pessoal que não seja próprio. </w:t>
      </w:r>
    </w:p>
    <w:p w14:paraId="624F375D"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140BC3E1"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Perda e Recuperação de valores ativos</w:t>
      </w:r>
      <w:r w:rsidRPr="00736708">
        <w:rPr>
          <w:rFonts w:ascii="Arial" w:eastAsia="Times New Roman" w:hAnsi="Arial" w:cs="Arial"/>
          <w:color w:val="000000"/>
          <w:sz w:val="22"/>
          <w:szCs w:val="22"/>
          <w:lang w:val="pt-PT" w:eastAsia="pt-BR"/>
        </w:rPr>
        <w:t xml:space="preserve"> - inclui valores relativos a ajustes a valor de mercado de investimentos (se no período o valor líquido for positivo, deve ser somado).</w:t>
      </w:r>
    </w:p>
    <w:p w14:paraId="22664118"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47DBEB98"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Depreciação, amortização e exaustão</w:t>
      </w:r>
      <w:r w:rsidRPr="00736708">
        <w:rPr>
          <w:rFonts w:ascii="Arial" w:eastAsia="Times New Roman" w:hAnsi="Arial" w:cs="Arial"/>
          <w:color w:val="000000"/>
          <w:sz w:val="22"/>
          <w:szCs w:val="22"/>
          <w:lang w:val="pt-PT" w:eastAsia="pt-BR"/>
        </w:rPr>
        <w:t xml:space="preserve"> - inclui a despesa contabilizada no período.</w:t>
      </w:r>
    </w:p>
    <w:p w14:paraId="5AE9F0B2"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5BC3CBA2"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Valor adicionado recebido em transferência</w:t>
      </w:r>
    </w:p>
    <w:p w14:paraId="0167E012"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090BBA5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Resultado de equivalência patrimonial</w:t>
      </w:r>
      <w:r w:rsidRPr="00736708">
        <w:rPr>
          <w:rFonts w:ascii="Arial" w:eastAsia="Times New Roman" w:hAnsi="Arial" w:cs="Arial"/>
          <w:color w:val="000000"/>
          <w:sz w:val="22"/>
          <w:szCs w:val="22"/>
          <w:lang w:val="pt-PT" w:eastAsia="pt-BR"/>
        </w:rPr>
        <w:t xml:space="preserve"> - o resultado da equivalência pode representar receita ou despesa, devendo esta última ser considerada como redução ou valor negativo.</w:t>
      </w:r>
    </w:p>
    <w:p w14:paraId="21F7ED4E"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3F577E93"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Outras receitas</w:t>
      </w:r>
      <w:r w:rsidRPr="00736708">
        <w:rPr>
          <w:rFonts w:ascii="Arial" w:eastAsia="Times New Roman" w:hAnsi="Arial" w:cs="Arial"/>
          <w:color w:val="000000"/>
          <w:sz w:val="22"/>
          <w:szCs w:val="22"/>
          <w:lang w:val="pt-PT" w:eastAsia="pt-BR"/>
        </w:rPr>
        <w:t xml:space="preserve"> - inclui dividendos relativos a investimentos avaliados pelo custo, aluguéis, direitos de franquia, etc.</w:t>
      </w:r>
    </w:p>
    <w:p w14:paraId="1A9F9633"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p>
    <w:p w14:paraId="7751D494"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Distribuição da riqueza</w:t>
      </w:r>
    </w:p>
    <w:p w14:paraId="1955187F"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09974CF"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segunda parte da DVA deve apresentar de forma detalhada como a riqueza obtida pela entidade foi distribuída. Os principais componentes dessa distribuição estão apresentados a seguir:</w:t>
      </w:r>
    </w:p>
    <w:p w14:paraId="4034DA8B"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lastRenderedPageBreak/>
        <w:t>Pessoal</w:t>
      </w:r>
      <w:r w:rsidRPr="00736708">
        <w:rPr>
          <w:rFonts w:ascii="Arial" w:eastAsia="Times New Roman" w:hAnsi="Arial" w:cs="Arial"/>
          <w:color w:val="000000"/>
          <w:sz w:val="22"/>
          <w:szCs w:val="22"/>
          <w:lang w:val="pt-PT" w:eastAsia="pt-BR"/>
        </w:rPr>
        <w:t xml:space="preserve"> – valores apropriados ao custo e ao resultado do exercício na forma de:</w:t>
      </w:r>
    </w:p>
    <w:p w14:paraId="46B0E8A7"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Remuneração</w:t>
      </w:r>
      <w:r w:rsidRPr="00736708">
        <w:rPr>
          <w:rFonts w:ascii="Arial" w:eastAsia="Times New Roman" w:hAnsi="Arial" w:cs="Arial"/>
          <w:color w:val="000000"/>
          <w:sz w:val="22"/>
          <w:szCs w:val="22"/>
          <w:lang w:val="pt-PT" w:eastAsia="pt-BR"/>
        </w:rPr>
        <w:t xml:space="preserve"> </w:t>
      </w:r>
      <w:r w:rsidRPr="00736708">
        <w:rPr>
          <w:rFonts w:ascii="Arial" w:eastAsia="Times New Roman" w:hAnsi="Arial" w:cs="Arial"/>
          <w:i/>
          <w:color w:val="000000"/>
          <w:sz w:val="22"/>
          <w:szCs w:val="22"/>
          <w:lang w:val="pt-PT" w:eastAsia="pt-BR"/>
        </w:rPr>
        <w:t>direta</w:t>
      </w:r>
      <w:r w:rsidRPr="00736708">
        <w:rPr>
          <w:rFonts w:ascii="Arial" w:eastAsia="Times New Roman" w:hAnsi="Arial" w:cs="Arial"/>
          <w:color w:val="000000"/>
          <w:sz w:val="22"/>
          <w:szCs w:val="22"/>
          <w:lang w:val="pt-PT" w:eastAsia="pt-BR"/>
        </w:rPr>
        <w:t xml:space="preserve"> - valores relativos a salários, 13º salário, honorários da diretoria, férias, comissões, horas extras, participação de empregados nos resultados, etc.</w:t>
      </w:r>
    </w:p>
    <w:p w14:paraId="0BDA2690"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Benefícios</w:t>
      </w:r>
      <w:r w:rsidRPr="00736708">
        <w:rPr>
          <w:rFonts w:ascii="Arial" w:eastAsia="Times New Roman" w:hAnsi="Arial" w:cs="Arial"/>
          <w:color w:val="000000"/>
          <w:sz w:val="22"/>
          <w:szCs w:val="22"/>
          <w:lang w:val="pt-PT" w:eastAsia="pt-BR"/>
        </w:rPr>
        <w:t xml:space="preserve"> - valores relativos à assistência médica, alimentação, transporte, planos de aposentadoria, etc.</w:t>
      </w:r>
    </w:p>
    <w:p w14:paraId="4B061843"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FGTS</w:t>
      </w:r>
      <w:r w:rsidRPr="00736708">
        <w:rPr>
          <w:rFonts w:ascii="Arial" w:eastAsia="Times New Roman" w:hAnsi="Arial" w:cs="Arial"/>
          <w:color w:val="000000"/>
          <w:sz w:val="22"/>
          <w:szCs w:val="22"/>
          <w:lang w:val="pt-PT" w:eastAsia="pt-BR"/>
        </w:rPr>
        <w:t xml:space="preserve"> - valores devidos aos empregados e que são depositados em conta vinculada. </w:t>
      </w:r>
    </w:p>
    <w:p w14:paraId="267B70DF"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Impostos, taxas e contribuições</w:t>
      </w:r>
      <w:r w:rsidRPr="00736708">
        <w:rPr>
          <w:rFonts w:ascii="Arial" w:eastAsia="Times New Roman" w:hAnsi="Arial" w:cs="Arial"/>
          <w:color w:val="000000"/>
          <w:sz w:val="22"/>
          <w:szCs w:val="22"/>
          <w:lang w:val="pt-PT" w:eastAsia="pt-BR"/>
        </w:rPr>
        <w:t xml:space="preserve"> - valores relativos ao imposto de renda, contribuição social sobre o lucro, contribuições aos INSS (incluídos aqui os valores do Seguro de Acidentes do Trabalho) que sejam ônus do empregador, bem como os demais impostos e contribuições a que a entidade esteja sujeita.</w:t>
      </w:r>
      <w:r w:rsidRPr="00736708">
        <w:rPr>
          <w:rFonts w:ascii="Arial" w:eastAsia="Times New Roman" w:hAnsi="Arial" w:cs="Arial"/>
          <w:color w:val="000000"/>
          <w:sz w:val="22"/>
          <w:szCs w:val="22"/>
          <w:u w:val="single"/>
          <w:lang w:val="pt-PT" w:eastAsia="pt-BR"/>
        </w:rPr>
        <w:t xml:space="preserve"> </w:t>
      </w:r>
    </w:p>
    <w:p w14:paraId="68A5CF3C"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Federais</w:t>
      </w:r>
      <w:r w:rsidRPr="00736708">
        <w:rPr>
          <w:rFonts w:ascii="Arial" w:eastAsia="Times New Roman" w:hAnsi="Arial" w:cs="Arial"/>
          <w:color w:val="000000"/>
          <w:sz w:val="22"/>
          <w:szCs w:val="22"/>
          <w:lang w:val="pt-PT" w:eastAsia="pt-BR"/>
        </w:rPr>
        <w:t xml:space="preserve"> - inclui os tributos devidos à União, inclusive aqueles que são repassados no todo ou em parte aos Estados, Municípios, Autarquias, etc., tais como: IRPJ, CSSL, etc. Inclui também a contribuição sindical patronal.</w:t>
      </w:r>
    </w:p>
    <w:p w14:paraId="3C0C21CA"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Estaduais</w:t>
      </w:r>
      <w:r w:rsidRPr="00736708">
        <w:rPr>
          <w:rFonts w:ascii="Arial" w:eastAsia="Times New Roman" w:hAnsi="Arial" w:cs="Arial"/>
          <w:color w:val="000000"/>
          <w:sz w:val="22"/>
          <w:szCs w:val="22"/>
          <w:lang w:val="pt-PT" w:eastAsia="pt-BR"/>
        </w:rPr>
        <w:t xml:space="preserve"> - inclui os tributos devidos aos Estados, inclusive aqueles que são repassados no todo ou em parte aos Municípios, Autarquias, etc., tais como o IPVA. </w:t>
      </w:r>
    </w:p>
    <w:p w14:paraId="387918ED"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Municipais</w:t>
      </w:r>
      <w:r w:rsidRPr="00736708">
        <w:rPr>
          <w:rFonts w:ascii="Arial" w:eastAsia="Times New Roman" w:hAnsi="Arial" w:cs="Arial"/>
          <w:color w:val="000000"/>
          <w:sz w:val="22"/>
          <w:szCs w:val="22"/>
          <w:lang w:val="pt-PT" w:eastAsia="pt-BR"/>
        </w:rPr>
        <w:t xml:space="preserve"> - inclui os tributos devidos aos Municípios, inclusive aqueles que são repassados no todo ou em parte a Autarquias ou quaisquer outras entidades, tais como o ISS e o IPTU.</w:t>
      </w:r>
    </w:p>
    <w:p w14:paraId="18BE0E12"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4E2E9770"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Remuneração de capitais de terceiros</w:t>
      </w:r>
      <w:r w:rsidRPr="00736708">
        <w:rPr>
          <w:rFonts w:ascii="Arial" w:eastAsia="Times New Roman" w:hAnsi="Arial" w:cs="Arial"/>
          <w:color w:val="000000"/>
          <w:sz w:val="22"/>
          <w:szCs w:val="22"/>
          <w:lang w:val="pt-PT" w:eastAsia="pt-BR"/>
        </w:rPr>
        <w:t xml:space="preserve"> - valores pagos ou creditados  aos financiadores externos de capital.</w:t>
      </w:r>
    </w:p>
    <w:p w14:paraId="6C7487CA"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Aluguéis</w:t>
      </w:r>
      <w:r w:rsidRPr="00736708">
        <w:rPr>
          <w:rFonts w:ascii="Arial" w:eastAsia="Times New Roman" w:hAnsi="Arial" w:cs="Arial"/>
          <w:color w:val="000000"/>
          <w:sz w:val="22"/>
          <w:szCs w:val="22"/>
          <w:lang w:val="pt-PT" w:eastAsia="pt-BR"/>
        </w:rPr>
        <w:t xml:space="preserve"> - valores de aluguéis (incluindo-se as despesas com </w:t>
      </w:r>
      <w:r w:rsidRPr="00736708">
        <w:rPr>
          <w:rFonts w:ascii="Arial" w:eastAsia="Times New Roman" w:hAnsi="Arial" w:cs="Arial"/>
          <w:i/>
          <w:color w:val="000000"/>
          <w:sz w:val="22"/>
          <w:szCs w:val="22"/>
          <w:lang w:val="pt-PT" w:eastAsia="pt-BR"/>
        </w:rPr>
        <w:t>arrendamento</w:t>
      </w:r>
      <w:r w:rsidRPr="00736708">
        <w:rPr>
          <w:rFonts w:ascii="Arial" w:eastAsia="Times New Roman" w:hAnsi="Arial" w:cs="Arial"/>
          <w:color w:val="000000"/>
          <w:sz w:val="22"/>
          <w:szCs w:val="22"/>
          <w:lang w:val="pt-PT" w:eastAsia="pt-BR"/>
        </w:rPr>
        <w:t xml:space="preserve"> operacional) pagos ou creditados a terceiros, inclusive os acrescidos aos ativos.</w:t>
      </w:r>
    </w:p>
    <w:p w14:paraId="4D8A43FF"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Outras</w:t>
      </w:r>
      <w:r w:rsidRPr="00736708">
        <w:rPr>
          <w:rFonts w:ascii="Arial" w:eastAsia="Times New Roman" w:hAnsi="Arial" w:cs="Arial"/>
          <w:color w:val="000000"/>
          <w:sz w:val="22"/>
          <w:szCs w:val="22"/>
          <w:lang w:val="pt-PT" w:eastAsia="pt-BR"/>
        </w:rPr>
        <w:t xml:space="preserve"> - valores de remunerações que configurem transferência de riqueza a terceiros, mesmo que originadas de capital intelectual, tais como </w:t>
      </w:r>
      <w:r w:rsidRPr="00736708">
        <w:rPr>
          <w:rFonts w:ascii="Arial" w:eastAsia="Times New Roman" w:hAnsi="Arial" w:cs="Arial"/>
          <w:i/>
          <w:color w:val="000000"/>
          <w:sz w:val="22"/>
          <w:szCs w:val="22"/>
          <w:lang w:val="pt-PT" w:eastAsia="pt-BR"/>
        </w:rPr>
        <w:t>royalties</w:t>
      </w:r>
      <w:r w:rsidRPr="00736708">
        <w:rPr>
          <w:rFonts w:ascii="Arial" w:eastAsia="Times New Roman" w:hAnsi="Arial" w:cs="Arial"/>
          <w:color w:val="000000"/>
          <w:sz w:val="22"/>
          <w:szCs w:val="22"/>
          <w:lang w:val="pt-PT" w:eastAsia="pt-BR"/>
        </w:rPr>
        <w:t>, franquia, direitos autorais, etc.</w:t>
      </w:r>
    </w:p>
    <w:p w14:paraId="4C5F71F7"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04A3F2E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Remuneração de capitais próprios - valores relativos à remuneração atribuída aos sócios e</w:t>
      </w:r>
      <w:r w:rsidRPr="00736708">
        <w:rPr>
          <w:rFonts w:ascii="Arial" w:eastAsia="Times New Roman" w:hAnsi="Arial" w:cs="Arial"/>
          <w:color w:val="000000"/>
          <w:sz w:val="22"/>
          <w:szCs w:val="22"/>
          <w:lang w:val="pt-PT" w:eastAsia="pt-BR"/>
        </w:rPr>
        <w:t xml:space="preserve"> acionistas.</w:t>
      </w:r>
    </w:p>
    <w:p w14:paraId="20A9C65C"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Juros sobre o capital próprio (JCP) e</w:t>
      </w:r>
      <w:r w:rsidRPr="00736708">
        <w:rPr>
          <w:rFonts w:ascii="Arial" w:eastAsia="Times New Roman" w:hAnsi="Arial" w:cs="Arial"/>
          <w:color w:val="000000"/>
          <w:sz w:val="22"/>
          <w:szCs w:val="22"/>
          <w:lang w:val="pt-PT" w:eastAsia="pt-BR"/>
        </w:rPr>
        <w:t xml:space="preserve"> </w:t>
      </w:r>
      <w:r w:rsidRPr="00736708">
        <w:rPr>
          <w:rFonts w:ascii="Arial" w:eastAsia="Times New Roman" w:hAnsi="Arial" w:cs="Arial"/>
          <w:i/>
          <w:color w:val="000000"/>
          <w:sz w:val="22"/>
          <w:szCs w:val="22"/>
          <w:lang w:val="pt-PT" w:eastAsia="pt-BR"/>
        </w:rPr>
        <w:t>dividendos</w:t>
      </w:r>
      <w:r w:rsidRPr="00736708">
        <w:rPr>
          <w:rFonts w:ascii="Arial" w:eastAsia="Times New Roman" w:hAnsi="Arial" w:cs="Arial"/>
          <w:color w:val="000000"/>
          <w:sz w:val="22"/>
          <w:szCs w:val="22"/>
          <w:lang w:val="pt-PT" w:eastAsia="pt-BR"/>
        </w:rPr>
        <w:t xml:space="preserve"> - inclui os valores pagos ou creditados aos sócios e acionistas por conta do resultado do período, ressalvando-se os valores dos JCP transferidos para conta de reserva de lucros. Devem ser incluídos apenas os valores distribuídos com base no resultado do próprio período, desconsiderando-se os dividendos distribuídos com base em lucros acumulados de exercícios anteriores, uma vez que já foram tratados como “lucros retidos” no exercício em que foram gerados.</w:t>
      </w:r>
    </w:p>
    <w:p w14:paraId="2C2B6D5F"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Lucros retidos e prejuízos do exercício</w:t>
      </w:r>
      <w:r w:rsidRPr="00736708">
        <w:rPr>
          <w:rFonts w:ascii="Arial" w:eastAsia="Times New Roman" w:hAnsi="Arial" w:cs="Arial"/>
          <w:color w:val="000000"/>
          <w:sz w:val="22"/>
          <w:szCs w:val="22"/>
          <w:lang w:val="pt-PT" w:eastAsia="pt-BR"/>
        </w:rPr>
        <w:t xml:space="preserve"> - inclui os valores relativos ao lucro do exercício destinados às reservas, inclusive os JCP quando tiverem esse tratamento; nos casos de prejuízo, esse valor deve ser incluído com sinal negativo.</w:t>
      </w:r>
    </w:p>
    <w:p w14:paraId="190FA6F6"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As quantias destinadas aos sócios e acionistas na forma de JCP, independentemente de serem registradas como passivo (JCP a pagar) ou como reserva de lucros, devem ter o mesmo tratamento dado aos dividendos no que diz respeito ao período a que devem ser imputados.</w:t>
      </w:r>
    </w:p>
    <w:p w14:paraId="0884EFDB"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6EF258C8"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Atividades de seguro e previdência</w:t>
      </w:r>
    </w:p>
    <w:p w14:paraId="6244E1A5"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p>
    <w:p w14:paraId="079173DA"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Formação da riqueza</w:t>
      </w:r>
    </w:p>
    <w:p w14:paraId="72161DCD"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58236BC"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Os principais componentes na formação da riqueza nessas atividades estão apresentados a seguir:</w:t>
      </w:r>
    </w:p>
    <w:p w14:paraId="2084528B"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Receitas com operações de seguro</w:t>
      </w:r>
      <w:r w:rsidRPr="00736708">
        <w:rPr>
          <w:rFonts w:ascii="Arial" w:eastAsia="Times New Roman" w:hAnsi="Arial" w:cs="Arial"/>
          <w:color w:val="000000"/>
          <w:sz w:val="22"/>
          <w:szCs w:val="22"/>
          <w:lang w:val="pt-PT" w:eastAsia="pt-BR"/>
        </w:rPr>
        <w:t xml:space="preserve"> - inclui as receitas com venda de apólices e de operações de </w:t>
      </w:r>
      <w:r w:rsidRPr="00736708">
        <w:rPr>
          <w:rFonts w:ascii="Arial" w:eastAsia="Times New Roman" w:hAnsi="Arial" w:cs="Arial"/>
          <w:color w:val="000000"/>
          <w:sz w:val="22"/>
          <w:szCs w:val="22"/>
          <w:lang w:val="pt-PT" w:eastAsia="pt-BR"/>
        </w:rPr>
        <w:lastRenderedPageBreak/>
        <w:t>cosseguros aceitas, já líquidas dos prêmios restituídos ou cancelados, bem como de retrocessão, as receitas oriundas das operações de recuperação de sinistros com salvados e ressarcimento.</w:t>
      </w:r>
    </w:p>
    <w:p w14:paraId="0F5F5845"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7CA044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Receitas com operações de previdência complementar</w:t>
      </w:r>
      <w:r w:rsidRPr="00736708">
        <w:rPr>
          <w:rFonts w:ascii="Arial" w:eastAsia="Times New Roman" w:hAnsi="Arial" w:cs="Arial"/>
          <w:color w:val="000000"/>
          <w:sz w:val="22"/>
          <w:szCs w:val="22"/>
          <w:lang w:val="pt-PT" w:eastAsia="pt-BR"/>
        </w:rPr>
        <w:t xml:space="preserve"> - inclui as receitas relativas à venda desse tipo de plano de previdência.  </w:t>
      </w:r>
    </w:p>
    <w:p w14:paraId="6C59AE7E"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Outras receitas - inclui outras receitas operacionais de qualquer natureza. Inclui também receitas</w:t>
      </w:r>
      <w:r w:rsidRPr="00736708">
        <w:rPr>
          <w:rFonts w:ascii="Arial" w:eastAsia="Times New Roman" w:hAnsi="Arial" w:cs="Arial"/>
          <w:color w:val="000000"/>
          <w:sz w:val="22"/>
          <w:szCs w:val="22"/>
          <w:lang w:val="pt-PT" w:eastAsia="pt-BR"/>
        </w:rPr>
        <w:t xml:space="preserve"> oriundas de atividades que não estejam incluídas na operação principal da entidade.</w:t>
      </w:r>
    </w:p>
    <w:p w14:paraId="4A99A8BD"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Provisão para créditos de liquidação duvidosa</w:t>
      </w:r>
      <w:r w:rsidRPr="00736708">
        <w:rPr>
          <w:rFonts w:ascii="Arial" w:eastAsia="Times New Roman" w:hAnsi="Arial" w:cs="Arial"/>
          <w:color w:val="000000"/>
          <w:sz w:val="22"/>
          <w:szCs w:val="22"/>
          <w:lang w:val="pt-PT" w:eastAsia="pt-BR"/>
        </w:rPr>
        <w:t xml:space="preserve"> - Constituição/Reversão - inclui os valores relativos à constituição/baixa da provisão.</w:t>
      </w:r>
    </w:p>
    <w:p w14:paraId="03EB4669"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73F8E543"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Variação das provisões técnicas em operações de seguro</w:t>
      </w:r>
      <w:r w:rsidRPr="00736708">
        <w:rPr>
          <w:rFonts w:ascii="Arial" w:eastAsia="Times New Roman" w:hAnsi="Arial" w:cs="Arial"/>
          <w:color w:val="000000"/>
          <w:sz w:val="22"/>
          <w:szCs w:val="22"/>
          <w:lang w:val="pt-PT" w:eastAsia="pt-BR"/>
        </w:rPr>
        <w:t xml:space="preserve"> - representa o ajuste de prêmios retidos para o regime de competência de acordo com a vigência de cada apólice de seguro.</w:t>
      </w:r>
    </w:p>
    <w:p w14:paraId="2E80213E"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04882291"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Variação das provisões técnicas em operações de previdência</w:t>
      </w:r>
      <w:r w:rsidRPr="00736708">
        <w:rPr>
          <w:rFonts w:ascii="Arial" w:eastAsia="Times New Roman" w:hAnsi="Arial" w:cs="Arial"/>
          <w:color w:val="000000"/>
          <w:sz w:val="22"/>
          <w:szCs w:val="22"/>
          <w:lang w:val="pt-PT" w:eastAsia="pt-BR"/>
        </w:rPr>
        <w:t xml:space="preserve"> - representa a variação da provisão matemática de planos de previdência complementar aberta registrada no efetivo recebimento das contribuições.</w:t>
      </w:r>
    </w:p>
    <w:p w14:paraId="75A2BC63"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7F220624"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 xml:space="preserve">Nas atividades de seguros e previdência, os sinistros retidos e as despesas com benefícios e resgates, que representam o total das indenizações líquidas a serem pagas aos segurados, devem ser deduzidas das receitas. </w:t>
      </w:r>
    </w:p>
    <w:p w14:paraId="57528DBC"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5144C7A"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Sinistros</w:t>
      </w:r>
      <w:r w:rsidRPr="00736708">
        <w:rPr>
          <w:rFonts w:ascii="Arial" w:eastAsia="Times New Roman" w:hAnsi="Arial" w:cs="Arial"/>
          <w:color w:val="000000"/>
          <w:sz w:val="22"/>
          <w:szCs w:val="22"/>
          <w:lang w:val="pt-PT" w:eastAsia="pt-BR"/>
        </w:rPr>
        <w:t xml:space="preserve"> - valores das indenizações que são de competência do exercício.</w:t>
      </w:r>
    </w:p>
    <w:p w14:paraId="46C69C5E"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4C6996E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Variação da provisão de sinistros ocorridos, mas não avisados</w:t>
      </w:r>
      <w:r w:rsidRPr="00736708">
        <w:rPr>
          <w:rFonts w:ascii="Arial" w:eastAsia="Times New Roman" w:hAnsi="Arial" w:cs="Arial"/>
          <w:color w:val="000000"/>
          <w:sz w:val="22"/>
          <w:szCs w:val="22"/>
          <w:lang w:val="pt-PT" w:eastAsia="pt-BR"/>
        </w:rPr>
        <w:t xml:space="preserve"> - valor do ajuste da provisão de sinistros ocorridos, mas não avisados.</w:t>
      </w:r>
    </w:p>
    <w:p w14:paraId="09CE9361"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4F8AEF4"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Despesa com benefícios e resgates</w:t>
      </w:r>
      <w:r w:rsidRPr="00736708">
        <w:rPr>
          <w:rFonts w:ascii="Arial" w:eastAsia="Times New Roman" w:hAnsi="Arial" w:cs="Arial"/>
          <w:color w:val="000000"/>
          <w:sz w:val="22"/>
          <w:szCs w:val="22"/>
          <w:lang w:val="pt-PT" w:eastAsia="pt-BR"/>
        </w:rPr>
        <w:t xml:space="preserve"> - valor dos benefícios concedidos e dos resgates efetuados de competência daquele período.</w:t>
      </w:r>
    </w:p>
    <w:p w14:paraId="635CA1C0"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73B63E27"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Variação da provisão de eventos ocorridos, mas não avisados</w:t>
      </w:r>
      <w:r w:rsidRPr="00736708">
        <w:rPr>
          <w:rFonts w:ascii="Arial" w:eastAsia="Times New Roman" w:hAnsi="Arial" w:cs="Arial"/>
          <w:color w:val="000000"/>
          <w:sz w:val="22"/>
          <w:szCs w:val="22"/>
          <w:lang w:val="pt-PT" w:eastAsia="pt-BR"/>
        </w:rPr>
        <w:t xml:space="preserve"> - valor do ajuste da provisão de eventos ocorridos, mas não avisados à empresa.</w:t>
      </w:r>
    </w:p>
    <w:p w14:paraId="317B6497"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65CEC999"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t>Insumos adquiridos de terceiros</w:t>
      </w:r>
    </w:p>
    <w:p w14:paraId="4918DD21"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59E82011"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Materiais, energia e outros - valor dos materiais e energia consumidos, despesas gerais e</w:t>
      </w:r>
      <w:r w:rsidRPr="00736708">
        <w:rPr>
          <w:rFonts w:ascii="Arial" w:eastAsia="Times New Roman" w:hAnsi="Arial" w:cs="Arial"/>
          <w:color w:val="000000"/>
          <w:sz w:val="22"/>
          <w:szCs w:val="22"/>
          <w:lang w:val="pt-PT" w:eastAsia="pt-BR"/>
        </w:rPr>
        <w:t xml:space="preserve"> administrativas e todas aquelas que não possuem tratamento específico, adquiridos de terceiros.</w:t>
      </w:r>
    </w:p>
    <w:p w14:paraId="3923074A"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0FDB76EE"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Serviços de terceiros, comissões líquidas - valor dos recursos pagos a terceiros por prestação de</w:t>
      </w:r>
      <w:r w:rsidRPr="00736708">
        <w:rPr>
          <w:rFonts w:ascii="Arial" w:eastAsia="Times New Roman" w:hAnsi="Arial" w:cs="Arial"/>
          <w:color w:val="000000"/>
          <w:sz w:val="22"/>
          <w:szCs w:val="22"/>
          <w:lang w:val="pt-PT" w:eastAsia="pt-BR"/>
        </w:rPr>
        <w:t xml:space="preserve"> </w:t>
      </w:r>
      <w:r w:rsidRPr="00736708">
        <w:rPr>
          <w:rFonts w:ascii="Arial" w:eastAsia="Times New Roman" w:hAnsi="Arial" w:cs="Arial"/>
          <w:color w:val="000000"/>
          <w:sz w:val="22"/>
          <w:szCs w:val="22"/>
          <w:u w:val="single"/>
          <w:lang w:val="pt-PT" w:eastAsia="pt-BR"/>
        </w:rPr>
        <w:t xml:space="preserve">serviços, além das comissões pagas aos corretores. </w:t>
      </w:r>
    </w:p>
    <w:p w14:paraId="716E4227"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2DECCD20"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Variação das despesas de comercialização diferidas</w:t>
      </w:r>
      <w:r w:rsidRPr="00736708">
        <w:rPr>
          <w:rFonts w:ascii="Arial" w:eastAsia="Times New Roman" w:hAnsi="Arial" w:cs="Arial"/>
          <w:color w:val="000000"/>
          <w:sz w:val="22"/>
          <w:szCs w:val="22"/>
          <w:lang w:val="pt-PT" w:eastAsia="pt-BR"/>
        </w:rPr>
        <w:t xml:space="preserve"> - valor do ajuste das despesas de comercialização (basicamente, comissões) para o regime de competência de acordo com a vigência de cada apólice de seguro.</w:t>
      </w:r>
    </w:p>
    <w:p w14:paraId="7086214F"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4B8C7FC"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Perda e recuperação de valores ativos</w:t>
      </w:r>
      <w:r w:rsidRPr="00736708">
        <w:rPr>
          <w:rFonts w:ascii="Arial" w:eastAsia="Times New Roman" w:hAnsi="Arial" w:cs="Arial"/>
          <w:color w:val="000000"/>
          <w:sz w:val="22"/>
          <w:szCs w:val="22"/>
          <w:lang w:val="pt-PT" w:eastAsia="pt-BR"/>
        </w:rPr>
        <w:t xml:space="preserve"> - inclui os valores relativos a valor de mercado de investimentos (se no período o valor líquido for positivo, deve ser somado).</w:t>
      </w:r>
    </w:p>
    <w:p w14:paraId="7E01B3A0"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Depreciação, amortização e exaustão</w:t>
      </w:r>
      <w:r w:rsidRPr="00736708">
        <w:rPr>
          <w:rFonts w:ascii="Arial" w:eastAsia="Times New Roman" w:hAnsi="Arial" w:cs="Arial"/>
          <w:color w:val="000000"/>
          <w:sz w:val="22"/>
          <w:szCs w:val="22"/>
          <w:lang w:val="pt-PT" w:eastAsia="pt-BR"/>
        </w:rPr>
        <w:t xml:space="preserve"> - inclui a despesa contabilizada no período.</w:t>
      </w:r>
    </w:p>
    <w:p w14:paraId="32F57BB2"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736708">
        <w:rPr>
          <w:rFonts w:ascii="Arial" w:eastAsia="Times New Roman" w:hAnsi="Arial" w:cs="Arial"/>
          <w:b/>
          <w:color w:val="000000"/>
          <w:sz w:val="22"/>
          <w:szCs w:val="22"/>
          <w:lang w:val="pt-PT" w:eastAsia="pt-BR"/>
        </w:rPr>
        <w:lastRenderedPageBreak/>
        <w:t>Valor adicionado recebido/cedido em transferência</w:t>
      </w:r>
    </w:p>
    <w:p w14:paraId="0E97179C"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55717B23"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Receita financeira</w:t>
      </w:r>
      <w:r w:rsidRPr="00736708">
        <w:rPr>
          <w:rFonts w:ascii="Arial" w:eastAsia="Times New Roman" w:hAnsi="Arial" w:cs="Arial"/>
          <w:color w:val="000000"/>
          <w:sz w:val="22"/>
          <w:szCs w:val="22"/>
          <w:lang w:val="pt-PT" w:eastAsia="pt-BR"/>
        </w:rPr>
        <w:t xml:space="preserve"> – decorrente das aplicações em títulos e outras aplicações financeiras, inclusive as de variações cambiais ativas.</w:t>
      </w:r>
    </w:p>
    <w:p w14:paraId="42500E37"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Resultado de equivalência patrimonial</w:t>
      </w:r>
      <w:r w:rsidRPr="00736708">
        <w:rPr>
          <w:rFonts w:ascii="Arial" w:eastAsia="Times New Roman" w:hAnsi="Arial" w:cs="Arial"/>
          <w:color w:val="000000"/>
          <w:sz w:val="22"/>
          <w:szCs w:val="22"/>
          <w:lang w:val="pt-PT" w:eastAsia="pt-BR"/>
        </w:rPr>
        <w:t xml:space="preserve"> - esse resultado pode representar receita ou despesa: se despesa, deve ser informado entre parênteses.</w:t>
      </w:r>
    </w:p>
    <w:p w14:paraId="143E37DD"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31F1D1A2"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Resultado com operações de resseguros cedidos</w:t>
      </w:r>
      <w:r w:rsidRPr="00736708">
        <w:rPr>
          <w:rFonts w:ascii="Arial" w:eastAsia="Times New Roman" w:hAnsi="Arial" w:cs="Arial"/>
          <w:color w:val="000000"/>
          <w:sz w:val="22"/>
          <w:szCs w:val="22"/>
          <w:lang w:val="pt-PT" w:eastAsia="pt-BR"/>
        </w:rPr>
        <w:t xml:space="preserve"> – parcela dos prêmios que a seguradora passa para resseguradoras com a intenção de dividir responsabilidades para diminuir os riscos. Inclui também a parcela de sinistros que a seguradora recebe dessas resseguradoras.</w:t>
      </w:r>
    </w:p>
    <w:p w14:paraId="2503FE1C"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25382BE0"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Resultado com operações de cosseguros cedidos</w:t>
      </w:r>
      <w:r w:rsidRPr="00736708">
        <w:rPr>
          <w:rFonts w:ascii="Arial" w:eastAsia="Times New Roman" w:hAnsi="Arial" w:cs="Arial"/>
          <w:color w:val="000000"/>
          <w:sz w:val="22"/>
          <w:szCs w:val="22"/>
          <w:lang w:val="pt-PT" w:eastAsia="pt-BR"/>
        </w:rPr>
        <w:t xml:space="preserve"> – parcela dos prêmios que a seguradora repassa para outras seguradoras com a intenção de dividir responsabilidades para diminuir os riscos. Inclui também a parcela de sinistros que a seguradora recebe dessas resseguradoras.</w:t>
      </w:r>
    </w:p>
    <w:p w14:paraId="76F7F096"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20D59DE2"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Outras receitas - inclui os dividendos relativos a investimentos avaliados pelo custo, aluguéis,</w:t>
      </w:r>
      <w:r w:rsidRPr="00736708">
        <w:rPr>
          <w:rFonts w:ascii="Arial" w:eastAsia="Times New Roman" w:hAnsi="Arial" w:cs="Arial"/>
          <w:color w:val="000000"/>
          <w:sz w:val="22"/>
          <w:szCs w:val="22"/>
          <w:lang w:val="pt-PT" w:eastAsia="pt-BR"/>
        </w:rPr>
        <w:t xml:space="preserve"> direitos de franquia, etc.</w:t>
      </w:r>
    </w:p>
    <w:p w14:paraId="3E16B673" w14:textId="77777777" w:rsidR="00736708" w:rsidRPr="00736708" w:rsidRDefault="00736708" w:rsidP="00736708">
      <w:pPr>
        <w:widowControl w:val="0"/>
        <w:tabs>
          <w:tab w:val="left" w:pos="6804"/>
        </w:tabs>
        <w:spacing w:before="0" w:after="0" w:line="240" w:lineRule="auto"/>
        <w:ind w:left="57" w:firstLine="0"/>
        <w:rPr>
          <w:rFonts w:ascii="Arial" w:eastAsia="Times New Roman" w:hAnsi="Arial" w:cs="Arial"/>
          <w:b/>
          <w:sz w:val="22"/>
          <w:szCs w:val="22"/>
          <w:lang w:eastAsia="pt-BR"/>
        </w:rPr>
      </w:pPr>
    </w:p>
    <w:p w14:paraId="08624155"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b/>
          <w:sz w:val="22"/>
          <w:szCs w:val="22"/>
          <w:lang w:eastAsia="pt-BR"/>
        </w:rPr>
      </w:pPr>
      <w:r w:rsidRPr="00736708">
        <w:rPr>
          <w:rFonts w:ascii="Arial" w:eastAsia="Times New Roman" w:hAnsi="Arial" w:cs="Arial"/>
          <w:b/>
          <w:sz w:val="22"/>
          <w:szCs w:val="22"/>
          <w:lang w:eastAsia="pt-BR"/>
        </w:rPr>
        <w:t>Distribuição da riqueza</w:t>
      </w:r>
    </w:p>
    <w:p w14:paraId="3C710E67" w14:textId="77777777" w:rsidR="00736708" w:rsidRPr="00736708" w:rsidRDefault="00736708" w:rsidP="00736708">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8426BEB" w14:textId="77777777" w:rsidR="00736708" w:rsidRPr="00736708" w:rsidRDefault="00736708" w:rsidP="00736708">
      <w:pPr>
        <w:widowControl w:val="0"/>
        <w:numPr>
          <w:ilvl w:val="0"/>
          <w:numId w:val="13"/>
        </w:numPr>
        <w:spacing w:before="0" w:after="0" w:line="240" w:lineRule="auto"/>
        <w:ind w:left="567" w:hanging="567"/>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 segunda parte da DVA deve apresentar de forma detalhada como a riqueza obtida pela entidade foi distribuída. Os principais componentes dessa distribuição estão apresentados a seguir:</w:t>
      </w:r>
    </w:p>
    <w:p w14:paraId="073302CC"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4AFEF937"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Pessoal</w:t>
      </w:r>
      <w:r w:rsidRPr="00736708">
        <w:rPr>
          <w:rFonts w:ascii="Arial" w:eastAsia="Times New Roman" w:hAnsi="Arial" w:cs="Arial"/>
          <w:color w:val="000000"/>
          <w:sz w:val="22"/>
          <w:szCs w:val="22"/>
          <w:lang w:val="pt-PT" w:eastAsia="pt-BR"/>
        </w:rPr>
        <w:t xml:space="preserve"> – valores apropriados ao custo e ao resultado do exercício na forma de:</w:t>
      </w:r>
    </w:p>
    <w:p w14:paraId="32AB9A28"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i/>
          <w:color w:val="000000"/>
          <w:sz w:val="22"/>
          <w:szCs w:val="22"/>
          <w:lang w:val="pt-PT" w:eastAsia="pt-BR"/>
        </w:rPr>
      </w:pPr>
      <w:r w:rsidRPr="00736708">
        <w:rPr>
          <w:rFonts w:ascii="Arial" w:eastAsia="Times New Roman" w:hAnsi="Arial" w:cs="Arial"/>
          <w:i/>
          <w:color w:val="000000"/>
          <w:sz w:val="22"/>
          <w:szCs w:val="22"/>
          <w:lang w:val="pt-PT" w:eastAsia="pt-BR"/>
        </w:rPr>
        <w:t xml:space="preserve">Remuneração direta </w:t>
      </w:r>
      <w:r w:rsidRPr="00736708">
        <w:rPr>
          <w:rFonts w:ascii="Arial" w:eastAsia="Times New Roman" w:hAnsi="Arial" w:cs="Arial"/>
          <w:color w:val="000000"/>
          <w:sz w:val="22"/>
          <w:szCs w:val="22"/>
          <w:lang w:val="pt-PT" w:eastAsia="pt-BR"/>
        </w:rPr>
        <w:t>- valores relativos a salários, 13º salário, honorários da diretoria, férias, comissões, horas extras, participação de empregados nos resultados, etc.</w:t>
      </w:r>
    </w:p>
    <w:p w14:paraId="7C45CEF0"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i/>
          <w:color w:val="000000"/>
          <w:sz w:val="22"/>
          <w:szCs w:val="22"/>
          <w:lang w:val="pt-PT" w:eastAsia="pt-BR"/>
        </w:rPr>
      </w:pPr>
      <w:r w:rsidRPr="00736708">
        <w:rPr>
          <w:rFonts w:ascii="Arial" w:eastAsia="Times New Roman" w:hAnsi="Arial" w:cs="Arial"/>
          <w:i/>
          <w:color w:val="000000"/>
          <w:sz w:val="22"/>
          <w:szCs w:val="22"/>
          <w:lang w:val="pt-PT" w:eastAsia="pt-BR"/>
        </w:rPr>
        <w:t xml:space="preserve">Benefícios </w:t>
      </w:r>
      <w:r w:rsidRPr="00736708">
        <w:rPr>
          <w:rFonts w:ascii="Arial" w:eastAsia="Times New Roman" w:hAnsi="Arial" w:cs="Arial"/>
          <w:color w:val="000000"/>
          <w:sz w:val="22"/>
          <w:szCs w:val="22"/>
          <w:lang w:val="pt-PT" w:eastAsia="pt-BR"/>
        </w:rPr>
        <w:t>- valores relativos a assistência médica, alimentação, transporte, planos de aposentadoria etc.</w:t>
      </w:r>
    </w:p>
    <w:p w14:paraId="1D20C84C"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FGTS</w:t>
      </w:r>
      <w:r w:rsidRPr="00736708">
        <w:rPr>
          <w:rFonts w:ascii="Arial" w:eastAsia="Times New Roman" w:hAnsi="Arial" w:cs="Arial"/>
          <w:color w:val="000000"/>
          <w:sz w:val="22"/>
          <w:szCs w:val="22"/>
          <w:lang w:val="pt-PT" w:eastAsia="pt-BR"/>
        </w:rPr>
        <w:t xml:space="preserve"> - valores devidos aos empregados e que são depositados em conta vinculada.</w:t>
      </w:r>
    </w:p>
    <w:p w14:paraId="0DB0CFDF" w14:textId="77777777" w:rsidR="00736708" w:rsidRPr="00736708" w:rsidRDefault="00736708" w:rsidP="00736708">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32363B2"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736708">
        <w:rPr>
          <w:rFonts w:ascii="Arial" w:eastAsia="Times New Roman" w:hAnsi="Arial" w:cs="Arial"/>
          <w:color w:val="000000"/>
          <w:sz w:val="22"/>
          <w:szCs w:val="22"/>
          <w:u w:val="single"/>
          <w:lang w:val="pt-PT" w:eastAsia="pt-BR"/>
        </w:rPr>
        <w:t>Impostos, taxas e contribuições</w:t>
      </w:r>
      <w:r w:rsidRPr="00736708">
        <w:rPr>
          <w:rFonts w:ascii="Arial" w:eastAsia="Times New Roman" w:hAnsi="Arial" w:cs="Arial"/>
          <w:color w:val="000000"/>
          <w:sz w:val="22"/>
          <w:szCs w:val="22"/>
          <w:lang w:val="pt-PT" w:eastAsia="pt-BR"/>
        </w:rPr>
        <w:t xml:space="preserve"> - valores relativos ao imposto de renda, contribuição social sobre o lucro, contribuições aos INSS (incluídos aqui os valores do Seguro de Acidentes do Trabalho) que representem ônus do empregador, bem como os demais impostos e contribuições a que a entidade esteja sujeita.</w:t>
      </w:r>
      <w:r w:rsidRPr="00736708">
        <w:rPr>
          <w:rFonts w:ascii="Arial" w:eastAsia="Times New Roman" w:hAnsi="Arial" w:cs="Arial"/>
          <w:color w:val="000000"/>
          <w:sz w:val="22"/>
          <w:szCs w:val="22"/>
          <w:u w:val="single"/>
          <w:lang w:val="pt-PT" w:eastAsia="pt-BR"/>
        </w:rPr>
        <w:t xml:space="preserve"> </w:t>
      </w:r>
    </w:p>
    <w:p w14:paraId="0FB47AA9"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 xml:space="preserve">Federais </w:t>
      </w:r>
      <w:r w:rsidRPr="00736708">
        <w:rPr>
          <w:rFonts w:ascii="Arial" w:eastAsia="Times New Roman" w:hAnsi="Arial" w:cs="Arial"/>
          <w:color w:val="000000"/>
          <w:sz w:val="22"/>
          <w:szCs w:val="22"/>
          <w:lang w:val="pt-PT" w:eastAsia="pt-BR"/>
        </w:rPr>
        <w:t>– inclui os tributos devidos à União, inclusive aqueles que são repassados no todo ou em parte aos Estados, Municípios, Autarquias, etc., tais como: IRPJ, CSSL etc. Inclui também a contribuição sindical patronal.</w:t>
      </w:r>
    </w:p>
    <w:p w14:paraId="19D25474"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 xml:space="preserve">Estaduais </w:t>
      </w:r>
      <w:r w:rsidRPr="00736708">
        <w:rPr>
          <w:rFonts w:ascii="Arial" w:eastAsia="Times New Roman" w:hAnsi="Arial" w:cs="Arial"/>
          <w:color w:val="000000"/>
          <w:sz w:val="22"/>
          <w:szCs w:val="22"/>
          <w:lang w:val="pt-PT" w:eastAsia="pt-BR"/>
        </w:rPr>
        <w:t>– inclui os tributos devidos aos Estados, inclusive aqueles que são repassados no todo ou em parte aos Municípios, Autarquias, etc., tais como o IPVA.</w:t>
      </w:r>
    </w:p>
    <w:p w14:paraId="34FE9C51"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 xml:space="preserve">Municipais </w:t>
      </w:r>
      <w:r w:rsidRPr="00736708">
        <w:rPr>
          <w:rFonts w:ascii="Arial" w:eastAsia="Times New Roman" w:hAnsi="Arial" w:cs="Arial"/>
          <w:color w:val="000000"/>
          <w:sz w:val="22"/>
          <w:szCs w:val="22"/>
          <w:lang w:val="pt-PT" w:eastAsia="pt-BR"/>
        </w:rPr>
        <w:t>– inclui os tributos devidos aos Municípios, inclusive aqueles que são repassados no todo ou em parte a Autarquias ou quaisquer outras entidades, tais como o ISS e o IPTU.</w:t>
      </w:r>
    </w:p>
    <w:p w14:paraId="26BF8F6B" w14:textId="77777777" w:rsidR="00736708" w:rsidRPr="00736708" w:rsidRDefault="00736708" w:rsidP="00736708">
      <w:pPr>
        <w:spacing w:before="0" w:after="0" w:line="240" w:lineRule="auto"/>
        <w:ind w:left="705" w:firstLine="0"/>
        <w:rPr>
          <w:rFonts w:ascii="Arial" w:eastAsia="Times New Roman" w:hAnsi="Arial" w:cs="Arial"/>
          <w:bCs/>
          <w:sz w:val="22"/>
          <w:szCs w:val="22"/>
          <w:lang w:val="pt-PT" w:eastAsia="pt-BR"/>
        </w:rPr>
      </w:pPr>
    </w:p>
    <w:p w14:paraId="1DEDB3FF"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Remuneração de capitais de terceiros</w:t>
      </w:r>
      <w:r w:rsidRPr="00736708">
        <w:rPr>
          <w:rFonts w:ascii="Arial" w:eastAsia="Times New Roman" w:hAnsi="Arial" w:cs="Arial"/>
          <w:color w:val="000000"/>
          <w:sz w:val="22"/>
          <w:szCs w:val="22"/>
          <w:lang w:val="pt-PT" w:eastAsia="pt-BR"/>
        </w:rPr>
        <w:t xml:space="preserve"> - valores pagos ou creditados aos financiadores externos de capital.</w:t>
      </w:r>
    </w:p>
    <w:p w14:paraId="431EF2FC"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 xml:space="preserve">Juros </w:t>
      </w:r>
      <w:r w:rsidRPr="00736708">
        <w:rPr>
          <w:rFonts w:ascii="Arial" w:eastAsia="Times New Roman" w:hAnsi="Arial" w:cs="Arial"/>
          <w:color w:val="000000"/>
          <w:sz w:val="22"/>
          <w:szCs w:val="22"/>
          <w:lang w:val="pt-PT" w:eastAsia="pt-BR"/>
        </w:rPr>
        <w:t>- inclui as despesas financeiras relativas a qualquer tipo de empréstimo e financiamento junto a instituições financeiras, empresas do grupo ou outras formas de obtenção de recursos.  Inclui os valores que tenham sido ativados no período.</w:t>
      </w:r>
    </w:p>
    <w:p w14:paraId="155C93FA"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lastRenderedPageBreak/>
        <w:t xml:space="preserve">Aluguéis </w:t>
      </w:r>
      <w:r w:rsidRPr="00736708">
        <w:rPr>
          <w:rFonts w:ascii="Arial" w:eastAsia="Times New Roman" w:hAnsi="Arial" w:cs="Arial"/>
          <w:color w:val="000000"/>
          <w:sz w:val="22"/>
          <w:szCs w:val="22"/>
          <w:lang w:val="pt-PT" w:eastAsia="pt-BR"/>
        </w:rPr>
        <w:t xml:space="preserve">- inclui os aluguéis (incluindo-se as despesas com </w:t>
      </w:r>
      <w:r w:rsidRPr="00736708">
        <w:rPr>
          <w:rFonts w:ascii="Arial" w:eastAsia="Times New Roman" w:hAnsi="Arial" w:cs="Arial"/>
          <w:i/>
          <w:color w:val="000000"/>
          <w:sz w:val="22"/>
          <w:szCs w:val="22"/>
          <w:lang w:val="pt-PT" w:eastAsia="pt-BR"/>
        </w:rPr>
        <w:t>arrendamento</w:t>
      </w:r>
      <w:r w:rsidRPr="00736708">
        <w:rPr>
          <w:rFonts w:ascii="Arial" w:eastAsia="Times New Roman" w:hAnsi="Arial" w:cs="Arial"/>
          <w:color w:val="000000"/>
          <w:sz w:val="22"/>
          <w:szCs w:val="22"/>
          <w:lang w:val="pt-PT" w:eastAsia="pt-BR"/>
        </w:rPr>
        <w:t xml:space="preserve"> operacional) pagos ou creditados a terceiros, inclusive os acrescidos aos ativos. </w:t>
      </w:r>
    </w:p>
    <w:p w14:paraId="1BA59CEA"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Outras</w:t>
      </w:r>
      <w:r w:rsidRPr="00736708">
        <w:rPr>
          <w:rFonts w:ascii="Arial" w:eastAsia="Times New Roman" w:hAnsi="Arial" w:cs="Arial"/>
          <w:color w:val="000000"/>
          <w:sz w:val="22"/>
          <w:szCs w:val="22"/>
          <w:lang w:val="pt-PT" w:eastAsia="pt-BR"/>
        </w:rPr>
        <w:t xml:space="preserve"> - inclui outras remunerações que configurem transferência de riqueza a terceiros, mesmo que originadas em capital intelectual, tais como </w:t>
      </w:r>
      <w:r w:rsidRPr="00736708">
        <w:rPr>
          <w:rFonts w:ascii="Arial" w:eastAsia="Times New Roman" w:hAnsi="Arial" w:cs="Arial"/>
          <w:i/>
          <w:color w:val="000000"/>
          <w:sz w:val="22"/>
          <w:szCs w:val="22"/>
          <w:lang w:val="pt-PT" w:eastAsia="pt-BR"/>
        </w:rPr>
        <w:t>royalties</w:t>
      </w:r>
      <w:r w:rsidRPr="00736708">
        <w:rPr>
          <w:rFonts w:ascii="Arial" w:eastAsia="Times New Roman" w:hAnsi="Arial" w:cs="Arial"/>
          <w:color w:val="000000"/>
          <w:sz w:val="22"/>
          <w:szCs w:val="22"/>
          <w:lang w:val="pt-PT" w:eastAsia="pt-BR"/>
        </w:rPr>
        <w:t xml:space="preserve">, franquia, direitos autorais, etc. </w:t>
      </w:r>
    </w:p>
    <w:p w14:paraId="6F6EDA99" w14:textId="77777777" w:rsidR="00736708" w:rsidRPr="00736708" w:rsidRDefault="00736708" w:rsidP="00736708">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u w:val="single"/>
          <w:lang w:val="pt-PT" w:eastAsia="pt-BR"/>
        </w:rPr>
        <w:t>Remuneração de capitais próprios</w:t>
      </w:r>
      <w:r w:rsidRPr="00736708">
        <w:rPr>
          <w:rFonts w:ascii="Arial" w:eastAsia="Times New Roman" w:hAnsi="Arial" w:cs="Arial"/>
          <w:color w:val="000000"/>
          <w:sz w:val="22"/>
          <w:szCs w:val="22"/>
          <w:lang w:val="pt-PT" w:eastAsia="pt-BR"/>
        </w:rPr>
        <w:t xml:space="preserve"> - valores relativos à remuneração atribuída aos sócios e acionistas.</w:t>
      </w:r>
    </w:p>
    <w:p w14:paraId="0AC50184"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Juros sobre o capital próprio (JCP) e dividendos</w:t>
      </w:r>
      <w:r w:rsidRPr="00736708">
        <w:rPr>
          <w:rFonts w:ascii="Arial" w:eastAsia="Times New Roman" w:hAnsi="Arial" w:cs="Arial"/>
          <w:color w:val="000000"/>
          <w:sz w:val="22"/>
          <w:szCs w:val="22"/>
          <w:lang w:val="pt-PT" w:eastAsia="pt-BR"/>
        </w:rPr>
        <w:t xml:space="preserve"> - inclui os valores pagos ou creditados aos sócios e acionistas por conta do resultado do período, ressalvando-se os valores dos JCP transferidos para conta de reserva de lucros. Devem ser incluídos apenas os valores distribuídos com base no resultado do próprio exercício, desconsiderando-se os dividendos distribuídos com base em lucros acumulados de exercícios anteriores, uma vez que já foram tratados como “lucros retidos” no exercício em que foram gerados.</w:t>
      </w:r>
    </w:p>
    <w:p w14:paraId="42D7E804"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i/>
          <w:color w:val="000000"/>
          <w:sz w:val="22"/>
          <w:szCs w:val="22"/>
          <w:lang w:val="pt-PT" w:eastAsia="pt-BR"/>
        </w:rPr>
        <w:t xml:space="preserve">Lucros retidos e prejuízos do exercício </w:t>
      </w:r>
      <w:r w:rsidRPr="00736708">
        <w:rPr>
          <w:rFonts w:ascii="Arial" w:eastAsia="Times New Roman" w:hAnsi="Arial" w:cs="Arial"/>
          <w:color w:val="000000"/>
          <w:sz w:val="22"/>
          <w:szCs w:val="22"/>
          <w:lang w:val="pt-PT" w:eastAsia="pt-BR"/>
        </w:rPr>
        <w:t>- inclui os valores relativos ao lucro do exercício destinados às reservas, inclusive os JCP quando tiverem esse tratamento; nos casos de prejuízo, esse valor deve ser incluído com sinal negativo.</w:t>
      </w:r>
    </w:p>
    <w:p w14:paraId="6FECAABB" w14:textId="77777777" w:rsidR="00736708" w:rsidRPr="00736708" w:rsidRDefault="00736708" w:rsidP="00736708">
      <w:pPr>
        <w:widowControl w:val="0"/>
        <w:numPr>
          <w:ilvl w:val="0"/>
          <w:numId w:val="25"/>
        </w:numPr>
        <w:tabs>
          <w:tab w:val="left" w:pos="6804"/>
        </w:tabs>
        <w:spacing w:before="0" w:after="0" w:line="240" w:lineRule="auto"/>
        <w:rPr>
          <w:rFonts w:ascii="Arial" w:eastAsia="Times New Roman" w:hAnsi="Arial" w:cs="Arial"/>
          <w:color w:val="000000"/>
          <w:sz w:val="22"/>
          <w:szCs w:val="22"/>
          <w:lang w:val="pt-PT" w:eastAsia="pt-BR"/>
        </w:rPr>
      </w:pPr>
      <w:r w:rsidRPr="00736708">
        <w:rPr>
          <w:rFonts w:ascii="Arial" w:eastAsia="Times New Roman" w:hAnsi="Arial" w:cs="Arial"/>
          <w:color w:val="000000"/>
          <w:sz w:val="22"/>
          <w:szCs w:val="22"/>
          <w:lang w:val="pt-PT" w:eastAsia="pt-BR"/>
        </w:rPr>
        <w:t>As quantias destinadas aos sócios e acionistas na forma de JCP, independentemente de serem tratadas como passivo (JCP a pagar) ou como reserva de lucros, devem ter o mesmo tratamento dado aos dividendos no que diz respeito ao exercício a que devem ser imputados.</w:t>
      </w:r>
    </w:p>
    <w:p w14:paraId="655EBA7F" w14:textId="77777777" w:rsidR="00736708" w:rsidRPr="00736708" w:rsidRDefault="00736708" w:rsidP="00736708">
      <w:pPr>
        <w:widowControl w:val="0"/>
        <w:autoSpaceDE w:val="0"/>
        <w:autoSpaceDN w:val="0"/>
        <w:adjustRightInd w:val="0"/>
        <w:spacing w:line="240" w:lineRule="auto"/>
        <w:ind w:firstLine="0"/>
        <w:jc w:val="center"/>
        <w:rPr>
          <w:rFonts w:ascii="Times New Roman" w:eastAsia="Times New Roman" w:hAnsi="Times New Roman" w:cs="Times New Roman"/>
          <w:b/>
          <w:sz w:val="20"/>
          <w:szCs w:val="22"/>
          <w:lang w:val="pt-PT" w:eastAsia="pt-BR"/>
        </w:rPr>
      </w:pPr>
    </w:p>
    <w:p w14:paraId="7E258FFF" w14:textId="77777777" w:rsidR="00736708" w:rsidRPr="00736708" w:rsidRDefault="00736708" w:rsidP="00736708">
      <w:pPr>
        <w:widowControl w:val="0"/>
        <w:autoSpaceDE w:val="0"/>
        <w:autoSpaceDN w:val="0"/>
        <w:adjustRightInd w:val="0"/>
        <w:spacing w:line="240" w:lineRule="auto"/>
        <w:ind w:firstLine="0"/>
        <w:jc w:val="center"/>
        <w:rPr>
          <w:rFonts w:ascii="Times New Roman" w:eastAsia="Times New Roman" w:hAnsi="Times New Roman" w:cs="Times New Roman"/>
          <w:b/>
          <w:sz w:val="20"/>
          <w:szCs w:val="22"/>
          <w:lang w:val="pt-PT" w:eastAsia="pt-BR"/>
        </w:rPr>
      </w:pPr>
    </w:p>
    <w:p w14:paraId="02121F21" w14:textId="77777777" w:rsidR="00736708" w:rsidRPr="00736708" w:rsidRDefault="00736708" w:rsidP="00736708">
      <w:pPr>
        <w:widowControl w:val="0"/>
        <w:autoSpaceDE w:val="0"/>
        <w:autoSpaceDN w:val="0"/>
        <w:adjustRightInd w:val="0"/>
        <w:spacing w:line="240" w:lineRule="auto"/>
        <w:ind w:firstLine="0"/>
        <w:jc w:val="center"/>
        <w:rPr>
          <w:rFonts w:ascii="Times New Roman" w:eastAsia="Times New Roman" w:hAnsi="Times New Roman" w:cs="Times New Roman"/>
          <w:b/>
          <w:sz w:val="20"/>
          <w:szCs w:val="22"/>
          <w:lang w:val="pt-PT" w:eastAsia="pt-BR"/>
        </w:rPr>
      </w:pPr>
    </w:p>
    <w:p w14:paraId="10530036" w14:textId="77777777" w:rsidR="00736708" w:rsidRDefault="00736708">
      <w:pPr>
        <w:spacing w:before="0" w:after="200" w:line="276" w:lineRule="auto"/>
        <w:ind w:firstLine="0"/>
        <w:jc w:val="left"/>
        <w:rPr>
          <w:rFonts w:ascii="Times New Roman" w:eastAsia="Times New Roman" w:hAnsi="Times New Roman" w:cs="Times New Roman"/>
          <w:b/>
          <w:sz w:val="20"/>
          <w:szCs w:val="22"/>
          <w:lang w:val="pt-PT" w:eastAsia="pt-BR"/>
        </w:rPr>
      </w:pPr>
      <w:r>
        <w:rPr>
          <w:rFonts w:ascii="Times New Roman" w:eastAsia="Times New Roman" w:hAnsi="Times New Roman" w:cs="Times New Roman"/>
          <w:b/>
          <w:sz w:val="20"/>
          <w:szCs w:val="22"/>
          <w:lang w:val="pt-PT" w:eastAsia="pt-BR"/>
        </w:rPr>
        <w:br w:type="page"/>
      </w:r>
    </w:p>
    <w:p w14:paraId="0C40E146" w14:textId="6021EB76" w:rsidR="00736708" w:rsidRPr="00FC0214" w:rsidRDefault="00736708" w:rsidP="00736708">
      <w:pPr>
        <w:widowControl w:val="0"/>
        <w:autoSpaceDE w:val="0"/>
        <w:autoSpaceDN w:val="0"/>
        <w:adjustRightInd w:val="0"/>
        <w:spacing w:line="240" w:lineRule="auto"/>
        <w:ind w:firstLine="0"/>
        <w:jc w:val="center"/>
        <w:rPr>
          <w:rFonts w:ascii="Times New Roman" w:eastAsia="Times New Roman" w:hAnsi="Times New Roman" w:cs="Times New Roman"/>
          <w:b/>
          <w:lang w:val="pt-PT" w:eastAsia="pt-BR"/>
        </w:rPr>
      </w:pPr>
      <w:r w:rsidRPr="00FC0214">
        <w:rPr>
          <w:rFonts w:ascii="Times New Roman" w:eastAsia="Times New Roman" w:hAnsi="Times New Roman" w:cs="Times New Roman"/>
          <w:b/>
          <w:lang w:val="pt-PT" w:eastAsia="pt-BR"/>
        </w:rPr>
        <w:lastRenderedPageBreak/>
        <w:t>Os modelos a seguir apresentados devem ser entendidos como indicativos, e um maior detalhamento, em nome da maior transparência, poderá ser utilizado.</w:t>
      </w:r>
    </w:p>
    <w:p w14:paraId="300EFB52" w14:textId="77777777" w:rsidR="00736708" w:rsidRPr="00736708" w:rsidRDefault="00736708" w:rsidP="00736708">
      <w:pPr>
        <w:widowControl w:val="0"/>
        <w:autoSpaceDE w:val="0"/>
        <w:autoSpaceDN w:val="0"/>
        <w:adjustRightInd w:val="0"/>
        <w:spacing w:line="240" w:lineRule="auto"/>
        <w:ind w:firstLine="0"/>
        <w:jc w:val="center"/>
        <w:rPr>
          <w:rFonts w:ascii="Times New Roman" w:eastAsia="Times New Roman" w:hAnsi="Times New Roman" w:cs="Times New Roman"/>
          <w:b/>
          <w:lang w:val="pt-PT" w:eastAsia="pt-BR"/>
        </w:rPr>
      </w:pPr>
      <w:r w:rsidRPr="00736708">
        <w:rPr>
          <w:rFonts w:ascii="Times New Roman" w:eastAsia="Times New Roman" w:hAnsi="Times New Roman" w:cs="Times New Roman"/>
          <w:b/>
          <w:lang w:val="pt-PT" w:eastAsia="pt-BR"/>
        </w:rPr>
        <w:t>M O D E L O S</w:t>
      </w:r>
    </w:p>
    <w:p w14:paraId="49CC4ECC" w14:textId="77777777"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r w:rsidRPr="00736708">
        <w:rPr>
          <w:rFonts w:ascii="Times New Roman" w:eastAsia="Times New Roman" w:hAnsi="Times New Roman" w:cs="Times New Roman"/>
          <w:b/>
          <w:lang w:val="pt-PT" w:eastAsia="pt-BR"/>
        </w:rPr>
        <w:t>Modelo I - Demonstração do Valor Adicionado – EMPRESAS EM GERAL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1134"/>
        <w:gridCol w:w="1134"/>
      </w:tblGrid>
      <w:tr w:rsidR="00736708" w:rsidRPr="00736708" w14:paraId="6EC666BF" w14:textId="77777777" w:rsidTr="00A860B9">
        <w:trPr>
          <w:cantSplit/>
          <w:trHeight w:val="345"/>
        </w:trPr>
        <w:tc>
          <w:tcPr>
            <w:tcW w:w="6874" w:type="dxa"/>
            <w:tcBorders>
              <w:top w:val="single" w:sz="4" w:space="0" w:color="auto"/>
              <w:left w:val="single" w:sz="4" w:space="0" w:color="auto"/>
              <w:bottom w:val="single" w:sz="4" w:space="0" w:color="auto"/>
              <w:right w:val="single" w:sz="4" w:space="0" w:color="auto"/>
            </w:tcBorders>
            <w:vAlign w:val="center"/>
          </w:tcPr>
          <w:p w14:paraId="3DF7C6C8" w14:textId="77777777" w:rsidR="00736708" w:rsidRPr="00736708" w:rsidRDefault="00736708" w:rsidP="00736708">
            <w:pPr>
              <w:spacing w:line="240" w:lineRule="auto"/>
              <w:ind w:firstLine="0"/>
              <w:jc w:val="center"/>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DESCRIÇÃO</w:t>
            </w:r>
          </w:p>
        </w:tc>
        <w:tc>
          <w:tcPr>
            <w:tcW w:w="1134" w:type="dxa"/>
          </w:tcPr>
          <w:p w14:paraId="6591C091"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Em milhares de reais</w:t>
            </w:r>
          </w:p>
          <w:p w14:paraId="239579AE"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20X1</w:t>
            </w:r>
          </w:p>
        </w:tc>
        <w:tc>
          <w:tcPr>
            <w:tcW w:w="1134" w:type="dxa"/>
          </w:tcPr>
          <w:p w14:paraId="3869DD7B"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Em milhares de reais</w:t>
            </w:r>
          </w:p>
          <w:p w14:paraId="50628648"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20X0</w:t>
            </w:r>
          </w:p>
        </w:tc>
      </w:tr>
      <w:tr w:rsidR="00736708" w:rsidRPr="00736708" w14:paraId="1CEA4BFD" w14:textId="77777777" w:rsidTr="00A860B9">
        <w:trPr>
          <w:trHeight w:val="345"/>
        </w:trPr>
        <w:tc>
          <w:tcPr>
            <w:tcW w:w="6874" w:type="dxa"/>
            <w:tcBorders>
              <w:top w:val="nil"/>
            </w:tcBorders>
            <w:vAlign w:val="center"/>
          </w:tcPr>
          <w:p w14:paraId="4C60B17C"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1 – RECEITAS</w:t>
            </w:r>
          </w:p>
        </w:tc>
        <w:tc>
          <w:tcPr>
            <w:tcW w:w="1134" w:type="dxa"/>
          </w:tcPr>
          <w:p w14:paraId="3485C4E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ADEB59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833E3F3" w14:textId="77777777" w:rsidTr="00A860B9">
        <w:trPr>
          <w:trHeight w:val="345"/>
        </w:trPr>
        <w:tc>
          <w:tcPr>
            <w:tcW w:w="6874" w:type="dxa"/>
            <w:vAlign w:val="center"/>
          </w:tcPr>
          <w:p w14:paraId="6371D75D"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1.1) Vendas de mercadorias, produtos e serviços</w:t>
            </w:r>
          </w:p>
        </w:tc>
        <w:tc>
          <w:tcPr>
            <w:tcW w:w="1134" w:type="dxa"/>
          </w:tcPr>
          <w:p w14:paraId="215FFC4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A5EF6ED"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FFBDCE3" w14:textId="77777777" w:rsidTr="00A860B9">
        <w:trPr>
          <w:trHeight w:val="345"/>
        </w:trPr>
        <w:tc>
          <w:tcPr>
            <w:tcW w:w="6874" w:type="dxa"/>
            <w:vAlign w:val="center"/>
          </w:tcPr>
          <w:p w14:paraId="69BCB2DF"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1.2) Outras receitas </w:t>
            </w:r>
          </w:p>
        </w:tc>
        <w:tc>
          <w:tcPr>
            <w:tcW w:w="1134" w:type="dxa"/>
          </w:tcPr>
          <w:p w14:paraId="07270DCD"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0491D76"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9AC03D3" w14:textId="77777777" w:rsidTr="00A860B9">
        <w:trPr>
          <w:trHeight w:val="345"/>
        </w:trPr>
        <w:tc>
          <w:tcPr>
            <w:tcW w:w="6874" w:type="dxa"/>
            <w:vAlign w:val="center"/>
          </w:tcPr>
          <w:p w14:paraId="4C55999A"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1.3) Receitas relativas à construção de ativos próprios</w:t>
            </w:r>
          </w:p>
        </w:tc>
        <w:tc>
          <w:tcPr>
            <w:tcW w:w="1134" w:type="dxa"/>
          </w:tcPr>
          <w:p w14:paraId="0AF2867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51C4C6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50C19EB" w14:textId="77777777" w:rsidTr="00A860B9">
        <w:trPr>
          <w:trHeight w:val="345"/>
        </w:trPr>
        <w:tc>
          <w:tcPr>
            <w:tcW w:w="6874" w:type="dxa"/>
            <w:vAlign w:val="center"/>
          </w:tcPr>
          <w:p w14:paraId="571BB1E2"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1.4) Provisão para créditos de liquidação duvidosa – Reversão / (Constituição)</w:t>
            </w:r>
          </w:p>
        </w:tc>
        <w:tc>
          <w:tcPr>
            <w:tcW w:w="1134" w:type="dxa"/>
          </w:tcPr>
          <w:p w14:paraId="5C840B3C"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0AFD85C"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60EFB1B7" w14:textId="77777777" w:rsidTr="00A860B9">
        <w:trPr>
          <w:trHeight w:val="345"/>
        </w:trPr>
        <w:tc>
          <w:tcPr>
            <w:tcW w:w="6874" w:type="dxa"/>
            <w:vAlign w:val="center"/>
          </w:tcPr>
          <w:p w14:paraId="3C4AED57"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 xml:space="preserve">2 - INSUMOS ADQUIRIDOS DE TERCEIROS </w:t>
            </w:r>
          </w:p>
          <w:p w14:paraId="217FF973"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 xml:space="preserve">    (inclui os valores dos impostos – ICMS, IPI, PIS e COFINS)</w:t>
            </w:r>
          </w:p>
        </w:tc>
        <w:tc>
          <w:tcPr>
            <w:tcW w:w="1134" w:type="dxa"/>
          </w:tcPr>
          <w:p w14:paraId="45917842"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8BF60C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8E40BD5" w14:textId="77777777" w:rsidTr="00A860B9">
        <w:trPr>
          <w:trHeight w:val="345"/>
        </w:trPr>
        <w:tc>
          <w:tcPr>
            <w:tcW w:w="6874" w:type="dxa"/>
            <w:vAlign w:val="center"/>
          </w:tcPr>
          <w:p w14:paraId="66819F02"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2.1) Custos dos produtos, das mercadorias e dos serviços vendidos </w:t>
            </w:r>
          </w:p>
        </w:tc>
        <w:tc>
          <w:tcPr>
            <w:tcW w:w="1134" w:type="dxa"/>
          </w:tcPr>
          <w:p w14:paraId="15BDEE4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326B4934"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794F136" w14:textId="77777777" w:rsidTr="00A860B9">
        <w:trPr>
          <w:trHeight w:val="345"/>
        </w:trPr>
        <w:tc>
          <w:tcPr>
            <w:tcW w:w="6874" w:type="dxa"/>
            <w:vAlign w:val="center"/>
          </w:tcPr>
          <w:p w14:paraId="3FA6D035"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2.2) Materiais, energia, serviços de terceiros e outros</w:t>
            </w:r>
          </w:p>
        </w:tc>
        <w:tc>
          <w:tcPr>
            <w:tcW w:w="1134" w:type="dxa"/>
          </w:tcPr>
          <w:p w14:paraId="7D8E5552"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86C235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D987912" w14:textId="77777777" w:rsidTr="00A860B9">
        <w:trPr>
          <w:trHeight w:val="345"/>
        </w:trPr>
        <w:tc>
          <w:tcPr>
            <w:tcW w:w="6874" w:type="dxa"/>
            <w:vAlign w:val="center"/>
          </w:tcPr>
          <w:p w14:paraId="37F68354"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2.3) Perda / Recuperação de valores ativos</w:t>
            </w:r>
          </w:p>
        </w:tc>
        <w:tc>
          <w:tcPr>
            <w:tcW w:w="1134" w:type="dxa"/>
          </w:tcPr>
          <w:p w14:paraId="0718F7C6"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3E61AA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8A99002" w14:textId="77777777" w:rsidTr="00A860B9">
        <w:trPr>
          <w:trHeight w:val="345"/>
        </w:trPr>
        <w:tc>
          <w:tcPr>
            <w:tcW w:w="6874" w:type="dxa"/>
            <w:vAlign w:val="center"/>
          </w:tcPr>
          <w:p w14:paraId="2D694E34"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2.4) Outras (especificar)</w:t>
            </w:r>
          </w:p>
        </w:tc>
        <w:tc>
          <w:tcPr>
            <w:tcW w:w="1134" w:type="dxa"/>
          </w:tcPr>
          <w:p w14:paraId="3BE9F03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8B23BB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19353EC2" w14:textId="77777777" w:rsidTr="00A860B9">
        <w:trPr>
          <w:trHeight w:val="345"/>
        </w:trPr>
        <w:tc>
          <w:tcPr>
            <w:tcW w:w="6874" w:type="dxa"/>
            <w:vAlign w:val="center"/>
          </w:tcPr>
          <w:p w14:paraId="6C065CDD"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3 - VALOR ADICIONADO BRUTO (1-2)</w:t>
            </w:r>
          </w:p>
        </w:tc>
        <w:tc>
          <w:tcPr>
            <w:tcW w:w="1134" w:type="dxa"/>
          </w:tcPr>
          <w:p w14:paraId="4B2576B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747D14C"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38CD8FC" w14:textId="77777777" w:rsidTr="00A860B9">
        <w:trPr>
          <w:trHeight w:val="345"/>
        </w:trPr>
        <w:tc>
          <w:tcPr>
            <w:tcW w:w="6874" w:type="dxa"/>
            <w:vAlign w:val="center"/>
          </w:tcPr>
          <w:p w14:paraId="2AB54C8E"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4 - DEPRECIAÇÃO, AMORTIZAÇÃO E EXAUSTÃO</w:t>
            </w:r>
          </w:p>
        </w:tc>
        <w:tc>
          <w:tcPr>
            <w:tcW w:w="1134" w:type="dxa"/>
          </w:tcPr>
          <w:p w14:paraId="0846A04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87FA294"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2066592" w14:textId="77777777" w:rsidTr="00A860B9">
        <w:trPr>
          <w:trHeight w:val="345"/>
        </w:trPr>
        <w:tc>
          <w:tcPr>
            <w:tcW w:w="6874" w:type="dxa"/>
            <w:vAlign w:val="center"/>
          </w:tcPr>
          <w:p w14:paraId="7D6D37D9"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 xml:space="preserve">5 - </w:t>
            </w:r>
            <w:r w:rsidRPr="00736708">
              <w:rPr>
                <w:rFonts w:ascii="Times New Roman" w:eastAsia="Times New Roman" w:hAnsi="Times New Roman" w:cs="Times New Roman"/>
                <w:b/>
                <w:sz w:val="20"/>
                <w:szCs w:val="20"/>
                <w:lang w:val="pt-PT" w:eastAsia="pt-BR"/>
              </w:rPr>
              <w:t>VALOR ADICIONADO LÍQUIDO PRODUZIDO PELA ENTIDADE (3-4)</w:t>
            </w:r>
          </w:p>
        </w:tc>
        <w:tc>
          <w:tcPr>
            <w:tcW w:w="1134" w:type="dxa"/>
          </w:tcPr>
          <w:p w14:paraId="62048D3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3AA944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DA23736" w14:textId="77777777" w:rsidTr="00A860B9">
        <w:trPr>
          <w:trHeight w:val="345"/>
        </w:trPr>
        <w:tc>
          <w:tcPr>
            <w:tcW w:w="6874" w:type="dxa"/>
            <w:vAlign w:val="center"/>
          </w:tcPr>
          <w:p w14:paraId="6A73515A"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6 - VALOR ADICIONADO RECEBIDO EM TRANSFERÊNCIA</w:t>
            </w:r>
          </w:p>
        </w:tc>
        <w:tc>
          <w:tcPr>
            <w:tcW w:w="1134" w:type="dxa"/>
          </w:tcPr>
          <w:p w14:paraId="6504D63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599F03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FCBC0F9" w14:textId="77777777" w:rsidTr="00A860B9">
        <w:trPr>
          <w:trHeight w:val="345"/>
        </w:trPr>
        <w:tc>
          <w:tcPr>
            <w:tcW w:w="6874" w:type="dxa"/>
            <w:vAlign w:val="center"/>
          </w:tcPr>
          <w:p w14:paraId="532D17C4"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6.1) Resultado de equivalência patrimonial</w:t>
            </w:r>
          </w:p>
        </w:tc>
        <w:tc>
          <w:tcPr>
            <w:tcW w:w="1134" w:type="dxa"/>
          </w:tcPr>
          <w:p w14:paraId="03F58B8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DF58A6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8DD2BE9" w14:textId="77777777" w:rsidTr="00A860B9">
        <w:trPr>
          <w:trHeight w:val="345"/>
        </w:trPr>
        <w:tc>
          <w:tcPr>
            <w:tcW w:w="6874" w:type="dxa"/>
            <w:vAlign w:val="center"/>
          </w:tcPr>
          <w:p w14:paraId="56B700C6"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6.2) Receitas financeiras</w:t>
            </w:r>
          </w:p>
        </w:tc>
        <w:tc>
          <w:tcPr>
            <w:tcW w:w="1134" w:type="dxa"/>
          </w:tcPr>
          <w:p w14:paraId="45A5907C"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BA4B5B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1FE3E877" w14:textId="77777777" w:rsidTr="00A860B9">
        <w:trPr>
          <w:trHeight w:val="345"/>
        </w:trPr>
        <w:tc>
          <w:tcPr>
            <w:tcW w:w="6874" w:type="dxa"/>
            <w:vAlign w:val="center"/>
          </w:tcPr>
          <w:p w14:paraId="57EA8D71"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6.3) Outras</w:t>
            </w:r>
          </w:p>
        </w:tc>
        <w:tc>
          <w:tcPr>
            <w:tcW w:w="1134" w:type="dxa"/>
          </w:tcPr>
          <w:p w14:paraId="5C41155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47DDB7E0"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C3C9FAC" w14:textId="77777777" w:rsidTr="00A860B9">
        <w:trPr>
          <w:trHeight w:val="345"/>
        </w:trPr>
        <w:tc>
          <w:tcPr>
            <w:tcW w:w="6874" w:type="dxa"/>
            <w:vAlign w:val="center"/>
          </w:tcPr>
          <w:p w14:paraId="0559D9C7"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7 - VALOR ADICIONADO TOTAL A DISTRIBUIR (5+6)</w:t>
            </w:r>
          </w:p>
        </w:tc>
        <w:tc>
          <w:tcPr>
            <w:tcW w:w="1134" w:type="dxa"/>
          </w:tcPr>
          <w:p w14:paraId="630451C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37C218C2"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39EE2F3" w14:textId="77777777" w:rsidTr="00A860B9">
        <w:trPr>
          <w:trHeight w:val="345"/>
        </w:trPr>
        <w:tc>
          <w:tcPr>
            <w:tcW w:w="6874" w:type="dxa"/>
            <w:vAlign w:val="center"/>
          </w:tcPr>
          <w:p w14:paraId="2CC6511E"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lastRenderedPageBreak/>
              <w:t>8 - DISTRIBUIÇÃO DO VALOR ADICIONADO (*)</w:t>
            </w:r>
          </w:p>
        </w:tc>
        <w:tc>
          <w:tcPr>
            <w:tcW w:w="1134" w:type="dxa"/>
          </w:tcPr>
          <w:p w14:paraId="4F22B840"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2034C9D"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31ECC856" w14:textId="77777777" w:rsidTr="00A860B9">
        <w:trPr>
          <w:trHeight w:val="345"/>
        </w:trPr>
        <w:tc>
          <w:tcPr>
            <w:tcW w:w="6874" w:type="dxa"/>
            <w:vAlign w:val="center"/>
          </w:tcPr>
          <w:p w14:paraId="11755BCD"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8.1) Pessoal </w:t>
            </w:r>
          </w:p>
        </w:tc>
        <w:tc>
          <w:tcPr>
            <w:tcW w:w="1134" w:type="dxa"/>
          </w:tcPr>
          <w:p w14:paraId="5E4F719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8C53E1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6098A6BE" w14:textId="77777777" w:rsidTr="00A860B9">
        <w:trPr>
          <w:trHeight w:val="345"/>
        </w:trPr>
        <w:tc>
          <w:tcPr>
            <w:tcW w:w="6874" w:type="dxa"/>
            <w:vAlign w:val="center"/>
          </w:tcPr>
          <w:p w14:paraId="63CE5100"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8.1.1 – Remuneração direta</w:t>
            </w:r>
          </w:p>
        </w:tc>
        <w:tc>
          <w:tcPr>
            <w:tcW w:w="1134" w:type="dxa"/>
          </w:tcPr>
          <w:p w14:paraId="7D064AF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57690A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18141350" w14:textId="77777777" w:rsidTr="00A860B9">
        <w:trPr>
          <w:trHeight w:val="345"/>
        </w:trPr>
        <w:tc>
          <w:tcPr>
            <w:tcW w:w="6874" w:type="dxa"/>
            <w:vAlign w:val="center"/>
          </w:tcPr>
          <w:p w14:paraId="5B41B0E5"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8.1.2 – Benefícios</w:t>
            </w:r>
          </w:p>
        </w:tc>
        <w:tc>
          <w:tcPr>
            <w:tcW w:w="1134" w:type="dxa"/>
          </w:tcPr>
          <w:p w14:paraId="022C344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4DE87F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1619E88" w14:textId="77777777" w:rsidTr="00A860B9">
        <w:trPr>
          <w:trHeight w:val="345"/>
        </w:trPr>
        <w:tc>
          <w:tcPr>
            <w:tcW w:w="6874" w:type="dxa"/>
            <w:vAlign w:val="center"/>
          </w:tcPr>
          <w:p w14:paraId="5535AE2A"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8.1.3 – F.G.T.S</w:t>
            </w:r>
          </w:p>
        </w:tc>
        <w:tc>
          <w:tcPr>
            <w:tcW w:w="1134" w:type="dxa"/>
          </w:tcPr>
          <w:p w14:paraId="076773C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6D0553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C973081" w14:textId="77777777" w:rsidTr="00A860B9">
        <w:trPr>
          <w:trHeight w:val="345"/>
        </w:trPr>
        <w:tc>
          <w:tcPr>
            <w:tcW w:w="6874" w:type="dxa"/>
            <w:vAlign w:val="center"/>
          </w:tcPr>
          <w:p w14:paraId="390B9DCD"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8.2) Impostos, taxas e contribuições</w:t>
            </w:r>
          </w:p>
        </w:tc>
        <w:tc>
          <w:tcPr>
            <w:tcW w:w="1134" w:type="dxa"/>
          </w:tcPr>
          <w:p w14:paraId="0DB1858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E5BA35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EEE6684" w14:textId="77777777" w:rsidTr="00A860B9">
        <w:trPr>
          <w:trHeight w:val="345"/>
        </w:trPr>
        <w:tc>
          <w:tcPr>
            <w:tcW w:w="6874" w:type="dxa"/>
            <w:vAlign w:val="center"/>
          </w:tcPr>
          <w:p w14:paraId="5F2C994E"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8.2.1 – Federais</w:t>
            </w:r>
          </w:p>
        </w:tc>
        <w:tc>
          <w:tcPr>
            <w:tcW w:w="1134" w:type="dxa"/>
          </w:tcPr>
          <w:p w14:paraId="4D023A60"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9864412"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F2FDB85" w14:textId="77777777" w:rsidTr="00A860B9">
        <w:trPr>
          <w:trHeight w:val="345"/>
        </w:trPr>
        <w:tc>
          <w:tcPr>
            <w:tcW w:w="6874" w:type="dxa"/>
            <w:vAlign w:val="center"/>
          </w:tcPr>
          <w:p w14:paraId="7ADFB914"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8.2.2 – Estaduais</w:t>
            </w:r>
          </w:p>
        </w:tc>
        <w:tc>
          <w:tcPr>
            <w:tcW w:w="1134" w:type="dxa"/>
          </w:tcPr>
          <w:p w14:paraId="73CC406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DCEBCD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2A117F3" w14:textId="77777777" w:rsidTr="00A860B9">
        <w:trPr>
          <w:trHeight w:val="345"/>
        </w:trPr>
        <w:tc>
          <w:tcPr>
            <w:tcW w:w="6874" w:type="dxa"/>
            <w:vAlign w:val="center"/>
          </w:tcPr>
          <w:p w14:paraId="6A0585E9"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8.2.3 – Municipais</w:t>
            </w:r>
          </w:p>
        </w:tc>
        <w:tc>
          <w:tcPr>
            <w:tcW w:w="1134" w:type="dxa"/>
          </w:tcPr>
          <w:p w14:paraId="70EF1A9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FDB7EED"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CD19A99" w14:textId="77777777" w:rsidTr="00A860B9">
        <w:trPr>
          <w:trHeight w:val="345"/>
        </w:trPr>
        <w:tc>
          <w:tcPr>
            <w:tcW w:w="6874" w:type="dxa"/>
            <w:vAlign w:val="center"/>
          </w:tcPr>
          <w:p w14:paraId="3920948D"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8.3) Remuneração de capitais de terceiros</w:t>
            </w:r>
          </w:p>
        </w:tc>
        <w:tc>
          <w:tcPr>
            <w:tcW w:w="1134" w:type="dxa"/>
          </w:tcPr>
          <w:p w14:paraId="31EFC5C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6844ED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0154D14" w14:textId="77777777" w:rsidTr="00A860B9">
        <w:trPr>
          <w:trHeight w:val="345"/>
        </w:trPr>
        <w:tc>
          <w:tcPr>
            <w:tcW w:w="6874" w:type="dxa"/>
            <w:vAlign w:val="center"/>
          </w:tcPr>
          <w:p w14:paraId="0024A92A"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8.3.1 – Juros </w:t>
            </w:r>
          </w:p>
        </w:tc>
        <w:tc>
          <w:tcPr>
            <w:tcW w:w="1134" w:type="dxa"/>
          </w:tcPr>
          <w:p w14:paraId="197A71F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9731C6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666FEE4C" w14:textId="77777777" w:rsidTr="00A860B9">
        <w:trPr>
          <w:trHeight w:val="345"/>
        </w:trPr>
        <w:tc>
          <w:tcPr>
            <w:tcW w:w="6874" w:type="dxa"/>
            <w:vAlign w:val="center"/>
          </w:tcPr>
          <w:p w14:paraId="6C3AC3FF"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8.3.2 – Aluguéis </w:t>
            </w:r>
          </w:p>
        </w:tc>
        <w:tc>
          <w:tcPr>
            <w:tcW w:w="1134" w:type="dxa"/>
          </w:tcPr>
          <w:p w14:paraId="257E07D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EFFCD32"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1D9CA8F1" w14:textId="77777777" w:rsidTr="00A860B9">
        <w:trPr>
          <w:trHeight w:val="345"/>
        </w:trPr>
        <w:tc>
          <w:tcPr>
            <w:tcW w:w="6874" w:type="dxa"/>
            <w:vAlign w:val="center"/>
          </w:tcPr>
          <w:p w14:paraId="6F15D29E"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8.3.3 – Outras</w:t>
            </w:r>
          </w:p>
        </w:tc>
        <w:tc>
          <w:tcPr>
            <w:tcW w:w="1134" w:type="dxa"/>
          </w:tcPr>
          <w:p w14:paraId="333DDEA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7936BD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7DDE8BD" w14:textId="77777777" w:rsidTr="00A860B9">
        <w:trPr>
          <w:trHeight w:val="345"/>
        </w:trPr>
        <w:tc>
          <w:tcPr>
            <w:tcW w:w="6874" w:type="dxa"/>
            <w:vAlign w:val="center"/>
          </w:tcPr>
          <w:p w14:paraId="1E09E1DF"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8.4) Remuneração de Capitais Próprios</w:t>
            </w:r>
          </w:p>
        </w:tc>
        <w:tc>
          <w:tcPr>
            <w:tcW w:w="1134" w:type="dxa"/>
          </w:tcPr>
          <w:p w14:paraId="7C2AE3F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477ED7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1D159039" w14:textId="77777777" w:rsidTr="00A860B9">
        <w:trPr>
          <w:trHeight w:val="345"/>
        </w:trPr>
        <w:tc>
          <w:tcPr>
            <w:tcW w:w="6874" w:type="dxa"/>
            <w:vAlign w:val="center"/>
          </w:tcPr>
          <w:p w14:paraId="773673D2"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8.4.1 – Juros sobre o Capital Próprio</w:t>
            </w:r>
          </w:p>
        </w:tc>
        <w:tc>
          <w:tcPr>
            <w:tcW w:w="1134" w:type="dxa"/>
          </w:tcPr>
          <w:p w14:paraId="7F06455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E9ECC6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AD541DF" w14:textId="77777777" w:rsidTr="00A860B9">
        <w:trPr>
          <w:trHeight w:val="345"/>
        </w:trPr>
        <w:tc>
          <w:tcPr>
            <w:tcW w:w="6874" w:type="dxa"/>
            <w:vAlign w:val="center"/>
          </w:tcPr>
          <w:p w14:paraId="5F4AA2A3"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8.4.2 – Dividendos </w:t>
            </w:r>
          </w:p>
        </w:tc>
        <w:tc>
          <w:tcPr>
            <w:tcW w:w="1134" w:type="dxa"/>
          </w:tcPr>
          <w:p w14:paraId="4D4E2F7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4B7ECEED"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725C044" w14:textId="77777777" w:rsidTr="00A860B9">
        <w:trPr>
          <w:trHeight w:val="345"/>
        </w:trPr>
        <w:tc>
          <w:tcPr>
            <w:tcW w:w="6874" w:type="dxa"/>
            <w:vAlign w:val="center"/>
          </w:tcPr>
          <w:p w14:paraId="424CF7CE"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8.4.3 – Lucros retidos / Prejuízo do exercício</w:t>
            </w:r>
          </w:p>
        </w:tc>
        <w:tc>
          <w:tcPr>
            <w:tcW w:w="1134" w:type="dxa"/>
          </w:tcPr>
          <w:p w14:paraId="1DCB73F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12D050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3E1E4E8" w14:textId="77777777" w:rsidTr="00A860B9">
        <w:trPr>
          <w:trHeight w:val="345"/>
        </w:trPr>
        <w:tc>
          <w:tcPr>
            <w:tcW w:w="6874" w:type="dxa"/>
            <w:vAlign w:val="center"/>
          </w:tcPr>
          <w:p w14:paraId="5E4DE6CA"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18"/>
                <w:szCs w:val="18"/>
                <w:lang w:val="pt-PT" w:eastAsia="pt-BR"/>
              </w:rPr>
              <w:t xml:space="preserve">8.4.4 – </w:t>
            </w:r>
            <w:r w:rsidRPr="00736708">
              <w:rPr>
                <w:rFonts w:ascii="Times New Roman" w:eastAsia="Times New Roman" w:hAnsi="Times New Roman" w:cs="Times New Roman"/>
                <w:sz w:val="20"/>
                <w:szCs w:val="20"/>
                <w:lang w:val="pt-PT" w:eastAsia="pt-BR"/>
              </w:rPr>
              <w:t>Participação dos não-controladores nos lucros retidos (só p/ consolidação)</w:t>
            </w:r>
          </w:p>
        </w:tc>
        <w:tc>
          <w:tcPr>
            <w:tcW w:w="1134" w:type="dxa"/>
          </w:tcPr>
          <w:p w14:paraId="6D9BB76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9D823CB"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bl>
    <w:p w14:paraId="4C178108" w14:textId="77777777"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r w:rsidRPr="00736708">
        <w:rPr>
          <w:rFonts w:ascii="Times New Roman" w:eastAsia="Times New Roman" w:hAnsi="Times New Roman" w:cs="Times New Roman"/>
          <w:b/>
          <w:lang w:val="pt-PT" w:eastAsia="pt-BR"/>
        </w:rPr>
        <w:t>(*) O total do item 8 deve ser exatamente igual ao item 7.</w:t>
      </w:r>
    </w:p>
    <w:p w14:paraId="3CBDE733" w14:textId="77777777"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p>
    <w:p w14:paraId="5C5B5A74" w14:textId="77777777"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p>
    <w:p w14:paraId="37AA068F" w14:textId="77777777" w:rsidR="00736708" w:rsidRPr="00736708" w:rsidRDefault="00736708" w:rsidP="00736708">
      <w:pPr>
        <w:spacing w:line="240" w:lineRule="auto"/>
        <w:ind w:firstLine="0"/>
        <w:jc w:val="center"/>
        <w:rPr>
          <w:rFonts w:ascii="Arial" w:eastAsia="Times New Roman" w:hAnsi="Arial" w:cs="Times New Roman"/>
          <w:b/>
          <w:sz w:val="6"/>
          <w:lang w:val="pt-PT" w:eastAsia="pt-BR"/>
        </w:rPr>
      </w:pPr>
    </w:p>
    <w:p w14:paraId="10CA5D71" w14:textId="77777777" w:rsidR="00736708" w:rsidRPr="00736708" w:rsidRDefault="00736708" w:rsidP="00736708">
      <w:pPr>
        <w:spacing w:line="240" w:lineRule="auto"/>
        <w:ind w:firstLine="0"/>
        <w:rPr>
          <w:rFonts w:ascii="Arial" w:eastAsia="Times New Roman" w:hAnsi="Arial" w:cs="Times New Roman"/>
          <w:sz w:val="6"/>
          <w:lang w:val="pt-PT" w:eastAsia="pt-BR"/>
        </w:rPr>
      </w:pPr>
    </w:p>
    <w:p w14:paraId="20F95D3C" w14:textId="77777777" w:rsidR="00736708" w:rsidRDefault="00736708">
      <w:pPr>
        <w:spacing w:before="0" w:after="200" w:line="276" w:lineRule="auto"/>
        <w:ind w:firstLine="0"/>
        <w:jc w:val="left"/>
        <w:rPr>
          <w:rFonts w:ascii="Times New Roman" w:eastAsia="Times New Roman" w:hAnsi="Times New Roman" w:cs="Times New Roman"/>
          <w:b/>
          <w:lang w:val="pt-PT" w:eastAsia="pt-BR"/>
        </w:rPr>
      </w:pPr>
      <w:r>
        <w:rPr>
          <w:rFonts w:ascii="Times New Roman" w:eastAsia="Times New Roman" w:hAnsi="Times New Roman" w:cs="Times New Roman"/>
          <w:b/>
          <w:lang w:val="pt-PT" w:eastAsia="pt-BR"/>
        </w:rPr>
        <w:br w:type="page"/>
      </w:r>
    </w:p>
    <w:p w14:paraId="3E6F6216" w14:textId="5B3BD223"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r w:rsidRPr="00736708">
        <w:rPr>
          <w:rFonts w:ascii="Times New Roman" w:eastAsia="Times New Roman" w:hAnsi="Times New Roman" w:cs="Times New Roman"/>
          <w:b/>
          <w:lang w:val="pt-PT" w:eastAsia="pt-BR"/>
        </w:rPr>
        <w:lastRenderedPageBreak/>
        <w:t>Modelo II - Demonstração do Valor Adicionado - Instituições Financeiras Bancárias</w:t>
      </w:r>
    </w:p>
    <w:p w14:paraId="5212BC02" w14:textId="77777777" w:rsidR="00736708" w:rsidRPr="00736708" w:rsidRDefault="00736708" w:rsidP="00736708">
      <w:pPr>
        <w:spacing w:line="240" w:lineRule="auto"/>
        <w:ind w:firstLine="0"/>
        <w:rPr>
          <w:rFonts w:ascii="Arial" w:eastAsia="Times New Roman" w:hAnsi="Arial" w:cs="Times New Roman"/>
          <w:sz w:val="6"/>
          <w:lang w:val="pt-PT"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1134"/>
        <w:gridCol w:w="1134"/>
      </w:tblGrid>
      <w:tr w:rsidR="00736708" w:rsidRPr="00736708" w14:paraId="3A51F60F" w14:textId="77777777" w:rsidTr="00A860B9">
        <w:trPr>
          <w:trHeight w:val="345"/>
        </w:trPr>
        <w:tc>
          <w:tcPr>
            <w:tcW w:w="6874" w:type="dxa"/>
            <w:tcBorders>
              <w:top w:val="single" w:sz="4" w:space="0" w:color="auto"/>
              <w:left w:val="single" w:sz="4" w:space="0" w:color="auto"/>
              <w:bottom w:val="single" w:sz="4" w:space="0" w:color="auto"/>
              <w:right w:val="single" w:sz="4" w:space="0" w:color="auto"/>
            </w:tcBorders>
            <w:vAlign w:val="center"/>
          </w:tcPr>
          <w:p w14:paraId="33C386A6" w14:textId="77777777" w:rsidR="00736708" w:rsidRPr="00736708" w:rsidRDefault="00736708" w:rsidP="00736708">
            <w:pPr>
              <w:spacing w:line="240" w:lineRule="auto"/>
              <w:ind w:firstLine="0"/>
              <w:jc w:val="center"/>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DESCRIÇÃO</w:t>
            </w:r>
          </w:p>
        </w:tc>
        <w:tc>
          <w:tcPr>
            <w:tcW w:w="1134" w:type="dxa"/>
            <w:tcBorders>
              <w:left w:val="nil"/>
            </w:tcBorders>
            <w:vAlign w:val="center"/>
          </w:tcPr>
          <w:p w14:paraId="6F1153B0"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Em milhares de reais</w:t>
            </w:r>
          </w:p>
          <w:p w14:paraId="06C4686C"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20X1</w:t>
            </w:r>
          </w:p>
        </w:tc>
        <w:tc>
          <w:tcPr>
            <w:tcW w:w="1134" w:type="dxa"/>
            <w:tcBorders>
              <w:left w:val="nil"/>
            </w:tcBorders>
          </w:tcPr>
          <w:p w14:paraId="37E6B6D9"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Em milhares de reais</w:t>
            </w:r>
          </w:p>
          <w:p w14:paraId="290184D7" w14:textId="77777777" w:rsidR="00736708" w:rsidRPr="00736708" w:rsidRDefault="00736708" w:rsidP="00736708">
            <w:pPr>
              <w:spacing w:line="240" w:lineRule="auto"/>
              <w:ind w:firstLine="0"/>
              <w:jc w:val="center"/>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20X0</w:t>
            </w:r>
          </w:p>
        </w:tc>
      </w:tr>
      <w:tr w:rsidR="00736708" w:rsidRPr="00736708" w14:paraId="27C00CEA" w14:textId="77777777" w:rsidTr="00A860B9">
        <w:trPr>
          <w:trHeight w:val="345"/>
        </w:trPr>
        <w:tc>
          <w:tcPr>
            <w:tcW w:w="6874" w:type="dxa"/>
            <w:tcBorders>
              <w:top w:val="nil"/>
            </w:tcBorders>
            <w:vAlign w:val="center"/>
          </w:tcPr>
          <w:p w14:paraId="75598200"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1 – RECEITAS</w:t>
            </w:r>
          </w:p>
        </w:tc>
        <w:tc>
          <w:tcPr>
            <w:tcW w:w="1134" w:type="dxa"/>
            <w:vAlign w:val="center"/>
          </w:tcPr>
          <w:p w14:paraId="05DD311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11AFFE6B"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B3EA763" w14:textId="77777777" w:rsidTr="00A860B9">
        <w:trPr>
          <w:trHeight w:val="345"/>
        </w:trPr>
        <w:tc>
          <w:tcPr>
            <w:tcW w:w="6874" w:type="dxa"/>
            <w:vAlign w:val="center"/>
          </w:tcPr>
          <w:p w14:paraId="0DBC2FC6"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1.1) Intermediação Financeira</w:t>
            </w:r>
          </w:p>
        </w:tc>
        <w:tc>
          <w:tcPr>
            <w:tcW w:w="1134" w:type="dxa"/>
            <w:vAlign w:val="center"/>
          </w:tcPr>
          <w:p w14:paraId="07816C5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0B25FBE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2E2E7F7" w14:textId="77777777" w:rsidTr="00A860B9">
        <w:trPr>
          <w:trHeight w:val="345"/>
        </w:trPr>
        <w:tc>
          <w:tcPr>
            <w:tcW w:w="6874" w:type="dxa"/>
            <w:vAlign w:val="center"/>
          </w:tcPr>
          <w:p w14:paraId="3DA85735"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1.2) Prestação de Serviços</w:t>
            </w:r>
          </w:p>
        </w:tc>
        <w:tc>
          <w:tcPr>
            <w:tcW w:w="1134" w:type="dxa"/>
            <w:vAlign w:val="center"/>
          </w:tcPr>
          <w:p w14:paraId="7E2668B6"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228C13D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35759D84" w14:textId="77777777" w:rsidTr="00A860B9">
        <w:trPr>
          <w:trHeight w:val="345"/>
        </w:trPr>
        <w:tc>
          <w:tcPr>
            <w:tcW w:w="6874" w:type="dxa"/>
            <w:vAlign w:val="center"/>
          </w:tcPr>
          <w:p w14:paraId="05E9D10A"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1.3) Provisão para créditos de liquidação duvidosa – Reversão / (Constituição)</w:t>
            </w:r>
          </w:p>
        </w:tc>
        <w:tc>
          <w:tcPr>
            <w:tcW w:w="1134" w:type="dxa"/>
            <w:vAlign w:val="center"/>
          </w:tcPr>
          <w:p w14:paraId="76052C1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3F798F2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532924D" w14:textId="77777777" w:rsidTr="00A860B9">
        <w:trPr>
          <w:trHeight w:val="345"/>
        </w:trPr>
        <w:tc>
          <w:tcPr>
            <w:tcW w:w="6874" w:type="dxa"/>
            <w:vAlign w:val="center"/>
          </w:tcPr>
          <w:p w14:paraId="7C289C54"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1.4) Outras</w:t>
            </w:r>
          </w:p>
        </w:tc>
        <w:tc>
          <w:tcPr>
            <w:tcW w:w="1134" w:type="dxa"/>
            <w:vAlign w:val="center"/>
          </w:tcPr>
          <w:p w14:paraId="3D02386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1939B07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300FB9CF" w14:textId="77777777" w:rsidTr="00A860B9">
        <w:trPr>
          <w:trHeight w:val="345"/>
        </w:trPr>
        <w:tc>
          <w:tcPr>
            <w:tcW w:w="6874" w:type="dxa"/>
            <w:vAlign w:val="center"/>
          </w:tcPr>
          <w:p w14:paraId="1023771B"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2 – DESPESAS DE INTERMEDIAÇÃO FINANCEIRA</w:t>
            </w:r>
          </w:p>
        </w:tc>
        <w:tc>
          <w:tcPr>
            <w:tcW w:w="1134" w:type="dxa"/>
            <w:vAlign w:val="center"/>
          </w:tcPr>
          <w:p w14:paraId="3B9D063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12039FA2"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F5321EF" w14:textId="77777777" w:rsidTr="00A860B9">
        <w:trPr>
          <w:trHeight w:val="345"/>
        </w:trPr>
        <w:tc>
          <w:tcPr>
            <w:tcW w:w="6874" w:type="dxa"/>
            <w:vAlign w:val="center"/>
          </w:tcPr>
          <w:p w14:paraId="6657F744"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 xml:space="preserve">3 - INSUMOS ADQUIRIDOS DE TERCEIROS </w:t>
            </w:r>
          </w:p>
        </w:tc>
        <w:tc>
          <w:tcPr>
            <w:tcW w:w="1134" w:type="dxa"/>
            <w:vAlign w:val="center"/>
          </w:tcPr>
          <w:p w14:paraId="57B5C6F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739ED4B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4D585C0" w14:textId="77777777" w:rsidTr="00A860B9">
        <w:trPr>
          <w:trHeight w:val="345"/>
        </w:trPr>
        <w:tc>
          <w:tcPr>
            <w:tcW w:w="6874" w:type="dxa"/>
            <w:vAlign w:val="center"/>
          </w:tcPr>
          <w:p w14:paraId="2349A32B"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3.1) Materiais, energia e outros</w:t>
            </w:r>
          </w:p>
        </w:tc>
        <w:tc>
          <w:tcPr>
            <w:tcW w:w="1134" w:type="dxa"/>
            <w:vAlign w:val="center"/>
          </w:tcPr>
          <w:p w14:paraId="5B057E30"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7CC6E1E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F5246DB" w14:textId="77777777" w:rsidTr="00A860B9">
        <w:trPr>
          <w:trHeight w:val="345"/>
        </w:trPr>
        <w:tc>
          <w:tcPr>
            <w:tcW w:w="6874" w:type="dxa"/>
            <w:vAlign w:val="center"/>
          </w:tcPr>
          <w:p w14:paraId="3E791C59"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3.2) Serviços de terceiros</w:t>
            </w:r>
          </w:p>
        </w:tc>
        <w:tc>
          <w:tcPr>
            <w:tcW w:w="1134" w:type="dxa"/>
            <w:vAlign w:val="center"/>
          </w:tcPr>
          <w:p w14:paraId="4741571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30B65E74"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D749DE8" w14:textId="77777777" w:rsidTr="00A860B9">
        <w:trPr>
          <w:trHeight w:val="345"/>
        </w:trPr>
        <w:tc>
          <w:tcPr>
            <w:tcW w:w="6874" w:type="dxa"/>
            <w:vAlign w:val="center"/>
          </w:tcPr>
          <w:p w14:paraId="72751AAB"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3.3) Perda / Recuperação de valores ativos</w:t>
            </w:r>
          </w:p>
        </w:tc>
        <w:tc>
          <w:tcPr>
            <w:tcW w:w="1134" w:type="dxa"/>
            <w:vAlign w:val="center"/>
          </w:tcPr>
          <w:p w14:paraId="118D0D8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6B4CD42C"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2B4658B" w14:textId="77777777" w:rsidTr="00A860B9">
        <w:trPr>
          <w:trHeight w:val="345"/>
        </w:trPr>
        <w:tc>
          <w:tcPr>
            <w:tcW w:w="6874" w:type="dxa"/>
            <w:vAlign w:val="center"/>
          </w:tcPr>
          <w:p w14:paraId="7DDACC48"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3.4) Outras (especificar)</w:t>
            </w:r>
          </w:p>
        </w:tc>
        <w:tc>
          <w:tcPr>
            <w:tcW w:w="1134" w:type="dxa"/>
            <w:vAlign w:val="center"/>
          </w:tcPr>
          <w:p w14:paraId="4DDBE1DD"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0774B0E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ECC80DE" w14:textId="77777777" w:rsidTr="00A860B9">
        <w:trPr>
          <w:trHeight w:val="345"/>
        </w:trPr>
        <w:tc>
          <w:tcPr>
            <w:tcW w:w="6874" w:type="dxa"/>
            <w:vAlign w:val="center"/>
          </w:tcPr>
          <w:p w14:paraId="7DA8391E"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4 - VALOR ADICIONADO BRUTO (1-2-3)</w:t>
            </w:r>
          </w:p>
        </w:tc>
        <w:tc>
          <w:tcPr>
            <w:tcW w:w="1134" w:type="dxa"/>
            <w:vAlign w:val="center"/>
          </w:tcPr>
          <w:p w14:paraId="39A439D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6C4CF12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C89AB16" w14:textId="77777777" w:rsidTr="00A860B9">
        <w:trPr>
          <w:trHeight w:val="345"/>
        </w:trPr>
        <w:tc>
          <w:tcPr>
            <w:tcW w:w="6874" w:type="dxa"/>
            <w:vAlign w:val="center"/>
          </w:tcPr>
          <w:p w14:paraId="6678AFDE"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5 – DEPRECIAÇÃO, AMORTIZAÇÃO E EXAUSTÃO</w:t>
            </w:r>
          </w:p>
        </w:tc>
        <w:tc>
          <w:tcPr>
            <w:tcW w:w="1134" w:type="dxa"/>
            <w:vAlign w:val="center"/>
          </w:tcPr>
          <w:p w14:paraId="3EFFD514"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779E3CA6"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47276D2" w14:textId="77777777" w:rsidTr="00A860B9">
        <w:trPr>
          <w:trHeight w:val="345"/>
        </w:trPr>
        <w:tc>
          <w:tcPr>
            <w:tcW w:w="6874" w:type="dxa"/>
            <w:vAlign w:val="center"/>
          </w:tcPr>
          <w:p w14:paraId="18752B5C" w14:textId="77777777" w:rsidR="00736708" w:rsidRPr="00736708" w:rsidRDefault="00736708" w:rsidP="00736708">
            <w:pPr>
              <w:spacing w:line="240" w:lineRule="auto"/>
              <w:ind w:firstLine="0"/>
              <w:rPr>
                <w:rFonts w:ascii="Times New Roman" w:eastAsia="Times New Roman" w:hAnsi="Times New Roman" w:cs="Times New Roman"/>
                <w:b/>
                <w:sz w:val="18"/>
                <w:szCs w:val="18"/>
                <w:lang w:val="pt-PT" w:eastAsia="pt-BR"/>
              </w:rPr>
            </w:pPr>
            <w:r w:rsidRPr="00736708">
              <w:rPr>
                <w:rFonts w:ascii="Times New Roman" w:eastAsia="Times New Roman" w:hAnsi="Times New Roman" w:cs="Times New Roman"/>
                <w:b/>
                <w:sz w:val="18"/>
                <w:szCs w:val="18"/>
                <w:lang w:val="pt-PT" w:eastAsia="pt-BR"/>
              </w:rPr>
              <w:t xml:space="preserve">6 - </w:t>
            </w:r>
            <w:r w:rsidRPr="00736708">
              <w:rPr>
                <w:rFonts w:ascii="Times New Roman" w:eastAsia="Times New Roman" w:hAnsi="Times New Roman" w:cs="Times New Roman"/>
                <w:b/>
                <w:sz w:val="20"/>
                <w:szCs w:val="20"/>
                <w:lang w:val="pt-PT" w:eastAsia="pt-BR"/>
              </w:rPr>
              <w:t>VALOR ADICIONADO LÍQUIDO PRODUZIDO PELA ENTIDADE (4-5)</w:t>
            </w:r>
          </w:p>
        </w:tc>
        <w:tc>
          <w:tcPr>
            <w:tcW w:w="1134" w:type="dxa"/>
            <w:vAlign w:val="center"/>
          </w:tcPr>
          <w:p w14:paraId="620D1D0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2C1F364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6280A3C3" w14:textId="77777777" w:rsidTr="00A860B9">
        <w:trPr>
          <w:trHeight w:val="345"/>
        </w:trPr>
        <w:tc>
          <w:tcPr>
            <w:tcW w:w="6874" w:type="dxa"/>
            <w:vAlign w:val="center"/>
          </w:tcPr>
          <w:p w14:paraId="76452A21"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7 - VALOR ADICIONADO RECEBIDO EM TRANSFERÊNCIA</w:t>
            </w:r>
          </w:p>
        </w:tc>
        <w:tc>
          <w:tcPr>
            <w:tcW w:w="1134" w:type="dxa"/>
            <w:vAlign w:val="center"/>
          </w:tcPr>
          <w:p w14:paraId="566E3E0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5E4D9CA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CDDCB13" w14:textId="77777777" w:rsidTr="00A860B9">
        <w:trPr>
          <w:trHeight w:val="345"/>
        </w:trPr>
        <w:tc>
          <w:tcPr>
            <w:tcW w:w="6874" w:type="dxa"/>
            <w:vAlign w:val="center"/>
          </w:tcPr>
          <w:p w14:paraId="7C1766E6"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7.1) Resultado de equivalência patrimonial</w:t>
            </w:r>
          </w:p>
        </w:tc>
        <w:tc>
          <w:tcPr>
            <w:tcW w:w="1134" w:type="dxa"/>
            <w:vAlign w:val="center"/>
          </w:tcPr>
          <w:p w14:paraId="28D3777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539A2DD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6775AB1" w14:textId="77777777" w:rsidTr="00A860B9">
        <w:trPr>
          <w:trHeight w:val="345"/>
        </w:trPr>
        <w:tc>
          <w:tcPr>
            <w:tcW w:w="6874" w:type="dxa"/>
            <w:vAlign w:val="center"/>
          </w:tcPr>
          <w:p w14:paraId="43C491A9"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7.2) Outras</w:t>
            </w:r>
          </w:p>
        </w:tc>
        <w:tc>
          <w:tcPr>
            <w:tcW w:w="1134" w:type="dxa"/>
            <w:vAlign w:val="center"/>
          </w:tcPr>
          <w:p w14:paraId="6714E09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26F9567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3D3CE53C" w14:textId="77777777" w:rsidTr="00A860B9">
        <w:trPr>
          <w:trHeight w:val="345"/>
        </w:trPr>
        <w:tc>
          <w:tcPr>
            <w:tcW w:w="6874" w:type="dxa"/>
            <w:vAlign w:val="center"/>
          </w:tcPr>
          <w:p w14:paraId="6BDF0001"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8 - VALOR ADICIONADO TOTAL A DISTRIBUIR (6+7)</w:t>
            </w:r>
          </w:p>
        </w:tc>
        <w:tc>
          <w:tcPr>
            <w:tcW w:w="1134" w:type="dxa"/>
            <w:vAlign w:val="center"/>
          </w:tcPr>
          <w:p w14:paraId="6510200B"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36AA459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6B044EF7" w14:textId="77777777" w:rsidTr="00A860B9">
        <w:trPr>
          <w:trHeight w:val="345"/>
        </w:trPr>
        <w:tc>
          <w:tcPr>
            <w:tcW w:w="6874" w:type="dxa"/>
            <w:vAlign w:val="center"/>
          </w:tcPr>
          <w:p w14:paraId="643302CA" w14:textId="77777777" w:rsidR="00736708" w:rsidRPr="00736708" w:rsidRDefault="00736708" w:rsidP="00736708">
            <w:pPr>
              <w:spacing w:line="240" w:lineRule="auto"/>
              <w:ind w:firstLine="0"/>
              <w:rPr>
                <w:rFonts w:ascii="Times New Roman" w:eastAsia="Times New Roman" w:hAnsi="Times New Roman" w:cs="Times New Roman"/>
                <w:b/>
                <w:sz w:val="20"/>
                <w:lang w:val="pt-PT" w:eastAsia="pt-BR"/>
              </w:rPr>
            </w:pPr>
            <w:r w:rsidRPr="00736708">
              <w:rPr>
                <w:rFonts w:ascii="Times New Roman" w:eastAsia="Times New Roman" w:hAnsi="Times New Roman" w:cs="Times New Roman"/>
                <w:b/>
                <w:sz w:val="20"/>
                <w:lang w:val="pt-PT" w:eastAsia="pt-BR"/>
              </w:rPr>
              <w:t>9 - DISTRIBUIÇÃO DO VALOR ADICIONADO *</w:t>
            </w:r>
          </w:p>
        </w:tc>
        <w:tc>
          <w:tcPr>
            <w:tcW w:w="1134" w:type="dxa"/>
            <w:vAlign w:val="center"/>
          </w:tcPr>
          <w:p w14:paraId="13FEF0F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366F6862"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DC9E9AA" w14:textId="77777777" w:rsidTr="00A860B9">
        <w:trPr>
          <w:trHeight w:val="345"/>
        </w:trPr>
        <w:tc>
          <w:tcPr>
            <w:tcW w:w="6874" w:type="dxa"/>
            <w:vAlign w:val="center"/>
          </w:tcPr>
          <w:p w14:paraId="1F5651FE"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9.1) Pessoal </w:t>
            </w:r>
          </w:p>
        </w:tc>
        <w:tc>
          <w:tcPr>
            <w:tcW w:w="1134" w:type="dxa"/>
            <w:vAlign w:val="center"/>
          </w:tcPr>
          <w:p w14:paraId="4D94454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4C32A3FC"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36DD7551" w14:textId="77777777" w:rsidTr="00A860B9">
        <w:trPr>
          <w:trHeight w:val="345"/>
        </w:trPr>
        <w:tc>
          <w:tcPr>
            <w:tcW w:w="6874" w:type="dxa"/>
            <w:vAlign w:val="center"/>
          </w:tcPr>
          <w:p w14:paraId="561606E8"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9.1.1 – Remuneração direta</w:t>
            </w:r>
          </w:p>
        </w:tc>
        <w:tc>
          <w:tcPr>
            <w:tcW w:w="1134" w:type="dxa"/>
            <w:vAlign w:val="center"/>
          </w:tcPr>
          <w:p w14:paraId="2613DE8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634DB31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FA6CD44" w14:textId="77777777" w:rsidTr="00A860B9">
        <w:trPr>
          <w:trHeight w:val="345"/>
        </w:trPr>
        <w:tc>
          <w:tcPr>
            <w:tcW w:w="6874" w:type="dxa"/>
            <w:vAlign w:val="center"/>
          </w:tcPr>
          <w:p w14:paraId="68EA8215"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lastRenderedPageBreak/>
              <w:t>9.1.2 – Benefícios</w:t>
            </w:r>
          </w:p>
        </w:tc>
        <w:tc>
          <w:tcPr>
            <w:tcW w:w="1134" w:type="dxa"/>
            <w:vAlign w:val="center"/>
          </w:tcPr>
          <w:p w14:paraId="078D61C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55ECFCB0"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8CFCBD8" w14:textId="77777777" w:rsidTr="00A860B9">
        <w:trPr>
          <w:trHeight w:val="345"/>
        </w:trPr>
        <w:tc>
          <w:tcPr>
            <w:tcW w:w="6874" w:type="dxa"/>
            <w:vAlign w:val="center"/>
          </w:tcPr>
          <w:p w14:paraId="3D1DA808"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9.1.3 – F.G.T.S</w:t>
            </w:r>
          </w:p>
        </w:tc>
        <w:tc>
          <w:tcPr>
            <w:tcW w:w="1134" w:type="dxa"/>
            <w:vAlign w:val="center"/>
          </w:tcPr>
          <w:p w14:paraId="35C41E56"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3FCCA48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26F52AB" w14:textId="77777777" w:rsidTr="00A860B9">
        <w:trPr>
          <w:trHeight w:val="345"/>
        </w:trPr>
        <w:tc>
          <w:tcPr>
            <w:tcW w:w="6874" w:type="dxa"/>
            <w:vAlign w:val="center"/>
          </w:tcPr>
          <w:p w14:paraId="46CBF549"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9.2) Impostos, taxas e contribuições</w:t>
            </w:r>
          </w:p>
        </w:tc>
        <w:tc>
          <w:tcPr>
            <w:tcW w:w="1134" w:type="dxa"/>
            <w:vAlign w:val="center"/>
          </w:tcPr>
          <w:p w14:paraId="198DC6D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6F12E1D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121EB2B" w14:textId="77777777" w:rsidTr="00A860B9">
        <w:trPr>
          <w:trHeight w:val="345"/>
        </w:trPr>
        <w:tc>
          <w:tcPr>
            <w:tcW w:w="6874" w:type="dxa"/>
            <w:vAlign w:val="center"/>
          </w:tcPr>
          <w:p w14:paraId="43C3484E"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9.2.1 – Federais </w:t>
            </w:r>
          </w:p>
        </w:tc>
        <w:tc>
          <w:tcPr>
            <w:tcW w:w="1134" w:type="dxa"/>
            <w:vAlign w:val="center"/>
          </w:tcPr>
          <w:p w14:paraId="35B9BE8A"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31CF84A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F341447" w14:textId="77777777" w:rsidTr="00A860B9">
        <w:trPr>
          <w:trHeight w:val="345"/>
        </w:trPr>
        <w:tc>
          <w:tcPr>
            <w:tcW w:w="6874" w:type="dxa"/>
            <w:vAlign w:val="center"/>
          </w:tcPr>
          <w:p w14:paraId="0D478FF0"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9.2.2 – Estaduais</w:t>
            </w:r>
          </w:p>
        </w:tc>
        <w:tc>
          <w:tcPr>
            <w:tcW w:w="1134" w:type="dxa"/>
            <w:vAlign w:val="center"/>
          </w:tcPr>
          <w:p w14:paraId="0D69B05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2A9E1FBB"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4D0E2283" w14:textId="77777777" w:rsidTr="00A860B9">
        <w:trPr>
          <w:trHeight w:val="345"/>
        </w:trPr>
        <w:tc>
          <w:tcPr>
            <w:tcW w:w="6874" w:type="dxa"/>
            <w:vAlign w:val="center"/>
          </w:tcPr>
          <w:p w14:paraId="5BFAA0A0"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9.2.3 – Municipais</w:t>
            </w:r>
          </w:p>
        </w:tc>
        <w:tc>
          <w:tcPr>
            <w:tcW w:w="1134" w:type="dxa"/>
            <w:vAlign w:val="center"/>
          </w:tcPr>
          <w:p w14:paraId="38F0FE7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105FFA3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7D96DF9C" w14:textId="77777777" w:rsidTr="00A860B9">
        <w:trPr>
          <w:trHeight w:val="345"/>
        </w:trPr>
        <w:tc>
          <w:tcPr>
            <w:tcW w:w="6874" w:type="dxa"/>
            <w:vAlign w:val="center"/>
          </w:tcPr>
          <w:p w14:paraId="324EC6F8"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9.3) Remuneração de capitais de terceiros</w:t>
            </w:r>
          </w:p>
        </w:tc>
        <w:tc>
          <w:tcPr>
            <w:tcW w:w="1134" w:type="dxa"/>
            <w:vAlign w:val="center"/>
          </w:tcPr>
          <w:p w14:paraId="1333E79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49488158"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6900170D" w14:textId="77777777" w:rsidTr="00A860B9">
        <w:trPr>
          <w:trHeight w:val="345"/>
        </w:trPr>
        <w:tc>
          <w:tcPr>
            <w:tcW w:w="6874" w:type="dxa"/>
            <w:vAlign w:val="center"/>
          </w:tcPr>
          <w:p w14:paraId="200D714A"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9.3.1 – Aluguéis</w:t>
            </w:r>
          </w:p>
        </w:tc>
        <w:tc>
          <w:tcPr>
            <w:tcW w:w="1134" w:type="dxa"/>
            <w:vAlign w:val="center"/>
          </w:tcPr>
          <w:p w14:paraId="3EBFE30C"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627621EB"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5EFAE853" w14:textId="77777777" w:rsidTr="00A860B9">
        <w:trPr>
          <w:trHeight w:val="345"/>
        </w:trPr>
        <w:tc>
          <w:tcPr>
            <w:tcW w:w="6874" w:type="dxa"/>
            <w:vAlign w:val="center"/>
          </w:tcPr>
          <w:p w14:paraId="43813007"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9.3.2 – Outras </w:t>
            </w:r>
          </w:p>
        </w:tc>
        <w:tc>
          <w:tcPr>
            <w:tcW w:w="1134" w:type="dxa"/>
            <w:vAlign w:val="center"/>
          </w:tcPr>
          <w:p w14:paraId="4E1C625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31F6AA9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38A93088" w14:textId="77777777" w:rsidTr="00A860B9">
        <w:trPr>
          <w:trHeight w:val="345"/>
        </w:trPr>
        <w:tc>
          <w:tcPr>
            <w:tcW w:w="6874" w:type="dxa"/>
            <w:vAlign w:val="center"/>
          </w:tcPr>
          <w:p w14:paraId="5AAF9BF5"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9.4) Remuneração de Capitais Próprios</w:t>
            </w:r>
          </w:p>
        </w:tc>
        <w:tc>
          <w:tcPr>
            <w:tcW w:w="1134" w:type="dxa"/>
            <w:vAlign w:val="center"/>
          </w:tcPr>
          <w:p w14:paraId="1DFEDDBF"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558DB6C3"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24896004" w14:textId="77777777" w:rsidTr="00A860B9">
        <w:trPr>
          <w:trHeight w:val="345"/>
        </w:trPr>
        <w:tc>
          <w:tcPr>
            <w:tcW w:w="6874" w:type="dxa"/>
            <w:vAlign w:val="center"/>
          </w:tcPr>
          <w:p w14:paraId="4DB79524"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9.4.1 – Juros sobre o Capital Próprio</w:t>
            </w:r>
          </w:p>
        </w:tc>
        <w:tc>
          <w:tcPr>
            <w:tcW w:w="1134" w:type="dxa"/>
            <w:vAlign w:val="center"/>
          </w:tcPr>
          <w:p w14:paraId="16E167B6"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60547E97"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1F496643" w14:textId="77777777" w:rsidTr="00A860B9">
        <w:trPr>
          <w:trHeight w:val="345"/>
        </w:trPr>
        <w:tc>
          <w:tcPr>
            <w:tcW w:w="6874" w:type="dxa"/>
            <w:vAlign w:val="center"/>
          </w:tcPr>
          <w:p w14:paraId="45354847"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 xml:space="preserve">9.4.2 – Dividendos </w:t>
            </w:r>
          </w:p>
        </w:tc>
        <w:tc>
          <w:tcPr>
            <w:tcW w:w="1134" w:type="dxa"/>
            <w:vAlign w:val="center"/>
          </w:tcPr>
          <w:p w14:paraId="2822A8E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54B783D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0A83DBDE" w14:textId="77777777" w:rsidTr="00A860B9">
        <w:trPr>
          <w:trHeight w:val="345"/>
        </w:trPr>
        <w:tc>
          <w:tcPr>
            <w:tcW w:w="6874" w:type="dxa"/>
            <w:vAlign w:val="center"/>
          </w:tcPr>
          <w:p w14:paraId="5DE4D0AF"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20"/>
                <w:lang w:val="pt-PT" w:eastAsia="pt-BR"/>
              </w:rPr>
              <w:t>9.4.3 – Lucros retidos / Prejuízo do exercício</w:t>
            </w:r>
          </w:p>
        </w:tc>
        <w:tc>
          <w:tcPr>
            <w:tcW w:w="1134" w:type="dxa"/>
            <w:vAlign w:val="center"/>
          </w:tcPr>
          <w:p w14:paraId="2E26BA31"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1EC1C3DE"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r w:rsidR="00736708" w:rsidRPr="00736708" w14:paraId="19182C6D" w14:textId="77777777" w:rsidTr="00A860B9">
        <w:trPr>
          <w:trHeight w:val="345"/>
        </w:trPr>
        <w:tc>
          <w:tcPr>
            <w:tcW w:w="6874" w:type="dxa"/>
            <w:vAlign w:val="center"/>
          </w:tcPr>
          <w:p w14:paraId="7F967A4F" w14:textId="77777777" w:rsidR="00736708" w:rsidRPr="00736708" w:rsidRDefault="00736708" w:rsidP="00736708">
            <w:pPr>
              <w:spacing w:line="240" w:lineRule="auto"/>
              <w:ind w:firstLine="0"/>
              <w:rPr>
                <w:rFonts w:ascii="Times New Roman" w:eastAsia="Times New Roman" w:hAnsi="Times New Roman" w:cs="Times New Roman"/>
                <w:sz w:val="20"/>
                <w:lang w:val="pt-PT" w:eastAsia="pt-BR"/>
              </w:rPr>
            </w:pPr>
            <w:r w:rsidRPr="00736708">
              <w:rPr>
                <w:rFonts w:ascii="Times New Roman" w:eastAsia="Times New Roman" w:hAnsi="Times New Roman" w:cs="Times New Roman"/>
                <w:sz w:val="18"/>
                <w:szCs w:val="18"/>
                <w:lang w:val="pt-PT" w:eastAsia="pt-BR"/>
              </w:rPr>
              <w:t xml:space="preserve">9.4.4 – </w:t>
            </w:r>
            <w:r w:rsidRPr="00736708">
              <w:rPr>
                <w:rFonts w:ascii="Times New Roman" w:eastAsia="Times New Roman" w:hAnsi="Times New Roman" w:cs="Times New Roman"/>
                <w:sz w:val="20"/>
                <w:szCs w:val="20"/>
                <w:lang w:val="pt-PT" w:eastAsia="pt-BR"/>
              </w:rPr>
              <w:t>Participação dos não-controladores nos lucros retidos (só p/ consolidação)</w:t>
            </w:r>
          </w:p>
        </w:tc>
        <w:tc>
          <w:tcPr>
            <w:tcW w:w="1134" w:type="dxa"/>
            <w:vAlign w:val="center"/>
          </w:tcPr>
          <w:p w14:paraId="4ADF1E69"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c>
          <w:tcPr>
            <w:tcW w:w="1134" w:type="dxa"/>
          </w:tcPr>
          <w:p w14:paraId="6C9E89C5" w14:textId="77777777" w:rsidR="00736708" w:rsidRPr="00736708" w:rsidRDefault="00736708" w:rsidP="00736708">
            <w:pPr>
              <w:spacing w:line="240" w:lineRule="auto"/>
              <w:ind w:firstLine="0"/>
              <w:jc w:val="right"/>
              <w:rPr>
                <w:rFonts w:ascii="Times New Roman" w:eastAsia="Times New Roman" w:hAnsi="Times New Roman" w:cs="Times New Roman"/>
                <w:sz w:val="20"/>
                <w:lang w:val="pt-PT" w:eastAsia="pt-BR"/>
              </w:rPr>
            </w:pPr>
          </w:p>
        </w:tc>
      </w:tr>
    </w:tbl>
    <w:p w14:paraId="4F6D0DC4" w14:textId="77777777" w:rsidR="00736708" w:rsidRPr="00736708" w:rsidRDefault="00736708" w:rsidP="00736708">
      <w:pPr>
        <w:spacing w:line="240" w:lineRule="auto"/>
        <w:ind w:firstLine="0"/>
        <w:rPr>
          <w:rFonts w:ascii="Arial" w:eastAsia="Times New Roman" w:hAnsi="Arial" w:cs="Times New Roman"/>
          <w:sz w:val="6"/>
          <w:lang w:val="pt-PT" w:eastAsia="pt-BR"/>
        </w:rPr>
      </w:pPr>
    </w:p>
    <w:p w14:paraId="25B5EC93" w14:textId="77777777"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r w:rsidRPr="00736708">
        <w:rPr>
          <w:rFonts w:ascii="Times New Roman" w:eastAsia="Times New Roman" w:hAnsi="Times New Roman" w:cs="Times New Roman"/>
          <w:b/>
          <w:lang w:val="pt-PT" w:eastAsia="pt-BR"/>
        </w:rPr>
        <w:t>O total do item 9 deve ser exatamente igual ao item 8.</w:t>
      </w:r>
    </w:p>
    <w:p w14:paraId="4F418B1C" w14:textId="77777777" w:rsidR="00736708" w:rsidRPr="00736708" w:rsidRDefault="00736708" w:rsidP="00736708">
      <w:pPr>
        <w:spacing w:line="240" w:lineRule="auto"/>
        <w:ind w:firstLine="0"/>
        <w:jc w:val="center"/>
        <w:rPr>
          <w:rFonts w:ascii="Arial" w:eastAsia="Times New Roman" w:hAnsi="Arial" w:cs="Times New Roman"/>
          <w:b/>
          <w:sz w:val="20"/>
          <w:lang w:val="pt-PT" w:eastAsia="pt-BR"/>
        </w:rPr>
      </w:pPr>
    </w:p>
    <w:p w14:paraId="2082847F" w14:textId="77777777" w:rsidR="00736708" w:rsidRPr="00736708" w:rsidRDefault="00736708" w:rsidP="00736708">
      <w:pPr>
        <w:tabs>
          <w:tab w:val="left" w:pos="720"/>
        </w:tabs>
        <w:spacing w:before="0" w:after="0" w:line="240" w:lineRule="auto"/>
        <w:ind w:left="720" w:hanging="360"/>
        <w:rPr>
          <w:rFonts w:ascii="Times New Roman" w:eastAsia="Times New Roman" w:hAnsi="Times New Roman" w:cs="Times New Roman"/>
          <w:b/>
          <w:sz w:val="20"/>
        </w:rPr>
      </w:pPr>
    </w:p>
    <w:p w14:paraId="4A21AF03" w14:textId="77777777" w:rsidR="00736708" w:rsidRPr="00736708" w:rsidRDefault="00736708" w:rsidP="00736708">
      <w:pPr>
        <w:tabs>
          <w:tab w:val="left" w:pos="720"/>
        </w:tabs>
        <w:spacing w:before="0" w:after="0" w:line="240" w:lineRule="auto"/>
        <w:ind w:left="720" w:hanging="360"/>
        <w:rPr>
          <w:rFonts w:ascii="Times New Roman" w:eastAsia="Times New Roman" w:hAnsi="Times New Roman" w:cs="Times New Roman"/>
          <w:b/>
          <w:sz w:val="20"/>
        </w:rPr>
      </w:pPr>
    </w:p>
    <w:p w14:paraId="0943ECBF" w14:textId="77777777" w:rsidR="00736708" w:rsidRPr="00736708" w:rsidRDefault="00736708" w:rsidP="00736708">
      <w:pPr>
        <w:tabs>
          <w:tab w:val="left" w:pos="720"/>
        </w:tabs>
        <w:spacing w:before="0" w:after="0" w:line="240" w:lineRule="auto"/>
        <w:ind w:left="720" w:hanging="360"/>
        <w:rPr>
          <w:rFonts w:ascii="Times New Roman" w:eastAsia="Times New Roman" w:hAnsi="Times New Roman" w:cs="Times New Roman"/>
          <w:b/>
          <w:sz w:val="20"/>
        </w:rPr>
      </w:pPr>
    </w:p>
    <w:p w14:paraId="0DDE0905" w14:textId="77777777" w:rsidR="00736708" w:rsidRPr="00736708" w:rsidRDefault="00736708" w:rsidP="00736708">
      <w:pPr>
        <w:tabs>
          <w:tab w:val="left" w:pos="720"/>
        </w:tabs>
        <w:spacing w:before="0" w:after="0" w:line="240" w:lineRule="auto"/>
        <w:ind w:left="720" w:hanging="360"/>
        <w:rPr>
          <w:rFonts w:ascii="Times New Roman" w:eastAsia="Times New Roman" w:hAnsi="Times New Roman" w:cs="Times New Roman"/>
          <w:b/>
          <w:sz w:val="20"/>
        </w:rPr>
      </w:pPr>
    </w:p>
    <w:p w14:paraId="1A0CD00C" w14:textId="77777777" w:rsidR="00736708" w:rsidRPr="00736708" w:rsidRDefault="00736708" w:rsidP="00736708">
      <w:pPr>
        <w:tabs>
          <w:tab w:val="left" w:pos="720"/>
        </w:tabs>
        <w:spacing w:before="0" w:after="0" w:line="240" w:lineRule="auto"/>
        <w:ind w:left="720" w:hanging="360"/>
        <w:rPr>
          <w:rFonts w:ascii="Times New Roman" w:eastAsia="Times New Roman" w:hAnsi="Times New Roman" w:cs="Times New Roman"/>
          <w:b/>
          <w:sz w:val="20"/>
        </w:rPr>
      </w:pPr>
    </w:p>
    <w:p w14:paraId="0FD06622" w14:textId="77777777" w:rsidR="00736708" w:rsidRDefault="00736708">
      <w:pPr>
        <w:spacing w:before="0" w:after="200" w:line="276" w:lineRule="auto"/>
        <w:ind w:firstLine="0"/>
        <w:jc w:val="left"/>
        <w:rPr>
          <w:rFonts w:ascii="Times New Roman" w:eastAsia="Times New Roman" w:hAnsi="Times New Roman" w:cs="Times New Roman"/>
          <w:b/>
          <w:lang w:val="pt-PT" w:eastAsia="pt-BR"/>
        </w:rPr>
      </w:pPr>
      <w:r>
        <w:rPr>
          <w:rFonts w:ascii="Times New Roman" w:eastAsia="Times New Roman" w:hAnsi="Times New Roman" w:cs="Times New Roman"/>
          <w:b/>
          <w:lang w:val="pt-PT" w:eastAsia="pt-BR"/>
        </w:rPr>
        <w:br w:type="page"/>
      </w:r>
    </w:p>
    <w:p w14:paraId="78961DEB" w14:textId="197A9C71"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r w:rsidRPr="00736708">
        <w:rPr>
          <w:rFonts w:ascii="Times New Roman" w:eastAsia="Times New Roman" w:hAnsi="Times New Roman" w:cs="Times New Roman"/>
          <w:b/>
          <w:lang w:val="pt-PT" w:eastAsia="pt-BR"/>
        </w:rPr>
        <w:lastRenderedPageBreak/>
        <w:t>Modelo III - Demonstração do Valor Adicionado – SEGURADORAS (modelo sugerido pela Superintendência de Seguros Privados - Susep)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1134"/>
        <w:gridCol w:w="1134"/>
      </w:tblGrid>
      <w:tr w:rsidR="00736708" w:rsidRPr="00736708" w14:paraId="12081FCB" w14:textId="77777777" w:rsidTr="00A860B9">
        <w:trPr>
          <w:trHeight w:val="345"/>
        </w:trPr>
        <w:tc>
          <w:tcPr>
            <w:tcW w:w="6874" w:type="dxa"/>
            <w:tcBorders>
              <w:top w:val="single" w:sz="4" w:space="0" w:color="auto"/>
              <w:left w:val="single" w:sz="4" w:space="0" w:color="auto"/>
              <w:bottom w:val="single" w:sz="4" w:space="0" w:color="auto"/>
              <w:right w:val="single" w:sz="4" w:space="0" w:color="auto"/>
            </w:tcBorders>
            <w:vAlign w:val="center"/>
          </w:tcPr>
          <w:p w14:paraId="3206BE1A" w14:textId="77777777" w:rsidR="00736708" w:rsidRPr="00736708" w:rsidRDefault="00736708" w:rsidP="00736708">
            <w:pPr>
              <w:spacing w:line="240" w:lineRule="auto"/>
              <w:ind w:firstLine="0"/>
              <w:jc w:val="center"/>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DESCRIÇÃO</w:t>
            </w:r>
          </w:p>
        </w:tc>
        <w:tc>
          <w:tcPr>
            <w:tcW w:w="1134" w:type="dxa"/>
            <w:tcBorders>
              <w:left w:val="nil"/>
            </w:tcBorders>
            <w:vAlign w:val="center"/>
          </w:tcPr>
          <w:p w14:paraId="47B7BD7E" w14:textId="77777777" w:rsidR="00736708" w:rsidRPr="00736708" w:rsidRDefault="00736708" w:rsidP="00736708">
            <w:pPr>
              <w:spacing w:line="240" w:lineRule="auto"/>
              <w:ind w:firstLine="0"/>
              <w:jc w:val="center"/>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Em milhares de reais</w:t>
            </w:r>
          </w:p>
          <w:p w14:paraId="6EED60A4" w14:textId="77777777" w:rsidR="00736708" w:rsidRPr="00736708" w:rsidRDefault="00736708" w:rsidP="00736708">
            <w:pPr>
              <w:spacing w:line="240" w:lineRule="auto"/>
              <w:ind w:firstLine="0"/>
              <w:jc w:val="center"/>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20X1</w:t>
            </w:r>
          </w:p>
        </w:tc>
        <w:tc>
          <w:tcPr>
            <w:tcW w:w="1134" w:type="dxa"/>
            <w:tcBorders>
              <w:left w:val="nil"/>
            </w:tcBorders>
          </w:tcPr>
          <w:p w14:paraId="23A15390" w14:textId="77777777" w:rsidR="00736708" w:rsidRPr="00736708" w:rsidRDefault="00736708" w:rsidP="00736708">
            <w:pPr>
              <w:spacing w:line="240" w:lineRule="auto"/>
              <w:ind w:firstLine="0"/>
              <w:jc w:val="center"/>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Em milhares de reais</w:t>
            </w:r>
          </w:p>
          <w:p w14:paraId="7F0F8902" w14:textId="77777777" w:rsidR="00736708" w:rsidRPr="00736708" w:rsidRDefault="00736708" w:rsidP="00736708">
            <w:pPr>
              <w:spacing w:line="240" w:lineRule="auto"/>
              <w:ind w:firstLine="0"/>
              <w:jc w:val="center"/>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20X0</w:t>
            </w:r>
          </w:p>
        </w:tc>
      </w:tr>
      <w:tr w:rsidR="00736708" w:rsidRPr="00736708" w14:paraId="671D5744" w14:textId="77777777" w:rsidTr="00A860B9">
        <w:trPr>
          <w:trHeight w:val="345"/>
        </w:trPr>
        <w:tc>
          <w:tcPr>
            <w:tcW w:w="6874" w:type="dxa"/>
            <w:tcBorders>
              <w:top w:val="nil"/>
            </w:tcBorders>
            <w:vAlign w:val="center"/>
          </w:tcPr>
          <w:p w14:paraId="5CB87135"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1 – RECEITAS</w:t>
            </w:r>
          </w:p>
        </w:tc>
        <w:tc>
          <w:tcPr>
            <w:tcW w:w="1134" w:type="dxa"/>
            <w:vAlign w:val="center"/>
          </w:tcPr>
          <w:p w14:paraId="2ADBDC84"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FA77AC2"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3D24AB72" w14:textId="77777777" w:rsidTr="00A860B9">
        <w:trPr>
          <w:trHeight w:val="345"/>
        </w:trPr>
        <w:tc>
          <w:tcPr>
            <w:tcW w:w="6874" w:type="dxa"/>
            <w:vAlign w:val="center"/>
          </w:tcPr>
          <w:p w14:paraId="6BA9B008"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 Receitas com operações de seguros</w:t>
            </w:r>
          </w:p>
        </w:tc>
        <w:tc>
          <w:tcPr>
            <w:tcW w:w="1134" w:type="dxa"/>
            <w:vAlign w:val="center"/>
          </w:tcPr>
          <w:p w14:paraId="67D3050F"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5760ED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ECFBDDB" w14:textId="77777777" w:rsidTr="00A860B9">
        <w:trPr>
          <w:trHeight w:val="345"/>
        </w:trPr>
        <w:tc>
          <w:tcPr>
            <w:tcW w:w="6874" w:type="dxa"/>
            <w:vAlign w:val="center"/>
          </w:tcPr>
          <w:p w14:paraId="42D1FD9F"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1.2) Receitas com operações de previdência complementar</w:t>
            </w:r>
          </w:p>
        </w:tc>
        <w:tc>
          <w:tcPr>
            <w:tcW w:w="1134" w:type="dxa"/>
            <w:vAlign w:val="center"/>
          </w:tcPr>
          <w:p w14:paraId="0CFB820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7B6E72F"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197972D0" w14:textId="77777777" w:rsidTr="00A860B9">
        <w:trPr>
          <w:trHeight w:val="345"/>
        </w:trPr>
        <w:tc>
          <w:tcPr>
            <w:tcW w:w="6874" w:type="dxa"/>
            <w:vAlign w:val="center"/>
          </w:tcPr>
          <w:p w14:paraId="72B354D8"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1.3) Rendas com taxas de gestão e outras taxas</w:t>
            </w:r>
          </w:p>
        </w:tc>
        <w:tc>
          <w:tcPr>
            <w:tcW w:w="1134" w:type="dxa"/>
            <w:vAlign w:val="center"/>
          </w:tcPr>
          <w:p w14:paraId="64CADDF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55B19A4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650FA14F" w14:textId="77777777" w:rsidTr="00A860B9">
        <w:trPr>
          <w:trHeight w:val="345"/>
        </w:trPr>
        <w:tc>
          <w:tcPr>
            <w:tcW w:w="6874" w:type="dxa"/>
            <w:vAlign w:val="center"/>
          </w:tcPr>
          <w:p w14:paraId="63364C2F"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1.4) Outras</w:t>
            </w:r>
          </w:p>
        </w:tc>
        <w:tc>
          <w:tcPr>
            <w:tcW w:w="1134" w:type="dxa"/>
            <w:vAlign w:val="center"/>
          </w:tcPr>
          <w:p w14:paraId="351590E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763A72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D809FFF" w14:textId="77777777" w:rsidTr="00A860B9">
        <w:trPr>
          <w:trHeight w:val="345"/>
        </w:trPr>
        <w:tc>
          <w:tcPr>
            <w:tcW w:w="6874" w:type="dxa"/>
            <w:vAlign w:val="center"/>
          </w:tcPr>
          <w:p w14:paraId="23AC4B5D"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1.5) Provisão para créditos de liquidação duvidosa – Reversão / (Constituição)</w:t>
            </w:r>
          </w:p>
        </w:tc>
        <w:tc>
          <w:tcPr>
            <w:tcW w:w="1134" w:type="dxa"/>
            <w:vAlign w:val="center"/>
          </w:tcPr>
          <w:p w14:paraId="23D3E556"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311D0B6"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7A7C571E" w14:textId="77777777" w:rsidTr="00A860B9">
        <w:trPr>
          <w:trHeight w:val="345"/>
        </w:trPr>
        <w:tc>
          <w:tcPr>
            <w:tcW w:w="6874" w:type="dxa"/>
            <w:vAlign w:val="center"/>
          </w:tcPr>
          <w:p w14:paraId="3A86D739"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2 – VARIAÇÕES DAS PROVISÕES TÉCNICAS</w:t>
            </w:r>
          </w:p>
        </w:tc>
        <w:tc>
          <w:tcPr>
            <w:tcW w:w="1134" w:type="dxa"/>
            <w:vAlign w:val="center"/>
          </w:tcPr>
          <w:p w14:paraId="61FB7A86"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0798583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0985C76" w14:textId="77777777" w:rsidTr="00A860B9">
        <w:trPr>
          <w:trHeight w:val="345"/>
        </w:trPr>
        <w:tc>
          <w:tcPr>
            <w:tcW w:w="6874" w:type="dxa"/>
            <w:vAlign w:val="center"/>
          </w:tcPr>
          <w:p w14:paraId="0F271BC1"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2.1) Operações de seguros</w:t>
            </w:r>
          </w:p>
        </w:tc>
        <w:tc>
          <w:tcPr>
            <w:tcW w:w="1134" w:type="dxa"/>
            <w:vAlign w:val="center"/>
          </w:tcPr>
          <w:p w14:paraId="6A606658"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0F4336C2"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4EA0F400" w14:textId="77777777" w:rsidTr="00A860B9">
        <w:trPr>
          <w:trHeight w:val="345"/>
        </w:trPr>
        <w:tc>
          <w:tcPr>
            <w:tcW w:w="6874" w:type="dxa"/>
            <w:vAlign w:val="center"/>
          </w:tcPr>
          <w:p w14:paraId="101FE640"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2.2) Operações de previdência</w:t>
            </w:r>
          </w:p>
        </w:tc>
        <w:tc>
          <w:tcPr>
            <w:tcW w:w="1134" w:type="dxa"/>
            <w:vAlign w:val="center"/>
          </w:tcPr>
          <w:p w14:paraId="32D0CE6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0F8A7B18"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49C1BD18" w14:textId="77777777" w:rsidTr="00A860B9">
        <w:trPr>
          <w:trHeight w:val="345"/>
        </w:trPr>
        <w:tc>
          <w:tcPr>
            <w:tcW w:w="6874" w:type="dxa"/>
            <w:vAlign w:val="center"/>
          </w:tcPr>
          <w:p w14:paraId="0FBD8B41"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3 – RECEITA LÍQUIDA OPERACIONAL (1+2)</w:t>
            </w:r>
          </w:p>
        </w:tc>
        <w:tc>
          <w:tcPr>
            <w:tcW w:w="1134" w:type="dxa"/>
            <w:vAlign w:val="center"/>
          </w:tcPr>
          <w:p w14:paraId="7593FBA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929201C"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74C6C246" w14:textId="77777777" w:rsidTr="00A860B9">
        <w:trPr>
          <w:trHeight w:val="345"/>
        </w:trPr>
        <w:tc>
          <w:tcPr>
            <w:tcW w:w="6874" w:type="dxa"/>
            <w:vAlign w:val="center"/>
          </w:tcPr>
          <w:p w14:paraId="28802347"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4 –  BENEFÍCIOS E SINISTROS</w:t>
            </w:r>
          </w:p>
        </w:tc>
        <w:tc>
          <w:tcPr>
            <w:tcW w:w="1134" w:type="dxa"/>
            <w:vAlign w:val="center"/>
          </w:tcPr>
          <w:p w14:paraId="56D6214D"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6FC85DE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854DE50" w14:textId="77777777" w:rsidTr="00A860B9">
        <w:trPr>
          <w:trHeight w:val="345"/>
        </w:trPr>
        <w:tc>
          <w:tcPr>
            <w:tcW w:w="6874" w:type="dxa"/>
            <w:vAlign w:val="center"/>
          </w:tcPr>
          <w:p w14:paraId="0817FE87"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4.1) Sinistros</w:t>
            </w:r>
          </w:p>
        </w:tc>
        <w:tc>
          <w:tcPr>
            <w:tcW w:w="1134" w:type="dxa"/>
            <w:vAlign w:val="center"/>
          </w:tcPr>
          <w:p w14:paraId="1B8C47B4"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6FA782E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455B10E" w14:textId="77777777" w:rsidTr="00A860B9">
        <w:trPr>
          <w:trHeight w:val="345"/>
        </w:trPr>
        <w:tc>
          <w:tcPr>
            <w:tcW w:w="6874" w:type="dxa"/>
            <w:vAlign w:val="center"/>
          </w:tcPr>
          <w:p w14:paraId="3AE15E2E"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4.2) Variação da provisão de sinistros ocorridos mas não avisados</w:t>
            </w:r>
          </w:p>
        </w:tc>
        <w:tc>
          <w:tcPr>
            <w:tcW w:w="1134" w:type="dxa"/>
            <w:vAlign w:val="center"/>
          </w:tcPr>
          <w:p w14:paraId="72E6F09C"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0A9921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6009A41" w14:textId="77777777" w:rsidTr="00A860B9">
        <w:trPr>
          <w:trHeight w:val="345"/>
        </w:trPr>
        <w:tc>
          <w:tcPr>
            <w:tcW w:w="6874" w:type="dxa"/>
            <w:vAlign w:val="center"/>
          </w:tcPr>
          <w:p w14:paraId="06762AE0"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4.3) Despesas com benefícios e resgates</w:t>
            </w:r>
          </w:p>
        </w:tc>
        <w:tc>
          <w:tcPr>
            <w:tcW w:w="1134" w:type="dxa"/>
            <w:vAlign w:val="center"/>
          </w:tcPr>
          <w:p w14:paraId="7E577D1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7D677BAD"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69F50FA8" w14:textId="77777777" w:rsidTr="00A860B9">
        <w:trPr>
          <w:trHeight w:val="345"/>
        </w:trPr>
        <w:tc>
          <w:tcPr>
            <w:tcW w:w="6874" w:type="dxa"/>
            <w:vAlign w:val="center"/>
          </w:tcPr>
          <w:p w14:paraId="602A7392"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4.4) Variação da provisão de eventos ocorridos, mas não avisados</w:t>
            </w:r>
          </w:p>
        </w:tc>
        <w:tc>
          <w:tcPr>
            <w:tcW w:w="1134" w:type="dxa"/>
            <w:vAlign w:val="center"/>
          </w:tcPr>
          <w:p w14:paraId="57A09E9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7F054E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DFCC232" w14:textId="77777777" w:rsidTr="00A860B9">
        <w:trPr>
          <w:trHeight w:val="345"/>
        </w:trPr>
        <w:tc>
          <w:tcPr>
            <w:tcW w:w="6874" w:type="dxa"/>
            <w:vAlign w:val="center"/>
          </w:tcPr>
          <w:p w14:paraId="79668AA7"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4.5) Outras</w:t>
            </w:r>
          </w:p>
        </w:tc>
        <w:tc>
          <w:tcPr>
            <w:tcW w:w="1134" w:type="dxa"/>
            <w:vAlign w:val="center"/>
          </w:tcPr>
          <w:p w14:paraId="6DE214B6"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54187A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5A98A9A8" w14:textId="77777777" w:rsidTr="00A860B9">
        <w:trPr>
          <w:trHeight w:val="345"/>
        </w:trPr>
        <w:tc>
          <w:tcPr>
            <w:tcW w:w="6874" w:type="dxa"/>
            <w:vAlign w:val="center"/>
          </w:tcPr>
          <w:p w14:paraId="34B2AD11"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5 – INSUMOS ADQUIRIDOS DE TERCEIROS</w:t>
            </w:r>
          </w:p>
        </w:tc>
        <w:tc>
          <w:tcPr>
            <w:tcW w:w="1134" w:type="dxa"/>
            <w:vAlign w:val="center"/>
          </w:tcPr>
          <w:p w14:paraId="45A621C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16B409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77B9B365" w14:textId="77777777" w:rsidTr="00A860B9">
        <w:trPr>
          <w:trHeight w:val="345"/>
        </w:trPr>
        <w:tc>
          <w:tcPr>
            <w:tcW w:w="6874" w:type="dxa"/>
            <w:vAlign w:val="center"/>
          </w:tcPr>
          <w:p w14:paraId="2DB1679A"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5.1) Materiais, energia e outros</w:t>
            </w:r>
          </w:p>
        </w:tc>
        <w:tc>
          <w:tcPr>
            <w:tcW w:w="1134" w:type="dxa"/>
            <w:vAlign w:val="center"/>
          </w:tcPr>
          <w:p w14:paraId="09E0430F"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7B794E3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3B5D112D" w14:textId="77777777" w:rsidTr="00A860B9">
        <w:trPr>
          <w:trHeight w:val="345"/>
        </w:trPr>
        <w:tc>
          <w:tcPr>
            <w:tcW w:w="6874" w:type="dxa"/>
            <w:vAlign w:val="center"/>
          </w:tcPr>
          <w:p w14:paraId="2A2424CD"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5.2) Serviços de terceiros, comissões líquidas</w:t>
            </w:r>
          </w:p>
        </w:tc>
        <w:tc>
          <w:tcPr>
            <w:tcW w:w="1134" w:type="dxa"/>
            <w:vAlign w:val="center"/>
          </w:tcPr>
          <w:p w14:paraId="47A490B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0F5141FC"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242F972" w14:textId="77777777" w:rsidTr="00A860B9">
        <w:trPr>
          <w:trHeight w:val="345"/>
        </w:trPr>
        <w:tc>
          <w:tcPr>
            <w:tcW w:w="6874" w:type="dxa"/>
            <w:vAlign w:val="center"/>
          </w:tcPr>
          <w:p w14:paraId="7C68C0C3"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5.3) Variação das despesas de comercialização diferidas</w:t>
            </w:r>
          </w:p>
        </w:tc>
        <w:tc>
          <w:tcPr>
            <w:tcW w:w="1134" w:type="dxa"/>
            <w:vAlign w:val="center"/>
          </w:tcPr>
          <w:p w14:paraId="59B7FBBD"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0241681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659F6F17" w14:textId="77777777" w:rsidTr="00A860B9">
        <w:trPr>
          <w:trHeight w:val="345"/>
        </w:trPr>
        <w:tc>
          <w:tcPr>
            <w:tcW w:w="6874" w:type="dxa"/>
            <w:vAlign w:val="center"/>
          </w:tcPr>
          <w:p w14:paraId="7E686201"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lastRenderedPageBreak/>
              <w:t>5.4) Perda / Recuperação de valores ativos</w:t>
            </w:r>
          </w:p>
        </w:tc>
        <w:tc>
          <w:tcPr>
            <w:tcW w:w="1134" w:type="dxa"/>
            <w:vAlign w:val="center"/>
          </w:tcPr>
          <w:p w14:paraId="0584BE2C"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5080508F"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F62E45F" w14:textId="77777777" w:rsidTr="00A860B9">
        <w:trPr>
          <w:trHeight w:val="345"/>
        </w:trPr>
        <w:tc>
          <w:tcPr>
            <w:tcW w:w="6874" w:type="dxa"/>
            <w:vAlign w:val="center"/>
          </w:tcPr>
          <w:p w14:paraId="3075A9D6"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6 – VALOR ADICIONADO BRUTO (3-4-5)</w:t>
            </w:r>
          </w:p>
        </w:tc>
        <w:tc>
          <w:tcPr>
            <w:tcW w:w="1134" w:type="dxa"/>
            <w:vAlign w:val="center"/>
          </w:tcPr>
          <w:p w14:paraId="2D014079"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413319C"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5D689596" w14:textId="77777777" w:rsidTr="00A860B9">
        <w:trPr>
          <w:trHeight w:val="345"/>
        </w:trPr>
        <w:tc>
          <w:tcPr>
            <w:tcW w:w="6874" w:type="dxa"/>
            <w:vAlign w:val="center"/>
          </w:tcPr>
          <w:p w14:paraId="5FDFDAEA"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7 – DEPRECIAÇÃO, AMORTIZAÇÃO E EXAUSTÃO</w:t>
            </w:r>
          </w:p>
        </w:tc>
        <w:tc>
          <w:tcPr>
            <w:tcW w:w="1134" w:type="dxa"/>
            <w:vAlign w:val="center"/>
          </w:tcPr>
          <w:p w14:paraId="29DE2B0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B24CA1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10306B5" w14:textId="77777777" w:rsidTr="00A860B9">
        <w:trPr>
          <w:trHeight w:val="345"/>
        </w:trPr>
        <w:tc>
          <w:tcPr>
            <w:tcW w:w="6874" w:type="dxa"/>
            <w:vAlign w:val="center"/>
          </w:tcPr>
          <w:p w14:paraId="103F8A2A"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8 – VALOR ADICIONADO LÍQUIDO PRODUZIDO PELA ENTIDADE (6-7)</w:t>
            </w:r>
          </w:p>
        </w:tc>
        <w:tc>
          <w:tcPr>
            <w:tcW w:w="1134" w:type="dxa"/>
            <w:vAlign w:val="center"/>
          </w:tcPr>
          <w:p w14:paraId="70A42B98"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65296B3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173E3454" w14:textId="77777777" w:rsidTr="00A860B9">
        <w:trPr>
          <w:trHeight w:val="345"/>
        </w:trPr>
        <w:tc>
          <w:tcPr>
            <w:tcW w:w="6874" w:type="dxa"/>
            <w:vAlign w:val="center"/>
          </w:tcPr>
          <w:p w14:paraId="6C250C8B"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9 – VALOR ADICIONADO RECEBIDO/CEDIDO EM TRANSFERÊNCIA</w:t>
            </w:r>
          </w:p>
        </w:tc>
        <w:tc>
          <w:tcPr>
            <w:tcW w:w="1134" w:type="dxa"/>
            <w:vAlign w:val="center"/>
          </w:tcPr>
          <w:p w14:paraId="645F1294"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E58944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5103FE22" w14:textId="77777777" w:rsidTr="00A860B9">
        <w:trPr>
          <w:trHeight w:val="345"/>
        </w:trPr>
        <w:tc>
          <w:tcPr>
            <w:tcW w:w="6874" w:type="dxa"/>
            <w:vAlign w:val="center"/>
          </w:tcPr>
          <w:p w14:paraId="486A32A3"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9.1) Receitas financeiras</w:t>
            </w:r>
          </w:p>
        </w:tc>
        <w:tc>
          <w:tcPr>
            <w:tcW w:w="1134" w:type="dxa"/>
            <w:vAlign w:val="center"/>
          </w:tcPr>
          <w:p w14:paraId="2D2572E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0B6D48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69A33679" w14:textId="77777777" w:rsidTr="00A860B9">
        <w:trPr>
          <w:trHeight w:val="345"/>
        </w:trPr>
        <w:tc>
          <w:tcPr>
            <w:tcW w:w="6874" w:type="dxa"/>
            <w:vAlign w:val="center"/>
          </w:tcPr>
          <w:p w14:paraId="213935F2"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9.2) Resultado de equivalência patrimonial</w:t>
            </w:r>
          </w:p>
        </w:tc>
        <w:tc>
          <w:tcPr>
            <w:tcW w:w="1134" w:type="dxa"/>
            <w:vAlign w:val="center"/>
          </w:tcPr>
          <w:p w14:paraId="2AD7455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F8C6FA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61A2A4BB" w14:textId="77777777" w:rsidTr="00A860B9">
        <w:trPr>
          <w:trHeight w:val="345"/>
        </w:trPr>
        <w:tc>
          <w:tcPr>
            <w:tcW w:w="6874" w:type="dxa"/>
            <w:vAlign w:val="center"/>
          </w:tcPr>
          <w:p w14:paraId="356DA8A2"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9.3) Resultado com operações de resseguros cedidos</w:t>
            </w:r>
          </w:p>
        </w:tc>
        <w:tc>
          <w:tcPr>
            <w:tcW w:w="1134" w:type="dxa"/>
            <w:vAlign w:val="center"/>
          </w:tcPr>
          <w:p w14:paraId="4AEB1F2D"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3917D066"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E837DEB" w14:textId="77777777" w:rsidTr="00A860B9">
        <w:trPr>
          <w:trHeight w:val="345"/>
        </w:trPr>
        <w:tc>
          <w:tcPr>
            <w:tcW w:w="6874" w:type="dxa"/>
            <w:vAlign w:val="center"/>
          </w:tcPr>
          <w:p w14:paraId="3796854F"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9.4) Resultado com operações de cosseguros cedidos</w:t>
            </w:r>
          </w:p>
        </w:tc>
        <w:tc>
          <w:tcPr>
            <w:tcW w:w="1134" w:type="dxa"/>
            <w:vAlign w:val="center"/>
          </w:tcPr>
          <w:p w14:paraId="2484E65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9856BC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C55D6BC" w14:textId="77777777" w:rsidTr="00A860B9">
        <w:trPr>
          <w:trHeight w:val="345"/>
        </w:trPr>
        <w:tc>
          <w:tcPr>
            <w:tcW w:w="6874" w:type="dxa"/>
            <w:vAlign w:val="center"/>
          </w:tcPr>
          <w:p w14:paraId="058259B2"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9.5) Outras</w:t>
            </w:r>
          </w:p>
        </w:tc>
        <w:tc>
          <w:tcPr>
            <w:tcW w:w="1134" w:type="dxa"/>
            <w:vAlign w:val="center"/>
          </w:tcPr>
          <w:p w14:paraId="74B7B36A"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66ADAB9"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18688C95" w14:textId="77777777" w:rsidTr="00A860B9">
        <w:trPr>
          <w:trHeight w:val="345"/>
        </w:trPr>
        <w:tc>
          <w:tcPr>
            <w:tcW w:w="6874" w:type="dxa"/>
            <w:vAlign w:val="center"/>
          </w:tcPr>
          <w:p w14:paraId="541B9082"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10 – VALOR ADICIONADO TOTAL A DISTRIBUIR (8+9)</w:t>
            </w:r>
          </w:p>
        </w:tc>
        <w:tc>
          <w:tcPr>
            <w:tcW w:w="1134" w:type="dxa"/>
            <w:vAlign w:val="center"/>
          </w:tcPr>
          <w:p w14:paraId="4083BD7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90964B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79108934" w14:textId="77777777" w:rsidTr="00A860B9">
        <w:trPr>
          <w:trHeight w:val="345"/>
        </w:trPr>
        <w:tc>
          <w:tcPr>
            <w:tcW w:w="6874" w:type="dxa"/>
            <w:vAlign w:val="center"/>
          </w:tcPr>
          <w:p w14:paraId="7DE5DF08" w14:textId="77777777" w:rsidR="00736708" w:rsidRPr="00736708" w:rsidRDefault="00736708" w:rsidP="00736708">
            <w:pPr>
              <w:spacing w:line="240" w:lineRule="auto"/>
              <w:ind w:firstLine="0"/>
              <w:rPr>
                <w:rFonts w:ascii="Times New Roman" w:eastAsia="Times New Roman" w:hAnsi="Times New Roman" w:cs="Times New Roman"/>
                <w:b/>
                <w:sz w:val="20"/>
                <w:szCs w:val="20"/>
                <w:lang w:val="pt-PT" w:eastAsia="pt-BR"/>
              </w:rPr>
            </w:pPr>
            <w:r w:rsidRPr="00736708">
              <w:rPr>
                <w:rFonts w:ascii="Times New Roman" w:eastAsia="Times New Roman" w:hAnsi="Times New Roman" w:cs="Times New Roman"/>
                <w:b/>
                <w:sz w:val="20"/>
                <w:szCs w:val="20"/>
                <w:lang w:val="pt-PT" w:eastAsia="pt-BR"/>
              </w:rPr>
              <w:t>11 – DISTRIBUIÇÃO DO VALOR ADICIONADO *</w:t>
            </w:r>
          </w:p>
        </w:tc>
        <w:tc>
          <w:tcPr>
            <w:tcW w:w="1134" w:type="dxa"/>
            <w:vAlign w:val="center"/>
          </w:tcPr>
          <w:p w14:paraId="76AA2AD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793B755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1D664E2F" w14:textId="77777777" w:rsidTr="00A860B9">
        <w:trPr>
          <w:trHeight w:val="345"/>
        </w:trPr>
        <w:tc>
          <w:tcPr>
            <w:tcW w:w="6874" w:type="dxa"/>
            <w:vAlign w:val="center"/>
          </w:tcPr>
          <w:p w14:paraId="0A6C7592"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11.1) Pessoal</w:t>
            </w:r>
          </w:p>
        </w:tc>
        <w:tc>
          <w:tcPr>
            <w:tcW w:w="1134" w:type="dxa"/>
            <w:vAlign w:val="center"/>
          </w:tcPr>
          <w:p w14:paraId="7DE7283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7FFDA4C"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48B9E89F" w14:textId="77777777" w:rsidTr="00A860B9">
        <w:trPr>
          <w:trHeight w:val="345"/>
        </w:trPr>
        <w:tc>
          <w:tcPr>
            <w:tcW w:w="6874" w:type="dxa"/>
            <w:vAlign w:val="center"/>
          </w:tcPr>
          <w:p w14:paraId="78D219DE"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11.1.1 – Remuneração direta</w:t>
            </w:r>
          </w:p>
        </w:tc>
        <w:tc>
          <w:tcPr>
            <w:tcW w:w="1134" w:type="dxa"/>
            <w:vAlign w:val="center"/>
          </w:tcPr>
          <w:p w14:paraId="2F374DB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77AD26E4"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CC2986C" w14:textId="77777777" w:rsidTr="00A860B9">
        <w:trPr>
          <w:trHeight w:val="345"/>
        </w:trPr>
        <w:tc>
          <w:tcPr>
            <w:tcW w:w="6874" w:type="dxa"/>
            <w:vAlign w:val="center"/>
          </w:tcPr>
          <w:p w14:paraId="1F1DF5E7"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11.1.2 – Benefícios</w:t>
            </w:r>
          </w:p>
        </w:tc>
        <w:tc>
          <w:tcPr>
            <w:tcW w:w="1134" w:type="dxa"/>
            <w:vAlign w:val="center"/>
          </w:tcPr>
          <w:p w14:paraId="5B6F6619"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5BACBC59"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496E8CBB" w14:textId="77777777" w:rsidTr="00A860B9">
        <w:trPr>
          <w:trHeight w:val="345"/>
        </w:trPr>
        <w:tc>
          <w:tcPr>
            <w:tcW w:w="6874" w:type="dxa"/>
            <w:vAlign w:val="center"/>
          </w:tcPr>
          <w:p w14:paraId="205E24E7"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11.1.3 – F.G.T.S</w:t>
            </w:r>
          </w:p>
        </w:tc>
        <w:tc>
          <w:tcPr>
            <w:tcW w:w="1134" w:type="dxa"/>
            <w:vAlign w:val="center"/>
          </w:tcPr>
          <w:p w14:paraId="56BA783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AA224E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6D3A65E0" w14:textId="77777777" w:rsidTr="00A860B9">
        <w:trPr>
          <w:trHeight w:val="345"/>
        </w:trPr>
        <w:tc>
          <w:tcPr>
            <w:tcW w:w="6874" w:type="dxa"/>
            <w:vAlign w:val="center"/>
          </w:tcPr>
          <w:p w14:paraId="3119C178"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11.2) Impostos, taxas e contribuições</w:t>
            </w:r>
          </w:p>
        </w:tc>
        <w:tc>
          <w:tcPr>
            <w:tcW w:w="1134" w:type="dxa"/>
            <w:vAlign w:val="center"/>
          </w:tcPr>
          <w:p w14:paraId="441FE2C6"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64B990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1EF4E91" w14:textId="77777777" w:rsidTr="00A860B9">
        <w:trPr>
          <w:trHeight w:val="345"/>
        </w:trPr>
        <w:tc>
          <w:tcPr>
            <w:tcW w:w="6874" w:type="dxa"/>
            <w:vAlign w:val="center"/>
          </w:tcPr>
          <w:p w14:paraId="74633563"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11.2.1 – Federais</w:t>
            </w:r>
          </w:p>
        </w:tc>
        <w:tc>
          <w:tcPr>
            <w:tcW w:w="1134" w:type="dxa"/>
            <w:vAlign w:val="center"/>
          </w:tcPr>
          <w:p w14:paraId="1D04104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3FF12A44"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E547024" w14:textId="77777777" w:rsidTr="00A860B9">
        <w:trPr>
          <w:trHeight w:val="345"/>
        </w:trPr>
        <w:tc>
          <w:tcPr>
            <w:tcW w:w="6874" w:type="dxa"/>
            <w:vAlign w:val="center"/>
          </w:tcPr>
          <w:p w14:paraId="74A5DEAC"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11.2.2 – Estaduais</w:t>
            </w:r>
          </w:p>
        </w:tc>
        <w:tc>
          <w:tcPr>
            <w:tcW w:w="1134" w:type="dxa"/>
            <w:vAlign w:val="center"/>
          </w:tcPr>
          <w:p w14:paraId="1A5C701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6743C7CA"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313E6C76" w14:textId="77777777" w:rsidTr="00A860B9">
        <w:trPr>
          <w:trHeight w:val="345"/>
        </w:trPr>
        <w:tc>
          <w:tcPr>
            <w:tcW w:w="6874" w:type="dxa"/>
            <w:vAlign w:val="center"/>
          </w:tcPr>
          <w:p w14:paraId="785EF429"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11.2.3 – Municipais</w:t>
            </w:r>
          </w:p>
        </w:tc>
        <w:tc>
          <w:tcPr>
            <w:tcW w:w="1134" w:type="dxa"/>
            <w:vAlign w:val="center"/>
          </w:tcPr>
          <w:p w14:paraId="6DC9B5FD"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6E5796B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2E2ABBE0" w14:textId="77777777" w:rsidTr="00A860B9">
        <w:trPr>
          <w:trHeight w:val="345"/>
        </w:trPr>
        <w:tc>
          <w:tcPr>
            <w:tcW w:w="6874" w:type="dxa"/>
            <w:vAlign w:val="center"/>
          </w:tcPr>
          <w:p w14:paraId="42D3AD54"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11.3) Remuneração de capitais de terceiros</w:t>
            </w:r>
          </w:p>
        </w:tc>
        <w:tc>
          <w:tcPr>
            <w:tcW w:w="1134" w:type="dxa"/>
            <w:vAlign w:val="center"/>
          </w:tcPr>
          <w:p w14:paraId="4DAD4DC6"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0C8D921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B686B40" w14:textId="77777777" w:rsidTr="00A860B9">
        <w:trPr>
          <w:trHeight w:val="345"/>
        </w:trPr>
        <w:tc>
          <w:tcPr>
            <w:tcW w:w="6874" w:type="dxa"/>
            <w:vAlign w:val="center"/>
          </w:tcPr>
          <w:p w14:paraId="38763E57"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11.3.1 – Juros</w:t>
            </w:r>
          </w:p>
        </w:tc>
        <w:tc>
          <w:tcPr>
            <w:tcW w:w="1134" w:type="dxa"/>
            <w:vAlign w:val="center"/>
          </w:tcPr>
          <w:p w14:paraId="2B4271C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F131DB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59354586" w14:textId="77777777" w:rsidTr="00A860B9">
        <w:trPr>
          <w:trHeight w:val="345"/>
        </w:trPr>
        <w:tc>
          <w:tcPr>
            <w:tcW w:w="6874" w:type="dxa"/>
            <w:vAlign w:val="center"/>
          </w:tcPr>
          <w:p w14:paraId="3FE72156"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11.3.2 – Aluguéis</w:t>
            </w:r>
          </w:p>
        </w:tc>
        <w:tc>
          <w:tcPr>
            <w:tcW w:w="1134" w:type="dxa"/>
            <w:vAlign w:val="center"/>
          </w:tcPr>
          <w:p w14:paraId="20F6A4BB"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311A4E29"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3DF11805" w14:textId="77777777" w:rsidTr="00A860B9">
        <w:trPr>
          <w:trHeight w:val="345"/>
        </w:trPr>
        <w:tc>
          <w:tcPr>
            <w:tcW w:w="6874" w:type="dxa"/>
            <w:vAlign w:val="center"/>
          </w:tcPr>
          <w:p w14:paraId="6BB8FC38"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11.3.3 – Outras</w:t>
            </w:r>
          </w:p>
        </w:tc>
        <w:tc>
          <w:tcPr>
            <w:tcW w:w="1134" w:type="dxa"/>
            <w:vAlign w:val="center"/>
          </w:tcPr>
          <w:p w14:paraId="32B0E8A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7DB2A43"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091FB97" w14:textId="77777777" w:rsidTr="00A860B9">
        <w:trPr>
          <w:trHeight w:val="345"/>
        </w:trPr>
        <w:tc>
          <w:tcPr>
            <w:tcW w:w="6874" w:type="dxa"/>
            <w:vAlign w:val="center"/>
          </w:tcPr>
          <w:p w14:paraId="65333CD3"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11.4) Remuneração de Capitais Próprios</w:t>
            </w:r>
          </w:p>
        </w:tc>
        <w:tc>
          <w:tcPr>
            <w:tcW w:w="1134" w:type="dxa"/>
            <w:vAlign w:val="center"/>
          </w:tcPr>
          <w:p w14:paraId="79B14FA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2249B42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3EB152E3" w14:textId="77777777" w:rsidTr="00A860B9">
        <w:trPr>
          <w:trHeight w:val="345"/>
        </w:trPr>
        <w:tc>
          <w:tcPr>
            <w:tcW w:w="6874" w:type="dxa"/>
            <w:vAlign w:val="center"/>
          </w:tcPr>
          <w:p w14:paraId="7B6D9024"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lastRenderedPageBreak/>
              <w:t>11.4.1 – Juros sobre o Capital Próprio</w:t>
            </w:r>
          </w:p>
        </w:tc>
        <w:tc>
          <w:tcPr>
            <w:tcW w:w="1134" w:type="dxa"/>
            <w:vAlign w:val="center"/>
          </w:tcPr>
          <w:p w14:paraId="353FAF7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673A328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65632BB" w14:textId="77777777" w:rsidTr="00A860B9">
        <w:trPr>
          <w:trHeight w:val="345"/>
        </w:trPr>
        <w:tc>
          <w:tcPr>
            <w:tcW w:w="6874" w:type="dxa"/>
            <w:vAlign w:val="center"/>
          </w:tcPr>
          <w:p w14:paraId="33C5B33F"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11.4.2 – Dividendos</w:t>
            </w:r>
          </w:p>
        </w:tc>
        <w:tc>
          <w:tcPr>
            <w:tcW w:w="1134" w:type="dxa"/>
            <w:vAlign w:val="center"/>
          </w:tcPr>
          <w:p w14:paraId="427A3720"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65A1AC27"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0C07ACA8" w14:textId="77777777" w:rsidTr="00A860B9">
        <w:trPr>
          <w:trHeight w:val="345"/>
        </w:trPr>
        <w:tc>
          <w:tcPr>
            <w:tcW w:w="6874" w:type="dxa"/>
            <w:vAlign w:val="center"/>
          </w:tcPr>
          <w:p w14:paraId="33E4EC40"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11.4.3 – Lucros retidos / Prejuízo do exercício</w:t>
            </w:r>
          </w:p>
        </w:tc>
        <w:tc>
          <w:tcPr>
            <w:tcW w:w="1134" w:type="dxa"/>
            <w:vAlign w:val="center"/>
          </w:tcPr>
          <w:p w14:paraId="7048358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1D3B6E6A"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r w:rsidR="00736708" w:rsidRPr="00736708" w14:paraId="633EC850" w14:textId="77777777" w:rsidTr="00A860B9">
        <w:trPr>
          <w:trHeight w:val="345"/>
        </w:trPr>
        <w:tc>
          <w:tcPr>
            <w:tcW w:w="6874" w:type="dxa"/>
            <w:vAlign w:val="center"/>
          </w:tcPr>
          <w:p w14:paraId="1D775BD6" w14:textId="77777777" w:rsidR="00736708" w:rsidRPr="00736708" w:rsidRDefault="00736708" w:rsidP="00736708">
            <w:pPr>
              <w:spacing w:line="240" w:lineRule="auto"/>
              <w:ind w:firstLine="0"/>
              <w:rPr>
                <w:rFonts w:ascii="Times New Roman" w:eastAsia="Times New Roman" w:hAnsi="Times New Roman" w:cs="Times New Roman"/>
                <w:sz w:val="20"/>
                <w:szCs w:val="20"/>
                <w:lang w:val="pt-PT" w:eastAsia="pt-BR"/>
              </w:rPr>
            </w:pPr>
            <w:r w:rsidRPr="00736708">
              <w:rPr>
                <w:rFonts w:ascii="Times New Roman" w:eastAsia="Times New Roman" w:hAnsi="Times New Roman" w:cs="Times New Roman"/>
                <w:sz w:val="20"/>
                <w:szCs w:val="20"/>
                <w:lang w:val="pt-PT" w:eastAsia="pt-BR"/>
              </w:rPr>
              <w:t>11.4.4 – Participação dos não-controladores nos lucros retidos (só p/ consolidação)</w:t>
            </w:r>
          </w:p>
        </w:tc>
        <w:tc>
          <w:tcPr>
            <w:tcW w:w="1134" w:type="dxa"/>
            <w:vAlign w:val="center"/>
          </w:tcPr>
          <w:p w14:paraId="070ADA11"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c>
          <w:tcPr>
            <w:tcW w:w="1134" w:type="dxa"/>
          </w:tcPr>
          <w:p w14:paraId="465C6FEE" w14:textId="77777777" w:rsidR="00736708" w:rsidRPr="00736708" w:rsidRDefault="00736708" w:rsidP="00736708">
            <w:pPr>
              <w:spacing w:line="240" w:lineRule="auto"/>
              <w:ind w:firstLine="0"/>
              <w:jc w:val="right"/>
              <w:rPr>
                <w:rFonts w:ascii="Times New Roman" w:eastAsia="Times New Roman" w:hAnsi="Times New Roman" w:cs="Times New Roman"/>
                <w:sz w:val="20"/>
                <w:szCs w:val="20"/>
                <w:lang w:val="pt-PT" w:eastAsia="pt-BR"/>
              </w:rPr>
            </w:pPr>
          </w:p>
        </w:tc>
      </w:tr>
    </w:tbl>
    <w:p w14:paraId="7A979082" w14:textId="77777777" w:rsidR="00736708" w:rsidRPr="00736708" w:rsidRDefault="00736708" w:rsidP="00736708">
      <w:pPr>
        <w:spacing w:line="240" w:lineRule="auto"/>
        <w:ind w:firstLine="0"/>
        <w:jc w:val="center"/>
        <w:rPr>
          <w:rFonts w:ascii="Times New Roman" w:eastAsia="Times New Roman" w:hAnsi="Times New Roman" w:cs="Times New Roman"/>
          <w:b/>
          <w:lang w:val="pt-PT" w:eastAsia="pt-BR"/>
        </w:rPr>
      </w:pPr>
      <w:r w:rsidRPr="00736708">
        <w:rPr>
          <w:rFonts w:ascii="Times New Roman" w:eastAsia="Times New Roman" w:hAnsi="Times New Roman" w:cs="Times New Roman"/>
          <w:b/>
          <w:lang w:val="pt-PT" w:eastAsia="pt-BR"/>
        </w:rPr>
        <w:t>O total do item 11 deve ser exatamente igual ao item 10.</w:t>
      </w:r>
    </w:p>
    <w:p w14:paraId="066974A0" w14:textId="77777777" w:rsidR="00037E4D" w:rsidRPr="00F93897" w:rsidRDefault="00037E4D" w:rsidP="00B73DC9">
      <w:pPr>
        <w:ind w:firstLine="0"/>
        <w:rPr>
          <w:lang w:val="pt-PT"/>
        </w:rPr>
      </w:pPr>
    </w:p>
    <w:p w14:paraId="5AFED6D0" w14:textId="77777777" w:rsidR="00037E4D" w:rsidRDefault="00037E4D" w:rsidP="52D26694"/>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02412"/>
      <w:docPartObj>
        <w:docPartGallery w:val="Page Numbers (Bottom of Page)"/>
        <w:docPartUnique/>
      </w:docPartObj>
    </w:sdtPr>
    <w:sdtEndPr>
      <w:rPr>
        <w:sz w:val="24"/>
        <w:szCs w:val="24"/>
      </w:rPr>
    </w:sdtEndPr>
    <w:sdtContent>
      <w:p w14:paraId="4F01C67C" w14:textId="785204A3" w:rsidR="00FC0214" w:rsidRDefault="00FC0214">
        <w:pPr>
          <w:pStyle w:val="Rodap"/>
        </w:pPr>
        <w:r w:rsidRPr="00FC0214">
          <w:rPr>
            <w:sz w:val="24"/>
            <w:szCs w:val="24"/>
          </w:rPr>
          <w:fldChar w:fldCharType="begin"/>
        </w:r>
        <w:r w:rsidRPr="00FC0214">
          <w:rPr>
            <w:sz w:val="24"/>
            <w:szCs w:val="24"/>
          </w:rPr>
          <w:instrText>PAGE   \* MERGEFORMAT</w:instrText>
        </w:r>
        <w:r w:rsidRPr="00FC0214">
          <w:rPr>
            <w:sz w:val="24"/>
            <w:szCs w:val="24"/>
          </w:rPr>
          <w:fldChar w:fldCharType="separate"/>
        </w:r>
        <w:r w:rsidR="008A25D5">
          <w:rPr>
            <w:sz w:val="24"/>
            <w:szCs w:val="24"/>
          </w:rPr>
          <w:t>2</w:t>
        </w:r>
        <w:r w:rsidRPr="00FC0214">
          <w:rPr>
            <w:sz w:val="24"/>
            <w:szCs w:val="24"/>
          </w:rPr>
          <w:fldChar w:fldCharType="end"/>
        </w:r>
      </w:p>
    </w:sdtContent>
  </w:sdt>
  <w:p w14:paraId="411B5C2E" w14:textId="77777777" w:rsidR="00FC0214" w:rsidRDefault="00FC02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8A25D5" w:rsidP="00E25581">
    <w:pPr>
      <w:pStyle w:val="Rodap"/>
      <w:spacing w:after="240"/>
    </w:pPr>
    <w:hyperlink r:id="rId2" w:history="1">
      <w:r w:rsidR="0088046F" w:rsidRPr="00ED1FB4">
        <w:rPr>
          <w:rStyle w:val="Hyperlink"/>
        </w:rPr>
        <w:t>www.cvm.gov.br</w:t>
      </w:r>
    </w:hyperlink>
  </w:p>
  <w:p w14:paraId="30857652" w14:textId="37089087" w:rsidR="0088046F" w:rsidRPr="009B69B0" w:rsidRDefault="008A25D5" w:rsidP="008A25D5">
    <w:pPr>
      <w:pStyle w:val="Rodap"/>
      <w:spacing w:after="240"/>
      <w:jc w:val="both"/>
      <w:rPr>
        <w:caps/>
      </w:rPr>
    </w:pPr>
    <w:r w:rsidRPr="008A25D5">
      <w:rPr>
        <w:caps/>
      </w:rPr>
      <w:t>RESOLUÇÃO CVM Nº 117,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8A25D5"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09BB0255"/>
    <w:multiLevelType w:val="hybridMultilevel"/>
    <w:tmpl w:val="47BC8DE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0CD474E"/>
    <w:multiLevelType w:val="hybridMultilevel"/>
    <w:tmpl w:val="81C048C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5E10736"/>
    <w:multiLevelType w:val="hybridMultilevel"/>
    <w:tmpl w:val="A1BE9D4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8"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9"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10" w15:restartNumberingAfterBreak="0">
    <w:nsid w:val="466020B6"/>
    <w:multiLevelType w:val="hybridMultilevel"/>
    <w:tmpl w:val="1CD0B55C"/>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F245287"/>
    <w:multiLevelType w:val="hybridMultilevel"/>
    <w:tmpl w:val="94481E1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1CE0B91"/>
    <w:multiLevelType w:val="hybridMultilevel"/>
    <w:tmpl w:val="EAA45844"/>
    <w:lvl w:ilvl="0" w:tplc="3D0EA8B0">
      <w:start w:val="1"/>
      <w:numFmt w:val="decimal"/>
      <w:lvlText w:val="%1"/>
      <w:lvlJc w:val="left"/>
      <w:pPr>
        <w:tabs>
          <w:tab w:val="num" w:pos="510"/>
        </w:tabs>
        <w:ind w:left="510" w:hanging="510"/>
      </w:pPr>
      <w:rPr>
        <w:rFonts w:ascii="Times New Roman" w:hAnsi="Times New Roman" w:hint="default"/>
        <w:b w:val="0"/>
        <w:i w:val="0"/>
        <w:sz w:val="24"/>
        <w:szCs w:val="24"/>
      </w:rPr>
    </w:lvl>
    <w:lvl w:ilvl="1" w:tplc="BF383AC4">
      <w:start w:val="1"/>
      <w:numFmt w:val="lowerLetter"/>
      <w:lvlText w:val="(%2)"/>
      <w:lvlJc w:val="left"/>
      <w:pPr>
        <w:tabs>
          <w:tab w:val="num" w:pos="1215"/>
        </w:tabs>
        <w:ind w:left="1215" w:hanging="495"/>
      </w:pPr>
      <w:rPr>
        <w:rFonts w:hint="default"/>
        <w:b w:val="0"/>
        <w:i w:val="0"/>
        <w:sz w:val="24"/>
        <w:szCs w:val="24"/>
      </w:rPr>
    </w:lvl>
    <w:lvl w:ilvl="2" w:tplc="D27EDB28">
      <w:start w:val="1"/>
      <w:numFmt w:val="lowerLetter"/>
      <w:lvlText w:val="(%3)"/>
      <w:lvlJc w:val="left"/>
      <w:pPr>
        <w:tabs>
          <w:tab w:val="num" w:pos="1980"/>
        </w:tabs>
        <w:ind w:left="1980" w:hanging="360"/>
      </w:pPr>
      <w:rPr>
        <w:rFonts w:hint="default"/>
        <w:b w:val="0"/>
        <w:i/>
        <w:sz w:val="24"/>
        <w:szCs w:val="24"/>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15"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6" w15:restartNumberingAfterBreak="0">
    <w:nsid w:val="5B993488"/>
    <w:multiLevelType w:val="hybridMultilevel"/>
    <w:tmpl w:val="EEEC8986"/>
    <w:lvl w:ilvl="0" w:tplc="68A03686">
      <w:start w:val="1"/>
      <w:numFmt w:val="bullet"/>
      <w:lvlText w:val=""/>
      <w:lvlJc w:val="left"/>
      <w:pPr>
        <w:tabs>
          <w:tab w:val="num" w:pos="1080"/>
        </w:tabs>
        <w:ind w:left="1080" w:hanging="360"/>
      </w:pPr>
      <w:rPr>
        <w:rFonts w:ascii="Wingdings" w:hAnsi="Wingdings" w:hint="default"/>
        <w:color w:val="auto"/>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8"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9" w15:restartNumberingAfterBreak="0">
    <w:nsid w:val="6BF26DBD"/>
    <w:multiLevelType w:val="hybridMultilevel"/>
    <w:tmpl w:val="5F7C7BBE"/>
    <w:lvl w:ilvl="0" w:tplc="04160001">
      <w:start w:val="1"/>
      <w:numFmt w:val="bullet"/>
      <w:lvlText w:val=""/>
      <w:lvlJc w:val="left"/>
      <w:pPr>
        <w:tabs>
          <w:tab w:val="num" w:pos="1470"/>
        </w:tabs>
        <w:ind w:left="1470" w:hanging="360"/>
      </w:pPr>
      <w:rPr>
        <w:rFonts w:ascii="Symbol" w:hAnsi="Symbol" w:hint="default"/>
      </w:rPr>
    </w:lvl>
    <w:lvl w:ilvl="1" w:tplc="04160003" w:tentative="1">
      <w:start w:val="1"/>
      <w:numFmt w:val="bullet"/>
      <w:lvlText w:val="o"/>
      <w:lvlJc w:val="left"/>
      <w:pPr>
        <w:tabs>
          <w:tab w:val="num" w:pos="2190"/>
        </w:tabs>
        <w:ind w:left="2190" w:hanging="360"/>
      </w:pPr>
      <w:rPr>
        <w:rFonts w:ascii="Courier New" w:hAnsi="Courier New" w:cs="Courier New" w:hint="default"/>
      </w:rPr>
    </w:lvl>
    <w:lvl w:ilvl="2" w:tplc="04160005" w:tentative="1">
      <w:start w:val="1"/>
      <w:numFmt w:val="bullet"/>
      <w:lvlText w:val=""/>
      <w:lvlJc w:val="left"/>
      <w:pPr>
        <w:tabs>
          <w:tab w:val="num" w:pos="2910"/>
        </w:tabs>
        <w:ind w:left="2910" w:hanging="360"/>
      </w:pPr>
      <w:rPr>
        <w:rFonts w:ascii="Wingdings" w:hAnsi="Wingdings" w:hint="default"/>
      </w:rPr>
    </w:lvl>
    <w:lvl w:ilvl="3" w:tplc="04160001" w:tentative="1">
      <w:start w:val="1"/>
      <w:numFmt w:val="bullet"/>
      <w:lvlText w:val=""/>
      <w:lvlJc w:val="left"/>
      <w:pPr>
        <w:tabs>
          <w:tab w:val="num" w:pos="3630"/>
        </w:tabs>
        <w:ind w:left="3630" w:hanging="360"/>
      </w:pPr>
      <w:rPr>
        <w:rFonts w:ascii="Symbol" w:hAnsi="Symbol" w:hint="default"/>
      </w:rPr>
    </w:lvl>
    <w:lvl w:ilvl="4" w:tplc="04160003" w:tentative="1">
      <w:start w:val="1"/>
      <w:numFmt w:val="bullet"/>
      <w:lvlText w:val="o"/>
      <w:lvlJc w:val="left"/>
      <w:pPr>
        <w:tabs>
          <w:tab w:val="num" w:pos="4350"/>
        </w:tabs>
        <w:ind w:left="4350" w:hanging="360"/>
      </w:pPr>
      <w:rPr>
        <w:rFonts w:ascii="Courier New" w:hAnsi="Courier New" w:cs="Courier New" w:hint="default"/>
      </w:rPr>
    </w:lvl>
    <w:lvl w:ilvl="5" w:tplc="04160005" w:tentative="1">
      <w:start w:val="1"/>
      <w:numFmt w:val="bullet"/>
      <w:lvlText w:val=""/>
      <w:lvlJc w:val="left"/>
      <w:pPr>
        <w:tabs>
          <w:tab w:val="num" w:pos="5070"/>
        </w:tabs>
        <w:ind w:left="5070" w:hanging="360"/>
      </w:pPr>
      <w:rPr>
        <w:rFonts w:ascii="Wingdings" w:hAnsi="Wingdings" w:hint="default"/>
      </w:rPr>
    </w:lvl>
    <w:lvl w:ilvl="6" w:tplc="04160001" w:tentative="1">
      <w:start w:val="1"/>
      <w:numFmt w:val="bullet"/>
      <w:lvlText w:val=""/>
      <w:lvlJc w:val="left"/>
      <w:pPr>
        <w:tabs>
          <w:tab w:val="num" w:pos="5790"/>
        </w:tabs>
        <w:ind w:left="5790" w:hanging="360"/>
      </w:pPr>
      <w:rPr>
        <w:rFonts w:ascii="Symbol" w:hAnsi="Symbol" w:hint="default"/>
      </w:rPr>
    </w:lvl>
    <w:lvl w:ilvl="7" w:tplc="04160003" w:tentative="1">
      <w:start w:val="1"/>
      <w:numFmt w:val="bullet"/>
      <w:lvlText w:val="o"/>
      <w:lvlJc w:val="left"/>
      <w:pPr>
        <w:tabs>
          <w:tab w:val="num" w:pos="6510"/>
        </w:tabs>
        <w:ind w:left="6510" w:hanging="360"/>
      </w:pPr>
      <w:rPr>
        <w:rFonts w:ascii="Courier New" w:hAnsi="Courier New" w:cs="Courier New" w:hint="default"/>
      </w:rPr>
    </w:lvl>
    <w:lvl w:ilvl="8" w:tplc="04160005" w:tentative="1">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6F9D2AD9"/>
    <w:multiLevelType w:val="hybridMultilevel"/>
    <w:tmpl w:val="F0B2676C"/>
    <w:lvl w:ilvl="0" w:tplc="04160001">
      <w:start w:val="1"/>
      <w:numFmt w:val="bullet"/>
      <w:lvlText w:val=""/>
      <w:lvlJc w:val="left"/>
      <w:pPr>
        <w:tabs>
          <w:tab w:val="num" w:pos="1080"/>
        </w:tabs>
        <w:ind w:left="1080" w:hanging="360"/>
      </w:pPr>
      <w:rPr>
        <w:rFonts w:ascii="Symbol" w:hAnsi="Symbol" w:hint="default"/>
        <w:color w:val="auto"/>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22" w15:restartNumberingAfterBreak="0">
    <w:nsid w:val="75C43B8D"/>
    <w:multiLevelType w:val="hybridMultilevel"/>
    <w:tmpl w:val="A4AAA1AC"/>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74449BA"/>
    <w:multiLevelType w:val="hybridMultilevel"/>
    <w:tmpl w:val="B8BC939E"/>
    <w:lvl w:ilvl="0" w:tplc="88663BD6">
      <w:start w:val="1"/>
      <w:numFmt w:val="decimal"/>
      <w:lvlText w:val="%1."/>
      <w:lvlJc w:val="left"/>
      <w:pPr>
        <w:tabs>
          <w:tab w:val="num" w:pos="360"/>
        </w:tabs>
        <w:ind w:left="360" w:hanging="360"/>
      </w:pPr>
      <w:rPr>
        <w:rFonts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E7B00C8"/>
    <w:multiLevelType w:val="hybridMultilevel"/>
    <w:tmpl w:val="2B4E9E1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7"/>
  </w:num>
  <w:num w:numId="3">
    <w:abstractNumId w:val="9"/>
  </w:num>
  <w:num w:numId="4">
    <w:abstractNumId w:val="14"/>
  </w:num>
  <w:num w:numId="5">
    <w:abstractNumId w:val="21"/>
  </w:num>
  <w:num w:numId="6">
    <w:abstractNumId w:val="18"/>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23"/>
  </w:num>
  <w:num w:numId="14">
    <w:abstractNumId w:val="8"/>
  </w:num>
  <w:num w:numId="15">
    <w:abstractNumId w:val="6"/>
  </w:num>
  <w:num w:numId="16">
    <w:abstractNumId w:val="5"/>
  </w:num>
  <w:num w:numId="17">
    <w:abstractNumId w:val="4"/>
  </w:num>
  <w:num w:numId="18">
    <w:abstractNumId w:val="13"/>
  </w:num>
  <w:num w:numId="19">
    <w:abstractNumId w:val="19"/>
  </w:num>
  <w:num w:numId="20">
    <w:abstractNumId w:val="22"/>
  </w:num>
  <w:num w:numId="21">
    <w:abstractNumId w:val="12"/>
  </w:num>
  <w:num w:numId="22">
    <w:abstractNumId w:val="24"/>
  </w:num>
  <w:num w:numId="23">
    <w:abstractNumId w:val="1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044F9"/>
    <w:rsid w:val="00037E4D"/>
    <w:rsid w:val="00082BE8"/>
    <w:rsid w:val="000B01FD"/>
    <w:rsid w:val="000D01F1"/>
    <w:rsid w:val="001E0083"/>
    <w:rsid w:val="001E283E"/>
    <w:rsid w:val="0024614E"/>
    <w:rsid w:val="00255488"/>
    <w:rsid w:val="002E64EB"/>
    <w:rsid w:val="002E71A3"/>
    <w:rsid w:val="002F08B3"/>
    <w:rsid w:val="002F1D96"/>
    <w:rsid w:val="003262B1"/>
    <w:rsid w:val="003817DB"/>
    <w:rsid w:val="00410B6F"/>
    <w:rsid w:val="0041797C"/>
    <w:rsid w:val="004753C5"/>
    <w:rsid w:val="00486297"/>
    <w:rsid w:val="0049A42F"/>
    <w:rsid w:val="004C55E5"/>
    <w:rsid w:val="004D68A2"/>
    <w:rsid w:val="00507ACC"/>
    <w:rsid w:val="00547A76"/>
    <w:rsid w:val="005649C3"/>
    <w:rsid w:val="005C12BE"/>
    <w:rsid w:val="005D2C60"/>
    <w:rsid w:val="0062279A"/>
    <w:rsid w:val="006270DF"/>
    <w:rsid w:val="006354B4"/>
    <w:rsid w:val="0065401B"/>
    <w:rsid w:val="0065602B"/>
    <w:rsid w:val="00657B55"/>
    <w:rsid w:val="006E1563"/>
    <w:rsid w:val="006E1797"/>
    <w:rsid w:val="006E2484"/>
    <w:rsid w:val="00723551"/>
    <w:rsid w:val="00727062"/>
    <w:rsid w:val="00736708"/>
    <w:rsid w:val="0074428B"/>
    <w:rsid w:val="007447C4"/>
    <w:rsid w:val="0075324A"/>
    <w:rsid w:val="007837EC"/>
    <w:rsid w:val="007A1BDE"/>
    <w:rsid w:val="0081067E"/>
    <w:rsid w:val="00814816"/>
    <w:rsid w:val="008156F7"/>
    <w:rsid w:val="00841BBF"/>
    <w:rsid w:val="00847128"/>
    <w:rsid w:val="0088046F"/>
    <w:rsid w:val="00894689"/>
    <w:rsid w:val="008A15C4"/>
    <w:rsid w:val="008A25D5"/>
    <w:rsid w:val="008A360F"/>
    <w:rsid w:val="008B1164"/>
    <w:rsid w:val="008E5B9D"/>
    <w:rsid w:val="009010FE"/>
    <w:rsid w:val="009164DC"/>
    <w:rsid w:val="00916A1E"/>
    <w:rsid w:val="00942559"/>
    <w:rsid w:val="00956E3B"/>
    <w:rsid w:val="009768AB"/>
    <w:rsid w:val="00990B1B"/>
    <w:rsid w:val="009B69B0"/>
    <w:rsid w:val="009E621A"/>
    <w:rsid w:val="00A60EDE"/>
    <w:rsid w:val="00A70710"/>
    <w:rsid w:val="00A75C28"/>
    <w:rsid w:val="00A767AD"/>
    <w:rsid w:val="00AC7E32"/>
    <w:rsid w:val="00B26D28"/>
    <w:rsid w:val="00B35CFD"/>
    <w:rsid w:val="00B53897"/>
    <w:rsid w:val="00B73DC9"/>
    <w:rsid w:val="00BC6747"/>
    <w:rsid w:val="00BD18B1"/>
    <w:rsid w:val="00C1691E"/>
    <w:rsid w:val="00C24B4C"/>
    <w:rsid w:val="00C3231A"/>
    <w:rsid w:val="00C36BBC"/>
    <w:rsid w:val="00C7018D"/>
    <w:rsid w:val="00C82C89"/>
    <w:rsid w:val="00CA5F41"/>
    <w:rsid w:val="00CC6B71"/>
    <w:rsid w:val="00CD0F24"/>
    <w:rsid w:val="00D013CB"/>
    <w:rsid w:val="00D21117"/>
    <w:rsid w:val="00D57B72"/>
    <w:rsid w:val="00DC24B9"/>
    <w:rsid w:val="00DD4D55"/>
    <w:rsid w:val="00DE28A6"/>
    <w:rsid w:val="00E136DD"/>
    <w:rsid w:val="00E25581"/>
    <w:rsid w:val="00E449BD"/>
    <w:rsid w:val="00E4538B"/>
    <w:rsid w:val="00EA436F"/>
    <w:rsid w:val="00ED1FB4"/>
    <w:rsid w:val="00F0408F"/>
    <w:rsid w:val="00F222CA"/>
    <w:rsid w:val="00F50EB3"/>
    <w:rsid w:val="00F93897"/>
    <w:rsid w:val="00FA29E1"/>
    <w:rsid w:val="00FA60BB"/>
    <w:rsid w:val="00FB0115"/>
    <w:rsid w:val="00FB25BB"/>
    <w:rsid w:val="00FC0214"/>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36708"/>
    <w:pPr>
      <w:keepNext/>
      <w:spacing w:before="240" w:after="60" w:line="240" w:lineRule="auto"/>
      <w:ind w:firstLine="0"/>
      <w:outlineLvl w:val="1"/>
    </w:pPr>
    <w:rPr>
      <w:rFonts w:ascii="Arial" w:eastAsia="Times New Roman" w:hAnsi="Arial" w:cs="Arial"/>
      <w:b/>
      <w:bCs/>
      <w:i/>
      <w:iCs/>
      <w:sz w:val="28"/>
      <w:szCs w:val="28"/>
      <w:lang w:val="pt-PT" w:eastAsia="pt-BR"/>
    </w:rPr>
  </w:style>
  <w:style w:type="paragraph" w:styleId="Ttulo3">
    <w:name w:val="heading 3"/>
    <w:basedOn w:val="Normal"/>
    <w:next w:val="Normal"/>
    <w:link w:val="Ttulo3Char"/>
    <w:qFormat/>
    <w:rsid w:val="00736708"/>
    <w:pPr>
      <w:keepNext/>
      <w:spacing w:before="240" w:after="60" w:line="240" w:lineRule="auto"/>
      <w:ind w:firstLine="0"/>
      <w:outlineLvl w:val="2"/>
    </w:pPr>
    <w:rPr>
      <w:rFonts w:ascii="Arial" w:eastAsia="Times New Roman" w:hAnsi="Arial" w:cs="Arial"/>
      <w:b/>
      <w:bCs/>
      <w:sz w:val="26"/>
      <w:szCs w:val="26"/>
      <w:lang w:val="pt-PT" w:eastAsia="pt-BR"/>
    </w:rPr>
  </w:style>
  <w:style w:type="paragraph" w:styleId="Ttulo4">
    <w:name w:val="heading 4"/>
    <w:basedOn w:val="Normal"/>
    <w:next w:val="Normal"/>
    <w:link w:val="Ttulo4Char"/>
    <w:qFormat/>
    <w:rsid w:val="00736708"/>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736708"/>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unhideWhenUsed/>
    <w:qFormat/>
    <w:rsid w:val="00F9389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736708"/>
    <w:pPr>
      <w:spacing w:before="240" w:after="60" w:line="240" w:lineRule="auto"/>
      <w:ind w:firstLine="0"/>
      <w:jc w:val="left"/>
      <w:outlineLvl w:val="6"/>
    </w:pPr>
    <w:rPr>
      <w:rFonts w:ascii="Times New Roman" w:eastAsia="Times New Roman" w:hAnsi="Times New Roman" w:cs="Times New Roman"/>
      <w:lang w:eastAsia="pt-BR"/>
    </w:rPr>
  </w:style>
  <w:style w:type="paragraph" w:styleId="Ttulo9">
    <w:name w:val="heading 9"/>
    <w:basedOn w:val="Normal"/>
    <w:next w:val="Normal"/>
    <w:link w:val="Ttulo9Char"/>
    <w:qFormat/>
    <w:rsid w:val="00736708"/>
    <w:pPr>
      <w:keepNext/>
      <w:widowControl w:val="0"/>
      <w:autoSpaceDE w:val="0"/>
      <w:autoSpaceDN w:val="0"/>
      <w:adjustRightInd w:val="0"/>
      <w:spacing w:before="0" w:after="0" w:line="240" w:lineRule="auto"/>
      <w:ind w:firstLine="0"/>
      <w:jc w:val="left"/>
      <w:outlineLvl w:val="8"/>
    </w:pPr>
    <w:rPr>
      <w:rFonts w:ascii="Arial" w:eastAsia="Times New Roman" w:hAnsi="Arial" w:cs="Arial"/>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6Char">
    <w:name w:val="Título 6 Char"/>
    <w:basedOn w:val="Fontepargpadro"/>
    <w:link w:val="Ttulo6"/>
    <w:rsid w:val="00F93897"/>
    <w:rPr>
      <w:rFonts w:asciiTheme="majorHAnsi" w:eastAsiaTheme="majorEastAsia" w:hAnsiTheme="majorHAnsi" w:cstheme="majorBidi"/>
      <w:color w:val="243F60" w:themeColor="accent1" w:themeShade="7F"/>
      <w:sz w:val="24"/>
      <w:szCs w:val="24"/>
    </w:rPr>
  </w:style>
  <w:style w:type="character" w:customStyle="1" w:styleId="Ttulo2Char">
    <w:name w:val="Título 2 Char"/>
    <w:basedOn w:val="Fontepargpadro"/>
    <w:link w:val="Ttulo2"/>
    <w:rsid w:val="00736708"/>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736708"/>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736708"/>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736708"/>
    <w:rPr>
      <w:rFonts w:ascii="Arial" w:eastAsia="Times New Roman" w:hAnsi="Arial" w:cs="Times New Roman"/>
      <w:b/>
      <w:bCs/>
      <w:i/>
      <w:iCs/>
      <w:sz w:val="26"/>
      <w:szCs w:val="26"/>
      <w:lang w:val="pt-PT" w:eastAsia="pt-BR"/>
    </w:rPr>
  </w:style>
  <w:style w:type="character" w:customStyle="1" w:styleId="Ttulo7Char">
    <w:name w:val="Título 7 Char"/>
    <w:basedOn w:val="Fontepargpadro"/>
    <w:link w:val="Ttulo7"/>
    <w:rsid w:val="00736708"/>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736708"/>
    <w:rPr>
      <w:rFonts w:ascii="Arial" w:eastAsia="Times New Roman" w:hAnsi="Arial" w:cs="Arial"/>
      <w:sz w:val="28"/>
      <w:szCs w:val="24"/>
      <w:lang w:eastAsia="pt-BR"/>
    </w:rPr>
  </w:style>
  <w:style w:type="numbering" w:customStyle="1" w:styleId="Semlista1">
    <w:name w:val="Sem lista1"/>
    <w:next w:val="Semlista"/>
    <w:semiHidden/>
    <w:unhideWhenUsed/>
    <w:rsid w:val="00736708"/>
  </w:style>
  <w:style w:type="paragraph" w:styleId="Textoembloco">
    <w:name w:val="Block Text"/>
    <w:basedOn w:val="Normal"/>
    <w:rsid w:val="00736708"/>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character" w:styleId="Refdecomentrio">
    <w:name w:val="annotation reference"/>
    <w:basedOn w:val="Fontepargpadro"/>
    <w:semiHidden/>
    <w:rsid w:val="00736708"/>
    <w:rPr>
      <w:sz w:val="16"/>
    </w:rPr>
  </w:style>
  <w:style w:type="paragraph" w:styleId="Textodecomentrio">
    <w:name w:val="annotation text"/>
    <w:basedOn w:val="Normal"/>
    <w:link w:val="TextodecomentrioChar"/>
    <w:semiHidden/>
    <w:rsid w:val="00736708"/>
    <w:pPr>
      <w:spacing w:before="0" w:after="0" w:line="240" w:lineRule="auto"/>
      <w:ind w:firstLine="0"/>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semiHidden/>
    <w:rsid w:val="00736708"/>
    <w:rPr>
      <w:rFonts w:ascii="Times New Roman" w:eastAsia="Times New Roman" w:hAnsi="Times New Roman" w:cs="Times New Roman"/>
      <w:sz w:val="20"/>
      <w:szCs w:val="20"/>
    </w:rPr>
  </w:style>
  <w:style w:type="paragraph" w:customStyle="1" w:styleId="Recuonormal1">
    <w:name w:val="Recuo normal1"/>
    <w:basedOn w:val="Normal"/>
    <w:rsid w:val="00736708"/>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rsid w:val="00736708"/>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Assuntodocomentrio">
    <w:name w:val="annotation subject"/>
    <w:basedOn w:val="Textodecomentrio"/>
    <w:next w:val="Textodecomentrio"/>
    <w:link w:val="AssuntodocomentrioChar"/>
    <w:semiHidden/>
    <w:rsid w:val="00736708"/>
    <w:pPr>
      <w:spacing w:before="120" w:after="120"/>
    </w:pPr>
    <w:rPr>
      <w:rFonts w:ascii="Arial" w:hAnsi="Arial"/>
      <w:b/>
      <w:bCs/>
      <w:lang w:val="pt-PT" w:eastAsia="pt-BR"/>
    </w:rPr>
  </w:style>
  <w:style w:type="character" w:customStyle="1" w:styleId="AssuntodocomentrioChar">
    <w:name w:val="Assunto do comentário Char"/>
    <w:basedOn w:val="TextodecomentrioChar"/>
    <w:link w:val="Assuntodocomentrio"/>
    <w:semiHidden/>
    <w:rsid w:val="00736708"/>
    <w:rPr>
      <w:rFonts w:ascii="Arial" w:eastAsia="Times New Roman" w:hAnsi="Arial" w:cs="Times New Roman"/>
      <w:b/>
      <w:bCs/>
      <w:sz w:val="20"/>
      <w:szCs w:val="20"/>
      <w:lang w:val="pt-PT" w:eastAsia="pt-BR"/>
    </w:rPr>
  </w:style>
  <w:style w:type="paragraph" w:styleId="Corpodetexto">
    <w:name w:val="Body Text"/>
    <w:basedOn w:val="Normal"/>
    <w:link w:val="CorpodetextoChar"/>
    <w:rsid w:val="00736708"/>
    <w:pPr>
      <w:spacing w:before="0" w:after="0" w:line="240" w:lineRule="auto"/>
      <w:ind w:firstLine="0"/>
    </w:pPr>
    <w:rPr>
      <w:rFonts w:ascii="Times New Roman" w:eastAsia="Times New Roman" w:hAnsi="Times New Roman" w:cs="Times New Roman"/>
      <w:sz w:val="22"/>
      <w:szCs w:val="22"/>
      <w:lang w:eastAsia="pt-BR"/>
    </w:rPr>
  </w:style>
  <w:style w:type="character" w:customStyle="1" w:styleId="CorpodetextoChar">
    <w:name w:val="Corpo de texto Char"/>
    <w:basedOn w:val="Fontepargpadro"/>
    <w:link w:val="Corpodetexto"/>
    <w:rsid w:val="00736708"/>
    <w:rPr>
      <w:rFonts w:ascii="Times New Roman" w:eastAsia="Times New Roman" w:hAnsi="Times New Roman" w:cs="Times New Roman"/>
      <w:lang w:eastAsia="pt-BR"/>
    </w:rPr>
  </w:style>
  <w:style w:type="character" w:customStyle="1" w:styleId="grame">
    <w:name w:val="grame"/>
    <w:basedOn w:val="Fontepargpadro"/>
    <w:rsid w:val="00736708"/>
  </w:style>
  <w:style w:type="character" w:customStyle="1" w:styleId="spelle">
    <w:name w:val="spelle"/>
    <w:basedOn w:val="Fontepargpadro"/>
    <w:rsid w:val="00736708"/>
  </w:style>
  <w:style w:type="paragraph" w:customStyle="1" w:styleId="paragraph">
    <w:name w:val="paragraph"/>
    <w:basedOn w:val="Normal"/>
    <w:next w:val="Normal"/>
    <w:rsid w:val="00736708"/>
    <w:pPr>
      <w:widowControl w:val="0"/>
      <w:spacing w:before="0" w:after="0" w:line="240" w:lineRule="auto"/>
      <w:ind w:left="432" w:hanging="432"/>
    </w:pPr>
    <w:rPr>
      <w:rFonts w:ascii="Times New Roman" w:eastAsia="Times New Roman" w:hAnsi="Times New Roman" w:cs="Times New Roman"/>
      <w:sz w:val="20"/>
      <w:szCs w:val="20"/>
    </w:rPr>
  </w:style>
  <w:style w:type="table" w:customStyle="1" w:styleId="Tabelacomgrade1">
    <w:name w:val="Tabela com grade1"/>
    <w:basedOn w:val="Tabelanormal"/>
    <w:next w:val="Tabelacomgrade"/>
    <w:rsid w:val="007367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36708"/>
  </w:style>
  <w:style w:type="paragraph" w:customStyle="1" w:styleId="Normal1">
    <w:name w:val="Normal1"/>
    <w:basedOn w:val="Normal"/>
    <w:rsid w:val="00736708"/>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736708"/>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736708"/>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rsid w:val="00736708"/>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rsid w:val="00736708"/>
    <w:rPr>
      <w:rFonts w:ascii="Times New Roman" w:eastAsia="Times New Roman" w:hAnsi="Times New Roman" w:cs="Times New Roman"/>
      <w:sz w:val="20"/>
      <w:szCs w:val="24"/>
    </w:rPr>
  </w:style>
  <w:style w:type="paragraph" w:styleId="Recuodecorpodetexto2">
    <w:name w:val="Body Text Indent 2"/>
    <w:basedOn w:val="Normal"/>
    <w:link w:val="Recuodecorpodetexto2Char"/>
    <w:rsid w:val="00736708"/>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rsid w:val="00736708"/>
    <w:rPr>
      <w:rFonts w:ascii="Times New Roman" w:eastAsia="SimSun" w:hAnsi="Times New Roman" w:cs="Times New Roman"/>
      <w:sz w:val="24"/>
      <w:szCs w:val="24"/>
      <w:lang w:val="en-US" w:eastAsia="zh-CN"/>
    </w:rPr>
  </w:style>
  <w:style w:type="paragraph" w:customStyle="1" w:styleId="15-BulletNvel1">
    <w:name w:val="15 - «Bullet» Nível 1"/>
    <w:basedOn w:val="Normal"/>
    <w:rsid w:val="00736708"/>
    <w:pPr>
      <w:numPr>
        <w:numId w:val="14"/>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736708"/>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736708"/>
    <w:pPr>
      <w:spacing w:before="200"/>
    </w:pPr>
    <w:rPr>
      <w:rFonts w:ascii="Arial" w:hAnsi="Arial" w:cs="Arial"/>
    </w:rPr>
  </w:style>
  <w:style w:type="paragraph" w:customStyle="1" w:styleId="IASBTitle">
    <w:name w:val="IASB Title"/>
    <w:basedOn w:val="IASBNormal"/>
    <w:rsid w:val="00736708"/>
    <w:pPr>
      <w:keepNext/>
      <w:keepLines/>
      <w:spacing w:before="300" w:after="400"/>
      <w:jc w:val="left"/>
    </w:pPr>
    <w:rPr>
      <w:rFonts w:ascii="Arial" w:hAnsi="Arial" w:cs="Arial"/>
      <w:b/>
      <w:sz w:val="36"/>
    </w:rPr>
  </w:style>
  <w:style w:type="paragraph" w:customStyle="1" w:styleId="IASBSectionTitleU">
    <w:name w:val="IASB Section Title U"/>
    <w:basedOn w:val="IASBTitle"/>
    <w:rsid w:val="00736708"/>
    <w:pPr>
      <w:pBdr>
        <w:bottom w:val="single" w:sz="4" w:space="0" w:color="auto"/>
      </w:pBdr>
      <w:spacing w:before="400" w:after="200"/>
    </w:pPr>
    <w:rPr>
      <w:sz w:val="26"/>
    </w:rPr>
  </w:style>
  <w:style w:type="paragraph" w:customStyle="1" w:styleId="IASBNote">
    <w:name w:val="IASB Note"/>
    <w:basedOn w:val="IASBNormal"/>
    <w:rsid w:val="00736708"/>
    <w:rPr>
      <w:i/>
    </w:rPr>
  </w:style>
  <w:style w:type="paragraph" w:customStyle="1" w:styleId="IASBFootnoteText">
    <w:name w:val="IASB Footnote Text"/>
    <w:basedOn w:val="IASBNormal"/>
    <w:rsid w:val="00736708"/>
    <w:pPr>
      <w:spacing w:before="0" w:after="60"/>
      <w:ind w:left="284" w:hanging="284"/>
    </w:pPr>
    <w:rPr>
      <w:sz w:val="16"/>
    </w:rPr>
  </w:style>
  <w:style w:type="table" w:customStyle="1" w:styleId="IASBInsideTable">
    <w:name w:val="IASB Inside Table"/>
    <w:rsid w:val="00736708"/>
    <w:pPr>
      <w:spacing w:after="0" w:line="240" w:lineRule="auto"/>
    </w:pPr>
    <w:rPr>
      <w:rFonts w:ascii="Times New Roman" w:eastAsia="Times New Roman" w:hAnsi="Times New Roman" w:cs="Times New Roman"/>
      <w:sz w:val="20"/>
      <w:szCs w:val="20"/>
      <w:lang w:eastAsia="pt-BR"/>
    </w:rPr>
    <w:tblPr>
      <w:tblOverlap w:val="never"/>
      <w:tblCellMar>
        <w:top w:w="10" w:type="dxa"/>
        <w:left w:w="50" w:type="dxa"/>
        <w:bottom w:w="5" w:type="dxa"/>
        <w:right w:w="50" w:type="dxa"/>
      </w:tblCellMar>
    </w:tblPr>
  </w:style>
  <w:style w:type="paragraph" w:customStyle="1" w:styleId="DaveIASBSubsectionTitle">
    <w:name w:val="Dave IASB Subsection Title"/>
    <w:basedOn w:val="IASBTitle"/>
    <w:rsid w:val="00736708"/>
    <w:pPr>
      <w:spacing w:after="200"/>
      <w:ind w:left="780"/>
    </w:pPr>
    <w:rPr>
      <w:sz w:val="26"/>
    </w:rPr>
  </w:style>
  <w:style w:type="paragraph" w:styleId="MapadoDocumento">
    <w:name w:val="Document Map"/>
    <w:basedOn w:val="Normal"/>
    <w:link w:val="MapadoDocumentoChar"/>
    <w:semiHidden/>
    <w:rsid w:val="00736708"/>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736708"/>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736708"/>
    <w:pPr>
      <w:spacing w:before="0" w:after="160" w:line="240" w:lineRule="exact"/>
      <w:ind w:firstLine="0"/>
      <w:jc w:val="left"/>
    </w:pPr>
    <w:rPr>
      <w:rFonts w:ascii="Verdana" w:eastAsia="SimSun" w:hAnsi="Verdana" w:cs="Times New Roman"/>
      <w:sz w:val="20"/>
      <w:szCs w:val="20"/>
      <w:lang w:eastAsia="es-AR"/>
    </w:rPr>
  </w:style>
  <w:style w:type="paragraph" w:styleId="Recuodecorpodetexto3">
    <w:name w:val="Body Text Indent 3"/>
    <w:basedOn w:val="Normal"/>
    <w:link w:val="Recuodecorpodetexto3Char"/>
    <w:rsid w:val="00736708"/>
    <w:pPr>
      <w:spacing w:line="240" w:lineRule="auto"/>
      <w:ind w:left="283" w:firstLine="0"/>
    </w:pPr>
    <w:rPr>
      <w:rFonts w:ascii="Arial" w:eastAsia="Times New Roman" w:hAnsi="Arial" w:cs="Times New Roman"/>
      <w:sz w:val="16"/>
      <w:szCs w:val="16"/>
      <w:lang w:val="pt-PT" w:eastAsia="pt-BR"/>
    </w:rPr>
  </w:style>
  <w:style w:type="character" w:customStyle="1" w:styleId="Recuodecorpodetexto3Char">
    <w:name w:val="Recuo de corpo de texto 3 Char"/>
    <w:basedOn w:val="Fontepargpadro"/>
    <w:link w:val="Recuodecorpodetexto3"/>
    <w:rsid w:val="00736708"/>
    <w:rPr>
      <w:rFonts w:ascii="Arial" w:eastAsia="Times New Roman" w:hAnsi="Arial" w:cs="Times New Roman"/>
      <w:sz w:val="16"/>
      <w:szCs w:val="16"/>
      <w:lang w:val="pt-PT" w:eastAsia="pt-BR"/>
    </w:rPr>
  </w:style>
  <w:style w:type="paragraph" w:styleId="Legenda">
    <w:name w:val="caption"/>
    <w:basedOn w:val="Normal"/>
    <w:next w:val="Normal"/>
    <w:qFormat/>
    <w:rsid w:val="00736708"/>
    <w:pPr>
      <w:spacing w:before="0" w:after="0" w:line="240" w:lineRule="auto"/>
      <w:ind w:firstLine="0"/>
      <w:jc w:val="center"/>
    </w:pPr>
    <w:rPr>
      <w:rFonts w:ascii="Times New Roman" w:eastAsia="Times New Roman" w:hAnsi="Times New Roman" w:cs="Times New Roman"/>
      <w:b/>
      <w:sz w:val="32"/>
      <w:szCs w:val="20"/>
      <w:lang w:eastAsia="pt-BR"/>
    </w:rPr>
  </w:style>
  <w:style w:type="paragraph" w:customStyle="1" w:styleId="NormalJustificado">
    <w:name w:val="Normal + Justificado"/>
    <w:aliases w:val="À esquerda:  2,25 cm"/>
    <w:basedOn w:val="Normal"/>
    <w:rsid w:val="00736708"/>
    <w:pPr>
      <w:tabs>
        <w:tab w:val="left" w:pos="1276"/>
      </w:tabs>
      <w:spacing w:before="0" w:after="0" w:line="240" w:lineRule="auto"/>
      <w:ind w:left="708" w:firstLine="708"/>
    </w:pPr>
    <w:rPr>
      <w:rFonts w:ascii="Times New Roman" w:eastAsia="Times New Roman" w:hAnsi="Times New Roman" w:cs="Times New Roman"/>
      <w:sz w:val="20"/>
      <w:szCs w:val="20"/>
      <w:lang w:eastAsia="pt-BR"/>
    </w:rPr>
  </w:style>
  <w:style w:type="paragraph" w:customStyle="1" w:styleId="NormalNegrito">
    <w:name w:val="Normal + Negrito"/>
    <w:aliases w:val="Justificado,Primeira linha:  0,9 cm"/>
    <w:basedOn w:val="Normal"/>
    <w:rsid w:val="00736708"/>
    <w:pPr>
      <w:spacing w:before="0" w:after="0" w:line="240" w:lineRule="auto"/>
      <w:outlineLvl w:val="0"/>
    </w:pPr>
    <w:rPr>
      <w:rFonts w:ascii="Times New Roman" w:eastAsia="Times New Roman" w:hAnsi="Times New Roman" w:cs="Times New Roman"/>
      <w:b/>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2.xml><?xml version="1.0" encoding="utf-8"?>
<ds:datastoreItem xmlns:ds="http://schemas.openxmlformats.org/officeDocument/2006/customXml" ds:itemID="{72E43301-7A17-4B5A-95F5-BF8D91163FE6}">
  <ds:schemaRefs>
    <ds:schemaRef ds:uri="b69b09d8-fb11-4638-84fd-30340ac4eb2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E3DFD72-65B1-4B66-8059-1899E3A2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D31ED-2193-4E89-A48C-B312F44D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5902</Words>
  <Characters>31876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117, DE 3 DE JUNHO DE 2022</dc:title>
  <dc:creator>CVM</dc:creator>
  <cp:lastModifiedBy>Renata dos Santos Leitão</cp:lastModifiedBy>
  <cp:revision>47</cp:revision>
  <dcterms:created xsi:type="dcterms:W3CDTF">2021-02-25T16:00:00Z</dcterms:created>
  <dcterms:modified xsi:type="dcterms:W3CDTF">2022-06-02T18:40:00Z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