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35875B7E"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63683D">
        <w:rPr>
          <w:rFonts w:asciiTheme="minorHAnsi" w:hAnsiTheme="minorHAnsi" w:cstheme="minorHAnsi"/>
          <w:b w:val="0"/>
          <w:bCs w:val="0"/>
          <w:sz w:val="24"/>
        </w:rPr>
        <w:t xml:space="preserve">RESOLUÇÃO CVM Nº </w:t>
      </w:r>
      <w:r w:rsidR="0063683D" w:rsidRPr="0063683D">
        <w:rPr>
          <w:rFonts w:asciiTheme="minorHAnsi" w:hAnsiTheme="minorHAnsi" w:cstheme="minorHAnsi"/>
          <w:b w:val="0"/>
          <w:bCs w:val="0"/>
          <w:sz w:val="24"/>
          <w:lang w:val="pt-BR"/>
        </w:rPr>
        <w:t>105</w:t>
      </w:r>
      <w:r w:rsidR="00202605" w:rsidRPr="0063683D">
        <w:rPr>
          <w:rFonts w:asciiTheme="minorHAnsi" w:hAnsiTheme="minorHAnsi" w:cstheme="minorHAnsi"/>
          <w:b w:val="0"/>
          <w:bCs w:val="0"/>
          <w:sz w:val="24"/>
        </w:rPr>
        <w:t xml:space="preserve">, DE </w:t>
      </w:r>
      <w:r w:rsidR="0063683D" w:rsidRPr="0063683D">
        <w:rPr>
          <w:rFonts w:asciiTheme="minorHAnsi" w:hAnsiTheme="minorHAnsi" w:cstheme="minorHAnsi"/>
          <w:b w:val="0"/>
          <w:bCs w:val="0"/>
          <w:sz w:val="24"/>
          <w:lang w:val="pt-BR"/>
        </w:rPr>
        <w:t>2</w:t>
      </w:r>
      <w:r w:rsidR="00FE64B7">
        <w:rPr>
          <w:rFonts w:asciiTheme="minorHAnsi" w:hAnsiTheme="minorHAnsi" w:cstheme="minorHAnsi"/>
          <w:b w:val="0"/>
          <w:bCs w:val="0"/>
          <w:sz w:val="24"/>
          <w:lang w:val="pt-BR"/>
        </w:rPr>
        <w:t>0</w:t>
      </w:r>
      <w:r w:rsidR="0063683D" w:rsidRPr="0063683D">
        <w:rPr>
          <w:rFonts w:asciiTheme="minorHAnsi" w:hAnsiTheme="minorHAnsi" w:cstheme="minorHAnsi"/>
          <w:b w:val="0"/>
          <w:bCs w:val="0"/>
          <w:sz w:val="24"/>
          <w:lang w:val="pt-BR"/>
        </w:rPr>
        <w:t xml:space="preserve"> </w:t>
      </w:r>
      <w:r w:rsidR="0063683D" w:rsidRPr="0063683D">
        <w:rPr>
          <w:rFonts w:asciiTheme="minorHAnsi" w:hAnsiTheme="minorHAnsi" w:cstheme="minorHAnsi"/>
          <w:b w:val="0"/>
          <w:bCs w:val="0"/>
          <w:sz w:val="24"/>
        </w:rPr>
        <w:t>DE</w:t>
      </w:r>
      <w:r w:rsidR="0063683D" w:rsidRPr="0063683D">
        <w:rPr>
          <w:rFonts w:asciiTheme="minorHAnsi" w:hAnsiTheme="minorHAnsi" w:cstheme="minorHAnsi"/>
          <w:b w:val="0"/>
          <w:bCs w:val="0"/>
          <w:sz w:val="24"/>
          <w:lang w:val="pt-BR"/>
        </w:rPr>
        <w:t xml:space="preserve"> MAIO </w:t>
      </w:r>
      <w:r w:rsidR="00202605" w:rsidRPr="0063683D">
        <w:rPr>
          <w:rFonts w:asciiTheme="minorHAnsi" w:hAnsiTheme="minorHAnsi" w:cstheme="minorHAnsi"/>
          <w:b w:val="0"/>
          <w:bCs w:val="0"/>
          <w:sz w:val="24"/>
        </w:rPr>
        <w:t>DE 202</w:t>
      </w:r>
      <w:r w:rsidR="00202605" w:rsidRPr="0063683D">
        <w:rPr>
          <w:rFonts w:asciiTheme="minorHAnsi" w:hAnsiTheme="minorHAnsi" w:cstheme="minorHAnsi"/>
          <w:b w:val="0"/>
          <w:bCs w:val="0"/>
          <w:sz w:val="24"/>
          <w:lang w:val="pt-BR"/>
        </w:rPr>
        <w:t>2</w:t>
      </w:r>
    </w:p>
    <w:p w14:paraId="5B546EE5" w14:textId="4D6BF9EA"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202605">
        <w:rPr>
          <w:rFonts w:asciiTheme="minorHAnsi" w:hAnsiTheme="minorHAnsi" w:cstheme="minorHAnsi"/>
          <w:iCs/>
          <w:sz w:val="24"/>
        </w:rPr>
        <w:t>a Consolidação d</w:t>
      </w:r>
      <w:r w:rsidRPr="00273211">
        <w:rPr>
          <w:rFonts w:asciiTheme="minorHAnsi" w:hAnsiTheme="minorHAnsi" w:cstheme="minorHAnsi"/>
          <w:iCs/>
          <w:sz w:val="24"/>
        </w:rPr>
        <w:t xml:space="preserve">o Pronunciamento Técnico CPC </w:t>
      </w:r>
      <w:r w:rsidR="00DE043D">
        <w:rPr>
          <w:rFonts w:asciiTheme="minorHAnsi" w:hAnsiTheme="minorHAnsi" w:cstheme="minorHAnsi"/>
          <w:iCs/>
          <w:sz w:val="24"/>
        </w:rPr>
        <w:t>2</w:t>
      </w:r>
      <w:r w:rsidR="00BA411B">
        <w:rPr>
          <w:rFonts w:asciiTheme="minorHAnsi" w:hAnsiTheme="minorHAnsi" w:cstheme="minorHAnsi"/>
          <w:iCs/>
          <w:sz w:val="24"/>
        </w:rPr>
        <w:t>4</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BA411B">
        <w:rPr>
          <w:rFonts w:asciiTheme="minorHAnsi" w:hAnsiTheme="minorHAnsi" w:cstheme="minorHAnsi"/>
          <w:iCs/>
          <w:sz w:val="24"/>
        </w:rPr>
        <w:t>evento subsequente.</w:t>
      </w:r>
      <w:bookmarkStart w:id="0" w:name="_GoBack"/>
      <w:bookmarkEnd w:id="0"/>
    </w:p>
    <w:p w14:paraId="7D45C359" w14:textId="7123FF99"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w:t>
      </w:r>
      <w:r w:rsidR="00202605">
        <w:rPr>
          <w:rFonts w:asciiTheme="minorHAnsi" w:hAnsiTheme="minorHAnsi" w:cstheme="minorHAnsi"/>
          <w:b w:val="0"/>
          <w:bCs w:val="0"/>
          <w:sz w:val="24"/>
        </w:rPr>
        <w:t xml:space="preserve">lizada em </w:t>
      </w:r>
      <w:r w:rsidR="003665A0">
        <w:rPr>
          <w:rFonts w:asciiTheme="minorHAnsi" w:hAnsiTheme="minorHAnsi" w:cstheme="minorHAnsi"/>
          <w:b w:val="0"/>
          <w:bCs w:val="0"/>
          <w:sz w:val="24"/>
          <w:lang w:val="pt-BR"/>
        </w:rPr>
        <w:t xml:space="preserve">14 </w:t>
      </w:r>
      <w:r w:rsidR="00202605">
        <w:rPr>
          <w:rFonts w:asciiTheme="minorHAnsi" w:hAnsiTheme="minorHAnsi" w:cstheme="minorHAnsi"/>
          <w:b w:val="0"/>
          <w:bCs w:val="0"/>
          <w:sz w:val="24"/>
        </w:rPr>
        <w:t xml:space="preserve">de </w:t>
      </w:r>
      <w:r w:rsidR="003665A0">
        <w:rPr>
          <w:rFonts w:asciiTheme="minorHAnsi" w:hAnsiTheme="minorHAnsi" w:cstheme="minorHAnsi"/>
          <w:b w:val="0"/>
          <w:bCs w:val="0"/>
          <w:sz w:val="24"/>
          <w:lang w:val="pt-BR"/>
        </w:rPr>
        <w:t xml:space="preserve">abril </w:t>
      </w:r>
      <w:r w:rsidR="00202605">
        <w:rPr>
          <w:rFonts w:asciiTheme="minorHAnsi" w:hAnsiTheme="minorHAnsi" w:cstheme="minorHAnsi"/>
          <w:b w:val="0"/>
          <w:bCs w:val="0"/>
          <w:sz w:val="24"/>
        </w:rPr>
        <w:t>de 202</w:t>
      </w:r>
      <w:r w:rsidR="00202605">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568B750B"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DE043D">
        <w:rPr>
          <w:rFonts w:asciiTheme="minorHAnsi" w:hAnsiTheme="minorHAnsi" w:cstheme="minorHAnsi"/>
          <w:sz w:val="24"/>
        </w:rPr>
        <w:t>2</w:t>
      </w:r>
      <w:r w:rsidR="00BA411B">
        <w:rPr>
          <w:rFonts w:asciiTheme="minorHAnsi" w:hAnsiTheme="minorHAnsi" w:cstheme="minorHAnsi"/>
          <w:sz w:val="24"/>
        </w:rPr>
        <w:t>4</w:t>
      </w:r>
      <w:r w:rsidR="00202605" w:rsidRPr="00273211">
        <w:rPr>
          <w:rFonts w:asciiTheme="minorHAnsi" w:hAnsiTheme="minorHAnsi" w:cstheme="minorHAnsi"/>
          <w:sz w:val="24"/>
        </w:rPr>
        <w:t xml:space="preserve">, que trata </w:t>
      </w:r>
      <w:r w:rsidR="00202605">
        <w:rPr>
          <w:rFonts w:asciiTheme="minorHAnsi" w:hAnsiTheme="minorHAnsi" w:cstheme="minorHAnsi"/>
          <w:sz w:val="24"/>
        </w:rPr>
        <w:t>de evento subsequente,</w:t>
      </w:r>
      <w:r w:rsidRPr="00273211">
        <w:rPr>
          <w:rFonts w:asciiTheme="minorHAnsi" w:hAnsiTheme="minorHAnsi" w:cstheme="minorHAnsi"/>
          <w:sz w:val="24"/>
        </w:rPr>
        <w:t xml:space="preserve"> emitido pelo Comitê de Pronunciamentos Contábeis - CPC, </w:t>
      </w:r>
      <w:r w:rsidR="00202605">
        <w:rPr>
          <w:rFonts w:asciiTheme="minorHAnsi" w:hAnsiTheme="minorHAnsi" w:cstheme="minorHAnsi"/>
          <w:sz w:val="24"/>
        </w:rPr>
        <w:t xml:space="preserve">conforme consolidado no </w:t>
      </w:r>
      <w:r w:rsidR="00572A94">
        <w:rPr>
          <w:rFonts w:asciiTheme="minorHAnsi" w:hAnsiTheme="minorHAnsi" w:cstheme="minorHAnsi"/>
          <w:sz w:val="24"/>
        </w:rPr>
        <w:t>A</w:t>
      </w:r>
      <w:r w:rsidRPr="00273211">
        <w:rPr>
          <w:rFonts w:asciiTheme="minorHAnsi" w:hAnsiTheme="minorHAnsi" w:cstheme="minorHAnsi"/>
          <w:sz w:val="24"/>
        </w:rPr>
        <w:t>nexo</w:t>
      </w:r>
      <w:r w:rsidR="00202605">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r w:rsidR="00381A25">
        <w:rPr>
          <w:rFonts w:asciiTheme="minorHAnsi" w:hAnsiTheme="minorHAnsi" w:cstheme="minorHAnsi"/>
          <w:sz w:val="24"/>
        </w:rPr>
        <w:t>.</w:t>
      </w:r>
    </w:p>
    <w:p w14:paraId="4E2C13E3" w14:textId="7EAC2681"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C847A0">
        <w:rPr>
          <w:rFonts w:asciiTheme="minorHAnsi" w:hAnsiTheme="minorHAnsi" w:cstheme="minorHAnsi"/>
          <w:color w:val="000000" w:themeColor="text1"/>
          <w:sz w:val="24"/>
        </w:rPr>
        <w:t>5</w:t>
      </w:r>
      <w:r w:rsidR="00BA411B">
        <w:rPr>
          <w:rFonts w:asciiTheme="minorHAnsi" w:hAnsiTheme="minorHAnsi" w:cstheme="minorHAnsi"/>
          <w:color w:val="000000" w:themeColor="text1"/>
          <w:sz w:val="24"/>
        </w:rPr>
        <w:t>93</w:t>
      </w:r>
      <w:r w:rsidRPr="00273211">
        <w:rPr>
          <w:rFonts w:asciiTheme="minorHAnsi" w:hAnsiTheme="minorHAnsi" w:cstheme="minorHAnsi"/>
          <w:color w:val="000000" w:themeColor="text1"/>
          <w:sz w:val="24"/>
        </w:rPr>
        <w:t xml:space="preserve">, de </w:t>
      </w:r>
      <w:r w:rsidR="00BA411B">
        <w:rPr>
          <w:rFonts w:asciiTheme="minorHAnsi" w:hAnsiTheme="minorHAnsi" w:cstheme="minorHAnsi"/>
          <w:color w:val="000000" w:themeColor="text1"/>
          <w:sz w:val="24"/>
        </w:rPr>
        <w:t>15</w:t>
      </w:r>
      <w:r w:rsidRPr="00273211">
        <w:rPr>
          <w:rFonts w:asciiTheme="minorHAnsi" w:hAnsiTheme="minorHAnsi" w:cstheme="minorHAnsi"/>
          <w:color w:val="000000" w:themeColor="text1"/>
          <w:sz w:val="24"/>
        </w:rPr>
        <w:t xml:space="preserve"> de </w:t>
      </w:r>
      <w:r w:rsidR="00BA411B">
        <w:rPr>
          <w:rFonts w:asciiTheme="minorHAnsi" w:hAnsiTheme="minorHAnsi" w:cstheme="minorHAnsi"/>
          <w:color w:val="000000" w:themeColor="text1"/>
          <w:sz w:val="24"/>
        </w:rPr>
        <w:t>setembr</w:t>
      </w:r>
      <w:r w:rsidR="00381A25">
        <w:rPr>
          <w:rFonts w:asciiTheme="minorHAnsi" w:hAnsiTheme="minorHAnsi" w:cstheme="minorHAnsi"/>
          <w:color w:val="000000" w:themeColor="text1"/>
          <w:sz w:val="24"/>
        </w:rPr>
        <w:t>o</w:t>
      </w:r>
      <w:r w:rsidRPr="00273211">
        <w:rPr>
          <w:rFonts w:asciiTheme="minorHAnsi" w:hAnsiTheme="minorHAnsi" w:cstheme="minorHAnsi"/>
          <w:color w:val="000000" w:themeColor="text1"/>
          <w:sz w:val="24"/>
        </w:rPr>
        <w:t xml:space="preserve"> de 20</w:t>
      </w:r>
      <w:r w:rsidR="00C847A0">
        <w:rPr>
          <w:rFonts w:asciiTheme="minorHAnsi" w:hAnsiTheme="minorHAnsi" w:cstheme="minorHAnsi"/>
          <w:color w:val="000000" w:themeColor="text1"/>
          <w:sz w:val="24"/>
        </w:rPr>
        <w:t>0</w:t>
      </w:r>
      <w:r w:rsidR="00381A25">
        <w:rPr>
          <w:rFonts w:asciiTheme="minorHAnsi" w:hAnsiTheme="minorHAnsi" w:cstheme="minorHAnsi"/>
          <w:color w:val="000000" w:themeColor="text1"/>
          <w:sz w:val="24"/>
        </w:rPr>
        <w:t>9</w:t>
      </w:r>
      <w:r w:rsidR="00202605">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7A82C47B"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202605">
        <w:rPr>
          <w:rFonts w:asciiTheme="minorHAnsi" w:hAnsiTheme="minorHAnsi" w:cstheme="minorHAnsi"/>
          <w:color w:val="000000" w:themeColor="text1"/>
          <w:sz w:val="24"/>
        </w:rPr>
        <w:t>1º de j</w:t>
      </w:r>
      <w:r w:rsidR="00202605" w:rsidRPr="00202605">
        <w:rPr>
          <w:rFonts w:asciiTheme="minorHAnsi" w:hAnsiTheme="minorHAnsi" w:cstheme="minorHAnsi"/>
          <w:color w:val="000000" w:themeColor="text1"/>
          <w:sz w:val="24"/>
        </w:rPr>
        <w:t>ulho</w:t>
      </w:r>
      <w:r w:rsidRPr="00202605">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3FA8F132" w14:textId="77777777" w:rsidR="00202605" w:rsidRDefault="00DF62F3" w:rsidP="00D31489">
      <w:pPr>
        <w:spacing w:before="0"/>
        <w:jc w:val="center"/>
        <w:outlineLvl w:val="0"/>
        <w:rPr>
          <w:rFonts w:cs="Arial"/>
          <w:b/>
          <w:sz w:val="22"/>
          <w:szCs w:val="22"/>
          <w:lang w:val="pt-BR"/>
        </w:rPr>
      </w:pPr>
      <w:r>
        <w:rPr>
          <w:rFonts w:cs="Arial"/>
          <w:b/>
          <w:sz w:val="22"/>
          <w:szCs w:val="22"/>
          <w:lang w:val="pt-BR"/>
        </w:rPr>
        <w:br w:type="page"/>
      </w:r>
      <w:bookmarkStart w:id="1" w:name="_Ref202082075"/>
      <w:bookmarkEnd w:id="1"/>
    </w:p>
    <w:p w14:paraId="4DF203C1" w14:textId="44BF47BD" w:rsidR="00202605" w:rsidRDefault="00202605" w:rsidP="00D31489">
      <w:pPr>
        <w:spacing w:before="0"/>
        <w:jc w:val="center"/>
        <w:outlineLvl w:val="0"/>
        <w:rPr>
          <w:rFonts w:cs="Arial"/>
          <w:b/>
          <w:sz w:val="22"/>
          <w:szCs w:val="22"/>
          <w:lang w:val="pt-BR"/>
        </w:rPr>
      </w:pPr>
      <w:r>
        <w:rPr>
          <w:rFonts w:cs="Arial"/>
          <w:b/>
          <w:sz w:val="22"/>
          <w:szCs w:val="22"/>
          <w:lang w:val="pt-BR"/>
        </w:rPr>
        <w:lastRenderedPageBreak/>
        <w:t>ANEXO “A”</w:t>
      </w:r>
    </w:p>
    <w:p w14:paraId="3EC0C4CB" w14:textId="49048869" w:rsidR="00D31489" w:rsidRPr="00D31489" w:rsidRDefault="00D31489" w:rsidP="00D31489">
      <w:pPr>
        <w:spacing w:before="0"/>
        <w:jc w:val="center"/>
        <w:outlineLvl w:val="0"/>
        <w:rPr>
          <w:rFonts w:ascii="Times New Roman" w:hAnsi="Times New Roman"/>
          <w:b/>
          <w:sz w:val="24"/>
          <w:lang w:val="pt-BR"/>
        </w:rPr>
      </w:pPr>
      <w:r w:rsidRPr="00D31489">
        <w:rPr>
          <w:rFonts w:ascii="Times New Roman" w:hAnsi="Times New Roman"/>
          <w:b/>
          <w:sz w:val="24"/>
          <w:lang w:val="pt-BR"/>
        </w:rPr>
        <w:t>COMITÊ DE PRONUNCIAMENTOS CONTÁBEIS</w:t>
      </w:r>
    </w:p>
    <w:p w14:paraId="392155EA" w14:textId="77777777" w:rsidR="00D31489" w:rsidRPr="00D31489" w:rsidRDefault="00D31489" w:rsidP="00D31489">
      <w:pPr>
        <w:spacing w:before="0"/>
        <w:jc w:val="center"/>
        <w:outlineLvl w:val="0"/>
        <w:rPr>
          <w:rFonts w:ascii="Times New Roman" w:hAnsi="Times New Roman"/>
          <w:b/>
          <w:color w:val="FF0000"/>
          <w:sz w:val="24"/>
          <w:lang w:val="pt-BR"/>
        </w:rPr>
      </w:pPr>
      <w:r w:rsidRPr="00D31489">
        <w:rPr>
          <w:rFonts w:ascii="Times New Roman" w:hAnsi="Times New Roman"/>
          <w:b/>
          <w:sz w:val="24"/>
          <w:lang w:val="pt-BR"/>
        </w:rPr>
        <w:t>PRONUNCIAMENTO TÉCNICO CPC 24</w:t>
      </w:r>
    </w:p>
    <w:p w14:paraId="78300D2B" w14:textId="77777777" w:rsidR="00D31489" w:rsidRPr="00D31489" w:rsidRDefault="00D31489" w:rsidP="00D31489">
      <w:pPr>
        <w:spacing w:before="0"/>
        <w:jc w:val="center"/>
        <w:outlineLvl w:val="0"/>
        <w:rPr>
          <w:rFonts w:ascii="Times New Roman" w:hAnsi="Times New Roman"/>
          <w:b/>
          <w:sz w:val="24"/>
          <w:lang w:val="pt-BR"/>
        </w:rPr>
      </w:pPr>
      <w:r w:rsidRPr="00D31489">
        <w:rPr>
          <w:rFonts w:ascii="Times New Roman" w:hAnsi="Times New Roman"/>
          <w:b/>
          <w:sz w:val="24"/>
          <w:lang w:val="pt-BR"/>
        </w:rPr>
        <w:t>Evento Subsequente</w:t>
      </w:r>
    </w:p>
    <w:p w14:paraId="5C4D69E1" w14:textId="77777777" w:rsidR="00D31489" w:rsidRPr="00D31489" w:rsidRDefault="00D31489" w:rsidP="00D31489">
      <w:pPr>
        <w:spacing w:before="0"/>
        <w:jc w:val="center"/>
        <w:outlineLvl w:val="0"/>
        <w:rPr>
          <w:rFonts w:ascii="Times New Roman" w:hAnsi="Times New Roman"/>
          <w:b/>
          <w:bCs/>
          <w:color w:val="FF0000"/>
          <w:sz w:val="24"/>
          <w:lang w:val="pt-BR"/>
        </w:rPr>
      </w:pPr>
      <w:r w:rsidRPr="00D31489">
        <w:rPr>
          <w:rFonts w:ascii="Times New Roman" w:hAnsi="Times New Roman"/>
          <w:b/>
          <w:bCs/>
          <w:sz w:val="24"/>
          <w:lang w:val="pt-BR"/>
        </w:rPr>
        <w:t>Correlação às Normas Internacionais de Contabilidade – IAS 10</w:t>
      </w:r>
    </w:p>
    <w:p w14:paraId="20E3D513" w14:textId="77777777" w:rsidR="00D31489" w:rsidRPr="00D31489" w:rsidRDefault="00D31489" w:rsidP="00D31489">
      <w:pPr>
        <w:rPr>
          <w:lang w:val="pt-BR" w:eastAsia="en-US"/>
        </w:rPr>
      </w:pPr>
    </w:p>
    <w:tbl>
      <w:tblPr>
        <w:tblW w:w="9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D31489" w:rsidRPr="00D31489" w14:paraId="0B92EF05" w14:textId="77777777" w:rsidTr="003363DD">
        <w:tc>
          <w:tcPr>
            <w:tcW w:w="8028" w:type="dxa"/>
          </w:tcPr>
          <w:p w14:paraId="5F7208CD"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Sumário</w:t>
            </w:r>
          </w:p>
        </w:tc>
        <w:tc>
          <w:tcPr>
            <w:tcW w:w="1260" w:type="dxa"/>
          </w:tcPr>
          <w:p w14:paraId="34C88494"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Item</w:t>
            </w:r>
          </w:p>
        </w:tc>
      </w:tr>
      <w:tr w:rsidR="00D31489" w:rsidRPr="00D31489" w14:paraId="5F499B90" w14:textId="77777777" w:rsidTr="003363DD">
        <w:tc>
          <w:tcPr>
            <w:tcW w:w="8028" w:type="dxa"/>
          </w:tcPr>
          <w:p w14:paraId="1EE850B6"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 xml:space="preserve">OBJETIVO </w:t>
            </w:r>
          </w:p>
        </w:tc>
        <w:tc>
          <w:tcPr>
            <w:tcW w:w="1260" w:type="dxa"/>
          </w:tcPr>
          <w:p w14:paraId="516D0AF1"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1</w:t>
            </w:r>
          </w:p>
        </w:tc>
      </w:tr>
      <w:tr w:rsidR="00D31489" w:rsidRPr="00D31489" w14:paraId="2F84706F" w14:textId="77777777" w:rsidTr="003363DD">
        <w:tc>
          <w:tcPr>
            <w:tcW w:w="8028" w:type="dxa"/>
          </w:tcPr>
          <w:p w14:paraId="25E1BF40"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ALCANCE</w:t>
            </w:r>
          </w:p>
        </w:tc>
        <w:tc>
          <w:tcPr>
            <w:tcW w:w="1260" w:type="dxa"/>
          </w:tcPr>
          <w:p w14:paraId="6072CF38"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2</w:t>
            </w:r>
          </w:p>
        </w:tc>
      </w:tr>
      <w:tr w:rsidR="00D31489" w:rsidRPr="00D31489" w14:paraId="18F2077E" w14:textId="77777777" w:rsidTr="003363DD">
        <w:tc>
          <w:tcPr>
            <w:tcW w:w="8028" w:type="dxa"/>
          </w:tcPr>
          <w:p w14:paraId="06DA2B0B"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DEFINIÇÕES</w:t>
            </w:r>
          </w:p>
        </w:tc>
        <w:tc>
          <w:tcPr>
            <w:tcW w:w="1260" w:type="dxa"/>
            <w:vAlign w:val="center"/>
          </w:tcPr>
          <w:p w14:paraId="7AB1FADE"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3 – 7</w:t>
            </w:r>
          </w:p>
        </w:tc>
      </w:tr>
      <w:tr w:rsidR="00D31489" w:rsidRPr="00D31489" w14:paraId="3AE09813" w14:textId="77777777" w:rsidTr="003363DD">
        <w:tc>
          <w:tcPr>
            <w:tcW w:w="8028" w:type="dxa"/>
          </w:tcPr>
          <w:p w14:paraId="18163588"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RECONHECIMENTO E MENSURAÇÃO</w:t>
            </w:r>
          </w:p>
        </w:tc>
        <w:tc>
          <w:tcPr>
            <w:tcW w:w="1260" w:type="dxa"/>
            <w:vAlign w:val="center"/>
          </w:tcPr>
          <w:p w14:paraId="27106432"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8 – 13</w:t>
            </w:r>
          </w:p>
        </w:tc>
      </w:tr>
      <w:tr w:rsidR="00D31489" w:rsidRPr="00D31489" w14:paraId="667909AF" w14:textId="77777777" w:rsidTr="003363DD">
        <w:tc>
          <w:tcPr>
            <w:tcW w:w="8028" w:type="dxa"/>
          </w:tcPr>
          <w:p w14:paraId="5536D66F"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Evento subsequente ao período contábil a que se referem as demonstrações contábeis que originam ajustes</w:t>
            </w:r>
          </w:p>
        </w:tc>
        <w:tc>
          <w:tcPr>
            <w:tcW w:w="1260" w:type="dxa"/>
          </w:tcPr>
          <w:p w14:paraId="33CD4FBE"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8 - 9</w:t>
            </w:r>
          </w:p>
        </w:tc>
      </w:tr>
      <w:tr w:rsidR="00D31489" w:rsidRPr="00D31489" w14:paraId="3C79FB42" w14:textId="77777777" w:rsidTr="003363DD">
        <w:tc>
          <w:tcPr>
            <w:tcW w:w="8028" w:type="dxa"/>
          </w:tcPr>
          <w:p w14:paraId="4C755A5C"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Evento subsequente ao período contábil a que se referem as demonstrações contábeis que não originam ajustes</w:t>
            </w:r>
          </w:p>
        </w:tc>
        <w:tc>
          <w:tcPr>
            <w:tcW w:w="1260" w:type="dxa"/>
          </w:tcPr>
          <w:p w14:paraId="4D1868D1"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10 - 11</w:t>
            </w:r>
          </w:p>
        </w:tc>
      </w:tr>
      <w:tr w:rsidR="00D31489" w:rsidRPr="00D31489" w14:paraId="2F5B72B5" w14:textId="77777777" w:rsidTr="003363DD">
        <w:tc>
          <w:tcPr>
            <w:tcW w:w="8028" w:type="dxa"/>
          </w:tcPr>
          <w:p w14:paraId="2EA8EAF2"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Dividendos</w:t>
            </w:r>
          </w:p>
        </w:tc>
        <w:tc>
          <w:tcPr>
            <w:tcW w:w="1260" w:type="dxa"/>
          </w:tcPr>
          <w:p w14:paraId="214A02D5"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12 – 13</w:t>
            </w:r>
          </w:p>
        </w:tc>
      </w:tr>
      <w:tr w:rsidR="00D31489" w:rsidRPr="00D31489" w14:paraId="12BA25D6" w14:textId="77777777" w:rsidTr="003363DD">
        <w:tc>
          <w:tcPr>
            <w:tcW w:w="8028" w:type="dxa"/>
          </w:tcPr>
          <w:p w14:paraId="624C4E9C"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CONTINUIDADE</w:t>
            </w:r>
          </w:p>
        </w:tc>
        <w:tc>
          <w:tcPr>
            <w:tcW w:w="1260" w:type="dxa"/>
          </w:tcPr>
          <w:p w14:paraId="2470B41B"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14 – 16</w:t>
            </w:r>
          </w:p>
        </w:tc>
      </w:tr>
      <w:tr w:rsidR="00D31489" w:rsidRPr="00D31489" w14:paraId="10AE9AEC" w14:textId="77777777" w:rsidTr="003363DD">
        <w:tc>
          <w:tcPr>
            <w:tcW w:w="8028" w:type="dxa"/>
          </w:tcPr>
          <w:p w14:paraId="0A4A34CC"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DIVULGAÇÃO</w:t>
            </w:r>
          </w:p>
        </w:tc>
        <w:tc>
          <w:tcPr>
            <w:tcW w:w="1260" w:type="dxa"/>
            <w:vAlign w:val="center"/>
          </w:tcPr>
          <w:p w14:paraId="5BD83679"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17 – 22</w:t>
            </w:r>
          </w:p>
        </w:tc>
      </w:tr>
      <w:tr w:rsidR="00D31489" w:rsidRPr="00D31489" w14:paraId="165A4FA1" w14:textId="77777777" w:rsidTr="003363DD">
        <w:tc>
          <w:tcPr>
            <w:tcW w:w="8028" w:type="dxa"/>
          </w:tcPr>
          <w:p w14:paraId="157A16D8"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Data de autorização para emissão</w:t>
            </w:r>
          </w:p>
        </w:tc>
        <w:tc>
          <w:tcPr>
            <w:tcW w:w="1260" w:type="dxa"/>
          </w:tcPr>
          <w:p w14:paraId="07CB1E69"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17 – 18</w:t>
            </w:r>
          </w:p>
        </w:tc>
      </w:tr>
      <w:tr w:rsidR="00D31489" w:rsidRPr="00D31489" w14:paraId="57090F7C" w14:textId="77777777" w:rsidTr="003363DD">
        <w:tc>
          <w:tcPr>
            <w:tcW w:w="8028" w:type="dxa"/>
          </w:tcPr>
          <w:p w14:paraId="21AD90C8"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Atualização da divulgação sobre condições existentes ao final do período a que se referem as demonstrações contábeis</w:t>
            </w:r>
          </w:p>
        </w:tc>
        <w:tc>
          <w:tcPr>
            <w:tcW w:w="1260" w:type="dxa"/>
            <w:vAlign w:val="center"/>
          </w:tcPr>
          <w:p w14:paraId="1A981277"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19 – 20</w:t>
            </w:r>
          </w:p>
        </w:tc>
      </w:tr>
      <w:tr w:rsidR="00D31489" w:rsidRPr="00D31489" w14:paraId="7955886A" w14:textId="77777777" w:rsidTr="003363DD">
        <w:tc>
          <w:tcPr>
            <w:tcW w:w="8028" w:type="dxa"/>
          </w:tcPr>
          <w:p w14:paraId="11A3E0FD" w14:textId="77777777" w:rsidR="00D31489" w:rsidRPr="00D31489" w:rsidRDefault="00D31489" w:rsidP="00D31489">
            <w:pPr>
              <w:spacing w:before="60" w:after="60"/>
              <w:jc w:val="left"/>
              <w:rPr>
                <w:rFonts w:ascii="Times New Roman" w:hAnsi="Times New Roman"/>
                <w:b/>
                <w:bCs/>
                <w:kern w:val="36"/>
                <w:sz w:val="24"/>
                <w:lang w:val="pt-BR"/>
              </w:rPr>
            </w:pPr>
            <w:r w:rsidRPr="00D31489">
              <w:rPr>
                <w:rFonts w:ascii="Times New Roman" w:hAnsi="Times New Roman"/>
                <w:b/>
                <w:bCs/>
                <w:kern w:val="36"/>
                <w:sz w:val="24"/>
                <w:lang w:val="pt-BR"/>
              </w:rPr>
              <w:t>Evento subsequente ao período contábil a que se referem as demonstrações contábeis que não originam ajustes</w:t>
            </w:r>
          </w:p>
        </w:tc>
        <w:tc>
          <w:tcPr>
            <w:tcW w:w="1260" w:type="dxa"/>
            <w:vAlign w:val="center"/>
          </w:tcPr>
          <w:p w14:paraId="56FB14B0" w14:textId="77777777" w:rsidR="00D31489" w:rsidRPr="00D31489" w:rsidRDefault="00D31489" w:rsidP="00D31489">
            <w:pPr>
              <w:spacing w:before="60" w:after="60"/>
              <w:jc w:val="center"/>
              <w:rPr>
                <w:rFonts w:ascii="Times New Roman" w:hAnsi="Times New Roman"/>
                <w:b/>
                <w:bCs/>
                <w:kern w:val="36"/>
                <w:sz w:val="24"/>
                <w:lang w:val="pt-BR"/>
              </w:rPr>
            </w:pPr>
            <w:r w:rsidRPr="00D31489">
              <w:rPr>
                <w:rFonts w:ascii="Times New Roman" w:hAnsi="Times New Roman"/>
                <w:b/>
                <w:bCs/>
                <w:kern w:val="36"/>
                <w:sz w:val="24"/>
                <w:lang w:val="pt-BR"/>
              </w:rPr>
              <w:t>21 – 22</w:t>
            </w:r>
          </w:p>
        </w:tc>
      </w:tr>
    </w:tbl>
    <w:p w14:paraId="5275A547" w14:textId="77777777" w:rsidR="00D31489" w:rsidRPr="00D31489" w:rsidRDefault="00D31489" w:rsidP="00D31489">
      <w:pPr>
        <w:widowControl w:val="0"/>
        <w:tabs>
          <w:tab w:val="left" w:pos="6804"/>
        </w:tabs>
        <w:spacing w:before="60" w:after="60"/>
        <w:ind w:left="57"/>
        <w:rPr>
          <w:rFonts w:ascii="Times New Roman" w:hAnsi="Times New Roman"/>
          <w:b/>
          <w:sz w:val="24"/>
          <w:lang w:val="pt-BR"/>
        </w:rPr>
      </w:pPr>
    </w:p>
    <w:p w14:paraId="06528590" w14:textId="77777777" w:rsidR="00D31489" w:rsidRPr="00D31489" w:rsidRDefault="00D31489" w:rsidP="00D31489">
      <w:pPr>
        <w:widowControl w:val="0"/>
        <w:tabs>
          <w:tab w:val="left" w:pos="6804"/>
        </w:tabs>
        <w:spacing w:before="0" w:after="0"/>
        <w:rPr>
          <w:rFonts w:ascii="Times New Roman" w:hAnsi="Times New Roman"/>
          <w:b/>
          <w:sz w:val="28"/>
          <w:szCs w:val="28"/>
          <w:lang w:val="pt-BR"/>
        </w:rPr>
      </w:pPr>
      <w:r w:rsidRPr="00D31489">
        <w:rPr>
          <w:rFonts w:ascii="Times New Roman" w:hAnsi="Times New Roman"/>
          <w:b/>
          <w:sz w:val="28"/>
          <w:szCs w:val="28"/>
          <w:lang w:val="pt-BR"/>
        </w:rPr>
        <w:t>Objetivo</w:t>
      </w:r>
    </w:p>
    <w:p w14:paraId="26DAA6F4" w14:textId="77777777" w:rsidR="00D31489" w:rsidRPr="00D31489" w:rsidRDefault="00D31489" w:rsidP="00D31489">
      <w:pPr>
        <w:widowControl w:val="0"/>
        <w:tabs>
          <w:tab w:val="left" w:pos="6804"/>
        </w:tabs>
        <w:spacing w:before="0" w:after="0"/>
        <w:ind w:left="567"/>
        <w:rPr>
          <w:rFonts w:ascii="Times New Roman" w:hAnsi="Times New Roman"/>
          <w:color w:val="000000"/>
          <w:sz w:val="24"/>
          <w:lang w:val="pt-BR"/>
        </w:rPr>
      </w:pPr>
    </w:p>
    <w:p w14:paraId="2D43969D" w14:textId="77777777" w:rsidR="00D31489" w:rsidRPr="00D31489" w:rsidRDefault="00D31489" w:rsidP="00D31489">
      <w:pPr>
        <w:widowControl w:val="0"/>
        <w:tabs>
          <w:tab w:val="left" w:pos="6804"/>
        </w:tabs>
        <w:spacing w:before="0"/>
        <w:ind w:left="567" w:hanging="567"/>
        <w:rPr>
          <w:rFonts w:ascii="Times New Roman" w:hAnsi="Times New Roman"/>
          <w:color w:val="000000"/>
          <w:sz w:val="24"/>
          <w:lang w:val="pt-BR"/>
        </w:rPr>
      </w:pPr>
      <w:r w:rsidRPr="00D31489">
        <w:rPr>
          <w:rFonts w:ascii="Times New Roman" w:hAnsi="Times New Roman"/>
          <w:color w:val="000000"/>
          <w:sz w:val="24"/>
          <w:lang w:val="pt-BR"/>
        </w:rPr>
        <w:t>1.</w:t>
      </w:r>
      <w:r w:rsidRPr="00D31489">
        <w:rPr>
          <w:rFonts w:ascii="Times New Roman" w:hAnsi="Times New Roman"/>
          <w:color w:val="000000"/>
          <w:sz w:val="24"/>
          <w:lang w:val="pt-BR"/>
        </w:rPr>
        <w:tab/>
        <w:t>O objetivo deste Pronunciamento é determinar:</w:t>
      </w:r>
    </w:p>
    <w:p w14:paraId="14F5D2D0" w14:textId="77777777" w:rsidR="00D31489" w:rsidRPr="00D31489" w:rsidRDefault="00D31489" w:rsidP="00D31489">
      <w:pPr>
        <w:widowControl w:val="0"/>
        <w:numPr>
          <w:ilvl w:val="0"/>
          <w:numId w:val="13"/>
        </w:numPr>
        <w:tabs>
          <w:tab w:val="clear" w:pos="1070"/>
        </w:tabs>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quando a entidade deve ajustar suas demonstrações contábeis com respeito a eventos subsequentes ao período contábil a que se referem essas demonstrações; e</w:t>
      </w:r>
    </w:p>
    <w:p w14:paraId="35A53DDF" w14:textId="77777777" w:rsidR="00D31489" w:rsidRPr="00D31489" w:rsidRDefault="00D31489" w:rsidP="00D31489">
      <w:pPr>
        <w:widowControl w:val="0"/>
        <w:numPr>
          <w:ilvl w:val="0"/>
          <w:numId w:val="13"/>
        </w:numPr>
        <w:tabs>
          <w:tab w:val="clear" w:pos="1070"/>
        </w:tabs>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 xml:space="preserve">as informações que a entidade deve divulgar sobre a data em que é concedida a autorização para emissão das demonstrações contábeis e sobre os eventos subsequentes ao período contábil a que se referem essas demonstrações. </w:t>
      </w:r>
    </w:p>
    <w:p w14:paraId="1F43525B"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ab/>
        <w:t xml:space="preserve">Este Pronunciamento também estabelece que a entidade não deve elaborar suas demonstrações </w:t>
      </w:r>
      <w:r w:rsidRPr="00D31489">
        <w:rPr>
          <w:rFonts w:ascii="Times New Roman" w:hAnsi="Times New Roman"/>
          <w:color w:val="000000"/>
          <w:sz w:val="24"/>
          <w:lang w:val="pt-BR"/>
        </w:rPr>
        <w:lastRenderedPageBreak/>
        <w:t>contábeis segundo o pressuposto da continuidade se os eventos subsequentes ao período contábil a que se referem as demonstrações indicarem que o pressuposto da continuidade não é apropriado.</w:t>
      </w:r>
    </w:p>
    <w:p w14:paraId="74BB2554" w14:textId="77777777" w:rsidR="00D31489" w:rsidRPr="00D31489" w:rsidRDefault="00D31489" w:rsidP="00D31489">
      <w:pPr>
        <w:widowControl w:val="0"/>
        <w:tabs>
          <w:tab w:val="left" w:pos="6804"/>
        </w:tabs>
        <w:spacing w:before="0" w:after="0"/>
        <w:ind w:left="57"/>
        <w:rPr>
          <w:rFonts w:ascii="Times New Roman" w:hAnsi="Times New Roman"/>
          <w:b/>
          <w:sz w:val="24"/>
          <w:lang w:val="pt-BR"/>
        </w:rPr>
      </w:pPr>
    </w:p>
    <w:p w14:paraId="4A93F12A" w14:textId="77777777" w:rsidR="00D31489" w:rsidRPr="00D31489" w:rsidRDefault="00D31489" w:rsidP="00D31489">
      <w:pPr>
        <w:widowControl w:val="0"/>
        <w:tabs>
          <w:tab w:val="left" w:pos="6804"/>
        </w:tabs>
        <w:spacing w:before="0" w:after="0"/>
        <w:rPr>
          <w:rFonts w:ascii="Times New Roman" w:hAnsi="Times New Roman"/>
          <w:b/>
          <w:sz w:val="28"/>
          <w:szCs w:val="28"/>
          <w:lang w:val="pt-BR"/>
        </w:rPr>
      </w:pPr>
      <w:r w:rsidRPr="00D31489">
        <w:rPr>
          <w:rFonts w:ascii="Times New Roman" w:hAnsi="Times New Roman"/>
          <w:b/>
          <w:sz w:val="28"/>
          <w:szCs w:val="28"/>
          <w:lang w:val="pt-BR"/>
        </w:rPr>
        <w:t>Alcance</w:t>
      </w:r>
    </w:p>
    <w:p w14:paraId="2897B698" w14:textId="77777777" w:rsidR="00D31489" w:rsidRPr="00D31489" w:rsidRDefault="00D31489" w:rsidP="00D31489">
      <w:pPr>
        <w:widowControl w:val="0"/>
        <w:tabs>
          <w:tab w:val="left" w:pos="6804"/>
        </w:tabs>
        <w:spacing w:before="0" w:after="0"/>
        <w:ind w:left="57"/>
        <w:rPr>
          <w:rFonts w:ascii="Times New Roman" w:hAnsi="Times New Roman"/>
          <w:b/>
          <w:sz w:val="24"/>
          <w:lang w:val="pt-BR"/>
        </w:rPr>
      </w:pPr>
    </w:p>
    <w:p w14:paraId="5F44B2FE"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2.</w:t>
      </w:r>
      <w:r w:rsidRPr="00D31489">
        <w:rPr>
          <w:rFonts w:ascii="Times New Roman" w:hAnsi="Times New Roman"/>
          <w:color w:val="000000"/>
          <w:sz w:val="24"/>
          <w:lang w:val="pt-BR"/>
        </w:rPr>
        <w:tab/>
        <w:t>Este Pronunciamento deve ser aplicado na contabilização e divulgação de eventos subsequentes ao período a que se referem as demonstrações contábeis.</w:t>
      </w:r>
    </w:p>
    <w:p w14:paraId="6993A8F1" w14:textId="77777777" w:rsidR="00D31489" w:rsidRPr="00D31489" w:rsidRDefault="00D31489" w:rsidP="00D31489">
      <w:pPr>
        <w:spacing w:before="0" w:after="0"/>
        <w:rPr>
          <w:rFonts w:cs="Arial"/>
          <w:b/>
          <w:bCs/>
          <w:szCs w:val="20"/>
        </w:rPr>
      </w:pPr>
    </w:p>
    <w:p w14:paraId="60C50A41" w14:textId="77777777" w:rsidR="00D31489" w:rsidRPr="00D31489" w:rsidRDefault="00D31489" w:rsidP="00D31489">
      <w:pPr>
        <w:widowControl w:val="0"/>
        <w:tabs>
          <w:tab w:val="left" w:pos="6804"/>
        </w:tabs>
        <w:spacing w:before="0" w:after="0"/>
        <w:rPr>
          <w:rFonts w:ascii="Times New Roman" w:hAnsi="Times New Roman"/>
          <w:b/>
          <w:sz w:val="28"/>
          <w:szCs w:val="28"/>
          <w:lang w:val="pt-BR"/>
        </w:rPr>
      </w:pPr>
      <w:r w:rsidRPr="00D31489">
        <w:rPr>
          <w:rFonts w:ascii="Times New Roman" w:hAnsi="Times New Roman"/>
          <w:b/>
          <w:sz w:val="28"/>
          <w:szCs w:val="28"/>
          <w:lang w:val="pt-BR"/>
        </w:rPr>
        <w:t>Definições</w:t>
      </w:r>
    </w:p>
    <w:p w14:paraId="02273E40" w14:textId="77777777" w:rsidR="00D31489" w:rsidRPr="00D31489" w:rsidRDefault="00D31489" w:rsidP="00D31489">
      <w:pPr>
        <w:widowControl w:val="0"/>
        <w:tabs>
          <w:tab w:val="left" w:pos="6804"/>
        </w:tabs>
        <w:spacing w:before="0" w:after="0"/>
        <w:ind w:left="57"/>
        <w:rPr>
          <w:rFonts w:ascii="Times New Roman" w:hAnsi="Times New Roman"/>
          <w:b/>
          <w:sz w:val="24"/>
          <w:szCs w:val="28"/>
          <w:lang w:val="pt-BR"/>
        </w:rPr>
      </w:pPr>
    </w:p>
    <w:p w14:paraId="368BE089"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3.</w:t>
      </w:r>
      <w:r w:rsidRPr="00D31489">
        <w:rPr>
          <w:rFonts w:ascii="Times New Roman" w:hAnsi="Times New Roman"/>
          <w:color w:val="000000"/>
          <w:sz w:val="24"/>
          <w:lang w:val="pt-BR"/>
        </w:rPr>
        <w:tab/>
        <w:t>Os termos abaixo são usados neste Pronunciamento com os seguintes significados:</w:t>
      </w:r>
    </w:p>
    <w:p w14:paraId="2F31C5F5" w14:textId="77777777" w:rsidR="00D31489" w:rsidRPr="00D31489" w:rsidRDefault="00D31489" w:rsidP="00D31489">
      <w:pPr>
        <w:autoSpaceDE w:val="0"/>
        <w:autoSpaceDN w:val="0"/>
        <w:adjustRightInd w:val="0"/>
        <w:spacing w:before="0" w:after="0"/>
        <w:ind w:left="567"/>
        <w:rPr>
          <w:rFonts w:ascii="Times New Roman" w:hAnsi="Times New Roman"/>
          <w:bCs/>
          <w:i/>
          <w:iCs/>
          <w:sz w:val="24"/>
          <w:lang w:val="pt-BR"/>
        </w:rPr>
      </w:pPr>
    </w:p>
    <w:p w14:paraId="23841ED9" w14:textId="77777777" w:rsidR="00D31489" w:rsidRPr="00D31489" w:rsidRDefault="00D31489" w:rsidP="00D31489">
      <w:pPr>
        <w:autoSpaceDE w:val="0"/>
        <w:autoSpaceDN w:val="0"/>
        <w:adjustRightInd w:val="0"/>
        <w:spacing w:before="0"/>
        <w:ind w:left="567"/>
        <w:rPr>
          <w:rFonts w:ascii="Times New Roman" w:hAnsi="Times New Roman"/>
          <w:bCs/>
          <w:iCs/>
          <w:sz w:val="24"/>
          <w:lang w:val="pt-BR"/>
        </w:rPr>
      </w:pPr>
      <w:r w:rsidRPr="00D31489">
        <w:rPr>
          <w:rFonts w:ascii="Times New Roman" w:hAnsi="Times New Roman"/>
          <w:bCs/>
          <w:i/>
          <w:iCs/>
          <w:sz w:val="24"/>
          <w:lang w:val="pt-BR"/>
        </w:rPr>
        <w:t xml:space="preserve">Evento subsequente </w:t>
      </w:r>
      <w:r w:rsidRPr="00D31489">
        <w:rPr>
          <w:rFonts w:ascii="Times New Roman" w:hAnsi="Times New Roman"/>
          <w:bCs/>
          <w:iCs/>
          <w:sz w:val="24"/>
          <w:lang w:val="pt-BR"/>
        </w:rPr>
        <w:t>ao período a que se referem as demonstrações contábeis é aquele evento, favorável ou desfavorável, que ocorre entre a data final do período a que se referem as demonstrações contábeis e a data na qual é autorizada a emissão dessas demonstrações. Dois tipos de eventos podem ser identificados:</w:t>
      </w:r>
    </w:p>
    <w:p w14:paraId="1EA03251" w14:textId="77777777" w:rsidR="00D31489" w:rsidRPr="00D31489" w:rsidRDefault="00D31489" w:rsidP="00D31489">
      <w:pPr>
        <w:widowControl w:val="0"/>
        <w:numPr>
          <w:ilvl w:val="0"/>
          <w:numId w:val="32"/>
        </w:numPr>
        <w:spacing w:before="0"/>
        <w:ind w:left="993" w:hanging="426"/>
        <w:rPr>
          <w:rFonts w:ascii="Times New Roman" w:hAnsi="Times New Roman"/>
          <w:bCs/>
          <w:iCs/>
          <w:color w:val="000000"/>
          <w:sz w:val="24"/>
          <w:lang w:val="pt-BR"/>
        </w:rPr>
      </w:pPr>
      <w:bookmarkStart w:id="2" w:name="OLE_LINK1"/>
      <w:bookmarkStart w:id="3" w:name="OLE_LINK2"/>
      <w:r w:rsidRPr="00D31489">
        <w:rPr>
          <w:rFonts w:ascii="Times New Roman" w:hAnsi="Times New Roman"/>
          <w:bCs/>
          <w:iCs/>
          <w:color w:val="000000"/>
          <w:sz w:val="24"/>
          <w:lang w:val="pt-BR"/>
        </w:rPr>
        <w:t xml:space="preserve">os que evidenciam condições que já existiam na data final do período a que se referem as </w:t>
      </w:r>
      <w:bookmarkEnd w:id="2"/>
      <w:bookmarkEnd w:id="3"/>
      <w:r w:rsidRPr="00D31489">
        <w:rPr>
          <w:rFonts w:ascii="Times New Roman" w:hAnsi="Times New Roman"/>
          <w:bCs/>
          <w:iCs/>
          <w:color w:val="000000"/>
          <w:sz w:val="24"/>
          <w:lang w:val="pt-BR"/>
        </w:rPr>
        <w:t>demonstrações contábeis (evento subsequente ao período contábil a que se referem as demonstrações que originam ajustes);</w:t>
      </w:r>
    </w:p>
    <w:p w14:paraId="02B70BD8" w14:textId="77777777" w:rsidR="00D31489" w:rsidRPr="00D31489" w:rsidRDefault="00D31489" w:rsidP="00D31489">
      <w:pPr>
        <w:widowControl w:val="0"/>
        <w:numPr>
          <w:ilvl w:val="0"/>
          <w:numId w:val="32"/>
        </w:numPr>
        <w:spacing w:before="0" w:after="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os que são indicadores de condições que surgiram subsequentemente ao período contábil a que se referem as demonstrações contábeis (evento subsequente ao período contábil a que se referem as demonstrações que não originam ajustes).</w:t>
      </w:r>
    </w:p>
    <w:p w14:paraId="434E1CB5"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26B03149"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4.</w:t>
      </w:r>
      <w:r w:rsidRPr="00D31489">
        <w:rPr>
          <w:rFonts w:ascii="Times New Roman" w:hAnsi="Times New Roman"/>
          <w:color w:val="000000"/>
          <w:sz w:val="24"/>
          <w:lang w:val="pt-BR"/>
        </w:rPr>
        <w:tab/>
        <w:t xml:space="preserve">O processo envolvido na autorização da emissão das demonstrações contábeis varia dependendo da estrutura da administração, das exigências legais e estatutárias, bem como dos procedimentos seguidos na preparação e na finalização dessas demonstrações. </w:t>
      </w:r>
    </w:p>
    <w:p w14:paraId="505F8CB8"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7CA64874"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5.</w:t>
      </w:r>
      <w:r w:rsidRPr="00D31489">
        <w:rPr>
          <w:rFonts w:ascii="Times New Roman" w:hAnsi="Times New Roman"/>
          <w:color w:val="000000"/>
          <w:sz w:val="24"/>
          <w:lang w:val="pt-BR"/>
        </w:rPr>
        <w:tab/>
        <w:t>Em algumas circunstâncias, as entidades têm que submeter suas demonstrações contábeis à aprovação de seus acionistas após sua emissão. Em tais casos, consideram-se as demonstrações contábeis como autorizadas para emissão na data da emissão e não na data em que os acionistas aprovam as demonstrações.</w:t>
      </w:r>
    </w:p>
    <w:p w14:paraId="123693A3" w14:textId="77777777" w:rsidR="00D31489" w:rsidRPr="00D31489" w:rsidRDefault="00D31489" w:rsidP="00D31489">
      <w:pPr>
        <w:widowControl w:val="0"/>
        <w:tabs>
          <w:tab w:val="left" w:pos="6804"/>
        </w:tabs>
        <w:spacing w:before="0" w:after="0"/>
        <w:ind w:left="57"/>
        <w:rPr>
          <w:rFonts w:ascii="Times New Roman" w:hAnsi="Times New Roman"/>
          <w:b/>
          <w:sz w:val="24"/>
          <w:lang w:val="pt-BR"/>
        </w:rPr>
      </w:pPr>
    </w:p>
    <w:p w14:paraId="52CA93AE" w14:textId="77777777" w:rsidR="00D31489" w:rsidRPr="00D31489" w:rsidRDefault="00D31489" w:rsidP="00D31489">
      <w:pPr>
        <w:widowControl w:val="0"/>
        <w:tabs>
          <w:tab w:val="left" w:pos="6804"/>
        </w:tabs>
        <w:spacing w:before="0" w:after="0"/>
        <w:rPr>
          <w:rFonts w:ascii="Times New Roman" w:hAnsi="Times New Roman"/>
          <w:b/>
          <w:sz w:val="24"/>
          <w:lang w:val="pt-BR"/>
        </w:rPr>
      </w:pPr>
      <w:r w:rsidRPr="00D31489">
        <w:rPr>
          <w:rFonts w:ascii="Times New Roman" w:hAnsi="Times New Roman"/>
          <w:b/>
          <w:sz w:val="24"/>
          <w:lang w:val="pt-BR"/>
        </w:rPr>
        <w:t>Exemplo:</w:t>
      </w:r>
    </w:p>
    <w:p w14:paraId="40904E48"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ab/>
      </w:r>
    </w:p>
    <w:p w14:paraId="7B17F259"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ab/>
        <w:t>A administração da entidade conclui, em 28 de fevereiro de 20x2, a sua minuta das demonstrações contábeis referentes ao período contábil encerrado em 31 de dezembro de 20x1. Em 18 de março de 20x2, a diretoria examina as demonstrações e autoriza a sua emissão. A entidade anuncia, em 19 de março de 20x2, o seu lucro e outras informações financeiras selecionadas. As demonstrações contábeis são disponibilizadas aos acionistas e a outras partes interessadas em 31 de março de 20x2. Os acionistas aprovam as demonstrações contábeis na sua reunião anual em 30 de abril de 20x2, e as demonstrações contábeis aprovadas são em seguida encaminhadas para registro no órgão competente em 17 de maio de 20x2.</w:t>
      </w:r>
    </w:p>
    <w:p w14:paraId="3F6BE83E" w14:textId="4B773E14" w:rsidR="00D31489" w:rsidRPr="00D31489" w:rsidRDefault="00D31489" w:rsidP="00D31489">
      <w:pPr>
        <w:widowControl w:val="0"/>
        <w:tabs>
          <w:tab w:val="left" w:pos="6804"/>
        </w:tabs>
        <w:spacing w:before="0" w:after="0"/>
        <w:ind w:left="567" w:hanging="567"/>
        <w:rPr>
          <w:rFonts w:ascii="Times New Roman" w:hAnsi="Times New Roman"/>
          <w:i/>
          <w:color w:val="000000"/>
          <w:sz w:val="24"/>
          <w:lang w:val="pt-BR"/>
        </w:rPr>
      </w:pPr>
      <w:r w:rsidRPr="00D31489">
        <w:rPr>
          <w:rFonts w:ascii="Times New Roman" w:hAnsi="Times New Roman"/>
          <w:color w:val="000000"/>
          <w:sz w:val="24"/>
          <w:lang w:val="pt-BR"/>
        </w:rPr>
        <w:lastRenderedPageBreak/>
        <w:tab/>
      </w:r>
      <w:r w:rsidRPr="00D31489">
        <w:rPr>
          <w:rFonts w:ascii="Times New Roman" w:hAnsi="Times New Roman"/>
          <w:i/>
          <w:color w:val="000000"/>
          <w:sz w:val="24"/>
          <w:lang w:val="pt-BR"/>
        </w:rPr>
        <w:t>As demonstrações contábeis são autorizadas para emissão em 18 de março de 20x2 (data da autorização da diretoria para emissão).</w:t>
      </w:r>
    </w:p>
    <w:p w14:paraId="29B960E6" w14:textId="77777777" w:rsidR="00D31489" w:rsidRPr="00D31489" w:rsidRDefault="00D31489" w:rsidP="00D31489">
      <w:pPr>
        <w:spacing w:before="0" w:after="0"/>
        <w:rPr>
          <w:rFonts w:cs="Arial"/>
          <w:sz w:val="18"/>
          <w:szCs w:val="18"/>
        </w:rPr>
      </w:pPr>
    </w:p>
    <w:p w14:paraId="47C7313E"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6.</w:t>
      </w:r>
      <w:r w:rsidRPr="00D31489">
        <w:rPr>
          <w:rFonts w:ascii="Times New Roman" w:hAnsi="Times New Roman"/>
          <w:color w:val="000000"/>
          <w:sz w:val="24"/>
          <w:lang w:val="pt-BR"/>
        </w:rPr>
        <w:tab/>
        <w:t>Em alguns casos, exige-se que a administração da entidade submeta suas demonstrações contábeis à aprovação do conselho de administração e/ou conselho fiscal e/ou comitê de auditoria (formados apenas por não executivos), se houver. Em tais casos, consideram-se as demonstrações contábeis autorizadas para emissão quando a administração autoriza sua apresentação a esse conselho e/ou comitê.</w:t>
      </w:r>
    </w:p>
    <w:p w14:paraId="3FB9019F"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37801265" w14:textId="77777777" w:rsidR="00D31489" w:rsidRPr="00D31489" w:rsidRDefault="00D31489" w:rsidP="00D31489">
      <w:pPr>
        <w:widowControl w:val="0"/>
        <w:tabs>
          <w:tab w:val="left" w:pos="6804"/>
        </w:tabs>
        <w:spacing w:before="0" w:after="0"/>
        <w:ind w:left="57"/>
        <w:rPr>
          <w:rFonts w:ascii="Times New Roman" w:hAnsi="Times New Roman"/>
          <w:b/>
          <w:sz w:val="24"/>
          <w:lang w:val="pt-BR"/>
        </w:rPr>
      </w:pPr>
      <w:r w:rsidRPr="00D31489">
        <w:rPr>
          <w:rFonts w:ascii="Times New Roman" w:hAnsi="Times New Roman"/>
          <w:b/>
          <w:sz w:val="24"/>
          <w:lang w:val="pt-BR"/>
        </w:rPr>
        <w:t>Exemplo:</w:t>
      </w:r>
    </w:p>
    <w:p w14:paraId="474E7A2B"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ab/>
      </w:r>
    </w:p>
    <w:p w14:paraId="28B1966B"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ab/>
        <w:t>Em 18 de março de 20x2, a diretoria executiva da entidade autoriza a emissão de demonstrações contábeis para o seu conselho. O conselho é constituído exclusivamente por não executivos e pode incluir representantes de empregados e de outros interessados. O conselho aprova as demonstrações contábeis em 26 de março de 20x2. As demonstrações contábeis são disponibilizadas aos acionistas e a outras partes interessadas em 31 de março de 20x2. Os acionistas aprovam as demonstrações contábeis na sua reunião anual em 30 de abril de 20x2, e as demonstrações contábeis são encaminhadas para registro no órgão competente em 17 de maio de 20x2.</w:t>
      </w:r>
    </w:p>
    <w:p w14:paraId="3FE455B2"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35B86ACD" w14:textId="77777777" w:rsidR="00D31489" w:rsidRPr="00D31489" w:rsidRDefault="00D31489" w:rsidP="00D31489">
      <w:pPr>
        <w:widowControl w:val="0"/>
        <w:tabs>
          <w:tab w:val="left" w:pos="6804"/>
        </w:tabs>
        <w:spacing w:before="0" w:after="0"/>
        <w:ind w:left="567" w:hanging="567"/>
        <w:rPr>
          <w:rFonts w:ascii="Times New Roman" w:hAnsi="Times New Roman"/>
          <w:i/>
          <w:color w:val="000000"/>
          <w:sz w:val="24"/>
          <w:lang w:val="pt-BR"/>
        </w:rPr>
      </w:pPr>
      <w:r w:rsidRPr="00D31489">
        <w:rPr>
          <w:rFonts w:ascii="Times New Roman" w:hAnsi="Times New Roman"/>
          <w:color w:val="000000"/>
          <w:sz w:val="24"/>
          <w:lang w:val="pt-BR"/>
        </w:rPr>
        <w:tab/>
      </w:r>
      <w:r w:rsidRPr="00D31489">
        <w:rPr>
          <w:rFonts w:ascii="Times New Roman" w:hAnsi="Times New Roman"/>
          <w:i/>
          <w:color w:val="000000"/>
          <w:sz w:val="24"/>
          <w:lang w:val="pt-BR"/>
        </w:rPr>
        <w:t>As demonstrações contábeis são autorizadas para emissão em 18 de março de 20x2 (data da autorização da administração para submissão das demonstrações à apreciação do conselho).</w:t>
      </w:r>
    </w:p>
    <w:p w14:paraId="7EE60BD7"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5A614159"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7.</w:t>
      </w:r>
      <w:r w:rsidRPr="00D31489">
        <w:rPr>
          <w:rFonts w:ascii="Times New Roman" w:hAnsi="Times New Roman"/>
          <w:color w:val="000000"/>
          <w:sz w:val="24"/>
          <w:lang w:val="pt-BR"/>
        </w:rPr>
        <w:tab/>
        <w:t>Eventos subsequentes ao período contábil a que se referem as demonstrações contábeis incluem todos os eventos ocorridos até a data em que é concedida a autorização para a emissão das demonstrações contábeis, mesmo que esses acontecimentos ocorram após o anúncio público de lucros ou de outra informação financeira selecionada.</w:t>
      </w:r>
    </w:p>
    <w:p w14:paraId="6014D21D" w14:textId="77777777" w:rsidR="00D31489" w:rsidRPr="00D31489" w:rsidRDefault="00D31489" w:rsidP="00D31489">
      <w:pPr>
        <w:widowControl w:val="0"/>
        <w:tabs>
          <w:tab w:val="left" w:pos="6804"/>
        </w:tabs>
        <w:spacing w:before="0" w:after="0"/>
        <w:ind w:left="57"/>
        <w:rPr>
          <w:rFonts w:ascii="Times New Roman" w:hAnsi="Times New Roman"/>
          <w:b/>
          <w:sz w:val="24"/>
          <w:lang w:val="pt-BR"/>
        </w:rPr>
      </w:pPr>
    </w:p>
    <w:p w14:paraId="19CD9A20" w14:textId="77777777" w:rsidR="00D31489" w:rsidRPr="00D31489" w:rsidRDefault="00D31489" w:rsidP="00D31489">
      <w:pPr>
        <w:spacing w:before="0" w:after="0"/>
        <w:rPr>
          <w:rFonts w:ascii="Times New Roman" w:hAnsi="Times New Roman"/>
          <w:b/>
          <w:sz w:val="24"/>
          <w:lang w:val="pt-BR"/>
        </w:rPr>
      </w:pPr>
      <w:r w:rsidRPr="00D31489">
        <w:rPr>
          <w:rFonts w:ascii="Times New Roman" w:hAnsi="Times New Roman"/>
          <w:b/>
          <w:sz w:val="24"/>
          <w:lang w:val="pt-BR"/>
        </w:rPr>
        <w:t>Reconhecimento e mensuração</w:t>
      </w:r>
    </w:p>
    <w:p w14:paraId="7F9E6D33" w14:textId="77777777" w:rsidR="00D31489" w:rsidRPr="00D31489" w:rsidRDefault="00D31489" w:rsidP="00D31489">
      <w:pPr>
        <w:spacing w:before="0" w:after="0"/>
        <w:rPr>
          <w:rFonts w:ascii="Times New Roman" w:hAnsi="Times New Roman"/>
          <w:b/>
          <w:sz w:val="24"/>
          <w:lang w:val="pt-BR"/>
        </w:rPr>
      </w:pPr>
    </w:p>
    <w:p w14:paraId="7BD04AD7" w14:textId="77777777" w:rsidR="00D31489" w:rsidRPr="00D31489" w:rsidRDefault="00D31489" w:rsidP="00D31489">
      <w:pPr>
        <w:spacing w:before="0" w:after="0"/>
        <w:rPr>
          <w:rFonts w:ascii="Times New Roman" w:hAnsi="Times New Roman"/>
          <w:b/>
          <w:sz w:val="24"/>
          <w:lang w:val="pt-BR"/>
        </w:rPr>
      </w:pPr>
      <w:r w:rsidRPr="00D31489">
        <w:rPr>
          <w:rFonts w:ascii="Times New Roman" w:hAnsi="Times New Roman"/>
          <w:b/>
          <w:sz w:val="24"/>
          <w:lang w:val="pt-BR"/>
        </w:rPr>
        <w:t>Evento subsequente ao período contábil a que se referem as demonstrações contábeis que originam ajustes</w:t>
      </w:r>
    </w:p>
    <w:p w14:paraId="00D40A21" w14:textId="77777777" w:rsidR="00D31489" w:rsidRPr="00D31489" w:rsidRDefault="00D31489" w:rsidP="00D31489">
      <w:pPr>
        <w:spacing w:before="0" w:after="0"/>
        <w:rPr>
          <w:rFonts w:ascii="Times New Roman" w:hAnsi="Times New Roman"/>
          <w:b/>
          <w:sz w:val="24"/>
          <w:lang w:val="pt-BR"/>
        </w:rPr>
      </w:pPr>
    </w:p>
    <w:p w14:paraId="61953661"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8.</w:t>
      </w:r>
      <w:r w:rsidRPr="00D31489">
        <w:rPr>
          <w:rFonts w:ascii="Times New Roman" w:hAnsi="Times New Roman"/>
          <w:color w:val="000000"/>
          <w:sz w:val="24"/>
          <w:lang w:val="pt-BR"/>
        </w:rPr>
        <w:tab/>
        <w:t>A entidade deve ajustar os valores reconhecidos em suas demonstrações contábeis para que reflitam os eventos subsequentes que evidenciem condições que já existiam na data final do período contábil a que se referem as demonstrações contábeis.</w:t>
      </w:r>
    </w:p>
    <w:p w14:paraId="34540F64"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17DF40B4" w14:textId="77777777" w:rsidR="00D31489" w:rsidRPr="00D31489" w:rsidRDefault="00D31489" w:rsidP="00D31489">
      <w:pPr>
        <w:widowControl w:val="0"/>
        <w:tabs>
          <w:tab w:val="left" w:pos="6804"/>
        </w:tabs>
        <w:spacing w:before="0"/>
        <w:ind w:left="567" w:hanging="567"/>
        <w:rPr>
          <w:rFonts w:ascii="Times New Roman" w:hAnsi="Times New Roman"/>
          <w:color w:val="000000"/>
          <w:sz w:val="24"/>
          <w:lang w:val="pt-BR"/>
        </w:rPr>
      </w:pPr>
      <w:r w:rsidRPr="00D31489">
        <w:rPr>
          <w:rFonts w:ascii="Times New Roman" w:hAnsi="Times New Roman"/>
          <w:color w:val="000000"/>
          <w:sz w:val="24"/>
          <w:lang w:val="pt-BR"/>
        </w:rPr>
        <w:t>9.</w:t>
      </w:r>
      <w:r w:rsidRPr="00D31489">
        <w:rPr>
          <w:rFonts w:ascii="Times New Roman" w:hAnsi="Times New Roman"/>
          <w:color w:val="000000"/>
          <w:sz w:val="24"/>
          <w:lang w:val="pt-BR"/>
        </w:rPr>
        <w:tab/>
        <w:t>A seguir são apresentados exemplos de eventos subsequentes ao período contábil a que se referem as demonstrações contábeis que exigem que a entidade ajuste os valores reconhecidos em suas demonstrações ou reconheça itens que não tenham sido previamente reconhecidos:</w:t>
      </w:r>
    </w:p>
    <w:p w14:paraId="6AC1F6E8" w14:textId="492204A9" w:rsidR="00D31489" w:rsidRPr="00D31489" w:rsidRDefault="00D31489" w:rsidP="00D31489">
      <w:pPr>
        <w:widowControl w:val="0"/>
        <w:numPr>
          <w:ilvl w:val="0"/>
          <w:numId w:val="33"/>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 xml:space="preserve">decisão ou pagamento em processo judicial após o final do período contábil a que se referem as demonstrações contábeis, confirmando que a entidade já tinha a obrigação presente ao final daquele período contábil. A entidade deve ajustar qualquer provisão relacionada ao processo anteriormente reconhecida de acordo com o CPC 25 – Provisões, Passivos Contingentes e Ativos </w:t>
      </w:r>
      <w:r w:rsidRPr="00D31489">
        <w:rPr>
          <w:rFonts w:ascii="Times New Roman" w:hAnsi="Times New Roman"/>
          <w:bCs/>
          <w:iCs/>
          <w:color w:val="000000"/>
          <w:sz w:val="24"/>
          <w:lang w:val="pt-BR"/>
        </w:rPr>
        <w:lastRenderedPageBreak/>
        <w:t>Contingentes ou registrar nova provisão.  A entidade não divulga meramente um passivo contingente porque a decisão proporciona provas adicionais que seriam consideradas de acordo com o item 16 do CPC 25;</w:t>
      </w:r>
    </w:p>
    <w:p w14:paraId="2E2A00FE" w14:textId="33299059" w:rsidR="00D31489" w:rsidRPr="00D31489" w:rsidRDefault="004A27F4" w:rsidP="00D31489">
      <w:pPr>
        <w:widowControl w:val="0"/>
        <w:numPr>
          <w:ilvl w:val="0"/>
          <w:numId w:val="33"/>
        </w:numPr>
        <w:spacing w:before="0"/>
        <w:ind w:left="993" w:hanging="426"/>
        <w:rPr>
          <w:rFonts w:ascii="Times New Roman" w:hAnsi="Times New Roman"/>
          <w:bCs/>
          <w:iCs/>
          <w:strike/>
          <w:color w:val="000000"/>
          <w:sz w:val="24"/>
          <w:lang w:val="pt-BR"/>
        </w:rPr>
      </w:pPr>
      <w:r w:rsidRPr="00D31489">
        <w:rPr>
          <w:rFonts w:ascii="Times New Roman" w:hAnsi="Times New Roman"/>
          <w:bCs/>
          <w:sz w:val="24"/>
        </w:rPr>
        <w:t>obtenção de informação após o período contábil a que se referem as demonstrações contábeis, indicando que um ativo estava desvalorizado ao final daquele período contábil ou que o montante da perda por desvalorização previamente reconhecido em relação àquele ativo precisa ser ajustado. Por exemplo</w:t>
      </w:r>
      <w:r>
        <w:rPr>
          <w:rFonts w:ascii="Times New Roman" w:hAnsi="Times New Roman"/>
          <w:bCs/>
          <w:sz w:val="24"/>
        </w:rPr>
        <w:t>:</w:t>
      </w:r>
    </w:p>
    <w:p w14:paraId="49F0471B" w14:textId="1E380953" w:rsidR="00D31489" w:rsidRPr="00D31489" w:rsidRDefault="004A27F4" w:rsidP="00D31489">
      <w:pPr>
        <w:widowControl w:val="0"/>
        <w:numPr>
          <w:ilvl w:val="1"/>
          <w:numId w:val="14"/>
        </w:numPr>
        <w:spacing w:before="0"/>
        <w:ind w:left="1418" w:hanging="425"/>
        <w:rPr>
          <w:rFonts w:ascii="Times New Roman" w:hAnsi="Times New Roman"/>
          <w:bCs/>
          <w:iCs/>
          <w:strike/>
          <w:color w:val="000000"/>
          <w:sz w:val="24"/>
          <w:lang w:val="pt-BR"/>
        </w:rPr>
      </w:pPr>
      <w:r w:rsidRPr="00D31489">
        <w:rPr>
          <w:rFonts w:ascii="Times New Roman" w:hAnsi="Times New Roman"/>
          <w:bCs/>
          <w:sz w:val="24"/>
        </w:rPr>
        <w:t>falência de cliente, ocorrida após o período contábil a que se referem as demonstrações contábeis, normalmente confirma que houve perda por redução ao valor recuperável no crédito no final do período de relatório; e</w:t>
      </w:r>
    </w:p>
    <w:p w14:paraId="5F424BFD" w14:textId="77777777" w:rsidR="00D31489" w:rsidRPr="00D31489" w:rsidRDefault="00D31489" w:rsidP="00D31489">
      <w:pPr>
        <w:widowControl w:val="0"/>
        <w:numPr>
          <w:ilvl w:val="1"/>
          <w:numId w:val="14"/>
        </w:numPr>
        <w:spacing w:before="0"/>
        <w:ind w:left="1418" w:hanging="425"/>
        <w:rPr>
          <w:rFonts w:ascii="Times New Roman" w:hAnsi="Times New Roman"/>
          <w:bCs/>
          <w:iCs/>
          <w:color w:val="000000"/>
          <w:sz w:val="24"/>
          <w:lang w:val="pt-BR"/>
        </w:rPr>
      </w:pPr>
      <w:r w:rsidRPr="00D31489">
        <w:rPr>
          <w:rFonts w:ascii="Times New Roman" w:hAnsi="Times New Roman"/>
          <w:bCs/>
          <w:iCs/>
          <w:color w:val="000000"/>
          <w:sz w:val="24"/>
          <w:lang w:val="pt-BR"/>
        </w:rPr>
        <w:t>venda de estoque após o período contábil a que se referem as demonstrações contábeis pode proporcionar evidência sobre o valor de realização líquido desses estoques ao final daquele período;</w:t>
      </w:r>
    </w:p>
    <w:p w14:paraId="0D6A1EA0" w14:textId="77777777" w:rsidR="00D31489" w:rsidRPr="00D31489" w:rsidRDefault="00D31489" w:rsidP="00D31489">
      <w:pPr>
        <w:widowControl w:val="0"/>
        <w:numPr>
          <w:ilvl w:val="0"/>
          <w:numId w:val="33"/>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determinação, após o período contábil a que se referem as demonstrações contábeis, do custo de ativos comprados ou do valor de ativos recebidos em troca de ativos vendidos antes do final daquele período;</w:t>
      </w:r>
    </w:p>
    <w:p w14:paraId="3B25A150" w14:textId="77777777" w:rsidR="00D31489" w:rsidRPr="00D31489" w:rsidRDefault="00D31489" w:rsidP="00D31489">
      <w:pPr>
        <w:widowControl w:val="0"/>
        <w:numPr>
          <w:ilvl w:val="0"/>
          <w:numId w:val="33"/>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determinação, após o período contábil a que se referem as demonstrações contábeis, do valor referente ao pagamento de participação nos lucros ou referente às gratificações, no caso de a entidade ter, ao final do período a que se referem as demonstrações, uma obrigação presente legal ou construtiva de fazer tais pagamentos em decorrência de eventos ocorridos antes daquela data (ver CPC 33 – Benefícios a Empregados); e</w:t>
      </w:r>
    </w:p>
    <w:p w14:paraId="2DAA54F4" w14:textId="77777777" w:rsidR="00D31489" w:rsidRPr="00D31489" w:rsidRDefault="00D31489" w:rsidP="00D31489">
      <w:pPr>
        <w:widowControl w:val="0"/>
        <w:numPr>
          <w:ilvl w:val="0"/>
          <w:numId w:val="33"/>
        </w:numPr>
        <w:spacing w:before="0" w:after="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descoberta de fraude ou erros que mostram que as demonstrações contábeis estavam incorretas.</w:t>
      </w:r>
    </w:p>
    <w:p w14:paraId="7A89D4C7" w14:textId="77777777" w:rsidR="00D31489" w:rsidRPr="00D31489" w:rsidRDefault="00D31489" w:rsidP="00D31489">
      <w:pPr>
        <w:spacing w:before="0" w:after="0"/>
        <w:rPr>
          <w:rFonts w:ascii="Times New Roman" w:hAnsi="Times New Roman"/>
          <w:b/>
          <w:sz w:val="24"/>
          <w:lang w:val="pt-BR"/>
        </w:rPr>
      </w:pPr>
    </w:p>
    <w:p w14:paraId="14B4C2B8" w14:textId="77777777" w:rsidR="00D31489" w:rsidRPr="00D31489" w:rsidRDefault="00D31489" w:rsidP="00D31489">
      <w:pPr>
        <w:spacing w:before="0" w:after="0"/>
        <w:rPr>
          <w:rFonts w:ascii="Times New Roman" w:hAnsi="Times New Roman"/>
          <w:b/>
          <w:sz w:val="24"/>
          <w:lang w:val="pt-BR"/>
        </w:rPr>
      </w:pPr>
      <w:r w:rsidRPr="00D31489">
        <w:rPr>
          <w:rFonts w:ascii="Times New Roman" w:hAnsi="Times New Roman"/>
          <w:b/>
          <w:sz w:val="24"/>
          <w:lang w:val="pt-BR"/>
        </w:rPr>
        <w:t>Evento subsequente ao período contábil a que se referem as demonstrações contábeis que não originam ajustes</w:t>
      </w:r>
    </w:p>
    <w:p w14:paraId="759EBA06"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65536653"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10.</w:t>
      </w:r>
      <w:r w:rsidRPr="00D31489">
        <w:rPr>
          <w:rFonts w:ascii="Times New Roman" w:hAnsi="Times New Roman"/>
          <w:color w:val="000000"/>
          <w:sz w:val="24"/>
          <w:lang w:val="pt-BR"/>
        </w:rPr>
        <w:tab/>
        <w:t xml:space="preserve">A entidade não deve ajustar os valores reconhecidos em suas demonstrações contábeis por eventos subsequentes que são indicadores de condições que surgiram após o período contábil a que se referem as demonstrações.  </w:t>
      </w:r>
    </w:p>
    <w:p w14:paraId="4B895897"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2556E543" w14:textId="4B247CFD" w:rsidR="00D31489" w:rsidRPr="00D31489" w:rsidRDefault="00D31489" w:rsidP="00D31489">
      <w:pPr>
        <w:spacing w:before="0" w:after="0"/>
        <w:ind w:left="567" w:hanging="567"/>
        <w:rPr>
          <w:rFonts w:ascii="Times New Roman" w:hAnsi="Times New Roman"/>
          <w:sz w:val="24"/>
          <w:lang w:val="pt-BR"/>
        </w:rPr>
      </w:pPr>
      <w:r w:rsidRPr="00D31489">
        <w:rPr>
          <w:rFonts w:ascii="Times New Roman" w:hAnsi="Times New Roman"/>
          <w:sz w:val="24"/>
          <w:lang w:val="pt-BR"/>
        </w:rPr>
        <w:t>11.</w:t>
      </w:r>
      <w:r w:rsidRPr="00D31489">
        <w:rPr>
          <w:rFonts w:ascii="Times New Roman" w:hAnsi="Times New Roman"/>
          <w:sz w:val="24"/>
          <w:lang w:val="pt-BR"/>
        </w:rPr>
        <w:tab/>
        <w:t xml:space="preserve">Um exemplo de evento subsequente ao período contábil a que se referem as demonstrações contábeis que não origina ajustes é o declínio do valor justo de investimentos ocorrido no período compreendido entre o final do período contábil a que se referem as demonstrações e a data de autorização de emissão dessas demonstrações. O declínio do valor justo não se relaciona normalmente à condição dos investimentos no final do período contábil a que se referem as demonstrações contábeis, mas reflete circunstâncias que surgiram no período seguinte. Portanto, a entidade não deve ajustar os valores reconhecidos para os investimentos em suas demonstrações contábeis. Igualmente, a entidade não deve atualizar os valores divulgados para os investimentos na data do balanço, embora possa necessitar dar divulgação adicional conforme o item 21. </w:t>
      </w:r>
    </w:p>
    <w:p w14:paraId="11A5F1E4" w14:textId="77777777" w:rsidR="00D31489" w:rsidRPr="00D31489" w:rsidRDefault="00D31489" w:rsidP="00D31489">
      <w:pPr>
        <w:spacing w:before="0" w:after="0"/>
        <w:rPr>
          <w:rFonts w:ascii="Times New Roman" w:hAnsi="Times New Roman"/>
          <w:b/>
          <w:sz w:val="24"/>
          <w:lang w:val="pt-BR"/>
        </w:rPr>
      </w:pPr>
    </w:p>
    <w:p w14:paraId="7AD7523C" w14:textId="77777777" w:rsidR="00FA12E3" w:rsidRDefault="00FA12E3" w:rsidP="00D31489">
      <w:pPr>
        <w:spacing w:before="0" w:after="0"/>
        <w:rPr>
          <w:rFonts w:ascii="Times New Roman" w:hAnsi="Times New Roman"/>
          <w:b/>
          <w:sz w:val="24"/>
          <w:lang w:val="pt-BR"/>
        </w:rPr>
      </w:pPr>
    </w:p>
    <w:p w14:paraId="263D744C" w14:textId="51DBDDC3" w:rsidR="00D31489" w:rsidRPr="00D31489" w:rsidRDefault="00D31489" w:rsidP="00D31489">
      <w:pPr>
        <w:spacing w:before="0" w:after="0"/>
        <w:rPr>
          <w:rFonts w:ascii="Times New Roman" w:hAnsi="Times New Roman"/>
          <w:b/>
          <w:sz w:val="24"/>
          <w:lang w:val="pt-BR"/>
        </w:rPr>
      </w:pPr>
      <w:r w:rsidRPr="00D31489">
        <w:rPr>
          <w:rFonts w:ascii="Times New Roman" w:hAnsi="Times New Roman"/>
          <w:b/>
          <w:sz w:val="24"/>
          <w:lang w:val="pt-BR"/>
        </w:rPr>
        <w:lastRenderedPageBreak/>
        <w:t>Dividendos</w:t>
      </w:r>
    </w:p>
    <w:p w14:paraId="1EA3517E"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7A7A05FE"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12.</w:t>
      </w:r>
      <w:r w:rsidRPr="00D31489">
        <w:rPr>
          <w:rFonts w:ascii="Times New Roman" w:hAnsi="Times New Roman"/>
          <w:color w:val="000000"/>
          <w:sz w:val="24"/>
          <w:lang w:val="pt-BR"/>
        </w:rPr>
        <w:tab/>
        <w:t>Se a entidade declarar dividendos aos detentores de instrumentos de patrimônio (como definido no Pronunciamento Técnico CPC 39 – Instrumentos Financeiros: Apresentação) após o período contábil a que se referem as demonstrações contábeis, a entidade não deve reconhecer esses dividendos como passivo ao final daquele período.</w:t>
      </w:r>
    </w:p>
    <w:p w14:paraId="3644DC75"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0ACA3FA9"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13.</w:t>
      </w:r>
      <w:r w:rsidRPr="00D31489">
        <w:rPr>
          <w:rFonts w:ascii="Times New Roman" w:hAnsi="Times New Roman"/>
          <w:color w:val="000000"/>
          <w:sz w:val="24"/>
          <w:lang w:val="pt-BR"/>
        </w:rPr>
        <w:tab/>
        <w:t>Se forem declarados dividendos após o período contábil a que se referem as demonstrações contábeis, mas antes da data da autorização de emissão dessas demonstrações esses dividendos não devem ser reconhecidos como passivo ao final daquele período, em virtude de não atenderem aos critérios de obrigação presente na data das demonstrações contábeis como definido no Pronunciamento Técnico CPC 25 – Provisões, Passivos Contingentes e Ativos Contingentes.  Tais dividendos devem ser divulgados nas notas explicativas em conformidade com o Pronunciamento Técnico CPC 26 – Apresentação das Demonstrações Contábeis.</w:t>
      </w:r>
    </w:p>
    <w:p w14:paraId="0BF8F0FE" w14:textId="77777777" w:rsidR="00D31489" w:rsidRPr="00D31489" w:rsidRDefault="00D31489" w:rsidP="00D31489">
      <w:pPr>
        <w:spacing w:before="0" w:after="0"/>
        <w:rPr>
          <w:rFonts w:ascii="Times New Roman" w:hAnsi="Times New Roman"/>
          <w:b/>
          <w:sz w:val="24"/>
          <w:lang w:val="pt-BR"/>
        </w:rPr>
      </w:pPr>
    </w:p>
    <w:p w14:paraId="6841F565" w14:textId="77777777" w:rsidR="00D31489" w:rsidRPr="00D31489" w:rsidRDefault="00D31489" w:rsidP="00D31489">
      <w:pPr>
        <w:spacing w:before="0" w:after="0"/>
        <w:rPr>
          <w:rFonts w:ascii="Times New Roman" w:hAnsi="Times New Roman"/>
          <w:b/>
          <w:sz w:val="28"/>
          <w:szCs w:val="28"/>
          <w:lang w:val="pt-BR"/>
        </w:rPr>
      </w:pPr>
      <w:r w:rsidRPr="00D31489">
        <w:rPr>
          <w:rFonts w:ascii="Times New Roman" w:hAnsi="Times New Roman"/>
          <w:b/>
          <w:sz w:val="28"/>
          <w:szCs w:val="28"/>
          <w:lang w:val="pt-BR"/>
        </w:rPr>
        <w:t>Continuidade</w:t>
      </w:r>
    </w:p>
    <w:p w14:paraId="45701B94"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78DEC837"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14.</w:t>
      </w:r>
      <w:r w:rsidRPr="00D31489">
        <w:rPr>
          <w:rFonts w:ascii="Times New Roman" w:hAnsi="Times New Roman"/>
          <w:color w:val="000000"/>
          <w:sz w:val="24"/>
          <w:lang w:val="pt-BR"/>
        </w:rPr>
        <w:tab/>
        <w:t xml:space="preserve">A entidade não deve elaborar suas demonstrações contábeis com base no pressuposto de continuidade se sua administração determinar após o período contábil a que se referem as demonstrações contábeis que pretende liquidar a entidade, ou deixar de operar ou que não tem alternativa realista senão fazê-lo. </w:t>
      </w:r>
    </w:p>
    <w:p w14:paraId="15B3E2D0"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311110B8"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15.</w:t>
      </w:r>
      <w:r w:rsidRPr="00D31489">
        <w:rPr>
          <w:rFonts w:ascii="Times New Roman" w:hAnsi="Times New Roman"/>
          <w:color w:val="000000"/>
          <w:sz w:val="24"/>
          <w:lang w:val="pt-BR"/>
        </w:rPr>
        <w:tab/>
        <w:t>A deterioração dos resultados operacionais e da situação financeira após o período contábil a que se referem as demonstrações contábeis pode indicar a necessidade de considerar se o pressuposto da continuidade ainda é apropriado. Se o pressuposto da continuidade não for mais apropriado, o efeito é tão profundo que este Pronunciamento requer uma mudança fundamental nos critérios contábeis adotados, em vez de apenas um ajuste dos valores reconhecidos pelos critérios originais.</w:t>
      </w:r>
    </w:p>
    <w:p w14:paraId="76BB1D6F"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03652D2E" w14:textId="77777777" w:rsidR="00D31489" w:rsidRPr="00D31489" w:rsidRDefault="00D31489" w:rsidP="00D31489">
      <w:pPr>
        <w:widowControl w:val="0"/>
        <w:tabs>
          <w:tab w:val="left" w:pos="6804"/>
        </w:tabs>
        <w:spacing w:before="0"/>
        <w:ind w:left="567" w:hanging="567"/>
        <w:rPr>
          <w:rFonts w:ascii="Times New Roman" w:hAnsi="Times New Roman"/>
          <w:color w:val="000000"/>
          <w:sz w:val="24"/>
          <w:lang w:val="pt-BR"/>
        </w:rPr>
      </w:pPr>
      <w:r w:rsidRPr="00D31489">
        <w:rPr>
          <w:rFonts w:ascii="Times New Roman" w:hAnsi="Times New Roman"/>
          <w:color w:val="000000"/>
          <w:sz w:val="24"/>
          <w:lang w:val="pt-BR"/>
        </w:rPr>
        <w:t xml:space="preserve">16. </w:t>
      </w:r>
      <w:r w:rsidRPr="00D31489">
        <w:rPr>
          <w:rFonts w:ascii="Times New Roman" w:hAnsi="Times New Roman"/>
          <w:color w:val="000000"/>
          <w:sz w:val="24"/>
          <w:lang w:val="pt-BR"/>
        </w:rPr>
        <w:tab/>
        <w:t>O Pronunciamento Técnico CPC 26 – Apresentação das Demonstrações Contábeis especifica as divulgações exigidas se:</w:t>
      </w:r>
    </w:p>
    <w:p w14:paraId="5B82E8F1" w14:textId="77777777" w:rsidR="00D31489" w:rsidRPr="00D31489" w:rsidRDefault="00D31489" w:rsidP="00D31489">
      <w:pPr>
        <w:widowControl w:val="0"/>
        <w:numPr>
          <w:ilvl w:val="0"/>
          <w:numId w:val="34"/>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as demonstrações contábeis não forem elaboradas com base no pressuposto de continuidade; ou</w:t>
      </w:r>
    </w:p>
    <w:p w14:paraId="482F5E56" w14:textId="77777777" w:rsidR="00D31489" w:rsidRPr="00D31489" w:rsidRDefault="00D31489" w:rsidP="00D31489">
      <w:pPr>
        <w:widowControl w:val="0"/>
        <w:numPr>
          <w:ilvl w:val="0"/>
          <w:numId w:val="34"/>
        </w:numPr>
        <w:spacing w:before="0" w:after="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 xml:space="preserve">a administração estiver ciente de incertezas relacionadas a eventos ou condições que possam gerar dúvidas significativas sobre a capacidade de a sociedade continuar </w:t>
      </w:r>
      <w:smartTag w:uri="urn:schemas-microsoft-com:office:smarttags" w:element="PersonName">
        <w:smartTagPr>
          <w:attr w:name="ProductID" w:val="em opera￧￣o. Os"/>
        </w:smartTagPr>
        <w:r w:rsidRPr="00D31489">
          <w:rPr>
            <w:rFonts w:ascii="Times New Roman" w:hAnsi="Times New Roman"/>
            <w:bCs/>
            <w:iCs/>
            <w:color w:val="000000"/>
            <w:sz w:val="24"/>
            <w:lang w:val="pt-BR"/>
          </w:rPr>
          <w:t>em operação. Os</w:t>
        </w:r>
      </w:smartTag>
      <w:r w:rsidRPr="00D31489">
        <w:rPr>
          <w:rFonts w:ascii="Times New Roman" w:hAnsi="Times New Roman"/>
          <w:bCs/>
          <w:iCs/>
          <w:color w:val="000000"/>
          <w:sz w:val="24"/>
          <w:lang w:val="pt-BR"/>
        </w:rPr>
        <w:t xml:space="preserve"> eventos e as condições que requerem divulgação podem surgir após o período contábil a que se referem as demonstrações contábeis.</w:t>
      </w:r>
    </w:p>
    <w:p w14:paraId="5C42DB96" w14:textId="77777777" w:rsidR="00D31489" w:rsidRPr="00D31489" w:rsidRDefault="00D31489" w:rsidP="00D31489">
      <w:pPr>
        <w:spacing w:before="0" w:after="0"/>
        <w:rPr>
          <w:rFonts w:ascii="Times New Roman" w:hAnsi="Times New Roman"/>
          <w:b/>
          <w:sz w:val="24"/>
          <w:lang w:val="pt-BR"/>
        </w:rPr>
      </w:pPr>
    </w:p>
    <w:p w14:paraId="0BEEFB3D" w14:textId="77777777" w:rsidR="00D31489" w:rsidRPr="00D31489" w:rsidRDefault="00D31489" w:rsidP="00D31489">
      <w:pPr>
        <w:spacing w:before="0" w:after="0"/>
        <w:rPr>
          <w:rFonts w:ascii="Times New Roman" w:hAnsi="Times New Roman"/>
          <w:b/>
          <w:sz w:val="28"/>
          <w:szCs w:val="28"/>
          <w:lang w:val="pt-BR"/>
        </w:rPr>
      </w:pPr>
      <w:r w:rsidRPr="00D31489">
        <w:rPr>
          <w:rFonts w:ascii="Times New Roman" w:hAnsi="Times New Roman"/>
          <w:b/>
          <w:sz w:val="28"/>
          <w:szCs w:val="28"/>
          <w:lang w:val="pt-BR"/>
        </w:rPr>
        <w:t>Divulgação</w:t>
      </w:r>
    </w:p>
    <w:p w14:paraId="6A28FC4B" w14:textId="77777777" w:rsidR="00D31489" w:rsidRPr="00D31489" w:rsidRDefault="00D31489" w:rsidP="00D31489">
      <w:pPr>
        <w:spacing w:before="0" w:after="0"/>
        <w:rPr>
          <w:rFonts w:ascii="Times New Roman" w:hAnsi="Times New Roman"/>
          <w:b/>
          <w:sz w:val="24"/>
          <w:lang w:val="pt-BR"/>
        </w:rPr>
      </w:pPr>
    </w:p>
    <w:p w14:paraId="4163BEBC" w14:textId="77777777" w:rsidR="00D31489" w:rsidRPr="00D31489" w:rsidRDefault="00D31489" w:rsidP="00D31489">
      <w:pPr>
        <w:spacing w:before="0" w:after="0"/>
        <w:rPr>
          <w:rFonts w:ascii="Times New Roman" w:hAnsi="Times New Roman"/>
          <w:b/>
          <w:sz w:val="24"/>
          <w:lang w:val="pt-BR"/>
        </w:rPr>
      </w:pPr>
      <w:r w:rsidRPr="00D31489">
        <w:rPr>
          <w:rFonts w:ascii="Times New Roman" w:hAnsi="Times New Roman"/>
          <w:b/>
          <w:sz w:val="24"/>
          <w:lang w:val="pt-BR"/>
        </w:rPr>
        <w:t>Data de autorização para emissão</w:t>
      </w:r>
    </w:p>
    <w:p w14:paraId="2A9904F2" w14:textId="77777777" w:rsidR="00D31489" w:rsidRPr="00D31489" w:rsidRDefault="00D31489" w:rsidP="00D31489">
      <w:pPr>
        <w:spacing w:before="0" w:after="0"/>
        <w:rPr>
          <w:rFonts w:ascii="Times New Roman" w:hAnsi="Times New Roman"/>
          <w:b/>
          <w:sz w:val="24"/>
          <w:lang w:val="pt-BR"/>
        </w:rPr>
      </w:pPr>
    </w:p>
    <w:p w14:paraId="4B5F78CD"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17.</w:t>
      </w:r>
      <w:r w:rsidRPr="00D31489">
        <w:rPr>
          <w:rFonts w:ascii="Times New Roman" w:hAnsi="Times New Roman"/>
          <w:color w:val="000000"/>
          <w:sz w:val="24"/>
          <w:lang w:val="pt-BR"/>
        </w:rPr>
        <w:tab/>
        <w:t xml:space="preserve">A entidade deve divulgar a data em que foi concedida a autorização para emissão das demonstrações contábeis e quem forneceu tal autorização. Se os sócios da entidade ou outros tiverem o poder de </w:t>
      </w:r>
      <w:r w:rsidRPr="00D31489">
        <w:rPr>
          <w:rFonts w:ascii="Times New Roman" w:hAnsi="Times New Roman"/>
          <w:color w:val="000000"/>
          <w:sz w:val="24"/>
          <w:lang w:val="pt-BR"/>
        </w:rPr>
        <w:lastRenderedPageBreak/>
        <w:t>alterar as demonstrações contábeis após sua emissão, a entidade deve divulgar esse fato.</w:t>
      </w:r>
    </w:p>
    <w:p w14:paraId="28AA35DA"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24E0BCD2"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18.</w:t>
      </w:r>
      <w:r w:rsidRPr="00D31489">
        <w:rPr>
          <w:rFonts w:ascii="Times New Roman" w:hAnsi="Times New Roman"/>
          <w:color w:val="000000"/>
          <w:sz w:val="24"/>
          <w:lang w:val="pt-BR"/>
        </w:rPr>
        <w:tab/>
        <w:t>É importante que os usuários saibam quando foi autorizada a emissão das demonstrações contábeis, já que elas não refletem eventos posteriores a essa data.</w:t>
      </w:r>
    </w:p>
    <w:p w14:paraId="5CB888D9" w14:textId="77777777" w:rsidR="00D31489" w:rsidRPr="00D31489" w:rsidRDefault="00D31489" w:rsidP="00D31489">
      <w:pPr>
        <w:spacing w:before="0" w:after="0"/>
        <w:rPr>
          <w:rFonts w:ascii="Times New Roman" w:hAnsi="Times New Roman"/>
          <w:b/>
          <w:sz w:val="24"/>
          <w:lang w:val="pt-BR"/>
        </w:rPr>
      </w:pPr>
    </w:p>
    <w:p w14:paraId="2E66CE64" w14:textId="77777777" w:rsidR="00D31489" w:rsidRPr="00D31489" w:rsidRDefault="00D31489" w:rsidP="00D31489">
      <w:pPr>
        <w:spacing w:before="0" w:after="0"/>
        <w:rPr>
          <w:rFonts w:ascii="Times New Roman" w:hAnsi="Times New Roman"/>
          <w:b/>
          <w:sz w:val="24"/>
          <w:lang w:val="pt-BR"/>
        </w:rPr>
      </w:pPr>
      <w:r w:rsidRPr="00D31489">
        <w:rPr>
          <w:rFonts w:ascii="Times New Roman" w:hAnsi="Times New Roman"/>
          <w:b/>
          <w:sz w:val="24"/>
          <w:lang w:val="pt-BR"/>
        </w:rPr>
        <w:t xml:space="preserve">Atualização da divulgação sobre condições existentes ao final do período a que se referem as demonstrações contábeis </w:t>
      </w:r>
    </w:p>
    <w:p w14:paraId="390898D6"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19DC20A9"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19.</w:t>
      </w:r>
      <w:r w:rsidRPr="00D31489">
        <w:rPr>
          <w:rFonts w:ascii="Times New Roman" w:hAnsi="Times New Roman"/>
          <w:color w:val="000000"/>
          <w:sz w:val="24"/>
          <w:lang w:val="pt-BR"/>
        </w:rPr>
        <w:tab/>
        <w:t xml:space="preserve">Se a entidade, após o período a que se referem as demonstrações contábeis, receber informações sobre condições que existiam até aquela data, deve atualizar a divulgação que se relaciona a essas condições, à luz das novas informações. </w:t>
      </w:r>
    </w:p>
    <w:p w14:paraId="2CDDC1D9"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52625C20" w14:textId="317AC42E"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r w:rsidRPr="00D31489">
        <w:rPr>
          <w:rFonts w:ascii="Times New Roman" w:hAnsi="Times New Roman"/>
          <w:color w:val="000000"/>
          <w:sz w:val="24"/>
          <w:lang w:val="pt-BR"/>
        </w:rPr>
        <w:t>20.</w:t>
      </w:r>
      <w:r w:rsidRPr="00D31489">
        <w:rPr>
          <w:rFonts w:ascii="Times New Roman" w:hAnsi="Times New Roman"/>
          <w:color w:val="000000"/>
          <w:sz w:val="24"/>
          <w:lang w:val="pt-BR"/>
        </w:rPr>
        <w:tab/>
        <w:t>Em alguns casos, a entidade precisa atualizar a divulgação de suas demonstrações contábeis de modo que reflitam as informações recebidas após o período contábil a que se referem as demonstrações contábeis, mesmo quando as informações não afetam os valores reconhecidos nessas demonstrações. Um exemplo da necessidade de atualização de divulgação é quando fica disponível, após o período contábil a que se referem as demonstrações, evidência de contingência passiva que existia ao final do período contábil a que se referem as demonstrações contábeis. Além de considerar se deve reconhecer ou modificar uma provisão com base no Pronunciamento Técnico CPC 25 – Provisões, Passivos Contingentes e Ativos Contingentes, a entidade deve atualizar sua divulgação sobre a contingência passiva à luz daquela evidência.</w:t>
      </w:r>
    </w:p>
    <w:p w14:paraId="22751D9B" w14:textId="77777777" w:rsidR="00D31489" w:rsidRPr="00D31489" w:rsidRDefault="00D31489" w:rsidP="00D31489">
      <w:pPr>
        <w:spacing w:before="0" w:after="0"/>
        <w:rPr>
          <w:rFonts w:ascii="Times New Roman" w:hAnsi="Times New Roman"/>
          <w:b/>
          <w:sz w:val="24"/>
          <w:lang w:val="pt-BR"/>
        </w:rPr>
      </w:pPr>
    </w:p>
    <w:p w14:paraId="01FD7EF5" w14:textId="77777777" w:rsidR="00D31489" w:rsidRPr="00D31489" w:rsidRDefault="00D31489" w:rsidP="00D31489">
      <w:pPr>
        <w:spacing w:before="0" w:after="0"/>
        <w:rPr>
          <w:rFonts w:ascii="Times New Roman" w:hAnsi="Times New Roman"/>
          <w:b/>
          <w:sz w:val="24"/>
          <w:lang w:val="pt-BR"/>
        </w:rPr>
      </w:pPr>
      <w:r w:rsidRPr="00D31489">
        <w:rPr>
          <w:rFonts w:ascii="Times New Roman" w:hAnsi="Times New Roman"/>
          <w:b/>
          <w:sz w:val="24"/>
          <w:lang w:val="pt-BR"/>
        </w:rPr>
        <w:t>Evento subsequente ao período contábil a que se referem as demonstrações contábeis que não originam ajustes</w:t>
      </w:r>
    </w:p>
    <w:p w14:paraId="74FC2098" w14:textId="77777777" w:rsidR="00D31489" w:rsidRPr="00D31489" w:rsidRDefault="00D31489" w:rsidP="00D31489">
      <w:pPr>
        <w:widowControl w:val="0"/>
        <w:tabs>
          <w:tab w:val="left" w:pos="6804"/>
        </w:tabs>
        <w:spacing w:before="0" w:after="0"/>
        <w:ind w:left="567" w:hanging="567"/>
        <w:rPr>
          <w:rFonts w:ascii="Times New Roman" w:hAnsi="Times New Roman"/>
          <w:color w:val="000000"/>
          <w:sz w:val="24"/>
          <w:lang w:val="pt-BR"/>
        </w:rPr>
      </w:pPr>
    </w:p>
    <w:p w14:paraId="077B4BC7" w14:textId="77777777" w:rsidR="00D31489" w:rsidRPr="00D31489" w:rsidRDefault="00D31489" w:rsidP="00D31489">
      <w:pPr>
        <w:widowControl w:val="0"/>
        <w:tabs>
          <w:tab w:val="left" w:pos="6804"/>
        </w:tabs>
        <w:spacing w:before="0"/>
        <w:ind w:left="567" w:hanging="567"/>
        <w:rPr>
          <w:rFonts w:ascii="Times New Roman" w:hAnsi="Times New Roman"/>
          <w:color w:val="000000"/>
          <w:sz w:val="24"/>
          <w:lang w:val="pt-BR"/>
        </w:rPr>
      </w:pPr>
      <w:r w:rsidRPr="00D31489">
        <w:rPr>
          <w:rFonts w:ascii="Times New Roman" w:hAnsi="Times New Roman"/>
          <w:color w:val="000000"/>
          <w:sz w:val="24"/>
          <w:lang w:val="pt-BR"/>
        </w:rPr>
        <w:t>21.</w:t>
      </w:r>
      <w:r w:rsidRPr="00D31489">
        <w:rPr>
          <w:rFonts w:ascii="Times New Roman" w:hAnsi="Times New Roman"/>
          <w:color w:val="000000"/>
          <w:sz w:val="24"/>
          <w:lang w:val="pt-BR"/>
        </w:rPr>
        <w:tab/>
        <w:t>Se os eventos subsequentes ao período contábil a que se referem as demonstrações contábeis são significativos, mas não originam ajustes, sua não divulgação pode influenciar as decisões econômicas a serem tomadas pelos usuários com base nessas demonstrações. Consequentemente, a entidade deve divulgar as seguintes informações para cada categoria significativa de eventos subsequentes ao período contábil a que se referem as demonstrações contábeis que não originam ajustes:</w:t>
      </w:r>
    </w:p>
    <w:p w14:paraId="2016D2B5" w14:textId="77777777" w:rsidR="00D31489" w:rsidRPr="00D31489" w:rsidRDefault="00D31489" w:rsidP="00D31489">
      <w:pPr>
        <w:widowControl w:val="0"/>
        <w:numPr>
          <w:ilvl w:val="0"/>
          <w:numId w:val="35"/>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a natureza do evento;</w:t>
      </w:r>
    </w:p>
    <w:p w14:paraId="269E332F" w14:textId="77777777" w:rsidR="00D31489" w:rsidRPr="00D31489" w:rsidRDefault="00D31489" w:rsidP="00D31489">
      <w:pPr>
        <w:widowControl w:val="0"/>
        <w:numPr>
          <w:ilvl w:val="0"/>
          <w:numId w:val="35"/>
        </w:numPr>
        <w:spacing w:before="0" w:after="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a estimativa de seu efeito financeiro ou uma declaração de que tal estimativa não pode ser feita.</w:t>
      </w:r>
    </w:p>
    <w:p w14:paraId="1E1E6C37" w14:textId="77777777" w:rsidR="00D31489" w:rsidRPr="00D31489" w:rsidRDefault="00D31489" w:rsidP="00D31489">
      <w:pPr>
        <w:spacing w:before="0" w:after="0"/>
      </w:pPr>
    </w:p>
    <w:p w14:paraId="102A412A" w14:textId="77777777" w:rsidR="00D31489" w:rsidRPr="00D31489" w:rsidRDefault="00D31489" w:rsidP="00D31489">
      <w:pPr>
        <w:widowControl w:val="0"/>
        <w:tabs>
          <w:tab w:val="left" w:pos="6804"/>
        </w:tabs>
        <w:spacing w:before="0"/>
        <w:ind w:left="567" w:hanging="567"/>
        <w:rPr>
          <w:rFonts w:ascii="Times New Roman" w:hAnsi="Times New Roman"/>
          <w:color w:val="000000"/>
          <w:sz w:val="24"/>
          <w:lang w:val="pt-BR"/>
        </w:rPr>
      </w:pPr>
      <w:r w:rsidRPr="00D31489">
        <w:rPr>
          <w:rFonts w:ascii="Times New Roman" w:hAnsi="Times New Roman"/>
          <w:color w:val="000000"/>
          <w:sz w:val="24"/>
          <w:lang w:val="pt-BR"/>
        </w:rPr>
        <w:t>22.</w:t>
      </w:r>
      <w:r w:rsidRPr="00D31489">
        <w:rPr>
          <w:rFonts w:ascii="Times New Roman" w:hAnsi="Times New Roman"/>
          <w:color w:val="000000"/>
          <w:sz w:val="24"/>
          <w:lang w:val="pt-BR"/>
        </w:rPr>
        <w:tab/>
        <w:t>A seguir, estão relacionados exemplos de eventos subsequentes ao período contábil a que se referem as demonstrações contábeis que não originam ajustes, os quais normalmente resultam em divulgação:</w:t>
      </w:r>
    </w:p>
    <w:p w14:paraId="4012B12A"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combinação de negócios importante após o período contábil a que se referem as demonstrações contábeis (o Pronunciamento Técnico CPC 15 – Combinação de Negócios exige divulgação específica em tais casos) ou a alienação de uma subsidiária importante;</w:t>
      </w:r>
    </w:p>
    <w:p w14:paraId="282367FC"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 xml:space="preserve">anúncio de plano para descontinuar uma operação; </w:t>
      </w:r>
    </w:p>
    <w:p w14:paraId="7158EC36"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 xml:space="preserve">compras importantes de ativos, classificação de ativos como mantidos para venda de acordo com o Pronunciamento Técnico CPC 31 – Ativo Não Circulante Mantido para Venda e Operação </w:t>
      </w:r>
      <w:r w:rsidRPr="00D31489">
        <w:rPr>
          <w:rFonts w:ascii="Times New Roman" w:hAnsi="Times New Roman"/>
          <w:bCs/>
          <w:iCs/>
          <w:color w:val="000000"/>
          <w:sz w:val="24"/>
          <w:lang w:val="pt-BR"/>
        </w:rPr>
        <w:lastRenderedPageBreak/>
        <w:t>Descontinuada, outras alienações de ativos ou desapropriações de ativos importantes pelo governo;</w:t>
      </w:r>
    </w:p>
    <w:p w14:paraId="7B6AC043"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 xml:space="preserve">destruição por incêndio de instalação de produção importante após o período contábil a que se referem as demonstrações contábeis;  </w:t>
      </w:r>
    </w:p>
    <w:p w14:paraId="495EB2DD"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anúncio ou início da implementação de reestruturação importante (ver Pronunciamento Técnico CPC 25 - Provisões, Passivos Contingentes e Ativos Contingentes);</w:t>
      </w:r>
    </w:p>
    <w:p w14:paraId="5100B11C"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transações importantes, efetivas e potenciais, envolvendo ações ordinárias subsequentes ao período contábil a que se referem as demonstrações contábeis;</w:t>
      </w:r>
    </w:p>
    <w:p w14:paraId="22975D6F"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 xml:space="preserve">alterações extraordinariamente grandes nos preços dos ativos ou nas taxas de câmbio após o período contábil a que se referem as demonstrações contábeis;  </w:t>
      </w:r>
    </w:p>
    <w:p w14:paraId="23E83222"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alterações nas alíquotas de impostos ou na legislação tributária, promulgadas ou anunciadas após o período contábil a que se referem as demonstrações contábeis que tenham efeito significativo sobre os ativos e passivos fiscais correntes e diferidos (ver Pronunciamento Técnico CPC 32 – Tributos sobre o Lucro);</w:t>
      </w:r>
    </w:p>
    <w:p w14:paraId="1DD80EC8" w14:textId="77777777" w:rsidR="00D31489" w:rsidRPr="00D31489" w:rsidRDefault="00D31489" w:rsidP="00D31489">
      <w:pPr>
        <w:widowControl w:val="0"/>
        <w:numPr>
          <w:ilvl w:val="0"/>
          <w:numId w:val="36"/>
        </w:numPr>
        <w:spacing w:before="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assunção de compromissos ou de contingência passiva significativa, por exemplo, por meio da concessão de garantias significativas;</w:t>
      </w:r>
    </w:p>
    <w:p w14:paraId="04BBCCA0" w14:textId="77777777" w:rsidR="00D31489" w:rsidRPr="00D31489" w:rsidRDefault="00D31489" w:rsidP="00D31489">
      <w:pPr>
        <w:widowControl w:val="0"/>
        <w:numPr>
          <w:ilvl w:val="0"/>
          <w:numId w:val="36"/>
        </w:numPr>
        <w:spacing w:before="0" w:after="0"/>
        <w:ind w:left="993" w:hanging="426"/>
        <w:rPr>
          <w:rFonts w:ascii="Times New Roman" w:hAnsi="Times New Roman"/>
          <w:bCs/>
          <w:iCs/>
          <w:color w:val="000000"/>
          <w:sz w:val="24"/>
          <w:lang w:val="pt-BR"/>
        </w:rPr>
      </w:pPr>
      <w:r w:rsidRPr="00D31489">
        <w:rPr>
          <w:rFonts w:ascii="Times New Roman" w:hAnsi="Times New Roman"/>
          <w:bCs/>
          <w:iCs/>
          <w:color w:val="000000"/>
          <w:sz w:val="24"/>
          <w:lang w:val="pt-BR"/>
        </w:rPr>
        <w:t>início de litígio importante, proveniente exclusivamente de eventos que aconteceram após o período contábil a que se referem as demonstrações contábeis.</w:t>
      </w:r>
    </w:p>
    <w:p w14:paraId="33A18103" w14:textId="33A5D1EB" w:rsidR="00E84B78" w:rsidRPr="00E84B78" w:rsidRDefault="00E84B78" w:rsidP="00E84B78">
      <w:pPr>
        <w:spacing w:before="0" w:after="0"/>
        <w:jc w:val="center"/>
        <w:outlineLvl w:val="0"/>
        <w:rPr>
          <w:rFonts w:ascii="Times New Roman" w:hAnsi="Times New Roman"/>
          <w:b/>
          <w:sz w:val="24"/>
          <w:lang w:val="pt-BR"/>
        </w:rPr>
      </w:pPr>
    </w:p>
    <w:sectPr w:rsidR="00E84B78" w:rsidRPr="00E84B78"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84434F" w:rsidRDefault="0084434F" w:rsidP="0096648A">
      <w:pPr>
        <w:spacing w:before="0" w:after="0"/>
      </w:pPr>
      <w:r>
        <w:separator/>
      </w:r>
    </w:p>
  </w:endnote>
  <w:endnote w:type="continuationSeparator" w:id="0">
    <w:p w14:paraId="36D8BD19" w14:textId="77777777" w:rsidR="0084434F" w:rsidRDefault="0084434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FE64B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4FD7490C" w:rsidR="00AB3649" w:rsidRPr="00AB3649" w:rsidRDefault="00AB3649">
        <w:pPr>
          <w:pStyle w:val="Rodap"/>
          <w:jc w:val="center"/>
          <w:rPr>
            <w:rFonts w:asciiTheme="minorHAnsi" w:hAnsiTheme="minorHAnsi" w:cstheme="minorHAnsi"/>
            <w:szCs w:val="20"/>
          </w:rPr>
        </w:pPr>
        <w:r w:rsidRPr="0070567F">
          <w:rPr>
            <w:rFonts w:asciiTheme="minorHAnsi" w:hAnsiTheme="minorHAnsi" w:cstheme="minorHAnsi"/>
            <w:sz w:val="24"/>
          </w:rPr>
          <w:fldChar w:fldCharType="begin"/>
        </w:r>
        <w:r w:rsidRPr="0070567F">
          <w:rPr>
            <w:rFonts w:asciiTheme="minorHAnsi" w:hAnsiTheme="minorHAnsi" w:cstheme="minorHAnsi"/>
            <w:sz w:val="24"/>
          </w:rPr>
          <w:instrText>PAGE   \* MERGEFORMAT</w:instrText>
        </w:r>
        <w:r w:rsidRPr="0070567F">
          <w:rPr>
            <w:rFonts w:asciiTheme="minorHAnsi" w:hAnsiTheme="minorHAnsi" w:cstheme="minorHAnsi"/>
            <w:sz w:val="24"/>
          </w:rPr>
          <w:fldChar w:fldCharType="separate"/>
        </w:r>
        <w:r w:rsidR="00FE64B7" w:rsidRPr="00FE64B7">
          <w:rPr>
            <w:rFonts w:asciiTheme="minorHAnsi" w:hAnsiTheme="minorHAnsi" w:cstheme="minorHAnsi"/>
            <w:noProof/>
            <w:sz w:val="24"/>
            <w:lang w:val="pt-BR"/>
          </w:rPr>
          <w:t>2</w:t>
        </w:r>
        <w:r w:rsidRPr="0070567F">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84434F" w:rsidRDefault="0084434F" w:rsidP="0096648A">
      <w:pPr>
        <w:spacing w:before="0" w:after="0"/>
      </w:pPr>
      <w:r>
        <w:separator/>
      </w:r>
    </w:p>
  </w:footnote>
  <w:footnote w:type="continuationSeparator" w:id="0">
    <w:p w14:paraId="7315B982" w14:textId="77777777" w:rsidR="0084434F" w:rsidRDefault="0084434F"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FE64B7"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8930FD4" w14:textId="42FEADA2" w:rsidR="00D76E29" w:rsidRPr="00A21437" w:rsidRDefault="00A21437" w:rsidP="00A21437">
    <w:pPr>
      <w:pStyle w:val="Cabealho"/>
      <w:spacing w:before="240" w:after="240"/>
      <w:rPr>
        <w:rFonts w:asciiTheme="minorHAnsi" w:hAnsiTheme="minorHAnsi" w:cstheme="minorHAnsi"/>
      </w:rPr>
    </w:pPr>
    <w:r w:rsidRPr="0063683D">
      <w:rPr>
        <w:rFonts w:asciiTheme="minorHAnsi" w:hAnsiTheme="minorHAnsi" w:cstheme="minorHAnsi"/>
        <w:szCs w:val="20"/>
      </w:rPr>
      <w:t>RESOLUÇÃO CV</w:t>
    </w:r>
    <w:r w:rsidR="00202605" w:rsidRPr="0063683D">
      <w:rPr>
        <w:rFonts w:asciiTheme="minorHAnsi" w:hAnsiTheme="minorHAnsi" w:cstheme="minorHAnsi"/>
        <w:szCs w:val="20"/>
      </w:rPr>
      <w:t xml:space="preserve">M Nº </w:t>
    </w:r>
    <w:r w:rsidR="0063683D" w:rsidRPr="0063683D">
      <w:rPr>
        <w:rFonts w:asciiTheme="minorHAnsi" w:hAnsiTheme="minorHAnsi" w:cstheme="minorHAnsi"/>
        <w:szCs w:val="20"/>
      </w:rPr>
      <w:t>105</w:t>
    </w:r>
    <w:r w:rsidR="00202605" w:rsidRPr="0063683D">
      <w:rPr>
        <w:rFonts w:asciiTheme="minorHAnsi" w:hAnsiTheme="minorHAnsi" w:cstheme="minorHAnsi"/>
        <w:szCs w:val="20"/>
      </w:rPr>
      <w:t xml:space="preserve">, DE </w:t>
    </w:r>
    <w:r w:rsidR="0063683D" w:rsidRPr="0063683D">
      <w:rPr>
        <w:rFonts w:asciiTheme="minorHAnsi" w:hAnsiTheme="minorHAnsi" w:cstheme="minorHAnsi"/>
        <w:szCs w:val="20"/>
      </w:rPr>
      <w:t>2</w:t>
    </w:r>
    <w:r w:rsidR="00FE64B7">
      <w:rPr>
        <w:rFonts w:asciiTheme="minorHAnsi" w:hAnsiTheme="minorHAnsi" w:cstheme="minorHAnsi"/>
        <w:szCs w:val="20"/>
      </w:rPr>
      <w:t>0</w:t>
    </w:r>
    <w:r w:rsidR="0063683D" w:rsidRPr="0063683D">
      <w:rPr>
        <w:rFonts w:asciiTheme="minorHAnsi" w:hAnsiTheme="minorHAnsi" w:cstheme="minorHAnsi"/>
        <w:szCs w:val="20"/>
      </w:rPr>
      <w:t xml:space="preserve"> </w:t>
    </w:r>
    <w:r w:rsidR="00202605" w:rsidRPr="0063683D">
      <w:rPr>
        <w:rFonts w:asciiTheme="minorHAnsi" w:hAnsiTheme="minorHAnsi" w:cstheme="minorHAnsi"/>
        <w:szCs w:val="20"/>
      </w:rPr>
      <w:t xml:space="preserve">DE </w:t>
    </w:r>
    <w:r w:rsidR="0063683D" w:rsidRPr="0063683D">
      <w:rPr>
        <w:rFonts w:asciiTheme="minorHAnsi" w:hAnsiTheme="minorHAnsi" w:cstheme="minorHAnsi"/>
        <w:szCs w:val="20"/>
      </w:rPr>
      <w:t xml:space="preserve">MAIO </w:t>
    </w:r>
    <w:r w:rsidR="00202605" w:rsidRPr="0063683D">
      <w:rPr>
        <w:rFonts w:asciiTheme="minorHAnsi" w:hAnsiTheme="minorHAnsi" w:cstheme="minorHAnsi"/>
        <w:szCs w:val="20"/>
      </w:rPr>
      <w:t>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D76E29" w:rsidRPr="00B62631" w:rsidRDefault="00FE64B7" w:rsidP="00DF62F3">
    <w:pPr>
      <w:pStyle w:val="Cabealho"/>
      <w:spacing w:before="0" w:after="360"/>
      <w:jc w:val="center"/>
      <w:rPr>
        <w:color w:val="4472C4" w:themeColor="accent1"/>
      </w:rPr>
    </w:pPr>
    <w:hyperlink r:id="rId2" w:history="1">
      <w:r w:rsidR="00DF62F3"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F54"/>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092613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57615CC"/>
    <w:multiLevelType w:val="hybridMultilevel"/>
    <w:tmpl w:val="438E0DBA"/>
    <w:lvl w:ilvl="0" w:tplc="022005A6">
      <w:start w:val="1"/>
      <w:numFmt w:val="lowerLetter"/>
      <w:lvlText w:val="(%1)"/>
      <w:lvlJc w:val="left"/>
      <w:pPr>
        <w:tabs>
          <w:tab w:val="num" w:pos="1070"/>
        </w:tabs>
        <w:ind w:left="1070" w:hanging="360"/>
      </w:pPr>
      <w:rPr>
        <w:rFonts w:hint="default"/>
        <w:b w:val="0"/>
        <w:i w:val="0"/>
        <w:strike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5C13D4B"/>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767121D"/>
    <w:multiLevelType w:val="hybridMultilevel"/>
    <w:tmpl w:val="5BA6647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AE7CAE"/>
    <w:multiLevelType w:val="hybridMultilevel"/>
    <w:tmpl w:val="611016D6"/>
    <w:lvl w:ilvl="0" w:tplc="92786D94">
      <w:start w:val="1"/>
      <w:numFmt w:val="lowerLetter"/>
      <w:lvlText w:val="(%1)"/>
      <w:lvlJc w:val="left"/>
      <w:pPr>
        <w:tabs>
          <w:tab w:val="num" w:pos="1070"/>
        </w:tabs>
        <w:ind w:left="1070" w:hanging="360"/>
      </w:pPr>
      <w:rPr>
        <w:b w:val="0"/>
        <w:i w:val="0"/>
        <w:strike w:val="0"/>
        <w:dstrike w:val="0"/>
        <w:u w:val="none"/>
        <w:effect w:val="none"/>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C482A69"/>
    <w:multiLevelType w:val="hybridMultilevel"/>
    <w:tmpl w:val="D24C6F70"/>
    <w:lvl w:ilvl="0" w:tplc="7E88CA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8"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80052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AB66D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EEE2326"/>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F06237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13211F2"/>
    <w:multiLevelType w:val="hybridMultilevel"/>
    <w:tmpl w:val="5BA6647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6F31AA"/>
    <w:multiLevelType w:val="hybridMultilevel"/>
    <w:tmpl w:val="9C087E06"/>
    <w:lvl w:ilvl="0" w:tplc="419C513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73113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B957555"/>
    <w:multiLevelType w:val="hybridMultilevel"/>
    <w:tmpl w:val="664E52A4"/>
    <w:lvl w:ilvl="0" w:tplc="AF04BE54">
      <w:start w:val="1"/>
      <w:numFmt w:val="lowerLetter"/>
      <w:lvlText w:val="(%1)"/>
      <w:lvlJc w:val="left"/>
      <w:pPr>
        <w:tabs>
          <w:tab w:val="num" w:pos="1070"/>
        </w:tabs>
        <w:ind w:left="1070" w:hanging="360"/>
      </w:pPr>
      <w:rPr>
        <w:rFonts w:hint="default"/>
        <w:b w:val="0"/>
        <w:i w:val="0"/>
        <w:strike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8" w15:restartNumberingAfterBreak="0">
    <w:nsid w:val="438579B5"/>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19" w15:restartNumberingAfterBreak="0">
    <w:nsid w:val="48AC40E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E043CC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241600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D965E2"/>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5" w15:restartNumberingAfterBreak="0">
    <w:nsid w:val="65EB2784"/>
    <w:multiLevelType w:val="hybridMultilevel"/>
    <w:tmpl w:val="5B0A11E6"/>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6" w15:restartNumberingAfterBreak="0">
    <w:nsid w:val="673A5CBE"/>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164351"/>
    <w:multiLevelType w:val="hybridMultilevel"/>
    <w:tmpl w:val="5BA6647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F74133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4995931"/>
    <w:multiLevelType w:val="hybridMultilevel"/>
    <w:tmpl w:val="5BA6647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F34A68"/>
    <w:multiLevelType w:val="hybridMultilevel"/>
    <w:tmpl w:val="E42E3C94"/>
    <w:lvl w:ilvl="0" w:tplc="862E2C22">
      <w:start w:val="1"/>
      <w:numFmt w:val="lowerLetter"/>
      <w:lvlText w:val="(%1)"/>
      <w:lvlJc w:val="left"/>
      <w:pPr>
        <w:tabs>
          <w:tab w:val="num" w:pos="1070"/>
        </w:tabs>
        <w:ind w:left="1070" w:hanging="360"/>
      </w:pPr>
      <w:rPr>
        <w:rFonts w:hint="default"/>
        <w:b w:val="0"/>
        <w:i w:val="0"/>
      </w:rPr>
    </w:lvl>
    <w:lvl w:ilvl="1" w:tplc="5ED0D45A">
      <w:start w:val="1"/>
      <w:numFmt w:val="lowerRoman"/>
      <w:lvlText w:val="(%2) "/>
      <w:lvlJc w:val="left"/>
      <w:pPr>
        <w:tabs>
          <w:tab w:val="num" w:pos="1920"/>
        </w:tabs>
        <w:ind w:left="1920" w:hanging="360"/>
      </w:pPr>
      <w:rPr>
        <w:rFonts w:hint="default"/>
        <w:strike w:val="0"/>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C175BF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D5F7F86"/>
    <w:multiLevelType w:val="hybridMultilevel"/>
    <w:tmpl w:val="4A3C7378"/>
    <w:lvl w:ilvl="0" w:tplc="237494AC">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33"/>
  </w:num>
  <w:num w:numId="3">
    <w:abstractNumId w:val="20"/>
  </w:num>
  <w:num w:numId="4">
    <w:abstractNumId w:val="30"/>
  </w:num>
  <w:num w:numId="5">
    <w:abstractNumId w:val="21"/>
  </w:num>
  <w:num w:numId="6">
    <w:abstractNumId w:val="17"/>
  </w:num>
  <w:num w:numId="7">
    <w:abstractNumId w:val="27"/>
  </w:num>
  <w:num w:numId="8">
    <w:abstractNumId w:val="8"/>
  </w:num>
  <w:num w:numId="9">
    <w:abstractNumId w:val="6"/>
  </w:num>
  <w:num w:numId="10">
    <w:abstractNumId w:val="25"/>
  </w:num>
  <w:num w:numId="11">
    <w:abstractNumId w:val="24"/>
  </w:num>
  <w:num w:numId="12">
    <w:abstractNumId w:val="18"/>
  </w:num>
  <w:num w:numId="13">
    <w:abstractNumId w:val="23"/>
  </w:num>
  <w:num w:numId="14">
    <w:abstractNumId w:val="32"/>
  </w:num>
  <w:num w:numId="15">
    <w:abstractNumId w:val="13"/>
  </w:num>
  <w:num w:numId="16">
    <w:abstractNumId w:val="1"/>
  </w:num>
  <w:num w:numId="17">
    <w:abstractNumId w:val="22"/>
  </w:num>
  <w:num w:numId="18">
    <w:abstractNumId w:val="11"/>
  </w:num>
  <w:num w:numId="19">
    <w:abstractNumId w:val="0"/>
  </w:num>
  <w:num w:numId="20">
    <w:abstractNumId w:val="31"/>
  </w:num>
  <w:num w:numId="21">
    <w:abstractNumId w:val="19"/>
  </w:num>
  <w:num w:numId="22">
    <w:abstractNumId w:val="16"/>
  </w:num>
  <w:num w:numId="23">
    <w:abstractNumId w:val="9"/>
  </w:num>
  <w:num w:numId="24">
    <w:abstractNumId w:val="26"/>
  </w:num>
  <w:num w:numId="25">
    <w:abstractNumId w:val="3"/>
  </w:num>
  <w:num w:numId="26">
    <w:abstractNumId w:val="2"/>
  </w:num>
  <w:num w:numId="27">
    <w:abstractNumId w:val="12"/>
  </w:num>
  <w:num w:numId="28">
    <w:abstractNumId w:val="28"/>
  </w:num>
  <w:num w:numId="29">
    <w:abstractNumId w:val="4"/>
  </w:num>
  <w:num w:numId="30">
    <w:abstractNumId w:val="1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5"/>
  </w:num>
  <w:num w:numId="34">
    <w:abstractNumId w:val="10"/>
  </w:num>
  <w:num w:numId="35">
    <w:abstractNumId w:val="29"/>
  </w:num>
  <w:num w:numId="3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C2504"/>
    <w:rsid w:val="001327C9"/>
    <w:rsid w:val="00202605"/>
    <w:rsid w:val="00273211"/>
    <w:rsid w:val="00363679"/>
    <w:rsid w:val="003665A0"/>
    <w:rsid w:val="00381A25"/>
    <w:rsid w:val="004155D2"/>
    <w:rsid w:val="004A27F4"/>
    <w:rsid w:val="00572A94"/>
    <w:rsid w:val="0063683D"/>
    <w:rsid w:val="0070567F"/>
    <w:rsid w:val="00735721"/>
    <w:rsid w:val="00745043"/>
    <w:rsid w:val="007D39C9"/>
    <w:rsid w:val="0084434F"/>
    <w:rsid w:val="008C0534"/>
    <w:rsid w:val="0096648A"/>
    <w:rsid w:val="009D3457"/>
    <w:rsid w:val="009E19FE"/>
    <w:rsid w:val="00A21437"/>
    <w:rsid w:val="00A92033"/>
    <w:rsid w:val="00AB3649"/>
    <w:rsid w:val="00B62631"/>
    <w:rsid w:val="00B644F7"/>
    <w:rsid w:val="00BA411B"/>
    <w:rsid w:val="00C15BF5"/>
    <w:rsid w:val="00C578D8"/>
    <w:rsid w:val="00C72039"/>
    <w:rsid w:val="00C847A0"/>
    <w:rsid w:val="00CF08C5"/>
    <w:rsid w:val="00CF424B"/>
    <w:rsid w:val="00D31489"/>
    <w:rsid w:val="00D978F2"/>
    <w:rsid w:val="00DE043D"/>
    <w:rsid w:val="00DE6618"/>
    <w:rsid w:val="00DF62F3"/>
    <w:rsid w:val="00DF6ADE"/>
    <w:rsid w:val="00E84B78"/>
    <w:rsid w:val="00FA12E3"/>
    <w:rsid w:val="00FB12E6"/>
    <w:rsid w:val="00FE6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2.xml><?xml version="1.0" encoding="utf-8"?>
<ds:datastoreItem xmlns:ds="http://schemas.openxmlformats.org/officeDocument/2006/customXml" ds:itemID="{7A539F9D-2FE4-4FF9-AA47-BD409D3CE893}">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202af286-b63d-4051-91f4-2a3db7e26a9f"/>
    <ds:schemaRef ds:uri="f007d275-fe71-4d9d-b733-955bb29c3f5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87F26A-781A-4507-809D-A6D1BA8F1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E2087-1F56-4298-9D6F-B68B0B5B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2660</Words>
  <Characters>14369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1</cp:revision>
  <dcterms:created xsi:type="dcterms:W3CDTF">2021-07-21T15:16:00Z</dcterms:created>
  <dcterms:modified xsi:type="dcterms:W3CDTF">2022-05-18T18:29:00Z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